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AF0A" w14:textId="799FAB06" w:rsidR="007C3DBA" w:rsidRPr="00066D43" w:rsidRDefault="006F7EA5" w:rsidP="00D55C8D">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REPLACEMENT </w:t>
      </w:r>
      <w:r w:rsidR="00D55C8D" w:rsidRPr="00066D43">
        <w:rPr>
          <w:rFonts w:ascii="Times New Roman" w:hAnsi="Times New Roman" w:cs="Times New Roman"/>
          <w:b/>
          <w:sz w:val="24"/>
          <w:szCs w:val="24"/>
        </w:rPr>
        <w:t xml:space="preserve">EXPLANTORY STATEMENT </w:t>
      </w:r>
    </w:p>
    <w:p w14:paraId="2A44BA91" w14:textId="650396A7" w:rsidR="006F7EA5" w:rsidRPr="006F7EA5" w:rsidRDefault="006F7EA5" w:rsidP="006F7EA5">
      <w:pPr>
        <w:rPr>
          <w:rFonts w:ascii="Times New Roman" w:hAnsi="Times New Roman"/>
          <w:b/>
          <w:i/>
          <w:sz w:val="24"/>
        </w:rPr>
      </w:pPr>
      <w:r w:rsidRPr="006F7EA5">
        <w:rPr>
          <w:rFonts w:ascii="Times New Roman" w:hAnsi="Times New Roman" w:cs="Times New Roman"/>
          <w:b/>
          <w:sz w:val="24"/>
          <w:szCs w:val="24"/>
        </w:rPr>
        <w:t xml:space="preserve">This </w:t>
      </w:r>
      <w:r w:rsidR="00F41F39" w:rsidRPr="006F7EA5">
        <w:rPr>
          <w:rFonts w:ascii="Times New Roman" w:hAnsi="Times New Roman" w:cs="Times New Roman"/>
          <w:b/>
          <w:sz w:val="24"/>
          <w:szCs w:val="24"/>
        </w:rPr>
        <w:t>Explanatory</w:t>
      </w:r>
      <w:r w:rsidRPr="006F7EA5">
        <w:rPr>
          <w:rFonts w:ascii="Times New Roman" w:hAnsi="Times New Roman" w:cs="Times New Roman"/>
          <w:b/>
          <w:sz w:val="24"/>
          <w:szCs w:val="24"/>
        </w:rPr>
        <w:t xml:space="preserve"> Statement replaces the </w:t>
      </w:r>
      <w:r w:rsidR="00F41F39" w:rsidRPr="006F7EA5">
        <w:rPr>
          <w:rFonts w:ascii="Times New Roman" w:hAnsi="Times New Roman" w:cs="Times New Roman"/>
          <w:b/>
          <w:sz w:val="24"/>
          <w:szCs w:val="24"/>
        </w:rPr>
        <w:t>Explanatory</w:t>
      </w:r>
      <w:r w:rsidRPr="006F7EA5">
        <w:rPr>
          <w:rFonts w:ascii="Times New Roman" w:hAnsi="Times New Roman" w:cs="Times New Roman"/>
          <w:b/>
          <w:sz w:val="24"/>
          <w:szCs w:val="24"/>
        </w:rPr>
        <w:t xml:space="preserve"> Statement registered on </w:t>
      </w:r>
      <w:r>
        <w:rPr>
          <w:rFonts w:ascii="Times New Roman" w:hAnsi="Times New Roman" w:cs="Times New Roman"/>
          <w:b/>
          <w:sz w:val="24"/>
          <w:szCs w:val="24"/>
        </w:rPr>
        <w:t>23 </w:t>
      </w:r>
      <w:r w:rsidRPr="006F7EA5">
        <w:rPr>
          <w:rFonts w:ascii="Times New Roman" w:hAnsi="Times New Roman" w:cs="Times New Roman"/>
          <w:b/>
          <w:sz w:val="24"/>
          <w:szCs w:val="24"/>
        </w:rPr>
        <w:t xml:space="preserve">September 2019 for the </w:t>
      </w:r>
      <w:r w:rsidRPr="006F7EA5">
        <w:rPr>
          <w:rFonts w:ascii="Times New Roman" w:hAnsi="Times New Roman"/>
          <w:b/>
          <w:i/>
          <w:sz w:val="24"/>
        </w:rPr>
        <w:t xml:space="preserve">Broadcasting Services (Transmitter Access) Regulations 2019 </w:t>
      </w:r>
      <w:r w:rsidRPr="006F7EA5">
        <w:rPr>
          <w:rFonts w:ascii="Times New Roman" w:hAnsi="Times New Roman"/>
          <w:b/>
          <w:sz w:val="24"/>
        </w:rPr>
        <w:t>[F2019L01248]</w:t>
      </w:r>
      <w:r>
        <w:rPr>
          <w:rFonts w:ascii="Times New Roman" w:hAnsi="Times New Roman"/>
          <w:b/>
          <w:sz w:val="24"/>
        </w:rPr>
        <w:t>.</w:t>
      </w:r>
    </w:p>
    <w:p w14:paraId="1862DA1E" w14:textId="7E2A8B6C" w:rsidR="00D55C8D" w:rsidRPr="00066D43" w:rsidRDefault="00B93A22" w:rsidP="00D55C8D">
      <w:pPr>
        <w:jc w:val="center"/>
        <w:rPr>
          <w:rFonts w:ascii="Times New Roman" w:hAnsi="Times New Roman" w:cs="Times New Roman"/>
          <w:i/>
          <w:sz w:val="24"/>
          <w:szCs w:val="24"/>
        </w:rPr>
      </w:pPr>
      <w:r>
        <w:rPr>
          <w:rFonts w:ascii="Times New Roman" w:hAnsi="Times New Roman" w:cs="Times New Roman"/>
          <w:i/>
          <w:sz w:val="24"/>
          <w:szCs w:val="24"/>
        </w:rPr>
        <w:t>Broadcasting Services Act 1992</w:t>
      </w:r>
    </w:p>
    <w:p w14:paraId="45F935AA" w14:textId="16A79161" w:rsidR="00D55C8D" w:rsidRPr="00133E51" w:rsidRDefault="00B93A22" w:rsidP="00D55C8D">
      <w:pPr>
        <w:jc w:val="center"/>
        <w:rPr>
          <w:rFonts w:ascii="Times New Roman" w:hAnsi="Times New Roman"/>
          <w:i/>
          <w:sz w:val="24"/>
        </w:rPr>
      </w:pPr>
      <w:r>
        <w:rPr>
          <w:rFonts w:ascii="Times New Roman" w:hAnsi="Times New Roman"/>
          <w:i/>
          <w:sz w:val="24"/>
        </w:rPr>
        <w:t>Broadcasting Services (Transmitter Access) Regulations 2019</w:t>
      </w:r>
    </w:p>
    <w:p w14:paraId="048CA04A" w14:textId="77777777" w:rsidR="00D55C8D" w:rsidRPr="00066D43" w:rsidRDefault="00D55C8D" w:rsidP="00D55C8D">
      <w:pPr>
        <w:rPr>
          <w:rFonts w:ascii="Times New Roman" w:hAnsi="Times New Roman" w:cs="Times New Roman"/>
          <w:sz w:val="24"/>
          <w:szCs w:val="24"/>
          <w:u w:val="single"/>
        </w:rPr>
      </w:pPr>
      <w:r w:rsidRPr="00066D43">
        <w:rPr>
          <w:rFonts w:ascii="Times New Roman" w:hAnsi="Times New Roman" w:cs="Times New Roman"/>
          <w:sz w:val="24"/>
          <w:szCs w:val="24"/>
          <w:u w:val="single"/>
        </w:rPr>
        <w:t xml:space="preserve">Authority </w:t>
      </w:r>
    </w:p>
    <w:p w14:paraId="21EDEF15" w14:textId="621993CC" w:rsidR="00D55C8D" w:rsidRPr="00066D43" w:rsidRDefault="00D55C8D" w:rsidP="00D55C8D">
      <w:pPr>
        <w:rPr>
          <w:rFonts w:ascii="Times New Roman" w:hAnsi="Times New Roman" w:cs="Times New Roman"/>
          <w:sz w:val="24"/>
          <w:szCs w:val="24"/>
        </w:rPr>
      </w:pPr>
      <w:r w:rsidRPr="00066D43">
        <w:rPr>
          <w:rFonts w:ascii="Times New Roman" w:hAnsi="Times New Roman" w:cs="Times New Roman"/>
          <w:sz w:val="24"/>
          <w:szCs w:val="24"/>
        </w:rPr>
        <w:t xml:space="preserve">The Governor-General has made the </w:t>
      </w:r>
      <w:r w:rsidR="00B93A22">
        <w:rPr>
          <w:rFonts w:ascii="Times New Roman" w:hAnsi="Times New Roman"/>
          <w:i/>
          <w:sz w:val="24"/>
        </w:rPr>
        <w:t>Broadcasting Services (Transmitter Access) Regulations 2019</w:t>
      </w:r>
      <w:r w:rsidRPr="00066D43">
        <w:rPr>
          <w:rFonts w:ascii="Times New Roman" w:hAnsi="Times New Roman" w:cs="Times New Roman"/>
          <w:i/>
          <w:sz w:val="24"/>
          <w:szCs w:val="24"/>
        </w:rPr>
        <w:t xml:space="preserve"> </w:t>
      </w:r>
      <w:r w:rsidR="003E271E">
        <w:rPr>
          <w:rFonts w:ascii="Times New Roman" w:hAnsi="Times New Roman" w:cs="Times New Roman"/>
          <w:sz w:val="24"/>
          <w:szCs w:val="24"/>
        </w:rPr>
        <w:t xml:space="preserve">(the </w:t>
      </w:r>
      <w:r w:rsidRPr="00066D43">
        <w:rPr>
          <w:rFonts w:ascii="Times New Roman" w:hAnsi="Times New Roman" w:cs="Times New Roman"/>
          <w:sz w:val="24"/>
          <w:szCs w:val="24"/>
        </w:rPr>
        <w:t xml:space="preserve">Regulations) under </w:t>
      </w:r>
      <w:r w:rsidR="007D7938">
        <w:rPr>
          <w:rFonts w:ascii="Times New Roman" w:hAnsi="Times New Roman" w:cs="Times New Roman"/>
          <w:sz w:val="24"/>
          <w:szCs w:val="24"/>
        </w:rPr>
        <w:t>section 217</w:t>
      </w:r>
      <w:r w:rsidRPr="00066D43">
        <w:rPr>
          <w:rFonts w:ascii="Times New Roman" w:hAnsi="Times New Roman" w:cs="Times New Roman"/>
          <w:sz w:val="24"/>
          <w:szCs w:val="24"/>
        </w:rPr>
        <w:t xml:space="preserve"> of the </w:t>
      </w:r>
      <w:r w:rsidR="00B93A22">
        <w:rPr>
          <w:rFonts w:ascii="Times New Roman" w:hAnsi="Times New Roman" w:cs="Times New Roman"/>
          <w:i/>
          <w:sz w:val="24"/>
          <w:szCs w:val="24"/>
        </w:rPr>
        <w:t>Broadcasting Services Act 1992</w:t>
      </w:r>
      <w:r w:rsidR="003E271E">
        <w:rPr>
          <w:rFonts w:ascii="Times New Roman" w:hAnsi="Times New Roman" w:cs="Times New Roman"/>
          <w:i/>
          <w:sz w:val="24"/>
          <w:szCs w:val="24"/>
        </w:rPr>
        <w:t xml:space="preserve"> </w:t>
      </w:r>
      <w:r w:rsidR="003E271E" w:rsidRPr="003E271E">
        <w:rPr>
          <w:rFonts w:ascii="Times New Roman" w:hAnsi="Times New Roman" w:cs="Times New Roman"/>
          <w:sz w:val="24"/>
          <w:szCs w:val="24"/>
        </w:rPr>
        <w:t>(</w:t>
      </w:r>
      <w:r w:rsidR="005E2288">
        <w:rPr>
          <w:rFonts w:ascii="Times New Roman" w:hAnsi="Times New Roman" w:cs="Times New Roman"/>
          <w:sz w:val="24"/>
          <w:szCs w:val="24"/>
        </w:rPr>
        <w:t>the Act</w:t>
      </w:r>
      <w:r w:rsidR="003E271E" w:rsidRPr="003E271E">
        <w:rPr>
          <w:rFonts w:ascii="Times New Roman" w:hAnsi="Times New Roman" w:cs="Times New Roman"/>
          <w:sz w:val="24"/>
          <w:szCs w:val="24"/>
        </w:rPr>
        <w:t>)</w:t>
      </w:r>
      <w:r w:rsidR="00FC12E0">
        <w:rPr>
          <w:rFonts w:ascii="Times New Roman" w:hAnsi="Times New Roman" w:cs="Times New Roman"/>
          <w:sz w:val="24"/>
          <w:szCs w:val="24"/>
        </w:rPr>
        <w:t xml:space="preserve">, and pursuant to subclauses 45A(9) and 47(3) of Part 5 of Schedule 4 to </w:t>
      </w:r>
      <w:r w:rsidR="00251202">
        <w:rPr>
          <w:rFonts w:ascii="Times New Roman" w:hAnsi="Times New Roman" w:cs="Times New Roman"/>
          <w:sz w:val="24"/>
          <w:szCs w:val="24"/>
        </w:rPr>
        <w:t>the Act</w:t>
      </w:r>
      <w:r w:rsidRPr="00066D43">
        <w:rPr>
          <w:rFonts w:ascii="Times New Roman" w:hAnsi="Times New Roman" w:cs="Times New Roman"/>
          <w:i/>
          <w:sz w:val="24"/>
          <w:szCs w:val="24"/>
        </w:rPr>
        <w:t xml:space="preserve">. </w:t>
      </w:r>
      <w:r w:rsidRPr="00066D43">
        <w:rPr>
          <w:rFonts w:ascii="Times New Roman" w:hAnsi="Times New Roman" w:cs="Times New Roman"/>
          <w:sz w:val="24"/>
          <w:szCs w:val="24"/>
        </w:rPr>
        <w:t xml:space="preserve">These </w:t>
      </w:r>
      <w:r w:rsidR="00FC12E0">
        <w:rPr>
          <w:rFonts w:ascii="Times New Roman" w:hAnsi="Times New Roman" w:cs="Times New Roman"/>
          <w:sz w:val="24"/>
          <w:szCs w:val="24"/>
        </w:rPr>
        <w:t>provisions</w:t>
      </w:r>
      <w:r w:rsidRPr="00066D43">
        <w:rPr>
          <w:rFonts w:ascii="Times New Roman" w:hAnsi="Times New Roman" w:cs="Times New Roman"/>
          <w:sz w:val="24"/>
          <w:szCs w:val="24"/>
        </w:rPr>
        <w:t xml:space="preserve"> provide that the Governor-General may make regulations prescribing matters required or permitted to be prescribed by the relevant Acts, or necessary or convenient to be prescribed for carrying out or giving effect to the Act. </w:t>
      </w:r>
    </w:p>
    <w:p w14:paraId="3FF9B4F2" w14:textId="31A46B0F" w:rsidR="003E271E" w:rsidRPr="0038776F" w:rsidRDefault="007001EB" w:rsidP="003E271E">
      <w:pPr>
        <w:rPr>
          <w:rFonts w:ascii="Times New Roman" w:hAnsi="Times New Roman" w:cs="Times New Roman"/>
          <w:sz w:val="24"/>
          <w:szCs w:val="24"/>
        </w:rPr>
      </w:pPr>
      <w:r w:rsidRPr="0038776F">
        <w:rPr>
          <w:rFonts w:ascii="Times New Roman" w:hAnsi="Times New Roman" w:cs="Times New Roman"/>
          <w:sz w:val="24"/>
          <w:szCs w:val="24"/>
        </w:rPr>
        <w:t xml:space="preserve">Subsection </w:t>
      </w:r>
      <w:r w:rsidR="0038776F" w:rsidRPr="0038776F">
        <w:rPr>
          <w:rFonts w:ascii="Times New Roman" w:hAnsi="Times New Roman" w:cs="Times New Roman"/>
          <w:sz w:val="24"/>
          <w:szCs w:val="24"/>
        </w:rPr>
        <w:t>217</w:t>
      </w:r>
      <w:r w:rsidRPr="0038776F">
        <w:rPr>
          <w:rFonts w:ascii="Times New Roman" w:hAnsi="Times New Roman" w:cs="Times New Roman"/>
          <w:sz w:val="24"/>
          <w:szCs w:val="24"/>
        </w:rPr>
        <w:t xml:space="preserve">(2) of the </w:t>
      </w:r>
      <w:r w:rsidR="005E2288">
        <w:rPr>
          <w:rFonts w:ascii="Times New Roman" w:hAnsi="Times New Roman" w:cs="Times New Roman"/>
          <w:sz w:val="24"/>
          <w:szCs w:val="24"/>
        </w:rPr>
        <w:t>Act</w:t>
      </w:r>
      <w:r w:rsidR="003E271E" w:rsidRPr="0038776F">
        <w:rPr>
          <w:rFonts w:ascii="Times New Roman" w:hAnsi="Times New Roman" w:cs="Times New Roman"/>
          <w:i/>
          <w:sz w:val="24"/>
          <w:szCs w:val="24"/>
        </w:rPr>
        <w:t xml:space="preserve"> </w:t>
      </w:r>
      <w:r w:rsidRPr="0038776F">
        <w:rPr>
          <w:rFonts w:ascii="Times New Roman" w:hAnsi="Times New Roman" w:cs="Times New Roman"/>
          <w:sz w:val="24"/>
          <w:szCs w:val="24"/>
        </w:rPr>
        <w:t>provide</w:t>
      </w:r>
      <w:r w:rsidR="0038776F" w:rsidRPr="0038776F">
        <w:rPr>
          <w:rFonts w:ascii="Times New Roman" w:hAnsi="Times New Roman" w:cs="Times New Roman"/>
          <w:sz w:val="24"/>
          <w:szCs w:val="24"/>
        </w:rPr>
        <w:t>s</w:t>
      </w:r>
      <w:r w:rsidRPr="0038776F">
        <w:rPr>
          <w:rFonts w:ascii="Times New Roman" w:hAnsi="Times New Roman" w:cs="Times New Roman"/>
          <w:sz w:val="24"/>
          <w:szCs w:val="24"/>
        </w:rPr>
        <w:t xml:space="preserve"> that the </w:t>
      </w:r>
      <w:r w:rsidR="001E7673">
        <w:rPr>
          <w:rFonts w:ascii="Times New Roman" w:hAnsi="Times New Roman" w:cs="Times New Roman"/>
          <w:sz w:val="24"/>
          <w:szCs w:val="24"/>
        </w:rPr>
        <w:t>R</w:t>
      </w:r>
      <w:r w:rsidRPr="0038776F">
        <w:rPr>
          <w:rFonts w:ascii="Times New Roman" w:hAnsi="Times New Roman" w:cs="Times New Roman"/>
          <w:sz w:val="24"/>
          <w:szCs w:val="24"/>
        </w:rPr>
        <w:t xml:space="preserve">egulations may prescribe penalties, not exceeding </w:t>
      </w:r>
      <w:r w:rsidR="0038776F" w:rsidRPr="0038776F">
        <w:rPr>
          <w:rFonts w:ascii="Times New Roman" w:hAnsi="Times New Roman" w:cs="Times New Roman"/>
          <w:sz w:val="24"/>
          <w:szCs w:val="24"/>
        </w:rPr>
        <w:t>50 penalty units</w:t>
      </w:r>
      <w:r w:rsidRPr="0038776F">
        <w:rPr>
          <w:rFonts w:ascii="Times New Roman" w:hAnsi="Times New Roman" w:cs="Times New Roman"/>
          <w:sz w:val="24"/>
          <w:szCs w:val="24"/>
        </w:rPr>
        <w:t xml:space="preserve"> for offences </w:t>
      </w:r>
      <w:r w:rsidR="00964C18" w:rsidRPr="0038776F">
        <w:rPr>
          <w:rFonts w:ascii="Times New Roman" w:hAnsi="Times New Roman" w:cs="Times New Roman"/>
          <w:sz w:val="24"/>
          <w:szCs w:val="24"/>
        </w:rPr>
        <w:t xml:space="preserve">by individuals </w:t>
      </w:r>
      <w:r w:rsidRPr="0038776F">
        <w:rPr>
          <w:rFonts w:ascii="Times New Roman" w:hAnsi="Times New Roman" w:cs="Times New Roman"/>
          <w:sz w:val="24"/>
          <w:szCs w:val="24"/>
        </w:rPr>
        <w:t xml:space="preserve">against the </w:t>
      </w:r>
      <w:r w:rsidR="001E7673">
        <w:rPr>
          <w:rFonts w:ascii="Times New Roman" w:hAnsi="Times New Roman" w:cs="Times New Roman"/>
          <w:sz w:val="24"/>
          <w:szCs w:val="24"/>
        </w:rPr>
        <w:t>R</w:t>
      </w:r>
      <w:r w:rsidRPr="0038776F">
        <w:rPr>
          <w:rFonts w:ascii="Times New Roman" w:hAnsi="Times New Roman" w:cs="Times New Roman"/>
          <w:sz w:val="24"/>
          <w:szCs w:val="24"/>
        </w:rPr>
        <w:t>egulations</w:t>
      </w:r>
      <w:r w:rsidR="0038776F" w:rsidRPr="0038776F">
        <w:rPr>
          <w:rFonts w:ascii="Times New Roman" w:hAnsi="Times New Roman" w:cs="Times New Roman"/>
          <w:sz w:val="24"/>
          <w:szCs w:val="24"/>
        </w:rPr>
        <w:t xml:space="preserve">, and not exceeding 250 penalty units for offences by companies against the </w:t>
      </w:r>
      <w:r w:rsidR="001E7673">
        <w:rPr>
          <w:rFonts w:ascii="Times New Roman" w:hAnsi="Times New Roman" w:cs="Times New Roman"/>
          <w:sz w:val="24"/>
          <w:szCs w:val="24"/>
        </w:rPr>
        <w:t>R</w:t>
      </w:r>
      <w:r w:rsidR="0038776F" w:rsidRPr="0038776F">
        <w:rPr>
          <w:rFonts w:ascii="Times New Roman" w:hAnsi="Times New Roman" w:cs="Times New Roman"/>
          <w:sz w:val="24"/>
          <w:szCs w:val="24"/>
        </w:rPr>
        <w:t>egulations</w:t>
      </w:r>
      <w:r w:rsidR="003E271E" w:rsidRPr="0038776F">
        <w:rPr>
          <w:rFonts w:ascii="Times New Roman" w:hAnsi="Times New Roman" w:cs="Times New Roman"/>
          <w:sz w:val="24"/>
          <w:szCs w:val="24"/>
        </w:rPr>
        <w:t xml:space="preserve">. </w:t>
      </w:r>
    </w:p>
    <w:p w14:paraId="699F8A38" w14:textId="1D6806A3" w:rsidR="00D55C8D" w:rsidRPr="00066D43" w:rsidRDefault="00D55C8D" w:rsidP="00D55C8D">
      <w:pPr>
        <w:rPr>
          <w:rFonts w:ascii="Times New Roman" w:hAnsi="Times New Roman" w:cs="Times New Roman"/>
          <w:sz w:val="24"/>
          <w:szCs w:val="24"/>
        </w:rPr>
      </w:pPr>
      <w:r w:rsidRPr="00066D43">
        <w:rPr>
          <w:rFonts w:ascii="Times New Roman" w:hAnsi="Times New Roman" w:cs="Times New Roman"/>
          <w:sz w:val="24"/>
          <w:szCs w:val="24"/>
        </w:rPr>
        <w:t xml:space="preserve">Subsection 33(3) of the </w:t>
      </w:r>
      <w:r w:rsidRPr="00066D43">
        <w:rPr>
          <w:rFonts w:ascii="Times New Roman" w:hAnsi="Times New Roman" w:cs="Times New Roman"/>
          <w:i/>
          <w:sz w:val="24"/>
          <w:szCs w:val="24"/>
        </w:rPr>
        <w:t xml:space="preserve">Acts Interpretation Act 1901 </w:t>
      </w:r>
      <w:r w:rsidRPr="00066D43">
        <w:rPr>
          <w:rFonts w:ascii="Times New Roman" w:hAnsi="Times New Roman" w:cs="Times New Roman"/>
          <w:sz w:val="24"/>
          <w:szCs w:val="24"/>
        </w:rPr>
        <w:t>relevantly provides that where an Act confers a power to make an instrument of a legislative character (including regulations), the power shall be construed as including a power exercisable in the like manner and subject to the like conditions to repeal, rescind, revoke, amend, or vary any such instrument. The Regulations repeal the </w:t>
      </w:r>
      <w:r w:rsidR="00FC12E0" w:rsidRPr="00FC12E0">
        <w:rPr>
          <w:rFonts w:ascii="Times New Roman" w:hAnsi="Times New Roman" w:cs="Times New Roman"/>
          <w:i/>
          <w:iCs/>
          <w:sz w:val="24"/>
          <w:szCs w:val="24"/>
        </w:rPr>
        <w:t xml:space="preserve">Broadcasting Services (Transmitter Access) Regulations </w:t>
      </w:r>
      <w:r w:rsidR="002C0D81" w:rsidRPr="00FC12E0">
        <w:rPr>
          <w:rFonts w:ascii="Times New Roman" w:hAnsi="Times New Roman" w:cs="Times New Roman"/>
          <w:i/>
          <w:iCs/>
          <w:sz w:val="24"/>
          <w:szCs w:val="24"/>
        </w:rPr>
        <w:t xml:space="preserve">2001 </w:t>
      </w:r>
      <w:r w:rsidR="002C0D81" w:rsidRPr="00066D43">
        <w:rPr>
          <w:rFonts w:ascii="Times New Roman" w:hAnsi="Times New Roman" w:cs="Times New Roman"/>
          <w:sz w:val="24"/>
          <w:szCs w:val="24"/>
        </w:rPr>
        <w:t>(</w:t>
      </w:r>
      <w:r w:rsidRPr="00066D43">
        <w:rPr>
          <w:rFonts w:ascii="Times New Roman" w:hAnsi="Times New Roman" w:cs="Times New Roman"/>
          <w:bCs/>
          <w:sz w:val="24"/>
          <w:szCs w:val="24"/>
        </w:rPr>
        <w:t>sunsetting</w:t>
      </w:r>
      <w:r w:rsidRPr="00066D43">
        <w:rPr>
          <w:rFonts w:ascii="Times New Roman" w:hAnsi="Times New Roman" w:cs="Times New Roman"/>
          <w:b/>
          <w:bCs/>
          <w:sz w:val="24"/>
          <w:szCs w:val="24"/>
        </w:rPr>
        <w:t xml:space="preserve"> </w:t>
      </w:r>
      <w:r w:rsidRPr="00066D43">
        <w:rPr>
          <w:rFonts w:ascii="Times New Roman" w:hAnsi="Times New Roman" w:cs="Times New Roman"/>
          <w:bCs/>
          <w:sz w:val="24"/>
          <w:szCs w:val="24"/>
        </w:rPr>
        <w:t>Regulations</w:t>
      </w:r>
      <w:r w:rsidRPr="00066D43">
        <w:rPr>
          <w:rFonts w:ascii="Times New Roman" w:hAnsi="Times New Roman" w:cs="Times New Roman"/>
          <w:sz w:val="24"/>
          <w:szCs w:val="24"/>
        </w:rPr>
        <w:t>).</w:t>
      </w:r>
    </w:p>
    <w:p w14:paraId="28866C2C" w14:textId="77777777" w:rsidR="00D55C8D" w:rsidRPr="00066D43" w:rsidRDefault="00D55C8D" w:rsidP="00D55C8D">
      <w:pPr>
        <w:rPr>
          <w:rFonts w:ascii="Times New Roman" w:hAnsi="Times New Roman" w:cs="Times New Roman"/>
          <w:sz w:val="24"/>
          <w:szCs w:val="24"/>
          <w:u w:val="single"/>
        </w:rPr>
      </w:pPr>
      <w:r w:rsidRPr="00066D43">
        <w:rPr>
          <w:rFonts w:ascii="Times New Roman" w:hAnsi="Times New Roman" w:cs="Times New Roman"/>
          <w:sz w:val="24"/>
          <w:szCs w:val="24"/>
          <w:u w:val="single"/>
        </w:rPr>
        <w:t>Purpose and Operation</w:t>
      </w:r>
    </w:p>
    <w:p w14:paraId="47F0A80E" w14:textId="3AD3659F" w:rsidR="00646F21" w:rsidRPr="00E20415" w:rsidRDefault="00646F21" w:rsidP="00646F21">
      <w:pPr>
        <w:rPr>
          <w:rFonts w:ascii="Times New Roman" w:hAnsi="Times New Roman" w:cs="Times New Roman"/>
          <w:iCs/>
          <w:sz w:val="24"/>
          <w:szCs w:val="24"/>
        </w:rPr>
      </w:pPr>
      <w:r w:rsidRPr="00E20415">
        <w:rPr>
          <w:rFonts w:ascii="Times New Roman" w:hAnsi="Times New Roman" w:cs="Times New Roman"/>
          <w:iCs/>
          <w:sz w:val="24"/>
          <w:szCs w:val="24"/>
        </w:rPr>
        <w:t>The Regulations relate to</w:t>
      </w:r>
      <w:r w:rsidR="00B017E5">
        <w:rPr>
          <w:rFonts w:ascii="Times New Roman" w:hAnsi="Times New Roman" w:cs="Times New Roman"/>
          <w:iCs/>
          <w:sz w:val="24"/>
          <w:szCs w:val="24"/>
        </w:rPr>
        <w:t xml:space="preserve"> exemptions to, and</w:t>
      </w:r>
      <w:r w:rsidRPr="00E20415">
        <w:rPr>
          <w:rFonts w:ascii="Times New Roman" w:hAnsi="Times New Roman" w:cs="Times New Roman"/>
          <w:iCs/>
          <w:sz w:val="24"/>
          <w:szCs w:val="24"/>
        </w:rPr>
        <w:t xml:space="preserve"> </w:t>
      </w:r>
      <w:r w:rsidR="005F6BCD" w:rsidRPr="00E20415">
        <w:rPr>
          <w:rFonts w:ascii="Times New Roman" w:hAnsi="Times New Roman" w:cs="Times New Roman"/>
          <w:iCs/>
          <w:sz w:val="24"/>
          <w:szCs w:val="24"/>
        </w:rPr>
        <w:t>the arbitration of disputes</w:t>
      </w:r>
      <w:r w:rsidR="00B017E5">
        <w:rPr>
          <w:rFonts w:ascii="Times New Roman" w:hAnsi="Times New Roman" w:cs="Times New Roman"/>
          <w:iCs/>
          <w:sz w:val="24"/>
          <w:szCs w:val="24"/>
        </w:rPr>
        <w:t xml:space="preserve"> </w:t>
      </w:r>
      <w:r w:rsidR="00B017E5" w:rsidRPr="00E20415">
        <w:rPr>
          <w:rFonts w:ascii="Times New Roman" w:hAnsi="Times New Roman" w:cs="Times New Roman"/>
          <w:iCs/>
          <w:sz w:val="24"/>
          <w:szCs w:val="24"/>
        </w:rPr>
        <w:t>by the Australian Competition and Consumer Commission (the ACCC)</w:t>
      </w:r>
      <w:r w:rsidR="005F79C5">
        <w:rPr>
          <w:rFonts w:ascii="Times New Roman" w:hAnsi="Times New Roman" w:cs="Times New Roman"/>
          <w:iCs/>
          <w:sz w:val="24"/>
          <w:szCs w:val="24"/>
        </w:rPr>
        <w:t xml:space="preserve"> </w:t>
      </w:r>
      <w:r w:rsidR="00B017E5">
        <w:rPr>
          <w:rFonts w:ascii="Times New Roman" w:hAnsi="Times New Roman" w:cs="Times New Roman"/>
          <w:iCs/>
          <w:sz w:val="24"/>
          <w:szCs w:val="24"/>
        </w:rPr>
        <w:t>in relation to, access to broadcasting transmission towers and designated associated facilities</w:t>
      </w:r>
      <w:r w:rsidR="005F6BCD" w:rsidRPr="00E20415">
        <w:rPr>
          <w:rFonts w:ascii="Times New Roman" w:hAnsi="Times New Roman" w:cs="Times New Roman"/>
          <w:iCs/>
          <w:sz w:val="24"/>
          <w:szCs w:val="24"/>
        </w:rPr>
        <w:t xml:space="preserve"> under </w:t>
      </w:r>
      <w:r w:rsidRPr="00E20415">
        <w:rPr>
          <w:rFonts w:ascii="Times New Roman" w:hAnsi="Times New Roman" w:cs="Times New Roman"/>
          <w:iCs/>
          <w:sz w:val="24"/>
          <w:szCs w:val="24"/>
        </w:rPr>
        <w:t xml:space="preserve">various provisions within the </w:t>
      </w:r>
      <w:r w:rsidR="005E2288">
        <w:rPr>
          <w:rFonts w:ascii="Times New Roman" w:hAnsi="Times New Roman" w:cs="Times New Roman"/>
          <w:iCs/>
          <w:sz w:val="24"/>
          <w:szCs w:val="24"/>
        </w:rPr>
        <w:t>Act</w:t>
      </w:r>
      <w:r w:rsidRPr="00E20415">
        <w:rPr>
          <w:rFonts w:ascii="Times New Roman" w:hAnsi="Times New Roman" w:cs="Times New Roman"/>
          <w:iCs/>
          <w:sz w:val="24"/>
          <w:szCs w:val="24"/>
        </w:rPr>
        <w:t>. These provisions are:</w:t>
      </w:r>
    </w:p>
    <w:p w14:paraId="1F41558D" w14:textId="441F0885" w:rsidR="00646F21" w:rsidRPr="007B3BF2" w:rsidRDefault="007B3BF2" w:rsidP="007B3BF2">
      <w:pPr>
        <w:ind w:left="567" w:hanging="556"/>
        <w:rPr>
          <w:rFonts w:ascii="Times New Roman" w:hAnsi="Times New Roman"/>
          <w:iCs/>
          <w:sz w:val="24"/>
          <w:szCs w:val="24"/>
        </w:rPr>
      </w:pPr>
      <w:r w:rsidRPr="007B3BF2">
        <w:rPr>
          <w:rFonts w:ascii="Times New Roman" w:hAnsi="Times New Roman" w:cs="Times New Roman"/>
          <w:iCs/>
          <w:sz w:val="24"/>
          <w:szCs w:val="24"/>
        </w:rPr>
        <w:t>(a</w:t>
      </w:r>
      <w:r>
        <w:rPr>
          <w:rFonts w:ascii="Times New Roman" w:hAnsi="Times New Roman"/>
          <w:iCs/>
          <w:sz w:val="24"/>
          <w:szCs w:val="24"/>
        </w:rPr>
        <w:t>)</w:t>
      </w:r>
      <w:r>
        <w:rPr>
          <w:rFonts w:ascii="Times New Roman" w:hAnsi="Times New Roman"/>
          <w:iCs/>
          <w:sz w:val="24"/>
          <w:szCs w:val="24"/>
        </w:rPr>
        <w:tab/>
      </w:r>
      <w:r w:rsidRPr="00736F0F">
        <w:rPr>
          <w:rFonts w:ascii="Times New Roman" w:hAnsi="Times New Roman"/>
          <w:b/>
          <w:iCs/>
          <w:sz w:val="24"/>
          <w:szCs w:val="24"/>
        </w:rPr>
        <w:t>C</w:t>
      </w:r>
      <w:r w:rsidR="00B017E5" w:rsidRPr="007B3BF2">
        <w:rPr>
          <w:rFonts w:ascii="Times New Roman" w:hAnsi="Times New Roman"/>
          <w:b/>
          <w:iCs/>
          <w:sz w:val="24"/>
          <w:szCs w:val="24"/>
        </w:rPr>
        <w:t>laus</w:t>
      </w:r>
      <w:r w:rsidR="00C62CF5">
        <w:rPr>
          <w:rFonts w:ascii="Times New Roman" w:hAnsi="Times New Roman"/>
          <w:b/>
          <w:iCs/>
          <w:sz w:val="24"/>
          <w:szCs w:val="24"/>
        </w:rPr>
        <w:t>e 45A, Part 5 of Schedule 4</w:t>
      </w:r>
      <w:r w:rsidR="00B017E5" w:rsidRPr="007B3BF2">
        <w:rPr>
          <w:rFonts w:ascii="Times New Roman" w:hAnsi="Times New Roman"/>
          <w:b/>
          <w:iCs/>
          <w:sz w:val="24"/>
          <w:szCs w:val="24"/>
        </w:rPr>
        <w:t>:</w:t>
      </w:r>
      <w:r w:rsidR="00B017E5" w:rsidRPr="007B3BF2">
        <w:rPr>
          <w:rFonts w:ascii="Times New Roman" w:hAnsi="Times New Roman"/>
          <w:iCs/>
          <w:sz w:val="24"/>
          <w:szCs w:val="24"/>
        </w:rPr>
        <w:t xml:space="preserve"> </w:t>
      </w:r>
      <w:r w:rsidRPr="007B3BF2">
        <w:rPr>
          <w:rFonts w:ascii="Times New Roman" w:hAnsi="Times New Roman"/>
          <w:iCs/>
          <w:sz w:val="24"/>
          <w:szCs w:val="24"/>
        </w:rPr>
        <w:t>this clause applies to designated associated facilities that are situated on, at, in or under a broadcasting transmission tower or the site on which a broadcasting transmission tower is situated. Subclauses (2) and (4) require the owner or operator of a designated associated facility, upon request, to grant access to a commercial television broadcasting licensee or a national broadcaster, or to grant access to a datacaster, respectively.</w:t>
      </w:r>
    </w:p>
    <w:p w14:paraId="4594B978" w14:textId="7D9D0E88" w:rsidR="007B3BF2" w:rsidRDefault="00C62CF5" w:rsidP="00C62CF5">
      <w:pPr>
        <w:ind w:left="567"/>
        <w:rPr>
          <w:rFonts w:ascii="Times New Roman" w:hAnsi="Times New Roman"/>
          <w:iCs/>
          <w:sz w:val="24"/>
          <w:szCs w:val="24"/>
        </w:rPr>
      </w:pPr>
      <w:r w:rsidRPr="00C62CF5">
        <w:rPr>
          <w:rFonts w:ascii="Times New Roman" w:hAnsi="Times New Roman"/>
          <w:iCs/>
          <w:sz w:val="24"/>
          <w:szCs w:val="24"/>
        </w:rPr>
        <w:t xml:space="preserve">Subclause </w:t>
      </w:r>
      <w:r>
        <w:rPr>
          <w:rFonts w:ascii="Times New Roman" w:hAnsi="Times New Roman"/>
          <w:iCs/>
          <w:sz w:val="24"/>
          <w:szCs w:val="24"/>
        </w:rPr>
        <w:t>(9) provides for the Regulations to incorporate exemptions to subclauses (2) and (4). Part 2 of the Regulations set out exemptions to the access requirements incumbent upon owners and operators of designated associated facilities.</w:t>
      </w:r>
    </w:p>
    <w:p w14:paraId="47DBCBD0" w14:textId="77777777" w:rsidR="009A575F" w:rsidRDefault="00C62CF5" w:rsidP="00C87463">
      <w:pPr>
        <w:tabs>
          <w:tab w:val="left" w:pos="567"/>
        </w:tabs>
        <w:ind w:left="567" w:hanging="567"/>
        <w:rPr>
          <w:rFonts w:ascii="Times New Roman" w:hAnsi="Times New Roman"/>
          <w:iCs/>
          <w:sz w:val="24"/>
          <w:szCs w:val="24"/>
        </w:rPr>
      </w:pPr>
      <w:r>
        <w:rPr>
          <w:rFonts w:ascii="Times New Roman" w:hAnsi="Times New Roman"/>
          <w:iCs/>
          <w:sz w:val="24"/>
          <w:szCs w:val="24"/>
        </w:rPr>
        <w:t>(b)</w:t>
      </w:r>
      <w:r>
        <w:rPr>
          <w:rFonts w:ascii="Times New Roman" w:hAnsi="Times New Roman"/>
          <w:iCs/>
          <w:sz w:val="24"/>
          <w:szCs w:val="24"/>
        </w:rPr>
        <w:tab/>
      </w:r>
      <w:r>
        <w:rPr>
          <w:rFonts w:ascii="Times New Roman" w:hAnsi="Times New Roman"/>
          <w:b/>
          <w:iCs/>
          <w:sz w:val="24"/>
          <w:szCs w:val="24"/>
        </w:rPr>
        <w:t>Clause 47, Part 5 of Schedule 4:</w:t>
      </w:r>
      <w:r>
        <w:rPr>
          <w:rFonts w:ascii="Times New Roman" w:hAnsi="Times New Roman"/>
          <w:iCs/>
          <w:sz w:val="24"/>
          <w:szCs w:val="24"/>
        </w:rPr>
        <w:t xml:space="preserve"> </w:t>
      </w:r>
      <w:r w:rsidR="00C87463">
        <w:rPr>
          <w:rFonts w:ascii="Times New Roman" w:hAnsi="Times New Roman"/>
          <w:iCs/>
          <w:sz w:val="24"/>
          <w:szCs w:val="24"/>
        </w:rPr>
        <w:t>this clause provides that owners and operators of broadcasting transmission towers and designated associated facilities</w:t>
      </w:r>
      <w:r w:rsidR="00C87463" w:rsidRPr="00C87463">
        <w:rPr>
          <w:rFonts w:ascii="Times New Roman" w:hAnsi="Times New Roman"/>
          <w:iCs/>
          <w:sz w:val="24"/>
          <w:szCs w:val="24"/>
        </w:rPr>
        <w:t xml:space="preserve"> </w:t>
      </w:r>
      <w:r w:rsidR="00C87463">
        <w:rPr>
          <w:rFonts w:ascii="Times New Roman" w:hAnsi="Times New Roman"/>
          <w:iCs/>
          <w:sz w:val="24"/>
          <w:szCs w:val="24"/>
        </w:rPr>
        <w:t>must comply</w:t>
      </w:r>
      <w:r w:rsidR="009A575F">
        <w:rPr>
          <w:rFonts w:ascii="Times New Roman" w:hAnsi="Times New Roman"/>
          <w:iCs/>
          <w:sz w:val="24"/>
          <w:szCs w:val="24"/>
        </w:rPr>
        <w:t xml:space="preserve"> with the applicable clause of this Part 5 of Schedule 4 on such</w:t>
      </w:r>
      <w:r w:rsidR="00C87463">
        <w:rPr>
          <w:rFonts w:ascii="Times New Roman" w:hAnsi="Times New Roman"/>
          <w:iCs/>
          <w:sz w:val="24"/>
          <w:szCs w:val="24"/>
        </w:rPr>
        <w:t xml:space="preserve"> terms and conditions that </w:t>
      </w:r>
      <w:r w:rsidR="009A575F">
        <w:rPr>
          <w:rFonts w:ascii="Times New Roman" w:hAnsi="Times New Roman"/>
          <w:iCs/>
          <w:sz w:val="24"/>
          <w:szCs w:val="24"/>
        </w:rPr>
        <w:t>are agreed between the owner or operator and the access seeker</w:t>
      </w:r>
      <w:r w:rsidR="00C87463">
        <w:rPr>
          <w:rFonts w:ascii="Times New Roman" w:hAnsi="Times New Roman"/>
          <w:iCs/>
          <w:sz w:val="24"/>
          <w:szCs w:val="24"/>
        </w:rPr>
        <w:t xml:space="preserve"> in relation to access to </w:t>
      </w:r>
      <w:r w:rsidR="00C87463">
        <w:rPr>
          <w:rFonts w:ascii="Times New Roman" w:hAnsi="Times New Roman"/>
          <w:iCs/>
          <w:sz w:val="24"/>
          <w:szCs w:val="24"/>
        </w:rPr>
        <w:lastRenderedPageBreak/>
        <w:t xml:space="preserve">broadcasting transmission towers (clause 45), designated associated facilities (clause 45A) and </w:t>
      </w:r>
      <w:r w:rsidR="009A575F">
        <w:rPr>
          <w:rFonts w:ascii="Times New Roman" w:hAnsi="Times New Roman"/>
          <w:iCs/>
          <w:sz w:val="24"/>
          <w:szCs w:val="24"/>
        </w:rPr>
        <w:t>sites (clause 46). Failing agreement by the parties, the terms and conditions are to be determined by an arbitrator appointed by the parties.</w:t>
      </w:r>
    </w:p>
    <w:p w14:paraId="0D43687A" w14:textId="138A55B0" w:rsidR="00C62CF5" w:rsidRDefault="009A575F" w:rsidP="009A575F">
      <w:pPr>
        <w:tabs>
          <w:tab w:val="left" w:pos="567"/>
        </w:tabs>
        <w:ind w:left="567"/>
        <w:rPr>
          <w:rFonts w:ascii="Times New Roman" w:hAnsi="Times New Roman"/>
          <w:iCs/>
          <w:sz w:val="24"/>
          <w:szCs w:val="24"/>
        </w:rPr>
      </w:pPr>
      <w:r>
        <w:rPr>
          <w:rFonts w:ascii="Times New Roman" w:hAnsi="Times New Roman"/>
          <w:iCs/>
          <w:sz w:val="24"/>
          <w:szCs w:val="24"/>
        </w:rPr>
        <w:t xml:space="preserve">If the parties cannot agree on the appointment of an arbitrator, the ACCC will be the arbitrator. Subclause (3) provides that the </w:t>
      </w:r>
      <w:r w:rsidR="001E7673">
        <w:rPr>
          <w:rFonts w:ascii="Times New Roman" w:hAnsi="Times New Roman"/>
          <w:iCs/>
          <w:sz w:val="24"/>
          <w:szCs w:val="24"/>
        </w:rPr>
        <w:t>R</w:t>
      </w:r>
      <w:r>
        <w:rPr>
          <w:rFonts w:ascii="Times New Roman" w:hAnsi="Times New Roman"/>
          <w:iCs/>
          <w:sz w:val="24"/>
          <w:szCs w:val="24"/>
        </w:rPr>
        <w:t>egulations may make provision for and in relation to the conduct of an arbitration for the purposes of this clause. Part 3 of the Regulations sets out how an arbitration is to be conducted for the purposes of subclause 47(3).</w:t>
      </w:r>
    </w:p>
    <w:p w14:paraId="449B6C3D" w14:textId="2C08E995" w:rsidR="008A0ADA" w:rsidRDefault="001E45E5" w:rsidP="001E45E5">
      <w:pPr>
        <w:tabs>
          <w:tab w:val="left" w:pos="0"/>
        </w:tabs>
        <w:rPr>
          <w:rFonts w:ascii="Times New Roman" w:hAnsi="Times New Roman"/>
          <w:iCs/>
          <w:sz w:val="24"/>
          <w:szCs w:val="24"/>
        </w:rPr>
      </w:pPr>
      <w:r>
        <w:rPr>
          <w:rFonts w:ascii="Times New Roman" w:hAnsi="Times New Roman"/>
          <w:iCs/>
          <w:sz w:val="24"/>
          <w:szCs w:val="24"/>
        </w:rPr>
        <w:t xml:space="preserve">Following a review of the sunsetting </w:t>
      </w:r>
      <w:r w:rsidR="002C0D81">
        <w:rPr>
          <w:rFonts w:ascii="Times New Roman" w:hAnsi="Times New Roman"/>
          <w:iCs/>
          <w:sz w:val="24"/>
          <w:szCs w:val="24"/>
        </w:rPr>
        <w:t>Regulations</w:t>
      </w:r>
      <w:r>
        <w:rPr>
          <w:rFonts w:ascii="Times New Roman" w:hAnsi="Times New Roman"/>
          <w:iCs/>
          <w:sz w:val="24"/>
          <w:szCs w:val="24"/>
        </w:rPr>
        <w:t xml:space="preserve">, and after consultation with the ACCC and key industry stakeholders, the Government has determined that the aim of the Regulations to provide industry with a </w:t>
      </w:r>
      <w:r w:rsidR="00064953">
        <w:rPr>
          <w:rFonts w:ascii="Times New Roman" w:hAnsi="Times New Roman"/>
          <w:iCs/>
          <w:sz w:val="24"/>
          <w:szCs w:val="24"/>
        </w:rPr>
        <w:t>‘</w:t>
      </w:r>
      <w:r>
        <w:rPr>
          <w:rFonts w:ascii="Times New Roman" w:hAnsi="Times New Roman"/>
          <w:iCs/>
          <w:sz w:val="24"/>
          <w:szCs w:val="24"/>
        </w:rPr>
        <w:t>safety net</w:t>
      </w:r>
      <w:r w:rsidR="00064953">
        <w:rPr>
          <w:rFonts w:ascii="Times New Roman" w:hAnsi="Times New Roman"/>
          <w:iCs/>
          <w:sz w:val="24"/>
          <w:szCs w:val="24"/>
        </w:rPr>
        <w:t>’ or arbitrator of last resort</w:t>
      </w:r>
      <w:r>
        <w:rPr>
          <w:rFonts w:ascii="Times New Roman" w:hAnsi="Times New Roman"/>
          <w:iCs/>
          <w:sz w:val="24"/>
          <w:szCs w:val="24"/>
        </w:rPr>
        <w:t xml:space="preserve"> when faced with disputes about the terms and conditions for access to specified facilities and services.  Industry stakeholders also note that the Regulations provide a </w:t>
      </w:r>
      <w:r w:rsidR="002C0D81">
        <w:rPr>
          <w:rFonts w:ascii="Times New Roman" w:hAnsi="Times New Roman"/>
          <w:iCs/>
          <w:sz w:val="24"/>
          <w:szCs w:val="24"/>
        </w:rPr>
        <w:t>significant</w:t>
      </w:r>
      <w:r>
        <w:rPr>
          <w:rFonts w:ascii="Times New Roman" w:hAnsi="Times New Roman"/>
          <w:iCs/>
          <w:sz w:val="24"/>
          <w:szCs w:val="24"/>
        </w:rPr>
        <w:t xml:space="preserve"> degree of clarity and certainty for industry when the ACCC is conducting arbitrations.  The exemptions to access to designated associated facilities provisions also gave certainty to the industry stakeholders that access would be in a fair and just manner and not overly impact the ongoing commercial operations of their business.  This included ensuring that the key telecommunications objective of maintaining the integrity of telecommunications network and the key broadcasting objective of continuity of service.</w:t>
      </w:r>
    </w:p>
    <w:p w14:paraId="3D05EA00" w14:textId="1A12E892" w:rsidR="001E45E5" w:rsidRDefault="008A0ADA" w:rsidP="001E45E5">
      <w:pPr>
        <w:tabs>
          <w:tab w:val="left" w:pos="0"/>
        </w:tabs>
        <w:rPr>
          <w:rFonts w:ascii="Times New Roman" w:hAnsi="Times New Roman"/>
          <w:iCs/>
          <w:sz w:val="24"/>
          <w:szCs w:val="24"/>
        </w:rPr>
      </w:pPr>
      <w:r>
        <w:rPr>
          <w:rFonts w:ascii="Times New Roman" w:hAnsi="Times New Roman"/>
          <w:iCs/>
          <w:sz w:val="24"/>
          <w:szCs w:val="24"/>
        </w:rPr>
        <w:t xml:space="preserve">While the Regulations are in place for ten years and are considered fit-for purpose, it is recognised that evolving transmission facilities and services could result in a review of the </w:t>
      </w:r>
      <w:r w:rsidR="002C0D81">
        <w:rPr>
          <w:rFonts w:ascii="Times New Roman" w:hAnsi="Times New Roman"/>
          <w:iCs/>
          <w:sz w:val="24"/>
          <w:szCs w:val="24"/>
        </w:rPr>
        <w:t>definitions</w:t>
      </w:r>
      <w:r>
        <w:rPr>
          <w:rFonts w:ascii="Times New Roman" w:hAnsi="Times New Roman"/>
          <w:iCs/>
          <w:sz w:val="24"/>
          <w:szCs w:val="24"/>
        </w:rPr>
        <w:t xml:space="preserve"> of transmission and facility terms before that time.        </w:t>
      </w:r>
      <w:r w:rsidR="001E45E5">
        <w:rPr>
          <w:rFonts w:ascii="Times New Roman" w:hAnsi="Times New Roman"/>
          <w:iCs/>
          <w:sz w:val="24"/>
          <w:szCs w:val="24"/>
        </w:rPr>
        <w:t xml:space="preserve">        </w:t>
      </w:r>
    </w:p>
    <w:p w14:paraId="0E5C1953" w14:textId="60FD3F93" w:rsidR="00095A7E" w:rsidRDefault="007C4B26" w:rsidP="00095A7E">
      <w:pPr>
        <w:spacing w:after="0" w:line="240" w:lineRule="auto"/>
        <w:ind w:right="91"/>
        <w:rPr>
          <w:rFonts w:ascii="Times New Roman" w:eastAsia="Times New Roman" w:hAnsi="Times New Roman" w:cs="Times New Roman"/>
          <w:sz w:val="24"/>
          <w:lang w:eastAsia="en-AU"/>
        </w:rPr>
      </w:pPr>
      <w:r w:rsidRPr="00066D43">
        <w:rPr>
          <w:rFonts w:ascii="Times New Roman" w:hAnsi="Times New Roman" w:cs="Times New Roman"/>
          <w:iCs/>
          <w:sz w:val="24"/>
          <w:szCs w:val="24"/>
        </w:rPr>
        <w:t xml:space="preserve">The Regulations </w:t>
      </w:r>
      <w:r w:rsidR="00646F21" w:rsidRPr="00646F21">
        <w:rPr>
          <w:rFonts w:ascii="Times New Roman" w:hAnsi="Times New Roman" w:cs="Times New Roman"/>
          <w:iCs/>
          <w:sz w:val="24"/>
          <w:szCs w:val="24"/>
        </w:rPr>
        <w:t xml:space="preserve">remake the </w:t>
      </w:r>
      <w:r w:rsidR="00637996">
        <w:rPr>
          <w:rFonts w:ascii="Times New Roman" w:hAnsi="Times New Roman" w:cs="Times New Roman"/>
          <w:iCs/>
          <w:sz w:val="24"/>
          <w:szCs w:val="24"/>
        </w:rPr>
        <w:t xml:space="preserve">sunsetting </w:t>
      </w:r>
      <w:r w:rsidR="00710798">
        <w:rPr>
          <w:rFonts w:ascii="Times New Roman" w:hAnsi="Times New Roman" w:cs="Times New Roman"/>
          <w:iCs/>
          <w:sz w:val="24"/>
          <w:szCs w:val="24"/>
        </w:rPr>
        <w:t>R</w:t>
      </w:r>
      <w:r w:rsidR="00646F21" w:rsidRPr="00646F21">
        <w:rPr>
          <w:rFonts w:ascii="Times New Roman" w:hAnsi="Times New Roman" w:cs="Times New Roman"/>
          <w:iCs/>
          <w:sz w:val="24"/>
          <w:szCs w:val="24"/>
        </w:rPr>
        <w:t xml:space="preserve">egulations with </w:t>
      </w:r>
      <w:r w:rsidR="0058252C">
        <w:rPr>
          <w:rFonts w:ascii="Times New Roman" w:hAnsi="Times New Roman" w:cs="Times New Roman"/>
          <w:iCs/>
          <w:sz w:val="24"/>
          <w:szCs w:val="24"/>
        </w:rPr>
        <w:t>u</w:t>
      </w:r>
      <w:r w:rsidR="00646F21" w:rsidRPr="00646F21">
        <w:rPr>
          <w:rFonts w:ascii="Times New Roman" w:hAnsi="Times New Roman" w:cs="Times New Roman"/>
          <w:iCs/>
          <w:sz w:val="24"/>
          <w:szCs w:val="24"/>
        </w:rPr>
        <w:t>pdate</w:t>
      </w:r>
      <w:r w:rsidR="0058252C">
        <w:rPr>
          <w:rFonts w:ascii="Times New Roman" w:hAnsi="Times New Roman" w:cs="Times New Roman"/>
          <w:iCs/>
          <w:sz w:val="24"/>
          <w:szCs w:val="24"/>
        </w:rPr>
        <w:t>s to</w:t>
      </w:r>
      <w:r w:rsidR="00646F21" w:rsidRPr="00646F21">
        <w:rPr>
          <w:rFonts w:ascii="Times New Roman" w:hAnsi="Times New Roman" w:cs="Times New Roman"/>
          <w:iCs/>
          <w:sz w:val="24"/>
          <w:szCs w:val="24"/>
        </w:rPr>
        <w:t xml:space="preserve"> the drafting style and</w:t>
      </w:r>
      <w:r w:rsidR="00095A7E">
        <w:rPr>
          <w:rFonts w:ascii="Times New Roman" w:hAnsi="Times New Roman" w:cs="Times New Roman"/>
          <w:iCs/>
          <w:sz w:val="24"/>
          <w:szCs w:val="24"/>
        </w:rPr>
        <w:t xml:space="preserve"> </w:t>
      </w:r>
      <w:r w:rsidR="00646F21" w:rsidRPr="00646F21">
        <w:rPr>
          <w:rFonts w:ascii="Times New Roman" w:hAnsi="Times New Roman" w:cs="Times New Roman"/>
          <w:iCs/>
          <w:sz w:val="24"/>
          <w:szCs w:val="24"/>
        </w:rPr>
        <w:t xml:space="preserve">  </w:t>
      </w:r>
      <w:r w:rsidR="00095A7E">
        <w:rPr>
          <w:rFonts w:ascii="Times New Roman" w:hAnsi="Times New Roman" w:cs="Times New Roman"/>
          <w:iCs/>
          <w:sz w:val="24"/>
          <w:szCs w:val="24"/>
        </w:rPr>
        <w:t xml:space="preserve">five </w:t>
      </w:r>
      <w:r w:rsidR="00646F21" w:rsidRPr="00646F21">
        <w:rPr>
          <w:rFonts w:ascii="Times New Roman" w:hAnsi="Times New Roman" w:cs="Times New Roman"/>
          <w:iCs/>
          <w:sz w:val="24"/>
          <w:szCs w:val="24"/>
        </w:rPr>
        <w:t>changes</w:t>
      </w:r>
      <w:r w:rsidR="00095A7E">
        <w:rPr>
          <w:rFonts w:ascii="Times New Roman" w:hAnsi="Times New Roman" w:cs="Times New Roman"/>
          <w:iCs/>
          <w:sz w:val="24"/>
          <w:szCs w:val="24"/>
        </w:rPr>
        <w:t xml:space="preserve"> of note to </w:t>
      </w:r>
      <w:r w:rsidR="00095A7E">
        <w:rPr>
          <w:rFonts w:ascii="Times New Roman" w:eastAsia="Times New Roman" w:hAnsi="Times New Roman" w:cs="Times New Roman"/>
          <w:sz w:val="24"/>
          <w:lang w:eastAsia="en-AU"/>
        </w:rPr>
        <w:t xml:space="preserve">ensure the arbitration process is streamlined and consistent </w:t>
      </w:r>
      <w:r w:rsidR="001E45E5">
        <w:rPr>
          <w:rFonts w:ascii="Times New Roman" w:eastAsia="Times New Roman" w:hAnsi="Times New Roman" w:cs="Times New Roman"/>
          <w:sz w:val="24"/>
          <w:lang w:eastAsia="en-AU"/>
        </w:rPr>
        <w:t xml:space="preserve">and aligned </w:t>
      </w:r>
      <w:r w:rsidR="00095A7E">
        <w:rPr>
          <w:rFonts w:ascii="Times New Roman" w:eastAsia="Times New Roman" w:hAnsi="Times New Roman" w:cs="Times New Roman"/>
          <w:sz w:val="24"/>
          <w:lang w:eastAsia="en-AU"/>
        </w:rPr>
        <w:t xml:space="preserve">with other ACCC access arbitration regimes: </w:t>
      </w:r>
    </w:p>
    <w:p w14:paraId="7E443A59" w14:textId="77777777" w:rsidR="00095A7E" w:rsidRDefault="00095A7E" w:rsidP="00095A7E">
      <w:pPr>
        <w:spacing w:after="0" w:line="240" w:lineRule="auto"/>
        <w:ind w:right="91"/>
        <w:rPr>
          <w:rFonts w:ascii="Times New Roman" w:eastAsia="Times New Roman" w:hAnsi="Times New Roman" w:cs="Times New Roman"/>
          <w:sz w:val="24"/>
          <w:lang w:eastAsia="en-AU"/>
        </w:rPr>
      </w:pPr>
    </w:p>
    <w:p w14:paraId="1A7F6730" w14:textId="77777777" w:rsidR="00095A7E" w:rsidRPr="002C2B06" w:rsidRDefault="00095A7E" w:rsidP="00095A7E">
      <w:pPr>
        <w:pStyle w:val="ListParagraph"/>
        <w:numPr>
          <w:ilvl w:val="0"/>
          <w:numId w:val="23"/>
        </w:numPr>
        <w:spacing w:after="0" w:line="240" w:lineRule="auto"/>
        <w:ind w:right="91"/>
        <w:rPr>
          <w:rFonts w:ascii="Times New Roman" w:hAnsi="Times New Roman"/>
          <w:i/>
          <w:color w:val="auto"/>
          <w:sz w:val="24"/>
        </w:rPr>
      </w:pPr>
      <w:r>
        <w:rPr>
          <w:rFonts w:ascii="Times New Roman" w:hAnsi="Times New Roman"/>
          <w:color w:val="auto"/>
          <w:sz w:val="24"/>
        </w:rPr>
        <w:t xml:space="preserve">Provide for the parties in an arbitration to provide information on the dispute and any other information or evidence requested by the ACCC, and for the ACCC to make a decision on this basis (i.e. ‘on the papers’), rather than having to determine each case after a potentially lengthy and expensive hearing; </w:t>
      </w:r>
    </w:p>
    <w:p w14:paraId="24A663D9" w14:textId="77777777" w:rsidR="00095A7E" w:rsidRPr="002C2B06" w:rsidRDefault="00095A7E" w:rsidP="00095A7E">
      <w:pPr>
        <w:pStyle w:val="ListParagraph"/>
        <w:numPr>
          <w:ilvl w:val="0"/>
          <w:numId w:val="23"/>
        </w:numPr>
        <w:spacing w:after="0" w:line="240" w:lineRule="auto"/>
        <w:ind w:right="91"/>
        <w:rPr>
          <w:rFonts w:ascii="Times New Roman" w:hAnsi="Times New Roman"/>
          <w:i/>
          <w:color w:val="auto"/>
          <w:sz w:val="24"/>
        </w:rPr>
      </w:pPr>
      <w:r>
        <w:rPr>
          <w:rFonts w:ascii="Times New Roman" w:hAnsi="Times New Roman"/>
          <w:color w:val="auto"/>
          <w:sz w:val="24"/>
        </w:rPr>
        <w:t xml:space="preserve">Provide for the ACCC to conduct joint arbitrations, which could lead to faster decisions where a number of access providers and access seekers are involved in a dispute about a single issue; </w:t>
      </w:r>
    </w:p>
    <w:p w14:paraId="1E513348" w14:textId="6B5E120E" w:rsidR="00095A7E" w:rsidRDefault="00095A7E" w:rsidP="006F7EA5">
      <w:pPr>
        <w:pStyle w:val="ListParagraph"/>
        <w:numPr>
          <w:ilvl w:val="0"/>
          <w:numId w:val="23"/>
        </w:numPr>
        <w:spacing w:after="0" w:line="240" w:lineRule="auto"/>
        <w:ind w:right="91"/>
        <w:rPr>
          <w:rFonts w:ascii="Times New Roman" w:hAnsi="Times New Roman"/>
          <w:color w:val="auto"/>
          <w:sz w:val="24"/>
        </w:rPr>
      </w:pPr>
      <w:r>
        <w:rPr>
          <w:rFonts w:ascii="Times New Roman" w:hAnsi="Times New Roman"/>
          <w:color w:val="auto"/>
          <w:sz w:val="24"/>
        </w:rPr>
        <w:t>Realign the offences and penalty scheme to</w:t>
      </w:r>
      <w:r w:rsidRPr="0080654B">
        <w:rPr>
          <w:rFonts w:ascii="Times New Roman" w:hAnsi="Times New Roman"/>
          <w:color w:val="auto"/>
          <w:sz w:val="24"/>
        </w:rPr>
        <w:t xml:space="preserve"> make some offences strict liability offences </w:t>
      </w:r>
      <w:r>
        <w:rPr>
          <w:rFonts w:ascii="Times New Roman" w:hAnsi="Times New Roman"/>
          <w:color w:val="auto"/>
          <w:sz w:val="24"/>
        </w:rPr>
        <w:t xml:space="preserve">(including contravention of a direction, failure to comply with a notice to give information or produce documents relevant to an arbitration, and offences by witnesses failing to appear, answer questions or produce documents) and reduce all </w:t>
      </w:r>
      <w:r w:rsidR="005E2288">
        <w:rPr>
          <w:rFonts w:ascii="Times New Roman" w:hAnsi="Times New Roman"/>
          <w:color w:val="auto"/>
          <w:sz w:val="24"/>
        </w:rPr>
        <w:t xml:space="preserve">relevant </w:t>
      </w:r>
      <w:r>
        <w:rPr>
          <w:rFonts w:ascii="Times New Roman" w:hAnsi="Times New Roman"/>
          <w:color w:val="auto"/>
          <w:sz w:val="24"/>
        </w:rPr>
        <w:t xml:space="preserve">penalties to 10 units.  This aligns the offences regime with both departmental regulations and other ACCC arbitration processes, with a more streamlined procedure with reduced, consistent penalties. </w:t>
      </w:r>
    </w:p>
    <w:p w14:paraId="2C291485" w14:textId="59C03901" w:rsidR="00095A7E" w:rsidRDefault="00095A7E" w:rsidP="009F6136">
      <w:pPr>
        <w:pStyle w:val="ListParagraph"/>
        <w:numPr>
          <w:ilvl w:val="0"/>
          <w:numId w:val="23"/>
        </w:numPr>
        <w:spacing w:after="0" w:line="240" w:lineRule="auto"/>
        <w:ind w:right="91"/>
        <w:rPr>
          <w:rFonts w:ascii="Times New Roman" w:hAnsi="Times New Roman"/>
          <w:color w:val="auto"/>
          <w:sz w:val="24"/>
        </w:rPr>
      </w:pPr>
      <w:r>
        <w:rPr>
          <w:rFonts w:ascii="Times New Roman" w:hAnsi="Times New Roman"/>
          <w:color w:val="auto"/>
          <w:sz w:val="24"/>
        </w:rPr>
        <w:t xml:space="preserve">Remove ‘reasonable excuse’ defences provided to defences relating to a witness.  Reasonable excuses defences in sections 152DE and 152DF of </w:t>
      </w:r>
      <w:r w:rsidRPr="0060683F">
        <w:rPr>
          <w:rFonts w:ascii="Times New Roman" w:hAnsi="Times New Roman"/>
          <w:color w:val="auto"/>
          <w:sz w:val="24"/>
        </w:rPr>
        <w:t>the</w:t>
      </w:r>
      <w:r w:rsidRPr="0060683F">
        <w:rPr>
          <w:rFonts w:ascii="Times New Roman" w:hAnsi="Times New Roman"/>
          <w:i/>
          <w:color w:val="auto"/>
          <w:sz w:val="24"/>
        </w:rPr>
        <w:t xml:space="preserve"> Competition and Consumer Act 2010</w:t>
      </w:r>
      <w:r>
        <w:rPr>
          <w:rFonts w:ascii="Times New Roman" w:hAnsi="Times New Roman"/>
          <w:color w:val="auto"/>
          <w:sz w:val="24"/>
        </w:rPr>
        <w:t xml:space="preserve"> (CCA) have been repealed, and are now redundant.  </w:t>
      </w:r>
      <w:r w:rsidR="00621781">
        <w:rPr>
          <w:rFonts w:ascii="Times New Roman" w:hAnsi="Times New Roman"/>
          <w:color w:val="auto"/>
          <w:sz w:val="24"/>
        </w:rPr>
        <w:t>N</w:t>
      </w:r>
      <w:r w:rsidR="006F7EA5" w:rsidRPr="006F7EA5">
        <w:rPr>
          <w:rFonts w:ascii="Times New Roman" w:hAnsi="Times New Roman"/>
          <w:color w:val="auto"/>
          <w:sz w:val="24"/>
        </w:rPr>
        <w:t xml:space="preserve">othing in </w:t>
      </w:r>
      <w:r w:rsidR="006F7EA5">
        <w:rPr>
          <w:rFonts w:ascii="Times New Roman" w:hAnsi="Times New Roman"/>
          <w:color w:val="auto"/>
          <w:sz w:val="24"/>
        </w:rPr>
        <w:t xml:space="preserve">any of the offence </w:t>
      </w:r>
      <w:r w:rsidR="006F7EA5" w:rsidRPr="006F7EA5">
        <w:rPr>
          <w:rFonts w:ascii="Times New Roman" w:hAnsi="Times New Roman"/>
          <w:color w:val="auto"/>
          <w:sz w:val="24"/>
        </w:rPr>
        <w:t>provision</w:t>
      </w:r>
      <w:r w:rsidR="006F7EA5">
        <w:rPr>
          <w:rFonts w:ascii="Times New Roman" w:hAnsi="Times New Roman"/>
          <w:color w:val="auto"/>
          <w:sz w:val="24"/>
        </w:rPr>
        <w:t>s</w:t>
      </w:r>
      <w:r w:rsidR="006F7EA5" w:rsidRPr="006F7EA5">
        <w:rPr>
          <w:rFonts w:ascii="Times New Roman" w:hAnsi="Times New Roman"/>
          <w:color w:val="auto"/>
          <w:sz w:val="24"/>
        </w:rPr>
        <w:t xml:space="preserve"> </w:t>
      </w:r>
      <w:r w:rsidR="006F7EA5">
        <w:rPr>
          <w:rFonts w:ascii="Times New Roman" w:hAnsi="Times New Roman"/>
          <w:color w:val="auto"/>
          <w:sz w:val="24"/>
        </w:rPr>
        <w:t xml:space="preserve">under these Regulations </w:t>
      </w:r>
      <w:r w:rsidR="006F7EA5" w:rsidRPr="006F7EA5">
        <w:rPr>
          <w:rFonts w:ascii="Times New Roman" w:hAnsi="Times New Roman"/>
          <w:color w:val="auto"/>
          <w:sz w:val="24"/>
        </w:rPr>
        <w:t>abrogate</w:t>
      </w:r>
      <w:r w:rsidR="00621781">
        <w:rPr>
          <w:rFonts w:ascii="Times New Roman" w:hAnsi="Times New Roman"/>
          <w:color w:val="auto"/>
          <w:sz w:val="24"/>
        </w:rPr>
        <w:t>s</w:t>
      </w:r>
      <w:r w:rsidR="006F7EA5" w:rsidRPr="006F7EA5">
        <w:rPr>
          <w:rFonts w:ascii="Times New Roman" w:hAnsi="Times New Roman"/>
          <w:color w:val="auto"/>
          <w:sz w:val="24"/>
        </w:rPr>
        <w:t xml:space="preserve"> the common law privilege against self-incrimination</w:t>
      </w:r>
      <w:r w:rsidR="009F6136" w:rsidRPr="009F6136">
        <w:t xml:space="preserve"> </w:t>
      </w:r>
      <w:r w:rsidR="009F6136">
        <w:rPr>
          <w:rFonts w:ascii="Times New Roman" w:hAnsi="Times New Roman"/>
          <w:color w:val="auto"/>
          <w:sz w:val="24"/>
        </w:rPr>
        <w:t xml:space="preserve">(the privilege </w:t>
      </w:r>
      <w:r w:rsidR="008C6E27">
        <w:rPr>
          <w:rFonts w:ascii="Times New Roman" w:hAnsi="Times New Roman"/>
          <w:color w:val="auto"/>
          <w:sz w:val="24"/>
        </w:rPr>
        <w:t xml:space="preserve">that </w:t>
      </w:r>
      <w:r w:rsidR="009F6136" w:rsidRPr="009F6136">
        <w:rPr>
          <w:rFonts w:ascii="Times New Roman" w:hAnsi="Times New Roman"/>
          <w:color w:val="auto"/>
          <w:sz w:val="24"/>
        </w:rPr>
        <w:t xml:space="preserve">entitles a person to refuse to answer any question, or produce any document, if the answer or the production </w:t>
      </w:r>
      <w:r w:rsidR="009F6136" w:rsidRPr="009F6136">
        <w:rPr>
          <w:rFonts w:ascii="Times New Roman" w:hAnsi="Times New Roman"/>
          <w:color w:val="auto"/>
          <w:sz w:val="24"/>
        </w:rPr>
        <w:lastRenderedPageBreak/>
        <w:t>would tend to incriminate that person</w:t>
      </w:r>
      <w:r w:rsidR="001B3397">
        <w:rPr>
          <w:rFonts w:ascii="Times New Roman" w:hAnsi="Times New Roman"/>
          <w:color w:val="auto"/>
          <w:sz w:val="24"/>
        </w:rPr>
        <w:t xml:space="preserve"> or expose them to penalty</w:t>
      </w:r>
      <w:r w:rsidR="009F6136">
        <w:rPr>
          <w:rFonts w:ascii="Times New Roman" w:hAnsi="Times New Roman"/>
          <w:color w:val="auto"/>
          <w:sz w:val="24"/>
        </w:rPr>
        <w:t xml:space="preserve">).  </w:t>
      </w:r>
      <w:r w:rsidR="00621781">
        <w:rPr>
          <w:rFonts w:ascii="Times New Roman" w:hAnsi="Times New Roman"/>
          <w:color w:val="auto"/>
          <w:sz w:val="24"/>
        </w:rPr>
        <w:t xml:space="preserve">The Regulations are drafted consistently with </w:t>
      </w:r>
      <w:r w:rsidR="00646DF6">
        <w:rPr>
          <w:rFonts w:ascii="Times New Roman" w:hAnsi="Times New Roman"/>
          <w:color w:val="auto"/>
          <w:sz w:val="24"/>
        </w:rPr>
        <w:t>this position</w:t>
      </w:r>
      <w:r w:rsidR="00996C95">
        <w:rPr>
          <w:rFonts w:ascii="Times New Roman" w:hAnsi="Times New Roman"/>
          <w:color w:val="auto"/>
          <w:sz w:val="24"/>
        </w:rPr>
        <w:t xml:space="preserve">. </w:t>
      </w:r>
      <w:r w:rsidR="009F6136">
        <w:rPr>
          <w:rFonts w:ascii="Times New Roman" w:hAnsi="Times New Roman"/>
          <w:color w:val="auto"/>
          <w:sz w:val="24"/>
        </w:rPr>
        <w:t xml:space="preserve">In addition to the privilege continuing to </w:t>
      </w:r>
      <w:r w:rsidR="004F37F9">
        <w:rPr>
          <w:rFonts w:ascii="Times New Roman" w:hAnsi="Times New Roman"/>
          <w:color w:val="auto"/>
          <w:sz w:val="24"/>
        </w:rPr>
        <w:t>apply</w:t>
      </w:r>
      <w:r w:rsidR="009F6136">
        <w:rPr>
          <w:rFonts w:ascii="Times New Roman" w:hAnsi="Times New Roman"/>
          <w:color w:val="auto"/>
          <w:sz w:val="24"/>
        </w:rPr>
        <w:t>, t</w:t>
      </w:r>
      <w:r>
        <w:rPr>
          <w:rFonts w:ascii="Times New Roman" w:hAnsi="Times New Roman"/>
          <w:color w:val="auto"/>
          <w:sz w:val="24"/>
        </w:rPr>
        <w:t xml:space="preserve">he general defences in Part 2.3 of the </w:t>
      </w:r>
      <w:r w:rsidRPr="009331F7">
        <w:rPr>
          <w:rFonts w:ascii="Times New Roman" w:hAnsi="Times New Roman"/>
          <w:i/>
          <w:color w:val="auto"/>
          <w:sz w:val="24"/>
        </w:rPr>
        <w:t>Criminal Code Act 1995</w:t>
      </w:r>
      <w:r>
        <w:rPr>
          <w:rFonts w:ascii="Times New Roman" w:hAnsi="Times New Roman"/>
          <w:color w:val="auto"/>
          <w:sz w:val="24"/>
        </w:rPr>
        <w:t xml:space="preserve"> would </w:t>
      </w:r>
      <w:r w:rsidR="00524262">
        <w:rPr>
          <w:rFonts w:ascii="Times New Roman" w:hAnsi="Times New Roman"/>
          <w:color w:val="auto"/>
          <w:sz w:val="24"/>
        </w:rPr>
        <w:t xml:space="preserve">also </w:t>
      </w:r>
      <w:r>
        <w:rPr>
          <w:rFonts w:ascii="Times New Roman" w:hAnsi="Times New Roman"/>
          <w:color w:val="auto"/>
          <w:sz w:val="24"/>
        </w:rPr>
        <w:t>be available to p</w:t>
      </w:r>
      <w:r w:rsidR="004F37F9">
        <w:rPr>
          <w:rFonts w:ascii="Times New Roman" w:hAnsi="Times New Roman"/>
          <w:color w:val="auto"/>
          <w:sz w:val="24"/>
        </w:rPr>
        <w:t>ersons</w:t>
      </w:r>
      <w:r>
        <w:rPr>
          <w:rFonts w:ascii="Times New Roman" w:hAnsi="Times New Roman"/>
          <w:color w:val="auto"/>
          <w:sz w:val="24"/>
        </w:rPr>
        <w:t xml:space="preserve">, where applicable. </w:t>
      </w:r>
    </w:p>
    <w:p w14:paraId="3F04F11B" w14:textId="487B7CD7" w:rsidR="00095A7E" w:rsidRDefault="00095A7E" w:rsidP="00095A7E">
      <w:pPr>
        <w:pStyle w:val="ListParagraph"/>
        <w:numPr>
          <w:ilvl w:val="0"/>
          <w:numId w:val="23"/>
        </w:numPr>
        <w:spacing w:after="0" w:line="240" w:lineRule="auto"/>
        <w:ind w:right="91"/>
        <w:rPr>
          <w:rFonts w:ascii="Times New Roman" w:hAnsi="Times New Roman"/>
          <w:color w:val="auto"/>
          <w:sz w:val="24"/>
        </w:rPr>
      </w:pPr>
      <w:r>
        <w:rPr>
          <w:rFonts w:ascii="Times New Roman" w:hAnsi="Times New Roman"/>
          <w:color w:val="auto"/>
          <w:sz w:val="24"/>
        </w:rPr>
        <w:t>Align and streamline the determination process including removing interim determination provisions to reflect consistency with modern ACCC arbitration processes</w:t>
      </w:r>
      <w:r w:rsidR="002C0D81">
        <w:rPr>
          <w:rFonts w:ascii="Times New Roman" w:hAnsi="Times New Roman"/>
          <w:color w:val="auto"/>
          <w:sz w:val="24"/>
        </w:rPr>
        <w:t>.</w:t>
      </w:r>
      <w:r>
        <w:rPr>
          <w:rFonts w:ascii="Times New Roman" w:hAnsi="Times New Roman"/>
          <w:color w:val="auto"/>
          <w:sz w:val="24"/>
        </w:rPr>
        <w:t xml:space="preserve">   </w:t>
      </w:r>
      <w:r w:rsidRPr="0080654B">
        <w:rPr>
          <w:rFonts w:ascii="Times New Roman" w:hAnsi="Times New Roman"/>
          <w:color w:val="auto"/>
          <w:sz w:val="24"/>
        </w:rPr>
        <w:t xml:space="preserve"> </w:t>
      </w:r>
    </w:p>
    <w:p w14:paraId="03A85D6C" w14:textId="6C7B03EE" w:rsidR="00646F21" w:rsidRDefault="00646F21" w:rsidP="00646F21">
      <w:pPr>
        <w:spacing w:line="276" w:lineRule="auto"/>
        <w:rPr>
          <w:color w:val="000000"/>
          <w:shd w:val="clear" w:color="auto" w:fill="FFFFFF"/>
        </w:rPr>
      </w:pPr>
    </w:p>
    <w:p w14:paraId="2D8B1699" w14:textId="77777777" w:rsidR="00D55C8D" w:rsidRPr="00066D43" w:rsidRDefault="00D55C8D" w:rsidP="00D55C8D">
      <w:pPr>
        <w:rPr>
          <w:rFonts w:ascii="Times New Roman" w:hAnsi="Times New Roman" w:cs="Times New Roman"/>
          <w:i/>
          <w:iCs/>
          <w:sz w:val="24"/>
          <w:szCs w:val="24"/>
        </w:rPr>
      </w:pPr>
      <w:r w:rsidRPr="00066D43">
        <w:rPr>
          <w:rFonts w:ascii="Times New Roman" w:hAnsi="Times New Roman" w:cs="Times New Roman"/>
          <w:iCs/>
          <w:sz w:val="24"/>
          <w:szCs w:val="24"/>
        </w:rPr>
        <w:t xml:space="preserve">The Regulations are a legislative instrument for the purposes of section 8 of the </w:t>
      </w:r>
      <w:r w:rsidRPr="00066D43">
        <w:rPr>
          <w:rFonts w:ascii="Times New Roman" w:hAnsi="Times New Roman" w:cs="Times New Roman"/>
          <w:i/>
          <w:iCs/>
          <w:sz w:val="24"/>
          <w:szCs w:val="24"/>
        </w:rPr>
        <w:t>Legislation Act 2003.</w:t>
      </w:r>
    </w:p>
    <w:p w14:paraId="4BEEBBFB" w14:textId="77777777" w:rsidR="00D55C8D" w:rsidRPr="00066D43" w:rsidRDefault="00D55C8D" w:rsidP="00D55C8D">
      <w:pPr>
        <w:rPr>
          <w:rFonts w:ascii="Times New Roman" w:hAnsi="Times New Roman" w:cs="Times New Roman"/>
          <w:iCs/>
          <w:sz w:val="24"/>
          <w:szCs w:val="24"/>
        </w:rPr>
      </w:pPr>
      <w:r w:rsidRPr="00066D43">
        <w:rPr>
          <w:rFonts w:ascii="Times New Roman" w:hAnsi="Times New Roman" w:cs="Times New Roman"/>
          <w:iCs/>
          <w:sz w:val="24"/>
          <w:szCs w:val="24"/>
        </w:rPr>
        <w:t xml:space="preserve">The notes on the provisions of the Regulations are set </w:t>
      </w:r>
      <w:r w:rsidR="003369AE">
        <w:rPr>
          <w:rFonts w:ascii="Times New Roman" w:hAnsi="Times New Roman" w:cs="Times New Roman"/>
          <w:iCs/>
          <w:sz w:val="24"/>
          <w:szCs w:val="24"/>
        </w:rPr>
        <w:t xml:space="preserve">out </w:t>
      </w:r>
      <w:r w:rsidRPr="00066D43">
        <w:rPr>
          <w:rFonts w:ascii="Times New Roman" w:hAnsi="Times New Roman" w:cs="Times New Roman"/>
          <w:iCs/>
          <w:sz w:val="24"/>
          <w:szCs w:val="24"/>
        </w:rPr>
        <w:t xml:space="preserve">in </w:t>
      </w:r>
      <w:r w:rsidRPr="00066D43">
        <w:rPr>
          <w:rFonts w:ascii="Times New Roman" w:hAnsi="Times New Roman" w:cs="Times New Roman"/>
          <w:iCs/>
          <w:sz w:val="24"/>
          <w:szCs w:val="24"/>
          <w:u w:val="single"/>
        </w:rPr>
        <w:t>Attachment A.</w:t>
      </w:r>
      <w:r w:rsidRPr="00066D43">
        <w:rPr>
          <w:rFonts w:ascii="Times New Roman" w:hAnsi="Times New Roman" w:cs="Times New Roman"/>
          <w:iCs/>
          <w:sz w:val="24"/>
          <w:szCs w:val="24"/>
        </w:rPr>
        <w:t xml:space="preserve"> </w:t>
      </w:r>
    </w:p>
    <w:p w14:paraId="20AE6234" w14:textId="77777777" w:rsidR="007C4B26" w:rsidRPr="00066D43" w:rsidRDefault="007C4B26" w:rsidP="00D55C8D">
      <w:pPr>
        <w:rPr>
          <w:rFonts w:ascii="Times New Roman" w:hAnsi="Times New Roman" w:cs="Times New Roman"/>
          <w:iCs/>
          <w:sz w:val="24"/>
          <w:szCs w:val="24"/>
          <w:u w:val="single"/>
        </w:rPr>
      </w:pPr>
      <w:r w:rsidRPr="00066D43">
        <w:rPr>
          <w:rFonts w:ascii="Times New Roman" w:hAnsi="Times New Roman" w:cs="Times New Roman"/>
          <w:iCs/>
          <w:sz w:val="24"/>
          <w:szCs w:val="24"/>
          <w:u w:val="single"/>
        </w:rPr>
        <w:t xml:space="preserve">Consultation </w:t>
      </w:r>
    </w:p>
    <w:p w14:paraId="38A19C58" w14:textId="0B07A77E" w:rsidR="0024211D" w:rsidRDefault="00646F21" w:rsidP="0024211D">
      <w:pPr>
        <w:spacing w:after="0" w:line="240" w:lineRule="auto"/>
        <w:ind w:right="91"/>
        <w:rPr>
          <w:rFonts w:ascii="Times New Roman" w:eastAsia="Times New Roman" w:hAnsi="Times New Roman" w:cs="Times New Roman"/>
          <w:sz w:val="24"/>
          <w:lang w:eastAsia="en-AU"/>
        </w:rPr>
      </w:pPr>
      <w:r w:rsidRPr="009A575F">
        <w:rPr>
          <w:rFonts w:ascii="Times New Roman" w:eastAsia="Times New Roman" w:hAnsi="Times New Roman" w:cs="Times New Roman"/>
          <w:color w:val="000000"/>
          <w:sz w:val="24"/>
          <w:szCs w:val="24"/>
          <w:shd w:val="clear" w:color="auto" w:fill="FFFFFF"/>
        </w:rPr>
        <w:t>On behalf of the Minister for Communications</w:t>
      </w:r>
      <w:r w:rsidR="009A575F" w:rsidRPr="009A575F">
        <w:rPr>
          <w:rFonts w:ascii="Times New Roman" w:eastAsia="Times New Roman" w:hAnsi="Times New Roman" w:cs="Times New Roman"/>
          <w:color w:val="000000"/>
          <w:sz w:val="24"/>
          <w:szCs w:val="24"/>
          <w:shd w:val="clear" w:color="auto" w:fill="FFFFFF"/>
        </w:rPr>
        <w:t>, Cyber Safety</w:t>
      </w:r>
      <w:r w:rsidRPr="009A575F">
        <w:rPr>
          <w:rFonts w:ascii="Times New Roman" w:eastAsia="Times New Roman" w:hAnsi="Times New Roman" w:cs="Times New Roman"/>
          <w:color w:val="000000"/>
          <w:sz w:val="24"/>
          <w:szCs w:val="24"/>
          <w:shd w:val="clear" w:color="auto" w:fill="FFFFFF"/>
        </w:rPr>
        <w:t xml:space="preserve"> and the Arts, the Department of Co</w:t>
      </w:r>
      <w:r w:rsidR="00A02018" w:rsidRPr="009A575F">
        <w:rPr>
          <w:rFonts w:ascii="Times New Roman" w:eastAsia="Times New Roman" w:hAnsi="Times New Roman" w:cs="Times New Roman"/>
          <w:color w:val="000000"/>
          <w:sz w:val="24"/>
          <w:szCs w:val="24"/>
          <w:shd w:val="clear" w:color="auto" w:fill="FFFFFF"/>
        </w:rPr>
        <w:t xml:space="preserve">mmunications and the Arts (the </w:t>
      </w:r>
      <w:r w:rsidR="00D0312E" w:rsidRPr="009A575F">
        <w:rPr>
          <w:rFonts w:ascii="Times New Roman" w:eastAsia="Times New Roman" w:hAnsi="Times New Roman" w:cs="Times New Roman"/>
          <w:color w:val="000000"/>
          <w:sz w:val="24"/>
          <w:szCs w:val="24"/>
          <w:shd w:val="clear" w:color="auto" w:fill="FFFFFF"/>
        </w:rPr>
        <w:t>D</w:t>
      </w:r>
      <w:r w:rsidRPr="009A575F">
        <w:rPr>
          <w:rFonts w:ascii="Times New Roman" w:eastAsia="Times New Roman" w:hAnsi="Times New Roman" w:cs="Times New Roman"/>
          <w:color w:val="000000"/>
          <w:sz w:val="24"/>
          <w:szCs w:val="24"/>
          <w:shd w:val="clear" w:color="auto" w:fill="FFFFFF"/>
        </w:rPr>
        <w:t xml:space="preserve">epartment) </w:t>
      </w:r>
      <w:r w:rsidR="00771122" w:rsidRPr="009A575F">
        <w:rPr>
          <w:rFonts w:ascii="Times New Roman" w:eastAsia="Times New Roman" w:hAnsi="Times New Roman" w:cs="Times New Roman"/>
          <w:color w:val="000000"/>
          <w:sz w:val="24"/>
          <w:szCs w:val="24"/>
          <w:shd w:val="clear" w:color="auto" w:fill="FFFFFF"/>
        </w:rPr>
        <w:t xml:space="preserve">undertook a </w:t>
      </w:r>
      <w:r w:rsidR="001371E1">
        <w:rPr>
          <w:rFonts w:ascii="Times New Roman" w:eastAsia="Times New Roman" w:hAnsi="Times New Roman" w:cs="Times New Roman"/>
          <w:color w:val="000000"/>
          <w:sz w:val="24"/>
          <w:szCs w:val="24"/>
          <w:shd w:val="clear" w:color="auto" w:fill="FFFFFF"/>
        </w:rPr>
        <w:t>targeted</w:t>
      </w:r>
      <w:r w:rsidR="00771122" w:rsidRPr="009A575F">
        <w:rPr>
          <w:rFonts w:ascii="Times New Roman" w:eastAsia="Times New Roman" w:hAnsi="Times New Roman" w:cs="Times New Roman"/>
          <w:color w:val="000000"/>
          <w:sz w:val="24"/>
          <w:szCs w:val="24"/>
          <w:shd w:val="clear" w:color="auto" w:fill="FFFFFF"/>
        </w:rPr>
        <w:t xml:space="preserve"> consultation process</w:t>
      </w:r>
      <w:r w:rsidRPr="009A575F">
        <w:rPr>
          <w:rFonts w:ascii="Times New Roman" w:eastAsia="Times New Roman" w:hAnsi="Times New Roman" w:cs="Times New Roman"/>
          <w:color w:val="000000"/>
          <w:sz w:val="24"/>
          <w:szCs w:val="24"/>
          <w:shd w:val="clear" w:color="auto" w:fill="FFFFFF"/>
        </w:rPr>
        <w:t xml:space="preserve"> on the </w:t>
      </w:r>
      <w:r w:rsidR="003E271E" w:rsidRPr="009A575F">
        <w:rPr>
          <w:rFonts w:ascii="Times New Roman" w:eastAsia="Times New Roman" w:hAnsi="Times New Roman" w:cs="Times New Roman"/>
          <w:color w:val="000000"/>
          <w:sz w:val="24"/>
          <w:szCs w:val="24"/>
          <w:shd w:val="clear" w:color="auto" w:fill="FFFFFF"/>
        </w:rPr>
        <w:t>R</w:t>
      </w:r>
      <w:r w:rsidR="007C79D8" w:rsidRPr="009A575F">
        <w:rPr>
          <w:rFonts w:ascii="Times New Roman" w:eastAsia="Times New Roman" w:hAnsi="Times New Roman" w:cs="Times New Roman"/>
          <w:color w:val="000000"/>
          <w:sz w:val="24"/>
          <w:szCs w:val="24"/>
          <w:shd w:val="clear" w:color="auto" w:fill="FFFFFF"/>
        </w:rPr>
        <w:t>egulations.</w:t>
      </w:r>
      <w:r w:rsidR="007C79D8" w:rsidRPr="009C3B51">
        <w:rPr>
          <w:rFonts w:ascii="Times New Roman" w:eastAsia="Times New Roman" w:hAnsi="Times New Roman" w:cs="Times New Roman"/>
          <w:color w:val="000000"/>
          <w:sz w:val="24"/>
          <w:szCs w:val="24"/>
          <w:shd w:val="clear" w:color="auto" w:fill="FFFFFF"/>
        </w:rPr>
        <w:t xml:space="preserve"> </w:t>
      </w:r>
      <w:r w:rsidR="0024211D">
        <w:rPr>
          <w:rFonts w:ascii="Times New Roman" w:eastAsia="Times New Roman" w:hAnsi="Times New Roman" w:cs="Times New Roman"/>
          <w:sz w:val="24"/>
          <w:lang w:eastAsia="en-AU"/>
        </w:rPr>
        <w:t>The Department provided the proposed Regulations and a review consultation paper to stakeholders directly impacted by the Regulations, including relevant regulatory bodies</w:t>
      </w:r>
      <w:r w:rsidR="00251202">
        <w:rPr>
          <w:rFonts w:ascii="Times New Roman" w:eastAsia="Times New Roman" w:hAnsi="Times New Roman" w:cs="Times New Roman"/>
          <w:sz w:val="24"/>
          <w:lang w:eastAsia="en-AU"/>
        </w:rPr>
        <w:t>, transmission</w:t>
      </w:r>
      <w:r w:rsidR="0024211D">
        <w:rPr>
          <w:rFonts w:ascii="Times New Roman" w:eastAsia="Times New Roman" w:hAnsi="Times New Roman" w:cs="Times New Roman"/>
          <w:sz w:val="24"/>
          <w:lang w:eastAsia="en-AU"/>
        </w:rPr>
        <w:t xml:space="preserve"> companies, peak broadcasting and telecommunications bodies (who shared these with their members) and the national broadcasters.  </w:t>
      </w:r>
    </w:p>
    <w:p w14:paraId="2AF7B9B5" w14:textId="77777777" w:rsidR="0024211D" w:rsidRDefault="0024211D" w:rsidP="0024211D">
      <w:pPr>
        <w:spacing w:after="0" w:line="240" w:lineRule="auto"/>
        <w:ind w:right="91"/>
        <w:rPr>
          <w:rFonts w:ascii="Times New Roman" w:eastAsia="Times New Roman" w:hAnsi="Times New Roman" w:cs="Times New Roman"/>
          <w:sz w:val="24"/>
          <w:lang w:eastAsia="en-AU"/>
        </w:rPr>
      </w:pPr>
    </w:p>
    <w:p w14:paraId="7C9C1125" w14:textId="081896CE" w:rsidR="0024211D" w:rsidRPr="008B36FD" w:rsidRDefault="0024211D" w:rsidP="0024211D">
      <w:pPr>
        <w:spacing w:after="0" w:line="240" w:lineRule="auto"/>
        <w:ind w:right="91"/>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 xml:space="preserve">The Department received ten submissions and the outcome of this was that there was agreement to remake the </w:t>
      </w:r>
      <w:r w:rsidR="005E2288">
        <w:rPr>
          <w:rFonts w:ascii="Times New Roman" w:eastAsia="Times New Roman" w:hAnsi="Times New Roman" w:cs="Times New Roman"/>
          <w:sz w:val="24"/>
          <w:lang w:eastAsia="en-AU"/>
        </w:rPr>
        <w:t xml:space="preserve">sunsetting </w:t>
      </w:r>
      <w:r>
        <w:rPr>
          <w:rFonts w:ascii="Times New Roman" w:eastAsia="Times New Roman" w:hAnsi="Times New Roman" w:cs="Times New Roman"/>
          <w:sz w:val="24"/>
          <w:lang w:eastAsia="en-AU"/>
        </w:rPr>
        <w:t xml:space="preserve">Regulations. Minor amendments were proposed by some stakeholders to the proposed Regulations and these are reflected in the changes made. Other amendments proposed by commercial broadcasters were not recommended by the Department as they would reduce the flexibility of the ACCC and may delay resolution of arbitrations.        </w:t>
      </w:r>
    </w:p>
    <w:p w14:paraId="5CFA2C72" w14:textId="0A28CBD0" w:rsidR="00646F21" w:rsidRPr="007C79D8" w:rsidRDefault="00646F21" w:rsidP="007C79D8">
      <w:pPr>
        <w:autoSpaceDE w:val="0"/>
        <w:autoSpaceDN w:val="0"/>
        <w:spacing w:after="0" w:line="240" w:lineRule="auto"/>
      </w:pPr>
    </w:p>
    <w:p w14:paraId="53BB9707" w14:textId="77777777" w:rsidR="007C4B26" w:rsidRPr="00066D43" w:rsidRDefault="007C4B26" w:rsidP="00D55C8D">
      <w:pPr>
        <w:rPr>
          <w:rFonts w:ascii="Times New Roman" w:hAnsi="Times New Roman" w:cs="Times New Roman"/>
          <w:iCs/>
          <w:sz w:val="24"/>
          <w:szCs w:val="24"/>
          <w:u w:val="single"/>
        </w:rPr>
      </w:pPr>
      <w:r w:rsidRPr="00066D43">
        <w:rPr>
          <w:rFonts w:ascii="Times New Roman" w:hAnsi="Times New Roman" w:cs="Times New Roman"/>
          <w:iCs/>
          <w:sz w:val="24"/>
          <w:szCs w:val="24"/>
          <w:u w:val="single"/>
        </w:rPr>
        <w:t>Regulation Impact Statement</w:t>
      </w:r>
    </w:p>
    <w:p w14:paraId="5E9DD2B0" w14:textId="38213030" w:rsidR="007C4B26" w:rsidRDefault="007C4B26" w:rsidP="00D55C8D">
      <w:pPr>
        <w:rPr>
          <w:rFonts w:ascii="Times New Roman" w:hAnsi="Times New Roman" w:cs="Times New Roman"/>
          <w:iCs/>
          <w:sz w:val="24"/>
          <w:szCs w:val="24"/>
        </w:rPr>
      </w:pPr>
      <w:r w:rsidRPr="009A575F">
        <w:rPr>
          <w:rFonts w:ascii="Times New Roman" w:hAnsi="Times New Roman" w:cs="Times New Roman"/>
          <w:iCs/>
          <w:sz w:val="24"/>
          <w:szCs w:val="24"/>
        </w:rPr>
        <w:t xml:space="preserve">The Office of Best Practice Regulation </w:t>
      </w:r>
      <w:r w:rsidR="00771122" w:rsidRPr="009A575F">
        <w:rPr>
          <w:rFonts w:ascii="Times New Roman" w:hAnsi="Times New Roman" w:cs="Times New Roman"/>
          <w:iCs/>
          <w:sz w:val="24"/>
          <w:szCs w:val="24"/>
        </w:rPr>
        <w:t>considered that</w:t>
      </w:r>
      <w:r w:rsidRPr="009A575F">
        <w:rPr>
          <w:rFonts w:ascii="Times New Roman" w:hAnsi="Times New Roman" w:cs="Times New Roman"/>
          <w:iCs/>
          <w:sz w:val="24"/>
          <w:szCs w:val="24"/>
        </w:rPr>
        <w:t xml:space="preserve"> the remaking of </w:t>
      </w:r>
      <w:r w:rsidR="00771122" w:rsidRPr="009A575F">
        <w:rPr>
          <w:rFonts w:ascii="Times New Roman" w:hAnsi="Times New Roman" w:cs="Times New Roman"/>
          <w:iCs/>
          <w:sz w:val="24"/>
          <w:szCs w:val="24"/>
        </w:rPr>
        <w:t xml:space="preserve">this </w:t>
      </w:r>
      <w:r w:rsidRPr="009A575F">
        <w:rPr>
          <w:rFonts w:ascii="Times New Roman" w:hAnsi="Times New Roman" w:cs="Times New Roman"/>
          <w:iCs/>
          <w:sz w:val="24"/>
          <w:szCs w:val="24"/>
        </w:rPr>
        <w:t xml:space="preserve">instrument without substantial changes is not likely to have more than a minor and/or machinery regulatory impact on business, community organisations and individuals. As such, a </w:t>
      </w:r>
      <w:r w:rsidR="00771122" w:rsidRPr="009A575F">
        <w:rPr>
          <w:rFonts w:ascii="Times New Roman" w:hAnsi="Times New Roman" w:cs="Times New Roman"/>
          <w:iCs/>
          <w:sz w:val="24"/>
          <w:szCs w:val="24"/>
        </w:rPr>
        <w:t>Regulation Impact Statement wa</w:t>
      </w:r>
      <w:r w:rsidRPr="009A575F">
        <w:rPr>
          <w:rFonts w:ascii="Times New Roman" w:hAnsi="Times New Roman" w:cs="Times New Roman"/>
          <w:iCs/>
          <w:sz w:val="24"/>
          <w:szCs w:val="24"/>
        </w:rPr>
        <w:t>s not required</w:t>
      </w:r>
      <w:r w:rsidR="00A02018" w:rsidRPr="009A575F">
        <w:rPr>
          <w:rFonts w:ascii="Times New Roman" w:hAnsi="Times New Roman" w:cs="Times New Roman"/>
          <w:iCs/>
          <w:sz w:val="24"/>
          <w:szCs w:val="24"/>
        </w:rPr>
        <w:t xml:space="preserve"> (see OBPR reference ID</w:t>
      </w:r>
      <w:r w:rsidR="00251202" w:rsidRPr="009A575F">
        <w:rPr>
          <w:rFonts w:ascii="Times New Roman" w:hAnsi="Times New Roman" w:cs="Times New Roman"/>
          <w:iCs/>
          <w:sz w:val="24"/>
          <w:szCs w:val="24"/>
        </w:rPr>
        <w:t>:</w:t>
      </w:r>
      <w:r w:rsidR="00251202">
        <w:rPr>
          <w:rFonts w:ascii="Times New Roman" w:hAnsi="Times New Roman" w:cs="Times New Roman"/>
          <w:iCs/>
          <w:sz w:val="24"/>
          <w:szCs w:val="24"/>
        </w:rPr>
        <w:t xml:space="preserve"> 25496)</w:t>
      </w:r>
      <w:r w:rsidRPr="00066D43">
        <w:rPr>
          <w:rFonts w:ascii="Times New Roman" w:hAnsi="Times New Roman" w:cs="Times New Roman"/>
          <w:iCs/>
          <w:sz w:val="24"/>
          <w:szCs w:val="24"/>
        </w:rPr>
        <w:t>.</w:t>
      </w:r>
    </w:p>
    <w:p w14:paraId="67A8A066" w14:textId="77777777" w:rsidR="00D55C8D" w:rsidRPr="00066D43" w:rsidRDefault="007C4B26" w:rsidP="00D55C8D">
      <w:pPr>
        <w:rPr>
          <w:rFonts w:ascii="Times New Roman" w:hAnsi="Times New Roman" w:cs="Times New Roman"/>
          <w:sz w:val="24"/>
          <w:szCs w:val="24"/>
          <w:u w:val="single"/>
        </w:rPr>
      </w:pPr>
      <w:r w:rsidRPr="00066D43">
        <w:rPr>
          <w:rFonts w:ascii="Times New Roman" w:hAnsi="Times New Roman" w:cs="Times New Roman"/>
          <w:sz w:val="24"/>
          <w:szCs w:val="24"/>
          <w:u w:val="single"/>
        </w:rPr>
        <w:t>Statement of Compatibility with Human Rights</w:t>
      </w:r>
    </w:p>
    <w:p w14:paraId="4B1E4990" w14:textId="77777777" w:rsidR="007C4B26" w:rsidRPr="00066D43" w:rsidRDefault="007C4B26" w:rsidP="007C4B26">
      <w:pPr>
        <w:rPr>
          <w:rFonts w:ascii="Times New Roman" w:hAnsi="Times New Roman" w:cs="Times New Roman"/>
          <w:sz w:val="24"/>
          <w:szCs w:val="24"/>
          <w:u w:val="single"/>
        </w:rPr>
      </w:pPr>
      <w:r w:rsidRPr="00066D43">
        <w:rPr>
          <w:rFonts w:ascii="Times New Roman" w:hAnsi="Times New Roman" w:cs="Times New Roman"/>
          <w:sz w:val="24"/>
          <w:szCs w:val="24"/>
        </w:rPr>
        <w:t>A statement of compatibility with human rights for the purposes of Part 3 of the </w:t>
      </w:r>
      <w:r w:rsidRPr="00066D43">
        <w:rPr>
          <w:rFonts w:ascii="Times New Roman" w:hAnsi="Times New Roman" w:cs="Times New Roman"/>
          <w:i/>
          <w:iCs/>
          <w:sz w:val="24"/>
          <w:szCs w:val="24"/>
        </w:rPr>
        <w:t>Human Rights (Parliamentary Scrutiny) Act 2011</w:t>
      </w:r>
      <w:r w:rsidRPr="00066D43">
        <w:rPr>
          <w:rFonts w:ascii="Times New Roman" w:hAnsi="Times New Roman" w:cs="Times New Roman"/>
          <w:sz w:val="24"/>
          <w:szCs w:val="24"/>
        </w:rPr>
        <w:t xml:space="preserve"> is set out at </w:t>
      </w:r>
      <w:r w:rsidRPr="00066D43">
        <w:rPr>
          <w:rFonts w:ascii="Times New Roman" w:hAnsi="Times New Roman" w:cs="Times New Roman"/>
          <w:sz w:val="24"/>
          <w:szCs w:val="24"/>
          <w:u w:val="single"/>
        </w:rPr>
        <w:t>Attachment B.</w:t>
      </w:r>
    </w:p>
    <w:p w14:paraId="63F8F15A" w14:textId="77777777" w:rsidR="007C4B26" w:rsidRDefault="007C4B26" w:rsidP="007C4B26">
      <w:pPr>
        <w:rPr>
          <w:rFonts w:ascii="Times New Roman" w:hAnsi="Times New Roman" w:cs="Times New Roman"/>
          <w:sz w:val="24"/>
          <w:szCs w:val="24"/>
          <w:u w:val="single"/>
        </w:rPr>
      </w:pPr>
    </w:p>
    <w:p w14:paraId="604FF3F1" w14:textId="77777777" w:rsidR="007C4B26" w:rsidRPr="00F81229" w:rsidRDefault="00E47F2D" w:rsidP="007C79D8">
      <w:pPr>
        <w:jc w:val="right"/>
        <w:rPr>
          <w:rFonts w:ascii="Times New Roman" w:hAnsi="Times New Roman" w:cs="Times New Roman"/>
          <w:b/>
          <w:sz w:val="24"/>
          <w:szCs w:val="24"/>
          <w:u w:val="single"/>
        </w:rPr>
      </w:pPr>
      <w:r>
        <w:rPr>
          <w:rFonts w:ascii="Times New Roman" w:hAnsi="Times New Roman" w:cs="Times New Roman"/>
          <w:sz w:val="24"/>
          <w:szCs w:val="24"/>
          <w:u w:val="single"/>
        </w:rPr>
        <w:br w:type="column"/>
      </w:r>
      <w:r w:rsidR="00E90DB5" w:rsidRPr="00F81229">
        <w:rPr>
          <w:rFonts w:ascii="Times New Roman" w:hAnsi="Times New Roman" w:cs="Times New Roman"/>
          <w:b/>
          <w:sz w:val="24"/>
          <w:szCs w:val="24"/>
          <w:u w:val="single"/>
        </w:rPr>
        <w:lastRenderedPageBreak/>
        <w:t>A</w:t>
      </w:r>
      <w:r w:rsidR="007C4B26" w:rsidRPr="00F81229">
        <w:rPr>
          <w:rFonts w:ascii="Times New Roman" w:hAnsi="Times New Roman" w:cs="Times New Roman"/>
          <w:b/>
          <w:sz w:val="24"/>
          <w:szCs w:val="24"/>
          <w:u w:val="single"/>
        </w:rPr>
        <w:t>TTACHMENT A</w:t>
      </w:r>
    </w:p>
    <w:p w14:paraId="764E541E" w14:textId="77777777" w:rsidR="007C4B26" w:rsidRPr="00066D43" w:rsidRDefault="007C4B26" w:rsidP="007C4B26">
      <w:pPr>
        <w:jc w:val="center"/>
        <w:rPr>
          <w:rFonts w:ascii="Times New Roman" w:hAnsi="Times New Roman" w:cs="Times New Roman"/>
          <w:b/>
          <w:sz w:val="24"/>
          <w:szCs w:val="24"/>
          <w:u w:val="single"/>
        </w:rPr>
      </w:pPr>
      <w:r w:rsidRPr="00066D43">
        <w:rPr>
          <w:rFonts w:ascii="Times New Roman" w:hAnsi="Times New Roman" w:cs="Times New Roman"/>
          <w:b/>
          <w:sz w:val="24"/>
          <w:szCs w:val="24"/>
          <w:u w:val="single"/>
        </w:rPr>
        <w:t>Notes on the provisions of the Regulations</w:t>
      </w:r>
    </w:p>
    <w:p w14:paraId="35FDEE7F" w14:textId="77777777" w:rsidR="007C4B26" w:rsidRPr="0099545A" w:rsidRDefault="007C4B26" w:rsidP="007C4B26">
      <w:pPr>
        <w:pStyle w:val="ActHead2"/>
        <w:rPr>
          <w:rStyle w:val="CharPartText"/>
          <w:sz w:val="28"/>
          <w:szCs w:val="28"/>
        </w:rPr>
      </w:pPr>
      <w:bookmarkStart w:id="1" w:name="_Toc527379425"/>
      <w:r w:rsidRPr="0099545A">
        <w:rPr>
          <w:rStyle w:val="CharPartNo"/>
          <w:sz w:val="28"/>
          <w:szCs w:val="28"/>
        </w:rPr>
        <w:t>Part 1</w:t>
      </w:r>
      <w:r w:rsidRPr="0099545A">
        <w:rPr>
          <w:sz w:val="28"/>
          <w:szCs w:val="28"/>
        </w:rPr>
        <w:t>—</w:t>
      </w:r>
      <w:r w:rsidRPr="0099545A">
        <w:rPr>
          <w:rStyle w:val="CharPartText"/>
          <w:sz w:val="28"/>
          <w:szCs w:val="28"/>
        </w:rPr>
        <w:t>Preliminary</w:t>
      </w:r>
      <w:bookmarkEnd w:id="1"/>
    </w:p>
    <w:p w14:paraId="69B351AE" w14:textId="77777777" w:rsidR="007C4B26" w:rsidRPr="00066D43" w:rsidRDefault="007C4B26" w:rsidP="007C4B26">
      <w:pPr>
        <w:pStyle w:val="ActHead3"/>
        <w:ind w:left="0" w:firstLine="0"/>
        <w:rPr>
          <w:b w:val="0"/>
          <w:sz w:val="24"/>
          <w:szCs w:val="24"/>
        </w:rPr>
      </w:pPr>
      <w:r w:rsidRPr="00066D43">
        <w:rPr>
          <w:b w:val="0"/>
          <w:sz w:val="24"/>
          <w:szCs w:val="24"/>
        </w:rPr>
        <w:t>Part 1 contains general provisions relating to the commencement and operation of the Regulations</w:t>
      </w:r>
      <w:r w:rsidR="00B47940">
        <w:rPr>
          <w:b w:val="0"/>
          <w:sz w:val="24"/>
          <w:szCs w:val="24"/>
        </w:rPr>
        <w:t>.</w:t>
      </w:r>
    </w:p>
    <w:p w14:paraId="1F516E5C" w14:textId="77777777" w:rsidR="007C4B26" w:rsidRPr="00066D43" w:rsidRDefault="007C4B26" w:rsidP="007C4B26">
      <w:pPr>
        <w:pStyle w:val="ActHead5"/>
        <w:rPr>
          <w:szCs w:val="24"/>
        </w:rPr>
      </w:pPr>
      <w:r w:rsidRPr="00066D43">
        <w:rPr>
          <w:szCs w:val="24"/>
        </w:rPr>
        <w:t>Section 1 - Name</w:t>
      </w:r>
    </w:p>
    <w:p w14:paraId="1203735A" w14:textId="5F1C583C" w:rsidR="007C4B26" w:rsidRPr="00066D43" w:rsidRDefault="007C4B26" w:rsidP="007C4B26">
      <w:pPr>
        <w:pStyle w:val="subsection"/>
        <w:tabs>
          <w:tab w:val="clear" w:pos="1021"/>
        </w:tabs>
        <w:ind w:left="0" w:firstLine="0"/>
        <w:rPr>
          <w:i/>
          <w:sz w:val="24"/>
          <w:szCs w:val="24"/>
        </w:rPr>
      </w:pPr>
      <w:r w:rsidRPr="00066D43">
        <w:rPr>
          <w:sz w:val="24"/>
          <w:szCs w:val="24"/>
        </w:rPr>
        <w:t xml:space="preserve">This section provides for the Regulations to be cited as the </w:t>
      </w:r>
      <w:r w:rsidR="00D918E1" w:rsidRPr="00D918E1">
        <w:rPr>
          <w:i/>
          <w:sz w:val="24"/>
          <w:szCs w:val="24"/>
        </w:rPr>
        <w:t>Broadcasting Services (Transmitter Access) Regulations 2019</w:t>
      </w:r>
      <w:r w:rsidR="00B47940" w:rsidRPr="00B47940">
        <w:rPr>
          <w:sz w:val="24"/>
          <w:szCs w:val="24"/>
        </w:rPr>
        <w:t>.</w:t>
      </w:r>
    </w:p>
    <w:p w14:paraId="296CF274" w14:textId="77777777" w:rsidR="007C4B26" w:rsidRPr="00066D43" w:rsidRDefault="007C4B26" w:rsidP="007C4B26">
      <w:pPr>
        <w:pStyle w:val="ActHead5"/>
        <w:rPr>
          <w:szCs w:val="24"/>
        </w:rPr>
      </w:pPr>
      <w:bookmarkStart w:id="2" w:name="_Toc527379427"/>
      <w:r w:rsidRPr="00066D43">
        <w:rPr>
          <w:rStyle w:val="CharSectno"/>
          <w:szCs w:val="24"/>
        </w:rPr>
        <w:t>Section 2</w:t>
      </w:r>
      <w:r w:rsidRPr="00066D43">
        <w:rPr>
          <w:szCs w:val="24"/>
        </w:rPr>
        <w:t xml:space="preserve"> - Commencement</w:t>
      </w:r>
      <w:bookmarkEnd w:id="2"/>
    </w:p>
    <w:p w14:paraId="539E0CCE" w14:textId="77777777" w:rsidR="007C4B26" w:rsidRPr="00066D43" w:rsidRDefault="007C4B26" w:rsidP="007C4B26">
      <w:pPr>
        <w:pStyle w:val="subsection"/>
        <w:tabs>
          <w:tab w:val="clear" w:pos="1021"/>
          <w:tab w:val="right" w:pos="142"/>
        </w:tabs>
        <w:ind w:left="0" w:firstLine="0"/>
        <w:rPr>
          <w:sz w:val="24"/>
          <w:szCs w:val="24"/>
        </w:rPr>
      </w:pPr>
      <w:r w:rsidRPr="00066D43">
        <w:rPr>
          <w:sz w:val="24"/>
          <w:szCs w:val="24"/>
        </w:rPr>
        <w:t>Section 2 provides for the commencement of the Regulations</w:t>
      </w:r>
      <w:r w:rsidR="00B47940">
        <w:rPr>
          <w:sz w:val="24"/>
          <w:szCs w:val="24"/>
        </w:rPr>
        <w:t xml:space="preserve">. It provides that the </w:t>
      </w:r>
      <w:r w:rsidR="00435E09">
        <w:rPr>
          <w:sz w:val="24"/>
          <w:szCs w:val="24"/>
        </w:rPr>
        <w:t>whole of the instrument commences on</w:t>
      </w:r>
      <w:r w:rsidRPr="00066D43">
        <w:rPr>
          <w:sz w:val="24"/>
          <w:szCs w:val="24"/>
        </w:rPr>
        <w:t xml:space="preserve"> the day after this instrument is registered</w:t>
      </w:r>
      <w:r w:rsidR="00AE0928">
        <w:rPr>
          <w:sz w:val="24"/>
          <w:szCs w:val="24"/>
        </w:rPr>
        <w:t xml:space="preserve"> on the Federal Register of Legislation</w:t>
      </w:r>
      <w:r w:rsidRPr="00066D43">
        <w:rPr>
          <w:sz w:val="24"/>
          <w:szCs w:val="24"/>
        </w:rPr>
        <w:t xml:space="preserve">. </w:t>
      </w:r>
    </w:p>
    <w:p w14:paraId="715E0B4E" w14:textId="77777777" w:rsidR="007C4B26" w:rsidRPr="00066D43" w:rsidRDefault="007C4B26" w:rsidP="007C4B26">
      <w:pPr>
        <w:pStyle w:val="ActHead5"/>
        <w:rPr>
          <w:szCs w:val="24"/>
        </w:rPr>
      </w:pPr>
      <w:bookmarkStart w:id="3" w:name="_Toc527379428"/>
      <w:r w:rsidRPr="00066D43">
        <w:rPr>
          <w:rStyle w:val="CharSectno"/>
          <w:szCs w:val="24"/>
        </w:rPr>
        <w:t xml:space="preserve">Section 3 - </w:t>
      </w:r>
      <w:r w:rsidRPr="00066D43">
        <w:rPr>
          <w:szCs w:val="24"/>
        </w:rPr>
        <w:t>Authority</w:t>
      </w:r>
      <w:bookmarkEnd w:id="3"/>
    </w:p>
    <w:p w14:paraId="3FE4B2B0" w14:textId="5E35BD8D" w:rsidR="007C4B26" w:rsidRPr="00066D43" w:rsidRDefault="007C4B26" w:rsidP="007C4B26">
      <w:pPr>
        <w:pStyle w:val="subsection"/>
        <w:tabs>
          <w:tab w:val="clear" w:pos="1021"/>
          <w:tab w:val="right" w:pos="1418"/>
        </w:tabs>
        <w:ind w:left="0" w:firstLine="0"/>
        <w:rPr>
          <w:sz w:val="24"/>
          <w:szCs w:val="24"/>
        </w:rPr>
      </w:pPr>
      <w:r w:rsidRPr="00066D43">
        <w:rPr>
          <w:sz w:val="24"/>
          <w:szCs w:val="24"/>
        </w:rPr>
        <w:t xml:space="preserve">Section 3 provides that the Regulations are made under the authority of the </w:t>
      </w:r>
      <w:r w:rsidR="00D918E1">
        <w:rPr>
          <w:i/>
          <w:sz w:val="24"/>
        </w:rPr>
        <w:t>Broadcasting Services Act 1992</w:t>
      </w:r>
      <w:r w:rsidR="00435E09">
        <w:rPr>
          <w:i/>
          <w:sz w:val="24"/>
          <w:szCs w:val="24"/>
        </w:rPr>
        <w:t xml:space="preserve"> </w:t>
      </w:r>
      <w:r w:rsidR="00435E09">
        <w:rPr>
          <w:sz w:val="24"/>
          <w:szCs w:val="24"/>
        </w:rPr>
        <w:t xml:space="preserve">(the </w:t>
      </w:r>
      <w:r w:rsidR="00160610">
        <w:rPr>
          <w:sz w:val="24"/>
          <w:szCs w:val="24"/>
        </w:rPr>
        <w:t>Act</w:t>
      </w:r>
      <w:r w:rsidR="00435E09">
        <w:rPr>
          <w:sz w:val="24"/>
          <w:szCs w:val="24"/>
        </w:rPr>
        <w:t>)</w:t>
      </w:r>
      <w:r w:rsidR="00D918E1">
        <w:rPr>
          <w:sz w:val="24"/>
          <w:szCs w:val="24"/>
        </w:rPr>
        <w:t>.</w:t>
      </w:r>
    </w:p>
    <w:p w14:paraId="43A7CD73" w14:textId="74600105" w:rsidR="007C4B26" w:rsidRPr="00066D43" w:rsidRDefault="007C4B26" w:rsidP="007C4B26">
      <w:pPr>
        <w:pStyle w:val="subsection"/>
        <w:tabs>
          <w:tab w:val="clear" w:pos="1021"/>
          <w:tab w:val="right" w:pos="1418"/>
        </w:tabs>
        <w:ind w:left="0" w:firstLine="0"/>
        <w:rPr>
          <w:sz w:val="24"/>
          <w:szCs w:val="24"/>
        </w:rPr>
      </w:pPr>
      <w:r w:rsidRPr="00066D43">
        <w:rPr>
          <w:sz w:val="24"/>
          <w:szCs w:val="24"/>
        </w:rPr>
        <w:t xml:space="preserve">Section </w:t>
      </w:r>
      <w:r w:rsidR="00D918E1">
        <w:rPr>
          <w:sz w:val="24"/>
          <w:szCs w:val="24"/>
        </w:rPr>
        <w:t>217</w:t>
      </w:r>
      <w:r w:rsidRPr="00066D43">
        <w:rPr>
          <w:sz w:val="24"/>
          <w:szCs w:val="24"/>
        </w:rPr>
        <w:t xml:space="preserve"> of the </w:t>
      </w:r>
      <w:r w:rsidR="005E2288">
        <w:rPr>
          <w:sz w:val="24"/>
          <w:szCs w:val="24"/>
        </w:rPr>
        <w:t>A</w:t>
      </w:r>
      <w:r w:rsidR="00160610">
        <w:rPr>
          <w:sz w:val="24"/>
          <w:szCs w:val="24"/>
        </w:rPr>
        <w:t>ct</w:t>
      </w:r>
      <w:r w:rsidR="009E1220" w:rsidRPr="00066D43">
        <w:rPr>
          <w:sz w:val="24"/>
          <w:szCs w:val="24"/>
        </w:rPr>
        <w:t xml:space="preserve"> provide</w:t>
      </w:r>
      <w:r w:rsidR="00D918E1">
        <w:rPr>
          <w:sz w:val="24"/>
          <w:szCs w:val="24"/>
        </w:rPr>
        <w:t>s</w:t>
      </w:r>
      <w:r w:rsidR="009E1220" w:rsidRPr="00066D43">
        <w:rPr>
          <w:sz w:val="24"/>
          <w:szCs w:val="24"/>
        </w:rPr>
        <w:t xml:space="preserve"> the general </w:t>
      </w:r>
      <w:r w:rsidR="00AE0928" w:rsidRPr="00066D43">
        <w:rPr>
          <w:sz w:val="24"/>
          <w:szCs w:val="24"/>
        </w:rPr>
        <w:t>regulation</w:t>
      </w:r>
      <w:r w:rsidR="00AE0928">
        <w:rPr>
          <w:sz w:val="24"/>
          <w:szCs w:val="24"/>
        </w:rPr>
        <w:t>-</w:t>
      </w:r>
      <w:r w:rsidR="009E1220" w:rsidRPr="00066D43">
        <w:rPr>
          <w:sz w:val="24"/>
          <w:szCs w:val="24"/>
        </w:rPr>
        <w:t xml:space="preserve">making power. </w:t>
      </w:r>
    </w:p>
    <w:p w14:paraId="17818182" w14:textId="77777777" w:rsidR="007C4B26" w:rsidRPr="00066D43" w:rsidRDefault="009E1220" w:rsidP="007C4B26">
      <w:pPr>
        <w:pStyle w:val="ActHead5"/>
        <w:rPr>
          <w:szCs w:val="24"/>
        </w:rPr>
      </w:pPr>
      <w:bookmarkStart w:id="4" w:name="_Toc527379429"/>
      <w:r w:rsidRPr="00066D43">
        <w:rPr>
          <w:rStyle w:val="CharSectno"/>
          <w:szCs w:val="24"/>
        </w:rPr>
        <w:t xml:space="preserve">Section </w:t>
      </w:r>
      <w:r w:rsidR="007C4B26" w:rsidRPr="00066D43">
        <w:rPr>
          <w:rStyle w:val="CharSectno"/>
          <w:szCs w:val="24"/>
        </w:rPr>
        <w:t>4</w:t>
      </w:r>
      <w:r w:rsidR="007C4B26" w:rsidRPr="00066D43">
        <w:rPr>
          <w:szCs w:val="24"/>
        </w:rPr>
        <w:t xml:space="preserve"> </w:t>
      </w:r>
      <w:r w:rsidRPr="00066D43">
        <w:rPr>
          <w:szCs w:val="24"/>
        </w:rPr>
        <w:t>-</w:t>
      </w:r>
      <w:r w:rsidR="007C4B26" w:rsidRPr="00066D43">
        <w:rPr>
          <w:szCs w:val="24"/>
        </w:rPr>
        <w:t xml:space="preserve"> Schedule 2</w:t>
      </w:r>
      <w:bookmarkEnd w:id="4"/>
    </w:p>
    <w:p w14:paraId="5E520BB3" w14:textId="3DA6B7AE" w:rsidR="007C4B26" w:rsidRPr="00066D43" w:rsidRDefault="009E1220" w:rsidP="007C4B26">
      <w:pPr>
        <w:pStyle w:val="subsection"/>
        <w:tabs>
          <w:tab w:val="clear" w:pos="1021"/>
          <w:tab w:val="left" w:pos="0"/>
        </w:tabs>
        <w:ind w:left="0" w:firstLine="0"/>
        <w:rPr>
          <w:sz w:val="24"/>
          <w:szCs w:val="24"/>
        </w:rPr>
      </w:pPr>
      <w:r w:rsidRPr="00066D43">
        <w:rPr>
          <w:sz w:val="24"/>
          <w:szCs w:val="24"/>
        </w:rPr>
        <w:t xml:space="preserve">Section 4 </w:t>
      </w:r>
      <w:r w:rsidR="00435E09">
        <w:rPr>
          <w:sz w:val="24"/>
          <w:szCs w:val="24"/>
        </w:rPr>
        <w:t>is a machinery clause that enables Schedule 2 to the Regulations to amend or repeal an instrument that is specified in the Schedule. This enables</w:t>
      </w:r>
      <w:r w:rsidRPr="00066D43">
        <w:rPr>
          <w:sz w:val="24"/>
          <w:szCs w:val="24"/>
        </w:rPr>
        <w:t xml:space="preserve"> the </w:t>
      </w:r>
      <w:r w:rsidR="00D918E1" w:rsidRPr="00D918E1">
        <w:rPr>
          <w:i/>
          <w:sz w:val="24"/>
          <w:szCs w:val="24"/>
        </w:rPr>
        <w:t>Broadcasting Services (Trans</w:t>
      </w:r>
      <w:r w:rsidR="00D918E1">
        <w:rPr>
          <w:i/>
          <w:sz w:val="24"/>
          <w:szCs w:val="24"/>
        </w:rPr>
        <w:t>mitter Access) Regulations 2001</w:t>
      </w:r>
      <w:r w:rsidR="00435E09">
        <w:rPr>
          <w:sz w:val="24"/>
          <w:szCs w:val="24"/>
        </w:rPr>
        <w:t xml:space="preserve"> </w:t>
      </w:r>
      <w:r w:rsidR="00BE69E4">
        <w:rPr>
          <w:sz w:val="24"/>
          <w:szCs w:val="24"/>
        </w:rPr>
        <w:t xml:space="preserve">(specified in Schedule 2 to the Regulations) </w:t>
      </w:r>
      <w:r w:rsidRPr="00066D43">
        <w:rPr>
          <w:sz w:val="24"/>
          <w:szCs w:val="24"/>
        </w:rPr>
        <w:t xml:space="preserve">to be repealed. </w:t>
      </w:r>
    </w:p>
    <w:p w14:paraId="0C97CA11" w14:textId="77777777" w:rsidR="007C4B26" w:rsidRPr="00066D43" w:rsidRDefault="009E1220" w:rsidP="007C4B26">
      <w:pPr>
        <w:pStyle w:val="ActHead5"/>
        <w:rPr>
          <w:szCs w:val="24"/>
        </w:rPr>
      </w:pPr>
      <w:bookmarkStart w:id="5" w:name="_Toc527379430"/>
      <w:r w:rsidRPr="00066D43">
        <w:rPr>
          <w:rStyle w:val="CharSectno"/>
          <w:szCs w:val="24"/>
        </w:rPr>
        <w:t xml:space="preserve">Section </w:t>
      </w:r>
      <w:r w:rsidR="007C4B26" w:rsidRPr="00066D43">
        <w:rPr>
          <w:rStyle w:val="CharSectno"/>
          <w:szCs w:val="24"/>
        </w:rPr>
        <w:t>5</w:t>
      </w:r>
      <w:r w:rsidR="007C4B26" w:rsidRPr="00066D43">
        <w:rPr>
          <w:szCs w:val="24"/>
        </w:rPr>
        <w:t xml:space="preserve"> </w:t>
      </w:r>
      <w:r w:rsidRPr="00066D43">
        <w:rPr>
          <w:szCs w:val="24"/>
        </w:rPr>
        <w:t>-</w:t>
      </w:r>
      <w:r w:rsidR="007C4B26" w:rsidRPr="00066D43">
        <w:rPr>
          <w:szCs w:val="24"/>
        </w:rPr>
        <w:t xml:space="preserve"> Definitions</w:t>
      </w:r>
      <w:bookmarkEnd w:id="5"/>
    </w:p>
    <w:p w14:paraId="362FA134" w14:textId="36B27E6A" w:rsidR="009E1220" w:rsidRDefault="009E1220" w:rsidP="009E1220">
      <w:pPr>
        <w:pStyle w:val="subsection"/>
        <w:tabs>
          <w:tab w:val="clear" w:pos="1021"/>
          <w:tab w:val="right" w:pos="0"/>
        </w:tabs>
        <w:ind w:left="0" w:firstLine="0"/>
        <w:rPr>
          <w:bCs/>
          <w:sz w:val="24"/>
          <w:szCs w:val="24"/>
        </w:rPr>
      </w:pPr>
      <w:r w:rsidRPr="00066D43">
        <w:rPr>
          <w:bCs/>
          <w:sz w:val="24"/>
          <w:szCs w:val="24"/>
        </w:rPr>
        <w:t xml:space="preserve">Section 5 provides definitions for key </w:t>
      </w:r>
      <w:r w:rsidR="00435E09">
        <w:rPr>
          <w:bCs/>
          <w:sz w:val="24"/>
          <w:szCs w:val="24"/>
        </w:rPr>
        <w:t>terms</w:t>
      </w:r>
      <w:r w:rsidR="00435E09" w:rsidRPr="00066D43">
        <w:rPr>
          <w:bCs/>
          <w:sz w:val="24"/>
          <w:szCs w:val="24"/>
        </w:rPr>
        <w:t xml:space="preserve"> </w:t>
      </w:r>
      <w:r w:rsidRPr="00066D43">
        <w:rPr>
          <w:bCs/>
          <w:sz w:val="24"/>
          <w:szCs w:val="24"/>
        </w:rPr>
        <w:t>used in the Regulations.</w:t>
      </w:r>
    </w:p>
    <w:p w14:paraId="78A87D66" w14:textId="7784E751" w:rsidR="005534E2" w:rsidRDefault="005534E2" w:rsidP="009E1220">
      <w:pPr>
        <w:pStyle w:val="subsection"/>
        <w:tabs>
          <w:tab w:val="clear" w:pos="1021"/>
          <w:tab w:val="right" w:pos="0"/>
        </w:tabs>
        <w:ind w:left="0" w:firstLine="0"/>
        <w:rPr>
          <w:bCs/>
          <w:sz w:val="24"/>
          <w:szCs w:val="24"/>
        </w:rPr>
      </w:pPr>
      <w:r>
        <w:rPr>
          <w:bCs/>
          <w:sz w:val="24"/>
          <w:szCs w:val="24"/>
        </w:rPr>
        <w:t xml:space="preserve">The note to section 5 refers to a number of expressions that are used in the Regulations, which are defined in the </w:t>
      </w:r>
      <w:r w:rsidR="00160610">
        <w:rPr>
          <w:bCs/>
          <w:sz w:val="24"/>
          <w:szCs w:val="24"/>
        </w:rPr>
        <w:t>Act</w:t>
      </w:r>
      <w:r>
        <w:rPr>
          <w:bCs/>
          <w:sz w:val="24"/>
          <w:szCs w:val="24"/>
        </w:rPr>
        <w:t xml:space="preserve">. The note includes a list of </w:t>
      </w:r>
      <w:r w:rsidR="002537B5">
        <w:rPr>
          <w:bCs/>
          <w:sz w:val="24"/>
          <w:szCs w:val="24"/>
        </w:rPr>
        <w:t xml:space="preserve">relevant </w:t>
      </w:r>
      <w:r>
        <w:rPr>
          <w:bCs/>
          <w:sz w:val="24"/>
          <w:szCs w:val="24"/>
        </w:rPr>
        <w:t xml:space="preserve">expressions that are defined in the </w:t>
      </w:r>
      <w:r w:rsidR="00160610">
        <w:rPr>
          <w:bCs/>
          <w:sz w:val="24"/>
          <w:szCs w:val="24"/>
        </w:rPr>
        <w:t>Act</w:t>
      </w:r>
      <w:r>
        <w:rPr>
          <w:bCs/>
          <w:sz w:val="24"/>
          <w:szCs w:val="24"/>
        </w:rPr>
        <w:t>.</w:t>
      </w:r>
    </w:p>
    <w:p w14:paraId="5C48161D" w14:textId="14424046" w:rsidR="00AE0928" w:rsidRDefault="00531F76" w:rsidP="009E1220">
      <w:pPr>
        <w:pStyle w:val="subsection"/>
        <w:tabs>
          <w:tab w:val="clear" w:pos="1021"/>
          <w:tab w:val="right" w:pos="0"/>
        </w:tabs>
        <w:ind w:left="0" w:firstLine="0"/>
        <w:rPr>
          <w:bCs/>
          <w:sz w:val="24"/>
          <w:szCs w:val="24"/>
        </w:rPr>
      </w:pPr>
      <w:r>
        <w:rPr>
          <w:b/>
          <w:bCs/>
          <w:i/>
          <w:sz w:val="24"/>
          <w:szCs w:val="24"/>
        </w:rPr>
        <w:t>Access provider</w:t>
      </w:r>
      <w:r w:rsidR="00AE0928" w:rsidRPr="00133E51">
        <w:rPr>
          <w:bCs/>
          <w:sz w:val="24"/>
          <w:szCs w:val="24"/>
        </w:rPr>
        <w:t xml:space="preserve"> is defined to mean </w:t>
      </w:r>
      <w:r w:rsidR="005534E2">
        <w:rPr>
          <w:bCs/>
          <w:sz w:val="24"/>
          <w:szCs w:val="24"/>
        </w:rPr>
        <w:t>the owner or operator of a broadcasting transmission tower or a designated associated facility.</w:t>
      </w:r>
    </w:p>
    <w:p w14:paraId="50F70518" w14:textId="677514CA" w:rsidR="00531F76" w:rsidRDefault="00531F76" w:rsidP="009E1220">
      <w:pPr>
        <w:pStyle w:val="subsection"/>
        <w:tabs>
          <w:tab w:val="clear" w:pos="1021"/>
          <w:tab w:val="right" w:pos="0"/>
        </w:tabs>
        <w:ind w:left="0" w:firstLine="0"/>
        <w:rPr>
          <w:bCs/>
          <w:sz w:val="24"/>
          <w:szCs w:val="24"/>
        </w:rPr>
      </w:pPr>
      <w:r>
        <w:rPr>
          <w:b/>
          <w:bCs/>
          <w:i/>
          <w:sz w:val="24"/>
          <w:szCs w:val="24"/>
        </w:rPr>
        <w:t>Access seeker</w:t>
      </w:r>
      <w:r>
        <w:rPr>
          <w:bCs/>
          <w:sz w:val="24"/>
          <w:szCs w:val="24"/>
        </w:rPr>
        <w:t xml:space="preserve"> is defined to mean </w:t>
      </w:r>
      <w:r w:rsidRPr="00531F76">
        <w:rPr>
          <w:bCs/>
          <w:sz w:val="24"/>
          <w:szCs w:val="24"/>
        </w:rPr>
        <w:t xml:space="preserve">a person described as an access seeker in clause 45, 45A or 46 of Schedule 4 to the </w:t>
      </w:r>
      <w:r w:rsidR="005E2288">
        <w:rPr>
          <w:bCs/>
          <w:sz w:val="24"/>
          <w:szCs w:val="24"/>
        </w:rPr>
        <w:t>A</w:t>
      </w:r>
      <w:r w:rsidR="00160610">
        <w:rPr>
          <w:bCs/>
          <w:sz w:val="24"/>
          <w:szCs w:val="24"/>
        </w:rPr>
        <w:t>ct</w:t>
      </w:r>
      <w:r w:rsidR="003C29F2">
        <w:rPr>
          <w:bCs/>
          <w:sz w:val="24"/>
          <w:szCs w:val="24"/>
        </w:rPr>
        <w:t>.</w:t>
      </w:r>
      <w:r w:rsidRPr="00531F76">
        <w:rPr>
          <w:bCs/>
          <w:sz w:val="24"/>
          <w:szCs w:val="24"/>
        </w:rPr>
        <w:t xml:space="preserve"> For the purposes of those clauses of the Act an access seeker is a national broadcaster (the A</w:t>
      </w:r>
      <w:r w:rsidR="003C29F2">
        <w:rPr>
          <w:bCs/>
          <w:sz w:val="24"/>
          <w:szCs w:val="24"/>
        </w:rPr>
        <w:t xml:space="preserve">ustralian </w:t>
      </w:r>
      <w:r w:rsidRPr="00531F76">
        <w:rPr>
          <w:bCs/>
          <w:sz w:val="24"/>
          <w:szCs w:val="24"/>
        </w:rPr>
        <w:t>B</w:t>
      </w:r>
      <w:r w:rsidR="003C29F2">
        <w:rPr>
          <w:bCs/>
          <w:sz w:val="24"/>
          <w:szCs w:val="24"/>
        </w:rPr>
        <w:t xml:space="preserve">roadcasting </w:t>
      </w:r>
      <w:r w:rsidRPr="00531F76">
        <w:rPr>
          <w:bCs/>
          <w:sz w:val="24"/>
          <w:szCs w:val="24"/>
        </w:rPr>
        <w:t>C</w:t>
      </w:r>
      <w:r w:rsidR="003C29F2">
        <w:rPr>
          <w:bCs/>
          <w:sz w:val="24"/>
          <w:szCs w:val="24"/>
        </w:rPr>
        <w:t>orporation</w:t>
      </w:r>
      <w:r w:rsidRPr="00531F76">
        <w:rPr>
          <w:bCs/>
          <w:sz w:val="24"/>
          <w:szCs w:val="24"/>
        </w:rPr>
        <w:t xml:space="preserve"> or </w:t>
      </w:r>
      <w:r w:rsidR="003C29F2">
        <w:rPr>
          <w:bCs/>
          <w:sz w:val="24"/>
          <w:szCs w:val="24"/>
        </w:rPr>
        <w:t xml:space="preserve">the </w:t>
      </w:r>
      <w:r w:rsidRPr="00531F76">
        <w:rPr>
          <w:bCs/>
          <w:sz w:val="24"/>
          <w:szCs w:val="24"/>
        </w:rPr>
        <w:t>S</w:t>
      </w:r>
      <w:r w:rsidR="003C29F2">
        <w:rPr>
          <w:bCs/>
          <w:sz w:val="24"/>
          <w:szCs w:val="24"/>
        </w:rPr>
        <w:t xml:space="preserve">pecial Broadcasting </w:t>
      </w:r>
      <w:r w:rsidRPr="00531F76">
        <w:rPr>
          <w:bCs/>
          <w:sz w:val="24"/>
          <w:szCs w:val="24"/>
        </w:rPr>
        <w:t>S</w:t>
      </w:r>
      <w:r w:rsidR="003C29F2">
        <w:rPr>
          <w:bCs/>
          <w:sz w:val="24"/>
          <w:szCs w:val="24"/>
        </w:rPr>
        <w:t>ervice</w:t>
      </w:r>
      <w:r w:rsidRPr="00531F76">
        <w:rPr>
          <w:bCs/>
          <w:sz w:val="24"/>
          <w:szCs w:val="24"/>
        </w:rPr>
        <w:t>), a commercial television broadcaster or a datacaster.</w:t>
      </w:r>
    </w:p>
    <w:p w14:paraId="2E165000" w14:textId="35C35119" w:rsidR="00531F76" w:rsidRPr="005534E2" w:rsidRDefault="00531F76" w:rsidP="009E1220">
      <w:pPr>
        <w:pStyle w:val="subsection"/>
        <w:tabs>
          <w:tab w:val="clear" w:pos="1021"/>
          <w:tab w:val="right" w:pos="0"/>
        </w:tabs>
        <w:ind w:left="0" w:firstLine="0"/>
        <w:rPr>
          <w:bCs/>
          <w:sz w:val="24"/>
          <w:szCs w:val="24"/>
        </w:rPr>
      </w:pPr>
      <w:r>
        <w:rPr>
          <w:b/>
          <w:bCs/>
          <w:i/>
          <w:sz w:val="24"/>
          <w:szCs w:val="24"/>
        </w:rPr>
        <w:t>Act</w:t>
      </w:r>
      <w:r>
        <w:rPr>
          <w:bCs/>
          <w:sz w:val="24"/>
          <w:szCs w:val="24"/>
        </w:rPr>
        <w:t xml:space="preserve"> means</w:t>
      </w:r>
      <w:r w:rsidR="005534E2">
        <w:rPr>
          <w:bCs/>
          <w:sz w:val="24"/>
          <w:szCs w:val="24"/>
        </w:rPr>
        <w:t xml:space="preserve"> the </w:t>
      </w:r>
      <w:r w:rsidR="005534E2">
        <w:rPr>
          <w:bCs/>
          <w:i/>
          <w:sz w:val="24"/>
          <w:szCs w:val="24"/>
        </w:rPr>
        <w:t>Broadcasting Services Act 1992</w:t>
      </w:r>
      <w:r w:rsidR="005534E2">
        <w:rPr>
          <w:bCs/>
          <w:sz w:val="24"/>
          <w:szCs w:val="24"/>
        </w:rPr>
        <w:t>.</w:t>
      </w:r>
    </w:p>
    <w:p w14:paraId="4AFF1D88" w14:textId="142A6224" w:rsidR="00531F76" w:rsidRDefault="00531F76" w:rsidP="009E1220">
      <w:pPr>
        <w:pStyle w:val="subsection"/>
        <w:tabs>
          <w:tab w:val="clear" w:pos="1021"/>
          <w:tab w:val="right" w:pos="0"/>
        </w:tabs>
        <w:ind w:left="0" w:firstLine="0"/>
        <w:rPr>
          <w:bCs/>
          <w:sz w:val="24"/>
          <w:szCs w:val="24"/>
        </w:rPr>
      </w:pPr>
      <w:r>
        <w:rPr>
          <w:b/>
          <w:bCs/>
          <w:i/>
          <w:sz w:val="24"/>
          <w:szCs w:val="24"/>
        </w:rPr>
        <w:t>Determination</w:t>
      </w:r>
      <w:r>
        <w:rPr>
          <w:bCs/>
          <w:sz w:val="24"/>
          <w:szCs w:val="24"/>
        </w:rPr>
        <w:t xml:space="preserve"> means</w:t>
      </w:r>
      <w:r w:rsidR="005534E2">
        <w:rPr>
          <w:bCs/>
          <w:sz w:val="24"/>
          <w:szCs w:val="24"/>
        </w:rPr>
        <w:t xml:space="preserve"> a written determination made by the ACCC under subsection 9(1) of these Regulations. This is a written determination of the terms and conditions of access.</w:t>
      </w:r>
    </w:p>
    <w:p w14:paraId="4953504B" w14:textId="13434122" w:rsidR="00160610" w:rsidRDefault="00531F76" w:rsidP="00160610">
      <w:pPr>
        <w:pStyle w:val="subsection"/>
        <w:tabs>
          <w:tab w:val="clear" w:pos="1021"/>
          <w:tab w:val="right" w:pos="0"/>
        </w:tabs>
        <w:ind w:left="0" w:firstLine="0"/>
        <w:rPr>
          <w:bCs/>
          <w:sz w:val="24"/>
          <w:szCs w:val="24"/>
        </w:rPr>
      </w:pPr>
      <w:r>
        <w:rPr>
          <w:b/>
          <w:bCs/>
          <w:i/>
          <w:sz w:val="24"/>
          <w:szCs w:val="24"/>
        </w:rPr>
        <w:lastRenderedPageBreak/>
        <w:t>Dispute</w:t>
      </w:r>
      <w:r>
        <w:rPr>
          <w:bCs/>
          <w:sz w:val="24"/>
          <w:szCs w:val="24"/>
        </w:rPr>
        <w:t xml:space="preserve"> means</w:t>
      </w:r>
      <w:r w:rsidR="005534E2">
        <w:rPr>
          <w:bCs/>
          <w:sz w:val="24"/>
          <w:szCs w:val="24"/>
        </w:rPr>
        <w:t xml:space="preserve"> a dispute notified under subsection 8(1). This is a dispute that an access seeker or access provider notifies to the ACCC in writing, arising where the access seeker and access provider are unable to agree about the terms and conditions on which access is, or is to be given to a broadcasting transmission tower, the site of a broadcasting transmission tower, or a designated associated facility.</w:t>
      </w:r>
    </w:p>
    <w:p w14:paraId="0C6D7384" w14:textId="21AD5FDC" w:rsidR="00160610" w:rsidRPr="00531F76" w:rsidRDefault="00531F76" w:rsidP="00160610">
      <w:pPr>
        <w:pStyle w:val="subsection"/>
        <w:tabs>
          <w:tab w:val="clear" w:pos="1021"/>
          <w:tab w:val="right" w:pos="0"/>
        </w:tabs>
        <w:ind w:left="0" w:firstLine="0"/>
        <w:rPr>
          <w:bCs/>
          <w:sz w:val="24"/>
          <w:szCs w:val="24"/>
        </w:rPr>
      </w:pPr>
      <w:r>
        <w:rPr>
          <w:b/>
          <w:bCs/>
          <w:i/>
          <w:sz w:val="24"/>
          <w:szCs w:val="24"/>
        </w:rPr>
        <w:t>Telecommunications network</w:t>
      </w:r>
      <w:r>
        <w:rPr>
          <w:bCs/>
          <w:sz w:val="24"/>
          <w:szCs w:val="24"/>
        </w:rPr>
        <w:t xml:space="preserve"> has the </w:t>
      </w:r>
      <w:r w:rsidRPr="00531F76">
        <w:rPr>
          <w:bCs/>
          <w:sz w:val="24"/>
          <w:szCs w:val="24"/>
        </w:rPr>
        <w:t xml:space="preserve">meaning given by section 7 of the </w:t>
      </w:r>
      <w:r w:rsidRPr="00531F76">
        <w:rPr>
          <w:bCs/>
          <w:i/>
          <w:sz w:val="24"/>
          <w:szCs w:val="24"/>
        </w:rPr>
        <w:t>Telecommunications Act 1997</w:t>
      </w:r>
      <w:r w:rsidRPr="00531F76">
        <w:rPr>
          <w:bCs/>
          <w:sz w:val="24"/>
          <w:szCs w:val="24"/>
        </w:rPr>
        <w:t>, which provides that a telecommunications network is a system, or series of systems, that carries or is capable of carrying, communications by means of guided and/or unguided electromagnetic energy.</w:t>
      </w:r>
      <w:r>
        <w:rPr>
          <w:bCs/>
          <w:sz w:val="24"/>
          <w:szCs w:val="24"/>
        </w:rPr>
        <w:t xml:space="preserve"> </w:t>
      </w:r>
    </w:p>
    <w:p w14:paraId="1E428458" w14:textId="77777777" w:rsidR="00160610" w:rsidRDefault="00160610" w:rsidP="00133E51">
      <w:pPr>
        <w:pStyle w:val="ActHead2"/>
        <w:rPr>
          <w:rStyle w:val="CharPartNo"/>
          <w:sz w:val="28"/>
          <w:szCs w:val="28"/>
        </w:rPr>
      </w:pPr>
      <w:bookmarkStart w:id="6" w:name="_Toc527379431"/>
    </w:p>
    <w:p w14:paraId="0326D885" w14:textId="0B88E840" w:rsidR="007C4B26" w:rsidRPr="0099545A" w:rsidRDefault="007C4B26" w:rsidP="00133E51">
      <w:pPr>
        <w:pStyle w:val="ActHead2"/>
        <w:rPr>
          <w:rStyle w:val="CharPartNo"/>
          <w:sz w:val="28"/>
          <w:szCs w:val="28"/>
        </w:rPr>
      </w:pPr>
      <w:r w:rsidRPr="0099545A">
        <w:rPr>
          <w:rStyle w:val="CharPartNo"/>
          <w:sz w:val="28"/>
          <w:szCs w:val="28"/>
        </w:rPr>
        <w:t>Part 2—</w:t>
      </w:r>
      <w:bookmarkEnd w:id="6"/>
      <w:r w:rsidR="00531F76" w:rsidRPr="0099545A">
        <w:rPr>
          <w:rStyle w:val="CharPartNo"/>
          <w:sz w:val="28"/>
          <w:szCs w:val="28"/>
        </w:rPr>
        <w:t>Access to designated associated facilities</w:t>
      </w:r>
      <w:r w:rsidRPr="0099545A">
        <w:rPr>
          <w:rStyle w:val="CharPartNo"/>
          <w:sz w:val="28"/>
          <w:szCs w:val="28"/>
        </w:rPr>
        <w:t xml:space="preserve"> </w:t>
      </w:r>
    </w:p>
    <w:p w14:paraId="1D508D82" w14:textId="3B7161FA" w:rsidR="007C4B26" w:rsidRPr="00066D43" w:rsidRDefault="009E1220" w:rsidP="007C4B26">
      <w:pPr>
        <w:pStyle w:val="ActHead5"/>
        <w:rPr>
          <w:szCs w:val="24"/>
        </w:rPr>
      </w:pPr>
      <w:bookmarkStart w:id="7" w:name="_Toc527379432"/>
      <w:r w:rsidRPr="00066D43">
        <w:rPr>
          <w:rStyle w:val="CharSectno"/>
          <w:szCs w:val="24"/>
        </w:rPr>
        <w:t xml:space="preserve">Section </w:t>
      </w:r>
      <w:r w:rsidR="007C4B26" w:rsidRPr="00066D43">
        <w:rPr>
          <w:rStyle w:val="CharSectno"/>
          <w:szCs w:val="24"/>
        </w:rPr>
        <w:t>6</w:t>
      </w:r>
      <w:r w:rsidRPr="00066D43">
        <w:rPr>
          <w:szCs w:val="24"/>
        </w:rPr>
        <w:t xml:space="preserve"> - </w:t>
      </w:r>
      <w:bookmarkEnd w:id="7"/>
      <w:r w:rsidR="00C12D6F" w:rsidRPr="00C12D6F">
        <w:rPr>
          <w:szCs w:val="24"/>
        </w:rPr>
        <w:t>Exemptions from obligation to give access</w:t>
      </w:r>
    </w:p>
    <w:p w14:paraId="2B636BEB" w14:textId="0B573D08" w:rsidR="00C12D6F" w:rsidRPr="00DF1590" w:rsidRDefault="00C12D6F" w:rsidP="00DF1590">
      <w:pPr>
        <w:pStyle w:val="subsection"/>
        <w:tabs>
          <w:tab w:val="clear" w:pos="1021"/>
          <w:tab w:val="right" w:pos="0"/>
        </w:tabs>
        <w:ind w:left="0" w:firstLine="0"/>
        <w:rPr>
          <w:bCs/>
          <w:sz w:val="24"/>
          <w:szCs w:val="24"/>
        </w:rPr>
      </w:pPr>
      <w:r w:rsidRPr="00DF1590">
        <w:rPr>
          <w:bCs/>
          <w:sz w:val="24"/>
          <w:szCs w:val="24"/>
        </w:rPr>
        <w:t>Subsection 6(1) provides that the obligations on owners or operators arising from subclause 45A(9) of Schedule 4 to the Act to provide access to designated associated facilities do not apply if subsection (2) or (4) applies.</w:t>
      </w:r>
    </w:p>
    <w:p w14:paraId="202FD05E" w14:textId="512B34A2" w:rsidR="00C12D6F" w:rsidRPr="00DF1590" w:rsidRDefault="00D368DE" w:rsidP="00DF1590">
      <w:pPr>
        <w:pStyle w:val="subsection"/>
        <w:tabs>
          <w:tab w:val="clear" w:pos="1021"/>
          <w:tab w:val="right" w:pos="0"/>
        </w:tabs>
        <w:ind w:left="0" w:firstLine="0"/>
        <w:rPr>
          <w:bCs/>
          <w:sz w:val="24"/>
          <w:szCs w:val="24"/>
        </w:rPr>
      </w:pPr>
      <w:r w:rsidRPr="00DF1590">
        <w:rPr>
          <w:bCs/>
          <w:sz w:val="24"/>
          <w:szCs w:val="24"/>
        </w:rPr>
        <w:t>Subsection 6(2) applies where the provision of access by the owner or operator of a designated associated facility would:</w:t>
      </w:r>
    </w:p>
    <w:p w14:paraId="333439BE" w14:textId="6854421F" w:rsidR="00C12D6F" w:rsidRPr="002F00B2" w:rsidRDefault="00D368DE" w:rsidP="002F00B2">
      <w:pPr>
        <w:pStyle w:val="ListParagraph"/>
        <w:numPr>
          <w:ilvl w:val="0"/>
          <w:numId w:val="2"/>
        </w:numPr>
        <w:shd w:val="clear" w:color="auto" w:fill="FFFFFF"/>
        <w:spacing w:before="180" w:after="0" w:line="240" w:lineRule="auto"/>
        <w:rPr>
          <w:sz w:val="24"/>
          <w:szCs w:val="24"/>
        </w:rPr>
      </w:pPr>
      <w:r w:rsidRPr="002F00B2">
        <w:rPr>
          <w:rFonts w:ascii="Times New Roman" w:hAnsi="Times New Roman"/>
          <w:sz w:val="24"/>
          <w:szCs w:val="24"/>
        </w:rPr>
        <w:t>prevent</w:t>
      </w:r>
      <w:r w:rsidR="00C12D6F" w:rsidRPr="002F00B2">
        <w:rPr>
          <w:rFonts w:ascii="Times New Roman" w:hAnsi="Times New Roman"/>
          <w:sz w:val="24"/>
          <w:szCs w:val="24"/>
        </w:rPr>
        <w:t xml:space="preserve"> one of their existing customers from obtaining a, sufficient amount of a service to meet their reasonably anticipated requirements, with those requirements to be measured at the time the request for access is made (note that the reasonably anticipated requirements may be greater or less than actual usage at the time the request is made);</w:t>
      </w:r>
    </w:p>
    <w:p w14:paraId="424E1B9E" w14:textId="354A5A33" w:rsidR="00C12D6F" w:rsidRPr="002F00B2" w:rsidRDefault="00D368DE" w:rsidP="002F00B2">
      <w:pPr>
        <w:pStyle w:val="ListParagraph"/>
        <w:numPr>
          <w:ilvl w:val="0"/>
          <w:numId w:val="2"/>
        </w:numPr>
        <w:shd w:val="clear" w:color="auto" w:fill="FFFFFF"/>
        <w:spacing w:before="180" w:after="0" w:line="240" w:lineRule="auto"/>
        <w:rPr>
          <w:sz w:val="24"/>
          <w:szCs w:val="24"/>
        </w:rPr>
      </w:pPr>
      <w:r w:rsidRPr="002F00B2">
        <w:rPr>
          <w:rFonts w:ascii="Times New Roman" w:hAnsi="Times New Roman"/>
          <w:sz w:val="24"/>
          <w:szCs w:val="24"/>
        </w:rPr>
        <w:t>prevent</w:t>
      </w:r>
      <w:r w:rsidR="00C12D6F" w:rsidRPr="002F00B2">
        <w:rPr>
          <w:rFonts w:ascii="Times New Roman" w:hAnsi="Times New Roman"/>
          <w:sz w:val="24"/>
          <w:szCs w:val="24"/>
        </w:rPr>
        <w:t xml:space="preserve"> a person who, at the time the request is made, has a right to access either under a contract or a determination made by the ACCC (a 'pre-request right'), from being able to obtain a sufficient level of access to meet his or her actual requirements;</w:t>
      </w:r>
    </w:p>
    <w:p w14:paraId="49864B4C" w14:textId="1019B7D5" w:rsidR="00C12D6F" w:rsidRPr="002F00B2" w:rsidRDefault="00C12D6F" w:rsidP="002F00B2">
      <w:pPr>
        <w:pStyle w:val="ListParagraph"/>
        <w:numPr>
          <w:ilvl w:val="0"/>
          <w:numId w:val="2"/>
        </w:numPr>
        <w:shd w:val="clear" w:color="auto" w:fill="FFFFFF"/>
        <w:spacing w:before="180" w:after="0" w:line="240" w:lineRule="auto"/>
        <w:rPr>
          <w:sz w:val="24"/>
          <w:szCs w:val="24"/>
        </w:rPr>
      </w:pPr>
      <w:r w:rsidRPr="002F00B2">
        <w:rPr>
          <w:rFonts w:ascii="Times New Roman" w:hAnsi="Times New Roman"/>
          <w:sz w:val="24"/>
          <w:szCs w:val="24"/>
        </w:rPr>
        <w:t>depriving a person of a right which he or she possesses under a contract which was in force on 10 May 2000 (a 'protected contractual right').</w:t>
      </w:r>
    </w:p>
    <w:p w14:paraId="50B3D39F" w14:textId="77777777" w:rsidR="00160610" w:rsidRDefault="00057E83" w:rsidP="00DF1590">
      <w:pPr>
        <w:pStyle w:val="subsection"/>
        <w:tabs>
          <w:tab w:val="clear" w:pos="1021"/>
          <w:tab w:val="right" w:pos="0"/>
        </w:tabs>
        <w:ind w:left="0" w:firstLine="0"/>
        <w:rPr>
          <w:bCs/>
          <w:sz w:val="24"/>
          <w:szCs w:val="24"/>
        </w:rPr>
      </w:pPr>
      <w:r>
        <w:rPr>
          <w:bCs/>
          <w:sz w:val="24"/>
          <w:szCs w:val="24"/>
        </w:rPr>
        <w:t>“Sufficient amount of service” means that the access seeker is able to fully achieve the material performance of the relevant defined transmission tower, facilities and designated associated facilities during the term of the service.  This reflects ongoing operation, continuity and integrity</w:t>
      </w:r>
      <w:r w:rsidR="00160610">
        <w:rPr>
          <w:bCs/>
          <w:sz w:val="24"/>
          <w:szCs w:val="24"/>
        </w:rPr>
        <w:t xml:space="preserve"> (paragraph 6(2)(a))</w:t>
      </w:r>
      <w:r>
        <w:rPr>
          <w:bCs/>
          <w:sz w:val="24"/>
          <w:szCs w:val="24"/>
        </w:rPr>
        <w:t xml:space="preserve">. </w:t>
      </w:r>
    </w:p>
    <w:p w14:paraId="0201574A" w14:textId="77777777" w:rsidR="00160610" w:rsidRDefault="00057E83" w:rsidP="00DF1590">
      <w:pPr>
        <w:pStyle w:val="subsection"/>
        <w:tabs>
          <w:tab w:val="clear" w:pos="1021"/>
          <w:tab w:val="right" w:pos="0"/>
        </w:tabs>
        <w:ind w:left="0" w:firstLine="0"/>
        <w:rPr>
          <w:bCs/>
          <w:sz w:val="24"/>
          <w:szCs w:val="24"/>
        </w:rPr>
      </w:pPr>
      <w:r>
        <w:rPr>
          <w:bCs/>
          <w:sz w:val="24"/>
          <w:szCs w:val="24"/>
        </w:rPr>
        <w:t>“Sufficient level of access” means that physical access conditions and access rights are not materially degraded during the term of the service</w:t>
      </w:r>
      <w:r w:rsidR="00160610">
        <w:rPr>
          <w:bCs/>
          <w:sz w:val="24"/>
          <w:szCs w:val="24"/>
        </w:rPr>
        <w:t xml:space="preserve"> (paragraph 6(2)(b)). </w:t>
      </w:r>
    </w:p>
    <w:p w14:paraId="41AB422D" w14:textId="4BD7B31C" w:rsidR="00057E83" w:rsidRDefault="00057E83" w:rsidP="00DF1590">
      <w:pPr>
        <w:pStyle w:val="subsection"/>
        <w:tabs>
          <w:tab w:val="clear" w:pos="1021"/>
          <w:tab w:val="right" w:pos="0"/>
        </w:tabs>
        <w:ind w:left="0" w:firstLine="0"/>
        <w:rPr>
          <w:bCs/>
          <w:sz w:val="24"/>
          <w:szCs w:val="24"/>
        </w:rPr>
      </w:pPr>
      <w:r>
        <w:rPr>
          <w:bCs/>
          <w:sz w:val="24"/>
          <w:szCs w:val="24"/>
        </w:rPr>
        <w:t>The level of sufficiency would be documented by the</w:t>
      </w:r>
      <w:r w:rsidR="006A792E">
        <w:rPr>
          <w:bCs/>
          <w:sz w:val="24"/>
          <w:szCs w:val="24"/>
        </w:rPr>
        <w:t xml:space="preserve"> parties and evidence would be required to meet the threshold. </w:t>
      </w:r>
      <w:r>
        <w:rPr>
          <w:bCs/>
          <w:sz w:val="24"/>
          <w:szCs w:val="24"/>
        </w:rPr>
        <w:t xml:space="preserve">           </w:t>
      </w:r>
    </w:p>
    <w:p w14:paraId="5E6E6ADD" w14:textId="1EE4CF93" w:rsidR="006A792E" w:rsidRDefault="002C0D81" w:rsidP="00DF1590">
      <w:pPr>
        <w:pStyle w:val="subsection"/>
        <w:tabs>
          <w:tab w:val="clear" w:pos="1021"/>
          <w:tab w:val="right" w:pos="0"/>
        </w:tabs>
        <w:ind w:left="0" w:firstLine="0"/>
        <w:rPr>
          <w:bCs/>
          <w:sz w:val="24"/>
          <w:szCs w:val="24"/>
        </w:rPr>
      </w:pPr>
      <w:r>
        <w:rPr>
          <w:bCs/>
          <w:sz w:val="24"/>
          <w:szCs w:val="24"/>
        </w:rPr>
        <w:t>Subsection</w:t>
      </w:r>
      <w:r w:rsidR="006A792E">
        <w:rPr>
          <w:bCs/>
          <w:sz w:val="24"/>
          <w:szCs w:val="24"/>
        </w:rPr>
        <w:t xml:space="preserve"> 6(3) </w:t>
      </w:r>
      <w:r w:rsidR="00B24391">
        <w:rPr>
          <w:bCs/>
          <w:sz w:val="24"/>
          <w:szCs w:val="24"/>
        </w:rPr>
        <w:t xml:space="preserve">clarifies that </w:t>
      </w:r>
      <w:r w:rsidR="006A792E">
        <w:rPr>
          <w:bCs/>
          <w:sz w:val="24"/>
          <w:szCs w:val="24"/>
        </w:rPr>
        <w:t xml:space="preserve">the person covered by subsection 6(2) is either the owner or operator of the designated associated </w:t>
      </w:r>
      <w:r>
        <w:rPr>
          <w:bCs/>
          <w:sz w:val="24"/>
          <w:szCs w:val="24"/>
        </w:rPr>
        <w:t>facility</w:t>
      </w:r>
      <w:r w:rsidR="00B24391">
        <w:rPr>
          <w:bCs/>
          <w:sz w:val="24"/>
          <w:szCs w:val="24"/>
        </w:rPr>
        <w:t>;</w:t>
      </w:r>
      <w:r w:rsidR="006A792E">
        <w:rPr>
          <w:bCs/>
          <w:sz w:val="24"/>
          <w:szCs w:val="24"/>
        </w:rPr>
        <w:t xml:space="preserve"> or a customer of the owner or operator who is seeking access</w:t>
      </w:r>
      <w:r w:rsidR="00B24391">
        <w:rPr>
          <w:bCs/>
          <w:sz w:val="24"/>
          <w:szCs w:val="24"/>
        </w:rPr>
        <w:t>,</w:t>
      </w:r>
      <w:r w:rsidR="006A792E">
        <w:rPr>
          <w:bCs/>
          <w:sz w:val="24"/>
          <w:szCs w:val="24"/>
        </w:rPr>
        <w:t xml:space="preserve"> or has a right to access</w:t>
      </w:r>
      <w:r w:rsidR="00B24391">
        <w:rPr>
          <w:bCs/>
          <w:sz w:val="24"/>
          <w:szCs w:val="24"/>
        </w:rPr>
        <w:t>,</w:t>
      </w:r>
      <w:r w:rsidR="006A792E">
        <w:rPr>
          <w:bCs/>
          <w:sz w:val="24"/>
          <w:szCs w:val="24"/>
        </w:rPr>
        <w:t xml:space="preserve"> the designated associated facility at the point in time that the request for access is made.    </w:t>
      </w:r>
    </w:p>
    <w:p w14:paraId="6253E7BB" w14:textId="5650D5D3" w:rsidR="00C12D6F" w:rsidRPr="00DF1590" w:rsidRDefault="00C12D6F" w:rsidP="00DF1590">
      <w:pPr>
        <w:pStyle w:val="subsection"/>
        <w:tabs>
          <w:tab w:val="clear" w:pos="1021"/>
          <w:tab w:val="right" w:pos="0"/>
        </w:tabs>
        <w:ind w:left="0" w:firstLine="0"/>
        <w:rPr>
          <w:bCs/>
          <w:sz w:val="24"/>
          <w:szCs w:val="24"/>
        </w:rPr>
      </w:pPr>
      <w:r w:rsidRPr="00DF1590">
        <w:rPr>
          <w:bCs/>
          <w:sz w:val="24"/>
          <w:szCs w:val="24"/>
        </w:rPr>
        <w:t>Sub</w:t>
      </w:r>
      <w:r w:rsidR="008A0ADA">
        <w:rPr>
          <w:bCs/>
          <w:sz w:val="24"/>
          <w:szCs w:val="24"/>
        </w:rPr>
        <w:t>section 6</w:t>
      </w:r>
      <w:r w:rsidRPr="00DF1590">
        <w:rPr>
          <w:bCs/>
          <w:sz w:val="24"/>
          <w:szCs w:val="24"/>
        </w:rPr>
        <w:t>(</w:t>
      </w:r>
      <w:r w:rsidR="008A0ADA">
        <w:rPr>
          <w:bCs/>
          <w:sz w:val="24"/>
          <w:szCs w:val="24"/>
        </w:rPr>
        <w:t>4</w:t>
      </w:r>
      <w:r w:rsidRPr="00DF1590">
        <w:rPr>
          <w:bCs/>
          <w:sz w:val="24"/>
          <w:szCs w:val="24"/>
        </w:rPr>
        <w:t xml:space="preserve">) provides that an owner or operator who would otherwise be required to give access under subclauses 45A(2) and (4) of Schedule 4 to the Act is not required to do so if </w:t>
      </w:r>
      <w:r w:rsidRPr="00DF1590">
        <w:rPr>
          <w:bCs/>
          <w:sz w:val="24"/>
          <w:szCs w:val="24"/>
        </w:rPr>
        <w:lastRenderedPageBreak/>
        <w:t>there are reasonable grounds to believe the access seeker would fail to a material extent either to comply with the terms and conditions on which the access provider complies, or is reasonably likely to comply, with the obligation to give access; or the access seeker would fail, in connection with the obligation, to protect the integrity of a telecommunications network</w:t>
      </w:r>
      <w:r w:rsidR="008A0ADA">
        <w:rPr>
          <w:bCs/>
          <w:sz w:val="24"/>
          <w:szCs w:val="24"/>
        </w:rPr>
        <w:t>, the continuity of a broadcasting service,</w:t>
      </w:r>
      <w:r w:rsidRPr="00DF1590">
        <w:rPr>
          <w:bCs/>
          <w:sz w:val="24"/>
          <w:szCs w:val="24"/>
        </w:rPr>
        <w:t xml:space="preserve"> or the safety of people working on a telecommunications network or facility or using services supplied by means of a telecommunications network or facility.</w:t>
      </w:r>
    </w:p>
    <w:p w14:paraId="583D8119" w14:textId="313FF6A8" w:rsidR="00CB579D" w:rsidRPr="00DF1590" w:rsidRDefault="00251202" w:rsidP="00DF1590">
      <w:pPr>
        <w:pStyle w:val="subsection"/>
        <w:tabs>
          <w:tab w:val="clear" w:pos="1021"/>
          <w:tab w:val="right" w:pos="0"/>
        </w:tabs>
        <w:ind w:left="0" w:firstLine="0"/>
        <w:rPr>
          <w:bCs/>
          <w:sz w:val="24"/>
          <w:szCs w:val="24"/>
        </w:rPr>
      </w:pPr>
      <w:r w:rsidRPr="00DF1590">
        <w:rPr>
          <w:bCs/>
          <w:sz w:val="24"/>
          <w:szCs w:val="24"/>
        </w:rPr>
        <w:t>Subs</w:t>
      </w:r>
      <w:r>
        <w:rPr>
          <w:bCs/>
          <w:sz w:val="24"/>
          <w:szCs w:val="24"/>
        </w:rPr>
        <w:t>ection</w:t>
      </w:r>
      <w:r w:rsidR="00C12D6F" w:rsidRPr="00DF1590">
        <w:rPr>
          <w:bCs/>
          <w:sz w:val="24"/>
          <w:szCs w:val="24"/>
        </w:rPr>
        <w:t xml:space="preserve"> </w:t>
      </w:r>
      <w:r w:rsidR="008A0ADA">
        <w:rPr>
          <w:bCs/>
          <w:sz w:val="24"/>
          <w:szCs w:val="24"/>
        </w:rPr>
        <w:t>6</w:t>
      </w:r>
      <w:r w:rsidR="00C12D6F" w:rsidRPr="00DF1590">
        <w:rPr>
          <w:bCs/>
          <w:sz w:val="24"/>
          <w:szCs w:val="24"/>
        </w:rPr>
        <w:t>(</w:t>
      </w:r>
      <w:r w:rsidR="008A0ADA">
        <w:rPr>
          <w:bCs/>
          <w:sz w:val="24"/>
          <w:szCs w:val="24"/>
        </w:rPr>
        <w:t>5</w:t>
      </w:r>
      <w:r w:rsidR="00C12D6F" w:rsidRPr="00DF1590">
        <w:rPr>
          <w:bCs/>
          <w:sz w:val="24"/>
          <w:szCs w:val="24"/>
        </w:rPr>
        <w:t>) provides examples of grounds for believing that an access seeker would fail to comply with the terms and conditions on which the access provider complies with the obligation to give access.</w:t>
      </w:r>
      <w:r w:rsidR="006A792E">
        <w:rPr>
          <w:bCs/>
          <w:sz w:val="24"/>
          <w:szCs w:val="24"/>
        </w:rPr>
        <w:t xml:space="preserve"> </w:t>
      </w:r>
      <w:r w:rsidR="00896B2A">
        <w:rPr>
          <w:bCs/>
          <w:sz w:val="24"/>
          <w:szCs w:val="24"/>
        </w:rPr>
        <w:t xml:space="preserve">Unlike the </w:t>
      </w:r>
      <w:r w:rsidR="00896B2A" w:rsidRPr="00AD4F9A">
        <w:rPr>
          <w:bCs/>
          <w:i/>
          <w:sz w:val="24"/>
          <w:szCs w:val="24"/>
        </w:rPr>
        <w:t>Telecommunications Act 1997,</w:t>
      </w:r>
      <w:r w:rsidR="00896B2A">
        <w:rPr>
          <w:bCs/>
          <w:sz w:val="24"/>
          <w:szCs w:val="24"/>
        </w:rPr>
        <w:t xml:space="preserve"> the </w:t>
      </w:r>
      <w:r w:rsidR="00AD4F9A">
        <w:rPr>
          <w:bCs/>
          <w:sz w:val="24"/>
          <w:szCs w:val="24"/>
        </w:rPr>
        <w:t>Act</w:t>
      </w:r>
      <w:r w:rsidR="00896B2A">
        <w:rPr>
          <w:bCs/>
          <w:sz w:val="24"/>
          <w:szCs w:val="24"/>
        </w:rPr>
        <w:t xml:space="preserve"> does not include these </w:t>
      </w:r>
      <w:r w:rsidR="002C0D81">
        <w:rPr>
          <w:bCs/>
          <w:sz w:val="24"/>
          <w:szCs w:val="24"/>
        </w:rPr>
        <w:t>examples</w:t>
      </w:r>
      <w:r w:rsidR="00896B2A">
        <w:rPr>
          <w:bCs/>
          <w:sz w:val="24"/>
          <w:szCs w:val="24"/>
        </w:rPr>
        <w:t xml:space="preserve"> so they are spelt out in the Regulations. </w:t>
      </w:r>
    </w:p>
    <w:p w14:paraId="7E4ECF83" w14:textId="0B44EFAC" w:rsidR="0099545A" w:rsidRPr="00B24D75" w:rsidRDefault="0099545A" w:rsidP="0099545A">
      <w:pPr>
        <w:pStyle w:val="ActHead2"/>
        <w:rPr>
          <w:rStyle w:val="CharPartNo"/>
          <w:sz w:val="28"/>
          <w:szCs w:val="28"/>
        </w:rPr>
      </w:pPr>
      <w:r w:rsidRPr="00B24D75">
        <w:rPr>
          <w:rStyle w:val="CharPartNo"/>
          <w:sz w:val="28"/>
          <w:szCs w:val="28"/>
        </w:rPr>
        <w:t>Part 3—Arbitration</w:t>
      </w:r>
    </w:p>
    <w:p w14:paraId="4A8E844F" w14:textId="27EAF3AC" w:rsidR="00CB579D" w:rsidRPr="00B24D75" w:rsidRDefault="00B24D75" w:rsidP="00B24D75">
      <w:pPr>
        <w:pStyle w:val="ActHead3"/>
        <w:ind w:left="0" w:firstLine="0"/>
        <w:rPr>
          <w:sz w:val="24"/>
          <w:szCs w:val="24"/>
        </w:rPr>
      </w:pPr>
      <w:r>
        <w:rPr>
          <w:sz w:val="24"/>
          <w:szCs w:val="24"/>
        </w:rPr>
        <w:t>Division 1</w:t>
      </w:r>
      <w:r w:rsidRPr="00B24D75">
        <w:t xml:space="preserve"> </w:t>
      </w:r>
      <w:r w:rsidRPr="00B24D75">
        <w:rPr>
          <w:sz w:val="24"/>
          <w:szCs w:val="24"/>
        </w:rPr>
        <w:t>—</w:t>
      </w:r>
      <w:r>
        <w:rPr>
          <w:sz w:val="24"/>
          <w:szCs w:val="24"/>
        </w:rPr>
        <w:t xml:space="preserve">General </w:t>
      </w:r>
    </w:p>
    <w:p w14:paraId="0910782E" w14:textId="42D40FAC" w:rsidR="00B24D75" w:rsidRPr="00DF1590" w:rsidRDefault="00B24D75" w:rsidP="00B24D75">
      <w:pPr>
        <w:pStyle w:val="ActHead5"/>
        <w:rPr>
          <w:rStyle w:val="CharSectno"/>
        </w:rPr>
      </w:pPr>
      <w:r w:rsidRPr="00066D43">
        <w:rPr>
          <w:rStyle w:val="CharSectno"/>
          <w:szCs w:val="24"/>
        </w:rPr>
        <w:t>Section 7</w:t>
      </w:r>
      <w:r w:rsidRPr="00DF1590">
        <w:rPr>
          <w:rStyle w:val="CharSectno"/>
        </w:rPr>
        <w:t xml:space="preserve"> - Purpose and application of this Part</w:t>
      </w:r>
    </w:p>
    <w:p w14:paraId="3F1B6F5D" w14:textId="47CDA4F5" w:rsidR="0099545A" w:rsidRPr="00DF1590" w:rsidRDefault="009A575F" w:rsidP="00DF1590">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DF1590">
        <w:rPr>
          <w:rFonts w:ascii="Times New Roman" w:eastAsia="Times New Roman" w:hAnsi="Times New Roman" w:cs="Times New Roman"/>
          <w:color w:val="000000"/>
          <w:sz w:val="24"/>
          <w:szCs w:val="24"/>
          <w:lang w:eastAsia="en-AU"/>
        </w:rPr>
        <w:t xml:space="preserve">Section 7 provides that the purpose of Part 3 is to </w:t>
      </w:r>
      <w:r w:rsidR="00DF1590" w:rsidRPr="00DF1590">
        <w:rPr>
          <w:rFonts w:ascii="Times New Roman" w:eastAsia="Times New Roman" w:hAnsi="Times New Roman" w:cs="Times New Roman"/>
          <w:color w:val="000000"/>
          <w:sz w:val="24"/>
          <w:szCs w:val="24"/>
          <w:lang w:eastAsia="en-AU"/>
        </w:rPr>
        <w:t>set out how an arbitration is to be conducted for the purposes of subclause 47(3)</w:t>
      </w:r>
      <w:r w:rsidR="00DF1590">
        <w:rPr>
          <w:rFonts w:ascii="Times New Roman" w:eastAsia="Times New Roman" w:hAnsi="Times New Roman" w:cs="Times New Roman"/>
          <w:color w:val="000000"/>
          <w:sz w:val="24"/>
          <w:szCs w:val="24"/>
          <w:lang w:eastAsia="en-AU"/>
        </w:rPr>
        <w:t xml:space="preserve"> of Schedule 4 to </w:t>
      </w:r>
      <w:r w:rsidR="00251202">
        <w:rPr>
          <w:rFonts w:ascii="Times New Roman" w:eastAsia="Times New Roman" w:hAnsi="Times New Roman" w:cs="Times New Roman"/>
          <w:color w:val="000000"/>
          <w:sz w:val="24"/>
          <w:szCs w:val="24"/>
          <w:lang w:eastAsia="en-AU"/>
        </w:rPr>
        <w:t>the Act</w:t>
      </w:r>
      <w:r w:rsidR="00DF1590" w:rsidRPr="00DF1590">
        <w:rPr>
          <w:rFonts w:ascii="Times New Roman" w:eastAsia="Times New Roman" w:hAnsi="Times New Roman" w:cs="Times New Roman"/>
          <w:color w:val="000000"/>
          <w:sz w:val="24"/>
          <w:szCs w:val="24"/>
          <w:lang w:eastAsia="en-AU"/>
        </w:rPr>
        <w:t>.</w:t>
      </w:r>
    </w:p>
    <w:p w14:paraId="61A7BBF0" w14:textId="4C46B170" w:rsidR="00DF1590" w:rsidRDefault="00DF1590" w:rsidP="00DF1590">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Under clause 47 owners and operators of broadcasting transmission towers and designated associated facilities are required to comply with the applicable subclause on such terms and conditions as are agreed between the owner</w:t>
      </w:r>
      <w:r w:rsidR="004F3C7E">
        <w:rPr>
          <w:rFonts w:ascii="Times New Roman" w:eastAsia="Times New Roman" w:hAnsi="Times New Roman" w:cs="Times New Roman"/>
          <w:color w:val="000000"/>
          <w:sz w:val="24"/>
          <w:szCs w:val="24"/>
          <w:lang w:eastAsia="en-AU"/>
        </w:rPr>
        <w:t xml:space="preserve"> or operator and the access seeker.</w:t>
      </w:r>
    </w:p>
    <w:p w14:paraId="4F120422" w14:textId="4546229A" w:rsidR="004F3C7E" w:rsidRDefault="004F3C7E" w:rsidP="00DF1590">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Where the owner or operator and the access seeker are unable to agr</w:t>
      </w:r>
      <w:r w:rsidR="00F93DF6">
        <w:rPr>
          <w:rFonts w:ascii="Times New Roman" w:eastAsia="Times New Roman" w:hAnsi="Times New Roman" w:cs="Times New Roman"/>
          <w:color w:val="000000"/>
          <w:sz w:val="24"/>
          <w:szCs w:val="24"/>
          <w:lang w:eastAsia="en-AU"/>
        </w:rPr>
        <w:t>ee on the terms and conditions, the terms and conditions are to be determined by an arbitrator appointed by the parties. Where the parties are unable to agree on the appointment of an arbitrator, the ACCC will be the arbitrator.</w:t>
      </w:r>
    </w:p>
    <w:p w14:paraId="2EAA379A" w14:textId="78A2E5C7" w:rsidR="00F93DF6" w:rsidRPr="00DF1590" w:rsidRDefault="00F93DF6" w:rsidP="00DF1590">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Subclause 47(3) of Schedule 4 provides that the </w:t>
      </w:r>
      <w:r w:rsidR="001E7673">
        <w:rPr>
          <w:rFonts w:ascii="Times New Roman" w:eastAsia="Times New Roman" w:hAnsi="Times New Roman" w:cs="Times New Roman"/>
          <w:color w:val="000000"/>
          <w:sz w:val="24"/>
          <w:szCs w:val="24"/>
          <w:lang w:eastAsia="en-AU"/>
        </w:rPr>
        <w:t>R</w:t>
      </w:r>
      <w:r>
        <w:rPr>
          <w:rFonts w:ascii="Times New Roman" w:eastAsia="Times New Roman" w:hAnsi="Times New Roman" w:cs="Times New Roman"/>
          <w:color w:val="000000"/>
          <w:sz w:val="24"/>
          <w:szCs w:val="24"/>
          <w:lang w:eastAsia="en-AU"/>
        </w:rPr>
        <w:t>egulations may make provision for and in relation to the conduct of an arbitration under clause 47.</w:t>
      </w:r>
    </w:p>
    <w:p w14:paraId="4A115862" w14:textId="185273C5" w:rsidR="00B24D75" w:rsidRPr="00066D43" w:rsidRDefault="00B24D75" w:rsidP="00B24D75">
      <w:pPr>
        <w:pStyle w:val="ActHead5"/>
        <w:rPr>
          <w:szCs w:val="24"/>
        </w:rPr>
      </w:pPr>
      <w:r w:rsidRPr="00066D43">
        <w:rPr>
          <w:rStyle w:val="CharSectno"/>
          <w:szCs w:val="24"/>
        </w:rPr>
        <w:t xml:space="preserve">Section </w:t>
      </w:r>
      <w:r w:rsidR="00206AD8">
        <w:rPr>
          <w:rStyle w:val="CharSectno"/>
          <w:szCs w:val="24"/>
        </w:rPr>
        <w:t>8</w:t>
      </w:r>
      <w:r w:rsidRPr="00066D43">
        <w:rPr>
          <w:szCs w:val="24"/>
        </w:rPr>
        <w:t xml:space="preserve"> - </w:t>
      </w:r>
      <w:r w:rsidR="00206AD8">
        <w:t>Notification of disputes</w:t>
      </w:r>
    </w:p>
    <w:p w14:paraId="7F897ED8" w14:textId="5CD88258" w:rsidR="00784D82" w:rsidRPr="00784D82" w:rsidRDefault="00784D82" w:rsidP="00784D82">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Section 8</w:t>
      </w:r>
      <w:r w:rsidRPr="00784D82">
        <w:rPr>
          <w:rFonts w:ascii="Times New Roman" w:eastAsia="Times New Roman" w:hAnsi="Times New Roman" w:cs="Times New Roman"/>
          <w:color w:val="000000"/>
          <w:sz w:val="24"/>
          <w:szCs w:val="24"/>
          <w:lang w:eastAsia="en-AU"/>
        </w:rPr>
        <w:t xml:space="preserve"> provides a process for how the parties to a dispute relating to the provision of a service that is within the scope of the Regulations can notify the ACCC of their dispute.</w:t>
      </w:r>
    </w:p>
    <w:p w14:paraId="58D420BC" w14:textId="4E4783A9" w:rsidR="00784D82" w:rsidRPr="00784D82" w:rsidRDefault="00784D82" w:rsidP="00784D82">
      <w:pPr>
        <w:shd w:val="clear" w:color="auto" w:fill="FFFFFF"/>
        <w:spacing w:before="180" w:after="0" w:line="240" w:lineRule="auto"/>
        <w:rPr>
          <w:rFonts w:ascii="Times New Roman" w:eastAsia="Times New Roman" w:hAnsi="Times New Roman" w:cs="Times New Roman"/>
          <w:color w:val="000000"/>
          <w:lang w:eastAsia="en-AU"/>
        </w:rPr>
      </w:pPr>
      <w:r w:rsidRPr="00784D82">
        <w:rPr>
          <w:rFonts w:ascii="Times New Roman" w:eastAsia="Times New Roman" w:hAnsi="Times New Roman" w:cs="Times New Roman"/>
          <w:color w:val="000000"/>
          <w:sz w:val="24"/>
          <w:szCs w:val="24"/>
          <w:lang w:eastAsia="en-AU"/>
        </w:rPr>
        <w:t>Subsect</w:t>
      </w:r>
      <w:r>
        <w:rPr>
          <w:rFonts w:ascii="Times New Roman" w:eastAsia="Times New Roman" w:hAnsi="Times New Roman" w:cs="Times New Roman"/>
          <w:color w:val="000000"/>
          <w:sz w:val="24"/>
          <w:szCs w:val="24"/>
          <w:lang w:eastAsia="en-AU"/>
        </w:rPr>
        <w:t>ion 8</w:t>
      </w:r>
      <w:r w:rsidRPr="00784D82">
        <w:rPr>
          <w:rFonts w:ascii="Times New Roman" w:eastAsia="Times New Roman" w:hAnsi="Times New Roman" w:cs="Times New Roman"/>
          <w:color w:val="000000"/>
          <w:sz w:val="24"/>
          <w:szCs w:val="24"/>
          <w:lang w:eastAsia="en-AU"/>
        </w:rPr>
        <w:t>(1) provides that either one of the parties, being either a</w:t>
      </w:r>
      <w:r>
        <w:rPr>
          <w:rFonts w:ascii="Times New Roman" w:eastAsia="Times New Roman" w:hAnsi="Times New Roman" w:cs="Times New Roman"/>
          <w:color w:val="000000"/>
          <w:sz w:val="24"/>
          <w:szCs w:val="24"/>
          <w:lang w:eastAsia="en-AU"/>
        </w:rPr>
        <w:t>n</w:t>
      </w:r>
      <w:r w:rsidRPr="00784D82">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access</w:t>
      </w:r>
      <w:r w:rsidRPr="00784D82">
        <w:rPr>
          <w:rFonts w:ascii="Times New Roman" w:eastAsia="Times New Roman" w:hAnsi="Times New Roman" w:cs="Times New Roman"/>
          <w:color w:val="000000"/>
          <w:sz w:val="24"/>
          <w:szCs w:val="24"/>
          <w:lang w:eastAsia="en-AU"/>
        </w:rPr>
        <w:t xml:space="preserve"> seeker or </w:t>
      </w:r>
      <w:r>
        <w:rPr>
          <w:rFonts w:ascii="Times New Roman" w:eastAsia="Times New Roman" w:hAnsi="Times New Roman" w:cs="Times New Roman"/>
          <w:color w:val="000000"/>
          <w:sz w:val="24"/>
          <w:szCs w:val="24"/>
          <w:lang w:eastAsia="en-AU"/>
        </w:rPr>
        <w:t>access</w:t>
      </w:r>
      <w:r w:rsidRPr="00784D82">
        <w:rPr>
          <w:rFonts w:ascii="Times New Roman" w:eastAsia="Times New Roman" w:hAnsi="Times New Roman" w:cs="Times New Roman"/>
          <w:color w:val="000000"/>
          <w:sz w:val="24"/>
          <w:szCs w:val="24"/>
          <w:lang w:eastAsia="en-AU"/>
        </w:rPr>
        <w:t xml:space="preserve"> provider, may notify the ACCC of the dispute in writing.</w:t>
      </w:r>
    </w:p>
    <w:p w14:paraId="5CF8C30F" w14:textId="7D1B9748" w:rsidR="00784D82" w:rsidRPr="00784D82" w:rsidRDefault="00E935DC" w:rsidP="00784D82">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An example note following subsection 8(1)</w:t>
      </w:r>
      <w:r w:rsidR="00784D82" w:rsidRPr="00784D82">
        <w:rPr>
          <w:rFonts w:ascii="Times New Roman" w:eastAsia="Times New Roman" w:hAnsi="Times New Roman" w:cs="Times New Roman"/>
          <w:color w:val="000000"/>
          <w:sz w:val="24"/>
          <w:szCs w:val="24"/>
          <w:lang w:eastAsia="en-AU"/>
        </w:rPr>
        <w:t xml:space="preserve"> provide</w:t>
      </w:r>
      <w:r>
        <w:rPr>
          <w:rFonts w:ascii="Times New Roman" w:eastAsia="Times New Roman" w:hAnsi="Times New Roman" w:cs="Times New Roman"/>
          <w:color w:val="000000"/>
          <w:sz w:val="24"/>
          <w:szCs w:val="24"/>
          <w:lang w:eastAsia="en-AU"/>
        </w:rPr>
        <w:t>s</w:t>
      </w:r>
      <w:r w:rsidR="00784D82" w:rsidRPr="00784D82">
        <w:rPr>
          <w:rFonts w:ascii="Times New Roman" w:eastAsia="Times New Roman" w:hAnsi="Times New Roman" w:cs="Times New Roman"/>
          <w:color w:val="000000"/>
          <w:sz w:val="24"/>
          <w:szCs w:val="24"/>
          <w:lang w:eastAsia="en-AU"/>
        </w:rPr>
        <w:t xml:space="preserve"> examples of what the parties may disagree on. These include the price, or method of establishing the price, at which a service is provided, or whether a previous determination of the terms and conditions should be varied.</w:t>
      </w:r>
    </w:p>
    <w:p w14:paraId="4E5FEC77" w14:textId="58BAA3DF" w:rsidR="00784D82" w:rsidRPr="00784D82" w:rsidRDefault="00E935DC" w:rsidP="00784D82">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8(2</w:t>
      </w:r>
      <w:r w:rsidR="00784D82" w:rsidRPr="00784D82">
        <w:rPr>
          <w:rFonts w:ascii="Times New Roman" w:eastAsia="Times New Roman" w:hAnsi="Times New Roman" w:cs="Times New Roman"/>
          <w:color w:val="000000"/>
          <w:sz w:val="24"/>
          <w:szCs w:val="24"/>
          <w:lang w:eastAsia="en-AU"/>
        </w:rPr>
        <w:t>) sets out the information the ACCC will require to understand the parties to the dispute, the nature of the dispute and the actions that have been taken to date to resolve the dispute. It also sets out information the ACCC will require to proceed with the arbitration. It provides that a notification of a dispute about a service must include:</w:t>
      </w:r>
    </w:p>
    <w:p w14:paraId="50FF7F26" w14:textId="76E2AAB9" w:rsidR="00784D82" w:rsidRPr="00E935DC" w:rsidRDefault="00AD4F9A" w:rsidP="00836175">
      <w:pPr>
        <w:pStyle w:val="ListParagraph"/>
        <w:numPr>
          <w:ilvl w:val="0"/>
          <w:numId w:val="2"/>
        </w:numPr>
        <w:shd w:val="clear" w:color="auto" w:fill="FFFFFF"/>
        <w:spacing w:before="180" w:after="0" w:line="240" w:lineRule="auto"/>
        <w:rPr>
          <w:rFonts w:ascii="Times New Roman" w:hAnsi="Times New Roman"/>
        </w:rPr>
      </w:pPr>
      <w:r>
        <w:rPr>
          <w:rFonts w:ascii="Times New Roman" w:hAnsi="Times New Roman"/>
          <w:sz w:val="24"/>
          <w:szCs w:val="24"/>
        </w:rPr>
        <w:t>t</w:t>
      </w:r>
      <w:r w:rsidR="00784D82" w:rsidRPr="00E935DC">
        <w:rPr>
          <w:rFonts w:ascii="Times New Roman" w:hAnsi="Times New Roman"/>
          <w:sz w:val="24"/>
          <w:szCs w:val="24"/>
        </w:rPr>
        <w:t>he name of the person notifying the ACCC about the dispute, and if the notifier is not an individual, then the name and address of an individual who represents the notifier</w:t>
      </w:r>
      <w:r>
        <w:rPr>
          <w:rFonts w:ascii="Times New Roman" w:hAnsi="Times New Roman"/>
          <w:sz w:val="24"/>
          <w:szCs w:val="24"/>
        </w:rPr>
        <w:t>;</w:t>
      </w:r>
    </w:p>
    <w:p w14:paraId="74BDC08C" w14:textId="5B9960C4" w:rsidR="00784D82" w:rsidRPr="00E935DC" w:rsidRDefault="00AD4F9A" w:rsidP="00836175">
      <w:pPr>
        <w:pStyle w:val="ListParagraph"/>
        <w:numPr>
          <w:ilvl w:val="0"/>
          <w:numId w:val="2"/>
        </w:numPr>
        <w:shd w:val="clear" w:color="auto" w:fill="FFFFFF"/>
        <w:spacing w:before="180" w:after="0" w:line="240" w:lineRule="auto"/>
        <w:rPr>
          <w:rFonts w:ascii="Times New Roman" w:hAnsi="Times New Roman"/>
        </w:rPr>
      </w:pPr>
      <w:r>
        <w:rPr>
          <w:rFonts w:ascii="Times New Roman" w:hAnsi="Times New Roman"/>
          <w:sz w:val="24"/>
          <w:szCs w:val="24"/>
        </w:rPr>
        <w:t>t</w:t>
      </w:r>
      <w:r w:rsidR="00784D82" w:rsidRPr="00E935DC">
        <w:rPr>
          <w:rFonts w:ascii="Times New Roman" w:hAnsi="Times New Roman"/>
          <w:sz w:val="24"/>
          <w:szCs w:val="24"/>
        </w:rPr>
        <w:t>he notifier’s address for delivery of documents in relation to the notification of the dispute</w:t>
      </w:r>
      <w:r>
        <w:rPr>
          <w:rFonts w:ascii="Times New Roman" w:hAnsi="Times New Roman"/>
          <w:sz w:val="24"/>
          <w:szCs w:val="24"/>
        </w:rPr>
        <w:t>;</w:t>
      </w:r>
    </w:p>
    <w:p w14:paraId="2E90C2B5" w14:textId="5D6746EB" w:rsidR="00784D82" w:rsidRPr="00E935DC" w:rsidRDefault="00AD4F9A" w:rsidP="00836175">
      <w:pPr>
        <w:pStyle w:val="ListParagraph"/>
        <w:numPr>
          <w:ilvl w:val="0"/>
          <w:numId w:val="2"/>
        </w:numPr>
        <w:shd w:val="clear" w:color="auto" w:fill="FFFFFF"/>
        <w:spacing w:before="180" w:after="0" w:line="240" w:lineRule="auto"/>
        <w:rPr>
          <w:rFonts w:ascii="Times New Roman" w:hAnsi="Times New Roman"/>
        </w:rPr>
      </w:pPr>
      <w:r>
        <w:rPr>
          <w:rFonts w:ascii="Times New Roman" w:hAnsi="Times New Roman"/>
          <w:sz w:val="24"/>
          <w:szCs w:val="24"/>
        </w:rPr>
        <w:t>w</w:t>
      </w:r>
      <w:r w:rsidR="00784D82" w:rsidRPr="00E935DC">
        <w:rPr>
          <w:rFonts w:ascii="Times New Roman" w:hAnsi="Times New Roman"/>
          <w:sz w:val="24"/>
          <w:szCs w:val="24"/>
        </w:rPr>
        <w:t xml:space="preserve">hether the notifier is the </w:t>
      </w:r>
      <w:r w:rsidR="00E935DC">
        <w:rPr>
          <w:rFonts w:ascii="Times New Roman" w:hAnsi="Times New Roman"/>
          <w:sz w:val="24"/>
          <w:szCs w:val="24"/>
        </w:rPr>
        <w:t>access</w:t>
      </w:r>
      <w:r w:rsidR="00784D82" w:rsidRPr="00E935DC">
        <w:rPr>
          <w:rFonts w:ascii="Times New Roman" w:hAnsi="Times New Roman"/>
          <w:sz w:val="24"/>
          <w:szCs w:val="24"/>
        </w:rPr>
        <w:t xml:space="preserve"> seeker or </w:t>
      </w:r>
      <w:r w:rsidR="00E935DC">
        <w:rPr>
          <w:rFonts w:ascii="Times New Roman" w:hAnsi="Times New Roman"/>
          <w:sz w:val="24"/>
          <w:szCs w:val="24"/>
        </w:rPr>
        <w:t>access</w:t>
      </w:r>
      <w:r w:rsidR="00784D82" w:rsidRPr="00E935DC">
        <w:rPr>
          <w:rFonts w:ascii="Times New Roman" w:hAnsi="Times New Roman"/>
          <w:sz w:val="24"/>
          <w:szCs w:val="24"/>
        </w:rPr>
        <w:t xml:space="preserve"> provider, and the name and address of the other party</w:t>
      </w:r>
      <w:r>
        <w:rPr>
          <w:rFonts w:ascii="Times New Roman" w:hAnsi="Times New Roman"/>
          <w:sz w:val="24"/>
          <w:szCs w:val="24"/>
        </w:rPr>
        <w:t>;</w:t>
      </w:r>
    </w:p>
    <w:p w14:paraId="028A595F" w14:textId="12FF508A" w:rsidR="00784D82" w:rsidRPr="00E935DC" w:rsidRDefault="00AD4F9A" w:rsidP="00836175">
      <w:pPr>
        <w:pStyle w:val="ListParagraph"/>
        <w:numPr>
          <w:ilvl w:val="0"/>
          <w:numId w:val="2"/>
        </w:numPr>
        <w:shd w:val="clear" w:color="auto" w:fill="FFFFFF"/>
        <w:spacing w:before="180" w:after="0" w:line="240" w:lineRule="auto"/>
        <w:rPr>
          <w:rFonts w:ascii="Times New Roman" w:hAnsi="Times New Roman"/>
        </w:rPr>
      </w:pPr>
      <w:r>
        <w:rPr>
          <w:rFonts w:ascii="Times New Roman" w:hAnsi="Times New Roman"/>
          <w:sz w:val="24"/>
          <w:szCs w:val="24"/>
        </w:rPr>
        <w:t>t</w:t>
      </w:r>
      <w:r w:rsidR="00784D82" w:rsidRPr="00E935DC">
        <w:rPr>
          <w:rFonts w:ascii="Times New Roman" w:hAnsi="Times New Roman"/>
          <w:sz w:val="24"/>
          <w:szCs w:val="24"/>
        </w:rPr>
        <w:t xml:space="preserve">he relevant provision of the </w:t>
      </w:r>
      <w:r w:rsidR="005E2288">
        <w:rPr>
          <w:rFonts w:ascii="Times New Roman" w:hAnsi="Times New Roman"/>
          <w:sz w:val="24"/>
          <w:szCs w:val="24"/>
        </w:rPr>
        <w:t>A</w:t>
      </w:r>
      <w:r>
        <w:rPr>
          <w:rFonts w:ascii="Times New Roman" w:hAnsi="Times New Roman"/>
          <w:sz w:val="24"/>
          <w:szCs w:val="24"/>
        </w:rPr>
        <w:t>ct</w:t>
      </w:r>
      <w:r w:rsidR="00784D82" w:rsidRPr="00E935DC">
        <w:rPr>
          <w:rFonts w:ascii="Times New Roman" w:hAnsi="Times New Roman"/>
          <w:sz w:val="24"/>
          <w:szCs w:val="24"/>
        </w:rPr>
        <w:t xml:space="preserve"> that the dispute relates to</w:t>
      </w:r>
    </w:p>
    <w:p w14:paraId="10934D28" w14:textId="51372AA0" w:rsidR="00784D82" w:rsidRPr="00E935DC" w:rsidRDefault="00AD4F9A" w:rsidP="00836175">
      <w:pPr>
        <w:pStyle w:val="ListParagraph"/>
        <w:numPr>
          <w:ilvl w:val="0"/>
          <w:numId w:val="2"/>
        </w:numPr>
        <w:shd w:val="clear" w:color="auto" w:fill="FFFFFF"/>
        <w:spacing w:before="180" w:after="0" w:line="240" w:lineRule="auto"/>
        <w:rPr>
          <w:rFonts w:ascii="Times New Roman" w:hAnsi="Times New Roman"/>
        </w:rPr>
      </w:pPr>
      <w:r>
        <w:rPr>
          <w:rFonts w:ascii="Times New Roman" w:hAnsi="Times New Roman"/>
          <w:sz w:val="24"/>
          <w:szCs w:val="24"/>
        </w:rPr>
        <w:t>a</w:t>
      </w:r>
      <w:r w:rsidR="00784D82" w:rsidRPr="00E935DC">
        <w:rPr>
          <w:rFonts w:ascii="Times New Roman" w:hAnsi="Times New Roman"/>
          <w:sz w:val="24"/>
          <w:szCs w:val="24"/>
        </w:rPr>
        <w:t xml:space="preserve"> description of the dispute, including:</w:t>
      </w:r>
    </w:p>
    <w:p w14:paraId="7E03C17C" w14:textId="4341A6D2" w:rsidR="00784D82" w:rsidRPr="00E935DC" w:rsidRDefault="00AD4F9A" w:rsidP="00836175">
      <w:pPr>
        <w:pStyle w:val="ListParagraph"/>
        <w:numPr>
          <w:ilvl w:val="0"/>
          <w:numId w:val="15"/>
        </w:numPr>
        <w:shd w:val="clear" w:color="auto" w:fill="FFFFFF"/>
        <w:spacing w:before="40" w:after="0" w:line="240" w:lineRule="auto"/>
        <w:ind w:left="1134" w:hanging="425"/>
        <w:rPr>
          <w:rFonts w:ascii="Times New Roman" w:hAnsi="Times New Roman"/>
        </w:rPr>
      </w:pPr>
      <w:r>
        <w:rPr>
          <w:rFonts w:ascii="Times New Roman" w:hAnsi="Times New Roman"/>
          <w:sz w:val="24"/>
          <w:szCs w:val="24"/>
        </w:rPr>
        <w:t>w</w:t>
      </w:r>
      <w:r w:rsidR="00784D82" w:rsidRPr="00E935DC">
        <w:rPr>
          <w:rFonts w:ascii="Times New Roman" w:hAnsi="Times New Roman"/>
          <w:sz w:val="24"/>
          <w:szCs w:val="24"/>
        </w:rPr>
        <w:t>hether the dispute is about varying existing</w:t>
      </w:r>
      <w:r w:rsidR="00E935DC" w:rsidRPr="00E935DC">
        <w:rPr>
          <w:rFonts w:ascii="Times New Roman" w:hAnsi="Times New Roman"/>
          <w:sz w:val="24"/>
          <w:szCs w:val="24"/>
        </w:rPr>
        <w:t xml:space="preserve"> terms and conditions of</w:t>
      </w:r>
      <w:r w:rsidR="00784D82" w:rsidRPr="00E935DC">
        <w:rPr>
          <w:rFonts w:ascii="Times New Roman" w:hAnsi="Times New Roman"/>
          <w:sz w:val="24"/>
          <w:szCs w:val="24"/>
        </w:rPr>
        <w:t xml:space="preserve"> access and, if it is, a description of the arrangements</w:t>
      </w:r>
      <w:r>
        <w:rPr>
          <w:rFonts w:ascii="Times New Roman" w:hAnsi="Times New Roman"/>
          <w:sz w:val="24"/>
          <w:szCs w:val="24"/>
        </w:rPr>
        <w:t>; and</w:t>
      </w:r>
    </w:p>
    <w:p w14:paraId="7122AD9A" w14:textId="50DE001E" w:rsidR="00784D82" w:rsidRPr="00E935DC" w:rsidRDefault="00AD4F9A" w:rsidP="00836175">
      <w:pPr>
        <w:pStyle w:val="ListParagraph"/>
        <w:numPr>
          <w:ilvl w:val="0"/>
          <w:numId w:val="15"/>
        </w:numPr>
        <w:shd w:val="clear" w:color="auto" w:fill="FFFFFF"/>
        <w:spacing w:before="40" w:after="0" w:line="240" w:lineRule="auto"/>
        <w:ind w:left="1134" w:hanging="425"/>
        <w:rPr>
          <w:rFonts w:ascii="Times New Roman" w:hAnsi="Times New Roman"/>
        </w:rPr>
      </w:pPr>
      <w:r>
        <w:rPr>
          <w:rFonts w:ascii="Times New Roman" w:hAnsi="Times New Roman"/>
          <w:sz w:val="24"/>
          <w:szCs w:val="24"/>
        </w:rPr>
        <w:t>e</w:t>
      </w:r>
      <w:r w:rsidR="00784D82" w:rsidRPr="00E935DC">
        <w:rPr>
          <w:rFonts w:ascii="Times New Roman" w:hAnsi="Times New Roman"/>
          <w:sz w:val="24"/>
          <w:szCs w:val="24"/>
        </w:rPr>
        <w:t xml:space="preserve">ach aspect of the service on which the </w:t>
      </w:r>
      <w:r w:rsidR="00E935DC">
        <w:rPr>
          <w:rFonts w:ascii="Times New Roman" w:hAnsi="Times New Roman"/>
          <w:sz w:val="24"/>
          <w:szCs w:val="24"/>
        </w:rPr>
        <w:t>access</w:t>
      </w:r>
      <w:r w:rsidR="00784D82" w:rsidRPr="00E935DC">
        <w:rPr>
          <w:rFonts w:ascii="Times New Roman" w:hAnsi="Times New Roman"/>
          <w:sz w:val="24"/>
          <w:szCs w:val="24"/>
        </w:rPr>
        <w:t xml:space="preserve"> seeker and </w:t>
      </w:r>
      <w:r w:rsidR="00E935DC">
        <w:rPr>
          <w:rFonts w:ascii="Times New Roman" w:hAnsi="Times New Roman"/>
          <w:sz w:val="24"/>
          <w:szCs w:val="24"/>
        </w:rPr>
        <w:t>access</w:t>
      </w:r>
      <w:r w:rsidR="00784D82" w:rsidRPr="00E935DC">
        <w:rPr>
          <w:rFonts w:ascii="Times New Roman" w:hAnsi="Times New Roman"/>
          <w:sz w:val="24"/>
          <w:szCs w:val="24"/>
        </w:rPr>
        <w:t xml:space="preserve"> provider are able to agree</w:t>
      </w:r>
      <w:r>
        <w:rPr>
          <w:rFonts w:ascii="Times New Roman" w:hAnsi="Times New Roman"/>
          <w:sz w:val="24"/>
          <w:szCs w:val="24"/>
        </w:rPr>
        <w:t>; and</w:t>
      </w:r>
    </w:p>
    <w:p w14:paraId="5A6ADB04" w14:textId="55593BA2" w:rsidR="00784D82" w:rsidRPr="00E935DC" w:rsidRDefault="00AD4F9A" w:rsidP="00836175">
      <w:pPr>
        <w:pStyle w:val="ListParagraph"/>
        <w:numPr>
          <w:ilvl w:val="0"/>
          <w:numId w:val="15"/>
        </w:numPr>
        <w:shd w:val="clear" w:color="auto" w:fill="FFFFFF"/>
        <w:spacing w:before="40" w:after="0" w:line="240" w:lineRule="auto"/>
        <w:ind w:left="1134" w:hanging="425"/>
        <w:rPr>
          <w:rFonts w:ascii="Times New Roman" w:hAnsi="Times New Roman"/>
        </w:rPr>
      </w:pPr>
      <w:r>
        <w:rPr>
          <w:rFonts w:ascii="Times New Roman" w:hAnsi="Times New Roman"/>
          <w:sz w:val="24"/>
          <w:szCs w:val="24"/>
        </w:rPr>
        <w:t>e</w:t>
      </w:r>
      <w:r w:rsidR="00784D82" w:rsidRPr="00E935DC">
        <w:rPr>
          <w:rFonts w:ascii="Times New Roman" w:hAnsi="Times New Roman"/>
          <w:sz w:val="24"/>
          <w:szCs w:val="24"/>
        </w:rPr>
        <w:t xml:space="preserve">ach aspect of the service on which the </w:t>
      </w:r>
      <w:r w:rsidR="00E935DC">
        <w:rPr>
          <w:rFonts w:ascii="Times New Roman" w:hAnsi="Times New Roman"/>
          <w:sz w:val="24"/>
          <w:szCs w:val="24"/>
        </w:rPr>
        <w:t>access</w:t>
      </w:r>
      <w:r w:rsidR="00784D82" w:rsidRPr="00E935DC">
        <w:rPr>
          <w:rFonts w:ascii="Times New Roman" w:hAnsi="Times New Roman"/>
          <w:sz w:val="24"/>
          <w:szCs w:val="24"/>
        </w:rPr>
        <w:t xml:space="preserve"> seeker and </w:t>
      </w:r>
      <w:r w:rsidR="00E935DC">
        <w:rPr>
          <w:rFonts w:ascii="Times New Roman" w:hAnsi="Times New Roman"/>
          <w:sz w:val="24"/>
          <w:szCs w:val="24"/>
        </w:rPr>
        <w:t>access</w:t>
      </w:r>
      <w:r w:rsidR="00784D82" w:rsidRPr="00E935DC">
        <w:rPr>
          <w:rFonts w:ascii="Times New Roman" w:hAnsi="Times New Roman"/>
          <w:sz w:val="24"/>
          <w:szCs w:val="24"/>
        </w:rPr>
        <w:t xml:space="preserve"> provider are unable to agree</w:t>
      </w:r>
      <w:r>
        <w:rPr>
          <w:rFonts w:ascii="Times New Roman" w:hAnsi="Times New Roman"/>
          <w:sz w:val="24"/>
          <w:szCs w:val="24"/>
        </w:rPr>
        <w:t>.</w:t>
      </w:r>
    </w:p>
    <w:p w14:paraId="5060FBD9" w14:textId="75414859" w:rsidR="00784D82" w:rsidRPr="00E935DC" w:rsidRDefault="00AD4F9A" w:rsidP="00836175">
      <w:pPr>
        <w:pStyle w:val="ListParagraph"/>
        <w:numPr>
          <w:ilvl w:val="0"/>
          <w:numId w:val="2"/>
        </w:numPr>
        <w:shd w:val="clear" w:color="auto" w:fill="FFFFFF"/>
        <w:spacing w:before="180" w:after="0" w:line="240" w:lineRule="auto"/>
        <w:rPr>
          <w:rFonts w:ascii="Times New Roman" w:hAnsi="Times New Roman"/>
        </w:rPr>
      </w:pPr>
      <w:r>
        <w:rPr>
          <w:rFonts w:ascii="Times New Roman" w:hAnsi="Times New Roman"/>
          <w:sz w:val="24"/>
          <w:szCs w:val="24"/>
        </w:rPr>
        <w:t>a</w:t>
      </w:r>
      <w:r w:rsidR="00784D82" w:rsidRPr="00E935DC">
        <w:rPr>
          <w:rFonts w:ascii="Times New Roman" w:hAnsi="Times New Roman"/>
          <w:sz w:val="24"/>
          <w:szCs w:val="24"/>
        </w:rPr>
        <w:t xml:space="preserve"> description of any effort that has been made to resolve the dispute</w:t>
      </w:r>
      <w:r w:rsidR="00E935DC">
        <w:rPr>
          <w:rFonts w:ascii="Times New Roman" w:hAnsi="Times New Roman"/>
          <w:sz w:val="24"/>
          <w:szCs w:val="24"/>
        </w:rPr>
        <w:t xml:space="preserve">, including efforts to appoint an arbitrator in accordance with </w:t>
      </w:r>
      <w:r w:rsidR="00E935DC" w:rsidRPr="00E935DC">
        <w:rPr>
          <w:rFonts w:ascii="Times New Roman" w:hAnsi="Times New Roman"/>
          <w:sz w:val="24"/>
          <w:szCs w:val="24"/>
        </w:rPr>
        <w:t>paragraph 47(1)(b), 47(1A)(b) or 47(2)(b) of Schedule 4 to the Act</w:t>
      </w:r>
      <w:r>
        <w:rPr>
          <w:rFonts w:ascii="Times New Roman" w:hAnsi="Times New Roman"/>
          <w:sz w:val="24"/>
          <w:szCs w:val="24"/>
        </w:rPr>
        <w:t>;</w:t>
      </w:r>
    </w:p>
    <w:p w14:paraId="6B1FE80A" w14:textId="131F2480" w:rsidR="00E935DC" w:rsidRPr="002F00B2" w:rsidRDefault="00AD4F9A" w:rsidP="00836175">
      <w:pPr>
        <w:pStyle w:val="ListParagraph"/>
        <w:numPr>
          <w:ilvl w:val="0"/>
          <w:numId w:val="2"/>
        </w:numPr>
        <w:shd w:val="clear" w:color="auto" w:fill="FFFFFF"/>
        <w:spacing w:before="180" w:after="0" w:line="240" w:lineRule="auto"/>
        <w:rPr>
          <w:rFonts w:ascii="Times New Roman" w:hAnsi="Times New Roman"/>
          <w:sz w:val="24"/>
          <w:szCs w:val="24"/>
        </w:rPr>
      </w:pPr>
      <w:r>
        <w:rPr>
          <w:rFonts w:ascii="Times New Roman" w:hAnsi="Times New Roman"/>
          <w:sz w:val="24"/>
          <w:szCs w:val="24"/>
        </w:rPr>
        <w:t>i</w:t>
      </w:r>
      <w:r w:rsidR="00E935DC" w:rsidRPr="002F00B2">
        <w:rPr>
          <w:rFonts w:ascii="Times New Roman" w:hAnsi="Times New Roman"/>
          <w:sz w:val="24"/>
          <w:szCs w:val="24"/>
        </w:rPr>
        <w:t>f the parties have failed to agree on the appointment of an arbitrator, confirmation of the failure to agree</w:t>
      </w:r>
      <w:r>
        <w:rPr>
          <w:rFonts w:ascii="Times New Roman" w:hAnsi="Times New Roman"/>
          <w:sz w:val="24"/>
          <w:szCs w:val="24"/>
        </w:rPr>
        <w:t>;</w:t>
      </w:r>
    </w:p>
    <w:p w14:paraId="14A89DB3" w14:textId="696D7C78" w:rsidR="00E935DC" w:rsidRPr="002F00B2" w:rsidRDefault="00AD4F9A" w:rsidP="00836175">
      <w:pPr>
        <w:pStyle w:val="ListParagraph"/>
        <w:numPr>
          <w:ilvl w:val="0"/>
          <w:numId w:val="2"/>
        </w:numPr>
        <w:shd w:val="clear" w:color="auto" w:fill="FFFFFF"/>
        <w:spacing w:before="180" w:after="0" w:line="240" w:lineRule="auto"/>
        <w:rPr>
          <w:rFonts w:ascii="Times New Roman" w:hAnsi="Times New Roman"/>
          <w:sz w:val="24"/>
          <w:szCs w:val="24"/>
        </w:rPr>
      </w:pPr>
      <w:r>
        <w:rPr>
          <w:rFonts w:ascii="Times New Roman" w:hAnsi="Times New Roman"/>
          <w:sz w:val="24"/>
          <w:szCs w:val="24"/>
        </w:rPr>
        <w:t>a</w:t>
      </w:r>
      <w:r w:rsidR="00E935DC" w:rsidRPr="002F00B2">
        <w:rPr>
          <w:rFonts w:ascii="Times New Roman" w:hAnsi="Times New Roman"/>
          <w:sz w:val="24"/>
          <w:szCs w:val="24"/>
        </w:rPr>
        <w:t>ny other information that the notifier considers relevant (such as the name and address of a person that the notifier considers may have an interest in the dispute).</w:t>
      </w:r>
    </w:p>
    <w:p w14:paraId="4C79AE8F" w14:textId="0F43FCA9" w:rsidR="00784D82" w:rsidRDefault="00E935DC" w:rsidP="00CE4743">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E92C1F">
        <w:rPr>
          <w:rFonts w:ascii="Times New Roman" w:eastAsia="Times New Roman" w:hAnsi="Times New Roman" w:cs="Times New Roman"/>
          <w:color w:val="000000"/>
          <w:sz w:val="24"/>
          <w:szCs w:val="24"/>
          <w:lang w:eastAsia="en-AU"/>
        </w:rPr>
        <w:t>Subsection 8(3)</w:t>
      </w:r>
      <w:r w:rsidR="00CE4743" w:rsidRPr="00E92C1F">
        <w:rPr>
          <w:rFonts w:ascii="Times New Roman" w:eastAsia="Times New Roman" w:hAnsi="Times New Roman" w:cs="Times New Roman"/>
          <w:color w:val="000000"/>
          <w:sz w:val="24"/>
          <w:szCs w:val="24"/>
          <w:lang w:eastAsia="en-AU"/>
        </w:rPr>
        <w:t xml:space="preserve"> clarifies that a contravention of the form requirements set out in</w:t>
      </w:r>
      <w:r w:rsidR="00CE4743">
        <w:rPr>
          <w:rFonts w:ascii="Times New Roman" w:eastAsia="Times New Roman" w:hAnsi="Times New Roman" w:cs="Times New Roman"/>
          <w:color w:val="000000"/>
          <w:sz w:val="24"/>
          <w:szCs w:val="24"/>
          <w:lang w:eastAsia="en-AU"/>
        </w:rPr>
        <w:t xml:space="preserve"> subsection 8(2) for a notification of a dispute does not affect the validity of the notification.</w:t>
      </w:r>
    </w:p>
    <w:p w14:paraId="411CD510" w14:textId="1E72469D" w:rsidR="00784D82" w:rsidRPr="00784D82" w:rsidRDefault="00784D82" w:rsidP="00CE4743">
      <w:pPr>
        <w:shd w:val="clear" w:color="auto" w:fill="FFFFFF"/>
        <w:spacing w:before="180" w:after="0" w:line="240" w:lineRule="auto"/>
        <w:rPr>
          <w:rFonts w:ascii="Times New Roman" w:eastAsia="Times New Roman" w:hAnsi="Times New Roman" w:cs="Times New Roman"/>
          <w:color w:val="000000"/>
          <w:lang w:eastAsia="en-AU"/>
        </w:rPr>
      </w:pPr>
      <w:r w:rsidRPr="00784D82">
        <w:rPr>
          <w:rFonts w:ascii="Times New Roman" w:eastAsia="Times New Roman" w:hAnsi="Times New Roman" w:cs="Times New Roman"/>
          <w:color w:val="000000"/>
          <w:sz w:val="24"/>
          <w:szCs w:val="24"/>
          <w:lang w:eastAsia="en-AU"/>
        </w:rPr>
        <w:t xml:space="preserve">Subsection </w:t>
      </w:r>
      <w:r w:rsidR="00CE4743">
        <w:rPr>
          <w:rFonts w:ascii="Times New Roman" w:eastAsia="Times New Roman" w:hAnsi="Times New Roman" w:cs="Times New Roman"/>
          <w:color w:val="000000"/>
          <w:sz w:val="24"/>
          <w:szCs w:val="24"/>
          <w:lang w:eastAsia="en-AU"/>
        </w:rPr>
        <w:t>8</w:t>
      </w:r>
      <w:r w:rsidRPr="00784D82">
        <w:rPr>
          <w:rFonts w:ascii="Times New Roman" w:eastAsia="Times New Roman" w:hAnsi="Times New Roman" w:cs="Times New Roman"/>
          <w:color w:val="000000"/>
          <w:sz w:val="24"/>
          <w:szCs w:val="24"/>
          <w:lang w:eastAsia="en-AU"/>
        </w:rPr>
        <w:t>(4) clarifies how the ACCC must proceed when it is notified of a dispute. It provides that, when the ACCC receives notification of a dispute, the ACCC must give written notice of the dispute to:</w:t>
      </w:r>
    </w:p>
    <w:p w14:paraId="0A269B43" w14:textId="201438B4" w:rsidR="00784D82" w:rsidRPr="00CE4743" w:rsidRDefault="00AD4F9A" w:rsidP="00836175">
      <w:pPr>
        <w:pStyle w:val="ListParagraph"/>
        <w:numPr>
          <w:ilvl w:val="0"/>
          <w:numId w:val="2"/>
        </w:numPr>
        <w:shd w:val="clear" w:color="auto" w:fill="FFFFFF"/>
        <w:spacing w:after="0" w:line="240" w:lineRule="auto"/>
        <w:rPr>
          <w:rFonts w:ascii="Times New Roman" w:hAnsi="Times New Roman"/>
        </w:rPr>
      </w:pPr>
      <w:r>
        <w:rPr>
          <w:rFonts w:ascii="Times New Roman" w:hAnsi="Times New Roman"/>
          <w:sz w:val="24"/>
          <w:szCs w:val="24"/>
        </w:rPr>
        <w:t>t</w:t>
      </w:r>
      <w:r w:rsidR="00784D82" w:rsidRPr="00CE4743">
        <w:rPr>
          <w:rFonts w:ascii="Times New Roman" w:hAnsi="Times New Roman"/>
          <w:sz w:val="24"/>
          <w:szCs w:val="24"/>
        </w:rPr>
        <w:t xml:space="preserve">he other party in the dispute (either the </w:t>
      </w:r>
      <w:r w:rsidR="00CE4743">
        <w:rPr>
          <w:rFonts w:ascii="Times New Roman" w:hAnsi="Times New Roman"/>
          <w:sz w:val="24"/>
          <w:szCs w:val="24"/>
        </w:rPr>
        <w:t>access</w:t>
      </w:r>
      <w:r w:rsidR="00784D82" w:rsidRPr="00CE4743">
        <w:rPr>
          <w:rFonts w:ascii="Times New Roman" w:hAnsi="Times New Roman"/>
          <w:sz w:val="24"/>
          <w:szCs w:val="24"/>
        </w:rPr>
        <w:t xml:space="preserve"> seeker or </w:t>
      </w:r>
      <w:r w:rsidR="00CE4743">
        <w:rPr>
          <w:rFonts w:ascii="Times New Roman" w:hAnsi="Times New Roman"/>
          <w:sz w:val="24"/>
          <w:szCs w:val="24"/>
        </w:rPr>
        <w:t>access</w:t>
      </w:r>
      <w:r w:rsidR="00784D82" w:rsidRPr="00CE4743">
        <w:rPr>
          <w:rFonts w:ascii="Times New Roman" w:hAnsi="Times New Roman"/>
          <w:sz w:val="24"/>
          <w:szCs w:val="24"/>
        </w:rPr>
        <w:t xml:space="preserve"> provider)</w:t>
      </w:r>
      <w:r>
        <w:rPr>
          <w:rFonts w:ascii="Times New Roman" w:hAnsi="Times New Roman"/>
          <w:sz w:val="24"/>
          <w:szCs w:val="24"/>
        </w:rPr>
        <w:t>;</w:t>
      </w:r>
    </w:p>
    <w:p w14:paraId="061F01A8" w14:textId="7E666F35" w:rsidR="00784D82" w:rsidRPr="00CE4743" w:rsidRDefault="00AD4F9A" w:rsidP="00836175">
      <w:pPr>
        <w:pStyle w:val="ListParagraph"/>
        <w:numPr>
          <w:ilvl w:val="0"/>
          <w:numId w:val="2"/>
        </w:numPr>
        <w:shd w:val="clear" w:color="auto" w:fill="FFFFFF"/>
        <w:spacing w:before="180" w:after="0" w:line="240" w:lineRule="auto"/>
        <w:rPr>
          <w:rFonts w:ascii="Times New Roman" w:hAnsi="Times New Roman"/>
        </w:rPr>
      </w:pPr>
      <w:r>
        <w:rPr>
          <w:rFonts w:ascii="Times New Roman" w:hAnsi="Times New Roman"/>
          <w:sz w:val="24"/>
          <w:szCs w:val="24"/>
        </w:rPr>
        <w:t>i</w:t>
      </w:r>
      <w:r w:rsidR="00784D82" w:rsidRPr="00CE4743">
        <w:rPr>
          <w:rFonts w:ascii="Times New Roman" w:hAnsi="Times New Roman"/>
          <w:sz w:val="24"/>
          <w:szCs w:val="24"/>
        </w:rPr>
        <w:t xml:space="preserve">f the ACCC considers that the determination of the dispute may </w:t>
      </w:r>
      <w:r w:rsidR="00155837">
        <w:rPr>
          <w:rFonts w:ascii="Times New Roman" w:hAnsi="Times New Roman"/>
          <w:sz w:val="24"/>
          <w:szCs w:val="24"/>
        </w:rPr>
        <w:t>affect another person (whether or not the determination would require the other person to do something)</w:t>
      </w:r>
      <w:r w:rsidR="00784D82" w:rsidRPr="00CE4743">
        <w:rPr>
          <w:rFonts w:ascii="Times New Roman" w:hAnsi="Times New Roman"/>
          <w:sz w:val="24"/>
          <w:szCs w:val="24"/>
        </w:rPr>
        <w:t>—the other person</w:t>
      </w:r>
      <w:r>
        <w:rPr>
          <w:rFonts w:ascii="Times New Roman" w:hAnsi="Times New Roman"/>
          <w:sz w:val="24"/>
          <w:szCs w:val="24"/>
        </w:rPr>
        <w:t>;</w:t>
      </w:r>
    </w:p>
    <w:p w14:paraId="6E8F32DD" w14:textId="449ADA63" w:rsidR="00784D82" w:rsidRPr="00CE4743" w:rsidRDefault="00AD4F9A" w:rsidP="00836175">
      <w:pPr>
        <w:pStyle w:val="ListParagraph"/>
        <w:numPr>
          <w:ilvl w:val="0"/>
          <w:numId w:val="2"/>
        </w:numPr>
        <w:shd w:val="clear" w:color="auto" w:fill="FFFFFF"/>
        <w:spacing w:before="180" w:after="0" w:line="240" w:lineRule="auto"/>
        <w:rPr>
          <w:rFonts w:ascii="Times New Roman" w:hAnsi="Times New Roman"/>
        </w:rPr>
      </w:pPr>
      <w:r>
        <w:rPr>
          <w:rFonts w:ascii="Times New Roman" w:hAnsi="Times New Roman"/>
          <w:sz w:val="24"/>
          <w:szCs w:val="24"/>
        </w:rPr>
        <w:t>a</w:t>
      </w:r>
      <w:r w:rsidR="00784D82" w:rsidRPr="00CE4743">
        <w:rPr>
          <w:rFonts w:ascii="Times New Roman" w:hAnsi="Times New Roman"/>
          <w:sz w:val="24"/>
          <w:szCs w:val="24"/>
        </w:rPr>
        <w:t>ny other person whom the ACCC considers may wish to become a party</w:t>
      </w:r>
      <w:r>
        <w:rPr>
          <w:rFonts w:ascii="Times New Roman" w:hAnsi="Times New Roman"/>
          <w:sz w:val="24"/>
          <w:szCs w:val="24"/>
        </w:rPr>
        <w:t>.</w:t>
      </w:r>
    </w:p>
    <w:p w14:paraId="62ADE71C" w14:textId="230CA479" w:rsidR="00CE4743" w:rsidRPr="002F00B2" w:rsidRDefault="00CE4743" w:rsidP="00CE4743">
      <w:pPr>
        <w:shd w:val="clear" w:color="auto" w:fill="FFFFFF"/>
        <w:spacing w:before="180" w:after="0" w:line="240" w:lineRule="auto"/>
        <w:rPr>
          <w:rFonts w:ascii="Times New Roman" w:hAnsi="Times New Roman"/>
          <w:sz w:val="24"/>
          <w:szCs w:val="24"/>
        </w:rPr>
      </w:pPr>
      <w:r w:rsidRPr="002F00B2">
        <w:rPr>
          <w:rFonts w:ascii="Times New Roman" w:hAnsi="Times New Roman"/>
          <w:sz w:val="24"/>
          <w:szCs w:val="24"/>
        </w:rPr>
        <w:t>Subsection 8(5) clarifies that each of the following are a party to the arbitration of the dispute:</w:t>
      </w:r>
    </w:p>
    <w:p w14:paraId="370E87C8" w14:textId="2A2FDC57" w:rsidR="00CE4743" w:rsidRPr="002F00B2" w:rsidRDefault="00AD4F9A" w:rsidP="00836175">
      <w:pPr>
        <w:pStyle w:val="ListParagraph"/>
        <w:numPr>
          <w:ilvl w:val="0"/>
          <w:numId w:val="16"/>
        </w:numPr>
        <w:shd w:val="clear" w:color="auto" w:fill="FFFFFF"/>
        <w:spacing w:before="180" w:after="0" w:line="240" w:lineRule="auto"/>
        <w:rPr>
          <w:rFonts w:ascii="Times New Roman" w:hAnsi="Times New Roman"/>
          <w:sz w:val="24"/>
          <w:szCs w:val="24"/>
        </w:rPr>
      </w:pPr>
      <w:r>
        <w:rPr>
          <w:rFonts w:ascii="Times New Roman" w:hAnsi="Times New Roman"/>
          <w:sz w:val="24"/>
          <w:szCs w:val="24"/>
        </w:rPr>
        <w:t>t</w:t>
      </w:r>
      <w:r w:rsidR="00CE4743" w:rsidRPr="002F00B2">
        <w:rPr>
          <w:rFonts w:ascii="Times New Roman" w:hAnsi="Times New Roman"/>
          <w:sz w:val="24"/>
          <w:szCs w:val="24"/>
        </w:rPr>
        <w:t>he access seeker</w:t>
      </w:r>
      <w:r>
        <w:rPr>
          <w:rFonts w:ascii="Times New Roman" w:hAnsi="Times New Roman"/>
          <w:sz w:val="24"/>
          <w:szCs w:val="24"/>
        </w:rPr>
        <w:t>;</w:t>
      </w:r>
    </w:p>
    <w:p w14:paraId="368D9A03" w14:textId="39D48BD9" w:rsidR="00CE4743" w:rsidRPr="002F00B2" w:rsidRDefault="00AD4F9A" w:rsidP="00836175">
      <w:pPr>
        <w:pStyle w:val="ListParagraph"/>
        <w:numPr>
          <w:ilvl w:val="0"/>
          <w:numId w:val="16"/>
        </w:numPr>
        <w:shd w:val="clear" w:color="auto" w:fill="FFFFFF"/>
        <w:spacing w:before="180" w:after="0" w:line="240" w:lineRule="auto"/>
        <w:rPr>
          <w:rFonts w:ascii="Times New Roman" w:hAnsi="Times New Roman"/>
          <w:sz w:val="24"/>
          <w:szCs w:val="24"/>
        </w:rPr>
      </w:pPr>
      <w:r>
        <w:rPr>
          <w:rFonts w:ascii="Times New Roman" w:hAnsi="Times New Roman"/>
          <w:sz w:val="24"/>
          <w:szCs w:val="24"/>
        </w:rPr>
        <w:t>t</w:t>
      </w:r>
      <w:r w:rsidR="00CE4743" w:rsidRPr="002F00B2">
        <w:rPr>
          <w:rFonts w:ascii="Times New Roman" w:hAnsi="Times New Roman"/>
          <w:sz w:val="24"/>
          <w:szCs w:val="24"/>
        </w:rPr>
        <w:t>he access provider</w:t>
      </w:r>
      <w:r>
        <w:rPr>
          <w:rFonts w:ascii="Times New Roman" w:hAnsi="Times New Roman"/>
          <w:sz w:val="24"/>
          <w:szCs w:val="24"/>
        </w:rPr>
        <w:t>;</w:t>
      </w:r>
    </w:p>
    <w:p w14:paraId="30C9EA8D" w14:textId="34621D7C" w:rsidR="00CE4743" w:rsidRPr="002F00B2" w:rsidRDefault="00AD4F9A" w:rsidP="00836175">
      <w:pPr>
        <w:pStyle w:val="ListParagraph"/>
        <w:numPr>
          <w:ilvl w:val="0"/>
          <w:numId w:val="16"/>
        </w:numPr>
        <w:shd w:val="clear" w:color="auto" w:fill="FFFFFF"/>
        <w:spacing w:before="180" w:after="0" w:line="240" w:lineRule="auto"/>
        <w:rPr>
          <w:rFonts w:ascii="Times New Roman" w:hAnsi="Times New Roman"/>
          <w:sz w:val="24"/>
          <w:szCs w:val="24"/>
        </w:rPr>
      </w:pPr>
      <w:r>
        <w:rPr>
          <w:rFonts w:ascii="Times New Roman" w:hAnsi="Times New Roman"/>
          <w:sz w:val="24"/>
          <w:szCs w:val="24"/>
        </w:rPr>
        <w:t>a</w:t>
      </w:r>
      <w:r w:rsidR="00CE4743" w:rsidRPr="002F00B2">
        <w:rPr>
          <w:rFonts w:ascii="Times New Roman" w:hAnsi="Times New Roman"/>
          <w:sz w:val="24"/>
          <w:szCs w:val="24"/>
        </w:rPr>
        <w:t xml:space="preserve"> person </w:t>
      </w:r>
      <w:r w:rsidR="00155837" w:rsidRPr="002F00B2">
        <w:rPr>
          <w:rFonts w:ascii="Times New Roman" w:hAnsi="Times New Roman"/>
          <w:sz w:val="24"/>
          <w:szCs w:val="24"/>
        </w:rPr>
        <w:t>the ACCC considers that the determination of the dispute may affect</w:t>
      </w:r>
      <w:r>
        <w:rPr>
          <w:rFonts w:ascii="Times New Roman" w:hAnsi="Times New Roman"/>
          <w:sz w:val="24"/>
          <w:szCs w:val="24"/>
        </w:rPr>
        <w:t>;</w:t>
      </w:r>
    </w:p>
    <w:p w14:paraId="6CF8883A" w14:textId="5B8028FC" w:rsidR="00155837" w:rsidRPr="002F00B2" w:rsidRDefault="00AD4F9A" w:rsidP="00836175">
      <w:pPr>
        <w:pStyle w:val="ListParagraph"/>
        <w:numPr>
          <w:ilvl w:val="0"/>
          <w:numId w:val="16"/>
        </w:numPr>
        <w:shd w:val="clear" w:color="auto" w:fill="FFFFFF"/>
        <w:spacing w:before="180" w:after="0" w:line="240" w:lineRule="auto"/>
        <w:rPr>
          <w:rFonts w:ascii="Times New Roman" w:hAnsi="Times New Roman"/>
          <w:sz w:val="24"/>
          <w:szCs w:val="24"/>
        </w:rPr>
      </w:pPr>
      <w:r>
        <w:rPr>
          <w:rFonts w:ascii="Times New Roman" w:hAnsi="Times New Roman"/>
          <w:sz w:val="24"/>
          <w:szCs w:val="24"/>
        </w:rPr>
        <w:t>a</w:t>
      </w:r>
      <w:r w:rsidR="00155837" w:rsidRPr="002F00B2">
        <w:rPr>
          <w:rFonts w:ascii="Times New Roman" w:hAnsi="Times New Roman"/>
          <w:sz w:val="24"/>
          <w:szCs w:val="24"/>
        </w:rPr>
        <w:t>ny other person who applies in writing to be made a party to the arbitration and is accepted by the ACCC as having a sufficient interest.</w:t>
      </w:r>
    </w:p>
    <w:p w14:paraId="49E0627D" w14:textId="30B285BF" w:rsidR="00206AD8" w:rsidRPr="00066D43" w:rsidRDefault="00206AD8" w:rsidP="00206AD8">
      <w:pPr>
        <w:pStyle w:val="ActHead5"/>
        <w:rPr>
          <w:szCs w:val="24"/>
        </w:rPr>
      </w:pPr>
      <w:r w:rsidRPr="00066D43">
        <w:rPr>
          <w:rStyle w:val="CharSectno"/>
          <w:szCs w:val="24"/>
        </w:rPr>
        <w:t xml:space="preserve">Section </w:t>
      </w:r>
      <w:r>
        <w:rPr>
          <w:rStyle w:val="CharSectno"/>
          <w:szCs w:val="24"/>
        </w:rPr>
        <w:t>9</w:t>
      </w:r>
      <w:r w:rsidRPr="00066D43">
        <w:rPr>
          <w:szCs w:val="24"/>
        </w:rPr>
        <w:t xml:space="preserve"> - </w:t>
      </w:r>
      <w:r>
        <w:t>Determination by ACCC</w:t>
      </w:r>
    </w:p>
    <w:p w14:paraId="402F2FD9" w14:textId="39CE429D" w:rsidR="00206AD8" w:rsidRPr="002F00B2" w:rsidRDefault="00155837" w:rsidP="007E7D17">
      <w:pPr>
        <w:pStyle w:val="paragraphsub"/>
        <w:spacing w:before="180"/>
        <w:ind w:left="0" w:firstLine="0"/>
        <w:rPr>
          <w:color w:val="000000"/>
          <w:sz w:val="24"/>
          <w:szCs w:val="24"/>
          <w:shd w:val="clear" w:color="auto" w:fill="FFFFFF"/>
        </w:rPr>
      </w:pPr>
      <w:r w:rsidRPr="002F00B2">
        <w:rPr>
          <w:color w:val="000000"/>
          <w:sz w:val="24"/>
          <w:szCs w:val="24"/>
          <w:shd w:val="clear" w:color="auto" w:fill="FFFFFF"/>
        </w:rPr>
        <w:t xml:space="preserve">Subsection 9(1) provides that the ACCC must make a written determination of the </w:t>
      </w:r>
      <w:r w:rsidR="007E7D17" w:rsidRPr="002F00B2">
        <w:rPr>
          <w:color w:val="000000"/>
          <w:sz w:val="24"/>
          <w:szCs w:val="24"/>
          <w:shd w:val="clear" w:color="auto" w:fill="FFFFFF"/>
        </w:rPr>
        <w:t>terms and conditions of access</w:t>
      </w:r>
      <w:r w:rsidRPr="002F00B2">
        <w:rPr>
          <w:color w:val="000000"/>
          <w:sz w:val="24"/>
          <w:szCs w:val="24"/>
          <w:shd w:val="clear" w:color="auto" w:fill="FFFFFF"/>
        </w:rPr>
        <w:t>.</w:t>
      </w:r>
    </w:p>
    <w:p w14:paraId="38DE59AD" w14:textId="16E84A37" w:rsidR="007E7D17" w:rsidRPr="002F00B2" w:rsidRDefault="007E7D17" w:rsidP="007E7D17">
      <w:pPr>
        <w:pStyle w:val="paragraphsub"/>
        <w:spacing w:before="180"/>
        <w:ind w:left="0" w:firstLine="0"/>
        <w:rPr>
          <w:color w:val="000000"/>
          <w:sz w:val="24"/>
          <w:szCs w:val="24"/>
          <w:shd w:val="clear" w:color="auto" w:fill="FFFFFF"/>
        </w:rPr>
      </w:pPr>
      <w:r w:rsidRPr="002F00B2">
        <w:rPr>
          <w:color w:val="000000"/>
          <w:sz w:val="24"/>
          <w:szCs w:val="24"/>
          <w:shd w:val="clear" w:color="auto" w:fill="FFFFFF"/>
        </w:rPr>
        <w:t>Subsection 9(2) provides that a determination may deal with any matter relating to access, including matters that were not the basis for notification of the dispute.</w:t>
      </w:r>
    </w:p>
    <w:p w14:paraId="3DCE9188" w14:textId="2BC691C3" w:rsidR="007E7D17" w:rsidRPr="002F00B2" w:rsidRDefault="007E7D17" w:rsidP="007E7D17">
      <w:pPr>
        <w:pStyle w:val="paragraphsub"/>
        <w:tabs>
          <w:tab w:val="clear" w:pos="1985"/>
        </w:tabs>
        <w:spacing w:before="180"/>
        <w:ind w:left="0" w:firstLine="0"/>
        <w:rPr>
          <w:color w:val="000000"/>
          <w:sz w:val="24"/>
          <w:szCs w:val="24"/>
          <w:shd w:val="clear" w:color="auto" w:fill="FFFFFF"/>
        </w:rPr>
      </w:pPr>
      <w:r w:rsidRPr="002F00B2">
        <w:rPr>
          <w:color w:val="000000"/>
          <w:sz w:val="24"/>
          <w:szCs w:val="24"/>
          <w:shd w:val="clear" w:color="auto" w:fill="FFFFFF"/>
        </w:rPr>
        <w:t>Subsection 9(3) sets out examples of matters that the ACCC may include in a determination. These include:</w:t>
      </w:r>
    </w:p>
    <w:p w14:paraId="1BDFADCB" w14:textId="5397CE62" w:rsidR="007E7D17" w:rsidRPr="002F00B2" w:rsidRDefault="007E7D17" w:rsidP="002F00B2">
      <w:pPr>
        <w:pStyle w:val="ListParagraph"/>
        <w:numPr>
          <w:ilvl w:val="0"/>
          <w:numId w:val="2"/>
        </w:numPr>
        <w:shd w:val="clear" w:color="auto" w:fill="FFFFFF"/>
        <w:spacing w:before="180" w:after="0" w:line="240" w:lineRule="auto"/>
        <w:rPr>
          <w:sz w:val="24"/>
          <w:szCs w:val="24"/>
        </w:rPr>
      </w:pPr>
      <w:r w:rsidRPr="002F00B2">
        <w:rPr>
          <w:rFonts w:ascii="Times New Roman" w:hAnsi="Times New Roman"/>
          <w:sz w:val="24"/>
          <w:szCs w:val="24"/>
        </w:rPr>
        <w:t>requiring the access provider to give the access seeker access;</w:t>
      </w:r>
    </w:p>
    <w:p w14:paraId="7C9127C2" w14:textId="37F52F10" w:rsidR="007E7D17" w:rsidRPr="002F00B2" w:rsidRDefault="007E7D17" w:rsidP="002F00B2">
      <w:pPr>
        <w:pStyle w:val="ListParagraph"/>
        <w:numPr>
          <w:ilvl w:val="0"/>
          <w:numId w:val="2"/>
        </w:numPr>
        <w:shd w:val="clear" w:color="auto" w:fill="FFFFFF"/>
        <w:spacing w:before="180" w:after="0" w:line="240" w:lineRule="auto"/>
        <w:rPr>
          <w:sz w:val="24"/>
          <w:szCs w:val="24"/>
        </w:rPr>
      </w:pPr>
      <w:r w:rsidRPr="002F00B2">
        <w:rPr>
          <w:rFonts w:ascii="Times New Roman" w:hAnsi="Times New Roman"/>
          <w:sz w:val="24"/>
          <w:szCs w:val="24"/>
        </w:rPr>
        <w:t>requiring the access seeker to accept and pay for access;</w:t>
      </w:r>
    </w:p>
    <w:p w14:paraId="4876929D" w14:textId="44C68504" w:rsidR="007E7D17" w:rsidRPr="002F00B2" w:rsidRDefault="007E7D17" w:rsidP="002F00B2">
      <w:pPr>
        <w:pStyle w:val="ListParagraph"/>
        <w:numPr>
          <w:ilvl w:val="0"/>
          <w:numId w:val="2"/>
        </w:numPr>
        <w:shd w:val="clear" w:color="auto" w:fill="FFFFFF"/>
        <w:spacing w:before="180" w:after="0" w:line="240" w:lineRule="auto"/>
        <w:rPr>
          <w:sz w:val="24"/>
          <w:szCs w:val="24"/>
        </w:rPr>
      </w:pPr>
      <w:r w:rsidRPr="002F00B2">
        <w:rPr>
          <w:rFonts w:ascii="Times New Roman" w:hAnsi="Times New Roman"/>
          <w:sz w:val="24"/>
          <w:szCs w:val="24"/>
        </w:rPr>
        <w:t>specifying the terms and conditions with which the access provider needs to comply to satisfy his or her obligations under clauses 45, 45A and 46 of Schedule 4 to the Act;</w:t>
      </w:r>
    </w:p>
    <w:p w14:paraId="3ABE8297" w14:textId="37867F1C" w:rsidR="007E7D17" w:rsidRPr="002F00B2" w:rsidRDefault="007E7D17" w:rsidP="002F00B2">
      <w:pPr>
        <w:pStyle w:val="ListParagraph"/>
        <w:numPr>
          <w:ilvl w:val="0"/>
          <w:numId w:val="2"/>
        </w:numPr>
        <w:shd w:val="clear" w:color="auto" w:fill="FFFFFF"/>
        <w:spacing w:before="180" w:after="0" w:line="240" w:lineRule="auto"/>
        <w:rPr>
          <w:sz w:val="24"/>
          <w:szCs w:val="24"/>
        </w:rPr>
      </w:pPr>
      <w:r w:rsidRPr="002F00B2">
        <w:rPr>
          <w:rFonts w:ascii="Times New Roman" w:hAnsi="Times New Roman"/>
          <w:sz w:val="24"/>
          <w:szCs w:val="24"/>
        </w:rPr>
        <w:t>specifying any other terms and conditions under which the access seeker is to be given access;</w:t>
      </w:r>
    </w:p>
    <w:p w14:paraId="7E6745D3" w14:textId="3DC71443" w:rsidR="007E7D17" w:rsidRPr="002F00B2" w:rsidRDefault="007E7D17" w:rsidP="002F00B2">
      <w:pPr>
        <w:pStyle w:val="ListParagraph"/>
        <w:numPr>
          <w:ilvl w:val="0"/>
          <w:numId w:val="2"/>
        </w:numPr>
        <w:shd w:val="clear" w:color="auto" w:fill="FFFFFF"/>
        <w:spacing w:before="180" w:after="0" w:line="240" w:lineRule="auto"/>
        <w:rPr>
          <w:sz w:val="24"/>
          <w:szCs w:val="24"/>
        </w:rPr>
      </w:pPr>
      <w:r w:rsidRPr="002F00B2">
        <w:rPr>
          <w:rFonts w:ascii="Times New Roman" w:hAnsi="Times New Roman"/>
          <w:sz w:val="24"/>
          <w:szCs w:val="24"/>
        </w:rPr>
        <w:t>requiring a party to extend or enhance the capability of a broadcasting transmission tower, designated associated facility or site; and</w:t>
      </w:r>
    </w:p>
    <w:p w14:paraId="6873D46E" w14:textId="4F1FE08A" w:rsidR="007E7D17" w:rsidRPr="002F00B2" w:rsidRDefault="007E7D17" w:rsidP="002F00B2">
      <w:pPr>
        <w:pStyle w:val="ListParagraph"/>
        <w:numPr>
          <w:ilvl w:val="0"/>
          <w:numId w:val="2"/>
        </w:numPr>
        <w:shd w:val="clear" w:color="auto" w:fill="FFFFFF"/>
        <w:spacing w:before="180" w:after="0" w:line="240" w:lineRule="auto"/>
        <w:rPr>
          <w:sz w:val="24"/>
          <w:szCs w:val="24"/>
        </w:rPr>
      </w:pPr>
      <w:r w:rsidRPr="002F00B2">
        <w:rPr>
          <w:rFonts w:ascii="Times New Roman" w:hAnsi="Times New Roman"/>
          <w:sz w:val="24"/>
          <w:szCs w:val="24"/>
        </w:rPr>
        <w:t>specifying the extent to which the determination overrides an earlier determination made under this section.</w:t>
      </w:r>
    </w:p>
    <w:p w14:paraId="14F5E833" w14:textId="34E355FF" w:rsidR="007E7D17" w:rsidRPr="002F00B2" w:rsidRDefault="007E7D17" w:rsidP="007E7D17">
      <w:pPr>
        <w:pStyle w:val="paragraphsub"/>
        <w:tabs>
          <w:tab w:val="clear" w:pos="1985"/>
        </w:tabs>
        <w:spacing w:before="180"/>
        <w:ind w:left="0" w:firstLine="0"/>
        <w:rPr>
          <w:color w:val="000000"/>
          <w:sz w:val="24"/>
          <w:szCs w:val="24"/>
          <w:shd w:val="clear" w:color="auto" w:fill="FFFFFF"/>
        </w:rPr>
      </w:pPr>
      <w:r w:rsidRPr="002F00B2">
        <w:rPr>
          <w:color w:val="000000"/>
          <w:sz w:val="24"/>
          <w:szCs w:val="24"/>
          <w:shd w:val="clear" w:color="auto" w:fill="FFFFFF"/>
        </w:rPr>
        <w:t>S</w:t>
      </w:r>
      <w:r w:rsidR="00221D96" w:rsidRPr="002F00B2">
        <w:rPr>
          <w:color w:val="000000"/>
          <w:sz w:val="24"/>
          <w:szCs w:val="24"/>
          <w:shd w:val="clear" w:color="auto" w:fill="FFFFFF"/>
        </w:rPr>
        <w:t>ubsection</w:t>
      </w:r>
      <w:r w:rsidRPr="002F00B2">
        <w:rPr>
          <w:color w:val="000000"/>
          <w:sz w:val="24"/>
          <w:szCs w:val="24"/>
          <w:shd w:val="clear" w:color="auto" w:fill="FFFFFF"/>
        </w:rPr>
        <w:t xml:space="preserve"> 9(4) prohibits the ACCC from making a determination requiring access where access is already required under Part 5 of Schedule 4 to the Act or any other law of the Commonwealth. This provision is intended to reinforce the fact that the ACCC's determination power is an arbitral power (a non-judicial power that is concerned with ascertaining what ought to be, in the opinion of the arbitrator, the rights and liabilities of each party), not a judicial one (that is concerned with ascertaining existing rights and liabilities). The ACCC must also give the parties to the dispute reasons for its determination (sub</w:t>
      </w:r>
      <w:r w:rsidR="002C0D81">
        <w:rPr>
          <w:color w:val="000000"/>
          <w:sz w:val="24"/>
          <w:szCs w:val="24"/>
          <w:shd w:val="clear" w:color="auto" w:fill="FFFFFF"/>
        </w:rPr>
        <w:t>section</w:t>
      </w:r>
      <w:r w:rsidR="00251202">
        <w:rPr>
          <w:color w:val="000000"/>
          <w:sz w:val="24"/>
          <w:szCs w:val="24"/>
          <w:shd w:val="clear" w:color="auto" w:fill="FFFFFF"/>
        </w:rPr>
        <w:t xml:space="preserve"> </w:t>
      </w:r>
      <w:r w:rsidRPr="002F00B2">
        <w:rPr>
          <w:color w:val="000000"/>
          <w:sz w:val="24"/>
          <w:szCs w:val="24"/>
          <w:shd w:val="clear" w:color="auto" w:fill="FFFFFF"/>
        </w:rPr>
        <w:t>9(7)).</w:t>
      </w:r>
    </w:p>
    <w:p w14:paraId="195B687A" w14:textId="77183F59" w:rsidR="00221D96" w:rsidRPr="002F00B2" w:rsidRDefault="00221D96" w:rsidP="00221D96">
      <w:pPr>
        <w:pStyle w:val="paragraphsub"/>
        <w:spacing w:before="180"/>
        <w:ind w:left="0" w:firstLine="0"/>
        <w:rPr>
          <w:color w:val="000000"/>
          <w:sz w:val="24"/>
          <w:szCs w:val="24"/>
          <w:shd w:val="clear" w:color="auto" w:fill="FFFFFF"/>
        </w:rPr>
      </w:pPr>
      <w:r w:rsidRPr="002F00B2">
        <w:rPr>
          <w:color w:val="000000"/>
          <w:sz w:val="24"/>
          <w:szCs w:val="24"/>
          <w:shd w:val="clear" w:color="auto" w:fill="FFFFFF"/>
        </w:rPr>
        <w:t>Subsection 9(5) limits the ACCC's power of determination in relation to designated associated facilities. The ACCC must not make an interim or final determination in this context that would:</w:t>
      </w:r>
    </w:p>
    <w:p w14:paraId="0DC7BD6D" w14:textId="053EAC8E" w:rsidR="00221D96" w:rsidRPr="002F00B2" w:rsidRDefault="00221D96" w:rsidP="002F00B2">
      <w:pPr>
        <w:pStyle w:val="paragraphsub"/>
        <w:numPr>
          <w:ilvl w:val="0"/>
          <w:numId w:val="14"/>
        </w:numPr>
        <w:tabs>
          <w:tab w:val="clear" w:pos="1985"/>
        </w:tabs>
        <w:spacing w:before="180"/>
        <w:rPr>
          <w:color w:val="000000"/>
          <w:sz w:val="24"/>
          <w:szCs w:val="24"/>
          <w:shd w:val="clear" w:color="auto" w:fill="FFFFFF"/>
        </w:rPr>
      </w:pPr>
      <w:r w:rsidRPr="002F00B2">
        <w:rPr>
          <w:color w:val="000000"/>
          <w:sz w:val="24"/>
          <w:szCs w:val="24"/>
          <w:shd w:val="clear" w:color="auto" w:fill="FFFFFF"/>
        </w:rPr>
        <w:t xml:space="preserve">be inconsistent with an exemption mentioned in section 6 of the </w:t>
      </w:r>
      <w:r w:rsidR="001E7673" w:rsidRPr="00E92C1F">
        <w:rPr>
          <w:color w:val="000000"/>
          <w:sz w:val="24"/>
          <w:szCs w:val="24"/>
          <w:shd w:val="clear" w:color="auto" w:fill="FFFFFF"/>
        </w:rPr>
        <w:t>R</w:t>
      </w:r>
      <w:r w:rsidRPr="002F00B2">
        <w:rPr>
          <w:color w:val="000000"/>
          <w:sz w:val="24"/>
          <w:szCs w:val="24"/>
          <w:shd w:val="clear" w:color="auto" w:fill="FFFFFF"/>
        </w:rPr>
        <w:t>egulations; or</w:t>
      </w:r>
    </w:p>
    <w:p w14:paraId="12C68C9E" w14:textId="6AA0601F" w:rsidR="00221D96" w:rsidRPr="002F00B2" w:rsidRDefault="00221D96" w:rsidP="002F00B2">
      <w:pPr>
        <w:pStyle w:val="paragraphsub"/>
        <w:numPr>
          <w:ilvl w:val="0"/>
          <w:numId w:val="14"/>
        </w:numPr>
        <w:tabs>
          <w:tab w:val="clear" w:pos="1985"/>
        </w:tabs>
        <w:spacing w:before="180"/>
        <w:rPr>
          <w:color w:val="000000"/>
          <w:sz w:val="24"/>
          <w:szCs w:val="24"/>
          <w:shd w:val="clear" w:color="auto" w:fill="FFFFFF"/>
        </w:rPr>
      </w:pPr>
      <w:r w:rsidRPr="002F00B2">
        <w:rPr>
          <w:color w:val="000000"/>
          <w:sz w:val="24"/>
          <w:szCs w:val="24"/>
          <w:shd w:val="clear" w:color="auto" w:fill="FFFFFF"/>
        </w:rPr>
        <w:t>result in the access seeker becoming the owner or part owner of any part of a facility without the consent of the owner of the facility; or</w:t>
      </w:r>
    </w:p>
    <w:p w14:paraId="7CD4D6CC" w14:textId="6C4EE3CF" w:rsidR="007E7D17" w:rsidRPr="002F00B2" w:rsidRDefault="00221D96" w:rsidP="00836175">
      <w:pPr>
        <w:pStyle w:val="paragraphsub"/>
        <w:numPr>
          <w:ilvl w:val="0"/>
          <w:numId w:val="14"/>
        </w:numPr>
        <w:tabs>
          <w:tab w:val="clear" w:pos="1985"/>
        </w:tabs>
        <w:spacing w:before="180"/>
        <w:rPr>
          <w:color w:val="000000"/>
          <w:sz w:val="24"/>
          <w:szCs w:val="24"/>
          <w:shd w:val="clear" w:color="auto" w:fill="FFFFFF"/>
        </w:rPr>
      </w:pPr>
      <w:r w:rsidRPr="002F00B2">
        <w:rPr>
          <w:color w:val="000000"/>
          <w:sz w:val="24"/>
          <w:szCs w:val="24"/>
          <w:shd w:val="clear" w:color="auto" w:fill="FFFFFF"/>
        </w:rPr>
        <w:t>require a party (other than the access seeker) to bear some or all of the costs of extending or enhancing the capability of a facility, or maintaining extensions to or enhancements of the capability of a facility.</w:t>
      </w:r>
    </w:p>
    <w:p w14:paraId="29865C42" w14:textId="0F673140" w:rsidR="00221D96" w:rsidRPr="002F00B2" w:rsidRDefault="00221D96" w:rsidP="00221D96">
      <w:pPr>
        <w:pStyle w:val="paragraphsub"/>
        <w:tabs>
          <w:tab w:val="clear" w:pos="1985"/>
        </w:tabs>
        <w:spacing w:before="180"/>
        <w:ind w:left="0" w:firstLine="0"/>
        <w:rPr>
          <w:color w:val="000000"/>
          <w:sz w:val="24"/>
          <w:szCs w:val="24"/>
          <w:shd w:val="clear" w:color="auto" w:fill="FFFFFF"/>
        </w:rPr>
      </w:pPr>
      <w:r w:rsidRPr="002F00B2">
        <w:rPr>
          <w:color w:val="000000"/>
          <w:sz w:val="24"/>
          <w:szCs w:val="24"/>
          <w:shd w:val="clear" w:color="auto" w:fill="FFFFFF"/>
        </w:rPr>
        <w:t>Subsection 9(6) provides that before the ACCC makes the determination, it must give a draft of the determination to each party.</w:t>
      </w:r>
    </w:p>
    <w:p w14:paraId="04D922D2" w14:textId="1388BD61" w:rsidR="00221D96" w:rsidRPr="002F00B2" w:rsidRDefault="00221D96" w:rsidP="00221D96">
      <w:pPr>
        <w:pStyle w:val="paragraphsub"/>
        <w:tabs>
          <w:tab w:val="clear" w:pos="1985"/>
        </w:tabs>
        <w:spacing w:before="180"/>
        <w:ind w:left="0" w:firstLine="0"/>
        <w:rPr>
          <w:color w:val="000000"/>
          <w:sz w:val="24"/>
          <w:szCs w:val="24"/>
          <w:shd w:val="clear" w:color="auto" w:fill="FFFFFF"/>
        </w:rPr>
      </w:pPr>
      <w:r w:rsidRPr="002F00B2">
        <w:rPr>
          <w:color w:val="000000"/>
          <w:sz w:val="24"/>
          <w:szCs w:val="24"/>
          <w:shd w:val="clear" w:color="auto" w:fill="FFFFFF"/>
        </w:rPr>
        <w:t>Subsection 9(7) provides that when the ACCC makes a determination it must give a copy of the determination to each party and include the reasons for the determination.</w:t>
      </w:r>
    </w:p>
    <w:p w14:paraId="7FD5E663" w14:textId="4C79A33B" w:rsidR="00221D96" w:rsidRPr="002F00B2" w:rsidRDefault="00221D96" w:rsidP="00221D96">
      <w:pPr>
        <w:pStyle w:val="paragraphsub"/>
        <w:tabs>
          <w:tab w:val="clear" w:pos="1985"/>
        </w:tabs>
        <w:spacing w:before="180"/>
        <w:ind w:left="0" w:firstLine="0"/>
        <w:rPr>
          <w:color w:val="000000"/>
          <w:sz w:val="24"/>
          <w:szCs w:val="24"/>
          <w:shd w:val="clear" w:color="auto" w:fill="FFFFFF"/>
        </w:rPr>
      </w:pPr>
      <w:r w:rsidRPr="002F00B2">
        <w:rPr>
          <w:color w:val="000000"/>
          <w:sz w:val="24"/>
          <w:szCs w:val="24"/>
          <w:shd w:val="clear" w:color="auto" w:fill="FFFFFF"/>
        </w:rPr>
        <w:t xml:space="preserve">Subsection 9(8) clarifies that the ACCC is not required to make a written determination of the terms and conditions of access if notification of the dispute is withdrawn under section 11 or </w:t>
      </w:r>
      <w:r w:rsidR="00836175" w:rsidRPr="002F00B2">
        <w:rPr>
          <w:color w:val="000000"/>
          <w:sz w:val="24"/>
          <w:szCs w:val="24"/>
          <w:shd w:val="clear" w:color="auto" w:fill="FFFFFF"/>
        </w:rPr>
        <w:t>if the ACCC terminates the termination of the dispute under section 12.</w:t>
      </w:r>
    </w:p>
    <w:p w14:paraId="71E85935" w14:textId="5A5CDBC3" w:rsidR="00206AD8" w:rsidRPr="00206AD8" w:rsidRDefault="00206AD8" w:rsidP="00206AD8">
      <w:pPr>
        <w:pStyle w:val="ActHead5"/>
        <w:rPr>
          <w:szCs w:val="24"/>
        </w:rPr>
      </w:pPr>
      <w:r w:rsidRPr="00206AD8">
        <w:rPr>
          <w:rStyle w:val="CharSectno"/>
          <w:szCs w:val="24"/>
        </w:rPr>
        <w:t>Section 10</w:t>
      </w:r>
      <w:r w:rsidRPr="00206AD8">
        <w:rPr>
          <w:szCs w:val="24"/>
        </w:rPr>
        <w:t xml:space="preserve"> - </w:t>
      </w:r>
      <w:r w:rsidR="007E7D17" w:rsidRPr="007E7D17">
        <w:t>Matters to be taken into account</w:t>
      </w:r>
    </w:p>
    <w:p w14:paraId="78E76158" w14:textId="77777777" w:rsidR="00836175" w:rsidRPr="00836175" w:rsidRDefault="00836175" w:rsidP="00836175">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836175">
        <w:rPr>
          <w:rFonts w:ascii="Times New Roman" w:eastAsia="Times New Roman" w:hAnsi="Times New Roman" w:cs="Times New Roman"/>
          <w:color w:val="000000"/>
          <w:sz w:val="24"/>
          <w:szCs w:val="24"/>
          <w:lang w:eastAsia="en-AU"/>
        </w:rPr>
        <w:t>Subsection 10(1) provides for the matters that the ACCC must take into account when making a determination of the dispute.  These matters, which are intended to be of equal importance, are:</w:t>
      </w:r>
    </w:p>
    <w:p w14:paraId="5F8E7137" w14:textId="2390AECD" w:rsidR="00836175" w:rsidRPr="000D1D64" w:rsidRDefault="00AD4F9A" w:rsidP="00836175">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836175" w:rsidRPr="000D1D64">
        <w:rPr>
          <w:color w:val="000000"/>
          <w:sz w:val="24"/>
          <w:szCs w:val="24"/>
          <w:shd w:val="clear" w:color="auto" w:fill="FFFFFF"/>
        </w:rPr>
        <w:t>he legitimate business interests of the parties, and the parties’ investment in facilities used in giving access to a tower, designated associated facility or site which is the subject of the arbitration;</w:t>
      </w:r>
    </w:p>
    <w:p w14:paraId="769A3BBF" w14:textId="3B939B59" w:rsidR="00836175" w:rsidRPr="000D1D64" w:rsidRDefault="00836175" w:rsidP="00836175">
      <w:pPr>
        <w:pStyle w:val="paragraphsub"/>
        <w:numPr>
          <w:ilvl w:val="0"/>
          <w:numId w:val="14"/>
        </w:numPr>
        <w:tabs>
          <w:tab w:val="clear" w:pos="1985"/>
        </w:tabs>
        <w:spacing w:before="180"/>
        <w:rPr>
          <w:color w:val="000000"/>
          <w:sz w:val="24"/>
          <w:szCs w:val="24"/>
          <w:shd w:val="clear" w:color="auto" w:fill="FFFFFF"/>
        </w:rPr>
      </w:pPr>
      <w:r w:rsidRPr="000D1D64">
        <w:rPr>
          <w:color w:val="000000"/>
          <w:sz w:val="24"/>
          <w:szCs w:val="24"/>
          <w:shd w:val="clear" w:color="auto" w:fill="FFFFFF"/>
        </w:rPr>
        <w:t>the interests of all persons who have been given access to the tower, designated associated facility or site which is the subject of the arbitration;</w:t>
      </w:r>
    </w:p>
    <w:p w14:paraId="15F2F664" w14:textId="42487115" w:rsidR="00836175" w:rsidRPr="000D1D64" w:rsidRDefault="00836175" w:rsidP="00836175">
      <w:pPr>
        <w:pStyle w:val="paragraphsub"/>
        <w:numPr>
          <w:ilvl w:val="0"/>
          <w:numId w:val="14"/>
        </w:numPr>
        <w:tabs>
          <w:tab w:val="clear" w:pos="1985"/>
        </w:tabs>
        <w:spacing w:before="180"/>
        <w:rPr>
          <w:color w:val="000000"/>
          <w:sz w:val="24"/>
          <w:szCs w:val="24"/>
          <w:shd w:val="clear" w:color="auto" w:fill="FFFFFF"/>
        </w:rPr>
      </w:pPr>
      <w:r w:rsidRPr="000D1D64">
        <w:rPr>
          <w:color w:val="000000"/>
          <w:sz w:val="24"/>
          <w:szCs w:val="24"/>
          <w:shd w:val="clear" w:color="auto" w:fill="FFFFFF"/>
        </w:rPr>
        <w:t>the direct costs of giving access to the tower, designated associated facility or site which is the subject of the arbitration;</w:t>
      </w:r>
    </w:p>
    <w:p w14:paraId="24E3124D" w14:textId="08650EFE" w:rsidR="00836175" w:rsidRPr="000D1D64" w:rsidRDefault="00836175" w:rsidP="00836175">
      <w:pPr>
        <w:pStyle w:val="paragraphsub"/>
        <w:numPr>
          <w:ilvl w:val="0"/>
          <w:numId w:val="14"/>
        </w:numPr>
        <w:tabs>
          <w:tab w:val="clear" w:pos="1985"/>
        </w:tabs>
        <w:spacing w:before="180"/>
        <w:rPr>
          <w:color w:val="000000"/>
          <w:sz w:val="24"/>
          <w:szCs w:val="24"/>
          <w:shd w:val="clear" w:color="auto" w:fill="FFFFFF"/>
        </w:rPr>
      </w:pPr>
      <w:r w:rsidRPr="000D1D64">
        <w:rPr>
          <w:color w:val="000000"/>
          <w:sz w:val="24"/>
          <w:szCs w:val="24"/>
          <w:shd w:val="clear" w:color="auto" w:fill="FFFFFF"/>
        </w:rPr>
        <w:t>the operational and technical requirements for the safe and reliable operation of the tower, designated associated facility or site which is the subject of the arbitration or another facility located at the same place;</w:t>
      </w:r>
    </w:p>
    <w:p w14:paraId="3641E1C0" w14:textId="1B4D0477" w:rsidR="00836175" w:rsidRPr="000D1D64" w:rsidRDefault="00AD4F9A" w:rsidP="00836175">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836175" w:rsidRPr="000D1D64">
        <w:rPr>
          <w:color w:val="000000"/>
          <w:sz w:val="24"/>
          <w:szCs w:val="24"/>
          <w:shd w:val="clear" w:color="auto" w:fill="FFFFFF"/>
        </w:rPr>
        <w:t>he economically efficient operation of a tower, designated associated facility or site which is the subject of the arbitration;</w:t>
      </w:r>
    </w:p>
    <w:p w14:paraId="163D3210" w14:textId="3EC80F7B" w:rsidR="00836175" w:rsidRPr="00836175" w:rsidRDefault="00836175" w:rsidP="00836175">
      <w:pPr>
        <w:pStyle w:val="paragraphsub"/>
        <w:numPr>
          <w:ilvl w:val="0"/>
          <w:numId w:val="14"/>
        </w:numPr>
        <w:tabs>
          <w:tab w:val="clear" w:pos="1985"/>
        </w:tabs>
        <w:spacing w:before="180"/>
        <w:rPr>
          <w:color w:val="000000"/>
          <w:sz w:val="24"/>
          <w:szCs w:val="24"/>
          <w:shd w:val="clear" w:color="auto" w:fill="FFFFFF"/>
        </w:rPr>
      </w:pPr>
      <w:r w:rsidRPr="000D1D64">
        <w:rPr>
          <w:color w:val="000000"/>
          <w:sz w:val="24"/>
          <w:szCs w:val="24"/>
          <w:shd w:val="clear" w:color="auto" w:fill="FFFFFF"/>
        </w:rPr>
        <w:t>the value to a party of any extension of property, or enhancement of capability, to be paid for by another person; and</w:t>
      </w:r>
    </w:p>
    <w:p w14:paraId="34F4AD1F" w14:textId="77777777" w:rsidR="00836175" w:rsidRPr="000D1D64" w:rsidRDefault="00836175" w:rsidP="00836175">
      <w:pPr>
        <w:pStyle w:val="paragraphsub"/>
        <w:numPr>
          <w:ilvl w:val="0"/>
          <w:numId w:val="14"/>
        </w:numPr>
        <w:spacing w:before="180"/>
        <w:rPr>
          <w:color w:val="000000"/>
          <w:sz w:val="24"/>
          <w:szCs w:val="24"/>
          <w:shd w:val="clear" w:color="auto" w:fill="FFFFFF"/>
        </w:rPr>
      </w:pPr>
      <w:r w:rsidRPr="000D1D64">
        <w:rPr>
          <w:color w:val="000000"/>
          <w:sz w:val="24"/>
          <w:szCs w:val="24"/>
          <w:shd w:val="clear" w:color="auto" w:fill="FFFFFF"/>
        </w:rPr>
        <w:t>whether the final determination will promote the objects set out in paragraphs 3(1)(a), (aa), (b) and (ba) of the Act. These are:</w:t>
      </w:r>
    </w:p>
    <w:p w14:paraId="50E1B43C" w14:textId="39E66C00" w:rsidR="00836175" w:rsidRPr="000D1D64" w:rsidRDefault="00836175" w:rsidP="00222D48">
      <w:pPr>
        <w:pStyle w:val="paragraphsub"/>
        <w:numPr>
          <w:ilvl w:val="1"/>
          <w:numId w:val="19"/>
        </w:numPr>
        <w:spacing w:before="180"/>
        <w:rPr>
          <w:color w:val="000000"/>
          <w:sz w:val="24"/>
          <w:szCs w:val="24"/>
          <w:shd w:val="clear" w:color="auto" w:fill="FFFFFF"/>
        </w:rPr>
      </w:pPr>
      <w:r w:rsidRPr="000D1D64">
        <w:rPr>
          <w:color w:val="000000"/>
          <w:sz w:val="24"/>
          <w:szCs w:val="24"/>
          <w:shd w:val="clear" w:color="auto" w:fill="FFFFFF"/>
        </w:rPr>
        <w:t>to promote the availability to audiences throughout Australia of a diverse range of radio and television services offering entertainment, education and information;</w:t>
      </w:r>
    </w:p>
    <w:p w14:paraId="712AEC6C" w14:textId="57CA208D" w:rsidR="00836175" w:rsidRPr="000D1D64" w:rsidRDefault="00836175" w:rsidP="00222D48">
      <w:pPr>
        <w:pStyle w:val="paragraphsub"/>
        <w:numPr>
          <w:ilvl w:val="1"/>
          <w:numId w:val="19"/>
        </w:numPr>
        <w:spacing w:before="180"/>
        <w:rPr>
          <w:color w:val="000000"/>
          <w:sz w:val="24"/>
          <w:szCs w:val="24"/>
          <w:shd w:val="clear" w:color="auto" w:fill="FFFFFF"/>
        </w:rPr>
      </w:pPr>
      <w:r w:rsidRPr="000D1D64">
        <w:rPr>
          <w:color w:val="000000"/>
          <w:sz w:val="24"/>
          <w:szCs w:val="24"/>
          <w:shd w:val="clear" w:color="auto" w:fill="FFFFFF"/>
        </w:rPr>
        <w:t>to promote the availability to audiences and users throughout Australia of a diverse range of datacasting services;</w:t>
      </w:r>
    </w:p>
    <w:p w14:paraId="66EEECE3" w14:textId="004FB84A" w:rsidR="00836175" w:rsidRPr="000D1D64" w:rsidRDefault="00836175" w:rsidP="00222D48">
      <w:pPr>
        <w:pStyle w:val="paragraphsub"/>
        <w:numPr>
          <w:ilvl w:val="1"/>
          <w:numId w:val="19"/>
        </w:numPr>
        <w:spacing w:before="180"/>
        <w:rPr>
          <w:color w:val="000000"/>
          <w:sz w:val="24"/>
          <w:szCs w:val="24"/>
          <w:shd w:val="clear" w:color="auto" w:fill="FFFFFF"/>
        </w:rPr>
      </w:pPr>
      <w:r w:rsidRPr="000D1D64">
        <w:rPr>
          <w:color w:val="000000"/>
          <w:sz w:val="24"/>
          <w:szCs w:val="24"/>
          <w:shd w:val="clear" w:color="auto" w:fill="FFFFFF"/>
        </w:rPr>
        <w:t>to provide a regulatory environment that will facilitate the development of a broadcasting industry in Australia that is efficient, competitive and responsive to audience needs; and</w:t>
      </w:r>
    </w:p>
    <w:p w14:paraId="187E4B0F" w14:textId="0D5D940D" w:rsidR="00836175" w:rsidRPr="000D1D64" w:rsidRDefault="00836175" w:rsidP="00222D48">
      <w:pPr>
        <w:pStyle w:val="paragraphsub"/>
        <w:numPr>
          <w:ilvl w:val="1"/>
          <w:numId w:val="19"/>
        </w:numPr>
        <w:tabs>
          <w:tab w:val="clear" w:pos="1985"/>
        </w:tabs>
        <w:spacing w:before="180"/>
        <w:rPr>
          <w:color w:val="000000"/>
          <w:sz w:val="24"/>
          <w:szCs w:val="24"/>
          <w:shd w:val="clear" w:color="auto" w:fill="FFFFFF"/>
        </w:rPr>
      </w:pPr>
      <w:r w:rsidRPr="000D1D64">
        <w:rPr>
          <w:color w:val="000000"/>
          <w:sz w:val="24"/>
          <w:szCs w:val="24"/>
          <w:shd w:val="clear" w:color="auto" w:fill="FFFFFF"/>
        </w:rPr>
        <w:t>to provide a regulatory environment that will facilitate the development of a datacasting industry in Australia that is efficient, competitive and responsive to audience and user needs.</w:t>
      </w:r>
    </w:p>
    <w:p w14:paraId="6E7F68B0" w14:textId="33890EC8" w:rsidR="00836175" w:rsidRPr="00836175" w:rsidRDefault="00836175" w:rsidP="00836175">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836175">
        <w:rPr>
          <w:rFonts w:ascii="Times New Roman" w:eastAsia="Times New Roman" w:hAnsi="Times New Roman" w:cs="Times New Roman"/>
          <w:color w:val="000000"/>
          <w:sz w:val="24"/>
          <w:szCs w:val="24"/>
          <w:lang w:eastAsia="en-AU"/>
        </w:rPr>
        <w:t>Subsec</w:t>
      </w:r>
      <w:r w:rsidRPr="000D1D64">
        <w:rPr>
          <w:rFonts w:ascii="Times New Roman" w:eastAsia="Times New Roman" w:hAnsi="Times New Roman" w:cs="Times New Roman"/>
          <w:color w:val="000000"/>
          <w:sz w:val="24"/>
          <w:szCs w:val="24"/>
          <w:lang w:eastAsia="en-AU"/>
        </w:rPr>
        <w:t>tion 10(2</w:t>
      </w:r>
      <w:r w:rsidRPr="00836175">
        <w:rPr>
          <w:rFonts w:ascii="Times New Roman" w:eastAsia="Times New Roman" w:hAnsi="Times New Roman" w:cs="Times New Roman"/>
          <w:color w:val="000000"/>
          <w:sz w:val="24"/>
          <w:szCs w:val="24"/>
          <w:lang w:eastAsia="en-AU"/>
        </w:rPr>
        <w:t>) provides that, in making a determination, the ACCC may take into account any other matters that it considers relevant</w:t>
      </w:r>
      <w:r w:rsidR="00171E7B">
        <w:rPr>
          <w:rFonts w:ascii="Times New Roman" w:eastAsia="Times New Roman" w:hAnsi="Times New Roman" w:cs="Times New Roman"/>
          <w:color w:val="000000"/>
          <w:sz w:val="24"/>
          <w:szCs w:val="24"/>
          <w:lang w:eastAsia="en-AU"/>
        </w:rPr>
        <w:t xml:space="preserve">, such as the public interest, impact on competition within the industry and potential power imbalances between parties.  </w:t>
      </w:r>
      <w:r w:rsidRPr="00836175">
        <w:rPr>
          <w:rFonts w:ascii="Times New Roman" w:eastAsia="Times New Roman" w:hAnsi="Times New Roman" w:cs="Times New Roman"/>
          <w:color w:val="000000"/>
          <w:sz w:val="24"/>
          <w:szCs w:val="24"/>
          <w:lang w:eastAsia="en-AU"/>
        </w:rPr>
        <w:t>This provides flexibility to deal with specific or unforeseen circumstances and covers the breadth of the matters that the ACCC may be required to arbitrate.</w:t>
      </w:r>
    </w:p>
    <w:p w14:paraId="3D1C68DA" w14:textId="37141F48" w:rsidR="00206AD8" w:rsidRPr="00206AD8" w:rsidRDefault="00206AD8" w:rsidP="00206AD8">
      <w:pPr>
        <w:pStyle w:val="ActHead5"/>
        <w:rPr>
          <w:szCs w:val="24"/>
        </w:rPr>
      </w:pPr>
      <w:r w:rsidRPr="00206AD8">
        <w:rPr>
          <w:szCs w:val="24"/>
        </w:rPr>
        <w:t>Section 11 - Withdrawal of notifications</w:t>
      </w:r>
    </w:p>
    <w:p w14:paraId="0EFFB52D" w14:textId="4DB4EF71" w:rsidR="000D1D64" w:rsidRPr="000D1D64" w:rsidRDefault="000D1D64" w:rsidP="000D1D64">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0D1D64">
        <w:rPr>
          <w:rFonts w:ascii="Times New Roman" w:eastAsia="Times New Roman" w:hAnsi="Times New Roman" w:cs="Times New Roman"/>
          <w:color w:val="000000"/>
          <w:sz w:val="24"/>
          <w:szCs w:val="24"/>
          <w:lang w:eastAsia="en-AU"/>
        </w:rPr>
        <w:t xml:space="preserve">Section </w:t>
      </w:r>
      <w:r>
        <w:rPr>
          <w:rFonts w:ascii="Times New Roman" w:eastAsia="Times New Roman" w:hAnsi="Times New Roman" w:cs="Times New Roman"/>
          <w:color w:val="000000"/>
          <w:sz w:val="24"/>
          <w:szCs w:val="24"/>
          <w:lang w:eastAsia="en-AU"/>
        </w:rPr>
        <w:t>11</w:t>
      </w:r>
      <w:r w:rsidRPr="000D1D64">
        <w:rPr>
          <w:rFonts w:ascii="Times New Roman" w:eastAsia="Times New Roman" w:hAnsi="Times New Roman" w:cs="Times New Roman"/>
          <w:color w:val="000000"/>
          <w:sz w:val="24"/>
          <w:szCs w:val="24"/>
          <w:lang w:eastAsia="en-AU"/>
        </w:rPr>
        <w:t xml:space="preserve"> provides a process for how a party can withdraw a notification of a dispute</w:t>
      </w:r>
      <w:r>
        <w:rPr>
          <w:rFonts w:ascii="Times New Roman" w:eastAsia="Times New Roman" w:hAnsi="Times New Roman" w:cs="Times New Roman"/>
          <w:color w:val="000000"/>
          <w:sz w:val="24"/>
          <w:szCs w:val="24"/>
          <w:lang w:eastAsia="en-AU"/>
        </w:rPr>
        <w:t xml:space="preserve"> made under subsection 8(1)</w:t>
      </w:r>
      <w:r w:rsidRPr="000D1D64">
        <w:rPr>
          <w:rFonts w:ascii="Times New Roman" w:eastAsia="Times New Roman" w:hAnsi="Times New Roman" w:cs="Times New Roman"/>
          <w:color w:val="000000"/>
          <w:sz w:val="24"/>
          <w:szCs w:val="24"/>
          <w:lang w:eastAsia="en-AU"/>
        </w:rPr>
        <w:t>.</w:t>
      </w:r>
    </w:p>
    <w:p w14:paraId="70B02012" w14:textId="36E43112" w:rsidR="000D1D64" w:rsidRPr="000D1D64" w:rsidRDefault="000D1D64" w:rsidP="000D1D64">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0D1D64">
        <w:rPr>
          <w:rFonts w:ascii="Times New Roman" w:eastAsia="Times New Roman" w:hAnsi="Times New Roman" w:cs="Times New Roman"/>
          <w:color w:val="000000"/>
          <w:sz w:val="24"/>
          <w:szCs w:val="24"/>
          <w:lang w:eastAsia="en-AU"/>
        </w:rPr>
        <w:t xml:space="preserve">Subsection </w:t>
      </w:r>
      <w:r>
        <w:rPr>
          <w:rFonts w:ascii="Times New Roman" w:eastAsia="Times New Roman" w:hAnsi="Times New Roman" w:cs="Times New Roman"/>
          <w:color w:val="000000"/>
          <w:sz w:val="24"/>
          <w:szCs w:val="24"/>
          <w:lang w:eastAsia="en-AU"/>
        </w:rPr>
        <w:t>11</w:t>
      </w:r>
      <w:r w:rsidRPr="000D1D64">
        <w:rPr>
          <w:rFonts w:ascii="Times New Roman" w:eastAsia="Times New Roman" w:hAnsi="Times New Roman" w:cs="Times New Roman"/>
          <w:color w:val="000000"/>
          <w:sz w:val="24"/>
          <w:szCs w:val="24"/>
          <w:lang w:eastAsia="en-AU"/>
        </w:rPr>
        <w:t xml:space="preserve">(1) provides that a notification of a dispute may only be withdrawn by the person who notified the dispute, and </w:t>
      </w:r>
      <w:r w:rsidR="00171E7B">
        <w:rPr>
          <w:rFonts w:ascii="Times New Roman" w:eastAsia="Times New Roman" w:hAnsi="Times New Roman" w:cs="Times New Roman"/>
          <w:color w:val="000000"/>
          <w:sz w:val="24"/>
          <w:szCs w:val="24"/>
          <w:lang w:eastAsia="en-AU"/>
        </w:rPr>
        <w:t xml:space="preserve">at any time </w:t>
      </w:r>
      <w:r w:rsidRPr="000D1D64">
        <w:rPr>
          <w:rFonts w:ascii="Times New Roman" w:eastAsia="Times New Roman" w:hAnsi="Times New Roman" w:cs="Times New Roman"/>
          <w:color w:val="000000"/>
          <w:sz w:val="24"/>
          <w:szCs w:val="24"/>
          <w:lang w:eastAsia="en-AU"/>
        </w:rPr>
        <w:t>before the ACCC makes a determination. The requirement that the dispute may only be withdrawn before the ACCC makes a determination is intended to prevent vexatious disputation in which a person who has little hope of success in an arbitration notifies a dispute in order to cause delays, or raise costs, for the other party.</w:t>
      </w:r>
      <w:r w:rsidR="00171E7B">
        <w:rPr>
          <w:rFonts w:ascii="Times New Roman" w:eastAsia="Times New Roman" w:hAnsi="Times New Roman" w:cs="Times New Roman"/>
          <w:color w:val="000000"/>
          <w:sz w:val="24"/>
          <w:szCs w:val="24"/>
          <w:lang w:eastAsia="en-AU"/>
        </w:rPr>
        <w:t xml:space="preserve"> It also encourages parties to continue to cooperate in negotiations with each other to resolve the dispute </w:t>
      </w:r>
    </w:p>
    <w:p w14:paraId="217DC1F7" w14:textId="60302E2F" w:rsidR="000D1D64" w:rsidRPr="000D1D64" w:rsidRDefault="000D1D64" w:rsidP="000D1D64">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0D1D64">
        <w:rPr>
          <w:rFonts w:ascii="Times New Roman" w:eastAsia="Times New Roman" w:hAnsi="Times New Roman" w:cs="Times New Roman"/>
          <w:color w:val="000000"/>
          <w:sz w:val="24"/>
          <w:szCs w:val="24"/>
          <w:lang w:eastAsia="en-AU"/>
        </w:rPr>
        <w:t xml:space="preserve">Subsection </w:t>
      </w:r>
      <w:r>
        <w:rPr>
          <w:rFonts w:ascii="Times New Roman" w:eastAsia="Times New Roman" w:hAnsi="Times New Roman" w:cs="Times New Roman"/>
          <w:color w:val="000000"/>
          <w:sz w:val="24"/>
          <w:szCs w:val="24"/>
          <w:lang w:eastAsia="en-AU"/>
        </w:rPr>
        <w:t>11</w:t>
      </w:r>
      <w:r w:rsidRPr="000D1D64">
        <w:rPr>
          <w:rFonts w:ascii="Times New Roman" w:eastAsia="Times New Roman" w:hAnsi="Times New Roman" w:cs="Times New Roman"/>
          <w:color w:val="000000"/>
          <w:sz w:val="24"/>
          <w:szCs w:val="24"/>
          <w:lang w:eastAsia="en-AU"/>
        </w:rPr>
        <w:t>(2) sets out the information the ACCC will require to terminate the arbitration. It provides that the withdrawal of a notification of a dispute must be given in writing to the ACCC, and include the following information:</w:t>
      </w:r>
    </w:p>
    <w:p w14:paraId="7F346AAC" w14:textId="766AAAC9" w:rsidR="000D1D64" w:rsidRPr="000D1D64" w:rsidRDefault="000D1D64" w:rsidP="000D1D64">
      <w:pPr>
        <w:pStyle w:val="paragraphsub"/>
        <w:numPr>
          <w:ilvl w:val="0"/>
          <w:numId w:val="14"/>
        </w:numPr>
        <w:tabs>
          <w:tab w:val="clear" w:pos="1985"/>
        </w:tabs>
        <w:spacing w:before="180"/>
        <w:rPr>
          <w:color w:val="000000"/>
          <w:sz w:val="24"/>
          <w:szCs w:val="24"/>
          <w:shd w:val="clear" w:color="auto" w:fill="FFFFFF"/>
        </w:rPr>
      </w:pPr>
      <w:r w:rsidRPr="000D1D64">
        <w:rPr>
          <w:color w:val="000000"/>
          <w:sz w:val="24"/>
          <w:szCs w:val="24"/>
          <w:shd w:val="clear" w:color="auto" w:fill="FFFFFF"/>
        </w:rPr>
        <w:t>The name of the person withdrawing the notification</w:t>
      </w:r>
    </w:p>
    <w:p w14:paraId="62A592B3" w14:textId="082909C0" w:rsidR="000D1D64" w:rsidRPr="000D1D64" w:rsidRDefault="000D1D64" w:rsidP="000D1D64">
      <w:pPr>
        <w:pStyle w:val="paragraphsub"/>
        <w:numPr>
          <w:ilvl w:val="0"/>
          <w:numId w:val="14"/>
        </w:numPr>
        <w:tabs>
          <w:tab w:val="clear" w:pos="1985"/>
        </w:tabs>
        <w:spacing w:before="180"/>
        <w:rPr>
          <w:color w:val="000000"/>
          <w:sz w:val="24"/>
          <w:szCs w:val="24"/>
          <w:shd w:val="clear" w:color="auto" w:fill="FFFFFF"/>
        </w:rPr>
      </w:pPr>
      <w:r w:rsidRPr="000D1D64">
        <w:rPr>
          <w:color w:val="000000"/>
          <w:sz w:val="24"/>
          <w:szCs w:val="24"/>
          <w:shd w:val="clear" w:color="auto" w:fill="FFFFFF"/>
        </w:rPr>
        <w:t xml:space="preserve">Whether the person withdrawing the notification is the </w:t>
      </w:r>
      <w:r>
        <w:rPr>
          <w:color w:val="000000"/>
          <w:sz w:val="24"/>
          <w:szCs w:val="24"/>
          <w:shd w:val="clear" w:color="auto" w:fill="FFFFFF"/>
        </w:rPr>
        <w:t>access</w:t>
      </w:r>
      <w:r w:rsidRPr="000D1D64">
        <w:rPr>
          <w:color w:val="000000"/>
          <w:sz w:val="24"/>
          <w:szCs w:val="24"/>
          <w:shd w:val="clear" w:color="auto" w:fill="FFFFFF"/>
        </w:rPr>
        <w:t xml:space="preserve"> seeker or </w:t>
      </w:r>
      <w:r>
        <w:rPr>
          <w:color w:val="000000"/>
          <w:sz w:val="24"/>
          <w:szCs w:val="24"/>
          <w:shd w:val="clear" w:color="auto" w:fill="FFFFFF"/>
        </w:rPr>
        <w:t>access</w:t>
      </w:r>
      <w:r w:rsidRPr="000D1D64">
        <w:rPr>
          <w:color w:val="000000"/>
          <w:sz w:val="24"/>
          <w:szCs w:val="24"/>
          <w:shd w:val="clear" w:color="auto" w:fill="FFFFFF"/>
        </w:rPr>
        <w:t xml:space="preserve"> provider</w:t>
      </w:r>
    </w:p>
    <w:p w14:paraId="7D087BE0" w14:textId="6CBE1A5B" w:rsidR="000D1D64" w:rsidRPr="000D1D64" w:rsidRDefault="000D1D64" w:rsidP="000D1D64">
      <w:pPr>
        <w:pStyle w:val="paragraphsub"/>
        <w:numPr>
          <w:ilvl w:val="0"/>
          <w:numId w:val="14"/>
        </w:numPr>
        <w:tabs>
          <w:tab w:val="clear" w:pos="1985"/>
        </w:tabs>
        <w:spacing w:before="180"/>
        <w:rPr>
          <w:color w:val="000000"/>
          <w:sz w:val="24"/>
          <w:szCs w:val="24"/>
          <w:shd w:val="clear" w:color="auto" w:fill="FFFFFF"/>
        </w:rPr>
      </w:pPr>
      <w:r w:rsidRPr="000D1D64">
        <w:rPr>
          <w:color w:val="000000"/>
          <w:sz w:val="24"/>
          <w:szCs w:val="24"/>
          <w:shd w:val="clear" w:color="auto" w:fill="FFFFFF"/>
        </w:rPr>
        <w:t>A short description of the dispute</w:t>
      </w:r>
    </w:p>
    <w:p w14:paraId="163C7469" w14:textId="28DFB9F3" w:rsidR="000D1D64" w:rsidRPr="000D1D64" w:rsidRDefault="000D1D64" w:rsidP="000D1D64">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11</w:t>
      </w:r>
      <w:r w:rsidRPr="000D1D64">
        <w:rPr>
          <w:rFonts w:ascii="Times New Roman" w:eastAsia="Times New Roman" w:hAnsi="Times New Roman" w:cs="Times New Roman"/>
          <w:color w:val="000000"/>
          <w:sz w:val="24"/>
          <w:szCs w:val="24"/>
          <w:lang w:eastAsia="en-AU"/>
        </w:rPr>
        <w:t>(3) provides that a person who withdraws a notification of a dispute must give a copy of the withdrawal to the other party in the dispute.</w:t>
      </w:r>
    </w:p>
    <w:p w14:paraId="53C581A0" w14:textId="2A9616D9" w:rsidR="000D1D64" w:rsidRPr="000D1D64" w:rsidRDefault="000D1D64" w:rsidP="000D1D64">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11</w:t>
      </w:r>
      <w:r w:rsidRPr="000D1D64">
        <w:rPr>
          <w:rFonts w:ascii="Times New Roman" w:eastAsia="Times New Roman" w:hAnsi="Times New Roman" w:cs="Times New Roman"/>
          <w:color w:val="000000"/>
          <w:sz w:val="24"/>
          <w:szCs w:val="24"/>
          <w:lang w:eastAsia="en-AU"/>
        </w:rPr>
        <w:t>(4) provides that a withdrawal of a notification of a dispute takes effect when the withdrawal is received by the ACCC.</w:t>
      </w:r>
    </w:p>
    <w:p w14:paraId="2C006360" w14:textId="7B783F91" w:rsidR="000D1D64" w:rsidRDefault="000D1D64" w:rsidP="000D1D64">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11</w:t>
      </w:r>
      <w:r w:rsidRPr="000D1D64">
        <w:rPr>
          <w:rFonts w:ascii="Times New Roman" w:eastAsia="Times New Roman" w:hAnsi="Times New Roman" w:cs="Times New Roman"/>
          <w:color w:val="000000"/>
          <w:sz w:val="24"/>
          <w:szCs w:val="24"/>
          <w:lang w:eastAsia="en-AU"/>
        </w:rPr>
        <w:t xml:space="preserve">(5) provides that the ACCC must give a copy of a withdrawal of a notification of a dispute to each person </w:t>
      </w:r>
      <w:r w:rsidR="00171E7B">
        <w:rPr>
          <w:rFonts w:ascii="Times New Roman" w:eastAsia="Times New Roman" w:hAnsi="Times New Roman" w:cs="Times New Roman"/>
          <w:color w:val="000000"/>
          <w:sz w:val="24"/>
          <w:szCs w:val="24"/>
          <w:lang w:eastAsia="en-AU"/>
        </w:rPr>
        <w:t xml:space="preserve">who is party to the arbitration </w:t>
      </w:r>
      <w:r w:rsidR="00896B2A">
        <w:rPr>
          <w:rFonts w:ascii="Times New Roman" w:eastAsia="Times New Roman" w:hAnsi="Times New Roman" w:cs="Times New Roman"/>
          <w:color w:val="000000"/>
          <w:sz w:val="24"/>
          <w:szCs w:val="24"/>
          <w:lang w:eastAsia="en-AU"/>
        </w:rPr>
        <w:t xml:space="preserve">and </w:t>
      </w:r>
      <w:r w:rsidRPr="000D1D64">
        <w:rPr>
          <w:rFonts w:ascii="Times New Roman" w:eastAsia="Times New Roman" w:hAnsi="Times New Roman" w:cs="Times New Roman"/>
          <w:color w:val="000000"/>
          <w:sz w:val="24"/>
          <w:szCs w:val="24"/>
          <w:lang w:eastAsia="en-AU"/>
        </w:rPr>
        <w:t>to whom the ACCC gave notice o</w:t>
      </w:r>
      <w:r>
        <w:rPr>
          <w:rFonts w:ascii="Times New Roman" w:eastAsia="Times New Roman" w:hAnsi="Times New Roman" w:cs="Times New Roman"/>
          <w:color w:val="000000"/>
          <w:sz w:val="24"/>
          <w:szCs w:val="24"/>
          <w:lang w:eastAsia="en-AU"/>
        </w:rPr>
        <w:t>f the dispute under subsection 8</w:t>
      </w:r>
      <w:r w:rsidRPr="000D1D64">
        <w:rPr>
          <w:rFonts w:ascii="Times New Roman" w:eastAsia="Times New Roman" w:hAnsi="Times New Roman" w:cs="Times New Roman"/>
          <w:color w:val="000000"/>
          <w:sz w:val="24"/>
          <w:szCs w:val="24"/>
          <w:lang w:eastAsia="en-AU"/>
        </w:rPr>
        <w:t>(4).</w:t>
      </w:r>
    </w:p>
    <w:p w14:paraId="0AB449F5" w14:textId="3407D843" w:rsidR="00206AD8" w:rsidRPr="00206AD8" w:rsidRDefault="00206AD8" w:rsidP="000D1D64">
      <w:pPr>
        <w:pStyle w:val="ActHead5"/>
        <w:rPr>
          <w:szCs w:val="24"/>
        </w:rPr>
      </w:pPr>
      <w:r>
        <w:rPr>
          <w:szCs w:val="24"/>
        </w:rPr>
        <w:t>Section 12</w:t>
      </w:r>
      <w:r w:rsidRPr="00206AD8">
        <w:rPr>
          <w:szCs w:val="24"/>
        </w:rPr>
        <w:t xml:space="preserve"> - When ACCC may terminate arbitration</w:t>
      </w:r>
    </w:p>
    <w:p w14:paraId="129E91B0" w14:textId="48F08338" w:rsidR="000D1D64" w:rsidRPr="000D1D64" w:rsidRDefault="00437BA0" w:rsidP="000D1D64">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Section 12</w:t>
      </w:r>
      <w:r w:rsidR="000D1D64" w:rsidRPr="000D1D64">
        <w:rPr>
          <w:rFonts w:ascii="Times New Roman" w:eastAsia="Times New Roman" w:hAnsi="Times New Roman" w:cs="Times New Roman"/>
          <w:color w:val="000000"/>
          <w:sz w:val="24"/>
          <w:szCs w:val="24"/>
          <w:lang w:eastAsia="en-AU"/>
        </w:rPr>
        <w:t xml:space="preserve"> is based on section 44Y of the </w:t>
      </w:r>
      <w:r w:rsidR="00DA6B68">
        <w:rPr>
          <w:rFonts w:ascii="Times New Roman" w:eastAsia="Times New Roman" w:hAnsi="Times New Roman" w:cs="Times New Roman"/>
          <w:i/>
          <w:color w:val="000000"/>
          <w:sz w:val="24"/>
          <w:szCs w:val="24"/>
          <w:lang w:eastAsia="en-AU"/>
        </w:rPr>
        <w:t>Competition and Consumer Act 2010</w:t>
      </w:r>
      <w:r w:rsidR="00DA6B68">
        <w:rPr>
          <w:rFonts w:ascii="Times New Roman" w:eastAsia="Times New Roman" w:hAnsi="Times New Roman" w:cs="Times New Roman"/>
          <w:color w:val="000000"/>
          <w:sz w:val="24"/>
          <w:szCs w:val="24"/>
          <w:lang w:eastAsia="en-AU"/>
        </w:rPr>
        <w:t xml:space="preserve"> (Cth) (</w:t>
      </w:r>
      <w:r w:rsidR="00DA6B68" w:rsidRPr="002F00B2">
        <w:rPr>
          <w:rFonts w:ascii="Times New Roman" w:eastAsia="Times New Roman" w:hAnsi="Times New Roman" w:cs="Times New Roman"/>
          <w:color w:val="000000"/>
          <w:sz w:val="24"/>
          <w:szCs w:val="24"/>
          <w:lang w:eastAsia="en-AU"/>
        </w:rPr>
        <w:t>CCA</w:t>
      </w:r>
      <w:r w:rsidR="00DA6B68">
        <w:rPr>
          <w:rFonts w:ascii="Times New Roman" w:eastAsia="Times New Roman" w:hAnsi="Times New Roman" w:cs="Times New Roman"/>
          <w:color w:val="000000"/>
          <w:sz w:val="24"/>
          <w:szCs w:val="24"/>
          <w:lang w:eastAsia="en-AU"/>
        </w:rPr>
        <w:t>)</w:t>
      </w:r>
      <w:r w:rsidR="000D1D64" w:rsidRPr="000D1D64">
        <w:rPr>
          <w:rFonts w:ascii="Times New Roman" w:eastAsia="Times New Roman" w:hAnsi="Times New Roman" w:cs="Times New Roman"/>
          <w:i/>
          <w:iCs/>
          <w:color w:val="000000"/>
          <w:sz w:val="24"/>
          <w:szCs w:val="24"/>
          <w:lang w:eastAsia="en-AU"/>
        </w:rPr>
        <w:t>.</w:t>
      </w:r>
    </w:p>
    <w:p w14:paraId="6847B58C" w14:textId="5AFA4BB7" w:rsidR="000D1D64" w:rsidRPr="000D1D64" w:rsidRDefault="000D1D64" w:rsidP="000D1D64">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12</w:t>
      </w:r>
      <w:r w:rsidRPr="000D1D64">
        <w:rPr>
          <w:rFonts w:ascii="Times New Roman" w:eastAsia="Times New Roman" w:hAnsi="Times New Roman" w:cs="Times New Roman"/>
          <w:color w:val="000000"/>
          <w:sz w:val="24"/>
          <w:szCs w:val="24"/>
          <w:lang w:eastAsia="en-AU"/>
        </w:rPr>
        <w:t>(1) provides that the ACCC may terminate an arbitration if it considers that:</w:t>
      </w:r>
    </w:p>
    <w:p w14:paraId="220CA6EF" w14:textId="063924CB" w:rsidR="000D1D64" w:rsidRPr="000D1D64" w:rsidRDefault="00C53380" w:rsidP="000D1D64">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0D1D64" w:rsidRPr="000D1D64">
        <w:rPr>
          <w:color w:val="000000"/>
          <w:sz w:val="24"/>
          <w:szCs w:val="24"/>
          <w:shd w:val="clear" w:color="auto" w:fill="FFFFFF"/>
        </w:rPr>
        <w:t>he notification of the dispute was vexatious</w:t>
      </w:r>
      <w:r w:rsidR="00896B2A">
        <w:rPr>
          <w:color w:val="000000"/>
          <w:sz w:val="24"/>
          <w:szCs w:val="24"/>
          <w:shd w:val="clear" w:color="auto" w:fill="FFFFFF"/>
        </w:rPr>
        <w:t>;</w:t>
      </w:r>
      <w:r w:rsidR="000D1D64" w:rsidRPr="000D1D64">
        <w:rPr>
          <w:color w:val="000000"/>
          <w:sz w:val="24"/>
          <w:szCs w:val="24"/>
          <w:shd w:val="clear" w:color="auto" w:fill="FFFFFF"/>
        </w:rPr>
        <w:t xml:space="preserve"> or</w:t>
      </w:r>
    </w:p>
    <w:p w14:paraId="5A6CE7F4" w14:textId="350F0F3C" w:rsidR="000D1D64" w:rsidRPr="000D1D64" w:rsidRDefault="00C53380" w:rsidP="000D1D64">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0D1D64" w:rsidRPr="000D1D64">
        <w:rPr>
          <w:color w:val="000000"/>
          <w:sz w:val="24"/>
          <w:szCs w:val="24"/>
          <w:shd w:val="clear" w:color="auto" w:fill="FFFFFF"/>
        </w:rPr>
        <w:t>he subject matter of the dispute is trivial, misconceived or lacking in substance</w:t>
      </w:r>
      <w:r w:rsidR="00896B2A">
        <w:rPr>
          <w:color w:val="000000"/>
          <w:sz w:val="24"/>
          <w:szCs w:val="24"/>
          <w:shd w:val="clear" w:color="auto" w:fill="FFFFFF"/>
        </w:rPr>
        <w:t>;</w:t>
      </w:r>
      <w:r w:rsidR="000D1D64" w:rsidRPr="000D1D64">
        <w:rPr>
          <w:color w:val="000000"/>
          <w:sz w:val="24"/>
          <w:szCs w:val="24"/>
          <w:shd w:val="clear" w:color="auto" w:fill="FFFFFF"/>
        </w:rPr>
        <w:t xml:space="preserve"> or</w:t>
      </w:r>
    </w:p>
    <w:p w14:paraId="1F0B6046" w14:textId="2A852F82" w:rsidR="000D1D64" w:rsidRPr="000D1D64" w:rsidRDefault="00C53380" w:rsidP="000D1D64">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a</w:t>
      </w:r>
      <w:r w:rsidR="000D1D64" w:rsidRPr="000D1D64">
        <w:rPr>
          <w:color w:val="000000"/>
          <w:sz w:val="24"/>
          <w:szCs w:val="24"/>
          <w:shd w:val="clear" w:color="auto" w:fill="FFFFFF"/>
        </w:rPr>
        <w:t xml:space="preserve"> party has not engaged in negotiations in relation to the dispute in good faith</w:t>
      </w:r>
      <w:r w:rsidR="00896B2A">
        <w:rPr>
          <w:color w:val="000000"/>
          <w:sz w:val="24"/>
          <w:szCs w:val="24"/>
          <w:shd w:val="clear" w:color="auto" w:fill="FFFFFF"/>
        </w:rPr>
        <w:t>;</w:t>
      </w:r>
      <w:r w:rsidR="000D1D64" w:rsidRPr="000D1D64">
        <w:rPr>
          <w:color w:val="000000"/>
          <w:sz w:val="24"/>
          <w:szCs w:val="24"/>
          <w:shd w:val="clear" w:color="auto" w:fill="FFFFFF"/>
        </w:rPr>
        <w:t xml:space="preserve"> or</w:t>
      </w:r>
    </w:p>
    <w:p w14:paraId="12790EBC" w14:textId="35A5CA51" w:rsidR="000D1D64" w:rsidRPr="000D1D64" w:rsidRDefault="00C53380" w:rsidP="000D1D64">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0D1D64" w:rsidRPr="000D1D64">
        <w:rPr>
          <w:color w:val="000000"/>
          <w:sz w:val="24"/>
          <w:szCs w:val="24"/>
          <w:shd w:val="clear" w:color="auto" w:fill="FFFFFF"/>
        </w:rPr>
        <w:t xml:space="preserve">he </w:t>
      </w:r>
      <w:r w:rsidR="00437BA0">
        <w:rPr>
          <w:color w:val="000000"/>
          <w:sz w:val="24"/>
          <w:szCs w:val="24"/>
          <w:shd w:val="clear" w:color="auto" w:fill="FFFFFF"/>
        </w:rPr>
        <w:t>access</w:t>
      </w:r>
      <w:r w:rsidR="000D1D64" w:rsidRPr="000D1D64">
        <w:rPr>
          <w:color w:val="000000"/>
          <w:sz w:val="24"/>
          <w:szCs w:val="24"/>
          <w:shd w:val="clear" w:color="auto" w:fill="FFFFFF"/>
        </w:rPr>
        <w:t xml:space="preserve"> that is the subject of the dispute should continue to be provided under an existing arrangement between the </w:t>
      </w:r>
      <w:r w:rsidR="00437BA0">
        <w:rPr>
          <w:color w:val="000000"/>
          <w:sz w:val="24"/>
          <w:szCs w:val="24"/>
          <w:shd w:val="clear" w:color="auto" w:fill="FFFFFF"/>
        </w:rPr>
        <w:t>access</w:t>
      </w:r>
      <w:r w:rsidR="000D1D64" w:rsidRPr="000D1D64">
        <w:rPr>
          <w:color w:val="000000"/>
          <w:sz w:val="24"/>
          <w:szCs w:val="24"/>
          <w:shd w:val="clear" w:color="auto" w:fill="FFFFFF"/>
        </w:rPr>
        <w:t xml:space="preserve"> seeker and </w:t>
      </w:r>
      <w:r w:rsidR="00437BA0">
        <w:rPr>
          <w:color w:val="000000"/>
          <w:sz w:val="24"/>
          <w:szCs w:val="24"/>
          <w:shd w:val="clear" w:color="auto" w:fill="FFFFFF"/>
        </w:rPr>
        <w:t>access</w:t>
      </w:r>
      <w:r w:rsidR="000D1D64" w:rsidRPr="000D1D64">
        <w:rPr>
          <w:color w:val="000000"/>
          <w:sz w:val="24"/>
          <w:szCs w:val="24"/>
          <w:shd w:val="clear" w:color="auto" w:fill="FFFFFF"/>
        </w:rPr>
        <w:t xml:space="preserve"> provider.</w:t>
      </w:r>
    </w:p>
    <w:p w14:paraId="4185F2A0" w14:textId="10AEFFF9" w:rsidR="00206AD8" w:rsidRPr="00206AD8" w:rsidRDefault="00437BA0" w:rsidP="00437BA0">
      <w:pPr>
        <w:shd w:val="clear" w:color="auto" w:fill="FFFFFF"/>
        <w:spacing w:before="180" w:after="0" w:line="240" w:lineRule="auto"/>
        <w:rPr>
          <w:sz w:val="24"/>
          <w:szCs w:val="24"/>
        </w:rPr>
      </w:pPr>
      <w:r>
        <w:rPr>
          <w:rFonts w:ascii="Times New Roman" w:eastAsia="Times New Roman" w:hAnsi="Times New Roman" w:cs="Times New Roman"/>
          <w:color w:val="000000"/>
          <w:sz w:val="24"/>
          <w:szCs w:val="24"/>
          <w:lang w:eastAsia="en-AU"/>
        </w:rPr>
        <w:t>Subsection 12</w:t>
      </w:r>
      <w:r w:rsidR="000D1D64" w:rsidRPr="000D1D64">
        <w:rPr>
          <w:rFonts w:ascii="Times New Roman" w:eastAsia="Times New Roman" w:hAnsi="Times New Roman" w:cs="Times New Roman"/>
          <w:color w:val="000000"/>
          <w:sz w:val="24"/>
          <w:szCs w:val="24"/>
          <w:lang w:eastAsia="en-AU"/>
        </w:rPr>
        <w:t>(2) enables the ACCC to terminate an arbitration if it relates to a dispute about an existing determination and the ACCC thinks there is no sufficient reason why the existing determination should not continue to have effect.</w:t>
      </w:r>
    </w:p>
    <w:p w14:paraId="38AD2C30" w14:textId="3D766AB1" w:rsidR="00206AD8" w:rsidRPr="00B24D75" w:rsidRDefault="00206AD8" w:rsidP="00206AD8">
      <w:pPr>
        <w:pStyle w:val="ActHead3"/>
        <w:ind w:left="0" w:firstLine="0"/>
        <w:rPr>
          <w:sz w:val="24"/>
          <w:szCs w:val="24"/>
        </w:rPr>
      </w:pPr>
      <w:r>
        <w:rPr>
          <w:sz w:val="24"/>
          <w:szCs w:val="24"/>
        </w:rPr>
        <w:t>Division 2</w:t>
      </w:r>
      <w:r w:rsidRPr="00B24D75">
        <w:t xml:space="preserve"> </w:t>
      </w:r>
      <w:r w:rsidRPr="00B24D75">
        <w:rPr>
          <w:sz w:val="24"/>
          <w:szCs w:val="24"/>
        </w:rPr>
        <w:t>—</w:t>
      </w:r>
      <w:r w:rsidRPr="00206AD8">
        <w:t xml:space="preserve"> </w:t>
      </w:r>
      <w:r w:rsidRPr="00206AD8">
        <w:rPr>
          <w:sz w:val="24"/>
          <w:szCs w:val="24"/>
        </w:rPr>
        <w:t>Conduct of arbitration</w:t>
      </w:r>
    </w:p>
    <w:p w14:paraId="668503C1" w14:textId="49C9C0A9" w:rsidR="00206AD8" w:rsidRPr="00066D43" w:rsidRDefault="00206AD8" w:rsidP="00206AD8">
      <w:pPr>
        <w:pStyle w:val="ActHead5"/>
        <w:rPr>
          <w:szCs w:val="24"/>
        </w:rPr>
      </w:pPr>
      <w:r w:rsidRPr="00066D43">
        <w:rPr>
          <w:rStyle w:val="CharSectno"/>
          <w:szCs w:val="24"/>
        </w:rPr>
        <w:t xml:space="preserve">Section </w:t>
      </w:r>
      <w:r>
        <w:rPr>
          <w:rStyle w:val="CharSectno"/>
          <w:szCs w:val="24"/>
        </w:rPr>
        <w:t>13</w:t>
      </w:r>
      <w:r w:rsidRPr="00066D43">
        <w:rPr>
          <w:szCs w:val="24"/>
        </w:rPr>
        <w:t xml:space="preserve"> - </w:t>
      </w:r>
      <w:r w:rsidRPr="00206AD8">
        <w:rPr>
          <w:szCs w:val="24"/>
        </w:rPr>
        <w:t>Conduct of arbitration</w:t>
      </w:r>
    </w:p>
    <w:p w14:paraId="6EA679D6" w14:textId="7305EA30" w:rsidR="00437BA0" w:rsidRPr="00437BA0" w:rsidRDefault="00437BA0" w:rsidP="00437BA0">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13</w:t>
      </w:r>
      <w:r w:rsidRPr="00437BA0">
        <w:rPr>
          <w:rFonts w:ascii="Times New Roman" w:eastAsia="Times New Roman" w:hAnsi="Times New Roman" w:cs="Times New Roman"/>
          <w:color w:val="000000"/>
          <w:sz w:val="24"/>
          <w:szCs w:val="24"/>
          <w:lang w:eastAsia="en-AU"/>
        </w:rPr>
        <w:t>(1) provides that the ACCC may conduct an arbitration on the papers, by holding an arbitration hearing, or in part on the papers and in part by holding an arbitration hearing.</w:t>
      </w:r>
    </w:p>
    <w:p w14:paraId="37E15D87" w14:textId="1A86AC3A" w:rsidR="00437BA0" w:rsidRPr="00437BA0" w:rsidRDefault="00437BA0" w:rsidP="00437BA0">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note to subsection 13(1) guides readers to section 24</w:t>
      </w:r>
      <w:r w:rsidRPr="00437BA0">
        <w:rPr>
          <w:rFonts w:ascii="Times New Roman" w:eastAsia="Times New Roman" w:hAnsi="Times New Roman" w:cs="Times New Roman"/>
          <w:color w:val="000000"/>
          <w:sz w:val="24"/>
          <w:szCs w:val="24"/>
          <w:lang w:eastAsia="en-AU"/>
        </w:rPr>
        <w:t xml:space="preserve"> of the Regulations for when the ACCC may conduct a joint arbitration.</w:t>
      </w:r>
    </w:p>
    <w:p w14:paraId="01C92FAB" w14:textId="6B4BD055" w:rsidR="00437BA0" w:rsidRPr="00437BA0" w:rsidRDefault="00437BA0" w:rsidP="00437BA0">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437BA0">
        <w:rPr>
          <w:rFonts w:ascii="Times New Roman" w:eastAsia="Times New Roman" w:hAnsi="Times New Roman" w:cs="Times New Roman"/>
          <w:color w:val="000000"/>
          <w:sz w:val="24"/>
          <w:szCs w:val="24"/>
          <w:lang w:eastAsia="en-AU"/>
        </w:rPr>
        <w:t xml:space="preserve">The </w:t>
      </w:r>
      <w:r w:rsidRPr="00437BA0">
        <w:rPr>
          <w:rFonts w:ascii="Times New Roman" w:eastAsia="Times New Roman" w:hAnsi="Times New Roman" w:cs="Times New Roman"/>
          <w:i/>
          <w:color w:val="000000"/>
          <w:sz w:val="24"/>
          <w:szCs w:val="24"/>
          <w:lang w:eastAsia="en-AU"/>
        </w:rPr>
        <w:t>Broadcasting Services (Transmitter Access) Regulations 2001</w:t>
      </w:r>
      <w:r w:rsidRPr="00437BA0">
        <w:rPr>
          <w:rFonts w:ascii="Times New Roman" w:eastAsia="Times New Roman" w:hAnsi="Times New Roman" w:cs="Times New Roman"/>
          <w:color w:val="000000"/>
          <w:sz w:val="24"/>
          <w:szCs w:val="24"/>
          <w:lang w:eastAsia="en-AU"/>
        </w:rPr>
        <w:t xml:space="preserve"> did not specify that the ACCC could conduct an arbitration on the papers. Empowering the ACCC to consider matters on the papers helps to reduce costs for industry, and fosters a streamlined arbitration process.</w:t>
      </w:r>
    </w:p>
    <w:p w14:paraId="280DAD21" w14:textId="10DEEE31" w:rsidR="00437BA0" w:rsidRPr="00437BA0" w:rsidRDefault="00437BA0" w:rsidP="00437BA0">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13</w:t>
      </w:r>
      <w:r w:rsidRPr="00437BA0">
        <w:rPr>
          <w:rFonts w:ascii="Times New Roman" w:eastAsia="Times New Roman" w:hAnsi="Times New Roman" w:cs="Times New Roman"/>
          <w:color w:val="000000"/>
          <w:sz w:val="24"/>
          <w:szCs w:val="24"/>
          <w:lang w:eastAsia="en-AU"/>
        </w:rPr>
        <w:t xml:space="preserve">(2) sets out the ACCC’s rules for the conduct of the arbitrations. This is modelled on section 44ZF of the </w:t>
      </w:r>
      <w:r w:rsidRPr="00DA6B68">
        <w:rPr>
          <w:rFonts w:ascii="Times New Roman" w:eastAsia="Times New Roman" w:hAnsi="Times New Roman" w:cs="Times New Roman"/>
          <w:color w:val="000000"/>
          <w:sz w:val="24"/>
          <w:szCs w:val="24"/>
          <w:lang w:eastAsia="en-AU"/>
        </w:rPr>
        <w:t>CCA.</w:t>
      </w:r>
    </w:p>
    <w:p w14:paraId="303E8D17" w14:textId="32E39689" w:rsidR="00437BA0" w:rsidRPr="00437BA0" w:rsidRDefault="008A40A5" w:rsidP="00437BA0">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13</w:t>
      </w:r>
      <w:r w:rsidR="00437BA0" w:rsidRPr="00437BA0">
        <w:rPr>
          <w:rFonts w:ascii="Times New Roman" w:eastAsia="Times New Roman" w:hAnsi="Times New Roman" w:cs="Times New Roman"/>
          <w:color w:val="000000"/>
          <w:sz w:val="24"/>
          <w:szCs w:val="24"/>
          <w:lang w:eastAsia="en-AU"/>
        </w:rPr>
        <w:t>(2) states that:</w:t>
      </w:r>
    </w:p>
    <w:p w14:paraId="1AF9BDCF" w14:textId="0A8C55A8" w:rsidR="00437BA0" w:rsidRPr="00437BA0" w:rsidRDefault="00C53380" w:rsidP="00437BA0">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437BA0" w:rsidRPr="00437BA0">
        <w:rPr>
          <w:color w:val="000000"/>
          <w:sz w:val="24"/>
          <w:szCs w:val="24"/>
          <w:shd w:val="clear" w:color="auto" w:fill="FFFFFF"/>
        </w:rPr>
        <w:t>he ACCC is not bound by technicalities, legal forms or rules of evidence</w:t>
      </w:r>
      <w:r w:rsidR="00896B2A">
        <w:rPr>
          <w:color w:val="000000"/>
          <w:sz w:val="24"/>
          <w:szCs w:val="24"/>
          <w:shd w:val="clear" w:color="auto" w:fill="FFFFFF"/>
        </w:rPr>
        <w:t>;</w:t>
      </w:r>
    </w:p>
    <w:p w14:paraId="0941B829" w14:textId="5A525AC2" w:rsidR="00437BA0" w:rsidRPr="00437BA0" w:rsidRDefault="00C53380" w:rsidP="00437BA0">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437BA0" w:rsidRPr="00437BA0">
        <w:rPr>
          <w:color w:val="000000"/>
          <w:sz w:val="24"/>
          <w:szCs w:val="24"/>
          <w:shd w:val="clear" w:color="auto" w:fill="FFFFFF"/>
        </w:rPr>
        <w:t>he ACCC must act as speedily as a proper consideration of the dispute allows, having regard to the need to inquire into and investigate carefully and quickly the dispute and all matters affecting the merits, and a fair settlement, of the dispute</w:t>
      </w:r>
      <w:r w:rsidR="00896B2A">
        <w:rPr>
          <w:color w:val="000000"/>
          <w:sz w:val="24"/>
          <w:szCs w:val="24"/>
          <w:shd w:val="clear" w:color="auto" w:fill="FFFFFF"/>
        </w:rPr>
        <w:t>; and</w:t>
      </w:r>
    </w:p>
    <w:p w14:paraId="4F947140" w14:textId="327C0AE4" w:rsidR="00437BA0" w:rsidRPr="00437BA0" w:rsidRDefault="00C53380" w:rsidP="00437BA0">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437BA0" w:rsidRPr="00437BA0">
        <w:rPr>
          <w:color w:val="000000"/>
          <w:sz w:val="24"/>
          <w:szCs w:val="24"/>
          <w:shd w:val="clear" w:color="auto" w:fill="FFFFFF"/>
        </w:rPr>
        <w:t>he ACCC may inform itself of any matter relevant to the dispute in any way it considers appropriate</w:t>
      </w:r>
      <w:r w:rsidR="00896B2A">
        <w:rPr>
          <w:color w:val="000000"/>
          <w:sz w:val="24"/>
          <w:szCs w:val="24"/>
          <w:shd w:val="clear" w:color="auto" w:fill="FFFFFF"/>
        </w:rPr>
        <w:t>.</w:t>
      </w:r>
    </w:p>
    <w:p w14:paraId="17EDF203" w14:textId="4F30344F" w:rsidR="00206AD8" w:rsidRPr="00437BA0" w:rsidRDefault="00437BA0" w:rsidP="00437BA0">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437BA0">
        <w:rPr>
          <w:rFonts w:ascii="Times New Roman" w:eastAsia="Times New Roman" w:hAnsi="Times New Roman" w:cs="Times New Roman"/>
          <w:color w:val="000000"/>
          <w:sz w:val="24"/>
          <w:szCs w:val="24"/>
          <w:lang w:eastAsia="en-AU"/>
        </w:rPr>
        <w:t>Subsection 1</w:t>
      </w:r>
      <w:r w:rsidR="008A40A5">
        <w:rPr>
          <w:rFonts w:ascii="Times New Roman" w:eastAsia="Times New Roman" w:hAnsi="Times New Roman" w:cs="Times New Roman"/>
          <w:color w:val="000000"/>
          <w:sz w:val="24"/>
          <w:szCs w:val="24"/>
          <w:lang w:eastAsia="en-AU"/>
        </w:rPr>
        <w:t>3</w:t>
      </w:r>
      <w:r w:rsidRPr="00437BA0">
        <w:rPr>
          <w:rFonts w:ascii="Times New Roman" w:eastAsia="Times New Roman" w:hAnsi="Times New Roman" w:cs="Times New Roman"/>
          <w:color w:val="000000"/>
          <w:sz w:val="24"/>
          <w:szCs w:val="24"/>
          <w:lang w:eastAsia="en-AU"/>
        </w:rPr>
        <w:t>(3) is also modelled on section 44ZF of the CCA. The subsection provides that the ACCC may determine the periods of time that are reasonably necessary for the fair and adequate presentation of the respective cases of the parties, and may require that their cases be presented within those periods.</w:t>
      </w:r>
    </w:p>
    <w:p w14:paraId="0F654B8B" w14:textId="11D32FED" w:rsidR="00206AD8" w:rsidRPr="00066D43" w:rsidRDefault="00206AD8" w:rsidP="00206AD8">
      <w:pPr>
        <w:pStyle w:val="ActHead5"/>
        <w:rPr>
          <w:szCs w:val="24"/>
        </w:rPr>
      </w:pPr>
      <w:r w:rsidRPr="00066D43">
        <w:rPr>
          <w:rStyle w:val="CharSectno"/>
          <w:szCs w:val="24"/>
        </w:rPr>
        <w:t xml:space="preserve">Section </w:t>
      </w:r>
      <w:r>
        <w:rPr>
          <w:rStyle w:val="CharSectno"/>
          <w:szCs w:val="24"/>
        </w:rPr>
        <w:t>14</w:t>
      </w:r>
      <w:r w:rsidRPr="00066D43">
        <w:rPr>
          <w:szCs w:val="24"/>
        </w:rPr>
        <w:t xml:space="preserve"> - </w:t>
      </w:r>
      <w:r w:rsidRPr="00206AD8">
        <w:rPr>
          <w:szCs w:val="24"/>
        </w:rPr>
        <w:t>Constitution of ACCC for arbitration</w:t>
      </w:r>
    </w:p>
    <w:p w14:paraId="24388383" w14:textId="66A2F004" w:rsidR="008A40A5" w:rsidRPr="008A40A5" w:rsidRDefault="008A40A5" w:rsidP="008A40A5">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Section 14</w:t>
      </w:r>
      <w:r w:rsidRPr="008A40A5">
        <w:rPr>
          <w:rFonts w:ascii="Times New Roman" w:eastAsia="Times New Roman" w:hAnsi="Times New Roman" w:cs="Times New Roman"/>
          <w:color w:val="000000"/>
          <w:sz w:val="24"/>
          <w:szCs w:val="24"/>
          <w:lang w:eastAsia="en-AU"/>
        </w:rPr>
        <w:t xml:space="preserve"> details the constitution of the ACCC for the purposes of an arbitration conducted under the Regulations.</w:t>
      </w:r>
      <w:r w:rsidR="00F93DF6">
        <w:rPr>
          <w:rFonts w:ascii="Times New Roman" w:eastAsia="Times New Roman" w:hAnsi="Times New Roman" w:cs="Times New Roman"/>
          <w:color w:val="000000"/>
          <w:sz w:val="24"/>
          <w:szCs w:val="24"/>
          <w:lang w:eastAsia="en-AU"/>
        </w:rPr>
        <w:t xml:space="preserve"> Section 14 reflects subclause 47(4) of Schedule 4 to the </w:t>
      </w:r>
      <w:r w:rsidR="00C53380">
        <w:rPr>
          <w:rFonts w:ascii="Times New Roman" w:eastAsia="Times New Roman" w:hAnsi="Times New Roman" w:cs="Times New Roman"/>
          <w:color w:val="000000"/>
          <w:sz w:val="24"/>
          <w:szCs w:val="24"/>
          <w:lang w:eastAsia="en-AU"/>
        </w:rPr>
        <w:t>Act</w:t>
      </w:r>
      <w:r w:rsidR="00F93DF6">
        <w:rPr>
          <w:rFonts w:ascii="Times New Roman" w:eastAsia="Times New Roman" w:hAnsi="Times New Roman" w:cs="Times New Roman"/>
          <w:color w:val="000000"/>
          <w:sz w:val="24"/>
          <w:szCs w:val="24"/>
          <w:lang w:eastAsia="en-AU"/>
        </w:rPr>
        <w:t xml:space="preserve">, which stipulates that the </w:t>
      </w:r>
      <w:r w:rsidR="001E7673">
        <w:rPr>
          <w:rFonts w:ascii="Times New Roman" w:eastAsia="Times New Roman" w:hAnsi="Times New Roman" w:cs="Times New Roman"/>
          <w:color w:val="000000"/>
          <w:sz w:val="24"/>
          <w:szCs w:val="24"/>
          <w:lang w:eastAsia="en-AU"/>
        </w:rPr>
        <w:t>R</w:t>
      </w:r>
      <w:r w:rsidR="00F93DF6">
        <w:rPr>
          <w:rFonts w:ascii="Times New Roman" w:eastAsia="Times New Roman" w:hAnsi="Times New Roman" w:cs="Times New Roman"/>
          <w:color w:val="000000"/>
          <w:sz w:val="24"/>
          <w:szCs w:val="24"/>
          <w:lang w:eastAsia="en-AU"/>
        </w:rPr>
        <w:t>egulations may provide, for the purposes of a particular arbitration conducted by the ACCC under clause 47, the ACCC may be constituted by a single member, or a specified number of members, of the ACCC. Further, subclause 47(4) provides that for each such arbitration, that member or members are to be nominated in writing by the Chair of the ACCC.</w:t>
      </w:r>
    </w:p>
    <w:p w14:paraId="271A07B7" w14:textId="7F34B507" w:rsidR="008A40A5" w:rsidRPr="008A40A5" w:rsidRDefault="008A40A5" w:rsidP="008A40A5">
      <w:pPr>
        <w:shd w:val="clear" w:color="auto" w:fill="FFFFFF"/>
        <w:spacing w:before="180" w:after="0" w:line="240" w:lineRule="auto"/>
        <w:rPr>
          <w:rFonts w:ascii="Times New Roman" w:eastAsia="Times New Roman" w:hAnsi="Times New Roman" w:cs="Times New Roman"/>
          <w:color w:val="000000"/>
          <w:lang w:eastAsia="en-AU"/>
        </w:rPr>
      </w:pPr>
      <w:r w:rsidRPr="008A40A5">
        <w:rPr>
          <w:rFonts w:ascii="Times New Roman" w:eastAsia="Times New Roman" w:hAnsi="Times New Roman" w:cs="Times New Roman"/>
          <w:color w:val="000000"/>
          <w:sz w:val="24"/>
          <w:szCs w:val="24"/>
          <w:lang w:eastAsia="en-AU"/>
        </w:rPr>
        <w:t>Subsection 1</w:t>
      </w:r>
      <w:r>
        <w:rPr>
          <w:rFonts w:ascii="Times New Roman" w:eastAsia="Times New Roman" w:hAnsi="Times New Roman" w:cs="Times New Roman"/>
          <w:color w:val="000000"/>
          <w:sz w:val="24"/>
          <w:szCs w:val="24"/>
          <w:lang w:eastAsia="en-AU"/>
        </w:rPr>
        <w:t>4</w:t>
      </w:r>
      <w:r w:rsidRPr="008A40A5">
        <w:rPr>
          <w:rFonts w:ascii="Times New Roman" w:eastAsia="Times New Roman" w:hAnsi="Times New Roman" w:cs="Times New Roman"/>
          <w:color w:val="000000"/>
          <w:sz w:val="24"/>
          <w:szCs w:val="24"/>
          <w:lang w:eastAsia="en-AU"/>
        </w:rPr>
        <w:t xml:space="preserve">(1) provides that for the purposes of an arbitration, the ACCC may be constituted by </w:t>
      </w:r>
      <w:r w:rsidR="00896B2A">
        <w:rPr>
          <w:rFonts w:ascii="Times New Roman" w:eastAsia="Times New Roman" w:hAnsi="Times New Roman" w:cs="Times New Roman"/>
          <w:color w:val="000000"/>
          <w:sz w:val="24"/>
          <w:szCs w:val="24"/>
          <w:lang w:eastAsia="en-AU"/>
        </w:rPr>
        <w:t xml:space="preserve">one or </w:t>
      </w:r>
      <w:r w:rsidR="00251202">
        <w:rPr>
          <w:rFonts w:ascii="Times New Roman" w:eastAsia="Times New Roman" w:hAnsi="Times New Roman" w:cs="Times New Roman"/>
          <w:color w:val="000000"/>
          <w:sz w:val="24"/>
          <w:szCs w:val="24"/>
          <w:lang w:eastAsia="en-AU"/>
        </w:rPr>
        <w:t xml:space="preserve">more </w:t>
      </w:r>
      <w:r w:rsidR="00251202" w:rsidRPr="008A40A5">
        <w:rPr>
          <w:rFonts w:ascii="Times New Roman" w:eastAsia="Times New Roman" w:hAnsi="Times New Roman" w:cs="Times New Roman"/>
          <w:color w:val="000000"/>
          <w:sz w:val="24"/>
          <w:szCs w:val="24"/>
          <w:lang w:eastAsia="en-AU"/>
        </w:rPr>
        <w:t>members</w:t>
      </w:r>
      <w:r w:rsidRPr="008A40A5">
        <w:rPr>
          <w:rFonts w:ascii="Times New Roman" w:eastAsia="Times New Roman" w:hAnsi="Times New Roman" w:cs="Times New Roman"/>
          <w:color w:val="000000"/>
          <w:sz w:val="24"/>
          <w:szCs w:val="24"/>
          <w:lang w:eastAsia="en-AU"/>
        </w:rPr>
        <w:t xml:space="preserve">, of the ACCC that are nominated in writing </w:t>
      </w:r>
      <w:r>
        <w:rPr>
          <w:rFonts w:ascii="Times New Roman" w:eastAsia="Times New Roman" w:hAnsi="Times New Roman" w:cs="Times New Roman"/>
          <w:color w:val="000000"/>
          <w:sz w:val="24"/>
          <w:szCs w:val="24"/>
          <w:lang w:eastAsia="en-AU"/>
        </w:rPr>
        <w:t>by the Chairperson of the ACCC.</w:t>
      </w:r>
      <w:r w:rsidR="00DC6FDF">
        <w:rPr>
          <w:rFonts w:ascii="Times New Roman" w:eastAsia="Times New Roman" w:hAnsi="Times New Roman" w:cs="Times New Roman"/>
          <w:color w:val="000000"/>
          <w:sz w:val="24"/>
          <w:szCs w:val="24"/>
          <w:lang w:eastAsia="en-AU"/>
        </w:rPr>
        <w:t xml:space="preserve"> Members of the ACCC refer to those Commissioners appointed to the ACCC. </w:t>
      </w:r>
    </w:p>
    <w:p w14:paraId="2CA6CA21" w14:textId="155D01BD" w:rsidR="008A40A5" w:rsidRPr="008A40A5" w:rsidRDefault="008A40A5" w:rsidP="008A40A5">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14</w:t>
      </w:r>
      <w:r w:rsidRPr="008A40A5">
        <w:rPr>
          <w:rFonts w:ascii="Times New Roman" w:eastAsia="Times New Roman" w:hAnsi="Times New Roman" w:cs="Times New Roman"/>
          <w:color w:val="000000"/>
          <w:sz w:val="24"/>
          <w:szCs w:val="24"/>
          <w:lang w:eastAsia="en-AU"/>
        </w:rPr>
        <w:t xml:space="preserve">(2) requires that if the Chairperson of the ACCC </w:t>
      </w:r>
      <w:r w:rsidR="00DC6FDF">
        <w:rPr>
          <w:rFonts w:ascii="Times New Roman" w:eastAsia="Times New Roman" w:hAnsi="Times New Roman" w:cs="Times New Roman"/>
          <w:color w:val="000000"/>
          <w:sz w:val="24"/>
          <w:szCs w:val="24"/>
          <w:lang w:eastAsia="en-AU"/>
        </w:rPr>
        <w:t xml:space="preserve">has nominated two or more members under subsection 14(1) </w:t>
      </w:r>
      <w:r w:rsidR="00251202">
        <w:rPr>
          <w:rFonts w:ascii="Times New Roman" w:eastAsia="Times New Roman" w:hAnsi="Times New Roman" w:cs="Times New Roman"/>
          <w:color w:val="000000"/>
          <w:sz w:val="24"/>
          <w:szCs w:val="24"/>
          <w:lang w:eastAsia="en-AU"/>
        </w:rPr>
        <w:t>to arbitrate</w:t>
      </w:r>
      <w:r w:rsidR="00DC6FDF">
        <w:rPr>
          <w:rFonts w:ascii="Times New Roman" w:eastAsia="Times New Roman" w:hAnsi="Times New Roman" w:cs="Times New Roman"/>
          <w:color w:val="000000"/>
          <w:sz w:val="24"/>
          <w:szCs w:val="24"/>
          <w:lang w:eastAsia="en-AU"/>
        </w:rPr>
        <w:t>, the Chairperson is required to nominate one of those members to preside at the arbitration</w:t>
      </w:r>
      <w:r w:rsidRPr="008A40A5">
        <w:rPr>
          <w:rFonts w:ascii="Times New Roman" w:eastAsia="Times New Roman" w:hAnsi="Times New Roman" w:cs="Times New Roman"/>
          <w:color w:val="000000"/>
          <w:sz w:val="24"/>
          <w:szCs w:val="24"/>
          <w:lang w:eastAsia="en-AU"/>
        </w:rPr>
        <w:t>.</w:t>
      </w:r>
      <w:r w:rsidR="00DC6FDF">
        <w:rPr>
          <w:rFonts w:ascii="Times New Roman" w:eastAsia="Times New Roman" w:hAnsi="Times New Roman" w:cs="Times New Roman"/>
          <w:color w:val="000000"/>
          <w:sz w:val="24"/>
          <w:szCs w:val="24"/>
          <w:lang w:eastAsia="en-AU"/>
        </w:rPr>
        <w:t xml:space="preserve"> </w:t>
      </w:r>
    </w:p>
    <w:p w14:paraId="4F4F75A6" w14:textId="77777777" w:rsidR="00C53380" w:rsidRDefault="00DC6FDF" w:rsidP="00C53380">
      <w:pPr>
        <w:pStyle w:val="ActHead5"/>
        <w:ind w:left="0" w:firstLine="0"/>
        <w:rPr>
          <w:rStyle w:val="CharSectno"/>
        </w:rPr>
      </w:pPr>
      <w:r w:rsidRPr="00C53380">
        <w:rPr>
          <w:b w:val="0"/>
          <w:color w:val="000000"/>
          <w:szCs w:val="24"/>
        </w:rPr>
        <w:t xml:space="preserve">Subsection 14(3) clarifies that a member of the ACCC is not disqualified from involvement in the arbitration of the dispute about a particular matter merely because the </w:t>
      </w:r>
      <w:r w:rsidR="002C0D81" w:rsidRPr="00C53380">
        <w:rPr>
          <w:b w:val="0"/>
          <w:color w:val="000000"/>
          <w:szCs w:val="24"/>
        </w:rPr>
        <w:t>member</w:t>
      </w:r>
      <w:r w:rsidRPr="00C53380">
        <w:rPr>
          <w:b w:val="0"/>
          <w:color w:val="000000"/>
          <w:szCs w:val="24"/>
        </w:rPr>
        <w:t xml:space="preserve"> has performed functions, or exercised powers in this matter. This balances the timeliness and effectiveness of resolving a dispute by a member who has knowledge or experience in a particular matter against </w:t>
      </w:r>
      <w:r w:rsidR="005B4F1D" w:rsidRPr="00C53380">
        <w:rPr>
          <w:b w:val="0"/>
          <w:color w:val="000000"/>
          <w:szCs w:val="24"/>
        </w:rPr>
        <w:t>the possibility of a conflict of interest precluding the member. This matter would be considered by the Chairperson in the nomination of the member under subsection 14(1) of the Regulations.</w:t>
      </w:r>
      <w:r w:rsidR="005B4F1D">
        <w:rPr>
          <w:color w:val="000000"/>
          <w:szCs w:val="24"/>
        </w:rPr>
        <w:t xml:space="preserve">    </w:t>
      </w:r>
      <w:r>
        <w:rPr>
          <w:color w:val="000000"/>
          <w:szCs w:val="24"/>
        </w:rPr>
        <w:t xml:space="preserve">      </w:t>
      </w:r>
    </w:p>
    <w:p w14:paraId="1089D755" w14:textId="3B0BD0A1" w:rsidR="00206AD8" w:rsidRPr="00066D43" w:rsidRDefault="00DC6FDF" w:rsidP="00C53380">
      <w:pPr>
        <w:pStyle w:val="ActHead5"/>
        <w:ind w:left="0" w:firstLine="0"/>
        <w:rPr>
          <w:szCs w:val="24"/>
        </w:rPr>
      </w:pPr>
      <w:r w:rsidRPr="00C53380">
        <w:rPr>
          <w:rStyle w:val="CharSectno"/>
        </w:rPr>
        <w:t xml:space="preserve"> </w:t>
      </w:r>
      <w:r w:rsidR="00206AD8" w:rsidRPr="00066D43">
        <w:rPr>
          <w:rStyle w:val="CharSectno"/>
          <w:szCs w:val="24"/>
        </w:rPr>
        <w:t xml:space="preserve">Section </w:t>
      </w:r>
      <w:r w:rsidR="00206AD8">
        <w:rPr>
          <w:rStyle w:val="CharSectno"/>
          <w:szCs w:val="24"/>
        </w:rPr>
        <w:t>15</w:t>
      </w:r>
      <w:r w:rsidR="00206AD8" w:rsidRPr="00066D43">
        <w:rPr>
          <w:szCs w:val="24"/>
        </w:rPr>
        <w:t xml:space="preserve"> - </w:t>
      </w:r>
      <w:r w:rsidR="00206AD8" w:rsidRPr="00206AD8">
        <w:rPr>
          <w:szCs w:val="24"/>
        </w:rPr>
        <w:t>Reconstitution of ACCC for arbitration</w:t>
      </w:r>
    </w:p>
    <w:p w14:paraId="6720778C" w14:textId="1CE918B2" w:rsidR="00DA6B68" w:rsidRDefault="00DA6B68" w:rsidP="00DA6B68">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 15 provides that if a member constituting, or who is one of the members constituting, the ACCC for the purposes of a particular arbitration and that person stops being a member of the ACCC or is otherwise unavailable for the arbitration, the Chairperson of the ACCC must direct:</w:t>
      </w:r>
    </w:p>
    <w:p w14:paraId="322E6E5E" w14:textId="4BC1E339" w:rsidR="00DA6B68" w:rsidRDefault="00DA6B68" w:rsidP="00DA6B68">
      <w:pPr>
        <w:pStyle w:val="paragraphsub"/>
        <w:numPr>
          <w:ilvl w:val="0"/>
          <w:numId w:val="14"/>
        </w:numPr>
        <w:tabs>
          <w:tab w:val="clear" w:pos="1985"/>
        </w:tabs>
        <w:spacing w:before="180"/>
        <w:rPr>
          <w:color w:val="000000"/>
          <w:sz w:val="24"/>
          <w:szCs w:val="24"/>
          <w:shd w:val="clear" w:color="auto" w:fill="FFFFFF"/>
        </w:rPr>
      </w:pPr>
      <w:r w:rsidRPr="00C53380">
        <w:rPr>
          <w:color w:val="000000"/>
          <w:sz w:val="24"/>
          <w:szCs w:val="24"/>
          <w:shd w:val="clear" w:color="auto" w:fill="FFFFFF"/>
        </w:rPr>
        <w:t>in the case of a single member constituting the ACCC</w:t>
      </w:r>
      <w:r>
        <w:rPr>
          <w:b/>
          <w:color w:val="000000"/>
          <w:sz w:val="24"/>
          <w:szCs w:val="24"/>
          <w:shd w:val="clear" w:color="auto" w:fill="FFFFFF"/>
        </w:rPr>
        <w:t xml:space="preserve">: </w:t>
      </w:r>
      <w:r>
        <w:rPr>
          <w:color w:val="000000"/>
          <w:sz w:val="24"/>
          <w:szCs w:val="24"/>
          <w:shd w:val="clear" w:color="auto" w:fill="FFFFFF"/>
        </w:rPr>
        <w:t xml:space="preserve">that </w:t>
      </w:r>
      <w:r w:rsidR="00D47641">
        <w:rPr>
          <w:color w:val="000000"/>
          <w:sz w:val="24"/>
          <w:szCs w:val="24"/>
          <w:shd w:val="clear" w:color="auto" w:fill="FFFFFF"/>
        </w:rPr>
        <w:t>one other member shall constitute the ACCC for the purposes of finishing the arbitration</w:t>
      </w:r>
      <w:r w:rsidR="00CF355B">
        <w:rPr>
          <w:color w:val="000000"/>
          <w:sz w:val="24"/>
          <w:szCs w:val="24"/>
          <w:shd w:val="clear" w:color="auto" w:fill="FFFFFF"/>
        </w:rPr>
        <w:t xml:space="preserve"> (subsection 15(2)(a)</w:t>
      </w:r>
      <w:r w:rsidR="00D47641">
        <w:rPr>
          <w:color w:val="000000"/>
          <w:sz w:val="24"/>
          <w:szCs w:val="24"/>
          <w:shd w:val="clear" w:color="auto" w:fill="FFFFFF"/>
        </w:rPr>
        <w:t>;</w:t>
      </w:r>
    </w:p>
    <w:p w14:paraId="1F1E0EDF" w14:textId="1120BE34" w:rsidR="00D47641" w:rsidRDefault="00D47641" w:rsidP="00DA6B68">
      <w:pPr>
        <w:pStyle w:val="paragraphsub"/>
        <w:numPr>
          <w:ilvl w:val="0"/>
          <w:numId w:val="14"/>
        </w:numPr>
        <w:tabs>
          <w:tab w:val="clear" w:pos="1985"/>
        </w:tabs>
        <w:spacing w:before="180"/>
        <w:rPr>
          <w:color w:val="000000"/>
          <w:sz w:val="24"/>
          <w:szCs w:val="24"/>
          <w:shd w:val="clear" w:color="auto" w:fill="FFFFFF"/>
        </w:rPr>
      </w:pPr>
      <w:r w:rsidRPr="00C53380">
        <w:rPr>
          <w:color w:val="000000"/>
          <w:sz w:val="24"/>
          <w:szCs w:val="24"/>
          <w:shd w:val="clear" w:color="auto" w:fill="FFFFFF"/>
        </w:rPr>
        <w:t>in the case of more than one member constituting the ACCC:</w:t>
      </w:r>
      <w:r>
        <w:rPr>
          <w:color w:val="000000"/>
          <w:sz w:val="24"/>
          <w:szCs w:val="24"/>
          <w:shd w:val="clear" w:color="auto" w:fill="FFFFFF"/>
        </w:rPr>
        <w:t xml:space="preserve"> that either the remaining member of members of the ACCC shall constitute the ACCC for the purposes of finishing the arbitration, or that one or more other members of the ACCC are to join the remaining member(s) to finish the arbitration</w:t>
      </w:r>
      <w:r w:rsidR="00CF355B">
        <w:rPr>
          <w:color w:val="000000"/>
          <w:sz w:val="24"/>
          <w:szCs w:val="24"/>
          <w:shd w:val="clear" w:color="auto" w:fill="FFFFFF"/>
        </w:rPr>
        <w:t xml:space="preserve"> (subsection 15(2)(b)</w:t>
      </w:r>
      <w:r>
        <w:rPr>
          <w:color w:val="000000"/>
          <w:sz w:val="24"/>
          <w:szCs w:val="24"/>
          <w:shd w:val="clear" w:color="auto" w:fill="FFFFFF"/>
        </w:rPr>
        <w:t>.</w:t>
      </w:r>
    </w:p>
    <w:p w14:paraId="7467B355" w14:textId="540D0840" w:rsidR="00D47641" w:rsidRDefault="00D47641" w:rsidP="00C86C61">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C86C61">
        <w:rPr>
          <w:rFonts w:ascii="Times New Roman" w:eastAsia="Times New Roman" w:hAnsi="Times New Roman" w:cs="Times New Roman"/>
          <w:color w:val="000000"/>
          <w:sz w:val="24"/>
          <w:szCs w:val="24"/>
          <w:lang w:eastAsia="en-AU"/>
        </w:rPr>
        <w:t>Subsection 15(3)</w:t>
      </w:r>
      <w:r w:rsidR="002611E6" w:rsidRPr="00C86C61">
        <w:rPr>
          <w:rFonts w:ascii="Times New Roman" w:eastAsia="Times New Roman" w:hAnsi="Times New Roman" w:cs="Times New Roman"/>
          <w:color w:val="000000"/>
          <w:sz w:val="24"/>
          <w:szCs w:val="24"/>
          <w:lang w:eastAsia="en-AU"/>
        </w:rPr>
        <w:t xml:space="preserve"> provides that where a direction is given </w:t>
      </w:r>
      <w:r w:rsidR="00C86C61" w:rsidRPr="00C86C61">
        <w:rPr>
          <w:rFonts w:ascii="Times New Roman" w:eastAsia="Times New Roman" w:hAnsi="Times New Roman" w:cs="Times New Roman"/>
          <w:color w:val="000000"/>
          <w:sz w:val="24"/>
          <w:szCs w:val="24"/>
          <w:lang w:eastAsia="en-AU"/>
        </w:rPr>
        <w:t>under this section, the ACCC must continue and finish the arbitration in accordance with the direction</w:t>
      </w:r>
      <w:r w:rsidR="00C86C61">
        <w:rPr>
          <w:rFonts w:ascii="Times New Roman" w:eastAsia="Times New Roman" w:hAnsi="Times New Roman" w:cs="Times New Roman"/>
          <w:color w:val="000000"/>
          <w:sz w:val="24"/>
          <w:szCs w:val="24"/>
          <w:lang w:eastAsia="en-AU"/>
        </w:rPr>
        <w:t>.</w:t>
      </w:r>
    </w:p>
    <w:p w14:paraId="13025CB0" w14:textId="4E8FE560" w:rsidR="00C86C61" w:rsidRPr="00C86C61" w:rsidRDefault="00C86C61" w:rsidP="00C86C61">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15(4) provides that the ACCC as constituted by a direction made under this section may have regard to any record of proceedings of the arbitration by the ACCC as previously constituted.</w:t>
      </w:r>
    </w:p>
    <w:p w14:paraId="13168AC2" w14:textId="3A33DF21" w:rsidR="00206AD8" w:rsidRPr="00DA6B68" w:rsidRDefault="00DA6B68" w:rsidP="00DA6B68">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DA6B68">
        <w:rPr>
          <w:rFonts w:ascii="Times New Roman" w:eastAsia="Times New Roman" w:hAnsi="Times New Roman" w:cs="Times New Roman"/>
          <w:color w:val="000000"/>
          <w:sz w:val="24"/>
          <w:szCs w:val="24"/>
          <w:lang w:eastAsia="en-AU"/>
        </w:rPr>
        <w:t>S</w:t>
      </w:r>
      <w:r w:rsidR="00C86C61">
        <w:rPr>
          <w:rFonts w:ascii="Times New Roman" w:eastAsia="Times New Roman" w:hAnsi="Times New Roman" w:cs="Times New Roman"/>
          <w:color w:val="000000"/>
          <w:sz w:val="24"/>
          <w:szCs w:val="24"/>
          <w:lang w:eastAsia="en-AU"/>
        </w:rPr>
        <w:t>ection 15 streamlines previous r</w:t>
      </w:r>
      <w:r w:rsidRPr="00DA6B68">
        <w:rPr>
          <w:rFonts w:ascii="Times New Roman" w:eastAsia="Times New Roman" w:hAnsi="Times New Roman" w:cs="Times New Roman"/>
          <w:color w:val="000000"/>
          <w:sz w:val="24"/>
          <w:szCs w:val="24"/>
          <w:lang w:eastAsia="en-AU"/>
        </w:rPr>
        <w:t>egulations 20 and 21 from the sunsetting Regulations.</w:t>
      </w:r>
    </w:p>
    <w:p w14:paraId="5C02AFEC" w14:textId="40AE7254" w:rsidR="00206AD8" w:rsidRPr="00066D43" w:rsidRDefault="00206AD8" w:rsidP="00206AD8">
      <w:pPr>
        <w:pStyle w:val="ActHead5"/>
        <w:rPr>
          <w:szCs w:val="24"/>
        </w:rPr>
      </w:pPr>
      <w:r w:rsidRPr="00066D43">
        <w:rPr>
          <w:rStyle w:val="CharSectno"/>
          <w:szCs w:val="24"/>
        </w:rPr>
        <w:t xml:space="preserve">Section </w:t>
      </w:r>
      <w:r>
        <w:rPr>
          <w:rStyle w:val="CharSectno"/>
          <w:szCs w:val="24"/>
        </w:rPr>
        <w:t>16</w:t>
      </w:r>
      <w:r w:rsidRPr="00066D43">
        <w:rPr>
          <w:szCs w:val="24"/>
        </w:rPr>
        <w:t xml:space="preserve"> - </w:t>
      </w:r>
      <w:r w:rsidRPr="00206AD8">
        <w:rPr>
          <w:szCs w:val="24"/>
        </w:rPr>
        <w:t>Determination of matters</w:t>
      </w:r>
    </w:p>
    <w:p w14:paraId="6E23DF8D" w14:textId="1E41F63C" w:rsidR="00206AD8" w:rsidRPr="00C11677" w:rsidRDefault="00C11677" w:rsidP="00C11677">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 16</w:t>
      </w:r>
      <w:r w:rsidRPr="00C11677">
        <w:rPr>
          <w:rFonts w:ascii="Times New Roman" w:eastAsia="Times New Roman" w:hAnsi="Times New Roman" w:cs="Times New Roman"/>
          <w:color w:val="000000"/>
          <w:sz w:val="24"/>
          <w:szCs w:val="24"/>
          <w:lang w:eastAsia="en-AU"/>
        </w:rPr>
        <w:t xml:space="preserve"> provides that a question before the ACCC is to be resolved according to the opinion of a majority of members of the ACCC or, in the event of an even division of opinion, according to the opinion of the member presiding</w:t>
      </w:r>
      <w:r w:rsidR="00CF355B">
        <w:rPr>
          <w:rFonts w:ascii="Times New Roman" w:eastAsia="Times New Roman" w:hAnsi="Times New Roman" w:cs="Times New Roman"/>
          <w:color w:val="000000"/>
          <w:sz w:val="24"/>
          <w:szCs w:val="24"/>
          <w:lang w:eastAsia="en-AU"/>
        </w:rPr>
        <w:t xml:space="preserve"> on the matter</w:t>
      </w:r>
      <w:r w:rsidRPr="00C11677">
        <w:rPr>
          <w:rFonts w:ascii="Times New Roman" w:eastAsia="Times New Roman" w:hAnsi="Times New Roman" w:cs="Times New Roman"/>
          <w:color w:val="000000"/>
          <w:sz w:val="24"/>
          <w:szCs w:val="24"/>
          <w:lang w:eastAsia="en-AU"/>
        </w:rPr>
        <w:t>.</w:t>
      </w:r>
    </w:p>
    <w:p w14:paraId="3A2B8DF6" w14:textId="5E451188" w:rsidR="00B978EA" w:rsidRDefault="00B978EA" w:rsidP="00B978EA">
      <w:pPr>
        <w:pStyle w:val="ActHead3"/>
        <w:ind w:left="0" w:firstLine="0"/>
        <w:rPr>
          <w:sz w:val="24"/>
          <w:szCs w:val="24"/>
        </w:rPr>
      </w:pPr>
      <w:r>
        <w:rPr>
          <w:sz w:val="24"/>
          <w:szCs w:val="24"/>
        </w:rPr>
        <w:t>Division 3</w:t>
      </w:r>
      <w:r w:rsidRPr="00B24D75">
        <w:t xml:space="preserve"> </w:t>
      </w:r>
      <w:r w:rsidRPr="00B24D75">
        <w:rPr>
          <w:sz w:val="24"/>
          <w:szCs w:val="24"/>
        </w:rPr>
        <w:t>—</w:t>
      </w:r>
      <w:r w:rsidRPr="00206AD8">
        <w:t xml:space="preserve"> </w:t>
      </w:r>
      <w:r w:rsidRPr="00B978EA">
        <w:rPr>
          <w:sz w:val="24"/>
          <w:szCs w:val="24"/>
        </w:rPr>
        <w:t>Powers of ACCC in conducting arbitration</w:t>
      </w:r>
    </w:p>
    <w:p w14:paraId="1ABE8386" w14:textId="066AD3BB" w:rsidR="00C11677" w:rsidRPr="00C11677" w:rsidRDefault="00C11677" w:rsidP="00C11677">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Division 3</w:t>
      </w:r>
      <w:r w:rsidRPr="00C11677">
        <w:rPr>
          <w:rFonts w:ascii="Times New Roman" w:eastAsia="Times New Roman" w:hAnsi="Times New Roman" w:cs="Times New Roman"/>
          <w:color w:val="000000"/>
          <w:sz w:val="24"/>
          <w:szCs w:val="24"/>
          <w:lang w:eastAsia="en-AU"/>
        </w:rPr>
        <w:t xml:space="preserve"> of the Regulations sets out the powers given to the ACCC in conducting an arbitration.</w:t>
      </w:r>
    </w:p>
    <w:p w14:paraId="33F1E258" w14:textId="44073E29" w:rsidR="00B978EA" w:rsidRPr="00066D43" w:rsidRDefault="00B978EA" w:rsidP="00B978EA">
      <w:pPr>
        <w:pStyle w:val="ActHead5"/>
        <w:rPr>
          <w:szCs w:val="24"/>
        </w:rPr>
      </w:pPr>
      <w:r w:rsidRPr="00066D43">
        <w:rPr>
          <w:rStyle w:val="CharSectno"/>
          <w:szCs w:val="24"/>
        </w:rPr>
        <w:t xml:space="preserve">Section </w:t>
      </w:r>
      <w:r>
        <w:rPr>
          <w:rStyle w:val="CharSectno"/>
          <w:szCs w:val="24"/>
        </w:rPr>
        <w:t>17</w:t>
      </w:r>
      <w:r w:rsidRPr="00066D43">
        <w:rPr>
          <w:szCs w:val="24"/>
        </w:rPr>
        <w:t xml:space="preserve"> - </w:t>
      </w:r>
      <w:r w:rsidRPr="00B978EA">
        <w:rPr>
          <w:szCs w:val="24"/>
        </w:rPr>
        <w:t>Power to refer matters and give directions</w:t>
      </w:r>
    </w:p>
    <w:p w14:paraId="201AA0CF" w14:textId="7FFBBAF2" w:rsidR="00C11677" w:rsidRPr="00C11677" w:rsidRDefault="00C11677" w:rsidP="00C11677">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 17</w:t>
      </w:r>
      <w:r w:rsidRPr="00C11677">
        <w:rPr>
          <w:rFonts w:ascii="Times New Roman" w:eastAsia="Times New Roman" w:hAnsi="Times New Roman" w:cs="Times New Roman"/>
          <w:color w:val="000000"/>
          <w:sz w:val="24"/>
          <w:szCs w:val="24"/>
          <w:lang w:eastAsia="en-AU"/>
        </w:rPr>
        <w:t xml:space="preserve"> gives power to the ACCC to do any of the following actions for the purposes of an arbitration: </w:t>
      </w:r>
    </w:p>
    <w:p w14:paraId="0B6673A7" w14:textId="07A7ACFB" w:rsidR="00C11677" w:rsidRPr="00C11677" w:rsidRDefault="00C53380" w:rsidP="00C11677">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r</w:t>
      </w:r>
      <w:r w:rsidR="00C11677" w:rsidRPr="00C11677">
        <w:rPr>
          <w:color w:val="000000"/>
          <w:sz w:val="24"/>
          <w:szCs w:val="24"/>
          <w:shd w:val="clear" w:color="auto" w:fill="FFFFFF"/>
        </w:rPr>
        <w:t>efer any matter to an expert and accept the expert’s report as evidence</w:t>
      </w:r>
      <w:r>
        <w:rPr>
          <w:color w:val="000000"/>
          <w:sz w:val="24"/>
          <w:szCs w:val="24"/>
          <w:shd w:val="clear" w:color="auto" w:fill="FFFFFF"/>
        </w:rPr>
        <w:t>;</w:t>
      </w:r>
    </w:p>
    <w:p w14:paraId="746F71A1" w14:textId="6194A8F7" w:rsidR="00C11677" w:rsidRPr="00C11677" w:rsidRDefault="00C53380" w:rsidP="00C11677">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d</w:t>
      </w:r>
      <w:r w:rsidR="00C11677" w:rsidRPr="00C11677">
        <w:rPr>
          <w:color w:val="000000"/>
          <w:sz w:val="24"/>
          <w:szCs w:val="24"/>
          <w:shd w:val="clear" w:color="auto" w:fill="FFFFFF"/>
        </w:rPr>
        <w:t>irect a party to conduct research or investigations to obtain relevant information</w:t>
      </w:r>
      <w:r>
        <w:rPr>
          <w:color w:val="000000"/>
          <w:sz w:val="24"/>
          <w:szCs w:val="24"/>
          <w:shd w:val="clear" w:color="auto" w:fill="FFFFFF"/>
        </w:rPr>
        <w:t>;</w:t>
      </w:r>
    </w:p>
    <w:p w14:paraId="7C64A4A1" w14:textId="1A1B3815" w:rsidR="00C11677" w:rsidRPr="00C11677" w:rsidRDefault="00C53380" w:rsidP="00C11677">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d</w:t>
      </w:r>
      <w:r w:rsidR="00C11677" w:rsidRPr="00C11677">
        <w:rPr>
          <w:color w:val="000000"/>
          <w:sz w:val="24"/>
          <w:szCs w:val="24"/>
          <w:shd w:val="clear" w:color="auto" w:fill="FFFFFF"/>
        </w:rPr>
        <w:t>irect a person who is, or was, a party to give relevant information to one or more other parties</w:t>
      </w:r>
      <w:r>
        <w:rPr>
          <w:color w:val="000000"/>
          <w:sz w:val="24"/>
          <w:szCs w:val="24"/>
          <w:shd w:val="clear" w:color="auto" w:fill="FFFFFF"/>
        </w:rPr>
        <w:t>;</w:t>
      </w:r>
    </w:p>
    <w:p w14:paraId="4DADC55C" w14:textId="76837D0D" w:rsidR="00C11677" w:rsidRPr="00C11677" w:rsidRDefault="00C53380" w:rsidP="00C11677">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d</w:t>
      </w:r>
      <w:r w:rsidR="00C11677" w:rsidRPr="00C11677">
        <w:rPr>
          <w:color w:val="000000"/>
          <w:sz w:val="24"/>
          <w:szCs w:val="24"/>
          <w:shd w:val="clear" w:color="auto" w:fill="FFFFFF"/>
        </w:rPr>
        <w:t>irect a person not to divulge, or communicate to anyone else, stated information that was given to the person for the purposes of an arbitration unless the person is permitted by the ACCC</w:t>
      </w:r>
      <w:r>
        <w:rPr>
          <w:color w:val="000000"/>
          <w:sz w:val="24"/>
          <w:szCs w:val="24"/>
          <w:shd w:val="clear" w:color="auto" w:fill="FFFFFF"/>
        </w:rPr>
        <w:t>;</w:t>
      </w:r>
      <w:r w:rsidR="00C11677" w:rsidRPr="00C11677">
        <w:rPr>
          <w:color w:val="000000"/>
          <w:sz w:val="24"/>
          <w:szCs w:val="24"/>
          <w:shd w:val="clear" w:color="auto" w:fill="FFFFFF"/>
        </w:rPr>
        <w:t xml:space="preserve"> and</w:t>
      </w:r>
    </w:p>
    <w:p w14:paraId="2A49E65A" w14:textId="479DB464" w:rsidR="00C11677" w:rsidRPr="00C11677" w:rsidRDefault="00C53380" w:rsidP="00C11677">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g</w:t>
      </w:r>
      <w:r w:rsidR="00C11677" w:rsidRPr="00C11677">
        <w:rPr>
          <w:color w:val="000000"/>
          <w:sz w:val="24"/>
          <w:szCs w:val="24"/>
          <w:shd w:val="clear" w:color="auto" w:fill="FFFFFF"/>
        </w:rPr>
        <w:t>ive any other such direction, and do any such thing, as is necessary or expedient to make a determination</w:t>
      </w:r>
    </w:p>
    <w:p w14:paraId="61852AD9" w14:textId="4CA4E5BC" w:rsidR="00B978EA" w:rsidRPr="00C11677" w:rsidRDefault="00C11677" w:rsidP="00C11677">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note to section 17</w:t>
      </w:r>
      <w:r w:rsidRPr="00C11677">
        <w:rPr>
          <w:rFonts w:ascii="Times New Roman" w:eastAsia="Times New Roman" w:hAnsi="Times New Roman" w:cs="Times New Roman"/>
          <w:color w:val="000000"/>
          <w:sz w:val="24"/>
          <w:szCs w:val="24"/>
          <w:lang w:eastAsia="en-AU"/>
        </w:rPr>
        <w:t xml:space="preserve"> guides</w:t>
      </w:r>
      <w:r>
        <w:rPr>
          <w:rFonts w:ascii="Times New Roman" w:eastAsia="Times New Roman" w:hAnsi="Times New Roman" w:cs="Times New Roman"/>
          <w:color w:val="000000"/>
          <w:sz w:val="24"/>
          <w:szCs w:val="24"/>
          <w:lang w:eastAsia="en-AU"/>
        </w:rPr>
        <w:t xml:space="preserve"> the reader to section 27</w:t>
      </w:r>
      <w:r w:rsidRPr="00C11677">
        <w:rPr>
          <w:rFonts w:ascii="Times New Roman" w:eastAsia="Times New Roman" w:hAnsi="Times New Roman" w:cs="Times New Roman"/>
          <w:color w:val="000000"/>
          <w:sz w:val="24"/>
          <w:szCs w:val="24"/>
          <w:lang w:eastAsia="en-AU"/>
        </w:rPr>
        <w:t>, which provides that a person commits an offence if that person fails to follow a direction</w:t>
      </w:r>
      <w:r>
        <w:rPr>
          <w:rFonts w:ascii="Times New Roman" w:eastAsia="Times New Roman" w:hAnsi="Times New Roman" w:cs="Times New Roman"/>
          <w:color w:val="000000"/>
          <w:sz w:val="24"/>
          <w:szCs w:val="24"/>
          <w:lang w:eastAsia="en-AU"/>
        </w:rPr>
        <w:t xml:space="preserve"> by the ACCC under paragraphs 17(b) to 17</w:t>
      </w:r>
      <w:r w:rsidRPr="00C11677">
        <w:rPr>
          <w:rFonts w:ascii="Times New Roman" w:eastAsia="Times New Roman" w:hAnsi="Times New Roman" w:cs="Times New Roman"/>
          <w:color w:val="000000"/>
          <w:sz w:val="24"/>
          <w:szCs w:val="24"/>
          <w:lang w:eastAsia="en-AU"/>
        </w:rPr>
        <w:t>(e) (inclusive).</w:t>
      </w:r>
    </w:p>
    <w:p w14:paraId="4973DB1D" w14:textId="0C82C66E" w:rsidR="00251643" w:rsidRPr="00066D43" w:rsidRDefault="00251643" w:rsidP="00251643">
      <w:pPr>
        <w:pStyle w:val="ActHead5"/>
        <w:rPr>
          <w:szCs w:val="24"/>
        </w:rPr>
      </w:pPr>
      <w:r w:rsidRPr="00066D43">
        <w:rPr>
          <w:rStyle w:val="CharSectno"/>
          <w:szCs w:val="24"/>
        </w:rPr>
        <w:t xml:space="preserve">Section </w:t>
      </w:r>
      <w:r>
        <w:rPr>
          <w:rStyle w:val="CharSectno"/>
          <w:szCs w:val="24"/>
        </w:rPr>
        <w:t>18</w:t>
      </w:r>
      <w:r w:rsidRPr="00066D43">
        <w:rPr>
          <w:szCs w:val="24"/>
        </w:rPr>
        <w:t xml:space="preserve"> - </w:t>
      </w:r>
      <w:r w:rsidRPr="00251643">
        <w:rPr>
          <w:szCs w:val="24"/>
        </w:rPr>
        <w:t>Power to require person to give information or produce documents</w:t>
      </w:r>
    </w:p>
    <w:p w14:paraId="7D7A51C8" w14:textId="0008713B" w:rsidR="007369B1" w:rsidRPr="007369B1" w:rsidRDefault="007369B1" w:rsidP="007369B1">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18</w:t>
      </w:r>
      <w:r w:rsidRPr="007369B1">
        <w:rPr>
          <w:rFonts w:ascii="Times New Roman" w:eastAsia="Times New Roman" w:hAnsi="Times New Roman" w:cs="Times New Roman"/>
          <w:color w:val="000000"/>
          <w:sz w:val="24"/>
          <w:szCs w:val="24"/>
          <w:lang w:eastAsia="en-AU"/>
        </w:rPr>
        <w:t>(1) provides that the ACCC may give a notice to a person under subsection 1</w:t>
      </w:r>
      <w:r>
        <w:rPr>
          <w:rFonts w:ascii="Times New Roman" w:eastAsia="Times New Roman" w:hAnsi="Times New Roman" w:cs="Times New Roman"/>
          <w:color w:val="000000"/>
          <w:sz w:val="24"/>
          <w:szCs w:val="24"/>
          <w:lang w:eastAsia="en-AU"/>
        </w:rPr>
        <w:t>8</w:t>
      </w:r>
      <w:r w:rsidRPr="007369B1">
        <w:rPr>
          <w:rFonts w:ascii="Times New Roman" w:eastAsia="Times New Roman" w:hAnsi="Times New Roman" w:cs="Times New Roman"/>
          <w:color w:val="000000"/>
          <w:sz w:val="24"/>
          <w:szCs w:val="24"/>
          <w:lang w:eastAsia="en-AU"/>
        </w:rPr>
        <w:t>(2) if the ACCC has reason to believe that the person has information, or a document, relevant to an arbitration. For example, the ACCC may consider that a third party (such as</w:t>
      </w:r>
      <w:r w:rsidR="00CF355B">
        <w:rPr>
          <w:rFonts w:ascii="Times New Roman" w:eastAsia="Times New Roman" w:hAnsi="Times New Roman" w:cs="Times New Roman"/>
          <w:color w:val="000000"/>
          <w:sz w:val="24"/>
          <w:szCs w:val="24"/>
          <w:lang w:eastAsia="en-AU"/>
        </w:rPr>
        <w:t xml:space="preserve"> an existing customer, an equipment provider, network installer or finance provider)</w:t>
      </w:r>
      <w:r w:rsidRPr="007369B1">
        <w:rPr>
          <w:rFonts w:ascii="Times New Roman" w:eastAsia="Times New Roman" w:hAnsi="Times New Roman" w:cs="Times New Roman"/>
          <w:color w:val="000000"/>
          <w:sz w:val="24"/>
          <w:szCs w:val="24"/>
          <w:lang w:eastAsia="en-AU"/>
        </w:rPr>
        <w:t xml:space="preserve"> has information relevant to the matters in dispute.</w:t>
      </w:r>
    </w:p>
    <w:p w14:paraId="58A07092" w14:textId="5EEC98CF" w:rsidR="007369B1" w:rsidRPr="007369B1" w:rsidRDefault="007369B1" w:rsidP="007369B1">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18</w:t>
      </w:r>
      <w:r w:rsidRPr="007369B1">
        <w:rPr>
          <w:rFonts w:ascii="Times New Roman" w:eastAsia="Times New Roman" w:hAnsi="Times New Roman" w:cs="Times New Roman"/>
          <w:color w:val="000000"/>
          <w:sz w:val="24"/>
          <w:szCs w:val="24"/>
          <w:lang w:eastAsia="en-AU"/>
        </w:rPr>
        <w:t>(2) provides that the ACCC has the power to require a person to give information or to produce any document to the ACCC for the purposes of the arbitration by way of written notice to the person.</w:t>
      </w:r>
    </w:p>
    <w:p w14:paraId="1E0B8841" w14:textId="67BF3CE6" w:rsidR="007369B1" w:rsidRPr="007369B1" w:rsidRDefault="007369B1" w:rsidP="007369B1">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7369B1">
        <w:rPr>
          <w:rFonts w:ascii="Times New Roman" w:eastAsia="Times New Roman" w:hAnsi="Times New Roman" w:cs="Times New Roman"/>
          <w:color w:val="000000"/>
          <w:sz w:val="24"/>
          <w:szCs w:val="24"/>
          <w:lang w:eastAsia="en-AU"/>
        </w:rPr>
        <w:t>Subsection 1</w:t>
      </w:r>
      <w:r>
        <w:rPr>
          <w:rFonts w:ascii="Times New Roman" w:eastAsia="Times New Roman" w:hAnsi="Times New Roman" w:cs="Times New Roman"/>
          <w:color w:val="000000"/>
          <w:sz w:val="24"/>
          <w:szCs w:val="24"/>
          <w:lang w:eastAsia="en-AU"/>
        </w:rPr>
        <w:t>8</w:t>
      </w:r>
      <w:r w:rsidRPr="007369B1">
        <w:rPr>
          <w:rFonts w:ascii="Times New Roman" w:eastAsia="Times New Roman" w:hAnsi="Times New Roman" w:cs="Times New Roman"/>
          <w:color w:val="000000"/>
          <w:sz w:val="24"/>
          <w:szCs w:val="24"/>
          <w:lang w:eastAsia="en-AU"/>
        </w:rPr>
        <w:t>(3) sets out the details that must be included in a written notice given by the ACCC. A written notice must specify the following:</w:t>
      </w:r>
    </w:p>
    <w:p w14:paraId="3B76D8B7" w14:textId="35AF15C4" w:rsidR="007369B1" w:rsidRPr="007369B1" w:rsidRDefault="00C53380" w:rsidP="007369B1">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7369B1" w:rsidRPr="007369B1">
        <w:rPr>
          <w:color w:val="000000"/>
          <w:sz w:val="24"/>
          <w:szCs w:val="24"/>
          <w:shd w:val="clear" w:color="auto" w:fill="FFFFFF"/>
        </w:rPr>
        <w:t>he time period for compliance (which must be at least 14 days after the notice is given to the person)</w:t>
      </w:r>
      <w:r>
        <w:rPr>
          <w:color w:val="000000"/>
          <w:sz w:val="24"/>
          <w:szCs w:val="24"/>
          <w:shd w:val="clear" w:color="auto" w:fill="FFFFFF"/>
        </w:rPr>
        <w:t>; and</w:t>
      </w:r>
    </w:p>
    <w:p w14:paraId="5964B9AC" w14:textId="3FBA4D03" w:rsidR="007369B1" w:rsidRPr="007369B1" w:rsidRDefault="00C53380" w:rsidP="007369B1">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h</w:t>
      </w:r>
      <w:r w:rsidR="007369B1" w:rsidRPr="007369B1">
        <w:rPr>
          <w:color w:val="000000"/>
          <w:sz w:val="24"/>
          <w:szCs w:val="24"/>
          <w:shd w:val="clear" w:color="auto" w:fill="FFFFFF"/>
        </w:rPr>
        <w:t>ow the person is required to comply with the notice</w:t>
      </w:r>
      <w:r>
        <w:rPr>
          <w:color w:val="000000"/>
          <w:sz w:val="24"/>
          <w:szCs w:val="24"/>
          <w:shd w:val="clear" w:color="auto" w:fill="FFFFFF"/>
        </w:rPr>
        <w:t>; and</w:t>
      </w:r>
    </w:p>
    <w:p w14:paraId="0833E97C" w14:textId="4C1CB15C" w:rsidR="007369B1" w:rsidRPr="007369B1" w:rsidRDefault="00C53380" w:rsidP="007369B1">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7369B1" w:rsidRPr="007369B1">
        <w:rPr>
          <w:color w:val="000000"/>
          <w:sz w:val="24"/>
          <w:szCs w:val="24"/>
          <w:shd w:val="clear" w:color="auto" w:fill="FFFFFF"/>
        </w:rPr>
        <w:t>he effect of section 2</w:t>
      </w:r>
      <w:r w:rsidR="007369B1">
        <w:rPr>
          <w:color w:val="000000"/>
          <w:sz w:val="24"/>
          <w:szCs w:val="24"/>
          <w:shd w:val="clear" w:color="auto" w:fill="FFFFFF"/>
        </w:rPr>
        <w:t>8</w:t>
      </w:r>
      <w:r w:rsidR="007369B1" w:rsidRPr="007369B1">
        <w:rPr>
          <w:color w:val="000000"/>
          <w:sz w:val="24"/>
          <w:szCs w:val="24"/>
          <w:shd w:val="clear" w:color="auto" w:fill="FFFFFF"/>
        </w:rPr>
        <w:t xml:space="preserve"> (offence for failure to comply with these notices)</w:t>
      </w:r>
    </w:p>
    <w:p w14:paraId="4A90E009" w14:textId="30B24007" w:rsidR="007369B1" w:rsidRDefault="007369B1" w:rsidP="007369B1">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note accompanying section 18</w:t>
      </w:r>
      <w:r w:rsidRPr="007369B1">
        <w:rPr>
          <w:rFonts w:ascii="Times New Roman" w:eastAsia="Times New Roman" w:hAnsi="Times New Roman" w:cs="Times New Roman"/>
          <w:color w:val="000000"/>
          <w:sz w:val="24"/>
          <w:szCs w:val="24"/>
          <w:lang w:eastAsia="en-AU"/>
        </w:rPr>
        <w:t xml:space="preserve"> guides the reader to section 2</w:t>
      </w:r>
      <w:r>
        <w:rPr>
          <w:rFonts w:ascii="Times New Roman" w:eastAsia="Times New Roman" w:hAnsi="Times New Roman" w:cs="Times New Roman"/>
          <w:color w:val="000000"/>
          <w:sz w:val="24"/>
          <w:szCs w:val="24"/>
          <w:lang w:eastAsia="en-AU"/>
        </w:rPr>
        <w:t>8</w:t>
      </w:r>
      <w:r w:rsidRPr="007369B1">
        <w:rPr>
          <w:rFonts w:ascii="Times New Roman" w:eastAsia="Times New Roman" w:hAnsi="Times New Roman" w:cs="Times New Roman"/>
          <w:color w:val="000000"/>
          <w:sz w:val="24"/>
          <w:szCs w:val="24"/>
          <w:lang w:eastAsia="en-AU"/>
        </w:rPr>
        <w:t>, which provides that a person commits an offence if the person fails to comply with a notice.</w:t>
      </w:r>
    </w:p>
    <w:p w14:paraId="3FDDC0C3" w14:textId="16533B22" w:rsidR="003D0456" w:rsidRDefault="00373536" w:rsidP="007369B1">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373536">
        <w:rPr>
          <w:rFonts w:ascii="Times New Roman" w:eastAsia="Times New Roman" w:hAnsi="Times New Roman" w:cs="Times New Roman"/>
          <w:color w:val="000000"/>
          <w:sz w:val="24"/>
          <w:szCs w:val="24"/>
          <w:lang w:eastAsia="en-AU"/>
        </w:rPr>
        <w:t xml:space="preserve">Persons that </w:t>
      </w:r>
      <w:r>
        <w:rPr>
          <w:rFonts w:ascii="Times New Roman" w:eastAsia="Times New Roman" w:hAnsi="Times New Roman" w:cs="Times New Roman"/>
          <w:color w:val="000000"/>
          <w:sz w:val="24"/>
          <w:szCs w:val="24"/>
          <w:lang w:eastAsia="en-AU"/>
        </w:rPr>
        <w:t>are</w:t>
      </w:r>
      <w:r w:rsidR="003D0456">
        <w:rPr>
          <w:rFonts w:ascii="Times New Roman" w:eastAsia="Times New Roman" w:hAnsi="Times New Roman" w:cs="Times New Roman"/>
          <w:color w:val="000000"/>
          <w:sz w:val="24"/>
          <w:szCs w:val="24"/>
          <w:lang w:eastAsia="en-AU"/>
        </w:rPr>
        <w:t xml:space="preserve"> subject to the related offence under section 28, in reliance on the </w:t>
      </w:r>
      <w:r w:rsidR="008C6E27">
        <w:rPr>
          <w:rFonts w:ascii="Times New Roman" w:eastAsia="Times New Roman" w:hAnsi="Times New Roman" w:cs="Times New Roman"/>
          <w:color w:val="000000"/>
          <w:sz w:val="24"/>
          <w:szCs w:val="24"/>
          <w:lang w:eastAsia="en-AU"/>
        </w:rPr>
        <w:t xml:space="preserve">common law </w:t>
      </w:r>
      <w:r w:rsidR="00646DF6">
        <w:rPr>
          <w:rFonts w:ascii="Times New Roman" w:eastAsia="Times New Roman" w:hAnsi="Times New Roman" w:cs="Times New Roman"/>
          <w:color w:val="000000"/>
          <w:sz w:val="24"/>
          <w:szCs w:val="24"/>
          <w:lang w:eastAsia="en-AU"/>
        </w:rPr>
        <w:t>privilege against self-incri</w:t>
      </w:r>
      <w:r w:rsidR="003D0456">
        <w:rPr>
          <w:rFonts w:ascii="Times New Roman" w:eastAsia="Times New Roman" w:hAnsi="Times New Roman" w:cs="Times New Roman"/>
          <w:color w:val="000000"/>
          <w:sz w:val="24"/>
          <w:szCs w:val="24"/>
          <w:lang w:eastAsia="en-AU"/>
        </w:rPr>
        <w:t xml:space="preserve">mination, will be able to refuse to give information </w:t>
      </w:r>
      <w:r w:rsidR="003D0456" w:rsidRPr="009F6136">
        <w:rPr>
          <w:rFonts w:ascii="Times New Roman" w:hAnsi="Times New Roman"/>
          <w:sz w:val="24"/>
        </w:rPr>
        <w:t xml:space="preserve">or </w:t>
      </w:r>
      <w:r w:rsidR="003D0456">
        <w:rPr>
          <w:rFonts w:ascii="Times New Roman" w:hAnsi="Times New Roman"/>
          <w:sz w:val="24"/>
        </w:rPr>
        <w:t xml:space="preserve">produce the requested document if doing so </w:t>
      </w:r>
      <w:r w:rsidR="003D0456" w:rsidRPr="009F6136">
        <w:rPr>
          <w:rFonts w:ascii="Times New Roman" w:hAnsi="Times New Roman"/>
          <w:sz w:val="24"/>
        </w:rPr>
        <w:t>would tend to incriminate that person</w:t>
      </w:r>
      <w:r w:rsidR="003D0456">
        <w:rPr>
          <w:rFonts w:ascii="Times New Roman" w:hAnsi="Times New Roman"/>
          <w:sz w:val="24"/>
        </w:rPr>
        <w:t xml:space="preserve"> or expose them to penalty</w:t>
      </w:r>
      <w:r w:rsidR="003D0456">
        <w:rPr>
          <w:rFonts w:ascii="Times New Roman" w:eastAsia="Times New Roman" w:hAnsi="Times New Roman" w:cs="Times New Roman"/>
          <w:color w:val="000000"/>
          <w:sz w:val="24"/>
          <w:szCs w:val="24"/>
          <w:lang w:eastAsia="en-AU"/>
        </w:rPr>
        <w:t>.</w:t>
      </w:r>
    </w:p>
    <w:p w14:paraId="5EE41A32" w14:textId="44905DD0" w:rsidR="00251643" w:rsidRPr="00066D43" w:rsidRDefault="00251643" w:rsidP="00251643">
      <w:pPr>
        <w:pStyle w:val="ActHead5"/>
        <w:rPr>
          <w:szCs w:val="24"/>
        </w:rPr>
      </w:pPr>
      <w:r w:rsidRPr="00066D43">
        <w:rPr>
          <w:rStyle w:val="CharSectno"/>
          <w:szCs w:val="24"/>
        </w:rPr>
        <w:t xml:space="preserve">Section </w:t>
      </w:r>
      <w:r>
        <w:rPr>
          <w:rStyle w:val="CharSectno"/>
          <w:szCs w:val="24"/>
        </w:rPr>
        <w:t>19</w:t>
      </w:r>
      <w:r w:rsidRPr="00066D43">
        <w:rPr>
          <w:szCs w:val="24"/>
        </w:rPr>
        <w:t xml:space="preserve"> - </w:t>
      </w:r>
      <w:r w:rsidRPr="00251643">
        <w:rPr>
          <w:szCs w:val="24"/>
        </w:rPr>
        <w:t>Power to summon person to give evidence and produce documents</w:t>
      </w:r>
    </w:p>
    <w:p w14:paraId="74CBED23" w14:textId="73330B23" w:rsidR="007369B1" w:rsidRPr="007369B1" w:rsidRDefault="007369B1" w:rsidP="007369B1">
      <w:pPr>
        <w:shd w:val="clear" w:color="auto" w:fill="FFFFFF"/>
        <w:spacing w:before="180" w:after="0" w:line="240" w:lineRule="auto"/>
        <w:rPr>
          <w:rFonts w:ascii="Times New Roman" w:eastAsia="Times New Roman" w:hAnsi="Times New Roman" w:cs="Times New Roman"/>
          <w:color w:val="000000"/>
          <w:lang w:eastAsia="en-AU"/>
        </w:rPr>
      </w:pPr>
      <w:r w:rsidRPr="007369B1">
        <w:rPr>
          <w:rFonts w:ascii="Times New Roman" w:eastAsia="Times New Roman" w:hAnsi="Times New Roman" w:cs="Times New Roman"/>
          <w:color w:val="000000"/>
          <w:sz w:val="24"/>
          <w:szCs w:val="24"/>
          <w:lang w:eastAsia="en-AU"/>
        </w:rPr>
        <w:t>Subsection 1</w:t>
      </w:r>
      <w:r>
        <w:rPr>
          <w:rFonts w:ascii="Times New Roman" w:eastAsia="Times New Roman" w:hAnsi="Times New Roman" w:cs="Times New Roman"/>
          <w:color w:val="000000"/>
          <w:sz w:val="24"/>
          <w:szCs w:val="24"/>
          <w:lang w:eastAsia="en-AU"/>
        </w:rPr>
        <w:t>9</w:t>
      </w:r>
      <w:r w:rsidRPr="007369B1">
        <w:rPr>
          <w:rFonts w:ascii="Times New Roman" w:eastAsia="Times New Roman" w:hAnsi="Times New Roman" w:cs="Times New Roman"/>
          <w:color w:val="000000"/>
          <w:sz w:val="24"/>
          <w:szCs w:val="24"/>
          <w:lang w:eastAsia="en-AU"/>
        </w:rPr>
        <w:t>(1) provides that the member of the ACCC who is presiding at an arbitration may summon a person to:</w:t>
      </w:r>
    </w:p>
    <w:p w14:paraId="4E554329" w14:textId="43820C6D" w:rsidR="007369B1" w:rsidRPr="007369B1" w:rsidRDefault="00C53380" w:rsidP="007369B1">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a</w:t>
      </w:r>
      <w:r w:rsidR="007369B1" w:rsidRPr="007369B1">
        <w:rPr>
          <w:color w:val="000000"/>
          <w:sz w:val="24"/>
          <w:szCs w:val="24"/>
          <w:shd w:val="clear" w:color="auto" w:fill="FFFFFF"/>
        </w:rPr>
        <w:t>ttend before the ACCC to give evidence</w:t>
      </w:r>
      <w:r>
        <w:rPr>
          <w:color w:val="000000"/>
          <w:sz w:val="24"/>
          <w:szCs w:val="24"/>
          <w:shd w:val="clear" w:color="auto" w:fill="FFFFFF"/>
        </w:rPr>
        <w:t>;</w:t>
      </w:r>
      <w:r w:rsidR="007369B1" w:rsidRPr="007369B1">
        <w:rPr>
          <w:color w:val="000000"/>
          <w:sz w:val="24"/>
          <w:szCs w:val="24"/>
          <w:shd w:val="clear" w:color="auto" w:fill="FFFFFF"/>
        </w:rPr>
        <w:t xml:space="preserve"> and</w:t>
      </w:r>
    </w:p>
    <w:p w14:paraId="37FE6804" w14:textId="60A1017A" w:rsidR="007369B1" w:rsidRPr="007369B1" w:rsidRDefault="00C53380" w:rsidP="007369B1">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p</w:t>
      </w:r>
      <w:r w:rsidR="007369B1" w:rsidRPr="007369B1">
        <w:rPr>
          <w:color w:val="000000"/>
          <w:sz w:val="24"/>
          <w:szCs w:val="24"/>
          <w:shd w:val="clear" w:color="auto" w:fill="FFFFFF"/>
        </w:rPr>
        <w:t>roduce such documents (if any) as are referred to in the summons</w:t>
      </w:r>
      <w:r>
        <w:rPr>
          <w:color w:val="000000"/>
          <w:sz w:val="24"/>
          <w:szCs w:val="24"/>
          <w:shd w:val="clear" w:color="auto" w:fill="FFFFFF"/>
        </w:rPr>
        <w:t>.</w:t>
      </w:r>
    </w:p>
    <w:p w14:paraId="35E93F6A" w14:textId="68EDBA30" w:rsidR="007369B1" w:rsidRPr="007369B1" w:rsidRDefault="007369B1" w:rsidP="007369B1">
      <w:pPr>
        <w:shd w:val="clear" w:color="auto" w:fill="FFFFFF"/>
        <w:spacing w:before="180" w:after="0" w:line="240" w:lineRule="auto"/>
        <w:rPr>
          <w:rFonts w:ascii="Times New Roman" w:eastAsia="Times New Roman" w:hAnsi="Times New Roman" w:cs="Times New Roman"/>
          <w:color w:val="000000"/>
          <w:lang w:eastAsia="en-AU"/>
        </w:rPr>
      </w:pPr>
      <w:r w:rsidRPr="007369B1">
        <w:rPr>
          <w:rFonts w:ascii="Times New Roman" w:eastAsia="Times New Roman" w:hAnsi="Times New Roman" w:cs="Times New Roman"/>
          <w:color w:val="000000"/>
          <w:sz w:val="24"/>
          <w:szCs w:val="24"/>
          <w:lang w:eastAsia="en-AU"/>
        </w:rPr>
        <w:t>Subsection 1</w:t>
      </w:r>
      <w:r w:rsidR="00B11DD5">
        <w:rPr>
          <w:rFonts w:ascii="Times New Roman" w:eastAsia="Times New Roman" w:hAnsi="Times New Roman" w:cs="Times New Roman"/>
          <w:color w:val="000000"/>
          <w:sz w:val="24"/>
          <w:szCs w:val="24"/>
          <w:lang w:eastAsia="en-AU"/>
        </w:rPr>
        <w:t>9</w:t>
      </w:r>
      <w:r w:rsidRPr="007369B1">
        <w:rPr>
          <w:rFonts w:ascii="Times New Roman" w:eastAsia="Times New Roman" w:hAnsi="Times New Roman" w:cs="Times New Roman"/>
          <w:color w:val="000000"/>
          <w:sz w:val="24"/>
          <w:szCs w:val="24"/>
          <w:lang w:eastAsia="en-AU"/>
        </w:rPr>
        <w:t>(2) provides that a summons must be in the form set out in Schedule 1 to the Regulations.</w:t>
      </w:r>
    </w:p>
    <w:p w14:paraId="503296CE" w14:textId="176D4DC9" w:rsidR="007369B1" w:rsidRPr="007369B1" w:rsidRDefault="007369B1" w:rsidP="007369B1">
      <w:pPr>
        <w:shd w:val="clear" w:color="auto" w:fill="FFFFFF"/>
        <w:spacing w:before="180" w:after="0" w:line="240" w:lineRule="auto"/>
        <w:rPr>
          <w:rFonts w:ascii="Times New Roman" w:eastAsia="Times New Roman" w:hAnsi="Times New Roman" w:cs="Times New Roman"/>
          <w:color w:val="000000"/>
          <w:lang w:eastAsia="en-AU"/>
        </w:rPr>
      </w:pPr>
      <w:r w:rsidRPr="007369B1">
        <w:rPr>
          <w:rFonts w:ascii="Times New Roman" w:eastAsia="Times New Roman" w:hAnsi="Times New Roman" w:cs="Times New Roman"/>
          <w:color w:val="000000"/>
          <w:sz w:val="24"/>
          <w:szCs w:val="24"/>
          <w:lang w:eastAsia="en-AU"/>
        </w:rPr>
        <w:t>Subsection 1</w:t>
      </w:r>
      <w:r w:rsidR="00B11DD5">
        <w:rPr>
          <w:rFonts w:ascii="Times New Roman" w:eastAsia="Times New Roman" w:hAnsi="Times New Roman" w:cs="Times New Roman"/>
          <w:color w:val="000000"/>
          <w:sz w:val="24"/>
          <w:szCs w:val="24"/>
          <w:lang w:eastAsia="en-AU"/>
        </w:rPr>
        <w:t>9</w:t>
      </w:r>
      <w:r w:rsidRPr="007369B1">
        <w:rPr>
          <w:rFonts w:ascii="Times New Roman" w:eastAsia="Times New Roman" w:hAnsi="Times New Roman" w:cs="Times New Roman"/>
          <w:color w:val="000000"/>
          <w:sz w:val="24"/>
          <w:szCs w:val="24"/>
          <w:lang w:eastAsia="en-AU"/>
        </w:rPr>
        <w:t>(3) provides the manner in which a summons must be served. A summons must be served on a person by:</w:t>
      </w:r>
    </w:p>
    <w:p w14:paraId="3FD039BF" w14:textId="01241236" w:rsidR="007369B1" w:rsidRPr="00B11DD5" w:rsidRDefault="004C6518" w:rsidP="00B11DD5">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d</w:t>
      </w:r>
      <w:r w:rsidR="007369B1" w:rsidRPr="00B11DD5">
        <w:rPr>
          <w:color w:val="000000"/>
          <w:sz w:val="24"/>
          <w:szCs w:val="24"/>
          <w:shd w:val="clear" w:color="auto" w:fill="FFFFFF"/>
        </w:rPr>
        <w:t>elivering a copy of the summons to the person personally</w:t>
      </w:r>
      <w:r>
        <w:rPr>
          <w:color w:val="000000"/>
          <w:sz w:val="24"/>
          <w:szCs w:val="24"/>
          <w:shd w:val="clear" w:color="auto" w:fill="FFFFFF"/>
        </w:rPr>
        <w:t>;</w:t>
      </w:r>
      <w:r w:rsidR="007369B1" w:rsidRPr="00B11DD5">
        <w:rPr>
          <w:color w:val="000000"/>
          <w:sz w:val="24"/>
          <w:szCs w:val="24"/>
          <w:shd w:val="clear" w:color="auto" w:fill="FFFFFF"/>
        </w:rPr>
        <w:t xml:space="preserve"> and</w:t>
      </w:r>
    </w:p>
    <w:p w14:paraId="32443738" w14:textId="280112E6" w:rsidR="007369B1" w:rsidRPr="00B11DD5" w:rsidRDefault="004C6518" w:rsidP="00B11DD5">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s</w:t>
      </w:r>
      <w:r w:rsidR="007369B1" w:rsidRPr="00B11DD5">
        <w:rPr>
          <w:color w:val="000000"/>
          <w:sz w:val="24"/>
          <w:szCs w:val="24"/>
          <w:shd w:val="clear" w:color="auto" w:fill="FFFFFF"/>
        </w:rPr>
        <w:t>howing the original of the summons to the person when the copy is delivered to the person.</w:t>
      </w:r>
    </w:p>
    <w:p w14:paraId="7E072938" w14:textId="692B485C" w:rsidR="007369B1" w:rsidRDefault="007369B1" w:rsidP="007369B1">
      <w:pPr>
        <w:shd w:val="clear" w:color="auto" w:fill="FFFFFF"/>
        <w:spacing w:before="40" w:after="240" w:line="240" w:lineRule="auto"/>
        <w:rPr>
          <w:rFonts w:ascii="Times New Roman" w:eastAsia="Times New Roman" w:hAnsi="Times New Roman" w:cs="Times New Roman"/>
          <w:color w:val="000000"/>
          <w:sz w:val="24"/>
          <w:szCs w:val="24"/>
          <w:lang w:eastAsia="en-AU"/>
        </w:rPr>
      </w:pPr>
      <w:r w:rsidRPr="007369B1">
        <w:rPr>
          <w:rFonts w:ascii="Times New Roman" w:eastAsia="Times New Roman" w:hAnsi="Times New Roman" w:cs="Times New Roman"/>
          <w:color w:val="000000"/>
          <w:sz w:val="24"/>
          <w:szCs w:val="24"/>
          <w:lang w:eastAsia="en-AU"/>
        </w:rPr>
        <w:t>The note to section 1</w:t>
      </w:r>
      <w:r w:rsidR="00B11DD5">
        <w:rPr>
          <w:rFonts w:ascii="Times New Roman" w:eastAsia="Times New Roman" w:hAnsi="Times New Roman" w:cs="Times New Roman"/>
          <w:color w:val="000000"/>
          <w:sz w:val="24"/>
          <w:szCs w:val="24"/>
          <w:lang w:eastAsia="en-AU"/>
        </w:rPr>
        <w:t>9 guides the reader to section 29</w:t>
      </w:r>
      <w:r w:rsidRPr="007369B1">
        <w:rPr>
          <w:rFonts w:ascii="Times New Roman" w:eastAsia="Times New Roman" w:hAnsi="Times New Roman" w:cs="Times New Roman"/>
          <w:color w:val="000000"/>
          <w:sz w:val="24"/>
          <w:szCs w:val="24"/>
          <w:lang w:eastAsia="en-AU"/>
        </w:rPr>
        <w:t>, which provides that a person commits an offence if the person fails to comply with a summons.</w:t>
      </w:r>
    </w:p>
    <w:p w14:paraId="62645BA8" w14:textId="6F4F742B" w:rsidR="003D0456" w:rsidRDefault="003D0456" w:rsidP="003D0456">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373536">
        <w:rPr>
          <w:rFonts w:ascii="Times New Roman" w:eastAsia="Times New Roman" w:hAnsi="Times New Roman" w:cs="Times New Roman"/>
          <w:color w:val="000000"/>
          <w:sz w:val="24"/>
          <w:szCs w:val="24"/>
          <w:lang w:eastAsia="en-AU"/>
        </w:rPr>
        <w:t xml:space="preserve">Persons that </w:t>
      </w:r>
      <w:r>
        <w:rPr>
          <w:rFonts w:ascii="Times New Roman" w:eastAsia="Times New Roman" w:hAnsi="Times New Roman" w:cs="Times New Roman"/>
          <w:color w:val="000000"/>
          <w:sz w:val="24"/>
          <w:szCs w:val="24"/>
          <w:lang w:eastAsia="en-AU"/>
        </w:rPr>
        <w:t xml:space="preserve">are subject to the related offence under section 29, in reliance on the </w:t>
      </w:r>
      <w:r w:rsidR="008C6E27">
        <w:rPr>
          <w:rFonts w:ascii="Times New Roman" w:eastAsia="Times New Roman" w:hAnsi="Times New Roman" w:cs="Times New Roman"/>
          <w:color w:val="000000"/>
          <w:sz w:val="24"/>
          <w:szCs w:val="24"/>
          <w:lang w:eastAsia="en-AU"/>
        </w:rPr>
        <w:t xml:space="preserve">common </w:t>
      </w:r>
      <w:r>
        <w:rPr>
          <w:rFonts w:ascii="Times New Roman" w:eastAsia="Times New Roman" w:hAnsi="Times New Roman" w:cs="Times New Roman"/>
          <w:color w:val="000000"/>
          <w:sz w:val="24"/>
          <w:szCs w:val="24"/>
          <w:lang w:eastAsia="en-AU"/>
        </w:rPr>
        <w:t xml:space="preserve">law privilege against self-incrimination, will be able to refuse to give </w:t>
      </w:r>
      <w:r w:rsidR="00524262">
        <w:rPr>
          <w:rFonts w:ascii="Times New Roman" w:eastAsia="Times New Roman" w:hAnsi="Times New Roman" w:cs="Times New Roman"/>
          <w:color w:val="000000"/>
          <w:sz w:val="24"/>
          <w:szCs w:val="24"/>
          <w:lang w:eastAsia="en-AU"/>
        </w:rPr>
        <w:t>info</w:t>
      </w:r>
      <w:r w:rsidR="008C6E27">
        <w:rPr>
          <w:rFonts w:ascii="Times New Roman" w:eastAsia="Times New Roman" w:hAnsi="Times New Roman" w:cs="Times New Roman"/>
          <w:color w:val="000000"/>
          <w:sz w:val="24"/>
          <w:szCs w:val="24"/>
          <w:lang w:eastAsia="en-AU"/>
        </w:rPr>
        <w:t>r</w:t>
      </w:r>
      <w:r w:rsidR="00524262">
        <w:rPr>
          <w:rFonts w:ascii="Times New Roman" w:eastAsia="Times New Roman" w:hAnsi="Times New Roman" w:cs="Times New Roman"/>
          <w:color w:val="000000"/>
          <w:sz w:val="24"/>
          <w:szCs w:val="24"/>
          <w:lang w:eastAsia="en-AU"/>
        </w:rPr>
        <w:t>mat</w:t>
      </w:r>
      <w:r w:rsidR="008C6E27">
        <w:rPr>
          <w:rFonts w:ascii="Times New Roman" w:eastAsia="Times New Roman" w:hAnsi="Times New Roman" w:cs="Times New Roman"/>
          <w:color w:val="000000"/>
          <w:sz w:val="24"/>
          <w:szCs w:val="24"/>
          <w:lang w:eastAsia="en-AU"/>
        </w:rPr>
        <w:t>i</w:t>
      </w:r>
      <w:r w:rsidR="00524262">
        <w:rPr>
          <w:rFonts w:ascii="Times New Roman" w:eastAsia="Times New Roman" w:hAnsi="Times New Roman" w:cs="Times New Roman"/>
          <w:color w:val="000000"/>
          <w:sz w:val="24"/>
          <w:szCs w:val="24"/>
          <w:lang w:eastAsia="en-AU"/>
        </w:rPr>
        <w:t xml:space="preserve">on </w:t>
      </w:r>
      <w:r>
        <w:rPr>
          <w:rFonts w:ascii="Times New Roman" w:hAnsi="Times New Roman"/>
          <w:sz w:val="24"/>
        </w:rPr>
        <w:t xml:space="preserve">and produce documents if doing so </w:t>
      </w:r>
      <w:r w:rsidRPr="009F6136">
        <w:rPr>
          <w:rFonts w:ascii="Times New Roman" w:hAnsi="Times New Roman"/>
          <w:sz w:val="24"/>
        </w:rPr>
        <w:t>would tend to incriminate that person</w:t>
      </w:r>
      <w:r>
        <w:rPr>
          <w:rFonts w:ascii="Times New Roman" w:hAnsi="Times New Roman"/>
          <w:sz w:val="24"/>
        </w:rPr>
        <w:t xml:space="preserve"> or expose them to penalty</w:t>
      </w:r>
      <w:r>
        <w:rPr>
          <w:rFonts w:ascii="Times New Roman" w:eastAsia="Times New Roman" w:hAnsi="Times New Roman" w:cs="Times New Roman"/>
          <w:color w:val="000000"/>
          <w:sz w:val="24"/>
          <w:szCs w:val="24"/>
          <w:lang w:eastAsia="en-AU"/>
        </w:rPr>
        <w:t>.</w:t>
      </w:r>
    </w:p>
    <w:p w14:paraId="3C83E197" w14:textId="77777777" w:rsidR="00373536" w:rsidRPr="007369B1" w:rsidRDefault="00373536" w:rsidP="007369B1">
      <w:pPr>
        <w:shd w:val="clear" w:color="auto" w:fill="FFFFFF"/>
        <w:spacing w:before="40" w:after="240" w:line="240" w:lineRule="auto"/>
        <w:rPr>
          <w:rFonts w:ascii="Times New Roman" w:eastAsia="Times New Roman" w:hAnsi="Times New Roman" w:cs="Times New Roman"/>
          <w:color w:val="000000"/>
          <w:lang w:eastAsia="en-AU"/>
        </w:rPr>
      </w:pPr>
    </w:p>
    <w:p w14:paraId="058FE5B4" w14:textId="12B195E0" w:rsidR="00251643" w:rsidRPr="00E92C1F" w:rsidRDefault="00251643" w:rsidP="00251643">
      <w:pPr>
        <w:pStyle w:val="ActHead3"/>
        <w:ind w:left="0" w:firstLine="0"/>
        <w:rPr>
          <w:sz w:val="24"/>
          <w:szCs w:val="24"/>
        </w:rPr>
      </w:pPr>
      <w:r w:rsidRPr="002F00B2">
        <w:rPr>
          <w:szCs w:val="28"/>
        </w:rPr>
        <w:t>Division 4</w:t>
      </w:r>
      <w:r w:rsidRPr="00E92C1F">
        <w:rPr>
          <w:szCs w:val="28"/>
        </w:rPr>
        <w:t xml:space="preserve"> </w:t>
      </w:r>
      <w:r w:rsidRPr="002F00B2">
        <w:rPr>
          <w:szCs w:val="28"/>
        </w:rPr>
        <w:t>—</w:t>
      </w:r>
      <w:r w:rsidRPr="00E92C1F">
        <w:rPr>
          <w:szCs w:val="28"/>
        </w:rPr>
        <w:t xml:space="preserve"> </w:t>
      </w:r>
      <w:r w:rsidRPr="002F00B2">
        <w:rPr>
          <w:szCs w:val="28"/>
        </w:rPr>
        <w:t>Arbitration hearings</w:t>
      </w:r>
    </w:p>
    <w:p w14:paraId="7C6BE56E" w14:textId="6678A319" w:rsidR="00251643" w:rsidRPr="00E92C1F" w:rsidRDefault="00251643" w:rsidP="00251643">
      <w:pPr>
        <w:pStyle w:val="ActHead5"/>
        <w:rPr>
          <w:szCs w:val="24"/>
        </w:rPr>
      </w:pPr>
      <w:r w:rsidRPr="00E92C1F">
        <w:rPr>
          <w:rStyle w:val="CharSectno"/>
          <w:szCs w:val="24"/>
        </w:rPr>
        <w:t>Section 20</w:t>
      </w:r>
      <w:r w:rsidRPr="00E92C1F">
        <w:rPr>
          <w:szCs w:val="24"/>
        </w:rPr>
        <w:t xml:space="preserve"> - Conduct of arbitration hearings</w:t>
      </w:r>
    </w:p>
    <w:p w14:paraId="0E0B393A" w14:textId="0E412531" w:rsidR="00287201" w:rsidRPr="00287201" w:rsidRDefault="00287201" w:rsidP="00287201">
      <w:pPr>
        <w:shd w:val="clear" w:color="auto" w:fill="FFFFFF"/>
        <w:spacing w:before="280" w:after="0" w:line="240" w:lineRule="auto"/>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color w:val="000000"/>
          <w:sz w:val="24"/>
          <w:szCs w:val="24"/>
          <w:lang w:eastAsia="en-AU"/>
        </w:rPr>
        <w:t>Subsection 20</w:t>
      </w:r>
      <w:r w:rsidRPr="00287201">
        <w:rPr>
          <w:rFonts w:ascii="Times New Roman" w:eastAsia="Times New Roman" w:hAnsi="Times New Roman" w:cs="Times New Roman"/>
          <w:color w:val="000000"/>
          <w:sz w:val="24"/>
          <w:szCs w:val="24"/>
          <w:lang w:eastAsia="en-AU"/>
        </w:rPr>
        <w:t>(1) provides that the ACCC may do any of the following things for the purposes of an arbitration hearing:</w:t>
      </w:r>
    </w:p>
    <w:p w14:paraId="5F9F14F9" w14:textId="3FC779DB" w:rsidR="00287201" w:rsidRPr="00287201" w:rsidRDefault="004C6518" w:rsidP="00287201">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r</w:t>
      </w:r>
      <w:r w:rsidR="00287201" w:rsidRPr="00287201">
        <w:rPr>
          <w:color w:val="000000"/>
          <w:sz w:val="24"/>
          <w:szCs w:val="24"/>
          <w:shd w:val="clear" w:color="auto" w:fill="FFFFFF"/>
        </w:rPr>
        <w:t>equire evidence or argument to be presented in writing</w:t>
      </w:r>
      <w:r>
        <w:rPr>
          <w:color w:val="000000"/>
          <w:sz w:val="24"/>
          <w:szCs w:val="24"/>
          <w:shd w:val="clear" w:color="auto" w:fill="FFFFFF"/>
        </w:rPr>
        <w:t>;</w:t>
      </w:r>
    </w:p>
    <w:p w14:paraId="74F4896B" w14:textId="7115EF3C" w:rsidR="00287201" w:rsidRPr="00287201" w:rsidRDefault="004C6518" w:rsidP="00287201">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d</w:t>
      </w:r>
      <w:r w:rsidR="00287201" w:rsidRPr="00287201">
        <w:rPr>
          <w:color w:val="000000"/>
          <w:sz w:val="24"/>
          <w:szCs w:val="24"/>
          <w:shd w:val="clear" w:color="auto" w:fill="FFFFFF"/>
        </w:rPr>
        <w:t>ecide the matters on which it will hear oral evidence or argument</w:t>
      </w:r>
      <w:r>
        <w:rPr>
          <w:color w:val="000000"/>
          <w:sz w:val="24"/>
          <w:szCs w:val="24"/>
          <w:shd w:val="clear" w:color="auto" w:fill="FFFFFF"/>
        </w:rPr>
        <w:t>;</w:t>
      </w:r>
    </w:p>
    <w:p w14:paraId="6448BC77" w14:textId="65299478" w:rsidR="00287201" w:rsidRPr="00287201" w:rsidRDefault="004C6518" w:rsidP="00287201">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h</w:t>
      </w:r>
      <w:r w:rsidR="00287201" w:rsidRPr="00287201">
        <w:rPr>
          <w:color w:val="000000"/>
          <w:sz w:val="24"/>
          <w:szCs w:val="24"/>
          <w:shd w:val="clear" w:color="auto" w:fill="FFFFFF"/>
        </w:rPr>
        <w:t>ear and determine the dispute in the absence of a person who has been summoned to attend before the ACCC</w:t>
      </w:r>
      <w:r>
        <w:rPr>
          <w:color w:val="000000"/>
          <w:sz w:val="24"/>
          <w:szCs w:val="24"/>
          <w:shd w:val="clear" w:color="auto" w:fill="FFFFFF"/>
        </w:rPr>
        <w:t>;</w:t>
      </w:r>
    </w:p>
    <w:p w14:paraId="5572FEF7" w14:textId="0809D69C" w:rsidR="00287201" w:rsidRPr="00287201" w:rsidRDefault="004C6518" w:rsidP="00287201">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s</w:t>
      </w:r>
      <w:r w:rsidR="00287201" w:rsidRPr="00287201">
        <w:rPr>
          <w:color w:val="000000"/>
          <w:sz w:val="24"/>
          <w:szCs w:val="24"/>
          <w:shd w:val="clear" w:color="auto" w:fill="FFFFFF"/>
        </w:rPr>
        <w:t>it at any place</w:t>
      </w:r>
      <w:r>
        <w:rPr>
          <w:color w:val="000000"/>
          <w:sz w:val="24"/>
          <w:szCs w:val="24"/>
          <w:shd w:val="clear" w:color="auto" w:fill="FFFFFF"/>
        </w:rPr>
        <w:t>;</w:t>
      </w:r>
    </w:p>
    <w:p w14:paraId="37AC2C7D" w14:textId="42EC45E4" w:rsidR="00287201" w:rsidRPr="00287201" w:rsidRDefault="004C6518" w:rsidP="00287201">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a</w:t>
      </w:r>
      <w:r w:rsidR="00287201" w:rsidRPr="00287201">
        <w:rPr>
          <w:color w:val="000000"/>
          <w:sz w:val="24"/>
          <w:szCs w:val="24"/>
          <w:shd w:val="clear" w:color="auto" w:fill="FFFFFF"/>
        </w:rPr>
        <w:t>djourn to any time and place</w:t>
      </w:r>
    </w:p>
    <w:p w14:paraId="524DB242" w14:textId="2A70011B" w:rsidR="00251643" w:rsidRPr="00287201" w:rsidRDefault="00287201" w:rsidP="00287201">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20</w:t>
      </w:r>
      <w:r w:rsidRPr="00287201">
        <w:rPr>
          <w:rFonts w:ascii="Times New Roman" w:eastAsia="Times New Roman" w:hAnsi="Times New Roman" w:cs="Times New Roman"/>
          <w:color w:val="000000"/>
          <w:sz w:val="24"/>
          <w:szCs w:val="24"/>
          <w:lang w:eastAsia="en-AU"/>
        </w:rPr>
        <w:t>(2) provides that the ACCC can choose to conduct an arbitration hearing by telephone, closed-circuit television, or any other means of communication.</w:t>
      </w:r>
    </w:p>
    <w:p w14:paraId="640E5335" w14:textId="5AAE66C8" w:rsidR="00B45CCE" w:rsidRPr="00066D43" w:rsidRDefault="00B45CCE" w:rsidP="00B45CCE">
      <w:pPr>
        <w:pStyle w:val="ActHead5"/>
        <w:rPr>
          <w:szCs w:val="24"/>
        </w:rPr>
      </w:pPr>
      <w:r w:rsidRPr="00066D43">
        <w:rPr>
          <w:rStyle w:val="CharSectno"/>
          <w:szCs w:val="24"/>
        </w:rPr>
        <w:t xml:space="preserve">Section </w:t>
      </w:r>
      <w:r>
        <w:rPr>
          <w:rStyle w:val="CharSectno"/>
          <w:szCs w:val="24"/>
        </w:rPr>
        <w:t>21</w:t>
      </w:r>
      <w:r w:rsidRPr="00066D43">
        <w:rPr>
          <w:szCs w:val="24"/>
        </w:rPr>
        <w:t xml:space="preserve"> - </w:t>
      </w:r>
      <w:r w:rsidRPr="00B45CCE">
        <w:rPr>
          <w:szCs w:val="24"/>
        </w:rPr>
        <w:t>Arbitration hearings to be in private</w:t>
      </w:r>
    </w:p>
    <w:p w14:paraId="7BEE6F20" w14:textId="23343C6B" w:rsidR="00287201" w:rsidRPr="00287201" w:rsidRDefault="00287201" w:rsidP="00287201">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21</w:t>
      </w:r>
      <w:r w:rsidRPr="00287201">
        <w:rPr>
          <w:rFonts w:ascii="Times New Roman" w:eastAsia="Times New Roman" w:hAnsi="Times New Roman" w:cs="Times New Roman"/>
          <w:color w:val="000000"/>
          <w:sz w:val="24"/>
          <w:szCs w:val="24"/>
          <w:lang w:eastAsia="en-AU"/>
        </w:rPr>
        <w:t>(1) provid</w:t>
      </w:r>
      <w:r>
        <w:rPr>
          <w:rFonts w:ascii="Times New Roman" w:eastAsia="Times New Roman" w:hAnsi="Times New Roman" w:cs="Times New Roman"/>
          <w:color w:val="000000"/>
          <w:sz w:val="24"/>
          <w:szCs w:val="24"/>
          <w:lang w:eastAsia="en-AU"/>
        </w:rPr>
        <w:t>es that subject to subsection 21</w:t>
      </w:r>
      <w:r w:rsidRPr="00287201">
        <w:rPr>
          <w:rFonts w:ascii="Times New Roman" w:eastAsia="Times New Roman" w:hAnsi="Times New Roman" w:cs="Times New Roman"/>
          <w:color w:val="000000"/>
          <w:sz w:val="24"/>
          <w:szCs w:val="24"/>
          <w:lang w:eastAsia="en-AU"/>
        </w:rPr>
        <w:t>(2), an arbitration hearing must be conducted in private.</w:t>
      </w:r>
    </w:p>
    <w:p w14:paraId="052A0D73" w14:textId="4725A82E" w:rsidR="00287201" w:rsidRPr="00287201" w:rsidRDefault="00287201" w:rsidP="00287201">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21</w:t>
      </w:r>
      <w:r w:rsidRPr="00287201">
        <w:rPr>
          <w:rFonts w:ascii="Times New Roman" w:eastAsia="Times New Roman" w:hAnsi="Times New Roman" w:cs="Times New Roman"/>
          <w:color w:val="000000"/>
          <w:sz w:val="24"/>
          <w:szCs w:val="24"/>
          <w:lang w:eastAsia="en-AU"/>
        </w:rPr>
        <w:t>(2) provides that if the parties agree, an arbitration hearing, or part of an arbitration hearing, may be conducted in public.</w:t>
      </w:r>
    </w:p>
    <w:p w14:paraId="39529AC4" w14:textId="2246D948" w:rsidR="00287201" w:rsidRPr="00287201" w:rsidRDefault="00287201" w:rsidP="00287201">
      <w:pPr>
        <w:shd w:val="clear" w:color="auto" w:fill="FFFFFF"/>
        <w:spacing w:before="180" w:after="0" w:line="240" w:lineRule="auto"/>
        <w:rPr>
          <w:rFonts w:ascii="Times New Roman" w:eastAsia="Times New Roman" w:hAnsi="Times New Roman" w:cs="Times New Roman"/>
          <w:color w:val="000000"/>
          <w:lang w:eastAsia="en-AU"/>
        </w:rPr>
      </w:pPr>
      <w:r w:rsidRPr="00287201">
        <w:rPr>
          <w:rFonts w:ascii="Times New Roman" w:eastAsia="Times New Roman" w:hAnsi="Times New Roman" w:cs="Times New Roman"/>
          <w:color w:val="000000"/>
          <w:sz w:val="24"/>
          <w:szCs w:val="24"/>
          <w:lang w:eastAsia="en-AU"/>
        </w:rPr>
        <w:t>The presiding member of the ACCC at an arbitration hearing conducted in private may give written directions about the persons who may be prese</w:t>
      </w:r>
      <w:r>
        <w:rPr>
          <w:rFonts w:ascii="Times New Roman" w:eastAsia="Times New Roman" w:hAnsi="Times New Roman" w:cs="Times New Roman"/>
          <w:color w:val="000000"/>
          <w:sz w:val="24"/>
          <w:szCs w:val="24"/>
          <w:lang w:eastAsia="en-AU"/>
        </w:rPr>
        <w:t>nt at the hearing (subsection 21</w:t>
      </w:r>
      <w:r w:rsidRPr="00287201">
        <w:rPr>
          <w:rFonts w:ascii="Times New Roman" w:eastAsia="Times New Roman" w:hAnsi="Times New Roman" w:cs="Times New Roman"/>
          <w:color w:val="000000"/>
          <w:sz w:val="24"/>
          <w:szCs w:val="24"/>
          <w:lang w:eastAsia="en-AU"/>
        </w:rPr>
        <w:t>(3)).</w:t>
      </w:r>
    </w:p>
    <w:p w14:paraId="149B00C8" w14:textId="7F7983B1" w:rsidR="00B45CCE" w:rsidRPr="00287201" w:rsidRDefault="00287201" w:rsidP="00287201">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21</w:t>
      </w:r>
      <w:r w:rsidRPr="00287201">
        <w:rPr>
          <w:rFonts w:ascii="Times New Roman" w:eastAsia="Times New Roman" w:hAnsi="Times New Roman" w:cs="Times New Roman"/>
          <w:color w:val="000000"/>
          <w:sz w:val="24"/>
          <w:szCs w:val="24"/>
          <w:lang w:eastAsia="en-AU"/>
        </w:rPr>
        <w:t>(4) provides that when givin</w:t>
      </w:r>
      <w:r>
        <w:rPr>
          <w:rFonts w:ascii="Times New Roman" w:eastAsia="Times New Roman" w:hAnsi="Times New Roman" w:cs="Times New Roman"/>
          <w:color w:val="000000"/>
          <w:sz w:val="24"/>
          <w:szCs w:val="24"/>
          <w:lang w:eastAsia="en-AU"/>
        </w:rPr>
        <w:t>g directions under subsection 21</w:t>
      </w:r>
      <w:r w:rsidRPr="00287201">
        <w:rPr>
          <w:rFonts w:ascii="Times New Roman" w:eastAsia="Times New Roman" w:hAnsi="Times New Roman" w:cs="Times New Roman"/>
          <w:color w:val="000000"/>
          <w:sz w:val="24"/>
          <w:szCs w:val="24"/>
          <w:lang w:eastAsia="en-AU"/>
        </w:rPr>
        <w:t>(3), the member presiding must consider the wishes of the parties and the need for commercial confidentiality.</w:t>
      </w:r>
    </w:p>
    <w:p w14:paraId="0A3CFA53" w14:textId="6B66CA60" w:rsidR="00B45CCE" w:rsidRPr="00066D43" w:rsidRDefault="00B45CCE" w:rsidP="00B45CCE">
      <w:pPr>
        <w:pStyle w:val="ActHead5"/>
        <w:rPr>
          <w:szCs w:val="24"/>
        </w:rPr>
      </w:pPr>
      <w:r w:rsidRPr="00066D43">
        <w:rPr>
          <w:rStyle w:val="CharSectno"/>
          <w:szCs w:val="24"/>
        </w:rPr>
        <w:t xml:space="preserve">Section </w:t>
      </w:r>
      <w:r>
        <w:rPr>
          <w:rStyle w:val="CharSectno"/>
          <w:szCs w:val="24"/>
        </w:rPr>
        <w:t>22</w:t>
      </w:r>
      <w:r w:rsidRPr="00066D43">
        <w:rPr>
          <w:szCs w:val="24"/>
        </w:rPr>
        <w:t xml:space="preserve"> - </w:t>
      </w:r>
      <w:r w:rsidRPr="00B45CCE">
        <w:rPr>
          <w:szCs w:val="24"/>
        </w:rPr>
        <w:t>Right to representation</w:t>
      </w:r>
    </w:p>
    <w:p w14:paraId="7C26D8AA" w14:textId="3CF69B87" w:rsidR="00B24D75" w:rsidRPr="00287201" w:rsidRDefault="00287201" w:rsidP="00287201">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Section 22</w:t>
      </w:r>
      <w:r w:rsidRPr="00287201">
        <w:rPr>
          <w:rFonts w:ascii="Times New Roman" w:eastAsia="Times New Roman" w:hAnsi="Times New Roman" w:cs="Times New Roman"/>
          <w:color w:val="000000"/>
          <w:sz w:val="24"/>
          <w:szCs w:val="24"/>
          <w:lang w:eastAsia="en-AU"/>
        </w:rPr>
        <w:t xml:space="preserve"> provides that a party may appear in person at an arbitration hearing, or be represented by someone else at the hearing.</w:t>
      </w:r>
    </w:p>
    <w:p w14:paraId="0CC33B4F" w14:textId="0E940FE4" w:rsidR="00B45CCE" w:rsidRPr="00066D43" w:rsidRDefault="00B45CCE" w:rsidP="00B45CCE">
      <w:pPr>
        <w:pStyle w:val="ActHead5"/>
        <w:rPr>
          <w:szCs w:val="24"/>
        </w:rPr>
      </w:pPr>
      <w:r w:rsidRPr="00066D43">
        <w:rPr>
          <w:rStyle w:val="CharSectno"/>
          <w:szCs w:val="24"/>
        </w:rPr>
        <w:t xml:space="preserve">Section </w:t>
      </w:r>
      <w:r>
        <w:rPr>
          <w:rStyle w:val="CharSectno"/>
          <w:szCs w:val="24"/>
        </w:rPr>
        <w:t>23</w:t>
      </w:r>
      <w:r w:rsidRPr="00066D43">
        <w:rPr>
          <w:szCs w:val="24"/>
        </w:rPr>
        <w:t xml:space="preserve"> - </w:t>
      </w:r>
      <w:r w:rsidRPr="00B45CCE">
        <w:rPr>
          <w:szCs w:val="24"/>
        </w:rPr>
        <w:t>Evidence on oath or affirmation</w:t>
      </w:r>
    </w:p>
    <w:p w14:paraId="38C706F6" w14:textId="453B68EF" w:rsidR="00B45CCE" w:rsidRPr="00287201" w:rsidRDefault="00287201" w:rsidP="00287201">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287201">
        <w:rPr>
          <w:rFonts w:ascii="Times New Roman" w:eastAsia="Times New Roman" w:hAnsi="Times New Roman" w:cs="Times New Roman"/>
          <w:color w:val="000000"/>
          <w:sz w:val="24"/>
          <w:szCs w:val="24"/>
          <w:lang w:eastAsia="en-AU"/>
        </w:rPr>
        <w:t>Section 23 provides that the ACCC may take evidence on oath or affirmation at an arbitration hearing and, for that purpose, a member of the ACCC may administer the oath or affirmation.</w:t>
      </w:r>
    </w:p>
    <w:p w14:paraId="300CD859" w14:textId="6EE92089" w:rsidR="0018373A" w:rsidRDefault="0018373A" w:rsidP="0018373A">
      <w:pPr>
        <w:pStyle w:val="ActHead3"/>
        <w:ind w:left="0" w:firstLine="0"/>
        <w:rPr>
          <w:sz w:val="24"/>
          <w:szCs w:val="24"/>
        </w:rPr>
      </w:pPr>
      <w:r>
        <w:rPr>
          <w:sz w:val="24"/>
          <w:szCs w:val="24"/>
        </w:rPr>
        <w:t>Division 5</w:t>
      </w:r>
      <w:r w:rsidRPr="00B24D75">
        <w:t xml:space="preserve"> </w:t>
      </w:r>
      <w:r w:rsidRPr="00B24D75">
        <w:rPr>
          <w:sz w:val="24"/>
          <w:szCs w:val="24"/>
        </w:rPr>
        <w:t>—</w:t>
      </w:r>
      <w:r w:rsidRPr="00206AD8">
        <w:t xml:space="preserve"> </w:t>
      </w:r>
      <w:r w:rsidRPr="0018373A">
        <w:rPr>
          <w:sz w:val="24"/>
          <w:szCs w:val="24"/>
        </w:rPr>
        <w:t>Joint arbitration of disputes</w:t>
      </w:r>
    </w:p>
    <w:p w14:paraId="6D5328BB" w14:textId="775428F5" w:rsidR="00287201" w:rsidRPr="00287201" w:rsidRDefault="00287201" w:rsidP="00287201">
      <w:pPr>
        <w:shd w:val="clear" w:color="auto" w:fill="FFFFFF"/>
        <w:spacing w:before="240" w:line="235" w:lineRule="atLeast"/>
        <w:rPr>
          <w:rFonts w:ascii="Calibri" w:eastAsia="Times New Roman" w:hAnsi="Calibri" w:cs="Calibri"/>
          <w:color w:val="000000"/>
          <w:lang w:eastAsia="en-AU"/>
        </w:rPr>
      </w:pPr>
      <w:r>
        <w:rPr>
          <w:rFonts w:ascii="Times New Roman" w:eastAsia="Times New Roman" w:hAnsi="Times New Roman" w:cs="Times New Roman"/>
          <w:color w:val="000000"/>
          <w:sz w:val="24"/>
          <w:szCs w:val="24"/>
          <w:lang w:eastAsia="en-AU"/>
        </w:rPr>
        <w:t>Division 5 of Part 3</w:t>
      </w:r>
      <w:r w:rsidRPr="00287201">
        <w:rPr>
          <w:rFonts w:ascii="Times New Roman" w:eastAsia="Times New Roman" w:hAnsi="Times New Roman" w:cs="Times New Roman"/>
          <w:color w:val="000000"/>
          <w:sz w:val="24"/>
          <w:szCs w:val="24"/>
          <w:lang w:eastAsia="en-AU"/>
        </w:rPr>
        <w:t xml:space="preserve"> of the Regulations provides the ACCC with the discretion to conduct joint arbitration hearings following notification to the parties of the dispute. These arrangements are modelled on section </w:t>
      </w:r>
      <w:r w:rsidRPr="00407797">
        <w:rPr>
          <w:rFonts w:ascii="Times New Roman" w:eastAsia="Times New Roman" w:hAnsi="Times New Roman" w:cs="Times New Roman"/>
          <w:color w:val="000000"/>
          <w:sz w:val="24"/>
          <w:szCs w:val="24"/>
          <w:lang w:eastAsia="en-AU"/>
        </w:rPr>
        <w:t>44ZNA of the</w:t>
      </w:r>
      <w:r w:rsidRPr="00407797">
        <w:rPr>
          <w:rFonts w:ascii="Times New Roman" w:eastAsia="Times New Roman" w:hAnsi="Times New Roman" w:cs="Times New Roman"/>
          <w:i/>
          <w:iCs/>
          <w:color w:val="000000"/>
          <w:sz w:val="24"/>
          <w:szCs w:val="24"/>
          <w:lang w:eastAsia="en-AU"/>
        </w:rPr>
        <w:t> </w:t>
      </w:r>
      <w:r w:rsidRPr="00407797">
        <w:rPr>
          <w:rFonts w:ascii="Times New Roman" w:eastAsia="Times New Roman" w:hAnsi="Times New Roman" w:cs="Times New Roman"/>
          <w:color w:val="000000"/>
          <w:sz w:val="24"/>
          <w:szCs w:val="24"/>
          <w:lang w:eastAsia="en-AU"/>
        </w:rPr>
        <w:t>CCA</w:t>
      </w:r>
      <w:r w:rsidRPr="00287201">
        <w:rPr>
          <w:rFonts w:ascii="Times New Roman" w:eastAsia="Times New Roman" w:hAnsi="Times New Roman" w:cs="Times New Roman"/>
          <w:color w:val="000000"/>
          <w:sz w:val="24"/>
          <w:szCs w:val="24"/>
          <w:lang w:eastAsia="en-AU"/>
        </w:rPr>
        <w:t>.</w:t>
      </w:r>
    </w:p>
    <w:p w14:paraId="2A4E7543" w14:textId="77777777" w:rsidR="00287201" w:rsidRPr="00287201" w:rsidRDefault="00287201" w:rsidP="00287201">
      <w:pPr>
        <w:shd w:val="clear" w:color="auto" w:fill="FFFFFF"/>
        <w:spacing w:line="235" w:lineRule="atLeast"/>
        <w:rPr>
          <w:rFonts w:ascii="Calibri" w:eastAsia="Times New Roman" w:hAnsi="Calibri" w:cs="Calibri"/>
          <w:color w:val="000000"/>
          <w:lang w:eastAsia="en-AU"/>
        </w:rPr>
      </w:pPr>
      <w:r w:rsidRPr="00287201">
        <w:rPr>
          <w:rFonts w:ascii="Times New Roman" w:eastAsia="Times New Roman" w:hAnsi="Times New Roman" w:cs="Times New Roman"/>
          <w:color w:val="000000"/>
          <w:sz w:val="24"/>
          <w:szCs w:val="24"/>
          <w:lang w:eastAsia="en-AU"/>
        </w:rPr>
        <w:t>These arrangements empower the ACCC to conduct multilateral arbitrations where appropriate, following consultations with relevant parties. The ACCC may only conduct a joint arbitration if one or more matters are common to different disputes that the ACCC is arbitrating at the same time. The ACCC’s ability to consider disputes with common matters will help to streamline administrative requirements and reduce costs for industry.  </w:t>
      </w:r>
    </w:p>
    <w:p w14:paraId="0092098E" w14:textId="2EEAE87D" w:rsidR="00287201" w:rsidRPr="00287201" w:rsidRDefault="00B64060" w:rsidP="00287201">
      <w:pPr>
        <w:shd w:val="clear" w:color="auto" w:fill="FFFFFF"/>
        <w:spacing w:line="235" w:lineRule="atLeast"/>
        <w:rPr>
          <w:rFonts w:ascii="Calibri" w:eastAsia="Times New Roman" w:hAnsi="Calibri" w:cs="Calibri"/>
          <w:color w:val="000000"/>
          <w:lang w:eastAsia="en-AU"/>
        </w:rPr>
      </w:pPr>
      <w:r w:rsidRPr="004C6518">
        <w:rPr>
          <w:rFonts w:ascii="Times New Roman" w:eastAsia="Times New Roman" w:hAnsi="Times New Roman" w:cs="Times New Roman"/>
          <w:color w:val="000000"/>
          <w:sz w:val="24"/>
          <w:szCs w:val="24"/>
          <w:lang w:eastAsia="en-AU"/>
        </w:rPr>
        <w:t xml:space="preserve">For example, </w:t>
      </w:r>
      <w:r w:rsidR="00287201" w:rsidRPr="004C6518">
        <w:rPr>
          <w:rFonts w:ascii="Times New Roman" w:eastAsia="Times New Roman" w:hAnsi="Times New Roman" w:cs="Times New Roman"/>
          <w:color w:val="000000"/>
          <w:sz w:val="24"/>
          <w:szCs w:val="24"/>
          <w:lang w:eastAsia="en-AU"/>
        </w:rPr>
        <w:t xml:space="preserve">where there are multiple negotiations regarding the terms and conditions for access to the same </w:t>
      </w:r>
      <w:r w:rsidR="001E7673" w:rsidRPr="004C6518">
        <w:rPr>
          <w:rFonts w:ascii="Times New Roman" w:eastAsia="Times New Roman" w:hAnsi="Times New Roman" w:cs="Times New Roman"/>
          <w:color w:val="000000"/>
          <w:sz w:val="24"/>
          <w:szCs w:val="24"/>
          <w:lang w:eastAsia="en-AU"/>
        </w:rPr>
        <w:t>transmission</w:t>
      </w:r>
      <w:r w:rsidR="004C6518" w:rsidRPr="004C6518">
        <w:rPr>
          <w:rFonts w:ascii="Times New Roman" w:eastAsia="Times New Roman" w:hAnsi="Times New Roman" w:cs="Times New Roman"/>
          <w:color w:val="000000"/>
          <w:sz w:val="24"/>
          <w:szCs w:val="24"/>
          <w:lang w:eastAsia="en-AU"/>
        </w:rPr>
        <w:t xml:space="preserve"> site, </w:t>
      </w:r>
      <w:r w:rsidRPr="004C6518">
        <w:rPr>
          <w:rFonts w:ascii="Times New Roman" w:eastAsia="Times New Roman" w:hAnsi="Times New Roman" w:cs="Times New Roman"/>
          <w:color w:val="000000"/>
          <w:sz w:val="24"/>
          <w:szCs w:val="24"/>
          <w:lang w:eastAsia="en-AU"/>
        </w:rPr>
        <w:t xml:space="preserve">tower, </w:t>
      </w:r>
      <w:r w:rsidR="004C6518" w:rsidRPr="004C6518">
        <w:rPr>
          <w:rFonts w:ascii="Times New Roman" w:eastAsia="Times New Roman" w:hAnsi="Times New Roman" w:cs="Times New Roman"/>
          <w:color w:val="000000"/>
          <w:sz w:val="24"/>
          <w:szCs w:val="24"/>
          <w:lang w:eastAsia="en-AU"/>
        </w:rPr>
        <w:t>f</w:t>
      </w:r>
      <w:r w:rsidRPr="004C6518">
        <w:rPr>
          <w:rFonts w:ascii="Times New Roman" w:eastAsia="Times New Roman" w:hAnsi="Times New Roman" w:cs="Times New Roman"/>
          <w:color w:val="000000"/>
          <w:sz w:val="24"/>
          <w:szCs w:val="24"/>
          <w:lang w:eastAsia="en-AU"/>
        </w:rPr>
        <w:t xml:space="preserve">acility or designated associated </w:t>
      </w:r>
      <w:r w:rsidR="002C0D81" w:rsidRPr="004C6518">
        <w:rPr>
          <w:rFonts w:ascii="Times New Roman" w:eastAsia="Times New Roman" w:hAnsi="Times New Roman" w:cs="Times New Roman"/>
          <w:color w:val="000000"/>
          <w:sz w:val="24"/>
          <w:szCs w:val="24"/>
          <w:lang w:eastAsia="en-AU"/>
        </w:rPr>
        <w:t>facilities and</w:t>
      </w:r>
      <w:r w:rsidR="00287201" w:rsidRPr="004C6518">
        <w:rPr>
          <w:rFonts w:ascii="Times New Roman" w:eastAsia="Times New Roman" w:hAnsi="Times New Roman" w:cs="Times New Roman"/>
          <w:color w:val="000000"/>
          <w:sz w:val="24"/>
          <w:szCs w:val="24"/>
          <w:lang w:eastAsia="en-AU"/>
        </w:rPr>
        <w:t xml:space="preserve"> disputes arise, holding a joint arbitration allows for an accelerated outcome and also provides consistent outcomes for industry. This in turn can reduce delays and costs for industry</w:t>
      </w:r>
      <w:r w:rsidRPr="004C6518">
        <w:rPr>
          <w:rFonts w:ascii="Times New Roman" w:eastAsia="Times New Roman" w:hAnsi="Times New Roman" w:cs="Times New Roman"/>
          <w:color w:val="000000"/>
          <w:sz w:val="24"/>
          <w:szCs w:val="24"/>
          <w:lang w:eastAsia="en-AU"/>
        </w:rPr>
        <w:t>, particularly if several sites or facilities owned or operated by the same provider are involved</w:t>
      </w:r>
      <w:r>
        <w:rPr>
          <w:rFonts w:ascii="Times New Roman" w:eastAsia="Times New Roman" w:hAnsi="Times New Roman" w:cs="Times New Roman"/>
          <w:color w:val="000000"/>
          <w:sz w:val="24"/>
          <w:szCs w:val="24"/>
          <w:lang w:eastAsia="en-AU"/>
        </w:rPr>
        <w:t xml:space="preserve"> in the dispute.</w:t>
      </w:r>
    </w:p>
    <w:p w14:paraId="20D97F6A" w14:textId="6FB2E75D" w:rsidR="0018373A" w:rsidRPr="00066D43" w:rsidRDefault="0018373A" w:rsidP="0018373A">
      <w:pPr>
        <w:pStyle w:val="ActHead5"/>
        <w:rPr>
          <w:szCs w:val="24"/>
        </w:rPr>
      </w:pPr>
      <w:r w:rsidRPr="00066D43">
        <w:rPr>
          <w:rStyle w:val="CharSectno"/>
          <w:szCs w:val="24"/>
        </w:rPr>
        <w:t xml:space="preserve">Section </w:t>
      </w:r>
      <w:r>
        <w:rPr>
          <w:rStyle w:val="CharSectno"/>
          <w:szCs w:val="24"/>
        </w:rPr>
        <w:t>24</w:t>
      </w:r>
      <w:r w:rsidRPr="00066D43">
        <w:rPr>
          <w:szCs w:val="24"/>
        </w:rPr>
        <w:t xml:space="preserve"> - </w:t>
      </w:r>
      <w:r w:rsidRPr="0018373A">
        <w:rPr>
          <w:szCs w:val="24"/>
        </w:rPr>
        <w:t>When joint arbitration may be conducted</w:t>
      </w:r>
    </w:p>
    <w:p w14:paraId="7911319F" w14:textId="3298D155" w:rsidR="00795AA8" w:rsidRPr="00795AA8" w:rsidRDefault="00795AA8" w:rsidP="00795AA8">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24</w:t>
      </w:r>
      <w:r w:rsidRPr="00795AA8">
        <w:rPr>
          <w:rFonts w:ascii="Times New Roman" w:eastAsia="Times New Roman" w:hAnsi="Times New Roman" w:cs="Times New Roman"/>
          <w:color w:val="000000"/>
          <w:sz w:val="24"/>
          <w:szCs w:val="24"/>
          <w:lang w:eastAsia="en-AU"/>
        </w:rPr>
        <w:t xml:space="preserve"> of the Regulations permits the ACCC to conduct joint arbitration of disputes in limited situations. The ACCC must be arbitrating two or more disputes at a particular time and those disputes must have one or more matters in common.</w:t>
      </w:r>
    </w:p>
    <w:p w14:paraId="23A99773" w14:textId="77777777" w:rsidR="00795AA8" w:rsidRPr="00795AA8" w:rsidRDefault="00795AA8" w:rsidP="00795AA8">
      <w:pPr>
        <w:shd w:val="clear" w:color="auto" w:fill="FFFFFF"/>
        <w:spacing w:before="180" w:after="0" w:line="240" w:lineRule="auto"/>
        <w:rPr>
          <w:rFonts w:ascii="Times New Roman" w:eastAsia="Times New Roman" w:hAnsi="Times New Roman" w:cs="Times New Roman"/>
          <w:color w:val="000000"/>
          <w:lang w:eastAsia="en-AU"/>
        </w:rPr>
      </w:pPr>
      <w:r w:rsidRPr="00795AA8">
        <w:rPr>
          <w:rFonts w:ascii="Times New Roman" w:eastAsia="Times New Roman" w:hAnsi="Times New Roman" w:cs="Times New Roman"/>
          <w:color w:val="000000"/>
          <w:sz w:val="24"/>
          <w:szCs w:val="24"/>
          <w:lang w:eastAsia="en-AU"/>
        </w:rPr>
        <w:t>Subsection 22(1) provides the Chairperson of the ACCC with the discretion to decide, by written notice to the parties to the different disputes (see subsection 22(3)), that the ACCC must conduct a joint arbitration hearing in respect of the nominated disputes specified in the notice.</w:t>
      </w:r>
    </w:p>
    <w:p w14:paraId="3C23E5D4" w14:textId="77777777" w:rsidR="00795AA8" w:rsidRPr="00795AA8" w:rsidRDefault="00795AA8" w:rsidP="00795AA8">
      <w:pPr>
        <w:shd w:val="clear" w:color="auto" w:fill="FFFFFF"/>
        <w:spacing w:before="180" w:after="0" w:line="240" w:lineRule="auto"/>
        <w:rPr>
          <w:rFonts w:ascii="Times New Roman" w:eastAsia="Times New Roman" w:hAnsi="Times New Roman" w:cs="Times New Roman"/>
          <w:color w:val="000000"/>
          <w:lang w:eastAsia="en-AU"/>
        </w:rPr>
      </w:pPr>
      <w:r w:rsidRPr="00795AA8">
        <w:rPr>
          <w:rFonts w:ascii="Times New Roman" w:eastAsia="Times New Roman" w:hAnsi="Times New Roman" w:cs="Times New Roman"/>
          <w:color w:val="000000"/>
          <w:sz w:val="24"/>
          <w:szCs w:val="24"/>
          <w:lang w:eastAsia="en-AU"/>
        </w:rPr>
        <w:t>Subsection 22(2) provides that this discretion may only be exercised where the Chairperson considers that this would likely result in the nominated disputes being resolved in a more efficient and timely manner.</w:t>
      </w:r>
    </w:p>
    <w:p w14:paraId="4834C1B1" w14:textId="77777777" w:rsidR="00795AA8" w:rsidRPr="00795AA8" w:rsidRDefault="00795AA8" w:rsidP="00795AA8">
      <w:pPr>
        <w:shd w:val="clear" w:color="auto" w:fill="FFFFFF"/>
        <w:spacing w:before="180" w:after="0" w:line="240" w:lineRule="auto"/>
        <w:rPr>
          <w:rFonts w:ascii="Times New Roman" w:eastAsia="Times New Roman" w:hAnsi="Times New Roman" w:cs="Times New Roman"/>
          <w:color w:val="000000"/>
          <w:lang w:eastAsia="en-AU"/>
        </w:rPr>
      </w:pPr>
      <w:r w:rsidRPr="00795AA8">
        <w:rPr>
          <w:rFonts w:ascii="Times New Roman" w:eastAsia="Times New Roman" w:hAnsi="Times New Roman" w:cs="Times New Roman"/>
          <w:color w:val="000000"/>
          <w:sz w:val="24"/>
          <w:szCs w:val="24"/>
          <w:lang w:eastAsia="en-AU"/>
        </w:rPr>
        <w:t>Subsection 22(3) provides that, before deciding that the ACCC must conduct a joint arbitration the Chairperson must consult the parties, specifying that a joint arbitration is proposed and inviting the parties to make written submissions on the proposal within 14 days after notice of the proposal is given.</w:t>
      </w:r>
    </w:p>
    <w:p w14:paraId="52F9D5AE" w14:textId="27C22C8E" w:rsidR="0018373A" w:rsidRPr="00795AA8" w:rsidRDefault="00795AA8" w:rsidP="00795AA8">
      <w:pPr>
        <w:shd w:val="clear" w:color="auto" w:fill="FFFFFF"/>
        <w:spacing w:before="180" w:after="0" w:line="240" w:lineRule="auto"/>
        <w:rPr>
          <w:rFonts w:ascii="Times New Roman" w:eastAsia="Times New Roman" w:hAnsi="Times New Roman" w:cs="Times New Roman"/>
          <w:color w:val="000000"/>
          <w:lang w:eastAsia="en-AU"/>
        </w:rPr>
      </w:pPr>
      <w:r w:rsidRPr="00795AA8">
        <w:rPr>
          <w:rFonts w:ascii="Times New Roman" w:eastAsia="Times New Roman" w:hAnsi="Times New Roman" w:cs="Times New Roman"/>
          <w:color w:val="000000"/>
          <w:sz w:val="24"/>
          <w:szCs w:val="24"/>
          <w:lang w:eastAsia="en-AU"/>
        </w:rPr>
        <w:t>Subsection 22(4) requires the Chairperson to have regard to any submission so made in deciding whether the ACCC must conduct a joint arbitration, and to have regard to any other matter the Chairperson considers relevant.</w:t>
      </w:r>
    </w:p>
    <w:p w14:paraId="0521197F" w14:textId="740DF537" w:rsidR="0018373A" w:rsidRPr="00066D43" w:rsidRDefault="0018373A" w:rsidP="0018373A">
      <w:pPr>
        <w:pStyle w:val="ActHead5"/>
        <w:rPr>
          <w:szCs w:val="24"/>
        </w:rPr>
      </w:pPr>
      <w:r w:rsidRPr="00066D43">
        <w:rPr>
          <w:rStyle w:val="CharSectno"/>
          <w:szCs w:val="24"/>
        </w:rPr>
        <w:t xml:space="preserve">Section </w:t>
      </w:r>
      <w:r>
        <w:rPr>
          <w:rStyle w:val="CharSectno"/>
          <w:szCs w:val="24"/>
        </w:rPr>
        <w:t>25</w:t>
      </w:r>
      <w:r w:rsidRPr="00066D43">
        <w:rPr>
          <w:szCs w:val="24"/>
        </w:rPr>
        <w:t xml:space="preserve"> - </w:t>
      </w:r>
      <w:r w:rsidRPr="0018373A">
        <w:rPr>
          <w:szCs w:val="24"/>
        </w:rPr>
        <w:t>Procedure in joint arbitration</w:t>
      </w:r>
    </w:p>
    <w:p w14:paraId="719EDA6C" w14:textId="65C3B902" w:rsidR="00795AA8" w:rsidRPr="00795AA8" w:rsidRDefault="00795AA8" w:rsidP="00795AA8">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25</w:t>
      </w:r>
      <w:r w:rsidRPr="00795AA8">
        <w:rPr>
          <w:rFonts w:ascii="Times New Roman" w:eastAsia="Times New Roman" w:hAnsi="Times New Roman" w:cs="Times New Roman"/>
          <w:color w:val="000000"/>
          <w:sz w:val="24"/>
          <w:szCs w:val="24"/>
          <w:lang w:eastAsia="en-AU"/>
        </w:rPr>
        <w:t>(1) provides that the conduct of arbit</w:t>
      </w:r>
      <w:r>
        <w:rPr>
          <w:rFonts w:ascii="Times New Roman" w:eastAsia="Times New Roman" w:hAnsi="Times New Roman" w:cs="Times New Roman"/>
          <w:color w:val="000000"/>
          <w:sz w:val="24"/>
          <w:szCs w:val="24"/>
          <w:lang w:eastAsia="en-AU"/>
        </w:rPr>
        <w:t>ration as set out in sections 13 to 23</w:t>
      </w:r>
      <w:r w:rsidRPr="00795AA8">
        <w:rPr>
          <w:rFonts w:ascii="Times New Roman" w:eastAsia="Times New Roman" w:hAnsi="Times New Roman" w:cs="Times New Roman"/>
          <w:color w:val="000000"/>
          <w:sz w:val="24"/>
          <w:szCs w:val="24"/>
          <w:lang w:eastAsia="en-AU"/>
        </w:rPr>
        <w:t>, and the offences and miscellaneou</w:t>
      </w:r>
      <w:r>
        <w:rPr>
          <w:rFonts w:ascii="Times New Roman" w:eastAsia="Times New Roman" w:hAnsi="Times New Roman" w:cs="Times New Roman"/>
          <w:color w:val="000000"/>
          <w:sz w:val="24"/>
          <w:szCs w:val="24"/>
          <w:lang w:eastAsia="en-AU"/>
        </w:rPr>
        <w:t>s matters set out in sections 27 to 33</w:t>
      </w:r>
      <w:r w:rsidRPr="00795AA8">
        <w:rPr>
          <w:rFonts w:ascii="Times New Roman" w:eastAsia="Times New Roman" w:hAnsi="Times New Roman" w:cs="Times New Roman"/>
          <w:color w:val="000000"/>
          <w:sz w:val="24"/>
          <w:szCs w:val="24"/>
          <w:lang w:eastAsia="en-AU"/>
        </w:rPr>
        <w:t>, apply to a joint arbitration in a corresponding way to the way in which they apply to a particular arbitration. This means that the procedures for the ACCC to follow in conducting the arbitration, its powers and the offences that apply to the arbitration of a single dispute also apply to joint arbitrations.</w:t>
      </w:r>
    </w:p>
    <w:p w14:paraId="762E488F" w14:textId="25B1500E" w:rsidR="00795AA8" w:rsidRPr="00795AA8" w:rsidRDefault="00795AA8" w:rsidP="00795AA8">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25</w:t>
      </w:r>
      <w:r w:rsidRPr="00795AA8">
        <w:rPr>
          <w:rFonts w:ascii="Times New Roman" w:eastAsia="Times New Roman" w:hAnsi="Times New Roman" w:cs="Times New Roman"/>
          <w:color w:val="000000"/>
          <w:sz w:val="24"/>
          <w:szCs w:val="24"/>
          <w:lang w:eastAsia="en-AU"/>
        </w:rPr>
        <w:t>(2) provides that the Chairperson of the ACCC may, for the purposes of the conduct of a joint arbitration, give written directions to the member of the ACCC presiding at the arbitration.</w:t>
      </w:r>
    </w:p>
    <w:p w14:paraId="61DBC11A" w14:textId="55680B93" w:rsidR="0018373A" w:rsidRPr="00795AA8" w:rsidRDefault="00795AA8" w:rsidP="00795AA8">
      <w:pPr>
        <w:shd w:val="clear" w:color="auto" w:fill="FFFFFF"/>
        <w:spacing w:before="180" w:after="0" w:line="240" w:lineRule="auto"/>
        <w:rPr>
          <w:rFonts w:ascii="Times New Roman" w:eastAsia="Times New Roman" w:hAnsi="Times New Roman" w:cs="Times New Roman"/>
          <w:color w:val="000000"/>
          <w:lang w:eastAsia="en-AU"/>
        </w:rPr>
      </w:pPr>
      <w:r w:rsidRPr="00795AA8">
        <w:rPr>
          <w:rFonts w:ascii="Times New Roman" w:eastAsia="Times New Roman" w:hAnsi="Times New Roman" w:cs="Times New Roman"/>
          <w:color w:val="000000"/>
          <w:sz w:val="24"/>
          <w:szCs w:val="24"/>
          <w:lang w:eastAsia="en-AU"/>
        </w:rPr>
        <w:t>Subsection 2</w:t>
      </w:r>
      <w:r>
        <w:rPr>
          <w:rFonts w:ascii="Times New Roman" w:eastAsia="Times New Roman" w:hAnsi="Times New Roman" w:cs="Times New Roman"/>
          <w:color w:val="000000"/>
          <w:sz w:val="24"/>
          <w:szCs w:val="24"/>
          <w:lang w:eastAsia="en-AU"/>
        </w:rPr>
        <w:t>5</w:t>
      </w:r>
      <w:r w:rsidRPr="00795AA8">
        <w:rPr>
          <w:rFonts w:ascii="Times New Roman" w:eastAsia="Times New Roman" w:hAnsi="Times New Roman" w:cs="Times New Roman"/>
          <w:color w:val="000000"/>
          <w:sz w:val="24"/>
          <w:szCs w:val="24"/>
          <w:lang w:eastAsia="en-AU"/>
        </w:rPr>
        <w:t>(3) provides that, for the purposes of a joint arbitration of two or more disputes, the ACCC may have regard to any record of the proceedings of the arbitration of any of those disputes. This provides it with flexibility so that it does not need to seek, for example, the resubmission of evidence or information. If the ACCC has already been provided with information about the disputes when it was considering them separately, it should be able to consider that.</w:t>
      </w:r>
    </w:p>
    <w:p w14:paraId="7476A324" w14:textId="19D1812B" w:rsidR="0018373A" w:rsidRPr="00066D43" w:rsidRDefault="0018373A" w:rsidP="0018373A">
      <w:pPr>
        <w:pStyle w:val="ActHead5"/>
        <w:rPr>
          <w:szCs w:val="24"/>
        </w:rPr>
      </w:pPr>
      <w:r w:rsidRPr="00066D43">
        <w:rPr>
          <w:rStyle w:val="CharSectno"/>
          <w:szCs w:val="24"/>
        </w:rPr>
        <w:t xml:space="preserve">Section </w:t>
      </w:r>
      <w:r>
        <w:rPr>
          <w:rStyle w:val="CharSectno"/>
          <w:szCs w:val="24"/>
        </w:rPr>
        <w:t>26</w:t>
      </w:r>
      <w:r w:rsidRPr="00066D43">
        <w:rPr>
          <w:szCs w:val="24"/>
        </w:rPr>
        <w:t xml:space="preserve"> - </w:t>
      </w:r>
      <w:r w:rsidRPr="0018373A">
        <w:rPr>
          <w:szCs w:val="24"/>
        </w:rPr>
        <w:t>Determination of disputes</w:t>
      </w:r>
    </w:p>
    <w:p w14:paraId="76CB1E9C" w14:textId="408FCA25" w:rsidR="00795AA8" w:rsidRPr="00795AA8" w:rsidRDefault="00795AA8" w:rsidP="00795AA8">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26</w:t>
      </w:r>
      <w:r w:rsidRPr="00795AA8">
        <w:rPr>
          <w:rFonts w:ascii="Times New Roman" w:eastAsia="Times New Roman" w:hAnsi="Times New Roman" w:cs="Times New Roman"/>
          <w:color w:val="000000"/>
          <w:sz w:val="24"/>
          <w:szCs w:val="24"/>
          <w:lang w:eastAsia="en-AU"/>
        </w:rPr>
        <w:t>(1) provides that, when the ACCC is conducting a joint arbitration of two or more disputes, it may make a single determination that covers all of the disputes. For example</w:t>
      </w:r>
      <w:r w:rsidRPr="004C6518">
        <w:rPr>
          <w:rFonts w:ascii="Times New Roman" w:eastAsia="Times New Roman" w:hAnsi="Times New Roman" w:cs="Times New Roman"/>
          <w:color w:val="000000"/>
          <w:sz w:val="24"/>
          <w:szCs w:val="24"/>
          <w:lang w:eastAsia="en-AU"/>
        </w:rPr>
        <w:t xml:space="preserve">, if there are several disputes that are all about the </w:t>
      </w:r>
      <w:r w:rsidR="002C0D81" w:rsidRPr="004C6518">
        <w:rPr>
          <w:rFonts w:ascii="Times New Roman" w:eastAsia="Times New Roman" w:hAnsi="Times New Roman" w:cs="Times New Roman"/>
          <w:color w:val="000000"/>
          <w:sz w:val="24"/>
          <w:szCs w:val="24"/>
          <w:lang w:eastAsia="en-AU"/>
        </w:rPr>
        <w:t>terms</w:t>
      </w:r>
      <w:r w:rsidRPr="004C6518">
        <w:rPr>
          <w:rFonts w:ascii="Times New Roman" w:eastAsia="Times New Roman" w:hAnsi="Times New Roman" w:cs="Times New Roman"/>
          <w:color w:val="000000"/>
          <w:sz w:val="24"/>
          <w:szCs w:val="24"/>
          <w:lang w:eastAsia="en-AU"/>
        </w:rPr>
        <w:t xml:space="preserve"> of access to a specific type of </w:t>
      </w:r>
      <w:r w:rsidR="004C6518" w:rsidRPr="004C6518">
        <w:rPr>
          <w:rFonts w:ascii="Times New Roman" w:eastAsia="Times New Roman" w:hAnsi="Times New Roman" w:cs="Times New Roman"/>
          <w:color w:val="000000"/>
          <w:sz w:val="24"/>
          <w:szCs w:val="24"/>
          <w:lang w:eastAsia="en-AU"/>
        </w:rPr>
        <w:t xml:space="preserve">site, </w:t>
      </w:r>
      <w:r w:rsidR="0028578B" w:rsidRPr="004C6518">
        <w:rPr>
          <w:rFonts w:ascii="Times New Roman" w:eastAsia="Times New Roman" w:hAnsi="Times New Roman" w:cs="Times New Roman"/>
          <w:color w:val="000000"/>
          <w:sz w:val="24"/>
          <w:szCs w:val="24"/>
          <w:lang w:eastAsia="en-AU"/>
        </w:rPr>
        <w:t xml:space="preserve">tower, facilities, </w:t>
      </w:r>
      <w:r w:rsidR="004C6518" w:rsidRPr="004C6518">
        <w:rPr>
          <w:rFonts w:ascii="Times New Roman" w:eastAsia="Times New Roman" w:hAnsi="Times New Roman" w:cs="Times New Roman"/>
          <w:color w:val="000000"/>
          <w:sz w:val="24"/>
          <w:szCs w:val="24"/>
          <w:lang w:eastAsia="en-AU"/>
        </w:rPr>
        <w:t xml:space="preserve">and/or </w:t>
      </w:r>
      <w:r w:rsidR="0028578B" w:rsidRPr="004C6518">
        <w:rPr>
          <w:rFonts w:ascii="Times New Roman" w:eastAsia="Times New Roman" w:hAnsi="Times New Roman" w:cs="Times New Roman"/>
          <w:color w:val="000000"/>
          <w:sz w:val="24"/>
          <w:szCs w:val="24"/>
          <w:lang w:eastAsia="en-AU"/>
        </w:rPr>
        <w:t xml:space="preserve">designated associated </w:t>
      </w:r>
      <w:r w:rsidR="00251202" w:rsidRPr="004C6518">
        <w:rPr>
          <w:rFonts w:ascii="Times New Roman" w:eastAsia="Times New Roman" w:hAnsi="Times New Roman" w:cs="Times New Roman"/>
          <w:color w:val="000000"/>
          <w:sz w:val="24"/>
          <w:szCs w:val="24"/>
          <w:lang w:eastAsia="en-AU"/>
        </w:rPr>
        <w:t>facility and</w:t>
      </w:r>
      <w:r w:rsidRPr="004C6518">
        <w:rPr>
          <w:rFonts w:ascii="Times New Roman" w:eastAsia="Times New Roman" w:hAnsi="Times New Roman" w:cs="Times New Roman"/>
          <w:color w:val="000000"/>
          <w:sz w:val="24"/>
          <w:szCs w:val="24"/>
          <w:lang w:eastAsia="en-AU"/>
        </w:rPr>
        <w:t xml:space="preserve"> the costs of </w:t>
      </w:r>
      <w:r w:rsidR="0028578B" w:rsidRPr="004C6518">
        <w:rPr>
          <w:rFonts w:ascii="Times New Roman" w:eastAsia="Times New Roman" w:hAnsi="Times New Roman" w:cs="Times New Roman"/>
          <w:color w:val="000000"/>
          <w:sz w:val="24"/>
          <w:szCs w:val="24"/>
          <w:lang w:eastAsia="en-AU"/>
        </w:rPr>
        <w:t xml:space="preserve">meeting these terms of </w:t>
      </w:r>
      <w:r w:rsidR="00251202" w:rsidRPr="004C6518">
        <w:rPr>
          <w:rFonts w:ascii="Times New Roman" w:eastAsia="Times New Roman" w:hAnsi="Times New Roman" w:cs="Times New Roman"/>
          <w:color w:val="000000"/>
          <w:sz w:val="24"/>
          <w:szCs w:val="24"/>
          <w:lang w:eastAsia="en-AU"/>
        </w:rPr>
        <w:t>access are</w:t>
      </w:r>
      <w:r w:rsidRPr="004C6518">
        <w:rPr>
          <w:rFonts w:ascii="Times New Roman" w:eastAsia="Times New Roman" w:hAnsi="Times New Roman" w:cs="Times New Roman"/>
          <w:color w:val="000000"/>
          <w:sz w:val="24"/>
          <w:szCs w:val="24"/>
          <w:lang w:eastAsia="en-AU"/>
        </w:rPr>
        <w:t xml:space="preserve"> the same irrespective of the p</w:t>
      </w:r>
      <w:r w:rsidR="0028578B" w:rsidRPr="004C6518">
        <w:rPr>
          <w:rFonts w:ascii="Times New Roman" w:eastAsia="Times New Roman" w:hAnsi="Times New Roman" w:cs="Times New Roman"/>
          <w:color w:val="000000"/>
          <w:sz w:val="24"/>
          <w:szCs w:val="24"/>
          <w:lang w:eastAsia="en-AU"/>
        </w:rPr>
        <w:t xml:space="preserve">arties and the individual </w:t>
      </w:r>
      <w:r w:rsidR="002C0D81" w:rsidRPr="004C6518">
        <w:rPr>
          <w:rFonts w:ascii="Times New Roman" w:eastAsia="Times New Roman" w:hAnsi="Times New Roman" w:cs="Times New Roman"/>
          <w:color w:val="000000"/>
          <w:sz w:val="24"/>
          <w:szCs w:val="24"/>
          <w:lang w:eastAsia="en-AU"/>
        </w:rPr>
        <w:t>sites</w:t>
      </w:r>
      <w:r w:rsidRPr="004C6518">
        <w:rPr>
          <w:rFonts w:ascii="Times New Roman" w:eastAsia="Times New Roman" w:hAnsi="Times New Roman" w:cs="Times New Roman"/>
          <w:color w:val="000000"/>
          <w:sz w:val="24"/>
          <w:szCs w:val="24"/>
          <w:lang w:eastAsia="en-AU"/>
        </w:rPr>
        <w:t xml:space="preserve">, the ACCC may issue a single determination that sets out the </w:t>
      </w:r>
      <w:r w:rsidR="0028578B" w:rsidRPr="004C6518">
        <w:rPr>
          <w:rFonts w:ascii="Times New Roman" w:eastAsia="Times New Roman" w:hAnsi="Times New Roman" w:cs="Times New Roman"/>
          <w:color w:val="000000"/>
          <w:sz w:val="24"/>
          <w:szCs w:val="24"/>
          <w:lang w:eastAsia="en-AU"/>
        </w:rPr>
        <w:t xml:space="preserve">access terms and costs of </w:t>
      </w:r>
      <w:r w:rsidR="00251202" w:rsidRPr="004C6518">
        <w:rPr>
          <w:rFonts w:ascii="Times New Roman" w:eastAsia="Times New Roman" w:hAnsi="Times New Roman" w:cs="Times New Roman"/>
          <w:color w:val="000000"/>
          <w:sz w:val="24"/>
          <w:szCs w:val="24"/>
          <w:lang w:eastAsia="en-AU"/>
        </w:rPr>
        <w:t>access for</w:t>
      </w:r>
      <w:r w:rsidRPr="004C6518">
        <w:rPr>
          <w:rFonts w:ascii="Times New Roman" w:eastAsia="Times New Roman" w:hAnsi="Times New Roman" w:cs="Times New Roman"/>
          <w:color w:val="000000"/>
          <w:sz w:val="24"/>
          <w:szCs w:val="24"/>
          <w:lang w:eastAsia="en-AU"/>
        </w:rPr>
        <w:t xml:space="preserve"> all parties. This helps provide consistent outcomes across </w:t>
      </w:r>
      <w:r w:rsidR="002C0D81" w:rsidRPr="004C6518">
        <w:rPr>
          <w:rFonts w:ascii="Times New Roman" w:eastAsia="Times New Roman" w:hAnsi="Times New Roman" w:cs="Times New Roman"/>
          <w:color w:val="000000"/>
          <w:sz w:val="24"/>
          <w:szCs w:val="24"/>
          <w:lang w:eastAsia="en-AU"/>
        </w:rPr>
        <w:t>industry</w:t>
      </w:r>
      <w:r w:rsidRPr="004C6518">
        <w:rPr>
          <w:rFonts w:ascii="Times New Roman" w:eastAsia="Times New Roman" w:hAnsi="Times New Roman" w:cs="Times New Roman"/>
          <w:color w:val="000000"/>
          <w:sz w:val="24"/>
          <w:szCs w:val="24"/>
          <w:lang w:eastAsia="en-AU"/>
        </w:rPr>
        <w:t>.</w:t>
      </w:r>
    </w:p>
    <w:p w14:paraId="69624B98" w14:textId="0ACA8DE9" w:rsidR="00795AA8" w:rsidRPr="00795AA8" w:rsidRDefault="00795AA8" w:rsidP="00795AA8">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26</w:t>
      </w:r>
      <w:r w:rsidRPr="00795AA8">
        <w:rPr>
          <w:rFonts w:ascii="Times New Roman" w:eastAsia="Times New Roman" w:hAnsi="Times New Roman" w:cs="Times New Roman"/>
          <w:color w:val="000000"/>
          <w:sz w:val="24"/>
          <w:szCs w:val="24"/>
          <w:lang w:eastAsia="en-AU"/>
        </w:rPr>
        <w:t>(2) provides that if the ACCC does not make a single determination that covers all of the disputes, the ACCC may refer to any record of the proceedings of the joint arbitration or adopt any findings of fact made by the ACCC to assist in making a determination of the dispute.</w:t>
      </w:r>
    </w:p>
    <w:p w14:paraId="065D7EFD" w14:textId="4A5F198B" w:rsidR="0018373A" w:rsidRPr="00795AA8" w:rsidRDefault="00795AA8" w:rsidP="00795AA8">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The note to section 26</w:t>
      </w:r>
      <w:r w:rsidRPr="00795AA8">
        <w:rPr>
          <w:rFonts w:ascii="Times New Roman" w:eastAsia="Times New Roman" w:hAnsi="Times New Roman" w:cs="Times New Roman"/>
          <w:color w:val="000000"/>
          <w:sz w:val="24"/>
          <w:szCs w:val="24"/>
          <w:lang w:eastAsia="en-AU"/>
        </w:rPr>
        <w:t xml:space="preserve"> guides the reader to sections 9 and 10, which set out the requirements and considerations that the ACCC must take into account when making a determination.</w:t>
      </w:r>
    </w:p>
    <w:p w14:paraId="0E41AAE9" w14:textId="291D3258" w:rsidR="0018373A" w:rsidRDefault="0018373A" w:rsidP="0018373A">
      <w:pPr>
        <w:pStyle w:val="ActHead3"/>
        <w:ind w:left="0" w:firstLine="0"/>
        <w:rPr>
          <w:sz w:val="24"/>
          <w:szCs w:val="24"/>
        </w:rPr>
      </w:pPr>
      <w:r>
        <w:rPr>
          <w:sz w:val="24"/>
          <w:szCs w:val="24"/>
        </w:rPr>
        <w:t>Division 6</w:t>
      </w:r>
      <w:r w:rsidRPr="00B24D75">
        <w:t xml:space="preserve"> </w:t>
      </w:r>
      <w:r w:rsidRPr="00B24D75">
        <w:rPr>
          <w:sz w:val="24"/>
          <w:szCs w:val="24"/>
        </w:rPr>
        <w:t>—</w:t>
      </w:r>
      <w:r w:rsidRPr="00206AD8">
        <w:t xml:space="preserve"> </w:t>
      </w:r>
      <w:r>
        <w:rPr>
          <w:sz w:val="24"/>
          <w:szCs w:val="24"/>
        </w:rPr>
        <w:t>Offences</w:t>
      </w:r>
    </w:p>
    <w:p w14:paraId="70164153" w14:textId="26AABC79" w:rsidR="009F4C41" w:rsidRPr="009F4C41" w:rsidRDefault="009F4C41" w:rsidP="009F4C41">
      <w:pPr>
        <w:shd w:val="clear" w:color="auto" w:fill="FFFFFF"/>
        <w:spacing w:before="280" w:after="0" w:line="240" w:lineRule="auto"/>
        <w:rPr>
          <w:rFonts w:ascii="Times New Roman" w:eastAsia="Times New Roman" w:hAnsi="Times New Roman" w:cs="Times New Roman"/>
          <w:b/>
          <w:bCs/>
          <w:color w:val="000000"/>
          <w:sz w:val="24"/>
          <w:szCs w:val="24"/>
          <w:lang w:eastAsia="en-AU"/>
        </w:rPr>
      </w:pPr>
      <w:r w:rsidRPr="009F4C41">
        <w:rPr>
          <w:rFonts w:ascii="Times New Roman" w:eastAsia="Times New Roman" w:hAnsi="Times New Roman" w:cs="Times New Roman"/>
          <w:color w:val="000000"/>
          <w:sz w:val="24"/>
          <w:szCs w:val="24"/>
          <w:lang w:eastAsia="en-AU"/>
        </w:rPr>
        <w:t xml:space="preserve">Division </w:t>
      </w:r>
      <w:r>
        <w:rPr>
          <w:rFonts w:ascii="Times New Roman" w:eastAsia="Times New Roman" w:hAnsi="Times New Roman" w:cs="Times New Roman"/>
          <w:color w:val="000000"/>
          <w:sz w:val="24"/>
          <w:szCs w:val="24"/>
          <w:lang w:eastAsia="en-AU"/>
        </w:rPr>
        <w:t>6</w:t>
      </w:r>
      <w:r w:rsidRPr="009F4C41">
        <w:rPr>
          <w:rFonts w:ascii="Times New Roman" w:eastAsia="Times New Roman" w:hAnsi="Times New Roman" w:cs="Times New Roman"/>
          <w:color w:val="000000"/>
          <w:sz w:val="24"/>
          <w:szCs w:val="24"/>
          <w:lang w:eastAsia="en-AU"/>
        </w:rPr>
        <w:t xml:space="preserve"> of Part </w:t>
      </w:r>
      <w:r>
        <w:rPr>
          <w:rFonts w:ascii="Times New Roman" w:eastAsia="Times New Roman" w:hAnsi="Times New Roman" w:cs="Times New Roman"/>
          <w:color w:val="000000"/>
          <w:sz w:val="24"/>
          <w:szCs w:val="24"/>
          <w:lang w:eastAsia="en-AU"/>
        </w:rPr>
        <w:t>3</w:t>
      </w:r>
      <w:r w:rsidRPr="009F4C41">
        <w:rPr>
          <w:rFonts w:ascii="Times New Roman" w:eastAsia="Times New Roman" w:hAnsi="Times New Roman" w:cs="Times New Roman"/>
          <w:color w:val="000000"/>
          <w:sz w:val="24"/>
          <w:szCs w:val="24"/>
          <w:lang w:eastAsia="en-AU"/>
        </w:rPr>
        <w:t xml:space="preserve"> of the Regulations outlines the offences applicable to arbitration procedures. The offence provisions are included to help to ensure the smooth running of the arbitrations, and prevent companies trying to game the system through drawing out the process and thereby increasing costs for the parties.</w:t>
      </w:r>
    </w:p>
    <w:p w14:paraId="78C52559" w14:textId="7BA86C9B" w:rsidR="0037359A" w:rsidRDefault="006C20D7" w:rsidP="00674B03">
      <w:pPr>
        <w:shd w:val="clear" w:color="auto" w:fill="FFFFFF"/>
        <w:spacing w:before="280" w:after="0" w:line="240" w:lineRule="auto"/>
        <w:rPr>
          <w:rFonts w:ascii="Times New Roman" w:eastAsia="Times New Roman" w:hAnsi="Times New Roman" w:cs="Times New Roman"/>
          <w:color w:val="000000"/>
          <w:sz w:val="24"/>
          <w:szCs w:val="24"/>
          <w:lang w:eastAsia="en-AU"/>
        </w:rPr>
      </w:pPr>
      <w:r w:rsidRPr="00CE46B0">
        <w:rPr>
          <w:rFonts w:ascii="Times New Roman" w:eastAsia="Times New Roman" w:hAnsi="Times New Roman" w:cs="Times New Roman"/>
          <w:color w:val="000000"/>
          <w:sz w:val="24"/>
          <w:szCs w:val="24"/>
          <w:lang w:eastAsia="en-AU"/>
        </w:rPr>
        <w:t>Some of the offences set out in Divi</w:t>
      </w:r>
      <w:r w:rsidR="0037359A" w:rsidRPr="00CE46B0">
        <w:rPr>
          <w:rFonts w:ascii="Times New Roman" w:eastAsia="Times New Roman" w:hAnsi="Times New Roman" w:cs="Times New Roman"/>
          <w:color w:val="000000"/>
          <w:sz w:val="24"/>
          <w:szCs w:val="24"/>
          <w:lang w:eastAsia="en-AU"/>
        </w:rPr>
        <w:t>si</w:t>
      </w:r>
      <w:r w:rsidRPr="00CE46B0">
        <w:rPr>
          <w:rFonts w:ascii="Times New Roman" w:eastAsia="Times New Roman" w:hAnsi="Times New Roman" w:cs="Times New Roman"/>
          <w:color w:val="000000"/>
          <w:sz w:val="24"/>
          <w:szCs w:val="24"/>
          <w:lang w:eastAsia="en-AU"/>
        </w:rPr>
        <w:t xml:space="preserve">on 6 are strict liability offences, </w:t>
      </w:r>
      <w:r w:rsidR="0037359A" w:rsidRPr="00CE46B0">
        <w:rPr>
          <w:rFonts w:ascii="Times New Roman" w:eastAsia="Times New Roman" w:hAnsi="Times New Roman" w:cs="Times New Roman"/>
          <w:color w:val="000000"/>
          <w:sz w:val="24"/>
          <w:szCs w:val="24"/>
          <w:lang w:eastAsia="en-AU"/>
        </w:rPr>
        <w:t xml:space="preserve">which differs from the offence regime in the </w:t>
      </w:r>
      <w:r w:rsidR="0037359A" w:rsidRPr="00CE46B0">
        <w:rPr>
          <w:rFonts w:ascii="Times New Roman" w:eastAsia="Times New Roman" w:hAnsi="Times New Roman" w:cs="Times New Roman"/>
          <w:i/>
          <w:color w:val="000000"/>
          <w:sz w:val="24"/>
          <w:szCs w:val="24"/>
          <w:lang w:eastAsia="en-AU"/>
        </w:rPr>
        <w:t>Broadcasting (Transmitter Access) Regulations 2001</w:t>
      </w:r>
      <w:r w:rsidR="0037359A" w:rsidRPr="00CE46B0">
        <w:rPr>
          <w:rFonts w:ascii="Times New Roman" w:eastAsia="Times New Roman" w:hAnsi="Times New Roman" w:cs="Times New Roman"/>
          <w:color w:val="000000"/>
          <w:sz w:val="24"/>
          <w:szCs w:val="24"/>
          <w:lang w:eastAsia="en-AU"/>
        </w:rPr>
        <w:t xml:space="preserve"> which had higher and differential penalty rates.  Commonwealth </w:t>
      </w:r>
      <w:r w:rsidR="008F077E" w:rsidRPr="00CE46B0">
        <w:rPr>
          <w:rFonts w:ascii="Times New Roman" w:eastAsia="Times New Roman" w:hAnsi="Times New Roman" w:cs="Times New Roman"/>
          <w:color w:val="000000"/>
          <w:sz w:val="24"/>
          <w:szCs w:val="24"/>
          <w:lang w:eastAsia="en-AU"/>
        </w:rPr>
        <w:t xml:space="preserve">Regulations have mostly all transitioned to the use of strict liability as it provides a consistent, fair approach </w:t>
      </w:r>
      <w:r w:rsidR="004C6518" w:rsidRPr="00CE46B0">
        <w:rPr>
          <w:rFonts w:ascii="Times New Roman" w:eastAsia="Times New Roman" w:hAnsi="Times New Roman" w:cs="Times New Roman"/>
          <w:color w:val="000000"/>
          <w:sz w:val="24"/>
          <w:szCs w:val="24"/>
          <w:lang w:eastAsia="en-AU"/>
        </w:rPr>
        <w:t xml:space="preserve">that is </w:t>
      </w:r>
      <w:r w:rsidR="008F077E" w:rsidRPr="00CE46B0">
        <w:rPr>
          <w:rFonts w:ascii="Times New Roman" w:eastAsia="Times New Roman" w:hAnsi="Times New Roman" w:cs="Times New Roman"/>
          <w:color w:val="000000"/>
          <w:sz w:val="24"/>
          <w:szCs w:val="24"/>
          <w:lang w:eastAsia="en-AU"/>
        </w:rPr>
        <w:t>tied into the Criminal Code</w:t>
      </w:r>
      <w:r w:rsidR="004C6518" w:rsidRPr="00CE46B0">
        <w:rPr>
          <w:rFonts w:ascii="Times New Roman" w:eastAsia="Times New Roman" w:hAnsi="Times New Roman" w:cs="Times New Roman"/>
          <w:color w:val="000000"/>
          <w:sz w:val="24"/>
          <w:szCs w:val="24"/>
          <w:lang w:eastAsia="en-AU"/>
        </w:rPr>
        <w:t>.</w:t>
      </w:r>
      <w:r w:rsidR="0037359A" w:rsidRPr="00CE46B0">
        <w:rPr>
          <w:rFonts w:ascii="Times New Roman" w:eastAsia="Times New Roman" w:hAnsi="Times New Roman" w:cs="Times New Roman"/>
          <w:color w:val="000000"/>
          <w:sz w:val="24"/>
          <w:szCs w:val="24"/>
          <w:lang w:eastAsia="en-AU"/>
        </w:rPr>
        <w:t xml:space="preserve"> </w:t>
      </w:r>
    </w:p>
    <w:p w14:paraId="5BC80469" w14:textId="73D381D1" w:rsidR="00EB63B2" w:rsidRPr="00CE46B0" w:rsidRDefault="00405258" w:rsidP="00674B03">
      <w:pPr>
        <w:shd w:val="clear" w:color="auto" w:fill="FFFFFF"/>
        <w:spacing w:before="280" w:after="0" w:line="240" w:lineRule="auto"/>
        <w:rPr>
          <w:rFonts w:ascii="Times New Roman" w:eastAsia="Times New Roman" w:hAnsi="Times New Roman" w:cs="Times New Roman"/>
          <w:color w:val="000000"/>
          <w:sz w:val="24"/>
          <w:szCs w:val="24"/>
          <w:lang w:eastAsia="en-AU"/>
        </w:rPr>
      </w:pPr>
      <w:r w:rsidRPr="00CE46B0">
        <w:rPr>
          <w:rFonts w:ascii="Times New Roman" w:eastAsia="Times New Roman" w:hAnsi="Times New Roman" w:cs="Times New Roman"/>
          <w:color w:val="000000"/>
          <w:sz w:val="24"/>
          <w:szCs w:val="24"/>
          <w:lang w:eastAsia="en-AU"/>
        </w:rPr>
        <w:t>The strict liability offences included in the Regulations are in respect of</w:t>
      </w:r>
      <w:r w:rsidR="004C6518" w:rsidRPr="00CE46B0">
        <w:rPr>
          <w:rFonts w:ascii="Times New Roman" w:eastAsia="Times New Roman" w:hAnsi="Times New Roman" w:cs="Times New Roman"/>
          <w:color w:val="000000"/>
          <w:sz w:val="24"/>
          <w:szCs w:val="24"/>
          <w:lang w:eastAsia="en-AU"/>
        </w:rPr>
        <w:t xml:space="preserve"> the </w:t>
      </w:r>
      <w:r w:rsidRPr="00CE46B0">
        <w:rPr>
          <w:rFonts w:ascii="Times New Roman" w:eastAsia="Times New Roman" w:hAnsi="Times New Roman" w:cs="Times New Roman"/>
          <w:color w:val="000000"/>
          <w:sz w:val="24"/>
          <w:szCs w:val="24"/>
          <w:lang w:eastAsia="en-AU"/>
        </w:rPr>
        <w:t xml:space="preserve">contravention of a direction issues under paragraphs 17(b) to (e) of the Regulations (see section 27), </w:t>
      </w:r>
      <w:r w:rsidR="002C0D81" w:rsidRPr="00CE46B0">
        <w:rPr>
          <w:rFonts w:ascii="Times New Roman" w:eastAsia="Times New Roman" w:hAnsi="Times New Roman" w:cs="Times New Roman"/>
          <w:color w:val="000000"/>
          <w:sz w:val="24"/>
          <w:szCs w:val="24"/>
          <w:lang w:eastAsia="en-AU"/>
        </w:rPr>
        <w:t>failure</w:t>
      </w:r>
      <w:r w:rsidRPr="00CE46B0">
        <w:rPr>
          <w:rFonts w:ascii="Times New Roman" w:eastAsia="Times New Roman" w:hAnsi="Times New Roman" w:cs="Times New Roman"/>
          <w:color w:val="000000"/>
          <w:sz w:val="24"/>
          <w:szCs w:val="24"/>
          <w:lang w:eastAsia="en-AU"/>
        </w:rPr>
        <w:t xml:space="preserve"> to comply with a notice under section 18 to give information or produce documents (see section 28), failure to attend an arbitration as a witness (see section 29), failure of a witness to be sworn or make an affirmation</w:t>
      </w:r>
      <w:r w:rsidR="00EB63B2" w:rsidRPr="00CE46B0">
        <w:rPr>
          <w:rFonts w:ascii="Times New Roman" w:eastAsia="Times New Roman" w:hAnsi="Times New Roman" w:cs="Times New Roman"/>
          <w:color w:val="000000"/>
          <w:sz w:val="24"/>
          <w:szCs w:val="24"/>
          <w:lang w:eastAsia="en-AU"/>
        </w:rPr>
        <w:t>,</w:t>
      </w:r>
      <w:r w:rsidRPr="00CE46B0">
        <w:rPr>
          <w:rFonts w:ascii="Times New Roman" w:eastAsia="Times New Roman" w:hAnsi="Times New Roman" w:cs="Times New Roman"/>
          <w:color w:val="000000"/>
          <w:sz w:val="24"/>
          <w:szCs w:val="24"/>
          <w:lang w:eastAsia="en-AU"/>
        </w:rPr>
        <w:t xml:space="preserve"> or answer a question o</w:t>
      </w:r>
      <w:r w:rsidR="00EB63B2" w:rsidRPr="00CE46B0">
        <w:rPr>
          <w:rFonts w:ascii="Times New Roman" w:eastAsia="Times New Roman" w:hAnsi="Times New Roman" w:cs="Times New Roman"/>
          <w:color w:val="000000"/>
          <w:sz w:val="24"/>
          <w:szCs w:val="24"/>
          <w:lang w:eastAsia="en-AU"/>
        </w:rPr>
        <w:t>r</w:t>
      </w:r>
      <w:r w:rsidRPr="00CE46B0">
        <w:rPr>
          <w:rFonts w:ascii="Times New Roman" w:eastAsia="Times New Roman" w:hAnsi="Times New Roman" w:cs="Times New Roman"/>
          <w:color w:val="000000"/>
          <w:sz w:val="24"/>
          <w:szCs w:val="24"/>
          <w:lang w:eastAsia="en-AU"/>
        </w:rPr>
        <w:t xml:space="preserve"> produce a doc</w:t>
      </w:r>
      <w:r w:rsidR="00EB63B2" w:rsidRPr="00CE46B0">
        <w:rPr>
          <w:rFonts w:ascii="Times New Roman" w:eastAsia="Times New Roman" w:hAnsi="Times New Roman" w:cs="Times New Roman"/>
          <w:color w:val="000000"/>
          <w:sz w:val="24"/>
          <w:szCs w:val="24"/>
          <w:lang w:eastAsia="en-AU"/>
        </w:rPr>
        <w:t xml:space="preserve">ument (see section 29), and also in respect of </w:t>
      </w:r>
      <w:r w:rsidR="004C6518" w:rsidRPr="00CE46B0">
        <w:rPr>
          <w:rFonts w:ascii="Times New Roman" w:eastAsia="Times New Roman" w:hAnsi="Times New Roman" w:cs="Times New Roman"/>
          <w:color w:val="000000"/>
          <w:sz w:val="24"/>
          <w:szCs w:val="24"/>
          <w:lang w:eastAsia="en-AU"/>
        </w:rPr>
        <w:t>the physical element of the offence relating to intimidation</w:t>
      </w:r>
      <w:r w:rsidR="00EB63B2" w:rsidRPr="00CE46B0">
        <w:rPr>
          <w:rFonts w:ascii="Times New Roman" w:eastAsia="Times New Roman" w:hAnsi="Times New Roman" w:cs="Times New Roman"/>
          <w:color w:val="000000"/>
          <w:sz w:val="24"/>
          <w:szCs w:val="24"/>
          <w:lang w:eastAsia="en-AU"/>
        </w:rPr>
        <w:t xml:space="preserve"> (see section 30). </w:t>
      </w:r>
      <w:r w:rsidRPr="00CE46B0">
        <w:rPr>
          <w:rFonts w:ascii="Times New Roman" w:eastAsia="Times New Roman" w:hAnsi="Times New Roman" w:cs="Times New Roman"/>
          <w:color w:val="000000"/>
          <w:sz w:val="24"/>
          <w:szCs w:val="24"/>
          <w:lang w:eastAsia="en-AU"/>
        </w:rPr>
        <w:t xml:space="preserve">   </w:t>
      </w:r>
    </w:p>
    <w:p w14:paraId="1CB67919" w14:textId="02127900" w:rsidR="00EB63B2" w:rsidRPr="00CE46B0" w:rsidRDefault="00EB63B2" w:rsidP="00674B03">
      <w:pPr>
        <w:shd w:val="clear" w:color="auto" w:fill="FFFFFF"/>
        <w:spacing w:before="280" w:after="0" w:line="240" w:lineRule="auto"/>
        <w:rPr>
          <w:rFonts w:ascii="Times New Roman" w:eastAsia="Times New Roman" w:hAnsi="Times New Roman" w:cs="Times New Roman"/>
          <w:color w:val="000000"/>
          <w:sz w:val="24"/>
          <w:szCs w:val="24"/>
          <w:lang w:eastAsia="en-AU"/>
        </w:rPr>
      </w:pPr>
      <w:r w:rsidRPr="00CE46B0">
        <w:rPr>
          <w:rFonts w:ascii="Times New Roman" w:eastAsia="Times New Roman" w:hAnsi="Times New Roman" w:cs="Times New Roman"/>
          <w:color w:val="000000"/>
          <w:sz w:val="24"/>
          <w:szCs w:val="24"/>
          <w:lang w:eastAsia="en-AU"/>
        </w:rPr>
        <w:t xml:space="preserve">The Attorney-General’s Department ‘Guide to Framing Commonwealth Offences, Infringement Notices and Enforcement Powers’ (AGD Guide) notes that strict liability may be necessary to ensure the integrity of a regulatory regime.  Consistent with the AGD Guide, applying </w:t>
      </w:r>
      <w:r w:rsidR="002C0D81" w:rsidRPr="00CE46B0">
        <w:rPr>
          <w:rFonts w:ascii="Times New Roman" w:eastAsia="Times New Roman" w:hAnsi="Times New Roman" w:cs="Times New Roman"/>
          <w:color w:val="000000"/>
          <w:sz w:val="24"/>
          <w:szCs w:val="24"/>
          <w:lang w:eastAsia="en-AU"/>
        </w:rPr>
        <w:t>strict</w:t>
      </w:r>
      <w:r w:rsidRPr="00CE46B0">
        <w:rPr>
          <w:rFonts w:ascii="Times New Roman" w:eastAsia="Times New Roman" w:hAnsi="Times New Roman" w:cs="Times New Roman"/>
          <w:color w:val="000000"/>
          <w:sz w:val="24"/>
          <w:szCs w:val="24"/>
          <w:lang w:eastAsia="en-AU"/>
        </w:rPr>
        <w:t xml:space="preserve"> liability in relation to these offences in the Regulations is necessary to uphold the integrity of the dispute resolution </w:t>
      </w:r>
      <w:r w:rsidR="002C0D81" w:rsidRPr="00CE46B0">
        <w:rPr>
          <w:rFonts w:ascii="Times New Roman" w:eastAsia="Times New Roman" w:hAnsi="Times New Roman" w:cs="Times New Roman"/>
          <w:color w:val="000000"/>
          <w:sz w:val="24"/>
          <w:szCs w:val="24"/>
          <w:lang w:eastAsia="en-AU"/>
        </w:rPr>
        <w:t>process</w:t>
      </w:r>
      <w:r w:rsidRPr="00CE46B0">
        <w:rPr>
          <w:rFonts w:ascii="Times New Roman" w:eastAsia="Times New Roman" w:hAnsi="Times New Roman" w:cs="Times New Roman"/>
          <w:color w:val="000000"/>
          <w:sz w:val="24"/>
          <w:szCs w:val="24"/>
          <w:lang w:eastAsia="en-AU"/>
        </w:rPr>
        <w:t xml:space="preserve"> and ensure the ACCC is able to conduct effective arbitrations.  This is important to ensure access is provided to the </w:t>
      </w:r>
      <w:r w:rsidR="002C0D81" w:rsidRPr="00CE46B0">
        <w:rPr>
          <w:rFonts w:ascii="Times New Roman" w:eastAsia="Times New Roman" w:hAnsi="Times New Roman" w:cs="Times New Roman"/>
          <w:color w:val="000000"/>
          <w:sz w:val="24"/>
          <w:szCs w:val="24"/>
          <w:lang w:eastAsia="en-AU"/>
        </w:rPr>
        <w:t>specified</w:t>
      </w:r>
      <w:r w:rsidRPr="00CE46B0">
        <w:rPr>
          <w:rFonts w:ascii="Times New Roman" w:eastAsia="Times New Roman" w:hAnsi="Times New Roman" w:cs="Times New Roman"/>
          <w:color w:val="000000"/>
          <w:sz w:val="24"/>
          <w:szCs w:val="24"/>
          <w:lang w:eastAsia="en-AU"/>
        </w:rPr>
        <w:t xml:space="preserve"> facilities and services specified under the</w:t>
      </w:r>
      <w:r w:rsidR="005E2288" w:rsidRPr="00CE46B0">
        <w:rPr>
          <w:rFonts w:ascii="Times New Roman" w:eastAsia="Times New Roman" w:hAnsi="Times New Roman" w:cs="Times New Roman"/>
          <w:color w:val="000000"/>
          <w:sz w:val="24"/>
          <w:szCs w:val="24"/>
          <w:lang w:eastAsia="en-AU"/>
        </w:rPr>
        <w:t xml:space="preserve"> A</w:t>
      </w:r>
      <w:r w:rsidR="004C6518" w:rsidRPr="00CE46B0">
        <w:rPr>
          <w:rFonts w:ascii="Times New Roman" w:eastAsia="Times New Roman" w:hAnsi="Times New Roman" w:cs="Times New Roman"/>
          <w:color w:val="000000"/>
          <w:sz w:val="24"/>
          <w:szCs w:val="24"/>
          <w:lang w:eastAsia="en-AU"/>
        </w:rPr>
        <w:t>ct</w:t>
      </w:r>
      <w:r w:rsidR="002C0D81" w:rsidRPr="00CE46B0">
        <w:rPr>
          <w:rFonts w:ascii="Times New Roman" w:eastAsia="Times New Roman" w:hAnsi="Times New Roman" w:cs="Times New Roman"/>
          <w:color w:val="000000"/>
          <w:sz w:val="24"/>
          <w:szCs w:val="24"/>
          <w:lang w:eastAsia="en-AU"/>
        </w:rPr>
        <w:t>.</w:t>
      </w:r>
      <w:r w:rsidRPr="00CE46B0">
        <w:rPr>
          <w:rFonts w:ascii="Times New Roman" w:eastAsia="Times New Roman" w:hAnsi="Times New Roman" w:cs="Times New Roman"/>
          <w:color w:val="000000"/>
          <w:sz w:val="24"/>
          <w:szCs w:val="24"/>
          <w:lang w:eastAsia="en-AU"/>
        </w:rPr>
        <w:t xml:space="preserve"> </w:t>
      </w:r>
    </w:p>
    <w:p w14:paraId="135D3022" w14:textId="6329FE50" w:rsidR="006C20D7" w:rsidRDefault="00EB63B2" w:rsidP="00674B03">
      <w:pPr>
        <w:shd w:val="clear" w:color="auto" w:fill="FFFFFF"/>
        <w:spacing w:before="280" w:after="0" w:line="240" w:lineRule="auto"/>
        <w:rPr>
          <w:rFonts w:ascii="Times New Roman" w:eastAsia="Times New Roman" w:hAnsi="Times New Roman" w:cs="Times New Roman"/>
          <w:color w:val="000000"/>
          <w:lang w:eastAsia="en-AU"/>
        </w:rPr>
      </w:pPr>
      <w:r w:rsidRPr="00CE46B0">
        <w:rPr>
          <w:rFonts w:ascii="Times New Roman" w:eastAsia="Times New Roman" w:hAnsi="Times New Roman" w:cs="Times New Roman"/>
          <w:color w:val="000000"/>
          <w:sz w:val="24"/>
          <w:szCs w:val="24"/>
          <w:lang w:eastAsia="en-AU"/>
        </w:rPr>
        <w:t xml:space="preserve">By way of example, the services and facilities that may be subject to ACCC arbitration may be those that are </w:t>
      </w:r>
      <w:r w:rsidR="002C0D81" w:rsidRPr="00CE46B0">
        <w:rPr>
          <w:rFonts w:ascii="Times New Roman" w:eastAsia="Times New Roman" w:hAnsi="Times New Roman" w:cs="Times New Roman"/>
          <w:color w:val="000000"/>
          <w:sz w:val="24"/>
          <w:szCs w:val="24"/>
          <w:lang w:eastAsia="en-AU"/>
        </w:rPr>
        <w:t>critical</w:t>
      </w:r>
      <w:r w:rsidRPr="00CE46B0">
        <w:rPr>
          <w:rFonts w:ascii="Times New Roman" w:eastAsia="Times New Roman" w:hAnsi="Times New Roman" w:cs="Times New Roman"/>
          <w:color w:val="000000"/>
          <w:sz w:val="24"/>
          <w:szCs w:val="24"/>
          <w:lang w:eastAsia="en-AU"/>
        </w:rPr>
        <w:t xml:space="preserve"> to providing competitive, effective and high quality reception to consumers across Austr</w:t>
      </w:r>
      <w:r w:rsidR="00CE46B0" w:rsidRPr="00CE46B0">
        <w:rPr>
          <w:rFonts w:ascii="Times New Roman" w:eastAsia="Times New Roman" w:hAnsi="Times New Roman" w:cs="Times New Roman"/>
          <w:color w:val="000000"/>
          <w:sz w:val="24"/>
          <w:szCs w:val="24"/>
          <w:lang w:eastAsia="en-AU"/>
        </w:rPr>
        <w:t>alia.  This includes for example</w:t>
      </w:r>
      <w:r w:rsidRPr="00CE46B0">
        <w:rPr>
          <w:rFonts w:ascii="Times New Roman" w:eastAsia="Times New Roman" w:hAnsi="Times New Roman" w:cs="Times New Roman"/>
          <w:color w:val="000000"/>
          <w:sz w:val="24"/>
          <w:szCs w:val="24"/>
          <w:lang w:eastAsia="en-AU"/>
        </w:rPr>
        <w:t xml:space="preserve">, access to facilities that provide </w:t>
      </w:r>
      <w:r w:rsidR="002C0D81" w:rsidRPr="00CE46B0">
        <w:rPr>
          <w:rFonts w:ascii="Times New Roman" w:eastAsia="Times New Roman" w:hAnsi="Times New Roman" w:cs="Times New Roman"/>
          <w:color w:val="000000"/>
          <w:sz w:val="24"/>
          <w:szCs w:val="24"/>
          <w:lang w:eastAsia="en-AU"/>
        </w:rPr>
        <w:t>commercial</w:t>
      </w:r>
      <w:r w:rsidRPr="00CE46B0">
        <w:rPr>
          <w:rFonts w:ascii="Times New Roman" w:eastAsia="Times New Roman" w:hAnsi="Times New Roman" w:cs="Times New Roman"/>
          <w:color w:val="000000"/>
          <w:sz w:val="24"/>
          <w:szCs w:val="24"/>
          <w:lang w:eastAsia="en-AU"/>
        </w:rPr>
        <w:t xml:space="preserve"> and national television services and datacasting services.  Without access to the facilities that provide these services, a broadcaster or transmission company may face delays </w:t>
      </w:r>
      <w:r w:rsidR="00D04CDE" w:rsidRPr="00CE46B0">
        <w:rPr>
          <w:rFonts w:ascii="Times New Roman" w:eastAsia="Times New Roman" w:hAnsi="Times New Roman" w:cs="Times New Roman"/>
          <w:color w:val="000000"/>
          <w:sz w:val="24"/>
          <w:szCs w:val="24"/>
          <w:lang w:eastAsia="en-AU"/>
        </w:rPr>
        <w:t xml:space="preserve">and increased costs </w:t>
      </w:r>
      <w:r w:rsidRPr="00CE46B0">
        <w:rPr>
          <w:rFonts w:ascii="Times New Roman" w:eastAsia="Times New Roman" w:hAnsi="Times New Roman" w:cs="Times New Roman"/>
          <w:color w:val="000000"/>
          <w:sz w:val="24"/>
          <w:szCs w:val="24"/>
          <w:lang w:eastAsia="en-AU"/>
        </w:rPr>
        <w:t xml:space="preserve">in either providing services to consumers or resolving reception or </w:t>
      </w:r>
      <w:r w:rsidR="00D04CDE" w:rsidRPr="00CE46B0">
        <w:rPr>
          <w:rFonts w:ascii="Times New Roman" w:eastAsia="Times New Roman" w:hAnsi="Times New Roman" w:cs="Times New Roman"/>
          <w:color w:val="000000"/>
          <w:sz w:val="24"/>
          <w:szCs w:val="24"/>
          <w:lang w:eastAsia="en-AU"/>
        </w:rPr>
        <w:t xml:space="preserve">equipment failure problems.  At the same time, a provider may seek to raise its rivals’ costs by delaying access to the facilities, or by delaying or otherwise perverting the conduct of the arbitration.  Strict liability offences are therefore required to discourage this conduct and promote the </w:t>
      </w:r>
      <w:r w:rsidR="002C0D81" w:rsidRPr="00CE46B0">
        <w:rPr>
          <w:rFonts w:ascii="Times New Roman" w:eastAsia="Times New Roman" w:hAnsi="Times New Roman" w:cs="Times New Roman"/>
          <w:color w:val="000000"/>
          <w:sz w:val="24"/>
          <w:szCs w:val="24"/>
          <w:lang w:eastAsia="en-AU"/>
        </w:rPr>
        <w:t>continuity</w:t>
      </w:r>
      <w:r w:rsidR="00D04CDE" w:rsidRPr="00CE46B0">
        <w:rPr>
          <w:rFonts w:ascii="Times New Roman" w:eastAsia="Times New Roman" w:hAnsi="Times New Roman" w:cs="Times New Roman"/>
          <w:color w:val="000000"/>
          <w:sz w:val="24"/>
          <w:szCs w:val="24"/>
          <w:lang w:eastAsia="en-AU"/>
        </w:rPr>
        <w:t xml:space="preserve"> of broadcasting services to the market.</w:t>
      </w:r>
      <w:r w:rsidR="00D04CDE">
        <w:rPr>
          <w:rFonts w:ascii="Times New Roman" w:eastAsia="Times New Roman" w:hAnsi="Times New Roman" w:cs="Times New Roman"/>
          <w:color w:val="000000"/>
          <w:lang w:eastAsia="en-AU"/>
        </w:rPr>
        <w:t xml:space="preserve">       </w:t>
      </w:r>
      <w:r w:rsidR="0037359A">
        <w:rPr>
          <w:rFonts w:ascii="Times New Roman" w:eastAsia="Times New Roman" w:hAnsi="Times New Roman" w:cs="Times New Roman"/>
          <w:color w:val="000000"/>
          <w:lang w:eastAsia="en-AU"/>
        </w:rPr>
        <w:t xml:space="preserve"> </w:t>
      </w:r>
      <w:r w:rsidR="006C20D7">
        <w:rPr>
          <w:rFonts w:ascii="Times New Roman" w:eastAsia="Times New Roman" w:hAnsi="Times New Roman" w:cs="Times New Roman"/>
          <w:color w:val="000000"/>
          <w:lang w:eastAsia="en-AU"/>
        </w:rPr>
        <w:t xml:space="preserve"> </w:t>
      </w:r>
      <w:r w:rsidR="009F4C41" w:rsidRPr="00E511DA">
        <w:rPr>
          <w:rFonts w:ascii="Times New Roman" w:eastAsia="Times New Roman" w:hAnsi="Times New Roman" w:cs="Times New Roman"/>
          <w:color w:val="000000"/>
          <w:lang w:eastAsia="en-AU"/>
        </w:rPr>
        <w:t> </w:t>
      </w:r>
    </w:p>
    <w:p w14:paraId="793C1037" w14:textId="1E24495F" w:rsidR="003D0456" w:rsidRDefault="009F4C41" w:rsidP="00CF1FD8">
      <w:pPr>
        <w:shd w:val="clear" w:color="auto" w:fill="FFFFFF"/>
        <w:spacing w:before="180" w:after="0" w:line="240" w:lineRule="auto"/>
        <w:rPr>
          <w:rFonts w:ascii="Times New Roman" w:eastAsia="Times New Roman" w:hAnsi="Times New Roman" w:cs="Times New Roman"/>
          <w:color w:val="000000"/>
          <w:sz w:val="24"/>
          <w:szCs w:val="24"/>
          <w:lang w:eastAsia="en-AU"/>
        </w:rPr>
      </w:pPr>
      <w:r w:rsidRPr="00E511DA">
        <w:rPr>
          <w:rFonts w:ascii="Times New Roman" w:eastAsia="Times New Roman" w:hAnsi="Times New Roman" w:cs="Times New Roman"/>
          <w:color w:val="000000"/>
          <w:sz w:val="24"/>
          <w:szCs w:val="24"/>
          <w:lang w:eastAsia="en-AU"/>
        </w:rPr>
        <w:t xml:space="preserve">The </w:t>
      </w:r>
      <w:r w:rsidR="00600A8D" w:rsidRPr="00E511DA">
        <w:rPr>
          <w:rFonts w:ascii="Times New Roman" w:eastAsia="Times New Roman" w:hAnsi="Times New Roman" w:cs="Times New Roman"/>
          <w:color w:val="000000"/>
          <w:sz w:val="24"/>
          <w:szCs w:val="24"/>
          <w:lang w:eastAsia="en-AU"/>
        </w:rPr>
        <w:t>offence provisions in Division 6 of Part 3</w:t>
      </w:r>
      <w:r w:rsidRPr="00E511DA">
        <w:rPr>
          <w:rFonts w:ascii="Times New Roman" w:eastAsia="Times New Roman" w:hAnsi="Times New Roman" w:cs="Times New Roman"/>
          <w:color w:val="000000"/>
          <w:sz w:val="24"/>
          <w:szCs w:val="24"/>
          <w:lang w:eastAsia="en-AU"/>
        </w:rPr>
        <w:t xml:space="preserve"> of the Regulations no longer include a standalone reasonable excuse defence that was provided for offences relating to a witness under the </w:t>
      </w:r>
      <w:r w:rsidR="00600A8D" w:rsidRPr="004C6518">
        <w:rPr>
          <w:rFonts w:ascii="Times New Roman" w:eastAsia="Times New Roman" w:hAnsi="Times New Roman" w:cs="Times New Roman"/>
          <w:i/>
          <w:color w:val="000000"/>
          <w:sz w:val="24"/>
          <w:szCs w:val="24"/>
          <w:lang w:eastAsia="en-AU"/>
        </w:rPr>
        <w:t>Broadcasting Services (Transmitter Access) Regulations 2001</w:t>
      </w:r>
      <w:r w:rsidRPr="00674B03">
        <w:rPr>
          <w:rFonts w:ascii="Times New Roman" w:eastAsia="Times New Roman" w:hAnsi="Times New Roman" w:cs="Times New Roman"/>
          <w:color w:val="000000"/>
          <w:sz w:val="24"/>
          <w:szCs w:val="24"/>
          <w:lang w:eastAsia="en-AU"/>
        </w:rPr>
        <w:t>. </w:t>
      </w:r>
      <w:r w:rsidR="00CF1FD8">
        <w:rPr>
          <w:rFonts w:ascii="Times New Roman" w:eastAsia="Times New Roman" w:hAnsi="Times New Roman" w:cs="Times New Roman"/>
          <w:color w:val="000000"/>
          <w:sz w:val="24"/>
          <w:szCs w:val="24"/>
          <w:lang w:eastAsia="en-AU"/>
        </w:rPr>
        <w:t xml:space="preserve"> </w:t>
      </w:r>
      <w:r w:rsidRPr="00E511DA">
        <w:rPr>
          <w:rFonts w:ascii="Times New Roman" w:eastAsia="Times New Roman" w:hAnsi="Times New Roman" w:cs="Times New Roman"/>
          <w:color w:val="000000"/>
          <w:sz w:val="24"/>
          <w:szCs w:val="24"/>
          <w:lang w:eastAsia="en-AU"/>
        </w:rPr>
        <w:t>The inclusion of the reasonable excuse defences reflected sections 152DE and 152DF in the CCA which have now been repealed, and is therefore now redundant. As a result, the reasonable excuse defence has not been included in these Regulations</w:t>
      </w:r>
      <w:r w:rsidR="00CF1FD8">
        <w:rPr>
          <w:rFonts w:ascii="Times New Roman" w:eastAsia="Times New Roman" w:hAnsi="Times New Roman" w:cs="Times New Roman"/>
          <w:color w:val="000000"/>
          <w:sz w:val="24"/>
          <w:szCs w:val="24"/>
          <w:lang w:eastAsia="en-AU"/>
        </w:rPr>
        <w:t xml:space="preserve"> and in one sense, modernises the drafting: </w:t>
      </w:r>
      <w:r w:rsidR="00524262">
        <w:rPr>
          <w:rFonts w:ascii="Times New Roman" w:eastAsia="Times New Roman" w:hAnsi="Times New Roman" w:cs="Times New Roman"/>
          <w:color w:val="000000"/>
          <w:sz w:val="24"/>
          <w:szCs w:val="24"/>
          <w:lang w:eastAsia="en-AU"/>
        </w:rPr>
        <w:t xml:space="preserve">A </w:t>
      </w:r>
      <w:r w:rsidRPr="009F4C41">
        <w:rPr>
          <w:rFonts w:ascii="Times New Roman" w:eastAsia="Times New Roman" w:hAnsi="Times New Roman" w:cs="Times New Roman"/>
          <w:color w:val="000000"/>
          <w:sz w:val="24"/>
          <w:szCs w:val="24"/>
          <w:lang w:eastAsia="en-AU"/>
        </w:rPr>
        <w:t>person would still have access to all of the defences in Part 2.3 of the </w:t>
      </w:r>
      <w:r w:rsidRPr="00F41F39">
        <w:rPr>
          <w:rFonts w:ascii="Times New Roman" w:eastAsia="Times New Roman" w:hAnsi="Times New Roman" w:cs="Times New Roman"/>
          <w:i/>
          <w:color w:val="000000"/>
          <w:sz w:val="24"/>
          <w:szCs w:val="24"/>
          <w:lang w:eastAsia="en-AU"/>
        </w:rPr>
        <w:t>Criminal Code Act 1995</w:t>
      </w:r>
      <w:r w:rsidRPr="00674B03">
        <w:rPr>
          <w:rFonts w:ascii="Times New Roman" w:eastAsia="Times New Roman" w:hAnsi="Times New Roman" w:cs="Times New Roman"/>
          <w:color w:val="000000"/>
          <w:sz w:val="24"/>
          <w:szCs w:val="24"/>
          <w:lang w:eastAsia="en-AU"/>
        </w:rPr>
        <w:t> </w:t>
      </w:r>
      <w:r w:rsidRPr="009F4C41">
        <w:rPr>
          <w:rFonts w:ascii="Times New Roman" w:eastAsia="Times New Roman" w:hAnsi="Times New Roman" w:cs="Times New Roman"/>
          <w:color w:val="000000"/>
          <w:sz w:val="24"/>
          <w:szCs w:val="24"/>
          <w:lang w:eastAsia="en-AU"/>
        </w:rPr>
        <w:t>(Criminal Code). Part 2.3 of the Criminal Code sets out defences that are generally available, such as a defence of honest and reasonable mistake and intervening conduct or event.</w:t>
      </w:r>
      <w:r w:rsidR="00CF1FD8" w:rsidRPr="00CF1FD8">
        <w:rPr>
          <w:rFonts w:ascii="Times New Roman" w:eastAsia="Times New Roman" w:hAnsi="Times New Roman" w:cs="Times New Roman"/>
          <w:color w:val="000000"/>
          <w:sz w:val="24"/>
          <w:szCs w:val="24"/>
          <w:lang w:eastAsia="en-AU"/>
        </w:rPr>
        <w:t xml:space="preserve"> </w:t>
      </w:r>
    </w:p>
    <w:p w14:paraId="0C06FC99" w14:textId="423FFB2E" w:rsidR="00F41F39" w:rsidRDefault="009F6136" w:rsidP="009F4C41">
      <w:pPr>
        <w:shd w:val="clear" w:color="auto" w:fill="FFFFFF"/>
        <w:spacing w:before="2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Nothing in the offence </w:t>
      </w:r>
      <w:r w:rsidR="00CF1FD8">
        <w:rPr>
          <w:rFonts w:ascii="Times New Roman" w:eastAsia="Times New Roman" w:hAnsi="Times New Roman" w:cs="Times New Roman"/>
          <w:color w:val="000000"/>
          <w:sz w:val="24"/>
          <w:szCs w:val="24"/>
          <w:lang w:eastAsia="en-AU"/>
        </w:rPr>
        <w:t>provision</w:t>
      </w:r>
      <w:r>
        <w:rPr>
          <w:rFonts w:ascii="Times New Roman" w:eastAsia="Times New Roman" w:hAnsi="Times New Roman" w:cs="Times New Roman"/>
          <w:color w:val="000000"/>
          <w:sz w:val="24"/>
          <w:szCs w:val="24"/>
          <w:lang w:eastAsia="en-AU"/>
        </w:rPr>
        <w:t xml:space="preserve">s under these Regulations </w:t>
      </w:r>
      <w:r w:rsidR="00F41F39">
        <w:rPr>
          <w:rFonts w:ascii="Times New Roman" w:eastAsia="Times New Roman" w:hAnsi="Times New Roman" w:cs="Times New Roman"/>
          <w:color w:val="000000"/>
          <w:sz w:val="24"/>
          <w:szCs w:val="24"/>
          <w:lang w:eastAsia="en-AU"/>
        </w:rPr>
        <w:t>abrogates</w:t>
      </w:r>
      <w:r w:rsidR="00CF1FD8">
        <w:rPr>
          <w:rFonts w:ascii="Times New Roman" w:eastAsia="Times New Roman" w:hAnsi="Times New Roman" w:cs="Times New Roman"/>
          <w:color w:val="000000"/>
          <w:sz w:val="24"/>
          <w:szCs w:val="24"/>
          <w:lang w:eastAsia="en-AU"/>
        </w:rPr>
        <w:t xml:space="preserve"> the common law </w:t>
      </w:r>
      <w:r w:rsidR="00CF1FD8" w:rsidRPr="00373536">
        <w:rPr>
          <w:rFonts w:ascii="Times New Roman" w:eastAsia="Times New Roman" w:hAnsi="Times New Roman" w:cs="Times New Roman"/>
          <w:color w:val="000000"/>
          <w:sz w:val="24"/>
          <w:szCs w:val="24"/>
          <w:lang w:eastAsia="en-AU"/>
        </w:rPr>
        <w:t>privi</w:t>
      </w:r>
      <w:r w:rsidR="00CF1FD8">
        <w:rPr>
          <w:rFonts w:ascii="Times New Roman" w:eastAsia="Times New Roman" w:hAnsi="Times New Roman" w:cs="Times New Roman"/>
          <w:color w:val="000000"/>
          <w:sz w:val="24"/>
          <w:szCs w:val="24"/>
          <w:lang w:eastAsia="en-AU"/>
        </w:rPr>
        <w:t>lege against self-incrimination.</w:t>
      </w:r>
      <w:r w:rsidR="00CF1FD8" w:rsidRPr="00373536">
        <w:rPr>
          <w:rFonts w:ascii="Times New Roman" w:eastAsia="Times New Roman" w:hAnsi="Times New Roman" w:cs="Times New Roman"/>
          <w:color w:val="000000"/>
          <w:sz w:val="24"/>
          <w:szCs w:val="24"/>
          <w:lang w:eastAsia="en-AU"/>
        </w:rPr>
        <w:t xml:space="preserve"> </w:t>
      </w:r>
    </w:p>
    <w:p w14:paraId="5B3AC356" w14:textId="5F3193FB" w:rsidR="009F4C41" w:rsidRDefault="006C682C" w:rsidP="009F4C41">
      <w:pPr>
        <w:shd w:val="clear" w:color="auto" w:fill="FFFFFF"/>
        <w:spacing w:before="2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The offences in Division 6 of Part 3</w:t>
      </w:r>
      <w:r w:rsidR="009F4C41" w:rsidRPr="009F4C41">
        <w:rPr>
          <w:rFonts w:ascii="Times New Roman" w:eastAsia="Times New Roman" w:hAnsi="Times New Roman" w:cs="Times New Roman"/>
          <w:color w:val="000000"/>
          <w:sz w:val="24"/>
          <w:szCs w:val="24"/>
          <w:lang w:eastAsia="en-AU"/>
        </w:rPr>
        <w:t xml:space="preserve"> of</w:t>
      </w:r>
      <w:r>
        <w:rPr>
          <w:rFonts w:ascii="Times New Roman" w:eastAsia="Times New Roman" w:hAnsi="Times New Roman" w:cs="Times New Roman"/>
          <w:color w:val="000000"/>
          <w:sz w:val="24"/>
          <w:szCs w:val="24"/>
          <w:lang w:eastAsia="en-AU"/>
        </w:rPr>
        <w:t xml:space="preserve"> the Regulations each attract </w:t>
      </w:r>
      <w:r w:rsidR="0037359A">
        <w:rPr>
          <w:rFonts w:ascii="Times New Roman" w:eastAsia="Times New Roman" w:hAnsi="Times New Roman" w:cs="Times New Roman"/>
          <w:color w:val="000000"/>
          <w:sz w:val="24"/>
          <w:szCs w:val="24"/>
          <w:lang w:eastAsia="en-AU"/>
        </w:rPr>
        <w:t xml:space="preserve">either 10 or </w:t>
      </w:r>
      <w:r>
        <w:rPr>
          <w:rFonts w:ascii="Times New Roman" w:eastAsia="Times New Roman" w:hAnsi="Times New Roman" w:cs="Times New Roman"/>
          <w:color w:val="000000"/>
          <w:sz w:val="24"/>
          <w:szCs w:val="24"/>
          <w:lang w:eastAsia="en-AU"/>
        </w:rPr>
        <w:t>30</w:t>
      </w:r>
      <w:r w:rsidR="009F4C41" w:rsidRPr="009F4C41">
        <w:rPr>
          <w:rFonts w:ascii="Times New Roman" w:eastAsia="Times New Roman" w:hAnsi="Times New Roman" w:cs="Times New Roman"/>
          <w:color w:val="000000"/>
          <w:sz w:val="24"/>
          <w:szCs w:val="24"/>
          <w:lang w:eastAsia="en-AU"/>
        </w:rPr>
        <w:t xml:space="preserve"> penalty units</w:t>
      </w:r>
      <w:r w:rsidR="0037359A">
        <w:rPr>
          <w:rFonts w:ascii="Times New Roman" w:eastAsia="Times New Roman" w:hAnsi="Times New Roman" w:cs="Times New Roman"/>
          <w:color w:val="000000"/>
          <w:sz w:val="24"/>
          <w:szCs w:val="24"/>
          <w:lang w:eastAsia="en-AU"/>
        </w:rPr>
        <w:t>, depending on the severity of the offence</w:t>
      </w:r>
      <w:r w:rsidR="009F4C41" w:rsidRPr="009F4C41">
        <w:rPr>
          <w:rFonts w:ascii="Times New Roman" w:eastAsia="Times New Roman" w:hAnsi="Times New Roman" w:cs="Times New Roman"/>
          <w:color w:val="000000"/>
          <w:sz w:val="24"/>
          <w:szCs w:val="24"/>
          <w:lang w:eastAsia="en-AU"/>
        </w:rPr>
        <w:t xml:space="preserve">. This is in accordance with </w:t>
      </w:r>
      <w:r w:rsidR="009F4C41" w:rsidRPr="00600A8D">
        <w:rPr>
          <w:rFonts w:ascii="Times New Roman" w:eastAsia="Times New Roman" w:hAnsi="Times New Roman" w:cs="Times New Roman"/>
          <w:color w:val="000000"/>
          <w:sz w:val="24"/>
          <w:szCs w:val="24"/>
          <w:lang w:eastAsia="en-AU"/>
        </w:rPr>
        <w:t>subsect</w:t>
      </w:r>
      <w:r w:rsidR="00600A8D" w:rsidRPr="00600A8D">
        <w:rPr>
          <w:rFonts w:ascii="Times New Roman" w:eastAsia="Times New Roman" w:hAnsi="Times New Roman" w:cs="Times New Roman"/>
          <w:color w:val="000000"/>
          <w:sz w:val="24"/>
          <w:szCs w:val="24"/>
          <w:lang w:eastAsia="en-AU"/>
        </w:rPr>
        <w:t>ion 217</w:t>
      </w:r>
      <w:r w:rsidR="009F4C41" w:rsidRPr="00600A8D">
        <w:rPr>
          <w:rFonts w:ascii="Times New Roman" w:eastAsia="Times New Roman" w:hAnsi="Times New Roman" w:cs="Times New Roman"/>
          <w:color w:val="000000"/>
          <w:sz w:val="24"/>
          <w:szCs w:val="24"/>
          <w:lang w:eastAsia="en-AU"/>
        </w:rPr>
        <w:t xml:space="preserve">(2) of the </w:t>
      </w:r>
      <w:r w:rsidR="005E2288">
        <w:rPr>
          <w:rFonts w:ascii="Times New Roman" w:eastAsia="Times New Roman" w:hAnsi="Times New Roman" w:cs="Times New Roman"/>
          <w:color w:val="000000"/>
          <w:sz w:val="24"/>
          <w:szCs w:val="24"/>
          <w:lang w:eastAsia="en-AU"/>
        </w:rPr>
        <w:t>A</w:t>
      </w:r>
      <w:r w:rsidR="004C6518">
        <w:rPr>
          <w:rFonts w:ascii="Times New Roman" w:eastAsia="Times New Roman" w:hAnsi="Times New Roman" w:cs="Times New Roman"/>
          <w:color w:val="000000"/>
          <w:sz w:val="24"/>
          <w:szCs w:val="24"/>
          <w:lang w:eastAsia="en-AU"/>
        </w:rPr>
        <w:t>ct</w:t>
      </w:r>
      <w:r w:rsidR="009F4C41" w:rsidRPr="009F4C41">
        <w:rPr>
          <w:rFonts w:ascii="Times New Roman" w:eastAsia="Times New Roman" w:hAnsi="Times New Roman" w:cs="Times New Roman"/>
          <w:color w:val="000000"/>
          <w:sz w:val="24"/>
          <w:szCs w:val="24"/>
          <w:lang w:eastAsia="en-AU"/>
        </w:rPr>
        <w:t>. The provisions are also consistent with the principles in the</w:t>
      </w:r>
      <w:r w:rsidR="001E7673">
        <w:rPr>
          <w:rFonts w:ascii="Times New Roman" w:eastAsia="Times New Roman" w:hAnsi="Times New Roman" w:cs="Times New Roman"/>
          <w:color w:val="000000"/>
          <w:sz w:val="24"/>
          <w:szCs w:val="24"/>
          <w:lang w:eastAsia="en-AU"/>
        </w:rPr>
        <w:t xml:space="preserve"> </w:t>
      </w:r>
      <w:r w:rsidR="009F4C41" w:rsidRPr="004C6518">
        <w:rPr>
          <w:rFonts w:ascii="Times New Roman" w:eastAsia="Times New Roman" w:hAnsi="Times New Roman" w:cs="Times New Roman"/>
          <w:color w:val="000000"/>
          <w:sz w:val="24"/>
          <w:szCs w:val="24"/>
          <w:lang w:eastAsia="en-AU"/>
        </w:rPr>
        <w:t>AGD Guide</w:t>
      </w:r>
      <w:r w:rsidR="009F4C41" w:rsidRPr="00D04CDE">
        <w:rPr>
          <w:rFonts w:ascii="Times New Roman" w:eastAsia="Times New Roman" w:hAnsi="Times New Roman" w:cs="Times New Roman"/>
          <w:color w:val="000000"/>
          <w:sz w:val="24"/>
          <w:szCs w:val="24"/>
          <w:lang w:eastAsia="en-AU"/>
        </w:rPr>
        <w:t>.</w:t>
      </w:r>
      <w:r w:rsidR="001E7673">
        <w:rPr>
          <w:rFonts w:ascii="Times New Roman" w:eastAsia="Times New Roman" w:hAnsi="Times New Roman" w:cs="Times New Roman"/>
          <w:color w:val="000000"/>
          <w:sz w:val="24"/>
          <w:szCs w:val="24"/>
          <w:lang w:eastAsia="en-AU"/>
        </w:rPr>
        <w:t xml:space="preserve"> </w:t>
      </w:r>
    </w:p>
    <w:p w14:paraId="084657F5" w14:textId="442E5B8A" w:rsidR="0018373A" w:rsidRPr="00066D43" w:rsidRDefault="0018373A" w:rsidP="006C682C">
      <w:pPr>
        <w:pStyle w:val="ActHead5"/>
        <w:ind w:left="0" w:firstLine="0"/>
        <w:rPr>
          <w:szCs w:val="24"/>
        </w:rPr>
      </w:pPr>
      <w:r w:rsidRPr="00066D43">
        <w:rPr>
          <w:rStyle w:val="CharSectno"/>
          <w:szCs w:val="24"/>
        </w:rPr>
        <w:t xml:space="preserve">Section </w:t>
      </w:r>
      <w:r>
        <w:rPr>
          <w:rStyle w:val="CharSectno"/>
          <w:szCs w:val="24"/>
        </w:rPr>
        <w:t>27</w:t>
      </w:r>
      <w:r w:rsidRPr="00066D43">
        <w:rPr>
          <w:szCs w:val="24"/>
        </w:rPr>
        <w:t xml:space="preserve"> - </w:t>
      </w:r>
      <w:r w:rsidRPr="0018373A">
        <w:rPr>
          <w:szCs w:val="24"/>
        </w:rPr>
        <w:t>Contravention of a direction</w:t>
      </w:r>
    </w:p>
    <w:p w14:paraId="0DA90509" w14:textId="283E4CD5" w:rsidR="0018373A" w:rsidRPr="006C682C" w:rsidRDefault="00D04CDE" w:rsidP="006C682C">
      <w:pPr>
        <w:shd w:val="clear" w:color="auto" w:fill="FFFFFF"/>
        <w:spacing w:before="2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Under paragraphs 17(b) to (e) of the Regulations, the ACCC has the power to refer matters and direct persons. </w:t>
      </w:r>
      <w:r w:rsidR="006C682C" w:rsidRPr="006C682C">
        <w:rPr>
          <w:rFonts w:ascii="Times New Roman" w:eastAsia="Times New Roman" w:hAnsi="Times New Roman" w:cs="Times New Roman"/>
          <w:color w:val="000000"/>
          <w:sz w:val="24"/>
          <w:szCs w:val="24"/>
          <w:lang w:eastAsia="en-AU"/>
        </w:rPr>
        <w:t xml:space="preserve"> Section 2</w:t>
      </w:r>
      <w:r w:rsidR="006C682C">
        <w:rPr>
          <w:rFonts w:ascii="Times New Roman" w:eastAsia="Times New Roman" w:hAnsi="Times New Roman" w:cs="Times New Roman"/>
          <w:color w:val="000000"/>
          <w:sz w:val="24"/>
          <w:szCs w:val="24"/>
          <w:lang w:eastAsia="en-AU"/>
        </w:rPr>
        <w:t>7</w:t>
      </w:r>
      <w:r w:rsidR="006C682C" w:rsidRPr="006C682C">
        <w:rPr>
          <w:rFonts w:ascii="Times New Roman" w:eastAsia="Times New Roman" w:hAnsi="Times New Roman" w:cs="Times New Roman"/>
          <w:color w:val="000000"/>
          <w:sz w:val="24"/>
          <w:szCs w:val="24"/>
          <w:lang w:eastAsia="en-AU"/>
        </w:rPr>
        <w:t xml:space="preserve"> makes it a</w:t>
      </w:r>
      <w:r>
        <w:rPr>
          <w:rFonts w:ascii="Times New Roman" w:eastAsia="Times New Roman" w:hAnsi="Times New Roman" w:cs="Times New Roman"/>
          <w:color w:val="000000"/>
          <w:sz w:val="24"/>
          <w:szCs w:val="24"/>
          <w:lang w:eastAsia="en-AU"/>
        </w:rPr>
        <w:t xml:space="preserve"> strict liability </w:t>
      </w:r>
      <w:r w:rsidR="006C682C" w:rsidRPr="006C682C">
        <w:rPr>
          <w:rFonts w:ascii="Times New Roman" w:eastAsia="Times New Roman" w:hAnsi="Times New Roman" w:cs="Times New Roman"/>
          <w:color w:val="000000"/>
          <w:sz w:val="24"/>
          <w:szCs w:val="24"/>
          <w:lang w:eastAsia="en-AU"/>
        </w:rPr>
        <w:t xml:space="preserve">offence </w:t>
      </w:r>
      <w:r>
        <w:rPr>
          <w:rFonts w:ascii="Times New Roman" w:eastAsia="Times New Roman" w:hAnsi="Times New Roman" w:cs="Times New Roman"/>
          <w:color w:val="000000"/>
          <w:sz w:val="24"/>
          <w:szCs w:val="24"/>
          <w:lang w:eastAsia="en-AU"/>
        </w:rPr>
        <w:t xml:space="preserve">for a person </w:t>
      </w:r>
      <w:r w:rsidR="006C682C" w:rsidRPr="006C682C">
        <w:rPr>
          <w:rFonts w:ascii="Times New Roman" w:eastAsia="Times New Roman" w:hAnsi="Times New Roman" w:cs="Times New Roman"/>
          <w:color w:val="000000"/>
          <w:sz w:val="24"/>
          <w:szCs w:val="24"/>
          <w:lang w:eastAsia="en-AU"/>
        </w:rPr>
        <w:t>to do an act or omit to do an act that contravenes the directio</w:t>
      </w:r>
      <w:r w:rsidR="006C682C">
        <w:rPr>
          <w:rFonts w:ascii="Times New Roman" w:eastAsia="Times New Roman" w:hAnsi="Times New Roman" w:cs="Times New Roman"/>
          <w:color w:val="000000"/>
          <w:sz w:val="24"/>
          <w:szCs w:val="24"/>
          <w:lang w:eastAsia="en-AU"/>
        </w:rPr>
        <w:t xml:space="preserve">n given by ACCC. This attracts </w:t>
      </w:r>
      <w:r>
        <w:rPr>
          <w:rFonts w:ascii="Times New Roman" w:eastAsia="Times New Roman" w:hAnsi="Times New Roman" w:cs="Times New Roman"/>
          <w:color w:val="000000"/>
          <w:sz w:val="24"/>
          <w:szCs w:val="24"/>
          <w:lang w:eastAsia="en-AU"/>
        </w:rPr>
        <w:t>10</w:t>
      </w:r>
      <w:r w:rsidR="006C682C" w:rsidRPr="006C682C">
        <w:rPr>
          <w:rFonts w:ascii="Times New Roman" w:eastAsia="Times New Roman" w:hAnsi="Times New Roman" w:cs="Times New Roman"/>
          <w:color w:val="000000"/>
          <w:sz w:val="24"/>
          <w:szCs w:val="24"/>
          <w:lang w:eastAsia="en-AU"/>
        </w:rPr>
        <w:t xml:space="preserve"> penalty units.</w:t>
      </w:r>
    </w:p>
    <w:p w14:paraId="615BEF78" w14:textId="4D4458DC" w:rsidR="0018373A" w:rsidRPr="00066D43" w:rsidRDefault="0018373A" w:rsidP="0018373A">
      <w:pPr>
        <w:pStyle w:val="ActHead5"/>
        <w:rPr>
          <w:szCs w:val="24"/>
        </w:rPr>
      </w:pPr>
      <w:r w:rsidRPr="00066D43">
        <w:rPr>
          <w:rStyle w:val="CharSectno"/>
          <w:szCs w:val="24"/>
        </w:rPr>
        <w:t xml:space="preserve">Section </w:t>
      </w:r>
      <w:r>
        <w:rPr>
          <w:rStyle w:val="CharSectno"/>
          <w:szCs w:val="24"/>
        </w:rPr>
        <w:t>28</w:t>
      </w:r>
      <w:r w:rsidRPr="00066D43">
        <w:rPr>
          <w:szCs w:val="24"/>
        </w:rPr>
        <w:t xml:space="preserve"> - </w:t>
      </w:r>
      <w:r w:rsidRPr="0018373A">
        <w:rPr>
          <w:szCs w:val="24"/>
        </w:rPr>
        <w:t>Failure to comply with notice to give information or produce documents</w:t>
      </w:r>
    </w:p>
    <w:p w14:paraId="412EEAFC" w14:textId="77777777" w:rsidR="00646DF6" w:rsidRDefault="006C682C" w:rsidP="006C682C">
      <w:pPr>
        <w:shd w:val="clear" w:color="auto" w:fill="FFFFFF"/>
        <w:spacing w:before="280" w:after="0" w:line="240" w:lineRule="auto"/>
        <w:rPr>
          <w:rFonts w:ascii="Times New Roman" w:eastAsia="Times New Roman" w:hAnsi="Times New Roman" w:cs="Times New Roman"/>
          <w:color w:val="000000"/>
          <w:sz w:val="24"/>
          <w:szCs w:val="24"/>
          <w:lang w:eastAsia="en-AU"/>
        </w:rPr>
      </w:pPr>
      <w:r w:rsidRPr="006C682C">
        <w:rPr>
          <w:rFonts w:ascii="Times New Roman" w:eastAsia="Times New Roman" w:hAnsi="Times New Roman" w:cs="Times New Roman"/>
          <w:color w:val="000000"/>
          <w:sz w:val="24"/>
          <w:szCs w:val="24"/>
          <w:lang w:eastAsia="en-AU"/>
        </w:rPr>
        <w:t>It is a</w:t>
      </w:r>
      <w:r w:rsidR="00D04CDE">
        <w:rPr>
          <w:rFonts w:ascii="Times New Roman" w:eastAsia="Times New Roman" w:hAnsi="Times New Roman" w:cs="Times New Roman"/>
          <w:color w:val="000000"/>
          <w:sz w:val="24"/>
          <w:szCs w:val="24"/>
          <w:lang w:eastAsia="en-AU"/>
        </w:rPr>
        <w:t xml:space="preserve"> strict liability </w:t>
      </w:r>
      <w:r w:rsidRPr="006C682C">
        <w:rPr>
          <w:rFonts w:ascii="Times New Roman" w:eastAsia="Times New Roman" w:hAnsi="Times New Roman" w:cs="Times New Roman"/>
          <w:color w:val="000000"/>
          <w:sz w:val="24"/>
          <w:szCs w:val="24"/>
          <w:lang w:eastAsia="en-AU"/>
        </w:rPr>
        <w:t xml:space="preserve">offence if a person is served with a summons to attend the ACCC and give evidence and has not been excused, or released from further attendance, and </w:t>
      </w:r>
      <w:r>
        <w:rPr>
          <w:rFonts w:ascii="Times New Roman" w:eastAsia="Times New Roman" w:hAnsi="Times New Roman" w:cs="Times New Roman"/>
          <w:color w:val="000000"/>
          <w:sz w:val="24"/>
          <w:szCs w:val="24"/>
          <w:lang w:eastAsia="en-AU"/>
        </w:rPr>
        <w:t xml:space="preserve">the </w:t>
      </w:r>
      <w:r w:rsidRPr="006C682C">
        <w:rPr>
          <w:rFonts w:ascii="Times New Roman" w:eastAsia="Times New Roman" w:hAnsi="Times New Roman" w:cs="Times New Roman"/>
          <w:color w:val="000000"/>
          <w:sz w:val="24"/>
          <w:szCs w:val="24"/>
          <w:lang w:eastAsia="en-AU"/>
        </w:rPr>
        <w:t xml:space="preserve">person </w:t>
      </w:r>
      <w:r>
        <w:rPr>
          <w:rFonts w:ascii="Times New Roman" w:eastAsia="Times New Roman" w:hAnsi="Times New Roman" w:cs="Times New Roman"/>
          <w:color w:val="000000"/>
          <w:sz w:val="24"/>
          <w:szCs w:val="24"/>
          <w:lang w:eastAsia="en-AU"/>
        </w:rPr>
        <w:t xml:space="preserve">fails </w:t>
      </w:r>
      <w:r w:rsidRPr="006C682C">
        <w:rPr>
          <w:rFonts w:ascii="Times New Roman" w:eastAsia="Times New Roman" w:hAnsi="Times New Roman" w:cs="Times New Roman"/>
          <w:color w:val="000000"/>
          <w:sz w:val="24"/>
          <w:szCs w:val="24"/>
          <w:lang w:eastAsia="en-AU"/>
        </w:rPr>
        <w:t>to attend a</w:t>
      </w:r>
      <w:r>
        <w:rPr>
          <w:rFonts w:ascii="Times New Roman" w:eastAsia="Times New Roman" w:hAnsi="Times New Roman" w:cs="Times New Roman"/>
          <w:color w:val="000000"/>
          <w:sz w:val="24"/>
          <w:szCs w:val="24"/>
          <w:lang w:eastAsia="en-AU"/>
        </w:rPr>
        <w:t>s</w:t>
      </w:r>
      <w:r w:rsidRPr="006C682C">
        <w:rPr>
          <w:rFonts w:ascii="Times New Roman" w:eastAsia="Times New Roman" w:hAnsi="Times New Roman" w:cs="Times New Roman"/>
          <w:color w:val="000000"/>
          <w:sz w:val="24"/>
          <w:szCs w:val="24"/>
          <w:lang w:eastAsia="en-AU"/>
        </w:rPr>
        <w:t xml:space="preserve"> required by the summons.</w:t>
      </w:r>
      <w:r>
        <w:rPr>
          <w:rFonts w:ascii="Times New Roman" w:eastAsia="Times New Roman" w:hAnsi="Times New Roman" w:cs="Times New Roman"/>
          <w:color w:val="000000"/>
          <w:sz w:val="24"/>
          <w:szCs w:val="24"/>
          <w:lang w:eastAsia="en-AU"/>
        </w:rPr>
        <w:t xml:space="preserve"> This offence attracts </w:t>
      </w:r>
      <w:r w:rsidR="00D04CDE">
        <w:rPr>
          <w:rFonts w:ascii="Times New Roman" w:eastAsia="Times New Roman" w:hAnsi="Times New Roman" w:cs="Times New Roman"/>
          <w:color w:val="000000"/>
          <w:sz w:val="24"/>
          <w:szCs w:val="24"/>
          <w:lang w:eastAsia="en-AU"/>
        </w:rPr>
        <w:t>1</w:t>
      </w:r>
      <w:r w:rsidRPr="006C682C">
        <w:rPr>
          <w:rFonts w:ascii="Times New Roman" w:eastAsia="Times New Roman" w:hAnsi="Times New Roman" w:cs="Times New Roman"/>
          <w:color w:val="000000"/>
          <w:sz w:val="24"/>
          <w:szCs w:val="24"/>
          <w:lang w:eastAsia="en-AU"/>
        </w:rPr>
        <w:t>0 penalty units</w:t>
      </w:r>
      <w:r w:rsidR="009F6136">
        <w:rPr>
          <w:rFonts w:ascii="Times New Roman" w:eastAsia="Times New Roman" w:hAnsi="Times New Roman" w:cs="Times New Roman"/>
          <w:color w:val="000000"/>
          <w:sz w:val="24"/>
          <w:szCs w:val="24"/>
          <w:lang w:eastAsia="en-AU"/>
        </w:rPr>
        <w:t>.</w:t>
      </w:r>
      <w:r w:rsidR="009F6136" w:rsidRPr="009F6136">
        <w:rPr>
          <w:rFonts w:ascii="Times New Roman" w:eastAsia="Times New Roman" w:hAnsi="Times New Roman" w:cs="Times New Roman"/>
          <w:color w:val="000000"/>
          <w:sz w:val="24"/>
          <w:szCs w:val="24"/>
          <w:lang w:eastAsia="en-AU"/>
        </w:rPr>
        <w:t xml:space="preserve"> </w:t>
      </w:r>
    </w:p>
    <w:p w14:paraId="13C69976" w14:textId="0A7AE484" w:rsidR="0018373A" w:rsidRPr="00066D43" w:rsidRDefault="0018373A" w:rsidP="0018373A">
      <w:pPr>
        <w:pStyle w:val="ActHead5"/>
        <w:rPr>
          <w:szCs w:val="24"/>
        </w:rPr>
      </w:pPr>
      <w:r w:rsidRPr="00066D43">
        <w:rPr>
          <w:rStyle w:val="CharSectno"/>
          <w:szCs w:val="24"/>
        </w:rPr>
        <w:t xml:space="preserve">Section </w:t>
      </w:r>
      <w:r>
        <w:rPr>
          <w:rStyle w:val="CharSectno"/>
          <w:szCs w:val="24"/>
        </w:rPr>
        <w:t>29</w:t>
      </w:r>
      <w:r w:rsidRPr="00066D43">
        <w:rPr>
          <w:szCs w:val="24"/>
        </w:rPr>
        <w:t xml:space="preserve"> - </w:t>
      </w:r>
      <w:r w:rsidRPr="0018373A">
        <w:rPr>
          <w:szCs w:val="24"/>
        </w:rPr>
        <w:t>Offences by witnesses</w:t>
      </w:r>
    </w:p>
    <w:p w14:paraId="3ADA9B75" w14:textId="6C2F018B" w:rsidR="006C682C" w:rsidRPr="006C682C" w:rsidRDefault="006C682C" w:rsidP="006C682C">
      <w:pPr>
        <w:shd w:val="clear" w:color="auto" w:fill="FFFFFF"/>
        <w:spacing w:before="180" w:after="24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29</w:t>
      </w:r>
      <w:r w:rsidRPr="006C682C">
        <w:rPr>
          <w:rFonts w:ascii="Times New Roman" w:eastAsia="Times New Roman" w:hAnsi="Times New Roman" w:cs="Times New Roman"/>
          <w:color w:val="000000"/>
          <w:sz w:val="24"/>
          <w:szCs w:val="24"/>
          <w:lang w:eastAsia="en-AU"/>
        </w:rPr>
        <w:t>(1) makes it an offence</w:t>
      </w:r>
      <w:r w:rsidR="00BA7F44">
        <w:rPr>
          <w:rFonts w:ascii="Times New Roman" w:eastAsia="Times New Roman" w:hAnsi="Times New Roman" w:cs="Times New Roman"/>
          <w:color w:val="000000"/>
          <w:sz w:val="24"/>
          <w:szCs w:val="24"/>
          <w:lang w:eastAsia="en-AU"/>
        </w:rPr>
        <w:t xml:space="preserve"> of strict liability</w:t>
      </w:r>
      <w:r w:rsidRPr="006C682C">
        <w:rPr>
          <w:rFonts w:ascii="Times New Roman" w:eastAsia="Times New Roman" w:hAnsi="Times New Roman" w:cs="Times New Roman"/>
          <w:color w:val="000000"/>
          <w:sz w:val="24"/>
          <w:szCs w:val="24"/>
          <w:lang w:eastAsia="en-AU"/>
        </w:rPr>
        <w:t xml:space="preserve"> if a person is served with a</w:t>
      </w:r>
      <w:r>
        <w:rPr>
          <w:rFonts w:ascii="Times New Roman" w:eastAsia="Times New Roman" w:hAnsi="Times New Roman" w:cs="Times New Roman"/>
          <w:color w:val="000000"/>
          <w:sz w:val="24"/>
          <w:szCs w:val="24"/>
          <w:lang w:eastAsia="en-AU"/>
        </w:rPr>
        <w:t xml:space="preserve"> section 19</w:t>
      </w:r>
      <w:r w:rsidRPr="006C682C">
        <w:rPr>
          <w:rFonts w:ascii="Times New Roman" w:eastAsia="Times New Roman" w:hAnsi="Times New Roman" w:cs="Times New Roman"/>
          <w:color w:val="000000"/>
          <w:sz w:val="24"/>
          <w:szCs w:val="24"/>
          <w:lang w:eastAsia="en-AU"/>
        </w:rPr>
        <w:t xml:space="preserve"> summons to attend before the ACCC to give evidence, and the person has not been excused, or released from further attendance, by a member of the ACCC; and the person fails to attend a required by the </w:t>
      </w:r>
      <w:r>
        <w:rPr>
          <w:rFonts w:ascii="Times New Roman" w:eastAsia="Times New Roman" w:hAnsi="Times New Roman" w:cs="Times New Roman"/>
          <w:color w:val="000000"/>
          <w:sz w:val="24"/>
          <w:szCs w:val="24"/>
          <w:lang w:eastAsia="en-AU"/>
        </w:rPr>
        <w:t xml:space="preserve">summons. This offence attracts </w:t>
      </w:r>
      <w:r w:rsidR="00BA7F44">
        <w:rPr>
          <w:rFonts w:ascii="Times New Roman" w:eastAsia="Times New Roman" w:hAnsi="Times New Roman" w:cs="Times New Roman"/>
          <w:color w:val="000000"/>
          <w:sz w:val="24"/>
          <w:szCs w:val="24"/>
          <w:lang w:eastAsia="en-AU"/>
        </w:rPr>
        <w:t>1</w:t>
      </w:r>
      <w:r w:rsidRPr="006C682C">
        <w:rPr>
          <w:rFonts w:ascii="Times New Roman" w:eastAsia="Times New Roman" w:hAnsi="Times New Roman" w:cs="Times New Roman"/>
          <w:color w:val="000000"/>
          <w:sz w:val="24"/>
          <w:szCs w:val="24"/>
          <w:lang w:eastAsia="en-AU"/>
        </w:rPr>
        <w:t>0 penalty units.</w:t>
      </w:r>
    </w:p>
    <w:p w14:paraId="6F8AB7C9" w14:textId="625B2928" w:rsidR="006C682C" w:rsidRPr="006C682C" w:rsidRDefault="006C682C" w:rsidP="006C682C">
      <w:pPr>
        <w:shd w:val="clear" w:color="auto" w:fill="FFFFFF"/>
        <w:spacing w:before="40" w:after="24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29</w:t>
      </w:r>
      <w:r w:rsidRPr="006C682C">
        <w:rPr>
          <w:rFonts w:ascii="Times New Roman" w:eastAsia="Times New Roman" w:hAnsi="Times New Roman" w:cs="Times New Roman"/>
          <w:color w:val="000000"/>
          <w:sz w:val="24"/>
          <w:szCs w:val="24"/>
          <w:lang w:eastAsia="en-AU"/>
        </w:rPr>
        <w:t>(2) makes it an offence</w:t>
      </w:r>
      <w:r w:rsidR="00BA7F44">
        <w:rPr>
          <w:rFonts w:ascii="Times New Roman" w:eastAsia="Times New Roman" w:hAnsi="Times New Roman" w:cs="Times New Roman"/>
          <w:color w:val="000000"/>
          <w:sz w:val="24"/>
          <w:szCs w:val="24"/>
          <w:lang w:eastAsia="en-AU"/>
        </w:rPr>
        <w:t xml:space="preserve"> of strict liability</w:t>
      </w:r>
      <w:r w:rsidRPr="006C682C">
        <w:rPr>
          <w:rFonts w:ascii="Times New Roman" w:eastAsia="Times New Roman" w:hAnsi="Times New Roman" w:cs="Times New Roman"/>
          <w:color w:val="000000"/>
          <w:sz w:val="24"/>
          <w:szCs w:val="24"/>
          <w:lang w:eastAsia="en-AU"/>
        </w:rPr>
        <w:t xml:space="preserve"> if a person ser</w:t>
      </w:r>
      <w:r>
        <w:rPr>
          <w:rFonts w:ascii="Times New Roman" w:eastAsia="Times New Roman" w:hAnsi="Times New Roman" w:cs="Times New Roman"/>
          <w:color w:val="000000"/>
          <w:sz w:val="24"/>
          <w:szCs w:val="24"/>
          <w:lang w:eastAsia="en-AU"/>
        </w:rPr>
        <w:t>ved with a section 19</w:t>
      </w:r>
      <w:r w:rsidRPr="006C682C">
        <w:rPr>
          <w:rFonts w:ascii="Times New Roman" w:eastAsia="Times New Roman" w:hAnsi="Times New Roman" w:cs="Times New Roman"/>
          <w:color w:val="000000"/>
          <w:sz w:val="24"/>
          <w:szCs w:val="24"/>
          <w:lang w:eastAsia="en-AU"/>
        </w:rPr>
        <w:t xml:space="preserve"> summons to attend before the ACCC to give evidence to the ACCC and fails to be sworn or to make an affirmation, or fails to answer a q</w:t>
      </w:r>
      <w:r>
        <w:rPr>
          <w:rFonts w:ascii="Times New Roman" w:eastAsia="Times New Roman" w:hAnsi="Times New Roman" w:cs="Times New Roman"/>
          <w:color w:val="000000"/>
          <w:sz w:val="24"/>
          <w:szCs w:val="24"/>
          <w:lang w:eastAsia="en-AU"/>
        </w:rPr>
        <w:t xml:space="preserve">uestion. This offence attracts </w:t>
      </w:r>
      <w:r w:rsidR="00BA7F44">
        <w:rPr>
          <w:rFonts w:ascii="Times New Roman" w:eastAsia="Times New Roman" w:hAnsi="Times New Roman" w:cs="Times New Roman"/>
          <w:color w:val="000000"/>
          <w:sz w:val="24"/>
          <w:szCs w:val="24"/>
          <w:lang w:eastAsia="en-AU"/>
        </w:rPr>
        <w:t>1</w:t>
      </w:r>
      <w:r w:rsidRPr="006C682C">
        <w:rPr>
          <w:rFonts w:ascii="Times New Roman" w:eastAsia="Times New Roman" w:hAnsi="Times New Roman" w:cs="Times New Roman"/>
          <w:color w:val="000000"/>
          <w:sz w:val="24"/>
          <w:szCs w:val="24"/>
          <w:lang w:eastAsia="en-AU"/>
        </w:rPr>
        <w:t>0 penalty units.</w:t>
      </w:r>
    </w:p>
    <w:p w14:paraId="239DBBF8" w14:textId="77777777" w:rsidR="003D0456" w:rsidRDefault="006C682C" w:rsidP="006C682C">
      <w:pPr>
        <w:shd w:val="clear" w:color="auto" w:fill="FFFFFF"/>
        <w:spacing w:before="40" w:after="24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Subsection 29</w:t>
      </w:r>
      <w:r w:rsidRPr="006C682C">
        <w:rPr>
          <w:rFonts w:ascii="Times New Roman" w:eastAsia="Times New Roman" w:hAnsi="Times New Roman" w:cs="Times New Roman"/>
          <w:color w:val="000000"/>
          <w:sz w:val="24"/>
          <w:szCs w:val="24"/>
          <w:lang w:eastAsia="en-AU"/>
        </w:rPr>
        <w:t xml:space="preserve">(3) makes it an offence </w:t>
      </w:r>
      <w:r w:rsidR="00BA7F44">
        <w:rPr>
          <w:rFonts w:ascii="Times New Roman" w:eastAsia="Times New Roman" w:hAnsi="Times New Roman" w:cs="Times New Roman"/>
          <w:color w:val="000000"/>
          <w:sz w:val="24"/>
          <w:szCs w:val="24"/>
          <w:lang w:eastAsia="en-AU"/>
        </w:rPr>
        <w:t xml:space="preserve">of strict liability </w:t>
      </w:r>
      <w:r w:rsidRPr="006C682C">
        <w:rPr>
          <w:rFonts w:ascii="Times New Roman" w:eastAsia="Times New Roman" w:hAnsi="Times New Roman" w:cs="Times New Roman"/>
          <w:color w:val="000000"/>
          <w:sz w:val="24"/>
          <w:szCs w:val="24"/>
          <w:lang w:eastAsia="en-AU"/>
        </w:rPr>
        <w:t>if a</w:t>
      </w:r>
      <w:r>
        <w:rPr>
          <w:rFonts w:ascii="Times New Roman" w:eastAsia="Times New Roman" w:hAnsi="Times New Roman" w:cs="Times New Roman"/>
          <w:color w:val="000000"/>
          <w:sz w:val="24"/>
          <w:szCs w:val="24"/>
          <w:lang w:eastAsia="en-AU"/>
        </w:rPr>
        <w:t xml:space="preserve"> person served with a section 19</w:t>
      </w:r>
      <w:r w:rsidRPr="006C682C">
        <w:rPr>
          <w:rFonts w:ascii="Times New Roman" w:eastAsia="Times New Roman" w:hAnsi="Times New Roman" w:cs="Times New Roman"/>
          <w:color w:val="000000"/>
          <w:sz w:val="24"/>
          <w:szCs w:val="24"/>
          <w:lang w:eastAsia="en-AU"/>
        </w:rPr>
        <w:t xml:space="preserve"> summons to produce a document and the person fails t</w:t>
      </w:r>
      <w:r>
        <w:rPr>
          <w:rFonts w:ascii="Times New Roman" w:eastAsia="Times New Roman" w:hAnsi="Times New Roman" w:cs="Times New Roman"/>
          <w:color w:val="000000"/>
          <w:sz w:val="24"/>
          <w:szCs w:val="24"/>
          <w:lang w:eastAsia="en-AU"/>
        </w:rPr>
        <w:t xml:space="preserve">o do so. This offence attracts </w:t>
      </w:r>
      <w:r w:rsidR="00BA7F44">
        <w:rPr>
          <w:rFonts w:ascii="Times New Roman" w:eastAsia="Times New Roman" w:hAnsi="Times New Roman" w:cs="Times New Roman"/>
          <w:color w:val="000000"/>
          <w:sz w:val="24"/>
          <w:szCs w:val="24"/>
          <w:lang w:eastAsia="en-AU"/>
        </w:rPr>
        <w:t>1</w:t>
      </w:r>
      <w:r w:rsidRPr="006C682C">
        <w:rPr>
          <w:rFonts w:ascii="Times New Roman" w:eastAsia="Times New Roman" w:hAnsi="Times New Roman" w:cs="Times New Roman"/>
          <w:color w:val="000000"/>
          <w:sz w:val="24"/>
          <w:szCs w:val="24"/>
          <w:lang w:eastAsia="en-AU"/>
        </w:rPr>
        <w:t>0 penalty units.</w:t>
      </w:r>
      <w:r w:rsidR="00CF1FD8">
        <w:rPr>
          <w:rFonts w:ascii="Times New Roman" w:eastAsia="Times New Roman" w:hAnsi="Times New Roman" w:cs="Times New Roman"/>
          <w:color w:val="000000"/>
          <w:sz w:val="24"/>
          <w:szCs w:val="24"/>
          <w:lang w:eastAsia="en-AU"/>
        </w:rPr>
        <w:t xml:space="preserve"> </w:t>
      </w:r>
    </w:p>
    <w:p w14:paraId="7CB56526" w14:textId="78190F97" w:rsidR="003D0456" w:rsidRPr="006C682C" w:rsidRDefault="003D0456" w:rsidP="003D0456">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Not</w:t>
      </w:r>
      <w:r w:rsidR="00F41F39">
        <w:rPr>
          <w:rFonts w:ascii="Times New Roman" w:eastAsia="Times New Roman" w:hAnsi="Times New Roman" w:cs="Times New Roman"/>
          <w:color w:val="000000"/>
          <w:sz w:val="24"/>
          <w:szCs w:val="24"/>
          <w:lang w:eastAsia="en-AU"/>
        </w:rPr>
        <w:t>h</w:t>
      </w:r>
      <w:r>
        <w:rPr>
          <w:rFonts w:ascii="Times New Roman" w:eastAsia="Times New Roman" w:hAnsi="Times New Roman" w:cs="Times New Roman"/>
          <w:color w:val="000000"/>
          <w:sz w:val="24"/>
          <w:szCs w:val="24"/>
          <w:lang w:eastAsia="en-AU"/>
        </w:rPr>
        <w:t xml:space="preserve">ing in this provision </w:t>
      </w:r>
      <w:r w:rsidR="00F41F39">
        <w:rPr>
          <w:rFonts w:ascii="Times New Roman" w:eastAsia="Times New Roman" w:hAnsi="Times New Roman" w:cs="Times New Roman"/>
          <w:color w:val="000000"/>
          <w:sz w:val="24"/>
          <w:szCs w:val="24"/>
          <w:lang w:eastAsia="en-AU"/>
        </w:rPr>
        <w:t>abrogates</w:t>
      </w:r>
      <w:r>
        <w:rPr>
          <w:rFonts w:ascii="Times New Roman" w:eastAsia="Times New Roman" w:hAnsi="Times New Roman" w:cs="Times New Roman"/>
          <w:color w:val="000000"/>
          <w:sz w:val="24"/>
          <w:szCs w:val="24"/>
          <w:lang w:eastAsia="en-AU"/>
        </w:rPr>
        <w:t xml:space="preserve"> the common law </w:t>
      </w:r>
      <w:r w:rsidRPr="00373536">
        <w:rPr>
          <w:rFonts w:ascii="Times New Roman" w:eastAsia="Times New Roman" w:hAnsi="Times New Roman" w:cs="Times New Roman"/>
          <w:color w:val="000000"/>
          <w:sz w:val="24"/>
          <w:szCs w:val="24"/>
          <w:lang w:eastAsia="en-AU"/>
        </w:rPr>
        <w:t>privi</w:t>
      </w:r>
      <w:r>
        <w:rPr>
          <w:rFonts w:ascii="Times New Roman" w:eastAsia="Times New Roman" w:hAnsi="Times New Roman" w:cs="Times New Roman"/>
          <w:color w:val="000000"/>
          <w:sz w:val="24"/>
          <w:szCs w:val="24"/>
          <w:lang w:eastAsia="en-AU"/>
        </w:rPr>
        <w:t xml:space="preserve">lege against self-incrimination. </w:t>
      </w:r>
      <w:r w:rsidRPr="00373536">
        <w:rPr>
          <w:rFonts w:ascii="Times New Roman" w:eastAsia="Times New Roman" w:hAnsi="Times New Roman" w:cs="Times New Roman"/>
          <w:color w:val="000000"/>
          <w:sz w:val="24"/>
          <w:szCs w:val="24"/>
          <w:lang w:eastAsia="en-AU"/>
        </w:rPr>
        <w:t xml:space="preserve">Persons that </w:t>
      </w:r>
      <w:r>
        <w:rPr>
          <w:rFonts w:ascii="Times New Roman" w:eastAsia="Times New Roman" w:hAnsi="Times New Roman" w:cs="Times New Roman"/>
          <w:color w:val="000000"/>
          <w:sz w:val="24"/>
          <w:szCs w:val="24"/>
          <w:lang w:eastAsia="en-AU"/>
        </w:rPr>
        <w:t xml:space="preserve">are subject to the related offence under section 29, in reliance on the common law privilege against self-incrimination, will be able to refuse to give information </w:t>
      </w:r>
      <w:r w:rsidRPr="009F6136">
        <w:rPr>
          <w:rFonts w:ascii="Times New Roman" w:hAnsi="Times New Roman"/>
          <w:sz w:val="24"/>
        </w:rPr>
        <w:t xml:space="preserve">or </w:t>
      </w:r>
      <w:r>
        <w:rPr>
          <w:rFonts w:ascii="Times New Roman" w:hAnsi="Times New Roman"/>
          <w:sz w:val="24"/>
        </w:rPr>
        <w:t xml:space="preserve">produce documents if doing so </w:t>
      </w:r>
      <w:r w:rsidRPr="009F6136">
        <w:rPr>
          <w:rFonts w:ascii="Times New Roman" w:hAnsi="Times New Roman"/>
          <w:sz w:val="24"/>
        </w:rPr>
        <w:t>would tend to incriminate that person</w:t>
      </w:r>
      <w:r>
        <w:rPr>
          <w:rFonts w:ascii="Times New Roman" w:hAnsi="Times New Roman"/>
          <w:sz w:val="24"/>
        </w:rPr>
        <w:t xml:space="preserve"> or expose them to penalty</w:t>
      </w:r>
      <w:r>
        <w:rPr>
          <w:rFonts w:ascii="Times New Roman" w:eastAsia="Times New Roman" w:hAnsi="Times New Roman" w:cs="Times New Roman"/>
          <w:color w:val="000000"/>
          <w:sz w:val="24"/>
          <w:szCs w:val="24"/>
          <w:lang w:eastAsia="en-AU"/>
        </w:rPr>
        <w:t xml:space="preserve">. In addition, they may </w:t>
      </w:r>
      <w:r w:rsidRPr="00373536">
        <w:rPr>
          <w:rFonts w:ascii="Times New Roman" w:eastAsia="Times New Roman" w:hAnsi="Times New Roman" w:cs="Times New Roman"/>
          <w:color w:val="000000"/>
          <w:sz w:val="24"/>
          <w:szCs w:val="24"/>
          <w:lang w:eastAsia="en-AU"/>
        </w:rPr>
        <w:t xml:space="preserve">be able to rely on the defences in </w:t>
      </w:r>
      <w:r>
        <w:rPr>
          <w:rFonts w:ascii="Times New Roman" w:eastAsia="Times New Roman" w:hAnsi="Times New Roman" w:cs="Times New Roman"/>
          <w:color w:val="000000"/>
          <w:sz w:val="24"/>
          <w:szCs w:val="24"/>
          <w:lang w:eastAsia="en-AU"/>
        </w:rPr>
        <w:t xml:space="preserve">Part </w:t>
      </w:r>
      <w:r w:rsidRPr="009F4C41">
        <w:rPr>
          <w:rFonts w:ascii="Times New Roman" w:eastAsia="Times New Roman" w:hAnsi="Times New Roman" w:cs="Times New Roman"/>
          <w:color w:val="000000"/>
          <w:sz w:val="24"/>
          <w:szCs w:val="24"/>
          <w:lang w:eastAsia="en-AU"/>
        </w:rPr>
        <w:t xml:space="preserve">2.3 </w:t>
      </w:r>
      <w:r>
        <w:rPr>
          <w:rFonts w:ascii="Times New Roman" w:eastAsia="Times New Roman" w:hAnsi="Times New Roman" w:cs="Times New Roman"/>
          <w:color w:val="000000"/>
          <w:sz w:val="24"/>
          <w:szCs w:val="24"/>
          <w:lang w:eastAsia="en-AU"/>
        </w:rPr>
        <w:t xml:space="preserve">of the </w:t>
      </w:r>
      <w:r w:rsidRPr="00373536">
        <w:rPr>
          <w:rFonts w:ascii="Times New Roman" w:eastAsia="Times New Roman" w:hAnsi="Times New Roman" w:cs="Times New Roman"/>
          <w:color w:val="000000"/>
          <w:sz w:val="24"/>
          <w:szCs w:val="24"/>
          <w:lang w:eastAsia="en-AU"/>
        </w:rPr>
        <w:t xml:space="preserve">Criminal Code, including the defence of honest and reasonable mistake of fact. </w:t>
      </w:r>
    </w:p>
    <w:p w14:paraId="07C7A8D4" w14:textId="5608EC0B" w:rsidR="0018373A" w:rsidRPr="00066D43" w:rsidRDefault="0018373A" w:rsidP="0018373A">
      <w:pPr>
        <w:pStyle w:val="ActHead5"/>
        <w:rPr>
          <w:szCs w:val="24"/>
        </w:rPr>
      </w:pPr>
      <w:r w:rsidRPr="00066D43">
        <w:rPr>
          <w:rStyle w:val="CharSectno"/>
          <w:szCs w:val="24"/>
        </w:rPr>
        <w:t xml:space="preserve">Section </w:t>
      </w:r>
      <w:r>
        <w:rPr>
          <w:rStyle w:val="CharSectno"/>
          <w:szCs w:val="24"/>
        </w:rPr>
        <w:t>30</w:t>
      </w:r>
      <w:r w:rsidRPr="00066D43">
        <w:rPr>
          <w:szCs w:val="24"/>
        </w:rPr>
        <w:t xml:space="preserve"> - </w:t>
      </w:r>
      <w:r w:rsidRPr="0018373A">
        <w:rPr>
          <w:szCs w:val="24"/>
        </w:rPr>
        <w:t>Intimidation etc.</w:t>
      </w:r>
    </w:p>
    <w:p w14:paraId="3AE9765D" w14:textId="677F0C05" w:rsidR="006C682C" w:rsidRPr="006C682C" w:rsidRDefault="002C0D81" w:rsidP="006C682C">
      <w:pPr>
        <w:shd w:val="clear" w:color="auto" w:fill="FFFFFF"/>
        <w:spacing w:before="180" w:after="0" w:line="240" w:lineRule="auto"/>
        <w:ind w:left="1134" w:hanging="1134"/>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w:t>
      </w:r>
      <w:r w:rsidR="006C682C">
        <w:rPr>
          <w:rFonts w:ascii="Times New Roman" w:eastAsia="Times New Roman" w:hAnsi="Times New Roman" w:cs="Times New Roman"/>
          <w:color w:val="000000"/>
          <w:sz w:val="24"/>
          <w:szCs w:val="24"/>
          <w:lang w:eastAsia="en-AU"/>
        </w:rPr>
        <w:t xml:space="preserve"> 30</w:t>
      </w:r>
      <w:r w:rsidR="00BA7F44">
        <w:rPr>
          <w:rFonts w:ascii="Times New Roman" w:eastAsia="Times New Roman" w:hAnsi="Times New Roman" w:cs="Times New Roman"/>
          <w:color w:val="000000"/>
          <w:sz w:val="24"/>
          <w:szCs w:val="24"/>
          <w:lang w:eastAsia="en-AU"/>
        </w:rPr>
        <w:t>(1)</w:t>
      </w:r>
      <w:r w:rsidR="00E511DA">
        <w:rPr>
          <w:rFonts w:ascii="Times New Roman" w:eastAsia="Times New Roman" w:hAnsi="Times New Roman" w:cs="Times New Roman"/>
          <w:color w:val="000000"/>
          <w:sz w:val="24"/>
          <w:szCs w:val="24"/>
          <w:lang w:eastAsia="en-AU"/>
        </w:rPr>
        <w:t xml:space="preserve"> </w:t>
      </w:r>
      <w:r w:rsidR="006C682C" w:rsidRPr="006C682C">
        <w:rPr>
          <w:rFonts w:ascii="Times New Roman" w:eastAsia="Times New Roman" w:hAnsi="Times New Roman" w:cs="Times New Roman"/>
          <w:color w:val="000000"/>
          <w:sz w:val="24"/>
          <w:szCs w:val="24"/>
          <w:lang w:eastAsia="en-AU"/>
        </w:rPr>
        <w:t>provides that it is an offence for a person to engages in conduct that</w:t>
      </w:r>
    </w:p>
    <w:p w14:paraId="296EA4EE" w14:textId="0FFD04F2" w:rsidR="006C682C" w:rsidRPr="006C682C" w:rsidRDefault="004377BE" w:rsidP="006C682C">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6C682C" w:rsidRPr="006C682C">
        <w:rPr>
          <w:color w:val="000000"/>
          <w:sz w:val="24"/>
          <w:szCs w:val="24"/>
          <w:shd w:val="clear" w:color="auto" w:fill="FFFFFF"/>
        </w:rPr>
        <w:t>hreatens, intimidates or coerces another person or causes damage, disadvantage or loss to another person</w:t>
      </w:r>
      <w:r>
        <w:rPr>
          <w:color w:val="000000"/>
          <w:sz w:val="24"/>
          <w:szCs w:val="24"/>
          <w:shd w:val="clear" w:color="auto" w:fill="FFFFFF"/>
        </w:rPr>
        <w:t>;</w:t>
      </w:r>
      <w:r w:rsidR="006C682C" w:rsidRPr="006C682C">
        <w:rPr>
          <w:color w:val="000000"/>
          <w:sz w:val="24"/>
          <w:szCs w:val="24"/>
          <w:shd w:val="clear" w:color="auto" w:fill="FFFFFF"/>
        </w:rPr>
        <w:t xml:space="preserve"> and</w:t>
      </w:r>
    </w:p>
    <w:p w14:paraId="14B9FB75" w14:textId="2EE67C58" w:rsidR="006C682C" w:rsidRPr="006C682C" w:rsidRDefault="004377BE" w:rsidP="006C682C">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 xml:space="preserve">does so </w:t>
      </w:r>
      <w:r w:rsidR="006C682C" w:rsidRPr="006C682C">
        <w:rPr>
          <w:color w:val="000000"/>
          <w:sz w:val="24"/>
          <w:szCs w:val="24"/>
          <w:shd w:val="clear" w:color="auto" w:fill="FFFFFF"/>
        </w:rPr>
        <w:t>because the other person has attended, or proposes to attend, before the ACCC to give evidence at an arbitration hearing, or has produced, or proposes to produce, a doc</w:t>
      </w:r>
      <w:r w:rsidR="006C682C">
        <w:rPr>
          <w:color w:val="000000"/>
          <w:sz w:val="24"/>
          <w:szCs w:val="24"/>
          <w:shd w:val="clear" w:color="auto" w:fill="FFFFFF"/>
        </w:rPr>
        <w:t>ument to the ACCC (paragraph 30</w:t>
      </w:r>
      <w:r w:rsidR="00BA7F44">
        <w:rPr>
          <w:color w:val="000000"/>
          <w:sz w:val="24"/>
          <w:szCs w:val="24"/>
          <w:shd w:val="clear" w:color="auto" w:fill="FFFFFF"/>
        </w:rPr>
        <w:t>(1)</w:t>
      </w:r>
      <w:r w:rsidR="006C682C" w:rsidRPr="006C682C">
        <w:rPr>
          <w:color w:val="000000"/>
          <w:sz w:val="24"/>
          <w:szCs w:val="24"/>
          <w:shd w:val="clear" w:color="auto" w:fill="FFFFFF"/>
        </w:rPr>
        <w:t>(b))</w:t>
      </w:r>
    </w:p>
    <w:p w14:paraId="3DF0656F" w14:textId="3EEB4228" w:rsidR="006C682C" w:rsidRDefault="00E511DA" w:rsidP="006C682C">
      <w:pPr>
        <w:shd w:val="clear" w:color="auto" w:fill="FFFFFF"/>
        <w:spacing w:before="180" w:after="0" w:line="240" w:lineRule="auto"/>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An offence committed under </w:t>
      </w:r>
      <w:r w:rsidR="00BA7F44">
        <w:rPr>
          <w:rFonts w:ascii="Times New Roman" w:eastAsia="Times New Roman" w:hAnsi="Times New Roman" w:cs="Times New Roman"/>
          <w:color w:val="000000"/>
          <w:sz w:val="24"/>
          <w:szCs w:val="24"/>
          <w:lang w:eastAsia="en-AU"/>
        </w:rPr>
        <w:t>sub</w:t>
      </w:r>
      <w:r>
        <w:rPr>
          <w:rFonts w:ascii="Times New Roman" w:eastAsia="Times New Roman" w:hAnsi="Times New Roman" w:cs="Times New Roman"/>
          <w:color w:val="000000"/>
          <w:sz w:val="24"/>
          <w:szCs w:val="24"/>
          <w:lang w:eastAsia="en-AU"/>
        </w:rPr>
        <w:t>section 30</w:t>
      </w:r>
      <w:r w:rsidR="00BA7F44">
        <w:rPr>
          <w:rFonts w:ascii="Times New Roman" w:eastAsia="Times New Roman" w:hAnsi="Times New Roman" w:cs="Times New Roman"/>
          <w:color w:val="000000"/>
          <w:sz w:val="24"/>
          <w:szCs w:val="24"/>
          <w:lang w:eastAsia="en-AU"/>
        </w:rPr>
        <w:t>(1)</w:t>
      </w:r>
      <w:r w:rsidR="006C682C">
        <w:rPr>
          <w:rFonts w:ascii="Times New Roman" w:eastAsia="Times New Roman" w:hAnsi="Times New Roman" w:cs="Times New Roman"/>
          <w:color w:val="000000"/>
          <w:sz w:val="24"/>
          <w:szCs w:val="24"/>
          <w:lang w:eastAsia="en-AU"/>
        </w:rPr>
        <w:t xml:space="preserve"> attracts 3</w:t>
      </w:r>
      <w:r w:rsidR="006C682C" w:rsidRPr="006C682C">
        <w:rPr>
          <w:rFonts w:ascii="Times New Roman" w:eastAsia="Times New Roman" w:hAnsi="Times New Roman" w:cs="Times New Roman"/>
          <w:color w:val="000000"/>
          <w:sz w:val="24"/>
          <w:szCs w:val="24"/>
          <w:lang w:eastAsia="en-AU"/>
        </w:rPr>
        <w:t>0 penalty units.</w:t>
      </w:r>
    </w:p>
    <w:p w14:paraId="6255DAE9" w14:textId="632B578F" w:rsidR="00BA7F44" w:rsidRPr="006C682C" w:rsidRDefault="00BA7F44" w:rsidP="006C682C">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 xml:space="preserve">Subsection 30(2) provides that strict liability applies to the physical element in paragraph 30(1)(b) of the offence.  Strict liability is justified in this case because the particular conduct involved (for example, treats, intimidation, causing </w:t>
      </w:r>
      <w:r w:rsidR="002C0D81">
        <w:rPr>
          <w:rFonts w:ascii="Times New Roman" w:eastAsia="Times New Roman" w:hAnsi="Times New Roman" w:cs="Times New Roman"/>
          <w:color w:val="000000"/>
          <w:sz w:val="24"/>
          <w:szCs w:val="24"/>
          <w:lang w:eastAsia="en-AU"/>
        </w:rPr>
        <w:t>damage</w:t>
      </w:r>
      <w:r>
        <w:rPr>
          <w:rFonts w:ascii="Times New Roman" w:eastAsia="Times New Roman" w:hAnsi="Times New Roman" w:cs="Times New Roman"/>
          <w:color w:val="000000"/>
          <w:sz w:val="24"/>
          <w:szCs w:val="24"/>
          <w:lang w:eastAsia="en-AU"/>
        </w:rPr>
        <w:t xml:space="preserve">, disadvantage or loss) could prevent an arbitration from being conducted, or pervert the outcomes of the arbitration.   </w:t>
      </w:r>
    </w:p>
    <w:p w14:paraId="70958DF3" w14:textId="28E3C54C" w:rsidR="0018373A" w:rsidRPr="00E511DA" w:rsidRDefault="0018373A" w:rsidP="00E511DA">
      <w:pPr>
        <w:pStyle w:val="ActHead5"/>
        <w:rPr>
          <w:rStyle w:val="CharSectno"/>
        </w:rPr>
      </w:pPr>
      <w:r w:rsidRPr="00066D43">
        <w:rPr>
          <w:rStyle w:val="CharSectno"/>
          <w:szCs w:val="24"/>
        </w:rPr>
        <w:t xml:space="preserve">Section </w:t>
      </w:r>
      <w:r>
        <w:rPr>
          <w:rStyle w:val="CharSectno"/>
          <w:szCs w:val="24"/>
        </w:rPr>
        <w:t>31</w:t>
      </w:r>
      <w:r w:rsidRPr="00E511DA">
        <w:rPr>
          <w:rStyle w:val="CharSectno"/>
        </w:rPr>
        <w:t xml:space="preserve"> - Disturbing an arbitration hearing etc.</w:t>
      </w:r>
    </w:p>
    <w:p w14:paraId="344B4D64" w14:textId="33DE2A83" w:rsidR="006C682C" w:rsidRPr="006C682C" w:rsidRDefault="006C682C" w:rsidP="006C682C">
      <w:pPr>
        <w:shd w:val="clear" w:color="auto" w:fill="FFFFFF"/>
        <w:spacing w:before="180" w:after="0" w:line="240" w:lineRule="auto"/>
        <w:ind w:left="1134" w:hanging="1134"/>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Section 31</w:t>
      </w:r>
      <w:r w:rsidRPr="006C682C">
        <w:rPr>
          <w:rFonts w:ascii="Times New Roman" w:eastAsia="Times New Roman" w:hAnsi="Times New Roman" w:cs="Times New Roman"/>
          <w:color w:val="000000"/>
          <w:sz w:val="24"/>
          <w:szCs w:val="24"/>
          <w:lang w:eastAsia="en-AU"/>
        </w:rPr>
        <w:t xml:space="preserve"> provides that a person commits an offence if the person:</w:t>
      </w:r>
    </w:p>
    <w:p w14:paraId="47E4CF9E" w14:textId="2EFABE43" w:rsidR="006C682C" w:rsidRPr="006C682C" w:rsidRDefault="006C682C" w:rsidP="006C682C">
      <w:pPr>
        <w:pStyle w:val="paragraphsub"/>
        <w:numPr>
          <w:ilvl w:val="0"/>
          <w:numId w:val="14"/>
        </w:numPr>
        <w:tabs>
          <w:tab w:val="clear" w:pos="1985"/>
        </w:tabs>
        <w:spacing w:before="180"/>
        <w:rPr>
          <w:color w:val="000000"/>
          <w:sz w:val="24"/>
          <w:szCs w:val="24"/>
          <w:shd w:val="clear" w:color="auto" w:fill="FFFFFF"/>
        </w:rPr>
      </w:pPr>
      <w:r w:rsidRPr="006C682C">
        <w:rPr>
          <w:color w:val="000000"/>
          <w:sz w:val="24"/>
          <w:szCs w:val="24"/>
          <w:shd w:val="clear" w:color="auto" w:fill="FFFFFF"/>
        </w:rPr>
        <w:t>insults, disturbs or uses insulting language towards an ACCC member exercising powers, or performing functions or duties for the purposes of an arbitration hearing</w:t>
      </w:r>
      <w:r w:rsidR="004377BE">
        <w:rPr>
          <w:color w:val="000000"/>
          <w:sz w:val="24"/>
          <w:szCs w:val="24"/>
          <w:shd w:val="clear" w:color="auto" w:fill="FFFFFF"/>
        </w:rPr>
        <w:t>;</w:t>
      </w:r>
      <w:r w:rsidRPr="006C682C">
        <w:rPr>
          <w:color w:val="000000"/>
          <w:sz w:val="24"/>
          <w:szCs w:val="24"/>
          <w:shd w:val="clear" w:color="auto" w:fill="FFFFFF"/>
        </w:rPr>
        <w:t xml:space="preserve"> or</w:t>
      </w:r>
    </w:p>
    <w:p w14:paraId="2FFDB585" w14:textId="32348C75" w:rsidR="006C682C" w:rsidRPr="006C682C" w:rsidRDefault="006C682C" w:rsidP="006C682C">
      <w:pPr>
        <w:pStyle w:val="paragraphsub"/>
        <w:numPr>
          <w:ilvl w:val="0"/>
          <w:numId w:val="14"/>
        </w:numPr>
        <w:tabs>
          <w:tab w:val="clear" w:pos="1985"/>
        </w:tabs>
        <w:spacing w:before="180"/>
        <w:rPr>
          <w:color w:val="000000"/>
          <w:sz w:val="24"/>
          <w:szCs w:val="24"/>
          <w:shd w:val="clear" w:color="auto" w:fill="FFFFFF"/>
        </w:rPr>
      </w:pPr>
      <w:r w:rsidRPr="006C682C">
        <w:rPr>
          <w:color w:val="000000"/>
          <w:sz w:val="24"/>
          <w:szCs w:val="24"/>
          <w:shd w:val="clear" w:color="auto" w:fill="FFFFFF"/>
        </w:rPr>
        <w:t>interrupts an arbitration hearing</w:t>
      </w:r>
      <w:r w:rsidR="004377BE">
        <w:rPr>
          <w:color w:val="000000"/>
          <w:sz w:val="24"/>
          <w:szCs w:val="24"/>
          <w:shd w:val="clear" w:color="auto" w:fill="FFFFFF"/>
        </w:rPr>
        <w:t>;</w:t>
      </w:r>
      <w:r w:rsidRPr="006C682C">
        <w:rPr>
          <w:color w:val="000000"/>
          <w:sz w:val="24"/>
          <w:szCs w:val="24"/>
          <w:shd w:val="clear" w:color="auto" w:fill="FFFFFF"/>
        </w:rPr>
        <w:t xml:space="preserve"> or</w:t>
      </w:r>
    </w:p>
    <w:p w14:paraId="33296FFB" w14:textId="4B1264A5" w:rsidR="006C682C" w:rsidRPr="006C682C" w:rsidRDefault="006C682C" w:rsidP="006C682C">
      <w:pPr>
        <w:pStyle w:val="paragraphsub"/>
        <w:numPr>
          <w:ilvl w:val="0"/>
          <w:numId w:val="14"/>
        </w:numPr>
        <w:tabs>
          <w:tab w:val="clear" w:pos="1985"/>
        </w:tabs>
        <w:spacing w:before="180"/>
        <w:rPr>
          <w:color w:val="000000"/>
          <w:sz w:val="24"/>
          <w:szCs w:val="24"/>
          <w:shd w:val="clear" w:color="auto" w:fill="FFFFFF"/>
        </w:rPr>
      </w:pPr>
      <w:r w:rsidRPr="006C682C">
        <w:rPr>
          <w:color w:val="000000"/>
          <w:sz w:val="24"/>
          <w:szCs w:val="24"/>
          <w:shd w:val="clear" w:color="auto" w:fill="FFFFFF"/>
        </w:rPr>
        <w:t>creates a disturbance, or participates in creating or continuing a disturbance, in a place where an arbitration hearing is being conducted</w:t>
      </w:r>
      <w:r w:rsidR="004377BE">
        <w:rPr>
          <w:color w:val="000000"/>
          <w:sz w:val="24"/>
          <w:szCs w:val="24"/>
          <w:shd w:val="clear" w:color="auto" w:fill="FFFFFF"/>
        </w:rPr>
        <w:t>.</w:t>
      </w:r>
    </w:p>
    <w:p w14:paraId="34738CED" w14:textId="79FB6A90" w:rsidR="0018373A" w:rsidRPr="006C682C" w:rsidRDefault="006C682C" w:rsidP="006C682C">
      <w:pPr>
        <w:shd w:val="clear" w:color="auto" w:fill="FFFFFF"/>
        <w:spacing w:before="180" w:after="0" w:line="240" w:lineRule="auto"/>
        <w:rPr>
          <w:rFonts w:ascii="Times New Roman" w:eastAsia="Times New Roman" w:hAnsi="Times New Roman" w:cs="Times New Roman"/>
          <w:color w:val="000000"/>
          <w:lang w:eastAsia="en-AU"/>
        </w:rPr>
      </w:pPr>
      <w:r w:rsidRPr="006C682C">
        <w:rPr>
          <w:rFonts w:ascii="Times New Roman" w:eastAsia="Times New Roman" w:hAnsi="Times New Roman" w:cs="Times New Roman"/>
          <w:color w:val="000000"/>
          <w:sz w:val="24"/>
          <w:szCs w:val="24"/>
          <w:lang w:eastAsia="en-AU"/>
        </w:rPr>
        <w:t>An offence commi</w:t>
      </w:r>
      <w:r>
        <w:rPr>
          <w:rFonts w:ascii="Times New Roman" w:eastAsia="Times New Roman" w:hAnsi="Times New Roman" w:cs="Times New Roman"/>
          <w:color w:val="000000"/>
          <w:sz w:val="24"/>
          <w:szCs w:val="24"/>
          <w:lang w:eastAsia="en-AU"/>
        </w:rPr>
        <w:t>tted under section 31 attracts 3</w:t>
      </w:r>
      <w:r w:rsidRPr="006C682C">
        <w:rPr>
          <w:rFonts w:ascii="Times New Roman" w:eastAsia="Times New Roman" w:hAnsi="Times New Roman" w:cs="Times New Roman"/>
          <w:color w:val="000000"/>
          <w:sz w:val="24"/>
          <w:szCs w:val="24"/>
          <w:lang w:eastAsia="en-AU"/>
        </w:rPr>
        <w:t>0 penalty units.</w:t>
      </w:r>
    </w:p>
    <w:p w14:paraId="47AFDF0D" w14:textId="13D7B0DE" w:rsidR="0018373A" w:rsidRPr="00206AD8" w:rsidRDefault="0018373A" w:rsidP="0018373A">
      <w:pPr>
        <w:pStyle w:val="ActHead3"/>
        <w:ind w:left="0" w:firstLine="0"/>
        <w:rPr>
          <w:sz w:val="24"/>
          <w:szCs w:val="24"/>
        </w:rPr>
      </w:pPr>
      <w:r>
        <w:rPr>
          <w:sz w:val="24"/>
          <w:szCs w:val="24"/>
        </w:rPr>
        <w:t>Division 7</w:t>
      </w:r>
      <w:r w:rsidRPr="00B24D75">
        <w:t xml:space="preserve"> </w:t>
      </w:r>
      <w:r w:rsidRPr="00B24D75">
        <w:rPr>
          <w:sz w:val="24"/>
          <w:szCs w:val="24"/>
        </w:rPr>
        <w:t>—</w:t>
      </w:r>
      <w:r w:rsidRPr="00206AD8">
        <w:t xml:space="preserve"> </w:t>
      </w:r>
      <w:r>
        <w:rPr>
          <w:sz w:val="24"/>
          <w:szCs w:val="24"/>
        </w:rPr>
        <w:t>Miscellaneous</w:t>
      </w:r>
    </w:p>
    <w:p w14:paraId="410CCF69" w14:textId="77E12F12" w:rsidR="0018373A" w:rsidRPr="00066D43" w:rsidRDefault="0018373A" w:rsidP="0018373A">
      <w:pPr>
        <w:pStyle w:val="ActHead5"/>
        <w:rPr>
          <w:szCs w:val="24"/>
        </w:rPr>
      </w:pPr>
      <w:r w:rsidRPr="00066D43">
        <w:rPr>
          <w:rStyle w:val="CharSectno"/>
          <w:szCs w:val="24"/>
        </w:rPr>
        <w:t xml:space="preserve">Section </w:t>
      </w:r>
      <w:r>
        <w:rPr>
          <w:rStyle w:val="CharSectno"/>
          <w:szCs w:val="24"/>
        </w:rPr>
        <w:t>32</w:t>
      </w:r>
      <w:r w:rsidRPr="00066D43">
        <w:rPr>
          <w:szCs w:val="24"/>
        </w:rPr>
        <w:t xml:space="preserve"> - </w:t>
      </w:r>
      <w:r w:rsidRPr="0018373A">
        <w:rPr>
          <w:szCs w:val="24"/>
        </w:rPr>
        <w:t>Parties may request ACCC to treat material as confidential</w:t>
      </w:r>
    </w:p>
    <w:p w14:paraId="3E9D8BEC" w14:textId="21449E4C" w:rsidR="00507A24" w:rsidRPr="00507A24" w:rsidRDefault="00507A24" w:rsidP="00507A24">
      <w:pPr>
        <w:shd w:val="clear" w:color="auto" w:fill="FFFFFF"/>
        <w:spacing w:before="180" w:after="0" w:line="240" w:lineRule="auto"/>
        <w:ind w:left="1134" w:hanging="1134"/>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32</w:t>
      </w:r>
      <w:r w:rsidRPr="00507A24">
        <w:rPr>
          <w:rFonts w:ascii="Times New Roman" w:eastAsia="Times New Roman" w:hAnsi="Times New Roman" w:cs="Times New Roman"/>
          <w:color w:val="000000"/>
          <w:sz w:val="24"/>
          <w:szCs w:val="24"/>
          <w:lang w:eastAsia="en-AU"/>
        </w:rPr>
        <w:t>(1) provides that a party may:</w:t>
      </w:r>
    </w:p>
    <w:p w14:paraId="3D0DC110" w14:textId="62CBF3AF" w:rsidR="00507A24" w:rsidRPr="00507A24" w:rsidRDefault="004377BE" w:rsidP="00507A24">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i</w:t>
      </w:r>
      <w:r w:rsidR="00507A24" w:rsidRPr="00507A24">
        <w:rPr>
          <w:color w:val="000000"/>
          <w:sz w:val="24"/>
          <w:szCs w:val="24"/>
          <w:shd w:val="clear" w:color="auto" w:fill="FFFFFF"/>
        </w:rPr>
        <w:t>nform the ACCC that a certain part of a document contains confidential information in that party’s opinion</w:t>
      </w:r>
      <w:r>
        <w:rPr>
          <w:color w:val="000000"/>
          <w:sz w:val="24"/>
          <w:szCs w:val="24"/>
          <w:shd w:val="clear" w:color="auto" w:fill="FFFFFF"/>
        </w:rPr>
        <w:t>; and</w:t>
      </w:r>
    </w:p>
    <w:p w14:paraId="53B464F8" w14:textId="2FC7DA6B" w:rsidR="00507A24" w:rsidRPr="00507A24" w:rsidRDefault="004377BE" w:rsidP="00507A24">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r</w:t>
      </w:r>
      <w:r w:rsidR="00507A24" w:rsidRPr="00507A24">
        <w:rPr>
          <w:color w:val="000000"/>
          <w:sz w:val="24"/>
          <w:szCs w:val="24"/>
          <w:shd w:val="clear" w:color="auto" w:fill="FFFFFF"/>
        </w:rPr>
        <w:t>equest the ACCC not to give a copy of that part of the document to another party</w:t>
      </w:r>
      <w:r>
        <w:rPr>
          <w:color w:val="000000"/>
          <w:sz w:val="24"/>
          <w:szCs w:val="24"/>
          <w:shd w:val="clear" w:color="auto" w:fill="FFFFFF"/>
        </w:rPr>
        <w:t>.</w:t>
      </w:r>
    </w:p>
    <w:p w14:paraId="4A9255FC" w14:textId="77777777" w:rsidR="00507A24" w:rsidRPr="00507A24" w:rsidRDefault="00507A24" w:rsidP="00507A24">
      <w:pPr>
        <w:shd w:val="clear" w:color="auto" w:fill="FFFFFF"/>
        <w:spacing w:before="180" w:after="0" w:line="240" w:lineRule="auto"/>
        <w:rPr>
          <w:rFonts w:ascii="Times New Roman" w:eastAsia="Times New Roman" w:hAnsi="Times New Roman" w:cs="Times New Roman"/>
          <w:color w:val="000000"/>
          <w:lang w:eastAsia="en-AU"/>
        </w:rPr>
      </w:pPr>
      <w:r w:rsidRPr="00507A24">
        <w:rPr>
          <w:rFonts w:ascii="Times New Roman" w:eastAsia="Times New Roman" w:hAnsi="Times New Roman" w:cs="Times New Roman"/>
          <w:color w:val="000000"/>
          <w:sz w:val="24"/>
          <w:szCs w:val="24"/>
          <w:lang w:eastAsia="en-AU"/>
        </w:rPr>
        <w:t>This provides assurance to a party that information that may damage its competitive position within the market, if disclosed to a competitor, will not be disclosed.</w:t>
      </w:r>
    </w:p>
    <w:p w14:paraId="6AF980DB" w14:textId="1F2AA920" w:rsidR="00507A24" w:rsidRPr="00507A24" w:rsidRDefault="00507A24" w:rsidP="00507A24">
      <w:pPr>
        <w:shd w:val="clear" w:color="auto" w:fill="FFFFFF"/>
        <w:spacing w:before="180" w:after="0" w:line="240" w:lineRule="auto"/>
        <w:rPr>
          <w:rFonts w:ascii="Times New Roman" w:eastAsia="Times New Roman" w:hAnsi="Times New Roman" w:cs="Times New Roman"/>
          <w:color w:val="000000"/>
          <w:lang w:eastAsia="en-AU"/>
        </w:rPr>
      </w:pPr>
      <w:r w:rsidRPr="00507A24">
        <w:rPr>
          <w:rFonts w:ascii="Times New Roman" w:eastAsia="Times New Roman" w:hAnsi="Times New Roman" w:cs="Times New Roman"/>
          <w:color w:val="000000"/>
          <w:sz w:val="24"/>
          <w:szCs w:val="24"/>
          <w:lang w:eastAsia="en-AU"/>
        </w:rPr>
        <w:t>Subsectio</w:t>
      </w:r>
      <w:r>
        <w:rPr>
          <w:rFonts w:ascii="Times New Roman" w:eastAsia="Times New Roman" w:hAnsi="Times New Roman" w:cs="Times New Roman"/>
          <w:color w:val="000000"/>
          <w:sz w:val="24"/>
          <w:szCs w:val="24"/>
          <w:lang w:eastAsia="en-AU"/>
        </w:rPr>
        <w:t>n 32</w:t>
      </w:r>
      <w:r w:rsidRPr="00507A24">
        <w:rPr>
          <w:rFonts w:ascii="Times New Roman" w:eastAsia="Times New Roman" w:hAnsi="Times New Roman" w:cs="Times New Roman"/>
          <w:color w:val="000000"/>
          <w:sz w:val="24"/>
          <w:szCs w:val="24"/>
          <w:lang w:eastAsia="en-AU"/>
        </w:rPr>
        <w:t>(2) provides that, if the ACCC receives a request under paragraph 3</w:t>
      </w:r>
      <w:r>
        <w:rPr>
          <w:rFonts w:ascii="Times New Roman" w:eastAsia="Times New Roman" w:hAnsi="Times New Roman" w:cs="Times New Roman"/>
          <w:color w:val="000000"/>
          <w:sz w:val="24"/>
          <w:szCs w:val="24"/>
          <w:lang w:eastAsia="en-AU"/>
        </w:rPr>
        <w:t>2</w:t>
      </w:r>
      <w:r w:rsidRPr="00507A24">
        <w:rPr>
          <w:rFonts w:ascii="Times New Roman" w:eastAsia="Times New Roman" w:hAnsi="Times New Roman" w:cs="Times New Roman"/>
          <w:color w:val="000000"/>
          <w:sz w:val="24"/>
          <w:szCs w:val="24"/>
          <w:lang w:eastAsia="en-AU"/>
        </w:rPr>
        <w:t>(1)(b), it must:</w:t>
      </w:r>
    </w:p>
    <w:p w14:paraId="00D14960" w14:textId="4E1BB78E" w:rsidR="00507A24" w:rsidRPr="00507A24" w:rsidRDefault="00507A24" w:rsidP="00507A24">
      <w:pPr>
        <w:pStyle w:val="paragraphsub"/>
        <w:numPr>
          <w:ilvl w:val="0"/>
          <w:numId w:val="14"/>
        </w:numPr>
        <w:tabs>
          <w:tab w:val="clear" w:pos="1985"/>
        </w:tabs>
        <w:spacing w:before="180"/>
        <w:rPr>
          <w:color w:val="000000"/>
          <w:sz w:val="24"/>
          <w:szCs w:val="24"/>
          <w:shd w:val="clear" w:color="auto" w:fill="FFFFFF"/>
        </w:rPr>
      </w:pPr>
      <w:r w:rsidRPr="00507A24">
        <w:rPr>
          <w:color w:val="000000"/>
          <w:sz w:val="24"/>
          <w:szCs w:val="24"/>
          <w:shd w:val="clear" w:color="auto" w:fill="FFFFFF"/>
        </w:rPr>
        <w:t>Inform the other party that the request has been made and of the general nature of the matters to which the relevant part of the document relates</w:t>
      </w:r>
      <w:r w:rsidR="004377BE">
        <w:rPr>
          <w:color w:val="000000"/>
          <w:sz w:val="24"/>
          <w:szCs w:val="24"/>
          <w:shd w:val="clear" w:color="auto" w:fill="FFFFFF"/>
        </w:rPr>
        <w:t>; and</w:t>
      </w:r>
    </w:p>
    <w:p w14:paraId="77F88611" w14:textId="0AEF585E" w:rsidR="00507A24" w:rsidRPr="00507A24" w:rsidRDefault="00507A24" w:rsidP="00507A24">
      <w:pPr>
        <w:pStyle w:val="paragraphsub"/>
        <w:numPr>
          <w:ilvl w:val="0"/>
          <w:numId w:val="14"/>
        </w:numPr>
        <w:tabs>
          <w:tab w:val="clear" w:pos="1985"/>
        </w:tabs>
        <w:spacing w:before="180"/>
        <w:rPr>
          <w:color w:val="000000"/>
          <w:sz w:val="24"/>
          <w:szCs w:val="24"/>
          <w:shd w:val="clear" w:color="auto" w:fill="FFFFFF"/>
        </w:rPr>
      </w:pPr>
      <w:r w:rsidRPr="00507A24">
        <w:rPr>
          <w:color w:val="000000"/>
          <w:sz w:val="24"/>
          <w:szCs w:val="24"/>
          <w:shd w:val="clear" w:color="auto" w:fill="FFFFFF"/>
        </w:rPr>
        <w:t>Ask the other party whether it objects to the ACCC complying with the request</w:t>
      </w:r>
      <w:r w:rsidR="004377BE">
        <w:rPr>
          <w:color w:val="000000"/>
          <w:sz w:val="24"/>
          <w:szCs w:val="24"/>
          <w:shd w:val="clear" w:color="auto" w:fill="FFFFFF"/>
        </w:rPr>
        <w:t>.</w:t>
      </w:r>
    </w:p>
    <w:p w14:paraId="143C421A" w14:textId="6C96185D" w:rsidR="00507A24" w:rsidRPr="00507A24" w:rsidRDefault="00507A24" w:rsidP="00507A24">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32</w:t>
      </w:r>
      <w:r w:rsidRPr="00507A24">
        <w:rPr>
          <w:rFonts w:ascii="Times New Roman" w:eastAsia="Times New Roman" w:hAnsi="Times New Roman" w:cs="Times New Roman"/>
          <w:color w:val="000000"/>
          <w:sz w:val="24"/>
          <w:szCs w:val="24"/>
          <w:lang w:eastAsia="en-AU"/>
        </w:rPr>
        <w:t>(3) provides that, if there is an objection to the ACCC complying with the request, the party having the objection may inform the ACCC of its objection and of the reasons for it.</w:t>
      </w:r>
    </w:p>
    <w:p w14:paraId="66C08B20" w14:textId="734143C4" w:rsidR="00507A24" w:rsidRPr="00507A24" w:rsidRDefault="00507A24" w:rsidP="00507A24">
      <w:pPr>
        <w:shd w:val="clear" w:color="auto" w:fill="FFFFFF"/>
        <w:spacing w:before="180" w:after="0" w:line="240" w:lineRule="auto"/>
        <w:rPr>
          <w:rFonts w:ascii="Times New Roman" w:eastAsia="Times New Roman" w:hAnsi="Times New Roman" w:cs="Times New Roman"/>
          <w:color w:val="000000"/>
          <w:lang w:eastAsia="en-AU"/>
        </w:rPr>
      </w:pPr>
      <w:r>
        <w:rPr>
          <w:rFonts w:ascii="Times New Roman" w:eastAsia="Times New Roman" w:hAnsi="Times New Roman" w:cs="Times New Roman"/>
          <w:color w:val="000000"/>
          <w:sz w:val="24"/>
          <w:szCs w:val="24"/>
          <w:lang w:eastAsia="en-AU"/>
        </w:rPr>
        <w:t>Subsection 32</w:t>
      </w:r>
      <w:r w:rsidRPr="00507A24">
        <w:rPr>
          <w:rFonts w:ascii="Times New Roman" w:eastAsia="Times New Roman" w:hAnsi="Times New Roman" w:cs="Times New Roman"/>
          <w:color w:val="000000"/>
          <w:sz w:val="24"/>
          <w:szCs w:val="24"/>
          <w:lang w:eastAsia="en-AU"/>
        </w:rPr>
        <w:t>(4) provides that the ACCC may decide not to give to the other party a copy of the document to the extent that it contains confidential commercial information. In making this decision, the ACCC must have consideration of the following:</w:t>
      </w:r>
    </w:p>
    <w:p w14:paraId="03A646DC" w14:textId="4260A6CF" w:rsidR="00507A24" w:rsidRPr="00507A24" w:rsidRDefault="004377BE" w:rsidP="00507A24">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507A24" w:rsidRPr="00507A24">
        <w:rPr>
          <w:color w:val="000000"/>
          <w:sz w:val="24"/>
          <w:szCs w:val="24"/>
          <w:shd w:val="clear" w:color="auto" w:fill="FFFFFF"/>
        </w:rPr>
        <w:t>he request</w:t>
      </w:r>
      <w:r>
        <w:rPr>
          <w:color w:val="000000"/>
          <w:sz w:val="24"/>
          <w:szCs w:val="24"/>
          <w:shd w:val="clear" w:color="auto" w:fill="FFFFFF"/>
        </w:rPr>
        <w:t>; and</w:t>
      </w:r>
    </w:p>
    <w:p w14:paraId="1CF91F8B" w14:textId="62809C79" w:rsidR="00507A24" w:rsidRPr="00507A24" w:rsidRDefault="004377BE" w:rsidP="00507A24">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a</w:t>
      </w:r>
      <w:r w:rsidR="00507A24" w:rsidRPr="00507A24">
        <w:rPr>
          <w:color w:val="000000"/>
          <w:sz w:val="24"/>
          <w:szCs w:val="24"/>
          <w:shd w:val="clear" w:color="auto" w:fill="FFFFFF"/>
        </w:rPr>
        <w:t>ny objection</w:t>
      </w:r>
      <w:r>
        <w:rPr>
          <w:color w:val="000000"/>
          <w:sz w:val="24"/>
          <w:szCs w:val="24"/>
          <w:shd w:val="clear" w:color="auto" w:fill="FFFFFF"/>
        </w:rPr>
        <w:t>; and</w:t>
      </w:r>
    </w:p>
    <w:p w14:paraId="237DD93F" w14:textId="4674E2CF" w:rsidR="0018373A" w:rsidRPr="00507A24" w:rsidRDefault="004377BE" w:rsidP="00507A24">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a</w:t>
      </w:r>
      <w:r w:rsidR="00507A24" w:rsidRPr="00507A24">
        <w:rPr>
          <w:color w:val="000000"/>
          <w:sz w:val="24"/>
          <w:szCs w:val="24"/>
          <w:shd w:val="clear" w:color="auto" w:fill="FFFFFF"/>
        </w:rPr>
        <w:t>ny further submissions that any party has made in relation to the request</w:t>
      </w:r>
      <w:r w:rsidR="00507A24">
        <w:rPr>
          <w:color w:val="000000"/>
          <w:sz w:val="24"/>
          <w:szCs w:val="24"/>
          <w:shd w:val="clear" w:color="auto" w:fill="FFFFFF"/>
        </w:rPr>
        <w:t>.</w:t>
      </w:r>
    </w:p>
    <w:p w14:paraId="54D9DD26" w14:textId="393E7CAA" w:rsidR="0018373A" w:rsidRPr="00066D43" w:rsidRDefault="0018373A" w:rsidP="0018373A">
      <w:pPr>
        <w:pStyle w:val="ActHead5"/>
        <w:rPr>
          <w:szCs w:val="24"/>
        </w:rPr>
      </w:pPr>
      <w:r w:rsidRPr="00066D43">
        <w:rPr>
          <w:rStyle w:val="CharSectno"/>
          <w:szCs w:val="24"/>
        </w:rPr>
        <w:t xml:space="preserve">Section </w:t>
      </w:r>
      <w:r>
        <w:rPr>
          <w:rStyle w:val="CharSectno"/>
          <w:szCs w:val="24"/>
        </w:rPr>
        <w:t>33</w:t>
      </w:r>
      <w:r w:rsidRPr="00066D43">
        <w:rPr>
          <w:szCs w:val="24"/>
        </w:rPr>
        <w:t xml:space="preserve"> - </w:t>
      </w:r>
      <w:r w:rsidRPr="0018373A">
        <w:rPr>
          <w:szCs w:val="24"/>
        </w:rPr>
        <w:t>Parties to pay costs of arbitration</w:t>
      </w:r>
    </w:p>
    <w:p w14:paraId="34D960A0" w14:textId="77777777" w:rsidR="009A5B95" w:rsidRPr="009A5B95" w:rsidRDefault="009A5B95" w:rsidP="009A5B95">
      <w:pPr>
        <w:shd w:val="clear" w:color="auto" w:fill="FFFFFF"/>
        <w:spacing w:before="180" w:after="0" w:line="240" w:lineRule="auto"/>
        <w:ind w:left="1134" w:hanging="1134"/>
        <w:rPr>
          <w:rFonts w:ascii="Times New Roman" w:eastAsia="Times New Roman" w:hAnsi="Times New Roman" w:cs="Times New Roman"/>
          <w:color w:val="000000"/>
          <w:lang w:eastAsia="en-AU"/>
        </w:rPr>
      </w:pPr>
      <w:r w:rsidRPr="009A5B95">
        <w:rPr>
          <w:rFonts w:ascii="Times New Roman" w:eastAsia="Times New Roman" w:hAnsi="Times New Roman" w:cs="Times New Roman"/>
          <w:color w:val="000000"/>
          <w:sz w:val="24"/>
          <w:szCs w:val="24"/>
          <w:lang w:eastAsia="en-AU"/>
        </w:rPr>
        <w:t>Section 31 provides that the ACCC may:</w:t>
      </w:r>
    </w:p>
    <w:p w14:paraId="125CB072" w14:textId="42737885" w:rsidR="009A5B95" w:rsidRPr="009A5B95" w:rsidRDefault="00283951" w:rsidP="009A5B95">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c</w:t>
      </w:r>
      <w:r w:rsidR="009A5B95" w:rsidRPr="009A5B95">
        <w:rPr>
          <w:color w:val="000000"/>
          <w:sz w:val="24"/>
          <w:szCs w:val="24"/>
          <w:shd w:val="clear" w:color="auto" w:fill="FFFFFF"/>
        </w:rPr>
        <w:t>harge the persons who are, or were, parties to an arbitration for the ACCC’s costs in conducting the arbitration</w:t>
      </w:r>
      <w:r>
        <w:rPr>
          <w:color w:val="000000"/>
          <w:sz w:val="24"/>
          <w:szCs w:val="24"/>
          <w:shd w:val="clear" w:color="auto" w:fill="FFFFFF"/>
        </w:rPr>
        <w:t>; and</w:t>
      </w:r>
    </w:p>
    <w:p w14:paraId="4505EEF2" w14:textId="2FC4508D" w:rsidR="0018373A" w:rsidRPr="009A5B95" w:rsidRDefault="00283951" w:rsidP="009A5B95">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a</w:t>
      </w:r>
      <w:r w:rsidR="009A5B95" w:rsidRPr="009A5B95">
        <w:rPr>
          <w:color w:val="000000"/>
          <w:sz w:val="24"/>
          <w:szCs w:val="24"/>
          <w:shd w:val="clear" w:color="auto" w:fill="FFFFFF"/>
        </w:rPr>
        <w:t>pportion the amount of the charge between those persons</w:t>
      </w:r>
      <w:r w:rsidR="009A5B95">
        <w:rPr>
          <w:color w:val="000000"/>
          <w:sz w:val="24"/>
          <w:szCs w:val="24"/>
          <w:shd w:val="clear" w:color="auto" w:fill="FFFFFF"/>
        </w:rPr>
        <w:t>.</w:t>
      </w:r>
    </w:p>
    <w:p w14:paraId="5C078B4D" w14:textId="12F61E6B" w:rsidR="0018373A" w:rsidRPr="00B24D75" w:rsidRDefault="0018373A" w:rsidP="0018373A">
      <w:pPr>
        <w:pStyle w:val="ActHead2"/>
        <w:rPr>
          <w:rStyle w:val="CharPartNo"/>
          <w:sz w:val="28"/>
          <w:szCs w:val="28"/>
        </w:rPr>
      </w:pPr>
      <w:r w:rsidRPr="00B24D75">
        <w:rPr>
          <w:rStyle w:val="CharPartNo"/>
          <w:sz w:val="28"/>
          <w:szCs w:val="28"/>
        </w:rPr>
        <w:t>Part </w:t>
      </w:r>
      <w:r>
        <w:rPr>
          <w:rStyle w:val="CharPartNo"/>
          <w:sz w:val="28"/>
          <w:szCs w:val="28"/>
        </w:rPr>
        <w:t>4</w:t>
      </w:r>
      <w:r w:rsidRPr="00B24D75">
        <w:rPr>
          <w:rStyle w:val="CharPartNo"/>
          <w:sz w:val="28"/>
          <w:szCs w:val="28"/>
        </w:rPr>
        <w:t>—</w:t>
      </w:r>
      <w:r w:rsidRPr="0018373A">
        <w:t xml:space="preserve"> </w:t>
      </w:r>
      <w:r w:rsidRPr="0018373A">
        <w:rPr>
          <w:rStyle w:val="CharPartNo"/>
          <w:sz w:val="28"/>
          <w:szCs w:val="28"/>
        </w:rPr>
        <w:t>Application, saving and transitional provisions</w:t>
      </w:r>
    </w:p>
    <w:p w14:paraId="70BF7CF0" w14:textId="4753B907" w:rsidR="009A5B95" w:rsidRPr="009A5B95" w:rsidRDefault="009A5B95" w:rsidP="009A5B95">
      <w:pPr>
        <w:shd w:val="clear" w:color="auto" w:fill="FFFFFF"/>
        <w:spacing w:before="180" w:after="0" w:line="240" w:lineRule="auto"/>
        <w:rPr>
          <w:rFonts w:ascii="Times New Roman" w:eastAsia="Times New Roman" w:hAnsi="Times New Roman" w:cs="Times New Roman"/>
          <w:color w:val="000000"/>
          <w:sz w:val="24"/>
          <w:lang w:eastAsia="en-AU"/>
        </w:rPr>
      </w:pPr>
      <w:r>
        <w:rPr>
          <w:rFonts w:ascii="Times New Roman" w:eastAsia="Times New Roman" w:hAnsi="Times New Roman" w:cs="Times New Roman"/>
          <w:color w:val="000000"/>
          <w:sz w:val="24"/>
          <w:lang w:eastAsia="en-AU"/>
        </w:rPr>
        <w:t>Part 4</w:t>
      </w:r>
      <w:r w:rsidRPr="009A5B95">
        <w:rPr>
          <w:rFonts w:ascii="Times New Roman" w:eastAsia="Times New Roman" w:hAnsi="Times New Roman" w:cs="Times New Roman"/>
          <w:color w:val="000000"/>
          <w:sz w:val="24"/>
          <w:lang w:eastAsia="en-AU"/>
        </w:rPr>
        <w:t xml:space="preserve"> sets out a transitional provision (and accompanying definitions) that has the effect of ensuring that the arrangements under the </w:t>
      </w:r>
      <w:r w:rsidRPr="009A5B95">
        <w:rPr>
          <w:rFonts w:ascii="Times New Roman" w:eastAsia="Times New Roman" w:hAnsi="Times New Roman" w:cs="Times New Roman"/>
          <w:i/>
          <w:color w:val="000000"/>
          <w:sz w:val="24"/>
          <w:lang w:eastAsia="en-AU"/>
        </w:rPr>
        <w:t>Broadcasting Services (Transmitter Access) Regulations 2001</w:t>
      </w:r>
      <w:r w:rsidRPr="009A5B95">
        <w:rPr>
          <w:rFonts w:ascii="Times New Roman" w:eastAsia="Times New Roman" w:hAnsi="Times New Roman" w:cs="Times New Roman"/>
          <w:color w:val="000000"/>
          <w:sz w:val="24"/>
          <w:lang w:eastAsia="en-AU"/>
        </w:rPr>
        <w:t xml:space="preserve"> will continue to apply in relation to disputes previously notified but not finally determined or concluded (either by way of withdrawal, termination or withdrawal) prior to the commencement of these Regulations.</w:t>
      </w:r>
    </w:p>
    <w:p w14:paraId="1D221642" w14:textId="6EE8B6F3" w:rsidR="0018373A" w:rsidRPr="00066D43" w:rsidRDefault="00F93359" w:rsidP="0018373A">
      <w:pPr>
        <w:pStyle w:val="ActHead5"/>
        <w:rPr>
          <w:szCs w:val="24"/>
        </w:rPr>
      </w:pPr>
      <w:r>
        <w:rPr>
          <w:rStyle w:val="CharSectno"/>
          <w:szCs w:val="24"/>
        </w:rPr>
        <w:t>Section 34</w:t>
      </w:r>
      <w:r w:rsidR="0018373A" w:rsidRPr="00066D43">
        <w:rPr>
          <w:szCs w:val="24"/>
        </w:rPr>
        <w:t xml:space="preserve"> - </w:t>
      </w:r>
      <w:r>
        <w:rPr>
          <w:szCs w:val="24"/>
        </w:rPr>
        <w:t>Definitions</w:t>
      </w:r>
    </w:p>
    <w:p w14:paraId="3B23B2D7" w14:textId="129AD88F" w:rsidR="009A5B95" w:rsidRPr="009A5B95" w:rsidRDefault="009A5B95" w:rsidP="009A5B95">
      <w:pPr>
        <w:shd w:val="clear" w:color="auto" w:fill="FFFFFF"/>
        <w:spacing w:before="180" w:after="0" w:line="240" w:lineRule="auto"/>
        <w:rPr>
          <w:rFonts w:ascii="Times New Roman" w:eastAsia="Times New Roman" w:hAnsi="Times New Roman" w:cs="Times New Roman"/>
          <w:color w:val="000000"/>
          <w:lang w:eastAsia="en-AU"/>
        </w:rPr>
      </w:pPr>
      <w:r w:rsidRPr="009A5B95">
        <w:rPr>
          <w:rFonts w:ascii="Times New Roman" w:eastAsia="Times New Roman" w:hAnsi="Times New Roman" w:cs="Times New Roman"/>
          <w:color w:val="000000"/>
          <w:sz w:val="24"/>
          <w:szCs w:val="24"/>
          <w:lang w:eastAsia="en-AU"/>
        </w:rPr>
        <w:t>Section 3</w:t>
      </w:r>
      <w:r w:rsidR="004E4EDD">
        <w:rPr>
          <w:rFonts w:ascii="Times New Roman" w:eastAsia="Times New Roman" w:hAnsi="Times New Roman" w:cs="Times New Roman"/>
          <w:color w:val="000000"/>
          <w:sz w:val="24"/>
          <w:szCs w:val="24"/>
          <w:lang w:eastAsia="en-AU"/>
        </w:rPr>
        <w:t>4</w:t>
      </w:r>
      <w:r w:rsidRPr="009A5B95">
        <w:rPr>
          <w:rFonts w:ascii="Times New Roman" w:eastAsia="Times New Roman" w:hAnsi="Times New Roman" w:cs="Times New Roman"/>
          <w:color w:val="000000"/>
          <w:sz w:val="24"/>
          <w:szCs w:val="24"/>
          <w:lang w:eastAsia="en-AU"/>
        </w:rPr>
        <w:t xml:space="preserve"> provides definitions for two key terms used in section 33 ‘commencement’ and ‘old law’.</w:t>
      </w:r>
    </w:p>
    <w:p w14:paraId="6390B2F4" w14:textId="654C5B54" w:rsidR="009A5B95" w:rsidRPr="009A5B95" w:rsidRDefault="009A5B95" w:rsidP="009A5B95">
      <w:pPr>
        <w:shd w:val="clear" w:color="auto" w:fill="FFFFFF"/>
        <w:spacing w:before="180" w:after="0" w:line="240" w:lineRule="auto"/>
        <w:rPr>
          <w:rFonts w:ascii="Times New Roman" w:eastAsia="Times New Roman" w:hAnsi="Times New Roman" w:cs="Times New Roman"/>
          <w:color w:val="000000"/>
          <w:lang w:eastAsia="en-AU"/>
        </w:rPr>
      </w:pPr>
      <w:r w:rsidRPr="009A5B95">
        <w:rPr>
          <w:rFonts w:ascii="Times New Roman" w:eastAsia="Times New Roman" w:hAnsi="Times New Roman" w:cs="Times New Roman"/>
          <w:b/>
          <w:bCs/>
          <w:i/>
          <w:iCs/>
          <w:color w:val="000000"/>
          <w:sz w:val="24"/>
          <w:szCs w:val="24"/>
          <w:lang w:eastAsia="en-AU"/>
        </w:rPr>
        <w:t>Commencement </w:t>
      </w:r>
      <w:r w:rsidRPr="009A5B95">
        <w:rPr>
          <w:rFonts w:ascii="Times New Roman" w:eastAsia="Times New Roman" w:hAnsi="Times New Roman" w:cs="Times New Roman"/>
          <w:color w:val="000000"/>
          <w:sz w:val="24"/>
          <w:szCs w:val="24"/>
          <w:lang w:eastAsia="en-AU"/>
        </w:rPr>
        <w:t>means the day the </w:t>
      </w:r>
      <w:r>
        <w:rPr>
          <w:rFonts w:ascii="Times New Roman" w:eastAsia="Times New Roman" w:hAnsi="Times New Roman" w:cs="Times New Roman"/>
          <w:i/>
          <w:iCs/>
          <w:color w:val="000000"/>
          <w:sz w:val="24"/>
          <w:szCs w:val="24"/>
          <w:lang w:eastAsia="en-AU"/>
        </w:rPr>
        <w:t>Broadcasting Services (Transmitter Access) Regulations 2019</w:t>
      </w:r>
      <w:r w:rsidRPr="009A5B95">
        <w:rPr>
          <w:rFonts w:ascii="Times New Roman" w:eastAsia="Times New Roman" w:hAnsi="Times New Roman" w:cs="Times New Roman"/>
          <w:i/>
          <w:iCs/>
          <w:color w:val="000000"/>
          <w:sz w:val="24"/>
          <w:szCs w:val="24"/>
          <w:lang w:eastAsia="en-AU"/>
        </w:rPr>
        <w:t> </w:t>
      </w:r>
      <w:r w:rsidRPr="009A5B95">
        <w:rPr>
          <w:rFonts w:ascii="Times New Roman" w:eastAsia="Times New Roman" w:hAnsi="Times New Roman" w:cs="Times New Roman"/>
          <w:color w:val="000000"/>
          <w:sz w:val="24"/>
          <w:szCs w:val="24"/>
          <w:lang w:eastAsia="en-AU"/>
        </w:rPr>
        <w:t>commences.</w:t>
      </w:r>
    </w:p>
    <w:p w14:paraId="3FBCAC4E" w14:textId="0FF6C5B3" w:rsidR="0018373A" w:rsidRPr="009A5B95" w:rsidRDefault="009A5B95" w:rsidP="009A5B95">
      <w:pPr>
        <w:shd w:val="clear" w:color="auto" w:fill="FFFFFF"/>
        <w:spacing w:before="180" w:after="0" w:line="240" w:lineRule="auto"/>
        <w:rPr>
          <w:rFonts w:ascii="Times New Roman" w:eastAsia="Times New Roman" w:hAnsi="Times New Roman" w:cs="Times New Roman"/>
          <w:color w:val="000000"/>
          <w:lang w:eastAsia="en-AU"/>
        </w:rPr>
      </w:pPr>
      <w:r w:rsidRPr="009A5B95">
        <w:rPr>
          <w:rFonts w:ascii="Times New Roman" w:eastAsia="Times New Roman" w:hAnsi="Times New Roman" w:cs="Times New Roman"/>
          <w:b/>
          <w:bCs/>
          <w:i/>
          <w:iCs/>
          <w:color w:val="000000"/>
          <w:sz w:val="24"/>
          <w:szCs w:val="24"/>
          <w:lang w:eastAsia="en-AU"/>
        </w:rPr>
        <w:t xml:space="preserve">Old </w:t>
      </w:r>
      <w:r w:rsidR="00283951">
        <w:rPr>
          <w:rFonts w:ascii="Times New Roman" w:eastAsia="Times New Roman" w:hAnsi="Times New Roman" w:cs="Times New Roman"/>
          <w:b/>
          <w:bCs/>
          <w:i/>
          <w:iCs/>
          <w:color w:val="000000"/>
          <w:sz w:val="24"/>
          <w:szCs w:val="24"/>
          <w:lang w:eastAsia="en-AU"/>
        </w:rPr>
        <w:t>l</w:t>
      </w:r>
      <w:r w:rsidRPr="009A5B95">
        <w:rPr>
          <w:rFonts w:ascii="Times New Roman" w:eastAsia="Times New Roman" w:hAnsi="Times New Roman" w:cs="Times New Roman"/>
          <w:b/>
          <w:bCs/>
          <w:i/>
          <w:iCs/>
          <w:color w:val="000000"/>
          <w:sz w:val="24"/>
          <w:szCs w:val="24"/>
          <w:lang w:eastAsia="en-AU"/>
        </w:rPr>
        <w:t>aw </w:t>
      </w:r>
      <w:r w:rsidRPr="009A5B95">
        <w:rPr>
          <w:rFonts w:ascii="Times New Roman" w:eastAsia="Times New Roman" w:hAnsi="Times New Roman" w:cs="Times New Roman"/>
          <w:color w:val="000000"/>
          <w:sz w:val="24"/>
          <w:szCs w:val="24"/>
          <w:lang w:eastAsia="en-AU"/>
        </w:rPr>
        <w:t>means the </w:t>
      </w:r>
      <w:r w:rsidR="00127940">
        <w:rPr>
          <w:rFonts w:ascii="Times New Roman" w:eastAsia="Times New Roman" w:hAnsi="Times New Roman" w:cs="Times New Roman"/>
          <w:i/>
          <w:iCs/>
          <w:color w:val="000000"/>
          <w:sz w:val="24"/>
          <w:szCs w:val="24"/>
          <w:lang w:eastAsia="en-AU"/>
        </w:rPr>
        <w:t>Broadcasting Services (Transmitter Access) Regulations 2001</w:t>
      </w:r>
      <w:r w:rsidRPr="009A5B95">
        <w:rPr>
          <w:rFonts w:ascii="Times New Roman" w:eastAsia="Times New Roman" w:hAnsi="Times New Roman" w:cs="Times New Roman"/>
          <w:color w:val="000000"/>
          <w:sz w:val="24"/>
          <w:szCs w:val="24"/>
          <w:lang w:eastAsia="en-AU"/>
        </w:rPr>
        <w:t>, as in force immediately before commencement.</w:t>
      </w:r>
    </w:p>
    <w:p w14:paraId="7243BC20" w14:textId="4B667A57" w:rsidR="00F93359" w:rsidRPr="00066D43" w:rsidRDefault="00F93359" w:rsidP="00F93359">
      <w:pPr>
        <w:pStyle w:val="ActHead5"/>
        <w:rPr>
          <w:szCs w:val="24"/>
        </w:rPr>
      </w:pPr>
      <w:r>
        <w:rPr>
          <w:rStyle w:val="CharSectno"/>
          <w:szCs w:val="24"/>
        </w:rPr>
        <w:t>Section 35</w:t>
      </w:r>
      <w:r w:rsidRPr="00066D43">
        <w:rPr>
          <w:szCs w:val="24"/>
        </w:rPr>
        <w:t xml:space="preserve"> - </w:t>
      </w:r>
      <w:r w:rsidRPr="00F93359">
        <w:rPr>
          <w:szCs w:val="24"/>
        </w:rPr>
        <w:t>Transitional—disputes notified before commencement</w:t>
      </w:r>
    </w:p>
    <w:p w14:paraId="197B4AFF" w14:textId="56517F50" w:rsidR="00127940" w:rsidRPr="00127940" w:rsidRDefault="00127940" w:rsidP="00127940">
      <w:pPr>
        <w:shd w:val="clear" w:color="auto" w:fill="FFFFFF"/>
        <w:spacing w:before="180" w:after="0" w:line="240" w:lineRule="auto"/>
        <w:rPr>
          <w:rFonts w:ascii="Times New Roman" w:eastAsia="Times New Roman" w:hAnsi="Times New Roman" w:cs="Times New Roman"/>
          <w:color w:val="000000"/>
          <w:lang w:eastAsia="en-AU"/>
        </w:rPr>
      </w:pPr>
      <w:r w:rsidRPr="00127940">
        <w:rPr>
          <w:rFonts w:ascii="Times New Roman" w:eastAsia="Times New Roman" w:hAnsi="Times New Roman" w:cs="Times New Roman"/>
          <w:color w:val="000000"/>
          <w:sz w:val="24"/>
          <w:szCs w:val="24"/>
          <w:lang w:eastAsia="en-AU"/>
        </w:rPr>
        <w:t>Section 3</w:t>
      </w:r>
      <w:r w:rsidR="004E4EDD">
        <w:rPr>
          <w:rFonts w:ascii="Times New Roman" w:eastAsia="Times New Roman" w:hAnsi="Times New Roman" w:cs="Times New Roman"/>
          <w:color w:val="000000"/>
          <w:sz w:val="24"/>
          <w:szCs w:val="24"/>
          <w:lang w:eastAsia="en-AU"/>
        </w:rPr>
        <w:t>5</w:t>
      </w:r>
      <w:r w:rsidRPr="00127940">
        <w:rPr>
          <w:rFonts w:ascii="Times New Roman" w:eastAsia="Times New Roman" w:hAnsi="Times New Roman" w:cs="Times New Roman"/>
          <w:color w:val="000000"/>
          <w:sz w:val="24"/>
          <w:szCs w:val="24"/>
          <w:lang w:eastAsia="en-AU"/>
        </w:rPr>
        <w:t xml:space="preserve"> provides that despite the repeal </w:t>
      </w:r>
      <w:r w:rsidR="002C0D81" w:rsidRPr="00127940">
        <w:rPr>
          <w:rFonts w:ascii="Times New Roman" w:eastAsia="Times New Roman" w:hAnsi="Times New Roman" w:cs="Times New Roman"/>
          <w:color w:val="000000"/>
          <w:sz w:val="24"/>
          <w:szCs w:val="24"/>
          <w:lang w:eastAsia="en-AU"/>
        </w:rPr>
        <w:t>of the</w:t>
      </w:r>
      <w:r w:rsidRPr="00127940">
        <w:rPr>
          <w:rFonts w:ascii="Times New Roman" w:eastAsia="Times New Roman" w:hAnsi="Times New Roman" w:cs="Times New Roman"/>
          <w:color w:val="000000"/>
          <w:sz w:val="24"/>
          <w:szCs w:val="24"/>
          <w:lang w:eastAsia="en-AU"/>
        </w:rPr>
        <w:t> </w:t>
      </w:r>
      <w:r>
        <w:rPr>
          <w:rFonts w:ascii="Times New Roman" w:eastAsia="Times New Roman" w:hAnsi="Times New Roman" w:cs="Times New Roman"/>
          <w:i/>
          <w:iCs/>
          <w:color w:val="000000"/>
          <w:sz w:val="24"/>
          <w:szCs w:val="24"/>
          <w:lang w:eastAsia="en-AU"/>
        </w:rPr>
        <w:t>Broadcasting Services (Transmitter Access) Regulations 2001</w:t>
      </w:r>
      <w:r w:rsidR="004E4EDD">
        <w:rPr>
          <w:rFonts w:ascii="Times New Roman" w:eastAsia="Times New Roman" w:hAnsi="Times New Roman" w:cs="Times New Roman"/>
          <w:i/>
          <w:iCs/>
          <w:color w:val="000000"/>
          <w:sz w:val="24"/>
          <w:szCs w:val="24"/>
          <w:lang w:eastAsia="en-AU"/>
        </w:rPr>
        <w:t xml:space="preserve">, </w:t>
      </w:r>
      <w:r w:rsidR="004E4EDD" w:rsidRPr="002F00B2">
        <w:rPr>
          <w:rFonts w:ascii="Times New Roman" w:eastAsia="Times New Roman" w:hAnsi="Times New Roman" w:cs="Times New Roman"/>
          <w:iCs/>
          <w:color w:val="000000"/>
          <w:sz w:val="24"/>
          <w:szCs w:val="24"/>
          <w:lang w:eastAsia="en-AU"/>
        </w:rPr>
        <w:t xml:space="preserve">that </w:t>
      </w:r>
      <w:r w:rsidR="004E4EDD">
        <w:rPr>
          <w:rFonts w:ascii="Times New Roman" w:eastAsia="Times New Roman" w:hAnsi="Times New Roman" w:cs="Times New Roman"/>
          <w:iCs/>
          <w:color w:val="000000"/>
          <w:sz w:val="24"/>
          <w:szCs w:val="24"/>
          <w:lang w:eastAsia="en-AU"/>
        </w:rPr>
        <w:t xml:space="preserve">2001 </w:t>
      </w:r>
      <w:r w:rsidR="004E4EDD" w:rsidRPr="002F00B2">
        <w:rPr>
          <w:rFonts w:ascii="Times New Roman" w:eastAsia="Times New Roman" w:hAnsi="Times New Roman" w:cs="Times New Roman"/>
          <w:iCs/>
          <w:color w:val="000000"/>
          <w:sz w:val="24"/>
          <w:szCs w:val="24"/>
          <w:lang w:eastAsia="en-AU"/>
        </w:rPr>
        <w:t>Regulation will</w:t>
      </w:r>
      <w:r w:rsidRPr="009A5B95">
        <w:rPr>
          <w:rFonts w:ascii="Times New Roman" w:eastAsia="Times New Roman" w:hAnsi="Times New Roman" w:cs="Times New Roman"/>
          <w:i/>
          <w:iCs/>
          <w:color w:val="000000"/>
          <w:sz w:val="24"/>
          <w:szCs w:val="24"/>
          <w:lang w:eastAsia="en-AU"/>
        </w:rPr>
        <w:t> </w:t>
      </w:r>
      <w:r w:rsidRPr="00127940">
        <w:rPr>
          <w:rFonts w:ascii="Times New Roman" w:eastAsia="Times New Roman" w:hAnsi="Times New Roman" w:cs="Times New Roman"/>
          <w:color w:val="000000"/>
          <w:sz w:val="24"/>
          <w:szCs w:val="24"/>
          <w:lang w:eastAsia="en-AU"/>
        </w:rPr>
        <w:t>continue to apply in relation to a dispute if, immediately before commencement of the new Regulation:</w:t>
      </w:r>
    </w:p>
    <w:p w14:paraId="29F8D8B4" w14:textId="0F8E0E83" w:rsidR="00127940" w:rsidRPr="00127940" w:rsidRDefault="00283951" w:rsidP="00127940">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n</w:t>
      </w:r>
      <w:r w:rsidR="00127940" w:rsidRPr="00127940">
        <w:rPr>
          <w:color w:val="000000"/>
          <w:sz w:val="24"/>
          <w:szCs w:val="24"/>
          <w:shd w:val="clear" w:color="auto" w:fill="FFFFFF"/>
        </w:rPr>
        <w:t>otification of the dispute had been given to the ACCC</w:t>
      </w:r>
      <w:r>
        <w:rPr>
          <w:color w:val="000000"/>
          <w:sz w:val="24"/>
          <w:szCs w:val="24"/>
          <w:shd w:val="clear" w:color="auto" w:fill="FFFFFF"/>
        </w:rPr>
        <w:t>; and</w:t>
      </w:r>
    </w:p>
    <w:p w14:paraId="4A9E307B" w14:textId="4F2DD321" w:rsidR="00127940" w:rsidRPr="00127940" w:rsidRDefault="00283951" w:rsidP="00127940">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a</w:t>
      </w:r>
      <w:r w:rsidR="00127940" w:rsidRPr="00127940">
        <w:rPr>
          <w:color w:val="000000"/>
          <w:sz w:val="24"/>
          <w:szCs w:val="24"/>
          <w:shd w:val="clear" w:color="auto" w:fill="FFFFFF"/>
        </w:rPr>
        <w:t xml:space="preserve"> withdrawal of the notification of the dispute had not been received by the ACCC</w:t>
      </w:r>
      <w:r>
        <w:rPr>
          <w:color w:val="000000"/>
          <w:sz w:val="24"/>
          <w:szCs w:val="24"/>
          <w:shd w:val="clear" w:color="auto" w:fill="FFFFFF"/>
        </w:rPr>
        <w:t>; and</w:t>
      </w:r>
    </w:p>
    <w:p w14:paraId="31B6B647" w14:textId="2065AC46" w:rsidR="00127940" w:rsidRPr="00127940" w:rsidRDefault="00283951" w:rsidP="00127940">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t</w:t>
      </w:r>
      <w:r w:rsidR="00127940" w:rsidRPr="00127940">
        <w:rPr>
          <w:color w:val="000000"/>
          <w:sz w:val="24"/>
          <w:szCs w:val="24"/>
          <w:shd w:val="clear" w:color="auto" w:fill="FFFFFF"/>
        </w:rPr>
        <w:t>he arbitration of the dispute had not been terminated by the ACCC</w:t>
      </w:r>
      <w:r>
        <w:rPr>
          <w:color w:val="000000"/>
          <w:sz w:val="24"/>
          <w:szCs w:val="24"/>
          <w:shd w:val="clear" w:color="auto" w:fill="FFFFFF"/>
        </w:rPr>
        <w:t>; and</w:t>
      </w:r>
    </w:p>
    <w:p w14:paraId="2B951D86" w14:textId="414F1AC7" w:rsidR="00F93359" w:rsidRPr="00127940" w:rsidRDefault="00283951" w:rsidP="00127940">
      <w:pPr>
        <w:pStyle w:val="paragraphsub"/>
        <w:numPr>
          <w:ilvl w:val="0"/>
          <w:numId w:val="14"/>
        </w:numPr>
        <w:tabs>
          <w:tab w:val="clear" w:pos="1985"/>
        </w:tabs>
        <w:spacing w:before="180"/>
        <w:rPr>
          <w:color w:val="000000"/>
          <w:sz w:val="24"/>
          <w:szCs w:val="24"/>
          <w:shd w:val="clear" w:color="auto" w:fill="FFFFFF"/>
        </w:rPr>
      </w:pPr>
      <w:r>
        <w:rPr>
          <w:color w:val="000000"/>
          <w:sz w:val="24"/>
          <w:szCs w:val="24"/>
          <w:shd w:val="clear" w:color="auto" w:fill="FFFFFF"/>
        </w:rPr>
        <w:t>a</w:t>
      </w:r>
      <w:r w:rsidR="00127940" w:rsidRPr="00127940">
        <w:rPr>
          <w:color w:val="000000"/>
          <w:sz w:val="24"/>
          <w:szCs w:val="24"/>
          <w:shd w:val="clear" w:color="auto" w:fill="FFFFFF"/>
        </w:rPr>
        <w:t xml:space="preserve"> determination of the dispute had not been made</w:t>
      </w:r>
      <w:r w:rsidR="00B527BE">
        <w:rPr>
          <w:color w:val="000000"/>
          <w:sz w:val="24"/>
          <w:szCs w:val="24"/>
          <w:shd w:val="clear" w:color="auto" w:fill="FFFFFF"/>
        </w:rPr>
        <w:t>.</w:t>
      </w:r>
    </w:p>
    <w:p w14:paraId="5200D689" w14:textId="77777777" w:rsidR="005A7780" w:rsidRPr="00B35D4A" w:rsidRDefault="005A7780" w:rsidP="00603DC0">
      <w:pPr>
        <w:pStyle w:val="paragraph"/>
        <w:spacing w:before="280" w:after="240"/>
        <w:rPr>
          <w:rFonts w:asciiTheme="minorHAnsi" w:eastAsiaTheme="minorHAnsi" w:hAnsiTheme="minorHAnsi"/>
          <w:sz w:val="24"/>
        </w:rPr>
      </w:pPr>
      <w:r w:rsidRPr="00B35D4A">
        <w:rPr>
          <w:rStyle w:val="CharChapNo"/>
          <w:b/>
          <w:sz w:val="28"/>
        </w:rPr>
        <w:t>Schedule 1</w:t>
      </w:r>
      <w:r w:rsidRPr="00B35D4A">
        <w:rPr>
          <w:b/>
          <w:sz w:val="28"/>
        </w:rPr>
        <w:t>—</w:t>
      </w:r>
      <w:r w:rsidRPr="00B35D4A">
        <w:rPr>
          <w:rStyle w:val="CharChapText"/>
          <w:b/>
          <w:sz w:val="28"/>
        </w:rPr>
        <w:t>Form of summons</w:t>
      </w:r>
    </w:p>
    <w:p w14:paraId="05333019" w14:textId="39610076" w:rsidR="005A7780" w:rsidRPr="007E19F5" w:rsidRDefault="005A7780" w:rsidP="005A7780">
      <w:pPr>
        <w:pStyle w:val="paragraph"/>
        <w:spacing w:after="240"/>
        <w:ind w:left="360" w:hanging="360"/>
        <w:rPr>
          <w:sz w:val="24"/>
          <w:szCs w:val="24"/>
        </w:rPr>
      </w:pPr>
      <w:r w:rsidRPr="007E19F5">
        <w:rPr>
          <w:sz w:val="24"/>
          <w:szCs w:val="24"/>
        </w:rPr>
        <w:t>Schedule 1 sets out the form of summons f</w:t>
      </w:r>
      <w:r>
        <w:rPr>
          <w:sz w:val="24"/>
          <w:szCs w:val="24"/>
        </w:rPr>
        <w:t>or the purposes of subsection 19</w:t>
      </w:r>
      <w:r w:rsidRPr="007E19F5">
        <w:rPr>
          <w:sz w:val="24"/>
          <w:szCs w:val="24"/>
        </w:rPr>
        <w:t>(2).</w:t>
      </w:r>
    </w:p>
    <w:p w14:paraId="17C8D8E5" w14:textId="77777777" w:rsidR="005A7780" w:rsidRPr="00B35D4A" w:rsidRDefault="005A7780" w:rsidP="005A7780">
      <w:pPr>
        <w:pStyle w:val="ActHead6"/>
        <w:rPr>
          <w:rFonts w:ascii="Times New Roman" w:hAnsi="Times New Roman"/>
          <w:sz w:val="28"/>
          <w:szCs w:val="24"/>
        </w:rPr>
      </w:pPr>
      <w:r w:rsidRPr="00B35D4A">
        <w:rPr>
          <w:rStyle w:val="CharAmSchNo"/>
          <w:rFonts w:ascii="Times New Roman" w:hAnsi="Times New Roman"/>
          <w:sz w:val="28"/>
          <w:szCs w:val="24"/>
        </w:rPr>
        <w:t>Schedule 2</w:t>
      </w:r>
      <w:r w:rsidRPr="00B35D4A">
        <w:rPr>
          <w:rFonts w:ascii="Times New Roman" w:hAnsi="Times New Roman"/>
          <w:sz w:val="28"/>
          <w:szCs w:val="24"/>
        </w:rPr>
        <w:t>—</w:t>
      </w:r>
      <w:r w:rsidRPr="00B35D4A">
        <w:rPr>
          <w:rStyle w:val="CharAmSchText"/>
          <w:rFonts w:ascii="Times New Roman" w:hAnsi="Times New Roman"/>
          <w:sz w:val="28"/>
          <w:szCs w:val="24"/>
        </w:rPr>
        <w:t>Repeals</w:t>
      </w:r>
    </w:p>
    <w:p w14:paraId="0F358A4F" w14:textId="77777777" w:rsidR="005A7780" w:rsidRPr="00066D43" w:rsidRDefault="005A7780" w:rsidP="005A7780">
      <w:pPr>
        <w:pStyle w:val="Header"/>
        <w:rPr>
          <w:rStyle w:val="CharAmPartNo"/>
          <w:sz w:val="24"/>
          <w:szCs w:val="24"/>
        </w:rPr>
      </w:pPr>
    </w:p>
    <w:p w14:paraId="1407A642" w14:textId="485D6BE8" w:rsidR="005A7780" w:rsidRPr="002F00B2" w:rsidRDefault="005A7780" w:rsidP="005A7780">
      <w:pPr>
        <w:pStyle w:val="Item"/>
        <w:ind w:left="0"/>
        <w:rPr>
          <w:sz w:val="24"/>
          <w:szCs w:val="24"/>
        </w:rPr>
      </w:pPr>
      <w:r w:rsidRPr="00066D43">
        <w:rPr>
          <w:sz w:val="24"/>
          <w:szCs w:val="24"/>
        </w:rPr>
        <w:t xml:space="preserve">Schedule 2 repeals the </w:t>
      </w:r>
      <w:r w:rsidRPr="005A7780">
        <w:rPr>
          <w:i/>
          <w:sz w:val="24"/>
          <w:szCs w:val="24"/>
        </w:rPr>
        <w:t>Broadcasting Services (Transmitter Access) Regulations 2001</w:t>
      </w:r>
      <w:r>
        <w:rPr>
          <w:i/>
          <w:sz w:val="24"/>
          <w:szCs w:val="24"/>
        </w:rPr>
        <w:t>.</w:t>
      </w:r>
      <w:r w:rsidR="00E92C1F">
        <w:rPr>
          <w:i/>
          <w:sz w:val="24"/>
          <w:szCs w:val="24"/>
        </w:rPr>
        <w:t xml:space="preserve"> </w:t>
      </w:r>
      <w:r w:rsidR="00E92C1F">
        <w:rPr>
          <w:sz w:val="24"/>
          <w:szCs w:val="24"/>
        </w:rPr>
        <w:t>This instrument was due to s</w:t>
      </w:r>
      <w:r w:rsidR="00B527BE">
        <w:rPr>
          <w:sz w:val="24"/>
          <w:szCs w:val="24"/>
        </w:rPr>
        <w:t>u</w:t>
      </w:r>
      <w:r w:rsidR="00E92C1F">
        <w:rPr>
          <w:sz w:val="24"/>
          <w:szCs w:val="24"/>
        </w:rPr>
        <w:t xml:space="preserve">nset on 1 October 2019. </w:t>
      </w:r>
    </w:p>
    <w:p w14:paraId="085A5E85" w14:textId="77777777" w:rsidR="001A685A" w:rsidRDefault="001A685A" w:rsidP="001A685A">
      <w:pPr>
        <w:pStyle w:val="paragraph"/>
        <w:rPr>
          <w:sz w:val="24"/>
          <w:szCs w:val="24"/>
        </w:rPr>
      </w:pPr>
      <w:bookmarkStart w:id="8" w:name="_Toc527379469"/>
    </w:p>
    <w:bookmarkEnd w:id="8"/>
    <w:p w14:paraId="7BBCF2CA" w14:textId="31291E56" w:rsidR="00603DC0" w:rsidRDefault="00603DC0">
      <w:pPr>
        <w:rPr>
          <w:rFonts w:ascii="Times New Roman" w:eastAsia="Times New Roman" w:hAnsi="Times New Roman" w:cs="Times New Roman"/>
          <w:szCs w:val="20"/>
          <w:lang w:eastAsia="en-AU"/>
        </w:rPr>
      </w:pPr>
      <w:r>
        <w:br w:type="page"/>
      </w:r>
    </w:p>
    <w:p w14:paraId="1ABB1E34" w14:textId="77777777" w:rsidR="007F0D67" w:rsidRDefault="007F0D67" w:rsidP="007F0D67">
      <w:pPr>
        <w:pStyle w:val="Heading2"/>
        <w:jc w:val="right"/>
      </w:pPr>
      <w:r>
        <w:rPr>
          <w:sz w:val="24"/>
          <w:u w:val="single"/>
        </w:rPr>
        <w:t>ATTACHMENT B</w:t>
      </w:r>
    </w:p>
    <w:p w14:paraId="17827D3F" w14:textId="77777777" w:rsidR="007F0D67" w:rsidRDefault="007F0D67" w:rsidP="007F0D67">
      <w:pPr>
        <w:pStyle w:val="Heading2"/>
      </w:pPr>
      <w:r>
        <w:t>Statement of Compatibility with Human Rights</w:t>
      </w:r>
    </w:p>
    <w:p w14:paraId="040B90E3" w14:textId="77777777" w:rsidR="007F0D67" w:rsidRDefault="007F0D67" w:rsidP="007F0D67">
      <w:pPr>
        <w:spacing w:before="120" w:after="120" w:line="240" w:lineRule="auto"/>
        <w:jc w:val="center"/>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4AC21461" w14:textId="783344E5" w:rsidR="007F0D67" w:rsidRDefault="002F00B2" w:rsidP="007F0D67">
      <w:pPr>
        <w:spacing w:before="120" w:after="120" w:line="240" w:lineRule="auto"/>
        <w:jc w:val="center"/>
        <w:rPr>
          <w:rFonts w:ascii="Times New Roman" w:hAnsi="Times New Roman"/>
          <w:b/>
          <w:sz w:val="24"/>
          <w:szCs w:val="24"/>
        </w:rPr>
      </w:pPr>
      <w:r>
        <w:rPr>
          <w:rFonts w:ascii="Times New Roman" w:hAnsi="Times New Roman"/>
          <w:b/>
          <w:sz w:val="24"/>
          <w:szCs w:val="24"/>
        </w:rPr>
        <w:t>Broadcasting Services (Transmitter Access) Regulations</w:t>
      </w:r>
      <w:r w:rsidR="007F0D67">
        <w:rPr>
          <w:rFonts w:ascii="Times New Roman" w:hAnsi="Times New Roman"/>
          <w:b/>
          <w:sz w:val="24"/>
          <w:szCs w:val="24"/>
        </w:rPr>
        <w:t xml:space="preserve"> 201</w:t>
      </w:r>
      <w:r w:rsidR="001E7673">
        <w:rPr>
          <w:rFonts w:ascii="Times New Roman" w:hAnsi="Times New Roman"/>
          <w:b/>
          <w:sz w:val="24"/>
          <w:szCs w:val="24"/>
        </w:rPr>
        <w:t>9</w:t>
      </w:r>
    </w:p>
    <w:p w14:paraId="1294A4C2" w14:textId="77777777" w:rsidR="007F0D67" w:rsidRDefault="007F0D67" w:rsidP="007F0D67">
      <w:pPr>
        <w:spacing w:before="120" w:after="120" w:line="240" w:lineRule="auto"/>
        <w:jc w:val="center"/>
        <w:rPr>
          <w:rFonts w:ascii="Times New Roman" w:hAnsi="Times New Roman"/>
          <w:sz w:val="24"/>
          <w:szCs w:val="24"/>
        </w:rPr>
      </w:pPr>
      <w:r>
        <w:rPr>
          <w:rFonts w:ascii="Times New Roman" w:hAnsi="Times New Roman"/>
          <w:sz w:val="24"/>
          <w:szCs w:val="24"/>
        </w:rPr>
        <w:t xml:space="preserve">This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6B815FF2" w14:textId="77777777" w:rsidR="007F0D67" w:rsidRDefault="007F0D67" w:rsidP="007F0D67">
      <w:pPr>
        <w:spacing w:before="120" w:after="120" w:line="240" w:lineRule="auto"/>
        <w:rPr>
          <w:rFonts w:ascii="Times New Roman" w:hAnsi="Times New Roman"/>
          <w:sz w:val="24"/>
          <w:szCs w:val="24"/>
        </w:rPr>
      </w:pPr>
    </w:p>
    <w:p w14:paraId="5D4AACF7" w14:textId="77777777" w:rsidR="007F0D67" w:rsidRDefault="007F0D67" w:rsidP="007F0D67">
      <w:pPr>
        <w:pStyle w:val="Heading3"/>
        <w:jc w:val="left"/>
      </w:pPr>
      <w:r>
        <w:t>Overview of the Legislative Instrument</w:t>
      </w:r>
    </w:p>
    <w:p w14:paraId="14DA68DC" w14:textId="03F92C48" w:rsidR="007F0D67" w:rsidRPr="00E20415" w:rsidRDefault="007F0D67" w:rsidP="007F0D67">
      <w:pPr>
        <w:spacing w:line="240" w:lineRule="auto"/>
        <w:rPr>
          <w:rFonts w:ascii="Times New Roman" w:hAnsi="Times New Roman" w:cs="Times New Roman"/>
          <w:iCs/>
          <w:sz w:val="24"/>
          <w:szCs w:val="24"/>
        </w:rPr>
      </w:pPr>
      <w:r w:rsidRPr="00E20415">
        <w:rPr>
          <w:rFonts w:ascii="Times New Roman" w:hAnsi="Times New Roman" w:cs="Times New Roman"/>
          <w:iCs/>
          <w:sz w:val="24"/>
          <w:szCs w:val="24"/>
        </w:rPr>
        <w:t>The</w:t>
      </w:r>
      <w:r>
        <w:rPr>
          <w:rFonts w:ascii="Times New Roman" w:hAnsi="Times New Roman" w:cs="Times New Roman"/>
          <w:iCs/>
          <w:sz w:val="24"/>
          <w:szCs w:val="24"/>
        </w:rPr>
        <w:t xml:space="preserve"> </w:t>
      </w:r>
      <w:r w:rsidR="00E853CA">
        <w:rPr>
          <w:rFonts w:ascii="Times New Roman" w:hAnsi="Times New Roman" w:cs="Times New Roman"/>
          <w:i/>
          <w:iCs/>
          <w:sz w:val="24"/>
          <w:szCs w:val="24"/>
        </w:rPr>
        <w:t>Broadcasting Services (Transmitter Access) Regulations 2019</w:t>
      </w:r>
      <w:r w:rsidRPr="00E20415">
        <w:rPr>
          <w:rFonts w:ascii="Times New Roman" w:hAnsi="Times New Roman" w:cs="Times New Roman"/>
          <w:iCs/>
          <w:sz w:val="24"/>
          <w:szCs w:val="24"/>
        </w:rPr>
        <w:t xml:space="preserve"> </w:t>
      </w:r>
      <w:r>
        <w:rPr>
          <w:rFonts w:ascii="Times New Roman" w:hAnsi="Times New Roman" w:cs="Times New Roman"/>
          <w:iCs/>
          <w:sz w:val="24"/>
          <w:szCs w:val="24"/>
        </w:rPr>
        <w:t xml:space="preserve">(the Regulations) </w:t>
      </w:r>
      <w:r w:rsidRPr="00E20415">
        <w:rPr>
          <w:rFonts w:ascii="Times New Roman" w:hAnsi="Times New Roman" w:cs="Times New Roman"/>
          <w:iCs/>
          <w:sz w:val="24"/>
          <w:szCs w:val="24"/>
        </w:rPr>
        <w:t xml:space="preserve">relate to </w:t>
      </w:r>
      <w:r w:rsidR="00DF1590">
        <w:rPr>
          <w:rFonts w:ascii="Times New Roman" w:hAnsi="Times New Roman" w:cs="Times New Roman"/>
          <w:iCs/>
          <w:sz w:val="24"/>
          <w:szCs w:val="24"/>
        </w:rPr>
        <w:t xml:space="preserve">exemptions to access requirements applicable to broadcasting transmission towers and designated associated facilities, and </w:t>
      </w:r>
      <w:r w:rsidRPr="00E20415">
        <w:rPr>
          <w:rFonts w:ascii="Times New Roman" w:hAnsi="Times New Roman" w:cs="Times New Roman"/>
          <w:iCs/>
          <w:sz w:val="24"/>
          <w:szCs w:val="24"/>
        </w:rPr>
        <w:t xml:space="preserve">the arbitration of disputes by the Australian Competition and Consumer Commission (the ACCC) under </w:t>
      </w:r>
      <w:r w:rsidR="00496E01">
        <w:rPr>
          <w:rFonts w:ascii="Times New Roman" w:hAnsi="Times New Roman" w:cs="Times New Roman"/>
          <w:iCs/>
          <w:sz w:val="24"/>
          <w:szCs w:val="24"/>
        </w:rPr>
        <w:t>Schedule 4 of the</w:t>
      </w:r>
      <w:r w:rsidRPr="00E20415">
        <w:rPr>
          <w:rFonts w:ascii="Times New Roman" w:hAnsi="Times New Roman" w:cs="Times New Roman"/>
          <w:iCs/>
          <w:sz w:val="24"/>
          <w:szCs w:val="24"/>
        </w:rPr>
        <w:t xml:space="preserve"> </w:t>
      </w:r>
      <w:r w:rsidR="00E853CA">
        <w:rPr>
          <w:rFonts w:ascii="Times New Roman" w:hAnsi="Times New Roman" w:cs="Times New Roman"/>
          <w:i/>
          <w:iCs/>
          <w:sz w:val="24"/>
          <w:szCs w:val="24"/>
        </w:rPr>
        <w:t>Broadcasting Services Act 1992</w:t>
      </w:r>
      <w:r w:rsidR="00E853CA">
        <w:rPr>
          <w:rFonts w:ascii="Times New Roman" w:hAnsi="Times New Roman" w:cs="Times New Roman"/>
          <w:iCs/>
          <w:sz w:val="24"/>
          <w:szCs w:val="24"/>
        </w:rPr>
        <w:t xml:space="preserve"> (</w:t>
      </w:r>
      <w:r w:rsidR="00283951">
        <w:rPr>
          <w:rFonts w:ascii="Times New Roman" w:hAnsi="Times New Roman" w:cs="Times New Roman"/>
          <w:iCs/>
          <w:sz w:val="24"/>
          <w:szCs w:val="24"/>
        </w:rPr>
        <w:t>the Act</w:t>
      </w:r>
      <w:r w:rsidR="00E853CA">
        <w:rPr>
          <w:rFonts w:ascii="Times New Roman" w:hAnsi="Times New Roman" w:cs="Times New Roman"/>
          <w:iCs/>
          <w:sz w:val="24"/>
          <w:szCs w:val="24"/>
        </w:rPr>
        <w:t>)</w:t>
      </w:r>
      <w:r w:rsidR="00496E01">
        <w:rPr>
          <w:rFonts w:ascii="Times New Roman" w:hAnsi="Times New Roman" w:cs="Times New Roman"/>
          <w:iCs/>
          <w:sz w:val="24"/>
          <w:szCs w:val="24"/>
        </w:rPr>
        <w:t>.</w:t>
      </w:r>
    </w:p>
    <w:p w14:paraId="42D42F85" w14:textId="48FE4407" w:rsidR="00E853CA" w:rsidRDefault="007F0D67" w:rsidP="007F0D67">
      <w:pPr>
        <w:spacing w:line="240" w:lineRule="auto"/>
        <w:rPr>
          <w:rFonts w:ascii="Times New Roman" w:hAnsi="Times New Roman" w:cs="Times New Roman"/>
          <w:sz w:val="24"/>
          <w:szCs w:val="24"/>
        </w:rPr>
      </w:pPr>
      <w:r w:rsidRPr="00E20415">
        <w:rPr>
          <w:rFonts w:ascii="Times New Roman" w:hAnsi="Times New Roman" w:cs="Times New Roman"/>
          <w:sz w:val="24"/>
          <w:szCs w:val="24"/>
        </w:rPr>
        <w:t xml:space="preserve">The </w:t>
      </w:r>
      <w:r w:rsidR="00283951">
        <w:rPr>
          <w:rFonts w:ascii="Times New Roman" w:hAnsi="Times New Roman" w:cs="Times New Roman"/>
          <w:sz w:val="24"/>
          <w:szCs w:val="24"/>
        </w:rPr>
        <w:t>Act</w:t>
      </w:r>
      <w:r>
        <w:rPr>
          <w:rFonts w:ascii="Times New Roman" w:hAnsi="Times New Roman" w:cs="Times New Roman"/>
          <w:sz w:val="24"/>
          <w:szCs w:val="24"/>
        </w:rPr>
        <w:t xml:space="preserve"> </w:t>
      </w:r>
      <w:r w:rsidR="00E853CA">
        <w:rPr>
          <w:rFonts w:ascii="Times New Roman" w:hAnsi="Times New Roman" w:cs="Times New Roman"/>
          <w:sz w:val="24"/>
          <w:szCs w:val="24"/>
        </w:rPr>
        <w:t>requires owners and operators of broadcasting transmission towers and designated associated facilities to provide commercial television broadcasters, national television broadcasters or datacasters with access to transmission sites, towers and designated associated facilities for the purpose of providing digital television and datacasting services.</w:t>
      </w:r>
    </w:p>
    <w:p w14:paraId="03CC4126" w14:textId="415146EC" w:rsidR="00E853CA" w:rsidRDefault="00E853CA" w:rsidP="007F0D67">
      <w:pPr>
        <w:spacing w:line="240" w:lineRule="auto"/>
        <w:rPr>
          <w:rFonts w:ascii="Times New Roman" w:hAnsi="Times New Roman" w:cs="Times New Roman"/>
          <w:sz w:val="24"/>
          <w:szCs w:val="24"/>
        </w:rPr>
      </w:pPr>
      <w:r>
        <w:rPr>
          <w:rFonts w:ascii="Times New Roman" w:hAnsi="Times New Roman" w:cs="Times New Roman"/>
          <w:sz w:val="24"/>
          <w:szCs w:val="24"/>
        </w:rPr>
        <w:t>Subclause 45A(9) of Part 5 of Schedule 4 to the Act enables regulations to be made to provide for exemptions from the access obligations in subclauses 45A(2) and (4).</w:t>
      </w:r>
    </w:p>
    <w:p w14:paraId="1A402D93" w14:textId="2883D814" w:rsidR="00E853CA" w:rsidRPr="00E853CA" w:rsidRDefault="00E853CA" w:rsidP="00E853CA">
      <w:pPr>
        <w:spacing w:line="240" w:lineRule="auto"/>
        <w:rPr>
          <w:rFonts w:ascii="Times New Roman" w:hAnsi="Times New Roman" w:cs="Times New Roman"/>
          <w:sz w:val="24"/>
          <w:szCs w:val="24"/>
        </w:rPr>
      </w:pPr>
      <w:r w:rsidRPr="00E853CA">
        <w:rPr>
          <w:rFonts w:ascii="Times New Roman" w:hAnsi="Times New Roman" w:cs="Times New Roman"/>
          <w:sz w:val="24"/>
          <w:szCs w:val="24"/>
        </w:rPr>
        <w:t>Subclause 47(3) of Part 5 of Schedule 4 to the Act enables regulations to be made for and in relation to the conduct of an arbitration that relates to the terms and conditions of access to broadcasting transmission towers, their sites and de</w:t>
      </w:r>
      <w:r>
        <w:rPr>
          <w:rFonts w:ascii="Times New Roman" w:hAnsi="Times New Roman" w:cs="Times New Roman"/>
          <w:sz w:val="24"/>
          <w:szCs w:val="24"/>
        </w:rPr>
        <w:t>signated associated facilities.</w:t>
      </w:r>
    </w:p>
    <w:p w14:paraId="43BE91AD" w14:textId="471EA56A" w:rsidR="00E853CA" w:rsidRDefault="00E853CA" w:rsidP="00E853CA">
      <w:pPr>
        <w:spacing w:line="240" w:lineRule="auto"/>
        <w:rPr>
          <w:rFonts w:ascii="Times New Roman" w:hAnsi="Times New Roman" w:cs="Times New Roman"/>
          <w:sz w:val="24"/>
          <w:szCs w:val="24"/>
        </w:rPr>
      </w:pPr>
      <w:r>
        <w:rPr>
          <w:rFonts w:ascii="Times New Roman" w:hAnsi="Times New Roman" w:cs="Times New Roman"/>
          <w:sz w:val="24"/>
          <w:szCs w:val="24"/>
        </w:rPr>
        <w:t>The Regulations:</w:t>
      </w:r>
    </w:p>
    <w:p w14:paraId="6A0C1391" w14:textId="5D01EC29" w:rsidR="00E853CA" w:rsidRPr="00E853CA" w:rsidRDefault="00E853CA" w:rsidP="00E853CA">
      <w:p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E853CA">
        <w:rPr>
          <w:rFonts w:ascii="Times New Roman" w:hAnsi="Times New Roman" w:cs="Times New Roman"/>
          <w:sz w:val="24"/>
          <w:szCs w:val="24"/>
        </w:rPr>
        <w:t xml:space="preserve">enable the owner or operator of a designated associated facility to refuse access where a requirement to provide access would not be reasonable </w:t>
      </w:r>
      <w:r w:rsidR="002C0D81" w:rsidRPr="00E853CA">
        <w:rPr>
          <w:rFonts w:ascii="Times New Roman" w:hAnsi="Times New Roman" w:cs="Times New Roman"/>
          <w:sz w:val="24"/>
          <w:szCs w:val="24"/>
        </w:rPr>
        <w:t>e.g.</w:t>
      </w:r>
      <w:r w:rsidRPr="00E853CA">
        <w:rPr>
          <w:rFonts w:ascii="Times New Roman" w:hAnsi="Times New Roman" w:cs="Times New Roman"/>
          <w:sz w:val="24"/>
          <w:szCs w:val="24"/>
        </w:rPr>
        <w:t xml:space="preserve"> where being required to provide access would prevent the access provider or existing customers from obtaining sufficient capacity to meet their reasonably anticipated requirements; and where it would prevent the access provider from meeting their existing contractual obligations (Part 2 of</w:t>
      </w:r>
      <w:r>
        <w:rPr>
          <w:rFonts w:ascii="Times New Roman" w:hAnsi="Times New Roman" w:cs="Times New Roman"/>
          <w:sz w:val="24"/>
          <w:szCs w:val="24"/>
        </w:rPr>
        <w:t xml:space="preserve"> the proposed regulations); and</w:t>
      </w:r>
    </w:p>
    <w:p w14:paraId="7DBCB97B" w14:textId="1005FCEF" w:rsidR="00E853CA" w:rsidRDefault="00E853CA" w:rsidP="00E853CA">
      <w:pPr>
        <w:spacing w:line="240" w:lineRule="auto"/>
        <w:ind w:left="567" w:hanging="567"/>
        <w:rPr>
          <w:rFonts w:ascii="Times New Roman" w:hAnsi="Times New Roman" w:cs="Times New Roman"/>
          <w:sz w:val="24"/>
          <w:szCs w:val="24"/>
        </w:rPr>
      </w:pPr>
      <w:r w:rsidRPr="00E853CA">
        <w:rPr>
          <w:rFonts w:ascii="Times New Roman" w:hAnsi="Times New Roman" w:cs="Times New Roman"/>
          <w:sz w:val="24"/>
          <w:szCs w:val="24"/>
        </w:rPr>
        <w:t>(b)</w:t>
      </w:r>
      <w:r>
        <w:rPr>
          <w:rFonts w:ascii="Times New Roman" w:hAnsi="Times New Roman" w:cs="Times New Roman"/>
          <w:sz w:val="24"/>
          <w:szCs w:val="24"/>
        </w:rPr>
        <w:tab/>
      </w:r>
      <w:r w:rsidRPr="00E853CA">
        <w:rPr>
          <w:rFonts w:ascii="Times New Roman" w:hAnsi="Times New Roman" w:cs="Times New Roman"/>
          <w:sz w:val="24"/>
          <w:szCs w:val="24"/>
        </w:rPr>
        <w:t>provide for a streamlined process in accordance with which the Australian Consumer and Competition Commission (ACCC) is be able to arbitrate disputes relating to terms and conditions of access to broadcasting transmission towers, their sites and designated associated facilities (Part 3 of the proposed regulations).</w:t>
      </w:r>
    </w:p>
    <w:p w14:paraId="134F872A" w14:textId="77777777" w:rsidR="007F0D67" w:rsidRDefault="007F0D67" w:rsidP="007F0D67">
      <w:pPr>
        <w:pStyle w:val="Heading3"/>
        <w:jc w:val="left"/>
      </w:pPr>
      <w:r>
        <w:t>Human rights implications</w:t>
      </w:r>
    </w:p>
    <w:p w14:paraId="6D01206F" w14:textId="1D10D995" w:rsidR="007F0D67" w:rsidRDefault="007F0D67" w:rsidP="007F0D67">
      <w:pPr>
        <w:spacing w:before="120" w:after="120" w:line="240" w:lineRule="auto"/>
        <w:rPr>
          <w:rFonts w:ascii="Times New Roman" w:hAnsi="Times New Roman"/>
          <w:sz w:val="24"/>
          <w:szCs w:val="24"/>
        </w:rPr>
      </w:pPr>
      <w:r>
        <w:rPr>
          <w:rFonts w:ascii="Times New Roman" w:hAnsi="Times New Roman"/>
          <w:sz w:val="24"/>
          <w:szCs w:val="24"/>
        </w:rPr>
        <w:t>This Legislative Instrument engages the following rights:</w:t>
      </w:r>
    </w:p>
    <w:p w14:paraId="5CF05A64" w14:textId="1C7D8283" w:rsidR="00B527BE" w:rsidRDefault="00B527BE" w:rsidP="00836175">
      <w:pPr>
        <w:pStyle w:val="ListParagraph"/>
        <w:numPr>
          <w:ilvl w:val="0"/>
          <w:numId w:val="13"/>
        </w:numPr>
        <w:spacing w:before="120" w:after="0" w:line="240" w:lineRule="auto"/>
        <w:ind w:left="714" w:hanging="357"/>
        <w:contextualSpacing w:val="0"/>
        <w:rPr>
          <w:rFonts w:ascii="Times New Roman" w:hAnsi="Times New Roman"/>
          <w:sz w:val="24"/>
          <w:szCs w:val="24"/>
        </w:rPr>
      </w:pPr>
      <w:r>
        <w:rPr>
          <w:rFonts w:ascii="Times New Roman" w:hAnsi="Times New Roman"/>
          <w:sz w:val="24"/>
          <w:szCs w:val="24"/>
        </w:rPr>
        <w:t>Presumption of innocence</w:t>
      </w:r>
    </w:p>
    <w:p w14:paraId="423C8AA5" w14:textId="37BFD36A" w:rsidR="00B527BE" w:rsidRDefault="00B527BE" w:rsidP="00283951">
      <w:pPr>
        <w:spacing w:before="120" w:after="0" w:line="240" w:lineRule="auto"/>
        <w:ind w:left="357"/>
        <w:rPr>
          <w:rFonts w:ascii="Times New Roman" w:hAnsi="Times New Roman"/>
          <w:sz w:val="24"/>
          <w:szCs w:val="24"/>
        </w:rPr>
      </w:pPr>
      <w:r>
        <w:rPr>
          <w:rFonts w:ascii="Times New Roman" w:hAnsi="Times New Roman"/>
          <w:sz w:val="24"/>
          <w:szCs w:val="24"/>
        </w:rPr>
        <w:t xml:space="preserve">Article 14(2) of the </w:t>
      </w:r>
      <w:r w:rsidR="002C0D81">
        <w:rPr>
          <w:rFonts w:ascii="Times New Roman" w:hAnsi="Times New Roman"/>
          <w:sz w:val="24"/>
          <w:szCs w:val="24"/>
        </w:rPr>
        <w:t>International</w:t>
      </w:r>
      <w:r>
        <w:rPr>
          <w:rFonts w:ascii="Times New Roman" w:hAnsi="Times New Roman"/>
          <w:sz w:val="24"/>
          <w:szCs w:val="24"/>
        </w:rPr>
        <w:t xml:space="preserve"> Covenant on Civil and </w:t>
      </w:r>
      <w:r w:rsidR="002C0D81">
        <w:rPr>
          <w:rFonts w:ascii="Times New Roman" w:hAnsi="Times New Roman"/>
          <w:sz w:val="24"/>
          <w:szCs w:val="24"/>
        </w:rPr>
        <w:t>Political</w:t>
      </w:r>
      <w:r>
        <w:rPr>
          <w:rFonts w:ascii="Times New Roman" w:hAnsi="Times New Roman"/>
          <w:sz w:val="24"/>
          <w:szCs w:val="24"/>
        </w:rPr>
        <w:t xml:space="preserve"> Rights (ICCPR) provides that everyone charged with a criminal offence shall have the right to be presumed innocent until proven guilty according to the law. It imposes on the prosecution of the burden of proving a criminal charge and guarantees that no guilt can be presumed until the charge has been proved beyond reasonable doubt.  Under international law the term ‘criminal offence’ includes not only offences or penalties that are classified as a criminal offence under national law, but also other forms of penalties that may be designated as civil penalties under domestic law.  The approach under international </w:t>
      </w:r>
      <w:r w:rsidR="002C0D81">
        <w:rPr>
          <w:rFonts w:ascii="Times New Roman" w:hAnsi="Times New Roman"/>
          <w:sz w:val="24"/>
          <w:szCs w:val="24"/>
        </w:rPr>
        <w:t>and</w:t>
      </w:r>
      <w:r>
        <w:rPr>
          <w:rFonts w:ascii="Times New Roman" w:hAnsi="Times New Roman"/>
          <w:sz w:val="24"/>
          <w:szCs w:val="24"/>
        </w:rPr>
        <w:t xml:space="preserve"> comparative human rights law is to consider the substance and effect of the proceedings, rather than the ‘label’ itself.</w:t>
      </w:r>
    </w:p>
    <w:p w14:paraId="71D93A6B" w14:textId="608778F9" w:rsidR="00426C5B" w:rsidRDefault="00426C5B" w:rsidP="00283951">
      <w:pPr>
        <w:spacing w:before="120" w:after="0" w:line="240" w:lineRule="auto"/>
        <w:ind w:left="357"/>
        <w:rPr>
          <w:rFonts w:ascii="Times New Roman" w:hAnsi="Times New Roman"/>
          <w:sz w:val="24"/>
          <w:szCs w:val="24"/>
        </w:rPr>
      </w:pPr>
      <w:r>
        <w:rPr>
          <w:rFonts w:ascii="Times New Roman" w:hAnsi="Times New Roman"/>
          <w:sz w:val="24"/>
          <w:szCs w:val="24"/>
        </w:rPr>
        <w:t xml:space="preserve">Strict liability offences engage and </w:t>
      </w:r>
      <w:r w:rsidR="002C0D81">
        <w:rPr>
          <w:rFonts w:ascii="Times New Roman" w:hAnsi="Times New Roman"/>
          <w:sz w:val="24"/>
          <w:szCs w:val="24"/>
        </w:rPr>
        <w:t>limit</w:t>
      </w:r>
      <w:r>
        <w:rPr>
          <w:rFonts w:ascii="Times New Roman" w:hAnsi="Times New Roman"/>
          <w:sz w:val="24"/>
          <w:szCs w:val="24"/>
        </w:rPr>
        <w:t xml:space="preserve"> the right to be presumed innocent as they allow for the imposition of criminal </w:t>
      </w:r>
      <w:r w:rsidR="002C0D81">
        <w:rPr>
          <w:rFonts w:ascii="Times New Roman" w:hAnsi="Times New Roman"/>
          <w:sz w:val="24"/>
          <w:szCs w:val="24"/>
        </w:rPr>
        <w:t>liability</w:t>
      </w:r>
      <w:r>
        <w:rPr>
          <w:rFonts w:ascii="Times New Roman" w:hAnsi="Times New Roman"/>
          <w:sz w:val="24"/>
          <w:szCs w:val="24"/>
        </w:rPr>
        <w:t xml:space="preserve"> without the need for the prosecution to prove fault.  In the case of a strict liability offence, the prosecution is only required to prove the physical elements of the offence.  A strict liability offence will not violate the presumption of innocence if it pursues a legitimate aim and is reasonable, necessary and proportionate to that aim. </w:t>
      </w:r>
    </w:p>
    <w:p w14:paraId="0C96705D" w14:textId="10EBDEA9" w:rsidR="00426C5B" w:rsidRDefault="00426C5B" w:rsidP="005615E2">
      <w:pPr>
        <w:spacing w:before="120" w:after="0" w:line="240" w:lineRule="auto"/>
        <w:ind w:left="357"/>
        <w:rPr>
          <w:rFonts w:ascii="Times New Roman" w:hAnsi="Times New Roman"/>
          <w:sz w:val="24"/>
          <w:szCs w:val="24"/>
        </w:rPr>
      </w:pPr>
      <w:r>
        <w:rPr>
          <w:rFonts w:ascii="Times New Roman" w:hAnsi="Times New Roman"/>
          <w:sz w:val="24"/>
          <w:szCs w:val="24"/>
        </w:rPr>
        <w:t xml:space="preserve">Some offences (sections 27-30) contained in Division 6 of Part 3 of the Regulations are strict </w:t>
      </w:r>
      <w:r w:rsidR="002C0D81">
        <w:rPr>
          <w:rFonts w:ascii="Times New Roman" w:hAnsi="Times New Roman"/>
          <w:sz w:val="24"/>
          <w:szCs w:val="24"/>
        </w:rPr>
        <w:t>liability</w:t>
      </w:r>
      <w:r>
        <w:rPr>
          <w:rFonts w:ascii="Times New Roman" w:hAnsi="Times New Roman"/>
          <w:sz w:val="24"/>
          <w:szCs w:val="24"/>
        </w:rPr>
        <w:t xml:space="preserve"> offences.  Section 27 creates a strict </w:t>
      </w:r>
      <w:r w:rsidR="002C0D81">
        <w:rPr>
          <w:rFonts w:ascii="Times New Roman" w:hAnsi="Times New Roman"/>
          <w:sz w:val="24"/>
          <w:szCs w:val="24"/>
        </w:rPr>
        <w:t>liability</w:t>
      </w:r>
      <w:r>
        <w:rPr>
          <w:rFonts w:ascii="Times New Roman" w:hAnsi="Times New Roman"/>
          <w:sz w:val="24"/>
          <w:szCs w:val="24"/>
        </w:rPr>
        <w:t xml:space="preserve"> offence for a person to contravene a direction issue</w:t>
      </w:r>
      <w:r w:rsidR="00283951">
        <w:rPr>
          <w:rFonts w:ascii="Times New Roman" w:hAnsi="Times New Roman"/>
          <w:sz w:val="24"/>
          <w:szCs w:val="24"/>
        </w:rPr>
        <w:t>d</w:t>
      </w:r>
      <w:r>
        <w:rPr>
          <w:rFonts w:ascii="Times New Roman" w:hAnsi="Times New Roman"/>
          <w:sz w:val="24"/>
          <w:szCs w:val="24"/>
        </w:rPr>
        <w:t xml:space="preserve"> under paragraphs 17(b) to (e) of the Regulations.  </w:t>
      </w:r>
      <w:r w:rsidR="002C0D81">
        <w:rPr>
          <w:rFonts w:ascii="Times New Roman" w:hAnsi="Times New Roman"/>
          <w:sz w:val="24"/>
          <w:szCs w:val="24"/>
        </w:rPr>
        <w:t>Section</w:t>
      </w:r>
      <w:r>
        <w:rPr>
          <w:rFonts w:ascii="Times New Roman" w:hAnsi="Times New Roman"/>
          <w:sz w:val="24"/>
          <w:szCs w:val="24"/>
        </w:rPr>
        <w:t xml:space="preserve"> 28 creates a strict liability offence for failure to comply with a notice to give information or produce documents. Section 29 creates strict liability offences by witnesses for failing to appear, failing to answer questions and </w:t>
      </w:r>
      <w:r w:rsidR="002C0D81">
        <w:rPr>
          <w:rFonts w:ascii="Times New Roman" w:hAnsi="Times New Roman"/>
          <w:sz w:val="24"/>
          <w:szCs w:val="24"/>
        </w:rPr>
        <w:t>failure</w:t>
      </w:r>
      <w:r>
        <w:rPr>
          <w:rFonts w:ascii="Times New Roman" w:hAnsi="Times New Roman"/>
          <w:sz w:val="24"/>
          <w:szCs w:val="24"/>
        </w:rPr>
        <w:t xml:space="preserve"> to produce a document. Section 30 </w:t>
      </w:r>
      <w:r w:rsidR="002C0D81">
        <w:rPr>
          <w:rFonts w:ascii="Times New Roman" w:hAnsi="Times New Roman"/>
          <w:sz w:val="24"/>
          <w:szCs w:val="24"/>
        </w:rPr>
        <w:t>creates</w:t>
      </w:r>
      <w:r>
        <w:rPr>
          <w:rFonts w:ascii="Times New Roman" w:hAnsi="Times New Roman"/>
          <w:sz w:val="24"/>
          <w:szCs w:val="24"/>
        </w:rPr>
        <w:t xml:space="preserve"> a </w:t>
      </w:r>
      <w:r w:rsidR="002C0D81">
        <w:rPr>
          <w:rFonts w:ascii="Times New Roman" w:hAnsi="Times New Roman"/>
          <w:sz w:val="24"/>
          <w:szCs w:val="24"/>
        </w:rPr>
        <w:t>strict</w:t>
      </w:r>
      <w:r>
        <w:rPr>
          <w:rFonts w:ascii="Times New Roman" w:hAnsi="Times New Roman"/>
          <w:sz w:val="24"/>
          <w:szCs w:val="24"/>
        </w:rPr>
        <w:t xml:space="preserve"> </w:t>
      </w:r>
      <w:r w:rsidR="002C0D81">
        <w:rPr>
          <w:rFonts w:ascii="Times New Roman" w:hAnsi="Times New Roman"/>
          <w:sz w:val="24"/>
          <w:szCs w:val="24"/>
        </w:rPr>
        <w:t>liability</w:t>
      </w:r>
      <w:r>
        <w:rPr>
          <w:rFonts w:ascii="Times New Roman" w:hAnsi="Times New Roman"/>
          <w:sz w:val="24"/>
          <w:szCs w:val="24"/>
        </w:rPr>
        <w:t xml:space="preserve"> offence for intimidation of witnesses. </w:t>
      </w:r>
    </w:p>
    <w:p w14:paraId="3EE6D54C" w14:textId="26825848" w:rsidR="008726F5" w:rsidRDefault="00426C5B" w:rsidP="005615E2">
      <w:pPr>
        <w:spacing w:before="120" w:after="0" w:line="240" w:lineRule="auto"/>
        <w:ind w:left="357"/>
        <w:rPr>
          <w:rFonts w:ascii="Times New Roman" w:hAnsi="Times New Roman"/>
          <w:sz w:val="24"/>
          <w:szCs w:val="24"/>
        </w:rPr>
      </w:pPr>
      <w:r>
        <w:rPr>
          <w:rFonts w:ascii="Times New Roman" w:hAnsi="Times New Roman"/>
          <w:sz w:val="24"/>
          <w:szCs w:val="24"/>
        </w:rPr>
        <w:t xml:space="preserve">The offences contained </w:t>
      </w:r>
      <w:r w:rsidR="002C0D81">
        <w:rPr>
          <w:rFonts w:ascii="Times New Roman" w:hAnsi="Times New Roman"/>
          <w:sz w:val="24"/>
          <w:szCs w:val="24"/>
        </w:rPr>
        <w:t>in sections</w:t>
      </w:r>
      <w:r>
        <w:rPr>
          <w:rFonts w:ascii="Times New Roman" w:hAnsi="Times New Roman"/>
          <w:sz w:val="24"/>
          <w:szCs w:val="24"/>
        </w:rPr>
        <w:t xml:space="preserve"> 27 to 30 of the Regulations are aimed at upholding the integrity of the dispute resolution process and ensuring the ACCC is able to conduct effective arbitrations. </w:t>
      </w:r>
      <w:r w:rsidR="008726F5">
        <w:rPr>
          <w:rFonts w:ascii="Times New Roman" w:hAnsi="Times New Roman"/>
          <w:sz w:val="24"/>
          <w:szCs w:val="24"/>
        </w:rPr>
        <w:t>This is important to ensure reasonable access is provided to the transmission sites, towers</w:t>
      </w:r>
      <w:r w:rsidR="005615E2">
        <w:rPr>
          <w:rFonts w:ascii="Times New Roman" w:hAnsi="Times New Roman"/>
          <w:sz w:val="24"/>
          <w:szCs w:val="24"/>
        </w:rPr>
        <w:t>, facilities</w:t>
      </w:r>
      <w:r w:rsidR="008726F5">
        <w:rPr>
          <w:rFonts w:ascii="Times New Roman" w:hAnsi="Times New Roman"/>
          <w:sz w:val="24"/>
          <w:szCs w:val="24"/>
        </w:rPr>
        <w:t xml:space="preserve"> and designated associated facilities specified under the </w:t>
      </w:r>
      <w:r w:rsidR="00283951">
        <w:rPr>
          <w:rFonts w:ascii="Times New Roman" w:hAnsi="Times New Roman"/>
          <w:sz w:val="24"/>
          <w:szCs w:val="24"/>
        </w:rPr>
        <w:t>Act</w:t>
      </w:r>
      <w:r w:rsidR="00251202" w:rsidRPr="00251202">
        <w:rPr>
          <w:rFonts w:ascii="Times New Roman" w:hAnsi="Times New Roman"/>
          <w:sz w:val="24"/>
          <w:szCs w:val="24"/>
        </w:rPr>
        <w:t>, necessary</w:t>
      </w:r>
      <w:r w:rsidR="008726F5" w:rsidRPr="005615E2">
        <w:rPr>
          <w:rFonts w:ascii="Times New Roman" w:hAnsi="Times New Roman"/>
          <w:sz w:val="24"/>
          <w:szCs w:val="24"/>
        </w:rPr>
        <w:t xml:space="preserve"> for the provision of commercial and national television and datacasting services to the </w:t>
      </w:r>
      <w:r w:rsidR="002C0D81" w:rsidRPr="002C0D81">
        <w:rPr>
          <w:rFonts w:ascii="Times New Roman" w:hAnsi="Times New Roman"/>
          <w:sz w:val="24"/>
          <w:szCs w:val="24"/>
        </w:rPr>
        <w:t>Australian</w:t>
      </w:r>
      <w:r w:rsidR="008726F5" w:rsidRPr="005615E2">
        <w:rPr>
          <w:rFonts w:ascii="Times New Roman" w:hAnsi="Times New Roman"/>
          <w:sz w:val="24"/>
          <w:szCs w:val="24"/>
        </w:rPr>
        <w:t xml:space="preserve"> community.</w:t>
      </w:r>
    </w:p>
    <w:p w14:paraId="330F6305" w14:textId="46DDB996" w:rsidR="008726F5" w:rsidRDefault="008726F5" w:rsidP="005615E2">
      <w:pPr>
        <w:spacing w:before="120" w:after="0" w:line="240" w:lineRule="auto"/>
        <w:ind w:left="357"/>
        <w:rPr>
          <w:rFonts w:ascii="Times New Roman" w:hAnsi="Times New Roman"/>
          <w:sz w:val="24"/>
          <w:szCs w:val="24"/>
        </w:rPr>
      </w:pPr>
      <w:r>
        <w:rPr>
          <w:rFonts w:ascii="Times New Roman" w:hAnsi="Times New Roman"/>
          <w:sz w:val="24"/>
          <w:szCs w:val="24"/>
        </w:rPr>
        <w:t xml:space="preserve">By making these offences strict liability offences, it provides a strong deterrent for those parties who may seek to game (including delaying) arbitrations. Gaming might be done, for example, to gain an advantage over a </w:t>
      </w:r>
      <w:r w:rsidR="002C0D81">
        <w:rPr>
          <w:rFonts w:ascii="Times New Roman" w:hAnsi="Times New Roman"/>
          <w:sz w:val="24"/>
          <w:szCs w:val="24"/>
        </w:rPr>
        <w:t>competitor</w:t>
      </w:r>
      <w:r>
        <w:rPr>
          <w:rFonts w:ascii="Times New Roman" w:hAnsi="Times New Roman"/>
          <w:sz w:val="24"/>
          <w:szCs w:val="24"/>
        </w:rPr>
        <w:t xml:space="preserve"> b</w:t>
      </w:r>
      <w:r w:rsidR="005615E2">
        <w:rPr>
          <w:rFonts w:ascii="Times New Roman" w:hAnsi="Times New Roman"/>
          <w:sz w:val="24"/>
          <w:szCs w:val="24"/>
        </w:rPr>
        <w:t>y d</w:t>
      </w:r>
      <w:r>
        <w:rPr>
          <w:rFonts w:ascii="Times New Roman" w:hAnsi="Times New Roman"/>
          <w:sz w:val="24"/>
          <w:szCs w:val="24"/>
        </w:rPr>
        <w:t xml:space="preserve">rawing-out a protracted, </w:t>
      </w:r>
      <w:r w:rsidR="005615E2">
        <w:rPr>
          <w:rFonts w:ascii="Times New Roman" w:hAnsi="Times New Roman"/>
          <w:sz w:val="24"/>
          <w:szCs w:val="24"/>
        </w:rPr>
        <w:t>un</w:t>
      </w:r>
      <w:r>
        <w:rPr>
          <w:rFonts w:ascii="Times New Roman" w:hAnsi="Times New Roman"/>
          <w:sz w:val="24"/>
          <w:szCs w:val="24"/>
        </w:rPr>
        <w:t xml:space="preserve">resolved </w:t>
      </w:r>
      <w:r w:rsidR="005615E2">
        <w:rPr>
          <w:rFonts w:ascii="Times New Roman" w:hAnsi="Times New Roman"/>
          <w:sz w:val="24"/>
          <w:szCs w:val="24"/>
        </w:rPr>
        <w:t xml:space="preserve">access </w:t>
      </w:r>
      <w:r>
        <w:rPr>
          <w:rFonts w:ascii="Times New Roman" w:hAnsi="Times New Roman"/>
          <w:sz w:val="24"/>
          <w:szCs w:val="24"/>
        </w:rPr>
        <w:t xml:space="preserve">dispute </w:t>
      </w:r>
      <w:r w:rsidR="002C0D81">
        <w:rPr>
          <w:rFonts w:ascii="Times New Roman" w:hAnsi="Times New Roman"/>
          <w:sz w:val="24"/>
          <w:szCs w:val="24"/>
        </w:rPr>
        <w:t>necessary</w:t>
      </w:r>
      <w:r>
        <w:rPr>
          <w:rFonts w:ascii="Times New Roman" w:hAnsi="Times New Roman"/>
          <w:sz w:val="24"/>
          <w:szCs w:val="24"/>
        </w:rPr>
        <w:t xml:space="preserve"> to conduct their business.</w:t>
      </w:r>
    </w:p>
    <w:p w14:paraId="54076521" w14:textId="62CD5AB0" w:rsidR="008726F5" w:rsidRDefault="008726F5" w:rsidP="005615E2">
      <w:pPr>
        <w:spacing w:before="120" w:after="0" w:line="240" w:lineRule="auto"/>
        <w:ind w:left="357"/>
        <w:rPr>
          <w:rFonts w:ascii="Times New Roman" w:hAnsi="Times New Roman"/>
          <w:sz w:val="24"/>
          <w:szCs w:val="24"/>
        </w:rPr>
      </w:pPr>
      <w:r>
        <w:rPr>
          <w:rFonts w:ascii="Times New Roman" w:hAnsi="Times New Roman"/>
          <w:sz w:val="24"/>
          <w:szCs w:val="24"/>
        </w:rPr>
        <w:t>The offences arise in the regulatory context where participants are expected to know their duties and obligations during ACCC arbitration proceedings.</w:t>
      </w:r>
      <w:r w:rsidR="002C0D81">
        <w:rPr>
          <w:rFonts w:ascii="Times New Roman" w:hAnsi="Times New Roman"/>
          <w:sz w:val="24"/>
          <w:szCs w:val="24"/>
        </w:rPr>
        <w:t xml:space="preserve"> </w:t>
      </w:r>
      <w:r>
        <w:rPr>
          <w:rFonts w:ascii="Times New Roman" w:hAnsi="Times New Roman"/>
          <w:sz w:val="24"/>
          <w:szCs w:val="24"/>
        </w:rPr>
        <w:t xml:space="preserve">The conduct that is the subject of offences is not burdensome to comply with, for example answering questions during an arbitration.  The penalty (10 penalty units) is also not unduly onerous.  For these reasons, strict liability is a reasonable and proportionate response. </w:t>
      </w:r>
    </w:p>
    <w:p w14:paraId="0561AFCF" w14:textId="78DF5883" w:rsidR="008726F5" w:rsidRDefault="008726F5" w:rsidP="005615E2">
      <w:pPr>
        <w:spacing w:before="120" w:after="0" w:line="240" w:lineRule="auto"/>
        <w:ind w:left="357"/>
        <w:rPr>
          <w:rFonts w:ascii="Times New Roman" w:hAnsi="Times New Roman"/>
          <w:sz w:val="24"/>
          <w:szCs w:val="24"/>
        </w:rPr>
      </w:pPr>
      <w:r>
        <w:rPr>
          <w:rFonts w:ascii="Times New Roman" w:hAnsi="Times New Roman"/>
          <w:sz w:val="24"/>
          <w:szCs w:val="24"/>
        </w:rPr>
        <w:t xml:space="preserve">Of course, it remains incumbent on the </w:t>
      </w:r>
      <w:r w:rsidR="002C0D81">
        <w:rPr>
          <w:rFonts w:ascii="Times New Roman" w:hAnsi="Times New Roman"/>
          <w:sz w:val="24"/>
          <w:szCs w:val="24"/>
        </w:rPr>
        <w:t>prosecution</w:t>
      </w:r>
      <w:r>
        <w:rPr>
          <w:rFonts w:ascii="Times New Roman" w:hAnsi="Times New Roman"/>
          <w:sz w:val="24"/>
          <w:szCs w:val="24"/>
        </w:rPr>
        <w:t xml:space="preserve"> to prove the physical elements of these offences beyond a reasonable doubt.  An accused will have access to the defences available under Part 2.3 of the </w:t>
      </w:r>
      <w:r w:rsidRPr="005615E2">
        <w:rPr>
          <w:rFonts w:ascii="Times New Roman" w:hAnsi="Times New Roman"/>
          <w:i/>
          <w:sz w:val="24"/>
          <w:szCs w:val="24"/>
        </w:rPr>
        <w:t>Criminal Code Act 1995</w:t>
      </w:r>
      <w:r>
        <w:rPr>
          <w:rFonts w:ascii="Times New Roman" w:hAnsi="Times New Roman"/>
          <w:sz w:val="24"/>
          <w:szCs w:val="24"/>
        </w:rPr>
        <w:t xml:space="preserve"> (Criminal Code) where applicable – for example, the defence of intervening </w:t>
      </w:r>
      <w:r w:rsidR="002C0D81">
        <w:rPr>
          <w:rFonts w:ascii="Times New Roman" w:hAnsi="Times New Roman"/>
          <w:sz w:val="24"/>
          <w:szCs w:val="24"/>
        </w:rPr>
        <w:t>conduct</w:t>
      </w:r>
      <w:r>
        <w:rPr>
          <w:rFonts w:ascii="Times New Roman" w:hAnsi="Times New Roman"/>
          <w:sz w:val="24"/>
          <w:szCs w:val="24"/>
        </w:rPr>
        <w:t xml:space="preserve"> or event (s10.1 of the Criminal Code) or the defence of honest and reasonable mistake of fact (s9.2 of the Criminal Code).  These are considered to be a sufficient safeguard against error, abuse and provide the opportunity to avoid penalty for reasonable excuses. </w:t>
      </w:r>
    </w:p>
    <w:p w14:paraId="1F1928D0" w14:textId="77777777" w:rsidR="008726F5" w:rsidRDefault="008726F5" w:rsidP="005615E2">
      <w:pPr>
        <w:spacing w:before="120" w:after="0" w:line="240" w:lineRule="auto"/>
        <w:ind w:left="357"/>
        <w:rPr>
          <w:rFonts w:ascii="Times New Roman" w:hAnsi="Times New Roman"/>
          <w:b/>
          <w:sz w:val="24"/>
          <w:szCs w:val="24"/>
        </w:rPr>
      </w:pPr>
      <w:r w:rsidRPr="005615E2">
        <w:rPr>
          <w:rFonts w:ascii="Times New Roman" w:hAnsi="Times New Roman"/>
          <w:b/>
          <w:sz w:val="24"/>
          <w:szCs w:val="24"/>
        </w:rPr>
        <w:t xml:space="preserve">Conclusion  </w:t>
      </w:r>
    </w:p>
    <w:p w14:paraId="3BB92EA8" w14:textId="77777777" w:rsidR="002C0D81" w:rsidRDefault="008726F5" w:rsidP="005615E2">
      <w:pPr>
        <w:spacing w:before="120" w:after="0" w:line="240" w:lineRule="auto"/>
        <w:ind w:left="357"/>
        <w:rPr>
          <w:rFonts w:ascii="Times New Roman" w:hAnsi="Times New Roman"/>
          <w:sz w:val="24"/>
          <w:szCs w:val="24"/>
        </w:rPr>
      </w:pPr>
      <w:r w:rsidRPr="005615E2">
        <w:rPr>
          <w:rFonts w:ascii="Times New Roman" w:hAnsi="Times New Roman"/>
          <w:sz w:val="24"/>
          <w:szCs w:val="24"/>
        </w:rPr>
        <w:t xml:space="preserve">The Legislative Instrument is compatible with human rights because limitations on the right to the presumption of </w:t>
      </w:r>
      <w:r w:rsidR="002C0D81" w:rsidRPr="005615E2">
        <w:rPr>
          <w:rFonts w:ascii="Times New Roman" w:hAnsi="Times New Roman"/>
          <w:sz w:val="24"/>
          <w:szCs w:val="24"/>
        </w:rPr>
        <w:t xml:space="preserve">innocence are reasonable, necessary and proportionate. </w:t>
      </w:r>
      <w:r w:rsidRPr="002C0D81">
        <w:rPr>
          <w:rFonts w:ascii="Times New Roman" w:hAnsi="Times New Roman"/>
          <w:sz w:val="24"/>
          <w:szCs w:val="24"/>
        </w:rPr>
        <w:t xml:space="preserve">   </w:t>
      </w:r>
      <w:r w:rsidRPr="002C0D81">
        <w:rPr>
          <w:rFonts w:ascii="Times New Roman" w:hAnsi="Times New Roman"/>
          <w:i/>
          <w:sz w:val="24"/>
          <w:szCs w:val="24"/>
        </w:rPr>
        <w:t xml:space="preserve"> </w:t>
      </w:r>
      <w:r w:rsidRPr="002C0D81">
        <w:rPr>
          <w:rFonts w:ascii="Times New Roman" w:hAnsi="Times New Roman"/>
          <w:sz w:val="24"/>
          <w:szCs w:val="24"/>
        </w:rPr>
        <w:t xml:space="preserve"> </w:t>
      </w:r>
      <w:r w:rsidR="00426C5B" w:rsidRPr="002C0D81">
        <w:rPr>
          <w:rFonts w:ascii="Times New Roman" w:hAnsi="Times New Roman"/>
          <w:sz w:val="24"/>
          <w:szCs w:val="24"/>
        </w:rPr>
        <w:t xml:space="preserve">  </w:t>
      </w:r>
    </w:p>
    <w:p w14:paraId="55600E21" w14:textId="77777777" w:rsidR="002C0D81" w:rsidRDefault="002C0D81" w:rsidP="005615E2">
      <w:pPr>
        <w:spacing w:before="120" w:after="0" w:line="240" w:lineRule="auto"/>
        <w:ind w:left="357"/>
        <w:rPr>
          <w:rFonts w:ascii="Times New Roman" w:hAnsi="Times New Roman"/>
          <w:sz w:val="24"/>
          <w:szCs w:val="24"/>
        </w:rPr>
      </w:pPr>
    </w:p>
    <w:p w14:paraId="16048F12" w14:textId="0676EB21" w:rsidR="00B527BE" w:rsidRPr="005615E2" w:rsidRDefault="00426C5B" w:rsidP="005615E2">
      <w:pPr>
        <w:spacing w:before="120" w:after="0" w:line="240" w:lineRule="auto"/>
        <w:ind w:left="357"/>
        <w:rPr>
          <w:rFonts w:ascii="Times New Roman" w:hAnsi="Times New Roman"/>
          <w:sz w:val="24"/>
          <w:szCs w:val="24"/>
        </w:rPr>
      </w:pPr>
      <w:r w:rsidRPr="005615E2">
        <w:t xml:space="preserve"> </w:t>
      </w:r>
    </w:p>
    <w:p w14:paraId="5F463BC8" w14:textId="44A3DA09" w:rsidR="007F0D67" w:rsidRDefault="00444CD0" w:rsidP="00836175">
      <w:pPr>
        <w:pStyle w:val="ListParagraph"/>
        <w:numPr>
          <w:ilvl w:val="0"/>
          <w:numId w:val="13"/>
        </w:numPr>
        <w:spacing w:before="120" w:after="0" w:line="240" w:lineRule="auto"/>
        <w:ind w:left="714" w:hanging="357"/>
        <w:contextualSpacing w:val="0"/>
        <w:rPr>
          <w:rFonts w:ascii="Times New Roman" w:hAnsi="Times New Roman"/>
          <w:sz w:val="24"/>
          <w:szCs w:val="24"/>
        </w:rPr>
      </w:pPr>
      <w:r>
        <w:rPr>
          <w:rFonts w:ascii="Times New Roman" w:hAnsi="Times New Roman"/>
          <w:sz w:val="24"/>
          <w:szCs w:val="24"/>
        </w:rPr>
        <w:t>Right to freedom of expression</w:t>
      </w:r>
    </w:p>
    <w:p w14:paraId="2470526E" w14:textId="50F600A1" w:rsidR="00444CD0" w:rsidRDefault="007F0D67" w:rsidP="00444CD0">
      <w:pPr>
        <w:spacing w:before="120" w:after="0" w:line="240" w:lineRule="auto"/>
        <w:rPr>
          <w:rFonts w:ascii="Times New Roman" w:hAnsi="Times New Roman"/>
          <w:sz w:val="24"/>
          <w:szCs w:val="24"/>
          <w:shd w:val="clear" w:color="auto" w:fill="FFFFFF"/>
        </w:rPr>
      </w:pPr>
      <w:r w:rsidRPr="006849B8">
        <w:rPr>
          <w:rFonts w:ascii="Times New Roman" w:hAnsi="Times New Roman"/>
          <w:sz w:val="24"/>
          <w:szCs w:val="24"/>
        </w:rPr>
        <w:t xml:space="preserve">Article </w:t>
      </w:r>
      <w:r w:rsidR="00444CD0">
        <w:rPr>
          <w:rFonts w:ascii="Times New Roman" w:hAnsi="Times New Roman"/>
          <w:sz w:val="24"/>
          <w:szCs w:val="24"/>
          <w:shd w:val="clear" w:color="auto" w:fill="FFFFFF"/>
        </w:rPr>
        <w:t>19</w:t>
      </w:r>
      <w:r w:rsidRPr="006849B8">
        <w:rPr>
          <w:rFonts w:ascii="Times New Roman" w:hAnsi="Times New Roman"/>
          <w:sz w:val="24"/>
          <w:szCs w:val="24"/>
          <w:shd w:val="clear" w:color="auto" w:fill="FFFFFF"/>
        </w:rPr>
        <w:t xml:space="preserve"> of the (ICCPR provides that everyone </w:t>
      </w:r>
      <w:r w:rsidR="00444CD0">
        <w:rPr>
          <w:rFonts w:ascii="Times New Roman" w:hAnsi="Times New Roman"/>
          <w:sz w:val="24"/>
          <w:szCs w:val="24"/>
          <w:shd w:val="clear" w:color="auto" w:fill="FFFFFF"/>
        </w:rPr>
        <w:t xml:space="preserve">shall have the right to hold opinions without interference. This is commonly referred to as the right to freedom of expression, and includes the freedom to seek, receive and impart information and ideas of all </w:t>
      </w:r>
      <w:r w:rsidR="002C0D81">
        <w:rPr>
          <w:rFonts w:ascii="Times New Roman" w:hAnsi="Times New Roman"/>
          <w:sz w:val="24"/>
          <w:szCs w:val="24"/>
          <w:shd w:val="clear" w:color="auto" w:fill="FFFFFF"/>
        </w:rPr>
        <w:t>kinds</w:t>
      </w:r>
      <w:r w:rsidR="00444CD0">
        <w:rPr>
          <w:rFonts w:ascii="Times New Roman" w:hAnsi="Times New Roman"/>
          <w:sz w:val="24"/>
          <w:szCs w:val="24"/>
          <w:shd w:val="clear" w:color="auto" w:fill="FFFFFF"/>
        </w:rPr>
        <w:t>, regardless of frontiers in any form.</w:t>
      </w:r>
    </w:p>
    <w:p w14:paraId="78EAE94E" w14:textId="1EB2CCEB" w:rsidR="00444CD0" w:rsidRDefault="00444CD0" w:rsidP="00444CD0">
      <w:pPr>
        <w:spacing w:before="120"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The Regulations include a provision that makes it an offence to engage in conduct that threatens, intimidates, coerces, or causes damage, disadvantage or loss to another person because that other person has or proposes to give evidence to the ACCC in an arbitration hearing. This offence is aimed at limiting inhibitors on an individual that chooses to provide evidence in oral or documentary form during an ACCC hearing under these Regulations.</w:t>
      </w:r>
    </w:p>
    <w:p w14:paraId="534D408E" w14:textId="4EFF7724" w:rsidR="007F0D67" w:rsidRDefault="00444CD0" w:rsidP="007F0D67">
      <w:pPr>
        <w:spacing w:before="120" w:after="0" w:line="240" w:lineRule="auto"/>
        <w:rPr>
          <w:rFonts w:ascii="Times New Roman" w:hAnsi="Times New Roman" w:cs="Times New Roman"/>
          <w:sz w:val="24"/>
          <w:szCs w:val="24"/>
          <w:shd w:val="clear" w:color="auto" w:fill="FFFFFF"/>
        </w:rPr>
      </w:pPr>
      <w:r>
        <w:rPr>
          <w:rFonts w:ascii="Times New Roman" w:hAnsi="Times New Roman"/>
          <w:sz w:val="24"/>
          <w:szCs w:val="24"/>
          <w:shd w:val="clear" w:color="auto" w:fill="FFFFFF"/>
        </w:rPr>
        <w:t>The Regulations promote the right to freedom of expression because they make it an offence to interfere with an individual’s choice to provide evidence, therefore securing their right to freedom of expression</w:t>
      </w:r>
      <w:r w:rsidR="00B017E5">
        <w:rPr>
          <w:rFonts w:ascii="Times New Roman" w:hAnsi="Times New Roman"/>
          <w:sz w:val="24"/>
          <w:szCs w:val="24"/>
          <w:shd w:val="clear" w:color="auto" w:fill="FFFFFF"/>
        </w:rPr>
        <w:t xml:space="preserve"> within this context.</w:t>
      </w:r>
    </w:p>
    <w:p w14:paraId="55B26672" w14:textId="77777777" w:rsidR="007F0D67" w:rsidRDefault="007F0D67" w:rsidP="007F0D67">
      <w:pPr>
        <w:pStyle w:val="Heading3"/>
        <w:jc w:val="left"/>
      </w:pPr>
      <w:r>
        <w:t xml:space="preserve">Conclusion </w:t>
      </w:r>
    </w:p>
    <w:p w14:paraId="3810FB9B" w14:textId="2417D6B3" w:rsidR="007F0D67" w:rsidRDefault="007F0D67" w:rsidP="007F0D67">
      <w:pPr>
        <w:spacing w:before="120" w:after="120" w:line="240" w:lineRule="auto"/>
        <w:rPr>
          <w:rFonts w:ascii="Times New Roman" w:hAnsi="Times New Roman"/>
          <w:sz w:val="24"/>
          <w:szCs w:val="24"/>
        </w:rPr>
      </w:pPr>
      <w:r>
        <w:rPr>
          <w:rFonts w:ascii="Times New Roman" w:hAnsi="Times New Roman"/>
          <w:sz w:val="24"/>
          <w:szCs w:val="24"/>
        </w:rPr>
        <w:t>The Legislative Instrument is compatible with human rights because</w:t>
      </w:r>
      <w:r>
        <w:rPr>
          <w:rFonts w:ascii="Times New Roman" w:hAnsi="Times New Roman"/>
          <w:sz w:val="24"/>
          <w:szCs w:val="24"/>
          <w:lang w:val="en-GB"/>
        </w:rPr>
        <w:t xml:space="preserve"> </w:t>
      </w:r>
      <w:r w:rsidR="00B017E5">
        <w:rPr>
          <w:rFonts w:ascii="Times New Roman" w:hAnsi="Times New Roman"/>
          <w:sz w:val="24"/>
          <w:szCs w:val="24"/>
          <w:lang w:val="en-GB"/>
        </w:rPr>
        <w:t>it promotes the right to freedom of expression</w:t>
      </w:r>
      <w:r>
        <w:rPr>
          <w:rFonts w:ascii="Times New Roman" w:hAnsi="Times New Roman"/>
          <w:sz w:val="24"/>
          <w:szCs w:val="24"/>
        </w:rPr>
        <w:t>.</w:t>
      </w:r>
    </w:p>
    <w:p w14:paraId="7E913B20" w14:textId="77777777" w:rsidR="007F0D67" w:rsidRDefault="007F0D67" w:rsidP="007F0D67">
      <w:pPr>
        <w:spacing w:line="240" w:lineRule="auto"/>
        <w:rPr>
          <w:b/>
        </w:rPr>
      </w:pPr>
    </w:p>
    <w:p w14:paraId="24964851" w14:textId="79913870" w:rsidR="007F0D67" w:rsidRPr="006C27E2" w:rsidRDefault="007F0D67" w:rsidP="007F0D67">
      <w:pPr>
        <w:spacing w:line="240" w:lineRule="auto"/>
        <w:jc w:val="center"/>
        <w:rPr>
          <w:rFonts w:ascii="Times New Roman" w:hAnsi="Times New Roman" w:cs="Times New Roman"/>
          <w:b/>
          <w:sz w:val="24"/>
        </w:rPr>
      </w:pPr>
      <w:r w:rsidRPr="006C27E2">
        <w:rPr>
          <w:rFonts w:ascii="Times New Roman" w:hAnsi="Times New Roman" w:cs="Times New Roman"/>
          <w:b/>
          <w:sz w:val="24"/>
        </w:rPr>
        <w:t>Minister for Communications</w:t>
      </w:r>
      <w:r w:rsidR="00F0260E">
        <w:rPr>
          <w:rFonts w:ascii="Times New Roman" w:hAnsi="Times New Roman" w:cs="Times New Roman"/>
          <w:b/>
          <w:sz w:val="24"/>
        </w:rPr>
        <w:t>, Cyber Safety</w:t>
      </w:r>
      <w:r w:rsidRPr="006C27E2">
        <w:rPr>
          <w:rFonts w:ascii="Times New Roman" w:hAnsi="Times New Roman" w:cs="Times New Roman"/>
          <w:b/>
          <w:sz w:val="24"/>
        </w:rPr>
        <w:t xml:space="preserve"> and the Arts</w:t>
      </w:r>
    </w:p>
    <w:sectPr w:rsidR="007F0D67" w:rsidRPr="006C27E2">
      <w:headerReference w:type="even" r:id="rId10"/>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06160" w14:textId="77777777" w:rsidR="003D0456" w:rsidRDefault="003D0456" w:rsidP="007C4B26">
      <w:pPr>
        <w:spacing w:after="0" w:line="240" w:lineRule="auto"/>
      </w:pPr>
      <w:r>
        <w:separator/>
      </w:r>
    </w:p>
  </w:endnote>
  <w:endnote w:type="continuationSeparator" w:id="0">
    <w:p w14:paraId="09F86F76" w14:textId="77777777" w:rsidR="003D0456" w:rsidRDefault="003D0456" w:rsidP="007C4B26">
      <w:pPr>
        <w:spacing w:after="0" w:line="240" w:lineRule="auto"/>
      </w:pPr>
      <w:r>
        <w:continuationSeparator/>
      </w:r>
    </w:p>
  </w:endnote>
  <w:endnote w:type="continuationNotice" w:id="1">
    <w:p w14:paraId="0797B84C" w14:textId="77777777" w:rsidR="003D0456" w:rsidRDefault="003D04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33F7A" w14:textId="77777777" w:rsidR="003D0456" w:rsidRPr="00D90ABA" w:rsidRDefault="003D0456" w:rsidP="009E1220">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78720" behindDoc="1" locked="0" layoutInCell="1" allowOverlap="1" wp14:anchorId="5FFCA4FE" wp14:editId="7A52859A">
              <wp:simplePos x="0" y="0"/>
              <wp:positionH relativeFrom="column">
                <wp:align>center</wp:align>
              </wp:positionH>
              <wp:positionV relativeFrom="page">
                <wp:posOffset>9737725</wp:posOffset>
              </wp:positionV>
              <wp:extent cx="4411980" cy="396240"/>
              <wp:effectExtent l="0" t="0" r="7620" b="381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6E0B8AE8" w14:textId="77777777" w:rsidR="003D0456" w:rsidRPr="00551C1E" w:rsidRDefault="003D0456"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CA4FE" id="_x0000_t202" coordsize="21600,21600" o:spt="202" path="m,l,21600r21600,l21600,xe">
              <v:stroke joinstyle="miter"/>
              <v:path gradientshapeok="t" o:connecttype="rect"/>
            </v:shapetype>
            <v:shape id="Text Box 57" o:spid="_x0000_s1028" type="#_x0000_t202" style="position:absolute;margin-left:0;margin-top:766.75pt;width:347.4pt;height:31.2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" stroked="f" strokeweight=".5pt">
              <v:path arrowok="t"/>
              <v:textbox>
                <w:txbxContent>
                  <w:p w14:paraId="6E0B8AE8" w14:textId="77777777" w:rsidR="003D0456" w:rsidRPr="00551C1E" w:rsidRDefault="003D0456"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77696" behindDoc="1" locked="0" layoutInCell="1" allowOverlap="1" wp14:anchorId="4ADC6346" wp14:editId="03D957DD">
              <wp:simplePos x="0" y="0"/>
              <wp:positionH relativeFrom="column">
                <wp:align>center</wp:align>
              </wp:positionH>
              <wp:positionV relativeFrom="page">
                <wp:posOffset>10079990</wp:posOffset>
              </wp:positionV>
              <wp:extent cx="4411980" cy="396240"/>
              <wp:effectExtent l="0" t="0" r="7620" b="38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71415A4C" w14:textId="77777777" w:rsidR="003D0456" w:rsidRPr="00551C1E" w:rsidRDefault="003D0456"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C6346" id="Text Box 56" o:spid="_x0000_s1029" type="#_x0000_t202" style="position:absolute;margin-left:0;margin-top:793.7pt;width:347.4pt;height:31.2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" stroked="f" strokeweight=".5pt">
              <v:path arrowok="t"/>
              <v:textbox>
                <w:txbxContent>
                  <w:p w14:paraId="71415A4C" w14:textId="77777777" w:rsidR="003D0456" w:rsidRPr="00551C1E" w:rsidRDefault="003D0456"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p>
  <w:tbl>
    <w:tblPr>
      <w:tblW w:w="5000" w:type="pct"/>
      <w:tblLook w:val="04A0" w:firstRow="1" w:lastRow="0" w:firstColumn="1" w:lastColumn="0" w:noHBand="0" w:noVBand="1"/>
    </w:tblPr>
    <w:tblGrid>
      <w:gridCol w:w="658"/>
      <w:gridCol w:w="6658"/>
      <w:gridCol w:w="1710"/>
    </w:tblGrid>
    <w:tr w:rsidR="003D0456" w:rsidRPr="00762F85" w14:paraId="17603A32" w14:textId="77777777" w:rsidTr="009E1220">
      <w:tc>
        <w:tcPr>
          <w:tcW w:w="365" w:type="pct"/>
          <w:shd w:val="clear" w:color="auto" w:fill="auto"/>
        </w:tcPr>
        <w:p w14:paraId="79F6E097" w14:textId="77777777" w:rsidR="003D0456" w:rsidRPr="00762F85" w:rsidRDefault="003D0456" w:rsidP="009E1220">
          <w:pPr>
            <w:spacing w:line="0" w:lineRule="atLeast"/>
            <w:rPr>
              <w:sz w:val="18"/>
            </w:rPr>
          </w:pPr>
          <w:r w:rsidRPr="00762F85">
            <w:rPr>
              <w:i/>
              <w:sz w:val="18"/>
            </w:rPr>
            <w:fldChar w:fldCharType="begin"/>
          </w:r>
          <w:r w:rsidRPr="00762F85">
            <w:rPr>
              <w:i/>
              <w:sz w:val="18"/>
            </w:rPr>
            <w:instrText xml:space="preserve"> PAGE </w:instrText>
          </w:r>
          <w:r w:rsidRPr="00762F85">
            <w:rPr>
              <w:i/>
              <w:sz w:val="18"/>
            </w:rPr>
            <w:fldChar w:fldCharType="separate"/>
          </w:r>
          <w:r>
            <w:rPr>
              <w:i/>
              <w:noProof/>
              <w:sz w:val="18"/>
            </w:rPr>
            <w:t>18</w:t>
          </w:r>
          <w:r w:rsidRPr="00762F85">
            <w:rPr>
              <w:i/>
              <w:sz w:val="18"/>
            </w:rPr>
            <w:fldChar w:fldCharType="end"/>
          </w:r>
        </w:p>
      </w:tc>
      <w:tc>
        <w:tcPr>
          <w:tcW w:w="3688" w:type="pct"/>
          <w:shd w:val="clear" w:color="auto" w:fill="auto"/>
        </w:tcPr>
        <w:p w14:paraId="0F1306AE" w14:textId="77777777" w:rsidR="003D0456" w:rsidRPr="00762F85" w:rsidRDefault="003D0456" w:rsidP="009E1220">
          <w:pPr>
            <w:spacing w:line="0" w:lineRule="atLeast"/>
            <w:jc w:val="center"/>
            <w:rPr>
              <w:sz w:val="18"/>
            </w:rPr>
          </w:pPr>
          <w:r w:rsidRPr="00762F85">
            <w:rPr>
              <w:i/>
              <w:sz w:val="18"/>
            </w:rPr>
            <w:fldChar w:fldCharType="begin"/>
          </w:r>
          <w:r w:rsidRPr="00762F85">
            <w:rPr>
              <w:i/>
              <w:sz w:val="18"/>
            </w:rPr>
            <w:instrText xml:space="preserve"> DOCPROPERTY ShortT </w:instrText>
          </w:r>
          <w:r w:rsidRPr="00762F85">
            <w:rPr>
              <w:i/>
              <w:sz w:val="18"/>
            </w:rPr>
            <w:fldChar w:fldCharType="separate"/>
          </w:r>
          <w:r>
            <w:rPr>
              <w:b/>
              <w:bCs/>
              <w:i/>
              <w:sz w:val="18"/>
              <w:lang w:val="en-US"/>
            </w:rPr>
            <w:t>Error! Unknown document property name.</w:t>
          </w:r>
          <w:r w:rsidRPr="00762F85">
            <w:rPr>
              <w:i/>
              <w:sz w:val="18"/>
            </w:rPr>
            <w:fldChar w:fldCharType="end"/>
          </w:r>
        </w:p>
      </w:tc>
      <w:tc>
        <w:tcPr>
          <w:tcW w:w="947" w:type="pct"/>
          <w:shd w:val="clear" w:color="auto" w:fill="auto"/>
        </w:tcPr>
        <w:p w14:paraId="67F40492" w14:textId="77777777" w:rsidR="003D0456" w:rsidRPr="00762F85" w:rsidRDefault="003D0456" w:rsidP="009E1220">
          <w:pPr>
            <w:spacing w:line="0" w:lineRule="atLeast"/>
            <w:jc w:val="right"/>
            <w:rPr>
              <w:sz w:val="18"/>
            </w:rPr>
          </w:pPr>
        </w:p>
      </w:tc>
    </w:tr>
    <w:tr w:rsidR="003D0456" w:rsidRPr="00762F85" w14:paraId="1D5CEE07" w14:textId="77777777" w:rsidTr="009E1220">
      <w:tc>
        <w:tcPr>
          <w:tcW w:w="5000" w:type="pct"/>
          <w:gridSpan w:val="3"/>
          <w:shd w:val="clear" w:color="auto" w:fill="auto"/>
        </w:tcPr>
        <w:p w14:paraId="61A54BE1" w14:textId="77777777" w:rsidR="003D0456" w:rsidRPr="00762F85" w:rsidRDefault="003D0456" w:rsidP="009E1220">
          <w:pPr>
            <w:jc w:val="right"/>
            <w:rPr>
              <w:sz w:val="18"/>
            </w:rPr>
          </w:pPr>
          <w:r w:rsidRPr="00762F85">
            <w:rPr>
              <w:i/>
              <w:sz w:val="18"/>
            </w:rPr>
            <w:t xml:space="preserve"> </w:t>
          </w:r>
        </w:p>
      </w:tc>
    </w:tr>
  </w:tbl>
  <w:p w14:paraId="11243C9E" w14:textId="77777777" w:rsidR="003D0456" w:rsidRDefault="003D0456" w:rsidP="009E1220">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99252"/>
      <w:docPartObj>
        <w:docPartGallery w:val="Page Numbers (Bottom of Page)"/>
        <w:docPartUnique/>
      </w:docPartObj>
    </w:sdtPr>
    <w:sdtEndPr>
      <w:rPr>
        <w:noProof/>
      </w:rPr>
    </w:sdtEndPr>
    <w:sdtContent>
      <w:p w14:paraId="06ECAC2B" w14:textId="245C399C" w:rsidR="003D0456" w:rsidRDefault="003D0456">
        <w:pPr>
          <w:pStyle w:val="Footer"/>
          <w:jc w:val="center"/>
        </w:pPr>
        <w:r>
          <w:fldChar w:fldCharType="begin"/>
        </w:r>
        <w:r>
          <w:instrText xml:space="preserve"> PAGE   \* MERGEFORMAT </w:instrText>
        </w:r>
        <w:r>
          <w:fldChar w:fldCharType="separate"/>
        </w:r>
        <w:r w:rsidR="00AF5941">
          <w:rPr>
            <w:noProof/>
          </w:rPr>
          <w:t>23</w:t>
        </w:r>
        <w:r>
          <w:rPr>
            <w:noProof/>
          </w:rPr>
          <w:fldChar w:fldCharType="end"/>
        </w:r>
      </w:p>
    </w:sdtContent>
  </w:sdt>
  <w:p w14:paraId="1E024121" w14:textId="77777777" w:rsidR="003D0456" w:rsidRDefault="003D04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40E2D" w14:textId="77777777" w:rsidR="003D0456" w:rsidRDefault="003D0456">
    <w:pPr>
      <w:pBdr>
        <w:top w:val="single" w:sz="6" w:space="1" w:color="auto"/>
      </w:pBdr>
      <w:rPr>
        <w:sz w:val="18"/>
      </w:rPr>
    </w:pPr>
  </w:p>
  <w:p w14:paraId="5A70C38A" w14:textId="77777777" w:rsidR="003D0456" w:rsidRDefault="003D0456">
    <w:pPr>
      <w:jc w:val="right"/>
      <w:rPr>
        <w:i/>
        <w:sz w:val="18"/>
      </w:rPr>
    </w:pPr>
    <w:r>
      <w:rPr>
        <w:i/>
        <w:sz w:val="18"/>
      </w:rPr>
      <w:fldChar w:fldCharType="begin"/>
    </w:r>
    <w:r>
      <w:rPr>
        <w:i/>
        <w:sz w:val="18"/>
      </w:rPr>
      <w:instrText xml:space="preserve"> STYLEREF ShortT </w:instrText>
    </w:r>
    <w:r>
      <w:rPr>
        <w:i/>
        <w:sz w:val="18"/>
      </w:rPr>
      <w:fldChar w:fldCharType="separate"/>
    </w:r>
    <w:r>
      <w:rPr>
        <w:b/>
        <w:bCs/>
        <w:i/>
        <w:noProof/>
        <w:sz w:val="18"/>
        <w:lang w:val="en-US"/>
      </w:rPr>
      <w:t>Error! Use the Home tab to apply ShortT to the text that you want to appear here.</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Use the Home tab to apply Actno to the text that you want to appear here.</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18</w:t>
    </w:r>
    <w:r>
      <w:rPr>
        <w:i/>
        <w:sz w:val="18"/>
      </w:rPr>
      <w:fldChar w:fldCharType="end"/>
    </w:r>
  </w:p>
  <w:p w14:paraId="330A7441" w14:textId="77777777" w:rsidR="003D0456" w:rsidRDefault="003D0456">
    <w:pPr>
      <w:rPr>
        <w:i/>
        <w:sz w:val="18"/>
      </w:rPr>
    </w:pPr>
    <w:r>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C367F" w14:textId="77777777" w:rsidR="003D0456" w:rsidRDefault="003D0456" w:rsidP="007C4B26">
      <w:pPr>
        <w:spacing w:after="0" w:line="240" w:lineRule="auto"/>
      </w:pPr>
      <w:r>
        <w:separator/>
      </w:r>
    </w:p>
  </w:footnote>
  <w:footnote w:type="continuationSeparator" w:id="0">
    <w:p w14:paraId="0A383EF3" w14:textId="77777777" w:rsidR="003D0456" w:rsidRDefault="003D0456" w:rsidP="007C4B26">
      <w:pPr>
        <w:spacing w:after="0" w:line="240" w:lineRule="auto"/>
      </w:pPr>
      <w:r>
        <w:continuationSeparator/>
      </w:r>
    </w:p>
  </w:footnote>
  <w:footnote w:type="continuationNotice" w:id="1">
    <w:p w14:paraId="17826F27" w14:textId="77777777" w:rsidR="003D0456" w:rsidRDefault="003D04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968A" w14:textId="77777777" w:rsidR="003D0456" w:rsidRDefault="003D0456">
    <w:pPr>
      <w:rPr>
        <w:sz w:val="20"/>
      </w:rPr>
    </w:pPr>
    <w:r>
      <w:rPr>
        <w:noProof/>
        <w:lang w:eastAsia="en-AU"/>
      </w:rPr>
      <mc:AlternateContent>
        <mc:Choice Requires="wps">
          <w:drawing>
            <wp:anchor distT="0" distB="0" distL="114300" distR="114300" simplePos="0" relativeHeight="251666432" behindDoc="1" locked="0" layoutInCell="1" allowOverlap="1" wp14:anchorId="0B77980D" wp14:editId="0610F3C8">
              <wp:simplePos x="0" y="0"/>
              <wp:positionH relativeFrom="column">
                <wp:align>center</wp:align>
              </wp:positionH>
              <wp:positionV relativeFrom="page">
                <wp:posOffset>443230</wp:posOffset>
              </wp:positionV>
              <wp:extent cx="4411980" cy="396240"/>
              <wp:effectExtent l="0" t="0" r="7620" b="381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440C6E2F" w14:textId="77777777" w:rsidR="003D0456" w:rsidRPr="00551C1E" w:rsidRDefault="003D0456"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7980D" id="_x0000_t202" coordsize="21600,21600" o:spt="202" path="m,l,21600r21600,l21600,xe">
              <v:stroke joinstyle="miter"/>
              <v:path gradientshapeok="t" o:connecttype="rect"/>
            </v:shapetype>
            <v:shape id="Text Box 33" o:spid="_x0000_s1026" type="#_x0000_t202" style="position:absolute;margin-left:0;margin-top:34.9pt;width:347.4pt;height:31.2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" stroked="f" strokeweight=".5pt">
              <v:path arrowok="t"/>
              <v:textbox>
                <w:txbxContent>
                  <w:p w14:paraId="440C6E2F" w14:textId="77777777" w:rsidR="003D0456" w:rsidRPr="00551C1E" w:rsidRDefault="003D0456"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5408" behindDoc="1" locked="0" layoutInCell="1" allowOverlap="1" wp14:anchorId="5364F6F4" wp14:editId="6362CA6D">
              <wp:simplePos x="0" y="0"/>
              <wp:positionH relativeFrom="column">
                <wp:align>center</wp:align>
              </wp:positionH>
              <wp:positionV relativeFrom="page">
                <wp:posOffset>143510</wp:posOffset>
              </wp:positionV>
              <wp:extent cx="4411980" cy="396240"/>
              <wp:effectExtent l="0" t="0" r="7620" b="381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1980" cy="39624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txbx>
                      <w:txbxContent>
                        <w:p w14:paraId="1398C4E8" w14:textId="77777777" w:rsidR="003D0456" w:rsidRPr="00551C1E" w:rsidRDefault="003D0456"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4F6F4" id="Text Box 32" o:spid="_x0000_s1027" type="#_x0000_t202" style="position:absolute;margin-left:0;margin-top:11.3pt;width:347.4pt;height:31.2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" stroked="f" strokeweight=".5pt">
              <v:path arrowok="t"/>
              <v:textbox>
                <w:txbxContent>
                  <w:p w14:paraId="1398C4E8" w14:textId="77777777" w:rsidR="003D0456" w:rsidRPr="00551C1E" w:rsidRDefault="003D0456" w:rsidP="009E1220">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Cs/>
                        <w:sz w:val="40"/>
                        <w:lang w:val="en-US"/>
                      </w:rPr>
                      <w:t>Error! Unknown document property name.</w:t>
                    </w:r>
                    <w:r>
                      <w:rPr>
                        <w:rFonts w:ascii="Arial" w:hAnsi="Arial" w:cs="Arial"/>
                        <w:b/>
                        <w:sz w:val="40"/>
                      </w:rPr>
                      <w:fldChar w:fldCharType="end"/>
                    </w:r>
                  </w:p>
                </w:txbxContent>
              </v:textbox>
              <w10:wrap anchory="page"/>
            </v:shape>
          </w:pict>
        </mc:Fallback>
      </mc:AlternateContent>
    </w:r>
    <w:r>
      <w:rPr>
        <w:b/>
        <w:sz w:val="20"/>
      </w:rPr>
      <w:fldChar w:fldCharType="begin"/>
    </w:r>
    <w:r>
      <w:rPr>
        <w:b/>
        <w:sz w:val="20"/>
      </w:rPr>
      <w:instrText xml:space="preserve"> STYLEREF CharAmSchNo </w:instrText>
    </w:r>
    <w:r>
      <w:rPr>
        <w:b/>
        <w:sz w:val="20"/>
      </w:rPr>
      <w:fldChar w:fldCharType="separate"/>
    </w:r>
    <w:r>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Repeals</w:t>
    </w:r>
    <w:r>
      <w:rPr>
        <w:sz w:val="20"/>
      </w:rPr>
      <w:fldChar w:fldCharType="end"/>
    </w:r>
  </w:p>
  <w:p w14:paraId="657A110F" w14:textId="77777777" w:rsidR="003D0456" w:rsidRDefault="003D0456">
    <w:pPr>
      <w:rPr>
        <w:b/>
        <w:sz w:val="20"/>
      </w:rPr>
    </w:pPr>
    <w:r>
      <w:rPr>
        <w:b/>
        <w:sz w:val="20"/>
      </w:rPr>
      <w:fldChar w:fldCharType="begin"/>
    </w:r>
    <w:r>
      <w:rPr>
        <w:b/>
        <w:sz w:val="20"/>
      </w:rPr>
      <w:instrText xml:space="preserve"> STYLEREF CharAmPartNo </w:instrText>
    </w:r>
    <w:r>
      <w:rPr>
        <w:b/>
        <w:sz w:val="20"/>
      </w:rPr>
      <w:fldChar w:fldCharType="separate"/>
    </w:r>
    <w:r>
      <w:rPr>
        <w:b/>
        <w:noProof/>
        <w:sz w:val="20"/>
      </w:rPr>
      <w:cr/>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separate"/>
    </w:r>
    <w:r>
      <w:rPr>
        <w:b/>
        <w:bCs/>
        <w:noProof/>
        <w:sz w:val="20"/>
        <w:lang w:val="en-US"/>
      </w:rPr>
      <w:t>Error! No text of specified style in document.</w:t>
    </w:r>
    <w:r>
      <w:rPr>
        <w:sz w:val="20"/>
      </w:rPr>
      <w:fldChar w:fldCharType="end"/>
    </w:r>
  </w:p>
  <w:p w14:paraId="16ED5FFE" w14:textId="77777777" w:rsidR="003D0456" w:rsidRDefault="003D0456" w:rsidP="009E1220">
    <w:pPr>
      <w:pBdr>
        <w:bottom w:val="single" w:sz="6" w:space="1" w:color="auto"/>
      </w:pBd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101C"/>
      </v:shape>
    </w:pict>
  </w:numPicBullet>
  <w:abstractNum w:abstractNumId="0" w15:restartNumberingAfterBreak="0">
    <w:nsid w:val="00B84E8C"/>
    <w:multiLevelType w:val="hybridMultilevel"/>
    <w:tmpl w:val="0D826F0A"/>
    <w:lvl w:ilvl="0" w:tplc="013E2704">
      <w:start w:val="1"/>
      <w:numFmt w:val="lowerLetter"/>
      <w:lvlText w:val="(%1)"/>
      <w:lvlJc w:val="left"/>
      <w:pPr>
        <w:ind w:left="566" w:hanging="555"/>
      </w:pPr>
      <w:rPr>
        <w:rFonts w:hint="default"/>
      </w:r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1" w15:restartNumberingAfterBreak="0">
    <w:nsid w:val="0B296812"/>
    <w:multiLevelType w:val="hybridMultilevel"/>
    <w:tmpl w:val="A48E6F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81445F3"/>
    <w:multiLevelType w:val="hybridMultilevel"/>
    <w:tmpl w:val="9588F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D84F30"/>
    <w:multiLevelType w:val="hybridMultilevel"/>
    <w:tmpl w:val="3E581656"/>
    <w:lvl w:ilvl="0" w:tplc="EFA63F6A">
      <w:numFmt w:val="bullet"/>
      <w:lvlText w:val="•"/>
      <w:lvlJc w:val="left"/>
      <w:pPr>
        <w:ind w:left="870" w:hanging="510"/>
      </w:pPr>
      <w:rPr>
        <w:rFonts w:ascii="Times New Roman" w:eastAsia="Times New Roman" w:hAnsi="Times New Roman" w:cs="Times New Roman" w:hint="default"/>
      </w:rPr>
    </w:lvl>
    <w:lvl w:ilvl="1" w:tplc="0C090007">
      <w:start w:val="1"/>
      <w:numFmt w:val="bullet"/>
      <w:lvlText w:val=""/>
      <w:lvlPicBulletId w:val="0"/>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DD3443"/>
    <w:multiLevelType w:val="hybridMultilevel"/>
    <w:tmpl w:val="2D8EF972"/>
    <w:lvl w:ilvl="0" w:tplc="17DCD180">
      <w:start w:val="31"/>
      <w:numFmt w:val="bullet"/>
      <w:lvlText w:val=""/>
      <w:lvlJc w:val="left"/>
      <w:pPr>
        <w:ind w:left="720" w:hanging="360"/>
      </w:pPr>
      <w:rPr>
        <w:rFonts w:ascii="Symbol" w:eastAsia="Times New Roman" w:hAnsi="Symbol" w:cs="Times New Roman"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08227A"/>
    <w:multiLevelType w:val="hybridMultilevel"/>
    <w:tmpl w:val="F19C8682"/>
    <w:lvl w:ilvl="0" w:tplc="BCE089CA">
      <w:start w:val="1"/>
      <w:numFmt w:val="lowerRoman"/>
      <w:lvlText w:val="(%1)"/>
      <w:lvlJc w:val="left"/>
      <w:pPr>
        <w:ind w:left="720" w:hanging="360"/>
      </w:pPr>
      <w:rPr>
        <w:rFonts w:hint="default"/>
        <w:sz w:val="22"/>
        <w:szCs w:val="22"/>
      </w:rPr>
    </w:lvl>
    <w:lvl w:ilvl="1" w:tplc="AFAE4032">
      <w:start w:val="1"/>
      <w:numFmt w:val="lowerLetter"/>
      <w:lvlText w:val="%2)"/>
      <w:lvlJc w:val="left"/>
      <w:pPr>
        <w:ind w:left="1470" w:hanging="390"/>
      </w:pPr>
      <w:rPr>
        <w:rFonts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DA18E4"/>
    <w:multiLevelType w:val="hybridMultilevel"/>
    <w:tmpl w:val="51B28EEC"/>
    <w:lvl w:ilvl="0" w:tplc="EFA63F6A">
      <w:numFmt w:val="bullet"/>
      <w:lvlText w:val="•"/>
      <w:lvlJc w:val="left"/>
      <w:pPr>
        <w:ind w:left="870" w:hanging="510"/>
      </w:pPr>
      <w:rPr>
        <w:rFonts w:ascii="Times New Roman" w:eastAsia="Times New Roman" w:hAnsi="Times New Roman" w:cs="Times New Roman" w:hint="default"/>
      </w:rPr>
    </w:lvl>
    <w:lvl w:ilvl="1" w:tplc="D8E69DC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255E24"/>
    <w:multiLevelType w:val="hybridMultilevel"/>
    <w:tmpl w:val="BB6256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821CD0"/>
    <w:multiLevelType w:val="hybridMultilevel"/>
    <w:tmpl w:val="09BCEBD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350D757F"/>
    <w:multiLevelType w:val="hybridMultilevel"/>
    <w:tmpl w:val="C8FC0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8B53D6"/>
    <w:multiLevelType w:val="hybridMultilevel"/>
    <w:tmpl w:val="E042F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4C32C6"/>
    <w:multiLevelType w:val="hybridMultilevel"/>
    <w:tmpl w:val="20782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082F4C"/>
    <w:multiLevelType w:val="hybridMultilevel"/>
    <w:tmpl w:val="5E9872C2"/>
    <w:lvl w:ilvl="0" w:tplc="CF50D27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1464D44"/>
    <w:multiLevelType w:val="hybridMultilevel"/>
    <w:tmpl w:val="C26E8B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1F80DFD"/>
    <w:multiLevelType w:val="hybridMultilevel"/>
    <w:tmpl w:val="A7AAD2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7B7E31"/>
    <w:multiLevelType w:val="hybridMultilevel"/>
    <w:tmpl w:val="FC1452B0"/>
    <w:lvl w:ilvl="0" w:tplc="17DCD180">
      <w:start w:val="31"/>
      <w:numFmt w:val="bullet"/>
      <w:lvlText w:val=""/>
      <w:lvlJc w:val="left"/>
      <w:pPr>
        <w:ind w:left="720" w:hanging="360"/>
      </w:pPr>
      <w:rPr>
        <w:rFonts w:ascii="Symbol" w:eastAsia="Times New Roman" w:hAnsi="Symbol" w:cs="Times New Roman"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CC284D"/>
    <w:multiLevelType w:val="hybridMultilevel"/>
    <w:tmpl w:val="1B2A8E36"/>
    <w:lvl w:ilvl="0" w:tplc="0C090017">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5A9EC428">
      <w:start w:val="1"/>
      <w:numFmt w:val="lowerRoman"/>
      <w:lvlText w:val="(%3)"/>
      <w:lvlJc w:val="left"/>
      <w:pPr>
        <w:ind w:left="2160" w:hanging="720"/>
      </w:pPr>
      <w:rPr>
        <w:rFont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46C033C"/>
    <w:multiLevelType w:val="hybridMultilevel"/>
    <w:tmpl w:val="66F0A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6693E04"/>
    <w:multiLevelType w:val="hybridMultilevel"/>
    <w:tmpl w:val="CF00CCB8"/>
    <w:lvl w:ilvl="0" w:tplc="17DCD180">
      <w:start w:val="31"/>
      <w:numFmt w:val="bullet"/>
      <w:lvlText w:val=""/>
      <w:lvlJc w:val="left"/>
      <w:pPr>
        <w:ind w:left="870" w:hanging="510"/>
      </w:pPr>
      <w:rPr>
        <w:rFonts w:ascii="Symbol" w:eastAsia="Times New Roman" w:hAnsi="Symbol" w:cs="Times New Roman"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CA0F2A"/>
    <w:multiLevelType w:val="hybridMultilevel"/>
    <w:tmpl w:val="FFE816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24C52D5"/>
    <w:multiLevelType w:val="hybridMultilevel"/>
    <w:tmpl w:val="7B8A01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B612B27"/>
    <w:multiLevelType w:val="hybridMultilevel"/>
    <w:tmpl w:val="3EAA6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0"/>
  </w:num>
  <w:num w:numId="2">
    <w:abstractNumId w:val="5"/>
  </w:num>
  <w:num w:numId="3">
    <w:abstractNumId w:val="18"/>
  </w:num>
  <w:num w:numId="4">
    <w:abstractNumId w:val="21"/>
  </w:num>
  <w:num w:numId="5">
    <w:abstractNumId w:val="15"/>
  </w:num>
  <w:num w:numId="6">
    <w:abstractNumId w:val="1"/>
  </w:num>
  <w:num w:numId="7">
    <w:abstractNumId w:val="14"/>
  </w:num>
  <w:num w:numId="8">
    <w:abstractNumId w:val="3"/>
  </w:num>
  <w:num w:numId="9">
    <w:abstractNumId w:val="22"/>
  </w:num>
  <w:num w:numId="10">
    <w:abstractNumId w:val="10"/>
  </w:num>
  <w:num w:numId="11">
    <w:abstractNumId w:val="8"/>
  </w:num>
  <w:num w:numId="12">
    <w:abstractNumId w:val="17"/>
  </w:num>
  <w:num w:numId="13">
    <w:abstractNumId w:val="2"/>
  </w:num>
  <w:num w:numId="14">
    <w:abstractNumId w:val="19"/>
  </w:num>
  <w:num w:numId="15">
    <w:abstractNumId w:val="6"/>
  </w:num>
  <w:num w:numId="16">
    <w:abstractNumId w:val="16"/>
  </w:num>
  <w:num w:numId="17">
    <w:abstractNumId w:val="11"/>
  </w:num>
  <w:num w:numId="18">
    <w:abstractNumId w:val="4"/>
  </w:num>
  <w:num w:numId="19">
    <w:abstractNumId w:val="7"/>
  </w:num>
  <w:num w:numId="20">
    <w:abstractNumId w:val="12"/>
  </w:num>
  <w:num w:numId="21">
    <w:abstractNumId w:val="13"/>
  </w:num>
  <w:num w:numId="22">
    <w:abstractNumId w:val="0"/>
  </w:num>
  <w:num w:numId="2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8D"/>
    <w:rsid w:val="000132FD"/>
    <w:rsid w:val="00017BD8"/>
    <w:rsid w:val="00042AB4"/>
    <w:rsid w:val="0004311D"/>
    <w:rsid w:val="00057E83"/>
    <w:rsid w:val="00064953"/>
    <w:rsid w:val="00066D43"/>
    <w:rsid w:val="00072C87"/>
    <w:rsid w:val="00090424"/>
    <w:rsid w:val="00095A7E"/>
    <w:rsid w:val="000B3736"/>
    <w:rsid w:val="000B39AD"/>
    <w:rsid w:val="000D1D64"/>
    <w:rsid w:val="000E5F18"/>
    <w:rsid w:val="000E6C2F"/>
    <w:rsid w:val="000E70B3"/>
    <w:rsid w:val="000F7A0F"/>
    <w:rsid w:val="001159E7"/>
    <w:rsid w:val="00120921"/>
    <w:rsid w:val="00127940"/>
    <w:rsid w:val="001279E2"/>
    <w:rsid w:val="00133E51"/>
    <w:rsid w:val="00136D95"/>
    <w:rsid w:val="001371E1"/>
    <w:rsid w:val="00155837"/>
    <w:rsid w:val="00160610"/>
    <w:rsid w:val="00170B93"/>
    <w:rsid w:val="00171E7B"/>
    <w:rsid w:val="001829E4"/>
    <w:rsid w:val="0018373A"/>
    <w:rsid w:val="00197A17"/>
    <w:rsid w:val="001A281E"/>
    <w:rsid w:val="001A685A"/>
    <w:rsid w:val="001B151D"/>
    <w:rsid w:val="001B3397"/>
    <w:rsid w:val="001B546F"/>
    <w:rsid w:val="001C1C63"/>
    <w:rsid w:val="001C4231"/>
    <w:rsid w:val="001E45E5"/>
    <w:rsid w:val="001E7673"/>
    <w:rsid w:val="001F7014"/>
    <w:rsid w:val="00206AD8"/>
    <w:rsid w:val="00221487"/>
    <w:rsid w:val="00221D96"/>
    <w:rsid w:val="00222D48"/>
    <w:rsid w:val="00224059"/>
    <w:rsid w:val="00225575"/>
    <w:rsid w:val="00227DEA"/>
    <w:rsid w:val="002333C8"/>
    <w:rsid w:val="002352F2"/>
    <w:rsid w:val="00240BF9"/>
    <w:rsid w:val="0024211D"/>
    <w:rsid w:val="00251202"/>
    <w:rsid w:val="00251643"/>
    <w:rsid w:val="002537B5"/>
    <w:rsid w:val="0026021D"/>
    <w:rsid w:val="002611E6"/>
    <w:rsid w:val="002722FA"/>
    <w:rsid w:val="00283951"/>
    <w:rsid w:val="0028578B"/>
    <w:rsid w:val="00287201"/>
    <w:rsid w:val="00296F6E"/>
    <w:rsid w:val="002A4084"/>
    <w:rsid w:val="002A63FA"/>
    <w:rsid w:val="002C0D81"/>
    <w:rsid w:val="002D045D"/>
    <w:rsid w:val="002D1259"/>
    <w:rsid w:val="002E0058"/>
    <w:rsid w:val="002F00B2"/>
    <w:rsid w:val="002F72CF"/>
    <w:rsid w:val="00307752"/>
    <w:rsid w:val="00321D52"/>
    <w:rsid w:val="003369AE"/>
    <w:rsid w:val="00352F67"/>
    <w:rsid w:val="00373536"/>
    <w:rsid w:val="0037359A"/>
    <w:rsid w:val="0038776F"/>
    <w:rsid w:val="00392AB9"/>
    <w:rsid w:val="003A1170"/>
    <w:rsid w:val="003B1577"/>
    <w:rsid w:val="003B6588"/>
    <w:rsid w:val="003B6793"/>
    <w:rsid w:val="003C03B9"/>
    <w:rsid w:val="003C076F"/>
    <w:rsid w:val="003C29F2"/>
    <w:rsid w:val="003C66D1"/>
    <w:rsid w:val="003D0456"/>
    <w:rsid w:val="003E271E"/>
    <w:rsid w:val="003F0FDE"/>
    <w:rsid w:val="00405258"/>
    <w:rsid w:val="00407797"/>
    <w:rsid w:val="00421201"/>
    <w:rsid w:val="00426C5B"/>
    <w:rsid w:val="00435E09"/>
    <w:rsid w:val="00435FA1"/>
    <w:rsid w:val="004377BE"/>
    <w:rsid w:val="00437BA0"/>
    <w:rsid w:val="00444A23"/>
    <w:rsid w:val="00444CD0"/>
    <w:rsid w:val="00446240"/>
    <w:rsid w:val="00456BFD"/>
    <w:rsid w:val="00496E01"/>
    <w:rsid w:val="004B76A7"/>
    <w:rsid w:val="004C6518"/>
    <w:rsid w:val="004D22A6"/>
    <w:rsid w:val="004D339B"/>
    <w:rsid w:val="004E36F3"/>
    <w:rsid w:val="004E4050"/>
    <w:rsid w:val="004E4EDD"/>
    <w:rsid w:val="004F37F9"/>
    <w:rsid w:val="004F3C7E"/>
    <w:rsid w:val="00507A24"/>
    <w:rsid w:val="00515010"/>
    <w:rsid w:val="00524262"/>
    <w:rsid w:val="0052785F"/>
    <w:rsid w:val="00531F76"/>
    <w:rsid w:val="005324EA"/>
    <w:rsid w:val="0054294F"/>
    <w:rsid w:val="005534E2"/>
    <w:rsid w:val="005615E2"/>
    <w:rsid w:val="00561FA9"/>
    <w:rsid w:val="00580486"/>
    <w:rsid w:val="005807B9"/>
    <w:rsid w:val="0058252C"/>
    <w:rsid w:val="00592C16"/>
    <w:rsid w:val="005A20E2"/>
    <w:rsid w:val="005A7780"/>
    <w:rsid w:val="005B4F1D"/>
    <w:rsid w:val="005C6428"/>
    <w:rsid w:val="005C72F3"/>
    <w:rsid w:val="005D00FA"/>
    <w:rsid w:val="005E2288"/>
    <w:rsid w:val="005F6BCD"/>
    <w:rsid w:val="005F79C5"/>
    <w:rsid w:val="00600A8D"/>
    <w:rsid w:val="0060326C"/>
    <w:rsid w:val="00603DC0"/>
    <w:rsid w:val="00615D25"/>
    <w:rsid w:val="00621781"/>
    <w:rsid w:val="00626BA7"/>
    <w:rsid w:val="0063419D"/>
    <w:rsid w:val="00637996"/>
    <w:rsid w:val="00646DF6"/>
    <w:rsid w:val="00646F21"/>
    <w:rsid w:val="00655447"/>
    <w:rsid w:val="00657EE1"/>
    <w:rsid w:val="006603AE"/>
    <w:rsid w:val="0066190E"/>
    <w:rsid w:val="006723A6"/>
    <w:rsid w:val="00674B03"/>
    <w:rsid w:val="00694DFF"/>
    <w:rsid w:val="006A5526"/>
    <w:rsid w:val="006A6355"/>
    <w:rsid w:val="006A792E"/>
    <w:rsid w:val="006C20D7"/>
    <w:rsid w:val="006C3C63"/>
    <w:rsid w:val="006C682C"/>
    <w:rsid w:val="006F1ED8"/>
    <w:rsid w:val="006F25D1"/>
    <w:rsid w:val="006F52E0"/>
    <w:rsid w:val="006F7EA5"/>
    <w:rsid w:val="007001EB"/>
    <w:rsid w:val="00700C7F"/>
    <w:rsid w:val="00710798"/>
    <w:rsid w:val="00711B21"/>
    <w:rsid w:val="00731B00"/>
    <w:rsid w:val="007343A9"/>
    <w:rsid w:val="007369B1"/>
    <w:rsid w:val="00736F0F"/>
    <w:rsid w:val="00771122"/>
    <w:rsid w:val="00783B9F"/>
    <w:rsid w:val="00784D82"/>
    <w:rsid w:val="00795AA8"/>
    <w:rsid w:val="007A6DAA"/>
    <w:rsid w:val="007B39A3"/>
    <w:rsid w:val="007B3BF2"/>
    <w:rsid w:val="007B41C6"/>
    <w:rsid w:val="007C3DBA"/>
    <w:rsid w:val="007C4B26"/>
    <w:rsid w:val="007C5B0D"/>
    <w:rsid w:val="007C79D8"/>
    <w:rsid w:val="007D69A4"/>
    <w:rsid w:val="007D7938"/>
    <w:rsid w:val="007E19F5"/>
    <w:rsid w:val="007E3BE0"/>
    <w:rsid w:val="007E7D17"/>
    <w:rsid w:val="007F0D67"/>
    <w:rsid w:val="00800CDC"/>
    <w:rsid w:val="0081247C"/>
    <w:rsid w:val="008143A0"/>
    <w:rsid w:val="00823B68"/>
    <w:rsid w:val="00827ACE"/>
    <w:rsid w:val="00836175"/>
    <w:rsid w:val="008369CB"/>
    <w:rsid w:val="00862298"/>
    <w:rsid w:val="008726F5"/>
    <w:rsid w:val="00885AB6"/>
    <w:rsid w:val="008968B4"/>
    <w:rsid w:val="00896B2A"/>
    <w:rsid w:val="008A0ADA"/>
    <w:rsid w:val="008A1CFE"/>
    <w:rsid w:val="008A40A5"/>
    <w:rsid w:val="008A5713"/>
    <w:rsid w:val="008C3EB6"/>
    <w:rsid w:val="008C4C90"/>
    <w:rsid w:val="008C575F"/>
    <w:rsid w:val="008C6E27"/>
    <w:rsid w:val="008E7D13"/>
    <w:rsid w:val="008F077E"/>
    <w:rsid w:val="00915E8F"/>
    <w:rsid w:val="0092458D"/>
    <w:rsid w:val="0092482A"/>
    <w:rsid w:val="0092616D"/>
    <w:rsid w:val="00964C18"/>
    <w:rsid w:val="0098760A"/>
    <w:rsid w:val="0099545A"/>
    <w:rsid w:val="00996C95"/>
    <w:rsid w:val="009A575F"/>
    <w:rsid w:val="009A5B95"/>
    <w:rsid w:val="009B2338"/>
    <w:rsid w:val="009B286D"/>
    <w:rsid w:val="009B6001"/>
    <w:rsid w:val="009C3B51"/>
    <w:rsid w:val="009D405E"/>
    <w:rsid w:val="009D484B"/>
    <w:rsid w:val="009E0D20"/>
    <w:rsid w:val="009E0F3F"/>
    <w:rsid w:val="009E120E"/>
    <w:rsid w:val="009E1220"/>
    <w:rsid w:val="009F4C41"/>
    <w:rsid w:val="009F6136"/>
    <w:rsid w:val="00A02018"/>
    <w:rsid w:val="00A51225"/>
    <w:rsid w:val="00A61E04"/>
    <w:rsid w:val="00A74006"/>
    <w:rsid w:val="00A770A4"/>
    <w:rsid w:val="00A80D2A"/>
    <w:rsid w:val="00A81B03"/>
    <w:rsid w:val="00AA40DF"/>
    <w:rsid w:val="00AA7971"/>
    <w:rsid w:val="00AB205A"/>
    <w:rsid w:val="00AC422E"/>
    <w:rsid w:val="00AD4F9A"/>
    <w:rsid w:val="00AE0928"/>
    <w:rsid w:val="00AE1F1C"/>
    <w:rsid w:val="00AE44AB"/>
    <w:rsid w:val="00AE47A0"/>
    <w:rsid w:val="00AE5831"/>
    <w:rsid w:val="00AE6CB9"/>
    <w:rsid w:val="00AF47E2"/>
    <w:rsid w:val="00AF5941"/>
    <w:rsid w:val="00B017E5"/>
    <w:rsid w:val="00B11DD5"/>
    <w:rsid w:val="00B17899"/>
    <w:rsid w:val="00B24391"/>
    <w:rsid w:val="00B24D75"/>
    <w:rsid w:val="00B3151E"/>
    <w:rsid w:val="00B35D4A"/>
    <w:rsid w:val="00B424C5"/>
    <w:rsid w:val="00B45CCE"/>
    <w:rsid w:val="00B46CEF"/>
    <w:rsid w:val="00B47940"/>
    <w:rsid w:val="00B527BE"/>
    <w:rsid w:val="00B56746"/>
    <w:rsid w:val="00B6372C"/>
    <w:rsid w:val="00B64060"/>
    <w:rsid w:val="00B65FF1"/>
    <w:rsid w:val="00B93A22"/>
    <w:rsid w:val="00B963DA"/>
    <w:rsid w:val="00B978EA"/>
    <w:rsid w:val="00BA3C41"/>
    <w:rsid w:val="00BA4C1A"/>
    <w:rsid w:val="00BA7F44"/>
    <w:rsid w:val="00BC1510"/>
    <w:rsid w:val="00BC4849"/>
    <w:rsid w:val="00BD7122"/>
    <w:rsid w:val="00BE69E4"/>
    <w:rsid w:val="00C01F35"/>
    <w:rsid w:val="00C11677"/>
    <w:rsid w:val="00C12D6F"/>
    <w:rsid w:val="00C17E4B"/>
    <w:rsid w:val="00C202A9"/>
    <w:rsid w:val="00C41601"/>
    <w:rsid w:val="00C51AB9"/>
    <w:rsid w:val="00C53380"/>
    <w:rsid w:val="00C5689E"/>
    <w:rsid w:val="00C62CF5"/>
    <w:rsid w:val="00C767FE"/>
    <w:rsid w:val="00C85B3A"/>
    <w:rsid w:val="00C86C61"/>
    <w:rsid w:val="00C87463"/>
    <w:rsid w:val="00CA63ED"/>
    <w:rsid w:val="00CB579D"/>
    <w:rsid w:val="00CE46B0"/>
    <w:rsid w:val="00CE4743"/>
    <w:rsid w:val="00CF0CA6"/>
    <w:rsid w:val="00CF1844"/>
    <w:rsid w:val="00CF1FD8"/>
    <w:rsid w:val="00CF355B"/>
    <w:rsid w:val="00D0312E"/>
    <w:rsid w:val="00D04CDE"/>
    <w:rsid w:val="00D06FD8"/>
    <w:rsid w:val="00D23EC8"/>
    <w:rsid w:val="00D349FC"/>
    <w:rsid w:val="00D368DE"/>
    <w:rsid w:val="00D44C13"/>
    <w:rsid w:val="00D47641"/>
    <w:rsid w:val="00D55C8D"/>
    <w:rsid w:val="00D675BF"/>
    <w:rsid w:val="00D918E1"/>
    <w:rsid w:val="00DA2370"/>
    <w:rsid w:val="00DA6B68"/>
    <w:rsid w:val="00DA73B3"/>
    <w:rsid w:val="00DA741E"/>
    <w:rsid w:val="00DC6FDF"/>
    <w:rsid w:val="00DE25FE"/>
    <w:rsid w:val="00DF1590"/>
    <w:rsid w:val="00E15B6E"/>
    <w:rsid w:val="00E15CF5"/>
    <w:rsid w:val="00E16CF3"/>
    <w:rsid w:val="00E20415"/>
    <w:rsid w:val="00E346F6"/>
    <w:rsid w:val="00E3549B"/>
    <w:rsid w:val="00E365CD"/>
    <w:rsid w:val="00E40176"/>
    <w:rsid w:val="00E468D5"/>
    <w:rsid w:val="00E47F2D"/>
    <w:rsid w:val="00E511DA"/>
    <w:rsid w:val="00E64D1C"/>
    <w:rsid w:val="00E67006"/>
    <w:rsid w:val="00E7795E"/>
    <w:rsid w:val="00E8208A"/>
    <w:rsid w:val="00E853CA"/>
    <w:rsid w:val="00E90DB5"/>
    <w:rsid w:val="00E92C1F"/>
    <w:rsid w:val="00E935DC"/>
    <w:rsid w:val="00EB3BB1"/>
    <w:rsid w:val="00EB63B2"/>
    <w:rsid w:val="00EB72F8"/>
    <w:rsid w:val="00EC02D9"/>
    <w:rsid w:val="00EF2EF3"/>
    <w:rsid w:val="00EF3F85"/>
    <w:rsid w:val="00F0260E"/>
    <w:rsid w:val="00F11E07"/>
    <w:rsid w:val="00F34A14"/>
    <w:rsid w:val="00F41F39"/>
    <w:rsid w:val="00F44BE8"/>
    <w:rsid w:val="00F45A77"/>
    <w:rsid w:val="00F50A9D"/>
    <w:rsid w:val="00F6432F"/>
    <w:rsid w:val="00F81229"/>
    <w:rsid w:val="00F82FC0"/>
    <w:rsid w:val="00F93359"/>
    <w:rsid w:val="00F93DF6"/>
    <w:rsid w:val="00FA13C9"/>
    <w:rsid w:val="00FB2796"/>
    <w:rsid w:val="00FC12E0"/>
    <w:rsid w:val="00FF05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8D6B6"/>
  <w15:chartTrackingRefBased/>
  <w15:docId w15:val="{51C7B9FB-663A-4ED5-A760-D93E0F4E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F0D67"/>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7F0D67"/>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1">
    <w:name w:val="ActHead 1"/>
    <w:aliases w:val="c"/>
    <w:basedOn w:val="Normal"/>
    <w:next w:val="Normal"/>
    <w:qFormat/>
    <w:rsid w:val="007C4B26"/>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paragraph" w:customStyle="1" w:styleId="ActHead2">
    <w:name w:val="ActHead 2"/>
    <w:aliases w:val="p"/>
    <w:basedOn w:val="Normal"/>
    <w:next w:val="ActHead3"/>
    <w:qFormat/>
    <w:rsid w:val="007C4B26"/>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3">
    <w:name w:val="ActHead 3"/>
    <w:aliases w:val="d"/>
    <w:basedOn w:val="Normal"/>
    <w:next w:val="Normal"/>
    <w:qFormat/>
    <w:rsid w:val="007C4B26"/>
    <w:pPr>
      <w:keepNext/>
      <w:keepLines/>
      <w:spacing w:before="240" w:after="0" w:line="240" w:lineRule="auto"/>
      <w:ind w:left="1134" w:hanging="1134"/>
      <w:outlineLvl w:val="2"/>
    </w:pPr>
    <w:rPr>
      <w:rFonts w:ascii="Times New Roman" w:eastAsia="Times New Roman" w:hAnsi="Times New Roman" w:cs="Times New Roman"/>
      <w:b/>
      <w:kern w:val="28"/>
      <w:sz w:val="28"/>
      <w:szCs w:val="20"/>
      <w:lang w:eastAsia="en-AU"/>
    </w:rPr>
  </w:style>
  <w:style w:type="paragraph" w:customStyle="1" w:styleId="ActHead5">
    <w:name w:val="ActHead 5"/>
    <w:aliases w:val="s"/>
    <w:basedOn w:val="Normal"/>
    <w:next w:val="subsection"/>
    <w:link w:val="ActHead5Char"/>
    <w:qFormat/>
    <w:rsid w:val="007C4B26"/>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ActHead6">
    <w:name w:val="ActHead 6"/>
    <w:aliases w:val="as"/>
    <w:basedOn w:val="Normal"/>
    <w:next w:val="Normal"/>
    <w:qFormat/>
    <w:rsid w:val="007C4B26"/>
    <w:pPr>
      <w:keepNext/>
      <w:keepLines/>
      <w:spacing w:after="0" w:line="240" w:lineRule="auto"/>
      <w:ind w:left="1134" w:hanging="1134"/>
      <w:outlineLvl w:val="5"/>
    </w:pPr>
    <w:rPr>
      <w:rFonts w:ascii="Arial" w:eastAsia="Times New Roman" w:hAnsi="Arial" w:cs="Times New Roman"/>
      <w:b/>
      <w:kern w:val="28"/>
      <w:sz w:val="32"/>
      <w:szCs w:val="20"/>
      <w:lang w:eastAsia="en-AU"/>
    </w:rPr>
  </w:style>
  <w:style w:type="paragraph" w:customStyle="1" w:styleId="ActHead9">
    <w:name w:val="ActHead 9"/>
    <w:aliases w:val="aat"/>
    <w:basedOn w:val="Normal"/>
    <w:next w:val="ItemHead"/>
    <w:qFormat/>
    <w:rsid w:val="007C4B26"/>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character" w:customStyle="1" w:styleId="CharAmPartNo">
    <w:name w:val="CharAmPartNo"/>
    <w:basedOn w:val="DefaultParagraphFont"/>
    <w:qFormat/>
    <w:rsid w:val="007C4B26"/>
  </w:style>
  <w:style w:type="character" w:customStyle="1" w:styleId="CharAmPartText">
    <w:name w:val="CharAmPartText"/>
    <w:basedOn w:val="DefaultParagraphFont"/>
    <w:qFormat/>
    <w:rsid w:val="007C4B26"/>
  </w:style>
  <w:style w:type="character" w:customStyle="1" w:styleId="CharAmSchNo">
    <w:name w:val="CharAmSchNo"/>
    <w:basedOn w:val="DefaultParagraphFont"/>
    <w:qFormat/>
    <w:rsid w:val="007C4B26"/>
  </w:style>
  <w:style w:type="character" w:customStyle="1" w:styleId="CharAmSchText">
    <w:name w:val="CharAmSchText"/>
    <w:basedOn w:val="DefaultParagraphFont"/>
    <w:qFormat/>
    <w:rsid w:val="007C4B26"/>
  </w:style>
  <w:style w:type="character" w:customStyle="1" w:styleId="CharChapNo">
    <w:name w:val="CharChapNo"/>
    <w:basedOn w:val="DefaultParagraphFont"/>
    <w:uiPriority w:val="1"/>
    <w:qFormat/>
    <w:rsid w:val="007C4B26"/>
  </w:style>
  <w:style w:type="character" w:customStyle="1" w:styleId="CharChapText">
    <w:name w:val="CharChapText"/>
    <w:basedOn w:val="DefaultParagraphFont"/>
    <w:uiPriority w:val="1"/>
    <w:qFormat/>
    <w:rsid w:val="007C4B26"/>
  </w:style>
  <w:style w:type="character" w:customStyle="1" w:styleId="CharDivNo">
    <w:name w:val="CharDivNo"/>
    <w:basedOn w:val="DefaultParagraphFont"/>
    <w:uiPriority w:val="1"/>
    <w:qFormat/>
    <w:rsid w:val="007C4B26"/>
  </w:style>
  <w:style w:type="character" w:customStyle="1" w:styleId="CharDivText">
    <w:name w:val="CharDivText"/>
    <w:basedOn w:val="DefaultParagraphFont"/>
    <w:uiPriority w:val="1"/>
    <w:qFormat/>
    <w:rsid w:val="007C4B26"/>
  </w:style>
  <w:style w:type="character" w:customStyle="1" w:styleId="CharPartNo">
    <w:name w:val="CharPartNo"/>
    <w:basedOn w:val="DefaultParagraphFont"/>
    <w:uiPriority w:val="1"/>
    <w:qFormat/>
    <w:rsid w:val="007C4B26"/>
  </w:style>
  <w:style w:type="character" w:customStyle="1" w:styleId="CharPartText">
    <w:name w:val="CharPartText"/>
    <w:basedOn w:val="DefaultParagraphFont"/>
    <w:uiPriority w:val="1"/>
    <w:qFormat/>
    <w:rsid w:val="007C4B26"/>
  </w:style>
  <w:style w:type="character" w:customStyle="1" w:styleId="CharSectno">
    <w:name w:val="CharSectno"/>
    <w:basedOn w:val="DefaultParagraphFont"/>
    <w:qFormat/>
    <w:rsid w:val="007C4B26"/>
  </w:style>
  <w:style w:type="paragraph" w:customStyle="1" w:styleId="subsection">
    <w:name w:val="subsection"/>
    <w:aliases w:val="ss,Subsection"/>
    <w:basedOn w:val="Normal"/>
    <w:link w:val="subsectionChar"/>
    <w:rsid w:val="007C4B26"/>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Definition">
    <w:name w:val="Definition"/>
    <w:aliases w:val="dd"/>
    <w:basedOn w:val="Normal"/>
    <w:rsid w:val="007C4B26"/>
    <w:pPr>
      <w:spacing w:before="18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nhideWhenUsed/>
    <w:rsid w:val="007C4B26"/>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7C4B26"/>
    <w:rPr>
      <w:rFonts w:ascii="Times New Roman" w:eastAsia="Times New Roman" w:hAnsi="Times New Roman" w:cs="Times New Roman"/>
      <w:sz w:val="16"/>
      <w:szCs w:val="20"/>
      <w:lang w:eastAsia="en-AU"/>
    </w:rPr>
  </w:style>
  <w:style w:type="paragraph" w:customStyle="1" w:styleId="Item">
    <w:name w:val="Item"/>
    <w:aliases w:val="i"/>
    <w:basedOn w:val="Normal"/>
    <w:next w:val="ItemHead"/>
    <w:rsid w:val="007C4B26"/>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7C4B26"/>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margin">
    <w:name w:val="note(margin)"/>
    <w:aliases w:val="nm"/>
    <w:basedOn w:val="Normal"/>
    <w:rsid w:val="007C4B26"/>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paragraphsub">
    <w:name w:val="paragraph(sub)"/>
    <w:aliases w:val="aa"/>
    <w:basedOn w:val="Normal"/>
    <w:rsid w:val="007C4B26"/>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rsid w:val="007C4B26"/>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Penalty">
    <w:name w:val="Penalty"/>
    <w:basedOn w:val="Normal"/>
    <w:rsid w:val="007C4B26"/>
    <w:pPr>
      <w:tabs>
        <w:tab w:val="left" w:pos="2977"/>
      </w:tabs>
      <w:spacing w:before="180" w:after="0" w:line="240" w:lineRule="auto"/>
      <w:ind w:left="1985" w:hanging="851"/>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7C4B26"/>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7C4B26"/>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Tabletext">
    <w:name w:val="Tabletext"/>
    <w:aliases w:val="tt"/>
    <w:basedOn w:val="Normal"/>
    <w:rsid w:val="007C4B26"/>
    <w:pPr>
      <w:spacing w:before="60" w:after="0" w:line="240" w:lineRule="atLeast"/>
    </w:pPr>
    <w:rPr>
      <w:rFonts w:ascii="Times New Roman" w:eastAsia="Times New Roman" w:hAnsi="Times New Roman" w:cs="Times New Roman"/>
      <w:sz w:val="20"/>
      <w:szCs w:val="20"/>
      <w:lang w:eastAsia="en-AU"/>
    </w:rPr>
  </w:style>
  <w:style w:type="paragraph" w:styleId="Footer">
    <w:name w:val="footer"/>
    <w:link w:val="FooterChar"/>
    <w:uiPriority w:val="99"/>
    <w:rsid w:val="007C4B26"/>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7C4B26"/>
    <w:rPr>
      <w:rFonts w:ascii="Times New Roman" w:eastAsia="Times New Roman" w:hAnsi="Times New Roman" w:cs="Times New Roman"/>
      <w:szCs w:val="24"/>
      <w:lang w:eastAsia="en-AU"/>
    </w:rPr>
  </w:style>
  <w:style w:type="paragraph" w:customStyle="1" w:styleId="notetext">
    <w:name w:val="note(text)"/>
    <w:aliases w:val="n"/>
    <w:basedOn w:val="Normal"/>
    <w:link w:val="notetextChar"/>
    <w:rsid w:val="007C4B26"/>
    <w:pPr>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FreeForm">
    <w:name w:val="FreeForm"/>
    <w:rsid w:val="007C4B26"/>
    <w:pPr>
      <w:spacing w:after="0" w:line="240" w:lineRule="auto"/>
    </w:pPr>
    <w:rPr>
      <w:rFonts w:ascii="Arial" w:eastAsia="Calibri" w:hAnsi="Arial" w:cs="Times New Roman"/>
      <w:szCs w:val="20"/>
    </w:rPr>
  </w:style>
  <w:style w:type="paragraph" w:customStyle="1" w:styleId="TableHeading">
    <w:name w:val="TableHeading"/>
    <w:aliases w:val="th"/>
    <w:basedOn w:val="Normal"/>
    <w:next w:val="Tabletext"/>
    <w:rsid w:val="007C4B26"/>
    <w:pPr>
      <w:keepNext/>
      <w:spacing w:before="60" w:after="0" w:line="240" w:lineRule="atLeast"/>
    </w:pPr>
    <w:rPr>
      <w:rFonts w:ascii="Times New Roman" w:eastAsia="Times New Roman" w:hAnsi="Times New Roman" w:cs="Times New Roman"/>
      <w:b/>
      <w:sz w:val="20"/>
      <w:szCs w:val="20"/>
      <w:lang w:eastAsia="en-AU"/>
    </w:rPr>
  </w:style>
  <w:style w:type="character" w:customStyle="1" w:styleId="subsectionChar">
    <w:name w:val="subsection Char"/>
    <w:aliases w:val="ss Char"/>
    <w:link w:val="subsection"/>
    <w:locked/>
    <w:rsid w:val="007C4B26"/>
    <w:rPr>
      <w:rFonts w:ascii="Times New Roman" w:eastAsia="Times New Roman" w:hAnsi="Times New Roman" w:cs="Times New Roman"/>
      <w:szCs w:val="20"/>
      <w:lang w:eastAsia="en-AU"/>
    </w:rPr>
  </w:style>
  <w:style w:type="character" w:customStyle="1" w:styleId="notetextChar">
    <w:name w:val="note(text) Char"/>
    <w:aliases w:val="n Char"/>
    <w:link w:val="notetext"/>
    <w:rsid w:val="007C4B26"/>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7C4B26"/>
    <w:rPr>
      <w:rFonts w:ascii="Times New Roman" w:eastAsia="Times New Roman" w:hAnsi="Times New Roman" w:cs="Times New Roman"/>
      <w:b/>
      <w:kern w:val="28"/>
      <w:sz w:val="24"/>
      <w:szCs w:val="20"/>
      <w:lang w:eastAsia="en-AU"/>
    </w:rPr>
  </w:style>
  <w:style w:type="paragraph" w:styleId="NormalWeb">
    <w:name w:val="Normal (Web)"/>
    <w:basedOn w:val="Normal"/>
    <w:uiPriority w:val="99"/>
    <w:semiHidden/>
    <w:unhideWhenUsed/>
    <w:rsid w:val="00E346F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46F21"/>
    <w:rPr>
      <w:sz w:val="16"/>
      <w:szCs w:val="16"/>
    </w:rPr>
  </w:style>
  <w:style w:type="paragraph" w:styleId="CommentText">
    <w:name w:val="annotation text"/>
    <w:basedOn w:val="Normal"/>
    <w:link w:val="CommentTextChar"/>
    <w:uiPriority w:val="99"/>
    <w:semiHidden/>
    <w:unhideWhenUsed/>
    <w:rsid w:val="00646F2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46F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46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F21"/>
    <w:rPr>
      <w:rFonts w:ascii="Segoe UI" w:hAnsi="Segoe UI" w:cs="Segoe UI"/>
      <w:sz w:val="18"/>
      <w:szCs w:val="18"/>
    </w:rPr>
  </w:style>
  <w:style w:type="paragraph" w:styleId="ListParagraph">
    <w:name w:val="List Paragraph"/>
    <w:basedOn w:val="Normal"/>
    <w:uiPriority w:val="34"/>
    <w:qFormat/>
    <w:rsid w:val="00646F21"/>
    <w:pPr>
      <w:spacing w:after="176" w:line="240" w:lineRule="atLeast"/>
      <w:ind w:left="720"/>
      <w:contextualSpacing/>
    </w:pPr>
    <w:rPr>
      <w:rFonts w:ascii="Montserrat Light" w:eastAsia="Times New Roman" w:hAnsi="Montserrat Light" w:cs="Times New Roman"/>
      <w:color w:val="000000"/>
      <w:sz w:val="18"/>
      <w:szCs w:val="20"/>
      <w:lang w:eastAsia="en-AU"/>
    </w:rPr>
  </w:style>
  <w:style w:type="paragraph" w:styleId="CommentSubject">
    <w:name w:val="annotation subject"/>
    <w:basedOn w:val="CommentText"/>
    <w:next w:val="CommentText"/>
    <w:link w:val="CommentSubjectChar"/>
    <w:uiPriority w:val="99"/>
    <w:semiHidden/>
    <w:unhideWhenUsed/>
    <w:rsid w:val="005F6BC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F6BCD"/>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7F0D67"/>
    <w:rPr>
      <w:rFonts w:ascii="Times New Roman" w:hAnsi="Times New Roman"/>
      <w:b/>
      <w:sz w:val="28"/>
      <w:szCs w:val="28"/>
    </w:rPr>
  </w:style>
  <w:style w:type="character" w:customStyle="1" w:styleId="Heading3Char">
    <w:name w:val="Heading 3 Char"/>
    <w:basedOn w:val="DefaultParagraphFont"/>
    <w:link w:val="Heading3"/>
    <w:uiPriority w:val="9"/>
    <w:rsid w:val="007F0D67"/>
    <w:rPr>
      <w:rFonts w:ascii="Times New Roman" w:hAnsi="Times New Roman"/>
      <w:b/>
      <w:sz w:val="24"/>
      <w:szCs w:val="24"/>
    </w:rPr>
  </w:style>
  <w:style w:type="paragraph" w:customStyle="1" w:styleId="paragraphsub0">
    <w:name w:val="paragraphsub"/>
    <w:basedOn w:val="Normal"/>
    <w:rsid w:val="00784D8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0">
    <w:name w:val="acthead5"/>
    <w:basedOn w:val="Normal"/>
    <w:rsid w:val="002872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alty0">
    <w:name w:val="penalty"/>
    <w:basedOn w:val="Normal"/>
    <w:rsid w:val="006C682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197A17"/>
    <w:rPr>
      <w:color w:val="0000FF"/>
      <w:u w:val="single"/>
    </w:rPr>
  </w:style>
  <w:style w:type="character" w:styleId="FollowedHyperlink">
    <w:name w:val="FollowedHyperlink"/>
    <w:basedOn w:val="DefaultParagraphFont"/>
    <w:uiPriority w:val="99"/>
    <w:semiHidden/>
    <w:unhideWhenUsed/>
    <w:rsid w:val="00674B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1310">
      <w:bodyDiv w:val="1"/>
      <w:marLeft w:val="0"/>
      <w:marRight w:val="0"/>
      <w:marTop w:val="0"/>
      <w:marBottom w:val="0"/>
      <w:divBdr>
        <w:top w:val="none" w:sz="0" w:space="0" w:color="auto"/>
        <w:left w:val="none" w:sz="0" w:space="0" w:color="auto"/>
        <w:bottom w:val="none" w:sz="0" w:space="0" w:color="auto"/>
        <w:right w:val="none" w:sz="0" w:space="0" w:color="auto"/>
      </w:divBdr>
    </w:div>
    <w:div w:id="120415944">
      <w:bodyDiv w:val="1"/>
      <w:marLeft w:val="0"/>
      <w:marRight w:val="0"/>
      <w:marTop w:val="0"/>
      <w:marBottom w:val="0"/>
      <w:divBdr>
        <w:top w:val="none" w:sz="0" w:space="0" w:color="auto"/>
        <w:left w:val="none" w:sz="0" w:space="0" w:color="auto"/>
        <w:bottom w:val="none" w:sz="0" w:space="0" w:color="auto"/>
        <w:right w:val="none" w:sz="0" w:space="0" w:color="auto"/>
      </w:divBdr>
    </w:div>
    <w:div w:id="157232565">
      <w:bodyDiv w:val="1"/>
      <w:marLeft w:val="0"/>
      <w:marRight w:val="0"/>
      <w:marTop w:val="0"/>
      <w:marBottom w:val="0"/>
      <w:divBdr>
        <w:top w:val="none" w:sz="0" w:space="0" w:color="auto"/>
        <w:left w:val="none" w:sz="0" w:space="0" w:color="auto"/>
        <w:bottom w:val="none" w:sz="0" w:space="0" w:color="auto"/>
        <w:right w:val="none" w:sz="0" w:space="0" w:color="auto"/>
      </w:divBdr>
    </w:div>
    <w:div w:id="184178689">
      <w:bodyDiv w:val="1"/>
      <w:marLeft w:val="0"/>
      <w:marRight w:val="0"/>
      <w:marTop w:val="0"/>
      <w:marBottom w:val="0"/>
      <w:divBdr>
        <w:top w:val="none" w:sz="0" w:space="0" w:color="auto"/>
        <w:left w:val="none" w:sz="0" w:space="0" w:color="auto"/>
        <w:bottom w:val="none" w:sz="0" w:space="0" w:color="auto"/>
        <w:right w:val="none" w:sz="0" w:space="0" w:color="auto"/>
      </w:divBdr>
    </w:div>
    <w:div w:id="268515507">
      <w:bodyDiv w:val="1"/>
      <w:marLeft w:val="0"/>
      <w:marRight w:val="0"/>
      <w:marTop w:val="0"/>
      <w:marBottom w:val="0"/>
      <w:divBdr>
        <w:top w:val="none" w:sz="0" w:space="0" w:color="auto"/>
        <w:left w:val="none" w:sz="0" w:space="0" w:color="auto"/>
        <w:bottom w:val="none" w:sz="0" w:space="0" w:color="auto"/>
        <w:right w:val="none" w:sz="0" w:space="0" w:color="auto"/>
      </w:divBdr>
    </w:div>
    <w:div w:id="310644875">
      <w:bodyDiv w:val="1"/>
      <w:marLeft w:val="0"/>
      <w:marRight w:val="0"/>
      <w:marTop w:val="0"/>
      <w:marBottom w:val="0"/>
      <w:divBdr>
        <w:top w:val="none" w:sz="0" w:space="0" w:color="auto"/>
        <w:left w:val="none" w:sz="0" w:space="0" w:color="auto"/>
        <w:bottom w:val="none" w:sz="0" w:space="0" w:color="auto"/>
        <w:right w:val="none" w:sz="0" w:space="0" w:color="auto"/>
      </w:divBdr>
    </w:div>
    <w:div w:id="356270515">
      <w:bodyDiv w:val="1"/>
      <w:marLeft w:val="0"/>
      <w:marRight w:val="0"/>
      <w:marTop w:val="0"/>
      <w:marBottom w:val="0"/>
      <w:divBdr>
        <w:top w:val="none" w:sz="0" w:space="0" w:color="auto"/>
        <w:left w:val="none" w:sz="0" w:space="0" w:color="auto"/>
        <w:bottom w:val="none" w:sz="0" w:space="0" w:color="auto"/>
        <w:right w:val="none" w:sz="0" w:space="0" w:color="auto"/>
      </w:divBdr>
    </w:div>
    <w:div w:id="399520382">
      <w:bodyDiv w:val="1"/>
      <w:marLeft w:val="0"/>
      <w:marRight w:val="0"/>
      <w:marTop w:val="0"/>
      <w:marBottom w:val="0"/>
      <w:divBdr>
        <w:top w:val="none" w:sz="0" w:space="0" w:color="auto"/>
        <w:left w:val="none" w:sz="0" w:space="0" w:color="auto"/>
        <w:bottom w:val="none" w:sz="0" w:space="0" w:color="auto"/>
        <w:right w:val="none" w:sz="0" w:space="0" w:color="auto"/>
      </w:divBdr>
    </w:div>
    <w:div w:id="466509164">
      <w:bodyDiv w:val="1"/>
      <w:marLeft w:val="0"/>
      <w:marRight w:val="0"/>
      <w:marTop w:val="0"/>
      <w:marBottom w:val="0"/>
      <w:divBdr>
        <w:top w:val="none" w:sz="0" w:space="0" w:color="auto"/>
        <w:left w:val="none" w:sz="0" w:space="0" w:color="auto"/>
        <w:bottom w:val="none" w:sz="0" w:space="0" w:color="auto"/>
        <w:right w:val="none" w:sz="0" w:space="0" w:color="auto"/>
      </w:divBdr>
    </w:div>
    <w:div w:id="493298778">
      <w:bodyDiv w:val="1"/>
      <w:marLeft w:val="0"/>
      <w:marRight w:val="0"/>
      <w:marTop w:val="0"/>
      <w:marBottom w:val="0"/>
      <w:divBdr>
        <w:top w:val="none" w:sz="0" w:space="0" w:color="auto"/>
        <w:left w:val="none" w:sz="0" w:space="0" w:color="auto"/>
        <w:bottom w:val="none" w:sz="0" w:space="0" w:color="auto"/>
        <w:right w:val="none" w:sz="0" w:space="0" w:color="auto"/>
      </w:divBdr>
    </w:div>
    <w:div w:id="571813928">
      <w:bodyDiv w:val="1"/>
      <w:marLeft w:val="0"/>
      <w:marRight w:val="0"/>
      <w:marTop w:val="0"/>
      <w:marBottom w:val="0"/>
      <w:divBdr>
        <w:top w:val="none" w:sz="0" w:space="0" w:color="auto"/>
        <w:left w:val="none" w:sz="0" w:space="0" w:color="auto"/>
        <w:bottom w:val="none" w:sz="0" w:space="0" w:color="auto"/>
        <w:right w:val="none" w:sz="0" w:space="0" w:color="auto"/>
      </w:divBdr>
    </w:div>
    <w:div w:id="598804215">
      <w:bodyDiv w:val="1"/>
      <w:marLeft w:val="0"/>
      <w:marRight w:val="0"/>
      <w:marTop w:val="0"/>
      <w:marBottom w:val="0"/>
      <w:divBdr>
        <w:top w:val="none" w:sz="0" w:space="0" w:color="auto"/>
        <w:left w:val="none" w:sz="0" w:space="0" w:color="auto"/>
        <w:bottom w:val="none" w:sz="0" w:space="0" w:color="auto"/>
        <w:right w:val="none" w:sz="0" w:space="0" w:color="auto"/>
      </w:divBdr>
    </w:div>
    <w:div w:id="646713800">
      <w:bodyDiv w:val="1"/>
      <w:marLeft w:val="0"/>
      <w:marRight w:val="0"/>
      <w:marTop w:val="0"/>
      <w:marBottom w:val="0"/>
      <w:divBdr>
        <w:top w:val="none" w:sz="0" w:space="0" w:color="auto"/>
        <w:left w:val="none" w:sz="0" w:space="0" w:color="auto"/>
        <w:bottom w:val="none" w:sz="0" w:space="0" w:color="auto"/>
        <w:right w:val="none" w:sz="0" w:space="0" w:color="auto"/>
      </w:divBdr>
    </w:div>
    <w:div w:id="696126306">
      <w:bodyDiv w:val="1"/>
      <w:marLeft w:val="0"/>
      <w:marRight w:val="0"/>
      <w:marTop w:val="0"/>
      <w:marBottom w:val="0"/>
      <w:divBdr>
        <w:top w:val="none" w:sz="0" w:space="0" w:color="auto"/>
        <w:left w:val="none" w:sz="0" w:space="0" w:color="auto"/>
        <w:bottom w:val="none" w:sz="0" w:space="0" w:color="auto"/>
        <w:right w:val="none" w:sz="0" w:space="0" w:color="auto"/>
      </w:divBdr>
    </w:div>
    <w:div w:id="706754472">
      <w:bodyDiv w:val="1"/>
      <w:marLeft w:val="0"/>
      <w:marRight w:val="0"/>
      <w:marTop w:val="0"/>
      <w:marBottom w:val="0"/>
      <w:divBdr>
        <w:top w:val="none" w:sz="0" w:space="0" w:color="auto"/>
        <w:left w:val="none" w:sz="0" w:space="0" w:color="auto"/>
        <w:bottom w:val="none" w:sz="0" w:space="0" w:color="auto"/>
        <w:right w:val="none" w:sz="0" w:space="0" w:color="auto"/>
      </w:divBdr>
    </w:div>
    <w:div w:id="746652721">
      <w:bodyDiv w:val="1"/>
      <w:marLeft w:val="0"/>
      <w:marRight w:val="0"/>
      <w:marTop w:val="0"/>
      <w:marBottom w:val="0"/>
      <w:divBdr>
        <w:top w:val="none" w:sz="0" w:space="0" w:color="auto"/>
        <w:left w:val="none" w:sz="0" w:space="0" w:color="auto"/>
        <w:bottom w:val="none" w:sz="0" w:space="0" w:color="auto"/>
        <w:right w:val="none" w:sz="0" w:space="0" w:color="auto"/>
      </w:divBdr>
    </w:div>
    <w:div w:id="789082142">
      <w:bodyDiv w:val="1"/>
      <w:marLeft w:val="0"/>
      <w:marRight w:val="0"/>
      <w:marTop w:val="0"/>
      <w:marBottom w:val="0"/>
      <w:divBdr>
        <w:top w:val="none" w:sz="0" w:space="0" w:color="auto"/>
        <w:left w:val="none" w:sz="0" w:space="0" w:color="auto"/>
        <w:bottom w:val="none" w:sz="0" w:space="0" w:color="auto"/>
        <w:right w:val="none" w:sz="0" w:space="0" w:color="auto"/>
      </w:divBdr>
    </w:div>
    <w:div w:id="795173317">
      <w:bodyDiv w:val="1"/>
      <w:marLeft w:val="0"/>
      <w:marRight w:val="0"/>
      <w:marTop w:val="0"/>
      <w:marBottom w:val="0"/>
      <w:divBdr>
        <w:top w:val="none" w:sz="0" w:space="0" w:color="auto"/>
        <w:left w:val="none" w:sz="0" w:space="0" w:color="auto"/>
        <w:bottom w:val="none" w:sz="0" w:space="0" w:color="auto"/>
        <w:right w:val="none" w:sz="0" w:space="0" w:color="auto"/>
      </w:divBdr>
    </w:div>
    <w:div w:id="842477598">
      <w:bodyDiv w:val="1"/>
      <w:marLeft w:val="0"/>
      <w:marRight w:val="0"/>
      <w:marTop w:val="0"/>
      <w:marBottom w:val="0"/>
      <w:divBdr>
        <w:top w:val="none" w:sz="0" w:space="0" w:color="auto"/>
        <w:left w:val="none" w:sz="0" w:space="0" w:color="auto"/>
        <w:bottom w:val="none" w:sz="0" w:space="0" w:color="auto"/>
        <w:right w:val="none" w:sz="0" w:space="0" w:color="auto"/>
      </w:divBdr>
    </w:div>
    <w:div w:id="972445127">
      <w:bodyDiv w:val="1"/>
      <w:marLeft w:val="0"/>
      <w:marRight w:val="0"/>
      <w:marTop w:val="0"/>
      <w:marBottom w:val="0"/>
      <w:divBdr>
        <w:top w:val="none" w:sz="0" w:space="0" w:color="auto"/>
        <w:left w:val="none" w:sz="0" w:space="0" w:color="auto"/>
        <w:bottom w:val="none" w:sz="0" w:space="0" w:color="auto"/>
        <w:right w:val="none" w:sz="0" w:space="0" w:color="auto"/>
      </w:divBdr>
    </w:div>
    <w:div w:id="993947639">
      <w:bodyDiv w:val="1"/>
      <w:marLeft w:val="0"/>
      <w:marRight w:val="0"/>
      <w:marTop w:val="0"/>
      <w:marBottom w:val="0"/>
      <w:divBdr>
        <w:top w:val="none" w:sz="0" w:space="0" w:color="auto"/>
        <w:left w:val="none" w:sz="0" w:space="0" w:color="auto"/>
        <w:bottom w:val="none" w:sz="0" w:space="0" w:color="auto"/>
        <w:right w:val="none" w:sz="0" w:space="0" w:color="auto"/>
      </w:divBdr>
    </w:div>
    <w:div w:id="1043990086">
      <w:bodyDiv w:val="1"/>
      <w:marLeft w:val="0"/>
      <w:marRight w:val="0"/>
      <w:marTop w:val="0"/>
      <w:marBottom w:val="0"/>
      <w:divBdr>
        <w:top w:val="none" w:sz="0" w:space="0" w:color="auto"/>
        <w:left w:val="none" w:sz="0" w:space="0" w:color="auto"/>
        <w:bottom w:val="none" w:sz="0" w:space="0" w:color="auto"/>
        <w:right w:val="none" w:sz="0" w:space="0" w:color="auto"/>
      </w:divBdr>
    </w:div>
    <w:div w:id="1066342969">
      <w:bodyDiv w:val="1"/>
      <w:marLeft w:val="0"/>
      <w:marRight w:val="0"/>
      <w:marTop w:val="0"/>
      <w:marBottom w:val="0"/>
      <w:divBdr>
        <w:top w:val="none" w:sz="0" w:space="0" w:color="auto"/>
        <w:left w:val="none" w:sz="0" w:space="0" w:color="auto"/>
        <w:bottom w:val="none" w:sz="0" w:space="0" w:color="auto"/>
        <w:right w:val="none" w:sz="0" w:space="0" w:color="auto"/>
      </w:divBdr>
    </w:div>
    <w:div w:id="1197962759">
      <w:bodyDiv w:val="1"/>
      <w:marLeft w:val="0"/>
      <w:marRight w:val="0"/>
      <w:marTop w:val="0"/>
      <w:marBottom w:val="0"/>
      <w:divBdr>
        <w:top w:val="none" w:sz="0" w:space="0" w:color="auto"/>
        <w:left w:val="none" w:sz="0" w:space="0" w:color="auto"/>
        <w:bottom w:val="none" w:sz="0" w:space="0" w:color="auto"/>
        <w:right w:val="none" w:sz="0" w:space="0" w:color="auto"/>
      </w:divBdr>
    </w:div>
    <w:div w:id="1204291795">
      <w:bodyDiv w:val="1"/>
      <w:marLeft w:val="0"/>
      <w:marRight w:val="0"/>
      <w:marTop w:val="0"/>
      <w:marBottom w:val="0"/>
      <w:divBdr>
        <w:top w:val="none" w:sz="0" w:space="0" w:color="auto"/>
        <w:left w:val="none" w:sz="0" w:space="0" w:color="auto"/>
        <w:bottom w:val="none" w:sz="0" w:space="0" w:color="auto"/>
        <w:right w:val="none" w:sz="0" w:space="0" w:color="auto"/>
      </w:divBdr>
    </w:div>
    <w:div w:id="1307736131">
      <w:bodyDiv w:val="1"/>
      <w:marLeft w:val="0"/>
      <w:marRight w:val="0"/>
      <w:marTop w:val="0"/>
      <w:marBottom w:val="0"/>
      <w:divBdr>
        <w:top w:val="none" w:sz="0" w:space="0" w:color="auto"/>
        <w:left w:val="none" w:sz="0" w:space="0" w:color="auto"/>
        <w:bottom w:val="none" w:sz="0" w:space="0" w:color="auto"/>
        <w:right w:val="none" w:sz="0" w:space="0" w:color="auto"/>
      </w:divBdr>
    </w:div>
    <w:div w:id="1391422422">
      <w:bodyDiv w:val="1"/>
      <w:marLeft w:val="0"/>
      <w:marRight w:val="0"/>
      <w:marTop w:val="0"/>
      <w:marBottom w:val="0"/>
      <w:divBdr>
        <w:top w:val="none" w:sz="0" w:space="0" w:color="auto"/>
        <w:left w:val="none" w:sz="0" w:space="0" w:color="auto"/>
        <w:bottom w:val="none" w:sz="0" w:space="0" w:color="auto"/>
        <w:right w:val="none" w:sz="0" w:space="0" w:color="auto"/>
      </w:divBdr>
    </w:div>
    <w:div w:id="1413088733">
      <w:bodyDiv w:val="1"/>
      <w:marLeft w:val="0"/>
      <w:marRight w:val="0"/>
      <w:marTop w:val="0"/>
      <w:marBottom w:val="0"/>
      <w:divBdr>
        <w:top w:val="none" w:sz="0" w:space="0" w:color="auto"/>
        <w:left w:val="none" w:sz="0" w:space="0" w:color="auto"/>
        <w:bottom w:val="none" w:sz="0" w:space="0" w:color="auto"/>
        <w:right w:val="none" w:sz="0" w:space="0" w:color="auto"/>
      </w:divBdr>
    </w:div>
    <w:div w:id="1505508174">
      <w:bodyDiv w:val="1"/>
      <w:marLeft w:val="0"/>
      <w:marRight w:val="0"/>
      <w:marTop w:val="0"/>
      <w:marBottom w:val="0"/>
      <w:divBdr>
        <w:top w:val="none" w:sz="0" w:space="0" w:color="auto"/>
        <w:left w:val="none" w:sz="0" w:space="0" w:color="auto"/>
        <w:bottom w:val="none" w:sz="0" w:space="0" w:color="auto"/>
        <w:right w:val="none" w:sz="0" w:space="0" w:color="auto"/>
      </w:divBdr>
    </w:div>
    <w:div w:id="1573278074">
      <w:bodyDiv w:val="1"/>
      <w:marLeft w:val="0"/>
      <w:marRight w:val="0"/>
      <w:marTop w:val="0"/>
      <w:marBottom w:val="0"/>
      <w:divBdr>
        <w:top w:val="none" w:sz="0" w:space="0" w:color="auto"/>
        <w:left w:val="none" w:sz="0" w:space="0" w:color="auto"/>
        <w:bottom w:val="none" w:sz="0" w:space="0" w:color="auto"/>
        <w:right w:val="none" w:sz="0" w:space="0" w:color="auto"/>
      </w:divBdr>
    </w:div>
    <w:div w:id="1619753284">
      <w:bodyDiv w:val="1"/>
      <w:marLeft w:val="0"/>
      <w:marRight w:val="0"/>
      <w:marTop w:val="0"/>
      <w:marBottom w:val="0"/>
      <w:divBdr>
        <w:top w:val="none" w:sz="0" w:space="0" w:color="auto"/>
        <w:left w:val="none" w:sz="0" w:space="0" w:color="auto"/>
        <w:bottom w:val="none" w:sz="0" w:space="0" w:color="auto"/>
        <w:right w:val="none" w:sz="0" w:space="0" w:color="auto"/>
      </w:divBdr>
    </w:div>
    <w:div w:id="1750349379">
      <w:bodyDiv w:val="1"/>
      <w:marLeft w:val="0"/>
      <w:marRight w:val="0"/>
      <w:marTop w:val="0"/>
      <w:marBottom w:val="0"/>
      <w:divBdr>
        <w:top w:val="none" w:sz="0" w:space="0" w:color="auto"/>
        <w:left w:val="none" w:sz="0" w:space="0" w:color="auto"/>
        <w:bottom w:val="none" w:sz="0" w:space="0" w:color="auto"/>
        <w:right w:val="none" w:sz="0" w:space="0" w:color="auto"/>
      </w:divBdr>
    </w:div>
    <w:div w:id="1997294618">
      <w:bodyDiv w:val="1"/>
      <w:marLeft w:val="0"/>
      <w:marRight w:val="0"/>
      <w:marTop w:val="0"/>
      <w:marBottom w:val="0"/>
      <w:divBdr>
        <w:top w:val="none" w:sz="0" w:space="0" w:color="auto"/>
        <w:left w:val="none" w:sz="0" w:space="0" w:color="auto"/>
        <w:bottom w:val="none" w:sz="0" w:space="0" w:color="auto"/>
        <w:right w:val="none" w:sz="0" w:space="0" w:color="auto"/>
      </w:divBdr>
    </w:div>
    <w:div w:id="2003310384">
      <w:bodyDiv w:val="1"/>
      <w:marLeft w:val="0"/>
      <w:marRight w:val="0"/>
      <w:marTop w:val="0"/>
      <w:marBottom w:val="0"/>
      <w:divBdr>
        <w:top w:val="none" w:sz="0" w:space="0" w:color="auto"/>
        <w:left w:val="none" w:sz="0" w:space="0" w:color="auto"/>
        <w:bottom w:val="none" w:sz="0" w:space="0" w:color="auto"/>
        <w:right w:val="none" w:sz="0" w:space="0" w:color="auto"/>
      </w:divBdr>
    </w:div>
    <w:div w:id="2049136480">
      <w:bodyDiv w:val="1"/>
      <w:marLeft w:val="0"/>
      <w:marRight w:val="0"/>
      <w:marTop w:val="0"/>
      <w:marBottom w:val="0"/>
      <w:divBdr>
        <w:top w:val="none" w:sz="0" w:space="0" w:color="auto"/>
        <w:left w:val="none" w:sz="0" w:space="0" w:color="auto"/>
        <w:bottom w:val="none" w:sz="0" w:space="0" w:color="auto"/>
        <w:right w:val="none" w:sz="0" w:space="0" w:color="auto"/>
      </w:divBdr>
    </w:div>
    <w:div w:id="2055956195">
      <w:bodyDiv w:val="1"/>
      <w:marLeft w:val="0"/>
      <w:marRight w:val="0"/>
      <w:marTop w:val="0"/>
      <w:marBottom w:val="0"/>
      <w:divBdr>
        <w:top w:val="none" w:sz="0" w:space="0" w:color="auto"/>
        <w:left w:val="none" w:sz="0" w:space="0" w:color="auto"/>
        <w:bottom w:val="none" w:sz="0" w:space="0" w:color="auto"/>
        <w:right w:val="none" w:sz="0" w:space="0" w:color="auto"/>
      </w:divBdr>
    </w:div>
    <w:div w:id="2067138992">
      <w:bodyDiv w:val="1"/>
      <w:marLeft w:val="0"/>
      <w:marRight w:val="0"/>
      <w:marTop w:val="0"/>
      <w:marBottom w:val="0"/>
      <w:divBdr>
        <w:top w:val="none" w:sz="0" w:space="0" w:color="auto"/>
        <w:left w:val="none" w:sz="0" w:space="0" w:color="auto"/>
        <w:bottom w:val="none" w:sz="0" w:space="0" w:color="auto"/>
        <w:right w:val="none" w:sz="0" w:space="0" w:color="auto"/>
      </w:divBdr>
    </w:div>
    <w:div w:id="208649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2AC0D1E1CD745AE2EA111D9A90A20" ma:contentTypeVersion="0" ma:contentTypeDescription="Create a new document." ma:contentTypeScope="" ma:versionID="25f7510df0090e30a2022fb881aee0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315AB1-6CA8-460F-9B63-2CED14C2DC97}">
  <ds:schemaRefs>
    <ds:schemaRef ds:uri="http://schemas.microsoft.com/sharepoint/v3/contenttype/forms"/>
  </ds:schemaRefs>
</ds:datastoreItem>
</file>

<file path=customXml/itemProps2.xml><?xml version="1.0" encoding="utf-8"?>
<ds:datastoreItem xmlns:ds="http://schemas.openxmlformats.org/officeDocument/2006/customXml" ds:itemID="{BD45DF1D-0F00-49ED-ACD4-BE19CC8792C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56038A5-99D9-4BBE-80B6-2CC4A4B5B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CF6EC84B.dotm</Template>
  <TotalTime>0</TotalTime>
  <Pages>23</Pages>
  <Words>9607</Words>
  <Characters>50481</Characters>
  <Application>Microsoft Office Word</Application>
  <DocSecurity>4</DocSecurity>
  <Lines>860</Lines>
  <Paragraphs>335</Paragraphs>
  <ScaleCrop>false</ScaleCrop>
  <HeadingPairs>
    <vt:vector size="2" baseType="variant">
      <vt:variant>
        <vt:lpstr>Title</vt:lpstr>
      </vt:variant>
      <vt:variant>
        <vt:i4>1</vt:i4>
      </vt:variant>
    </vt:vector>
  </HeadingPairs>
  <TitlesOfParts>
    <vt:vector size="1" baseType="lpstr">
      <vt:lpstr>Attachment C Replacement ES BSA Transmitter Access Regulations 2019.docx</vt:lpstr>
    </vt:vector>
  </TitlesOfParts>
  <Company>Department of Communications</Company>
  <LinksUpToDate>false</LinksUpToDate>
  <CharactersWithSpaces>59998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Replacement ES BSA Transmitter Access Regulations 2019.docx</dc:title>
  <dc:subject/>
  <dc:creator>Shaw, Katherine</dc:creator>
  <cp:keywords/>
  <dc:description/>
  <cp:lastModifiedBy>Scavone, Vivienne</cp:lastModifiedBy>
  <cp:revision>2</cp:revision>
  <cp:lastPrinted>2018-11-14T03:29:00Z</cp:lastPrinted>
  <dcterms:created xsi:type="dcterms:W3CDTF">2020-02-13T02:54:00Z</dcterms:created>
  <dcterms:modified xsi:type="dcterms:W3CDTF">2020-02-13T02:54:00Z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0x01010029D2AC0D1E1CD745AE2EA111D9A90A20</vt:lpwstr>
  </property>
  <property fmtid="{D5CDD505-2E9C-101B-9397-08002B2CF9AE}" pid="3" name="TrimRevisionNumber">
    <vt:i4>1</vt:i4>
  </property>
</Properties>
</file>