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6B1B4" w14:textId="3CAA6312" w:rsidR="00D05DCA" w:rsidRPr="005F2807" w:rsidRDefault="00CF3D1F" w:rsidP="00EB4A39">
      <w:pPr>
        <w:pStyle w:val="Heading1"/>
        <w:spacing w:before="120" w:after="120" w:line="240" w:lineRule="auto"/>
        <w:rPr>
          <w:bCs/>
          <w:i/>
        </w:rPr>
      </w:pPr>
      <w:bookmarkStart w:id="0" w:name="_GoBack"/>
      <w:bookmarkEnd w:id="0"/>
      <w:r w:rsidRPr="00CF3D1F">
        <w:rPr>
          <w:bCs/>
          <w:i/>
          <w:lang w:val="en-GB"/>
        </w:rPr>
        <w:t>Legislation (Offshore Petroleum and Greenhouse Gas Storage Instruments) Sunset-altering Declaration 2019</w:t>
      </w:r>
      <w:r>
        <w:rPr>
          <w:bCs/>
          <w:i/>
          <w:lang w:val="en-GB"/>
        </w:rPr>
        <w:t xml:space="preserve"> </w:t>
      </w:r>
    </w:p>
    <w:p w14:paraId="116A3D29" w14:textId="2CAC0A5A" w:rsidR="00637B19" w:rsidRPr="007B5503" w:rsidRDefault="00637B19" w:rsidP="00EB4A39">
      <w:pPr>
        <w:pStyle w:val="Heading2"/>
        <w:spacing w:before="120" w:after="120" w:line="240" w:lineRule="auto"/>
        <w:jc w:val="center"/>
        <w:rPr>
          <w:rFonts w:ascii="Times New Roman" w:hAnsi="Times New Roman"/>
          <w:caps/>
          <w:sz w:val="28"/>
          <w:szCs w:val="28"/>
        </w:rPr>
      </w:pPr>
      <w:r w:rsidRPr="007B5503">
        <w:rPr>
          <w:rFonts w:ascii="Times New Roman" w:hAnsi="Times New Roman"/>
          <w:caps/>
          <w:sz w:val="28"/>
          <w:szCs w:val="28"/>
        </w:rPr>
        <w:t>EXPLANATORY STATEMENT</w:t>
      </w:r>
    </w:p>
    <w:p w14:paraId="0121832B" w14:textId="77777777" w:rsidR="006A06B8" w:rsidRPr="005F2807" w:rsidRDefault="005125E8" w:rsidP="00EB4A39">
      <w:pPr>
        <w:spacing w:before="120" w:after="120" w:line="240" w:lineRule="auto"/>
        <w:jc w:val="center"/>
        <w:rPr>
          <w:sz w:val="24"/>
          <w:szCs w:val="24"/>
        </w:rPr>
      </w:pPr>
      <w:r w:rsidRPr="005F2807">
        <w:rPr>
          <w:sz w:val="24"/>
          <w:szCs w:val="24"/>
        </w:rPr>
        <w:t>Issued by the Attorney</w:t>
      </w:r>
      <w:r w:rsidRPr="005F2807">
        <w:rPr>
          <w:sz w:val="24"/>
          <w:szCs w:val="24"/>
        </w:rPr>
        <w:noBreakHyphen/>
        <w:t>General in compliance with</w:t>
      </w:r>
    </w:p>
    <w:p w14:paraId="33B9148E" w14:textId="27C32EA9" w:rsidR="00637B19" w:rsidRPr="005F2807" w:rsidRDefault="005125E8" w:rsidP="00EB4A39">
      <w:pPr>
        <w:spacing w:before="120" w:after="120" w:line="240" w:lineRule="auto"/>
        <w:jc w:val="center"/>
        <w:rPr>
          <w:i/>
          <w:sz w:val="24"/>
          <w:szCs w:val="24"/>
        </w:rPr>
      </w:pPr>
      <w:r w:rsidRPr="005F2807">
        <w:rPr>
          <w:sz w:val="24"/>
          <w:szCs w:val="24"/>
        </w:rPr>
        <w:t xml:space="preserve">section 15G of the </w:t>
      </w:r>
      <w:r w:rsidRPr="005F2807">
        <w:rPr>
          <w:i/>
          <w:sz w:val="24"/>
          <w:szCs w:val="24"/>
        </w:rPr>
        <w:t>Legislation Act 2003</w:t>
      </w:r>
    </w:p>
    <w:p w14:paraId="5E564A13" w14:textId="77777777" w:rsidR="00637B19" w:rsidRPr="005F2807" w:rsidRDefault="00637B19" w:rsidP="00EB4A39">
      <w:pPr>
        <w:pBdr>
          <w:bottom w:val="single" w:sz="4" w:space="1" w:color="auto"/>
        </w:pBdr>
        <w:spacing w:before="120" w:after="120" w:line="240" w:lineRule="auto"/>
        <w:jc w:val="center"/>
      </w:pPr>
    </w:p>
    <w:p w14:paraId="2F64A77A" w14:textId="77777777" w:rsidR="00637B19" w:rsidRDefault="00637B19" w:rsidP="00A4125B">
      <w:pPr>
        <w:pStyle w:val="Heading2"/>
        <w:spacing w:before="0" w:line="276" w:lineRule="auto"/>
        <w:rPr>
          <w:rFonts w:ascii="Times New Roman" w:hAnsi="Times New Roman"/>
          <w:caps/>
          <w:sz w:val="22"/>
          <w:szCs w:val="22"/>
        </w:rPr>
      </w:pPr>
      <w:r w:rsidRPr="00A4125B">
        <w:rPr>
          <w:rFonts w:ascii="Times New Roman" w:hAnsi="Times New Roman"/>
          <w:caps/>
          <w:sz w:val="22"/>
          <w:szCs w:val="22"/>
        </w:rPr>
        <w:t>INTRODUCTION</w:t>
      </w:r>
    </w:p>
    <w:p w14:paraId="6E09C2D0" w14:textId="77777777" w:rsidR="00A4125B" w:rsidRPr="00A4125B" w:rsidRDefault="00A4125B" w:rsidP="00A4125B"/>
    <w:p w14:paraId="4379AE5D" w14:textId="58E37D27" w:rsidR="00637B19" w:rsidRDefault="00637B19" w:rsidP="00A4125B">
      <w:pPr>
        <w:spacing w:line="276" w:lineRule="auto"/>
        <w:rPr>
          <w:szCs w:val="22"/>
        </w:rPr>
      </w:pPr>
      <w:r w:rsidRPr="00A4125B">
        <w:rPr>
          <w:szCs w:val="22"/>
        </w:rPr>
        <w:t>Th</w:t>
      </w:r>
      <w:r w:rsidR="00D05DCA" w:rsidRPr="00A4125B">
        <w:rPr>
          <w:szCs w:val="22"/>
        </w:rPr>
        <w:t xml:space="preserve">e </w:t>
      </w:r>
      <w:r w:rsidR="00CF3D1F" w:rsidRPr="00A4125B">
        <w:rPr>
          <w:bCs/>
          <w:i/>
          <w:szCs w:val="22"/>
          <w:lang w:val="en-GB"/>
        </w:rPr>
        <w:t>Legislation (Offshore Petroleum and Greenhouse Gas Storage Instruments) Sunset-altering Declaration 2019</w:t>
      </w:r>
      <w:r w:rsidR="00D05DCA" w:rsidRPr="00A4125B">
        <w:rPr>
          <w:b/>
          <w:bCs/>
          <w:szCs w:val="22"/>
        </w:rPr>
        <w:t xml:space="preserve"> </w:t>
      </w:r>
      <w:r w:rsidR="009D0CD8" w:rsidRPr="00A4125B">
        <w:rPr>
          <w:szCs w:val="22"/>
        </w:rPr>
        <w:t>(the</w:t>
      </w:r>
      <w:r w:rsidR="00CF3D1F" w:rsidRPr="00A4125B">
        <w:rPr>
          <w:szCs w:val="22"/>
        </w:rPr>
        <w:t xml:space="preserve"> Declaration</w:t>
      </w:r>
      <w:r w:rsidR="009D0CD8" w:rsidRPr="00A4125B">
        <w:rPr>
          <w:szCs w:val="22"/>
        </w:rPr>
        <w:t xml:space="preserve">) </w:t>
      </w:r>
      <w:r w:rsidR="00A4069B" w:rsidRPr="00A4125B">
        <w:rPr>
          <w:szCs w:val="22"/>
        </w:rPr>
        <w:t>is</w:t>
      </w:r>
      <w:r w:rsidRPr="00A4125B">
        <w:rPr>
          <w:szCs w:val="22"/>
        </w:rPr>
        <w:t xml:space="preserve"> made under subsection 51A</w:t>
      </w:r>
      <w:r w:rsidR="00EE3F45" w:rsidRPr="00A4125B">
        <w:rPr>
          <w:szCs w:val="22"/>
        </w:rPr>
        <w:t>(1)</w:t>
      </w:r>
      <w:r w:rsidRPr="00A4125B">
        <w:rPr>
          <w:szCs w:val="22"/>
        </w:rPr>
        <w:t xml:space="preserve"> of the </w:t>
      </w:r>
      <w:r w:rsidR="00D3246B" w:rsidRPr="00A4125B">
        <w:rPr>
          <w:i/>
          <w:szCs w:val="22"/>
        </w:rPr>
        <w:t>Legislation</w:t>
      </w:r>
      <w:r w:rsidR="006651D4" w:rsidRPr="00A4125B">
        <w:rPr>
          <w:i/>
          <w:szCs w:val="22"/>
        </w:rPr>
        <w:t> </w:t>
      </w:r>
      <w:r w:rsidR="00D3246B" w:rsidRPr="00A4125B">
        <w:rPr>
          <w:i/>
          <w:szCs w:val="22"/>
        </w:rPr>
        <w:t>Act 2003</w:t>
      </w:r>
      <w:r w:rsidR="00A4069B" w:rsidRPr="00A4125B">
        <w:rPr>
          <w:szCs w:val="22"/>
        </w:rPr>
        <w:t>.</w:t>
      </w:r>
      <w:r w:rsidR="00D3246B" w:rsidRPr="00A4125B">
        <w:rPr>
          <w:i/>
          <w:szCs w:val="22"/>
        </w:rPr>
        <w:t xml:space="preserve"> </w:t>
      </w:r>
      <w:r w:rsidR="00105137" w:rsidRPr="00A4125B">
        <w:rPr>
          <w:szCs w:val="22"/>
        </w:rPr>
        <w:t>It</w:t>
      </w:r>
      <w:r w:rsidRPr="00A4125B">
        <w:rPr>
          <w:szCs w:val="22"/>
        </w:rPr>
        <w:t xml:space="preserve"> is a legislative in</w:t>
      </w:r>
      <w:r w:rsidR="00C453DE" w:rsidRPr="00A4125B">
        <w:rPr>
          <w:szCs w:val="22"/>
        </w:rPr>
        <w:t>strument for the purposes of the Legislation Act</w:t>
      </w:r>
      <w:r w:rsidR="009244E6" w:rsidRPr="00A4125B">
        <w:rPr>
          <w:szCs w:val="22"/>
        </w:rPr>
        <w:t xml:space="preserve"> and must be registered on the Federal Register of Legislation</w:t>
      </w:r>
      <w:r w:rsidR="009D0CD8" w:rsidRPr="00A4125B">
        <w:rPr>
          <w:szCs w:val="22"/>
        </w:rPr>
        <w:t xml:space="preserve">. </w:t>
      </w:r>
      <w:r w:rsidR="005F0D0F" w:rsidRPr="00A4125B">
        <w:rPr>
          <w:szCs w:val="22"/>
        </w:rPr>
        <w:t xml:space="preserve">The </w:t>
      </w:r>
      <w:r w:rsidR="00CF3D1F" w:rsidRPr="00A4125B">
        <w:rPr>
          <w:szCs w:val="22"/>
        </w:rPr>
        <w:t>Declaration</w:t>
      </w:r>
      <w:r w:rsidR="005F0D0F" w:rsidRPr="00A4125B" w:rsidDel="005F0D0F">
        <w:rPr>
          <w:szCs w:val="22"/>
        </w:rPr>
        <w:t xml:space="preserve"> </w:t>
      </w:r>
      <w:r w:rsidRPr="00A4125B">
        <w:rPr>
          <w:szCs w:val="22"/>
        </w:rPr>
        <w:t xml:space="preserve">is subject to the disallowance provisions of the </w:t>
      </w:r>
      <w:r w:rsidR="00A4125B">
        <w:rPr>
          <w:szCs w:val="22"/>
        </w:rPr>
        <w:t>Legislation </w:t>
      </w:r>
      <w:r w:rsidR="00882B43" w:rsidRPr="00A4125B">
        <w:rPr>
          <w:szCs w:val="22"/>
        </w:rPr>
        <w:t>Act</w:t>
      </w:r>
      <w:r w:rsidRPr="00A4125B">
        <w:rPr>
          <w:szCs w:val="22"/>
        </w:rPr>
        <w:t xml:space="preserve">. </w:t>
      </w:r>
    </w:p>
    <w:p w14:paraId="5FBD241A" w14:textId="77777777" w:rsidR="00A4125B" w:rsidRPr="00A4125B" w:rsidRDefault="00A4125B" w:rsidP="00A4125B">
      <w:pPr>
        <w:spacing w:line="276" w:lineRule="auto"/>
        <w:rPr>
          <w:bCs/>
          <w:i/>
          <w:szCs w:val="22"/>
          <w:lang w:val="en-GB"/>
        </w:rPr>
      </w:pPr>
    </w:p>
    <w:p w14:paraId="2E2304B9" w14:textId="77777777" w:rsidR="00637B19" w:rsidRDefault="00637B19" w:rsidP="00A4125B">
      <w:pPr>
        <w:pStyle w:val="Heading2"/>
        <w:spacing w:before="0" w:line="276" w:lineRule="auto"/>
        <w:rPr>
          <w:rFonts w:ascii="Times New Roman" w:hAnsi="Times New Roman"/>
          <w:caps/>
          <w:sz w:val="22"/>
          <w:szCs w:val="22"/>
        </w:rPr>
      </w:pPr>
      <w:r w:rsidRPr="00A4125B">
        <w:rPr>
          <w:rFonts w:ascii="Times New Roman" w:hAnsi="Times New Roman"/>
          <w:caps/>
          <w:sz w:val="22"/>
          <w:szCs w:val="22"/>
        </w:rPr>
        <w:t>OUTLINE</w:t>
      </w:r>
    </w:p>
    <w:p w14:paraId="2A453203" w14:textId="77777777" w:rsidR="00A4125B" w:rsidRPr="00A4125B" w:rsidRDefault="00A4125B" w:rsidP="00A4125B"/>
    <w:p w14:paraId="28FE170F" w14:textId="293FE122" w:rsidR="00437A94" w:rsidRDefault="00437A94" w:rsidP="00A4125B">
      <w:pPr>
        <w:spacing w:line="276" w:lineRule="auto"/>
        <w:rPr>
          <w:szCs w:val="22"/>
        </w:rPr>
      </w:pPr>
      <w:r w:rsidRPr="00A4125B">
        <w:rPr>
          <w:szCs w:val="22"/>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75CA80E3" w14:textId="77777777" w:rsidR="00A4125B" w:rsidRPr="00A4125B" w:rsidRDefault="00A4125B" w:rsidP="00A4125B">
      <w:pPr>
        <w:spacing w:line="276" w:lineRule="auto"/>
        <w:rPr>
          <w:szCs w:val="22"/>
        </w:rPr>
      </w:pPr>
    </w:p>
    <w:p w14:paraId="36C75E09" w14:textId="0149ACD3" w:rsidR="00437A94" w:rsidRPr="00A4125B" w:rsidRDefault="00437A94" w:rsidP="00A4125B">
      <w:pPr>
        <w:spacing w:line="276" w:lineRule="auto"/>
        <w:rPr>
          <w:szCs w:val="22"/>
        </w:rPr>
      </w:pPr>
      <w:r w:rsidRPr="00A4125B">
        <w:rPr>
          <w:szCs w:val="22"/>
        </w:rPr>
        <w:t>S</w:t>
      </w:r>
      <w:r w:rsidR="009D0CD8" w:rsidRPr="00A4125B">
        <w:rPr>
          <w:szCs w:val="22"/>
        </w:rPr>
        <w:t>ubs</w:t>
      </w:r>
      <w:r w:rsidRPr="00A4125B">
        <w:rPr>
          <w:szCs w:val="22"/>
        </w:rPr>
        <w:t>ection 50</w:t>
      </w:r>
      <w:r w:rsidR="009D0CD8" w:rsidRPr="00A4125B">
        <w:rPr>
          <w:szCs w:val="22"/>
        </w:rPr>
        <w:t>(1)</w:t>
      </w:r>
      <w:r w:rsidRPr="00A4125B">
        <w:rPr>
          <w:szCs w:val="22"/>
        </w:rPr>
        <w:t xml:space="preserve"> of the Legislation Act provides that a legislative instrument is automatically repealed on the 1 April or 1 October immediately on or following the tenth anniversary of its registration, unless it was registered on 1 January 2005. Legislative instruments registered on 1</w:t>
      </w:r>
      <w:r w:rsidR="009F293D" w:rsidRPr="00A4125B">
        <w:rPr>
          <w:szCs w:val="22"/>
        </w:rPr>
        <w:t> </w:t>
      </w:r>
      <w:r w:rsidRPr="00A4125B">
        <w:rPr>
          <w:szCs w:val="22"/>
        </w:rPr>
        <w:t>January 2005 are subject to the staggered sunsetting timetable set out in subsection 50(2) of the Legislation Act.</w:t>
      </w:r>
      <w:r w:rsidR="009A3D79" w:rsidRPr="00A4125B">
        <w:rPr>
          <w:szCs w:val="22"/>
        </w:rPr>
        <w:t xml:space="preserve"> </w:t>
      </w:r>
    </w:p>
    <w:p w14:paraId="1ABA04B3" w14:textId="77777777" w:rsidR="00A4125B" w:rsidRDefault="00A4125B" w:rsidP="00A4125B">
      <w:pPr>
        <w:spacing w:line="276" w:lineRule="auto"/>
        <w:rPr>
          <w:szCs w:val="22"/>
        </w:rPr>
      </w:pPr>
    </w:p>
    <w:p w14:paraId="0B2E8B17" w14:textId="12AC9318" w:rsidR="005650DD" w:rsidRPr="00A4125B" w:rsidRDefault="00437A94" w:rsidP="00A4125B">
      <w:pPr>
        <w:spacing w:line="276" w:lineRule="auto"/>
        <w:rPr>
          <w:szCs w:val="22"/>
        </w:rPr>
      </w:pPr>
      <w:r w:rsidRPr="00A4125B">
        <w:rPr>
          <w:szCs w:val="22"/>
        </w:rPr>
        <w:t>Under s</w:t>
      </w:r>
      <w:r w:rsidR="00512720" w:rsidRPr="00A4125B">
        <w:rPr>
          <w:szCs w:val="22"/>
        </w:rPr>
        <w:t>ubsection</w:t>
      </w:r>
      <w:r w:rsidR="00637B19" w:rsidRPr="00A4125B">
        <w:rPr>
          <w:szCs w:val="22"/>
        </w:rPr>
        <w:t> 51A</w:t>
      </w:r>
      <w:r w:rsidR="00512720" w:rsidRPr="00A4125B">
        <w:rPr>
          <w:szCs w:val="22"/>
        </w:rPr>
        <w:t>(1)</w:t>
      </w:r>
      <w:r w:rsidR="00105137" w:rsidRPr="00A4125B">
        <w:rPr>
          <w:szCs w:val="22"/>
        </w:rPr>
        <w:t xml:space="preserve"> of the Legislation Act</w:t>
      </w:r>
      <w:r w:rsidR="00DA43D4" w:rsidRPr="00A4125B">
        <w:rPr>
          <w:szCs w:val="22"/>
        </w:rPr>
        <w:t>,</w:t>
      </w:r>
      <w:r w:rsidR="00637B19" w:rsidRPr="00A4125B">
        <w:rPr>
          <w:szCs w:val="22"/>
        </w:rPr>
        <w:t xml:space="preserve"> the Attorney-General </w:t>
      </w:r>
      <w:r w:rsidRPr="00A4125B">
        <w:rPr>
          <w:szCs w:val="22"/>
        </w:rPr>
        <w:t>can</w:t>
      </w:r>
      <w:r w:rsidR="00637B19" w:rsidRPr="00A4125B">
        <w:rPr>
          <w:szCs w:val="22"/>
        </w:rPr>
        <w:t xml:space="preserve"> </w:t>
      </w:r>
      <w:r w:rsidR="006A06B8" w:rsidRPr="00A4125B">
        <w:rPr>
          <w:szCs w:val="22"/>
        </w:rPr>
        <w:t xml:space="preserve">issue a declaration aligning the sunsetting days of </w:t>
      </w:r>
      <w:r w:rsidR="00637B19" w:rsidRPr="00A4125B">
        <w:rPr>
          <w:szCs w:val="22"/>
        </w:rPr>
        <w:t>two or more instruments</w:t>
      </w:r>
      <w:r w:rsidR="006A06B8" w:rsidRPr="00A4125B">
        <w:rPr>
          <w:szCs w:val="22"/>
        </w:rPr>
        <w:t xml:space="preserve"> to 1 April or 1 October of a year that is up to five years later</w:t>
      </w:r>
      <w:r w:rsidR="00C92B98" w:rsidRPr="00A4125B">
        <w:rPr>
          <w:szCs w:val="22"/>
        </w:rPr>
        <w:t xml:space="preserve"> than</w:t>
      </w:r>
      <w:r w:rsidR="00F94212" w:rsidRPr="00A4125B">
        <w:rPr>
          <w:szCs w:val="22"/>
        </w:rPr>
        <w:t xml:space="preserve"> the earliest sunsetting day</w:t>
      </w:r>
      <w:r w:rsidR="00637B19" w:rsidRPr="00A4125B">
        <w:rPr>
          <w:szCs w:val="22"/>
        </w:rPr>
        <w:t xml:space="preserve">. The instruments will then </w:t>
      </w:r>
      <w:r w:rsidR="00EC573C" w:rsidRPr="00A4125B">
        <w:rPr>
          <w:szCs w:val="22"/>
        </w:rPr>
        <w:t xml:space="preserve">be repealed </w:t>
      </w:r>
      <w:r w:rsidR="00637B19" w:rsidRPr="00A4125B">
        <w:rPr>
          <w:szCs w:val="22"/>
        </w:rPr>
        <w:t xml:space="preserve">on the day specified in the declaration instead of the </w:t>
      </w:r>
      <w:r w:rsidR="00CC38C8" w:rsidRPr="00A4125B">
        <w:rPr>
          <w:szCs w:val="22"/>
        </w:rPr>
        <w:t xml:space="preserve">previously </w:t>
      </w:r>
      <w:r w:rsidR="00637B19" w:rsidRPr="00A4125B">
        <w:rPr>
          <w:szCs w:val="22"/>
        </w:rPr>
        <w:t xml:space="preserve">scheduled sunsetting day of each instrument. </w:t>
      </w:r>
      <w:r w:rsidR="005F6EF9" w:rsidRPr="00A4125B">
        <w:rPr>
          <w:szCs w:val="22"/>
        </w:rPr>
        <w:t xml:space="preserve">This </w:t>
      </w:r>
      <w:r w:rsidR="00637B19" w:rsidRPr="00A4125B">
        <w:rPr>
          <w:szCs w:val="22"/>
        </w:rPr>
        <w:t>allows instruments to continue to be in force for a further but limited period of time w</w:t>
      </w:r>
      <w:r w:rsidR="005E7489" w:rsidRPr="00A4125B">
        <w:rPr>
          <w:szCs w:val="22"/>
        </w:rPr>
        <w:t>hen they would otherwise sunset,</w:t>
      </w:r>
      <w:r w:rsidR="00637B19" w:rsidRPr="00A4125B">
        <w:rPr>
          <w:szCs w:val="22"/>
        </w:rPr>
        <w:t xml:space="preserve"> or to sunset earlier than the originally scheduled sunsetting day.</w:t>
      </w:r>
    </w:p>
    <w:p w14:paraId="77ABBF1E" w14:textId="77777777" w:rsidR="00A4125B" w:rsidRDefault="00A4125B" w:rsidP="00A4125B">
      <w:pPr>
        <w:spacing w:line="276" w:lineRule="auto"/>
        <w:rPr>
          <w:szCs w:val="22"/>
        </w:rPr>
      </w:pPr>
    </w:p>
    <w:p w14:paraId="6679956A" w14:textId="3AD09CD5" w:rsidR="00637B19" w:rsidRPr="00A4125B" w:rsidRDefault="00F94212" w:rsidP="00A4125B">
      <w:pPr>
        <w:spacing w:line="276" w:lineRule="auto"/>
        <w:rPr>
          <w:szCs w:val="22"/>
        </w:rPr>
      </w:pPr>
      <w:r w:rsidRPr="00A4125B">
        <w:rPr>
          <w:szCs w:val="22"/>
        </w:rPr>
        <w:t xml:space="preserve">The objective of issuing </w:t>
      </w:r>
      <w:r w:rsidR="00D36727" w:rsidRPr="00A4125B">
        <w:rPr>
          <w:szCs w:val="22"/>
        </w:rPr>
        <w:t>a</w:t>
      </w:r>
      <w:r w:rsidRPr="00A4125B">
        <w:rPr>
          <w:szCs w:val="22"/>
        </w:rPr>
        <w:t xml:space="preserve"> sunset altering</w:t>
      </w:r>
      <w:r w:rsidR="00EB20D4" w:rsidRPr="00A4125B">
        <w:rPr>
          <w:szCs w:val="22"/>
        </w:rPr>
        <w:t>-</w:t>
      </w:r>
      <w:r w:rsidRPr="00A4125B">
        <w:rPr>
          <w:szCs w:val="22"/>
        </w:rPr>
        <w:t xml:space="preserve">declaration is </w:t>
      </w:r>
      <w:r w:rsidR="00637B19" w:rsidRPr="00A4125B">
        <w:rPr>
          <w:szCs w:val="22"/>
        </w:rPr>
        <w:t xml:space="preserve">to </w:t>
      </w:r>
      <w:r w:rsidR="003939FB" w:rsidRPr="00A4125B">
        <w:rPr>
          <w:szCs w:val="22"/>
        </w:rPr>
        <w:t xml:space="preserve">facilitate </w:t>
      </w:r>
      <w:r w:rsidR="00C453DE" w:rsidRPr="00A4125B">
        <w:rPr>
          <w:szCs w:val="22"/>
        </w:rPr>
        <w:t xml:space="preserve">either: </w:t>
      </w:r>
      <w:r w:rsidRPr="00A4125B">
        <w:rPr>
          <w:szCs w:val="22"/>
        </w:rPr>
        <w:t xml:space="preserve">the undertaking of a </w:t>
      </w:r>
      <w:r w:rsidR="00C453DE" w:rsidRPr="00A4125B">
        <w:rPr>
          <w:szCs w:val="22"/>
        </w:rPr>
        <w:t>single review into the fitness-for-purpose of two or more</w:t>
      </w:r>
      <w:r w:rsidR="00CC38C8" w:rsidRPr="00A4125B">
        <w:rPr>
          <w:szCs w:val="22"/>
        </w:rPr>
        <w:t xml:space="preserve"> thematically related legislative</w:t>
      </w:r>
      <w:r w:rsidR="00C453DE" w:rsidRPr="00A4125B">
        <w:rPr>
          <w:szCs w:val="22"/>
        </w:rPr>
        <w:t xml:space="preserve"> instruments</w:t>
      </w:r>
      <w:r w:rsidR="005650DD" w:rsidRPr="00A4125B">
        <w:rPr>
          <w:szCs w:val="22"/>
        </w:rPr>
        <w:t>;</w:t>
      </w:r>
      <w:r w:rsidR="00C453DE" w:rsidRPr="00A4125B">
        <w:rPr>
          <w:szCs w:val="22"/>
        </w:rPr>
        <w:t xml:space="preserve"> or the implementation of </w:t>
      </w:r>
      <w:r w:rsidR="00CC38C8" w:rsidRPr="00A4125B">
        <w:rPr>
          <w:szCs w:val="22"/>
        </w:rPr>
        <w:t xml:space="preserve">such a </w:t>
      </w:r>
      <w:r w:rsidR="00C453DE" w:rsidRPr="00A4125B">
        <w:rPr>
          <w:szCs w:val="22"/>
        </w:rPr>
        <w:t>review’s</w:t>
      </w:r>
      <w:r w:rsidRPr="00A4125B">
        <w:rPr>
          <w:szCs w:val="22"/>
        </w:rPr>
        <w:t xml:space="preserve"> findings. </w:t>
      </w:r>
      <w:r w:rsidR="00637B19" w:rsidRPr="00A4125B">
        <w:rPr>
          <w:szCs w:val="22"/>
        </w:rPr>
        <w:t xml:space="preserve">This </w:t>
      </w:r>
      <w:r w:rsidR="00E75700" w:rsidRPr="00A4125B">
        <w:rPr>
          <w:szCs w:val="22"/>
        </w:rPr>
        <w:t xml:space="preserve">reduces </w:t>
      </w:r>
      <w:r w:rsidR="00637B19" w:rsidRPr="00A4125B">
        <w:rPr>
          <w:szCs w:val="22"/>
        </w:rPr>
        <w:t xml:space="preserve">the administrative burden as well as </w:t>
      </w:r>
      <w:r w:rsidR="00CC38C8" w:rsidRPr="00A4125B">
        <w:rPr>
          <w:szCs w:val="22"/>
        </w:rPr>
        <w:t xml:space="preserve">the possibility of </w:t>
      </w:r>
      <w:r w:rsidR="00637B19" w:rsidRPr="00A4125B">
        <w:rPr>
          <w:szCs w:val="22"/>
        </w:rPr>
        <w:t xml:space="preserve">legislative inconsistencies </w:t>
      </w:r>
      <w:r w:rsidR="00CC38C8" w:rsidRPr="00A4125B">
        <w:rPr>
          <w:szCs w:val="22"/>
        </w:rPr>
        <w:t xml:space="preserve">arising </w:t>
      </w:r>
      <w:r w:rsidR="00637B19" w:rsidRPr="00A4125B">
        <w:rPr>
          <w:szCs w:val="22"/>
        </w:rPr>
        <w:t xml:space="preserve">from </w:t>
      </w:r>
      <w:r w:rsidR="002B1F17" w:rsidRPr="00A4125B">
        <w:rPr>
          <w:szCs w:val="22"/>
        </w:rPr>
        <w:t xml:space="preserve">reviewing and remaking </w:t>
      </w:r>
      <w:r w:rsidR="00637B19" w:rsidRPr="00A4125B">
        <w:rPr>
          <w:szCs w:val="22"/>
        </w:rPr>
        <w:t xml:space="preserve">related legislation at different times. </w:t>
      </w:r>
    </w:p>
    <w:p w14:paraId="366E34B5" w14:textId="77777777" w:rsidR="00A4125B" w:rsidRDefault="00A4125B" w:rsidP="00A4125B">
      <w:pPr>
        <w:spacing w:line="276" w:lineRule="auto"/>
        <w:rPr>
          <w:szCs w:val="22"/>
        </w:rPr>
      </w:pPr>
    </w:p>
    <w:p w14:paraId="57CA95AB" w14:textId="4216EC5F" w:rsidR="00DA43D4" w:rsidRPr="00A4125B" w:rsidRDefault="00F10D05" w:rsidP="00A4125B">
      <w:pPr>
        <w:spacing w:line="276" w:lineRule="auto"/>
        <w:rPr>
          <w:szCs w:val="22"/>
        </w:rPr>
      </w:pPr>
      <w:r w:rsidRPr="00A4125B">
        <w:rPr>
          <w:szCs w:val="22"/>
        </w:rPr>
        <w:t xml:space="preserve">The </w:t>
      </w:r>
      <w:r w:rsidR="00CF3D1F" w:rsidRPr="00A4125B">
        <w:rPr>
          <w:szCs w:val="22"/>
        </w:rPr>
        <w:t>Declaration</w:t>
      </w:r>
      <w:r w:rsidRPr="00A4125B">
        <w:rPr>
          <w:szCs w:val="22"/>
        </w:rPr>
        <w:t xml:space="preserve"> aligns the sunsetting dates of the</w:t>
      </w:r>
      <w:r w:rsidR="00DA43D4" w:rsidRPr="00A4125B">
        <w:rPr>
          <w:szCs w:val="22"/>
        </w:rPr>
        <w:t xml:space="preserve"> following </w:t>
      </w:r>
      <w:r w:rsidR="00276A08" w:rsidRPr="00A4125B">
        <w:rPr>
          <w:szCs w:val="22"/>
        </w:rPr>
        <w:t>five</w:t>
      </w:r>
      <w:r w:rsidR="00DA43D4" w:rsidRPr="00A4125B">
        <w:rPr>
          <w:szCs w:val="22"/>
        </w:rPr>
        <w:t xml:space="preserve"> instruments </w:t>
      </w:r>
      <w:r w:rsidR="00CC38C8" w:rsidRPr="00A4125B">
        <w:rPr>
          <w:szCs w:val="22"/>
        </w:rPr>
        <w:t xml:space="preserve">(together, the </w:t>
      </w:r>
      <w:r w:rsidR="00276A08" w:rsidRPr="00A4125B">
        <w:rPr>
          <w:szCs w:val="22"/>
        </w:rPr>
        <w:t>OPGGS Regulations</w:t>
      </w:r>
      <w:r w:rsidR="00CC38C8" w:rsidRPr="00A4125B">
        <w:rPr>
          <w:szCs w:val="22"/>
        </w:rPr>
        <w:t xml:space="preserve">) </w:t>
      </w:r>
      <w:r w:rsidR="00DA43D4" w:rsidRPr="00A4125B">
        <w:rPr>
          <w:szCs w:val="22"/>
        </w:rPr>
        <w:t xml:space="preserve">to be </w:t>
      </w:r>
      <w:r w:rsidR="00480A5F" w:rsidRPr="00A4125B">
        <w:rPr>
          <w:szCs w:val="22"/>
        </w:rPr>
        <w:t>1 </w:t>
      </w:r>
      <w:r w:rsidR="00280D05" w:rsidRPr="00A4125B">
        <w:rPr>
          <w:szCs w:val="22"/>
        </w:rPr>
        <w:t>April 2024</w:t>
      </w:r>
      <w:r w:rsidR="00DA43D4" w:rsidRPr="00A4125B">
        <w:rPr>
          <w:szCs w:val="22"/>
        </w:rPr>
        <w:t>:</w:t>
      </w:r>
      <w:r w:rsidR="00056BE1" w:rsidRPr="00A4125B">
        <w:rPr>
          <w:szCs w:val="22"/>
        </w:rPr>
        <w:t xml:space="preserve"> </w:t>
      </w:r>
    </w:p>
    <w:p w14:paraId="7BF7A058" w14:textId="43653D46" w:rsidR="00DA43D4" w:rsidRPr="00A4125B" w:rsidRDefault="00276A08" w:rsidP="00C041A9">
      <w:pPr>
        <w:pStyle w:val="Celltext"/>
        <w:numPr>
          <w:ilvl w:val="0"/>
          <w:numId w:val="9"/>
        </w:numPr>
        <w:spacing w:before="0" w:line="276" w:lineRule="auto"/>
        <w:rPr>
          <w:i/>
          <w:sz w:val="22"/>
          <w:szCs w:val="22"/>
        </w:rPr>
      </w:pPr>
      <w:r w:rsidRPr="00A4125B">
        <w:rPr>
          <w:i/>
          <w:sz w:val="22"/>
          <w:szCs w:val="22"/>
        </w:rPr>
        <w:t>Offshore Petroleum and Greenhouse Gas Storage (Safety) Regulations 2009</w:t>
      </w:r>
      <w:r w:rsidR="00C041A9">
        <w:rPr>
          <w:sz w:val="22"/>
          <w:szCs w:val="22"/>
        </w:rPr>
        <w:t xml:space="preserve">, </w:t>
      </w:r>
    </w:p>
    <w:p w14:paraId="2FA34446" w14:textId="558C36F0" w:rsidR="00E27894" w:rsidRPr="00A4125B" w:rsidRDefault="00276A08" w:rsidP="00A4125B">
      <w:pPr>
        <w:pStyle w:val="Celltext"/>
        <w:numPr>
          <w:ilvl w:val="0"/>
          <w:numId w:val="9"/>
        </w:numPr>
        <w:spacing w:before="0" w:line="276" w:lineRule="auto"/>
        <w:ind w:left="714" w:hanging="357"/>
        <w:rPr>
          <w:i/>
          <w:sz w:val="22"/>
          <w:szCs w:val="22"/>
        </w:rPr>
      </w:pPr>
      <w:r w:rsidRPr="00A4125B">
        <w:rPr>
          <w:i/>
          <w:sz w:val="22"/>
          <w:szCs w:val="22"/>
        </w:rPr>
        <w:t>Offshore Petroleum and Greenhouse Gas Storage (Environment) Regulations 2009</w:t>
      </w:r>
    </w:p>
    <w:p w14:paraId="21DE058C" w14:textId="4721BEAE" w:rsidR="00276A08" w:rsidRPr="00A4125B" w:rsidRDefault="00276A08" w:rsidP="00A4125B">
      <w:pPr>
        <w:pStyle w:val="Celltext"/>
        <w:numPr>
          <w:ilvl w:val="0"/>
          <w:numId w:val="9"/>
        </w:numPr>
        <w:spacing w:before="0" w:line="276" w:lineRule="auto"/>
        <w:ind w:left="714" w:hanging="357"/>
        <w:rPr>
          <w:i/>
          <w:sz w:val="22"/>
          <w:szCs w:val="22"/>
        </w:rPr>
      </w:pPr>
      <w:r w:rsidRPr="00A4125B">
        <w:rPr>
          <w:i/>
          <w:sz w:val="22"/>
          <w:szCs w:val="22"/>
        </w:rPr>
        <w:lastRenderedPageBreak/>
        <w:t>Offshore Petroleum and G</w:t>
      </w:r>
      <w:r w:rsidR="00C703D9" w:rsidRPr="00A4125B">
        <w:rPr>
          <w:i/>
          <w:sz w:val="22"/>
          <w:szCs w:val="22"/>
        </w:rPr>
        <w:t>reenhouse Gas Storage (Resource</w:t>
      </w:r>
      <w:r w:rsidRPr="00A4125B">
        <w:rPr>
          <w:i/>
          <w:sz w:val="22"/>
          <w:szCs w:val="22"/>
        </w:rPr>
        <w:t xml:space="preserve"> Management and Administration) Regulations 2011</w:t>
      </w:r>
    </w:p>
    <w:p w14:paraId="06872872" w14:textId="02C94895" w:rsidR="00276A08" w:rsidRPr="00A4125B" w:rsidRDefault="00276A08" w:rsidP="00A4125B">
      <w:pPr>
        <w:pStyle w:val="Celltext"/>
        <w:numPr>
          <w:ilvl w:val="0"/>
          <w:numId w:val="9"/>
        </w:numPr>
        <w:spacing w:before="0" w:line="276" w:lineRule="auto"/>
        <w:ind w:left="714" w:hanging="357"/>
        <w:rPr>
          <w:i/>
          <w:sz w:val="22"/>
          <w:szCs w:val="22"/>
        </w:rPr>
      </w:pPr>
      <w:r w:rsidRPr="00A4125B">
        <w:rPr>
          <w:i/>
          <w:sz w:val="22"/>
          <w:szCs w:val="22"/>
        </w:rPr>
        <w:t>Offshore Petroleum and Greenhouse Gas Storage (Greenhouse Gas Injection and Storage) Regulations 2011</w:t>
      </w:r>
      <w:r w:rsidRPr="00A4125B">
        <w:rPr>
          <w:sz w:val="22"/>
          <w:szCs w:val="22"/>
        </w:rPr>
        <w:t>, and</w:t>
      </w:r>
    </w:p>
    <w:p w14:paraId="5C820366" w14:textId="1D34ED5C" w:rsidR="00276A08" w:rsidRPr="00A4125B" w:rsidRDefault="00276A08" w:rsidP="00A4125B">
      <w:pPr>
        <w:pStyle w:val="Celltext"/>
        <w:numPr>
          <w:ilvl w:val="0"/>
          <w:numId w:val="9"/>
        </w:numPr>
        <w:spacing w:before="0" w:line="276" w:lineRule="auto"/>
        <w:ind w:left="714" w:hanging="357"/>
        <w:rPr>
          <w:i/>
          <w:sz w:val="22"/>
          <w:szCs w:val="22"/>
        </w:rPr>
      </w:pPr>
      <w:r w:rsidRPr="00A4125B">
        <w:rPr>
          <w:i/>
          <w:sz w:val="22"/>
          <w:szCs w:val="22"/>
        </w:rPr>
        <w:t>Offshore Petroleum and Greenhouse Gas Storage (Regulatory Levies) Regulations 2004</w:t>
      </w:r>
    </w:p>
    <w:p w14:paraId="6AB0993E" w14:textId="77777777" w:rsidR="00A4125B" w:rsidRDefault="00A4125B" w:rsidP="00A4125B">
      <w:pPr>
        <w:spacing w:line="276" w:lineRule="auto"/>
        <w:rPr>
          <w:caps/>
          <w:szCs w:val="22"/>
        </w:rPr>
      </w:pPr>
    </w:p>
    <w:p w14:paraId="7FA22FD5" w14:textId="1C0E2B21" w:rsidR="005650DD" w:rsidRDefault="005650DD" w:rsidP="00A4125B">
      <w:pPr>
        <w:pStyle w:val="Heading3"/>
        <w:spacing w:before="0" w:line="276" w:lineRule="auto"/>
        <w:ind w:left="0" w:firstLine="0"/>
        <w:rPr>
          <w:rFonts w:ascii="Times New Roman" w:hAnsi="Times New Roman"/>
          <w:sz w:val="22"/>
          <w:szCs w:val="22"/>
        </w:rPr>
      </w:pPr>
      <w:r w:rsidRPr="00A4125B">
        <w:rPr>
          <w:rFonts w:ascii="Times New Roman" w:hAnsi="Times New Roman"/>
          <w:sz w:val="22"/>
          <w:szCs w:val="22"/>
        </w:rPr>
        <w:t>STATEMENT OF COMPATIBILITY WITH HUMAN RIGHTS</w:t>
      </w:r>
    </w:p>
    <w:p w14:paraId="4D74FCAC" w14:textId="77777777" w:rsidR="00A4125B" w:rsidRPr="00A4125B" w:rsidRDefault="00A4125B" w:rsidP="00A4125B"/>
    <w:p w14:paraId="0C120E2B" w14:textId="7A550381" w:rsidR="005650DD" w:rsidRDefault="005650DD" w:rsidP="00A4125B">
      <w:pPr>
        <w:spacing w:line="276" w:lineRule="auto"/>
        <w:rPr>
          <w:szCs w:val="22"/>
        </w:rPr>
      </w:pPr>
      <w:r w:rsidRPr="00A4125B">
        <w:rPr>
          <w:szCs w:val="22"/>
        </w:rPr>
        <w:t xml:space="preserve">The </w:t>
      </w:r>
      <w:r w:rsidR="00CF3D1F" w:rsidRPr="00A4125B">
        <w:rPr>
          <w:i/>
          <w:iCs/>
          <w:szCs w:val="22"/>
        </w:rPr>
        <w:t>Legislation (Offshore Petroleum and Greenhouse Gas Storage Instruments) Sunset-altering Declaration 2019</w:t>
      </w:r>
      <w:r w:rsidRPr="00A4125B">
        <w:rPr>
          <w:szCs w:val="22"/>
        </w:rPr>
        <w:t xml:space="preserve"> (the </w:t>
      </w:r>
      <w:r w:rsidR="00CF3D1F" w:rsidRPr="00A4125B">
        <w:rPr>
          <w:szCs w:val="22"/>
        </w:rPr>
        <w:t>Declaration</w:t>
      </w:r>
      <w:r w:rsidRPr="00A4125B">
        <w:rPr>
          <w:szCs w:val="22"/>
        </w:rPr>
        <w:t>)</w:t>
      </w:r>
      <w:r w:rsidRPr="00A4125B" w:rsidDel="0018149B">
        <w:rPr>
          <w:szCs w:val="22"/>
        </w:rPr>
        <w:t xml:space="preserve"> </w:t>
      </w:r>
      <w:r w:rsidRPr="00A4125B">
        <w:rPr>
          <w:szCs w:val="22"/>
        </w:rPr>
        <w:t xml:space="preserve">is compatible with human rights and freedoms recognised or declared in the international instruments listed in section 3 of the </w:t>
      </w:r>
      <w:r w:rsidRPr="00A4125B">
        <w:rPr>
          <w:i/>
          <w:szCs w:val="22"/>
        </w:rPr>
        <w:t xml:space="preserve">Human Rights (Parliamentary Scrutiny) Act 2011 </w:t>
      </w:r>
      <w:r w:rsidRPr="00A4125B">
        <w:rPr>
          <w:szCs w:val="22"/>
        </w:rPr>
        <w:t>(Human Rights Act).</w:t>
      </w:r>
    </w:p>
    <w:p w14:paraId="66993FE4" w14:textId="77777777" w:rsidR="00A4125B" w:rsidRPr="00A4125B" w:rsidRDefault="00A4125B" w:rsidP="00A4125B">
      <w:pPr>
        <w:spacing w:line="276" w:lineRule="auto"/>
        <w:rPr>
          <w:szCs w:val="22"/>
        </w:rPr>
      </w:pPr>
    </w:p>
    <w:p w14:paraId="2BB650FA" w14:textId="77777777" w:rsidR="005650DD" w:rsidRDefault="005650DD" w:rsidP="00A4125B">
      <w:pPr>
        <w:spacing w:line="276" w:lineRule="auto"/>
        <w:rPr>
          <w:i/>
          <w:szCs w:val="22"/>
        </w:rPr>
      </w:pPr>
      <w:r w:rsidRPr="00A4125B">
        <w:rPr>
          <w:i/>
          <w:szCs w:val="22"/>
        </w:rPr>
        <w:t xml:space="preserve">Overview of the Declaration </w:t>
      </w:r>
    </w:p>
    <w:p w14:paraId="0C4D59FF" w14:textId="45AC7E13" w:rsidR="005650DD" w:rsidRPr="00A4125B" w:rsidRDefault="005650DD" w:rsidP="00A4125B">
      <w:pPr>
        <w:spacing w:line="276" w:lineRule="auto"/>
        <w:rPr>
          <w:szCs w:val="22"/>
        </w:rPr>
      </w:pPr>
      <w:r w:rsidRPr="00A4125B">
        <w:rPr>
          <w:szCs w:val="22"/>
        </w:rPr>
        <w:t xml:space="preserve">The </w:t>
      </w:r>
      <w:r w:rsidR="00CF3D1F" w:rsidRPr="00A4125B">
        <w:rPr>
          <w:szCs w:val="22"/>
        </w:rPr>
        <w:t>Declaration</w:t>
      </w:r>
      <w:r w:rsidRPr="00A4125B">
        <w:rPr>
          <w:szCs w:val="22"/>
        </w:rPr>
        <w:t xml:space="preserve"> is made under subsection 51A(1) of the Legislation Act. Under that subsection, the Attorney-General can align the sunsetting days of two or more legislative instruments to 1 April or 1</w:t>
      </w:r>
      <w:r w:rsidR="00CF3D1F" w:rsidRPr="00A4125B">
        <w:rPr>
          <w:szCs w:val="22"/>
        </w:rPr>
        <w:t> </w:t>
      </w:r>
      <w:r w:rsidRPr="00A4125B">
        <w:rPr>
          <w:szCs w:val="22"/>
        </w:rPr>
        <w:t xml:space="preserve">October of a year that is up to five years later than the earliest sunsetting day. The instruments specified in the </w:t>
      </w:r>
      <w:r w:rsidR="00CF3D1F" w:rsidRPr="00A4125B">
        <w:rPr>
          <w:szCs w:val="22"/>
        </w:rPr>
        <w:t>d</w:t>
      </w:r>
      <w:r w:rsidRPr="00A4125B">
        <w:rPr>
          <w:szCs w:val="22"/>
        </w:rPr>
        <w:t xml:space="preserve">eclaration will then be repealed on the day specified in the declaration instead of the previously scheduled sunsetting day. The instruments specified in the </w:t>
      </w:r>
      <w:r w:rsidR="00CF3D1F" w:rsidRPr="00A4125B">
        <w:rPr>
          <w:szCs w:val="22"/>
        </w:rPr>
        <w:t>Declaration</w:t>
      </w:r>
      <w:r w:rsidR="004F1A69" w:rsidRPr="00A4125B">
        <w:rPr>
          <w:szCs w:val="22"/>
        </w:rPr>
        <w:t xml:space="preserve"> (together, the OPGGS Regulations)</w:t>
      </w:r>
      <w:r w:rsidRPr="00A4125B">
        <w:rPr>
          <w:szCs w:val="22"/>
        </w:rPr>
        <w:t xml:space="preserve"> are</w:t>
      </w:r>
      <w:r w:rsidR="00276A08" w:rsidRPr="00A4125B">
        <w:rPr>
          <w:szCs w:val="22"/>
        </w:rPr>
        <w:t xml:space="preserve"> the</w:t>
      </w:r>
      <w:r w:rsidRPr="00A4125B">
        <w:rPr>
          <w:szCs w:val="22"/>
        </w:rPr>
        <w:t>:</w:t>
      </w:r>
    </w:p>
    <w:p w14:paraId="078EC438" w14:textId="77777777" w:rsidR="00276A08" w:rsidRPr="00A4125B" w:rsidRDefault="00276A08" w:rsidP="00A61F5B">
      <w:pPr>
        <w:pStyle w:val="Celltext"/>
        <w:numPr>
          <w:ilvl w:val="0"/>
          <w:numId w:val="20"/>
        </w:numPr>
        <w:spacing w:before="0" w:line="276" w:lineRule="auto"/>
        <w:rPr>
          <w:i/>
          <w:sz w:val="22"/>
          <w:szCs w:val="22"/>
        </w:rPr>
      </w:pPr>
      <w:r w:rsidRPr="00A4125B">
        <w:rPr>
          <w:i/>
          <w:sz w:val="22"/>
          <w:szCs w:val="22"/>
        </w:rPr>
        <w:t>Offshore Petroleum and Greenhouse Gas Storage (Safety) Regulations 2009</w:t>
      </w:r>
    </w:p>
    <w:p w14:paraId="0B0A4C46" w14:textId="77777777" w:rsidR="00276A08" w:rsidRPr="00A4125B" w:rsidRDefault="00276A08" w:rsidP="00A61F5B">
      <w:pPr>
        <w:pStyle w:val="Celltext"/>
        <w:numPr>
          <w:ilvl w:val="0"/>
          <w:numId w:val="20"/>
        </w:numPr>
        <w:spacing w:before="0" w:line="276" w:lineRule="auto"/>
        <w:ind w:left="714" w:hanging="357"/>
        <w:rPr>
          <w:i/>
          <w:sz w:val="22"/>
          <w:szCs w:val="22"/>
        </w:rPr>
      </w:pPr>
      <w:r w:rsidRPr="00A4125B">
        <w:rPr>
          <w:i/>
          <w:sz w:val="22"/>
          <w:szCs w:val="22"/>
        </w:rPr>
        <w:t>Offshore Petroleum and Greenhouse Gas Storage (Environment) Regulations 2009</w:t>
      </w:r>
    </w:p>
    <w:p w14:paraId="251CC830" w14:textId="317D1AC1" w:rsidR="00276A08" w:rsidRPr="00A4125B" w:rsidRDefault="00276A08" w:rsidP="00A61F5B">
      <w:pPr>
        <w:pStyle w:val="Celltext"/>
        <w:numPr>
          <w:ilvl w:val="0"/>
          <w:numId w:val="20"/>
        </w:numPr>
        <w:spacing w:before="0" w:line="276" w:lineRule="auto"/>
        <w:ind w:left="714" w:hanging="357"/>
        <w:rPr>
          <w:i/>
          <w:sz w:val="22"/>
          <w:szCs w:val="22"/>
        </w:rPr>
      </w:pPr>
      <w:r w:rsidRPr="00A4125B">
        <w:rPr>
          <w:i/>
          <w:sz w:val="22"/>
          <w:szCs w:val="22"/>
        </w:rPr>
        <w:t>Offshore Petroleum and G</w:t>
      </w:r>
      <w:r w:rsidR="00C703D9" w:rsidRPr="00A4125B">
        <w:rPr>
          <w:i/>
          <w:sz w:val="22"/>
          <w:szCs w:val="22"/>
        </w:rPr>
        <w:t>reenhouse Gas Storage (Resource</w:t>
      </w:r>
      <w:r w:rsidRPr="00A4125B">
        <w:rPr>
          <w:i/>
          <w:sz w:val="22"/>
          <w:szCs w:val="22"/>
        </w:rPr>
        <w:t xml:space="preserve"> Management and Administration) Regulations 2011</w:t>
      </w:r>
    </w:p>
    <w:p w14:paraId="34EE5652" w14:textId="77777777" w:rsidR="00276A08" w:rsidRPr="00A4125B" w:rsidRDefault="00276A08" w:rsidP="00A61F5B">
      <w:pPr>
        <w:pStyle w:val="Celltext"/>
        <w:numPr>
          <w:ilvl w:val="0"/>
          <w:numId w:val="20"/>
        </w:numPr>
        <w:spacing w:before="0" w:line="276" w:lineRule="auto"/>
        <w:ind w:left="714" w:hanging="357"/>
        <w:rPr>
          <w:i/>
          <w:sz w:val="22"/>
          <w:szCs w:val="22"/>
        </w:rPr>
      </w:pPr>
      <w:r w:rsidRPr="00A4125B">
        <w:rPr>
          <w:i/>
          <w:sz w:val="22"/>
          <w:szCs w:val="22"/>
        </w:rPr>
        <w:t>Offshore Petroleum and Greenhouse Gas Storage (Greenhouse Gas Injection and Storage) Regulations 2011, and</w:t>
      </w:r>
    </w:p>
    <w:p w14:paraId="5C5D5791" w14:textId="5C8524C3" w:rsidR="00276A08" w:rsidRPr="00A4125B" w:rsidRDefault="00276A08" w:rsidP="00A61F5B">
      <w:pPr>
        <w:pStyle w:val="Celltext"/>
        <w:numPr>
          <w:ilvl w:val="0"/>
          <w:numId w:val="20"/>
        </w:numPr>
        <w:spacing w:before="0" w:line="276" w:lineRule="auto"/>
        <w:ind w:left="714" w:hanging="357"/>
        <w:rPr>
          <w:i/>
          <w:sz w:val="22"/>
          <w:szCs w:val="22"/>
        </w:rPr>
      </w:pPr>
      <w:r w:rsidRPr="00A4125B">
        <w:rPr>
          <w:i/>
          <w:sz w:val="22"/>
          <w:szCs w:val="22"/>
        </w:rPr>
        <w:t>Offshore Petroleum and Greenhouse Gas Storage (Regulatory Levies) Regulations 2004</w:t>
      </w:r>
      <w:r w:rsidR="004F1A69" w:rsidRPr="00A4125B">
        <w:rPr>
          <w:sz w:val="22"/>
          <w:szCs w:val="22"/>
        </w:rPr>
        <w:t>.</w:t>
      </w:r>
    </w:p>
    <w:p w14:paraId="4D8E6D8E" w14:textId="77777777" w:rsidR="00A4125B" w:rsidRDefault="00A4125B" w:rsidP="00A4125B">
      <w:pPr>
        <w:spacing w:line="276" w:lineRule="auto"/>
        <w:rPr>
          <w:szCs w:val="22"/>
        </w:rPr>
      </w:pPr>
    </w:p>
    <w:p w14:paraId="78F744DA" w14:textId="5E6AAD1D" w:rsidR="005650DD" w:rsidRDefault="005650DD" w:rsidP="00A4125B">
      <w:pPr>
        <w:spacing w:line="276" w:lineRule="auto"/>
        <w:rPr>
          <w:szCs w:val="22"/>
        </w:rPr>
      </w:pPr>
      <w:r w:rsidRPr="00A4125B">
        <w:rPr>
          <w:szCs w:val="22"/>
        </w:rPr>
        <w:t xml:space="preserve">The </w:t>
      </w:r>
      <w:r w:rsidR="00CF3D1F" w:rsidRPr="00A4125B">
        <w:rPr>
          <w:szCs w:val="22"/>
        </w:rPr>
        <w:t>Declaration</w:t>
      </w:r>
      <w:r w:rsidRPr="00A4125B">
        <w:rPr>
          <w:szCs w:val="22"/>
        </w:rPr>
        <w:t xml:space="preserve"> aligns the sunsetting dates of </w:t>
      </w:r>
      <w:r w:rsidR="004F1A69" w:rsidRPr="00A4125B">
        <w:rPr>
          <w:szCs w:val="22"/>
        </w:rPr>
        <w:t xml:space="preserve">the OPGGS Regulations </w:t>
      </w:r>
      <w:r w:rsidRPr="00A4125B">
        <w:rPr>
          <w:szCs w:val="22"/>
        </w:rPr>
        <w:t>to be 1 April </w:t>
      </w:r>
      <w:r w:rsidR="00280D05" w:rsidRPr="00A4125B">
        <w:rPr>
          <w:szCs w:val="22"/>
        </w:rPr>
        <w:t>2024</w:t>
      </w:r>
      <w:r w:rsidRPr="00A4125B">
        <w:rPr>
          <w:szCs w:val="22"/>
        </w:rPr>
        <w:t>. The objective of issuing the declaration is to facilitate the undertaking of a single thematic review into the</w:t>
      </w:r>
      <w:r w:rsidR="004F1A69" w:rsidRPr="00A4125B">
        <w:rPr>
          <w:szCs w:val="22"/>
        </w:rPr>
        <w:t>ir</w:t>
      </w:r>
      <w:r w:rsidRPr="00A4125B">
        <w:rPr>
          <w:szCs w:val="22"/>
        </w:rPr>
        <w:t xml:space="preserve"> fitness-for-purpose. This will reduce the administrative burden as well as the possibility of legislative inconsistencies arising from reviewing and remaking the related legislation independently at different times. </w:t>
      </w:r>
    </w:p>
    <w:p w14:paraId="4A4C9E85" w14:textId="77777777" w:rsidR="00A4125B" w:rsidRPr="00A4125B" w:rsidRDefault="00A4125B" w:rsidP="00A4125B">
      <w:pPr>
        <w:spacing w:line="276" w:lineRule="auto"/>
        <w:rPr>
          <w:szCs w:val="22"/>
        </w:rPr>
      </w:pPr>
    </w:p>
    <w:p w14:paraId="411957D5" w14:textId="77777777" w:rsidR="005650DD" w:rsidRDefault="005650DD" w:rsidP="00A4125B">
      <w:pPr>
        <w:spacing w:line="276" w:lineRule="auto"/>
        <w:rPr>
          <w:i/>
          <w:szCs w:val="22"/>
        </w:rPr>
      </w:pPr>
      <w:r w:rsidRPr="00A4125B">
        <w:rPr>
          <w:i/>
          <w:szCs w:val="22"/>
        </w:rPr>
        <w:t xml:space="preserve">Human Rights Implications </w:t>
      </w:r>
    </w:p>
    <w:p w14:paraId="044B4AF1" w14:textId="354290C7" w:rsidR="005650DD" w:rsidRPr="00A4125B" w:rsidRDefault="005650DD" w:rsidP="00A4125B">
      <w:pPr>
        <w:spacing w:line="276" w:lineRule="auto"/>
        <w:rPr>
          <w:szCs w:val="22"/>
        </w:rPr>
      </w:pPr>
      <w:r w:rsidRPr="00A4125B">
        <w:rPr>
          <w:szCs w:val="22"/>
        </w:rPr>
        <w:t xml:space="preserve">Before issuing the </w:t>
      </w:r>
      <w:r w:rsidR="00CF3D1F" w:rsidRPr="00A4125B">
        <w:rPr>
          <w:szCs w:val="22"/>
        </w:rPr>
        <w:t>Declaration</w:t>
      </w:r>
      <w:r w:rsidRPr="00A4125B">
        <w:rPr>
          <w:szCs w:val="22"/>
        </w:rPr>
        <w:t xml:space="preserve">, the Attorney-General was satisfied that all </w:t>
      </w:r>
      <w:r w:rsidR="00C703D9" w:rsidRPr="00A4125B">
        <w:rPr>
          <w:szCs w:val="22"/>
        </w:rPr>
        <w:t xml:space="preserve">of </w:t>
      </w:r>
      <w:r w:rsidR="004F1A69" w:rsidRPr="00A4125B">
        <w:rPr>
          <w:szCs w:val="22"/>
        </w:rPr>
        <w:t>the OPGGS Regulations</w:t>
      </w:r>
      <w:r w:rsidRPr="00A4125B">
        <w:rPr>
          <w:szCs w:val="22"/>
        </w:rPr>
        <w:t xml:space="preserve"> would be subject to a single thematic review. A thematic review is an effective mecha</w:t>
      </w:r>
      <w:r w:rsidR="004F1A69" w:rsidRPr="00A4125B">
        <w:rPr>
          <w:szCs w:val="22"/>
        </w:rPr>
        <w:t>nism for determining whether</w:t>
      </w:r>
      <w:r w:rsidRPr="00A4125B">
        <w:rPr>
          <w:szCs w:val="22"/>
        </w:rPr>
        <w:t xml:space="preserve"> instruments are fit for purpose, identifying opportunities to update, streamline </w:t>
      </w:r>
      <w:r w:rsidR="004F1A69" w:rsidRPr="00A4125B">
        <w:rPr>
          <w:szCs w:val="22"/>
        </w:rPr>
        <w:t>and clarify the operation of</w:t>
      </w:r>
      <w:r w:rsidRPr="00A4125B">
        <w:rPr>
          <w:szCs w:val="22"/>
        </w:rPr>
        <w:t xml:space="preserve"> instruments and, where appropriate, reducing unnecessary regulation. </w:t>
      </w:r>
    </w:p>
    <w:p w14:paraId="4C6DDD46" w14:textId="77777777" w:rsidR="00A4125B" w:rsidRDefault="00A4125B" w:rsidP="00A4125B">
      <w:pPr>
        <w:spacing w:line="276" w:lineRule="auto"/>
        <w:rPr>
          <w:szCs w:val="22"/>
        </w:rPr>
      </w:pPr>
    </w:p>
    <w:p w14:paraId="5786BABE" w14:textId="0C9ADD47" w:rsidR="005650DD" w:rsidRPr="00A4125B" w:rsidRDefault="005650DD" w:rsidP="00A4125B">
      <w:pPr>
        <w:spacing w:line="276" w:lineRule="auto"/>
        <w:rPr>
          <w:szCs w:val="22"/>
        </w:rPr>
      </w:pPr>
      <w:r w:rsidRPr="00A4125B">
        <w:rPr>
          <w:szCs w:val="22"/>
        </w:rPr>
        <w:t>The review of aligned instruments ca</w:t>
      </w:r>
      <w:r w:rsidR="004F1A69" w:rsidRPr="00A4125B">
        <w:rPr>
          <w:szCs w:val="22"/>
        </w:rPr>
        <w:t>n provide information on how those</w:t>
      </w:r>
      <w:r w:rsidRPr="00A4125B">
        <w:rPr>
          <w:szCs w:val="22"/>
        </w:rPr>
        <w:t xml:space="preserve"> instruments operate in the existing legal environment, including the impact of the instruments on human rights and freedoms. To avoid pre-empting that review, and with the expectation that any instruments remade as a consequence of the review will face future parliamentary scrutiny, the Statement of Compatibility with Human Rights for a sunset</w:t>
      </w:r>
      <w:r w:rsidRPr="00A4125B">
        <w:rPr>
          <w:szCs w:val="22"/>
        </w:rPr>
        <w:noBreakHyphen/>
        <w:t>altering declaration focuses on the effect of the aligning instrument, rather than the substantive effect of continuing the instruments that have been aligned.</w:t>
      </w:r>
    </w:p>
    <w:p w14:paraId="1E5F257E" w14:textId="77777777" w:rsidR="00A4125B" w:rsidRDefault="00A4125B" w:rsidP="00A4125B">
      <w:pPr>
        <w:spacing w:line="276" w:lineRule="auto"/>
        <w:rPr>
          <w:szCs w:val="22"/>
        </w:rPr>
      </w:pPr>
    </w:p>
    <w:p w14:paraId="66B6F7E4" w14:textId="0DC2B801" w:rsidR="005650DD" w:rsidRDefault="00CE74C4" w:rsidP="00A4125B">
      <w:pPr>
        <w:spacing w:line="276" w:lineRule="auto"/>
        <w:rPr>
          <w:szCs w:val="22"/>
        </w:rPr>
      </w:pPr>
      <w:r w:rsidRPr="00A4125B">
        <w:rPr>
          <w:szCs w:val="22"/>
        </w:rPr>
        <w:lastRenderedPageBreak/>
        <w:t xml:space="preserve">New instruments that are </w:t>
      </w:r>
      <w:r w:rsidR="005650DD" w:rsidRPr="00A4125B">
        <w:rPr>
          <w:szCs w:val="22"/>
        </w:rPr>
        <w:t xml:space="preserve">made subsequent to the proposed review will be subject to parliamentary scrutiny and oversight through the disallowance processes unless otherwise exempt. The human rights impact of the instruments will be individually assessed at that time, including through the requirement to prepare further Statements of Compatibility with Human Rights. </w:t>
      </w:r>
    </w:p>
    <w:p w14:paraId="5D7D1929" w14:textId="77777777" w:rsidR="00A4125B" w:rsidRDefault="00A4125B" w:rsidP="00A4125B">
      <w:pPr>
        <w:spacing w:line="276" w:lineRule="auto"/>
        <w:rPr>
          <w:szCs w:val="22"/>
        </w:rPr>
      </w:pPr>
    </w:p>
    <w:p w14:paraId="1450E31C" w14:textId="473CCEBF" w:rsidR="005650DD" w:rsidRDefault="005650DD" w:rsidP="00A4125B">
      <w:pPr>
        <w:spacing w:line="276" w:lineRule="auto"/>
        <w:rPr>
          <w:i/>
          <w:szCs w:val="22"/>
        </w:rPr>
      </w:pPr>
      <w:r w:rsidRPr="00A4125B">
        <w:rPr>
          <w:i/>
          <w:szCs w:val="22"/>
        </w:rPr>
        <w:t>Conclusion</w:t>
      </w:r>
    </w:p>
    <w:p w14:paraId="59767FA7" w14:textId="220AE475" w:rsidR="005650DD" w:rsidRDefault="005650DD" w:rsidP="00A4125B">
      <w:pPr>
        <w:spacing w:line="276" w:lineRule="auto"/>
        <w:rPr>
          <w:szCs w:val="22"/>
        </w:rPr>
      </w:pPr>
      <w:r w:rsidRPr="00A4125B">
        <w:rPr>
          <w:szCs w:val="22"/>
        </w:rPr>
        <w:t xml:space="preserve">The </w:t>
      </w:r>
      <w:r w:rsidR="00CF3D1F" w:rsidRPr="00A4125B">
        <w:rPr>
          <w:szCs w:val="22"/>
        </w:rPr>
        <w:t>Declaration</w:t>
      </w:r>
      <w:r w:rsidRPr="00A4125B">
        <w:rPr>
          <w:szCs w:val="22"/>
        </w:rPr>
        <w:t xml:space="preserve"> is compatible with the human rights and freedoms recognised or declared in the international instruments listed in section 3 of the Human Rights Act as it is expected that any replacement instruments that unduly limit human rights and freedoms will be subject to parliamentary oversight and scrutiny. </w:t>
      </w:r>
    </w:p>
    <w:p w14:paraId="017ADC83" w14:textId="77777777" w:rsidR="001A1A39" w:rsidRPr="00A4125B" w:rsidRDefault="001A1A39" w:rsidP="00A4125B">
      <w:pPr>
        <w:spacing w:line="276" w:lineRule="auto"/>
        <w:rPr>
          <w:szCs w:val="22"/>
        </w:rPr>
      </w:pPr>
    </w:p>
    <w:p w14:paraId="6165E1C4" w14:textId="16EB2EDA" w:rsidR="00637B19" w:rsidRDefault="00637B19" w:rsidP="00A4125B">
      <w:pPr>
        <w:pStyle w:val="Heading2"/>
        <w:spacing w:before="0" w:line="276" w:lineRule="auto"/>
        <w:rPr>
          <w:rFonts w:ascii="Times New Roman" w:hAnsi="Times New Roman"/>
          <w:caps/>
          <w:sz w:val="22"/>
          <w:szCs w:val="22"/>
        </w:rPr>
      </w:pPr>
      <w:r w:rsidRPr="00A4125B">
        <w:rPr>
          <w:rFonts w:ascii="Times New Roman" w:hAnsi="Times New Roman"/>
          <w:caps/>
          <w:sz w:val="22"/>
          <w:szCs w:val="22"/>
        </w:rPr>
        <w:t xml:space="preserve">PROCESS BEFORE </w:t>
      </w:r>
      <w:r w:rsidR="004B1C89" w:rsidRPr="00A4125B">
        <w:rPr>
          <w:rFonts w:ascii="Times New Roman" w:hAnsi="Times New Roman"/>
          <w:caps/>
          <w:sz w:val="22"/>
          <w:szCs w:val="22"/>
        </w:rPr>
        <w:t xml:space="preserve">DECLARATION </w:t>
      </w:r>
      <w:r w:rsidRPr="00A4125B">
        <w:rPr>
          <w:rFonts w:ascii="Times New Roman" w:hAnsi="Times New Roman"/>
          <w:caps/>
          <w:sz w:val="22"/>
          <w:szCs w:val="22"/>
        </w:rPr>
        <w:t xml:space="preserve">WAS MADE </w:t>
      </w:r>
    </w:p>
    <w:p w14:paraId="6BBB5DFB" w14:textId="77777777" w:rsidR="00A4125B" w:rsidRPr="00A4125B" w:rsidRDefault="00A4125B" w:rsidP="00A4125B"/>
    <w:p w14:paraId="1C930960" w14:textId="77777777" w:rsidR="00637B19" w:rsidRDefault="00637B19" w:rsidP="00A4125B">
      <w:pPr>
        <w:pStyle w:val="Heading3"/>
        <w:spacing w:before="0" w:line="276" w:lineRule="auto"/>
        <w:rPr>
          <w:rFonts w:ascii="Times New Roman" w:hAnsi="Times New Roman"/>
          <w:sz w:val="22"/>
          <w:szCs w:val="22"/>
        </w:rPr>
      </w:pPr>
      <w:r w:rsidRPr="00A4125B">
        <w:rPr>
          <w:rFonts w:ascii="Times New Roman" w:hAnsi="Times New Roman"/>
          <w:sz w:val="22"/>
          <w:szCs w:val="22"/>
        </w:rPr>
        <w:t>Regulatory impact analysis</w:t>
      </w:r>
    </w:p>
    <w:p w14:paraId="13260819" w14:textId="77777777" w:rsidR="00A4125B" w:rsidRPr="00A4125B" w:rsidRDefault="00A4125B" w:rsidP="00A4125B"/>
    <w:p w14:paraId="4FDB744D" w14:textId="77777777" w:rsidR="00637B19" w:rsidRDefault="00637B19" w:rsidP="00A4125B">
      <w:pPr>
        <w:spacing w:line="276" w:lineRule="auto"/>
        <w:rPr>
          <w:szCs w:val="22"/>
        </w:rPr>
      </w:pPr>
      <w:r w:rsidRPr="00A4125B">
        <w:rPr>
          <w:szCs w:val="22"/>
        </w:rPr>
        <w:t xml:space="preserve">Sunset-altering declarations are machinery of government instruments, and are therefore not subject to the regulatory impact assessment requirements set out by the Office of Best Practice Regulation (OBPR). The OBPR reference for this standing exemption is ID 19486. </w:t>
      </w:r>
    </w:p>
    <w:p w14:paraId="6EDB903F" w14:textId="77777777" w:rsidR="00A4125B" w:rsidRPr="00A4125B" w:rsidRDefault="00A4125B" w:rsidP="00A4125B">
      <w:pPr>
        <w:spacing w:line="276" w:lineRule="auto"/>
        <w:rPr>
          <w:szCs w:val="22"/>
        </w:rPr>
      </w:pPr>
    </w:p>
    <w:p w14:paraId="1246A7E2" w14:textId="77777777" w:rsidR="00637B19" w:rsidRDefault="00637B19" w:rsidP="00A4125B">
      <w:pPr>
        <w:pStyle w:val="Heading3"/>
        <w:spacing w:before="0" w:line="276" w:lineRule="auto"/>
        <w:rPr>
          <w:rFonts w:ascii="Times New Roman" w:hAnsi="Times New Roman"/>
          <w:sz w:val="22"/>
          <w:szCs w:val="22"/>
        </w:rPr>
      </w:pPr>
      <w:r w:rsidRPr="00A4125B">
        <w:rPr>
          <w:rFonts w:ascii="Times New Roman" w:hAnsi="Times New Roman"/>
          <w:sz w:val="22"/>
          <w:szCs w:val="22"/>
        </w:rPr>
        <w:t xml:space="preserve">Consultation before making </w:t>
      </w:r>
    </w:p>
    <w:p w14:paraId="4CFB362D" w14:textId="77777777" w:rsidR="00A4125B" w:rsidRPr="00A4125B" w:rsidRDefault="00A4125B" w:rsidP="00A4125B"/>
    <w:p w14:paraId="4A1C5615" w14:textId="77777777" w:rsidR="00F62836" w:rsidRPr="00A4125B" w:rsidRDefault="009D0CD8" w:rsidP="00A4125B">
      <w:pPr>
        <w:spacing w:line="276" w:lineRule="auto"/>
        <w:rPr>
          <w:szCs w:val="22"/>
        </w:rPr>
      </w:pPr>
      <w:r w:rsidRPr="00A4125B">
        <w:rPr>
          <w:szCs w:val="22"/>
        </w:rPr>
        <w:t>Before the</w:t>
      </w:r>
      <w:r w:rsidR="00637B19" w:rsidRPr="00A4125B">
        <w:rPr>
          <w:szCs w:val="22"/>
        </w:rPr>
        <w:t xml:space="preserve"> </w:t>
      </w:r>
      <w:r w:rsidR="004F1A69" w:rsidRPr="00A4125B">
        <w:rPr>
          <w:i/>
          <w:iCs/>
          <w:szCs w:val="22"/>
        </w:rPr>
        <w:t>Legislation (Offshore Petroleum and Greenhouse Gas Storage Instruments) Sunset-altering Declaration 2019</w:t>
      </w:r>
      <w:r w:rsidR="004F1A69" w:rsidRPr="00A4125B">
        <w:rPr>
          <w:szCs w:val="22"/>
        </w:rPr>
        <w:t xml:space="preserve"> (the </w:t>
      </w:r>
      <w:r w:rsidR="00CE74C4" w:rsidRPr="00A4125B">
        <w:rPr>
          <w:szCs w:val="22"/>
        </w:rPr>
        <w:t>Declaration</w:t>
      </w:r>
      <w:r w:rsidR="004F1A69" w:rsidRPr="00A4125B">
        <w:rPr>
          <w:szCs w:val="22"/>
        </w:rPr>
        <w:t>)</w:t>
      </w:r>
      <w:r w:rsidR="00637B19" w:rsidRPr="00A4125B">
        <w:rPr>
          <w:szCs w:val="22"/>
        </w:rPr>
        <w:t xml:space="preserve"> was </w:t>
      </w:r>
      <w:r w:rsidR="0047717E" w:rsidRPr="00A4125B">
        <w:rPr>
          <w:szCs w:val="22"/>
        </w:rPr>
        <w:t>made</w:t>
      </w:r>
      <w:r w:rsidR="00637B19" w:rsidRPr="00A4125B">
        <w:rPr>
          <w:szCs w:val="22"/>
        </w:rPr>
        <w:t>, the Attorney</w:t>
      </w:r>
      <w:r w:rsidR="00637B19" w:rsidRPr="00A4125B">
        <w:rPr>
          <w:szCs w:val="22"/>
        </w:rPr>
        <w:noBreakHyphen/>
        <w:t xml:space="preserve">General considered the general obligation to consult imposed by section 17 of the </w:t>
      </w:r>
      <w:r w:rsidR="00E30016" w:rsidRPr="00A4125B">
        <w:rPr>
          <w:szCs w:val="22"/>
        </w:rPr>
        <w:t>Legislation Act</w:t>
      </w:r>
      <w:r w:rsidR="00C453DE" w:rsidRPr="00A4125B">
        <w:rPr>
          <w:szCs w:val="22"/>
        </w:rPr>
        <w:t xml:space="preserve">. Consultation involved </w:t>
      </w:r>
      <w:r w:rsidR="00F228BE" w:rsidRPr="00A4125B">
        <w:rPr>
          <w:szCs w:val="22"/>
        </w:rPr>
        <w:t xml:space="preserve">the </w:t>
      </w:r>
      <w:r w:rsidR="002D2239" w:rsidRPr="00A4125B">
        <w:rPr>
          <w:szCs w:val="22"/>
        </w:rPr>
        <w:t>Minister for Resources and Northern Australia</w:t>
      </w:r>
      <w:r w:rsidR="009F293D" w:rsidRPr="00A4125B">
        <w:rPr>
          <w:szCs w:val="22"/>
        </w:rPr>
        <w:t>,</w:t>
      </w:r>
      <w:r w:rsidR="002D2239" w:rsidRPr="00A4125B">
        <w:rPr>
          <w:szCs w:val="22"/>
        </w:rPr>
        <w:t xml:space="preserve"> Senator the Hon Matthew Canavan, </w:t>
      </w:r>
      <w:r w:rsidR="00C453DE" w:rsidRPr="00A4125B">
        <w:rPr>
          <w:szCs w:val="22"/>
        </w:rPr>
        <w:t>advising the Attorney</w:t>
      </w:r>
      <w:r w:rsidR="00C453DE" w:rsidRPr="00A4125B">
        <w:rPr>
          <w:szCs w:val="22"/>
        </w:rPr>
        <w:noBreakHyphen/>
        <w:t xml:space="preserve">General of the reasons in support of issuing the </w:t>
      </w:r>
      <w:r w:rsidR="004B1C89" w:rsidRPr="00A4125B">
        <w:rPr>
          <w:szCs w:val="22"/>
        </w:rPr>
        <w:t>declaration</w:t>
      </w:r>
      <w:r w:rsidR="00C453DE" w:rsidRPr="00A4125B">
        <w:rPr>
          <w:szCs w:val="22"/>
        </w:rPr>
        <w:t xml:space="preserve">. The </w:t>
      </w:r>
      <w:r w:rsidR="00B53B87" w:rsidRPr="00A4125B">
        <w:rPr>
          <w:szCs w:val="22"/>
        </w:rPr>
        <w:t>Minister</w:t>
      </w:r>
      <w:r w:rsidR="00431E52" w:rsidRPr="00A4125B">
        <w:rPr>
          <w:szCs w:val="22"/>
        </w:rPr>
        <w:t> </w:t>
      </w:r>
      <w:r w:rsidR="00B53B87" w:rsidRPr="00A4125B">
        <w:rPr>
          <w:szCs w:val="22"/>
        </w:rPr>
        <w:t xml:space="preserve">for </w:t>
      </w:r>
      <w:r w:rsidR="002D2239" w:rsidRPr="00A4125B">
        <w:rPr>
          <w:szCs w:val="22"/>
        </w:rPr>
        <w:t>Resources and Northern Australia</w:t>
      </w:r>
      <w:r w:rsidR="00B53B87" w:rsidRPr="00A4125B">
        <w:rPr>
          <w:szCs w:val="22"/>
        </w:rPr>
        <w:t xml:space="preserve"> is responsible for</w:t>
      </w:r>
      <w:r w:rsidR="002834CB" w:rsidRPr="00A4125B">
        <w:rPr>
          <w:szCs w:val="22"/>
        </w:rPr>
        <w:t xml:space="preserve"> </w:t>
      </w:r>
      <w:r w:rsidR="00C453DE" w:rsidRPr="00A4125B">
        <w:rPr>
          <w:szCs w:val="22"/>
        </w:rPr>
        <w:t>administering the</w:t>
      </w:r>
      <w:r w:rsidR="002D2239" w:rsidRPr="00A4125B">
        <w:rPr>
          <w:szCs w:val="22"/>
        </w:rPr>
        <w:t xml:space="preserve"> </w:t>
      </w:r>
      <w:r w:rsidR="002D2239" w:rsidRPr="00A4125B">
        <w:rPr>
          <w:i/>
          <w:szCs w:val="22"/>
        </w:rPr>
        <w:t>Offshore Petroleum and Greenhouse Gas Storage Act 2006</w:t>
      </w:r>
      <w:r w:rsidR="001C7DDC" w:rsidRPr="00A4125B">
        <w:rPr>
          <w:i/>
          <w:szCs w:val="22"/>
        </w:rPr>
        <w:t xml:space="preserve"> </w:t>
      </w:r>
      <w:r w:rsidR="001C7DDC" w:rsidRPr="00A4125B">
        <w:rPr>
          <w:szCs w:val="22"/>
        </w:rPr>
        <w:t>(OPGGS Act)</w:t>
      </w:r>
      <w:r w:rsidR="002D2239" w:rsidRPr="00A4125B">
        <w:rPr>
          <w:szCs w:val="22"/>
        </w:rPr>
        <w:t xml:space="preserve"> and the </w:t>
      </w:r>
      <w:r w:rsidR="002D2239" w:rsidRPr="00A4125B">
        <w:rPr>
          <w:i/>
          <w:szCs w:val="22"/>
        </w:rPr>
        <w:t>Offshore Petroleum and Greenhouse Gas Storage (Regulatory Levies) Act 2003</w:t>
      </w:r>
      <w:r w:rsidR="001C7DDC" w:rsidRPr="00A4125B">
        <w:rPr>
          <w:i/>
          <w:szCs w:val="22"/>
        </w:rPr>
        <w:t xml:space="preserve"> </w:t>
      </w:r>
      <w:r w:rsidR="001C7DDC" w:rsidRPr="00A4125B">
        <w:rPr>
          <w:szCs w:val="22"/>
        </w:rPr>
        <w:t>(Levies Act)</w:t>
      </w:r>
      <w:r w:rsidR="002D2239" w:rsidRPr="00A4125B">
        <w:rPr>
          <w:szCs w:val="22"/>
        </w:rPr>
        <w:t xml:space="preserve">, the enabling legislation under which the </w:t>
      </w:r>
      <w:r w:rsidR="00CE74C4" w:rsidRPr="00A4125B">
        <w:rPr>
          <w:szCs w:val="22"/>
        </w:rPr>
        <w:t>aligned instruments</w:t>
      </w:r>
      <w:r w:rsidR="002D2239" w:rsidRPr="00A4125B">
        <w:rPr>
          <w:szCs w:val="22"/>
        </w:rPr>
        <w:t xml:space="preserve"> are made. </w:t>
      </w:r>
      <w:r w:rsidR="00701625" w:rsidRPr="00A4125B">
        <w:rPr>
          <w:szCs w:val="22"/>
        </w:rPr>
        <w:t xml:space="preserve">As such, </w:t>
      </w:r>
      <w:r w:rsidR="00F62836" w:rsidRPr="00A4125B">
        <w:rPr>
          <w:szCs w:val="22"/>
        </w:rPr>
        <w:t xml:space="preserve">for the purposes of section 6 of the Legislation Act, </w:t>
      </w:r>
      <w:r w:rsidR="00701625" w:rsidRPr="00A4125B">
        <w:rPr>
          <w:szCs w:val="22"/>
        </w:rPr>
        <w:t xml:space="preserve">the </w:t>
      </w:r>
      <w:r w:rsidR="00213D3A" w:rsidRPr="00A4125B">
        <w:rPr>
          <w:szCs w:val="22"/>
        </w:rPr>
        <w:t xml:space="preserve">Minister for </w:t>
      </w:r>
      <w:r w:rsidR="005325D7" w:rsidRPr="00A4125B">
        <w:rPr>
          <w:szCs w:val="22"/>
        </w:rPr>
        <w:t>Resources and Northern Australia</w:t>
      </w:r>
      <w:r w:rsidR="00701625" w:rsidRPr="00A4125B">
        <w:rPr>
          <w:szCs w:val="22"/>
        </w:rPr>
        <w:t xml:space="preserve"> is the relevant rule-maker</w:t>
      </w:r>
      <w:r w:rsidR="00F62836" w:rsidRPr="00A4125B">
        <w:rPr>
          <w:szCs w:val="22"/>
        </w:rPr>
        <w:t xml:space="preserve"> for the instruments in question (together, the OPGGS Regulations): </w:t>
      </w:r>
    </w:p>
    <w:p w14:paraId="1314CF05" w14:textId="77777777" w:rsidR="00F62836" w:rsidRPr="00A4125B" w:rsidRDefault="00F62836" w:rsidP="00A61F5B">
      <w:pPr>
        <w:pStyle w:val="Celltext"/>
        <w:numPr>
          <w:ilvl w:val="0"/>
          <w:numId w:val="21"/>
        </w:numPr>
        <w:spacing w:before="0" w:line="276" w:lineRule="auto"/>
        <w:rPr>
          <w:i/>
          <w:sz w:val="22"/>
          <w:szCs w:val="22"/>
        </w:rPr>
      </w:pPr>
      <w:r w:rsidRPr="00A4125B">
        <w:rPr>
          <w:i/>
          <w:sz w:val="22"/>
          <w:szCs w:val="22"/>
        </w:rPr>
        <w:t>Offshore Petroleum and Greenhouse Gas Storage (Safety) Regulations 2009</w:t>
      </w:r>
    </w:p>
    <w:p w14:paraId="2056AEB0" w14:textId="77777777" w:rsidR="00F62836" w:rsidRPr="00A4125B" w:rsidRDefault="00F62836" w:rsidP="00A61F5B">
      <w:pPr>
        <w:pStyle w:val="Celltext"/>
        <w:numPr>
          <w:ilvl w:val="0"/>
          <w:numId w:val="21"/>
        </w:numPr>
        <w:spacing w:before="0" w:line="276" w:lineRule="auto"/>
        <w:ind w:left="714" w:hanging="357"/>
        <w:rPr>
          <w:i/>
          <w:sz w:val="22"/>
          <w:szCs w:val="22"/>
        </w:rPr>
      </w:pPr>
      <w:r w:rsidRPr="00A4125B">
        <w:rPr>
          <w:i/>
          <w:sz w:val="22"/>
          <w:szCs w:val="22"/>
        </w:rPr>
        <w:t>Offshore Petroleum and Greenhouse Gas Storage (Environment) Regulations 2009</w:t>
      </w:r>
    </w:p>
    <w:p w14:paraId="38784E6F" w14:textId="42701F0D" w:rsidR="00F62836" w:rsidRPr="00A4125B" w:rsidRDefault="00F62836" w:rsidP="00A61F5B">
      <w:pPr>
        <w:pStyle w:val="Celltext"/>
        <w:numPr>
          <w:ilvl w:val="0"/>
          <w:numId w:val="21"/>
        </w:numPr>
        <w:spacing w:before="0" w:line="276" w:lineRule="auto"/>
        <w:ind w:left="714" w:hanging="357"/>
        <w:rPr>
          <w:i/>
          <w:sz w:val="22"/>
          <w:szCs w:val="22"/>
        </w:rPr>
      </w:pPr>
      <w:r w:rsidRPr="00A4125B">
        <w:rPr>
          <w:i/>
          <w:sz w:val="22"/>
          <w:szCs w:val="22"/>
        </w:rPr>
        <w:t>Offshore Petroleum and G</w:t>
      </w:r>
      <w:r w:rsidR="00C703D9" w:rsidRPr="00A4125B">
        <w:rPr>
          <w:i/>
          <w:sz w:val="22"/>
          <w:szCs w:val="22"/>
        </w:rPr>
        <w:t>reenhouse Gas Storage (Resource</w:t>
      </w:r>
      <w:r w:rsidRPr="00A4125B">
        <w:rPr>
          <w:i/>
          <w:sz w:val="22"/>
          <w:szCs w:val="22"/>
        </w:rPr>
        <w:t xml:space="preserve"> Management and Administration) Regulations 2011</w:t>
      </w:r>
    </w:p>
    <w:p w14:paraId="7A65D083" w14:textId="77777777" w:rsidR="00F62836" w:rsidRPr="00A4125B" w:rsidRDefault="00F62836" w:rsidP="00A61F5B">
      <w:pPr>
        <w:pStyle w:val="Celltext"/>
        <w:numPr>
          <w:ilvl w:val="0"/>
          <w:numId w:val="21"/>
        </w:numPr>
        <w:spacing w:before="0" w:line="276" w:lineRule="auto"/>
        <w:ind w:left="714" w:hanging="357"/>
        <w:rPr>
          <w:i/>
          <w:sz w:val="22"/>
          <w:szCs w:val="22"/>
        </w:rPr>
      </w:pPr>
      <w:r w:rsidRPr="00A4125B">
        <w:rPr>
          <w:i/>
          <w:sz w:val="22"/>
          <w:szCs w:val="22"/>
        </w:rPr>
        <w:t>Offshore Petroleum and Greenhouse Gas Storage (Greenhouse Gas Injection and Storage) Regulations 2011, and</w:t>
      </w:r>
    </w:p>
    <w:p w14:paraId="2EFD29C7" w14:textId="77777777" w:rsidR="00F62836" w:rsidRPr="00A4125B" w:rsidRDefault="00F62836" w:rsidP="00A61F5B">
      <w:pPr>
        <w:pStyle w:val="Celltext"/>
        <w:numPr>
          <w:ilvl w:val="0"/>
          <w:numId w:val="21"/>
        </w:numPr>
        <w:spacing w:before="0" w:line="276" w:lineRule="auto"/>
        <w:ind w:left="714" w:hanging="357"/>
        <w:rPr>
          <w:i/>
          <w:sz w:val="22"/>
          <w:szCs w:val="22"/>
        </w:rPr>
      </w:pPr>
      <w:r w:rsidRPr="00A4125B">
        <w:rPr>
          <w:i/>
          <w:sz w:val="22"/>
          <w:szCs w:val="22"/>
        </w:rPr>
        <w:t>Offshore Petroleum and Greenhouse Gas Storage (Regulatory Levies) Regulations 2004</w:t>
      </w:r>
      <w:r w:rsidRPr="00A4125B">
        <w:rPr>
          <w:sz w:val="22"/>
          <w:szCs w:val="22"/>
        </w:rPr>
        <w:t>.</w:t>
      </w:r>
    </w:p>
    <w:p w14:paraId="350043EB" w14:textId="77777777" w:rsidR="00A4125B" w:rsidRDefault="00A4125B" w:rsidP="00A4125B">
      <w:pPr>
        <w:spacing w:line="276" w:lineRule="auto"/>
        <w:rPr>
          <w:szCs w:val="22"/>
        </w:rPr>
      </w:pPr>
    </w:p>
    <w:p w14:paraId="61D66F75" w14:textId="5E65BA1C" w:rsidR="006F3C22" w:rsidRPr="00A4125B" w:rsidRDefault="006F3C22" w:rsidP="00A4125B">
      <w:pPr>
        <w:spacing w:line="276" w:lineRule="auto"/>
        <w:rPr>
          <w:szCs w:val="22"/>
        </w:rPr>
      </w:pPr>
      <w:r w:rsidRPr="00A4125B">
        <w:rPr>
          <w:szCs w:val="22"/>
        </w:rPr>
        <w:t xml:space="preserve">A copy of the application </w:t>
      </w:r>
      <w:r w:rsidR="004C2B54" w:rsidRPr="00A4125B">
        <w:rPr>
          <w:szCs w:val="22"/>
        </w:rPr>
        <w:t>was also</w:t>
      </w:r>
      <w:r w:rsidRPr="00A4125B">
        <w:rPr>
          <w:szCs w:val="22"/>
        </w:rPr>
        <w:t xml:space="preserve"> provided to the Whole of Government Deregulation Team area of the Department of Jobs and Small Business. </w:t>
      </w:r>
    </w:p>
    <w:p w14:paraId="45B89107" w14:textId="77777777" w:rsidR="00A4125B" w:rsidRDefault="00A4125B" w:rsidP="00A4125B">
      <w:pPr>
        <w:spacing w:line="276" w:lineRule="auto"/>
        <w:rPr>
          <w:szCs w:val="22"/>
        </w:rPr>
      </w:pPr>
    </w:p>
    <w:p w14:paraId="4DD5CA6F" w14:textId="14435A96" w:rsidR="00C453DE" w:rsidRDefault="009D0CD8" w:rsidP="00A4125B">
      <w:pPr>
        <w:spacing w:line="276" w:lineRule="auto"/>
        <w:rPr>
          <w:szCs w:val="22"/>
        </w:rPr>
      </w:pPr>
      <w:r w:rsidRPr="00A4125B">
        <w:rPr>
          <w:szCs w:val="22"/>
        </w:rPr>
        <w:t xml:space="preserve">The </w:t>
      </w:r>
      <w:r w:rsidR="00CE74C4" w:rsidRPr="00A4125B">
        <w:rPr>
          <w:szCs w:val="22"/>
        </w:rPr>
        <w:t>Declaration</w:t>
      </w:r>
      <w:r w:rsidRPr="00A4125B">
        <w:rPr>
          <w:szCs w:val="22"/>
        </w:rPr>
        <w:t xml:space="preserve"> </w:t>
      </w:r>
      <w:r w:rsidR="00C453DE" w:rsidRPr="00A4125B">
        <w:rPr>
          <w:szCs w:val="22"/>
        </w:rPr>
        <w:t>is consistent with the policy intent of the sunsetting arrangements and does not significantly alter existing arrangements. Accordingly, further consultation was unnecessary.</w:t>
      </w:r>
    </w:p>
    <w:p w14:paraId="5283612F" w14:textId="3265315B" w:rsidR="00637B19" w:rsidRDefault="00637B19" w:rsidP="001A1A39">
      <w:pPr>
        <w:pStyle w:val="Heading3"/>
        <w:spacing w:before="0" w:line="276" w:lineRule="auto"/>
        <w:rPr>
          <w:rFonts w:ascii="Times New Roman" w:hAnsi="Times New Roman"/>
          <w:sz w:val="22"/>
          <w:szCs w:val="22"/>
        </w:rPr>
      </w:pPr>
      <w:r w:rsidRPr="00A4125B">
        <w:rPr>
          <w:rFonts w:ascii="Times New Roman" w:hAnsi="Times New Roman"/>
          <w:sz w:val="22"/>
          <w:szCs w:val="22"/>
        </w:rPr>
        <w:lastRenderedPageBreak/>
        <w:t>Statutor</w:t>
      </w:r>
      <w:r w:rsidR="001C48B9" w:rsidRPr="00A4125B">
        <w:rPr>
          <w:rFonts w:ascii="Times New Roman" w:hAnsi="Times New Roman"/>
          <w:sz w:val="22"/>
          <w:szCs w:val="22"/>
        </w:rPr>
        <w:t>y preconditions relevant to the</w:t>
      </w:r>
      <w:r w:rsidRPr="00A4125B">
        <w:rPr>
          <w:rFonts w:ascii="Times New Roman" w:hAnsi="Times New Roman"/>
          <w:sz w:val="22"/>
          <w:szCs w:val="22"/>
        </w:rPr>
        <w:t xml:space="preserve"> declaration</w:t>
      </w:r>
      <w:r w:rsidR="009244E6" w:rsidRPr="00A4125B">
        <w:rPr>
          <w:rFonts w:ascii="Times New Roman" w:hAnsi="Times New Roman"/>
          <w:sz w:val="22"/>
          <w:szCs w:val="22"/>
        </w:rPr>
        <w:t xml:space="preserve"> </w:t>
      </w:r>
    </w:p>
    <w:p w14:paraId="3684AAA6" w14:textId="77777777" w:rsidR="00A4125B" w:rsidRPr="00A4125B" w:rsidRDefault="00A4125B" w:rsidP="001A1A39">
      <w:pPr>
        <w:keepNext/>
      </w:pPr>
    </w:p>
    <w:p w14:paraId="15341E2B" w14:textId="018ECB15" w:rsidR="00637B19" w:rsidRPr="00A4125B" w:rsidRDefault="00637B19" w:rsidP="001A1A39">
      <w:pPr>
        <w:pStyle w:val="Heading2"/>
        <w:keepNext/>
        <w:spacing w:before="0" w:line="276" w:lineRule="auto"/>
        <w:ind w:left="11" w:hanging="11"/>
        <w:rPr>
          <w:rFonts w:ascii="Times New Roman" w:hAnsi="Times New Roman"/>
          <w:b w:val="0"/>
          <w:sz w:val="22"/>
          <w:szCs w:val="22"/>
        </w:rPr>
      </w:pPr>
      <w:r w:rsidRPr="00A4125B">
        <w:rPr>
          <w:rFonts w:ascii="Times New Roman" w:hAnsi="Times New Roman"/>
          <w:b w:val="0"/>
          <w:sz w:val="22"/>
          <w:szCs w:val="22"/>
        </w:rPr>
        <w:t xml:space="preserve">If the Attorney-General is satisfied </w:t>
      </w:r>
      <w:r w:rsidR="00BC668C" w:rsidRPr="00A4125B">
        <w:rPr>
          <w:rFonts w:ascii="Times New Roman" w:hAnsi="Times New Roman"/>
          <w:b w:val="0"/>
          <w:sz w:val="22"/>
          <w:szCs w:val="22"/>
        </w:rPr>
        <w:t>on written application fro</w:t>
      </w:r>
      <w:r w:rsidR="0015789B" w:rsidRPr="00A4125B">
        <w:rPr>
          <w:rFonts w:ascii="Times New Roman" w:hAnsi="Times New Roman"/>
          <w:b w:val="0"/>
          <w:sz w:val="22"/>
          <w:szCs w:val="22"/>
        </w:rPr>
        <w:t>m the</w:t>
      </w:r>
      <w:r w:rsidR="00791757" w:rsidRPr="00A4125B">
        <w:rPr>
          <w:rFonts w:ascii="Times New Roman" w:hAnsi="Times New Roman"/>
          <w:b w:val="0"/>
          <w:sz w:val="22"/>
          <w:szCs w:val="22"/>
        </w:rPr>
        <w:t xml:space="preserve"> relevant</w:t>
      </w:r>
      <w:r w:rsidR="0015789B" w:rsidRPr="00A4125B">
        <w:rPr>
          <w:rFonts w:ascii="Times New Roman" w:hAnsi="Times New Roman"/>
          <w:b w:val="0"/>
          <w:sz w:val="22"/>
          <w:szCs w:val="22"/>
        </w:rPr>
        <w:t xml:space="preserve"> rule-maker </w:t>
      </w:r>
      <w:r w:rsidRPr="00A4125B">
        <w:rPr>
          <w:rFonts w:ascii="Times New Roman" w:hAnsi="Times New Roman"/>
          <w:b w:val="0"/>
          <w:sz w:val="22"/>
          <w:szCs w:val="22"/>
        </w:rPr>
        <w:t>that the statutory conditions in</w:t>
      </w:r>
      <w:r w:rsidR="002F26CF" w:rsidRPr="00A4125B">
        <w:rPr>
          <w:rFonts w:ascii="Times New Roman" w:hAnsi="Times New Roman"/>
          <w:b w:val="0"/>
          <w:sz w:val="22"/>
          <w:szCs w:val="22"/>
        </w:rPr>
        <w:t xml:space="preserve"> paragraphs </w:t>
      </w:r>
      <w:r w:rsidRPr="00A4125B">
        <w:rPr>
          <w:rFonts w:ascii="Times New Roman" w:hAnsi="Times New Roman"/>
          <w:b w:val="0"/>
          <w:sz w:val="22"/>
          <w:szCs w:val="22"/>
        </w:rPr>
        <w:t>51A</w:t>
      </w:r>
      <w:r w:rsidR="002F26CF" w:rsidRPr="00A4125B">
        <w:rPr>
          <w:rFonts w:ascii="Times New Roman" w:hAnsi="Times New Roman"/>
          <w:b w:val="0"/>
          <w:sz w:val="22"/>
          <w:szCs w:val="22"/>
        </w:rPr>
        <w:t>(1)</w:t>
      </w:r>
      <w:r w:rsidR="00B107B1" w:rsidRPr="00A4125B">
        <w:rPr>
          <w:rFonts w:ascii="Times New Roman" w:hAnsi="Times New Roman"/>
          <w:b w:val="0"/>
          <w:sz w:val="22"/>
          <w:szCs w:val="22"/>
        </w:rPr>
        <w:t>(a)</w:t>
      </w:r>
      <w:r w:rsidR="00385143" w:rsidRPr="00A4125B">
        <w:rPr>
          <w:rFonts w:ascii="Times New Roman" w:hAnsi="Times New Roman"/>
          <w:b w:val="0"/>
          <w:sz w:val="22"/>
          <w:szCs w:val="22"/>
        </w:rPr>
        <w:t xml:space="preserve"> and </w:t>
      </w:r>
      <w:r w:rsidR="00B107B1" w:rsidRPr="00A4125B">
        <w:rPr>
          <w:rFonts w:ascii="Times New Roman" w:hAnsi="Times New Roman"/>
          <w:b w:val="0"/>
          <w:sz w:val="22"/>
          <w:szCs w:val="22"/>
        </w:rPr>
        <w:t>(b)</w:t>
      </w:r>
      <w:r w:rsidRPr="00A4125B">
        <w:rPr>
          <w:rFonts w:ascii="Times New Roman" w:hAnsi="Times New Roman"/>
          <w:b w:val="0"/>
          <w:sz w:val="22"/>
          <w:szCs w:val="22"/>
        </w:rPr>
        <w:t xml:space="preserve"> of the </w:t>
      </w:r>
      <w:r w:rsidR="00E53B1E" w:rsidRPr="00A4125B">
        <w:rPr>
          <w:rFonts w:ascii="Times New Roman" w:hAnsi="Times New Roman"/>
          <w:b w:val="0"/>
          <w:sz w:val="22"/>
          <w:szCs w:val="22"/>
        </w:rPr>
        <w:t xml:space="preserve">Legislation Act </w:t>
      </w:r>
      <w:r w:rsidRPr="00A4125B">
        <w:rPr>
          <w:rFonts w:ascii="Times New Roman" w:hAnsi="Times New Roman"/>
          <w:b w:val="0"/>
          <w:sz w:val="22"/>
          <w:szCs w:val="22"/>
        </w:rPr>
        <w:t xml:space="preserve">are met, the sunsetting day of two or more legislative instruments can be aligned by means of a declaration made under that section. The statutory conditions are that: </w:t>
      </w:r>
    </w:p>
    <w:p w14:paraId="0B762626" w14:textId="68A1AE3D" w:rsidR="00637B19" w:rsidRPr="00A4125B" w:rsidRDefault="00C01C86" w:rsidP="001A1A39">
      <w:pPr>
        <w:pStyle w:val="Heading2"/>
        <w:keepNext/>
        <w:numPr>
          <w:ilvl w:val="1"/>
          <w:numId w:val="17"/>
        </w:numPr>
        <w:spacing w:before="0" w:line="276" w:lineRule="auto"/>
        <w:rPr>
          <w:rFonts w:ascii="Times New Roman" w:hAnsi="Times New Roman"/>
          <w:b w:val="0"/>
          <w:sz w:val="22"/>
          <w:szCs w:val="22"/>
        </w:rPr>
      </w:pPr>
      <w:r w:rsidRPr="00A4125B">
        <w:rPr>
          <w:rFonts w:ascii="Times New Roman" w:hAnsi="Times New Roman"/>
          <w:b w:val="0"/>
          <w:sz w:val="22"/>
          <w:szCs w:val="22"/>
        </w:rPr>
        <w:t xml:space="preserve">all the instruments to be reviewed </w:t>
      </w:r>
      <w:r w:rsidR="00637B19" w:rsidRPr="00A4125B">
        <w:rPr>
          <w:rFonts w:ascii="Times New Roman" w:hAnsi="Times New Roman"/>
          <w:b w:val="0"/>
          <w:sz w:val="22"/>
          <w:szCs w:val="22"/>
        </w:rPr>
        <w:t xml:space="preserve">would (in the absence of a declaration </w:t>
      </w:r>
      <w:r w:rsidR="00DA43D4" w:rsidRPr="00A4125B">
        <w:rPr>
          <w:rFonts w:ascii="Times New Roman" w:hAnsi="Times New Roman"/>
          <w:b w:val="0"/>
          <w:sz w:val="22"/>
          <w:szCs w:val="22"/>
        </w:rPr>
        <w:t xml:space="preserve">made </w:t>
      </w:r>
      <w:r w:rsidR="00637B19" w:rsidRPr="00A4125B">
        <w:rPr>
          <w:rFonts w:ascii="Times New Roman" w:hAnsi="Times New Roman"/>
          <w:b w:val="0"/>
          <w:sz w:val="22"/>
          <w:szCs w:val="22"/>
        </w:rPr>
        <w:t>under section 51A</w:t>
      </w:r>
      <w:r w:rsidR="00FE3374" w:rsidRPr="00A4125B">
        <w:rPr>
          <w:rFonts w:ascii="Times New Roman" w:hAnsi="Times New Roman"/>
          <w:b w:val="0"/>
          <w:sz w:val="22"/>
          <w:szCs w:val="22"/>
        </w:rPr>
        <w:t xml:space="preserve"> of the Legislation Act</w:t>
      </w:r>
      <w:r w:rsidR="00637B19" w:rsidRPr="00A4125B">
        <w:rPr>
          <w:rFonts w:ascii="Times New Roman" w:hAnsi="Times New Roman"/>
          <w:b w:val="0"/>
          <w:sz w:val="22"/>
          <w:szCs w:val="22"/>
        </w:rPr>
        <w:t xml:space="preserve">) be </w:t>
      </w:r>
      <w:r w:rsidR="00986CEE" w:rsidRPr="00A4125B">
        <w:rPr>
          <w:rFonts w:ascii="Times New Roman" w:hAnsi="Times New Roman"/>
          <w:b w:val="0"/>
          <w:sz w:val="22"/>
          <w:szCs w:val="22"/>
        </w:rPr>
        <w:t>repealed by section 50 or 51 of the Legislation Act</w:t>
      </w:r>
      <w:r w:rsidR="00637B19" w:rsidRPr="00A4125B">
        <w:rPr>
          <w:rFonts w:ascii="Times New Roman" w:hAnsi="Times New Roman"/>
          <w:b w:val="0"/>
          <w:sz w:val="22"/>
          <w:szCs w:val="22"/>
        </w:rPr>
        <w:t xml:space="preserve">  </w:t>
      </w:r>
    </w:p>
    <w:p w14:paraId="4D38793A" w14:textId="77777777" w:rsidR="007C6104" w:rsidRPr="00A4125B" w:rsidRDefault="00986CEE" w:rsidP="001A1A39">
      <w:pPr>
        <w:pStyle w:val="Heading2"/>
        <w:keepNext/>
        <w:numPr>
          <w:ilvl w:val="1"/>
          <w:numId w:val="17"/>
        </w:numPr>
        <w:spacing w:before="0" w:line="276" w:lineRule="auto"/>
        <w:rPr>
          <w:rFonts w:ascii="Times New Roman" w:hAnsi="Times New Roman"/>
          <w:b w:val="0"/>
          <w:sz w:val="22"/>
          <w:szCs w:val="22"/>
        </w:rPr>
      </w:pPr>
      <w:r w:rsidRPr="00A4125B">
        <w:rPr>
          <w:rFonts w:ascii="Times New Roman" w:hAnsi="Times New Roman"/>
          <w:b w:val="0"/>
          <w:sz w:val="22"/>
          <w:szCs w:val="22"/>
        </w:rPr>
        <w:t>all the instruments to be reviewed</w:t>
      </w:r>
      <w:r w:rsidR="00C01C86" w:rsidRPr="00A4125B">
        <w:rPr>
          <w:rFonts w:ascii="Times New Roman" w:hAnsi="Times New Roman"/>
          <w:b w:val="0"/>
          <w:sz w:val="22"/>
          <w:szCs w:val="22"/>
        </w:rPr>
        <w:t xml:space="preserve"> </w:t>
      </w:r>
      <w:r w:rsidR="00637B19" w:rsidRPr="00A4125B">
        <w:rPr>
          <w:rFonts w:ascii="Times New Roman" w:hAnsi="Times New Roman"/>
          <w:b w:val="0"/>
          <w:sz w:val="22"/>
          <w:szCs w:val="22"/>
        </w:rPr>
        <w:t xml:space="preserve">are or will be the subject of a single review, and </w:t>
      </w:r>
    </w:p>
    <w:p w14:paraId="058EDE07" w14:textId="2A59577A" w:rsidR="007C6104" w:rsidRPr="00A4125B" w:rsidRDefault="00637B19" w:rsidP="001A1A39">
      <w:pPr>
        <w:pStyle w:val="Heading2"/>
        <w:keepNext/>
        <w:numPr>
          <w:ilvl w:val="1"/>
          <w:numId w:val="17"/>
        </w:numPr>
        <w:spacing w:before="0" w:line="276" w:lineRule="auto"/>
        <w:rPr>
          <w:rFonts w:ascii="Times New Roman" w:hAnsi="Times New Roman"/>
          <w:b w:val="0"/>
          <w:sz w:val="22"/>
          <w:szCs w:val="22"/>
        </w:rPr>
      </w:pPr>
      <w:r w:rsidRPr="00A4125B">
        <w:rPr>
          <w:rFonts w:ascii="Times New Roman" w:hAnsi="Times New Roman"/>
          <w:b w:val="0"/>
          <w:sz w:val="22"/>
          <w:szCs w:val="22"/>
        </w:rPr>
        <w:t xml:space="preserve">the making of the declaration will facilitate the undertaking of the review </w:t>
      </w:r>
      <w:r w:rsidR="00996E88" w:rsidRPr="00A4125B">
        <w:rPr>
          <w:rFonts w:ascii="Times New Roman" w:hAnsi="Times New Roman"/>
          <w:b w:val="0"/>
          <w:sz w:val="22"/>
          <w:szCs w:val="22"/>
        </w:rPr>
        <w:t>or</w:t>
      </w:r>
      <w:r w:rsidRPr="00A4125B">
        <w:rPr>
          <w:rFonts w:ascii="Times New Roman" w:hAnsi="Times New Roman"/>
          <w:b w:val="0"/>
          <w:sz w:val="22"/>
          <w:szCs w:val="22"/>
        </w:rPr>
        <w:t xml:space="preserve"> the i</w:t>
      </w:r>
      <w:r w:rsidR="00EA4EAA" w:rsidRPr="00A4125B">
        <w:rPr>
          <w:rFonts w:ascii="Times New Roman" w:hAnsi="Times New Roman"/>
          <w:b w:val="0"/>
          <w:sz w:val="22"/>
          <w:szCs w:val="22"/>
        </w:rPr>
        <w:t xml:space="preserve">mplementation of its findings. </w:t>
      </w:r>
    </w:p>
    <w:p w14:paraId="405F144A" w14:textId="5453B981" w:rsidR="00637B19" w:rsidRPr="00A4125B" w:rsidRDefault="00637B19" w:rsidP="001A1A39">
      <w:pPr>
        <w:pStyle w:val="Heading2"/>
        <w:keepNext/>
        <w:spacing w:before="0" w:line="276" w:lineRule="auto"/>
        <w:ind w:left="11" w:hanging="11"/>
        <w:rPr>
          <w:rFonts w:ascii="Times New Roman" w:hAnsi="Times New Roman"/>
          <w:b w:val="0"/>
          <w:sz w:val="22"/>
          <w:szCs w:val="22"/>
        </w:rPr>
      </w:pPr>
      <w:r w:rsidRPr="00A4125B">
        <w:rPr>
          <w:rFonts w:ascii="Times New Roman" w:hAnsi="Times New Roman"/>
          <w:b w:val="0"/>
          <w:sz w:val="22"/>
          <w:szCs w:val="22"/>
        </w:rPr>
        <w:t xml:space="preserve">In terms of process, the </w:t>
      </w:r>
      <w:r w:rsidR="007E2877" w:rsidRPr="00A4125B">
        <w:rPr>
          <w:rFonts w:ascii="Times New Roman" w:hAnsi="Times New Roman"/>
          <w:b w:val="0"/>
          <w:sz w:val="22"/>
          <w:szCs w:val="22"/>
        </w:rPr>
        <w:t xml:space="preserve">Legislation Act </w:t>
      </w:r>
      <w:r w:rsidRPr="00A4125B">
        <w:rPr>
          <w:rFonts w:ascii="Times New Roman" w:hAnsi="Times New Roman"/>
          <w:b w:val="0"/>
          <w:sz w:val="22"/>
          <w:szCs w:val="22"/>
        </w:rPr>
        <w:t xml:space="preserve">requires: </w:t>
      </w:r>
    </w:p>
    <w:p w14:paraId="1A9A2151" w14:textId="539173C8" w:rsidR="00637B19" w:rsidRPr="00A4125B" w:rsidRDefault="00637B19" w:rsidP="001A1A39">
      <w:pPr>
        <w:pStyle w:val="Heading2"/>
        <w:keepNext/>
        <w:numPr>
          <w:ilvl w:val="0"/>
          <w:numId w:val="18"/>
        </w:numPr>
        <w:spacing w:before="0" w:line="276" w:lineRule="auto"/>
        <w:rPr>
          <w:rFonts w:ascii="Times New Roman" w:hAnsi="Times New Roman"/>
          <w:b w:val="0"/>
          <w:sz w:val="22"/>
          <w:szCs w:val="22"/>
        </w:rPr>
      </w:pPr>
      <w:r w:rsidRPr="00A4125B">
        <w:rPr>
          <w:rFonts w:ascii="Times New Roman" w:hAnsi="Times New Roman"/>
          <w:b w:val="0"/>
          <w:sz w:val="22"/>
          <w:szCs w:val="22"/>
        </w:rPr>
        <w:t>the responsible rule</w:t>
      </w:r>
      <w:r w:rsidR="00EF151C" w:rsidRPr="00A4125B">
        <w:rPr>
          <w:rFonts w:ascii="Times New Roman" w:hAnsi="Times New Roman"/>
          <w:b w:val="0"/>
          <w:sz w:val="22"/>
          <w:szCs w:val="22"/>
        </w:rPr>
        <w:t>-</w:t>
      </w:r>
      <w:r w:rsidRPr="00A4125B">
        <w:rPr>
          <w:rFonts w:ascii="Times New Roman" w:hAnsi="Times New Roman"/>
          <w:b w:val="0"/>
          <w:sz w:val="22"/>
          <w:szCs w:val="22"/>
        </w:rPr>
        <w:t>maker to apply to the Attorney-General</w:t>
      </w:r>
      <w:r w:rsidR="00EA6DB0" w:rsidRPr="00A4125B">
        <w:rPr>
          <w:rFonts w:ascii="Times New Roman" w:hAnsi="Times New Roman"/>
          <w:b w:val="0"/>
          <w:sz w:val="22"/>
          <w:szCs w:val="22"/>
        </w:rPr>
        <w:t>,</w:t>
      </w:r>
    </w:p>
    <w:p w14:paraId="25FCF060" w14:textId="77777777" w:rsidR="00637B19" w:rsidRPr="00A4125B" w:rsidRDefault="00637B19" w:rsidP="001A1A39">
      <w:pPr>
        <w:pStyle w:val="Heading2"/>
        <w:keepNext/>
        <w:numPr>
          <w:ilvl w:val="0"/>
          <w:numId w:val="18"/>
        </w:numPr>
        <w:spacing w:before="0" w:line="276" w:lineRule="auto"/>
        <w:rPr>
          <w:rFonts w:ascii="Times New Roman" w:hAnsi="Times New Roman"/>
          <w:b w:val="0"/>
          <w:sz w:val="22"/>
          <w:szCs w:val="22"/>
        </w:rPr>
      </w:pPr>
      <w:r w:rsidRPr="00A4125B">
        <w:rPr>
          <w:rFonts w:ascii="Times New Roman" w:hAnsi="Times New Roman"/>
          <w:b w:val="0"/>
          <w:sz w:val="22"/>
          <w:szCs w:val="22"/>
        </w:rPr>
        <w:t xml:space="preserve">the Attorney-General to be satisfied of the statutory conditions, and </w:t>
      </w:r>
    </w:p>
    <w:p w14:paraId="72271713" w14:textId="2E0FA2F2" w:rsidR="005E307A" w:rsidRPr="00A4125B" w:rsidRDefault="00637B19" w:rsidP="001A1A39">
      <w:pPr>
        <w:pStyle w:val="Heading2"/>
        <w:keepNext/>
        <w:numPr>
          <w:ilvl w:val="0"/>
          <w:numId w:val="18"/>
        </w:numPr>
        <w:spacing w:before="0" w:line="276" w:lineRule="auto"/>
        <w:rPr>
          <w:rFonts w:ascii="Times New Roman" w:hAnsi="Times New Roman"/>
          <w:b w:val="0"/>
          <w:sz w:val="22"/>
          <w:szCs w:val="22"/>
        </w:rPr>
      </w:pPr>
      <w:r w:rsidRPr="00A4125B">
        <w:rPr>
          <w:rFonts w:ascii="Times New Roman" w:hAnsi="Times New Roman"/>
          <w:b w:val="0"/>
          <w:sz w:val="22"/>
          <w:szCs w:val="22"/>
        </w:rPr>
        <w:t>the Attorney-General to make a declaration</w:t>
      </w:r>
      <w:r w:rsidR="004D52A9" w:rsidRPr="00A4125B">
        <w:rPr>
          <w:rFonts w:ascii="Times New Roman" w:hAnsi="Times New Roman"/>
          <w:b w:val="0"/>
          <w:sz w:val="22"/>
          <w:szCs w:val="22"/>
        </w:rPr>
        <w:t>,</w:t>
      </w:r>
      <w:r w:rsidRPr="00A4125B">
        <w:rPr>
          <w:rFonts w:ascii="Times New Roman" w:hAnsi="Times New Roman"/>
          <w:b w:val="0"/>
          <w:sz w:val="22"/>
          <w:szCs w:val="22"/>
        </w:rPr>
        <w:t xml:space="preserve"> which is a legislative instrument and subject to disallowance. </w:t>
      </w:r>
    </w:p>
    <w:p w14:paraId="27FCFE7D" w14:textId="77777777" w:rsidR="00A4125B" w:rsidRDefault="00A4125B" w:rsidP="00A4125B">
      <w:pPr>
        <w:pStyle w:val="Heading2"/>
        <w:spacing w:before="0" w:line="276" w:lineRule="auto"/>
        <w:ind w:left="11" w:hanging="11"/>
        <w:rPr>
          <w:rFonts w:ascii="Times New Roman" w:hAnsi="Times New Roman"/>
          <w:b w:val="0"/>
          <w:sz w:val="22"/>
          <w:szCs w:val="22"/>
        </w:rPr>
      </w:pPr>
    </w:p>
    <w:p w14:paraId="7BE91C04" w14:textId="3C2EB42F" w:rsidR="007C6104" w:rsidRPr="00A4125B" w:rsidRDefault="00FB071A" w:rsidP="00A4125B">
      <w:pPr>
        <w:pStyle w:val="Heading2"/>
        <w:spacing w:before="0" w:line="276" w:lineRule="auto"/>
        <w:ind w:left="11" w:hanging="11"/>
        <w:rPr>
          <w:rFonts w:ascii="Times New Roman" w:hAnsi="Times New Roman"/>
          <w:b w:val="0"/>
          <w:sz w:val="22"/>
          <w:szCs w:val="22"/>
        </w:rPr>
      </w:pPr>
      <w:r w:rsidRPr="00A4125B">
        <w:rPr>
          <w:rFonts w:ascii="Times New Roman" w:hAnsi="Times New Roman"/>
          <w:b w:val="0"/>
          <w:sz w:val="22"/>
          <w:szCs w:val="22"/>
        </w:rPr>
        <w:t>Th</w:t>
      </w:r>
      <w:r w:rsidR="00F239E1" w:rsidRPr="00A4125B">
        <w:rPr>
          <w:rFonts w:ascii="Times New Roman" w:hAnsi="Times New Roman"/>
          <w:b w:val="0"/>
          <w:sz w:val="22"/>
          <w:szCs w:val="22"/>
        </w:rPr>
        <w:t xml:space="preserve">e </w:t>
      </w:r>
      <w:r w:rsidR="00CE74C4" w:rsidRPr="00A4125B">
        <w:rPr>
          <w:rFonts w:ascii="Times New Roman" w:hAnsi="Times New Roman"/>
          <w:b w:val="0"/>
          <w:sz w:val="22"/>
          <w:szCs w:val="22"/>
        </w:rPr>
        <w:t>Declaration</w:t>
      </w:r>
      <w:r w:rsidR="00C907DE" w:rsidRPr="00A4125B">
        <w:rPr>
          <w:rFonts w:ascii="Times New Roman" w:hAnsi="Times New Roman"/>
          <w:b w:val="0"/>
          <w:sz w:val="22"/>
          <w:szCs w:val="22"/>
        </w:rPr>
        <w:t xml:space="preserve"> </w:t>
      </w:r>
      <w:r w:rsidRPr="00A4125B">
        <w:rPr>
          <w:rFonts w:ascii="Times New Roman" w:hAnsi="Times New Roman"/>
          <w:b w:val="0"/>
          <w:sz w:val="22"/>
          <w:szCs w:val="22"/>
        </w:rPr>
        <w:t xml:space="preserve">aligns the sunsetting </w:t>
      </w:r>
      <w:r w:rsidR="003449E4" w:rsidRPr="00A4125B">
        <w:rPr>
          <w:rFonts w:ascii="Times New Roman" w:hAnsi="Times New Roman"/>
          <w:b w:val="0"/>
          <w:sz w:val="22"/>
          <w:szCs w:val="22"/>
        </w:rPr>
        <w:t>days</w:t>
      </w:r>
      <w:r w:rsidRPr="00A4125B">
        <w:rPr>
          <w:rFonts w:ascii="Times New Roman" w:hAnsi="Times New Roman"/>
          <w:b w:val="0"/>
          <w:sz w:val="22"/>
          <w:szCs w:val="22"/>
        </w:rPr>
        <w:t xml:space="preserve"> </w:t>
      </w:r>
      <w:r w:rsidR="003C1FFC" w:rsidRPr="00A4125B">
        <w:rPr>
          <w:rFonts w:ascii="Times New Roman" w:hAnsi="Times New Roman"/>
          <w:b w:val="0"/>
          <w:sz w:val="22"/>
          <w:szCs w:val="22"/>
        </w:rPr>
        <w:t xml:space="preserve">of </w:t>
      </w:r>
      <w:r w:rsidR="00A621BE" w:rsidRPr="00A4125B">
        <w:rPr>
          <w:rFonts w:ascii="Times New Roman" w:hAnsi="Times New Roman"/>
          <w:b w:val="0"/>
          <w:sz w:val="22"/>
          <w:szCs w:val="22"/>
        </w:rPr>
        <w:t>the OPGGS Regulations</w:t>
      </w:r>
      <w:r w:rsidR="00E67EC3" w:rsidRPr="00A4125B">
        <w:rPr>
          <w:rFonts w:ascii="Times New Roman" w:hAnsi="Times New Roman"/>
          <w:b w:val="0"/>
          <w:sz w:val="22"/>
          <w:szCs w:val="22"/>
        </w:rPr>
        <w:t xml:space="preserve"> </w:t>
      </w:r>
      <w:r w:rsidR="00280D05" w:rsidRPr="00A4125B">
        <w:rPr>
          <w:rFonts w:ascii="Times New Roman" w:hAnsi="Times New Roman"/>
          <w:b w:val="0"/>
          <w:sz w:val="22"/>
          <w:szCs w:val="22"/>
        </w:rPr>
        <w:t>to be 1 April 2024</w:t>
      </w:r>
      <w:r w:rsidR="005325D7" w:rsidRPr="00A4125B">
        <w:rPr>
          <w:rFonts w:ascii="Times New Roman" w:hAnsi="Times New Roman"/>
          <w:b w:val="0"/>
          <w:sz w:val="22"/>
          <w:szCs w:val="22"/>
        </w:rPr>
        <w:t xml:space="preserve">. </w:t>
      </w:r>
    </w:p>
    <w:p w14:paraId="2ED01AE3" w14:textId="77777777" w:rsidR="00A4125B" w:rsidRDefault="00A4125B" w:rsidP="00A4125B">
      <w:pPr>
        <w:pStyle w:val="Heading2"/>
        <w:spacing w:before="0" w:line="276" w:lineRule="auto"/>
        <w:ind w:left="11" w:hanging="11"/>
        <w:rPr>
          <w:rFonts w:ascii="Times New Roman" w:hAnsi="Times New Roman"/>
          <w:b w:val="0"/>
          <w:sz w:val="22"/>
          <w:szCs w:val="22"/>
        </w:rPr>
      </w:pPr>
    </w:p>
    <w:p w14:paraId="5BC1E9A2" w14:textId="13AED360" w:rsidR="001F5A88" w:rsidRPr="00A4125B" w:rsidRDefault="001F5A88" w:rsidP="00A4125B">
      <w:pPr>
        <w:pStyle w:val="Heading2"/>
        <w:spacing w:before="0" w:line="276" w:lineRule="auto"/>
        <w:ind w:left="11" w:hanging="11"/>
        <w:rPr>
          <w:rFonts w:ascii="Times New Roman" w:hAnsi="Times New Roman"/>
          <w:b w:val="0"/>
          <w:sz w:val="22"/>
          <w:szCs w:val="22"/>
        </w:rPr>
      </w:pPr>
      <w:r w:rsidRPr="00A4125B">
        <w:rPr>
          <w:rFonts w:ascii="Times New Roman" w:hAnsi="Times New Roman"/>
          <w:b w:val="0"/>
          <w:sz w:val="22"/>
          <w:szCs w:val="22"/>
        </w:rPr>
        <w:t xml:space="preserve">The rule-maker for </w:t>
      </w:r>
      <w:r w:rsidR="003D64D4" w:rsidRPr="00A4125B">
        <w:rPr>
          <w:rFonts w:ascii="Times New Roman" w:hAnsi="Times New Roman"/>
          <w:b w:val="0"/>
          <w:sz w:val="22"/>
          <w:szCs w:val="22"/>
        </w:rPr>
        <w:t xml:space="preserve">the </w:t>
      </w:r>
      <w:r w:rsidR="00A621BE" w:rsidRPr="00A4125B">
        <w:rPr>
          <w:rFonts w:ascii="Times New Roman" w:hAnsi="Times New Roman"/>
          <w:b w:val="0"/>
          <w:sz w:val="22"/>
          <w:szCs w:val="22"/>
        </w:rPr>
        <w:t>OPGGS Regulations</w:t>
      </w:r>
      <w:r w:rsidR="003D64D4" w:rsidRPr="00A4125B">
        <w:rPr>
          <w:rFonts w:ascii="Times New Roman" w:hAnsi="Times New Roman"/>
          <w:b w:val="0"/>
          <w:sz w:val="22"/>
          <w:szCs w:val="22"/>
        </w:rPr>
        <w:t xml:space="preserve"> </w:t>
      </w:r>
      <w:r w:rsidRPr="00A4125B">
        <w:rPr>
          <w:rFonts w:ascii="Times New Roman" w:hAnsi="Times New Roman"/>
          <w:b w:val="0"/>
          <w:sz w:val="22"/>
          <w:szCs w:val="22"/>
        </w:rPr>
        <w:t xml:space="preserve">is </w:t>
      </w:r>
      <w:r w:rsidR="00FF08B7" w:rsidRPr="00A4125B">
        <w:rPr>
          <w:rFonts w:ascii="Times New Roman" w:hAnsi="Times New Roman"/>
          <w:b w:val="0"/>
          <w:sz w:val="22"/>
          <w:szCs w:val="22"/>
        </w:rPr>
        <w:t xml:space="preserve">the </w:t>
      </w:r>
      <w:r w:rsidR="00C32AD3" w:rsidRPr="00A4125B">
        <w:rPr>
          <w:rFonts w:ascii="Times New Roman" w:hAnsi="Times New Roman"/>
          <w:b w:val="0"/>
          <w:sz w:val="22"/>
          <w:szCs w:val="22"/>
        </w:rPr>
        <w:t>Minister for Resources and Northern Australia</w:t>
      </w:r>
      <w:r w:rsidR="00FF08B7" w:rsidRPr="00A4125B">
        <w:rPr>
          <w:rFonts w:ascii="Times New Roman" w:hAnsi="Times New Roman"/>
          <w:b w:val="0"/>
          <w:sz w:val="22"/>
          <w:szCs w:val="22"/>
        </w:rPr>
        <w:t xml:space="preserve">, </w:t>
      </w:r>
      <w:r w:rsidRPr="00A4125B">
        <w:rPr>
          <w:rFonts w:ascii="Times New Roman" w:hAnsi="Times New Roman"/>
          <w:b w:val="0"/>
          <w:sz w:val="22"/>
          <w:szCs w:val="22"/>
        </w:rPr>
        <w:t>who provided a written application to the Attorney</w:t>
      </w:r>
      <w:r w:rsidRPr="00A4125B">
        <w:rPr>
          <w:rFonts w:ascii="Times New Roman" w:hAnsi="Times New Roman"/>
          <w:b w:val="0"/>
          <w:sz w:val="22"/>
          <w:szCs w:val="22"/>
        </w:rPr>
        <w:noBreakHyphen/>
        <w:t>General seeking an alignment of the instruments’ sunsetting days.</w:t>
      </w:r>
      <w:r w:rsidR="004F62A2" w:rsidRPr="00A4125B">
        <w:rPr>
          <w:rFonts w:ascii="Times New Roman" w:hAnsi="Times New Roman"/>
          <w:b w:val="0"/>
          <w:sz w:val="22"/>
          <w:szCs w:val="22"/>
        </w:rPr>
        <w:t xml:space="preserve"> On consideration of</w:t>
      </w:r>
      <w:r w:rsidR="00974F4D" w:rsidRPr="00A4125B">
        <w:rPr>
          <w:rFonts w:ascii="Times New Roman" w:hAnsi="Times New Roman"/>
          <w:b w:val="0"/>
          <w:sz w:val="22"/>
          <w:szCs w:val="22"/>
        </w:rPr>
        <w:t xml:space="preserve"> this application, the Attorney</w:t>
      </w:r>
      <w:r w:rsidR="00974F4D" w:rsidRPr="00A4125B">
        <w:rPr>
          <w:rFonts w:ascii="Times New Roman" w:hAnsi="Times New Roman"/>
          <w:b w:val="0"/>
          <w:sz w:val="22"/>
          <w:szCs w:val="22"/>
        </w:rPr>
        <w:noBreakHyphen/>
      </w:r>
      <w:r w:rsidR="004F62A2" w:rsidRPr="00A4125B">
        <w:rPr>
          <w:rFonts w:ascii="Times New Roman" w:hAnsi="Times New Roman"/>
          <w:b w:val="0"/>
          <w:sz w:val="22"/>
          <w:szCs w:val="22"/>
        </w:rPr>
        <w:t>General was satisfied that the criteria in paragraphs</w:t>
      </w:r>
      <w:r w:rsidR="00FE3374" w:rsidRPr="00A4125B">
        <w:rPr>
          <w:rFonts w:ascii="Times New Roman" w:hAnsi="Times New Roman"/>
          <w:b w:val="0"/>
          <w:sz w:val="22"/>
          <w:szCs w:val="22"/>
        </w:rPr>
        <w:t> </w:t>
      </w:r>
      <w:r w:rsidR="004F62A2" w:rsidRPr="00A4125B">
        <w:rPr>
          <w:rFonts w:ascii="Times New Roman" w:hAnsi="Times New Roman"/>
          <w:b w:val="0"/>
          <w:sz w:val="22"/>
          <w:szCs w:val="22"/>
        </w:rPr>
        <w:t>51A(1)(a) and (b)</w:t>
      </w:r>
      <w:r w:rsidR="00FE3374" w:rsidRPr="00A4125B">
        <w:rPr>
          <w:rFonts w:ascii="Times New Roman" w:hAnsi="Times New Roman"/>
          <w:b w:val="0"/>
          <w:sz w:val="22"/>
          <w:szCs w:val="22"/>
        </w:rPr>
        <w:t xml:space="preserve"> of the Legislation Act</w:t>
      </w:r>
      <w:r w:rsidR="004F62A2" w:rsidRPr="00A4125B">
        <w:rPr>
          <w:rFonts w:ascii="Times New Roman" w:hAnsi="Times New Roman"/>
          <w:b w:val="0"/>
          <w:sz w:val="22"/>
          <w:szCs w:val="22"/>
        </w:rPr>
        <w:t xml:space="preserve"> were met.</w:t>
      </w:r>
    </w:p>
    <w:p w14:paraId="1ADBA6E4" w14:textId="77777777" w:rsidR="00A4125B" w:rsidRDefault="00A4125B" w:rsidP="00A4125B">
      <w:pPr>
        <w:pStyle w:val="ActHead9"/>
        <w:spacing w:before="0" w:line="276" w:lineRule="auto"/>
        <w:rPr>
          <w:i w:val="0"/>
          <w:sz w:val="22"/>
          <w:szCs w:val="22"/>
        </w:rPr>
      </w:pPr>
    </w:p>
    <w:p w14:paraId="74D4060E" w14:textId="77777777" w:rsidR="007C6104" w:rsidRPr="00A4125B" w:rsidRDefault="007C6104" w:rsidP="00A4125B">
      <w:pPr>
        <w:pStyle w:val="ActHead9"/>
        <w:spacing w:before="0" w:line="276" w:lineRule="auto"/>
        <w:rPr>
          <w:sz w:val="22"/>
          <w:szCs w:val="22"/>
        </w:rPr>
      </w:pPr>
      <w:r w:rsidRPr="00A4125B">
        <w:rPr>
          <w:i w:val="0"/>
          <w:sz w:val="22"/>
          <w:szCs w:val="22"/>
        </w:rPr>
        <w:t xml:space="preserve">Statement of Reasons for issuing of the declaration </w:t>
      </w:r>
    </w:p>
    <w:p w14:paraId="7C85C263" w14:textId="77777777" w:rsidR="00A4125B" w:rsidRDefault="00A4125B" w:rsidP="00A4125B">
      <w:pPr>
        <w:pStyle w:val="Basetext"/>
        <w:spacing w:before="0"/>
      </w:pPr>
    </w:p>
    <w:p w14:paraId="38CADE15" w14:textId="1EDD6AAB" w:rsidR="001C7DDC" w:rsidRDefault="007C6104" w:rsidP="00A4125B">
      <w:pPr>
        <w:pStyle w:val="Basetext"/>
        <w:spacing w:before="0"/>
        <w:rPr>
          <w:bCs/>
        </w:rPr>
      </w:pPr>
      <w:r w:rsidRPr="00A4125B">
        <w:t xml:space="preserve">For the purposes of subsection 51A(4) of the Legislation Act, this section sets out the statement of reasons for the issue of the </w:t>
      </w:r>
      <w:r w:rsidR="00C703D9" w:rsidRPr="00A4125B">
        <w:rPr>
          <w:bCs/>
        </w:rPr>
        <w:t>Declaration</w:t>
      </w:r>
      <w:r w:rsidR="00C32AD3" w:rsidRPr="00A4125B">
        <w:rPr>
          <w:bCs/>
        </w:rPr>
        <w:t xml:space="preserve">. </w:t>
      </w:r>
    </w:p>
    <w:p w14:paraId="5E97FE9A" w14:textId="77777777" w:rsidR="00A4125B" w:rsidRPr="00A4125B" w:rsidRDefault="00A4125B" w:rsidP="00A4125B">
      <w:pPr>
        <w:pStyle w:val="Basetext"/>
        <w:spacing w:before="0"/>
        <w:rPr>
          <w:bCs/>
        </w:rPr>
      </w:pPr>
    </w:p>
    <w:p w14:paraId="05751343" w14:textId="2F4C16EB" w:rsidR="001C7DDC" w:rsidRDefault="001C7DDC" w:rsidP="00A4125B">
      <w:pPr>
        <w:pStyle w:val="Basetext"/>
        <w:spacing w:before="0"/>
        <w:rPr>
          <w:bCs/>
        </w:rPr>
      </w:pPr>
      <w:r w:rsidRPr="00A4125B">
        <w:rPr>
          <w:bCs/>
        </w:rPr>
        <w:t xml:space="preserve">The </w:t>
      </w:r>
      <w:r w:rsidR="00A621BE" w:rsidRPr="00A4125B">
        <w:rPr>
          <w:bCs/>
        </w:rPr>
        <w:t>OPGGS Regulations</w:t>
      </w:r>
      <w:r w:rsidRPr="00A4125B">
        <w:rPr>
          <w:bCs/>
        </w:rPr>
        <w:t xml:space="preserve"> form the regulatory framework underpinning the OPGGS Act and the Levies Act. The Minister for Resources and Northern Australia has </w:t>
      </w:r>
      <w:r w:rsidR="00A621BE" w:rsidRPr="00A4125B">
        <w:rPr>
          <w:bCs/>
        </w:rPr>
        <w:t>stated</w:t>
      </w:r>
      <w:r w:rsidRPr="00A4125B">
        <w:rPr>
          <w:bCs/>
        </w:rPr>
        <w:t xml:space="preserve"> that the </w:t>
      </w:r>
      <w:r w:rsidR="00A621BE" w:rsidRPr="00A4125B">
        <w:rPr>
          <w:bCs/>
        </w:rPr>
        <w:t>OPGGS Regulations</w:t>
      </w:r>
      <w:r w:rsidRPr="00A4125B">
        <w:rPr>
          <w:bCs/>
        </w:rPr>
        <w:t xml:space="preserve"> will be subject to a sing</w:t>
      </w:r>
      <w:r w:rsidR="00A621BE" w:rsidRPr="00A4125B">
        <w:rPr>
          <w:bCs/>
        </w:rPr>
        <w:t>le thematic review (the review)</w:t>
      </w:r>
      <w:r w:rsidRPr="00A4125B">
        <w:rPr>
          <w:bCs/>
        </w:rPr>
        <w:t xml:space="preserve"> which will consider the</w:t>
      </w:r>
      <w:r w:rsidR="00A621BE" w:rsidRPr="00A4125B">
        <w:rPr>
          <w:bCs/>
        </w:rPr>
        <w:t>ir</w:t>
      </w:r>
      <w:r w:rsidRPr="00A4125B">
        <w:rPr>
          <w:bCs/>
        </w:rPr>
        <w:t xml:space="preserve"> structure and content, with a view to clarifying and simplifying the regulatory framework. Reviewing the </w:t>
      </w:r>
      <w:r w:rsidR="00A621BE" w:rsidRPr="00A4125B">
        <w:rPr>
          <w:bCs/>
        </w:rPr>
        <w:t>OPGGS Regulations</w:t>
      </w:r>
      <w:r w:rsidRPr="00A4125B">
        <w:rPr>
          <w:bCs/>
        </w:rPr>
        <w:t xml:space="preserve"> together will enable a comprehensive structural review of the framework, consistent with Australian Government policy and regulatory best practice.  </w:t>
      </w:r>
    </w:p>
    <w:p w14:paraId="261D5BD9" w14:textId="77777777" w:rsidR="00A4125B" w:rsidRPr="00A4125B" w:rsidRDefault="00A4125B" w:rsidP="00A4125B">
      <w:pPr>
        <w:pStyle w:val="Basetext"/>
        <w:spacing w:before="0"/>
        <w:rPr>
          <w:bCs/>
        </w:rPr>
      </w:pPr>
    </w:p>
    <w:p w14:paraId="5107D139" w14:textId="74CEF9F8" w:rsidR="004C2B54" w:rsidRDefault="004C2B54" w:rsidP="00A4125B">
      <w:pPr>
        <w:pStyle w:val="Basetext"/>
        <w:spacing w:before="0"/>
        <w:rPr>
          <w:bCs/>
        </w:rPr>
      </w:pPr>
      <w:r w:rsidRPr="00A4125B">
        <w:rPr>
          <w:bCs/>
        </w:rPr>
        <w:t xml:space="preserve">Aligning the sunsetting dates of the </w:t>
      </w:r>
      <w:r w:rsidR="00A621BE" w:rsidRPr="00A4125B">
        <w:rPr>
          <w:bCs/>
        </w:rPr>
        <w:t>OPGGS Regulations</w:t>
      </w:r>
      <w:r w:rsidR="00C703D9" w:rsidRPr="00A4125B">
        <w:rPr>
          <w:bCs/>
        </w:rPr>
        <w:t xml:space="preserve"> to be 1 April 2024</w:t>
      </w:r>
      <w:r w:rsidRPr="00A4125B">
        <w:rPr>
          <w:bCs/>
        </w:rPr>
        <w:t xml:space="preserve"> will allow sufficient time to undertake the review and implement the findings of the review. Each set of regulations will be </w:t>
      </w:r>
      <w:r w:rsidR="00A621BE" w:rsidRPr="00A4125B">
        <w:rPr>
          <w:bCs/>
        </w:rPr>
        <w:t>replaced</w:t>
      </w:r>
      <w:r w:rsidRPr="00A4125B">
        <w:rPr>
          <w:bCs/>
        </w:rPr>
        <w:t xml:space="preserve"> pursuant to the findings of the review. This would happen on a staggered basis to allow for further policy review</w:t>
      </w:r>
      <w:r w:rsidR="00A621BE" w:rsidRPr="00A4125B">
        <w:rPr>
          <w:bCs/>
        </w:rPr>
        <w:t>s, engagement with stakeholders</w:t>
      </w:r>
      <w:r w:rsidRPr="00A4125B">
        <w:rPr>
          <w:bCs/>
        </w:rPr>
        <w:t xml:space="preserve"> and implementation of the new structure to take place.</w:t>
      </w:r>
    </w:p>
    <w:p w14:paraId="13774DA8" w14:textId="77777777" w:rsidR="00A4125B" w:rsidRPr="00A4125B" w:rsidRDefault="00A4125B" w:rsidP="00A4125B">
      <w:pPr>
        <w:pStyle w:val="Basetext"/>
        <w:spacing w:before="0"/>
        <w:rPr>
          <w:bCs/>
        </w:rPr>
      </w:pPr>
    </w:p>
    <w:p w14:paraId="3F60238A" w14:textId="66104AC0" w:rsidR="004C2B54" w:rsidRDefault="004C2B54" w:rsidP="00A4125B">
      <w:pPr>
        <w:pStyle w:val="Basetext"/>
        <w:spacing w:before="0"/>
        <w:rPr>
          <w:bCs/>
        </w:rPr>
      </w:pPr>
      <w:r w:rsidRPr="00A4125B">
        <w:rPr>
          <w:bCs/>
        </w:rPr>
        <w:t xml:space="preserve">As such, the alignment of the sunsetting dates of the </w:t>
      </w:r>
      <w:r w:rsidR="00A621BE" w:rsidRPr="00A4125B">
        <w:rPr>
          <w:bCs/>
        </w:rPr>
        <w:t>OPGGS Regulations</w:t>
      </w:r>
      <w:r w:rsidRPr="00A4125B">
        <w:rPr>
          <w:bCs/>
        </w:rPr>
        <w:t xml:space="preserve"> would facilitate the implementation of the findings of the review and be consistent with the policy intent of the sunsetting regime that legislative instruments should be kept up to date and only remain in force so long as they are needed.</w:t>
      </w:r>
    </w:p>
    <w:p w14:paraId="249C4494" w14:textId="77777777" w:rsidR="00A4125B" w:rsidRPr="00A4125B" w:rsidRDefault="00A4125B" w:rsidP="00A4125B">
      <w:pPr>
        <w:pStyle w:val="Basetext"/>
        <w:spacing w:before="0"/>
        <w:rPr>
          <w:bCs/>
        </w:rPr>
      </w:pPr>
    </w:p>
    <w:p w14:paraId="1EA6A6B3" w14:textId="48142E20" w:rsidR="00637B19" w:rsidRDefault="00637B19" w:rsidP="00A4125B">
      <w:pPr>
        <w:pStyle w:val="ActHead9"/>
        <w:spacing w:before="0" w:line="276" w:lineRule="auto"/>
        <w:rPr>
          <w:i w:val="0"/>
          <w:sz w:val="22"/>
          <w:szCs w:val="22"/>
        </w:rPr>
      </w:pPr>
      <w:r w:rsidRPr="00A4125B">
        <w:rPr>
          <w:i w:val="0"/>
          <w:sz w:val="22"/>
          <w:szCs w:val="22"/>
        </w:rPr>
        <w:lastRenderedPageBreak/>
        <w:t xml:space="preserve">More information </w:t>
      </w:r>
    </w:p>
    <w:p w14:paraId="1EBB3AB9" w14:textId="77777777" w:rsidR="001A1A39" w:rsidRDefault="001A1A39" w:rsidP="00A4125B">
      <w:pPr>
        <w:spacing w:line="276" w:lineRule="auto"/>
        <w:rPr>
          <w:szCs w:val="22"/>
        </w:rPr>
      </w:pPr>
    </w:p>
    <w:p w14:paraId="63E46E02" w14:textId="286B93DD" w:rsidR="009F293D" w:rsidRDefault="00637B19" w:rsidP="00A4125B">
      <w:pPr>
        <w:spacing w:line="276" w:lineRule="auto"/>
        <w:rPr>
          <w:rFonts w:eastAsia="Times New Roman"/>
          <w:snapToGrid w:val="0"/>
          <w:szCs w:val="22"/>
        </w:rPr>
      </w:pPr>
      <w:r w:rsidRPr="00A4125B">
        <w:rPr>
          <w:szCs w:val="22"/>
        </w:rPr>
        <w:t>Further details of th</w:t>
      </w:r>
      <w:r w:rsidR="0053581C" w:rsidRPr="00A4125B">
        <w:rPr>
          <w:szCs w:val="22"/>
        </w:rPr>
        <w:t>e</w:t>
      </w:r>
      <w:r w:rsidR="00C011D3" w:rsidRPr="00A4125B">
        <w:rPr>
          <w:szCs w:val="22"/>
        </w:rPr>
        <w:t xml:space="preserve"> provisions of the</w:t>
      </w:r>
      <w:r w:rsidR="0053581C" w:rsidRPr="00A4125B">
        <w:rPr>
          <w:szCs w:val="22"/>
        </w:rPr>
        <w:t xml:space="preserve"> </w:t>
      </w:r>
      <w:r w:rsidR="00A621BE" w:rsidRPr="00A4125B">
        <w:rPr>
          <w:szCs w:val="22"/>
        </w:rPr>
        <w:t>Declaration</w:t>
      </w:r>
      <w:r w:rsidR="004B1C89" w:rsidRPr="00A4125B">
        <w:rPr>
          <w:szCs w:val="22"/>
        </w:rPr>
        <w:t xml:space="preserve"> </w:t>
      </w:r>
      <w:r w:rsidRPr="00A4125B">
        <w:rPr>
          <w:szCs w:val="22"/>
        </w:rPr>
        <w:t xml:space="preserve">are set out in </w:t>
      </w:r>
      <w:r w:rsidRPr="00C041A9">
        <w:rPr>
          <w:szCs w:val="22"/>
          <w:u w:val="single"/>
        </w:rPr>
        <w:t>Attachment</w:t>
      </w:r>
      <w:r w:rsidR="008115EF" w:rsidRPr="00C041A9">
        <w:rPr>
          <w:szCs w:val="22"/>
          <w:u w:val="single"/>
        </w:rPr>
        <w:t> </w:t>
      </w:r>
      <w:r w:rsidR="00E16D0B" w:rsidRPr="00C041A9">
        <w:rPr>
          <w:szCs w:val="22"/>
          <w:u w:val="single"/>
        </w:rPr>
        <w:t>A</w:t>
      </w:r>
      <w:r w:rsidRPr="00A4125B">
        <w:rPr>
          <w:szCs w:val="22"/>
        </w:rPr>
        <w:t>.</w:t>
      </w:r>
      <w:r w:rsidR="009F293D" w:rsidRPr="00A4125B">
        <w:rPr>
          <w:rFonts w:eastAsia="Times New Roman"/>
          <w:snapToGrid w:val="0"/>
          <w:szCs w:val="22"/>
        </w:rPr>
        <w:t xml:space="preserve"> </w:t>
      </w:r>
    </w:p>
    <w:p w14:paraId="5D8B6CA6" w14:textId="77777777" w:rsidR="00A4125B" w:rsidRPr="00A4125B" w:rsidRDefault="00A4125B" w:rsidP="00A4125B">
      <w:pPr>
        <w:spacing w:line="276" w:lineRule="auto"/>
        <w:rPr>
          <w:rFonts w:eastAsia="Times New Roman"/>
          <w:snapToGrid w:val="0"/>
          <w:szCs w:val="22"/>
        </w:rPr>
      </w:pPr>
    </w:p>
    <w:p w14:paraId="42FC5690" w14:textId="32531C22" w:rsidR="009F293D" w:rsidRDefault="00637B19" w:rsidP="00A4125B">
      <w:pPr>
        <w:spacing w:line="276" w:lineRule="auto"/>
        <w:rPr>
          <w:szCs w:val="22"/>
        </w:rPr>
      </w:pPr>
      <w:r w:rsidRPr="00A4125B">
        <w:rPr>
          <w:szCs w:val="22"/>
        </w:rPr>
        <w:t>A copy of each instrument which is the subject of th</w:t>
      </w:r>
      <w:r w:rsidR="0053581C" w:rsidRPr="00A4125B">
        <w:rPr>
          <w:szCs w:val="22"/>
        </w:rPr>
        <w:t>e</w:t>
      </w:r>
      <w:r w:rsidRPr="00A4125B">
        <w:rPr>
          <w:szCs w:val="22"/>
        </w:rPr>
        <w:t xml:space="preserve"> </w:t>
      </w:r>
      <w:r w:rsidR="00A621BE" w:rsidRPr="00A4125B">
        <w:rPr>
          <w:szCs w:val="22"/>
        </w:rPr>
        <w:t>Declaration</w:t>
      </w:r>
      <w:r w:rsidRPr="00A4125B">
        <w:rPr>
          <w:szCs w:val="22"/>
        </w:rPr>
        <w:t>, and which w</w:t>
      </w:r>
      <w:r w:rsidR="0032759D" w:rsidRPr="00A4125B">
        <w:rPr>
          <w:szCs w:val="22"/>
        </w:rPr>
        <w:t xml:space="preserve">ill now sunset on </w:t>
      </w:r>
      <w:r w:rsidR="00C703D9" w:rsidRPr="00A4125B">
        <w:rPr>
          <w:szCs w:val="22"/>
        </w:rPr>
        <w:t>1</w:t>
      </w:r>
      <w:r w:rsidR="00EA4EAA" w:rsidRPr="00A4125B">
        <w:rPr>
          <w:szCs w:val="22"/>
        </w:rPr>
        <w:t> </w:t>
      </w:r>
      <w:r w:rsidR="00C703D9" w:rsidRPr="00A4125B">
        <w:rPr>
          <w:szCs w:val="22"/>
        </w:rPr>
        <w:t>April 2024</w:t>
      </w:r>
      <w:r w:rsidRPr="00A4125B">
        <w:rPr>
          <w:szCs w:val="22"/>
        </w:rPr>
        <w:t xml:space="preserve">, is available on the </w:t>
      </w:r>
      <w:r w:rsidR="00BB63C1" w:rsidRPr="00A4125B">
        <w:rPr>
          <w:szCs w:val="22"/>
        </w:rPr>
        <w:t>Federal Register of Legislation</w:t>
      </w:r>
      <w:r w:rsidRPr="00A4125B">
        <w:fldChar w:fldCharType="begin"/>
      </w:r>
      <w:r w:rsidRPr="00A4125B">
        <w:rPr>
          <w:szCs w:val="22"/>
        </w:rPr>
        <w:instrText>http://www.comlaw.gov.au/</w:instrText>
      </w:r>
      <w:r w:rsidRPr="00A4125B">
        <w:fldChar w:fldCharType="separate"/>
      </w:r>
      <w:r w:rsidRPr="00A4125B">
        <w:rPr>
          <w:rStyle w:val="Hyperlink"/>
          <w:color w:val="auto"/>
          <w:szCs w:val="22"/>
        </w:rPr>
        <w:t>http://www.comlaw.gov.au</w:t>
      </w:r>
      <w:r w:rsidRPr="00A4125B">
        <w:rPr>
          <w:rStyle w:val="Hyperlink"/>
          <w:color w:val="auto"/>
          <w:szCs w:val="22"/>
        </w:rPr>
        <w:fldChar w:fldCharType="end"/>
      </w:r>
      <w:r w:rsidRPr="00A4125B">
        <w:rPr>
          <w:szCs w:val="22"/>
        </w:rPr>
        <w:t xml:space="preserve">. </w:t>
      </w:r>
    </w:p>
    <w:p w14:paraId="3F17F893" w14:textId="77777777" w:rsidR="00A4125B" w:rsidRPr="00A4125B" w:rsidRDefault="00A4125B" w:rsidP="00A4125B">
      <w:pPr>
        <w:spacing w:line="276" w:lineRule="auto"/>
        <w:rPr>
          <w:rFonts w:eastAsia="Times New Roman"/>
          <w:snapToGrid w:val="0"/>
          <w:szCs w:val="22"/>
        </w:rPr>
      </w:pPr>
    </w:p>
    <w:p w14:paraId="49E8BFB7" w14:textId="6E36E416" w:rsidR="002C1C61" w:rsidRPr="00A4125B" w:rsidRDefault="002A4FF2" w:rsidP="00A4125B">
      <w:pPr>
        <w:spacing w:line="276" w:lineRule="auto"/>
        <w:rPr>
          <w:rFonts w:eastAsia="Times New Roman"/>
          <w:snapToGrid w:val="0"/>
          <w:szCs w:val="22"/>
        </w:rPr>
      </w:pPr>
      <w:r w:rsidRPr="00A4125B">
        <w:rPr>
          <w:szCs w:val="22"/>
        </w:rPr>
        <w:t>Further information may be requested from the Attorney-General’s Departme</w:t>
      </w:r>
      <w:r w:rsidR="0053581C" w:rsidRPr="00A4125B">
        <w:rPr>
          <w:szCs w:val="22"/>
        </w:rPr>
        <w:t xml:space="preserve">nt about the operation of the </w:t>
      </w:r>
      <w:r w:rsidR="00A621BE" w:rsidRPr="00A4125B">
        <w:rPr>
          <w:szCs w:val="22"/>
        </w:rPr>
        <w:t>Declaration</w:t>
      </w:r>
      <w:r w:rsidRPr="00A4125B">
        <w:rPr>
          <w:szCs w:val="22"/>
        </w:rPr>
        <w:t xml:space="preserve">, and from </w:t>
      </w:r>
      <w:r w:rsidR="005D57D6" w:rsidRPr="00A4125B">
        <w:rPr>
          <w:szCs w:val="22"/>
        </w:rPr>
        <w:t xml:space="preserve">the Department of </w:t>
      </w:r>
      <w:r w:rsidR="006A1C14" w:rsidRPr="00A4125B">
        <w:rPr>
          <w:szCs w:val="22"/>
        </w:rPr>
        <w:t>Industry, Innovation and Science</w:t>
      </w:r>
      <w:r w:rsidR="005D57D6" w:rsidRPr="00A4125B">
        <w:rPr>
          <w:szCs w:val="22"/>
        </w:rPr>
        <w:t xml:space="preserve"> </w:t>
      </w:r>
      <w:r w:rsidRPr="00A4125B">
        <w:rPr>
          <w:szCs w:val="22"/>
        </w:rPr>
        <w:t>about</w:t>
      </w:r>
      <w:r w:rsidR="0053581C" w:rsidRPr="00A4125B">
        <w:rPr>
          <w:szCs w:val="22"/>
        </w:rPr>
        <w:t xml:space="preserve"> the instruments to which the </w:t>
      </w:r>
      <w:r w:rsidR="00A621BE" w:rsidRPr="00A4125B">
        <w:rPr>
          <w:szCs w:val="22"/>
        </w:rPr>
        <w:t>Declaration</w:t>
      </w:r>
      <w:r w:rsidR="00E40C76" w:rsidRPr="00A4125B">
        <w:rPr>
          <w:szCs w:val="22"/>
        </w:rPr>
        <w:t xml:space="preserve"> </w:t>
      </w:r>
      <w:r w:rsidRPr="00A4125B">
        <w:rPr>
          <w:szCs w:val="22"/>
        </w:rPr>
        <w:t>applies.</w:t>
      </w:r>
      <w:r w:rsidR="009F293D" w:rsidRPr="00A4125B">
        <w:rPr>
          <w:rFonts w:eastAsia="Times New Roman"/>
          <w:snapToGrid w:val="0"/>
          <w:szCs w:val="22"/>
        </w:rPr>
        <w:t xml:space="preserve"> </w:t>
      </w:r>
    </w:p>
    <w:p w14:paraId="481D8033" w14:textId="77777777" w:rsidR="00637B19" w:rsidRDefault="00637B19" w:rsidP="00A4125B">
      <w:pPr>
        <w:pStyle w:val="Heading2"/>
        <w:spacing w:before="0" w:line="276" w:lineRule="auto"/>
        <w:ind w:left="12" w:hanging="12"/>
        <w:rPr>
          <w:rStyle w:val="Heading1Char"/>
          <w:rFonts w:ascii="Times New Roman" w:hAnsi="Times New Roman"/>
          <w:b/>
          <w:sz w:val="22"/>
          <w:szCs w:val="22"/>
        </w:rPr>
      </w:pPr>
      <w:r w:rsidRPr="00A4125B">
        <w:rPr>
          <w:rStyle w:val="Heading1Char"/>
          <w:rFonts w:ascii="Times New Roman" w:hAnsi="Times New Roman"/>
          <w:b/>
          <w:sz w:val="22"/>
          <w:szCs w:val="22"/>
          <w:highlight w:val="cyan"/>
        </w:rPr>
        <w:br w:type="page"/>
      </w:r>
      <w:r w:rsidRPr="00A4125B">
        <w:rPr>
          <w:rStyle w:val="Heading1Char"/>
          <w:rFonts w:ascii="Times New Roman" w:hAnsi="Times New Roman"/>
          <w:b/>
          <w:sz w:val="22"/>
          <w:szCs w:val="22"/>
        </w:rPr>
        <w:t>ATTACHMENT A</w:t>
      </w:r>
    </w:p>
    <w:p w14:paraId="300AC107" w14:textId="77777777" w:rsidR="00A4125B" w:rsidRPr="00A4125B" w:rsidRDefault="00A4125B" w:rsidP="00A4125B"/>
    <w:p w14:paraId="2ECBF4B4" w14:textId="4357723C" w:rsidR="00637B19" w:rsidRDefault="00637B19" w:rsidP="00A4125B">
      <w:pPr>
        <w:pStyle w:val="Heading2"/>
        <w:spacing w:before="0" w:line="276" w:lineRule="auto"/>
        <w:ind w:left="12" w:hanging="12"/>
        <w:rPr>
          <w:rFonts w:ascii="Times New Roman" w:hAnsi="Times New Roman"/>
          <w:sz w:val="22"/>
          <w:szCs w:val="22"/>
        </w:rPr>
      </w:pPr>
      <w:r w:rsidRPr="00A4125B">
        <w:rPr>
          <w:rFonts w:ascii="Times New Roman" w:hAnsi="Times New Roman"/>
          <w:sz w:val="22"/>
          <w:szCs w:val="22"/>
        </w:rPr>
        <w:t>NOTES ON THE DECLARATION</w:t>
      </w:r>
    </w:p>
    <w:p w14:paraId="13C4581F" w14:textId="77777777" w:rsidR="00A4125B" w:rsidRPr="00A4125B" w:rsidRDefault="00A4125B" w:rsidP="00A4125B"/>
    <w:p w14:paraId="61775E80" w14:textId="481D8C26" w:rsidR="00637B19" w:rsidRDefault="00637B19" w:rsidP="00A4125B">
      <w:pPr>
        <w:pStyle w:val="Heading3"/>
        <w:spacing w:before="0" w:line="276" w:lineRule="auto"/>
        <w:rPr>
          <w:rFonts w:ascii="Times New Roman" w:hAnsi="Times New Roman"/>
          <w:sz w:val="22"/>
          <w:szCs w:val="22"/>
        </w:rPr>
      </w:pPr>
      <w:r w:rsidRPr="00A4125B">
        <w:rPr>
          <w:rFonts w:ascii="Times New Roman" w:hAnsi="Times New Roman"/>
          <w:sz w:val="22"/>
          <w:szCs w:val="22"/>
        </w:rPr>
        <w:t>Section 1</w:t>
      </w:r>
      <w:r w:rsidRPr="00A4125B">
        <w:rPr>
          <w:rFonts w:ascii="Times New Roman" w:hAnsi="Times New Roman"/>
          <w:sz w:val="22"/>
          <w:szCs w:val="22"/>
        </w:rPr>
        <w:tab/>
        <w:t xml:space="preserve">Name </w:t>
      </w:r>
    </w:p>
    <w:p w14:paraId="73104BDB" w14:textId="77777777" w:rsidR="00A4125B" w:rsidRPr="00A4125B" w:rsidRDefault="00A4125B" w:rsidP="00A4125B"/>
    <w:p w14:paraId="22B0A214" w14:textId="1F5F5E71" w:rsidR="009F293D" w:rsidRDefault="00637B19" w:rsidP="00A4125B">
      <w:pPr>
        <w:spacing w:line="276" w:lineRule="auto"/>
        <w:rPr>
          <w:szCs w:val="22"/>
        </w:rPr>
      </w:pPr>
      <w:r w:rsidRPr="00A4125B">
        <w:rPr>
          <w:szCs w:val="22"/>
        </w:rPr>
        <w:t>This section provides for the</w:t>
      </w:r>
      <w:r w:rsidR="00A621BE" w:rsidRPr="00A4125B">
        <w:rPr>
          <w:szCs w:val="22"/>
        </w:rPr>
        <w:t xml:space="preserve"> declaration</w:t>
      </w:r>
      <w:r w:rsidRPr="00A4125B">
        <w:rPr>
          <w:szCs w:val="22"/>
        </w:rPr>
        <w:t xml:space="preserve"> to be named the </w:t>
      </w:r>
      <w:r w:rsidR="00A621BE" w:rsidRPr="00A4125B">
        <w:rPr>
          <w:i/>
          <w:iCs/>
          <w:szCs w:val="22"/>
        </w:rPr>
        <w:t>Legislation (Offshore Petroleum and Greenhouse Gas Storage Instruments) Sunset-altering Declaration 2019</w:t>
      </w:r>
      <w:r w:rsidR="006A1C14" w:rsidRPr="00A4125B">
        <w:rPr>
          <w:bCs/>
          <w:szCs w:val="22"/>
        </w:rPr>
        <w:t xml:space="preserve">. </w:t>
      </w:r>
      <w:r w:rsidRPr="00A4125B">
        <w:rPr>
          <w:szCs w:val="22"/>
        </w:rPr>
        <w:t xml:space="preserve">The </w:t>
      </w:r>
      <w:r w:rsidR="00A621BE" w:rsidRPr="00A4125B">
        <w:rPr>
          <w:szCs w:val="22"/>
        </w:rPr>
        <w:t>declaration</w:t>
      </w:r>
      <w:r w:rsidRPr="00A4125B">
        <w:rPr>
          <w:szCs w:val="22"/>
        </w:rPr>
        <w:t xml:space="preserve"> may be cited by that name. </w:t>
      </w:r>
    </w:p>
    <w:p w14:paraId="234E8E83" w14:textId="77777777" w:rsidR="00A4125B" w:rsidRPr="00A4125B" w:rsidRDefault="00A4125B" w:rsidP="00A4125B">
      <w:pPr>
        <w:spacing w:line="276" w:lineRule="auto"/>
        <w:rPr>
          <w:rFonts w:eastAsia="Times New Roman"/>
          <w:snapToGrid w:val="0"/>
          <w:szCs w:val="22"/>
        </w:rPr>
      </w:pPr>
    </w:p>
    <w:p w14:paraId="04E83948" w14:textId="77777777" w:rsidR="00637B19" w:rsidRDefault="00637B19" w:rsidP="00A4125B">
      <w:pPr>
        <w:pStyle w:val="Heading3"/>
        <w:spacing w:before="0" w:line="276" w:lineRule="auto"/>
        <w:rPr>
          <w:rFonts w:ascii="Times New Roman" w:hAnsi="Times New Roman"/>
          <w:sz w:val="22"/>
          <w:szCs w:val="22"/>
        </w:rPr>
      </w:pPr>
      <w:r w:rsidRPr="00A4125B">
        <w:rPr>
          <w:rFonts w:ascii="Times New Roman" w:hAnsi="Times New Roman"/>
          <w:sz w:val="22"/>
          <w:szCs w:val="22"/>
        </w:rPr>
        <w:t xml:space="preserve">Section 2 </w:t>
      </w:r>
      <w:r w:rsidRPr="00A4125B">
        <w:rPr>
          <w:rFonts w:ascii="Times New Roman" w:hAnsi="Times New Roman"/>
          <w:sz w:val="22"/>
          <w:szCs w:val="22"/>
        </w:rPr>
        <w:tab/>
        <w:t>Commencement</w:t>
      </w:r>
    </w:p>
    <w:p w14:paraId="0FD80E35" w14:textId="77777777" w:rsidR="00A4125B" w:rsidRPr="00A4125B" w:rsidRDefault="00A4125B" w:rsidP="00A4125B"/>
    <w:p w14:paraId="7372E1F7" w14:textId="0E31A768" w:rsidR="009F293D" w:rsidRPr="00A4125B" w:rsidRDefault="00637B19" w:rsidP="00A4125B">
      <w:pPr>
        <w:spacing w:line="276" w:lineRule="auto"/>
        <w:rPr>
          <w:rFonts w:eastAsia="Times New Roman"/>
          <w:snapToGrid w:val="0"/>
          <w:szCs w:val="22"/>
        </w:rPr>
      </w:pPr>
      <w:r w:rsidRPr="00A4125B">
        <w:rPr>
          <w:szCs w:val="22"/>
        </w:rPr>
        <w:t xml:space="preserve">This section provides for the </w:t>
      </w:r>
      <w:r w:rsidR="00F60B99" w:rsidRPr="00A4125B">
        <w:rPr>
          <w:szCs w:val="22"/>
        </w:rPr>
        <w:t>d</w:t>
      </w:r>
      <w:r w:rsidR="000C1F26" w:rsidRPr="00A4125B">
        <w:rPr>
          <w:szCs w:val="22"/>
        </w:rPr>
        <w:t>eclaration</w:t>
      </w:r>
      <w:r w:rsidRPr="00A4125B">
        <w:rPr>
          <w:szCs w:val="22"/>
        </w:rPr>
        <w:t xml:space="preserve"> to commence on the day after it is registered. </w:t>
      </w:r>
    </w:p>
    <w:p w14:paraId="57D7218A" w14:textId="77777777" w:rsidR="00A4125B" w:rsidRDefault="00A4125B" w:rsidP="00A4125B">
      <w:pPr>
        <w:pStyle w:val="Heading3"/>
        <w:spacing w:before="0" w:line="276" w:lineRule="auto"/>
        <w:rPr>
          <w:rFonts w:ascii="Times New Roman" w:hAnsi="Times New Roman"/>
          <w:sz w:val="22"/>
          <w:szCs w:val="22"/>
        </w:rPr>
      </w:pPr>
    </w:p>
    <w:p w14:paraId="455FC319" w14:textId="77777777" w:rsidR="00637B19" w:rsidRDefault="00637B19" w:rsidP="00A4125B">
      <w:pPr>
        <w:pStyle w:val="Heading3"/>
        <w:spacing w:before="0" w:line="276" w:lineRule="auto"/>
        <w:rPr>
          <w:rFonts w:ascii="Times New Roman" w:hAnsi="Times New Roman"/>
          <w:sz w:val="22"/>
          <w:szCs w:val="22"/>
        </w:rPr>
      </w:pPr>
      <w:r w:rsidRPr="00A4125B">
        <w:rPr>
          <w:rFonts w:ascii="Times New Roman" w:hAnsi="Times New Roman"/>
          <w:sz w:val="22"/>
          <w:szCs w:val="22"/>
        </w:rPr>
        <w:t>Section 3</w:t>
      </w:r>
      <w:r w:rsidRPr="00A4125B">
        <w:rPr>
          <w:rFonts w:ascii="Times New Roman" w:hAnsi="Times New Roman"/>
          <w:sz w:val="22"/>
          <w:szCs w:val="22"/>
        </w:rPr>
        <w:tab/>
        <w:t>Authority</w:t>
      </w:r>
    </w:p>
    <w:p w14:paraId="068A5F83" w14:textId="77777777" w:rsidR="00A4125B" w:rsidRPr="00A4125B" w:rsidRDefault="00A4125B" w:rsidP="00A4125B"/>
    <w:p w14:paraId="5EDC9401" w14:textId="40FA8F75" w:rsidR="009F293D" w:rsidRDefault="00637B19" w:rsidP="00A4125B">
      <w:pPr>
        <w:spacing w:line="276" w:lineRule="auto"/>
        <w:rPr>
          <w:rFonts w:eastAsia="Times New Roman"/>
          <w:snapToGrid w:val="0"/>
          <w:szCs w:val="22"/>
        </w:rPr>
      </w:pPr>
      <w:r w:rsidRPr="00A4125B">
        <w:rPr>
          <w:szCs w:val="22"/>
        </w:rPr>
        <w:t xml:space="preserve">This section provides that the </w:t>
      </w:r>
      <w:r w:rsidR="00A621BE" w:rsidRPr="00A4125B">
        <w:rPr>
          <w:szCs w:val="22"/>
        </w:rPr>
        <w:t>declaration</w:t>
      </w:r>
      <w:r w:rsidRPr="00A4125B">
        <w:rPr>
          <w:szCs w:val="22"/>
        </w:rPr>
        <w:t xml:space="preserve"> is made under subsection 51A</w:t>
      </w:r>
      <w:r w:rsidR="00C62304" w:rsidRPr="00A4125B">
        <w:rPr>
          <w:szCs w:val="22"/>
        </w:rPr>
        <w:t>(1)</w:t>
      </w:r>
      <w:r w:rsidRPr="00A4125B">
        <w:rPr>
          <w:szCs w:val="22"/>
        </w:rPr>
        <w:t xml:space="preserve"> of </w:t>
      </w:r>
      <w:r w:rsidR="002C326D" w:rsidRPr="00A4125B">
        <w:rPr>
          <w:szCs w:val="22"/>
        </w:rPr>
        <w:t>t</w:t>
      </w:r>
      <w:r w:rsidRPr="00A4125B">
        <w:rPr>
          <w:szCs w:val="22"/>
        </w:rPr>
        <w:t xml:space="preserve">he </w:t>
      </w:r>
      <w:r w:rsidR="003C5943" w:rsidRPr="00A4125B">
        <w:rPr>
          <w:i/>
          <w:szCs w:val="22"/>
        </w:rPr>
        <w:t>Legislation</w:t>
      </w:r>
      <w:r w:rsidR="00FE3374" w:rsidRPr="00A4125B">
        <w:rPr>
          <w:i/>
          <w:szCs w:val="22"/>
        </w:rPr>
        <w:t> </w:t>
      </w:r>
      <w:r w:rsidRPr="00A4125B">
        <w:rPr>
          <w:i/>
          <w:szCs w:val="22"/>
        </w:rPr>
        <w:t>Act</w:t>
      </w:r>
      <w:r w:rsidR="00FE3374" w:rsidRPr="00A4125B">
        <w:rPr>
          <w:i/>
          <w:szCs w:val="22"/>
        </w:rPr>
        <w:t> </w:t>
      </w:r>
      <w:r w:rsidRPr="00A4125B">
        <w:rPr>
          <w:i/>
          <w:szCs w:val="22"/>
        </w:rPr>
        <w:t>2003</w:t>
      </w:r>
      <w:r w:rsidR="006C4C67" w:rsidRPr="00A4125B">
        <w:rPr>
          <w:szCs w:val="22"/>
        </w:rPr>
        <w:t>.</w:t>
      </w:r>
      <w:r w:rsidR="009F293D" w:rsidRPr="00A4125B">
        <w:rPr>
          <w:rFonts w:eastAsia="Times New Roman"/>
          <w:snapToGrid w:val="0"/>
          <w:szCs w:val="22"/>
        </w:rPr>
        <w:t xml:space="preserve"> </w:t>
      </w:r>
    </w:p>
    <w:p w14:paraId="5B0DF19A" w14:textId="77777777" w:rsidR="00A4125B" w:rsidRPr="00A4125B" w:rsidRDefault="00A4125B" w:rsidP="00A4125B">
      <w:pPr>
        <w:spacing w:line="276" w:lineRule="auto"/>
        <w:rPr>
          <w:szCs w:val="22"/>
        </w:rPr>
      </w:pPr>
    </w:p>
    <w:p w14:paraId="0E44EA0A" w14:textId="0024B21D" w:rsidR="00637B19" w:rsidRDefault="00637B19" w:rsidP="00A4125B">
      <w:pPr>
        <w:pStyle w:val="Heading3"/>
        <w:spacing w:before="0" w:line="276" w:lineRule="auto"/>
        <w:rPr>
          <w:rFonts w:ascii="Times New Roman" w:hAnsi="Times New Roman"/>
          <w:sz w:val="22"/>
          <w:szCs w:val="22"/>
        </w:rPr>
      </w:pPr>
      <w:r w:rsidRPr="00A4125B">
        <w:rPr>
          <w:rFonts w:ascii="Times New Roman" w:hAnsi="Times New Roman"/>
          <w:sz w:val="22"/>
          <w:szCs w:val="22"/>
        </w:rPr>
        <w:t>Section 4</w:t>
      </w:r>
      <w:r w:rsidRPr="00A4125B">
        <w:rPr>
          <w:rFonts w:ascii="Times New Roman" w:hAnsi="Times New Roman"/>
          <w:sz w:val="22"/>
          <w:szCs w:val="22"/>
        </w:rPr>
        <w:tab/>
      </w:r>
      <w:r w:rsidR="00C703D9" w:rsidRPr="00A4125B">
        <w:rPr>
          <w:rFonts w:ascii="Times New Roman" w:hAnsi="Times New Roman"/>
          <w:sz w:val="22"/>
          <w:szCs w:val="22"/>
        </w:rPr>
        <w:t xml:space="preserve">Aligning of sunsetting </w:t>
      </w:r>
    </w:p>
    <w:p w14:paraId="66526F44" w14:textId="77777777" w:rsidR="00A4125B" w:rsidRPr="00A4125B" w:rsidRDefault="00A4125B" w:rsidP="00A4125B"/>
    <w:p w14:paraId="213B357C" w14:textId="5569F0CC" w:rsidR="009F293D" w:rsidRPr="00A4125B" w:rsidRDefault="00637B19" w:rsidP="00A4125B">
      <w:pPr>
        <w:spacing w:line="276" w:lineRule="auto"/>
        <w:rPr>
          <w:rFonts w:eastAsia="Times New Roman"/>
          <w:snapToGrid w:val="0"/>
          <w:szCs w:val="22"/>
        </w:rPr>
      </w:pPr>
      <w:r w:rsidRPr="00A4125B">
        <w:rPr>
          <w:szCs w:val="22"/>
        </w:rPr>
        <w:t>This section</w:t>
      </w:r>
      <w:r w:rsidR="002F41F9" w:rsidRPr="00A4125B">
        <w:rPr>
          <w:szCs w:val="22"/>
        </w:rPr>
        <w:t xml:space="preserve"> provides that the</w:t>
      </w:r>
      <w:r w:rsidR="00D0256B" w:rsidRPr="00A4125B">
        <w:rPr>
          <w:szCs w:val="22"/>
        </w:rPr>
        <w:t xml:space="preserve"> </w:t>
      </w:r>
      <w:r w:rsidR="00A54630" w:rsidRPr="00A4125B">
        <w:rPr>
          <w:szCs w:val="22"/>
        </w:rPr>
        <w:t xml:space="preserve">following instruments are repealed by section 51A of the Legislation Act on </w:t>
      </w:r>
      <w:r w:rsidR="006C4C67" w:rsidRPr="00A4125B">
        <w:rPr>
          <w:szCs w:val="22"/>
        </w:rPr>
        <w:t>1</w:t>
      </w:r>
      <w:r w:rsidR="001D2324" w:rsidRPr="00A4125B">
        <w:rPr>
          <w:szCs w:val="22"/>
        </w:rPr>
        <w:t> </w:t>
      </w:r>
      <w:r w:rsidR="00280D05" w:rsidRPr="00A4125B">
        <w:rPr>
          <w:szCs w:val="22"/>
        </w:rPr>
        <w:t>April 2024</w:t>
      </w:r>
      <w:r w:rsidR="00A54630" w:rsidRPr="00A4125B">
        <w:rPr>
          <w:szCs w:val="22"/>
        </w:rPr>
        <w:t xml:space="preserve">: </w:t>
      </w:r>
    </w:p>
    <w:p w14:paraId="3E6AE696" w14:textId="77777777" w:rsidR="00DD391D" w:rsidRPr="00A4125B" w:rsidRDefault="00DD391D" w:rsidP="00C041A9">
      <w:pPr>
        <w:pStyle w:val="Celltext"/>
        <w:numPr>
          <w:ilvl w:val="0"/>
          <w:numId w:val="19"/>
        </w:numPr>
        <w:spacing w:before="0" w:line="276" w:lineRule="auto"/>
        <w:rPr>
          <w:i/>
          <w:sz w:val="22"/>
          <w:szCs w:val="22"/>
        </w:rPr>
      </w:pPr>
      <w:r w:rsidRPr="00A4125B">
        <w:rPr>
          <w:i/>
          <w:sz w:val="22"/>
          <w:szCs w:val="22"/>
        </w:rPr>
        <w:t>Offshore Petroleum and Greenhouse Gas Storage (Safety) Regulations 2009</w:t>
      </w:r>
    </w:p>
    <w:p w14:paraId="261CCE07" w14:textId="77777777" w:rsidR="00DD391D" w:rsidRPr="00A4125B" w:rsidRDefault="00DD391D" w:rsidP="00C041A9">
      <w:pPr>
        <w:pStyle w:val="Celltext"/>
        <w:numPr>
          <w:ilvl w:val="0"/>
          <w:numId w:val="19"/>
        </w:numPr>
        <w:spacing w:before="0" w:line="276" w:lineRule="auto"/>
        <w:ind w:left="714" w:hanging="357"/>
        <w:rPr>
          <w:i/>
          <w:sz w:val="22"/>
          <w:szCs w:val="22"/>
        </w:rPr>
      </w:pPr>
      <w:r w:rsidRPr="00A4125B">
        <w:rPr>
          <w:i/>
          <w:sz w:val="22"/>
          <w:szCs w:val="22"/>
        </w:rPr>
        <w:t>Offshore Petroleum and Greenhouse Gas Storage (Environment) Regulations 2009</w:t>
      </w:r>
    </w:p>
    <w:p w14:paraId="3A18AB99" w14:textId="358D43C7" w:rsidR="00DD391D" w:rsidRPr="00A4125B" w:rsidRDefault="00DD391D" w:rsidP="00C041A9">
      <w:pPr>
        <w:pStyle w:val="Celltext"/>
        <w:numPr>
          <w:ilvl w:val="0"/>
          <w:numId w:val="19"/>
        </w:numPr>
        <w:spacing w:before="0" w:line="276" w:lineRule="auto"/>
        <w:ind w:left="714" w:hanging="357"/>
        <w:rPr>
          <w:i/>
          <w:sz w:val="22"/>
          <w:szCs w:val="22"/>
        </w:rPr>
      </w:pPr>
      <w:r w:rsidRPr="00A4125B">
        <w:rPr>
          <w:i/>
          <w:sz w:val="22"/>
          <w:szCs w:val="22"/>
        </w:rPr>
        <w:t>Offshore Petroleum and G</w:t>
      </w:r>
      <w:r w:rsidR="00C703D9" w:rsidRPr="00A4125B">
        <w:rPr>
          <w:i/>
          <w:sz w:val="22"/>
          <w:szCs w:val="22"/>
        </w:rPr>
        <w:t>reenhouse Gas Storage (Resource</w:t>
      </w:r>
      <w:r w:rsidRPr="00A4125B">
        <w:rPr>
          <w:i/>
          <w:sz w:val="22"/>
          <w:szCs w:val="22"/>
        </w:rPr>
        <w:t xml:space="preserve"> Management and Administration) Regulations 2011</w:t>
      </w:r>
    </w:p>
    <w:p w14:paraId="5F7BEA3E" w14:textId="77777777" w:rsidR="00DD391D" w:rsidRPr="00A4125B" w:rsidRDefault="00DD391D" w:rsidP="00C041A9">
      <w:pPr>
        <w:pStyle w:val="Celltext"/>
        <w:numPr>
          <w:ilvl w:val="0"/>
          <w:numId w:val="19"/>
        </w:numPr>
        <w:spacing w:before="0" w:line="276" w:lineRule="auto"/>
        <w:ind w:left="714" w:hanging="357"/>
        <w:rPr>
          <w:i/>
          <w:sz w:val="22"/>
          <w:szCs w:val="22"/>
        </w:rPr>
      </w:pPr>
      <w:r w:rsidRPr="00A4125B">
        <w:rPr>
          <w:i/>
          <w:sz w:val="22"/>
          <w:szCs w:val="22"/>
        </w:rPr>
        <w:t>Offshore Petroleum and Greenhouse Gas Storage (Greenhouse Gas Injection and Storage) Regulations 2011</w:t>
      </w:r>
      <w:r w:rsidRPr="00A4125B">
        <w:rPr>
          <w:sz w:val="22"/>
          <w:szCs w:val="22"/>
        </w:rPr>
        <w:t>, and</w:t>
      </w:r>
    </w:p>
    <w:p w14:paraId="2FD62850" w14:textId="45D54C18" w:rsidR="00DD391D" w:rsidRPr="00A4125B" w:rsidRDefault="00DD391D" w:rsidP="00C041A9">
      <w:pPr>
        <w:pStyle w:val="Celltext"/>
        <w:numPr>
          <w:ilvl w:val="0"/>
          <w:numId w:val="19"/>
        </w:numPr>
        <w:spacing w:before="0" w:line="276" w:lineRule="auto"/>
        <w:ind w:left="714" w:hanging="357"/>
        <w:rPr>
          <w:i/>
          <w:sz w:val="22"/>
          <w:szCs w:val="22"/>
        </w:rPr>
      </w:pPr>
      <w:r w:rsidRPr="00A4125B">
        <w:rPr>
          <w:i/>
          <w:sz w:val="22"/>
          <w:szCs w:val="22"/>
        </w:rPr>
        <w:t>Offshore Petroleum and Greenhouse Gas Storage (Regulatory Levies) Regulations 2004</w:t>
      </w:r>
      <w:r w:rsidRPr="00A4125B">
        <w:rPr>
          <w:sz w:val="22"/>
          <w:szCs w:val="22"/>
        </w:rPr>
        <w:t>.</w:t>
      </w:r>
    </w:p>
    <w:p w14:paraId="2E552DFC" w14:textId="77777777" w:rsidR="00C041A9" w:rsidRDefault="00C041A9" w:rsidP="00A4125B">
      <w:pPr>
        <w:spacing w:line="276" w:lineRule="auto"/>
        <w:rPr>
          <w:szCs w:val="22"/>
        </w:rPr>
      </w:pPr>
    </w:p>
    <w:p w14:paraId="6A74FD11" w14:textId="3716F96D" w:rsidR="009F293D" w:rsidRDefault="00637B19" w:rsidP="00A4125B">
      <w:pPr>
        <w:spacing w:line="276" w:lineRule="auto"/>
        <w:rPr>
          <w:szCs w:val="22"/>
        </w:rPr>
      </w:pPr>
      <w:r w:rsidRPr="00A4125B">
        <w:rPr>
          <w:szCs w:val="22"/>
        </w:rPr>
        <w:t>This is the aligned sunsetting day for those instruments</w:t>
      </w:r>
      <w:r w:rsidR="008575CA" w:rsidRPr="00A4125B">
        <w:rPr>
          <w:szCs w:val="22"/>
        </w:rPr>
        <w:t xml:space="preserve">. </w:t>
      </w:r>
    </w:p>
    <w:p w14:paraId="11B19BAC" w14:textId="77777777" w:rsidR="00A4125B" w:rsidRPr="00A4125B" w:rsidRDefault="00A4125B" w:rsidP="00A4125B">
      <w:pPr>
        <w:spacing w:line="276" w:lineRule="auto"/>
        <w:rPr>
          <w:rFonts w:eastAsia="Times New Roman"/>
          <w:snapToGrid w:val="0"/>
          <w:szCs w:val="22"/>
        </w:rPr>
      </w:pPr>
    </w:p>
    <w:p w14:paraId="2CA77703" w14:textId="1FBD21B3" w:rsidR="00637B19" w:rsidRDefault="00637B19" w:rsidP="00A4125B">
      <w:pPr>
        <w:pStyle w:val="Heading3"/>
        <w:spacing w:before="0" w:line="276" w:lineRule="auto"/>
        <w:rPr>
          <w:rFonts w:ascii="Times New Roman" w:hAnsi="Times New Roman"/>
          <w:sz w:val="22"/>
          <w:szCs w:val="22"/>
        </w:rPr>
      </w:pPr>
      <w:r w:rsidRPr="00A4125B">
        <w:rPr>
          <w:rFonts w:ascii="Times New Roman" w:hAnsi="Times New Roman"/>
          <w:sz w:val="22"/>
          <w:szCs w:val="22"/>
        </w:rPr>
        <w:t>Section 5</w:t>
      </w:r>
      <w:r w:rsidRPr="00A4125B">
        <w:rPr>
          <w:rFonts w:ascii="Times New Roman" w:hAnsi="Times New Roman"/>
          <w:sz w:val="22"/>
          <w:szCs w:val="22"/>
        </w:rPr>
        <w:tab/>
        <w:t xml:space="preserve">Repeal of this </w:t>
      </w:r>
      <w:r w:rsidR="00077E2B" w:rsidRPr="00A4125B">
        <w:rPr>
          <w:rFonts w:ascii="Times New Roman" w:hAnsi="Times New Roman"/>
          <w:sz w:val="22"/>
          <w:szCs w:val="22"/>
        </w:rPr>
        <w:t>instrument</w:t>
      </w:r>
    </w:p>
    <w:p w14:paraId="5F1E1347" w14:textId="77777777" w:rsidR="00A4125B" w:rsidRPr="00A4125B" w:rsidRDefault="00A4125B" w:rsidP="00A4125B"/>
    <w:p w14:paraId="64CB497E" w14:textId="73D97A2B" w:rsidR="009F293D" w:rsidRPr="00A4125B" w:rsidRDefault="00637B19" w:rsidP="00A4125B">
      <w:pPr>
        <w:spacing w:line="276" w:lineRule="auto"/>
        <w:rPr>
          <w:rFonts w:eastAsia="Times New Roman"/>
          <w:snapToGrid w:val="0"/>
          <w:szCs w:val="22"/>
        </w:rPr>
      </w:pPr>
      <w:r w:rsidRPr="00A4125B">
        <w:rPr>
          <w:szCs w:val="22"/>
        </w:rPr>
        <w:t xml:space="preserve">This section provides that the </w:t>
      </w:r>
      <w:r w:rsidR="00021148" w:rsidRPr="00A4125B">
        <w:rPr>
          <w:szCs w:val="22"/>
        </w:rPr>
        <w:t>declaration</w:t>
      </w:r>
      <w:r w:rsidRPr="00A4125B">
        <w:rPr>
          <w:szCs w:val="22"/>
        </w:rPr>
        <w:t xml:space="preserve"> is repealed on </w:t>
      </w:r>
      <w:r w:rsidR="006C4C67" w:rsidRPr="00A4125B">
        <w:rPr>
          <w:szCs w:val="22"/>
        </w:rPr>
        <w:t xml:space="preserve">2 </w:t>
      </w:r>
      <w:r w:rsidR="00BF037D" w:rsidRPr="00A4125B">
        <w:rPr>
          <w:szCs w:val="22"/>
        </w:rPr>
        <w:t>April</w:t>
      </w:r>
      <w:r w:rsidR="006C4C67" w:rsidRPr="00A4125B">
        <w:rPr>
          <w:szCs w:val="22"/>
        </w:rPr>
        <w:t xml:space="preserve"> </w:t>
      </w:r>
      <w:r w:rsidR="00280D05" w:rsidRPr="00A4125B">
        <w:rPr>
          <w:szCs w:val="22"/>
        </w:rPr>
        <w:t>2024</w:t>
      </w:r>
      <w:r w:rsidRPr="00A4125B">
        <w:rPr>
          <w:szCs w:val="22"/>
        </w:rPr>
        <w:t xml:space="preserve">, which is the day after the aligned sunsetting day. This ensures that the </w:t>
      </w:r>
      <w:r w:rsidR="00021148" w:rsidRPr="00A4125B">
        <w:rPr>
          <w:szCs w:val="22"/>
        </w:rPr>
        <w:t>declaration</w:t>
      </w:r>
      <w:r w:rsidRPr="00A4125B">
        <w:rPr>
          <w:szCs w:val="22"/>
        </w:rPr>
        <w:t xml:space="preserve"> remains in force </w:t>
      </w:r>
      <w:r w:rsidR="001D5C30" w:rsidRPr="00A4125B">
        <w:rPr>
          <w:szCs w:val="22"/>
        </w:rPr>
        <w:t xml:space="preserve">for </w:t>
      </w:r>
      <w:r w:rsidRPr="00A4125B">
        <w:rPr>
          <w:szCs w:val="22"/>
        </w:rPr>
        <w:t>only as long as it is needed.</w:t>
      </w:r>
      <w:r w:rsidR="009F293D" w:rsidRPr="00A4125B">
        <w:rPr>
          <w:rFonts w:eastAsia="Times New Roman"/>
          <w:snapToGrid w:val="0"/>
          <w:szCs w:val="22"/>
        </w:rPr>
        <w:t xml:space="preserve"> </w:t>
      </w:r>
    </w:p>
    <w:sectPr w:rsidR="009F293D" w:rsidRPr="00A4125B" w:rsidSect="00F60B99">
      <w:headerReference w:type="default" r:id="rId11"/>
      <w:footerReference w:type="even" r:id="rId12"/>
      <w:footerReference w:type="default" r:id="rId13"/>
      <w:footerReference w:type="first" r:id="rId14"/>
      <w:pgSz w:w="11907" w:h="16839"/>
      <w:pgMar w:top="1440" w:right="1440" w:bottom="1440" w:left="1440" w:header="72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D1D45" w14:textId="77777777" w:rsidR="00696253" w:rsidRDefault="00696253">
      <w:pPr>
        <w:spacing w:line="240" w:lineRule="auto"/>
      </w:pPr>
      <w:r>
        <w:separator/>
      </w:r>
    </w:p>
  </w:endnote>
  <w:endnote w:type="continuationSeparator" w:id="0">
    <w:p w14:paraId="1362E3BC" w14:textId="77777777" w:rsidR="00696253" w:rsidRDefault="00696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43691" w14:textId="77777777" w:rsidR="00FF08B7" w:rsidRDefault="00FF08B7" w:rsidP="00D05D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C743692" w14:textId="77777777" w:rsidR="00FF08B7" w:rsidRDefault="00FF08B7" w:rsidP="00D05DCA">
    <w:pPr>
      <w:pStyle w:val="Footer"/>
      <w:ind w:right="360"/>
    </w:pPr>
  </w:p>
  <w:p w14:paraId="3C743693" w14:textId="7A35332D" w:rsidR="00FF08B7" w:rsidRPr="00172BEB" w:rsidRDefault="00FF08B7" w:rsidP="00D05DCA">
    <w:pPr>
      <w:pStyle w:val="Footer"/>
      <w:ind w:right="360"/>
      <w:jc w:val="right"/>
      <w:rPr>
        <w:i/>
        <w:sz w:val="18"/>
      </w:rPr>
    </w:pPr>
    <w:r>
      <w:rPr>
        <w:i/>
        <w:sz w:val="18"/>
      </w:rPr>
      <w:fldChar w:fldCharType="begin"/>
    </w:r>
    <w:r>
      <w:rPr>
        <w:i/>
        <w:sz w:val="18"/>
      </w:rPr>
      <w:instrText xml:space="preserve"> FILENAME \p \* MERGEFORMAT </w:instrText>
    </w:r>
    <w:r>
      <w:rPr>
        <w:i/>
        <w:sz w:val="18"/>
      </w:rPr>
      <w:fldChar w:fldCharType="separate"/>
    </w:r>
    <w:r w:rsidR="00A61F5B">
      <w:rPr>
        <w:i/>
        <w:noProof/>
        <w:sz w:val="18"/>
      </w:rPr>
      <w:t>https://ag-protected.pws.gov.au/workspaces/04/04/SupportingDocuments/MS/2019/569/MS19-000569/Attachment H2 - Explanatory Statement for the Legislation -Offshore Petroleum and Greenhouse Gas Storage Instr.DOCX</w: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006F1C">
      <w:rPr>
        <w:i/>
        <w:noProof/>
        <w:sz w:val="18"/>
      </w:rPr>
      <w:t>18/9/2019 11:16 AM</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61F18" w14:textId="2A35B908" w:rsidR="00FF08B7" w:rsidRPr="00691F9F" w:rsidRDefault="00FF08B7" w:rsidP="00B72363">
    <w:pPr>
      <w:pStyle w:val="Footer"/>
      <w:tabs>
        <w:tab w:val="clear" w:pos="4153"/>
        <w:tab w:val="clear" w:pos="8306"/>
        <w:tab w:val="left" w:pos="7680"/>
      </w:tabs>
      <w:ind w:right="27"/>
      <w:jc w:val="right"/>
      <w:rPr>
        <w:i/>
        <w:color w:val="808080" w:themeColor="background1" w:themeShade="80"/>
      </w:rPr>
    </w:pPr>
    <w:r w:rsidRPr="00691F9F">
      <w:rPr>
        <w:color w:val="808080" w:themeColor="background1" w:themeShade="80"/>
      </w:rPr>
      <w:fldChar w:fldCharType="begin"/>
    </w:r>
    <w:r w:rsidRPr="00691F9F">
      <w:rPr>
        <w:color w:val="808080" w:themeColor="background1" w:themeShade="80"/>
      </w:rPr>
      <w:instrText xml:space="preserve"> PAGE  \* MERGEFORMAT </w:instrText>
    </w:r>
    <w:r w:rsidRPr="00691F9F">
      <w:rPr>
        <w:color w:val="808080" w:themeColor="background1" w:themeShade="80"/>
      </w:rPr>
      <w:fldChar w:fldCharType="separate"/>
    </w:r>
    <w:r w:rsidR="00006F1C">
      <w:rPr>
        <w:noProof/>
        <w:color w:val="808080" w:themeColor="background1" w:themeShade="80"/>
      </w:rPr>
      <w:t>1</w:t>
    </w:r>
    <w:r w:rsidRPr="00691F9F">
      <w:rPr>
        <w:noProof/>
        <w:color w:val="808080" w:themeColor="background1" w:themeShade="80"/>
      </w:rPr>
      <w:fldChar w:fldCharType="end"/>
    </w:r>
    <w:r w:rsidRPr="00691F9F">
      <w:rPr>
        <w:noProof/>
        <w:color w:val="808080" w:themeColor="background1" w:themeShade="80"/>
      </w:rPr>
      <w:t xml:space="preserve"> </w:t>
    </w:r>
  </w:p>
  <w:p w14:paraId="2153D0C2" w14:textId="77777777" w:rsidR="00FF08B7" w:rsidRPr="00691F9F" w:rsidRDefault="00FF08B7" w:rsidP="00B72363">
    <w:pPr>
      <w:pStyle w:val="Footer"/>
      <w:tabs>
        <w:tab w:val="clear" w:pos="4153"/>
        <w:tab w:val="clear" w:pos="8306"/>
        <w:tab w:val="left" w:pos="7680"/>
      </w:tabs>
      <w:ind w:right="27"/>
      <w:rPr>
        <w:color w:val="808080" w:themeColor="background1" w:themeShade="80"/>
      </w:rPr>
    </w:pPr>
  </w:p>
  <w:p w14:paraId="3C743695" w14:textId="77777777" w:rsidR="00FF08B7" w:rsidRPr="004C75DA" w:rsidRDefault="00FF08B7" w:rsidP="00D05DCA">
    <w:pPr>
      <w:pStyle w:val="Footer"/>
      <w:tabs>
        <w:tab w:val="clear" w:pos="4153"/>
        <w:tab w:val="clear" w:pos="8306"/>
        <w:tab w:val="left" w:pos="7680"/>
      </w:tabs>
      <w:ind w:right="27"/>
      <w:rPr>
        <w:color w:val="808080" w:themeColor="background1" w:themeShade="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43696" w14:textId="77777777" w:rsidR="00FF08B7" w:rsidRDefault="00FF08B7">
    <w:pPr>
      <w:pStyle w:val="Footer"/>
    </w:pPr>
  </w:p>
  <w:p w14:paraId="3C743697" w14:textId="6373F605" w:rsidR="00FF08B7" w:rsidRPr="00172BEB" w:rsidRDefault="00FF08B7" w:rsidP="00D05DCA">
    <w:pPr>
      <w:pStyle w:val="Footer"/>
      <w:rPr>
        <w:i/>
        <w:sz w:val="18"/>
      </w:rPr>
    </w:pPr>
    <w:r>
      <w:rPr>
        <w:i/>
        <w:sz w:val="18"/>
      </w:rPr>
      <w:fldChar w:fldCharType="begin"/>
    </w:r>
    <w:r>
      <w:rPr>
        <w:i/>
        <w:sz w:val="18"/>
      </w:rPr>
      <w:instrText xml:space="preserve"> FILENAME \p \* MERGEFORMAT </w:instrText>
    </w:r>
    <w:r>
      <w:rPr>
        <w:i/>
        <w:sz w:val="18"/>
      </w:rPr>
      <w:fldChar w:fldCharType="separate"/>
    </w:r>
    <w:r w:rsidR="00A61F5B">
      <w:rPr>
        <w:i/>
        <w:noProof/>
        <w:sz w:val="18"/>
      </w:rPr>
      <w:t>https://ag-protected.pws.gov.au/workspaces/04/04/SupportingDocuments/MS/2019/569/MS19-000569/Attachment H2 - Explanatory Statement for the Legislation -Offshore Petroleum and Greenhouse Gas Storage Instr.DOCX</w: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006F1C">
      <w:rPr>
        <w:i/>
        <w:noProof/>
        <w:sz w:val="18"/>
      </w:rPr>
      <w:t>18/9/2019 11:16 AM</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F6852" w14:textId="77777777" w:rsidR="00696253" w:rsidRDefault="00696253">
      <w:pPr>
        <w:spacing w:line="240" w:lineRule="auto"/>
      </w:pPr>
      <w:r>
        <w:separator/>
      </w:r>
    </w:p>
  </w:footnote>
  <w:footnote w:type="continuationSeparator" w:id="0">
    <w:p w14:paraId="78607BA2" w14:textId="77777777" w:rsidR="00696253" w:rsidRDefault="006962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43690" w14:textId="4393BC50" w:rsidR="00FF08B7" w:rsidRDefault="00FF08B7">
    <w:pPr>
      <w:pStyle w:val="Header"/>
    </w:pPr>
    <w:r>
      <w:rPr>
        <w:noProof/>
        <w:lang w:val="en-GB" w:eastAsia="en-GB"/>
      </w:rPr>
      <mc:AlternateContent>
        <mc:Choice Requires="wps">
          <w:drawing>
            <wp:anchor distT="0" distB="0" distL="114300" distR="114300" simplePos="0" relativeHeight="251658240" behindDoc="1" locked="0" layoutInCell="1" allowOverlap="1" wp14:anchorId="3C743698" wp14:editId="70DC0409">
              <wp:simplePos x="0" y="0"/>
              <wp:positionH relativeFrom="column">
                <wp:align>center</wp:align>
              </wp:positionH>
              <wp:positionV relativeFrom="page">
                <wp:posOffset>143510</wp:posOffset>
              </wp:positionV>
              <wp:extent cx="4413885" cy="396240"/>
              <wp:effectExtent l="0" t="63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8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43699" w14:textId="77777777" w:rsidR="00FF08B7" w:rsidRPr="004A1869" w:rsidRDefault="00FF08B7" w:rsidP="00D05DCA">
                          <w:pPr>
                            <w:jc w:val="center"/>
                            <w:rPr>
                              <w:rFonts w:ascii="Arial" w:hAnsi="Arial" w:cs="Arial"/>
                              <w:b/>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43698" id="_x0000_t202" coordsize="21600,21600" o:spt="202" path="m,l,21600r21600,l21600,xe">
              <v:stroke joinstyle="miter"/>
              <v:path gradientshapeok="t" o:connecttype="rect"/>
            </v:shapetype>
            <v:shape id="Text Box 1" o:spid="_x0000_s1026" type="#_x0000_t202" style="position:absolute;margin-left:0;margin-top:11.3pt;width:347.55pt;height:31.2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" stroked="f">
              <v:textbox>
                <w:txbxContent>
                  <w:p w14:paraId="3C743699" w14:textId="77777777" w:rsidR="00FF08B7" w:rsidRPr="004A1869" w:rsidRDefault="00FF08B7" w:rsidP="00D05DCA">
                    <w:pPr>
                      <w:jc w:val="center"/>
                      <w:rPr>
                        <w:rFonts w:ascii="Arial" w:hAnsi="Arial" w:cs="Arial"/>
                        <w:b/>
                        <w:sz w:val="40"/>
                      </w:rPr>
                    </w:pP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7190"/>
    <w:multiLevelType w:val="hybridMultilevel"/>
    <w:tmpl w:val="DCE6E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B22D14"/>
    <w:multiLevelType w:val="hybridMultilevel"/>
    <w:tmpl w:val="FC026B4A"/>
    <w:lvl w:ilvl="0" w:tplc="A1B42232">
      <w:start w:val="1"/>
      <w:numFmt w:val="decimal"/>
      <w:lvlText w:val="%1."/>
      <w:lvlJc w:val="left"/>
      <w:pPr>
        <w:ind w:left="720" w:hanging="360"/>
      </w:pPr>
      <w:rPr>
        <w:rFonts w:hint="default"/>
        <w:b w:val="0"/>
      </w:rPr>
    </w:lvl>
    <w:lvl w:ilvl="1" w:tplc="9420F4F8">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67100F"/>
    <w:multiLevelType w:val="multilevel"/>
    <w:tmpl w:val="DA7683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303CEF"/>
    <w:multiLevelType w:val="hybridMultilevel"/>
    <w:tmpl w:val="AE7074AA"/>
    <w:lvl w:ilvl="0" w:tplc="30E07384">
      <w:start w:val="1"/>
      <w:numFmt w:val="lowerLetter"/>
      <w:lvlText w:val="(%1)"/>
      <w:lvlJc w:val="left"/>
      <w:pPr>
        <w:ind w:left="720" w:hanging="360"/>
      </w:pPr>
      <w:rPr>
        <w:rFonts w:ascii="Times New Roman" w:eastAsia="Times New Roman" w:hAnsi="Times New Roman" w:cs="Times New Roman"/>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AB1872"/>
    <w:multiLevelType w:val="hybridMultilevel"/>
    <w:tmpl w:val="363C26F4"/>
    <w:name w:val="hd62"/>
    <w:lvl w:ilvl="0" w:tplc="3FC6D84C">
      <w:numFmt w:val="bullet"/>
      <w:lvlText w:val=""/>
      <w:lvlJc w:val="left"/>
      <w:pPr>
        <w:tabs>
          <w:tab w:val="num" w:pos="-284"/>
        </w:tabs>
        <w:ind w:left="567" w:hanging="567"/>
      </w:pPr>
      <w:rPr>
        <w:rFonts w:ascii="Symbol" w:hAnsi="Symbol" w:hint="default"/>
        <w:b w:val="0"/>
        <w:i w:val="0"/>
        <w:sz w:val="20"/>
      </w:rPr>
    </w:lvl>
    <w:lvl w:ilvl="1" w:tplc="7862B722">
      <w:start w:val="1"/>
      <w:numFmt w:val="bullet"/>
      <w:lvlText w:val=""/>
      <w:lvlJc w:val="left"/>
      <w:pPr>
        <w:tabs>
          <w:tab w:val="num" w:pos="513"/>
        </w:tabs>
        <w:ind w:left="513" w:hanging="284"/>
      </w:pPr>
      <w:rPr>
        <w:rFonts w:ascii="Symbol" w:hAnsi="Symbol" w:hint="default"/>
        <w:b w:val="0"/>
        <w:i w:val="0"/>
        <w:color w:val="auto"/>
        <w:sz w:val="20"/>
      </w:rPr>
    </w:lvl>
    <w:lvl w:ilvl="2" w:tplc="493841BE">
      <w:start w:val="1"/>
      <w:numFmt w:val="bullet"/>
      <w:lvlText w:val=""/>
      <w:lvlJc w:val="left"/>
      <w:pPr>
        <w:tabs>
          <w:tab w:val="num" w:pos="1309"/>
        </w:tabs>
        <w:ind w:left="1309" w:hanging="360"/>
      </w:pPr>
      <w:rPr>
        <w:rFonts w:ascii="Wingdings" w:hAnsi="Wingdings" w:hint="default"/>
      </w:rPr>
    </w:lvl>
    <w:lvl w:ilvl="3" w:tplc="9BD24650">
      <w:start w:val="1"/>
      <w:numFmt w:val="bullet"/>
      <w:lvlText w:val=""/>
      <w:lvlJc w:val="left"/>
      <w:pPr>
        <w:tabs>
          <w:tab w:val="num" w:pos="2029"/>
        </w:tabs>
        <w:ind w:left="2029" w:hanging="360"/>
      </w:pPr>
      <w:rPr>
        <w:rFonts w:ascii="Symbol" w:hAnsi="Symbol" w:hint="default"/>
      </w:rPr>
    </w:lvl>
    <w:lvl w:ilvl="4" w:tplc="EB828368" w:tentative="1">
      <w:start w:val="1"/>
      <w:numFmt w:val="bullet"/>
      <w:lvlText w:val="o"/>
      <w:lvlJc w:val="left"/>
      <w:pPr>
        <w:tabs>
          <w:tab w:val="num" w:pos="2749"/>
        </w:tabs>
        <w:ind w:left="2749" w:hanging="360"/>
      </w:pPr>
      <w:rPr>
        <w:rFonts w:ascii="Courier New" w:hAnsi="Courier New" w:hint="default"/>
      </w:rPr>
    </w:lvl>
    <w:lvl w:ilvl="5" w:tplc="B58C6C20" w:tentative="1">
      <w:start w:val="1"/>
      <w:numFmt w:val="bullet"/>
      <w:lvlText w:val=""/>
      <w:lvlJc w:val="left"/>
      <w:pPr>
        <w:tabs>
          <w:tab w:val="num" w:pos="3469"/>
        </w:tabs>
        <w:ind w:left="3469" w:hanging="360"/>
      </w:pPr>
      <w:rPr>
        <w:rFonts w:ascii="Wingdings" w:hAnsi="Wingdings" w:hint="default"/>
      </w:rPr>
    </w:lvl>
    <w:lvl w:ilvl="6" w:tplc="A5ECBEC2" w:tentative="1">
      <w:start w:val="1"/>
      <w:numFmt w:val="bullet"/>
      <w:lvlText w:val=""/>
      <w:lvlJc w:val="left"/>
      <w:pPr>
        <w:tabs>
          <w:tab w:val="num" w:pos="4189"/>
        </w:tabs>
        <w:ind w:left="4189" w:hanging="360"/>
      </w:pPr>
      <w:rPr>
        <w:rFonts w:ascii="Symbol" w:hAnsi="Symbol" w:hint="default"/>
      </w:rPr>
    </w:lvl>
    <w:lvl w:ilvl="7" w:tplc="D1C655D6" w:tentative="1">
      <w:start w:val="1"/>
      <w:numFmt w:val="bullet"/>
      <w:lvlText w:val="o"/>
      <w:lvlJc w:val="left"/>
      <w:pPr>
        <w:tabs>
          <w:tab w:val="num" w:pos="4909"/>
        </w:tabs>
        <w:ind w:left="4909" w:hanging="360"/>
      </w:pPr>
      <w:rPr>
        <w:rFonts w:ascii="Courier New" w:hAnsi="Courier New" w:hint="default"/>
      </w:rPr>
    </w:lvl>
    <w:lvl w:ilvl="8" w:tplc="5DDAE38A"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37056D5E"/>
    <w:multiLevelType w:val="multilevel"/>
    <w:tmpl w:val="70DAD24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CA13B0"/>
    <w:multiLevelType w:val="hybridMultilevel"/>
    <w:tmpl w:val="9C807164"/>
    <w:lvl w:ilvl="0" w:tplc="0EB48DBE">
      <w:start w:val="1"/>
      <w:numFmt w:val="bullet"/>
      <w:pStyle w:val="TLPNotebullet"/>
      <w:lvlText w:val=""/>
      <w:lvlJc w:val="left"/>
      <w:pPr>
        <w:tabs>
          <w:tab w:val="num" w:pos="2517"/>
        </w:tabs>
        <w:ind w:left="2517" w:hanging="357"/>
      </w:pPr>
      <w:rPr>
        <w:rFonts w:ascii="Symbol" w:hAnsi="Symbol" w:hint="default"/>
      </w:rPr>
    </w:lvl>
    <w:lvl w:ilvl="1" w:tplc="33A249BA" w:tentative="1">
      <w:start w:val="1"/>
      <w:numFmt w:val="bullet"/>
      <w:lvlText w:val="o"/>
      <w:lvlJc w:val="left"/>
      <w:pPr>
        <w:ind w:left="3708" w:hanging="360"/>
      </w:pPr>
      <w:rPr>
        <w:rFonts w:ascii="Courier New" w:hAnsi="Courier New" w:cs="Courier New" w:hint="default"/>
      </w:rPr>
    </w:lvl>
    <w:lvl w:ilvl="2" w:tplc="E184007C" w:tentative="1">
      <w:start w:val="1"/>
      <w:numFmt w:val="bullet"/>
      <w:lvlText w:val=""/>
      <w:lvlJc w:val="left"/>
      <w:pPr>
        <w:ind w:left="4428" w:hanging="360"/>
      </w:pPr>
      <w:rPr>
        <w:rFonts w:ascii="Wingdings" w:hAnsi="Wingdings" w:hint="default"/>
      </w:rPr>
    </w:lvl>
    <w:lvl w:ilvl="3" w:tplc="D2DA7980" w:tentative="1">
      <w:start w:val="1"/>
      <w:numFmt w:val="bullet"/>
      <w:lvlText w:val=""/>
      <w:lvlJc w:val="left"/>
      <w:pPr>
        <w:ind w:left="5148" w:hanging="360"/>
      </w:pPr>
      <w:rPr>
        <w:rFonts w:ascii="Symbol" w:hAnsi="Symbol" w:hint="default"/>
      </w:rPr>
    </w:lvl>
    <w:lvl w:ilvl="4" w:tplc="A8043C96" w:tentative="1">
      <w:start w:val="1"/>
      <w:numFmt w:val="bullet"/>
      <w:lvlText w:val="o"/>
      <w:lvlJc w:val="left"/>
      <w:pPr>
        <w:ind w:left="5868" w:hanging="360"/>
      </w:pPr>
      <w:rPr>
        <w:rFonts w:ascii="Courier New" w:hAnsi="Courier New" w:cs="Courier New" w:hint="default"/>
      </w:rPr>
    </w:lvl>
    <w:lvl w:ilvl="5" w:tplc="91B2D800" w:tentative="1">
      <w:start w:val="1"/>
      <w:numFmt w:val="bullet"/>
      <w:lvlText w:val=""/>
      <w:lvlJc w:val="left"/>
      <w:pPr>
        <w:ind w:left="6588" w:hanging="360"/>
      </w:pPr>
      <w:rPr>
        <w:rFonts w:ascii="Wingdings" w:hAnsi="Wingdings" w:hint="default"/>
      </w:rPr>
    </w:lvl>
    <w:lvl w:ilvl="6" w:tplc="26E452D4" w:tentative="1">
      <w:start w:val="1"/>
      <w:numFmt w:val="bullet"/>
      <w:lvlText w:val=""/>
      <w:lvlJc w:val="left"/>
      <w:pPr>
        <w:ind w:left="7308" w:hanging="360"/>
      </w:pPr>
      <w:rPr>
        <w:rFonts w:ascii="Symbol" w:hAnsi="Symbol" w:hint="default"/>
      </w:rPr>
    </w:lvl>
    <w:lvl w:ilvl="7" w:tplc="E7043944" w:tentative="1">
      <w:start w:val="1"/>
      <w:numFmt w:val="bullet"/>
      <w:lvlText w:val="o"/>
      <w:lvlJc w:val="left"/>
      <w:pPr>
        <w:ind w:left="8028" w:hanging="360"/>
      </w:pPr>
      <w:rPr>
        <w:rFonts w:ascii="Courier New" w:hAnsi="Courier New" w:cs="Courier New" w:hint="default"/>
      </w:rPr>
    </w:lvl>
    <w:lvl w:ilvl="8" w:tplc="6BDEC4B0" w:tentative="1">
      <w:start w:val="1"/>
      <w:numFmt w:val="bullet"/>
      <w:lvlText w:val=""/>
      <w:lvlJc w:val="left"/>
      <w:pPr>
        <w:ind w:left="8748" w:hanging="360"/>
      </w:pPr>
      <w:rPr>
        <w:rFonts w:ascii="Wingdings" w:hAnsi="Wingdings" w:hint="default"/>
      </w:rPr>
    </w:lvl>
  </w:abstractNum>
  <w:abstractNum w:abstractNumId="8" w15:restartNumberingAfterBreak="0">
    <w:nsid w:val="3F666DA3"/>
    <w:multiLevelType w:val="hybridMultilevel"/>
    <w:tmpl w:val="AE7074AA"/>
    <w:lvl w:ilvl="0" w:tplc="30E07384">
      <w:start w:val="1"/>
      <w:numFmt w:val="lowerLetter"/>
      <w:lvlText w:val="(%1)"/>
      <w:lvlJc w:val="left"/>
      <w:pPr>
        <w:ind w:left="720" w:hanging="360"/>
      </w:pPr>
      <w:rPr>
        <w:rFonts w:ascii="Times New Roman" w:eastAsia="Times New Roman" w:hAnsi="Times New Roman" w:cs="Times New Roman"/>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236F6E"/>
    <w:multiLevelType w:val="multilevel"/>
    <w:tmpl w:val="281E84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BB72F0"/>
    <w:multiLevelType w:val="multilevel"/>
    <w:tmpl w:val="D39470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6FA6E31"/>
    <w:multiLevelType w:val="hybridMultilevel"/>
    <w:tmpl w:val="25B4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115D0F"/>
    <w:multiLevelType w:val="hybridMultilevel"/>
    <w:tmpl w:val="AE7ECE0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BC60EC"/>
    <w:multiLevelType w:val="hybridMultilevel"/>
    <w:tmpl w:val="1C3EF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D17120"/>
    <w:multiLevelType w:val="multilevel"/>
    <w:tmpl w:val="2BB04586"/>
    <w:lvl w:ilvl="0">
      <w:start w:val="1"/>
      <w:numFmt w:val="lowerLetter"/>
      <w:lvlText w:val="%1)"/>
      <w:lvlJc w:val="left"/>
      <w:pPr>
        <w:ind w:left="731" w:hanging="360"/>
      </w:pPr>
      <w:rPr>
        <w:rFonts w:hint="default"/>
      </w:rPr>
    </w:lvl>
    <w:lvl w:ilvl="1">
      <w:start w:val="1"/>
      <w:numFmt w:val="lowerLetter"/>
      <w:lvlText w:val="%2)"/>
      <w:lvlJc w:val="left"/>
      <w:pPr>
        <w:ind w:left="1091" w:hanging="360"/>
      </w:pPr>
      <w:rPr>
        <w:rFonts w:hint="default"/>
      </w:rPr>
    </w:lvl>
    <w:lvl w:ilvl="2">
      <w:start w:val="1"/>
      <w:numFmt w:val="lowerRoman"/>
      <w:lvlText w:val="%3)"/>
      <w:lvlJc w:val="left"/>
      <w:pPr>
        <w:ind w:left="1451" w:hanging="360"/>
      </w:pPr>
      <w:rPr>
        <w:rFonts w:hint="default"/>
      </w:rPr>
    </w:lvl>
    <w:lvl w:ilvl="3">
      <w:start w:val="1"/>
      <w:numFmt w:val="decimal"/>
      <w:lvlText w:val="(%4)"/>
      <w:lvlJc w:val="left"/>
      <w:pPr>
        <w:ind w:left="1811" w:hanging="360"/>
      </w:pPr>
      <w:rPr>
        <w:rFonts w:hint="default"/>
      </w:rPr>
    </w:lvl>
    <w:lvl w:ilvl="4">
      <w:start w:val="1"/>
      <w:numFmt w:val="lowerLetter"/>
      <w:lvlText w:val="(%5)"/>
      <w:lvlJc w:val="left"/>
      <w:pPr>
        <w:ind w:left="2171" w:hanging="360"/>
      </w:pPr>
      <w:rPr>
        <w:rFonts w:hint="default"/>
      </w:rPr>
    </w:lvl>
    <w:lvl w:ilvl="5">
      <w:start w:val="1"/>
      <w:numFmt w:val="lowerRoman"/>
      <w:lvlText w:val="(%6)"/>
      <w:lvlJc w:val="left"/>
      <w:pPr>
        <w:ind w:left="2531" w:hanging="360"/>
      </w:pPr>
      <w:rPr>
        <w:rFonts w:hint="default"/>
      </w:rPr>
    </w:lvl>
    <w:lvl w:ilvl="6">
      <w:start w:val="1"/>
      <w:numFmt w:val="decimal"/>
      <w:lvlText w:val="%7."/>
      <w:lvlJc w:val="left"/>
      <w:pPr>
        <w:ind w:left="2891" w:hanging="360"/>
      </w:pPr>
      <w:rPr>
        <w:rFonts w:hint="default"/>
      </w:rPr>
    </w:lvl>
    <w:lvl w:ilvl="7">
      <w:start w:val="1"/>
      <w:numFmt w:val="lowerLetter"/>
      <w:lvlText w:val="%8."/>
      <w:lvlJc w:val="left"/>
      <w:pPr>
        <w:ind w:left="3251" w:hanging="360"/>
      </w:pPr>
      <w:rPr>
        <w:rFonts w:hint="default"/>
      </w:rPr>
    </w:lvl>
    <w:lvl w:ilvl="8">
      <w:start w:val="1"/>
      <w:numFmt w:val="lowerRoman"/>
      <w:lvlText w:val="%9."/>
      <w:lvlJc w:val="left"/>
      <w:pPr>
        <w:ind w:left="3611" w:hanging="360"/>
      </w:pPr>
      <w:rPr>
        <w:rFonts w:hint="default"/>
      </w:rPr>
    </w:lvl>
  </w:abstractNum>
  <w:abstractNum w:abstractNumId="15" w15:restartNumberingAfterBreak="0">
    <w:nsid w:val="631A28A7"/>
    <w:multiLevelType w:val="multilevel"/>
    <w:tmpl w:val="7B38ACA0"/>
    <w:lvl w:ilvl="0">
      <w:start w:val="1"/>
      <w:numFmt w:val="lowerLetter"/>
      <w:lvlText w:val="(%1)"/>
      <w:lvlJc w:val="left"/>
      <w:pPr>
        <w:ind w:left="731" w:hanging="360"/>
      </w:pPr>
      <w:rPr>
        <w:rFonts w:ascii="Times New Roman" w:eastAsia="Times New Roman" w:hAnsi="Times New Roman" w:cs="Times New Roman" w:hint="default"/>
        <w:i w:val="0"/>
      </w:rPr>
    </w:lvl>
    <w:lvl w:ilvl="1">
      <w:start w:val="1"/>
      <w:numFmt w:val="lowerLetter"/>
      <w:lvlText w:val="%2)"/>
      <w:lvlJc w:val="left"/>
      <w:pPr>
        <w:ind w:left="1091" w:hanging="360"/>
      </w:pPr>
      <w:rPr>
        <w:rFonts w:hint="default"/>
      </w:rPr>
    </w:lvl>
    <w:lvl w:ilvl="2">
      <w:start w:val="1"/>
      <w:numFmt w:val="lowerRoman"/>
      <w:lvlText w:val="%3)"/>
      <w:lvlJc w:val="left"/>
      <w:pPr>
        <w:ind w:left="1451" w:hanging="360"/>
      </w:pPr>
      <w:rPr>
        <w:rFonts w:hint="default"/>
      </w:rPr>
    </w:lvl>
    <w:lvl w:ilvl="3">
      <w:start w:val="1"/>
      <w:numFmt w:val="decimal"/>
      <w:lvlText w:val="(%4)"/>
      <w:lvlJc w:val="left"/>
      <w:pPr>
        <w:ind w:left="1811" w:hanging="360"/>
      </w:pPr>
      <w:rPr>
        <w:rFonts w:hint="default"/>
      </w:rPr>
    </w:lvl>
    <w:lvl w:ilvl="4">
      <w:start w:val="1"/>
      <w:numFmt w:val="lowerLetter"/>
      <w:lvlText w:val="(%5)"/>
      <w:lvlJc w:val="left"/>
      <w:pPr>
        <w:ind w:left="2171" w:hanging="360"/>
      </w:pPr>
      <w:rPr>
        <w:rFonts w:hint="default"/>
      </w:rPr>
    </w:lvl>
    <w:lvl w:ilvl="5">
      <w:start w:val="1"/>
      <w:numFmt w:val="lowerRoman"/>
      <w:lvlText w:val="(%6)"/>
      <w:lvlJc w:val="left"/>
      <w:pPr>
        <w:ind w:left="2531" w:hanging="360"/>
      </w:pPr>
      <w:rPr>
        <w:rFonts w:hint="default"/>
      </w:rPr>
    </w:lvl>
    <w:lvl w:ilvl="6">
      <w:start w:val="1"/>
      <w:numFmt w:val="decimal"/>
      <w:lvlText w:val="%7."/>
      <w:lvlJc w:val="left"/>
      <w:pPr>
        <w:ind w:left="2891" w:hanging="360"/>
      </w:pPr>
      <w:rPr>
        <w:rFonts w:hint="default"/>
      </w:rPr>
    </w:lvl>
    <w:lvl w:ilvl="7">
      <w:start w:val="1"/>
      <w:numFmt w:val="lowerLetter"/>
      <w:lvlText w:val="%8."/>
      <w:lvlJc w:val="left"/>
      <w:pPr>
        <w:ind w:left="3251" w:hanging="360"/>
      </w:pPr>
      <w:rPr>
        <w:rFonts w:hint="default"/>
      </w:rPr>
    </w:lvl>
    <w:lvl w:ilvl="8">
      <w:start w:val="1"/>
      <w:numFmt w:val="lowerRoman"/>
      <w:lvlText w:val="%9."/>
      <w:lvlJc w:val="left"/>
      <w:pPr>
        <w:ind w:left="3611" w:hanging="360"/>
      </w:pPr>
      <w:rPr>
        <w:rFonts w:hint="default"/>
      </w:rPr>
    </w:lvl>
  </w:abstractNum>
  <w:abstractNum w:abstractNumId="16" w15:restartNumberingAfterBreak="0">
    <w:nsid w:val="68084E01"/>
    <w:multiLevelType w:val="hybridMultilevel"/>
    <w:tmpl w:val="AE7074AA"/>
    <w:lvl w:ilvl="0" w:tplc="30E07384">
      <w:start w:val="1"/>
      <w:numFmt w:val="lowerLetter"/>
      <w:lvlText w:val="(%1)"/>
      <w:lvlJc w:val="left"/>
      <w:pPr>
        <w:ind w:left="720" w:hanging="360"/>
      </w:pPr>
      <w:rPr>
        <w:rFonts w:ascii="Times New Roman" w:eastAsia="Times New Roman" w:hAnsi="Times New Roman" w:cs="Times New Roman"/>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8C146C"/>
    <w:multiLevelType w:val="hybridMultilevel"/>
    <w:tmpl w:val="2A8C9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711D71"/>
    <w:multiLevelType w:val="hybridMultilevel"/>
    <w:tmpl w:val="AE7074AA"/>
    <w:lvl w:ilvl="0" w:tplc="30E07384">
      <w:start w:val="1"/>
      <w:numFmt w:val="lowerLetter"/>
      <w:lvlText w:val="(%1)"/>
      <w:lvlJc w:val="left"/>
      <w:pPr>
        <w:ind w:left="720" w:hanging="360"/>
      </w:pPr>
      <w:rPr>
        <w:rFonts w:ascii="Times New Roman" w:eastAsia="Times New Roman" w:hAnsi="Times New Roman" w:cs="Times New Roman"/>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DB03D3"/>
    <w:multiLevelType w:val="multilevel"/>
    <w:tmpl w:val="ACA83B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89E1594"/>
    <w:multiLevelType w:val="multilevel"/>
    <w:tmpl w:val="06F2B8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6D67B9"/>
    <w:multiLevelType w:val="hybridMultilevel"/>
    <w:tmpl w:val="CB2845E6"/>
    <w:lvl w:ilvl="0" w:tplc="6B3C44E6">
      <w:start w:val="1"/>
      <w:numFmt w:val="bullet"/>
      <w:lvlText w:val=""/>
      <w:lvlJc w:val="left"/>
      <w:pPr>
        <w:ind w:left="720" w:hanging="360"/>
      </w:pPr>
      <w:rPr>
        <w:rFonts w:ascii="Symbol" w:hAnsi="Symbol" w:hint="default"/>
      </w:rPr>
    </w:lvl>
    <w:lvl w:ilvl="1" w:tplc="7A964A16" w:tentative="1">
      <w:start w:val="1"/>
      <w:numFmt w:val="bullet"/>
      <w:lvlText w:val="o"/>
      <w:lvlJc w:val="left"/>
      <w:pPr>
        <w:ind w:left="1440" w:hanging="360"/>
      </w:pPr>
      <w:rPr>
        <w:rFonts w:ascii="Courier New" w:hAnsi="Courier New" w:cs="Courier New" w:hint="default"/>
      </w:rPr>
    </w:lvl>
    <w:lvl w:ilvl="2" w:tplc="C256D920" w:tentative="1">
      <w:start w:val="1"/>
      <w:numFmt w:val="bullet"/>
      <w:lvlText w:val=""/>
      <w:lvlJc w:val="left"/>
      <w:pPr>
        <w:ind w:left="2160" w:hanging="360"/>
      </w:pPr>
      <w:rPr>
        <w:rFonts w:ascii="Wingdings" w:hAnsi="Wingdings" w:hint="default"/>
      </w:rPr>
    </w:lvl>
    <w:lvl w:ilvl="3" w:tplc="226877FA" w:tentative="1">
      <w:start w:val="1"/>
      <w:numFmt w:val="bullet"/>
      <w:lvlText w:val=""/>
      <w:lvlJc w:val="left"/>
      <w:pPr>
        <w:ind w:left="2880" w:hanging="360"/>
      </w:pPr>
      <w:rPr>
        <w:rFonts w:ascii="Symbol" w:hAnsi="Symbol" w:hint="default"/>
      </w:rPr>
    </w:lvl>
    <w:lvl w:ilvl="4" w:tplc="5532D9FC" w:tentative="1">
      <w:start w:val="1"/>
      <w:numFmt w:val="bullet"/>
      <w:lvlText w:val="o"/>
      <w:lvlJc w:val="left"/>
      <w:pPr>
        <w:ind w:left="3600" w:hanging="360"/>
      </w:pPr>
      <w:rPr>
        <w:rFonts w:ascii="Courier New" w:hAnsi="Courier New" w:cs="Courier New" w:hint="default"/>
      </w:rPr>
    </w:lvl>
    <w:lvl w:ilvl="5" w:tplc="50B6DF3C" w:tentative="1">
      <w:start w:val="1"/>
      <w:numFmt w:val="bullet"/>
      <w:lvlText w:val=""/>
      <w:lvlJc w:val="left"/>
      <w:pPr>
        <w:ind w:left="4320" w:hanging="360"/>
      </w:pPr>
      <w:rPr>
        <w:rFonts w:ascii="Wingdings" w:hAnsi="Wingdings" w:hint="default"/>
      </w:rPr>
    </w:lvl>
    <w:lvl w:ilvl="6" w:tplc="96D02E9A" w:tentative="1">
      <w:start w:val="1"/>
      <w:numFmt w:val="bullet"/>
      <w:lvlText w:val=""/>
      <w:lvlJc w:val="left"/>
      <w:pPr>
        <w:ind w:left="5040" w:hanging="360"/>
      </w:pPr>
      <w:rPr>
        <w:rFonts w:ascii="Symbol" w:hAnsi="Symbol" w:hint="default"/>
      </w:rPr>
    </w:lvl>
    <w:lvl w:ilvl="7" w:tplc="2020E96A" w:tentative="1">
      <w:start w:val="1"/>
      <w:numFmt w:val="bullet"/>
      <w:lvlText w:val="o"/>
      <w:lvlJc w:val="left"/>
      <w:pPr>
        <w:ind w:left="5760" w:hanging="360"/>
      </w:pPr>
      <w:rPr>
        <w:rFonts w:ascii="Courier New" w:hAnsi="Courier New" w:cs="Courier New" w:hint="default"/>
      </w:rPr>
    </w:lvl>
    <w:lvl w:ilvl="8" w:tplc="18C6ECCE"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1"/>
  </w:num>
  <w:num w:numId="4">
    <w:abstractNumId w:val="0"/>
  </w:num>
  <w:num w:numId="5">
    <w:abstractNumId w:val="12"/>
  </w:num>
  <w:num w:numId="6">
    <w:abstractNumId w:val="13"/>
  </w:num>
  <w:num w:numId="7">
    <w:abstractNumId w:val="1"/>
  </w:num>
  <w:num w:numId="8">
    <w:abstractNumId w:val="11"/>
  </w:num>
  <w:num w:numId="9">
    <w:abstractNumId w:val="4"/>
  </w:num>
  <w:num w:numId="10">
    <w:abstractNumId w:val="17"/>
  </w:num>
  <w:num w:numId="11">
    <w:abstractNumId w:val="3"/>
  </w:num>
  <w:num w:numId="12">
    <w:abstractNumId w:val="10"/>
  </w:num>
  <w:num w:numId="13">
    <w:abstractNumId w:val="9"/>
  </w:num>
  <w:num w:numId="14">
    <w:abstractNumId w:val="20"/>
  </w:num>
  <w:num w:numId="15">
    <w:abstractNumId w:val="6"/>
  </w:num>
  <w:num w:numId="16">
    <w:abstractNumId w:val="14"/>
  </w:num>
  <w:num w:numId="17">
    <w:abstractNumId w:val="19"/>
  </w:num>
  <w:num w:numId="18">
    <w:abstractNumId w:val="15"/>
  </w:num>
  <w:num w:numId="19">
    <w:abstractNumId w:val="18"/>
  </w:num>
  <w:num w:numId="20">
    <w:abstractNumId w:val="8"/>
  </w:num>
  <w:num w:numId="2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37"/>
    <w:rsid w:val="000007AF"/>
    <w:rsid w:val="00006F1C"/>
    <w:rsid w:val="00021148"/>
    <w:rsid w:val="000260BC"/>
    <w:rsid w:val="00033DDE"/>
    <w:rsid w:val="00034337"/>
    <w:rsid w:val="000369E3"/>
    <w:rsid w:val="000373DE"/>
    <w:rsid w:val="00040454"/>
    <w:rsid w:val="00045110"/>
    <w:rsid w:val="00046C6D"/>
    <w:rsid w:val="00051D2A"/>
    <w:rsid w:val="00053F4D"/>
    <w:rsid w:val="00056BE1"/>
    <w:rsid w:val="00057AAA"/>
    <w:rsid w:val="000710D2"/>
    <w:rsid w:val="00072EF8"/>
    <w:rsid w:val="00074FE0"/>
    <w:rsid w:val="00077E2B"/>
    <w:rsid w:val="00087800"/>
    <w:rsid w:val="00091096"/>
    <w:rsid w:val="000B112C"/>
    <w:rsid w:val="000C0897"/>
    <w:rsid w:val="000C1F26"/>
    <w:rsid w:val="000C368A"/>
    <w:rsid w:val="000D4935"/>
    <w:rsid w:val="000D766C"/>
    <w:rsid w:val="000E2B6B"/>
    <w:rsid w:val="000E5066"/>
    <w:rsid w:val="000F5E0E"/>
    <w:rsid w:val="000F6FCF"/>
    <w:rsid w:val="00100F7E"/>
    <w:rsid w:val="001017D4"/>
    <w:rsid w:val="0010293E"/>
    <w:rsid w:val="001032BF"/>
    <w:rsid w:val="00105137"/>
    <w:rsid w:val="00114517"/>
    <w:rsid w:val="00116CE1"/>
    <w:rsid w:val="00123ED9"/>
    <w:rsid w:val="00127028"/>
    <w:rsid w:val="00127A4B"/>
    <w:rsid w:val="00132A50"/>
    <w:rsid w:val="00141C24"/>
    <w:rsid w:val="001421E8"/>
    <w:rsid w:val="00142A48"/>
    <w:rsid w:val="00146BDE"/>
    <w:rsid w:val="0015183D"/>
    <w:rsid w:val="0015789B"/>
    <w:rsid w:val="00164447"/>
    <w:rsid w:val="00166987"/>
    <w:rsid w:val="001671A6"/>
    <w:rsid w:val="001718DD"/>
    <w:rsid w:val="0017265D"/>
    <w:rsid w:val="0017504D"/>
    <w:rsid w:val="00177705"/>
    <w:rsid w:val="0018149B"/>
    <w:rsid w:val="00181E47"/>
    <w:rsid w:val="00190614"/>
    <w:rsid w:val="0019583B"/>
    <w:rsid w:val="001A1A39"/>
    <w:rsid w:val="001A4036"/>
    <w:rsid w:val="001A51EF"/>
    <w:rsid w:val="001B1687"/>
    <w:rsid w:val="001B2E85"/>
    <w:rsid w:val="001B41FE"/>
    <w:rsid w:val="001B6354"/>
    <w:rsid w:val="001C44E1"/>
    <w:rsid w:val="001C48B9"/>
    <w:rsid w:val="001C5173"/>
    <w:rsid w:val="001C5360"/>
    <w:rsid w:val="001C5B38"/>
    <w:rsid w:val="001C7B54"/>
    <w:rsid w:val="001C7DDC"/>
    <w:rsid w:val="001D2324"/>
    <w:rsid w:val="001D5C30"/>
    <w:rsid w:val="001D5E22"/>
    <w:rsid w:val="001E2B3F"/>
    <w:rsid w:val="001E6092"/>
    <w:rsid w:val="001E643B"/>
    <w:rsid w:val="001F0F3D"/>
    <w:rsid w:val="001F26AF"/>
    <w:rsid w:val="001F2E3E"/>
    <w:rsid w:val="001F5A88"/>
    <w:rsid w:val="001F6A8A"/>
    <w:rsid w:val="00201A2E"/>
    <w:rsid w:val="00206171"/>
    <w:rsid w:val="00207E6D"/>
    <w:rsid w:val="00211D0C"/>
    <w:rsid w:val="00211DFF"/>
    <w:rsid w:val="00213D3A"/>
    <w:rsid w:val="0021574C"/>
    <w:rsid w:val="002333CC"/>
    <w:rsid w:val="00235277"/>
    <w:rsid w:val="00235E0D"/>
    <w:rsid w:val="002370C4"/>
    <w:rsid w:val="002503A8"/>
    <w:rsid w:val="00256DAF"/>
    <w:rsid w:val="00256FB1"/>
    <w:rsid w:val="002576BC"/>
    <w:rsid w:val="0026629E"/>
    <w:rsid w:val="00266B76"/>
    <w:rsid w:val="00270A5B"/>
    <w:rsid w:val="00276A08"/>
    <w:rsid w:val="00280D05"/>
    <w:rsid w:val="002816EF"/>
    <w:rsid w:val="00282664"/>
    <w:rsid w:val="002834CB"/>
    <w:rsid w:val="00285F45"/>
    <w:rsid w:val="00292C73"/>
    <w:rsid w:val="002969CA"/>
    <w:rsid w:val="00297761"/>
    <w:rsid w:val="002A4FF2"/>
    <w:rsid w:val="002A5D7F"/>
    <w:rsid w:val="002A641A"/>
    <w:rsid w:val="002A756E"/>
    <w:rsid w:val="002A7D43"/>
    <w:rsid w:val="002B1ADC"/>
    <w:rsid w:val="002B1F17"/>
    <w:rsid w:val="002B398D"/>
    <w:rsid w:val="002C1C61"/>
    <w:rsid w:val="002C326D"/>
    <w:rsid w:val="002C39BC"/>
    <w:rsid w:val="002C6FD3"/>
    <w:rsid w:val="002D2239"/>
    <w:rsid w:val="002D7D1A"/>
    <w:rsid w:val="002E07FF"/>
    <w:rsid w:val="002E55F5"/>
    <w:rsid w:val="002F20FA"/>
    <w:rsid w:val="002F26CF"/>
    <w:rsid w:val="002F41F9"/>
    <w:rsid w:val="002F4681"/>
    <w:rsid w:val="003003EF"/>
    <w:rsid w:val="003079FD"/>
    <w:rsid w:val="003220B2"/>
    <w:rsid w:val="00325569"/>
    <w:rsid w:val="00326B1B"/>
    <w:rsid w:val="0032759D"/>
    <w:rsid w:val="00331E1B"/>
    <w:rsid w:val="0033671D"/>
    <w:rsid w:val="003379EC"/>
    <w:rsid w:val="003449E4"/>
    <w:rsid w:val="0034782C"/>
    <w:rsid w:val="00363055"/>
    <w:rsid w:val="00364DA3"/>
    <w:rsid w:val="00372ADD"/>
    <w:rsid w:val="00373714"/>
    <w:rsid w:val="003749DC"/>
    <w:rsid w:val="00377777"/>
    <w:rsid w:val="003826D6"/>
    <w:rsid w:val="003847AC"/>
    <w:rsid w:val="00385143"/>
    <w:rsid w:val="003939FB"/>
    <w:rsid w:val="00393BA5"/>
    <w:rsid w:val="003A5061"/>
    <w:rsid w:val="003A7C78"/>
    <w:rsid w:val="003B0788"/>
    <w:rsid w:val="003B65AE"/>
    <w:rsid w:val="003B7117"/>
    <w:rsid w:val="003C1FFC"/>
    <w:rsid w:val="003C4F6D"/>
    <w:rsid w:val="003C5834"/>
    <w:rsid w:val="003C5943"/>
    <w:rsid w:val="003D5932"/>
    <w:rsid w:val="003D64D4"/>
    <w:rsid w:val="003E1187"/>
    <w:rsid w:val="003E1D68"/>
    <w:rsid w:val="003E68C5"/>
    <w:rsid w:val="003F1016"/>
    <w:rsid w:val="003F345D"/>
    <w:rsid w:val="00405A9B"/>
    <w:rsid w:val="00413249"/>
    <w:rsid w:val="004157B3"/>
    <w:rsid w:val="004164A6"/>
    <w:rsid w:val="00417948"/>
    <w:rsid w:val="00423C13"/>
    <w:rsid w:val="00431E52"/>
    <w:rsid w:val="00437A94"/>
    <w:rsid w:val="00443918"/>
    <w:rsid w:val="00450DCC"/>
    <w:rsid w:val="004566E8"/>
    <w:rsid w:val="004600FD"/>
    <w:rsid w:val="004601F7"/>
    <w:rsid w:val="004606A7"/>
    <w:rsid w:val="00460D11"/>
    <w:rsid w:val="00461132"/>
    <w:rsid w:val="00462222"/>
    <w:rsid w:val="00465BB4"/>
    <w:rsid w:val="00465D03"/>
    <w:rsid w:val="00467C4B"/>
    <w:rsid w:val="00471983"/>
    <w:rsid w:val="00472AC8"/>
    <w:rsid w:val="0047717E"/>
    <w:rsid w:val="00480A5F"/>
    <w:rsid w:val="0048295F"/>
    <w:rsid w:val="00491760"/>
    <w:rsid w:val="004974BD"/>
    <w:rsid w:val="004B1C89"/>
    <w:rsid w:val="004B79F6"/>
    <w:rsid w:val="004C2B54"/>
    <w:rsid w:val="004C6A2C"/>
    <w:rsid w:val="004C75DA"/>
    <w:rsid w:val="004D2F53"/>
    <w:rsid w:val="004D52A9"/>
    <w:rsid w:val="004D6BA4"/>
    <w:rsid w:val="004E4B85"/>
    <w:rsid w:val="004E5A5B"/>
    <w:rsid w:val="004F1A69"/>
    <w:rsid w:val="004F62A2"/>
    <w:rsid w:val="00503347"/>
    <w:rsid w:val="00510CFD"/>
    <w:rsid w:val="005125E8"/>
    <w:rsid w:val="00512720"/>
    <w:rsid w:val="0051772F"/>
    <w:rsid w:val="0052790D"/>
    <w:rsid w:val="00530678"/>
    <w:rsid w:val="005306A5"/>
    <w:rsid w:val="00531C16"/>
    <w:rsid w:val="00531E48"/>
    <w:rsid w:val="00532084"/>
    <w:rsid w:val="005325D7"/>
    <w:rsid w:val="0053581C"/>
    <w:rsid w:val="00537D55"/>
    <w:rsid w:val="005410CD"/>
    <w:rsid w:val="0054130A"/>
    <w:rsid w:val="0054298D"/>
    <w:rsid w:val="00543F72"/>
    <w:rsid w:val="00555999"/>
    <w:rsid w:val="00564FA1"/>
    <w:rsid w:val="005650DD"/>
    <w:rsid w:val="00567BB7"/>
    <w:rsid w:val="005701D6"/>
    <w:rsid w:val="00571298"/>
    <w:rsid w:val="00576E40"/>
    <w:rsid w:val="005779C5"/>
    <w:rsid w:val="005823E9"/>
    <w:rsid w:val="0058373B"/>
    <w:rsid w:val="00585764"/>
    <w:rsid w:val="00586B91"/>
    <w:rsid w:val="0058700F"/>
    <w:rsid w:val="00590890"/>
    <w:rsid w:val="00591E4D"/>
    <w:rsid w:val="0059388C"/>
    <w:rsid w:val="00594845"/>
    <w:rsid w:val="005A0CBE"/>
    <w:rsid w:val="005A38A3"/>
    <w:rsid w:val="005A68F5"/>
    <w:rsid w:val="005B6082"/>
    <w:rsid w:val="005C2210"/>
    <w:rsid w:val="005C43FD"/>
    <w:rsid w:val="005C46B3"/>
    <w:rsid w:val="005C7CA5"/>
    <w:rsid w:val="005D10D1"/>
    <w:rsid w:val="005D33F6"/>
    <w:rsid w:val="005D57D6"/>
    <w:rsid w:val="005E307A"/>
    <w:rsid w:val="005E7489"/>
    <w:rsid w:val="005F0160"/>
    <w:rsid w:val="005F0D0F"/>
    <w:rsid w:val="005F2807"/>
    <w:rsid w:val="005F4385"/>
    <w:rsid w:val="005F55E7"/>
    <w:rsid w:val="005F62D4"/>
    <w:rsid w:val="005F6EF9"/>
    <w:rsid w:val="0060448D"/>
    <w:rsid w:val="00606DF4"/>
    <w:rsid w:val="00606FCD"/>
    <w:rsid w:val="0061549F"/>
    <w:rsid w:val="00622870"/>
    <w:rsid w:val="006319DE"/>
    <w:rsid w:val="00636748"/>
    <w:rsid w:val="00637117"/>
    <w:rsid w:val="00637B19"/>
    <w:rsid w:val="00642708"/>
    <w:rsid w:val="00642978"/>
    <w:rsid w:val="00646512"/>
    <w:rsid w:val="00647259"/>
    <w:rsid w:val="006525E7"/>
    <w:rsid w:val="00653DFF"/>
    <w:rsid w:val="00653E98"/>
    <w:rsid w:val="00661D37"/>
    <w:rsid w:val="00662AAE"/>
    <w:rsid w:val="00663FF2"/>
    <w:rsid w:val="006651D4"/>
    <w:rsid w:val="00665F09"/>
    <w:rsid w:val="006761C5"/>
    <w:rsid w:val="00680911"/>
    <w:rsid w:val="00693F68"/>
    <w:rsid w:val="00696253"/>
    <w:rsid w:val="006A06B8"/>
    <w:rsid w:val="006A1C14"/>
    <w:rsid w:val="006A2A90"/>
    <w:rsid w:val="006A592F"/>
    <w:rsid w:val="006A5DAC"/>
    <w:rsid w:val="006B11AF"/>
    <w:rsid w:val="006B11BC"/>
    <w:rsid w:val="006B15D4"/>
    <w:rsid w:val="006B168F"/>
    <w:rsid w:val="006B5288"/>
    <w:rsid w:val="006B6E0D"/>
    <w:rsid w:val="006B7CE3"/>
    <w:rsid w:val="006C1772"/>
    <w:rsid w:val="006C1FFD"/>
    <w:rsid w:val="006C4C67"/>
    <w:rsid w:val="006C4D4A"/>
    <w:rsid w:val="006C7FE3"/>
    <w:rsid w:val="006D1B52"/>
    <w:rsid w:val="006D7AEC"/>
    <w:rsid w:val="006E004E"/>
    <w:rsid w:val="006E3E2D"/>
    <w:rsid w:val="006E5EC4"/>
    <w:rsid w:val="006F05FE"/>
    <w:rsid w:val="006F335A"/>
    <w:rsid w:val="006F3C22"/>
    <w:rsid w:val="00701625"/>
    <w:rsid w:val="00702874"/>
    <w:rsid w:val="0070384A"/>
    <w:rsid w:val="00704F45"/>
    <w:rsid w:val="00707471"/>
    <w:rsid w:val="007076B1"/>
    <w:rsid w:val="00724816"/>
    <w:rsid w:val="007278E6"/>
    <w:rsid w:val="007326CF"/>
    <w:rsid w:val="00733DA4"/>
    <w:rsid w:val="00734D2C"/>
    <w:rsid w:val="00747594"/>
    <w:rsid w:val="00754C26"/>
    <w:rsid w:val="00773EE8"/>
    <w:rsid w:val="007806AE"/>
    <w:rsid w:val="0078704B"/>
    <w:rsid w:val="007913C5"/>
    <w:rsid w:val="00791757"/>
    <w:rsid w:val="007926E9"/>
    <w:rsid w:val="00793EA3"/>
    <w:rsid w:val="00796F33"/>
    <w:rsid w:val="007A4397"/>
    <w:rsid w:val="007B5503"/>
    <w:rsid w:val="007B6C83"/>
    <w:rsid w:val="007C0BE1"/>
    <w:rsid w:val="007C2E0F"/>
    <w:rsid w:val="007C6104"/>
    <w:rsid w:val="007C6804"/>
    <w:rsid w:val="007D1E8D"/>
    <w:rsid w:val="007E21CB"/>
    <w:rsid w:val="007E2877"/>
    <w:rsid w:val="007E78E2"/>
    <w:rsid w:val="007F0E66"/>
    <w:rsid w:val="007F72EF"/>
    <w:rsid w:val="007F794A"/>
    <w:rsid w:val="00802894"/>
    <w:rsid w:val="00802B08"/>
    <w:rsid w:val="00805307"/>
    <w:rsid w:val="008071B1"/>
    <w:rsid w:val="0081069B"/>
    <w:rsid w:val="008115EF"/>
    <w:rsid w:val="00815BDE"/>
    <w:rsid w:val="0081668F"/>
    <w:rsid w:val="00816859"/>
    <w:rsid w:val="00824712"/>
    <w:rsid w:val="00825992"/>
    <w:rsid w:val="008272B6"/>
    <w:rsid w:val="008308D0"/>
    <w:rsid w:val="008325DA"/>
    <w:rsid w:val="0083351E"/>
    <w:rsid w:val="008345B3"/>
    <w:rsid w:val="00836F85"/>
    <w:rsid w:val="00842CC0"/>
    <w:rsid w:val="00845EE1"/>
    <w:rsid w:val="00850169"/>
    <w:rsid w:val="00852844"/>
    <w:rsid w:val="008531E3"/>
    <w:rsid w:val="00857269"/>
    <w:rsid w:val="008575CA"/>
    <w:rsid w:val="00857CCB"/>
    <w:rsid w:val="00863C2B"/>
    <w:rsid w:val="008808BC"/>
    <w:rsid w:val="00882B43"/>
    <w:rsid w:val="008843BE"/>
    <w:rsid w:val="00886C89"/>
    <w:rsid w:val="008871C0"/>
    <w:rsid w:val="00887D88"/>
    <w:rsid w:val="008A7D2C"/>
    <w:rsid w:val="008B0F7E"/>
    <w:rsid w:val="008B12D4"/>
    <w:rsid w:val="008B1450"/>
    <w:rsid w:val="008B56AE"/>
    <w:rsid w:val="008B58CB"/>
    <w:rsid w:val="008B6B49"/>
    <w:rsid w:val="008C1ECD"/>
    <w:rsid w:val="008C28BC"/>
    <w:rsid w:val="008C2F45"/>
    <w:rsid w:val="008C4FFE"/>
    <w:rsid w:val="008C5DD2"/>
    <w:rsid w:val="008D2684"/>
    <w:rsid w:val="008D2C91"/>
    <w:rsid w:val="008D3A8F"/>
    <w:rsid w:val="008D61FE"/>
    <w:rsid w:val="008D76C3"/>
    <w:rsid w:val="008E5664"/>
    <w:rsid w:val="008E64AC"/>
    <w:rsid w:val="008F0495"/>
    <w:rsid w:val="008F163A"/>
    <w:rsid w:val="008F2807"/>
    <w:rsid w:val="008F51C7"/>
    <w:rsid w:val="0090008F"/>
    <w:rsid w:val="00900CE2"/>
    <w:rsid w:val="00906AD0"/>
    <w:rsid w:val="00907B52"/>
    <w:rsid w:val="00907F44"/>
    <w:rsid w:val="009113BB"/>
    <w:rsid w:val="00921D98"/>
    <w:rsid w:val="00922F68"/>
    <w:rsid w:val="00924408"/>
    <w:rsid w:val="009244E6"/>
    <w:rsid w:val="0093048A"/>
    <w:rsid w:val="00931240"/>
    <w:rsid w:val="00935775"/>
    <w:rsid w:val="0093601D"/>
    <w:rsid w:val="009400E6"/>
    <w:rsid w:val="009420E7"/>
    <w:rsid w:val="009438D9"/>
    <w:rsid w:val="00947456"/>
    <w:rsid w:val="00952330"/>
    <w:rsid w:val="009526C1"/>
    <w:rsid w:val="00953B52"/>
    <w:rsid w:val="009543D6"/>
    <w:rsid w:val="00954D59"/>
    <w:rsid w:val="0095682C"/>
    <w:rsid w:val="00960F40"/>
    <w:rsid w:val="00961D26"/>
    <w:rsid w:val="00962250"/>
    <w:rsid w:val="00963025"/>
    <w:rsid w:val="00963145"/>
    <w:rsid w:val="00964FDA"/>
    <w:rsid w:val="00965A84"/>
    <w:rsid w:val="0096727B"/>
    <w:rsid w:val="0097068E"/>
    <w:rsid w:val="00970D31"/>
    <w:rsid w:val="00973576"/>
    <w:rsid w:val="00974F4D"/>
    <w:rsid w:val="00976A2B"/>
    <w:rsid w:val="00983D79"/>
    <w:rsid w:val="00983E69"/>
    <w:rsid w:val="00984EC3"/>
    <w:rsid w:val="00984FAA"/>
    <w:rsid w:val="00986CEE"/>
    <w:rsid w:val="0098761E"/>
    <w:rsid w:val="00987E81"/>
    <w:rsid w:val="009935EE"/>
    <w:rsid w:val="00996E88"/>
    <w:rsid w:val="009A2D0B"/>
    <w:rsid w:val="009A3D79"/>
    <w:rsid w:val="009A4FE8"/>
    <w:rsid w:val="009B1EBA"/>
    <w:rsid w:val="009B6E9F"/>
    <w:rsid w:val="009B6FB0"/>
    <w:rsid w:val="009B7089"/>
    <w:rsid w:val="009C11C4"/>
    <w:rsid w:val="009C3A66"/>
    <w:rsid w:val="009C4EF4"/>
    <w:rsid w:val="009D0789"/>
    <w:rsid w:val="009D0CD8"/>
    <w:rsid w:val="009D617D"/>
    <w:rsid w:val="009D6611"/>
    <w:rsid w:val="009E0878"/>
    <w:rsid w:val="009E1C13"/>
    <w:rsid w:val="009E28FB"/>
    <w:rsid w:val="009E40F4"/>
    <w:rsid w:val="009F293D"/>
    <w:rsid w:val="009F4F50"/>
    <w:rsid w:val="009F6276"/>
    <w:rsid w:val="00A02383"/>
    <w:rsid w:val="00A04122"/>
    <w:rsid w:val="00A13DD3"/>
    <w:rsid w:val="00A14FAC"/>
    <w:rsid w:val="00A21F65"/>
    <w:rsid w:val="00A2665A"/>
    <w:rsid w:val="00A31968"/>
    <w:rsid w:val="00A3511E"/>
    <w:rsid w:val="00A3579E"/>
    <w:rsid w:val="00A4069B"/>
    <w:rsid w:val="00A4125B"/>
    <w:rsid w:val="00A4248B"/>
    <w:rsid w:val="00A42B40"/>
    <w:rsid w:val="00A456F8"/>
    <w:rsid w:val="00A46D0A"/>
    <w:rsid w:val="00A54320"/>
    <w:rsid w:val="00A54630"/>
    <w:rsid w:val="00A60EEE"/>
    <w:rsid w:val="00A61F5B"/>
    <w:rsid w:val="00A621BE"/>
    <w:rsid w:val="00A63450"/>
    <w:rsid w:val="00A747E0"/>
    <w:rsid w:val="00A754B5"/>
    <w:rsid w:val="00A81317"/>
    <w:rsid w:val="00A82D93"/>
    <w:rsid w:val="00A91538"/>
    <w:rsid w:val="00AA4EC7"/>
    <w:rsid w:val="00AA6914"/>
    <w:rsid w:val="00AB3D10"/>
    <w:rsid w:val="00AB3D47"/>
    <w:rsid w:val="00AC0296"/>
    <w:rsid w:val="00AC3F95"/>
    <w:rsid w:val="00AC5BF7"/>
    <w:rsid w:val="00AD04DC"/>
    <w:rsid w:val="00AE00C3"/>
    <w:rsid w:val="00AE3572"/>
    <w:rsid w:val="00AE4540"/>
    <w:rsid w:val="00AF3250"/>
    <w:rsid w:val="00AF41CD"/>
    <w:rsid w:val="00B01D83"/>
    <w:rsid w:val="00B03A34"/>
    <w:rsid w:val="00B04093"/>
    <w:rsid w:val="00B05E58"/>
    <w:rsid w:val="00B066B0"/>
    <w:rsid w:val="00B067C4"/>
    <w:rsid w:val="00B107B1"/>
    <w:rsid w:val="00B24330"/>
    <w:rsid w:val="00B3356B"/>
    <w:rsid w:val="00B3475F"/>
    <w:rsid w:val="00B34AFB"/>
    <w:rsid w:val="00B53B87"/>
    <w:rsid w:val="00B6441B"/>
    <w:rsid w:val="00B7188E"/>
    <w:rsid w:val="00B72363"/>
    <w:rsid w:val="00B75640"/>
    <w:rsid w:val="00B83371"/>
    <w:rsid w:val="00B849BE"/>
    <w:rsid w:val="00B84B48"/>
    <w:rsid w:val="00B9538D"/>
    <w:rsid w:val="00BA0B49"/>
    <w:rsid w:val="00BA1DB4"/>
    <w:rsid w:val="00BA4AFF"/>
    <w:rsid w:val="00BB0804"/>
    <w:rsid w:val="00BB3D7D"/>
    <w:rsid w:val="00BB45C2"/>
    <w:rsid w:val="00BB4C23"/>
    <w:rsid w:val="00BB63C1"/>
    <w:rsid w:val="00BC37A5"/>
    <w:rsid w:val="00BC4A7E"/>
    <w:rsid w:val="00BC5131"/>
    <w:rsid w:val="00BC668C"/>
    <w:rsid w:val="00BD5C19"/>
    <w:rsid w:val="00BE62CA"/>
    <w:rsid w:val="00BF037D"/>
    <w:rsid w:val="00BF5CBF"/>
    <w:rsid w:val="00C011D3"/>
    <w:rsid w:val="00C01C86"/>
    <w:rsid w:val="00C03007"/>
    <w:rsid w:val="00C041A9"/>
    <w:rsid w:val="00C04E64"/>
    <w:rsid w:val="00C10CCE"/>
    <w:rsid w:val="00C11211"/>
    <w:rsid w:val="00C132FC"/>
    <w:rsid w:val="00C32AD3"/>
    <w:rsid w:val="00C40FFE"/>
    <w:rsid w:val="00C4438C"/>
    <w:rsid w:val="00C453DE"/>
    <w:rsid w:val="00C539C1"/>
    <w:rsid w:val="00C62304"/>
    <w:rsid w:val="00C67DA2"/>
    <w:rsid w:val="00C703D9"/>
    <w:rsid w:val="00C7290F"/>
    <w:rsid w:val="00C729B5"/>
    <w:rsid w:val="00C77938"/>
    <w:rsid w:val="00C8199C"/>
    <w:rsid w:val="00C87154"/>
    <w:rsid w:val="00C907DE"/>
    <w:rsid w:val="00C92B98"/>
    <w:rsid w:val="00C935FD"/>
    <w:rsid w:val="00C93AAC"/>
    <w:rsid w:val="00C974BF"/>
    <w:rsid w:val="00CA0CDB"/>
    <w:rsid w:val="00CA7FBA"/>
    <w:rsid w:val="00CB05A7"/>
    <w:rsid w:val="00CB0BE5"/>
    <w:rsid w:val="00CB0C66"/>
    <w:rsid w:val="00CC3434"/>
    <w:rsid w:val="00CC38C8"/>
    <w:rsid w:val="00CC5725"/>
    <w:rsid w:val="00CD467D"/>
    <w:rsid w:val="00CD7AD4"/>
    <w:rsid w:val="00CE0CBE"/>
    <w:rsid w:val="00CE49FB"/>
    <w:rsid w:val="00CE554A"/>
    <w:rsid w:val="00CE573D"/>
    <w:rsid w:val="00CE74C4"/>
    <w:rsid w:val="00CF3D1F"/>
    <w:rsid w:val="00CF49A2"/>
    <w:rsid w:val="00CF6183"/>
    <w:rsid w:val="00CF7439"/>
    <w:rsid w:val="00D01814"/>
    <w:rsid w:val="00D0256B"/>
    <w:rsid w:val="00D03EF5"/>
    <w:rsid w:val="00D05015"/>
    <w:rsid w:val="00D05DCA"/>
    <w:rsid w:val="00D06F54"/>
    <w:rsid w:val="00D10288"/>
    <w:rsid w:val="00D11319"/>
    <w:rsid w:val="00D118AB"/>
    <w:rsid w:val="00D14FB9"/>
    <w:rsid w:val="00D179F9"/>
    <w:rsid w:val="00D2083B"/>
    <w:rsid w:val="00D229AC"/>
    <w:rsid w:val="00D24AB9"/>
    <w:rsid w:val="00D30570"/>
    <w:rsid w:val="00D3246B"/>
    <w:rsid w:val="00D331FD"/>
    <w:rsid w:val="00D36727"/>
    <w:rsid w:val="00D45FB7"/>
    <w:rsid w:val="00D475B5"/>
    <w:rsid w:val="00D51F1E"/>
    <w:rsid w:val="00D547B9"/>
    <w:rsid w:val="00D60823"/>
    <w:rsid w:val="00D70EE9"/>
    <w:rsid w:val="00D8425B"/>
    <w:rsid w:val="00D84C2C"/>
    <w:rsid w:val="00D8505D"/>
    <w:rsid w:val="00D91CB6"/>
    <w:rsid w:val="00DA43D4"/>
    <w:rsid w:val="00DA70E5"/>
    <w:rsid w:val="00DB06AF"/>
    <w:rsid w:val="00DB4C19"/>
    <w:rsid w:val="00DC11EB"/>
    <w:rsid w:val="00DC29F7"/>
    <w:rsid w:val="00DC7287"/>
    <w:rsid w:val="00DD00D7"/>
    <w:rsid w:val="00DD09B0"/>
    <w:rsid w:val="00DD12E5"/>
    <w:rsid w:val="00DD1EA9"/>
    <w:rsid w:val="00DD2F6B"/>
    <w:rsid w:val="00DD391D"/>
    <w:rsid w:val="00DD4119"/>
    <w:rsid w:val="00DD5C96"/>
    <w:rsid w:val="00DD7A1C"/>
    <w:rsid w:val="00DE05F0"/>
    <w:rsid w:val="00DE16CA"/>
    <w:rsid w:val="00DE634A"/>
    <w:rsid w:val="00DE6B67"/>
    <w:rsid w:val="00DE7EF0"/>
    <w:rsid w:val="00DF1526"/>
    <w:rsid w:val="00E028DE"/>
    <w:rsid w:val="00E062A5"/>
    <w:rsid w:val="00E06F2B"/>
    <w:rsid w:val="00E103FA"/>
    <w:rsid w:val="00E12878"/>
    <w:rsid w:val="00E14DBB"/>
    <w:rsid w:val="00E16D0B"/>
    <w:rsid w:val="00E201BE"/>
    <w:rsid w:val="00E22920"/>
    <w:rsid w:val="00E23004"/>
    <w:rsid w:val="00E24037"/>
    <w:rsid w:val="00E27260"/>
    <w:rsid w:val="00E27894"/>
    <w:rsid w:val="00E30016"/>
    <w:rsid w:val="00E3577C"/>
    <w:rsid w:val="00E37151"/>
    <w:rsid w:val="00E40C76"/>
    <w:rsid w:val="00E41974"/>
    <w:rsid w:val="00E450F5"/>
    <w:rsid w:val="00E47E27"/>
    <w:rsid w:val="00E5349A"/>
    <w:rsid w:val="00E53B1E"/>
    <w:rsid w:val="00E53D44"/>
    <w:rsid w:val="00E570BC"/>
    <w:rsid w:val="00E67EC3"/>
    <w:rsid w:val="00E70FBD"/>
    <w:rsid w:val="00E75700"/>
    <w:rsid w:val="00E8461A"/>
    <w:rsid w:val="00E85AD9"/>
    <w:rsid w:val="00E87609"/>
    <w:rsid w:val="00E90C80"/>
    <w:rsid w:val="00E926AF"/>
    <w:rsid w:val="00E93CAF"/>
    <w:rsid w:val="00E970B1"/>
    <w:rsid w:val="00EA0796"/>
    <w:rsid w:val="00EA3804"/>
    <w:rsid w:val="00EA4EAA"/>
    <w:rsid w:val="00EA5CC8"/>
    <w:rsid w:val="00EA6DB0"/>
    <w:rsid w:val="00EA7BCC"/>
    <w:rsid w:val="00EB20D4"/>
    <w:rsid w:val="00EB3B6F"/>
    <w:rsid w:val="00EB4A39"/>
    <w:rsid w:val="00EC14E8"/>
    <w:rsid w:val="00EC34EA"/>
    <w:rsid w:val="00EC573C"/>
    <w:rsid w:val="00EE36D5"/>
    <w:rsid w:val="00EE3F45"/>
    <w:rsid w:val="00EE6A10"/>
    <w:rsid w:val="00EF096E"/>
    <w:rsid w:val="00EF151C"/>
    <w:rsid w:val="00EF6EDA"/>
    <w:rsid w:val="00F10D05"/>
    <w:rsid w:val="00F20810"/>
    <w:rsid w:val="00F228BE"/>
    <w:rsid w:val="00F239E1"/>
    <w:rsid w:val="00F26F03"/>
    <w:rsid w:val="00F33B80"/>
    <w:rsid w:val="00F36C09"/>
    <w:rsid w:val="00F36E86"/>
    <w:rsid w:val="00F3732A"/>
    <w:rsid w:val="00F463C4"/>
    <w:rsid w:val="00F508E0"/>
    <w:rsid w:val="00F51122"/>
    <w:rsid w:val="00F516DE"/>
    <w:rsid w:val="00F562D7"/>
    <w:rsid w:val="00F5670A"/>
    <w:rsid w:val="00F5718B"/>
    <w:rsid w:val="00F608CE"/>
    <w:rsid w:val="00F60B99"/>
    <w:rsid w:val="00F62836"/>
    <w:rsid w:val="00F62C17"/>
    <w:rsid w:val="00F6374E"/>
    <w:rsid w:val="00F63D8B"/>
    <w:rsid w:val="00F64D70"/>
    <w:rsid w:val="00F66F86"/>
    <w:rsid w:val="00F771E2"/>
    <w:rsid w:val="00F94212"/>
    <w:rsid w:val="00F9469E"/>
    <w:rsid w:val="00F951F8"/>
    <w:rsid w:val="00FA2F4A"/>
    <w:rsid w:val="00FA3DDF"/>
    <w:rsid w:val="00FA3F1E"/>
    <w:rsid w:val="00FA67C3"/>
    <w:rsid w:val="00FB071A"/>
    <w:rsid w:val="00FB261C"/>
    <w:rsid w:val="00FC4EB1"/>
    <w:rsid w:val="00FD0285"/>
    <w:rsid w:val="00FD20AA"/>
    <w:rsid w:val="00FD4831"/>
    <w:rsid w:val="00FD628B"/>
    <w:rsid w:val="00FD7072"/>
    <w:rsid w:val="00FE1BEC"/>
    <w:rsid w:val="00FE3374"/>
    <w:rsid w:val="00FF08B7"/>
    <w:rsid w:val="00FF6F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74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2BEB"/>
    <w:pPr>
      <w:spacing w:line="260" w:lineRule="atLeast"/>
    </w:pPr>
    <w:rPr>
      <w:rFonts w:eastAsia="Calibri"/>
      <w:sz w:val="22"/>
      <w:lang w:eastAsia="en-US"/>
    </w:rPr>
  </w:style>
  <w:style w:type="paragraph" w:styleId="Heading1">
    <w:name w:val="heading 1"/>
    <w:basedOn w:val="Heading2"/>
    <w:next w:val="Normal"/>
    <w:link w:val="Heading1Char"/>
    <w:qFormat/>
    <w:rsid w:val="00AA6B76"/>
    <w:pPr>
      <w:ind w:left="0" w:firstLine="0"/>
      <w:jc w:val="center"/>
      <w:outlineLvl w:val="0"/>
    </w:pPr>
    <w:rPr>
      <w:rFonts w:ascii="Times New Roman" w:eastAsia="Times New Roman" w:hAnsi="Times New Roman"/>
      <w:sz w:val="28"/>
      <w:szCs w:val="24"/>
    </w:rPr>
  </w:style>
  <w:style w:type="paragraph" w:styleId="Heading2">
    <w:name w:val="heading 2"/>
    <w:basedOn w:val="Normal"/>
    <w:next w:val="Normal"/>
    <w:link w:val="Heading2Char"/>
    <w:qFormat/>
    <w:rsid w:val="0036472B"/>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AA6B76"/>
    <w:pPr>
      <w:keepNext/>
      <w:spacing w:before="280"/>
      <w:outlineLvl w:val="2"/>
    </w:pPr>
  </w:style>
  <w:style w:type="paragraph" w:styleId="Heading4">
    <w:name w:val="heading 4"/>
    <w:basedOn w:val="Normal"/>
    <w:next w:val="Normal"/>
    <w:link w:val="Heading4Char"/>
    <w:uiPriority w:val="9"/>
    <w:unhideWhenUsed/>
    <w:qFormat/>
    <w:rsid w:val="00FA086B"/>
    <w:pPr>
      <w:keepNext/>
      <w:spacing w:before="240" w:after="60"/>
      <w:outlineLvl w:val="3"/>
    </w:pPr>
    <w:rPr>
      <w:rFonts w:eastAsia="Times New Roman"/>
      <w:b/>
      <w:bCs/>
      <w:sz w:val="24"/>
      <w:szCs w:val="24"/>
    </w:rPr>
  </w:style>
  <w:style w:type="paragraph" w:styleId="Heading6">
    <w:name w:val="heading 6"/>
    <w:basedOn w:val="Heading2"/>
    <w:next w:val="Normal"/>
    <w:link w:val="Heading6Char"/>
    <w:rsid w:val="000616D0"/>
    <w:pPr>
      <w:keepLines/>
      <w:tabs>
        <w:tab w:val="left" w:pos="851"/>
      </w:tabs>
      <w:spacing w:before="240"/>
      <w:outlineLvl w:val="5"/>
    </w:pPr>
    <w:rPr>
      <w:rFonts w:eastAsia="Times New Roman" w:cs="Calibri"/>
      <w:i/>
      <w:iCs/>
      <w:color w:val="0000F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semiHidden/>
    <w:rsid w:val="000616D0"/>
    <w:rPr>
      <w:rFonts w:ascii="Times" w:hAnsi="Times" w:cs="Calibri"/>
      <w:b/>
      <w:i/>
      <w:iCs/>
      <w:color w:val="0000FF"/>
      <w:sz w:val="24"/>
      <w:szCs w:val="24"/>
      <w:lang w:val="en-AU" w:eastAsia="en-AU" w:bidi="ar-SA"/>
    </w:rPr>
  </w:style>
  <w:style w:type="character" w:styleId="CommentReference">
    <w:name w:val="annotation reference"/>
    <w:semiHidden/>
    <w:rsid w:val="00FE54B8"/>
    <w:rPr>
      <w:rFonts w:cs="Times New Roman"/>
      <w:sz w:val="16"/>
      <w:szCs w:val="16"/>
    </w:rPr>
  </w:style>
  <w:style w:type="paragraph" w:styleId="Header">
    <w:name w:val="header"/>
    <w:basedOn w:val="OPCParaBase"/>
    <w:link w:val="HeaderChar"/>
    <w:unhideWhenUsed/>
    <w:rsid w:val="00172BEB"/>
    <w:pPr>
      <w:keepNext/>
      <w:keepLines/>
      <w:tabs>
        <w:tab w:val="center" w:pos="4150"/>
        <w:tab w:val="right" w:pos="8307"/>
      </w:tabs>
      <w:spacing w:line="160" w:lineRule="exact"/>
    </w:pPr>
    <w:rPr>
      <w:sz w:val="16"/>
    </w:rPr>
  </w:style>
  <w:style w:type="paragraph" w:styleId="CommentText">
    <w:name w:val="annotation text"/>
    <w:basedOn w:val="Normal"/>
    <w:link w:val="CommentTextChar"/>
    <w:semiHidden/>
    <w:rsid w:val="00FE54B8"/>
    <w:pPr>
      <w:tabs>
        <w:tab w:val="left" w:pos="851"/>
      </w:tabs>
      <w:spacing w:before="120" w:after="120"/>
    </w:pPr>
    <w:rPr>
      <w:rFonts w:ascii="Tahoma" w:eastAsia="Times New Roman" w:hAnsi="Tahoma" w:cs="Tahoma"/>
      <w:sz w:val="24"/>
      <w:szCs w:val="24"/>
      <w:lang w:eastAsia="en-AU"/>
    </w:rPr>
  </w:style>
  <w:style w:type="character" w:customStyle="1" w:styleId="CommentTextChar">
    <w:name w:val="Comment Text Char"/>
    <w:link w:val="CommentText"/>
    <w:semiHidden/>
    <w:rsid w:val="00FE54B8"/>
    <w:rPr>
      <w:rFonts w:ascii="Tahoma" w:hAnsi="Tahoma" w:cs="Tahoma"/>
      <w:sz w:val="24"/>
      <w:szCs w:val="24"/>
      <w:lang w:val="en-AU" w:eastAsia="en-AU" w:bidi="ar-SA"/>
    </w:rPr>
  </w:style>
  <w:style w:type="paragraph" w:styleId="BalloonText">
    <w:name w:val="Balloon Text"/>
    <w:basedOn w:val="Normal"/>
    <w:link w:val="BalloonTextChar"/>
    <w:uiPriority w:val="99"/>
    <w:semiHidden/>
    <w:unhideWhenUsed/>
    <w:rsid w:val="00172BEB"/>
    <w:pPr>
      <w:spacing w:line="240" w:lineRule="auto"/>
    </w:pPr>
    <w:rPr>
      <w:rFonts w:ascii="Tahoma" w:hAnsi="Tahoma"/>
      <w:sz w:val="16"/>
      <w:szCs w:val="16"/>
    </w:rPr>
  </w:style>
  <w:style w:type="character" w:styleId="Hyperlink">
    <w:name w:val="Hyperlink"/>
    <w:uiPriority w:val="99"/>
    <w:rsid w:val="002A4207"/>
    <w:rPr>
      <w:color w:val="0000FF"/>
      <w:u w:val="single"/>
    </w:rPr>
  </w:style>
  <w:style w:type="paragraph" w:styleId="Footer">
    <w:name w:val="footer"/>
    <w:link w:val="FooterChar"/>
    <w:uiPriority w:val="99"/>
    <w:rsid w:val="00172BEB"/>
    <w:pPr>
      <w:tabs>
        <w:tab w:val="center" w:pos="4153"/>
        <w:tab w:val="right" w:pos="8306"/>
      </w:tabs>
    </w:pPr>
    <w:rPr>
      <w:sz w:val="22"/>
      <w:szCs w:val="24"/>
    </w:rPr>
  </w:style>
  <w:style w:type="table" w:styleId="TableGrid">
    <w:name w:val="Table Grid"/>
    <w:basedOn w:val="TableNormal"/>
    <w:uiPriority w:val="59"/>
    <w:rsid w:val="00F21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AA6B76"/>
    <w:rPr>
      <w:b/>
      <w:sz w:val="28"/>
      <w:szCs w:val="24"/>
    </w:rPr>
  </w:style>
  <w:style w:type="paragraph" w:styleId="CommentSubject">
    <w:name w:val="annotation subject"/>
    <w:basedOn w:val="CommentText"/>
    <w:next w:val="CommentText"/>
    <w:semiHidden/>
    <w:rsid w:val="00A06399"/>
    <w:pPr>
      <w:tabs>
        <w:tab w:val="clear" w:pos="851"/>
      </w:tabs>
    </w:pPr>
    <w:rPr>
      <w:rFonts w:ascii="Times New Roman" w:hAnsi="Times New Roman" w:cs="Times New Roman"/>
      <w:b/>
      <w:bCs/>
      <w:sz w:val="20"/>
    </w:rPr>
  </w:style>
  <w:style w:type="character" w:customStyle="1" w:styleId="charst1">
    <w:name w:val="charst1"/>
    <w:basedOn w:val="DefaultParagraphFont"/>
    <w:rsid w:val="00FE3F5E"/>
  </w:style>
  <w:style w:type="paragraph" w:styleId="NormalWeb">
    <w:name w:val="Normal (Web)"/>
    <w:basedOn w:val="Normal"/>
    <w:uiPriority w:val="99"/>
    <w:semiHidden/>
    <w:unhideWhenUsed/>
    <w:rsid w:val="008F1458"/>
    <w:pPr>
      <w:spacing w:before="136" w:after="136"/>
    </w:pPr>
  </w:style>
  <w:style w:type="paragraph" w:customStyle="1" w:styleId="subsection">
    <w:name w:val="subsection"/>
    <w:aliases w:val="ss"/>
    <w:basedOn w:val="OPCParaBase"/>
    <w:rsid w:val="00172BEB"/>
    <w:pPr>
      <w:tabs>
        <w:tab w:val="right" w:pos="1021"/>
      </w:tabs>
      <w:spacing w:before="180" w:line="240" w:lineRule="auto"/>
      <w:ind w:left="1134" w:hanging="1134"/>
    </w:pPr>
  </w:style>
  <w:style w:type="character" w:styleId="FollowedHyperlink">
    <w:name w:val="FollowedHyperlink"/>
    <w:uiPriority w:val="99"/>
    <w:semiHidden/>
    <w:unhideWhenUsed/>
    <w:rsid w:val="00287B5F"/>
    <w:rPr>
      <w:color w:val="800080"/>
      <w:u w:val="single"/>
    </w:rPr>
  </w:style>
  <w:style w:type="character" w:customStyle="1" w:styleId="Heading4Char">
    <w:name w:val="Heading 4 Char"/>
    <w:link w:val="Heading4"/>
    <w:uiPriority w:val="9"/>
    <w:rsid w:val="00FA086B"/>
    <w:rPr>
      <w:rFonts w:eastAsia="Times New Roman"/>
      <w:b/>
      <w:bCs/>
      <w:sz w:val="24"/>
      <w:szCs w:val="24"/>
    </w:rPr>
  </w:style>
  <w:style w:type="paragraph" w:styleId="Title">
    <w:name w:val="Title"/>
    <w:basedOn w:val="Normal"/>
    <w:next w:val="Normal"/>
    <w:link w:val="TitleChar"/>
    <w:uiPriority w:val="10"/>
    <w:rsid w:val="00FA086B"/>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FA086B"/>
    <w:rPr>
      <w:rFonts w:ascii="Cambria" w:eastAsia="Times New Roman" w:hAnsi="Cambria" w:cs="Times New Roman"/>
      <w:b/>
      <w:bCs/>
      <w:kern w:val="28"/>
      <w:sz w:val="32"/>
      <w:szCs w:val="32"/>
    </w:rPr>
  </w:style>
  <w:style w:type="paragraph" w:customStyle="1" w:styleId="Notes">
    <w:name w:val="Notes"/>
    <w:basedOn w:val="Normal"/>
    <w:link w:val="NotesChar"/>
    <w:qFormat/>
    <w:rsid w:val="00FA086B"/>
    <w:rPr>
      <w:rFonts w:eastAsia="Times New Roman"/>
      <w:i/>
      <w:szCs w:val="24"/>
    </w:rPr>
  </w:style>
  <w:style w:type="character" w:customStyle="1" w:styleId="NotesChar">
    <w:name w:val="Notes Char"/>
    <w:link w:val="Notes"/>
    <w:rsid w:val="00FA086B"/>
    <w:rPr>
      <w:i/>
      <w:sz w:val="22"/>
      <w:szCs w:val="24"/>
    </w:rPr>
  </w:style>
  <w:style w:type="paragraph" w:customStyle="1" w:styleId="BoxText">
    <w:name w:val="BoxText"/>
    <w:aliases w:val="bt"/>
    <w:basedOn w:val="OPCParaBase"/>
    <w:rsid w:val="00172BEB"/>
    <w:pPr>
      <w:pBdr>
        <w:top w:val="single" w:sz="6" w:space="5" w:color="auto"/>
        <w:left w:val="single" w:sz="6" w:space="5" w:color="auto"/>
        <w:bottom w:val="single" w:sz="6" w:space="5" w:color="auto"/>
        <w:right w:val="single" w:sz="6" w:space="5" w:color="auto"/>
      </w:pBdr>
      <w:spacing w:before="240" w:line="240" w:lineRule="auto"/>
      <w:ind w:left="1134"/>
    </w:pPr>
  </w:style>
  <w:style w:type="character" w:styleId="Emphasis">
    <w:name w:val="Emphasis"/>
    <w:uiPriority w:val="20"/>
    <w:qFormat/>
    <w:rsid w:val="000E0756"/>
    <w:rPr>
      <w:i/>
      <w:iCs/>
    </w:rPr>
  </w:style>
  <w:style w:type="character" w:customStyle="1" w:styleId="FooterChar">
    <w:name w:val="Footer Char"/>
    <w:link w:val="Footer"/>
    <w:uiPriority w:val="99"/>
    <w:rsid w:val="00172BEB"/>
    <w:rPr>
      <w:sz w:val="22"/>
      <w:szCs w:val="24"/>
      <w:lang w:bidi="ar-SA"/>
    </w:rPr>
  </w:style>
  <w:style w:type="character" w:styleId="PageNumber">
    <w:name w:val="page number"/>
    <w:rsid w:val="00172BEB"/>
  </w:style>
  <w:style w:type="character" w:customStyle="1" w:styleId="CharAmPartText">
    <w:name w:val="CharAmPartText"/>
    <w:uiPriority w:val="1"/>
    <w:qFormat/>
    <w:rsid w:val="00172BEB"/>
  </w:style>
  <w:style w:type="character" w:customStyle="1" w:styleId="OPCCharBase">
    <w:name w:val="OPCCharBase"/>
    <w:uiPriority w:val="1"/>
    <w:qFormat/>
    <w:rsid w:val="00172BEB"/>
  </w:style>
  <w:style w:type="paragraph" w:customStyle="1" w:styleId="OPCParaBase">
    <w:name w:val="OPCParaBase"/>
    <w:qFormat/>
    <w:rsid w:val="00172BEB"/>
    <w:pPr>
      <w:spacing w:line="260" w:lineRule="atLeast"/>
    </w:pPr>
    <w:rPr>
      <w:sz w:val="22"/>
    </w:rPr>
  </w:style>
  <w:style w:type="paragraph" w:customStyle="1" w:styleId="ShortT">
    <w:name w:val="ShortT"/>
    <w:basedOn w:val="OPCParaBase"/>
    <w:next w:val="Normal"/>
    <w:qFormat/>
    <w:rsid w:val="00172BEB"/>
    <w:pPr>
      <w:spacing w:line="240" w:lineRule="auto"/>
    </w:pPr>
    <w:rPr>
      <w:b/>
      <w:sz w:val="40"/>
    </w:rPr>
  </w:style>
  <w:style w:type="paragraph" w:customStyle="1" w:styleId="ActHead1">
    <w:name w:val="ActHead 1"/>
    <w:aliases w:val="c"/>
    <w:basedOn w:val="OPCParaBase"/>
    <w:next w:val="Normal"/>
    <w:qFormat/>
    <w:rsid w:val="00172BE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2BE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2BE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2BE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72BE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2BE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2BE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2BE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2BE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2BEB"/>
  </w:style>
  <w:style w:type="paragraph" w:customStyle="1" w:styleId="Blocks">
    <w:name w:val="Blocks"/>
    <w:aliases w:val="bb"/>
    <w:basedOn w:val="OPCParaBase"/>
    <w:qFormat/>
    <w:rsid w:val="00172BEB"/>
    <w:pPr>
      <w:spacing w:line="240" w:lineRule="auto"/>
    </w:pPr>
    <w:rPr>
      <w:sz w:val="24"/>
    </w:rPr>
  </w:style>
  <w:style w:type="paragraph" w:customStyle="1" w:styleId="BoxHeadBold">
    <w:name w:val="BoxHeadBold"/>
    <w:aliases w:val="bhb"/>
    <w:basedOn w:val="BoxText"/>
    <w:next w:val="BoxText"/>
    <w:qFormat/>
    <w:rsid w:val="00172BEB"/>
    <w:rPr>
      <w:b/>
    </w:rPr>
  </w:style>
  <w:style w:type="paragraph" w:customStyle="1" w:styleId="BoxHeadItalic">
    <w:name w:val="BoxHeadItalic"/>
    <w:aliases w:val="bhi"/>
    <w:basedOn w:val="BoxText"/>
    <w:next w:val="Normal"/>
    <w:qFormat/>
    <w:rsid w:val="00172BEB"/>
    <w:rPr>
      <w:i/>
    </w:rPr>
  </w:style>
  <w:style w:type="paragraph" w:customStyle="1" w:styleId="BoxList">
    <w:name w:val="BoxList"/>
    <w:aliases w:val="bl"/>
    <w:basedOn w:val="BoxText"/>
    <w:qFormat/>
    <w:rsid w:val="00172BEB"/>
    <w:pPr>
      <w:ind w:left="1559" w:hanging="425"/>
    </w:pPr>
  </w:style>
  <w:style w:type="paragraph" w:customStyle="1" w:styleId="BoxNote">
    <w:name w:val="BoxNote"/>
    <w:aliases w:val="bn"/>
    <w:basedOn w:val="BoxText"/>
    <w:qFormat/>
    <w:rsid w:val="00172BEB"/>
    <w:pPr>
      <w:tabs>
        <w:tab w:val="left" w:pos="1985"/>
      </w:tabs>
      <w:spacing w:before="122" w:line="198" w:lineRule="exact"/>
      <w:ind w:left="2948" w:hanging="1814"/>
    </w:pPr>
    <w:rPr>
      <w:sz w:val="18"/>
    </w:rPr>
  </w:style>
  <w:style w:type="paragraph" w:customStyle="1" w:styleId="BoxPara">
    <w:name w:val="BoxPara"/>
    <w:aliases w:val="bp"/>
    <w:basedOn w:val="BoxText"/>
    <w:qFormat/>
    <w:rsid w:val="00172BEB"/>
    <w:pPr>
      <w:tabs>
        <w:tab w:val="right" w:pos="2268"/>
      </w:tabs>
      <w:ind w:left="2552" w:hanging="1418"/>
    </w:pPr>
  </w:style>
  <w:style w:type="paragraph" w:customStyle="1" w:styleId="BoxStep">
    <w:name w:val="BoxStep"/>
    <w:aliases w:val="bs"/>
    <w:basedOn w:val="BoxText"/>
    <w:qFormat/>
    <w:rsid w:val="00172BEB"/>
    <w:pPr>
      <w:ind w:left="1985" w:hanging="851"/>
    </w:pPr>
  </w:style>
  <w:style w:type="character" w:customStyle="1" w:styleId="CharAmPartNo">
    <w:name w:val="CharAmPartNo"/>
    <w:uiPriority w:val="1"/>
    <w:qFormat/>
    <w:rsid w:val="00172BEB"/>
  </w:style>
  <w:style w:type="character" w:customStyle="1" w:styleId="CharAmSchNo">
    <w:name w:val="CharAmSchNo"/>
    <w:uiPriority w:val="1"/>
    <w:qFormat/>
    <w:rsid w:val="00172BEB"/>
  </w:style>
  <w:style w:type="character" w:customStyle="1" w:styleId="CharAmSchText">
    <w:name w:val="CharAmSchText"/>
    <w:uiPriority w:val="1"/>
    <w:qFormat/>
    <w:rsid w:val="00172BEB"/>
  </w:style>
  <w:style w:type="character" w:customStyle="1" w:styleId="CharBoldItalic">
    <w:name w:val="CharBoldItalic"/>
    <w:uiPriority w:val="1"/>
    <w:qFormat/>
    <w:rsid w:val="00172BEB"/>
    <w:rPr>
      <w:b/>
      <w:i/>
    </w:rPr>
  </w:style>
  <w:style w:type="character" w:customStyle="1" w:styleId="CharChapNo">
    <w:name w:val="CharChapNo"/>
    <w:uiPriority w:val="1"/>
    <w:qFormat/>
    <w:rsid w:val="00172BEB"/>
  </w:style>
  <w:style w:type="character" w:customStyle="1" w:styleId="CharChapText">
    <w:name w:val="CharChapText"/>
    <w:uiPriority w:val="1"/>
    <w:qFormat/>
    <w:rsid w:val="00172BEB"/>
  </w:style>
  <w:style w:type="character" w:customStyle="1" w:styleId="CharDivNo">
    <w:name w:val="CharDivNo"/>
    <w:uiPriority w:val="1"/>
    <w:qFormat/>
    <w:rsid w:val="00172BEB"/>
  </w:style>
  <w:style w:type="character" w:customStyle="1" w:styleId="CharDivText">
    <w:name w:val="CharDivText"/>
    <w:uiPriority w:val="1"/>
    <w:qFormat/>
    <w:rsid w:val="00172BEB"/>
  </w:style>
  <w:style w:type="character" w:customStyle="1" w:styleId="CharItalic">
    <w:name w:val="CharItalic"/>
    <w:uiPriority w:val="1"/>
    <w:qFormat/>
    <w:rsid w:val="00172BEB"/>
    <w:rPr>
      <w:i/>
    </w:rPr>
  </w:style>
  <w:style w:type="character" w:customStyle="1" w:styleId="CharPartNo">
    <w:name w:val="CharPartNo"/>
    <w:uiPriority w:val="1"/>
    <w:qFormat/>
    <w:rsid w:val="00172BEB"/>
  </w:style>
  <w:style w:type="character" w:customStyle="1" w:styleId="CharPartText">
    <w:name w:val="CharPartText"/>
    <w:uiPriority w:val="1"/>
    <w:qFormat/>
    <w:rsid w:val="00172BEB"/>
  </w:style>
  <w:style w:type="character" w:customStyle="1" w:styleId="CharSectno">
    <w:name w:val="CharSectno"/>
    <w:uiPriority w:val="1"/>
    <w:qFormat/>
    <w:rsid w:val="00172BEB"/>
  </w:style>
  <w:style w:type="character" w:customStyle="1" w:styleId="CharSubdNo">
    <w:name w:val="CharSubdNo"/>
    <w:uiPriority w:val="1"/>
    <w:qFormat/>
    <w:rsid w:val="00172BEB"/>
  </w:style>
  <w:style w:type="character" w:customStyle="1" w:styleId="CharSubdText">
    <w:name w:val="CharSubdText"/>
    <w:uiPriority w:val="1"/>
    <w:qFormat/>
    <w:rsid w:val="00172BEB"/>
  </w:style>
  <w:style w:type="paragraph" w:customStyle="1" w:styleId="CTA--">
    <w:name w:val="CTA --"/>
    <w:basedOn w:val="OPCParaBase"/>
    <w:next w:val="Normal"/>
    <w:rsid w:val="00172BEB"/>
    <w:pPr>
      <w:spacing w:before="60" w:line="240" w:lineRule="atLeast"/>
      <w:ind w:left="142" w:hanging="142"/>
    </w:pPr>
    <w:rPr>
      <w:sz w:val="20"/>
    </w:rPr>
  </w:style>
  <w:style w:type="paragraph" w:customStyle="1" w:styleId="CTA-">
    <w:name w:val="CTA -"/>
    <w:basedOn w:val="OPCParaBase"/>
    <w:rsid w:val="00172BEB"/>
    <w:pPr>
      <w:spacing w:before="60" w:line="240" w:lineRule="atLeast"/>
      <w:ind w:left="85" w:hanging="85"/>
    </w:pPr>
    <w:rPr>
      <w:sz w:val="20"/>
    </w:rPr>
  </w:style>
  <w:style w:type="paragraph" w:customStyle="1" w:styleId="CTA---">
    <w:name w:val="CTA ---"/>
    <w:basedOn w:val="OPCParaBase"/>
    <w:next w:val="Normal"/>
    <w:rsid w:val="00172BEB"/>
    <w:pPr>
      <w:spacing w:before="60" w:line="240" w:lineRule="atLeast"/>
      <w:ind w:left="198" w:hanging="198"/>
    </w:pPr>
    <w:rPr>
      <w:sz w:val="20"/>
    </w:rPr>
  </w:style>
  <w:style w:type="paragraph" w:customStyle="1" w:styleId="CTA----">
    <w:name w:val="CTA ----"/>
    <w:basedOn w:val="OPCParaBase"/>
    <w:next w:val="Normal"/>
    <w:rsid w:val="00172BEB"/>
    <w:pPr>
      <w:spacing w:before="60" w:line="240" w:lineRule="atLeast"/>
      <w:ind w:left="255" w:hanging="255"/>
    </w:pPr>
    <w:rPr>
      <w:sz w:val="20"/>
    </w:rPr>
  </w:style>
  <w:style w:type="paragraph" w:customStyle="1" w:styleId="CTA1a">
    <w:name w:val="CTA 1(a)"/>
    <w:basedOn w:val="OPCParaBase"/>
    <w:rsid w:val="00172BEB"/>
    <w:pPr>
      <w:tabs>
        <w:tab w:val="right" w:pos="414"/>
      </w:tabs>
      <w:spacing w:before="40" w:line="240" w:lineRule="atLeast"/>
      <w:ind w:left="675" w:hanging="675"/>
    </w:pPr>
    <w:rPr>
      <w:sz w:val="20"/>
    </w:rPr>
  </w:style>
  <w:style w:type="paragraph" w:customStyle="1" w:styleId="CTA1ai">
    <w:name w:val="CTA 1(a)(i)"/>
    <w:basedOn w:val="OPCParaBase"/>
    <w:rsid w:val="00172BEB"/>
    <w:pPr>
      <w:tabs>
        <w:tab w:val="right" w:pos="1004"/>
      </w:tabs>
      <w:spacing w:before="40" w:line="240" w:lineRule="atLeast"/>
      <w:ind w:left="1253" w:hanging="1253"/>
    </w:pPr>
    <w:rPr>
      <w:sz w:val="20"/>
    </w:rPr>
  </w:style>
  <w:style w:type="paragraph" w:customStyle="1" w:styleId="CTA2a">
    <w:name w:val="CTA 2(a)"/>
    <w:basedOn w:val="OPCParaBase"/>
    <w:rsid w:val="00172BEB"/>
    <w:pPr>
      <w:tabs>
        <w:tab w:val="right" w:pos="482"/>
      </w:tabs>
      <w:spacing w:before="40" w:line="240" w:lineRule="atLeast"/>
      <w:ind w:left="748" w:hanging="748"/>
    </w:pPr>
    <w:rPr>
      <w:sz w:val="20"/>
    </w:rPr>
  </w:style>
  <w:style w:type="paragraph" w:customStyle="1" w:styleId="CTA2ai">
    <w:name w:val="CTA 2(a)(i)"/>
    <w:basedOn w:val="OPCParaBase"/>
    <w:rsid w:val="00172BEB"/>
    <w:pPr>
      <w:tabs>
        <w:tab w:val="right" w:pos="1089"/>
      </w:tabs>
      <w:spacing w:before="40" w:line="240" w:lineRule="atLeast"/>
      <w:ind w:left="1327" w:hanging="1327"/>
    </w:pPr>
    <w:rPr>
      <w:sz w:val="20"/>
    </w:rPr>
  </w:style>
  <w:style w:type="paragraph" w:customStyle="1" w:styleId="CTA3a">
    <w:name w:val="CTA 3(a)"/>
    <w:basedOn w:val="OPCParaBase"/>
    <w:rsid w:val="00172BEB"/>
    <w:pPr>
      <w:tabs>
        <w:tab w:val="right" w:pos="556"/>
      </w:tabs>
      <w:spacing w:before="40" w:line="240" w:lineRule="atLeast"/>
      <w:ind w:left="805" w:hanging="805"/>
    </w:pPr>
    <w:rPr>
      <w:sz w:val="20"/>
    </w:rPr>
  </w:style>
  <w:style w:type="paragraph" w:customStyle="1" w:styleId="CTA3ai">
    <w:name w:val="CTA 3(a)(i)"/>
    <w:basedOn w:val="OPCParaBase"/>
    <w:rsid w:val="00172BEB"/>
    <w:pPr>
      <w:tabs>
        <w:tab w:val="right" w:pos="1140"/>
      </w:tabs>
      <w:spacing w:before="40" w:line="240" w:lineRule="atLeast"/>
      <w:ind w:left="1361" w:hanging="1361"/>
    </w:pPr>
    <w:rPr>
      <w:sz w:val="20"/>
    </w:rPr>
  </w:style>
  <w:style w:type="paragraph" w:customStyle="1" w:styleId="CTA4a">
    <w:name w:val="CTA 4(a)"/>
    <w:basedOn w:val="OPCParaBase"/>
    <w:rsid w:val="00172BEB"/>
    <w:pPr>
      <w:tabs>
        <w:tab w:val="right" w:pos="624"/>
      </w:tabs>
      <w:spacing w:before="40" w:line="240" w:lineRule="atLeast"/>
      <w:ind w:left="873" w:hanging="873"/>
    </w:pPr>
    <w:rPr>
      <w:sz w:val="20"/>
    </w:rPr>
  </w:style>
  <w:style w:type="paragraph" w:customStyle="1" w:styleId="CTA4ai">
    <w:name w:val="CTA 4(a)(i)"/>
    <w:basedOn w:val="OPCParaBase"/>
    <w:rsid w:val="00172BEB"/>
    <w:pPr>
      <w:tabs>
        <w:tab w:val="right" w:pos="1213"/>
      </w:tabs>
      <w:spacing w:before="40" w:line="240" w:lineRule="atLeast"/>
      <w:ind w:left="1452" w:hanging="1452"/>
    </w:pPr>
    <w:rPr>
      <w:sz w:val="20"/>
    </w:rPr>
  </w:style>
  <w:style w:type="paragraph" w:customStyle="1" w:styleId="CTACAPS">
    <w:name w:val="CTA CAPS"/>
    <w:basedOn w:val="OPCParaBase"/>
    <w:rsid w:val="00172BEB"/>
    <w:pPr>
      <w:spacing w:before="60" w:line="240" w:lineRule="atLeast"/>
    </w:pPr>
    <w:rPr>
      <w:sz w:val="20"/>
    </w:rPr>
  </w:style>
  <w:style w:type="paragraph" w:customStyle="1" w:styleId="CTAright">
    <w:name w:val="CTA right"/>
    <w:basedOn w:val="OPCParaBase"/>
    <w:rsid w:val="00172BEB"/>
    <w:pPr>
      <w:spacing w:before="60" w:line="240" w:lineRule="auto"/>
      <w:jc w:val="right"/>
    </w:pPr>
    <w:rPr>
      <w:sz w:val="20"/>
    </w:rPr>
  </w:style>
  <w:style w:type="paragraph" w:customStyle="1" w:styleId="Definition">
    <w:name w:val="Definition"/>
    <w:aliases w:val="dd"/>
    <w:basedOn w:val="OPCParaBase"/>
    <w:rsid w:val="00172BEB"/>
    <w:pPr>
      <w:spacing w:before="180" w:line="240" w:lineRule="auto"/>
      <w:ind w:left="1134"/>
    </w:pPr>
  </w:style>
  <w:style w:type="paragraph" w:customStyle="1" w:styleId="ETAsubitem">
    <w:name w:val="ETA(subitem)"/>
    <w:basedOn w:val="OPCParaBase"/>
    <w:rsid w:val="00172BEB"/>
    <w:pPr>
      <w:tabs>
        <w:tab w:val="right" w:pos="340"/>
      </w:tabs>
      <w:spacing w:before="60" w:line="240" w:lineRule="auto"/>
      <w:ind w:left="454" w:hanging="454"/>
    </w:pPr>
    <w:rPr>
      <w:sz w:val="20"/>
    </w:rPr>
  </w:style>
  <w:style w:type="paragraph" w:customStyle="1" w:styleId="ETApara">
    <w:name w:val="ETA(para)"/>
    <w:basedOn w:val="OPCParaBase"/>
    <w:rsid w:val="00172BEB"/>
    <w:pPr>
      <w:tabs>
        <w:tab w:val="right" w:pos="754"/>
      </w:tabs>
      <w:spacing w:before="60" w:line="240" w:lineRule="auto"/>
      <w:ind w:left="828" w:hanging="828"/>
    </w:pPr>
    <w:rPr>
      <w:sz w:val="20"/>
    </w:rPr>
  </w:style>
  <w:style w:type="paragraph" w:customStyle="1" w:styleId="ETAsubpara">
    <w:name w:val="ETA(subpara)"/>
    <w:basedOn w:val="OPCParaBase"/>
    <w:rsid w:val="00172BEB"/>
    <w:pPr>
      <w:tabs>
        <w:tab w:val="right" w:pos="1083"/>
      </w:tabs>
      <w:spacing w:before="60" w:line="240" w:lineRule="auto"/>
      <w:ind w:left="1191" w:hanging="1191"/>
    </w:pPr>
    <w:rPr>
      <w:sz w:val="20"/>
    </w:rPr>
  </w:style>
  <w:style w:type="paragraph" w:customStyle="1" w:styleId="ETAsub-subpara">
    <w:name w:val="ETA(sub-subpara)"/>
    <w:basedOn w:val="OPCParaBase"/>
    <w:rsid w:val="00172BEB"/>
    <w:pPr>
      <w:tabs>
        <w:tab w:val="right" w:pos="1412"/>
      </w:tabs>
      <w:spacing w:before="60" w:line="240" w:lineRule="auto"/>
      <w:ind w:left="1525" w:hanging="1525"/>
    </w:pPr>
    <w:rPr>
      <w:sz w:val="20"/>
    </w:rPr>
  </w:style>
  <w:style w:type="paragraph" w:customStyle="1" w:styleId="Formula">
    <w:name w:val="Formula"/>
    <w:basedOn w:val="OPCParaBase"/>
    <w:rsid w:val="00172BEB"/>
    <w:pPr>
      <w:spacing w:line="240" w:lineRule="auto"/>
      <w:ind w:left="1134"/>
    </w:pPr>
    <w:rPr>
      <w:sz w:val="20"/>
    </w:rPr>
  </w:style>
  <w:style w:type="character" w:customStyle="1" w:styleId="HeaderChar">
    <w:name w:val="Header Char"/>
    <w:link w:val="Header"/>
    <w:rsid w:val="00172BEB"/>
    <w:rPr>
      <w:sz w:val="16"/>
    </w:rPr>
  </w:style>
  <w:style w:type="paragraph" w:customStyle="1" w:styleId="House">
    <w:name w:val="House"/>
    <w:basedOn w:val="OPCParaBase"/>
    <w:rsid w:val="00172BEB"/>
    <w:pPr>
      <w:spacing w:line="240" w:lineRule="auto"/>
    </w:pPr>
    <w:rPr>
      <w:sz w:val="28"/>
    </w:rPr>
  </w:style>
  <w:style w:type="paragraph" w:customStyle="1" w:styleId="Item">
    <w:name w:val="Item"/>
    <w:aliases w:val="i"/>
    <w:basedOn w:val="OPCParaBase"/>
    <w:next w:val="ItemHead"/>
    <w:rsid w:val="00172BEB"/>
    <w:pPr>
      <w:keepLines/>
      <w:spacing w:before="80" w:line="240" w:lineRule="auto"/>
      <w:ind w:left="709"/>
    </w:pPr>
  </w:style>
  <w:style w:type="paragraph" w:customStyle="1" w:styleId="ItemHead">
    <w:name w:val="ItemHead"/>
    <w:aliases w:val="ih"/>
    <w:basedOn w:val="OPCParaBase"/>
    <w:next w:val="Item"/>
    <w:rsid w:val="00172BEB"/>
    <w:pPr>
      <w:keepLines/>
      <w:spacing w:before="220" w:line="240" w:lineRule="auto"/>
      <w:ind w:left="709" w:hanging="709"/>
    </w:pPr>
    <w:rPr>
      <w:rFonts w:ascii="Arial" w:hAnsi="Arial"/>
      <w:b/>
      <w:kern w:val="28"/>
      <w:sz w:val="24"/>
    </w:rPr>
  </w:style>
  <w:style w:type="paragraph" w:customStyle="1" w:styleId="LongT">
    <w:name w:val="LongT"/>
    <w:basedOn w:val="OPCParaBase"/>
    <w:rsid w:val="00172BEB"/>
    <w:pPr>
      <w:spacing w:line="240" w:lineRule="auto"/>
    </w:pPr>
    <w:rPr>
      <w:b/>
      <w:sz w:val="32"/>
    </w:rPr>
  </w:style>
  <w:style w:type="paragraph" w:customStyle="1" w:styleId="notedraft">
    <w:name w:val="note(draft)"/>
    <w:aliases w:val="nd"/>
    <w:basedOn w:val="OPCParaBase"/>
    <w:rsid w:val="00172BEB"/>
    <w:pPr>
      <w:spacing w:before="240" w:line="240" w:lineRule="auto"/>
      <w:ind w:left="284" w:hanging="284"/>
    </w:pPr>
    <w:rPr>
      <w:i/>
      <w:sz w:val="24"/>
    </w:rPr>
  </w:style>
  <w:style w:type="paragraph" w:customStyle="1" w:styleId="notemargin">
    <w:name w:val="note(margin)"/>
    <w:aliases w:val="nm"/>
    <w:basedOn w:val="OPCParaBase"/>
    <w:rsid w:val="00172BEB"/>
    <w:pPr>
      <w:tabs>
        <w:tab w:val="left" w:pos="709"/>
      </w:tabs>
      <w:spacing w:before="122" w:line="198" w:lineRule="exact"/>
      <w:ind w:left="709" w:hanging="709"/>
    </w:pPr>
    <w:rPr>
      <w:sz w:val="18"/>
    </w:rPr>
  </w:style>
  <w:style w:type="paragraph" w:customStyle="1" w:styleId="notepara">
    <w:name w:val="note(para)"/>
    <w:aliases w:val="na"/>
    <w:basedOn w:val="OPCParaBase"/>
    <w:rsid w:val="00172BEB"/>
    <w:pPr>
      <w:spacing w:before="40" w:line="198" w:lineRule="exact"/>
      <w:ind w:left="2354" w:hanging="369"/>
    </w:pPr>
    <w:rPr>
      <w:sz w:val="18"/>
    </w:rPr>
  </w:style>
  <w:style w:type="paragraph" w:customStyle="1" w:styleId="noteParlAmend">
    <w:name w:val="note(ParlAmend)"/>
    <w:aliases w:val="npp"/>
    <w:basedOn w:val="OPCParaBase"/>
    <w:next w:val="ParlAmend"/>
    <w:rsid w:val="00172BEB"/>
    <w:pPr>
      <w:spacing w:line="240" w:lineRule="auto"/>
      <w:jc w:val="right"/>
    </w:pPr>
    <w:rPr>
      <w:rFonts w:ascii="Arial" w:hAnsi="Arial"/>
      <w:b/>
      <w:i/>
    </w:rPr>
  </w:style>
  <w:style w:type="paragraph" w:customStyle="1" w:styleId="notetext">
    <w:name w:val="note(text)"/>
    <w:aliases w:val="n"/>
    <w:basedOn w:val="OPCParaBase"/>
    <w:rsid w:val="00172BEB"/>
    <w:pPr>
      <w:spacing w:before="122" w:line="198" w:lineRule="exact"/>
      <w:ind w:left="1985" w:hanging="851"/>
    </w:pPr>
    <w:rPr>
      <w:sz w:val="18"/>
    </w:rPr>
  </w:style>
  <w:style w:type="paragraph" w:customStyle="1" w:styleId="Page1">
    <w:name w:val="Page1"/>
    <w:basedOn w:val="OPCParaBase"/>
    <w:rsid w:val="00172BEB"/>
    <w:pPr>
      <w:spacing w:before="5600" w:line="240" w:lineRule="auto"/>
    </w:pPr>
    <w:rPr>
      <w:b/>
      <w:sz w:val="32"/>
    </w:rPr>
  </w:style>
  <w:style w:type="paragraph" w:customStyle="1" w:styleId="PageBreak">
    <w:name w:val="PageBreak"/>
    <w:aliases w:val="pb"/>
    <w:basedOn w:val="OPCParaBase"/>
    <w:rsid w:val="00172BEB"/>
    <w:pPr>
      <w:spacing w:line="240" w:lineRule="auto"/>
    </w:pPr>
    <w:rPr>
      <w:sz w:val="10"/>
    </w:rPr>
  </w:style>
  <w:style w:type="paragraph" w:customStyle="1" w:styleId="paragraphsub">
    <w:name w:val="paragraph(sub)"/>
    <w:aliases w:val="aa"/>
    <w:basedOn w:val="OPCParaBase"/>
    <w:rsid w:val="00172BEB"/>
    <w:pPr>
      <w:tabs>
        <w:tab w:val="right" w:pos="1985"/>
      </w:tabs>
      <w:spacing w:before="40" w:line="240" w:lineRule="auto"/>
      <w:ind w:left="2098" w:hanging="2098"/>
    </w:pPr>
  </w:style>
  <w:style w:type="paragraph" w:customStyle="1" w:styleId="paragraphsub-sub">
    <w:name w:val="paragraph(sub-sub)"/>
    <w:aliases w:val="aaa"/>
    <w:basedOn w:val="OPCParaBase"/>
    <w:rsid w:val="00172BEB"/>
    <w:pPr>
      <w:tabs>
        <w:tab w:val="right" w:pos="2722"/>
      </w:tabs>
      <w:spacing w:before="40" w:line="240" w:lineRule="auto"/>
      <w:ind w:left="2835" w:hanging="2835"/>
    </w:pPr>
  </w:style>
  <w:style w:type="paragraph" w:customStyle="1" w:styleId="paragraph">
    <w:name w:val="paragraph"/>
    <w:aliases w:val="a"/>
    <w:basedOn w:val="OPCParaBase"/>
    <w:rsid w:val="00172BEB"/>
    <w:pPr>
      <w:tabs>
        <w:tab w:val="right" w:pos="1531"/>
      </w:tabs>
      <w:spacing w:before="40" w:line="240" w:lineRule="auto"/>
      <w:ind w:left="1644" w:hanging="1644"/>
    </w:pPr>
  </w:style>
  <w:style w:type="paragraph" w:customStyle="1" w:styleId="ParlAmend">
    <w:name w:val="ParlAmend"/>
    <w:aliases w:val="pp"/>
    <w:basedOn w:val="OPCParaBase"/>
    <w:rsid w:val="00172BEB"/>
    <w:pPr>
      <w:spacing w:before="240" w:line="240" w:lineRule="atLeast"/>
      <w:ind w:hanging="567"/>
    </w:pPr>
    <w:rPr>
      <w:sz w:val="24"/>
    </w:rPr>
  </w:style>
  <w:style w:type="paragraph" w:customStyle="1" w:styleId="Penalty">
    <w:name w:val="Penalty"/>
    <w:basedOn w:val="OPCParaBase"/>
    <w:rsid w:val="00172BEB"/>
    <w:pPr>
      <w:tabs>
        <w:tab w:val="left" w:pos="2977"/>
      </w:tabs>
      <w:spacing w:before="180" w:line="240" w:lineRule="auto"/>
      <w:ind w:left="1985" w:hanging="851"/>
    </w:pPr>
  </w:style>
  <w:style w:type="paragraph" w:customStyle="1" w:styleId="Portfolio">
    <w:name w:val="Portfolio"/>
    <w:basedOn w:val="OPCParaBase"/>
    <w:rsid w:val="00172BEB"/>
    <w:pPr>
      <w:spacing w:line="240" w:lineRule="auto"/>
    </w:pPr>
    <w:rPr>
      <w:i/>
      <w:sz w:val="20"/>
    </w:rPr>
  </w:style>
  <w:style w:type="paragraph" w:customStyle="1" w:styleId="Preamble">
    <w:name w:val="Preamble"/>
    <w:basedOn w:val="OPCParaBase"/>
    <w:next w:val="Normal"/>
    <w:rsid w:val="00172BE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2BEB"/>
    <w:pPr>
      <w:spacing w:line="240" w:lineRule="auto"/>
    </w:pPr>
    <w:rPr>
      <w:i/>
      <w:sz w:val="20"/>
    </w:rPr>
  </w:style>
  <w:style w:type="paragraph" w:customStyle="1" w:styleId="Session">
    <w:name w:val="Session"/>
    <w:basedOn w:val="OPCParaBase"/>
    <w:rsid w:val="00172BEB"/>
    <w:pPr>
      <w:spacing w:line="240" w:lineRule="auto"/>
    </w:pPr>
    <w:rPr>
      <w:sz w:val="28"/>
    </w:rPr>
  </w:style>
  <w:style w:type="paragraph" w:customStyle="1" w:styleId="Sponsor">
    <w:name w:val="Sponsor"/>
    <w:basedOn w:val="OPCParaBase"/>
    <w:rsid w:val="00172BEB"/>
    <w:pPr>
      <w:spacing w:line="240" w:lineRule="auto"/>
    </w:pPr>
    <w:rPr>
      <w:i/>
    </w:rPr>
  </w:style>
  <w:style w:type="paragraph" w:customStyle="1" w:styleId="Subitem">
    <w:name w:val="Subitem"/>
    <w:aliases w:val="iss"/>
    <w:basedOn w:val="OPCParaBase"/>
    <w:rsid w:val="00172BEB"/>
    <w:pPr>
      <w:spacing w:before="180" w:line="240" w:lineRule="auto"/>
      <w:ind w:left="709" w:hanging="709"/>
    </w:pPr>
  </w:style>
  <w:style w:type="paragraph" w:customStyle="1" w:styleId="SubitemHead">
    <w:name w:val="SubitemHead"/>
    <w:aliases w:val="issh"/>
    <w:basedOn w:val="OPCParaBase"/>
    <w:rsid w:val="00172BE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2BEB"/>
    <w:pPr>
      <w:spacing w:before="40" w:line="240" w:lineRule="auto"/>
      <w:ind w:left="1134"/>
    </w:pPr>
  </w:style>
  <w:style w:type="paragraph" w:customStyle="1" w:styleId="SubsectionHead">
    <w:name w:val="SubsectionHead"/>
    <w:aliases w:val="ssh"/>
    <w:basedOn w:val="OPCParaBase"/>
    <w:next w:val="subsection"/>
    <w:rsid w:val="00172BEB"/>
    <w:pPr>
      <w:keepNext/>
      <w:keepLines/>
      <w:spacing w:before="240" w:line="240" w:lineRule="auto"/>
      <w:ind w:left="1134"/>
    </w:pPr>
    <w:rPr>
      <w:i/>
    </w:rPr>
  </w:style>
  <w:style w:type="paragraph" w:customStyle="1" w:styleId="Tablea">
    <w:name w:val="Table(a)"/>
    <w:aliases w:val="ta"/>
    <w:basedOn w:val="OPCParaBase"/>
    <w:rsid w:val="00172BEB"/>
    <w:pPr>
      <w:spacing w:before="60" w:line="240" w:lineRule="auto"/>
      <w:ind w:left="284" w:hanging="284"/>
    </w:pPr>
    <w:rPr>
      <w:sz w:val="20"/>
    </w:rPr>
  </w:style>
  <w:style w:type="paragraph" w:customStyle="1" w:styleId="TableAA">
    <w:name w:val="Table(AA)"/>
    <w:aliases w:val="taaa"/>
    <w:basedOn w:val="OPCParaBase"/>
    <w:rsid w:val="00172BE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2BE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2BEB"/>
    <w:pPr>
      <w:spacing w:before="60" w:line="240" w:lineRule="atLeast"/>
    </w:pPr>
    <w:rPr>
      <w:sz w:val="20"/>
    </w:rPr>
  </w:style>
  <w:style w:type="paragraph" w:customStyle="1" w:styleId="TLPBoxTextnote">
    <w:name w:val="TLPBoxText(note"/>
    <w:aliases w:val="right)"/>
    <w:basedOn w:val="OPCParaBase"/>
    <w:rsid w:val="00172BE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2BEB"/>
    <w:pPr>
      <w:numPr>
        <w:numId w:val="1"/>
      </w:numPr>
      <w:tabs>
        <w:tab w:val="clear" w:pos="2517"/>
      </w:tabs>
      <w:spacing w:before="60" w:line="198" w:lineRule="exact"/>
      <w:ind w:left="2625"/>
    </w:pPr>
    <w:rPr>
      <w:sz w:val="18"/>
    </w:rPr>
  </w:style>
  <w:style w:type="paragraph" w:customStyle="1" w:styleId="TLPnoteright">
    <w:name w:val="TLPnote(right)"/>
    <w:aliases w:val="nr"/>
    <w:basedOn w:val="OPCParaBase"/>
    <w:rsid w:val="00172BEB"/>
    <w:pPr>
      <w:spacing w:before="122" w:line="198" w:lineRule="exact"/>
      <w:ind w:left="1985" w:hanging="851"/>
      <w:jc w:val="right"/>
    </w:pPr>
    <w:rPr>
      <w:sz w:val="18"/>
    </w:rPr>
  </w:style>
  <w:style w:type="paragraph" w:customStyle="1" w:styleId="TLPTableBullet">
    <w:name w:val="TLPTableBullet"/>
    <w:aliases w:val="ttb"/>
    <w:basedOn w:val="OPCParaBase"/>
    <w:rsid w:val="00172BEB"/>
    <w:pPr>
      <w:spacing w:line="240" w:lineRule="exact"/>
      <w:ind w:left="284" w:hanging="284"/>
    </w:pPr>
    <w:rPr>
      <w:sz w:val="20"/>
    </w:rPr>
  </w:style>
  <w:style w:type="paragraph" w:styleId="TOC1">
    <w:name w:val="toc 1"/>
    <w:basedOn w:val="OPCParaBase"/>
    <w:next w:val="Normal"/>
    <w:uiPriority w:val="39"/>
    <w:unhideWhenUsed/>
    <w:rsid w:val="00172BEB"/>
    <w:pPr>
      <w:keepNext/>
      <w:keepLines/>
      <w:tabs>
        <w:tab w:val="right" w:pos="8998"/>
      </w:tabs>
      <w:spacing w:before="120" w:line="240" w:lineRule="auto"/>
      <w:ind w:left="1474" w:right="868" w:hanging="1474"/>
    </w:pPr>
    <w:rPr>
      <w:b/>
      <w:kern w:val="28"/>
      <w:sz w:val="28"/>
    </w:rPr>
  </w:style>
  <w:style w:type="paragraph" w:styleId="TOC2">
    <w:name w:val="toc 2"/>
    <w:basedOn w:val="OPCParaBase"/>
    <w:next w:val="Normal"/>
    <w:uiPriority w:val="39"/>
    <w:semiHidden/>
    <w:unhideWhenUsed/>
    <w:rsid w:val="00172BEB"/>
    <w:pPr>
      <w:keepNext/>
      <w:keepLines/>
      <w:tabs>
        <w:tab w:val="right" w:pos="8998"/>
      </w:tabs>
      <w:spacing w:before="120" w:line="240" w:lineRule="auto"/>
      <w:ind w:left="1474" w:right="868" w:hanging="1474"/>
    </w:pPr>
    <w:rPr>
      <w:b/>
      <w:kern w:val="28"/>
      <w:sz w:val="24"/>
    </w:rPr>
  </w:style>
  <w:style w:type="paragraph" w:styleId="TOC3">
    <w:name w:val="toc 3"/>
    <w:basedOn w:val="OPCParaBase"/>
    <w:next w:val="Normal"/>
    <w:uiPriority w:val="39"/>
    <w:semiHidden/>
    <w:unhideWhenUsed/>
    <w:rsid w:val="00172BEB"/>
    <w:pPr>
      <w:keepLines/>
      <w:tabs>
        <w:tab w:val="right" w:pos="8998"/>
      </w:tabs>
      <w:spacing w:before="80" w:line="240" w:lineRule="auto"/>
      <w:ind w:left="1604" w:right="868" w:hanging="1179"/>
    </w:pPr>
    <w:rPr>
      <w:b/>
      <w:kern w:val="28"/>
    </w:rPr>
  </w:style>
  <w:style w:type="paragraph" w:styleId="TOC4">
    <w:name w:val="toc 4"/>
    <w:basedOn w:val="OPCParaBase"/>
    <w:next w:val="Normal"/>
    <w:uiPriority w:val="39"/>
    <w:semiHidden/>
    <w:unhideWhenUsed/>
    <w:rsid w:val="00172BEB"/>
    <w:pPr>
      <w:keepLines/>
      <w:tabs>
        <w:tab w:val="right" w:pos="8998"/>
      </w:tabs>
      <w:spacing w:before="80" w:line="240" w:lineRule="auto"/>
      <w:ind w:left="2183" w:right="868" w:hanging="1332"/>
    </w:pPr>
    <w:rPr>
      <w:b/>
      <w:kern w:val="28"/>
      <w:sz w:val="20"/>
    </w:rPr>
  </w:style>
  <w:style w:type="paragraph" w:styleId="TOC5">
    <w:name w:val="toc 5"/>
    <w:basedOn w:val="OPCParaBase"/>
    <w:next w:val="Normal"/>
    <w:uiPriority w:val="39"/>
    <w:semiHidden/>
    <w:unhideWhenUsed/>
    <w:rsid w:val="00172BEB"/>
    <w:pPr>
      <w:keepLines/>
      <w:tabs>
        <w:tab w:val="right" w:pos="8998"/>
      </w:tabs>
      <w:spacing w:before="40" w:line="240" w:lineRule="auto"/>
      <w:ind w:left="2280" w:right="868" w:hanging="862"/>
    </w:pPr>
    <w:rPr>
      <w:kern w:val="28"/>
      <w:sz w:val="18"/>
    </w:rPr>
  </w:style>
  <w:style w:type="paragraph" w:styleId="TOC6">
    <w:name w:val="toc 6"/>
    <w:basedOn w:val="OPCParaBase"/>
    <w:next w:val="Normal"/>
    <w:uiPriority w:val="39"/>
    <w:semiHidden/>
    <w:unhideWhenUsed/>
    <w:rsid w:val="00172BEB"/>
    <w:pPr>
      <w:keepLines/>
      <w:tabs>
        <w:tab w:val="right" w:pos="8998"/>
      </w:tabs>
      <w:spacing w:before="120" w:line="240" w:lineRule="auto"/>
      <w:ind w:left="1344" w:right="868" w:hanging="1344"/>
    </w:pPr>
    <w:rPr>
      <w:b/>
      <w:kern w:val="28"/>
      <w:sz w:val="24"/>
    </w:rPr>
  </w:style>
  <w:style w:type="paragraph" w:styleId="TOC7">
    <w:name w:val="toc 7"/>
    <w:basedOn w:val="OPCParaBase"/>
    <w:next w:val="Normal"/>
    <w:uiPriority w:val="39"/>
    <w:semiHidden/>
    <w:unhideWhenUsed/>
    <w:rsid w:val="00172BEB"/>
    <w:pPr>
      <w:keepLines/>
      <w:tabs>
        <w:tab w:val="right" w:pos="8998"/>
      </w:tabs>
      <w:spacing w:before="120" w:line="240" w:lineRule="auto"/>
      <w:ind w:left="1253" w:right="868" w:hanging="828"/>
    </w:pPr>
    <w:rPr>
      <w:kern w:val="28"/>
      <w:sz w:val="24"/>
    </w:rPr>
  </w:style>
  <w:style w:type="paragraph" w:styleId="TOC8">
    <w:name w:val="toc 8"/>
    <w:basedOn w:val="OPCParaBase"/>
    <w:next w:val="Normal"/>
    <w:uiPriority w:val="39"/>
    <w:semiHidden/>
    <w:unhideWhenUsed/>
    <w:rsid w:val="00172BEB"/>
    <w:pPr>
      <w:keepLines/>
      <w:tabs>
        <w:tab w:val="right" w:pos="8998"/>
      </w:tabs>
      <w:spacing w:before="80" w:line="240" w:lineRule="auto"/>
      <w:ind w:left="1900" w:right="868" w:hanging="1049"/>
    </w:pPr>
    <w:rPr>
      <w:kern w:val="28"/>
      <w:sz w:val="20"/>
    </w:rPr>
  </w:style>
  <w:style w:type="paragraph" w:styleId="TOC9">
    <w:name w:val="toc 9"/>
    <w:basedOn w:val="OPCParaBase"/>
    <w:next w:val="Normal"/>
    <w:uiPriority w:val="39"/>
    <w:unhideWhenUsed/>
    <w:rsid w:val="00172BEB"/>
    <w:pPr>
      <w:keepLines/>
      <w:tabs>
        <w:tab w:val="right" w:pos="8998"/>
      </w:tabs>
      <w:spacing w:before="80" w:line="240" w:lineRule="auto"/>
      <w:ind w:left="851" w:right="868"/>
    </w:pPr>
    <w:rPr>
      <w:i/>
      <w:kern w:val="28"/>
      <w:sz w:val="20"/>
    </w:rPr>
  </w:style>
  <w:style w:type="paragraph" w:customStyle="1" w:styleId="TofSectsGroupHeading">
    <w:name w:val="TofSects(GroupHeading)"/>
    <w:basedOn w:val="OPCParaBase"/>
    <w:next w:val="TofSectsSection"/>
    <w:rsid w:val="00172BEB"/>
    <w:pPr>
      <w:keepLines/>
      <w:spacing w:before="240" w:after="120" w:line="240" w:lineRule="auto"/>
      <w:ind w:left="794"/>
    </w:pPr>
    <w:rPr>
      <w:b/>
      <w:kern w:val="28"/>
      <w:sz w:val="20"/>
    </w:rPr>
  </w:style>
  <w:style w:type="paragraph" w:customStyle="1" w:styleId="TofSectsHeading">
    <w:name w:val="TofSects(Heading)"/>
    <w:basedOn w:val="OPCParaBase"/>
    <w:rsid w:val="00172BEB"/>
    <w:pPr>
      <w:spacing w:before="240" w:after="120" w:line="240" w:lineRule="auto"/>
    </w:pPr>
    <w:rPr>
      <w:b/>
      <w:sz w:val="24"/>
    </w:rPr>
  </w:style>
  <w:style w:type="paragraph" w:customStyle="1" w:styleId="TofSectsSection">
    <w:name w:val="TofSects(Section)"/>
    <w:basedOn w:val="OPCParaBase"/>
    <w:rsid w:val="00172BEB"/>
    <w:pPr>
      <w:keepLines/>
      <w:spacing w:before="40" w:line="240" w:lineRule="auto"/>
      <w:ind w:left="1588" w:hanging="794"/>
    </w:pPr>
    <w:rPr>
      <w:kern w:val="28"/>
      <w:sz w:val="18"/>
    </w:rPr>
  </w:style>
  <w:style w:type="paragraph" w:customStyle="1" w:styleId="TofSectsSubdiv">
    <w:name w:val="TofSects(Subdiv)"/>
    <w:basedOn w:val="OPCParaBase"/>
    <w:rsid w:val="00172BEB"/>
    <w:pPr>
      <w:keepLines/>
      <w:spacing w:before="80" w:line="240" w:lineRule="auto"/>
      <w:ind w:left="1588" w:hanging="794"/>
    </w:pPr>
    <w:rPr>
      <w:kern w:val="28"/>
    </w:rPr>
  </w:style>
  <w:style w:type="paragraph" w:customStyle="1" w:styleId="WRStyle">
    <w:name w:val="WR Style"/>
    <w:aliases w:val="WR"/>
    <w:basedOn w:val="OPCParaBase"/>
    <w:rsid w:val="00172BEB"/>
    <w:pPr>
      <w:spacing w:before="240" w:line="240" w:lineRule="auto"/>
      <w:ind w:left="284" w:hanging="284"/>
    </w:pPr>
    <w:rPr>
      <w:b/>
      <w:i/>
      <w:kern w:val="28"/>
      <w:sz w:val="24"/>
    </w:rPr>
  </w:style>
  <w:style w:type="paragraph" w:customStyle="1" w:styleId="Body">
    <w:name w:val="Body"/>
    <w:aliases w:val="b"/>
    <w:basedOn w:val="OPCParaBase"/>
    <w:rsid w:val="00172BEB"/>
    <w:pPr>
      <w:spacing w:before="240" w:line="240" w:lineRule="auto"/>
    </w:pPr>
    <w:rPr>
      <w:sz w:val="24"/>
    </w:rPr>
  </w:style>
  <w:style w:type="paragraph" w:customStyle="1" w:styleId="BodyNum">
    <w:name w:val="BodyNum"/>
    <w:aliases w:val="b1"/>
    <w:basedOn w:val="OPCParaBase"/>
    <w:rsid w:val="00172BEB"/>
    <w:pPr>
      <w:numPr>
        <w:numId w:val="2"/>
      </w:numPr>
      <w:spacing w:before="240" w:line="240" w:lineRule="auto"/>
    </w:pPr>
    <w:rPr>
      <w:sz w:val="24"/>
    </w:rPr>
  </w:style>
  <w:style w:type="paragraph" w:customStyle="1" w:styleId="BodyPara">
    <w:name w:val="BodyPara"/>
    <w:aliases w:val="ba"/>
    <w:basedOn w:val="OPCParaBase"/>
    <w:rsid w:val="00172BEB"/>
    <w:pPr>
      <w:numPr>
        <w:ilvl w:val="1"/>
        <w:numId w:val="2"/>
      </w:numPr>
      <w:spacing w:before="240" w:line="240" w:lineRule="auto"/>
    </w:pPr>
    <w:rPr>
      <w:sz w:val="24"/>
    </w:rPr>
  </w:style>
  <w:style w:type="paragraph" w:customStyle="1" w:styleId="BodyParaBullet">
    <w:name w:val="BodyParaBullet"/>
    <w:aliases w:val="bpb"/>
    <w:basedOn w:val="OPCParaBase"/>
    <w:rsid w:val="00172BEB"/>
    <w:pPr>
      <w:numPr>
        <w:ilvl w:val="2"/>
        <w:numId w:val="2"/>
      </w:numPr>
      <w:tabs>
        <w:tab w:val="left" w:pos="2160"/>
      </w:tabs>
      <w:spacing w:before="240" w:line="240" w:lineRule="auto"/>
    </w:pPr>
    <w:rPr>
      <w:sz w:val="24"/>
    </w:rPr>
  </w:style>
  <w:style w:type="paragraph" w:customStyle="1" w:styleId="BodySubPara">
    <w:name w:val="BodySubPara"/>
    <w:aliases w:val="bi"/>
    <w:basedOn w:val="OPCParaBase"/>
    <w:rsid w:val="00172BEB"/>
    <w:pPr>
      <w:numPr>
        <w:ilvl w:val="3"/>
        <w:numId w:val="2"/>
      </w:numPr>
      <w:spacing w:before="240" w:line="240" w:lineRule="auto"/>
    </w:pPr>
    <w:rPr>
      <w:sz w:val="24"/>
    </w:rPr>
  </w:style>
  <w:style w:type="numbering" w:customStyle="1" w:styleId="OPCBodyList">
    <w:name w:val="OPCBodyList"/>
    <w:uiPriority w:val="99"/>
    <w:rsid w:val="00172BEB"/>
    <w:pPr>
      <w:numPr>
        <w:numId w:val="2"/>
      </w:numPr>
    </w:pPr>
  </w:style>
  <w:style w:type="paragraph" w:customStyle="1" w:styleId="Head1">
    <w:name w:val="Head 1"/>
    <w:aliases w:val="1"/>
    <w:basedOn w:val="OPCParaBase"/>
    <w:next w:val="BodyNum"/>
    <w:rsid w:val="00172BEB"/>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172BEB"/>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172BEB"/>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172BE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172BE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172BEB"/>
    <w:pPr>
      <w:spacing w:before="122" w:line="198" w:lineRule="exact"/>
      <w:ind w:left="2353" w:hanging="709"/>
    </w:pPr>
    <w:rPr>
      <w:sz w:val="18"/>
    </w:rPr>
  </w:style>
  <w:style w:type="character" w:customStyle="1" w:styleId="BalloonTextChar">
    <w:name w:val="Balloon Text Char"/>
    <w:link w:val="BalloonText"/>
    <w:uiPriority w:val="99"/>
    <w:semiHidden/>
    <w:rsid w:val="00172BEB"/>
    <w:rPr>
      <w:rFonts w:ascii="Tahoma" w:eastAsia="Calibri" w:hAnsi="Tahoma" w:cs="Tahoma"/>
      <w:sz w:val="16"/>
      <w:szCs w:val="16"/>
      <w:lang w:eastAsia="en-US"/>
    </w:rPr>
  </w:style>
  <w:style w:type="paragraph" w:customStyle="1" w:styleId="MessShortTitle">
    <w:name w:val="MessShortTitle"/>
    <w:basedOn w:val="Head2"/>
    <w:rsid w:val="00172BEB"/>
  </w:style>
  <w:style w:type="paragraph" w:customStyle="1" w:styleId="TableHeading">
    <w:name w:val="TableHeading"/>
    <w:aliases w:val="th"/>
    <w:basedOn w:val="OPCParaBase"/>
    <w:next w:val="Tabletext"/>
    <w:rsid w:val="00172BEB"/>
    <w:pPr>
      <w:spacing w:before="60" w:line="240" w:lineRule="atLeast"/>
    </w:pPr>
    <w:rPr>
      <w:b/>
      <w:sz w:val="20"/>
    </w:rPr>
  </w:style>
  <w:style w:type="paragraph" w:styleId="BodyTextIndent">
    <w:name w:val="Body Text Indent"/>
    <w:basedOn w:val="Normal"/>
    <w:link w:val="BodyTextIndentChar"/>
    <w:uiPriority w:val="99"/>
    <w:semiHidden/>
    <w:unhideWhenUsed/>
    <w:rsid w:val="00D9151A"/>
    <w:pPr>
      <w:spacing w:before="100" w:beforeAutospacing="1" w:after="100" w:afterAutospacing="1" w:line="240" w:lineRule="auto"/>
    </w:pPr>
    <w:rPr>
      <w:rFonts w:eastAsia="Times New Roman"/>
      <w:sz w:val="24"/>
      <w:szCs w:val="24"/>
    </w:rPr>
  </w:style>
  <w:style w:type="character" w:customStyle="1" w:styleId="BodyTextIndentChar">
    <w:name w:val="Body Text Indent Char"/>
    <w:link w:val="BodyTextIndent"/>
    <w:uiPriority w:val="99"/>
    <w:semiHidden/>
    <w:rsid w:val="00D9151A"/>
    <w:rPr>
      <w:sz w:val="24"/>
      <w:szCs w:val="24"/>
    </w:rPr>
  </w:style>
  <w:style w:type="paragraph" w:customStyle="1" w:styleId="r1">
    <w:name w:val="r1"/>
    <w:basedOn w:val="Normal"/>
    <w:rsid w:val="008A6876"/>
    <w:pPr>
      <w:spacing w:before="100" w:beforeAutospacing="1" w:after="100" w:afterAutospacing="1" w:line="240" w:lineRule="auto"/>
    </w:pPr>
    <w:rPr>
      <w:rFonts w:eastAsia="Times New Roman"/>
      <w:sz w:val="24"/>
      <w:szCs w:val="24"/>
      <w:lang w:eastAsia="en-AU"/>
    </w:rPr>
  </w:style>
  <w:style w:type="paragraph" w:styleId="Revision">
    <w:name w:val="Revision"/>
    <w:hidden/>
    <w:uiPriority w:val="99"/>
    <w:semiHidden/>
    <w:rsid w:val="0011395E"/>
    <w:rPr>
      <w:rFonts w:eastAsia="Calibri"/>
      <w:sz w:val="22"/>
      <w:lang w:eastAsia="en-US"/>
    </w:rPr>
  </w:style>
  <w:style w:type="paragraph" w:customStyle="1" w:styleId="opcbody">
    <w:name w:val="opcbody"/>
    <w:basedOn w:val="Normal"/>
    <w:rsid w:val="003267CB"/>
    <w:pPr>
      <w:spacing w:before="100" w:beforeAutospacing="1" w:after="100" w:afterAutospacing="1" w:line="240" w:lineRule="auto"/>
    </w:pPr>
    <w:rPr>
      <w:rFonts w:eastAsia="Times New Roman"/>
      <w:sz w:val="24"/>
      <w:szCs w:val="24"/>
      <w:lang w:eastAsia="en-AU"/>
    </w:rPr>
  </w:style>
  <w:style w:type="paragraph" w:styleId="PlainText">
    <w:name w:val="Plain Text"/>
    <w:basedOn w:val="Normal"/>
    <w:link w:val="PlainTextChar"/>
    <w:uiPriority w:val="99"/>
    <w:semiHidden/>
    <w:unhideWhenUsed/>
    <w:rsid w:val="00972CC5"/>
    <w:rPr>
      <w:rFonts w:ascii="Courier New" w:hAnsi="Courier New" w:cs="Courier New"/>
      <w:sz w:val="20"/>
    </w:rPr>
  </w:style>
  <w:style w:type="character" w:customStyle="1" w:styleId="PlainTextChar">
    <w:name w:val="Plain Text Char"/>
    <w:basedOn w:val="DefaultParagraphFont"/>
    <w:link w:val="PlainText"/>
    <w:uiPriority w:val="99"/>
    <w:semiHidden/>
    <w:rsid w:val="00972CC5"/>
    <w:rPr>
      <w:rFonts w:ascii="Courier New" w:eastAsia="Calibri" w:hAnsi="Courier New" w:cs="Courier New"/>
      <w:lang w:eastAsia="en-US"/>
    </w:rPr>
  </w:style>
  <w:style w:type="paragraph" w:customStyle="1" w:styleId="paragraphsub0">
    <w:name w:val="paragraphsub"/>
    <w:basedOn w:val="Normal"/>
    <w:rsid w:val="00805278"/>
    <w:pPr>
      <w:spacing w:before="100" w:beforeAutospacing="1" w:after="100" w:afterAutospacing="1" w:line="240" w:lineRule="auto"/>
    </w:pPr>
    <w:rPr>
      <w:rFonts w:eastAsia="Times New Roman"/>
      <w:sz w:val="24"/>
      <w:szCs w:val="24"/>
      <w:lang w:eastAsia="en-AU"/>
    </w:rPr>
  </w:style>
  <w:style w:type="character" w:customStyle="1" w:styleId="Heading3Char">
    <w:name w:val="Heading 3 Char"/>
    <w:link w:val="Heading3"/>
    <w:rsid w:val="00D64DCA"/>
    <w:rPr>
      <w:rFonts w:ascii="Times" w:eastAsia="Calibri" w:hAnsi="Times"/>
      <w:b/>
      <w:sz w:val="24"/>
      <w:lang w:eastAsia="en-US"/>
    </w:rPr>
  </w:style>
  <w:style w:type="character" w:customStyle="1" w:styleId="Heading2Char">
    <w:name w:val="Heading 2 Char"/>
    <w:basedOn w:val="DefaultParagraphFont"/>
    <w:link w:val="Heading2"/>
    <w:rsid w:val="0054130A"/>
    <w:rPr>
      <w:rFonts w:ascii="Times" w:eastAsia="Calibri" w:hAnsi="Times"/>
      <w:b/>
      <w:sz w:val="24"/>
      <w:lang w:eastAsia="en-US"/>
    </w:rPr>
  </w:style>
  <w:style w:type="paragraph" w:styleId="ListParagraph">
    <w:name w:val="List Paragraph"/>
    <w:basedOn w:val="Normal"/>
    <w:uiPriority w:val="34"/>
    <w:qFormat/>
    <w:rsid w:val="002C1C61"/>
    <w:pPr>
      <w:ind w:left="720"/>
      <w:contextualSpacing/>
    </w:pPr>
  </w:style>
  <w:style w:type="character" w:styleId="BookTitle">
    <w:name w:val="Book Title"/>
    <w:uiPriority w:val="33"/>
    <w:qFormat/>
    <w:rsid w:val="007F72EF"/>
    <w:rPr>
      <w:i/>
      <w:iCs/>
      <w:smallCaps/>
      <w:spacing w:val="5"/>
    </w:rPr>
  </w:style>
  <w:style w:type="paragraph" w:customStyle="1" w:styleId="Celltext">
    <w:name w:val="Cell text"/>
    <w:basedOn w:val="Normal"/>
    <w:rsid w:val="00437A94"/>
    <w:pPr>
      <w:spacing w:before="120" w:line="240" w:lineRule="auto"/>
    </w:pPr>
    <w:rPr>
      <w:rFonts w:eastAsia="Times New Roman"/>
      <w:sz w:val="24"/>
      <w:lang w:eastAsia="en-AU"/>
    </w:rPr>
  </w:style>
  <w:style w:type="paragraph" w:customStyle="1" w:styleId="Basetext">
    <w:name w:val="Base text"/>
    <w:basedOn w:val="Normal"/>
    <w:link w:val="BasetextChar"/>
    <w:qFormat/>
    <w:rsid w:val="007E21CB"/>
    <w:pPr>
      <w:widowControl w:val="0"/>
      <w:spacing w:before="180" w:line="276" w:lineRule="auto"/>
    </w:pPr>
    <w:rPr>
      <w:rFonts w:eastAsia="Times New Roman"/>
      <w:snapToGrid w:val="0"/>
      <w:szCs w:val="22"/>
    </w:rPr>
  </w:style>
  <w:style w:type="character" w:customStyle="1" w:styleId="BasetextChar">
    <w:name w:val="Base text Char"/>
    <w:basedOn w:val="DefaultParagraphFont"/>
    <w:link w:val="Basetext"/>
    <w:rsid w:val="007E21CB"/>
    <w:rPr>
      <w:snapToGrid w:val="0"/>
      <w:sz w:val="22"/>
      <w:szCs w:val="22"/>
      <w:lang w:eastAsia="en-US"/>
    </w:rPr>
  </w:style>
  <w:style w:type="character" w:styleId="FootnoteReference">
    <w:name w:val="footnote reference"/>
    <w:uiPriority w:val="99"/>
    <w:semiHidden/>
    <w:rsid w:val="00FF08B7"/>
    <w:rPr>
      <w:vertAlign w:val="superscript"/>
    </w:rPr>
  </w:style>
  <w:style w:type="paragraph" w:styleId="FootnoteText">
    <w:name w:val="footnote text"/>
    <w:basedOn w:val="Normal"/>
    <w:link w:val="FootnoteTextChar"/>
    <w:uiPriority w:val="99"/>
    <w:semiHidden/>
    <w:rsid w:val="00FF08B7"/>
    <w:pPr>
      <w:spacing w:line="240" w:lineRule="atLeast"/>
      <w:ind w:left="284" w:hanging="284"/>
    </w:pPr>
    <w:rPr>
      <w:rFonts w:eastAsia="Times New Roman"/>
      <w:sz w:val="20"/>
      <w:lang w:eastAsia="en-AU"/>
    </w:rPr>
  </w:style>
  <w:style w:type="character" w:customStyle="1" w:styleId="FootnoteTextChar">
    <w:name w:val="Footnote Text Char"/>
    <w:basedOn w:val="DefaultParagraphFont"/>
    <w:link w:val="FootnoteText"/>
    <w:uiPriority w:val="99"/>
    <w:semiHidden/>
    <w:rsid w:val="00FF0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0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19101F6-6579-4168-B798-C14C95906F78">Sensitive: Legal  </SecurityClassification>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64123364BA754DBCC89054334E77B2" ma:contentTypeVersion="" ma:contentTypeDescription="PDMS Document Site Content Type" ma:contentTypeScope="" ma:versionID="9f6bab7f7b290db0f3d29ddd636ff7c7">
  <xsd:schema xmlns:xsd="http://www.w3.org/2001/XMLSchema" xmlns:xs="http://www.w3.org/2001/XMLSchema" xmlns:p="http://schemas.microsoft.com/office/2006/metadata/properties" xmlns:ns2="219101F6-6579-4168-B798-C14C95906F78" targetNamespace="http://schemas.microsoft.com/office/2006/metadata/properties" ma:root="true" ma:fieldsID="50a53198c3d68006d3da8dd002c2a242" ns2:_="">
    <xsd:import namespace="219101F6-6579-4168-B798-C14C95906F7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01F6-6579-4168-B798-C14C95906F7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85555-D017-4E48-B8C0-B3AD23320D2D}">
  <ds:schemaRefs>
    <ds:schemaRef ds:uri="http://schemas.openxmlformats.org/package/2006/metadata/core-properties"/>
    <ds:schemaRef ds:uri="http://purl.org/dc/terms/"/>
    <ds:schemaRef ds:uri="http://schemas.microsoft.com/office/2006/documentManagement/types"/>
    <ds:schemaRef ds:uri="219101F6-6579-4168-B798-C14C95906F7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0776E3E-335A-473F-9A40-129979E74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101F6-6579-4168-B798-C14C95906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F7867-C389-4CB7-8CB7-2825432F8A87}">
  <ds:schemaRefs>
    <ds:schemaRef ds:uri="http://schemas.microsoft.com/sharepoint/v3/contenttype/forms"/>
  </ds:schemaRefs>
</ds:datastoreItem>
</file>

<file path=customXml/itemProps4.xml><?xml version="1.0" encoding="utf-8"?>
<ds:datastoreItem xmlns:ds="http://schemas.openxmlformats.org/officeDocument/2006/customXml" ds:itemID="{2D6ED8A4-BC21-4BBB-BC84-659F1F46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sundry</Template>
  <TotalTime>0</TotalTime>
  <Pages>6</Pages>
  <Words>2028</Words>
  <Characters>11562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AG-SB15/0790 - Legislative Instruments (Hearing Services Administration Instruments) Sunset-altering Declaration 2015 - Thematic Review Application</dc:subject>
  <dc:creator/>
  <cp:lastModifiedBy/>
  <cp:revision>1</cp:revision>
  <cp:lastPrinted>2013-11-06T22:34:00Z</cp:lastPrinted>
  <dcterms:created xsi:type="dcterms:W3CDTF">2019-09-18T01:16:00Z</dcterms:created>
  <dcterms:modified xsi:type="dcterms:W3CDTF">2019-09-18T01:16:00Z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hangedTitle">
    <vt:lpwstr>ES - Bulk repeal Customs and Border Protection</vt:lpwstr>
  </property>
  <property fmtid="{D5CDD505-2E9C-101B-9397-08002B2CF9AE}" pid="4" name="Classification">
    <vt:lpwstr>UNCLASSIFIED</vt:lpwstr>
  </property>
  <property fmtid="{D5CDD505-2E9C-101B-9397-08002B2CF9AE}" pid="5" name="ClearanceActualDate">
    <vt:lpwstr>14 August 2015</vt:lpwstr>
  </property>
  <property fmtid="{D5CDD505-2E9C-101B-9397-08002B2CF9AE}" pid="6" name="ClearanceDueDate">
    <vt:lpwstr/>
  </property>
  <property fmtid="{D5CDD505-2E9C-101B-9397-08002B2CF9AE}" pid="7" name="DLM">
    <vt:lpwstr>Sensitive: Legal</vt:lpwstr>
  </property>
  <property fmtid="{D5CDD505-2E9C-101B-9397-08002B2CF9AE}" pid="8" name="DMSDOCTYPE">
    <vt:lpwstr/>
  </property>
  <property fmtid="{D5CDD505-2E9C-101B-9397-08002B2CF9AE}" pid="9" name="DoNotAsk">
    <vt:lpwstr>1</vt:lpwstr>
  </property>
  <property fmtid="{D5CDD505-2E9C-101B-9397-08002B2CF9AE}" pid="10" name="DraftType">
    <vt:lpwstr/>
  </property>
  <property fmtid="{D5CDD505-2E9C-101B-9397-08002B2CF9AE}" pid="11" name="Electorates">
    <vt:lpwstr/>
  </property>
  <property fmtid="{D5CDD505-2E9C-101B-9397-08002B2CF9AE}" pid="12" name="GroupResponsible">
    <vt:lpwstr>BRCH-CJLSG-CLD-Commercial and Administrative Law Branch</vt:lpwstr>
  </property>
  <property fmtid="{D5CDD505-2E9C-101B-9397-08002B2CF9AE}" pid="13" name="HandlingProtocol">
    <vt:lpwstr>Standard</vt:lpwstr>
  </property>
  <property fmtid="{D5CDD505-2E9C-101B-9397-08002B2CF9AE}" pid="14" name="InformationMinister">
    <vt:lpwstr/>
  </property>
  <property fmtid="{D5CDD505-2E9C-101B-9397-08002B2CF9AE}" pid="15" name="LastClearingOfficer">
    <vt:lpwstr>Andrew Walter</vt:lpwstr>
  </property>
  <property fmtid="{D5CDD505-2E9C-101B-9397-08002B2CF9AE}" pid="16" name="Ministers">
    <vt:lpwstr>AG - George Brandis</vt:lpwstr>
  </property>
  <property fmtid="{D5CDD505-2E9C-101B-9397-08002B2CF9AE}" pid="17" name="NeverSavedToNT">
    <vt:lpwstr/>
  </property>
  <property fmtid="{D5CDD505-2E9C-101B-9397-08002B2CF9AE}" pid="18" name="PdrId">
    <vt:lpwstr>MS15-000427</vt:lpwstr>
  </property>
  <property fmtid="{D5CDD505-2E9C-101B-9397-08002B2CF9AE}" pid="19" name="Principal">
    <vt:lpwstr>Submission</vt:lpwstr>
  </property>
  <property fmtid="{D5CDD505-2E9C-101B-9397-08002B2CF9AE}" pid="20" name="ReasonForSensitivity">
    <vt:lpwstr/>
  </property>
  <property fmtid="{D5CDD505-2E9C-101B-9397-08002B2CF9AE}" pid="21" name="RegisteredDate">
    <vt:lpwstr>16 July 2015</vt:lpwstr>
  </property>
  <property fmtid="{D5CDD505-2E9C-101B-9397-08002B2CF9AE}" pid="22" name="RequestedAction">
    <vt:lpwstr>Action - Sign</vt:lpwstr>
  </property>
  <property fmtid="{D5CDD505-2E9C-101B-9397-08002B2CF9AE}" pid="23" name="ResponsibleMinister">
    <vt:lpwstr>AG - George Brandis</vt:lpwstr>
  </property>
  <property fmtid="{D5CDD505-2E9C-101B-9397-08002B2CF9AE}" pid="24" name="SecurityClassification">
    <vt:lpwstr>Sensitive: Legal  </vt:lpwstr>
  </property>
  <property fmtid="{D5CDD505-2E9C-101B-9397-08002B2CF9AE}" pid="25" name="Subject">
    <vt:lpwstr>AG-SB15/0790 - Legislative Instruments (Hearing Services Administration Instruments) Sunset-altering Declaration 2015 - Thematic Review Application</vt:lpwstr>
  </property>
  <property fmtid="{D5CDD505-2E9C-101B-9397-08002B2CF9AE}" pid="26" name="TaskSeqNo">
    <vt:lpwstr>1</vt:lpwstr>
  </property>
  <property fmtid="{D5CDD505-2E9C-101B-9397-08002B2CF9AE}" pid="27" name="TemplateSubType">
    <vt:lpwstr>AG - George Brandis</vt:lpwstr>
  </property>
  <property fmtid="{D5CDD505-2E9C-101B-9397-08002B2CF9AE}" pid="28" name="TemplateType">
    <vt:lpwstr>Attorney-General</vt:lpwstr>
  </property>
  <property fmtid="{D5CDD505-2E9C-101B-9397-08002B2CF9AE}" pid="29" name="TrustedGroups">
    <vt:lpwstr>Parliamentary Coordinator MS, DLO, Ministerial Staff - Coalition 2013, Business Administrator, Limited Distribution MS</vt:lpwstr>
  </property>
  <property fmtid="{D5CDD505-2E9C-101B-9397-08002B2CF9AE}" pid="30" name="WPLUSDataBaseName">
    <vt:lpwstr/>
  </property>
  <property fmtid="{D5CDD505-2E9C-101B-9397-08002B2CF9AE}" pid="31" name="WPLUSDocumentUNID">
    <vt:lpwstr/>
  </property>
  <property fmtid="{D5CDD505-2E9C-101B-9397-08002B2CF9AE}" pid="32" name="WPLUSServerName">
    <vt:lpwstr/>
  </property>
  <property fmtid="{D5CDD505-2E9C-101B-9397-08002B2CF9AE}" pid="33" name="ContentTypeId">
    <vt:lpwstr>0x010100266966F133664895A6EE3632470D45F5009664123364BA754DBCC89054334E77B2</vt:lpwstr>
  </property>
  <property fmtid="{D5CDD505-2E9C-101B-9397-08002B2CF9AE}" pid="34" name="Objective-Id">
    <vt:lpwstr>BN3854454</vt:lpwstr>
  </property>
  <property fmtid="{D5CDD505-2E9C-101B-9397-08002B2CF9AE}" pid="35" name="Objective-Title">
    <vt:lpwstr>Explanatory Statement to the Explosives Instruments Declaration</vt:lpwstr>
  </property>
  <property fmtid="{D5CDD505-2E9C-101B-9397-08002B2CF9AE}" pid="36" name="Objective-Comment">
    <vt:lpwstr/>
  </property>
  <property fmtid="{D5CDD505-2E9C-101B-9397-08002B2CF9AE}" pid="37" name="Objective-CreationStamp">
    <vt:filetime>2019-03-10T04:58:42Z</vt:filetime>
  </property>
  <property fmtid="{D5CDD505-2E9C-101B-9397-08002B2CF9AE}" pid="38" name="Objective-IsApproved">
    <vt:bool>false</vt:bool>
  </property>
  <property fmtid="{D5CDD505-2E9C-101B-9397-08002B2CF9AE}" pid="39" name="Objective-IsPublished">
    <vt:bool>true</vt:bool>
  </property>
  <property fmtid="{D5CDD505-2E9C-101B-9397-08002B2CF9AE}" pid="40" name="Objective-DatePublished">
    <vt:filetime>2019-03-12T00:53:26Z</vt:filetime>
  </property>
  <property fmtid="{D5CDD505-2E9C-101B-9397-08002B2CF9AE}" pid="41" name="Objective-ModificationStamp">
    <vt:filetime>2019-03-12T00:53:26Z</vt:filetime>
  </property>
  <property fmtid="{D5CDD505-2E9C-101B-9397-08002B2CF9AE}" pid="42" name="Objective-Owner">
    <vt:lpwstr>Potter, Gary COL 1</vt:lpwstr>
  </property>
  <property fmtid="{D5CDD505-2E9C-101B-9397-08002B2CF9AE}" pid="43" name="Objective-Path">
    <vt:lpwstr>Objective Global Folder - PROD:Defence Business Units:Joint Capabilities Group:Legacy Workgroups:Legacy JLC Workgroups:DOS : Directorate of Ordnance Safety:09. DOS - Explosives Storage &amp; Transport Committee (ESTC):JCG-JLC-EOB-DOS - Explosives Storage &amp; Tr</vt:lpwstr>
  </property>
  <property fmtid="{D5CDD505-2E9C-101B-9397-08002B2CF9AE}" pid="44" name="Objective-Parent">
    <vt:lpwstr>Thematic Review - Correspondence - Attorney-General's</vt:lpwstr>
  </property>
  <property fmtid="{D5CDD505-2E9C-101B-9397-08002B2CF9AE}" pid="45" name="Objective-State">
    <vt:lpwstr>Published</vt:lpwstr>
  </property>
  <property fmtid="{D5CDD505-2E9C-101B-9397-08002B2CF9AE}" pid="46" name="Objective-Version">
    <vt:lpwstr>3.0</vt:lpwstr>
  </property>
  <property fmtid="{D5CDD505-2E9C-101B-9397-08002B2CF9AE}" pid="47" name="Objective-VersionNumber">
    <vt:i4>3</vt:i4>
  </property>
  <property fmtid="{D5CDD505-2E9C-101B-9397-08002B2CF9AE}" pid="48" name="Objective-VersionComment">
    <vt:lpwstr/>
  </property>
  <property fmtid="{D5CDD505-2E9C-101B-9397-08002B2CF9AE}" pid="49" name="Objective-FileNumber">
    <vt:lpwstr>2012/1120395</vt:lpwstr>
  </property>
  <property fmtid="{D5CDD505-2E9C-101B-9397-08002B2CF9AE}" pid="50" name="Objective-Classification">
    <vt:lpwstr>Unclassified</vt:lpwstr>
  </property>
  <property fmtid="{D5CDD505-2E9C-101B-9397-08002B2CF9AE}" pid="51" name="Objective-Caveats">
    <vt:lpwstr/>
  </property>
  <property fmtid="{D5CDD505-2E9C-101B-9397-08002B2CF9AE}" pid="52" name="Objective-Document Type [system]">
    <vt:lpwstr/>
  </property>
</Properties>
</file>