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Pr="00E500D4" w:rsidRDefault="00555014" w:rsidP="005E317F">
      <w:pPr>
        <w:pStyle w:val="ShortT"/>
      </w:pPr>
      <w:r>
        <w:t>Bass Strait Central Zone Scallop Fishery</w:t>
      </w:r>
      <w:r w:rsidR="005E317F">
        <w:t xml:space="preserve"> </w:t>
      </w:r>
      <w:r>
        <w:t>Management Plan Amendment 2019</w:t>
      </w:r>
    </w:p>
    <w:p w:rsidR="005E317F" w:rsidRPr="00DA182D" w:rsidRDefault="00246FC5" w:rsidP="005E317F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 xml:space="preserve">The Australian Fisheries Management Authority </w:t>
      </w:r>
      <w:r w:rsidR="004E2791">
        <w:rPr>
          <w:szCs w:val="22"/>
        </w:rPr>
        <w:t>makes the following amendment</w:t>
      </w:r>
      <w:r w:rsidR="002859BF">
        <w:rPr>
          <w:szCs w:val="22"/>
        </w:rPr>
        <w:t xml:space="preserve"> instrument</w:t>
      </w:r>
      <w:r w:rsidR="00AA7B24">
        <w:rPr>
          <w:szCs w:val="22"/>
        </w:rPr>
        <w:t xml:space="preserve">.  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9B421B">
        <w:rPr>
          <w:szCs w:val="22"/>
        </w:rPr>
        <w:t>19 August 2019</w:t>
      </w:r>
    </w:p>
    <w:p w:rsidR="005E317F" w:rsidRPr="00DC1786" w:rsidRDefault="009B421B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Made</w:t>
      </w:r>
      <w:r w:rsidR="004E2791">
        <w:rPr>
          <w:szCs w:val="22"/>
        </w:rPr>
        <w:t xml:space="preserve"> in accordance with a decision of the Commissioners under section </w:t>
      </w:r>
      <w:r w:rsidR="00DF7AAE">
        <w:rPr>
          <w:szCs w:val="22"/>
        </w:rPr>
        <w:t>25</w:t>
      </w:r>
      <w:r w:rsidR="004E2791">
        <w:rPr>
          <w:szCs w:val="22"/>
        </w:rPr>
        <w:t xml:space="preserve"> of the </w:t>
      </w:r>
      <w:r w:rsidR="004E2791">
        <w:rPr>
          <w:i/>
          <w:szCs w:val="22"/>
        </w:rPr>
        <w:t>Fisheries Administration Act 1991</w:t>
      </w:r>
    </w:p>
    <w:p w:rsidR="004E2791" w:rsidRDefault="004E2791" w:rsidP="004E279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Accepted on</w:t>
      </w:r>
      <w:r>
        <w:rPr>
          <w:szCs w:val="22"/>
        </w:rPr>
        <w:tab/>
      </w:r>
      <w:r w:rsidR="00381C31">
        <w:rPr>
          <w:szCs w:val="22"/>
        </w:rPr>
        <w:t xml:space="preserve">10 September 2019 </w:t>
      </w:r>
    </w:p>
    <w:p w:rsidR="004E2791" w:rsidRPr="00DC1786" w:rsidRDefault="001D49D4" w:rsidP="004E2791">
      <w:pPr>
        <w:keepNext/>
        <w:tabs>
          <w:tab w:val="left" w:pos="3402"/>
        </w:tabs>
        <w:spacing w:before="1440" w:line="300" w:lineRule="atLeast"/>
        <w:ind w:right="397"/>
      </w:pPr>
      <w:r>
        <w:t>Senator</w:t>
      </w:r>
      <w:r w:rsidR="00AA7B24">
        <w:t xml:space="preserve"> the Hon Jonathon </w:t>
      </w:r>
      <w:proofErr w:type="spellStart"/>
      <w:r w:rsidR="00AA7B24">
        <w:t>Duniam</w:t>
      </w:r>
      <w:proofErr w:type="spellEnd"/>
      <w:r w:rsidR="004E2791">
        <w:br/>
      </w:r>
      <w:r w:rsidR="00AA7B24">
        <w:t>Assistant Mini</w:t>
      </w:r>
      <w:r w:rsidR="00DC1786">
        <w:t>ster for Forestry and Fisheries</w:t>
      </w:r>
      <w:bookmarkStart w:id="0" w:name="_GoBack"/>
      <w:bookmarkEnd w:id="0"/>
    </w:p>
    <w:p w:rsidR="004E2791" w:rsidRPr="004E2791" w:rsidRDefault="004E2791" w:rsidP="004E2791">
      <w:pPr>
        <w:keepNext/>
        <w:pBdr>
          <w:bottom w:val="single" w:sz="6" w:space="1" w:color="auto"/>
        </w:pBdr>
        <w:tabs>
          <w:tab w:val="left" w:pos="3402"/>
        </w:tabs>
        <w:spacing w:line="300" w:lineRule="atLeast"/>
        <w:ind w:right="397"/>
        <w:rPr>
          <w:szCs w:val="22"/>
        </w:rPr>
      </w:pPr>
    </w:p>
    <w:p w:rsidR="004E2791" w:rsidRDefault="004E2791" w:rsidP="00B20990"/>
    <w:p w:rsidR="004E2791" w:rsidRDefault="004E2791" w:rsidP="00B20990"/>
    <w:p w:rsidR="004E2791" w:rsidRDefault="004E2791" w:rsidP="00B20990">
      <w:pPr>
        <w:sectPr w:rsidR="004E2791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1" w:name="_Toc1003729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55014">
        <w:rPr>
          <w:i/>
        </w:rPr>
        <w:t>Bass Strait Central Zone Scallop Fishery</w:t>
      </w:r>
      <w:r w:rsidR="005707C2">
        <w:rPr>
          <w:i/>
        </w:rPr>
        <w:t xml:space="preserve"> Management Plan Amendment </w:t>
      </w:r>
      <w:r w:rsidR="002859BF">
        <w:rPr>
          <w:i/>
        </w:rPr>
        <w:t xml:space="preserve">Instrument </w:t>
      </w:r>
      <w:r w:rsidR="005707C2">
        <w:rPr>
          <w:i/>
        </w:rPr>
        <w:t>2019</w:t>
      </w:r>
      <w:r w:rsidRPr="009C2562">
        <w:t>.</w:t>
      </w:r>
    </w:p>
    <w:p w:rsidR="005E317F" w:rsidRDefault="005E317F" w:rsidP="005E317F">
      <w:pPr>
        <w:pStyle w:val="ActHead5"/>
      </w:pPr>
      <w:bookmarkStart w:id="3" w:name="_Toc1003729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:rsidR="00A93118" w:rsidRPr="00951039" w:rsidRDefault="00A93118" w:rsidP="00A93118">
      <w:pPr>
        <w:pStyle w:val="subsection"/>
      </w:pPr>
      <w:bookmarkStart w:id="4" w:name="_Toc10037296"/>
      <w:r w:rsidRPr="00951039">
        <w:tab/>
        <w:t>(1)</w:t>
      </w:r>
      <w:r w:rsidRPr="00951039">
        <w:tab/>
        <w:t xml:space="preserve">Each provision of this </w:t>
      </w:r>
      <w:r>
        <w:t>instrument</w:t>
      </w:r>
      <w:r w:rsidRPr="00951039">
        <w:t xml:space="preserve"> specified in column 1 of the table commences, or is taken to have commenced, in accordance with column 2 of the table. Any other statement in column 2 has effect according to its terms.</w:t>
      </w:r>
    </w:p>
    <w:p w:rsidR="00A93118" w:rsidRPr="00951039" w:rsidRDefault="00A93118" w:rsidP="00A9311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A93118" w:rsidRPr="00951039" w:rsidTr="005D678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93118" w:rsidRPr="00951039" w:rsidRDefault="00A93118" w:rsidP="005D6783">
            <w:pPr>
              <w:pStyle w:val="TableHeading"/>
            </w:pPr>
            <w:r w:rsidRPr="00951039">
              <w:t>Commencement information</w:t>
            </w:r>
          </w:p>
        </w:tc>
      </w:tr>
      <w:tr w:rsidR="00A93118" w:rsidRPr="00951039" w:rsidTr="005D678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93118" w:rsidRPr="00951039" w:rsidRDefault="00A93118" w:rsidP="005D6783">
            <w:pPr>
              <w:pStyle w:val="TableHeading"/>
            </w:pPr>
            <w:r w:rsidRPr="0095103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93118" w:rsidRPr="00951039" w:rsidRDefault="00A93118" w:rsidP="005D6783">
            <w:pPr>
              <w:pStyle w:val="TableHeading"/>
            </w:pPr>
            <w:r w:rsidRPr="0095103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93118" w:rsidRPr="00951039" w:rsidRDefault="00A93118" w:rsidP="005D6783">
            <w:pPr>
              <w:pStyle w:val="TableHeading"/>
            </w:pPr>
            <w:r w:rsidRPr="00951039">
              <w:t>Column 3</w:t>
            </w:r>
          </w:p>
        </w:tc>
      </w:tr>
      <w:tr w:rsidR="00A93118" w:rsidRPr="00951039" w:rsidTr="005D678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3118" w:rsidRPr="00951039" w:rsidRDefault="00A93118" w:rsidP="005D6783">
            <w:pPr>
              <w:pStyle w:val="TableHeading"/>
            </w:pPr>
            <w:r w:rsidRPr="0095103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3118" w:rsidRPr="00951039" w:rsidRDefault="00A93118" w:rsidP="005D6783">
            <w:pPr>
              <w:pStyle w:val="TableHeading"/>
            </w:pPr>
            <w:r w:rsidRPr="0095103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3118" w:rsidRPr="00951039" w:rsidRDefault="00A93118" w:rsidP="005D6783">
            <w:pPr>
              <w:pStyle w:val="TableHeading"/>
            </w:pPr>
            <w:r w:rsidRPr="00951039">
              <w:t>Date/Details</w:t>
            </w:r>
          </w:p>
        </w:tc>
      </w:tr>
      <w:tr w:rsidR="00A93118" w:rsidRPr="00951039" w:rsidTr="00A93118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93118" w:rsidRPr="00951039" w:rsidRDefault="00DF7AAE" w:rsidP="005D6783">
            <w:pPr>
              <w:pStyle w:val="Tabletext"/>
            </w:pPr>
            <w:r>
              <w:t>1. All provisions of this instrument not covered elsewhere in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93118" w:rsidRDefault="00A93118" w:rsidP="005D6783">
            <w:pPr>
              <w:pStyle w:val="Tabletext"/>
            </w:pPr>
            <w:r>
              <w:t xml:space="preserve">The time that is the later of: </w:t>
            </w:r>
          </w:p>
          <w:p w:rsidR="00A93118" w:rsidRDefault="00AA7B24" w:rsidP="00A93118">
            <w:pPr>
              <w:pStyle w:val="Tabletext"/>
              <w:numPr>
                <w:ilvl w:val="0"/>
                <w:numId w:val="14"/>
              </w:numPr>
            </w:pPr>
            <w:r>
              <w:t>1 October 2019</w:t>
            </w:r>
            <w:r w:rsidR="00A93118">
              <w:t xml:space="preserve">; or </w:t>
            </w:r>
          </w:p>
          <w:p w:rsidR="00A93118" w:rsidRPr="00951039" w:rsidRDefault="00A93118" w:rsidP="00A93118">
            <w:pPr>
              <w:pStyle w:val="Tabletext"/>
              <w:numPr>
                <w:ilvl w:val="0"/>
                <w:numId w:val="14"/>
              </w:numPr>
            </w:pPr>
            <w:proofErr w:type="gramStart"/>
            <w:r>
              <w:t>the</w:t>
            </w:r>
            <w:proofErr w:type="gramEnd"/>
            <w:r>
              <w:t xml:space="preserve"> day after registration.  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93118" w:rsidRPr="00951039" w:rsidRDefault="00A93118" w:rsidP="005D6783">
            <w:pPr>
              <w:pStyle w:val="Tabletext"/>
            </w:pPr>
          </w:p>
        </w:tc>
      </w:tr>
      <w:tr w:rsidR="00DF7AAE" w:rsidRPr="00951039" w:rsidTr="00A93118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F7AAE" w:rsidRDefault="00DF7AAE" w:rsidP="005D6783">
            <w:pPr>
              <w:pStyle w:val="Tabletext"/>
            </w:pPr>
            <w:r>
              <w:t>2. Part</w:t>
            </w:r>
            <w:r w:rsidR="00AA7B24">
              <w:t xml:space="preserve"> 2 of Schedule 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F7AAE" w:rsidRDefault="00DF7AAE" w:rsidP="005D6783">
            <w:pPr>
              <w:pStyle w:val="Tabletext"/>
            </w:pPr>
            <w:r>
              <w:t>1 March 2020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F7AAE" w:rsidRPr="00951039" w:rsidRDefault="00DF7AAE" w:rsidP="005D6783">
            <w:pPr>
              <w:pStyle w:val="Tabletext"/>
            </w:pPr>
            <w:r>
              <w:t>1 March 2020</w:t>
            </w:r>
          </w:p>
        </w:tc>
      </w:tr>
    </w:tbl>
    <w:p w:rsidR="00A93118" w:rsidRPr="00951039" w:rsidRDefault="00A93118" w:rsidP="00A93118">
      <w:pPr>
        <w:pStyle w:val="subsection"/>
      </w:pPr>
      <w:r w:rsidRPr="00951039">
        <w:tab/>
        <w:t>(2)</w:t>
      </w:r>
      <w:r w:rsidRPr="00951039">
        <w:tab/>
        <w:t xml:space="preserve">Any information in column 3 of the table is not part of this </w:t>
      </w:r>
      <w:r>
        <w:t>instrument</w:t>
      </w:r>
      <w:r w:rsidRPr="00951039">
        <w:t xml:space="preserve">. Information may be inserted in this column, or information in it may be edited, in any published version of this </w:t>
      </w:r>
      <w:r>
        <w:t>instrument</w:t>
      </w:r>
      <w:r w:rsidRPr="00951039">
        <w:t>.</w:t>
      </w:r>
    </w:p>
    <w:p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E2791">
        <w:t>subsection 20(1)</w:t>
      </w:r>
      <w:r w:rsidR="00555014">
        <w:t xml:space="preserve"> of the </w:t>
      </w:r>
      <w:r w:rsidR="00555014">
        <w:rPr>
          <w:i/>
        </w:rPr>
        <w:t>Fisheries Management Act 1991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5" w:name="_Toc10037297"/>
      <w:proofErr w:type="gramStart"/>
      <w:r w:rsidRPr="006065DA">
        <w:t>4  Schedules</w:t>
      </w:r>
      <w:bookmarkEnd w:id="5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AA7B24" w:rsidRPr="00AA7B24" w:rsidRDefault="005E317F" w:rsidP="00AA7B24">
      <w:pPr>
        <w:pStyle w:val="ActHead6"/>
        <w:pageBreakBefore/>
        <w:rPr>
          <w:i/>
        </w:rPr>
      </w:pPr>
      <w:bookmarkStart w:id="6" w:name="_Toc1003729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  <w:r w:rsidR="00AA7B24">
        <w:rPr>
          <w:rStyle w:val="CharAmSchText"/>
        </w:rPr>
        <w:t xml:space="preserve"> to the </w:t>
      </w:r>
      <w:r w:rsidR="00AA7B24">
        <w:rPr>
          <w:rStyle w:val="CharAmSchText"/>
          <w:i/>
        </w:rPr>
        <w:t>Bass Strait Central Zone Scallop Fishery Management Plan 2002</w:t>
      </w:r>
    </w:p>
    <w:p w:rsidR="00AA7B24" w:rsidRPr="00207FC6" w:rsidRDefault="00AA7B24" w:rsidP="00AA7B24">
      <w:pPr>
        <w:pStyle w:val="ActHead2"/>
      </w:pPr>
      <w:bookmarkStart w:id="7" w:name="_Toc2061544"/>
      <w:r w:rsidRPr="00207FC6">
        <w:rPr>
          <w:rStyle w:val="CharPartNo"/>
        </w:rPr>
        <w:t>Part </w:t>
      </w:r>
      <w:r>
        <w:rPr>
          <w:rStyle w:val="CharPartNo"/>
        </w:rPr>
        <w:t>1</w:t>
      </w:r>
      <w:r w:rsidRPr="00207FC6">
        <w:t>—</w:t>
      </w:r>
      <w:bookmarkEnd w:id="7"/>
      <w:r>
        <w:rPr>
          <w:rStyle w:val="CharPartText"/>
        </w:rPr>
        <w:t>Amendments commencing before 1 March 2020</w:t>
      </w:r>
    </w:p>
    <w:p w:rsidR="00AA7B24" w:rsidRPr="00207FC6" w:rsidRDefault="00AA7B24" w:rsidP="00AA7B24">
      <w:pPr>
        <w:pStyle w:val="Header"/>
      </w:pPr>
      <w:r w:rsidRPr="00207FC6">
        <w:rPr>
          <w:rStyle w:val="CharDivNo"/>
        </w:rPr>
        <w:t xml:space="preserve"> </w:t>
      </w:r>
      <w:r w:rsidRPr="00207FC6">
        <w:rPr>
          <w:rStyle w:val="CharDivText"/>
        </w:rPr>
        <w:t xml:space="preserve"> </w:t>
      </w:r>
    </w:p>
    <w:p w:rsidR="005E317F" w:rsidRDefault="00E44B04" w:rsidP="005E317F">
      <w:pPr>
        <w:pStyle w:val="ItemHead"/>
      </w:pPr>
      <w:proofErr w:type="gramStart"/>
      <w:r>
        <w:t xml:space="preserve">1  </w:t>
      </w:r>
      <w:r w:rsidR="00555014">
        <w:t>Section</w:t>
      </w:r>
      <w:proofErr w:type="gramEnd"/>
      <w:r w:rsidR="00555014">
        <w:t xml:space="preserve"> 13</w:t>
      </w:r>
    </w:p>
    <w:p w:rsidR="00246FC5" w:rsidRPr="00246FC5" w:rsidRDefault="00555014" w:rsidP="00865328">
      <w:pPr>
        <w:pStyle w:val="Item"/>
      </w:pPr>
      <w:r>
        <w:t>Repeal the section</w:t>
      </w:r>
      <w:r w:rsidR="00865328">
        <w:t>.</w:t>
      </w:r>
    </w:p>
    <w:p w:rsidR="005E317F" w:rsidRDefault="00E44B04" w:rsidP="005E317F">
      <w:pPr>
        <w:pStyle w:val="ItemHead"/>
      </w:pPr>
      <w:proofErr w:type="gramStart"/>
      <w:r>
        <w:t xml:space="preserve">2  </w:t>
      </w:r>
      <w:r w:rsidR="00246FC5">
        <w:t>Subsection</w:t>
      </w:r>
      <w:proofErr w:type="gramEnd"/>
      <w:r w:rsidR="00246FC5">
        <w:t xml:space="preserve"> 28(2)</w:t>
      </w:r>
    </w:p>
    <w:p w:rsidR="00246FC5" w:rsidRDefault="005E317F" w:rsidP="004E2791">
      <w:pPr>
        <w:pStyle w:val="Item"/>
      </w:pPr>
      <w:r>
        <w:t xml:space="preserve">Repeal the </w:t>
      </w:r>
      <w:r w:rsidR="00246FC5">
        <w:t>subsection</w:t>
      </w:r>
      <w:r>
        <w:t>.</w:t>
      </w:r>
    </w:p>
    <w:p w:rsidR="00AA7B24" w:rsidRPr="00207FC6" w:rsidRDefault="00AA7B24" w:rsidP="00AA7B24">
      <w:pPr>
        <w:pStyle w:val="ActHead2"/>
        <w:pageBreakBefore/>
      </w:pPr>
      <w:bookmarkStart w:id="8" w:name="_Toc2061542"/>
      <w:r w:rsidRPr="00207FC6">
        <w:rPr>
          <w:rStyle w:val="CharPartNo"/>
        </w:rPr>
        <w:lastRenderedPageBreak/>
        <w:t>Part 2</w:t>
      </w:r>
      <w:r w:rsidRPr="00207FC6">
        <w:t>—</w:t>
      </w:r>
      <w:bookmarkEnd w:id="8"/>
      <w:r>
        <w:rPr>
          <w:rStyle w:val="CharPartText"/>
        </w:rPr>
        <w:t>Amendments commencing on 1 March 2020</w:t>
      </w:r>
    </w:p>
    <w:p w:rsidR="00AA7B24" w:rsidRPr="00207FC6" w:rsidRDefault="00AA7B24" w:rsidP="00AA7B24">
      <w:pPr>
        <w:pStyle w:val="Header"/>
      </w:pPr>
      <w:r w:rsidRPr="00207FC6">
        <w:rPr>
          <w:rStyle w:val="CharDivNo"/>
        </w:rPr>
        <w:t xml:space="preserve"> </w:t>
      </w:r>
      <w:r w:rsidRPr="00207FC6">
        <w:rPr>
          <w:rStyle w:val="CharDivText"/>
        </w:rPr>
        <w:t xml:space="preserve"> </w:t>
      </w:r>
    </w:p>
    <w:p w:rsidR="00AA7B24" w:rsidRDefault="00E44B04" w:rsidP="00AA7B24">
      <w:pPr>
        <w:pStyle w:val="ItemHead"/>
        <w:rPr>
          <w:b w:val="0"/>
        </w:rPr>
      </w:pPr>
      <w:proofErr w:type="gramStart"/>
      <w:r>
        <w:t xml:space="preserve">3  </w:t>
      </w:r>
      <w:r w:rsidR="00AA7B24">
        <w:t>Section</w:t>
      </w:r>
      <w:proofErr w:type="gramEnd"/>
      <w:r w:rsidR="00AA7B24">
        <w:t xml:space="preserve"> 3 (definition of </w:t>
      </w:r>
      <w:r w:rsidR="00AA7B24">
        <w:rPr>
          <w:i/>
        </w:rPr>
        <w:t>fishing season</w:t>
      </w:r>
      <w:r w:rsidR="00AA7B24" w:rsidRPr="005707C2">
        <w:t>)</w:t>
      </w:r>
    </w:p>
    <w:p w:rsidR="00AA7B24" w:rsidRDefault="00AA7B24" w:rsidP="00AA7B24">
      <w:pPr>
        <w:pStyle w:val="Item"/>
      </w:pPr>
      <w:r>
        <w:t>Repeal the definition, substitute:</w:t>
      </w:r>
    </w:p>
    <w:p w:rsidR="00AA7B24" w:rsidRDefault="00AA7B24" w:rsidP="00AA7B24">
      <w:pPr>
        <w:pStyle w:val="definition0"/>
      </w:pPr>
      <w:proofErr w:type="gramStart"/>
      <w:r>
        <w:rPr>
          <w:b/>
          <w:i/>
        </w:rPr>
        <w:t>fishing</w:t>
      </w:r>
      <w:proofErr w:type="gramEnd"/>
      <w:r>
        <w:rPr>
          <w:b/>
          <w:i/>
        </w:rPr>
        <w:t xml:space="preserve"> season</w:t>
      </w:r>
      <w:r>
        <w:t xml:space="preserve"> means the period determined by AFMA.  </w:t>
      </w:r>
    </w:p>
    <w:p w:rsidR="00AA7B24" w:rsidRPr="00405694" w:rsidRDefault="00AA7B24" w:rsidP="00AA7B24">
      <w:pPr>
        <w:pStyle w:val="ZNote"/>
      </w:pPr>
      <w:r>
        <w:rPr>
          <w:i/>
        </w:rPr>
        <w:t>Note</w:t>
      </w:r>
      <w:r>
        <w:t xml:space="preserve">   Under subsection 17(6B) of the Act, a determination of a fishing season is a legislative instrument for the purpose of the </w:t>
      </w:r>
      <w:r>
        <w:rPr>
          <w:i/>
        </w:rPr>
        <w:t>Legislation Act 2003</w:t>
      </w:r>
      <w:r>
        <w:t xml:space="preserve">.  </w:t>
      </w:r>
    </w:p>
    <w:p w:rsidR="00AA7B24" w:rsidRDefault="00E44B04" w:rsidP="00AA7B24">
      <w:pPr>
        <w:pStyle w:val="ItemHead"/>
      </w:pPr>
      <w:proofErr w:type="gramStart"/>
      <w:r>
        <w:t xml:space="preserve">4  </w:t>
      </w:r>
      <w:r w:rsidR="00AA7B24">
        <w:t>Section</w:t>
      </w:r>
      <w:proofErr w:type="gramEnd"/>
      <w:r w:rsidR="00AA7B24">
        <w:t xml:space="preserve"> 3 (definition of </w:t>
      </w:r>
      <w:r w:rsidR="00AA7B24">
        <w:rPr>
          <w:i/>
        </w:rPr>
        <w:t>fishing year</w:t>
      </w:r>
      <w:r w:rsidR="00AA7B24">
        <w:t>)</w:t>
      </w:r>
    </w:p>
    <w:p w:rsidR="00AA7B24" w:rsidRPr="005E35E3" w:rsidRDefault="00AA7B24" w:rsidP="00AA7B24">
      <w:pPr>
        <w:pStyle w:val="Item"/>
      </w:pPr>
      <w:r>
        <w:t xml:space="preserve">Repeal the definition.  </w:t>
      </w:r>
    </w:p>
    <w:p w:rsidR="00AA7B24" w:rsidRDefault="00E44B04" w:rsidP="00AA7B24">
      <w:pPr>
        <w:pStyle w:val="ItemHead"/>
      </w:pPr>
      <w:proofErr w:type="gramStart"/>
      <w:r>
        <w:t xml:space="preserve">5  </w:t>
      </w:r>
      <w:r w:rsidR="00AA7B24">
        <w:t>Section</w:t>
      </w:r>
      <w:proofErr w:type="gramEnd"/>
      <w:r w:rsidR="00AA7B24">
        <w:t xml:space="preserve"> 3 (definition of </w:t>
      </w:r>
      <w:r w:rsidR="00AA7B24">
        <w:rPr>
          <w:i/>
        </w:rPr>
        <w:t>quota</w:t>
      </w:r>
      <w:r w:rsidR="00AA7B24">
        <w:t>)</w:t>
      </w:r>
    </w:p>
    <w:p w:rsidR="00AA7B24" w:rsidRPr="002E7BC3" w:rsidRDefault="00AA7B24" w:rsidP="00AA7B24">
      <w:pPr>
        <w:pStyle w:val="Item"/>
      </w:pPr>
      <w:r>
        <w:t xml:space="preserve">Omit “year”, substitute “season”.  </w:t>
      </w:r>
    </w:p>
    <w:p w:rsidR="00AA7B24" w:rsidRDefault="00E44B04" w:rsidP="00AA7B24">
      <w:pPr>
        <w:pStyle w:val="ItemHead"/>
      </w:pPr>
      <w:proofErr w:type="gramStart"/>
      <w:r>
        <w:t xml:space="preserve">6  </w:t>
      </w:r>
      <w:r w:rsidR="00AA7B24">
        <w:t>Section</w:t>
      </w:r>
      <w:proofErr w:type="gramEnd"/>
      <w:r w:rsidR="00AA7B24">
        <w:t xml:space="preserve"> 3 (definition of </w:t>
      </w:r>
      <w:r w:rsidR="00AA7B24">
        <w:rPr>
          <w:i/>
        </w:rPr>
        <w:t>quota statutory fishing right</w:t>
      </w:r>
      <w:r w:rsidR="00AA7B24">
        <w:t>)</w:t>
      </w:r>
    </w:p>
    <w:p w:rsidR="00AA7B24" w:rsidRDefault="00AA7B24" w:rsidP="00AA7B24">
      <w:pPr>
        <w:pStyle w:val="Item"/>
      </w:pPr>
      <w:r>
        <w:t>Repeal the definition, substitute:</w:t>
      </w:r>
    </w:p>
    <w:p w:rsidR="00AA7B24" w:rsidRDefault="00AA7B24" w:rsidP="00AA7B24">
      <w:pPr>
        <w:pStyle w:val="definition0"/>
      </w:pPr>
      <w:proofErr w:type="gramStart"/>
      <w:r>
        <w:rPr>
          <w:b/>
          <w:i/>
        </w:rPr>
        <w:t>quota</w:t>
      </w:r>
      <w:proofErr w:type="gramEnd"/>
      <w:r>
        <w:rPr>
          <w:b/>
          <w:i/>
        </w:rPr>
        <w:t xml:space="preserve"> statutory fishing right</w:t>
      </w:r>
      <w:r>
        <w:t xml:space="preserve">, for a fishing season, means a right to take, from the area of the fishery, a particular amount (being the quota allocated to the right for the fishing season) of a species of scallop during the fishing </w:t>
      </w:r>
      <w:r w:rsidR="007E22BC">
        <w:t>season</w:t>
      </w:r>
      <w:r>
        <w:t xml:space="preserve">.  </w:t>
      </w:r>
    </w:p>
    <w:p w:rsidR="00AA7B24" w:rsidRDefault="00E44B04" w:rsidP="00AA7B24">
      <w:pPr>
        <w:pStyle w:val="ItemHead"/>
      </w:pPr>
      <w:proofErr w:type="gramStart"/>
      <w:r>
        <w:t xml:space="preserve">7  </w:t>
      </w:r>
      <w:r w:rsidR="00AA7B24">
        <w:t>Section</w:t>
      </w:r>
      <w:proofErr w:type="gramEnd"/>
      <w:r w:rsidR="00AA7B24">
        <w:t xml:space="preserve"> 3 (definition of </w:t>
      </w:r>
      <w:r w:rsidR="00AA7B24">
        <w:rPr>
          <w:i/>
        </w:rPr>
        <w:t>total allowable catch</w:t>
      </w:r>
      <w:r w:rsidR="00AA7B24">
        <w:t>)</w:t>
      </w:r>
    </w:p>
    <w:p w:rsidR="00AA7B24" w:rsidRDefault="00AA7B24" w:rsidP="00AA7B24">
      <w:pPr>
        <w:pStyle w:val="Item"/>
      </w:pPr>
      <w:r>
        <w:t xml:space="preserve">Omit “year”, substitute “season”.  </w:t>
      </w:r>
    </w:p>
    <w:p w:rsidR="00AA7B24" w:rsidRDefault="00E44B04" w:rsidP="00AA7B24">
      <w:pPr>
        <w:pStyle w:val="ItemHead"/>
      </w:pPr>
      <w:proofErr w:type="gramStart"/>
      <w:r>
        <w:t xml:space="preserve">8  </w:t>
      </w:r>
      <w:r w:rsidR="00AA7B24">
        <w:t>Paragraph</w:t>
      </w:r>
      <w:proofErr w:type="gramEnd"/>
      <w:r w:rsidR="00AA7B24">
        <w:t xml:space="preserve"> 8(1)(b)</w:t>
      </w:r>
    </w:p>
    <w:p w:rsidR="00AA7B24" w:rsidRPr="002E7BC3" w:rsidRDefault="00AA7B24" w:rsidP="00AA7B24">
      <w:pPr>
        <w:pStyle w:val="Item"/>
      </w:pPr>
      <w:r>
        <w:t xml:space="preserve">Repeal the paragraph, substitute: </w:t>
      </w:r>
    </w:p>
    <w:p w:rsidR="00AA7B24" w:rsidRDefault="00AA7B24" w:rsidP="00AA7B24">
      <w:pPr>
        <w:pStyle w:val="P1"/>
      </w:pPr>
      <w:r>
        <w:tab/>
        <w:t>(b)</w:t>
      </w:r>
      <w:r>
        <w:tab/>
      </w:r>
      <w:proofErr w:type="gramStart"/>
      <w:r>
        <w:t>that</w:t>
      </w:r>
      <w:proofErr w:type="gramEnd"/>
      <w:r>
        <w:t xml:space="preserve"> a total allowable catch is set for each species of scallop for each fishing season and that the amount of scallops taken in a fishing season does not exceed the total allowable catch for the season; and</w:t>
      </w:r>
    </w:p>
    <w:p w:rsidR="00AA7B24" w:rsidRDefault="00E44B04" w:rsidP="00AA7B24">
      <w:pPr>
        <w:pStyle w:val="ItemHead"/>
      </w:pPr>
      <w:proofErr w:type="gramStart"/>
      <w:r>
        <w:t xml:space="preserve">9  </w:t>
      </w:r>
      <w:r w:rsidR="00AA7B24">
        <w:t>Subparagraph</w:t>
      </w:r>
      <w:proofErr w:type="gramEnd"/>
      <w:r w:rsidR="00AA7B24">
        <w:t xml:space="preserve"> 8(1)(c)(i</w:t>
      </w:r>
      <w:r w:rsidR="007E22BC">
        <w:t>ii</w:t>
      </w:r>
      <w:r w:rsidR="00AA7B24">
        <w:t>)</w:t>
      </w:r>
    </w:p>
    <w:p w:rsidR="00AA7B24" w:rsidRDefault="00AA7B24" w:rsidP="00AA7B24">
      <w:pPr>
        <w:pStyle w:val="Item"/>
      </w:pPr>
      <w:r>
        <w:t xml:space="preserve">Omit “year”, substitute “season”.  </w:t>
      </w:r>
    </w:p>
    <w:p w:rsidR="00AA7B24" w:rsidRDefault="00E44B04" w:rsidP="00AA7B24">
      <w:pPr>
        <w:pStyle w:val="ItemHead"/>
      </w:pPr>
      <w:proofErr w:type="gramStart"/>
      <w:r>
        <w:t xml:space="preserve">10  </w:t>
      </w:r>
      <w:r w:rsidR="00AA7B24">
        <w:t>Subsection</w:t>
      </w:r>
      <w:proofErr w:type="gramEnd"/>
      <w:r w:rsidR="00AA7B24">
        <w:t xml:space="preserve"> 12(1)</w:t>
      </w:r>
    </w:p>
    <w:p w:rsidR="00AA7B24" w:rsidRDefault="00AA7B24" w:rsidP="00AA7B24">
      <w:pPr>
        <w:pStyle w:val="Item"/>
      </w:pPr>
      <w:r>
        <w:t xml:space="preserve">Repeal the subsection, substitute: </w:t>
      </w:r>
    </w:p>
    <w:p w:rsidR="00AA7B24" w:rsidRDefault="00AA7B24" w:rsidP="00AA7B24">
      <w:pPr>
        <w:pStyle w:val="R1"/>
      </w:pPr>
      <w:r>
        <w:tab/>
        <w:t>(1)</w:t>
      </w:r>
      <w:r>
        <w:tab/>
        <w:t>Subject to section 14, in a fishing season, the holder of a quota statutory fishing right must not take from the area of the fishery an amount of scallops of a species greater than the quota allocated to the right in relation to that species for the season.</w:t>
      </w:r>
    </w:p>
    <w:p w:rsidR="00AA7B24" w:rsidRDefault="00E44B04" w:rsidP="00AA7B24">
      <w:pPr>
        <w:pStyle w:val="ItemHead"/>
      </w:pPr>
      <w:proofErr w:type="gramStart"/>
      <w:r>
        <w:t xml:space="preserve">11  </w:t>
      </w:r>
      <w:r w:rsidR="00AA7B24">
        <w:t>Subsection</w:t>
      </w:r>
      <w:proofErr w:type="gramEnd"/>
      <w:r w:rsidR="00AA7B24">
        <w:t xml:space="preserve"> 12(2)</w:t>
      </w:r>
    </w:p>
    <w:p w:rsidR="00AA7B24" w:rsidRPr="002E7BC3" w:rsidRDefault="00AA7B24" w:rsidP="00AA7B24">
      <w:pPr>
        <w:pStyle w:val="Item"/>
      </w:pPr>
      <w:r>
        <w:t xml:space="preserve">Omit “year”, substitute “season”.  </w:t>
      </w:r>
    </w:p>
    <w:p w:rsidR="00AA7B24" w:rsidRDefault="00E44B04" w:rsidP="00AA7B24">
      <w:pPr>
        <w:pStyle w:val="ItemHead"/>
      </w:pPr>
      <w:proofErr w:type="gramStart"/>
      <w:r>
        <w:t xml:space="preserve">12  </w:t>
      </w:r>
      <w:r w:rsidR="00AA7B24">
        <w:t>Subsection</w:t>
      </w:r>
      <w:proofErr w:type="gramEnd"/>
      <w:r w:rsidR="00AA7B24">
        <w:t xml:space="preserve"> 12(2A)</w:t>
      </w:r>
    </w:p>
    <w:p w:rsidR="00AA7B24" w:rsidRDefault="00AA7B24" w:rsidP="00AA7B24">
      <w:pPr>
        <w:pStyle w:val="Item"/>
      </w:pPr>
      <w:r>
        <w:t xml:space="preserve">Repeal the subsection, substitute: </w:t>
      </w:r>
    </w:p>
    <w:p w:rsidR="00AA7B24" w:rsidRPr="00173BD1" w:rsidRDefault="00AA7B24" w:rsidP="00AA7B24">
      <w:pPr>
        <w:pStyle w:val="ZR2"/>
      </w:pPr>
      <w:r w:rsidRPr="00173BD1">
        <w:lastRenderedPageBreak/>
        <w:tab/>
        <w:t>(2A)</w:t>
      </w:r>
      <w:r w:rsidRPr="00173BD1">
        <w:tab/>
        <w:t xml:space="preserve">If the quota allocated to a quota statutory fishing right decreases during a fishing </w:t>
      </w:r>
      <w:r>
        <w:t>season</w:t>
      </w:r>
      <w:r w:rsidRPr="00173BD1">
        <w:t xml:space="preserve">, the holder of the right </w:t>
      </w:r>
      <w:r>
        <w:t>is exempt from</w:t>
      </w:r>
      <w:r w:rsidRPr="00173BD1">
        <w:t xml:space="preserve"> subsection (1) if:</w:t>
      </w:r>
    </w:p>
    <w:p w:rsidR="00AA7B24" w:rsidRPr="00173BD1" w:rsidRDefault="00AA7B24" w:rsidP="00AA7B24">
      <w:pPr>
        <w:pStyle w:val="P1"/>
      </w:pPr>
      <w:r w:rsidRPr="00173BD1">
        <w:tab/>
        <w:t>(a)</w:t>
      </w:r>
      <w:r w:rsidRPr="00173BD1">
        <w:tab/>
        <w:t xml:space="preserve">immediately before the decrease, the amount of scallops of a species taken by the holder during the fishing </w:t>
      </w:r>
      <w:r>
        <w:t>season</w:t>
      </w:r>
      <w:r w:rsidRPr="00173BD1">
        <w:t xml:space="preserve"> was equal to or less than the quota allocated to the right before the decrease; and</w:t>
      </w:r>
    </w:p>
    <w:p w:rsidR="00AA7B24" w:rsidRPr="00173BD1" w:rsidRDefault="00AA7B24" w:rsidP="00AA7B24">
      <w:pPr>
        <w:pStyle w:val="P1"/>
        <w:keepNext/>
      </w:pPr>
      <w:r w:rsidRPr="00173BD1">
        <w:tab/>
        <w:t>(b)</w:t>
      </w:r>
      <w:r w:rsidRPr="00173BD1">
        <w:tab/>
        <w:t>the holder of the right does not take any more scallops of that species after AFMA gives the holder a notice under subsection 28 (4).</w:t>
      </w:r>
    </w:p>
    <w:p w:rsidR="00AA7B24" w:rsidRPr="00173BD1" w:rsidRDefault="00AA7B24" w:rsidP="00AA7B24">
      <w:pPr>
        <w:pStyle w:val="Note"/>
      </w:pPr>
      <w:r w:rsidRPr="00173BD1">
        <w:rPr>
          <w:i/>
        </w:rPr>
        <w:t>Note</w:t>
      </w:r>
      <w:r w:rsidRPr="00173BD1">
        <w:t>   The quota allocated to a quota statutory fishing right will increase or decrease if AFMA increases or decreases the total allowable catch for a species of scallop under section 28.</w:t>
      </w:r>
    </w:p>
    <w:p w:rsidR="00AA7B24" w:rsidRDefault="00E44B04" w:rsidP="00AA7B24">
      <w:pPr>
        <w:pStyle w:val="ItemHead"/>
      </w:pPr>
      <w:proofErr w:type="gramStart"/>
      <w:r>
        <w:t xml:space="preserve">13  </w:t>
      </w:r>
      <w:r w:rsidR="00AA7B24">
        <w:t>Subsection</w:t>
      </w:r>
      <w:proofErr w:type="gramEnd"/>
      <w:r w:rsidR="00AA7B24">
        <w:t xml:space="preserve"> 12(6)</w:t>
      </w:r>
    </w:p>
    <w:p w:rsidR="00AA7B24" w:rsidRDefault="00AA7B24" w:rsidP="00AA7B24">
      <w:pPr>
        <w:pStyle w:val="Item"/>
      </w:pPr>
      <w:r>
        <w:t xml:space="preserve">Repeal the subsection, substitute: </w:t>
      </w:r>
    </w:p>
    <w:p w:rsidR="00AA7B24" w:rsidRDefault="00AA7B24" w:rsidP="00AA7B24">
      <w:pPr>
        <w:pStyle w:val="R2"/>
      </w:pPr>
      <w:r>
        <w:tab/>
        <w:t>(6)</w:t>
      </w:r>
      <w:r>
        <w:tab/>
        <w:t xml:space="preserve">The quota allocated to a quota statutory fishing right for a fishing </w:t>
      </w:r>
      <w:r w:rsidR="007E22BC">
        <w:t>season</w:t>
      </w:r>
      <w:r>
        <w:t xml:space="preserve"> is worked out by dividing the total allowable catch for the species in the fishing </w:t>
      </w:r>
      <w:r w:rsidR="007E22BC">
        <w:t>season</w:t>
      </w:r>
      <w:r>
        <w:t xml:space="preserve"> by the total number of quota statutory fishing rights in force for the species at the start of the fishing </w:t>
      </w:r>
      <w:r w:rsidR="007E22BC">
        <w:t>season</w:t>
      </w:r>
      <w:r>
        <w:t>.</w:t>
      </w:r>
    </w:p>
    <w:p w:rsidR="00AA7B24" w:rsidRDefault="00E44B04" w:rsidP="00AA7B24">
      <w:pPr>
        <w:pStyle w:val="ItemHead"/>
      </w:pPr>
      <w:proofErr w:type="gramStart"/>
      <w:r>
        <w:t xml:space="preserve">14  </w:t>
      </w:r>
      <w:r w:rsidR="00AA7B24">
        <w:t>Subsection</w:t>
      </w:r>
      <w:proofErr w:type="gramEnd"/>
      <w:r w:rsidR="00AA7B24">
        <w:t xml:space="preserve"> 12(7)</w:t>
      </w:r>
    </w:p>
    <w:p w:rsidR="00AA7B24" w:rsidRDefault="00AA7B24" w:rsidP="00AA7B24">
      <w:pPr>
        <w:pStyle w:val="Item"/>
      </w:pPr>
      <w:r>
        <w:t xml:space="preserve">Omit “year”, substitute “season”.  </w:t>
      </w:r>
    </w:p>
    <w:p w:rsidR="00AA7B24" w:rsidRDefault="00E44B04" w:rsidP="00AA7B24">
      <w:pPr>
        <w:pStyle w:val="ItemHead"/>
      </w:pPr>
      <w:proofErr w:type="gramStart"/>
      <w:r>
        <w:t xml:space="preserve">15  </w:t>
      </w:r>
      <w:r w:rsidR="00AA7B24">
        <w:t>Subsection</w:t>
      </w:r>
      <w:proofErr w:type="gramEnd"/>
      <w:r w:rsidR="00AA7B24">
        <w:t xml:space="preserve"> 27(1)</w:t>
      </w:r>
    </w:p>
    <w:p w:rsidR="00AA7B24" w:rsidRDefault="00AA7B24" w:rsidP="00AA7B24">
      <w:pPr>
        <w:pStyle w:val="Item"/>
      </w:pPr>
      <w:r>
        <w:t xml:space="preserve">Omit “year”, substitute “season”.  </w:t>
      </w:r>
    </w:p>
    <w:p w:rsidR="00AA7B24" w:rsidRDefault="00E44B04" w:rsidP="00AA7B24">
      <w:pPr>
        <w:pStyle w:val="ItemHead"/>
      </w:pPr>
      <w:proofErr w:type="gramStart"/>
      <w:r>
        <w:t xml:space="preserve">16  </w:t>
      </w:r>
      <w:r w:rsidR="00AA7B24">
        <w:t>Subsection</w:t>
      </w:r>
      <w:proofErr w:type="gramEnd"/>
      <w:r w:rsidR="00AA7B24">
        <w:t xml:space="preserve"> 27(3)</w:t>
      </w:r>
    </w:p>
    <w:p w:rsidR="00AA7B24" w:rsidRPr="00143555" w:rsidRDefault="00AA7B24" w:rsidP="00AA7B24">
      <w:pPr>
        <w:pStyle w:val="Item"/>
      </w:pPr>
      <w:r>
        <w:t xml:space="preserve">Omit “year”, substitute “season”.  </w:t>
      </w:r>
    </w:p>
    <w:p w:rsidR="00AA7B24" w:rsidRDefault="00E44B04" w:rsidP="00AA7B24">
      <w:pPr>
        <w:pStyle w:val="ItemHead"/>
      </w:pPr>
      <w:proofErr w:type="gramStart"/>
      <w:r>
        <w:t xml:space="preserve">17  </w:t>
      </w:r>
      <w:r w:rsidR="00AA7B24">
        <w:t>Subsection</w:t>
      </w:r>
      <w:proofErr w:type="gramEnd"/>
      <w:r w:rsidR="00AA7B24">
        <w:t xml:space="preserve"> 27(4)</w:t>
      </w:r>
    </w:p>
    <w:p w:rsidR="00AA7B24" w:rsidRDefault="00AA7B24" w:rsidP="00AA7B24">
      <w:pPr>
        <w:pStyle w:val="Item"/>
      </w:pPr>
      <w:r>
        <w:t xml:space="preserve">Repeal the subsection, substitute: </w:t>
      </w:r>
    </w:p>
    <w:p w:rsidR="00AA7B24" w:rsidRPr="00B23C01" w:rsidRDefault="00AA7B24" w:rsidP="00AA7B24">
      <w:pPr>
        <w:pStyle w:val="zr20"/>
        <w:tabs>
          <w:tab w:val="left" w:pos="567"/>
        </w:tabs>
        <w:spacing w:before="240" w:beforeAutospacing="0" w:after="0" w:afterAutospacing="0"/>
        <w:ind w:left="993" w:hanging="993"/>
      </w:pPr>
      <w:r>
        <w:tab/>
        <w:t>(4)</w:t>
      </w:r>
      <w:r>
        <w:tab/>
        <w:t>At least 48 hours before the start of a fishing season, AFMA must give the holder of each quota statutory fishing right a notice stating</w:t>
      </w:r>
      <w:r w:rsidRPr="00B23C01">
        <w:t>:</w:t>
      </w:r>
    </w:p>
    <w:p w:rsidR="00AA7B24" w:rsidRDefault="00AA7B24" w:rsidP="00AA7B24">
      <w:pPr>
        <w:pStyle w:val="p10"/>
        <w:spacing w:before="0" w:beforeAutospacing="0" w:after="0" w:afterAutospacing="0"/>
        <w:ind w:left="1418" w:hanging="425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total allowable catch for the species to which the right relates for the fishing season; and</w:t>
      </w:r>
    </w:p>
    <w:p w:rsidR="00AA7B24" w:rsidRPr="00B23C01" w:rsidRDefault="00AA7B24" w:rsidP="00AA7B24">
      <w:pPr>
        <w:pStyle w:val="p10"/>
        <w:spacing w:before="0" w:beforeAutospacing="0" w:after="0" w:afterAutospacing="0"/>
        <w:ind w:left="993"/>
      </w:pPr>
      <w:r>
        <w:t xml:space="preserve">(b)  </w:t>
      </w:r>
      <w:proofErr w:type="gramStart"/>
      <w:r>
        <w:t>the</w:t>
      </w:r>
      <w:proofErr w:type="gramEnd"/>
      <w:r>
        <w:t xml:space="preserve"> quota allocated to the right for the fishing season.</w:t>
      </w:r>
    </w:p>
    <w:p w:rsidR="00AA7B24" w:rsidRDefault="00E44B04" w:rsidP="00AA7B24">
      <w:pPr>
        <w:pStyle w:val="ItemHead"/>
      </w:pPr>
      <w:proofErr w:type="gramStart"/>
      <w:r>
        <w:t xml:space="preserve">18  </w:t>
      </w:r>
      <w:r w:rsidR="00AA7B24">
        <w:t>Subsection</w:t>
      </w:r>
      <w:proofErr w:type="gramEnd"/>
      <w:r w:rsidR="00AA7B24">
        <w:t xml:space="preserve"> 28(1)</w:t>
      </w:r>
    </w:p>
    <w:p w:rsidR="00AA7B24" w:rsidRPr="00143555" w:rsidRDefault="00AA7B24" w:rsidP="00AA7B24">
      <w:pPr>
        <w:pStyle w:val="Item"/>
      </w:pPr>
      <w:r>
        <w:t xml:space="preserve">Repeal the subsection, substitute: </w:t>
      </w:r>
    </w:p>
    <w:p w:rsidR="00AA7B24" w:rsidRDefault="00AA7B24" w:rsidP="00AA7B24">
      <w:pPr>
        <w:pStyle w:val="R1"/>
      </w:pPr>
      <w:r>
        <w:tab/>
        <w:t>(1)</w:t>
      </w:r>
      <w:r>
        <w:tab/>
        <w:t>During a fishing season, AFMA may vary the total allowable catch for a species of scallop for the season.</w:t>
      </w:r>
    </w:p>
    <w:p w:rsidR="00AA7B24" w:rsidRDefault="00E44B04" w:rsidP="00AA7B24">
      <w:pPr>
        <w:pStyle w:val="ItemHead"/>
      </w:pPr>
      <w:proofErr w:type="gramStart"/>
      <w:r>
        <w:t xml:space="preserve">19  </w:t>
      </w:r>
      <w:r w:rsidR="00AA7B24">
        <w:t>Subsection</w:t>
      </w:r>
      <w:proofErr w:type="gramEnd"/>
      <w:r w:rsidR="00AA7B24">
        <w:t xml:space="preserve"> 28(5)</w:t>
      </w:r>
    </w:p>
    <w:p w:rsidR="00AA7B24" w:rsidRDefault="00AA7B24" w:rsidP="003D4FD3">
      <w:pPr>
        <w:pStyle w:val="Item"/>
      </w:pPr>
      <w:r>
        <w:t xml:space="preserve">Omit “year”, substitute “season”.  </w:t>
      </w:r>
    </w:p>
    <w:sectPr w:rsidR="00AA7B24" w:rsidSect="00B209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86" w:rsidRDefault="00571186" w:rsidP="0048364F">
      <w:pPr>
        <w:spacing w:line="240" w:lineRule="auto"/>
      </w:pPr>
      <w:r>
        <w:separator/>
      </w:r>
    </w:p>
  </w:endnote>
  <w:endnote w:type="continuationSeparator" w:id="0">
    <w:p w:rsidR="00571186" w:rsidRDefault="0057118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:rsidTr="00571186">
      <w:tc>
        <w:tcPr>
          <w:tcW w:w="5000" w:type="pct"/>
        </w:tcPr>
        <w:p w:rsidR="009278C1" w:rsidRDefault="009278C1" w:rsidP="00571186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571186">
      <w:tc>
        <w:tcPr>
          <w:tcW w:w="5000" w:type="pct"/>
        </w:tcPr>
        <w:p w:rsidR="00B20990" w:rsidRDefault="00B20990" w:rsidP="00571186">
          <w:pPr>
            <w:rPr>
              <w:sz w:val="18"/>
            </w:rPr>
          </w:pPr>
        </w:p>
      </w:tc>
    </w:tr>
  </w:tbl>
  <w:p w:rsidR="00B20990" w:rsidRPr="006D3667" w:rsidRDefault="00B20990" w:rsidP="00571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571186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571186">
      <w:tc>
        <w:tcPr>
          <w:tcW w:w="5000" w:type="pct"/>
        </w:tcPr>
        <w:p w:rsidR="00B20990" w:rsidRDefault="00B20990" w:rsidP="00571186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1C3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1C31">
            <w:rPr>
              <w:i/>
              <w:noProof/>
              <w:sz w:val="18"/>
            </w:rPr>
            <w:t>Bass Strait Central Zone Scallop Fishery Management Plan Amendment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1C31">
            <w:rPr>
              <w:i/>
              <w:noProof/>
              <w:sz w:val="18"/>
            </w:rPr>
            <w:t>Bass Strait Central Zone Scallop Fishery Management Plan Amendment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1C3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434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B434F">
            <w:rPr>
              <w:i/>
              <w:noProof/>
              <w:sz w:val="18"/>
            </w:rPr>
            <w:t>H:\- D&amp;MW\BassStrait\Scallops\Management Plan and Regulations\Amendments 2019\Att B EXPOSURE DRAFT - Amendment to the Bass Strait Central Zone Scallop Fishery Management Plan 2002.docx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81C31">
            <w:rPr>
              <w:i/>
              <w:noProof/>
              <w:sz w:val="18"/>
            </w:rPr>
            <w:t>12/9/2019 9:23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86" w:rsidRDefault="00571186" w:rsidP="0048364F">
      <w:pPr>
        <w:spacing w:line="240" w:lineRule="auto"/>
      </w:pPr>
      <w:r>
        <w:separator/>
      </w:r>
    </w:p>
  </w:footnote>
  <w:footnote w:type="continuationSeparator" w:id="0">
    <w:p w:rsidR="00571186" w:rsidRDefault="0057118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7C2" w:rsidRDefault="00570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FC4E8C"/>
    <w:multiLevelType w:val="hybridMultilevel"/>
    <w:tmpl w:val="6742C1F4"/>
    <w:lvl w:ilvl="0" w:tplc="26A299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EAA15DF"/>
    <w:multiLevelType w:val="hybridMultilevel"/>
    <w:tmpl w:val="343C324E"/>
    <w:lvl w:ilvl="0" w:tplc="C90C44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14"/>
    <w:rsid w:val="00000263"/>
    <w:rsid w:val="000113BC"/>
    <w:rsid w:val="000136AF"/>
    <w:rsid w:val="00037BD3"/>
    <w:rsid w:val="0004044E"/>
    <w:rsid w:val="0005120E"/>
    <w:rsid w:val="00054577"/>
    <w:rsid w:val="000614BF"/>
    <w:rsid w:val="00067AB3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10F4"/>
    <w:rsid w:val="00143555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29C1"/>
    <w:rsid w:val="001B7A5D"/>
    <w:rsid w:val="001C69C4"/>
    <w:rsid w:val="001D49D4"/>
    <w:rsid w:val="001E0A8D"/>
    <w:rsid w:val="001E3590"/>
    <w:rsid w:val="001E37D5"/>
    <w:rsid w:val="001E7407"/>
    <w:rsid w:val="001F1A46"/>
    <w:rsid w:val="00201D27"/>
    <w:rsid w:val="0021153A"/>
    <w:rsid w:val="002245A6"/>
    <w:rsid w:val="002302EA"/>
    <w:rsid w:val="00233357"/>
    <w:rsid w:val="00237614"/>
    <w:rsid w:val="00240749"/>
    <w:rsid w:val="00242F06"/>
    <w:rsid w:val="002468D7"/>
    <w:rsid w:val="00246FC5"/>
    <w:rsid w:val="00247E97"/>
    <w:rsid w:val="00256C81"/>
    <w:rsid w:val="00267D74"/>
    <w:rsid w:val="002749D2"/>
    <w:rsid w:val="002859BF"/>
    <w:rsid w:val="00285CDD"/>
    <w:rsid w:val="00291167"/>
    <w:rsid w:val="0029489E"/>
    <w:rsid w:val="00297ECB"/>
    <w:rsid w:val="002A6741"/>
    <w:rsid w:val="002C152A"/>
    <w:rsid w:val="002D043A"/>
    <w:rsid w:val="002E2BE4"/>
    <w:rsid w:val="002E7BC3"/>
    <w:rsid w:val="003063BB"/>
    <w:rsid w:val="0031713F"/>
    <w:rsid w:val="003222D1"/>
    <w:rsid w:val="00323719"/>
    <w:rsid w:val="0032750F"/>
    <w:rsid w:val="003415D3"/>
    <w:rsid w:val="003442F6"/>
    <w:rsid w:val="00346335"/>
    <w:rsid w:val="00352B0F"/>
    <w:rsid w:val="003561B0"/>
    <w:rsid w:val="00381C31"/>
    <w:rsid w:val="00397893"/>
    <w:rsid w:val="003A15AC"/>
    <w:rsid w:val="003B0627"/>
    <w:rsid w:val="003B434F"/>
    <w:rsid w:val="003C5F2B"/>
    <w:rsid w:val="003C7D35"/>
    <w:rsid w:val="003D0BFE"/>
    <w:rsid w:val="003D4FD3"/>
    <w:rsid w:val="003D5700"/>
    <w:rsid w:val="003F6F52"/>
    <w:rsid w:val="004022CA"/>
    <w:rsid w:val="00405694"/>
    <w:rsid w:val="004116CD"/>
    <w:rsid w:val="00414ADE"/>
    <w:rsid w:val="00415098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E2791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5014"/>
    <w:rsid w:val="00557C7A"/>
    <w:rsid w:val="00562A58"/>
    <w:rsid w:val="0056541A"/>
    <w:rsid w:val="005707C2"/>
    <w:rsid w:val="00571186"/>
    <w:rsid w:val="00576718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35E3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318B"/>
    <w:rsid w:val="00713084"/>
    <w:rsid w:val="00717463"/>
    <w:rsid w:val="00720FC2"/>
    <w:rsid w:val="00722E89"/>
    <w:rsid w:val="00731E00"/>
    <w:rsid w:val="007339C7"/>
    <w:rsid w:val="007440B7"/>
    <w:rsid w:val="00747993"/>
    <w:rsid w:val="00763342"/>
    <w:rsid w:val="007634AD"/>
    <w:rsid w:val="007715C9"/>
    <w:rsid w:val="00774EDD"/>
    <w:rsid w:val="007757EC"/>
    <w:rsid w:val="007A6863"/>
    <w:rsid w:val="007C78B4"/>
    <w:rsid w:val="007E22BC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5328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55AB"/>
    <w:rsid w:val="009278C1"/>
    <w:rsid w:val="00932377"/>
    <w:rsid w:val="009346E3"/>
    <w:rsid w:val="0094523D"/>
    <w:rsid w:val="00976A63"/>
    <w:rsid w:val="009B2490"/>
    <w:rsid w:val="009B421B"/>
    <w:rsid w:val="009B50E5"/>
    <w:rsid w:val="009C3431"/>
    <w:rsid w:val="009C5989"/>
    <w:rsid w:val="009C6A32"/>
    <w:rsid w:val="009D08DA"/>
    <w:rsid w:val="00A06860"/>
    <w:rsid w:val="00A136F5"/>
    <w:rsid w:val="00A22983"/>
    <w:rsid w:val="00A231E2"/>
    <w:rsid w:val="00A2550D"/>
    <w:rsid w:val="00A379BB"/>
    <w:rsid w:val="00A4169B"/>
    <w:rsid w:val="00A50D55"/>
    <w:rsid w:val="00A52FDA"/>
    <w:rsid w:val="00A64912"/>
    <w:rsid w:val="00A6596E"/>
    <w:rsid w:val="00A70A74"/>
    <w:rsid w:val="00A9231A"/>
    <w:rsid w:val="00A93118"/>
    <w:rsid w:val="00A95BC7"/>
    <w:rsid w:val="00AA0343"/>
    <w:rsid w:val="00AA78CE"/>
    <w:rsid w:val="00AA7B24"/>
    <w:rsid w:val="00AA7B26"/>
    <w:rsid w:val="00AC767C"/>
    <w:rsid w:val="00AD3467"/>
    <w:rsid w:val="00AD50F8"/>
    <w:rsid w:val="00AD5641"/>
    <w:rsid w:val="00AF33DB"/>
    <w:rsid w:val="00B032D8"/>
    <w:rsid w:val="00B05D72"/>
    <w:rsid w:val="00B118FB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02EC"/>
    <w:rsid w:val="00B770D2"/>
    <w:rsid w:val="00B93516"/>
    <w:rsid w:val="00B96776"/>
    <w:rsid w:val="00B973E5"/>
    <w:rsid w:val="00BA47A3"/>
    <w:rsid w:val="00BA5026"/>
    <w:rsid w:val="00BA7B5B"/>
    <w:rsid w:val="00BB6E79"/>
    <w:rsid w:val="00BC4931"/>
    <w:rsid w:val="00BE42C5"/>
    <w:rsid w:val="00BE4DA3"/>
    <w:rsid w:val="00BE719A"/>
    <w:rsid w:val="00BE720A"/>
    <w:rsid w:val="00BF0723"/>
    <w:rsid w:val="00BF6650"/>
    <w:rsid w:val="00C067E5"/>
    <w:rsid w:val="00C164CA"/>
    <w:rsid w:val="00C167C5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E6D95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1786"/>
    <w:rsid w:val="00DD7516"/>
    <w:rsid w:val="00DE149E"/>
    <w:rsid w:val="00DF7AAE"/>
    <w:rsid w:val="00E034DB"/>
    <w:rsid w:val="00E05704"/>
    <w:rsid w:val="00E12F1A"/>
    <w:rsid w:val="00E22935"/>
    <w:rsid w:val="00E44B04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26E1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3756"/>
    <w:rsid w:val="00F83FDB"/>
    <w:rsid w:val="00F84CF5"/>
    <w:rsid w:val="00F8612E"/>
    <w:rsid w:val="00F94583"/>
    <w:rsid w:val="00F9760E"/>
    <w:rsid w:val="00FA420B"/>
    <w:rsid w:val="00FA79FA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8880FA"/>
  <w15:docId w15:val="{D40161B9-CDFB-40C3-BFE7-B86B87B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R">
    <w:name w:val="HR"/>
    <w:aliases w:val="Regulation Heading"/>
    <w:basedOn w:val="Normal"/>
    <w:next w:val="Normal"/>
    <w:rsid w:val="00246FC5"/>
    <w:pPr>
      <w:keepNext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246FC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  <w:style w:type="paragraph" w:customStyle="1" w:styleId="P1">
    <w:name w:val="P1"/>
    <w:aliases w:val="(a)"/>
    <w:basedOn w:val="Normal"/>
    <w:rsid w:val="00246FC5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customStyle="1" w:styleId="definition0">
    <w:name w:val="definition"/>
    <w:basedOn w:val="Normal"/>
    <w:rsid w:val="00FA79FA"/>
    <w:pPr>
      <w:spacing w:before="80" w:line="260" w:lineRule="exact"/>
      <w:ind w:left="964"/>
      <w:jc w:val="both"/>
    </w:pPr>
    <w:rPr>
      <w:rFonts w:eastAsia="Times New Roman" w:cs="Times New Roman"/>
      <w:sz w:val="24"/>
      <w:szCs w:val="24"/>
    </w:rPr>
  </w:style>
  <w:style w:type="paragraph" w:customStyle="1" w:styleId="ZNote">
    <w:name w:val="ZNote"/>
    <w:basedOn w:val="Normal"/>
    <w:rsid w:val="005707C2"/>
    <w:pPr>
      <w:keepNext/>
      <w:spacing w:before="120" w:line="220" w:lineRule="exact"/>
      <w:ind w:left="964"/>
      <w:jc w:val="both"/>
    </w:pPr>
    <w:rPr>
      <w:rFonts w:eastAsia="Times New Roman" w:cs="Times New Roman"/>
      <w:sz w:val="20"/>
      <w:szCs w:val="24"/>
    </w:rPr>
  </w:style>
  <w:style w:type="paragraph" w:customStyle="1" w:styleId="Note">
    <w:name w:val="Note"/>
    <w:rsid w:val="002859BF"/>
    <w:pPr>
      <w:spacing w:before="120" w:line="220" w:lineRule="exact"/>
      <w:ind w:left="964"/>
      <w:jc w:val="both"/>
    </w:pPr>
    <w:rPr>
      <w:rFonts w:eastAsia="Times New Roman" w:cs="Times New Roman"/>
      <w:szCs w:val="24"/>
      <w:lang w:eastAsia="en-AU"/>
    </w:rPr>
  </w:style>
  <w:style w:type="paragraph" w:customStyle="1" w:styleId="ZR2">
    <w:name w:val="ZR2"/>
    <w:basedOn w:val="Normal"/>
    <w:rsid w:val="002859BF"/>
    <w:pPr>
      <w:keepNext/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  <w:style w:type="paragraph" w:customStyle="1" w:styleId="R2">
    <w:name w:val="R2"/>
    <w:aliases w:val="(2)"/>
    <w:basedOn w:val="Normal"/>
    <w:rsid w:val="002859BF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  <w:style w:type="paragraph" w:customStyle="1" w:styleId="p10">
    <w:name w:val="p1"/>
    <w:basedOn w:val="Normal"/>
    <w:rsid w:val="008653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zr20">
    <w:name w:val="zr2"/>
    <w:basedOn w:val="Normal"/>
    <w:rsid w:val="008653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MCKILLOP, Kylie</dc:creator>
  <cp:keywords/>
  <dc:description/>
  <cp:lastModifiedBy>NGUYEN-AULMANN, Summer</cp:lastModifiedBy>
  <cp:revision>3</cp:revision>
  <cp:lastPrinted>2019-07-04T01:29:00Z</cp:lastPrinted>
  <dcterms:created xsi:type="dcterms:W3CDTF">2019-09-02T04:34:00Z</dcterms:created>
  <dcterms:modified xsi:type="dcterms:W3CDTF">2019-09-11T23:33:00Z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f04b5053-fc63-4377-9e43-342a3d725773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ApplyMark">
    <vt:lpwstr>false</vt:lpwstr>
  </property>
</Properties>
</file>