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D9F4A" w14:textId="77777777" w:rsidR="00AA451F" w:rsidRPr="00A345A9" w:rsidRDefault="00AA451F" w:rsidP="009C23AC">
      <w:pPr>
        <w:spacing w:before="240" w:line="276" w:lineRule="auto"/>
        <w:jc w:val="center"/>
        <w:rPr>
          <w:b/>
          <w:sz w:val="22"/>
          <w:szCs w:val="22"/>
          <w:u w:val="single"/>
        </w:rPr>
      </w:pPr>
      <w:r w:rsidRPr="00A345A9">
        <w:rPr>
          <w:b/>
          <w:sz w:val="22"/>
          <w:szCs w:val="22"/>
          <w:u w:val="single"/>
        </w:rPr>
        <w:t>EXPLANATORY STATEMENT</w:t>
      </w:r>
    </w:p>
    <w:p w14:paraId="1A24D30B" w14:textId="77777777" w:rsidR="00AA451F" w:rsidRPr="00A345A9" w:rsidRDefault="00AA451F" w:rsidP="009C23AC">
      <w:pPr>
        <w:spacing w:before="240" w:line="276" w:lineRule="auto"/>
        <w:jc w:val="center"/>
        <w:rPr>
          <w:sz w:val="22"/>
          <w:szCs w:val="22"/>
          <w:lang w:eastAsia="en-US"/>
        </w:rPr>
      </w:pPr>
      <w:r w:rsidRPr="00A345A9">
        <w:rPr>
          <w:sz w:val="22"/>
          <w:szCs w:val="22"/>
          <w:lang w:eastAsia="en-US"/>
        </w:rPr>
        <w:t>Issued by</w:t>
      </w:r>
      <w:r w:rsidR="009C23AC">
        <w:rPr>
          <w:sz w:val="22"/>
          <w:szCs w:val="22"/>
          <w:lang w:eastAsia="en-US"/>
        </w:rPr>
        <w:t xml:space="preserve"> the Authority of</w:t>
      </w:r>
      <w:r w:rsidRPr="00A345A9">
        <w:rPr>
          <w:sz w:val="22"/>
          <w:szCs w:val="22"/>
          <w:lang w:eastAsia="en-US"/>
        </w:rPr>
        <w:t xml:space="preserve"> the Australian Fisheries Management Authority</w:t>
      </w:r>
    </w:p>
    <w:p w14:paraId="11C11BE6" w14:textId="77777777" w:rsidR="00AA451F" w:rsidRPr="00A345A9" w:rsidRDefault="00AA451F" w:rsidP="009C23AC">
      <w:pPr>
        <w:spacing w:before="240" w:line="276" w:lineRule="auto"/>
        <w:jc w:val="center"/>
        <w:rPr>
          <w:i/>
          <w:sz w:val="22"/>
          <w:szCs w:val="22"/>
          <w:lang w:eastAsia="en-US"/>
        </w:rPr>
      </w:pPr>
      <w:r w:rsidRPr="00A345A9">
        <w:rPr>
          <w:i/>
          <w:sz w:val="22"/>
          <w:szCs w:val="22"/>
          <w:lang w:eastAsia="en-US"/>
        </w:rPr>
        <w:t>Fisheries Management Act 1991</w:t>
      </w:r>
    </w:p>
    <w:p w14:paraId="3858044C" w14:textId="1D6A19D5" w:rsidR="00AA451F" w:rsidRPr="009C23AC" w:rsidRDefault="00AA451F" w:rsidP="009C23AC">
      <w:pPr>
        <w:shd w:val="clear" w:color="auto" w:fill="FFFFFF"/>
        <w:spacing w:before="240" w:after="480" w:line="276" w:lineRule="auto"/>
        <w:jc w:val="center"/>
        <w:rPr>
          <w:i/>
          <w:color w:val="000000"/>
          <w:sz w:val="22"/>
          <w:szCs w:val="22"/>
        </w:rPr>
      </w:pPr>
      <w:r w:rsidRPr="009C23AC">
        <w:rPr>
          <w:b/>
          <w:bCs/>
          <w:i/>
          <w:color w:val="000000"/>
          <w:sz w:val="22"/>
          <w:szCs w:val="22"/>
        </w:rPr>
        <w:t xml:space="preserve">Southern and Eastern </w:t>
      </w:r>
      <w:proofErr w:type="spellStart"/>
      <w:r w:rsidRPr="009C23AC">
        <w:rPr>
          <w:b/>
          <w:bCs/>
          <w:i/>
          <w:color w:val="000000"/>
          <w:sz w:val="22"/>
          <w:szCs w:val="22"/>
        </w:rPr>
        <w:t>Scalefish</w:t>
      </w:r>
      <w:proofErr w:type="spellEnd"/>
      <w:r w:rsidRPr="009C23AC">
        <w:rPr>
          <w:b/>
          <w:bCs/>
          <w:i/>
          <w:color w:val="000000"/>
          <w:sz w:val="22"/>
          <w:szCs w:val="22"/>
        </w:rPr>
        <w:t xml:space="preserve"> and S</w:t>
      </w:r>
      <w:r w:rsidR="009A1C3C">
        <w:rPr>
          <w:b/>
          <w:bCs/>
          <w:i/>
          <w:color w:val="000000"/>
          <w:sz w:val="22"/>
          <w:szCs w:val="22"/>
        </w:rPr>
        <w:t>hark Fishery (Closures</w:t>
      </w:r>
      <w:r w:rsidR="00CF059E">
        <w:rPr>
          <w:b/>
          <w:bCs/>
          <w:i/>
          <w:color w:val="000000"/>
          <w:sz w:val="22"/>
          <w:szCs w:val="22"/>
        </w:rPr>
        <w:t xml:space="preserve"> Variation</w:t>
      </w:r>
      <w:r w:rsidRPr="009C23AC">
        <w:rPr>
          <w:b/>
          <w:bCs/>
          <w:i/>
          <w:color w:val="000000"/>
          <w:sz w:val="22"/>
          <w:szCs w:val="22"/>
        </w:rPr>
        <w:t>)</w:t>
      </w:r>
      <w:r w:rsidR="009A1C3C">
        <w:rPr>
          <w:b/>
          <w:bCs/>
          <w:i/>
          <w:color w:val="000000"/>
          <w:sz w:val="22"/>
          <w:szCs w:val="22"/>
        </w:rPr>
        <w:t xml:space="preserve"> </w:t>
      </w:r>
      <w:r w:rsidRPr="009C23AC">
        <w:rPr>
          <w:b/>
          <w:bCs/>
          <w:i/>
          <w:color w:val="000000"/>
          <w:sz w:val="22"/>
          <w:szCs w:val="22"/>
        </w:rPr>
        <w:t xml:space="preserve">Direction </w:t>
      </w:r>
      <w:r w:rsidR="00BB5818">
        <w:rPr>
          <w:b/>
          <w:bCs/>
          <w:i/>
          <w:color w:val="000000"/>
          <w:sz w:val="22"/>
          <w:szCs w:val="22"/>
        </w:rPr>
        <w:t xml:space="preserve">(No. 2) </w:t>
      </w:r>
      <w:r w:rsidR="00A345A9" w:rsidRPr="009C23AC">
        <w:rPr>
          <w:b/>
          <w:bCs/>
          <w:i/>
          <w:color w:val="000000"/>
          <w:sz w:val="22"/>
          <w:szCs w:val="22"/>
        </w:rPr>
        <w:t>2019</w:t>
      </w:r>
    </w:p>
    <w:p w14:paraId="23A9A4DD" w14:textId="77777777" w:rsidR="00A845C9" w:rsidRPr="002C7401" w:rsidRDefault="00A845C9" w:rsidP="002C7401">
      <w:pPr>
        <w:spacing w:before="360" w:line="276" w:lineRule="auto"/>
        <w:rPr>
          <w:b/>
          <w:color w:val="000000"/>
          <w:sz w:val="22"/>
          <w:szCs w:val="22"/>
          <w:shd w:val="clear" w:color="auto" w:fill="FFFFFF"/>
        </w:rPr>
      </w:pPr>
      <w:r w:rsidRPr="002C7401">
        <w:rPr>
          <w:b/>
          <w:color w:val="000000"/>
          <w:sz w:val="22"/>
          <w:szCs w:val="22"/>
          <w:shd w:val="clear" w:color="auto" w:fill="FFFFFF"/>
        </w:rPr>
        <w:t>Authority</w:t>
      </w:r>
    </w:p>
    <w:p w14:paraId="3E26702D" w14:textId="77777777" w:rsidR="00AA451F" w:rsidRDefault="00AA451F" w:rsidP="000F79B0">
      <w:pPr>
        <w:spacing w:before="120" w:line="276" w:lineRule="auto"/>
        <w:ind w:right="-1"/>
        <w:rPr>
          <w:color w:val="000000"/>
          <w:sz w:val="22"/>
          <w:szCs w:val="22"/>
          <w:shd w:val="clear" w:color="auto" w:fill="FFFFFF"/>
        </w:rPr>
      </w:pPr>
      <w:r>
        <w:rPr>
          <w:color w:val="000000"/>
          <w:sz w:val="22"/>
          <w:szCs w:val="22"/>
          <w:shd w:val="clear" w:color="auto" w:fill="FFFFFF"/>
        </w:rPr>
        <w:t>Subsection 41A(2) of the</w:t>
      </w:r>
      <w:r>
        <w:rPr>
          <w:rStyle w:val="apple-converted-space"/>
          <w:color w:val="000000"/>
          <w:sz w:val="22"/>
          <w:szCs w:val="22"/>
          <w:shd w:val="clear" w:color="auto" w:fill="FFFFFF"/>
        </w:rPr>
        <w:t> </w:t>
      </w:r>
      <w:r>
        <w:rPr>
          <w:i/>
          <w:iCs/>
          <w:color w:val="000000"/>
          <w:sz w:val="22"/>
          <w:szCs w:val="22"/>
          <w:shd w:val="clear" w:color="auto" w:fill="FFFFFF"/>
        </w:rPr>
        <w:t>Fisheries Management Act 1991</w:t>
      </w:r>
      <w:r>
        <w:rPr>
          <w:rStyle w:val="apple-converted-space"/>
          <w:color w:val="000000"/>
          <w:sz w:val="22"/>
          <w:szCs w:val="22"/>
          <w:shd w:val="clear" w:color="auto" w:fill="FFFFFF"/>
        </w:rPr>
        <w:t> </w:t>
      </w:r>
      <w:r>
        <w:rPr>
          <w:color w:val="000000"/>
          <w:sz w:val="22"/>
          <w:szCs w:val="22"/>
          <w:shd w:val="clear" w:color="auto" w:fill="FFFFFF"/>
        </w:rPr>
        <w:t>(the Management Act) provides that the Australian Fisheries Manageme</w:t>
      </w:r>
      <w:r w:rsidR="00A345A9">
        <w:rPr>
          <w:color w:val="000000"/>
          <w:sz w:val="22"/>
          <w:szCs w:val="22"/>
          <w:shd w:val="clear" w:color="auto" w:fill="FFFFFF"/>
        </w:rPr>
        <w:t xml:space="preserve">nt Authority (AFMA) may, after meeting consultation requirements as set out in subsection </w:t>
      </w:r>
      <w:r>
        <w:rPr>
          <w:color w:val="000000"/>
          <w:sz w:val="22"/>
          <w:szCs w:val="22"/>
          <w:shd w:val="clear" w:color="auto" w:fill="FFFFFF"/>
        </w:rPr>
        <w:t>41A(2),</w:t>
      </w:r>
      <w:r w:rsidR="00C93E95">
        <w:rPr>
          <w:rStyle w:val="apple-converted-space"/>
          <w:color w:val="000000"/>
          <w:sz w:val="22"/>
          <w:szCs w:val="22"/>
          <w:shd w:val="clear" w:color="auto" w:fill="FFFFFF"/>
        </w:rPr>
        <w:t xml:space="preserve"> </w:t>
      </w:r>
      <w:r>
        <w:rPr>
          <w:color w:val="000000"/>
          <w:sz w:val="22"/>
          <w:szCs w:val="22"/>
          <w:shd w:val="clear" w:color="auto" w:fill="FFFFFF"/>
        </w:rPr>
        <w:t>direct that fishing is not to be engaged in</w:t>
      </w:r>
      <w:r w:rsidR="00A345A9">
        <w:rPr>
          <w:color w:val="000000"/>
          <w:sz w:val="22"/>
          <w:szCs w:val="22"/>
          <w:shd w:val="clear" w:color="auto" w:fill="FFFFFF"/>
        </w:rPr>
        <w:t xml:space="preserve"> in</w:t>
      </w:r>
      <w:r>
        <w:rPr>
          <w:color w:val="000000"/>
          <w:sz w:val="22"/>
          <w:szCs w:val="22"/>
          <w:shd w:val="clear" w:color="auto" w:fill="FFFFFF"/>
        </w:rPr>
        <w:t xml:space="preserve"> the fishery, or a particular part of the fishery, during a particular period or periods. </w:t>
      </w:r>
      <w:r w:rsidR="00A345A9">
        <w:rPr>
          <w:color w:val="000000"/>
          <w:sz w:val="22"/>
          <w:szCs w:val="22"/>
          <w:shd w:val="clear" w:color="auto" w:fill="FFFFFF"/>
        </w:rPr>
        <w:t xml:space="preserve"> A copy of a direction made by AFMA under subsection 41A(2) must be sent to each holder of a fishing concession, scientific permit or foreign master fishing licence to which the direction relates (see subsection 41A(2A) of the Management Act).  </w:t>
      </w:r>
    </w:p>
    <w:p w14:paraId="63AA4989" w14:textId="31B5BAE6" w:rsidR="00AA451F" w:rsidRDefault="00AA451F" w:rsidP="000F79B0">
      <w:pPr>
        <w:spacing w:before="120" w:line="276" w:lineRule="auto"/>
        <w:ind w:right="-1"/>
        <w:rPr>
          <w:color w:val="000000"/>
          <w:sz w:val="22"/>
          <w:szCs w:val="22"/>
          <w:shd w:val="clear" w:color="auto" w:fill="FFFFFF"/>
        </w:rPr>
      </w:pPr>
      <w:r>
        <w:rPr>
          <w:color w:val="000000"/>
          <w:sz w:val="22"/>
          <w:szCs w:val="22"/>
          <w:shd w:val="clear" w:color="auto" w:fill="FFFFFF"/>
        </w:rPr>
        <w:t xml:space="preserve">Subsection </w:t>
      </w:r>
      <w:proofErr w:type="gramStart"/>
      <w:r>
        <w:rPr>
          <w:color w:val="000000"/>
          <w:sz w:val="22"/>
          <w:szCs w:val="22"/>
          <w:shd w:val="clear" w:color="auto" w:fill="FFFFFF"/>
        </w:rPr>
        <w:t>41A(</w:t>
      </w:r>
      <w:proofErr w:type="gramEnd"/>
      <w:r>
        <w:rPr>
          <w:color w:val="000000"/>
          <w:sz w:val="22"/>
          <w:szCs w:val="22"/>
          <w:shd w:val="clear" w:color="auto" w:fill="FFFFFF"/>
        </w:rPr>
        <w:t xml:space="preserve">3) of the Management Act provides that AFMA may, at any time, by a further direction in writing, vary or revoke a direction given under subsection </w:t>
      </w:r>
      <w:r w:rsidR="00A345A9">
        <w:rPr>
          <w:color w:val="000000"/>
          <w:sz w:val="22"/>
          <w:szCs w:val="22"/>
          <w:shd w:val="clear" w:color="auto" w:fill="FFFFFF"/>
        </w:rPr>
        <w:t>41A</w:t>
      </w:r>
      <w:r>
        <w:rPr>
          <w:color w:val="000000"/>
          <w:sz w:val="22"/>
          <w:szCs w:val="22"/>
          <w:shd w:val="clear" w:color="auto" w:fill="FFFFFF"/>
        </w:rPr>
        <w:t>(2).  A direction given under subsection 41A(3) of the Management Act is not subject to the</w:t>
      </w:r>
      <w:r w:rsidR="00A465A2">
        <w:rPr>
          <w:color w:val="000000"/>
          <w:sz w:val="22"/>
          <w:szCs w:val="22"/>
          <w:shd w:val="clear" w:color="auto" w:fill="FFFFFF"/>
        </w:rPr>
        <w:t xml:space="preserve"> requirements for</w:t>
      </w:r>
      <w:r>
        <w:rPr>
          <w:color w:val="000000"/>
          <w:sz w:val="22"/>
          <w:szCs w:val="22"/>
          <w:shd w:val="clear" w:color="auto" w:fill="FFFFFF"/>
        </w:rPr>
        <w:t xml:space="preserve"> </w:t>
      </w:r>
      <w:r w:rsidR="00A345A9">
        <w:rPr>
          <w:color w:val="000000"/>
          <w:sz w:val="22"/>
          <w:szCs w:val="22"/>
          <w:shd w:val="clear" w:color="auto" w:fill="FFFFFF"/>
        </w:rPr>
        <w:t>consultation</w:t>
      </w:r>
      <w:r>
        <w:rPr>
          <w:color w:val="000000"/>
          <w:sz w:val="22"/>
          <w:szCs w:val="22"/>
          <w:shd w:val="clear" w:color="auto" w:fill="FFFFFF"/>
        </w:rPr>
        <w:t xml:space="preserve"> </w:t>
      </w:r>
      <w:r w:rsidR="00A345A9">
        <w:rPr>
          <w:color w:val="000000"/>
          <w:sz w:val="22"/>
          <w:szCs w:val="22"/>
          <w:shd w:val="clear" w:color="auto" w:fill="FFFFFF"/>
        </w:rPr>
        <w:t xml:space="preserve">set out in subsection 41A(2) and </w:t>
      </w:r>
      <w:proofErr w:type="gramStart"/>
      <w:r w:rsidR="00A345A9">
        <w:rPr>
          <w:color w:val="000000"/>
          <w:sz w:val="22"/>
          <w:szCs w:val="22"/>
          <w:shd w:val="clear" w:color="auto" w:fill="FFFFFF"/>
        </w:rPr>
        <w:t>notification</w:t>
      </w:r>
      <w:proofErr w:type="gramEnd"/>
      <w:r w:rsidR="00A345A9">
        <w:rPr>
          <w:color w:val="000000"/>
          <w:sz w:val="22"/>
          <w:szCs w:val="22"/>
          <w:shd w:val="clear" w:color="auto" w:fill="FFFFFF"/>
        </w:rPr>
        <w:t xml:space="preserve"> set out in subsection 41A(2A).  </w:t>
      </w:r>
      <w:r w:rsidR="00A465A2">
        <w:rPr>
          <w:color w:val="000000"/>
          <w:sz w:val="22"/>
          <w:szCs w:val="22"/>
          <w:shd w:val="clear" w:color="auto" w:fill="FFFFFF"/>
        </w:rPr>
        <w:t xml:space="preserve">Directions made under section 41A, and directions varying or revoking them, are legislative instruments (subsection </w:t>
      </w:r>
      <w:proofErr w:type="gramStart"/>
      <w:r w:rsidR="00A465A2">
        <w:rPr>
          <w:color w:val="000000"/>
          <w:sz w:val="22"/>
          <w:szCs w:val="22"/>
          <w:shd w:val="clear" w:color="auto" w:fill="FFFFFF"/>
        </w:rPr>
        <w:t>41A(</w:t>
      </w:r>
      <w:proofErr w:type="gramEnd"/>
      <w:r w:rsidR="00A465A2">
        <w:rPr>
          <w:color w:val="000000"/>
          <w:sz w:val="22"/>
          <w:szCs w:val="22"/>
          <w:shd w:val="clear" w:color="auto" w:fill="FFFFFF"/>
        </w:rPr>
        <w:t>5)).</w:t>
      </w:r>
    </w:p>
    <w:p w14:paraId="5A961C98" w14:textId="10132B01" w:rsidR="00AA451F" w:rsidRDefault="00EC6927" w:rsidP="000F79B0">
      <w:pPr>
        <w:shd w:val="clear" w:color="auto" w:fill="FFFFFF"/>
        <w:spacing w:before="180" w:line="276" w:lineRule="auto"/>
        <w:rPr>
          <w:color w:val="000000"/>
          <w:sz w:val="22"/>
          <w:szCs w:val="22"/>
        </w:rPr>
      </w:pPr>
      <w:r w:rsidRPr="00995ED0">
        <w:rPr>
          <w:color w:val="000000"/>
          <w:sz w:val="22"/>
          <w:szCs w:val="22"/>
          <w:shd w:val="clear" w:color="auto" w:fill="FFFFFF"/>
        </w:rPr>
        <w:t>Subsection 33(3) of the </w:t>
      </w:r>
      <w:r w:rsidRPr="00995ED0">
        <w:rPr>
          <w:i/>
          <w:color w:val="000000"/>
          <w:sz w:val="22"/>
          <w:szCs w:val="22"/>
          <w:shd w:val="clear" w:color="auto" w:fill="FFFFFF"/>
        </w:rPr>
        <w:t>Acts Interpretation Act 1901</w:t>
      </w:r>
      <w:proofErr w:type="gramStart"/>
      <w:r w:rsidRPr="00995ED0">
        <w:rPr>
          <w:color w:val="000000"/>
          <w:sz w:val="22"/>
          <w:szCs w:val="22"/>
          <w:shd w:val="clear" w:color="auto" w:fill="FFFFFF"/>
        </w:rPr>
        <w:t>  provides</w:t>
      </w:r>
      <w:proofErr w:type="gramEnd"/>
      <w:r w:rsidRPr="00995ED0">
        <w:rPr>
          <w:color w:val="000000"/>
          <w:sz w:val="22"/>
          <w:szCs w:val="22"/>
          <w:shd w:val="clear" w:color="auto" w:fill="FFFFFF"/>
        </w:rPr>
        <w:t xml:space="preserve">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B5818">
        <w:rPr>
          <w:color w:val="000000"/>
          <w:sz w:val="22"/>
          <w:szCs w:val="22"/>
          <w:shd w:val="clear" w:color="auto" w:fill="FFFFFF"/>
        </w:rPr>
        <w:t xml:space="preserve">  It is necessary to rely on this power to support the repeal of the </w:t>
      </w:r>
      <w:r w:rsidR="00BB5818" w:rsidRPr="00BB5818">
        <w:rPr>
          <w:i/>
          <w:color w:val="000000"/>
          <w:sz w:val="22"/>
          <w:szCs w:val="22"/>
          <w:shd w:val="clear" w:color="auto" w:fill="FFFFFF"/>
        </w:rPr>
        <w:t xml:space="preserve">Southern and Eastern </w:t>
      </w:r>
      <w:proofErr w:type="spellStart"/>
      <w:r w:rsidR="00BB5818" w:rsidRPr="00BB5818">
        <w:rPr>
          <w:i/>
          <w:color w:val="000000"/>
          <w:sz w:val="22"/>
          <w:szCs w:val="22"/>
          <w:shd w:val="clear" w:color="auto" w:fill="FFFFFF"/>
        </w:rPr>
        <w:t>Scalefish</w:t>
      </w:r>
      <w:proofErr w:type="spellEnd"/>
      <w:r w:rsidR="00BB5818" w:rsidRPr="00BB5818">
        <w:rPr>
          <w:i/>
          <w:color w:val="000000"/>
          <w:sz w:val="22"/>
          <w:szCs w:val="22"/>
          <w:shd w:val="clear" w:color="auto" w:fill="FFFFFF"/>
        </w:rPr>
        <w:t xml:space="preserve"> and Shark Fishery (Closures Variation) Direction 2019</w:t>
      </w:r>
      <w:r w:rsidR="00BB5818">
        <w:rPr>
          <w:color w:val="000000"/>
          <w:sz w:val="22"/>
          <w:szCs w:val="22"/>
          <w:shd w:val="clear" w:color="auto" w:fill="FFFFFF"/>
        </w:rPr>
        <w:t xml:space="preserve"> (the Variation Direction).</w:t>
      </w:r>
      <w:r w:rsidR="00A345A9">
        <w:rPr>
          <w:color w:val="000000"/>
          <w:sz w:val="22"/>
          <w:szCs w:val="22"/>
        </w:rPr>
        <w:t xml:space="preserve">The </w:t>
      </w:r>
      <w:r w:rsidR="00A345A9">
        <w:rPr>
          <w:i/>
          <w:color w:val="000000"/>
          <w:sz w:val="22"/>
          <w:szCs w:val="22"/>
        </w:rPr>
        <w:t xml:space="preserve">Southern and Eastern </w:t>
      </w:r>
      <w:proofErr w:type="spellStart"/>
      <w:r w:rsidR="00A345A9">
        <w:rPr>
          <w:i/>
          <w:color w:val="000000"/>
          <w:sz w:val="22"/>
          <w:szCs w:val="22"/>
        </w:rPr>
        <w:t>Scalefish</w:t>
      </w:r>
      <w:proofErr w:type="spellEnd"/>
      <w:r w:rsidR="00A345A9">
        <w:rPr>
          <w:i/>
          <w:color w:val="000000"/>
          <w:sz w:val="22"/>
          <w:szCs w:val="22"/>
        </w:rPr>
        <w:t xml:space="preserve"> and Shark Fishery (Closures) Direction No. 2 2015</w:t>
      </w:r>
      <w:r w:rsidR="00A345A9">
        <w:rPr>
          <w:color w:val="000000"/>
          <w:sz w:val="22"/>
          <w:szCs w:val="22"/>
        </w:rPr>
        <w:t xml:space="preserve"> (the</w:t>
      </w:r>
      <w:r w:rsidR="00F46D0D">
        <w:rPr>
          <w:color w:val="000000"/>
          <w:sz w:val="22"/>
          <w:szCs w:val="22"/>
        </w:rPr>
        <w:t xml:space="preserve"> Closures</w:t>
      </w:r>
      <w:r w:rsidR="00A345A9">
        <w:rPr>
          <w:color w:val="000000"/>
          <w:sz w:val="22"/>
          <w:szCs w:val="22"/>
        </w:rPr>
        <w:t xml:space="preserve"> Direction) was made on 6 May 2015 under subsection 41A(2) of the Management Act.  </w:t>
      </w:r>
      <w:r w:rsidR="00AA451F">
        <w:rPr>
          <w:color w:val="000000"/>
          <w:sz w:val="22"/>
          <w:szCs w:val="22"/>
        </w:rPr>
        <w:t xml:space="preserve">The </w:t>
      </w:r>
      <w:r w:rsidR="00A345A9">
        <w:rPr>
          <w:color w:val="000000"/>
          <w:sz w:val="22"/>
          <w:szCs w:val="22"/>
        </w:rPr>
        <w:t xml:space="preserve">Variation </w:t>
      </w:r>
      <w:r w:rsidR="00AA451F">
        <w:rPr>
          <w:color w:val="000000"/>
          <w:sz w:val="22"/>
          <w:szCs w:val="22"/>
        </w:rPr>
        <w:t>Direction</w:t>
      </w:r>
      <w:r w:rsidR="00AA451F" w:rsidRPr="00222E4C">
        <w:rPr>
          <w:color w:val="000000"/>
          <w:sz w:val="22"/>
          <w:szCs w:val="22"/>
        </w:rPr>
        <w:t xml:space="preserve"> </w:t>
      </w:r>
      <w:r w:rsidR="00A345A9">
        <w:rPr>
          <w:color w:val="000000"/>
          <w:sz w:val="22"/>
          <w:szCs w:val="22"/>
        </w:rPr>
        <w:t>varie</w:t>
      </w:r>
      <w:r w:rsidR="00F46D0D">
        <w:rPr>
          <w:color w:val="000000"/>
          <w:sz w:val="22"/>
          <w:szCs w:val="22"/>
        </w:rPr>
        <w:t>d</w:t>
      </w:r>
      <w:r w:rsidR="00A345A9">
        <w:rPr>
          <w:color w:val="000000"/>
          <w:sz w:val="22"/>
          <w:szCs w:val="22"/>
        </w:rPr>
        <w:t xml:space="preserve"> the </w:t>
      </w:r>
      <w:r w:rsidR="00F46D0D">
        <w:rPr>
          <w:color w:val="000000"/>
          <w:sz w:val="22"/>
          <w:szCs w:val="22"/>
        </w:rPr>
        <w:t xml:space="preserve">Closures </w:t>
      </w:r>
      <w:r w:rsidR="00A345A9">
        <w:rPr>
          <w:color w:val="000000"/>
          <w:sz w:val="22"/>
          <w:szCs w:val="22"/>
        </w:rPr>
        <w:t xml:space="preserve">Direction under subsection </w:t>
      </w:r>
      <w:proofErr w:type="gramStart"/>
      <w:r w:rsidR="00A345A9">
        <w:rPr>
          <w:color w:val="000000"/>
          <w:sz w:val="22"/>
          <w:szCs w:val="22"/>
        </w:rPr>
        <w:t>41A(</w:t>
      </w:r>
      <w:proofErr w:type="gramEnd"/>
      <w:r w:rsidR="00A345A9">
        <w:rPr>
          <w:color w:val="000000"/>
          <w:sz w:val="22"/>
          <w:szCs w:val="22"/>
        </w:rPr>
        <w:t>3) of the Management Act</w:t>
      </w:r>
      <w:r w:rsidR="00C93E95">
        <w:rPr>
          <w:color w:val="000000"/>
          <w:sz w:val="22"/>
          <w:szCs w:val="22"/>
        </w:rPr>
        <w:t>.</w:t>
      </w:r>
      <w:r w:rsidR="00C93E95">
        <w:t xml:space="preserve">  </w:t>
      </w:r>
      <w:r w:rsidR="00F46D0D">
        <w:t xml:space="preserve">The </w:t>
      </w:r>
      <w:r w:rsidR="00F46D0D" w:rsidRPr="002C7401">
        <w:rPr>
          <w:i/>
          <w:color w:val="000000"/>
          <w:sz w:val="22"/>
          <w:szCs w:val="22"/>
        </w:rPr>
        <w:t xml:space="preserve">Southern and Eastern </w:t>
      </w:r>
      <w:proofErr w:type="spellStart"/>
      <w:r w:rsidR="00F46D0D" w:rsidRPr="002C7401">
        <w:rPr>
          <w:i/>
          <w:color w:val="000000"/>
          <w:sz w:val="22"/>
          <w:szCs w:val="22"/>
        </w:rPr>
        <w:t>Scalefish</w:t>
      </w:r>
      <w:proofErr w:type="spellEnd"/>
      <w:r w:rsidR="00F46D0D" w:rsidRPr="002C7401">
        <w:rPr>
          <w:i/>
          <w:color w:val="000000"/>
          <w:sz w:val="22"/>
          <w:szCs w:val="22"/>
        </w:rPr>
        <w:t xml:space="preserve"> and Shark Fishery (Closures Variation) Direction</w:t>
      </w:r>
      <w:r w:rsidR="00E867BF">
        <w:rPr>
          <w:i/>
          <w:color w:val="000000"/>
          <w:sz w:val="22"/>
          <w:szCs w:val="22"/>
        </w:rPr>
        <w:t xml:space="preserve"> (No. 2)</w:t>
      </w:r>
      <w:r w:rsidR="00F46D0D" w:rsidRPr="002C7401">
        <w:rPr>
          <w:i/>
          <w:color w:val="000000"/>
          <w:sz w:val="22"/>
          <w:szCs w:val="22"/>
        </w:rPr>
        <w:t xml:space="preserve"> 2019</w:t>
      </w:r>
      <w:r w:rsidR="00F46D0D">
        <w:rPr>
          <w:color w:val="000000"/>
          <w:sz w:val="22"/>
          <w:szCs w:val="22"/>
        </w:rPr>
        <w:t xml:space="preserve"> (the </w:t>
      </w:r>
      <w:r w:rsidR="00F46D0D" w:rsidRPr="00E867BF">
        <w:rPr>
          <w:color w:val="000000"/>
          <w:sz w:val="22"/>
          <w:szCs w:val="22"/>
        </w:rPr>
        <w:t>Repeal Direction</w:t>
      </w:r>
      <w:r w:rsidR="00F46D0D">
        <w:rPr>
          <w:color w:val="000000"/>
          <w:sz w:val="22"/>
          <w:szCs w:val="22"/>
        </w:rPr>
        <w:t>) repeals the Variation Direction</w:t>
      </w:r>
      <w:r w:rsidR="00C93E95" w:rsidRPr="00C93E95">
        <w:rPr>
          <w:color w:val="000000"/>
          <w:sz w:val="22"/>
          <w:szCs w:val="22"/>
        </w:rPr>
        <w:t xml:space="preserve"> </w:t>
      </w:r>
      <w:r w:rsidR="00C93E95">
        <w:rPr>
          <w:color w:val="000000"/>
          <w:sz w:val="22"/>
          <w:szCs w:val="22"/>
        </w:rPr>
        <w:t xml:space="preserve">and </w:t>
      </w:r>
      <w:r w:rsidR="008B4768">
        <w:rPr>
          <w:color w:val="000000"/>
          <w:sz w:val="22"/>
          <w:szCs w:val="22"/>
        </w:rPr>
        <w:t xml:space="preserve">revives clause 7 </w:t>
      </w:r>
      <w:r w:rsidR="00DE3281">
        <w:rPr>
          <w:color w:val="000000"/>
          <w:sz w:val="22"/>
          <w:szCs w:val="22"/>
        </w:rPr>
        <w:t xml:space="preserve">as it applied before </w:t>
      </w:r>
      <w:r w:rsidR="008B4768">
        <w:rPr>
          <w:color w:val="000000"/>
          <w:sz w:val="22"/>
          <w:szCs w:val="22"/>
        </w:rPr>
        <w:t xml:space="preserve">the Variation Direction </w:t>
      </w:r>
      <w:r w:rsidR="00DE3281">
        <w:rPr>
          <w:color w:val="000000"/>
          <w:sz w:val="22"/>
          <w:szCs w:val="22"/>
        </w:rPr>
        <w:t>was made (i</w:t>
      </w:r>
      <w:r w:rsidR="00297C97">
        <w:rPr>
          <w:color w:val="000000"/>
          <w:sz w:val="22"/>
          <w:szCs w:val="22"/>
        </w:rPr>
        <w:t>.</w:t>
      </w:r>
      <w:r w:rsidR="00DE3281">
        <w:rPr>
          <w:color w:val="000000"/>
          <w:sz w:val="22"/>
          <w:szCs w:val="22"/>
        </w:rPr>
        <w:t>e</w:t>
      </w:r>
      <w:r w:rsidR="00297C97">
        <w:rPr>
          <w:color w:val="000000"/>
          <w:sz w:val="22"/>
          <w:szCs w:val="22"/>
        </w:rPr>
        <w:t>.</w:t>
      </w:r>
      <w:r w:rsidR="00DE3281">
        <w:rPr>
          <w:color w:val="000000"/>
          <w:sz w:val="22"/>
          <w:szCs w:val="22"/>
        </w:rPr>
        <w:t xml:space="preserve"> reinstates the </w:t>
      </w:r>
      <w:r w:rsidR="00BB5818">
        <w:rPr>
          <w:color w:val="000000"/>
          <w:sz w:val="22"/>
          <w:szCs w:val="22"/>
        </w:rPr>
        <w:t xml:space="preserve">affected clause of the </w:t>
      </w:r>
      <w:r w:rsidR="00DE3281">
        <w:rPr>
          <w:color w:val="000000"/>
          <w:sz w:val="22"/>
          <w:szCs w:val="22"/>
        </w:rPr>
        <w:t>Closures Direction)</w:t>
      </w:r>
      <w:r w:rsidR="008B4768">
        <w:rPr>
          <w:color w:val="000000"/>
          <w:sz w:val="22"/>
          <w:szCs w:val="22"/>
        </w:rPr>
        <w:t xml:space="preserve">. The </w:t>
      </w:r>
      <w:r w:rsidR="008B4768" w:rsidRPr="00E867BF">
        <w:rPr>
          <w:color w:val="000000"/>
          <w:sz w:val="22"/>
          <w:szCs w:val="22"/>
        </w:rPr>
        <w:t>Repeal Direction</w:t>
      </w:r>
      <w:r w:rsidR="008B4768">
        <w:rPr>
          <w:color w:val="000000"/>
          <w:sz w:val="22"/>
          <w:szCs w:val="22"/>
        </w:rPr>
        <w:t xml:space="preserve"> </w:t>
      </w:r>
      <w:r w:rsidR="00C93E95">
        <w:rPr>
          <w:color w:val="000000"/>
          <w:sz w:val="22"/>
          <w:szCs w:val="22"/>
        </w:rPr>
        <w:t>is</w:t>
      </w:r>
      <w:r w:rsidR="00C93E95" w:rsidRPr="00222E4C">
        <w:rPr>
          <w:color w:val="000000"/>
          <w:sz w:val="22"/>
          <w:szCs w:val="22"/>
        </w:rPr>
        <w:t xml:space="preserve"> a legislative instrument for the purposes of the </w:t>
      </w:r>
      <w:r w:rsidR="00C93E95">
        <w:rPr>
          <w:i/>
          <w:iCs/>
          <w:color w:val="000000"/>
          <w:sz w:val="22"/>
          <w:szCs w:val="22"/>
        </w:rPr>
        <w:t>Legislation</w:t>
      </w:r>
      <w:r w:rsidR="00C93E95" w:rsidRPr="00222E4C">
        <w:rPr>
          <w:i/>
          <w:iCs/>
          <w:color w:val="000000"/>
          <w:sz w:val="22"/>
          <w:szCs w:val="22"/>
        </w:rPr>
        <w:t xml:space="preserve"> Act 2003</w:t>
      </w:r>
      <w:r w:rsidR="00F46D0D">
        <w:rPr>
          <w:color w:val="000000"/>
          <w:sz w:val="22"/>
          <w:szCs w:val="22"/>
        </w:rPr>
        <w:t>.</w:t>
      </w:r>
    </w:p>
    <w:p w14:paraId="4BD3C830" w14:textId="77777777" w:rsidR="00AA451F" w:rsidRPr="00A345A9" w:rsidRDefault="00AA451F" w:rsidP="000F79B0">
      <w:pPr>
        <w:spacing w:before="360" w:line="276" w:lineRule="auto"/>
        <w:rPr>
          <w:b/>
          <w:color w:val="000000"/>
          <w:sz w:val="22"/>
          <w:szCs w:val="22"/>
          <w:shd w:val="clear" w:color="auto" w:fill="FFFFFF"/>
        </w:rPr>
      </w:pPr>
      <w:r w:rsidRPr="00A345A9">
        <w:rPr>
          <w:b/>
          <w:color w:val="000000"/>
          <w:sz w:val="22"/>
          <w:szCs w:val="22"/>
          <w:shd w:val="clear" w:color="auto" w:fill="FFFFFF"/>
        </w:rPr>
        <w:t>The Fishery</w:t>
      </w:r>
    </w:p>
    <w:p w14:paraId="16B3B288" w14:textId="77777777" w:rsidR="00AA451F" w:rsidRPr="00A345A9" w:rsidRDefault="00AA451F"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 xml:space="preserve">The Southern and Eastern </w:t>
      </w:r>
      <w:proofErr w:type="spellStart"/>
      <w:r w:rsidRPr="00A345A9">
        <w:rPr>
          <w:color w:val="000000"/>
          <w:sz w:val="22"/>
          <w:szCs w:val="22"/>
          <w:shd w:val="clear" w:color="auto" w:fill="FFFFFF"/>
        </w:rPr>
        <w:t>Scalefish</w:t>
      </w:r>
      <w:proofErr w:type="spellEnd"/>
      <w:r w:rsidR="00B705D8" w:rsidRPr="00A345A9">
        <w:rPr>
          <w:color w:val="000000"/>
          <w:sz w:val="22"/>
          <w:szCs w:val="22"/>
          <w:shd w:val="clear" w:color="auto" w:fill="FFFFFF"/>
        </w:rPr>
        <w:t xml:space="preserve"> and Shark Fishery (</w:t>
      </w:r>
      <w:r w:rsidRPr="00A345A9">
        <w:rPr>
          <w:color w:val="000000"/>
          <w:sz w:val="22"/>
          <w:szCs w:val="22"/>
          <w:shd w:val="clear" w:color="auto" w:fill="FFFFFF"/>
        </w:rPr>
        <w:t xml:space="preserve">the fishery) covers the area of waters from approximately 80 nautical miles off the coast near Fraser Island in Queensland, south around Tasmania and west to Cape Leeuwin in Western Australia. </w:t>
      </w:r>
      <w:r w:rsidR="00A345A9">
        <w:rPr>
          <w:color w:val="000000"/>
          <w:sz w:val="22"/>
          <w:szCs w:val="22"/>
          <w:shd w:val="clear" w:color="auto" w:fill="FFFFFF"/>
        </w:rPr>
        <w:t xml:space="preserve"> </w:t>
      </w:r>
      <w:r w:rsidRPr="00A345A9">
        <w:rPr>
          <w:color w:val="000000"/>
          <w:sz w:val="22"/>
          <w:szCs w:val="22"/>
          <w:shd w:val="clear" w:color="auto" w:fill="FFFFFF"/>
        </w:rPr>
        <w:t xml:space="preserve">The area of the fishery encompasses almost half of the waters within the Australian Fishing Zone. </w:t>
      </w:r>
      <w:r w:rsidR="00A345A9">
        <w:rPr>
          <w:color w:val="000000"/>
          <w:sz w:val="22"/>
          <w:szCs w:val="22"/>
          <w:shd w:val="clear" w:color="auto" w:fill="FFFFFF"/>
        </w:rPr>
        <w:t xml:space="preserve"> </w:t>
      </w:r>
      <w:r w:rsidRPr="00A345A9">
        <w:rPr>
          <w:color w:val="000000"/>
          <w:sz w:val="22"/>
          <w:szCs w:val="22"/>
          <w:shd w:val="clear" w:color="auto" w:fill="FFFFFF"/>
        </w:rPr>
        <w:t xml:space="preserve">The fishery operates in both Commonwealth and state waters under complex jurisdictional arrangements, </w:t>
      </w:r>
      <w:r w:rsidR="00A345A9">
        <w:rPr>
          <w:color w:val="000000"/>
          <w:sz w:val="22"/>
          <w:szCs w:val="22"/>
          <w:shd w:val="clear" w:color="auto" w:fill="FFFFFF"/>
        </w:rPr>
        <w:t>as a number of arrangements under Part 5 of the Management Act have been made to provide for the Commonwealth to exercise jurisdiction in State waters</w:t>
      </w:r>
      <w:r w:rsidRPr="00A345A9">
        <w:rPr>
          <w:color w:val="000000"/>
          <w:sz w:val="22"/>
          <w:szCs w:val="22"/>
          <w:shd w:val="clear" w:color="auto" w:fill="FFFFFF"/>
        </w:rPr>
        <w:t>.</w:t>
      </w:r>
    </w:p>
    <w:p w14:paraId="06D4BDC3" w14:textId="77777777" w:rsidR="00AA451F" w:rsidRDefault="00AA451F"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 xml:space="preserve">The fishery is </w:t>
      </w:r>
      <w:r w:rsidR="00A345A9">
        <w:rPr>
          <w:color w:val="000000"/>
          <w:sz w:val="22"/>
          <w:szCs w:val="22"/>
          <w:shd w:val="clear" w:color="auto" w:fill="FFFFFF"/>
        </w:rPr>
        <w:t xml:space="preserve">primarily </w:t>
      </w:r>
      <w:r w:rsidRPr="00A345A9">
        <w:rPr>
          <w:color w:val="000000"/>
          <w:sz w:val="22"/>
          <w:szCs w:val="22"/>
          <w:shd w:val="clear" w:color="auto" w:fill="FFFFFF"/>
        </w:rPr>
        <w:t xml:space="preserve">managed under the </w:t>
      </w:r>
      <w:r w:rsidRPr="00A345A9">
        <w:rPr>
          <w:i/>
          <w:color w:val="000000"/>
          <w:sz w:val="22"/>
          <w:szCs w:val="22"/>
          <w:shd w:val="clear" w:color="auto" w:fill="FFFFFF"/>
        </w:rPr>
        <w:t xml:space="preserve">Southern and Eastern </w:t>
      </w:r>
      <w:proofErr w:type="spellStart"/>
      <w:r w:rsidRPr="00A345A9">
        <w:rPr>
          <w:i/>
          <w:color w:val="000000"/>
          <w:sz w:val="22"/>
          <w:szCs w:val="22"/>
          <w:shd w:val="clear" w:color="auto" w:fill="FFFFFF"/>
        </w:rPr>
        <w:t>Scalefish</w:t>
      </w:r>
      <w:proofErr w:type="spellEnd"/>
      <w:r w:rsidRPr="00A345A9">
        <w:rPr>
          <w:i/>
          <w:color w:val="000000"/>
          <w:sz w:val="22"/>
          <w:szCs w:val="22"/>
          <w:shd w:val="clear" w:color="auto" w:fill="FFFFFF"/>
        </w:rPr>
        <w:t xml:space="preserve"> and Shark Fishery Management Plan 2003</w:t>
      </w:r>
      <w:r w:rsidRPr="00A345A9">
        <w:rPr>
          <w:color w:val="000000"/>
          <w:sz w:val="22"/>
          <w:szCs w:val="22"/>
          <w:shd w:val="clear" w:color="auto" w:fill="FFFFFF"/>
        </w:rPr>
        <w:t xml:space="preserve"> (the Plan), in force under section 17 of the Management Act, </w:t>
      </w:r>
      <w:r w:rsidR="00A345A9">
        <w:rPr>
          <w:color w:val="000000"/>
          <w:sz w:val="22"/>
          <w:szCs w:val="22"/>
          <w:shd w:val="clear" w:color="auto" w:fill="FFFFFF"/>
        </w:rPr>
        <w:t>which establishes</w:t>
      </w:r>
      <w:r w:rsidRPr="00A345A9">
        <w:rPr>
          <w:color w:val="000000"/>
          <w:sz w:val="22"/>
          <w:szCs w:val="22"/>
          <w:shd w:val="clear" w:color="auto" w:fill="FFFFFF"/>
        </w:rPr>
        <w:t xml:space="preserve"> output controls in the form of Total Allowable Catch (TAC) limits. Input controls used include a limit on the number of boats </w:t>
      </w:r>
      <w:r w:rsidRPr="00A345A9">
        <w:rPr>
          <w:color w:val="000000"/>
          <w:sz w:val="22"/>
          <w:szCs w:val="22"/>
          <w:shd w:val="clear" w:color="auto" w:fill="FFFFFF"/>
        </w:rPr>
        <w:lastRenderedPageBreak/>
        <w:t xml:space="preserve">that operate in each sector, as well as gear restrictions such as limits on mesh size and the amount of fishing gear that may be used. </w:t>
      </w:r>
    </w:p>
    <w:p w14:paraId="2A8097B7" w14:textId="77777777" w:rsidR="00AA451F" w:rsidRPr="00A345A9" w:rsidRDefault="00A345A9" w:rsidP="000F79B0">
      <w:pPr>
        <w:spacing w:before="120" w:line="276" w:lineRule="auto"/>
        <w:ind w:right="-1"/>
        <w:rPr>
          <w:color w:val="000000"/>
          <w:sz w:val="22"/>
          <w:szCs w:val="22"/>
          <w:shd w:val="clear" w:color="auto" w:fill="FFFFFF"/>
        </w:rPr>
      </w:pPr>
      <w:r>
        <w:rPr>
          <w:color w:val="000000"/>
          <w:sz w:val="22"/>
          <w:szCs w:val="22"/>
          <w:shd w:val="clear" w:color="auto" w:fill="FFFFFF"/>
        </w:rPr>
        <w:t>Certain areas of the fishery are closed to fishing under the</w:t>
      </w:r>
      <w:r w:rsidR="00F46D0D">
        <w:rPr>
          <w:color w:val="000000"/>
          <w:sz w:val="22"/>
          <w:szCs w:val="22"/>
          <w:shd w:val="clear" w:color="auto" w:fill="FFFFFF"/>
        </w:rPr>
        <w:t xml:space="preserve"> Closures</w:t>
      </w:r>
      <w:r>
        <w:rPr>
          <w:color w:val="000000"/>
          <w:sz w:val="22"/>
          <w:szCs w:val="22"/>
          <w:shd w:val="clear" w:color="auto" w:fill="FFFFFF"/>
        </w:rPr>
        <w:t xml:space="preserve"> Direction and other instruments made under subsection 41A(2) of the Management Act to</w:t>
      </w:r>
      <w:r w:rsidR="00AA451F" w:rsidRPr="00A345A9">
        <w:rPr>
          <w:color w:val="000000"/>
          <w:sz w:val="22"/>
          <w:szCs w:val="22"/>
          <w:shd w:val="clear" w:color="auto" w:fill="FFFFFF"/>
        </w:rPr>
        <w:t xml:space="preserve"> place restrictions on effort to protect spawning grounds, minimise impact on </w:t>
      </w:r>
      <w:proofErr w:type="spellStart"/>
      <w:r w:rsidR="00AA451F" w:rsidRPr="00A345A9">
        <w:rPr>
          <w:color w:val="000000"/>
          <w:sz w:val="22"/>
          <w:szCs w:val="22"/>
          <w:shd w:val="clear" w:color="auto" w:fill="FFFFFF"/>
        </w:rPr>
        <w:t>deepwater</w:t>
      </w:r>
      <w:proofErr w:type="spellEnd"/>
      <w:r w:rsidR="00AA451F" w:rsidRPr="00A345A9">
        <w:rPr>
          <w:color w:val="000000"/>
          <w:sz w:val="22"/>
          <w:szCs w:val="22"/>
          <w:shd w:val="clear" w:color="auto" w:fill="FFFFFF"/>
        </w:rPr>
        <w:t xml:space="preserve"> species, facilitate the recovery of certain species and protect threatened and endangered species.</w:t>
      </w:r>
      <w:r>
        <w:rPr>
          <w:color w:val="000000"/>
          <w:sz w:val="22"/>
          <w:szCs w:val="22"/>
          <w:shd w:val="clear" w:color="auto" w:fill="FFFFFF"/>
        </w:rPr>
        <w:t xml:space="preserve">  </w:t>
      </w:r>
    </w:p>
    <w:p w14:paraId="224911F6" w14:textId="77777777" w:rsidR="00AA451F" w:rsidRPr="00A345A9" w:rsidRDefault="00AA451F" w:rsidP="000F79B0">
      <w:pPr>
        <w:spacing w:before="360" w:line="276" w:lineRule="auto"/>
        <w:rPr>
          <w:b/>
          <w:color w:val="000000"/>
          <w:sz w:val="22"/>
          <w:szCs w:val="22"/>
          <w:shd w:val="clear" w:color="auto" w:fill="FFFFFF"/>
        </w:rPr>
      </w:pPr>
      <w:r w:rsidRPr="00A345A9">
        <w:rPr>
          <w:b/>
          <w:color w:val="000000"/>
          <w:sz w:val="22"/>
          <w:szCs w:val="22"/>
          <w:shd w:val="clear" w:color="auto" w:fill="FFFFFF"/>
        </w:rPr>
        <w:t xml:space="preserve">Background to the </w:t>
      </w:r>
      <w:r w:rsidR="00F46D0D">
        <w:rPr>
          <w:b/>
          <w:color w:val="000000"/>
          <w:sz w:val="22"/>
          <w:szCs w:val="22"/>
          <w:shd w:val="clear" w:color="auto" w:fill="FFFFFF"/>
        </w:rPr>
        <w:t xml:space="preserve">Closures </w:t>
      </w:r>
      <w:r w:rsidRPr="00A345A9">
        <w:rPr>
          <w:b/>
          <w:color w:val="000000"/>
          <w:sz w:val="22"/>
          <w:szCs w:val="22"/>
          <w:shd w:val="clear" w:color="auto" w:fill="FFFFFF"/>
        </w:rPr>
        <w:t>Direction</w:t>
      </w:r>
    </w:p>
    <w:p w14:paraId="6842D2F8" w14:textId="77777777" w:rsidR="00A20C56" w:rsidRDefault="00AA451F"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Pink ling (</w:t>
      </w:r>
      <w:proofErr w:type="spellStart"/>
      <w:r w:rsidRPr="00A345A9">
        <w:rPr>
          <w:i/>
          <w:color w:val="000000"/>
          <w:sz w:val="22"/>
          <w:szCs w:val="22"/>
          <w:shd w:val="clear" w:color="auto" w:fill="FFFFFF"/>
        </w:rPr>
        <w:t>Genypterus</w:t>
      </w:r>
      <w:proofErr w:type="spellEnd"/>
      <w:r w:rsidRPr="00A345A9">
        <w:rPr>
          <w:i/>
          <w:color w:val="000000"/>
          <w:sz w:val="22"/>
          <w:szCs w:val="22"/>
          <w:shd w:val="clear" w:color="auto" w:fill="FFFFFF"/>
        </w:rPr>
        <w:t xml:space="preserve"> </w:t>
      </w:r>
      <w:proofErr w:type="spellStart"/>
      <w:r w:rsidRPr="00A345A9">
        <w:rPr>
          <w:i/>
          <w:color w:val="000000"/>
          <w:sz w:val="22"/>
          <w:szCs w:val="22"/>
          <w:shd w:val="clear" w:color="auto" w:fill="FFFFFF"/>
        </w:rPr>
        <w:t>blacodes</w:t>
      </w:r>
      <w:proofErr w:type="spellEnd"/>
      <w:r w:rsidRPr="00A345A9">
        <w:rPr>
          <w:color w:val="000000"/>
          <w:sz w:val="22"/>
          <w:szCs w:val="22"/>
          <w:shd w:val="clear" w:color="auto" w:fill="FFFFFF"/>
        </w:rPr>
        <w:t xml:space="preserve">) is a quota species under the Plan which is assessed as two separate stocks; east of </w:t>
      </w:r>
      <w:r w:rsidR="00A345A9">
        <w:rPr>
          <w:color w:val="000000"/>
          <w:sz w:val="22"/>
          <w:szCs w:val="22"/>
          <w:shd w:val="clear" w:color="auto" w:fill="FFFFFF"/>
        </w:rPr>
        <w:t>longitude</w:t>
      </w:r>
      <w:r w:rsidRPr="00A345A9">
        <w:rPr>
          <w:color w:val="000000"/>
          <w:sz w:val="22"/>
          <w:szCs w:val="22"/>
          <w:shd w:val="clear" w:color="auto" w:fill="FFFFFF"/>
        </w:rPr>
        <w:t xml:space="preserve"> 147° East</w:t>
      </w:r>
      <w:r w:rsidR="00A20C56">
        <w:rPr>
          <w:color w:val="000000"/>
          <w:sz w:val="22"/>
          <w:szCs w:val="22"/>
          <w:shd w:val="clear" w:color="auto" w:fill="FFFFFF"/>
        </w:rPr>
        <w:t xml:space="preserve"> (eastern zone pink ling) and west of longitude </w:t>
      </w:r>
      <w:r w:rsidR="00A20C56" w:rsidRPr="00A345A9">
        <w:rPr>
          <w:color w:val="000000"/>
          <w:sz w:val="22"/>
          <w:szCs w:val="22"/>
          <w:shd w:val="clear" w:color="auto" w:fill="FFFFFF"/>
        </w:rPr>
        <w:t>147° East</w:t>
      </w:r>
      <w:r w:rsidR="00A20C56">
        <w:rPr>
          <w:color w:val="000000"/>
          <w:sz w:val="22"/>
          <w:szCs w:val="22"/>
          <w:shd w:val="clear" w:color="auto" w:fill="FFFFFF"/>
        </w:rPr>
        <w:t xml:space="preserve"> (western zone pink ling)</w:t>
      </w:r>
      <w:r w:rsidRPr="00A345A9">
        <w:rPr>
          <w:color w:val="000000"/>
          <w:sz w:val="22"/>
          <w:szCs w:val="22"/>
          <w:shd w:val="clear" w:color="auto" w:fill="FFFFFF"/>
        </w:rPr>
        <w:t xml:space="preserve">. </w:t>
      </w:r>
      <w:r w:rsidR="0009576E">
        <w:rPr>
          <w:color w:val="000000"/>
          <w:sz w:val="22"/>
          <w:szCs w:val="22"/>
          <w:shd w:val="clear" w:color="auto" w:fill="FFFFFF"/>
        </w:rPr>
        <w:t xml:space="preserve"> </w:t>
      </w:r>
      <w:r w:rsidRPr="00A345A9">
        <w:rPr>
          <w:color w:val="000000"/>
          <w:sz w:val="22"/>
          <w:szCs w:val="22"/>
          <w:shd w:val="clear" w:color="auto" w:fill="FFFFFF"/>
        </w:rPr>
        <w:t>Although they are assessed as separate stocks</w:t>
      </w:r>
      <w:r w:rsidR="00B705D8" w:rsidRPr="00A345A9">
        <w:rPr>
          <w:color w:val="000000"/>
          <w:sz w:val="22"/>
          <w:szCs w:val="22"/>
          <w:shd w:val="clear" w:color="auto" w:fill="FFFFFF"/>
        </w:rPr>
        <w:t>,</w:t>
      </w:r>
      <w:r w:rsidRPr="00A345A9">
        <w:rPr>
          <w:color w:val="000000"/>
          <w:sz w:val="22"/>
          <w:szCs w:val="22"/>
          <w:shd w:val="clear" w:color="auto" w:fill="FFFFFF"/>
        </w:rPr>
        <w:t xml:space="preserve"> the species is currently managed under a </w:t>
      </w:r>
      <w:r w:rsidR="0009576E">
        <w:rPr>
          <w:color w:val="000000"/>
          <w:sz w:val="22"/>
          <w:szCs w:val="22"/>
          <w:shd w:val="clear" w:color="auto" w:fill="FFFFFF"/>
        </w:rPr>
        <w:t>single</w:t>
      </w:r>
      <w:r w:rsidRPr="00A345A9">
        <w:rPr>
          <w:color w:val="000000"/>
          <w:sz w:val="22"/>
          <w:szCs w:val="22"/>
          <w:shd w:val="clear" w:color="auto" w:fill="FFFFFF"/>
        </w:rPr>
        <w:t xml:space="preserve"> TAC. </w:t>
      </w:r>
      <w:r w:rsidR="0009576E">
        <w:rPr>
          <w:color w:val="000000"/>
          <w:sz w:val="22"/>
          <w:szCs w:val="22"/>
          <w:shd w:val="clear" w:color="auto" w:fill="FFFFFF"/>
        </w:rPr>
        <w:t xml:space="preserve"> </w:t>
      </w:r>
    </w:p>
    <w:p w14:paraId="66A474AB" w14:textId="77777777" w:rsidR="00124861" w:rsidRDefault="00124861" w:rsidP="00124861">
      <w:pPr>
        <w:spacing w:before="120" w:line="276" w:lineRule="auto"/>
        <w:ind w:right="-1"/>
        <w:rPr>
          <w:color w:val="000000"/>
          <w:sz w:val="22"/>
          <w:szCs w:val="22"/>
          <w:shd w:val="clear" w:color="auto" w:fill="FFFFFF"/>
        </w:rPr>
      </w:pPr>
      <w:r w:rsidRPr="00A345A9">
        <w:rPr>
          <w:color w:val="000000"/>
          <w:sz w:val="22"/>
          <w:szCs w:val="22"/>
          <w:shd w:val="clear" w:color="auto" w:fill="FFFFFF"/>
        </w:rPr>
        <w:t xml:space="preserve">AFMA manages eastern zone pink ling by applying regional limits for the eastern zone of the fishery. </w:t>
      </w:r>
      <w:r>
        <w:rPr>
          <w:color w:val="000000"/>
          <w:sz w:val="22"/>
          <w:szCs w:val="22"/>
          <w:shd w:val="clear" w:color="auto" w:fill="FFFFFF"/>
        </w:rPr>
        <w:t xml:space="preserve"> </w:t>
      </w:r>
      <w:r w:rsidRPr="00A345A9">
        <w:rPr>
          <w:color w:val="000000"/>
          <w:sz w:val="22"/>
          <w:szCs w:val="22"/>
          <w:shd w:val="clear" w:color="auto" w:fill="FFFFFF"/>
        </w:rPr>
        <w:t xml:space="preserve">The aim of these restrictions is to constrain total fishing mortality of pink ling in the eastern zone. </w:t>
      </w:r>
      <w:r>
        <w:rPr>
          <w:color w:val="000000"/>
          <w:sz w:val="22"/>
          <w:szCs w:val="22"/>
          <w:shd w:val="clear" w:color="auto" w:fill="FFFFFF"/>
        </w:rPr>
        <w:t xml:space="preserve"> </w:t>
      </w:r>
      <w:r w:rsidRPr="00A345A9">
        <w:rPr>
          <w:color w:val="000000"/>
          <w:sz w:val="22"/>
          <w:szCs w:val="22"/>
          <w:shd w:val="clear" w:color="auto" w:fill="FFFFFF"/>
        </w:rPr>
        <w:t>In order to further constrain cat</w:t>
      </w:r>
      <w:r>
        <w:rPr>
          <w:color w:val="000000"/>
          <w:sz w:val="22"/>
          <w:szCs w:val="22"/>
          <w:shd w:val="clear" w:color="auto" w:fill="FFFFFF"/>
        </w:rPr>
        <w:t>ches in the eastern zone</w:t>
      </w:r>
      <w:r w:rsidR="00475ECA">
        <w:rPr>
          <w:color w:val="000000"/>
          <w:sz w:val="22"/>
          <w:szCs w:val="22"/>
          <w:shd w:val="clear" w:color="auto" w:fill="FFFFFF"/>
        </w:rPr>
        <w:t>,</w:t>
      </w:r>
      <w:r>
        <w:rPr>
          <w:color w:val="000000"/>
          <w:sz w:val="22"/>
          <w:szCs w:val="22"/>
          <w:shd w:val="clear" w:color="auto" w:fill="FFFFFF"/>
        </w:rPr>
        <w:t xml:space="preserve"> during</w:t>
      </w:r>
      <w:r w:rsidRPr="00A345A9">
        <w:rPr>
          <w:color w:val="000000"/>
          <w:sz w:val="22"/>
          <w:szCs w:val="22"/>
          <w:shd w:val="clear" w:color="auto" w:fill="FFFFFF"/>
        </w:rPr>
        <w:t xml:space="preserve"> 2014 AFMA implemented the </w:t>
      </w:r>
      <w:r w:rsidRPr="0009576E">
        <w:rPr>
          <w:i/>
          <w:color w:val="000000"/>
          <w:sz w:val="22"/>
          <w:szCs w:val="22"/>
          <w:shd w:val="clear" w:color="auto" w:fill="FFFFFF"/>
        </w:rPr>
        <w:t xml:space="preserve">Fisheries Management (Southern and Eastern </w:t>
      </w:r>
      <w:proofErr w:type="spellStart"/>
      <w:r w:rsidRPr="0009576E">
        <w:rPr>
          <w:i/>
          <w:color w:val="000000"/>
          <w:sz w:val="22"/>
          <w:szCs w:val="22"/>
          <w:shd w:val="clear" w:color="auto" w:fill="FFFFFF"/>
        </w:rPr>
        <w:t>Scalefish</w:t>
      </w:r>
      <w:proofErr w:type="spellEnd"/>
      <w:r w:rsidRPr="0009576E">
        <w:rPr>
          <w:i/>
          <w:color w:val="000000"/>
          <w:sz w:val="22"/>
          <w:szCs w:val="22"/>
          <w:shd w:val="clear" w:color="auto" w:fill="FFFFFF"/>
        </w:rPr>
        <w:t xml:space="preserve"> and Shark Fishery, Pink Ling) Temporary Order 2015 No. 1</w:t>
      </w:r>
      <w:r w:rsidRPr="00A345A9">
        <w:rPr>
          <w:color w:val="000000"/>
          <w:sz w:val="22"/>
          <w:szCs w:val="22"/>
          <w:shd w:val="clear" w:color="auto" w:fill="FFFFFF"/>
        </w:rPr>
        <w:t xml:space="preserve"> (Temporary Order). </w:t>
      </w:r>
      <w:r>
        <w:rPr>
          <w:color w:val="000000"/>
          <w:sz w:val="22"/>
          <w:szCs w:val="22"/>
          <w:shd w:val="clear" w:color="auto" w:fill="FFFFFF"/>
        </w:rPr>
        <w:t xml:space="preserve"> </w:t>
      </w:r>
      <w:r w:rsidRPr="00A345A9">
        <w:rPr>
          <w:color w:val="000000"/>
          <w:sz w:val="22"/>
          <w:szCs w:val="22"/>
          <w:shd w:val="clear" w:color="auto" w:fill="FFFFFF"/>
        </w:rPr>
        <w:t xml:space="preserve">The Temporary Order closed fishing grounds at Maria Island, Seiner’s Horseshoe and Everard Horseshoe. </w:t>
      </w:r>
    </w:p>
    <w:p w14:paraId="4E1CB8A2" w14:textId="77777777" w:rsidR="00107D73" w:rsidRDefault="00107D73" w:rsidP="00107D73">
      <w:pPr>
        <w:spacing w:before="120" w:line="276" w:lineRule="auto"/>
        <w:ind w:right="-1"/>
        <w:rPr>
          <w:color w:val="000000"/>
          <w:sz w:val="22"/>
          <w:szCs w:val="22"/>
          <w:shd w:val="clear" w:color="auto" w:fill="FFFFFF"/>
        </w:rPr>
      </w:pPr>
      <w:r w:rsidRPr="00A345A9">
        <w:rPr>
          <w:color w:val="000000"/>
          <w:sz w:val="22"/>
          <w:szCs w:val="22"/>
          <w:shd w:val="clear" w:color="auto" w:fill="FFFFFF"/>
        </w:rPr>
        <w:t xml:space="preserve">Maria Island, Seiner’s Horseshoe and Everard Horseshoe have been identified by industry as being areas containing high numbers of pink ling. </w:t>
      </w:r>
      <w:r w:rsidR="00475ECA">
        <w:rPr>
          <w:color w:val="000000"/>
          <w:sz w:val="22"/>
          <w:szCs w:val="22"/>
          <w:shd w:val="clear" w:color="auto" w:fill="FFFFFF"/>
        </w:rPr>
        <w:t xml:space="preserve"> </w:t>
      </w:r>
      <w:r w:rsidR="00BC53A8" w:rsidRPr="0072428F">
        <w:rPr>
          <w:sz w:val="22"/>
          <w:szCs w:val="22"/>
        </w:rPr>
        <w:t>The closures were part of a suite of arrangements to constrain pink ling catches in the eastern zone.</w:t>
      </w:r>
      <w:r w:rsidR="00BC53A8">
        <w:rPr>
          <w:sz w:val="22"/>
          <w:szCs w:val="22"/>
        </w:rPr>
        <w:t xml:space="preserve"> </w:t>
      </w:r>
      <w:r>
        <w:rPr>
          <w:color w:val="000000"/>
          <w:sz w:val="22"/>
          <w:szCs w:val="22"/>
          <w:shd w:val="clear" w:color="auto" w:fill="FFFFFF"/>
        </w:rPr>
        <w:t xml:space="preserve"> </w:t>
      </w:r>
      <w:r w:rsidRPr="00A345A9">
        <w:rPr>
          <w:color w:val="000000"/>
          <w:sz w:val="22"/>
          <w:szCs w:val="22"/>
          <w:shd w:val="clear" w:color="auto" w:fill="FFFFFF"/>
        </w:rPr>
        <w:t xml:space="preserve">The Temporary Order expired on 1 May 2015 and was subsequently replaced by the </w:t>
      </w:r>
      <w:r w:rsidR="00F46D0D">
        <w:rPr>
          <w:color w:val="000000"/>
          <w:sz w:val="22"/>
          <w:szCs w:val="22"/>
          <w:shd w:val="clear" w:color="auto" w:fill="FFFFFF"/>
        </w:rPr>
        <w:t xml:space="preserve">Closures </w:t>
      </w:r>
      <w:r>
        <w:rPr>
          <w:color w:val="000000"/>
          <w:sz w:val="22"/>
          <w:szCs w:val="22"/>
          <w:shd w:val="clear" w:color="auto" w:fill="FFFFFF"/>
        </w:rPr>
        <w:t>Direction</w:t>
      </w:r>
      <w:r w:rsidRPr="00A345A9">
        <w:rPr>
          <w:color w:val="000000"/>
          <w:sz w:val="22"/>
          <w:szCs w:val="22"/>
          <w:shd w:val="clear" w:color="auto" w:fill="FFFFFF"/>
        </w:rPr>
        <w:t xml:space="preserve">. </w:t>
      </w:r>
    </w:p>
    <w:p w14:paraId="3EE40A00" w14:textId="77777777" w:rsidR="00BC53A8" w:rsidRDefault="00107D73" w:rsidP="00107D73">
      <w:pPr>
        <w:spacing w:before="120" w:line="276" w:lineRule="auto"/>
        <w:ind w:right="-1"/>
        <w:rPr>
          <w:color w:val="000000"/>
          <w:sz w:val="22"/>
          <w:szCs w:val="22"/>
          <w:shd w:val="clear" w:color="auto" w:fill="FFFFFF"/>
        </w:rPr>
      </w:pPr>
      <w:r w:rsidRPr="00107D73">
        <w:rPr>
          <w:color w:val="000000"/>
          <w:sz w:val="22"/>
          <w:szCs w:val="22"/>
          <w:shd w:val="clear" w:color="auto" w:fill="FFFFFF"/>
        </w:rPr>
        <w:t xml:space="preserve">The </w:t>
      </w:r>
      <w:r w:rsidR="00F46D0D">
        <w:rPr>
          <w:color w:val="000000"/>
          <w:sz w:val="22"/>
          <w:szCs w:val="22"/>
          <w:shd w:val="clear" w:color="auto" w:fill="FFFFFF"/>
        </w:rPr>
        <w:t xml:space="preserve">Closures </w:t>
      </w:r>
      <w:r w:rsidRPr="00107D73">
        <w:rPr>
          <w:color w:val="000000"/>
          <w:sz w:val="22"/>
          <w:szCs w:val="22"/>
          <w:shd w:val="clear" w:color="auto" w:fill="FFFFFF"/>
        </w:rPr>
        <w:t xml:space="preserve">Direction was previously varied in 2016 (see the </w:t>
      </w:r>
      <w:r w:rsidRPr="00107D73">
        <w:rPr>
          <w:i/>
          <w:color w:val="000000"/>
          <w:sz w:val="22"/>
          <w:szCs w:val="22"/>
          <w:shd w:val="clear" w:color="auto" w:fill="FFFFFF"/>
        </w:rPr>
        <w:t xml:space="preserve">Southern and Eastern </w:t>
      </w:r>
      <w:proofErr w:type="spellStart"/>
      <w:r w:rsidRPr="00107D73">
        <w:rPr>
          <w:i/>
          <w:color w:val="000000"/>
          <w:sz w:val="22"/>
          <w:szCs w:val="22"/>
          <w:shd w:val="clear" w:color="auto" w:fill="FFFFFF"/>
        </w:rPr>
        <w:t>Scalefish</w:t>
      </w:r>
      <w:proofErr w:type="spellEnd"/>
      <w:r w:rsidRPr="00107D73">
        <w:rPr>
          <w:i/>
          <w:color w:val="000000"/>
          <w:sz w:val="22"/>
          <w:szCs w:val="22"/>
          <w:shd w:val="clear" w:color="auto" w:fill="FFFFFF"/>
        </w:rPr>
        <w:t xml:space="preserve"> and Shark Fishery (Closures Variation) Direction No. 1 2016</w:t>
      </w:r>
      <w:r w:rsidRPr="00107D73">
        <w:rPr>
          <w:color w:val="000000"/>
          <w:sz w:val="22"/>
          <w:szCs w:val="22"/>
          <w:shd w:val="clear" w:color="auto" w:fill="FFFFFF"/>
        </w:rPr>
        <w:t>) to</w:t>
      </w:r>
      <w:r w:rsidR="00BC53A8">
        <w:rPr>
          <w:color w:val="000000"/>
          <w:sz w:val="22"/>
          <w:szCs w:val="22"/>
          <w:shd w:val="clear" w:color="auto" w:fill="FFFFFF"/>
        </w:rPr>
        <w:t>:</w:t>
      </w:r>
    </w:p>
    <w:p w14:paraId="4D607219" w14:textId="77777777" w:rsidR="000C2799" w:rsidRDefault="00BC53A8" w:rsidP="000C2799">
      <w:pPr>
        <w:pStyle w:val="ListParagraph"/>
        <w:numPr>
          <w:ilvl w:val="0"/>
          <w:numId w:val="4"/>
        </w:numPr>
        <w:spacing w:before="120" w:after="120" w:line="276" w:lineRule="auto"/>
        <w:ind w:left="777" w:hanging="357"/>
        <w:contextualSpacing w:val="0"/>
        <w:rPr>
          <w:color w:val="000000"/>
          <w:sz w:val="22"/>
          <w:szCs w:val="22"/>
          <w:shd w:val="clear" w:color="auto" w:fill="FFFFFF"/>
        </w:rPr>
      </w:pPr>
      <w:proofErr w:type="gramStart"/>
      <w:r w:rsidRPr="00BC53A8">
        <w:rPr>
          <w:color w:val="000000"/>
          <w:sz w:val="22"/>
          <w:szCs w:val="22"/>
          <w:shd w:val="clear" w:color="auto" w:fill="FFFFFF"/>
        </w:rPr>
        <w:t>make</w:t>
      </w:r>
      <w:proofErr w:type="gramEnd"/>
      <w:r w:rsidRPr="00BC53A8">
        <w:rPr>
          <w:color w:val="000000"/>
          <w:sz w:val="22"/>
          <w:szCs w:val="22"/>
          <w:shd w:val="clear" w:color="auto" w:fill="FFFFFF"/>
        </w:rPr>
        <w:t xml:space="preserve"> an exception to the closures at Maria Island, Seiner’s Horseshoe and Everard Horseshoe, that applies where a concession holder is subject to an existing concession condition restricting total pink ling catches in the eastern zone of the fishery to no more than 25 per cent of their total pink ling quota holdings.  </w:t>
      </w:r>
    </w:p>
    <w:p w14:paraId="08060998" w14:textId="77777777" w:rsidR="000C2799" w:rsidRDefault="000C2799" w:rsidP="000C2799">
      <w:pPr>
        <w:pStyle w:val="ListParagraph"/>
        <w:numPr>
          <w:ilvl w:val="0"/>
          <w:numId w:val="4"/>
        </w:numPr>
        <w:spacing w:before="120" w:after="120" w:line="276" w:lineRule="auto"/>
        <w:ind w:left="777" w:hanging="357"/>
        <w:contextualSpacing w:val="0"/>
        <w:rPr>
          <w:color w:val="000000"/>
          <w:sz w:val="22"/>
          <w:szCs w:val="22"/>
          <w:shd w:val="clear" w:color="auto" w:fill="FFFFFF"/>
        </w:rPr>
      </w:pPr>
      <w:proofErr w:type="gramStart"/>
      <w:r>
        <w:rPr>
          <w:color w:val="000000"/>
          <w:sz w:val="22"/>
          <w:szCs w:val="22"/>
          <w:shd w:val="clear" w:color="auto" w:fill="FFFFFF"/>
        </w:rPr>
        <w:t>remove</w:t>
      </w:r>
      <w:proofErr w:type="gramEnd"/>
      <w:r>
        <w:rPr>
          <w:color w:val="000000"/>
          <w:sz w:val="22"/>
          <w:szCs w:val="22"/>
          <w:shd w:val="clear" w:color="auto" w:fill="FFFFFF"/>
        </w:rPr>
        <w:t xml:space="preserve"> the daily catch limits</w:t>
      </w:r>
      <w:r w:rsidR="003911B1">
        <w:rPr>
          <w:color w:val="000000"/>
          <w:sz w:val="22"/>
          <w:szCs w:val="22"/>
          <w:shd w:val="clear" w:color="auto" w:fill="FFFFFF"/>
        </w:rPr>
        <w:t xml:space="preserve">.  </w:t>
      </w:r>
    </w:p>
    <w:p w14:paraId="6AAABDE5" w14:textId="77777777" w:rsidR="00107D73" w:rsidRPr="00BC53A8" w:rsidRDefault="00107D73" w:rsidP="00BC53A8">
      <w:pPr>
        <w:spacing w:before="120" w:line="276" w:lineRule="auto"/>
        <w:ind w:right="-1"/>
        <w:rPr>
          <w:sz w:val="22"/>
        </w:rPr>
      </w:pPr>
      <w:r w:rsidRPr="00BC53A8">
        <w:rPr>
          <w:sz w:val="22"/>
        </w:rPr>
        <w:t xml:space="preserve">During the 2016-17 fishing </w:t>
      </w:r>
      <w:r w:rsidR="00857238">
        <w:rPr>
          <w:sz w:val="22"/>
        </w:rPr>
        <w:t>year</w:t>
      </w:r>
      <w:r w:rsidRPr="00BC53A8">
        <w:rPr>
          <w:sz w:val="22"/>
        </w:rPr>
        <w:t>, AFMA and the South East Trawl Fishing Industry Association (SETFIA) trialled an alternative management arrangement for eastern pink ling that involved managing catches at the vessel level. SETFIA negotiated individual catch limits with operators who chose to opt in to this agreement. This agreement caps their combined eastern pink ling catches at or below a specified tonnage.</w:t>
      </w:r>
    </w:p>
    <w:p w14:paraId="3343E471" w14:textId="77777777" w:rsidR="004E249F" w:rsidRDefault="00107D73" w:rsidP="000F79B0">
      <w:pPr>
        <w:spacing w:before="120" w:line="276" w:lineRule="auto"/>
        <w:ind w:right="-1"/>
        <w:rPr>
          <w:sz w:val="22"/>
        </w:rPr>
      </w:pPr>
      <w:r w:rsidRPr="00BC53A8">
        <w:rPr>
          <w:sz w:val="22"/>
        </w:rPr>
        <w:t xml:space="preserve">The SETFIA catch arrangements have successfully restricted the catches of vessels under the arrangement since the 2016-17 </w:t>
      </w:r>
      <w:r w:rsidR="00857238">
        <w:rPr>
          <w:sz w:val="22"/>
        </w:rPr>
        <w:t>year</w:t>
      </w:r>
      <w:r w:rsidR="00857238" w:rsidRPr="00BC53A8">
        <w:rPr>
          <w:sz w:val="22"/>
        </w:rPr>
        <w:t xml:space="preserve"> </w:t>
      </w:r>
      <w:r w:rsidRPr="00BC53A8">
        <w:rPr>
          <w:sz w:val="22"/>
        </w:rPr>
        <w:t xml:space="preserve">and have been continued for </w:t>
      </w:r>
      <w:r w:rsidR="002506AE">
        <w:rPr>
          <w:sz w:val="22"/>
        </w:rPr>
        <w:t xml:space="preserve">the </w:t>
      </w:r>
      <w:r w:rsidRPr="00BC53A8">
        <w:rPr>
          <w:sz w:val="22"/>
        </w:rPr>
        <w:t xml:space="preserve">2019-20 fishing </w:t>
      </w:r>
      <w:r w:rsidR="00857238">
        <w:rPr>
          <w:sz w:val="22"/>
        </w:rPr>
        <w:t>year</w:t>
      </w:r>
      <w:r w:rsidRPr="00BC53A8">
        <w:rPr>
          <w:sz w:val="22"/>
        </w:rPr>
        <w:t>.</w:t>
      </w:r>
      <w:r w:rsidR="001E6B2F">
        <w:rPr>
          <w:sz w:val="22"/>
        </w:rPr>
        <w:t xml:space="preserve"> </w:t>
      </w:r>
    </w:p>
    <w:p w14:paraId="4E9F8C41" w14:textId="77777777" w:rsidR="00732859" w:rsidRDefault="00AA451F" w:rsidP="002C7401">
      <w:pPr>
        <w:spacing w:before="120" w:after="120" w:line="276" w:lineRule="auto"/>
        <w:rPr>
          <w:color w:val="000000"/>
          <w:sz w:val="22"/>
          <w:szCs w:val="22"/>
          <w:shd w:val="clear" w:color="auto" w:fill="FFFFFF"/>
        </w:rPr>
      </w:pPr>
      <w:r w:rsidRPr="00A345A9">
        <w:rPr>
          <w:color w:val="000000"/>
          <w:sz w:val="22"/>
          <w:szCs w:val="22"/>
          <w:shd w:val="clear" w:color="auto" w:fill="FFFFFF"/>
        </w:rPr>
        <w:t xml:space="preserve">The </w:t>
      </w:r>
      <w:r w:rsidR="00A20C56">
        <w:rPr>
          <w:color w:val="000000"/>
          <w:sz w:val="22"/>
          <w:szCs w:val="22"/>
          <w:shd w:val="clear" w:color="auto" w:fill="FFFFFF"/>
        </w:rPr>
        <w:t>Variation Direction</w:t>
      </w:r>
      <w:r w:rsidR="003662BB">
        <w:rPr>
          <w:color w:val="000000"/>
          <w:sz w:val="22"/>
          <w:szCs w:val="22"/>
          <w:shd w:val="clear" w:color="auto" w:fill="FFFFFF"/>
        </w:rPr>
        <w:t xml:space="preserve"> </w:t>
      </w:r>
      <w:r w:rsidR="000229A0">
        <w:rPr>
          <w:color w:val="000000"/>
          <w:sz w:val="22"/>
          <w:szCs w:val="22"/>
          <w:shd w:val="clear" w:color="auto" w:fill="FFFFFF"/>
        </w:rPr>
        <w:t xml:space="preserve">was made </w:t>
      </w:r>
      <w:r w:rsidR="003662BB">
        <w:rPr>
          <w:color w:val="000000"/>
          <w:sz w:val="22"/>
          <w:szCs w:val="22"/>
          <w:shd w:val="clear" w:color="auto" w:fill="FFFFFF"/>
        </w:rPr>
        <w:t>in 2019 to include a</w:t>
      </w:r>
      <w:r w:rsidRPr="00A345A9">
        <w:rPr>
          <w:color w:val="000000"/>
          <w:sz w:val="22"/>
          <w:szCs w:val="22"/>
          <w:shd w:val="clear" w:color="auto" w:fill="FFFFFF"/>
        </w:rPr>
        <w:t xml:space="preserve"> </w:t>
      </w:r>
      <w:r w:rsidR="00A20C56">
        <w:rPr>
          <w:color w:val="000000"/>
          <w:sz w:val="22"/>
          <w:szCs w:val="22"/>
          <w:shd w:val="clear" w:color="auto" w:fill="FFFFFF"/>
        </w:rPr>
        <w:t>ne</w:t>
      </w:r>
      <w:r w:rsidR="000E16D7">
        <w:rPr>
          <w:color w:val="000000"/>
          <w:sz w:val="22"/>
          <w:szCs w:val="22"/>
          <w:shd w:val="clear" w:color="auto" w:fill="FFFFFF"/>
        </w:rPr>
        <w:t>w exception to the closure that applie</w:t>
      </w:r>
      <w:r w:rsidR="00732859">
        <w:rPr>
          <w:color w:val="000000"/>
          <w:sz w:val="22"/>
          <w:szCs w:val="22"/>
          <w:shd w:val="clear" w:color="auto" w:fill="FFFFFF"/>
        </w:rPr>
        <w:t xml:space="preserve">s where a concession holder has </w:t>
      </w:r>
      <w:r w:rsidR="000E16D7" w:rsidRPr="00732859">
        <w:rPr>
          <w:color w:val="000000"/>
          <w:sz w:val="22"/>
          <w:szCs w:val="22"/>
          <w:shd w:val="clear" w:color="auto" w:fill="FFFFFF"/>
        </w:rPr>
        <w:t>agreed, under management arrangements administered by SETFIA, to take a specified amount of pink ling and SETFIA has notified AFMA of that agreement</w:t>
      </w:r>
      <w:r w:rsidR="00EB153B" w:rsidRPr="00732859">
        <w:rPr>
          <w:color w:val="000000"/>
          <w:sz w:val="22"/>
          <w:szCs w:val="22"/>
          <w:shd w:val="clear" w:color="auto" w:fill="FFFFFF"/>
        </w:rPr>
        <w:t>.</w:t>
      </w:r>
    </w:p>
    <w:p w14:paraId="59D48536" w14:textId="77777777" w:rsidR="0079760A" w:rsidRDefault="00F46D0D" w:rsidP="002C7401">
      <w:pPr>
        <w:shd w:val="clear" w:color="auto" w:fill="FFFFFF"/>
        <w:spacing w:before="120" w:after="120" w:line="276" w:lineRule="auto"/>
        <w:rPr>
          <w:color w:val="000000"/>
          <w:sz w:val="22"/>
          <w:szCs w:val="22"/>
        </w:rPr>
      </w:pPr>
      <w:r>
        <w:rPr>
          <w:color w:val="000000"/>
          <w:sz w:val="22"/>
          <w:szCs w:val="22"/>
        </w:rPr>
        <w:t xml:space="preserve">This new exception was </w:t>
      </w:r>
      <w:r w:rsidR="009E5AF5">
        <w:rPr>
          <w:color w:val="000000"/>
          <w:sz w:val="22"/>
          <w:szCs w:val="22"/>
        </w:rPr>
        <w:t xml:space="preserve">made </w:t>
      </w:r>
      <w:r>
        <w:rPr>
          <w:color w:val="000000"/>
          <w:sz w:val="22"/>
          <w:szCs w:val="22"/>
        </w:rPr>
        <w:t>because AFMA had</w:t>
      </w:r>
      <w:r w:rsidR="0079760A">
        <w:rPr>
          <w:color w:val="000000"/>
          <w:sz w:val="22"/>
          <w:szCs w:val="22"/>
        </w:rPr>
        <w:t xml:space="preserve"> agreed to enter into co-management arrangements with SETFIA for the purpose of managing catches of eastern pink ling in the fishery.  </w:t>
      </w:r>
      <w:r w:rsidR="004A5652">
        <w:rPr>
          <w:color w:val="000000"/>
          <w:sz w:val="22"/>
          <w:szCs w:val="22"/>
        </w:rPr>
        <w:t>Since making the Variation Direction, AFMA and SETFIA have entered into formal co-management arrangements</w:t>
      </w:r>
    </w:p>
    <w:p w14:paraId="49073C29" w14:textId="7024632A" w:rsidR="0079760A" w:rsidRDefault="00747A78" w:rsidP="00CA75A6">
      <w:pPr>
        <w:shd w:val="clear" w:color="auto" w:fill="FFFFFF"/>
        <w:spacing w:before="0" w:after="240" w:line="276" w:lineRule="auto"/>
        <w:rPr>
          <w:color w:val="000000"/>
          <w:sz w:val="22"/>
          <w:szCs w:val="22"/>
        </w:rPr>
      </w:pPr>
      <w:r w:rsidRPr="004D09A3">
        <w:rPr>
          <w:color w:val="000000"/>
          <w:sz w:val="22"/>
          <w:szCs w:val="22"/>
        </w:rPr>
        <w:t xml:space="preserve">Upon further consideration of the Variation Direction, it appears that the Variation Direction </w:t>
      </w:r>
      <w:r w:rsidR="00BB5818">
        <w:rPr>
          <w:color w:val="000000"/>
          <w:sz w:val="22"/>
          <w:szCs w:val="22"/>
        </w:rPr>
        <w:t xml:space="preserve">might </w:t>
      </w:r>
      <w:r w:rsidRPr="004D09A3">
        <w:rPr>
          <w:color w:val="000000"/>
          <w:sz w:val="22"/>
          <w:szCs w:val="22"/>
        </w:rPr>
        <w:t xml:space="preserve">have </w:t>
      </w:r>
      <w:r w:rsidR="004A5652" w:rsidRPr="004D09A3">
        <w:rPr>
          <w:color w:val="000000"/>
          <w:sz w:val="22"/>
          <w:szCs w:val="22"/>
        </w:rPr>
        <w:t>involved an invalid sub</w:t>
      </w:r>
      <w:r w:rsidR="00297C97">
        <w:rPr>
          <w:color w:val="000000"/>
          <w:sz w:val="22"/>
          <w:szCs w:val="22"/>
        </w:rPr>
        <w:t>-</w:t>
      </w:r>
      <w:r w:rsidR="004A5652" w:rsidRPr="004D09A3">
        <w:rPr>
          <w:color w:val="000000"/>
          <w:sz w:val="22"/>
          <w:szCs w:val="22"/>
        </w:rPr>
        <w:t>delegation to SETFIA of AFMA’s legislative power under subsection 41A(2)</w:t>
      </w:r>
      <w:r w:rsidR="00C93E95" w:rsidRPr="004D09A3">
        <w:rPr>
          <w:color w:val="000000"/>
          <w:sz w:val="22"/>
          <w:szCs w:val="22"/>
        </w:rPr>
        <w:t xml:space="preserve"> of the </w:t>
      </w:r>
      <w:r w:rsidR="00C93E95" w:rsidRPr="004D09A3">
        <w:rPr>
          <w:color w:val="000000"/>
          <w:sz w:val="22"/>
          <w:szCs w:val="22"/>
        </w:rPr>
        <w:lastRenderedPageBreak/>
        <w:t>Management Act</w:t>
      </w:r>
      <w:r w:rsidR="004A5652" w:rsidRPr="004D09A3">
        <w:rPr>
          <w:color w:val="000000"/>
          <w:sz w:val="22"/>
          <w:szCs w:val="22"/>
        </w:rPr>
        <w:t>.</w:t>
      </w:r>
      <w:r w:rsidR="004A5652">
        <w:rPr>
          <w:color w:val="000000"/>
          <w:sz w:val="22"/>
          <w:szCs w:val="22"/>
        </w:rPr>
        <w:t xml:space="preserve"> </w:t>
      </w:r>
      <w:r w:rsidR="004D09A3">
        <w:rPr>
          <w:color w:val="000000"/>
          <w:sz w:val="22"/>
          <w:szCs w:val="22"/>
        </w:rPr>
        <w:t xml:space="preserve"> Accordingly, </w:t>
      </w:r>
      <w:r w:rsidR="00C4602E">
        <w:rPr>
          <w:color w:val="000000"/>
          <w:sz w:val="22"/>
          <w:szCs w:val="22"/>
        </w:rPr>
        <w:t xml:space="preserve">the instrument </w:t>
      </w:r>
      <w:r w:rsidR="00857238">
        <w:rPr>
          <w:color w:val="000000"/>
          <w:sz w:val="22"/>
          <w:szCs w:val="22"/>
        </w:rPr>
        <w:t>repeal</w:t>
      </w:r>
      <w:r w:rsidR="004D09A3">
        <w:rPr>
          <w:color w:val="000000"/>
          <w:sz w:val="22"/>
          <w:szCs w:val="22"/>
        </w:rPr>
        <w:t>s</w:t>
      </w:r>
      <w:r w:rsidR="00857238">
        <w:rPr>
          <w:color w:val="000000"/>
          <w:sz w:val="22"/>
          <w:szCs w:val="22"/>
        </w:rPr>
        <w:t xml:space="preserve"> the Variation Direction</w:t>
      </w:r>
      <w:r w:rsidR="00C4602E">
        <w:rPr>
          <w:color w:val="000000"/>
          <w:sz w:val="22"/>
          <w:szCs w:val="22"/>
        </w:rPr>
        <w:t xml:space="preserve"> and revives clause 7 as it applied before the Variation Direction was made</w:t>
      </w:r>
      <w:r w:rsidR="00857238">
        <w:rPr>
          <w:color w:val="000000"/>
          <w:sz w:val="22"/>
          <w:szCs w:val="22"/>
        </w:rPr>
        <w:t xml:space="preserve">. </w:t>
      </w:r>
    </w:p>
    <w:p w14:paraId="359BDF0A" w14:textId="77777777" w:rsidR="009A6B6E" w:rsidRPr="002C7401" w:rsidRDefault="003662BB" w:rsidP="002C7401">
      <w:pPr>
        <w:spacing w:before="360" w:line="276" w:lineRule="auto"/>
        <w:rPr>
          <w:b/>
          <w:color w:val="000000"/>
          <w:sz w:val="22"/>
          <w:szCs w:val="22"/>
          <w:shd w:val="clear" w:color="auto" w:fill="FFFFFF"/>
        </w:rPr>
      </w:pPr>
      <w:r w:rsidRPr="002C7401">
        <w:rPr>
          <w:b/>
          <w:color w:val="000000"/>
          <w:sz w:val="22"/>
          <w:szCs w:val="22"/>
          <w:shd w:val="clear" w:color="auto" w:fill="FFFFFF"/>
        </w:rPr>
        <w:t>Purpose</w:t>
      </w:r>
    </w:p>
    <w:p w14:paraId="37C85CEC" w14:textId="1912E571" w:rsidR="003662BB" w:rsidRPr="002C7401" w:rsidRDefault="003662BB" w:rsidP="003662BB">
      <w:pPr>
        <w:spacing w:before="120" w:line="276" w:lineRule="auto"/>
        <w:rPr>
          <w:color w:val="000000"/>
          <w:sz w:val="22"/>
          <w:szCs w:val="22"/>
          <w:shd w:val="clear" w:color="auto" w:fill="FFFFFF"/>
        </w:rPr>
      </w:pPr>
      <w:r w:rsidRPr="00930214">
        <w:rPr>
          <w:color w:val="000000"/>
          <w:sz w:val="22"/>
          <w:szCs w:val="22"/>
          <w:shd w:val="clear" w:color="auto" w:fill="FFFFFF"/>
        </w:rPr>
        <w:t xml:space="preserve">The purpose of the </w:t>
      </w:r>
      <w:r w:rsidRPr="00E867BF">
        <w:rPr>
          <w:bCs/>
          <w:color w:val="000000"/>
          <w:sz w:val="22"/>
          <w:szCs w:val="22"/>
          <w:shd w:val="clear" w:color="auto" w:fill="FFFFFF"/>
        </w:rPr>
        <w:t>Repeal Direction</w:t>
      </w:r>
      <w:r w:rsidRPr="00930214">
        <w:rPr>
          <w:bCs/>
          <w:color w:val="000000"/>
          <w:sz w:val="22"/>
          <w:szCs w:val="22"/>
          <w:shd w:val="clear" w:color="auto" w:fill="FFFFFF"/>
        </w:rPr>
        <w:t xml:space="preserve"> is to </w:t>
      </w:r>
      <w:r w:rsidRPr="00C7742A">
        <w:rPr>
          <w:bCs/>
          <w:color w:val="000000"/>
          <w:sz w:val="22"/>
          <w:szCs w:val="22"/>
          <w:shd w:val="clear" w:color="auto" w:fill="FFFFFF"/>
        </w:rPr>
        <w:t>repeal</w:t>
      </w:r>
      <w:r w:rsidRPr="00930214">
        <w:rPr>
          <w:bCs/>
          <w:color w:val="000000"/>
          <w:sz w:val="22"/>
          <w:szCs w:val="22"/>
          <w:shd w:val="clear" w:color="auto" w:fill="FFFFFF"/>
        </w:rPr>
        <w:t xml:space="preserve"> the </w:t>
      </w:r>
      <w:r w:rsidR="000229A0" w:rsidRPr="00930214">
        <w:rPr>
          <w:bCs/>
          <w:color w:val="000000"/>
          <w:sz w:val="22"/>
          <w:szCs w:val="22"/>
          <w:shd w:val="clear" w:color="auto" w:fill="FFFFFF"/>
        </w:rPr>
        <w:t xml:space="preserve">Variation </w:t>
      </w:r>
      <w:r w:rsidRPr="00930214">
        <w:rPr>
          <w:bCs/>
          <w:color w:val="000000"/>
          <w:sz w:val="22"/>
          <w:szCs w:val="22"/>
          <w:shd w:val="clear" w:color="auto" w:fill="FFFFFF"/>
        </w:rPr>
        <w:t>Direction</w:t>
      </w:r>
      <w:r w:rsidR="00A94ECA">
        <w:rPr>
          <w:bCs/>
          <w:color w:val="000000"/>
          <w:sz w:val="22"/>
          <w:szCs w:val="22"/>
          <w:shd w:val="clear" w:color="auto" w:fill="FFFFFF"/>
        </w:rPr>
        <w:t xml:space="preserve"> and revive clause 7</w:t>
      </w:r>
      <w:r w:rsidR="008B4768" w:rsidRPr="008B4768">
        <w:rPr>
          <w:color w:val="000000"/>
          <w:sz w:val="22"/>
          <w:szCs w:val="22"/>
        </w:rPr>
        <w:t xml:space="preserve"> </w:t>
      </w:r>
      <w:r w:rsidR="00DE3281">
        <w:rPr>
          <w:color w:val="000000"/>
          <w:sz w:val="22"/>
          <w:szCs w:val="22"/>
        </w:rPr>
        <w:t xml:space="preserve">as it applied before the </w:t>
      </w:r>
      <w:r w:rsidR="008B4768">
        <w:rPr>
          <w:color w:val="000000"/>
          <w:sz w:val="22"/>
          <w:szCs w:val="22"/>
        </w:rPr>
        <w:t xml:space="preserve">Variation Direction </w:t>
      </w:r>
      <w:r w:rsidR="00DE3281">
        <w:rPr>
          <w:color w:val="000000"/>
          <w:sz w:val="22"/>
          <w:szCs w:val="22"/>
        </w:rPr>
        <w:t>was</w:t>
      </w:r>
      <w:r w:rsidR="008B4768">
        <w:rPr>
          <w:color w:val="000000"/>
          <w:sz w:val="22"/>
          <w:szCs w:val="22"/>
        </w:rPr>
        <w:t xml:space="preserve"> made</w:t>
      </w:r>
      <w:r w:rsidRPr="00930214">
        <w:rPr>
          <w:bCs/>
          <w:color w:val="000000"/>
          <w:sz w:val="22"/>
          <w:szCs w:val="22"/>
          <w:shd w:val="clear" w:color="auto" w:fill="FFFFFF"/>
        </w:rPr>
        <w:t>.</w:t>
      </w:r>
      <w:r w:rsidRPr="00930214">
        <w:rPr>
          <w:i/>
          <w:color w:val="000000"/>
          <w:sz w:val="22"/>
          <w:szCs w:val="22"/>
          <w:shd w:val="clear" w:color="auto" w:fill="FFFFFF"/>
        </w:rPr>
        <w:t xml:space="preserve"> </w:t>
      </w:r>
    </w:p>
    <w:p w14:paraId="1CA19EDB" w14:textId="77777777" w:rsidR="00AA451F" w:rsidRPr="00A345A9" w:rsidRDefault="00AA451F" w:rsidP="000F79B0">
      <w:pPr>
        <w:spacing w:before="360" w:line="276" w:lineRule="auto"/>
        <w:rPr>
          <w:b/>
          <w:color w:val="000000"/>
          <w:sz w:val="22"/>
          <w:szCs w:val="22"/>
          <w:shd w:val="clear" w:color="auto" w:fill="FFFFFF"/>
        </w:rPr>
      </w:pPr>
      <w:r w:rsidRPr="00A345A9">
        <w:rPr>
          <w:b/>
          <w:color w:val="000000"/>
          <w:sz w:val="22"/>
          <w:szCs w:val="22"/>
          <w:shd w:val="clear" w:color="auto" w:fill="FFFFFF"/>
        </w:rPr>
        <w:t xml:space="preserve">Consultation </w:t>
      </w:r>
    </w:p>
    <w:p w14:paraId="7F57F838" w14:textId="54F29374" w:rsidR="00A20C56" w:rsidRDefault="00A41CED"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 xml:space="preserve">The </w:t>
      </w:r>
      <w:r w:rsidR="00EC6927">
        <w:rPr>
          <w:color w:val="000000"/>
          <w:sz w:val="22"/>
          <w:szCs w:val="22"/>
          <w:shd w:val="clear" w:color="auto" w:fill="FFFFFF"/>
        </w:rPr>
        <w:t>Repeal</w:t>
      </w:r>
      <w:r w:rsidR="00E867BF">
        <w:rPr>
          <w:color w:val="000000"/>
          <w:sz w:val="22"/>
          <w:szCs w:val="22"/>
          <w:shd w:val="clear" w:color="auto" w:fill="FFFFFF"/>
        </w:rPr>
        <w:t xml:space="preserve"> </w:t>
      </w:r>
      <w:r w:rsidRPr="00A345A9">
        <w:rPr>
          <w:color w:val="000000"/>
          <w:sz w:val="22"/>
          <w:szCs w:val="22"/>
          <w:shd w:val="clear" w:color="auto" w:fill="FFFFFF"/>
        </w:rPr>
        <w:t xml:space="preserve">Direction is made under subsection </w:t>
      </w:r>
      <w:proofErr w:type="gramStart"/>
      <w:r w:rsidRPr="00A345A9">
        <w:rPr>
          <w:color w:val="000000"/>
          <w:sz w:val="22"/>
          <w:szCs w:val="22"/>
          <w:shd w:val="clear" w:color="auto" w:fill="FFFFFF"/>
        </w:rPr>
        <w:t>41A</w:t>
      </w:r>
      <w:r w:rsidR="00A20C56">
        <w:rPr>
          <w:color w:val="000000"/>
          <w:sz w:val="22"/>
          <w:szCs w:val="22"/>
          <w:shd w:val="clear" w:color="auto" w:fill="FFFFFF"/>
        </w:rPr>
        <w:t>(</w:t>
      </w:r>
      <w:proofErr w:type="gramEnd"/>
      <w:r w:rsidR="00A20C56">
        <w:rPr>
          <w:color w:val="000000"/>
          <w:sz w:val="22"/>
          <w:szCs w:val="22"/>
          <w:shd w:val="clear" w:color="auto" w:fill="FFFFFF"/>
        </w:rPr>
        <w:t>3) of the Management Act</w:t>
      </w:r>
      <w:r w:rsidR="00297C97">
        <w:rPr>
          <w:color w:val="000000"/>
          <w:sz w:val="22"/>
          <w:szCs w:val="22"/>
          <w:shd w:val="clear" w:color="auto" w:fill="FFFFFF"/>
        </w:rPr>
        <w:t xml:space="preserve"> </w:t>
      </w:r>
      <w:r w:rsidR="00EC6927">
        <w:rPr>
          <w:color w:val="000000"/>
          <w:sz w:val="22"/>
          <w:szCs w:val="22"/>
          <w:shd w:val="clear" w:color="auto" w:fill="FFFFFF"/>
        </w:rPr>
        <w:t xml:space="preserve">and subsection 33(3) of the </w:t>
      </w:r>
      <w:r w:rsidR="00EC6927" w:rsidRPr="002C7401">
        <w:rPr>
          <w:i/>
          <w:color w:val="000000"/>
          <w:sz w:val="22"/>
          <w:szCs w:val="22"/>
          <w:shd w:val="clear" w:color="auto" w:fill="FFFFFF"/>
        </w:rPr>
        <w:t>Acts Interpretation Act 1901</w:t>
      </w:r>
      <w:r w:rsidR="00A20C56">
        <w:rPr>
          <w:color w:val="000000"/>
          <w:sz w:val="22"/>
          <w:szCs w:val="22"/>
          <w:shd w:val="clear" w:color="auto" w:fill="FFFFFF"/>
        </w:rPr>
        <w:t xml:space="preserve">.  </w:t>
      </w:r>
      <w:r w:rsidR="00EC6927">
        <w:rPr>
          <w:color w:val="000000"/>
          <w:sz w:val="22"/>
          <w:szCs w:val="22"/>
          <w:shd w:val="clear" w:color="auto" w:fill="FFFFFF"/>
        </w:rPr>
        <w:t>T</w:t>
      </w:r>
      <w:r w:rsidR="00A20C56">
        <w:rPr>
          <w:color w:val="000000"/>
          <w:sz w:val="22"/>
          <w:szCs w:val="22"/>
          <w:shd w:val="clear" w:color="auto" w:fill="FFFFFF"/>
        </w:rPr>
        <w:t xml:space="preserve">he consultation requirements outlined in subsection </w:t>
      </w:r>
      <w:proofErr w:type="gramStart"/>
      <w:r w:rsidR="00A20C56">
        <w:rPr>
          <w:color w:val="000000"/>
          <w:sz w:val="22"/>
          <w:szCs w:val="22"/>
          <w:shd w:val="clear" w:color="auto" w:fill="FFFFFF"/>
        </w:rPr>
        <w:t>41A(</w:t>
      </w:r>
      <w:proofErr w:type="gramEnd"/>
      <w:r w:rsidR="00A20C56">
        <w:rPr>
          <w:color w:val="000000"/>
          <w:sz w:val="22"/>
          <w:szCs w:val="22"/>
          <w:shd w:val="clear" w:color="auto" w:fill="FFFFFF"/>
        </w:rPr>
        <w:t xml:space="preserve">2) and the notification requirements outlined in subsection 41A(2A) of the Management Act do not need to be met prior to making the </w:t>
      </w:r>
      <w:r w:rsidR="00EC6927">
        <w:rPr>
          <w:color w:val="000000"/>
          <w:sz w:val="22"/>
          <w:szCs w:val="22"/>
          <w:shd w:val="clear" w:color="auto" w:fill="FFFFFF"/>
        </w:rPr>
        <w:t>Repeal</w:t>
      </w:r>
      <w:r w:rsidR="00A20C56">
        <w:rPr>
          <w:color w:val="000000"/>
          <w:sz w:val="22"/>
          <w:szCs w:val="22"/>
          <w:shd w:val="clear" w:color="auto" w:fill="FFFFFF"/>
        </w:rPr>
        <w:t xml:space="preserve"> Direction</w:t>
      </w:r>
      <w:r w:rsidRPr="00C93E95">
        <w:rPr>
          <w:color w:val="000000"/>
          <w:sz w:val="22"/>
          <w:szCs w:val="22"/>
          <w:shd w:val="clear" w:color="auto" w:fill="FFFFFF"/>
        </w:rPr>
        <w:t>.</w:t>
      </w:r>
      <w:r w:rsidR="00E5782F">
        <w:rPr>
          <w:color w:val="000000"/>
          <w:sz w:val="22"/>
          <w:szCs w:val="22"/>
          <w:shd w:val="clear" w:color="auto" w:fill="FFFFFF"/>
        </w:rPr>
        <w:t xml:space="preserve">  Further to this, the practical effect of this </w:t>
      </w:r>
      <w:r w:rsidR="00DE3281">
        <w:rPr>
          <w:color w:val="000000"/>
          <w:sz w:val="22"/>
          <w:szCs w:val="22"/>
          <w:shd w:val="clear" w:color="auto" w:fill="FFFFFF"/>
        </w:rPr>
        <w:t>instrument</w:t>
      </w:r>
      <w:r w:rsidR="00E5782F">
        <w:rPr>
          <w:color w:val="000000"/>
          <w:sz w:val="22"/>
          <w:szCs w:val="22"/>
          <w:shd w:val="clear" w:color="auto" w:fill="FFFFFF"/>
        </w:rPr>
        <w:t xml:space="preserve"> is to restore the principal direction to its former state </w:t>
      </w:r>
      <w:r w:rsidR="00DD3D79">
        <w:rPr>
          <w:color w:val="000000"/>
          <w:sz w:val="22"/>
          <w:szCs w:val="22"/>
          <w:shd w:val="clear" w:color="auto" w:fill="FFFFFF"/>
        </w:rPr>
        <w:t>immediately before the Variation Direction was made</w:t>
      </w:r>
      <w:r w:rsidR="00E5782F" w:rsidRPr="00E5782F">
        <w:rPr>
          <w:color w:val="000000"/>
          <w:sz w:val="22"/>
          <w:szCs w:val="22"/>
          <w:shd w:val="clear" w:color="auto" w:fill="FFFFFF"/>
        </w:rPr>
        <w:t>.</w:t>
      </w:r>
      <w:r w:rsidR="00DD3D79">
        <w:rPr>
          <w:color w:val="000000"/>
          <w:sz w:val="22"/>
          <w:szCs w:val="22"/>
          <w:shd w:val="clear" w:color="auto" w:fill="FFFFFF"/>
        </w:rPr>
        <w:t xml:space="preserve">  </w:t>
      </w:r>
      <w:r w:rsidR="00850F60">
        <w:rPr>
          <w:color w:val="000000"/>
          <w:sz w:val="22"/>
          <w:szCs w:val="22"/>
          <w:shd w:val="clear" w:color="auto" w:fill="FFFFFF"/>
        </w:rPr>
        <w:t>AFMA will be consulting with stakeholders through the South East Management Advisory Committee and concession holders in relation to the ongoing application of the Closures Direction</w:t>
      </w:r>
      <w:r w:rsidR="00A94ECA">
        <w:rPr>
          <w:color w:val="000000"/>
          <w:sz w:val="22"/>
          <w:szCs w:val="22"/>
          <w:shd w:val="clear" w:color="auto" w:fill="FFFFFF"/>
        </w:rPr>
        <w:t>.</w:t>
      </w:r>
      <w:r w:rsidR="00E5782F">
        <w:rPr>
          <w:color w:val="000000"/>
          <w:sz w:val="22"/>
          <w:szCs w:val="22"/>
          <w:shd w:val="clear" w:color="auto" w:fill="FFFFFF"/>
        </w:rPr>
        <w:t xml:space="preserve">  In those circumstances, pursuant to section 17 of the </w:t>
      </w:r>
      <w:r w:rsidR="00E5782F">
        <w:rPr>
          <w:i/>
          <w:color w:val="000000"/>
          <w:sz w:val="22"/>
          <w:szCs w:val="22"/>
          <w:shd w:val="clear" w:color="auto" w:fill="FFFFFF"/>
        </w:rPr>
        <w:t xml:space="preserve">Legislation Act </w:t>
      </w:r>
      <w:r w:rsidR="00E5782F" w:rsidRPr="00E5782F">
        <w:rPr>
          <w:i/>
          <w:color w:val="000000"/>
          <w:sz w:val="22"/>
          <w:szCs w:val="22"/>
          <w:shd w:val="clear" w:color="auto" w:fill="FFFFFF"/>
        </w:rPr>
        <w:t>2003</w:t>
      </w:r>
      <w:r w:rsidR="00E5782F">
        <w:rPr>
          <w:color w:val="000000"/>
          <w:sz w:val="22"/>
          <w:szCs w:val="22"/>
          <w:shd w:val="clear" w:color="auto" w:fill="FFFFFF"/>
        </w:rPr>
        <w:t xml:space="preserve">, </w:t>
      </w:r>
      <w:r w:rsidR="00E5782F" w:rsidRPr="00E5782F">
        <w:rPr>
          <w:color w:val="000000"/>
          <w:sz w:val="22"/>
          <w:szCs w:val="22"/>
          <w:shd w:val="clear" w:color="auto" w:fill="FFFFFF"/>
        </w:rPr>
        <w:t>AFMA</w:t>
      </w:r>
      <w:r w:rsidR="00E5782F">
        <w:rPr>
          <w:color w:val="000000"/>
          <w:sz w:val="22"/>
          <w:szCs w:val="22"/>
          <w:shd w:val="clear" w:color="auto" w:fill="FFFFFF"/>
        </w:rPr>
        <w:t xml:space="preserve"> considers it is appropriate and reasonably practicable not to undertake consultation in relation to this instrument</w:t>
      </w:r>
      <w:r w:rsidR="00850F60">
        <w:rPr>
          <w:color w:val="000000"/>
          <w:sz w:val="22"/>
          <w:szCs w:val="22"/>
          <w:shd w:val="clear" w:color="auto" w:fill="FFFFFF"/>
        </w:rPr>
        <w:t xml:space="preserve">. </w:t>
      </w:r>
    </w:p>
    <w:p w14:paraId="6CDA732D" w14:textId="77777777" w:rsidR="00AA451F" w:rsidRPr="00A345A9" w:rsidRDefault="00AA451F" w:rsidP="000F79B0">
      <w:pPr>
        <w:spacing w:before="360" w:line="276" w:lineRule="auto"/>
        <w:rPr>
          <w:b/>
          <w:color w:val="000000"/>
          <w:sz w:val="22"/>
          <w:szCs w:val="22"/>
          <w:shd w:val="clear" w:color="auto" w:fill="FFFFFF"/>
        </w:rPr>
      </w:pPr>
      <w:r w:rsidRPr="00A345A9">
        <w:rPr>
          <w:b/>
          <w:color w:val="000000"/>
          <w:sz w:val="22"/>
          <w:szCs w:val="22"/>
          <w:shd w:val="clear" w:color="auto" w:fill="FFFFFF"/>
        </w:rPr>
        <w:t>Regulation Impact Statement</w:t>
      </w:r>
    </w:p>
    <w:p w14:paraId="138188DA" w14:textId="77777777" w:rsidR="00AA451F" w:rsidRPr="00A345A9" w:rsidRDefault="00AA451F"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The Offic</w:t>
      </w:r>
      <w:r w:rsidR="00A20C56">
        <w:rPr>
          <w:color w:val="000000"/>
          <w:sz w:val="22"/>
          <w:szCs w:val="22"/>
          <w:shd w:val="clear" w:color="auto" w:fill="FFFFFF"/>
        </w:rPr>
        <w:t xml:space="preserve">e of Best Practice Regulation (OBPR) has previously advised that AFMA is not required to complete a regulatory impact statement for matters of a minor or machinery nature, including directing that fishing is not to be engaged in in part of a fishery (OBPR ID: 14421).  </w:t>
      </w:r>
    </w:p>
    <w:p w14:paraId="6B6BBE47" w14:textId="77777777" w:rsidR="00AA451F" w:rsidRDefault="00AA451F" w:rsidP="000F79B0">
      <w:pPr>
        <w:spacing w:before="360" w:line="276" w:lineRule="auto"/>
        <w:rPr>
          <w:sz w:val="22"/>
          <w:szCs w:val="22"/>
        </w:rPr>
      </w:pPr>
      <w:r w:rsidRPr="00A345A9">
        <w:rPr>
          <w:b/>
          <w:color w:val="000000"/>
          <w:sz w:val="22"/>
          <w:szCs w:val="22"/>
          <w:shd w:val="clear" w:color="auto" w:fill="FFFFFF"/>
        </w:rPr>
        <w:t>Statement</w:t>
      </w:r>
      <w:r w:rsidRPr="0004787C">
        <w:rPr>
          <w:b/>
          <w:sz w:val="22"/>
          <w:szCs w:val="22"/>
        </w:rPr>
        <w:t xml:space="preserve"> of compatibility prepared in accordance with Part 3 of the </w:t>
      </w:r>
      <w:r w:rsidRPr="00800E67">
        <w:rPr>
          <w:b/>
          <w:i/>
          <w:sz w:val="22"/>
          <w:szCs w:val="22"/>
        </w:rPr>
        <w:t xml:space="preserve">Human Rights (Parliamentary Scrutiny) Act 2011 </w:t>
      </w:r>
    </w:p>
    <w:p w14:paraId="1F6F94A5" w14:textId="77777777" w:rsidR="00AA451F" w:rsidRPr="00A345A9" w:rsidRDefault="00AA451F" w:rsidP="000F79B0">
      <w:pPr>
        <w:spacing w:before="120" w:line="276" w:lineRule="auto"/>
        <w:ind w:right="-1"/>
        <w:rPr>
          <w:color w:val="000000"/>
          <w:sz w:val="22"/>
          <w:szCs w:val="22"/>
          <w:shd w:val="clear" w:color="auto" w:fill="FFFFFF"/>
        </w:rPr>
      </w:pPr>
      <w:r>
        <w:rPr>
          <w:sz w:val="22"/>
          <w:szCs w:val="22"/>
        </w:rPr>
        <w:t xml:space="preserve">This legislative instrument does not infringe any of the applicable rights or freedoms recognised or declared in the </w:t>
      </w:r>
      <w:r w:rsidRPr="00A345A9">
        <w:rPr>
          <w:color w:val="000000"/>
          <w:sz w:val="22"/>
          <w:szCs w:val="22"/>
          <w:shd w:val="clear" w:color="auto" w:fill="FFFFFF"/>
        </w:rPr>
        <w:t xml:space="preserve">international instruments listed in section 3 of the </w:t>
      </w:r>
      <w:r w:rsidRPr="00A345A9">
        <w:rPr>
          <w:i/>
          <w:color w:val="000000"/>
          <w:sz w:val="22"/>
          <w:szCs w:val="22"/>
          <w:shd w:val="clear" w:color="auto" w:fill="FFFFFF"/>
        </w:rPr>
        <w:t>Human Rights (Parliamentary Scrutiny) Act 2011</w:t>
      </w:r>
      <w:r w:rsidRPr="00A345A9">
        <w:rPr>
          <w:color w:val="000000"/>
          <w:sz w:val="22"/>
          <w:szCs w:val="22"/>
          <w:shd w:val="clear" w:color="auto" w:fill="FFFFFF"/>
        </w:rPr>
        <w:t xml:space="preserve">. </w:t>
      </w:r>
    </w:p>
    <w:p w14:paraId="16A63252" w14:textId="77777777" w:rsidR="00A345A9" w:rsidRDefault="00AA451F"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Accordingly, in AFMA’s assessment, this legislative instrument is compatible with human rights and a</w:t>
      </w:r>
      <w:r w:rsidR="000F79B0">
        <w:rPr>
          <w:color w:val="000000"/>
          <w:sz w:val="22"/>
          <w:szCs w:val="22"/>
          <w:shd w:val="clear" w:color="auto" w:fill="FFFFFF"/>
        </w:rPr>
        <w:t xml:space="preserve"> declaration is included at Attachment B.  </w:t>
      </w:r>
    </w:p>
    <w:p w14:paraId="00E525FF" w14:textId="77777777" w:rsidR="000F79B0" w:rsidRDefault="000F79B0" w:rsidP="000F79B0">
      <w:pPr>
        <w:spacing w:before="0" w:after="200" w:line="276" w:lineRule="auto"/>
        <w:jc w:val="left"/>
        <w:rPr>
          <w:b/>
          <w:sz w:val="22"/>
          <w:szCs w:val="22"/>
        </w:rPr>
      </w:pPr>
      <w:r>
        <w:rPr>
          <w:b/>
          <w:sz w:val="22"/>
          <w:szCs w:val="22"/>
        </w:rPr>
        <w:br w:type="page"/>
      </w:r>
    </w:p>
    <w:p w14:paraId="71EF4F92" w14:textId="77777777" w:rsidR="000F79B0" w:rsidRDefault="000F79B0" w:rsidP="000F79B0">
      <w:pPr>
        <w:spacing w:before="360" w:after="120" w:line="276" w:lineRule="auto"/>
        <w:jc w:val="right"/>
        <w:rPr>
          <w:b/>
          <w:sz w:val="22"/>
          <w:szCs w:val="22"/>
        </w:rPr>
      </w:pPr>
      <w:r>
        <w:rPr>
          <w:b/>
          <w:sz w:val="22"/>
          <w:szCs w:val="22"/>
        </w:rPr>
        <w:lastRenderedPageBreak/>
        <w:t>Attachment A</w:t>
      </w:r>
    </w:p>
    <w:p w14:paraId="04CC8D21" w14:textId="77777777" w:rsidR="00AA451F" w:rsidRPr="000711C2" w:rsidRDefault="00AA451F" w:rsidP="000F79B0">
      <w:pPr>
        <w:spacing w:before="360" w:after="360" w:line="276" w:lineRule="auto"/>
        <w:jc w:val="center"/>
        <w:rPr>
          <w:b/>
          <w:sz w:val="22"/>
          <w:szCs w:val="22"/>
        </w:rPr>
      </w:pPr>
      <w:r w:rsidRPr="000711C2">
        <w:rPr>
          <w:b/>
          <w:sz w:val="22"/>
          <w:szCs w:val="22"/>
        </w:rPr>
        <w:t xml:space="preserve">Details of the </w:t>
      </w:r>
      <w:r w:rsidR="00687F31">
        <w:rPr>
          <w:b/>
          <w:sz w:val="22"/>
          <w:szCs w:val="22"/>
        </w:rPr>
        <w:t>Repeal</w:t>
      </w:r>
      <w:r w:rsidR="00BE4867">
        <w:rPr>
          <w:b/>
          <w:sz w:val="22"/>
          <w:szCs w:val="22"/>
        </w:rPr>
        <w:t xml:space="preserve"> Direction</w:t>
      </w:r>
    </w:p>
    <w:tbl>
      <w:tblPr>
        <w:tblW w:w="0" w:type="auto"/>
        <w:shd w:val="clear" w:color="auto" w:fill="FFFFFF"/>
        <w:tblCellMar>
          <w:left w:w="0" w:type="dxa"/>
          <w:right w:w="0" w:type="dxa"/>
        </w:tblCellMar>
        <w:tblLook w:val="04A0" w:firstRow="1" w:lastRow="0" w:firstColumn="1" w:lastColumn="0" w:noHBand="0" w:noVBand="1"/>
      </w:tblPr>
      <w:tblGrid>
        <w:gridCol w:w="1526"/>
        <w:gridCol w:w="7330"/>
      </w:tblGrid>
      <w:tr w:rsidR="00AA451F" w:rsidRPr="00B81404" w14:paraId="762080B5" w14:textId="77777777" w:rsidTr="00011AE8">
        <w:tc>
          <w:tcPr>
            <w:tcW w:w="1526" w:type="dxa"/>
            <w:shd w:val="clear" w:color="auto" w:fill="FFFFFF"/>
            <w:tcMar>
              <w:top w:w="0" w:type="dxa"/>
              <w:left w:w="108" w:type="dxa"/>
              <w:bottom w:w="0" w:type="dxa"/>
              <w:right w:w="108" w:type="dxa"/>
            </w:tcMar>
            <w:hideMark/>
          </w:tcPr>
          <w:p w14:paraId="364ED805" w14:textId="77777777" w:rsidR="00AA451F" w:rsidRPr="00BE23D9" w:rsidRDefault="000711C2" w:rsidP="000F79B0">
            <w:pPr>
              <w:keepNext/>
              <w:spacing w:before="0" w:after="240" w:line="276" w:lineRule="auto"/>
              <w:rPr>
                <w:color w:val="000000"/>
                <w:szCs w:val="24"/>
              </w:rPr>
            </w:pPr>
            <w:r>
              <w:rPr>
                <w:b/>
                <w:bCs/>
                <w:iCs/>
                <w:color w:val="000000"/>
                <w:sz w:val="22"/>
                <w:szCs w:val="22"/>
              </w:rPr>
              <w:t>Section</w:t>
            </w:r>
            <w:r w:rsidR="00AA451F" w:rsidRPr="00BE23D9">
              <w:rPr>
                <w:b/>
                <w:bCs/>
                <w:iCs/>
                <w:color w:val="000000"/>
                <w:sz w:val="22"/>
                <w:szCs w:val="22"/>
              </w:rPr>
              <w:t xml:space="preserve"> 1</w:t>
            </w:r>
          </w:p>
        </w:tc>
        <w:tc>
          <w:tcPr>
            <w:tcW w:w="7330" w:type="dxa"/>
            <w:shd w:val="clear" w:color="auto" w:fill="FFFFFF"/>
            <w:tcMar>
              <w:top w:w="0" w:type="dxa"/>
              <w:left w:w="108" w:type="dxa"/>
              <w:bottom w:w="0" w:type="dxa"/>
              <w:right w:w="108" w:type="dxa"/>
            </w:tcMar>
            <w:hideMark/>
          </w:tcPr>
          <w:p w14:paraId="09C21807" w14:textId="17B029CF" w:rsidR="00AA451F" w:rsidRPr="000711C2" w:rsidRDefault="000711C2" w:rsidP="00E867BF">
            <w:pPr>
              <w:shd w:val="clear" w:color="auto" w:fill="FFFFFF"/>
              <w:spacing w:before="0" w:after="240" w:line="276" w:lineRule="auto"/>
              <w:rPr>
                <w:color w:val="000000"/>
                <w:szCs w:val="24"/>
              </w:rPr>
            </w:pPr>
            <w:r>
              <w:rPr>
                <w:color w:val="000000"/>
                <w:sz w:val="22"/>
                <w:szCs w:val="22"/>
              </w:rPr>
              <w:t xml:space="preserve">Provides that the name of the </w:t>
            </w:r>
            <w:r w:rsidR="00E867BF">
              <w:rPr>
                <w:color w:val="000000"/>
                <w:sz w:val="22"/>
                <w:szCs w:val="22"/>
              </w:rPr>
              <w:t>instrument</w:t>
            </w:r>
            <w:r>
              <w:rPr>
                <w:color w:val="000000"/>
                <w:sz w:val="22"/>
                <w:szCs w:val="22"/>
              </w:rPr>
              <w:t xml:space="preserve"> is the </w:t>
            </w:r>
            <w:r>
              <w:rPr>
                <w:i/>
                <w:color w:val="000000"/>
                <w:sz w:val="22"/>
                <w:szCs w:val="22"/>
              </w:rPr>
              <w:t xml:space="preserve">Southern and Eastern </w:t>
            </w:r>
            <w:proofErr w:type="spellStart"/>
            <w:r>
              <w:rPr>
                <w:i/>
                <w:color w:val="000000"/>
                <w:sz w:val="22"/>
                <w:szCs w:val="22"/>
              </w:rPr>
              <w:t>Scalefish</w:t>
            </w:r>
            <w:proofErr w:type="spellEnd"/>
            <w:r>
              <w:rPr>
                <w:i/>
                <w:color w:val="000000"/>
                <w:sz w:val="22"/>
                <w:szCs w:val="22"/>
              </w:rPr>
              <w:t xml:space="preserve"> and Shark Fishery (Closures</w:t>
            </w:r>
            <w:r w:rsidR="00CA75A6">
              <w:rPr>
                <w:i/>
                <w:color w:val="000000"/>
                <w:sz w:val="22"/>
                <w:szCs w:val="22"/>
              </w:rPr>
              <w:t xml:space="preserve"> Variation</w:t>
            </w:r>
            <w:r w:rsidR="00687F31">
              <w:rPr>
                <w:i/>
                <w:color w:val="000000"/>
                <w:sz w:val="22"/>
                <w:szCs w:val="22"/>
              </w:rPr>
              <w:t>)</w:t>
            </w:r>
            <w:r>
              <w:rPr>
                <w:i/>
                <w:color w:val="000000"/>
                <w:sz w:val="22"/>
                <w:szCs w:val="22"/>
              </w:rPr>
              <w:t xml:space="preserve"> Direction </w:t>
            </w:r>
            <w:r w:rsidR="00E867BF">
              <w:rPr>
                <w:i/>
                <w:color w:val="000000"/>
                <w:sz w:val="22"/>
                <w:szCs w:val="22"/>
              </w:rPr>
              <w:t xml:space="preserve">(No. 2) </w:t>
            </w:r>
            <w:r>
              <w:rPr>
                <w:i/>
                <w:color w:val="000000"/>
                <w:sz w:val="22"/>
                <w:szCs w:val="22"/>
              </w:rPr>
              <w:t>2019</w:t>
            </w:r>
            <w:r>
              <w:rPr>
                <w:color w:val="000000"/>
                <w:sz w:val="22"/>
                <w:szCs w:val="22"/>
              </w:rPr>
              <w:t xml:space="preserve">.  </w:t>
            </w:r>
          </w:p>
        </w:tc>
      </w:tr>
      <w:tr w:rsidR="00AA451F" w:rsidRPr="00B81404" w14:paraId="294C92F6" w14:textId="77777777" w:rsidTr="00011AE8">
        <w:tc>
          <w:tcPr>
            <w:tcW w:w="1526" w:type="dxa"/>
            <w:shd w:val="clear" w:color="auto" w:fill="FFFFFF"/>
            <w:tcMar>
              <w:top w:w="0" w:type="dxa"/>
              <w:left w:w="108" w:type="dxa"/>
              <w:bottom w:w="0" w:type="dxa"/>
              <w:right w:w="108" w:type="dxa"/>
            </w:tcMar>
            <w:hideMark/>
          </w:tcPr>
          <w:p w14:paraId="57F69A7C" w14:textId="77777777" w:rsidR="00AA451F" w:rsidRPr="00BE23D9" w:rsidRDefault="000711C2" w:rsidP="000F79B0">
            <w:pPr>
              <w:spacing w:before="0" w:after="240" w:line="276" w:lineRule="auto"/>
              <w:rPr>
                <w:color w:val="000000"/>
                <w:szCs w:val="24"/>
              </w:rPr>
            </w:pPr>
            <w:r>
              <w:rPr>
                <w:b/>
                <w:bCs/>
                <w:iCs/>
                <w:color w:val="000000"/>
                <w:sz w:val="22"/>
                <w:szCs w:val="22"/>
              </w:rPr>
              <w:t>Section</w:t>
            </w:r>
            <w:r w:rsidR="00AA451F" w:rsidRPr="00BE23D9">
              <w:rPr>
                <w:b/>
                <w:bCs/>
                <w:iCs/>
                <w:color w:val="000000"/>
                <w:sz w:val="22"/>
                <w:szCs w:val="22"/>
              </w:rPr>
              <w:t xml:space="preserve"> 2</w:t>
            </w:r>
          </w:p>
        </w:tc>
        <w:tc>
          <w:tcPr>
            <w:tcW w:w="7330" w:type="dxa"/>
            <w:shd w:val="clear" w:color="auto" w:fill="FFFFFF"/>
            <w:tcMar>
              <w:top w:w="0" w:type="dxa"/>
              <w:left w:w="108" w:type="dxa"/>
              <w:bottom w:w="0" w:type="dxa"/>
              <w:right w:w="108" w:type="dxa"/>
            </w:tcMar>
            <w:hideMark/>
          </w:tcPr>
          <w:p w14:paraId="2A917545" w14:textId="77777777" w:rsidR="00AA451F" w:rsidRPr="00B81404" w:rsidRDefault="00AA451F" w:rsidP="00E867BF">
            <w:pPr>
              <w:spacing w:before="0" w:after="240" w:line="276" w:lineRule="auto"/>
              <w:rPr>
                <w:color w:val="000000"/>
                <w:szCs w:val="24"/>
              </w:rPr>
            </w:pPr>
            <w:r w:rsidRPr="00B81404">
              <w:rPr>
                <w:color w:val="000000"/>
                <w:sz w:val="22"/>
                <w:szCs w:val="22"/>
              </w:rPr>
              <w:t>Provides that the</w:t>
            </w:r>
            <w:r w:rsidR="000711C2">
              <w:rPr>
                <w:color w:val="000000"/>
                <w:sz w:val="22"/>
                <w:szCs w:val="22"/>
              </w:rPr>
              <w:t xml:space="preserve"> </w:t>
            </w:r>
            <w:r w:rsidR="00E867BF">
              <w:rPr>
                <w:color w:val="000000"/>
                <w:sz w:val="22"/>
                <w:szCs w:val="22"/>
              </w:rPr>
              <w:t>instrument</w:t>
            </w:r>
            <w:r w:rsidRPr="00B81404">
              <w:rPr>
                <w:color w:val="000000"/>
                <w:sz w:val="22"/>
                <w:szCs w:val="22"/>
              </w:rPr>
              <w:t xml:space="preserve"> commences on </w:t>
            </w:r>
            <w:r w:rsidR="00687F31">
              <w:rPr>
                <w:color w:val="000000"/>
                <w:sz w:val="22"/>
                <w:szCs w:val="22"/>
              </w:rPr>
              <w:t>16</w:t>
            </w:r>
            <w:r w:rsidR="00CA75A6">
              <w:rPr>
                <w:color w:val="000000"/>
                <w:sz w:val="22"/>
                <w:szCs w:val="22"/>
              </w:rPr>
              <w:t> </w:t>
            </w:r>
            <w:r w:rsidR="00687F31">
              <w:rPr>
                <w:color w:val="000000"/>
                <w:sz w:val="22"/>
                <w:szCs w:val="22"/>
              </w:rPr>
              <w:t>September</w:t>
            </w:r>
            <w:r w:rsidR="00CA75A6">
              <w:rPr>
                <w:color w:val="000000"/>
                <w:sz w:val="22"/>
                <w:szCs w:val="22"/>
              </w:rPr>
              <w:t> </w:t>
            </w:r>
            <w:r w:rsidR="00687F31">
              <w:rPr>
                <w:color w:val="000000"/>
                <w:sz w:val="22"/>
                <w:szCs w:val="22"/>
              </w:rPr>
              <w:t>2019</w:t>
            </w:r>
            <w:r w:rsidRPr="00B81404">
              <w:rPr>
                <w:color w:val="000000"/>
                <w:sz w:val="22"/>
                <w:szCs w:val="22"/>
              </w:rPr>
              <w:t>.</w:t>
            </w:r>
          </w:p>
        </w:tc>
      </w:tr>
      <w:tr w:rsidR="00AA451F" w:rsidRPr="00B81404" w14:paraId="3FC49164" w14:textId="77777777" w:rsidTr="00011AE8">
        <w:tc>
          <w:tcPr>
            <w:tcW w:w="1526" w:type="dxa"/>
            <w:shd w:val="clear" w:color="auto" w:fill="FFFFFF"/>
            <w:tcMar>
              <w:top w:w="0" w:type="dxa"/>
              <w:left w:w="108" w:type="dxa"/>
              <w:bottom w:w="0" w:type="dxa"/>
              <w:right w:w="108" w:type="dxa"/>
            </w:tcMar>
            <w:hideMark/>
          </w:tcPr>
          <w:p w14:paraId="79AEB85D" w14:textId="77777777" w:rsidR="00AA451F" w:rsidRPr="00BE23D9" w:rsidRDefault="000711C2" w:rsidP="000F79B0">
            <w:pPr>
              <w:spacing w:before="0" w:after="240" w:line="276" w:lineRule="auto"/>
              <w:rPr>
                <w:color w:val="000000"/>
                <w:szCs w:val="24"/>
              </w:rPr>
            </w:pPr>
            <w:r>
              <w:rPr>
                <w:b/>
                <w:bCs/>
                <w:iCs/>
                <w:color w:val="000000"/>
                <w:sz w:val="22"/>
                <w:szCs w:val="22"/>
              </w:rPr>
              <w:t>Section</w:t>
            </w:r>
            <w:r w:rsidR="00AA451F" w:rsidRPr="00BE23D9">
              <w:rPr>
                <w:b/>
                <w:bCs/>
                <w:iCs/>
                <w:color w:val="000000"/>
                <w:sz w:val="22"/>
                <w:szCs w:val="22"/>
              </w:rPr>
              <w:t xml:space="preserve"> 3</w:t>
            </w:r>
          </w:p>
        </w:tc>
        <w:tc>
          <w:tcPr>
            <w:tcW w:w="7330" w:type="dxa"/>
            <w:shd w:val="clear" w:color="auto" w:fill="FFFFFF"/>
            <w:tcMar>
              <w:top w:w="0" w:type="dxa"/>
              <w:left w:w="108" w:type="dxa"/>
              <w:bottom w:w="0" w:type="dxa"/>
              <w:right w:w="108" w:type="dxa"/>
            </w:tcMar>
            <w:hideMark/>
          </w:tcPr>
          <w:p w14:paraId="3EE3AF30" w14:textId="77777777" w:rsidR="00AA451F" w:rsidRPr="00B81404" w:rsidRDefault="000711C2" w:rsidP="00E867BF">
            <w:pPr>
              <w:spacing w:before="0" w:after="240" w:line="276" w:lineRule="auto"/>
              <w:rPr>
                <w:color w:val="000000"/>
                <w:szCs w:val="24"/>
              </w:rPr>
            </w:pPr>
            <w:r>
              <w:rPr>
                <w:color w:val="000000"/>
                <w:sz w:val="22"/>
                <w:szCs w:val="22"/>
              </w:rPr>
              <w:t xml:space="preserve">Provides that the </w:t>
            </w:r>
            <w:r w:rsidR="00E867BF">
              <w:rPr>
                <w:color w:val="000000"/>
                <w:sz w:val="22"/>
                <w:szCs w:val="22"/>
              </w:rPr>
              <w:t>instrument</w:t>
            </w:r>
            <w:r>
              <w:rPr>
                <w:color w:val="000000"/>
                <w:sz w:val="22"/>
                <w:szCs w:val="22"/>
              </w:rPr>
              <w:t xml:space="preserve"> is made under subsection </w:t>
            </w:r>
            <w:proofErr w:type="gramStart"/>
            <w:r>
              <w:rPr>
                <w:color w:val="000000"/>
                <w:sz w:val="22"/>
                <w:szCs w:val="22"/>
              </w:rPr>
              <w:t>41A(</w:t>
            </w:r>
            <w:proofErr w:type="gramEnd"/>
            <w:r>
              <w:rPr>
                <w:color w:val="000000"/>
                <w:sz w:val="22"/>
                <w:szCs w:val="22"/>
              </w:rPr>
              <w:t xml:space="preserve">3) of the </w:t>
            </w:r>
            <w:r w:rsidR="00FF5AB2">
              <w:rPr>
                <w:i/>
                <w:color w:val="000000"/>
                <w:sz w:val="22"/>
                <w:szCs w:val="22"/>
              </w:rPr>
              <w:t>Fisheries Management Act 1991</w:t>
            </w:r>
            <w:r w:rsidR="00CA75A6">
              <w:rPr>
                <w:i/>
                <w:color w:val="000000"/>
                <w:sz w:val="22"/>
                <w:szCs w:val="22"/>
              </w:rPr>
              <w:t xml:space="preserve"> </w:t>
            </w:r>
            <w:r w:rsidR="00CA75A6" w:rsidRPr="002C7401">
              <w:rPr>
                <w:color w:val="000000"/>
                <w:sz w:val="22"/>
                <w:szCs w:val="22"/>
              </w:rPr>
              <w:t>and subsection 33(3) of the</w:t>
            </w:r>
            <w:r w:rsidR="00CA75A6">
              <w:rPr>
                <w:i/>
                <w:color w:val="000000"/>
                <w:sz w:val="22"/>
                <w:szCs w:val="22"/>
              </w:rPr>
              <w:t xml:space="preserve"> Acts Interpretation Act 1901</w:t>
            </w:r>
            <w:r>
              <w:rPr>
                <w:color w:val="000000"/>
                <w:sz w:val="22"/>
                <w:szCs w:val="22"/>
              </w:rPr>
              <w:t xml:space="preserve">.  </w:t>
            </w:r>
          </w:p>
        </w:tc>
      </w:tr>
      <w:tr w:rsidR="00AA451F" w:rsidRPr="00B81404" w14:paraId="41EAE830" w14:textId="77777777" w:rsidTr="00011AE8">
        <w:tc>
          <w:tcPr>
            <w:tcW w:w="1526" w:type="dxa"/>
            <w:shd w:val="clear" w:color="auto" w:fill="FFFFFF"/>
            <w:tcMar>
              <w:top w:w="0" w:type="dxa"/>
              <w:left w:w="108" w:type="dxa"/>
              <w:bottom w:w="0" w:type="dxa"/>
              <w:right w:w="108" w:type="dxa"/>
            </w:tcMar>
            <w:hideMark/>
          </w:tcPr>
          <w:p w14:paraId="730A71B5" w14:textId="77777777" w:rsidR="00AA451F" w:rsidRPr="00BE23D9" w:rsidRDefault="000711C2" w:rsidP="000F79B0">
            <w:pPr>
              <w:spacing w:before="0" w:after="240" w:line="276" w:lineRule="auto"/>
              <w:rPr>
                <w:color w:val="000000"/>
                <w:szCs w:val="24"/>
              </w:rPr>
            </w:pPr>
            <w:r>
              <w:rPr>
                <w:b/>
                <w:bCs/>
                <w:iCs/>
                <w:color w:val="000000"/>
                <w:sz w:val="22"/>
                <w:szCs w:val="22"/>
              </w:rPr>
              <w:t>Section</w:t>
            </w:r>
            <w:r w:rsidR="00AA451F" w:rsidRPr="00BE23D9">
              <w:rPr>
                <w:b/>
                <w:bCs/>
                <w:iCs/>
                <w:color w:val="000000"/>
                <w:sz w:val="22"/>
                <w:szCs w:val="22"/>
              </w:rPr>
              <w:t xml:space="preserve"> 4</w:t>
            </w:r>
          </w:p>
        </w:tc>
        <w:tc>
          <w:tcPr>
            <w:tcW w:w="7330" w:type="dxa"/>
            <w:shd w:val="clear" w:color="auto" w:fill="FFFFFF"/>
            <w:tcMar>
              <w:top w:w="0" w:type="dxa"/>
              <w:left w:w="108" w:type="dxa"/>
              <w:bottom w:w="0" w:type="dxa"/>
              <w:right w:w="108" w:type="dxa"/>
            </w:tcMar>
            <w:hideMark/>
          </w:tcPr>
          <w:p w14:paraId="72B9186C" w14:textId="77777777" w:rsidR="00AA451F" w:rsidRPr="00AA3262" w:rsidRDefault="000711C2" w:rsidP="00E867BF">
            <w:pPr>
              <w:spacing w:before="0" w:after="240" w:line="276" w:lineRule="auto"/>
              <w:rPr>
                <w:color w:val="000000"/>
                <w:sz w:val="22"/>
                <w:szCs w:val="22"/>
              </w:rPr>
            </w:pPr>
            <w:r>
              <w:rPr>
                <w:color w:val="000000"/>
                <w:sz w:val="22"/>
                <w:szCs w:val="22"/>
              </w:rPr>
              <w:t xml:space="preserve">Gives effect to Schedule 1 of the </w:t>
            </w:r>
            <w:r w:rsidR="00E867BF">
              <w:rPr>
                <w:color w:val="000000"/>
                <w:sz w:val="22"/>
                <w:szCs w:val="22"/>
              </w:rPr>
              <w:t>instrument</w:t>
            </w:r>
            <w:r>
              <w:rPr>
                <w:color w:val="000000"/>
                <w:sz w:val="22"/>
                <w:szCs w:val="22"/>
              </w:rPr>
              <w:t xml:space="preserve">.  </w:t>
            </w:r>
          </w:p>
        </w:tc>
      </w:tr>
      <w:tr w:rsidR="00AA451F" w:rsidRPr="000711C2" w14:paraId="3524CCB5" w14:textId="77777777" w:rsidTr="000711C2">
        <w:tc>
          <w:tcPr>
            <w:tcW w:w="1526" w:type="dxa"/>
            <w:shd w:val="clear" w:color="auto" w:fill="FFFFFF"/>
            <w:tcMar>
              <w:top w:w="0" w:type="dxa"/>
              <w:left w:w="108" w:type="dxa"/>
              <w:bottom w:w="0" w:type="dxa"/>
              <w:right w:w="108" w:type="dxa"/>
            </w:tcMar>
          </w:tcPr>
          <w:p w14:paraId="6BDA4423" w14:textId="77777777" w:rsidR="00AA451F" w:rsidRPr="000711C2" w:rsidRDefault="000711C2" w:rsidP="000F79B0">
            <w:pPr>
              <w:spacing w:before="0" w:after="240" w:line="276" w:lineRule="auto"/>
              <w:rPr>
                <w:b/>
                <w:color w:val="000000"/>
                <w:sz w:val="22"/>
                <w:szCs w:val="24"/>
              </w:rPr>
            </w:pPr>
            <w:r w:rsidRPr="000711C2">
              <w:rPr>
                <w:b/>
                <w:color w:val="000000"/>
                <w:sz w:val="22"/>
                <w:szCs w:val="24"/>
              </w:rPr>
              <w:t>Schedule 1</w:t>
            </w:r>
          </w:p>
        </w:tc>
        <w:tc>
          <w:tcPr>
            <w:tcW w:w="7330" w:type="dxa"/>
            <w:shd w:val="clear" w:color="auto" w:fill="FFFFFF"/>
            <w:tcMar>
              <w:top w:w="0" w:type="dxa"/>
              <w:left w:w="108" w:type="dxa"/>
              <w:bottom w:w="0" w:type="dxa"/>
              <w:right w:w="108" w:type="dxa"/>
            </w:tcMar>
          </w:tcPr>
          <w:p w14:paraId="2F74F697" w14:textId="77777777" w:rsidR="00AA451F" w:rsidRPr="000711C2" w:rsidRDefault="00AA451F" w:rsidP="000F79B0">
            <w:pPr>
              <w:spacing w:before="0" w:after="240" w:line="276" w:lineRule="auto"/>
              <w:rPr>
                <w:b/>
                <w:color w:val="000000"/>
                <w:sz w:val="22"/>
                <w:szCs w:val="24"/>
              </w:rPr>
            </w:pPr>
          </w:p>
        </w:tc>
      </w:tr>
      <w:tr w:rsidR="00AA451F" w:rsidRPr="00B81404" w14:paraId="0C3466A3" w14:textId="77777777" w:rsidTr="00011AE8">
        <w:tc>
          <w:tcPr>
            <w:tcW w:w="1526" w:type="dxa"/>
            <w:shd w:val="clear" w:color="auto" w:fill="FFFFFF"/>
            <w:tcMar>
              <w:top w:w="0" w:type="dxa"/>
              <w:left w:w="108" w:type="dxa"/>
              <w:bottom w:w="0" w:type="dxa"/>
              <w:right w:w="108" w:type="dxa"/>
            </w:tcMar>
          </w:tcPr>
          <w:p w14:paraId="5FCE0B07" w14:textId="77777777" w:rsidR="00AA451F" w:rsidRPr="00BE23D9" w:rsidRDefault="000711C2" w:rsidP="000F79B0">
            <w:pPr>
              <w:spacing w:before="0" w:after="240" w:line="276" w:lineRule="auto"/>
              <w:rPr>
                <w:b/>
                <w:bCs/>
                <w:iCs/>
                <w:color w:val="000000"/>
                <w:sz w:val="22"/>
                <w:szCs w:val="22"/>
              </w:rPr>
            </w:pPr>
            <w:r>
              <w:rPr>
                <w:b/>
                <w:bCs/>
                <w:iCs/>
                <w:color w:val="000000"/>
                <w:sz w:val="22"/>
                <w:szCs w:val="22"/>
              </w:rPr>
              <w:t>Clause 1</w:t>
            </w:r>
          </w:p>
        </w:tc>
        <w:tc>
          <w:tcPr>
            <w:tcW w:w="7330" w:type="dxa"/>
            <w:shd w:val="clear" w:color="auto" w:fill="FFFFFF"/>
            <w:tcMar>
              <w:top w:w="0" w:type="dxa"/>
              <w:left w:w="108" w:type="dxa"/>
              <w:bottom w:w="0" w:type="dxa"/>
              <w:right w:w="108" w:type="dxa"/>
            </w:tcMar>
          </w:tcPr>
          <w:p w14:paraId="7E89EC1F" w14:textId="4713040D" w:rsidR="00F81B72" w:rsidRPr="000F79B0" w:rsidRDefault="00687F31" w:rsidP="001019EC">
            <w:pPr>
              <w:shd w:val="clear" w:color="auto" w:fill="FFFFFF"/>
              <w:spacing w:before="0" w:after="240" w:line="276" w:lineRule="auto"/>
              <w:rPr>
                <w:color w:val="000000"/>
                <w:sz w:val="22"/>
                <w:szCs w:val="22"/>
              </w:rPr>
            </w:pPr>
            <w:r>
              <w:rPr>
                <w:color w:val="000000"/>
                <w:sz w:val="22"/>
                <w:szCs w:val="22"/>
              </w:rPr>
              <w:t>Repeal</w:t>
            </w:r>
            <w:r w:rsidR="00A94ECA">
              <w:rPr>
                <w:color w:val="000000"/>
                <w:sz w:val="22"/>
                <w:szCs w:val="22"/>
              </w:rPr>
              <w:t>s</w:t>
            </w:r>
            <w:r w:rsidR="00AA451F">
              <w:rPr>
                <w:color w:val="000000"/>
                <w:sz w:val="22"/>
                <w:szCs w:val="22"/>
              </w:rPr>
              <w:t xml:space="preserve"> the </w:t>
            </w:r>
            <w:r w:rsidR="00FF5AB2">
              <w:rPr>
                <w:i/>
                <w:color w:val="000000"/>
                <w:sz w:val="22"/>
                <w:szCs w:val="22"/>
              </w:rPr>
              <w:t xml:space="preserve">Southern and Eastern </w:t>
            </w:r>
            <w:proofErr w:type="spellStart"/>
            <w:r w:rsidR="00FF5AB2">
              <w:rPr>
                <w:i/>
                <w:color w:val="000000"/>
                <w:sz w:val="22"/>
                <w:szCs w:val="22"/>
              </w:rPr>
              <w:t>Scalefish</w:t>
            </w:r>
            <w:proofErr w:type="spellEnd"/>
            <w:r w:rsidR="00FF5AB2">
              <w:rPr>
                <w:i/>
                <w:color w:val="000000"/>
                <w:sz w:val="22"/>
                <w:szCs w:val="22"/>
              </w:rPr>
              <w:t xml:space="preserve"> and Shark Fishery (Closures</w:t>
            </w:r>
            <w:r w:rsidR="00CA75A6">
              <w:rPr>
                <w:i/>
                <w:color w:val="000000"/>
                <w:sz w:val="22"/>
                <w:szCs w:val="22"/>
              </w:rPr>
              <w:t xml:space="preserve"> Variation</w:t>
            </w:r>
            <w:r w:rsidR="00FF5AB2">
              <w:rPr>
                <w:i/>
                <w:color w:val="000000"/>
                <w:sz w:val="22"/>
                <w:szCs w:val="22"/>
              </w:rPr>
              <w:t xml:space="preserve">) Direction </w:t>
            </w:r>
            <w:r w:rsidR="00CA75A6">
              <w:rPr>
                <w:i/>
                <w:color w:val="000000"/>
                <w:sz w:val="22"/>
                <w:szCs w:val="22"/>
              </w:rPr>
              <w:t>2019</w:t>
            </w:r>
            <w:r w:rsidR="00C93E95">
              <w:rPr>
                <w:i/>
                <w:color w:val="000000"/>
                <w:sz w:val="22"/>
                <w:szCs w:val="22"/>
              </w:rPr>
              <w:t xml:space="preserve"> </w:t>
            </w:r>
            <w:r w:rsidR="00C93E95" w:rsidRPr="00930214">
              <w:rPr>
                <w:color w:val="000000"/>
                <w:sz w:val="22"/>
                <w:szCs w:val="22"/>
              </w:rPr>
              <w:t>(the Variation Direction)</w:t>
            </w:r>
            <w:r w:rsidR="001019EC">
              <w:rPr>
                <w:color w:val="000000"/>
                <w:sz w:val="22"/>
                <w:szCs w:val="22"/>
              </w:rPr>
              <w:t xml:space="preserve"> </w:t>
            </w:r>
            <w:r w:rsidR="00DD5027">
              <w:rPr>
                <w:color w:val="000000"/>
                <w:sz w:val="22"/>
                <w:szCs w:val="22"/>
              </w:rPr>
              <w:t>with the provisions repealed by th</w:t>
            </w:r>
            <w:r w:rsidR="001019EC">
              <w:rPr>
                <w:color w:val="000000"/>
                <w:sz w:val="22"/>
                <w:szCs w:val="22"/>
              </w:rPr>
              <w:t>e Variation Direction</w:t>
            </w:r>
            <w:r w:rsidR="00DD5027">
              <w:rPr>
                <w:color w:val="000000"/>
                <w:sz w:val="22"/>
                <w:szCs w:val="22"/>
              </w:rPr>
              <w:t xml:space="preserve"> being revived on 16 September 2019 as if the repealing provision</w:t>
            </w:r>
            <w:r w:rsidR="008624A9">
              <w:rPr>
                <w:color w:val="000000"/>
                <w:sz w:val="22"/>
                <w:szCs w:val="22"/>
              </w:rPr>
              <w:t>s</w:t>
            </w:r>
            <w:r w:rsidR="00DD5027">
              <w:rPr>
                <w:color w:val="000000"/>
                <w:sz w:val="22"/>
                <w:szCs w:val="22"/>
              </w:rPr>
              <w:t xml:space="preserve"> had not been made</w:t>
            </w:r>
            <w:r w:rsidR="001019EC">
              <w:rPr>
                <w:color w:val="000000"/>
                <w:sz w:val="22"/>
                <w:szCs w:val="22"/>
              </w:rPr>
              <w:t xml:space="preserve"> (i</w:t>
            </w:r>
            <w:r w:rsidR="00297C97">
              <w:rPr>
                <w:color w:val="000000"/>
                <w:sz w:val="22"/>
                <w:szCs w:val="22"/>
              </w:rPr>
              <w:t>.</w:t>
            </w:r>
            <w:r w:rsidR="001019EC">
              <w:rPr>
                <w:color w:val="000000"/>
                <w:sz w:val="22"/>
                <w:szCs w:val="22"/>
              </w:rPr>
              <w:t>e</w:t>
            </w:r>
            <w:r w:rsidR="00297C97">
              <w:rPr>
                <w:color w:val="000000"/>
                <w:sz w:val="22"/>
                <w:szCs w:val="22"/>
              </w:rPr>
              <w:t>.</w:t>
            </w:r>
            <w:r w:rsidR="001019EC">
              <w:rPr>
                <w:color w:val="000000"/>
                <w:sz w:val="22"/>
                <w:szCs w:val="22"/>
              </w:rPr>
              <w:t xml:space="preserve"> it</w:t>
            </w:r>
            <w:r w:rsidR="00BC7500">
              <w:rPr>
                <w:color w:val="000000"/>
                <w:sz w:val="22"/>
                <w:szCs w:val="22"/>
              </w:rPr>
              <w:t xml:space="preserve"> revives clause 7 of the </w:t>
            </w:r>
            <w:r w:rsidR="00BC7500" w:rsidRPr="00297C97">
              <w:rPr>
                <w:i/>
                <w:color w:val="000000"/>
                <w:sz w:val="22"/>
                <w:szCs w:val="22"/>
              </w:rPr>
              <w:t xml:space="preserve">Southern and Eastern </w:t>
            </w:r>
            <w:proofErr w:type="spellStart"/>
            <w:r w:rsidR="00BC7500" w:rsidRPr="00297C97">
              <w:rPr>
                <w:i/>
                <w:color w:val="000000"/>
                <w:sz w:val="22"/>
                <w:szCs w:val="22"/>
              </w:rPr>
              <w:t>Scalefish</w:t>
            </w:r>
            <w:proofErr w:type="spellEnd"/>
            <w:r w:rsidR="00BC7500" w:rsidRPr="00297C97">
              <w:rPr>
                <w:i/>
                <w:color w:val="000000"/>
                <w:sz w:val="22"/>
                <w:szCs w:val="22"/>
              </w:rPr>
              <w:t xml:space="preserve"> and Shark Fishery (Closures) Direction No. 2 2015</w:t>
            </w:r>
            <w:r w:rsidR="001019EC">
              <w:rPr>
                <w:i/>
                <w:color w:val="000000"/>
                <w:sz w:val="22"/>
                <w:szCs w:val="22"/>
              </w:rPr>
              <w:t>).</w:t>
            </w:r>
            <w:r w:rsidR="000711C2">
              <w:rPr>
                <w:color w:val="000000"/>
                <w:sz w:val="22"/>
                <w:szCs w:val="22"/>
              </w:rPr>
              <w:t xml:space="preserve">  </w:t>
            </w:r>
          </w:p>
        </w:tc>
      </w:tr>
    </w:tbl>
    <w:p w14:paraId="51523AFA" w14:textId="77777777" w:rsidR="00AA451F" w:rsidRDefault="00A345A9" w:rsidP="000F79B0">
      <w:pPr>
        <w:spacing w:before="0" w:after="200" w:line="276" w:lineRule="auto"/>
        <w:jc w:val="left"/>
        <w:rPr>
          <w:color w:val="000000"/>
          <w:szCs w:val="24"/>
        </w:rPr>
      </w:pPr>
      <w:r>
        <w:rPr>
          <w:color w:val="000000"/>
          <w:szCs w:val="24"/>
        </w:rPr>
        <w:br w:type="page"/>
      </w:r>
    </w:p>
    <w:p w14:paraId="5AAD78C3" w14:textId="77777777" w:rsidR="000F79B0" w:rsidRDefault="000F79B0" w:rsidP="000F79B0">
      <w:pPr>
        <w:spacing w:after="360" w:line="276" w:lineRule="auto"/>
        <w:jc w:val="right"/>
        <w:rPr>
          <w:b/>
          <w:sz w:val="22"/>
        </w:rPr>
      </w:pPr>
      <w:r>
        <w:rPr>
          <w:b/>
          <w:sz w:val="22"/>
        </w:rPr>
        <w:lastRenderedPageBreak/>
        <w:t xml:space="preserve">Attachment B  </w:t>
      </w:r>
    </w:p>
    <w:p w14:paraId="4BFEB8EA" w14:textId="77777777" w:rsidR="000F79B0" w:rsidRPr="000711C2" w:rsidRDefault="000F79B0" w:rsidP="00FF5AB2">
      <w:pPr>
        <w:spacing w:before="240" w:after="240" w:line="276" w:lineRule="auto"/>
        <w:jc w:val="center"/>
        <w:rPr>
          <w:b/>
          <w:sz w:val="22"/>
          <w:szCs w:val="22"/>
        </w:rPr>
      </w:pPr>
      <w:r w:rsidRPr="000711C2">
        <w:rPr>
          <w:b/>
          <w:sz w:val="22"/>
          <w:szCs w:val="22"/>
        </w:rPr>
        <w:t>Statement of Compatibility with Human Rights</w:t>
      </w:r>
    </w:p>
    <w:p w14:paraId="0608CE51" w14:textId="77777777" w:rsidR="000F79B0" w:rsidRPr="000711C2" w:rsidRDefault="000F79B0" w:rsidP="00FF5AB2">
      <w:pPr>
        <w:spacing w:before="240" w:after="240" w:line="276" w:lineRule="auto"/>
        <w:jc w:val="center"/>
        <w:rPr>
          <w:sz w:val="22"/>
          <w:szCs w:val="22"/>
        </w:rPr>
      </w:pPr>
      <w:r w:rsidRPr="00BE4867">
        <w:rPr>
          <w:sz w:val="22"/>
          <w:szCs w:val="22"/>
        </w:rPr>
        <w:t>Prepared in accordance with Part 3 of the</w:t>
      </w:r>
      <w:r w:rsidRPr="000711C2">
        <w:rPr>
          <w:i/>
          <w:sz w:val="22"/>
          <w:szCs w:val="22"/>
        </w:rPr>
        <w:t xml:space="preserve"> Human Rights (Parliamentary Scrutiny) Act 2011</w:t>
      </w:r>
    </w:p>
    <w:p w14:paraId="1ADF9CB8" w14:textId="3357F224" w:rsidR="000F79B0" w:rsidRPr="00BE4867" w:rsidRDefault="000F79B0" w:rsidP="00FF5AB2">
      <w:pPr>
        <w:autoSpaceDE w:val="0"/>
        <w:autoSpaceDN w:val="0"/>
        <w:adjustRightInd w:val="0"/>
        <w:spacing w:before="240" w:after="240" w:line="276" w:lineRule="auto"/>
        <w:ind w:left="360"/>
        <w:jc w:val="center"/>
        <w:rPr>
          <w:b/>
          <w:i/>
          <w:color w:val="000000"/>
          <w:sz w:val="22"/>
          <w:szCs w:val="22"/>
        </w:rPr>
      </w:pPr>
      <w:r w:rsidRPr="00BE4867">
        <w:rPr>
          <w:b/>
          <w:i/>
          <w:iCs/>
          <w:color w:val="000000"/>
          <w:sz w:val="22"/>
          <w:szCs w:val="22"/>
        </w:rPr>
        <w:t xml:space="preserve">Southern and Eastern </w:t>
      </w:r>
      <w:proofErr w:type="spellStart"/>
      <w:r w:rsidRPr="00BE4867">
        <w:rPr>
          <w:b/>
          <w:i/>
          <w:iCs/>
          <w:color w:val="000000"/>
          <w:sz w:val="22"/>
          <w:szCs w:val="22"/>
        </w:rPr>
        <w:t>Scalefish</w:t>
      </w:r>
      <w:proofErr w:type="spellEnd"/>
      <w:r w:rsidRPr="00BE4867">
        <w:rPr>
          <w:b/>
          <w:i/>
          <w:iCs/>
          <w:color w:val="000000"/>
          <w:sz w:val="22"/>
          <w:szCs w:val="22"/>
        </w:rPr>
        <w:t xml:space="preserve"> and Shark Fishery (Closures</w:t>
      </w:r>
      <w:r w:rsidR="00CA75A6">
        <w:rPr>
          <w:b/>
          <w:i/>
          <w:iCs/>
          <w:color w:val="000000"/>
          <w:sz w:val="22"/>
          <w:szCs w:val="22"/>
        </w:rPr>
        <w:t xml:space="preserve"> Variation</w:t>
      </w:r>
      <w:r w:rsidR="00655F27">
        <w:rPr>
          <w:b/>
          <w:i/>
          <w:iCs/>
          <w:color w:val="000000"/>
          <w:sz w:val="22"/>
          <w:szCs w:val="22"/>
        </w:rPr>
        <w:t xml:space="preserve">) </w:t>
      </w:r>
      <w:r>
        <w:rPr>
          <w:b/>
          <w:i/>
          <w:iCs/>
          <w:color w:val="000000"/>
          <w:sz w:val="22"/>
          <w:szCs w:val="22"/>
        </w:rPr>
        <w:t>Direction</w:t>
      </w:r>
      <w:r w:rsidR="0055003A">
        <w:rPr>
          <w:b/>
          <w:i/>
          <w:iCs/>
          <w:color w:val="000000"/>
          <w:sz w:val="22"/>
          <w:szCs w:val="22"/>
        </w:rPr>
        <w:t xml:space="preserve"> (No. 2)</w:t>
      </w:r>
      <w:r>
        <w:rPr>
          <w:b/>
          <w:i/>
          <w:iCs/>
          <w:color w:val="000000"/>
          <w:sz w:val="22"/>
          <w:szCs w:val="22"/>
        </w:rPr>
        <w:t xml:space="preserve"> 2019</w:t>
      </w:r>
    </w:p>
    <w:p w14:paraId="0F8C0787" w14:textId="77777777" w:rsidR="000F79B0" w:rsidRPr="000711C2" w:rsidRDefault="000F79B0" w:rsidP="000F79B0">
      <w:pPr>
        <w:spacing w:before="360" w:after="360" w:line="276" w:lineRule="auto"/>
        <w:jc w:val="center"/>
        <w:rPr>
          <w:sz w:val="22"/>
          <w:szCs w:val="22"/>
        </w:rPr>
      </w:pPr>
      <w:r w:rsidRPr="000711C2">
        <w:rPr>
          <w:sz w:val="22"/>
          <w:szCs w:val="22"/>
        </w:rPr>
        <w:t xml:space="preserve">This legislative instrument is compatible with the human rights and freedoms recognised or declared in the international instruments listed in section 3 of the </w:t>
      </w:r>
      <w:r w:rsidRPr="000711C2">
        <w:rPr>
          <w:i/>
          <w:sz w:val="22"/>
          <w:szCs w:val="22"/>
        </w:rPr>
        <w:t>Human Rights (Parliamentary Scrutiny) Act 2011</w:t>
      </w:r>
      <w:r w:rsidRPr="000711C2">
        <w:rPr>
          <w:sz w:val="22"/>
          <w:szCs w:val="22"/>
        </w:rPr>
        <w:t>.</w:t>
      </w:r>
    </w:p>
    <w:p w14:paraId="0A0980DE" w14:textId="77777777" w:rsidR="000F79B0" w:rsidRPr="000711C2" w:rsidRDefault="000F79B0" w:rsidP="00F81B72">
      <w:pPr>
        <w:spacing w:before="120" w:after="120" w:line="276" w:lineRule="auto"/>
        <w:rPr>
          <w:b/>
          <w:sz w:val="22"/>
          <w:szCs w:val="22"/>
        </w:rPr>
      </w:pPr>
      <w:r w:rsidRPr="000711C2">
        <w:rPr>
          <w:b/>
          <w:sz w:val="22"/>
          <w:szCs w:val="22"/>
        </w:rPr>
        <w:t>Overview of the legislative instrument</w:t>
      </w:r>
    </w:p>
    <w:p w14:paraId="29A16851" w14:textId="77777777" w:rsidR="00703B84" w:rsidRDefault="000F79B0" w:rsidP="00F81B72">
      <w:pPr>
        <w:spacing w:before="120" w:after="120" w:line="276" w:lineRule="auto"/>
        <w:ind w:right="-1"/>
        <w:rPr>
          <w:color w:val="000000"/>
          <w:sz w:val="22"/>
          <w:szCs w:val="22"/>
          <w:shd w:val="clear" w:color="auto" w:fill="FFFFFF"/>
        </w:rPr>
      </w:pPr>
      <w:r w:rsidRPr="000711C2">
        <w:rPr>
          <w:color w:val="000000"/>
          <w:sz w:val="22"/>
          <w:szCs w:val="22"/>
          <w:shd w:val="clear" w:color="auto" w:fill="FFFFFF"/>
        </w:rPr>
        <w:t>Subsection 41A(2) of the</w:t>
      </w:r>
      <w:r w:rsidRPr="000711C2">
        <w:rPr>
          <w:rStyle w:val="apple-converted-space"/>
          <w:color w:val="000000"/>
          <w:sz w:val="22"/>
          <w:szCs w:val="22"/>
          <w:shd w:val="clear" w:color="auto" w:fill="FFFFFF"/>
        </w:rPr>
        <w:t> </w:t>
      </w:r>
      <w:r w:rsidRPr="000711C2">
        <w:rPr>
          <w:i/>
          <w:iCs/>
          <w:color w:val="000000"/>
          <w:sz w:val="22"/>
          <w:szCs w:val="22"/>
          <w:shd w:val="clear" w:color="auto" w:fill="FFFFFF"/>
        </w:rPr>
        <w:t>Fisheries Management Act 1991</w:t>
      </w:r>
      <w:r w:rsidRPr="000711C2">
        <w:rPr>
          <w:rStyle w:val="apple-converted-space"/>
          <w:color w:val="000000"/>
          <w:sz w:val="22"/>
          <w:szCs w:val="22"/>
          <w:shd w:val="clear" w:color="auto" w:fill="FFFFFF"/>
        </w:rPr>
        <w:t> </w:t>
      </w:r>
      <w:r w:rsidRPr="000711C2">
        <w:rPr>
          <w:color w:val="000000"/>
          <w:sz w:val="22"/>
          <w:szCs w:val="22"/>
          <w:shd w:val="clear" w:color="auto" w:fill="FFFFFF"/>
        </w:rPr>
        <w:t>(the Management Act) provides that the Australian Fisheries Management Authority (AFMA) may, after such consultation as set out in s</w:t>
      </w:r>
      <w:r>
        <w:rPr>
          <w:color w:val="000000"/>
          <w:sz w:val="22"/>
          <w:szCs w:val="22"/>
          <w:shd w:val="clear" w:color="auto" w:fill="FFFFFF"/>
        </w:rPr>
        <w:t xml:space="preserve">ubsection </w:t>
      </w:r>
      <w:r w:rsidRPr="000711C2">
        <w:rPr>
          <w:color w:val="000000"/>
          <w:sz w:val="22"/>
          <w:szCs w:val="22"/>
          <w:shd w:val="clear" w:color="auto" w:fill="FFFFFF"/>
        </w:rPr>
        <w:t>41A(2),</w:t>
      </w:r>
      <w:r w:rsidRPr="000711C2">
        <w:rPr>
          <w:rStyle w:val="apple-converted-space"/>
          <w:color w:val="000000"/>
          <w:sz w:val="22"/>
          <w:szCs w:val="22"/>
          <w:shd w:val="clear" w:color="auto" w:fill="FFFFFF"/>
        </w:rPr>
        <w:t> </w:t>
      </w:r>
      <w:r w:rsidRPr="000711C2">
        <w:rPr>
          <w:color w:val="000000"/>
          <w:sz w:val="22"/>
          <w:szCs w:val="22"/>
          <w:shd w:val="clear" w:color="auto" w:fill="FFFFFF"/>
        </w:rPr>
        <w:t xml:space="preserve">direct that fishing is not to be engaged in the fishery, or a particular part of the fishery, during a particular period or periods. </w:t>
      </w:r>
      <w:r>
        <w:rPr>
          <w:color w:val="000000"/>
          <w:sz w:val="22"/>
          <w:szCs w:val="22"/>
          <w:shd w:val="clear" w:color="auto" w:fill="FFFFFF"/>
        </w:rPr>
        <w:t xml:space="preserve"> </w:t>
      </w:r>
      <w:r w:rsidRPr="000711C2">
        <w:rPr>
          <w:color w:val="000000"/>
          <w:sz w:val="22"/>
          <w:szCs w:val="22"/>
          <w:shd w:val="clear" w:color="auto" w:fill="FFFFFF"/>
        </w:rPr>
        <w:t xml:space="preserve">Subsection </w:t>
      </w:r>
      <w:proofErr w:type="gramStart"/>
      <w:r w:rsidRPr="000711C2">
        <w:rPr>
          <w:color w:val="000000"/>
          <w:sz w:val="22"/>
          <w:szCs w:val="22"/>
          <w:shd w:val="clear" w:color="auto" w:fill="FFFFFF"/>
        </w:rPr>
        <w:t>41A(</w:t>
      </w:r>
      <w:proofErr w:type="gramEnd"/>
      <w:r w:rsidRPr="000711C2">
        <w:rPr>
          <w:color w:val="000000"/>
          <w:sz w:val="22"/>
          <w:szCs w:val="22"/>
          <w:shd w:val="clear" w:color="auto" w:fill="FFFFFF"/>
        </w:rPr>
        <w:t>3) of the Management Act provides that AFMA may, at any time, by a further direction in writing, vary or revoke a direction given under subsection (2).  A direction given under subsectio</w:t>
      </w:r>
      <w:r>
        <w:rPr>
          <w:color w:val="000000"/>
          <w:sz w:val="22"/>
          <w:szCs w:val="22"/>
          <w:shd w:val="clear" w:color="auto" w:fill="FFFFFF"/>
        </w:rPr>
        <w:t xml:space="preserve">n </w:t>
      </w:r>
      <w:proofErr w:type="gramStart"/>
      <w:r>
        <w:rPr>
          <w:color w:val="000000"/>
          <w:sz w:val="22"/>
          <w:szCs w:val="22"/>
          <w:shd w:val="clear" w:color="auto" w:fill="FFFFFF"/>
        </w:rPr>
        <w:t>41A(</w:t>
      </w:r>
      <w:proofErr w:type="gramEnd"/>
      <w:r>
        <w:rPr>
          <w:color w:val="000000"/>
          <w:sz w:val="22"/>
          <w:szCs w:val="22"/>
          <w:shd w:val="clear" w:color="auto" w:fill="FFFFFF"/>
        </w:rPr>
        <w:t xml:space="preserve">3) of the Management Act </w:t>
      </w:r>
      <w:r w:rsidRPr="000711C2">
        <w:rPr>
          <w:color w:val="000000"/>
          <w:sz w:val="22"/>
          <w:szCs w:val="22"/>
          <w:shd w:val="clear" w:color="auto" w:fill="FFFFFF"/>
        </w:rPr>
        <w:t>is not subject to the notification re</w:t>
      </w:r>
      <w:r>
        <w:rPr>
          <w:color w:val="000000"/>
          <w:sz w:val="22"/>
          <w:szCs w:val="22"/>
          <w:shd w:val="clear" w:color="auto" w:fill="FFFFFF"/>
        </w:rPr>
        <w:t xml:space="preserve">quirements under subsection 41A(2).  </w:t>
      </w:r>
      <w:r w:rsidRPr="000711C2">
        <w:rPr>
          <w:color w:val="000000"/>
          <w:sz w:val="22"/>
          <w:szCs w:val="22"/>
          <w:shd w:val="clear" w:color="auto" w:fill="FFFFFF"/>
        </w:rPr>
        <w:t>Pursuant to subsection 41A(4) of the Management Act, if AFMA varies a direction given under subsection 41A(2) it must ensure a copy of the direction given under subsection (3) is sent to the holder of a fishing concession in respect of the fishery as soon as practicable.</w:t>
      </w:r>
      <w:r w:rsidR="00703B84">
        <w:rPr>
          <w:color w:val="000000"/>
          <w:sz w:val="22"/>
          <w:szCs w:val="22"/>
          <w:shd w:val="clear" w:color="auto" w:fill="FFFFFF"/>
        </w:rPr>
        <w:t xml:space="preserve"> </w:t>
      </w:r>
    </w:p>
    <w:p w14:paraId="302BB096" w14:textId="47A99C53" w:rsidR="000F79B0" w:rsidRPr="000711C2" w:rsidRDefault="00703B84" w:rsidP="002C7401">
      <w:pPr>
        <w:shd w:val="clear" w:color="auto" w:fill="FFFFFF"/>
        <w:spacing w:before="180" w:line="276" w:lineRule="auto"/>
        <w:rPr>
          <w:color w:val="000000"/>
          <w:sz w:val="22"/>
          <w:szCs w:val="22"/>
          <w:shd w:val="clear" w:color="auto" w:fill="FFFFFF"/>
        </w:rPr>
      </w:pPr>
      <w:r w:rsidRPr="00EC6927">
        <w:rPr>
          <w:color w:val="000000"/>
          <w:sz w:val="22"/>
          <w:szCs w:val="22"/>
          <w:shd w:val="clear" w:color="auto" w:fill="FFFFFF"/>
        </w:rPr>
        <w:t>Subsection 33(3) of the </w:t>
      </w:r>
      <w:r w:rsidRPr="000D3B3E">
        <w:rPr>
          <w:i/>
          <w:color w:val="000000"/>
          <w:sz w:val="22"/>
          <w:szCs w:val="22"/>
          <w:shd w:val="clear" w:color="auto" w:fill="FFFFFF"/>
        </w:rPr>
        <w:t>Acts Interpretation Act 1901</w:t>
      </w:r>
      <w:r w:rsidR="00BE402C">
        <w:rPr>
          <w:color w:val="000000"/>
          <w:sz w:val="22"/>
          <w:szCs w:val="22"/>
          <w:shd w:val="clear" w:color="auto" w:fill="FFFFFF"/>
        </w:rPr>
        <w:t xml:space="preserve"> </w:t>
      </w:r>
      <w:bookmarkStart w:id="0" w:name="_GoBack"/>
      <w:bookmarkEnd w:id="0"/>
      <w:r w:rsidRPr="00EC6927">
        <w:rPr>
          <w:color w:val="000000"/>
          <w:sz w:val="22"/>
          <w:szCs w:val="22"/>
          <w:shd w:val="clear" w:color="auto" w:fill="FFFFFF"/>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7223712" w14:textId="75EA9F31" w:rsidR="000F79B0" w:rsidRPr="000711C2" w:rsidRDefault="000F79B0" w:rsidP="00F81B72">
      <w:pPr>
        <w:shd w:val="clear" w:color="auto" w:fill="FFFFFF"/>
        <w:spacing w:before="120" w:after="120" w:line="276" w:lineRule="auto"/>
        <w:rPr>
          <w:color w:val="000000"/>
          <w:sz w:val="22"/>
          <w:szCs w:val="22"/>
        </w:rPr>
      </w:pPr>
      <w:r w:rsidRPr="000711C2">
        <w:rPr>
          <w:color w:val="000000"/>
          <w:sz w:val="22"/>
          <w:szCs w:val="22"/>
        </w:rPr>
        <w:t xml:space="preserve">The </w:t>
      </w:r>
      <w:r w:rsidRPr="000711C2">
        <w:rPr>
          <w:i/>
          <w:color w:val="000000"/>
          <w:sz w:val="22"/>
          <w:szCs w:val="22"/>
        </w:rPr>
        <w:t xml:space="preserve">Southern and Eastern </w:t>
      </w:r>
      <w:proofErr w:type="spellStart"/>
      <w:r w:rsidRPr="000711C2">
        <w:rPr>
          <w:i/>
          <w:color w:val="000000"/>
          <w:sz w:val="22"/>
          <w:szCs w:val="22"/>
        </w:rPr>
        <w:t>Scalefish</w:t>
      </w:r>
      <w:proofErr w:type="spellEnd"/>
      <w:r w:rsidRPr="000711C2">
        <w:rPr>
          <w:i/>
          <w:color w:val="000000"/>
          <w:sz w:val="22"/>
          <w:szCs w:val="22"/>
        </w:rPr>
        <w:t xml:space="preserve"> and Shark Fishery (Closures</w:t>
      </w:r>
      <w:r w:rsidR="00CA75A6">
        <w:rPr>
          <w:i/>
          <w:color w:val="000000"/>
          <w:sz w:val="22"/>
          <w:szCs w:val="22"/>
        </w:rPr>
        <w:t xml:space="preserve"> Variation</w:t>
      </w:r>
      <w:r w:rsidR="00655F27">
        <w:rPr>
          <w:i/>
          <w:color w:val="000000"/>
          <w:sz w:val="22"/>
          <w:szCs w:val="22"/>
        </w:rPr>
        <w:t xml:space="preserve">) </w:t>
      </w:r>
      <w:r w:rsidRPr="000711C2">
        <w:rPr>
          <w:i/>
          <w:color w:val="000000"/>
          <w:sz w:val="22"/>
          <w:szCs w:val="22"/>
        </w:rPr>
        <w:t>Direction</w:t>
      </w:r>
      <w:r w:rsidR="0055003A">
        <w:rPr>
          <w:i/>
          <w:color w:val="000000"/>
          <w:sz w:val="22"/>
          <w:szCs w:val="22"/>
        </w:rPr>
        <w:t xml:space="preserve"> (No. 2)</w:t>
      </w:r>
      <w:r>
        <w:rPr>
          <w:i/>
          <w:color w:val="000000"/>
          <w:sz w:val="22"/>
          <w:szCs w:val="22"/>
        </w:rPr>
        <w:t xml:space="preserve"> 2019</w:t>
      </w:r>
      <w:r w:rsidRPr="000711C2">
        <w:rPr>
          <w:color w:val="000000"/>
          <w:sz w:val="22"/>
          <w:szCs w:val="22"/>
        </w:rPr>
        <w:t xml:space="preserve"> (the </w:t>
      </w:r>
      <w:r w:rsidR="00655F27">
        <w:rPr>
          <w:color w:val="000000"/>
          <w:sz w:val="22"/>
          <w:szCs w:val="22"/>
        </w:rPr>
        <w:t>Repeal</w:t>
      </w:r>
      <w:r>
        <w:rPr>
          <w:color w:val="000000"/>
          <w:sz w:val="22"/>
          <w:szCs w:val="22"/>
        </w:rPr>
        <w:t xml:space="preserve"> </w:t>
      </w:r>
      <w:r w:rsidRPr="000711C2">
        <w:rPr>
          <w:color w:val="000000"/>
          <w:sz w:val="22"/>
          <w:szCs w:val="22"/>
        </w:rPr>
        <w:t>Direction)</w:t>
      </w:r>
      <w:r>
        <w:rPr>
          <w:color w:val="000000"/>
          <w:sz w:val="22"/>
          <w:szCs w:val="22"/>
        </w:rPr>
        <w:t xml:space="preserve"> </w:t>
      </w:r>
      <w:r w:rsidR="00655F27">
        <w:rPr>
          <w:color w:val="000000"/>
          <w:sz w:val="22"/>
          <w:szCs w:val="22"/>
        </w:rPr>
        <w:t>repeals</w:t>
      </w:r>
      <w:r>
        <w:rPr>
          <w:color w:val="000000"/>
          <w:sz w:val="22"/>
          <w:szCs w:val="22"/>
        </w:rPr>
        <w:t xml:space="preserve"> the</w:t>
      </w:r>
      <w:r w:rsidR="00CA75A6">
        <w:rPr>
          <w:color w:val="000000"/>
          <w:sz w:val="22"/>
          <w:szCs w:val="22"/>
        </w:rPr>
        <w:t xml:space="preserve"> Variation</w:t>
      </w:r>
      <w:r>
        <w:rPr>
          <w:color w:val="000000"/>
          <w:sz w:val="22"/>
          <w:szCs w:val="22"/>
        </w:rPr>
        <w:t xml:space="preserve"> Direction,</w:t>
      </w:r>
      <w:r w:rsidR="0055003A">
        <w:rPr>
          <w:color w:val="000000"/>
          <w:sz w:val="22"/>
          <w:szCs w:val="22"/>
        </w:rPr>
        <w:t xml:space="preserve"> and revives clause 7 as it applied before the Variation Direction was made (i</w:t>
      </w:r>
      <w:r w:rsidR="00C96ED6">
        <w:rPr>
          <w:color w:val="000000"/>
          <w:sz w:val="22"/>
          <w:szCs w:val="22"/>
        </w:rPr>
        <w:t>.</w:t>
      </w:r>
      <w:r w:rsidR="0055003A">
        <w:rPr>
          <w:color w:val="000000"/>
          <w:sz w:val="22"/>
          <w:szCs w:val="22"/>
        </w:rPr>
        <w:t>e</w:t>
      </w:r>
      <w:r w:rsidR="00C96ED6">
        <w:rPr>
          <w:color w:val="000000"/>
          <w:sz w:val="22"/>
          <w:szCs w:val="22"/>
        </w:rPr>
        <w:t>.</w:t>
      </w:r>
      <w:r w:rsidR="0055003A">
        <w:rPr>
          <w:color w:val="000000"/>
          <w:sz w:val="22"/>
          <w:szCs w:val="22"/>
        </w:rPr>
        <w:t xml:space="preserve"> reinstates the affected clause of the Closures Direction). The </w:t>
      </w:r>
      <w:r w:rsidR="0055003A" w:rsidRPr="00E867BF">
        <w:rPr>
          <w:color w:val="000000"/>
          <w:sz w:val="22"/>
          <w:szCs w:val="22"/>
        </w:rPr>
        <w:t>Repeal Direction</w:t>
      </w:r>
      <w:r w:rsidRPr="000711C2">
        <w:rPr>
          <w:color w:val="000000"/>
          <w:sz w:val="22"/>
          <w:szCs w:val="22"/>
        </w:rPr>
        <w:t xml:space="preserve"> is a legislative instrument for the purposes of the </w:t>
      </w:r>
      <w:r w:rsidRPr="000711C2">
        <w:rPr>
          <w:i/>
          <w:iCs/>
          <w:color w:val="000000"/>
          <w:sz w:val="22"/>
          <w:szCs w:val="22"/>
        </w:rPr>
        <w:t>Legislation Act 2003</w:t>
      </w:r>
      <w:r w:rsidRPr="000711C2">
        <w:rPr>
          <w:color w:val="000000"/>
          <w:sz w:val="22"/>
          <w:szCs w:val="22"/>
        </w:rPr>
        <w:t>.</w:t>
      </w:r>
    </w:p>
    <w:p w14:paraId="16A77972" w14:textId="77777777" w:rsidR="000F79B0" w:rsidRPr="000711C2" w:rsidRDefault="000F79B0">
      <w:pPr>
        <w:spacing w:before="120" w:after="120" w:line="276" w:lineRule="auto"/>
        <w:rPr>
          <w:color w:val="000000"/>
          <w:sz w:val="22"/>
          <w:szCs w:val="22"/>
          <w:shd w:val="clear" w:color="auto" w:fill="FFFFFF"/>
        </w:rPr>
      </w:pPr>
      <w:r>
        <w:rPr>
          <w:color w:val="000000"/>
          <w:sz w:val="22"/>
          <w:szCs w:val="22"/>
          <w:shd w:val="clear" w:color="auto" w:fill="FFFFFF"/>
        </w:rPr>
        <w:t xml:space="preserve">The </w:t>
      </w:r>
      <w:r w:rsidR="00C87D5F">
        <w:rPr>
          <w:color w:val="000000"/>
          <w:sz w:val="22"/>
          <w:szCs w:val="22"/>
          <w:shd w:val="clear" w:color="auto" w:fill="FFFFFF"/>
        </w:rPr>
        <w:t xml:space="preserve">Repeal </w:t>
      </w:r>
      <w:r>
        <w:rPr>
          <w:color w:val="000000"/>
          <w:sz w:val="22"/>
          <w:szCs w:val="22"/>
          <w:shd w:val="clear" w:color="auto" w:fill="FFFFFF"/>
        </w:rPr>
        <w:t xml:space="preserve">Direction </w:t>
      </w:r>
      <w:r w:rsidR="00C87D5F">
        <w:rPr>
          <w:color w:val="000000"/>
          <w:sz w:val="22"/>
          <w:szCs w:val="22"/>
          <w:shd w:val="clear" w:color="auto" w:fill="FFFFFF"/>
        </w:rPr>
        <w:t>re</w:t>
      </w:r>
      <w:r w:rsidR="00C93E95">
        <w:rPr>
          <w:color w:val="000000"/>
          <w:sz w:val="22"/>
          <w:szCs w:val="22"/>
          <w:shd w:val="clear" w:color="auto" w:fill="FFFFFF"/>
        </w:rPr>
        <w:t xml:space="preserve">moves the exceptions. </w:t>
      </w:r>
      <w:r>
        <w:rPr>
          <w:color w:val="000000"/>
          <w:sz w:val="22"/>
          <w:szCs w:val="22"/>
          <w:shd w:val="clear" w:color="auto" w:fill="FFFFFF"/>
        </w:rPr>
        <w:t xml:space="preserve"> </w:t>
      </w:r>
    </w:p>
    <w:p w14:paraId="31EABDF7" w14:textId="77777777" w:rsidR="000F79B0" w:rsidRPr="000711C2" w:rsidRDefault="000F79B0" w:rsidP="00F81B72">
      <w:pPr>
        <w:spacing w:before="120" w:after="120" w:line="276" w:lineRule="auto"/>
        <w:rPr>
          <w:b/>
          <w:sz w:val="22"/>
          <w:szCs w:val="22"/>
        </w:rPr>
      </w:pPr>
      <w:r w:rsidRPr="000711C2">
        <w:rPr>
          <w:b/>
          <w:sz w:val="22"/>
          <w:szCs w:val="22"/>
        </w:rPr>
        <w:t>Human rights implications</w:t>
      </w:r>
    </w:p>
    <w:p w14:paraId="15868560" w14:textId="77777777" w:rsidR="000F79B0" w:rsidRPr="000711C2" w:rsidRDefault="000F79B0" w:rsidP="00F81B72">
      <w:pPr>
        <w:spacing w:before="120" w:after="120" w:line="276" w:lineRule="auto"/>
        <w:rPr>
          <w:sz w:val="22"/>
          <w:szCs w:val="22"/>
        </w:rPr>
      </w:pPr>
      <w:r w:rsidRPr="000711C2">
        <w:rPr>
          <w:sz w:val="22"/>
          <w:szCs w:val="22"/>
        </w:rPr>
        <w:t>This legislative instrument does not engage any of the applicable rights or freedoms.</w:t>
      </w:r>
    </w:p>
    <w:p w14:paraId="64B762C7" w14:textId="77777777" w:rsidR="000F79B0" w:rsidRPr="000711C2" w:rsidRDefault="000F79B0" w:rsidP="00F81B72">
      <w:pPr>
        <w:spacing w:before="120" w:after="120" w:line="276" w:lineRule="auto"/>
        <w:rPr>
          <w:b/>
          <w:sz w:val="22"/>
          <w:szCs w:val="22"/>
        </w:rPr>
      </w:pPr>
      <w:r w:rsidRPr="000711C2">
        <w:rPr>
          <w:b/>
          <w:sz w:val="22"/>
          <w:szCs w:val="22"/>
        </w:rPr>
        <w:t>Conclusion</w:t>
      </w:r>
    </w:p>
    <w:p w14:paraId="6A556141" w14:textId="77777777" w:rsidR="000F79B0" w:rsidRPr="00BE4867" w:rsidRDefault="000F79B0" w:rsidP="00F81B72">
      <w:pPr>
        <w:autoSpaceDE w:val="0"/>
        <w:autoSpaceDN w:val="0"/>
        <w:adjustRightInd w:val="0"/>
        <w:spacing w:before="120" w:after="120" w:line="276" w:lineRule="auto"/>
        <w:rPr>
          <w:color w:val="000000"/>
          <w:sz w:val="22"/>
          <w:szCs w:val="22"/>
        </w:rPr>
      </w:pPr>
      <w:r w:rsidRPr="000711C2">
        <w:rPr>
          <w:sz w:val="22"/>
          <w:szCs w:val="22"/>
        </w:rPr>
        <w:t xml:space="preserve">This legislative instrument is compatible with human rights as it does not raise any human rights issues.  AFMA is satisfied that the instrument is consistent with AFMA’s obligation to pursue its statutory objectives.  </w:t>
      </w:r>
    </w:p>
    <w:p w14:paraId="6880E935" w14:textId="77777777" w:rsidR="000F79B0" w:rsidRPr="000F79B0" w:rsidRDefault="000F79B0" w:rsidP="00F81B72">
      <w:pPr>
        <w:spacing w:after="360" w:line="276" w:lineRule="auto"/>
        <w:jc w:val="center"/>
        <w:rPr>
          <w:b/>
          <w:sz w:val="22"/>
        </w:rPr>
      </w:pPr>
    </w:p>
    <w:sectPr w:rsidR="000F79B0" w:rsidRPr="000F79B0" w:rsidSect="00E12E57">
      <w:footerReference w:type="even" r:id="rId8"/>
      <w:footerReference w:type="default" r:id="rId9"/>
      <w:pgSz w:w="11906" w:h="16838" w:code="9"/>
      <w:pgMar w:top="127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E73E8" w14:textId="77777777" w:rsidR="002A0CE6" w:rsidRDefault="002A0CE6">
      <w:pPr>
        <w:spacing w:before="0"/>
      </w:pPr>
      <w:r>
        <w:separator/>
      </w:r>
    </w:p>
  </w:endnote>
  <w:endnote w:type="continuationSeparator" w:id="0">
    <w:p w14:paraId="3512C281" w14:textId="77777777" w:rsidR="002A0CE6" w:rsidRDefault="002A0C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1395" w14:textId="77777777" w:rsidR="00060AEE" w:rsidRDefault="00800E67" w:rsidP="002B49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BFF18" w14:textId="77777777" w:rsidR="00060AEE" w:rsidRDefault="0042417F" w:rsidP="002B49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35385" w14:textId="1749425F" w:rsidR="00060AEE" w:rsidRPr="00C24B0C" w:rsidRDefault="00800E67" w:rsidP="002B49E6">
    <w:pPr>
      <w:pStyle w:val="Footer"/>
      <w:framePr w:wrap="around" w:vAnchor="text" w:hAnchor="margin" w:xAlign="right" w:y="1"/>
      <w:rPr>
        <w:rStyle w:val="PageNumber"/>
        <w:rFonts w:ascii="Arial" w:hAnsi="Arial" w:cs="Arial"/>
        <w:sz w:val="22"/>
        <w:szCs w:val="22"/>
      </w:rPr>
    </w:pPr>
    <w:r w:rsidRPr="00C24B0C">
      <w:rPr>
        <w:rStyle w:val="PageNumber"/>
        <w:rFonts w:ascii="Arial" w:hAnsi="Arial" w:cs="Arial"/>
        <w:sz w:val="22"/>
        <w:szCs w:val="22"/>
      </w:rPr>
      <w:fldChar w:fldCharType="begin"/>
    </w:r>
    <w:r w:rsidRPr="00C24B0C">
      <w:rPr>
        <w:rStyle w:val="PageNumber"/>
        <w:rFonts w:ascii="Arial" w:hAnsi="Arial" w:cs="Arial"/>
        <w:sz w:val="22"/>
        <w:szCs w:val="22"/>
      </w:rPr>
      <w:instrText xml:space="preserve">PAGE  </w:instrText>
    </w:r>
    <w:r w:rsidRPr="00C24B0C">
      <w:rPr>
        <w:rStyle w:val="PageNumber"/>
        <w:rFonts w:ascii="Arial" w:hAnsi="Arial" w:cs="Arial"/>
        <w:sz w:val="22"/>
        <w:szCs w:val="22"/>
      </w:rPr>
      <w:fldChar w:fldCharType="separate"/>
    </w:r>
    <w:r w:rsidR="0042417F">
      <w:rPr>
        <w:rStyle w:val="PageNumber"/>
        <w:rFonts w:ascii="Arial" w:hAnsi="Arial" w:cs="Arial"/>
        <w:noProof/>
        <w:sz w:val="22"/>
        <w:szCs w:val="22"/>
      </w:rPr>
      <w:t>4</w:t>
    </w:r>
    <w:r w:rsidRPr="00C24B0C">
      <w:rPr>
        <w:rStyle w:val="PageNumber"/>
        <w:rFonts w:ascii="Arial" w:hAnsi="Arial" w:cs="Arial"/>
        <w:sz w:val="22"/>
        <w:szCs w:val="22"/>
      </w:rPr>
      <w:fldChar w:fldCharType="end"/>
    </w:r>
  </w:p>
  <w:p w14:paraId="0FC7E93D" w14:textId="77777777" w:rsidR="00060AEE" w:rsidRDefault="0042417F" w:rsidP="002B49E6">
    <w:pPr>
      <w:pStyle w:val="Footer"/>
      <w:ind w:right="360"/>
    </w:pPr>
  </w:p>
  <w:p w14:paraId="034B8D6D" w14:textId="77777777" w:rsidR="00060AEE" w:rsidRDefault="0042417F" w:rsidP="002B49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677F8" w14:textId="77777777" w:rsidR="002A0CE6" w:rsidRDefault="002A0CE6">
      <w:pPr>
        <w:spacing w:before="0"/>
      </w:pPr>
      <w:r>
        <w:separator/>
      </w:r>
    </w:p>
  </w:footnote>
  <w:footnote w:type="continuationSeparator" w:id="0">
    <w:p w14:paraId="1FF67950" w14:textId="77777777" w:rsidR="002A0CE6" w:rsidRDefault="002A0CE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D0E"/>
    <w:multiLevelType w:val="hybridMultilevel"/>
    <w:tmpl w:val="D5DE2BCC"/>
    <w:lvl w:ilvl="0" w:tplc="79E84D9A">
      <w:start w:val="1"/>
      <w:numFmt w:val="decimal"/>
      <w:lvlText w:val="%1."/>
      <w:lvlJc w:val="left"/>
      <w:pPr>
        <w:ind w:left="502" w:hanging="360"/>
      </w:pPr>
      <w:rPr>
        <w:rFonts w:hint="default"/>
        <w:b w:val="0"/>
        <w:i w:val="0"/>
      </w:rPr>
    </w:lvl>
    <w:lvl w:ilvl="1" w:tplc="E65E2E70">
      <w:start w:val="1"/>
      <w:numFmt w:val="lowerLetter"/>
      <w:lvlText w:val="%2."/>
      <w:lvlJc w:val="left"/>
      <w:pPr>
        <w:ind w:left="1440" w:hanging="360"/>
      </w:pPr>
      <w:rPr>
        <w:rFonts w:hint="default"/>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874819"/>
    <w:multiLevelType w:val="hybridMultilevel"/>
    <w:tmpl w:val="3F9CAB9A"/>
    <w:lvl w:ilvl="0" w:tplc="D46824B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21556BE8"/>
    <w:multiLevelType w:val="hybridMultilevel"/>
    <w:tmpl w:val="8BD885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0F3C42"/>
    <w:multiLevelType w:val="hybridMultilevel"/>
    <w:tmpl w:val="AF74897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1F"/>
    <w:rsid w:val="000229A0"/>
    <w:rsid w:val="00032506"/>
    <w:rsid w:val="00044C43"/>
    <w:rsid w:val="00070C6A"/>
    <w:rsid w:val="000711C2"/>
    <w:rsid w:val="00072357"/>
    <w:rsid w:val="000828C9"/>
    <w:rsid w:val="0009576E"/>
    <w:rsid w:val="000C2799"/>
    <w:rsid w:val="000E16D7"/>
    <w:rsid w:val="000F79B0"/>
    <w:rsid w:val="001019EC"/>
    <w:rsid w:val="00102D9C"/>
    <w:rsid w:val="00107D73"/>
    <w:rsid w:val="00124861"/>
    <w:rsid w:val="001520A9"/>
    <w:rsid w:val="0016580A"/>
    <w:rsid w:val="00170A72"/>
    <w:rsid w:val="00195BEA"/>
    <w:rsid w:val="001C1852"/>
    <w:rsid w:val="001D563F"/>
    <w:rsid w:val="001E6B2F"/>
    <w:rsid w:val="00225E16"/>
    <w:rsid w:val="00241B6D"/>
    <w:rsid w:val="002506AE"/>
    <w:rsid w:val="00253B4E"/>
    <w:rsid w:val="00297C97"/>
    <w:rsid w:val="002A0CE6"/>
    <w:rsid w:val="002C7401"/>
    <w:rsid w:val="003662BB"/>
    <w:rsid w:val="00377AC4"/>
    <w:rsid w:val="00381642"/>
    <w:rsid w:val="003911B1"/>
    <w:rsid w:val="0042417F"/>
    <w:rsid w:val="00426A65"/>
    <w:rsid w:val="00475ECA"/>
    <w:rsid w:val="00486188"/>
    <w:rsid w:val="004A5652"/>
    <w:rsid w:val="004D09A3"/>
    <w:rsid w:val="004D32EE"/>
    <w:rsid w:val="004E249F"/>
    <w:rsid w:val="0055003A"/>
    <w:rsid w:val="00567EA3"/>
    <w:rsid w:val="005E310E"/>
    <w:rsid w:val="00655F27"/>
    <w:rsid w:val="006706AA"/>
    <w:rsid w:val="00687F31"/>
    <w:rsid w:val="006F345F"/>
    <w:rsid w:val="00703B84"/>
    <w:rsid w:val="00732859"/>
    <w:rsid w:val="00747A78"/>
    <w:rsid w:val="0079760A"/>
    <w:rsid w:val="007A1406"/>
    <w:rsid w:val="007C3EBC"/>
    <w:rsid w:val="00800E67"/>
    <w:rsid w:val="00805E70"/>
    <w:rsid w:val="00850F60"/>
    <w:rsid w:val="008559AE"/>
    <w:rsid w:val="00857238"/>
    <w:rsid w:val="008624A9"/>
    <w:rsid w:val="008B3D7A"/>
    <w:rsid w:val="008B4768"/>
    <w:rsid w:val="008C1608"/>
    <w:rsid w:val="008E0E64"/>
    <w:rsid w:val="008F193C"/>
    <w:rsid w:val="008F697A"/>
    <w:rsid w:val="00926685"/>
    <w:rsid w:val="00930214"/>
    <w:rsid w:val="00967EDD"/>
    <w:rsid w:val="00995ED0"/>
    <w:rsid w:val="009A1C3C"/>
    <w:rsid w:val="009A2AAA"/>
    <w:rsid w:val="009A6B6E"/>
    <w:rsid w:val="009A7238"/>
    <w:rsid w:val="009C23AC"/>
    <w:rsid w:val="009D1D61"/>
    <w:rsid w:val="009E5AF5"/>
    <w:rsid w:val="00A20C56"/>
    <w:rsid w:val="00A345A9"/>
    <w:rsid w:val="00A41CED"/>
    <w:rsid w:val="00A440B0"/>
    <w:rsid w:val="00A465A2"/>
    <w:rsid w:val="00A66D6E"/>
    <w:rsid w:val="00A845C9"/>
    <w:rsid w:val="00A94ECA"/>
    <w:rsid w:val="00AA451F"/>
    <w:rsid w:val="00B11BDF"/>
    <w:rsid w:val="00B17649"/>
    <w:rsid w:val="00B402F5"/>
    <w:rsid w:val="00B510A5"/>
    <w:rsid w:val="00B55849"/>
    <w:rsid w:val="00B705D8"/>
    <w:rsid w:val="00BB5818"/>
    <w:rsid w:val="00BC53A8"/>
    <w:rsid w:val="00BC7500"/>
    <w:rsid w:val="00BE402C"/>
    <w:rsid w:val="00BE4867"/>
    <w:rsid w:val="00BF367E"/>
    <w:rsid w:val="00C4602E"/>
    <w:rsid w:val="00C50571"/>
    <w:rsid w:val="00C7742A"/>
    <w:rsid w:val="00C87D5F"/>
    <w:rsid w:val="00C93E95"/>
    <w:rsid w:val="00C96ED6"/>
    <w:rsid w:val="00CA75A6"/>
    <w:rsid w:val="00CC36DD"/>
    <w:rsid w:val="00CF059E"/>
    <w:rsid w:val="00CF3EB6"/>
    <w:rsid w:val="00D1162E"/>
    <w:rsid w:val="00D37651"/>
    <w:rsid w:val="00D402E8"/>
    <w:rsid w:val="00D410EF"/>
    <w:rsid w:val="00D47DD6"/>
    <w:rsid w:val="00D53EAC"/>
    <w:rsid w:val="00DD3D79"/>
    <w:rsid w:val="00DD5027"/>
    <w:rsid w:val="00DE3281"/>
    <w:rsid w:val="00DF5791"/>
    <w:rsid w:val="00E5782F"/>
    <w:rsid w:val="00E867BF"/>
    <w:rsid w:val="00E91580"/>
    <w:rsid w:val="00EB153B"/>
    <w:rsid w:val="00EB53B2"/>
    <w:rsid w:val="00EC6927"/>
    <w:rsid w:val="00ED0D70"/>
    <w:rsid w:val="00F32F59"/>
    <w:rsid w:val="00F4211C"/>
    <w:rsid w:val="00F43EA7"/>
    <w:rsid w:val="00F46D0D"/>
    <w:rsid w:val="00F81B72"/>
    <w:rsid w:val="00F86EC1"/>
    <w:rsid w:val="00F946D0"/>
    <w:rsid w:val="00F950F0"/>
    <w:rsid w:val="00FD357C"/>
    <w:rsid w:val="00FF5A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3F222E"/>
  <w15:docId w15:val="{4A472BAB-F177-49D2-8136-80AB5A0A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2BB"/>
    <w:pPr>
      <w:spacing w:before="200" w:after="0" w:line="240" w:lineRule="auto"/>
      <w:jc w:val="both"/>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451F"/>
    <w:pPr>
      <w:tabs>
        <w:tab w:val="center" w:pos="4153"/>
        <w:tab w:val="right" w:pos="8306"/>
      </w:tabs>
    </w:pPr>
  </w:style>
  <w:style w:type="character" w:customStyle="1" w:styleId="FooterChar">
    <w:name w:val="Footer Char"/>
    <w:basedOn w:val="DefaultParagraphFont"/>
    <w:link w:val="Footer"/>
    <w:rsid w:val="00AA451F"/>
    <w:rPr>
      <w:rFonts w:ascii="Times New Roman" w:eastAsia="Times New Roman" w:hAnsi="Times New Roman" w:cs="Times New Roman"/>
      <w:sz w:val="24"/>
      <w:szCs w:val="20"/>
      <w:lang w:eastAsia="en-AU"/>
    </w:rPr>
  </w:style>
  <w:style w:type="character" w:styleId="PageNumber">
    <w:name w:val="page number"/>
    <w:basedOn w:val="DefaultParagraphFont"/>
    <w:rsid w:val="00AA451F"/>
  </w:style>
  <w:style w:type="character" w:customStyle="1" w:styleId="apple-converted-space">
    <w:name w:val="apple-converted-space"/>
    <w:rsid w:val="00AA451F"/>
  </w:style>
  <w:style w:type="paragraph" w:customStyle="1" w:styleId="DPtext">
    <w:name w:val="DP text"/>
    <w:basedOn w:val="Normal"/>
    <w:rsid w:val="00AA451F"/>
    <w:pPr>
      <w:keepLines/>
      <w:spacing w:before="120"/>
      <w:jc w:val="left"/>
    </w:pPr>
    <w:rPr>
      <w:kern w:val="20"/>
      <w:lang w:eastAsia="en-US"/>
    </w:rPr>
  </w:style>
  <w:style w:type="character" w:styleId="CommentReference">
    <w:name w:val="annotation reference"/>
    <w:basedOn w:val="DefaultParagraphFont"/>
    <w:uiPriority w:val="99"/>
    <w:semiHidden/>
    <w:unhideWhenUsed/>
    <w:rsid w:val="00AA451F"/>
    <w:rPr>
      <w:sz w:val="16"/>
      <w:szCs w:val="16"/>
    </w:rPr>
  </w:style>
  <w:style w:type="paragraph" w:styleId="CommentText">
    <w:name w:val="annotation text"/>
    <w:basedOn w:val="Normal"/>
    <w:link w:val="CommentTextChar"/>
    <w:uiPriority w:val="99"/>
    <w:semiHidden/>
    <w:unhideWhenUsed/>
    <w:rsid w:val="00AA451F"/>
    <w:rPr>
      <w:sz w:val="20"/>
    </w:rPr>
  </w:style>
  <w:style w:type="character" w:customStyle="1" w:styleId="CommentTextChar">
    <w:name w:val="Comment Text Char"/>
    <w:basedOn w:val="DefaultParagraphFont"/>
    <w:link w:val="CommentText"/>
    <w:uiPriority w:val="99"/>
    <w:semiHidden/>
    <w:rsid w:val="00AA451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A451F"/>
    <w:rPr>
      <w:b/>
      <w:bCs/>
    </w:rPr>
  </w:style>
  <w:style w:type="character" w:customStyle="1" w:styleId="CommentSubjectChar">
    <w:name w:val="Comment Subject Char"/>
    <w:basedOn w:val="CommentTextChar"/>
    <w:link w:val="CommentSubject"/>
    <w:uiPriority w:val="99"/>
    <w:semiHidden/>
    <w:rsid w:val="00AA451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A451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1F"/>
    <w:rPr>
      <w:rFonts w:ascii="Tahoma" w:eastAsia="Times New Roman" w:hAnsi="Tahoma" w:cs="Tahoma"/>
      <w:sz w:val="16"/>
      <w:szCs w:val="16"/>
      <w:lang w:eastAsia="en-AU"/>
    </w:rPr>
  </w:style>
  <w:style w:type="paragraph" w:styleId="ListParagraph">
    <w:name w:val="List Paragraph"/>
    <w:basedOn w:val="Normal"/>
    <w:uiPriority w:val="34"/>
    <w:qFormat/>
    <w:rsid w:val="000E1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3A73-1BA7-42B6-9B32-A1EA48A8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Brendan</dc:creator>
  <cp:lastModifiedBy>NGUYEN-AULMANN, Summer</cp:lastModifiedBy>
  <cp:revision>6</cp:revision>
  <cp:lastPrinted>2019-09-15T23:49:00Z</cp:lastPrinted>
  <dcterms:created xsi:type="dcterms:W3CDTF">2019-09-13T08:02:00Z</dcterms:created>
  <dcterms:modified xsi:type="dcterms:W3CDTF">2019-09-15T23:49:00Z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6d37fb91-9d90-4f1b-b0e1-3e883f5cf4d6</vt:lpwstr>
  </property>
  <property fmtid="{D5CDD505-2E9C-101B-9397-08002B2CF9AE}" pid="3" name="CheckForSharePointFields">
    <vt:lpwstr>false</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SEC">
    <vt:lpwstr>UNCLASSIFIED</vt:lpwstr>
  </property>
  <property fmtid="{D5CDD505-2E9C-101B-9397-08002B2CF9AE}" pid="7" name="DLM">
    <vt:lpwstr>No DLM</vt:lpwstr>
  </property>
  <property fmtid="{D5CDD505-2E9C-101B-9397-08002B2CF9AE}" pid="8" name="ApplyMark">
    <vt:lpwstr>false</vt:lpwstr>
  </property>
</Properties>
</file>