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3056" w14:textId="41A1E949" w:rsidR="00715914" w:rsidRPr="00F61B09" w:rsidRDefault="005171E2" w:rsidP="00B553E8">
      <w:pPr>
        <w:spacing w:before="840" w:after="2400"/>
        <w:rPr>
          <w:sz w:val="28"/>
        </w:rPr>
      </w:pPr>
      <w:r>
        <w:rPr>
          <w:noProof/>
        </w:rPr>
        <w:drawing>
          <wp:inline distT="0" distB="0" distL="0" distR="0" wp14:anchorId="742DE5BF" wp14:editId="1A26128A">
            <wp:extent cx="3542030" cy="756285"/>
            <wp:effectExtent l="0" t="0" r="0" b="0"/>
            <wp:docPr id="2" name="Picture 2"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onwealth Coat of Arms and ASI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2030" cy="756285"/>
                    </a:xfrm>
                    <a:prstGeom prst="rect">
                      <a:avLst/>
                    </a:prstGeom>
                    <a:noFill/>
                  </pic:spPr>
                </pic:pic>
              </a:graphicData>
            </a:graphic>
          </wp:inline>
        </w:drawing>
      </w:r>
    </w:p>
    <w:p w14:paraId="78F615B3" w14:textId="15750B05" w:rsidR="00243EC0" w:rsidRPr="00243EC0" w:rsidRDefault="00447DB4" w:rsidP="007E3DF4">
      <w:pPr>
        <w:pStyle w:val="LI-Title"/>
        <w:pBdr>
          <w:bottom w:val="single" w:sz="4" w:space="1" w:color="auto"/>
        </w:pBdr>
      </w:pPr>
      <w:r w:rsidRPr="00F61B09">
        <w:t>A</w:t>
      </w:r>
      <w:r w:rsidR="00327DDF">
        <w:t xml:space="preserve">SIC </w:t>
      </w:r>
      <w:r w:rsidR="00327DDF" w:rsidRPr="005D3D41">
        <w:t xml:space="preserve">Corporations </w:t>
      </w:r>
      <w:r w:rsidR="007B30D5" w:rsidRPr="007B30D5">
        <w:rPr>
          <w:iCs/>
        </w:rPr>
        <w:t>(Changing Scheme</w:t>
      </w:r>
      <w:r w:rsidR="00A55C3A">
        <w:rPr>
          <w:iCs/>
        </w:rPr>
        <w:t xml:space="preserve"> and Retail CCIV </w:t>
      </w:r>
      <w:r w:rsidR="007B30D5" w:rsidRPr="007B30D5">
        <w:rPr>
          <w:iCs/>
        </w:rPr>
        <w:t>Constitutions) Instrument 2019/700</w:t>
      </w:r>
    </w:p>
    <w:p w14:paraId="13AB78A7" w14:textId="77777777" w:rsidR="001534EB" w:rsidRDefault="001534EB" w:rsidP="00005446">
      <w:pPr>
        <w:pStyle w:val="LI-Fronttext"/>
        <w:rPr>
          <w:sz w:val="24"/>
          <w:szCs w:val="24"/>
        </w:rPr>
      </w:pPr>
    </w:p>
    <w:p w14:paraId="344065A0" w14:textId="77777777" w:rsidR="001534EB" w:rsidRPr="00A41CB2" w:rsidRDefault="001534EB" w:rsidP="001534EB">
      <w:pPr>
        <w:rPr>
          <w:b/>
          <w:bCs/>
          <w:sz w:val="28"/>
          <w:szCs w:val="28"/>
        </w:rPr>
      </w:pPr>
      <w:r w:rsidRPr="00A41CB2">
        <w:rPr>
          <w:b/>
          <w:bCs/>
          <w:sz w:val="28"/>
          <w:szCs w:val="28"/>
        </w:rPr>
        <w:t>About this compilation</w:t>
      </w:r>
    </w:p>
    <w:p w14:paraId="2587857E" w14:textId="77777777" w:rsidR="001534EB" w:rsidRDefault="001534EB" w:rsidP="001534EB">
      <w:pPr>
        <w:rPr>
          <w:b/>
          <w:bCs/>
          <w:sz w:val="24"/>
          <w:szCs w:val="24"/>
        </w:rPr>
      </w:pPr>
    </w:p>
    <w:p w14:paraId="5B18E87F" w14:textId="77777777" w:rsidR="00327F27" w:rsidRPr="00327F27" w:rsidRDefault="00327F27" w:rsidP="001534EB">
      <w:pPr>
        <w:rPr>
          <w:b/>
          <w:sz w:val="24"/>
          <w:szCs w:val="24"/>
        </w:rPr>
      </w:pPr>
      <w:r w:rsidRPr="00327F27">
        <w:rPr>
          <w:b/>
          <w:sz w:val="24"/>
          <w:szCs w:val="24"/>
        </w:rPr>
        <w:t xml:space="preserve">Compilation No. </w:t>
      </w:r>
      <w:r w:rsidR="00FB0B57">
        <w:rPr>
          <w:b/>
          <w:sz w:val="24"/>
          <w:szCs w:val="24"/>
        </w:rPr>
        <w:t>1</w:t>
      </w:r>
      <w:r w:rsidRPr="00327F27">
        <w:rPr>
          <w:b/>
          <w:sz w:val="24"/>
          <w:szCs w:val="24"/>
        </w:rPr>
        <w:t xml:space="preserve"> </w:t>
      </w:r>
    </w:p>
    <w:p w14:paraId="659C330A" w14:textId="77777777" w:rsidR="00327F27" w:rsidRDefault="00327F27" w:rsidP="001534EB">
      <w:pPr>
        <w:rPr>
          <w:sz w:val="24"/>
          <w:szCs w:val="24"/>
        </w:rPr>
      </w:pPr>
    </w:p>
    <w:p w14:paraId="345EFDD8" w14:textId="657EB400" w:rsidR="00327F27" w:rsidRDefault="001534EB" w:rsidP="001534EB">
      <w:pPr>
        <w:rPr>
          <w:sz w:val="24"/>
          <w:szCs w:val="24"/>
        </w:rPr>
      </w:pPr>
      <w:r w:rsidRPr="00A41CB2">
        <w:rPr>
          <w:sz w:val="24"/>
          <w:szCs w:val="24"/>
        </w:rPr>
        <w:t xml:space="preserve">This is a compilation of </w:t>
      </w:r>
      <w:r w:rsidRPr="004577AA">
        <w:rPr>
          <w:i/>
          <w:sz w:val="24"/>
          <w:szCs w:val="24"/>
        </w:rPr>
        <w:t xml:space="preserve">ASIC Corporations </w:t>
      </w:r>
      <w:r w:rsidR="007B30D5" w:rsidRPr="00051A8A">
        <w:rPr>
          <w:i/>
          <w:sz w:val="24"/>
          <w:szCs w:val="24"/>
        </w:rPr>
        <w:t>(Changing Scheme</w:t>
      </w:r>
      <w:r w:rsidR="00A55C3A" w:rsidRPr="00051A8A">
        <w:rPr>
          <w:i/>
          <w:sz w:val="24"/>
          <w:szCs w:val="24"/>
        </w:rPr>
        <w:t xml:space="preserve"> and Retail CCIV</w:t>
      </w:r>
      <w:r w:rsidR="007B30D5" w:rsidRPr="00051A8A">
        <w:rPr>
          <w:i/>
          <w:sz w:val="24"/>
          <w:szCs w:val="24"/>
        </w:rPr>
        <w:t xml:space="preserve"> Constitutions) Instrument 2019/700</w:t>
      </w:r>
      <w:r w:rsidR="00A55C3A">
        <w:rPr>
          <w:sz w:val="24"/>
          <w:szCs w:val="24"/>
        </w:rPr>
        <w:t>)</w:t>
      </w:r>
      <w:r w:rsidR="007B30D5" w:rsidRPr="00051A8A">
        <w:rPr>
          <w:sz w:val="24"/>
          <w:szCs w:val="24"/>
        </w:rPr>
        <w:t xml:space="preserve"> </w:t>
      </w:r>
      <w:r w:rsidRPr="00A41CB2">
        <w:rPr>
          <w:sz w:val="24"/>
          <w:szCs w:val="24"/>
        </w:rPr>
        <w:t xml:space="preserve">as in force on </w:t>
      </w:r>
      <w:r w:rsidR="00A55C3A">
        <w:rPr>
          <w:sz w:val="24"/>
          <w:szCs w:val="24"/>
        </w:rPr>
        <w:t>15 November 2022.</w:t>
      </w:r>
      <w:r w:rsidRPr="00A41CB2">
        <w:rPr>
          <w:sz w:val="24"/>
          <w:szCs w:val="24"/>
        </w:rPr>
        <w:t xml:space="preserve"> It includes any commenced amendment affecting the </w:t>
      </w:r>
      <w:r>
        <w:rPr>
          <w:sz w:val="24"/>
          <w:szCs w:val="24"/>
        </w:rPr>
        <w:t xml:space="preserve">legislative instrument </w:t>
      </w:r>
      <w:r w:rsidRPr="00A41CB2">
        <w:rPr>
          <w:sz w:val="24"/>
          <w:szCs w:val="24"/>
        </w:rPr>
        <w:t>to</w:t>
      </w:r>
      <w:r>
        <w:rPr>
          <w:sz w:val="24"/>
          <w:szCs w:val="24"/>
        </w:rPr>
        <w:t xml:space="preserve"> </w:t>
      </w:r>
      <w:r w:rsidRPr="00A41CB2">
        <w:rPr>
          <w:sz w:val="24"/>
          <w:szCs w:val="24"/>
        </w:rPr>
        <w:t>that date.</w:t>
      </w:r>
      <w:r w:rsidR="00327F27">
        <w:rPr>
          <w:sz w:val="24"/>
          <w:szCs w:val="24"/>
        </w:rPr>
        <w:t xml:space="preserve"> </w:t>
      </w:r>
    </w:p>
    <w:p w14:paraId="3B3D20EF" w14:textId="77777777" w:rsidR="00327F27" w:rsidRDefault="00327F27" w:rsidP="001534EB">
      <w:pPr>
        <w:rPr>
          <w:sz w:val="24"/>
          <w:szCs w:val="24"/>
        </w:rPr>
      </w:pPr>
    </w:p>
    <w:p w14:paraId="33254605" w14:textId="77777777" w:rsidR="004303BE" w:rsidRDefault="004303BE" w:rsidP="001534EB">
      <w:pPr>
        <w:rPr>
          <w:sz w:val="24"/>
          <w:szCs w:val="24"/>
        </w:rPr>
      </w:pPr>
      <w:r>
        <w:rPr>
          <w:sz w:val="24"/>
          <w:szCs w:val="24"/>
        </w:rPr>
        <w:t xml:space="preserve">This compilation was prepared </w:t>
      </w:r>
      <w:r w:rsidR="00327F27">
        <w:rPr>
          <w:sz w:val="24"/>
          <w:szCs w:val="24"/>
        </w:rPr>
        <w:t xml:space="preserve">by </w:t>
      </w:r>
      <w:r w:rsidR="00376F3A">
        <w:rPr>
          <w:sz w:val="24"/>
          <w:szCs w:val="24"/>
        </w:rPr>
        <w:t xml:space="preserve">the </w:t>
      </w:r>
      <w:r w:rsidR="00327F27">
        <w:rPr>
          <w:sz w:val="24"/>
          <w:szCs w:val="24"/>
        </w:rPr>
        <w:t>A</w:t>
      </w:r>
      <w:r w:rsidR="00376F3A">
        <w:rPr>
          <w:sz w:val="24"/>
          <w:szCs w:val="24"/>
        </w:rPr>
        <w:t xml:space="preserve">ustralian Securities and Investments </w:t>
      </w:r>
      <w:r w:rsidR="00327F27">
        <w:rPr>
          <w:sz w:val="24"/>
          <w:szCs w:val="24"/>
        </w:rPr>
        <w:t>C</w:t>
      </w:r>
      <w:r w:rsidR="00376F3A">
        <w:rPr>
          <w:sz w:val="24"/>
          <w:szCs w:val="24"/>
        </w:rPr>
        <w:t>ommission</w:t>
      </w:r>
      <w:r>
        <w:rPr>
          <w:sz w:val="24"/>
          <w:szCs w:val="24"/>
        </w:rPr>
        <w:t>.</w:t>
      </w:r>
    </w:p>
    <w:p w14:paraId="37FBF573" w14:textId="77777777" w:rsidR="001534EB" w:rsidRDefault="001534EB" w:rsidP="001534EB">
      <w:pPr>
        <w:rPr>
          <w:sz w:val="24"/>
          <w:szCs w:val="24"/>
        </w:rPr>
      </w:pPr>
    </w:p>
    <w:p w14:paraId="58040921" w14:textId="77777777" w:rsidR="001534EB" w:rsidRPr="00A41CB2" w:rsidRDefault="001534EB" w:rsidP="001534EB">
      <w:pPr>
        <w:rPr>
          <w:sz w:val="24"/>
          <w:szCs w:val="24"/>
        </w:rPr>
      </w:pPr>
      <w:r w:rsidRPr="00A41CB2">
        <w:rPr>
          <w:sz w:val="24"/>
          <w:szCs w:val="24"/>
        </w:rPr>
        <w:t xml:space="preserve">The notes at the end of this compilation (the </w:t>
      </w:r>
      <w:r w:rsidRPr="00A41CB2">
        <w:rPr>
          <w:b/>
          <w:bCs/>
          <w:i/>
          <w:iCs/>
          <w:sz w:val="24"/>
          <w:szCs w:val="24"/>
        </w:rPr>
        <w:t>endnotes</w:t>
      </w:r>
      <w:r w:rsidRPr="00A41CB2">
        <w:rPr>
          <w:sz w:val="24"/>
          <w:szCs w:val="24"/>
        </w:rPr>
        <w:t>) include information</w:t>
      </w:r>
    </w:p>
    <w:p w14:paraId="2DDF145A" w14:textId="77777777" w:rsidR="001534EB" w:rsidRPr="00A41CB2" w:rsidRDefault="001534EB" w:rsidP="001534EB">
      <w:pPr>
        <w:rPr>
          <w:sz w:val="24"/>
          <w:szCs w:val="24"/>
        </w:rPr>
      </w:pPr>
      <w:r w:rsidRPr="00A41CB2">
        <w:rPr>
          <w:sz w:val="24"/>
          <w:szCs w:val="24"/>
        </w:rPr>
        <w:t xml:space="preserve">about amending </w:t>
      </w:r>
      <w:r>
        <w:rPr>
          <w:sz w:val="24"/>
          <w:szCs w:val="24"/>
        </w:rPr>
        <w:t xml:space="preserve">instruments </w:t>
      </w:r>
      <w:r w:rsidRPr="00A41CB2">
        <w:rPr>
          <w:sz w:val="24"/>
          <w:szCs w:val="24"/>
        </w:rPr>
        <w:t>and the amendment history of each amended provision.</w:t>
      </w:r>
    </w:p>
    <w:p w14:paraId="621C809B" w14:textId="77777777" w:rsidR="00F171A1" w:rsidRPr="00BB5C17" w:rsidRDefault="00F171A1" w:rsidP="00005446">
      <w:pPr>
        <w:pStyle w:val="LI-Fronttext"/>
        <w:pBdr>
          <w:bottom w:val="single" w:sz="4" w:space="1" w:color="auto"/>
        </w:pBdr>
        <w:rPr>
          <w:sz w:val="24"/>
          <w:szCs w:val="24"/>
        </w:rPr>
      </w:pPr>
    </w:p>
    <w:p w14:paraId="7A7EB82F" w14:textId="77777777" w:rsidR="00715914" w:rsidRPr="00F61B09" w:rsidRDefault="00715914" w:rsidP="00715914">
      <w:pPr>
        <w:pStyle w:val="Header"/>
        <w:tabs>
          <w:tab w:val="clear" w:pos="4150"/>
          <w:tab w:val="clear" w:pos="8307"/>
        </w:tabs>
      </w:pPr>
    </w:p>
    <w:p w14:paraId="6A6CE945" w14:textId="77777777" w:rsidR="00715914" w:rsidRPr="00F61B09" w:rsidRDefault="00715914" w:rsidP="00715914">
      <w:pPr>
        <w:sectPr w:rsidR="00715914" w:rsidRPr="00F61B09" w:rsidSect="008945E0">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titlePg/>
          <w:docGrid w:linePitch="360"/>
        </w:sectPr>
      </w:pPr>
    </w:p>
    <w:p w14:paraId="6F3DE231" w14:textId="77777777" w:rsidR="001D75A0" w:rsidRDefault="001D75A0" w:rsidP="001D75A0">
      <w:pPr>
        <w:spacing w:before="280" w:after="240"/>
        <w:rPr>
          <w:sz w:val="36"/>
        </w:rPr>
      </w:pPr>
      <w:r>
        <w:rPr>
          <w:b/>
          <w:sz w:val="32"/>
          <w:szCs w:val="32"/>
        </w:rPr>
        <w:lastRenderedPageBreak/>
        <w:t>Contents</w:t>
      </w:r>
    </w:p>
    <w:bookmarkStart w:id="0" w:name="BKCheck15B_2"/>
    <w:bookmarkEnd w:id="0"/>
    <w:p w14:paraId="341B61BF" w14:textId="281664C7" w:rsidR="00A42280" w:rsidRPr="00CA061B" w:rsidRDefault="001D75A0">
      <w:pPr>
        <w:pStyle w:val="TOC1"/>
        <w:rPr>
          <w:rFonts w:ascii="Calibri" w:hAnsi="Calibri"/>
          <w:b w:val="0"/>
          <w:noProof/>
          <w:kern w:val="0"/>
          <w:sz w:val="22"/>
          <w:szCs w:val="22"/>
        </w:rPr>
      </w:pPr>
      <w:r>
        <w:rPr>
          <w:sz w:val="28"/>
        </w:rPr>
        <w:fldChar w:fldCharType="begin"/>
      </w:r>
      <w:r>
        <w:rPr>
          <w:sz w:val="28"/>
        </w:rPr>
        <w:instrText xml:space="preserve"> TOC \h \z \t "LI - Heading 1,1,LI - Heading 2,2" </w:instrText>
      </w:r>
      <w:r>
        <w:rPr>
          <w:sz w:val="28"/>
        </w:rPr>
        <w:fldChar w:fldCharType="separate"/>
      </w:r>
      <w:hyperlink w:anchor="_Toc120786546" w:history="1">
        <w:r w:rsidR="00A42280" w:rsidRPr="001947A7">
          <w:rPr>
            <w:rStyle w:val="Hyperlink"/>
            <w:noProof/>
          </w:rPr>
          <w:t>Part</w:t>
        </w:r>
        <w:r w:rsidR="00051A8A">
          <w:rPr>
            <w:rStyle w:val="Hyperlink"/>
            <w:noProof/>
          </w:rPr>
          <w:t xml:space="preserve"> </w:t>
        </w:r>
        <w:r w:rsidR="00A42280" w:rsidRPr="001947A7">
          <w:rPr>
            <w:rStyle w:val="Hyperlink"/>
            <w:noProof/>
          </w:rPr>
          <w:t>1—Preliminary</w:t>
        </w:r>
        <w:r w:rsidR="00A42280">
          <w:rPr>
            <w:noProof/>
            <w:webHidden/>
          </w:rPr>
          <w:tab/>
        </w:r>
        <w:r w:rsidR="00A42280">
          <w:rPr>
            <w:noProof/>
            <w:webHidden/>
          </w:rPr>
          <w:fldChar w:fldCharType="begin"/>
        </w:r>
        <w:r w:rsidR="00A42280">
          <w:rPr>
            <w:noProof/>
            <w:webHidden/>
          </w:rPr>
          <w:instrText xml:space="preserve"> PAGEREF _Toc120786546 \h </w:instrText>
        </w:r>
        <w:r w:rsidR="00A42280">
          <w:rPr>
            <w:noProof/>
            <w:webHidden/>
          </w:rPr>
        </w:r>
        <w:r w:rsidR="00A42280">
          <w:rPr>
            <w:noProof/>
            <w:webHidden/>
          </w:rPr>
          <w:fldChar w:fldCharType="separate"/>
        </w:r>
        <w:r w:rsidR="00A42280">
          <w:rPr>
            <w:noProof/>
            <w:webHidden/>
          </w:rPr>
          <w:t>3</w:t>
        </w:r>
        <w:r w:rsidR="00A42280">
          <w:rPr>
            <w:noProof/>
            <w:webHidden/>
          </w:rPr>
          <w:fldChar w:fldCharType="end"/>
        </w:r>
      </w:hyperlink>
    </w:p>
    <w:p w14:paraId="19819E40" w14:textId="77777777" w:rsidR="00A42280" w:rsidRPr="00CA061B" w:rsidRDefault="0011027F">
      <w:pPr>
        <w:pStyle w:val="TOC2"/>
        <w:tabs>
          <w:tab w:val="left" w:pos="1604"/>
        </w:tabs>
        <w:rPr>
          <w:rFonts w:ascii="Calibri" w:hAnsi="Calibri"/>
          <w:noProof/>
          <w:kern w:val="0"/>
          <w:sz w:val="22"/>
          <w:szCs w:val="22"/>
        </w:rPr>
      </w:pPr>
      <w:hyperlink w:anchor="_Toc120786547" w:history="1">
        <w:r w:rsidR="00A42280" w:rsidRPr="001947A7">
          <w:rPr>
            <w:rStyle w:val="Hyperlink"/>
            <w:noProof/>
          </w:rPr>
          <w:t>1</w:t>
        </w:r>
        <w:r w:rsidR="00A42280" w:rsidRPr="00CA061B">
          <w:rPr>
            <w:rFonts w:ascii="Calibri" w:hAnsi="Calibri"/>
            <w:noProof/>
            <w:kern w:val="0"/>
            <w:sz w:val="22"/>
            <w:szCs w:val="22"/>
          </w:rPr>
          <w:tab/>
        </w:r>
        <w:r w:rsidR="00A42280" w:rsidRPr="001947A7">
          <w:rPr>
            <w:rStyle w:val="Hyperlink"/>
            <w:noProof/>
          </w:rPr>
          <w:t>Name of legislative instrument</w:t>
        </w:r>
        <w:r w:rsidR="00A42280">
          <w:rPr>
            <w:noProof/>
            <w:webHidden/>
          </w:rPr>
          <w:tab/>
        </w:r>
        <w:r w:rsidR="00A42280">
          <w:rPr>
            <w:noProof/>
            <w:webHidden/>
          </w:rPr>
          <w:fldChar w:fldCharType="begin"/>
        </w:r>
        <w:r w:rsidR="00A42280">
          <w:rPr>
            <w:noProof/>
            <w:webHidden/>
          </w:rPr>
          <w:instrText xml:space="preserve"> PAGEREF _Toc120786547 \h </w:instrText>
        </w:r>
        <w:r w:rsidR="00A42280">
          <w:rPr>
            <w:noProof/>
            <w:webHidden/>
          </w:rPr>
        </w:r>
        <w:r w:rsidR="00A42280">
          <w:rPr>
            <w:noProof/>
            <w:webHidden/>
          </w:rPr>
          <w:fldChar w:fldCharType="separate"/>
        </w:r>
        <w:r w:rsidR="00A42280">
          <w:rPr>
            <w:noProof/>
            <w:webHidden/>
          </w:rPr>
          <w:t>3</w:t>
        </w:r>
        <w:r w:rsidR="00A42280">
          <w:rPr>
            <w:noProof/>
            <w:webHidden/>
          </w:rPr>
          <w:fldChar w:fldCharType="end"/>
        </w:r>
      </w:hyperlink>
    </w:p>
    <w:p w14:paraId="1CA0CA21" w14:textId="77777777" w:rsidR="00A42280" w:rsidRPr="00CA061B" w:rsidRDefault="0011027F">
      <w:pPr>
        <w:pStyle w:val="TOC2"/>
        <w:tabs>
          <w:tab w:val="left" w:pos="1604"/>
        </w:tabs>
        <w:rPr>
          <w:rFonts w:ascii="Calibri" w:hAnsi="Calibri"/>
          <w:noProof/>
          <w:kern w:val="0"/>
          <w:sz w:val="22"/>
          <w:szCs w:val="22"/>
        </w:rPr>
      </w:pPr>
      <w:hyperlink w:anchor="_Toc120786548" w:history="1">
        <w:r w:rsidR="00A42280" w:rsidRPr="001947A7">
          <w:rPr>
            <w:rStyle w:val="Hyperlink"/>
            <w:noProof/>
          </w:rPr>
          <w:t>3</w:t>
        </w:r>
        <w:r w:rsidR="00A42280" w:rsidRPr="00CA061B">
          <w:rPr>
            <w:rFonts w:ascii="Calibri" w:hAnsi="Calibri"/>
            <w:noProof/>
            <w:kern w:val="0"/>
            <w:sz w:val="22"/>
            <w:szCs w:val="22"/>
          </w:rPr>
          <w:tab/>
        </w:r>
        <w:r w:rsidR="00A42280" w:rsidRPr="001947A7">
          <w:rPr>
            <w:rStyle w:val="Hyperlink"/>
            <w:noProof/>
          </w:rPr>
          <w:t>Authority</w:t>
        </w:r>
        <w:r w:rsidR="00A42280">
          <w:rPr>
            <w:noProof/>
            <w:webHidden/>
          </w:rPr>
          <w:tab/>
        </w:r>
        <w:r w:rsidR="00A42280">
          <w:rPr>
            <w:noProof/>
            <w:webHidden/>
          </w:rPr>
          <w:fldChar w:fldCharType="begin"/>
        </w:r>
        <w:r w:rsidR="00A42280">
          <w:rPr>
            <w:noProof/>
            <w:webHidden/>
          </w:rPr>
          <w:instrText xml:space="preserve"> PAGEREF _Toc120786548 \h </w:instrText>
        </w:r>
        <w:r w:rsidR="00A42280">
          <w:rPr>
            <w:noProof/>
            <w:webHidden/>
          </w:rPr>
        </w:r>
        <w:r w:rsidR="00A42280">
          <w:rPr>
            <w:noProof/>
            <w:webHidden/>
          </w:rPr>
          <w:fldChar w:fldCharType="separate"/>
        </w:r>
        <w:r w:rsidR="00A42280">
          <w:rPr>
            <w:noProof/>
            <w:webHidden/>
          </w:rPr>
          <w:t>3</w:t>
        </w:r>
        <w:r w:rsidR="00A42280">
          <w:rPr>
            <w:noProof/>
            <w:webHidden/>
          </w:rPr>
          <w:fldChar w:fldCharType="end"/>
        </w:r>
      </w:hyperlink>
    </w:p>
    <w:p w14:paraId="5F771566" w14:textId="77777777" w:rsidR="00A42280" w:rsidRPr="00CA061B" w:rsidRDefault="0011027F">
      <w:pPr>
        <w:pStyle w:val="TOC2"/>
        <w:tabs>
          <w:tab w:val="left" w:pos="1604"/>
        </w:tabs>
        <w:rPr>
          <w:rFonts w:ascii="Calibri" w:hAnsi="Calibri"/>
          <w:noProof/>
          <w:kern w:val="0"/>
          <w:sz w:val="22"/>
          <w:szCs w:val="22"/>
        </w:rPr>
      </w:pPr>
      <w:hyperlink w:anchor="_Toc120786549" w:history="1">
        <w:r w:rsidR="00A42280" w:rsidRPr="001947A7">
          <w:rPr>
            <w:rStyle w:val="Hyperlink"/>
            <w:noProof/>
          </w:rPr>
          <w:t>4</w:t>
        </w:r>
        <w:r w:rsidR="00A42280" w:rsidRPr="00CA061B">
          <w:rPr>
            <w:rFonts w:ascii="Calibri" w:hAnsi="Calibri"/>
            <w:noProof/>
            <w:kern w:val="0"/>
            <w:sz w:val="22"/>
            <w:szCs w:val="22"/>
          </w:rPr>
          <w:tab/>
        </w:r>
        <w:r w:rsidR="00A42280" w:rsidRPr="001947A7">
          <w:rPr>
            <w:rStyle w:val="Hyperlink"/>
            <w:noProof/>
          </w:rPr>
          <w:t>Definitions</w:t>
        </w:r>
        <w:r w:rsidR="00A42280">
          <w:rPr>
            <w:noProof/>
            <w:webHidden/>
          </w:rPr>
          <w:tab/>
        </w:r>
        <w:r w:rsidR="00A42280">
          <w:rPr>
            <w:noProof/>
            <w:webHidden/>
          </w:rPr>
          <w:fldChar w:fldCharType="begin"/>
        </w:r>
        <w:r w:rsidR="00A42280">
          <w:rPr>
            <w:noProof/>
            <w:webHidden/>
          </w:rPr>
          <w:instrText xml:space="preserve"> PAGEREF _Toc120786549 \h </w:instrText>
        </w:r>
        <w:r w:rsidR="00A42280">
          <w:rPr>
            <w:noProof/>
            <w:webHidden/>
          </w:rPr>
        </w:r>
        <w:r w:rsidR="00A42280">
          <w:rPr>
            <w:noProof/>
            <w:webHidden/>
          </w:rPr>
          <w:fldChar w:fldCharType="separate"/>
        </w:r>
        <w:r w:rsidR="00A42280">
          <w:rPr>
            <w:noProof/>
            <w:webHidden/>
          </w:rPr>
          <w:t>3</w:t>
        </w:r>
        <w:r w:rsidR="00A42280">
          <w:rPr>
            <w:noProof/>
            <w:webHidden/>
          </w:rPr>
          <w:fldChar w:fldCharType="end"/>
        </w:r>
      </w:hyperlink>
    </w:p>
    <w:p w14:paraId="767CD9D8" w14:textId="77777777" w:rsidR="00A42280" w:rsidRPr="00CA061B" w:rsidRDefault="0011027F">
      <w:pPr>
        <w:pStyle w:val="TOC1"/>
        <w:rPr>
          <w:rFonts w:ascii="Calibri" w:hAnsi="Calibri"/>
          <w:b w:val="0"/>
          <w:noProof/>
          <w:kern w:val="0"/>
          <w:sz w:val="22"/>
          <w:szCs w:val="22"/>
        </w:rPr>
      </w:pPr>
      <w:hyperlink w:anchor="_Toc120786550" w:history="1">
        <w:r w:rsidR="00A42280" w:rsidRPr="001947A7">
          <w:rPr>
            <w:rStyle w:val="Hyperlink"/>
            <w:noProof/>
          </w:rPr>
          <w:t>Part 2—Declaration</w:t>
        </w:r>
        <w:r w:rsidR="00A42280">
          <w:rPr>
            <w:noProof/>
            <w:webHidden/>
          </w:rPr>
          <w:tab/>
        </w:r>
        <w:r w:rsidR="00A42280">
          <w:rPr>
            <w:noProof/>
            <w:webHidden/>
          </w:rPr>
          <w:fldChar w:fldCharType="begin"/>
        </w:r>
        <w:r w:rsidR="00A42280">
          <w:rPr>
            <w:noProof/>
            <w:webHidden/>
          </w:rPr>
          <w:instrText xml:space="preserve"> PAGEREF _Toc120786550 \h </w:instrText>
        </w:r>
        <w:r w:rsidR="00A42280">
          <w:rPr>
            <w:noProof/>
            <w:webHidden/>
          </w:rPr>
        </w:r>
        <w:r w:rsidR="00A42280">
          <w:rPr>
            <w:noProof/>
            <w:webHidden/>
          </w:rPr>
          <w:fldChar w:fldCharType="separate"/>
        </w:r>
        <w:r w:rsidR="00A42280">
          <w:rPr>
            <w:noProof/>
            <w:webHidden/>
          </w:rPr>
          <w:t>4</w:t>
        </w:r>
        <w:r w:rsidR="00A42280">
          <w:rPr>
            <w:noProof/>
            <w:webHidden/>
          </w:rPr>
          <w:fldChar w:fldCharType="end"/>
        </w:r>
      </w:hyperlink>
    </w:p>
    <w:p w14:paraId="2EBE33F9" w14:textId="77777777" w:rsidR="00A42280" w:rsidRPr="00CA061B" w:rsidRDefault="0011027F">
      <w:pPr>
        <w:pStyle w:val="TOC2"/>
        <w:tabs>
          <w:tab w:val="left" w:pos="1604"/>
        </w:tabs>
        <w:rPr>
          <w:rFonts w:ascii="Calibri" w:hAnsi="Calibri"/>
          <w:noProof/>
          <w:kern w:val="0"/>
          <w:sz w:val="22"/>
          <w:szCs w:val="22"/>
        </w:rPr>
      </w:pPr>
      <w:hyperlink w:anchor="_Toc120786551" w:history="1">
        <w:r w:rsidR="00A42280" w:rsidRPr="001947A7">
          <w:rPr>
            <w:rStyle w:val="Hyperlink"/>
            <w:noProof/>
          </w:rPr>
          <w:t>5</w:t>
        </w:r>
        <w:r w:rsidR="00A42280" w:rsidRPr="00CA061B">
          <w:rPr>
            <w:rFonts w:ascii="Calibri" w:hAnsi="Calibri"/>
            <w:noProof/>
            <w:kern w:val="0"/>
            <w:sz w:val="22"/>
            <w:szCs w:val="22"/>
          </w:rPr>
          <w:tab/>
        </w:r>
        <w:r w:rsidR="00A42280" w:rsidRPr="001947A7">
          <w:rPr>
            <w:rStyle w:val="Hyperlink"/>
            <w:noProof/>
          </w:rPr>
          <w:t>Registered scheme – changing the constitution</w:t>
        </w:r>
        <w:r w:rsidR="00A42280">
          <w:rPr>
            <w:noProof/>
            <w:webHidden/>
          </w:rPr>
          <w:tab/>
        </w:r>
        <w:r w:rsidR="00A42280">
          <w:rPr>
            <w:noProof/>
            <w:webHidden/>
          </w:rPr>
          <w:fldChar w:fldCharType="begin"/>
        </w:r>
        <w:r w:rsidR="00A42280">
          <w:rPr>
            <w:noProof/>
            <w:webHidden/>
          </w:rPr>
          <w:instrText xml:space="preserve"> PAGEREF _Toc120786551 \h </w:instrText>
        </w:r>
        <w:r w:rsidR="00A42280">
          <w:rPr>
            <w:noProof/>
            <w:webHidden/>
          </w:rPr>
        </w:r>
        <w:r w:rsidR="00A42280">
          <w:rPr>
            <w:noProof/>
            <w:webHidden/>
          </w:rPr>
          <w:fldChar w:fldCharType="separate"/>
        </w:r>
        <w:r w:rsidR="00A42280">
          <w:rPr>
            <w:noProof/>
            <w:webHidden/>
          </w:rPr>
          <w:t>4</w:t>
        </w:r>
        <w:r w:rsidR="00A42280">
          <w:rPr>
            <w:noProof/>
            <w:webHidden/>
          </w:rPr>
          <w:fldChar w:fldCharType="end"/>
        </w:r>
      </w:hyperlink>
    </w:p>
    <w:p w14:paraId="51DC9EB7" w14:textId="77777777" w:rsidR="00A42280" w:rsidRPr="00CA061B" w:rsidRDefault="0011027F">
      <w:pPr>
        <w:pStyle w:val="TOC2"/>
        <w:tabs>
          <w:tab w:val="left" w:pos="1604"/>
        </w:tabs>
        <w:rPr>
          <w:rFonts w:ascii="Calibri" w:hAnsi="Calibri"/>
          <w:noProof/>
          <w:kern w:val="0"/>
          <w:sz w:val="22"/>
          <w:szCs w:val="22"/>
        </w:rPr>
      </w:pPr>
      <w:hyperlink w:anchor="_Toc120786552" w:history="1">
        <w:r w:rsidR="00A42280" w:rsidRPr="001947A7">
          <w:rPr>
            <w:rStyle w:val="Hyperlink"/>
            <w:noProof/>
          </w:rPr>
          <w:t>6</w:t>
        </w:r>
        <w:r w:rsidR="00A42280" w:rsidRPr="00CA061B">
          <w:rPr>
            <w:rFonts w:ascii="Calibri" w:hAnsi="Calibri"/>
            <w:noProof/>
            <w:kern w:val="0"/>
            <w:sz w:val="22"/>
            <w:szCs w:val="22"/>
          </w:rPr>
          <w:tab/>
        </w:r>
        <w:r w:rsidR="00A42280" w:rsidRPr="001947A7">
          <w:rPr>
            <w:rStyle w:val="Hyperlink"/>
            <w:noProof/>
          </w:rPr>
          <w:t>Retail CCIV – changing the constitution</w:t>
        </w:r>
        <w:r w:rsidR="00A42280">
          <w:rPr>
            <w:noProof/>
            <w:webHidden/>
          </w:rPr>
          <w:tab/>
        </w:r>
        <w:r w:rsidR="00A42280">
          <w:rPr>
            <w:noProof/>
            <w:webHidden/>
          </w:rPr>
          <w:fldChar w:fldCharType="begin"/>
        </w:r>
        <w:r w:rsidR="00A42280">
          <w:rPr>
            <w:noProof/>
            <w:webHidden/>
          </w:rPr>
          <w:instrText xml:space="preserve"> PAGEREF _Toc120786552 \h </w:instrText>
        </w:r>
        <w:r w:rsidR="00A42280">
          <w:rPr>
            <w:noProof/>
            <w:webHidden/>
          </w:rPr>
        </w:r>
        <w:r w:rsidR="00A42280">
          <w:rPr>
            <w:noProof/>
            <w:webHidden/>
          </w:rPr>
          <w:fldChar w:fldCharType="separate"/>
        </w:r>
        <w:r w:rsidR="00A42280">
          <w:rPr>
            <w:noProof/>
            <w:webHidden/>
          </w:rPr>
          <w:t>5</w:t>
        </w:r>
        <w:r w:rsidR="00A42280">
          <w:rPr>
            <w:noProof/>
            <w:webHidden/>
          </w:rPr>
          <w:fldChar w:fldCharType="end"/>
        </w:r>
      </w:hyperlink>
    </w:p>
    <w:p w14:paraId="17C1A25B" w14:textId="77777777" w:rsidR="00A42280" w:rsidRPr="00CA061B" w:rsidRDefault="0011027F">
      <w:pPr>
        <w:pStyle w:val="TOC1"/>
        <w:rPr>
          <w:rFonts w:ascii="Calibri" w:hAnsi="Calibri"/>
          <w:b w:val="0"/>
          <w:noProof/>
          <w:kern w:val="0"/>
          <w:sz w:val="22"/>
          <w:szCs w:val="22"/>
        </w:rPr>
      </w:pPr>
      <w:hyperlink w:anchor="_Toc120786553" w:history="1">
        <w:r w:rsidR="00A42280" w:rsidRPr="001947A7">
          <w:rPr>
            <w:rStyle w:val="Hyperlink"/>
            <w:noProof/>
          </w:rPr>
          <w:t>Endnotes</w:t>
        </w:r>
        <w:r w:rsidR="00A42280">
          <w:rPr>
            <w:noProof/>
            <w:webHidden/>
          </w:rPr>
          <w:tab/>
        </w:r>
        <w:r w:rsidR="00A42280">
          <w:rPr>
            <w:noProof/>
            <w:webHidden/>
          </w:rPr>
          <w:fldChar w:fldCharType="begin"/>
        </w:r>
        <w:r w:rsidR="00A42280">
          <w:rPr>
            <w:noProof/>
            <w:webHidden/>
          </w:rPr>
          <w:instrText xml:space="preserve"> PAGEREF _Toc120786553 \h </w:instrText>
        </w:r>
        <w:r w:rsidR="00A42280">
          <w:rPr>
            <w:noProof/>
            <w:webHidden/>
          </w:rPr>
        </w:r>
        <w:r w:rsidR="00A42280">
          <w:rPr>
            <w:noProof/>
            <w:webHidden/>
          </w:rPr>
          <w:fldChar w:fldCharType="separate"/>
        </w:r>
        <w:r w:rsidR="00A42280">
          <w:rPr>
            <w:noProof/>
            <w:webHidden/>
          </w:rPr>
          <w:t>7</w:t>
        </w:r>
        <w:r w:rsidR="00A42280">
          <w:rPr>
            <w:noProof/>
            <w:webHidden/>
          </w:rPr>
          <w:fldChar w:fldCharType="end"/>
        </w:r>
      </w:hyperlink>
    </w:p>
    <w:p w14:paraId="7A7E48A8" w14:textId="77777777" w:rsidR="00A42280" w:rsidRPr="00CA061B" w:rsidRDefault="0011027F">
      <w:pPr>
        <w:pStyle w:val="TOC2"/>
        <w:rPr>
          <w:rFonts w:ascii="Calibri" w:hAnsi="Calibri"/>
          <w:noProof/>
          <w:kern w:val="0"/>
          <w:sz w:val="22"/>
          <w:szCs w:val="22"/>
        </w:rPr>
      </w:pPr>
      <w:hyperlink w:anchor="_Toc120786554" w:history="1">
        <w:r w:rsidR="00A42280" w:rsidRPr="001947A7">
          <w:rPr>
            <w:rStyle w:val="Hyperlink"/>
            <w:noProof/>
          </w:rPr>
          <w:t>Endnote 1—Instrument history</w:t>
        </w:r>
        <w:r w:rsidR="00A42280">
          <w:rPr>
            <w:noProof/>
            <w:webHidden/>
          </w:rPr>
          <w:tab/>
        </w:r>
        <w:r w:rsidR="00A42280">
          <w:rPr>
            <w:noProof/>
            <w:webHidden/>
          </w:rPr>
          <w:fldChar w:fldCharType="begin"/>
        </w:r>
        <w:r w:rsidR="00A42280">
          <w:rPr>
            <w:noProof/>
            <w:webHidden/>
          </w:rPr>
          <w:instrText xml:space="preserve"> PAGEREF _Toc120786554 \h </w:instrText>
        </w:r>
        <w:r w:rsidR="00A42280">
          <w:rPr>
            <w:noProof/>
            <w:webHidden/>
          </w:rPr>
        </w:r>
        <w:r w:rsidR="00A42280">
          <w:rPr>
            <w:noProof/>
            <w:webHidden/>
          </w:rPr>
          <w:fldChar w:fldCharType="separate"/>
        </w:r>
        <w:r w:rsidR="00A42280">
          <w:rPr>
            <w:noProof/>
            <w:webHidden/>
          </w:rPr>
          <w:t>7</w:t>
        </w:r>
        <w:r w:rsidR="00A42280">
          <w:rPr>
            <w:noProof/>
            <w:webHidden/>
          </w:rPr>
          <w:fldChar w:fldCharType="end"/>
        </w:r>
      </w:hyperlink>
    </w:p>
    <w:p w14:paraId="59B65FCC" w14:textId="77777777" w:rsidR="00A42280" w:rsidRPr="00CA061B" w:rsidRDefault="0011027F">
      <w:pPr>
        <w:pStyle w:val="TOC2"/>
        <w:rPr>
          <w:rFonts w:ascii="Calibri" w:hAnsi="Calibri"/>
          <w:noProof/>
          <w:kern w:val="0"/>
          <w:sz w:val="22"/>
          <w:szCs w:val="22"/>
        </w:rPr>
      </w:pPr>
      <w:hyperlink w:anchor="_Toc120786555" w:history="1">
        <w:r w:rsidR="00A42280" w:rsidRPr="001947A7">
          <w:rPr>
            <w:rStyle w:val="Hyperlink"/>
            <w:noProof/>
          </w:rPr>
          <w:t>Endnote 2—Amendment history</w:t>
        </w:r>
        <w:r w:rsidR="00A42280">
          <w:rPr>
            <w:noProof/>
            <w:webHidden/>
          </w:rPr>
          <w:tab/>
        </w:r>
        <w:r w:rsidR="00A42280">
          <w:rPr>
            <w:noProof/>
            <w:webHidden/>
          </w:rPr>
          <w:fldChar w:fldCharType="begin"/>
        </w:r>
        <w:r w:rsidR="00A42280">
          <w:rPr>
            <w:noProof/>
            <w:webHidden/>
          </w:rPr>
          <w:instrText xml:space="preserve"> PAGEREF _Toc120786555 \h </w:instrText>
        </w:r>
        <w:r w:rsidR="00A42280">
          <w:rPr>
            <w:noProof/>
            <w:webHidden/>
          </w:rPr>
        </w:r>
        <w:r w:rsidR="00A42280">
          <w:rPr>
            <w:noProof/>
            <w:webHidden/>
          </w:rPr>
          <w:fldChar w:fldCharType="separate"/>
        </w:r>
        <w:r w:rsidR="00A42280">
          <w:rPr>
            <w:noProof/>
            <w:webHidden/>
          </w:rPr>
          <w:t>7</w:t>
        </w:r>
        <w:r w:rsidR="00A42280">
          <w:rPr>
            <w:noProof/>
            <w:webHidden/>
          </w:rPr>
          <w:fldChar w:fldCharType="end"/>
        </w:r>
      </w:hyperlink>
    </w:p>
    <w:p w14:paraId="6EE249F6" w14:textId="77777777" w:rsidR="00670EA1" w:rsidRPr="00F61B09" w:rsidRDefault="001D75A0" w:rsidP="001D75A0">
      <w:r>
        <w:rPr>
          <w:rFonts w:eastAsia="Times New Roman"/>
          <w:kern w:val="28"/>
          <w:sz w:val="28"/>
          <w:lang w:eastAsia="en-AU"/>
        </w:rPr>
        <w:fldChar w:fldCharType="end"/>
      </w:r>
    </w:p>
    <w:p w14:paraId="7A3C51DB" w14:textId="77777777" w:rsidR="00670EA1" w:rsidRPr="00F61B09" w:rsidRDefault="00670EA1" w:rsidP="00715914">
      <w:pPr>
        <w:sectPr w:rsidR="00670EA1" w:rsidRPr="00F61B09" w:rsidSect="00F4215A">
          <w:headerReference w:type="even" r:id="rId16"/>
          <w:headerReference w:type="default" r:id="rId17"/>
          <w:footerReference w:type="even" r:id="rId18"/>
          <w:footerReference w:type="default" r:id="rId19"/>
          <w:headerReference w:type="first" r:id="rId20"/>
          <w:pgSz w:w="11907" w:h="16839"/>
          <w:pgMar w:top="1098" w:right="1797" w:bottom="1440" w:left="1797" w:header="720" w:footer="709" w:gutter="0"/>
          <w:pgNumType w:fmt="lowerRoman"/>
          <w:cols w:space="708"/>
          <w:docGrid w:linePitch="360"/>
        </w:sectPr>
      </w:pPr>
    </w:p>
    <w:p w14:paraId="771D498C" w14:textId="0CC046B7" w:rsidR="00FA31DE" w:rsidRPr="00F61B09" w:rsidRDefault="00FA31DE" w:rsidP="006554FF">
      <w:pPr>
        <w:pStyle w:val="LI-Heading1"/>
      </w:pPr>
      <w:bookmarkStart w:id="1" w:name="BK_S3P1L1C1"/>
      <w:bookmarkStart w:id="2" w:name="_Toc420481751"/>
      <w:bookmarkStart w:id="3" w:name="_Toc120786546"/>
      <w:bookmarkEnd w:id="1"/>
      <w:r w:rsidRPr="006554FF">
        <w:lastRenderedPageBreak/>
        <w:t>Part</w:t>
      </w:r>
      <w:r w:rsidR="00051A8A">
        <w:t xml:space="preserve"> </w:t>
      </w:r>
      <w:r w:rsidRPr="006E5320">
        <w:t>1</w:t>
      </w:r>
      <w:r w:rsidRPr="00F61B09">
        <w:t>—</w:t>
      </w:r>
      <w:r w:rsidRPr="00005446">
        <w:t>Preliminary</w:t>
      </w:r>
      <w:bookmarkEnd w:id="2"/>
      <w:bookmarkEnd w:id="3"/>
    </w:p>
    <w:p w14:paraId="399B7DF7" w14:textId="77777777" w:rsidR="00FA31DE" w:rsidRDefault="00FA31DE" w:rsidP="00C11452">
      <w:pPr>
        <w:pStyle w:val="LI-Heading2"/>
        <w:rPr>
          <w:szCs w:val="24"/>
        </w:rPr>
      </w:pPr>
      <w:bookmarkStart w:id="4" w:name="_Toc420481752"/>
      <w:bookmarkStart w:id="5" w:name="_Toc120786547"/>
      <w:r w:rsidRPr="008C0F29">
        <w:rPr>
          <w:szCs w:val="24"/>
        </w:rPr>
        <w:t>1</w:t>
      </w:r>
      <w:r w:rsidR="00FC3EB8">
        <w:rPr>
          <w:szCs w:val="24"/>
        </w:rPr>
        <w:tab/>
      </w:r>
      <w:r w:rsidRPr="008C0F29">
        <w:rPr>
          <w:szCs w:val="24"/>
        </w:rPr>
        <w:t xml:space="preserve">Name of </w:t>
      </w:r>
      <w:r w:rsidR="008C0F29" w:rsidRPr="008C0F29">
        <w:rPr>
          <w:szCs w:val="24"/>
        </w:rPr>
        <w:t>legislative instrument</w:t>
      </w:r>
      <w:bookmarkEnd w:id="4"/>
      <w:bookmarkEnd w:id="5"/>
    </w:p>
    <w:p w14:paraId="1D3C3B2F" w14:textId="77777777" w:rsidR="00FA31DE" w:rsidRDefault="00FA31DE" w:rsidP="00005446">
      <w:pPr>
        <w:pStyle w:val="LI-BodyTextUnnumbered"/>
        <w:rPr>
          <w:szCs w:val="24"/>
        </w:rPr>
      </w:pPr>
      <w:r w:rsidRPr="008C0F29">
        <w:rPr>
          <w:szCs w:val="24"/>
        </w:rPr>
        <w:t xml:space="preserve">This </w:t>
      </w:r>
      <w:r w:rsidR="008C0F29" w:rsidRPr="00005446">
        <w:t xml:space="preserve">instrument </w:t>
      </w:r>
      <w:r w:rsidR="008C0F29" w:rsidRPr="008C0F29">
        <w:rPr>
          <w:szCs w:val="24"/>
        </w:rPr>
        <w:t xml:space="preserve">is </w:t>
      </w:r>
      <w:r w:rsidR="008C0F29" w:rsidRPr="008C0F29">
        <w:rPr>
          <w:i/>
          <w:szCs w:val="24"/>
        </w:rPr>
        <w:t>A</w:t>
      </w:r>
      <w:r w:rsidR="00327DDF">
        <w:rPr>
          <w:i/>
          <w:szCs w:val="24"/>
        </w:rPr>
        <w:t>SIC</w:t>
      </w:r>
      <w:r w:rsidR="00B409C4">
        <w:rPr>
          <w:i/>
          <w:szCs w:val="24"/>
        </w:rPr>
        <w:t xml:space="preserve"> </w:t>
      </w:r>
      <w:r w:rsidR="00B409C4" w:rsidRPr="00D61B77">
        <w:rPr>
          <w:i/>
        </w:rPr>
        <w:t xml:space="preserve">(Changing Scheme </w:t>
      </w:r>
      <w:r w:rsidR="00E60337">
        <w:rPr>
          <w:i/>
        </w:rPr>
        <w:t xml:space="preserve">and Retail CCIV </w:t>
      </w:r>
      <w:r w:rsidR="00B409C4" w:rsidRPr="00D61B77">
        <w:rPr>
          <w:i/>
        </w:rPr>
        <w:t>Constitutions) Instrument 2019/700</w:t>
      </w:r>
      <w:r w:rsidR="00B409C4">
        <w:rPr>
          <w:i/>
        </w:rPr>
        <w:t>.</w:t>
      </w:r>
    </w:p>
    <w:p w14:paraId="2AB7345F" w14:textId="77777777" w:rsidR="00FA31DE" w:rsidRPr="008C0F29" w:rsidRDefault="00FA31DE" w:rsidP="00EC4757">
      <w:pPr>
        <w:pStyle w:val="LI-Heading2"/>
        <w:spacing w:before="240"/>
        <w:rPr>
          <w:szCs w:val="24"/>
        </w:rPr>
      </w:pPr>
      <w:bookmarkStart w:id="6" w:name="_Toc420481754"/>
      <w:bookmarkStart w:id="7" w:name="_Toc120786548"/>
      <w:r w:rsidRPr="008C0F29">
        <w:rPr>
          <w:szCs w:val="24"/>
        </w:rPr>
        <w:t>3</w:t>
      </w:r>
      <w:r w:rsidR="00FC3EB8">
        <w:rPr>
          <w:szCs w:val="24"/>
        </w:rPr>
        <w:tab/>
      </w:r>
      <w:r w:rsidRPr="008C0F29">
        <w:rPr>
          <w:szCs w:val="24"/>
        </w:rPr>
        <w:t>Authority</w:t>
      </w:r>
      <w:bookmarkEnd w:id="6"/>
      <w:bookmarkEnd w:id="7"/>
    </w:p>
    <w:p w14:paraId="5160E020" w14:textId="77777777" w:rsidR="00FA31DE" w:rsidRPr="008C0F29" w:rsidRDefault="00FA31DE" w:rsidP="00EC4757">
      <w:pPr>
        <w:pStyle w:val="LI-BodyTextUnnumbered"/>
        <w:rPr>
          <w:szCs w:val="24"/>
        </w:rPr>
      </w:pPr>
      <w:r w:rsidRPr="008C0F29">
        <w:rPr>
          <w:szCs w:val="24"/>
        </w:rPr>
        <w:t xml:space="preserve">This </w:t>
      </w:r>
      <w:r w:rsidR="008C0F29" w:rsidRPr="008C0F29">
        <w:rPr>
          <w:szCs w:val="24"/>
        </w:rPr>
        <w:t xml:space="preserve">instrument </w:t>
      </w:r>
      <w:r w:rsidRPr="008C0F29">
        <w:rPr>
          <w:szCs w:val="24"/>
        </w:rPr>
        <w:t xml:space="preserve">is made under </w:t>
      </w:r>
      <w:r w:rsidR="00E60337">
        <w:rPr>
          <w:szCs w:val="24"/>
        </w:rPr>
        <w:t xml:space="preserve">subsections </w:t>
      </w:r>
      <w:r w:rsidR="003F2C2F" w:rsidRPr="003F2C2F">
        <w:rPr>
          <w:szCs w:val="24"/>
        </w:rPr>
        <w:t>601QA(1)</w:t>
      </w:r>
      <w:r w:rsidR="008C0F29" w:rsidRPr="005D3D41">
        <w:rPr>
          <w:szCs w:val="24"/>
        </w:rPr>
        <w:t xml:space="preserve"> </w:t>
      </w:r>
      <w:r w:rsidR="00E60337">
        <w:t xml:space="preserve">and 1243(2) </w:t>
      </w:r>
      <w:r w:rsidRPr="005D3D41">
        <w:rPr>
          <w:szCs w:val="24"/>
        </w:rPr>
        <w:t>of</w:t>
      </w:r>
      <w:r w:rsidR="00FB0B57">
        <w:rPr>
          <w:szCs w:val="24"/>
        </w:rPr>
        <w:t xml:space="preserve"> the</w:t>
      </w:r>
      <w:r w:rsidRPr="005D3D41">
        <w:rPr>
          <w:szCs w:val="24"/>
        </w:rPr>
        <w:t xml:space="preserve"> </w:t>
      </w:r>
      <w:r w:rsidR="00FB0B57" w:rsidRPr="00FB0B57">
        <w:rPr>
          <w:i/>
          <w:iCs/>
          <w:szCs w:val="24"/>
        </w:rPr>
        <w:t>Corporations Act 2001</w:t>
      </w:r>
      <w:r w:rsidRPr="008C0F29">
        <w:rPr>
          <w:szCs w:val="24"/>
        </w:rPr>
        <w:t>.</w:t>
      </w:r>
    </w:p>
    <w:p w14:paraId="0C830DA2" w14:textId="77777777" w:rsidR="00FA31DE" w:rsidRPr="00BB5C17" w:rsidRDefault="008C0F29" w:rsidP="00EC4757">
      <w:pPr>
        <w:pStyle w:val="LI-Heading2"/>
        <w:spacing w:before="240"/>
        <w:rPr>
          <w:szCs w:val="24"/>
        </w:rPr>
      </w:pPr>
      <w:bookmarkStart w:id="8" w:name="_Toc420481755"/>
      <w:bookmarkStart w:id="9" w:name="_Toc120786549"/>
      <w:r w:rsidRPr="00BB5C17">
        <w:rPr>
          <w:szCs w:val="24"/>
        </w:rPr>
        <w:t>4</w:t>
      </w:r>
      <w:r w:rsidR="00FC3EB8">
        <w:rPr>
          <w:szCs w:val="24"/>
        </w:rPr>
        <w:tab/>
      </w:r>
      <w:r w:rsidR="00FA31DE" w:rsidRPr="00BB5C17">
        <w:rPr>
          <w:szCs w:val="24"/>
        </w:rPr>
        <w:t>Definitions</w:t>
      </w:r>
      <w:bookmarkEnd w:id="8"/>
      <w:bookmarkEnd w:id="9"/>
    </w:p>
    <w:p w14:paraId="1AAEC9CF" w14:textId="77777777" w:rsidR="00FA31DE" w:rsidRDefault="00FA31DE" w:rsidP="00005446">
      <w:pPr>
        <w:pStyle w:val="LI-BodyTextUnnumbered"/>
      </w:pPr>
      <w:r w:rsidRPr="00005446">
        <w:t xml:space="preserve">In this </w:t>
      </w:r>
      <w:r w:rsidR="008C0F29" w:rsidRPr="00005446">
        <w:t>instrument</w:t>
      </w:r>
      <w:r w:rsidRPr="00005446">
        <w:t>:</w:t>
      </w:r>
    </w:p>
    <w:p w14:paraId="3E80C864" w14:textId="77777777" w:rsidR="00327F27" w:rsidRPr="00005446" w:rsidRDefault="00327F27" w:rsidP="00005446">
      <w:pPr>
        <w:pStyle w:val="LI-BodyTextUnnumbered"/>
      </w:pPr>
      <w:r w:rsidRPr="00327F27">
        <w:rPr>
          <w:b/>
          <w:i/>
        </w:rPr>
        <w:t>Act</w:t>
      </w:r>
      <w:r>
        <w:t xml:space="preserve"> means </w:t>
      </w:r>
      <w:r w:rsidR="003A4853">
        <w:t xml:space="preserve">the </w:t>
      </w:r>
      <w:r w:rsidR="003A4853">
        <w:rPr>
          <w:i/>
          <w:iCs/>
          <w:color w:val="000000"/>
          <w:shd w:val="clear" w:color="auto" w:fill="FFFFFF"/>
        </w:rPr>
        <w:t>Corporations Act 2001</w:t>
      </w:r>
      <w:r>
        <w:t>.</w:t>
      </w:r>
    </w:p>
    <w:p w14:paraId="6D947506" w14:textId="77777777" w:rsidR="0040053F" w:rsidRDefault="0040053F" w:rsidP="00FC3EB8">
      <w:pPr>
        <w:pStyle w:val="LI-BodyTextParaa"/>
        <w:sectPr w:rsidR="0040053F" w:rsidSect="007D230B">
          <w:headerReference w:type="even" r:id="rId21"/>
          <w:headerReference w:type="default" r:id="rId22"/>
          <w:footerReference w:type="even" r:id="rId23"/>
          <w:headerReference w:type="first" r:id="rId24"/>
          <w:footerReference w:type="first" r:id="rId25"/>
          <w:pgSz w:w="11907" w:h="16839" w:code="9"/>
          <w:pgMar w:top="1534" w:right="1797" w:bottom="1440" w:left="1797" w:header="720" w:footer="709" w:gutter="0"/>
          <w:cols w:space="708"/>
          <w:docGrid w:linePitch="360"/>
        </w:sectPr>
      </w:pPr>
    </w:p>
    <w:p w14:paraId="735A5911" w14:textId="77777777" w:rsidR="00FA31DE" w:rsidRPr="00F61B09" w:rsidRDefault="00FA31DE" w:rsidP="006554FF">
      <w:pPr>
        <w:pStyle w:val="LI-Heading1"/>
      </w:pPr>
      <w:bookmarkStart w:id="10" w:name="_Toc420481756"/>
      <w:bookmarkStart w:id="11" w:name="_Toc120786550"/>
      <w:r w:rsidRPr="006554FF">
        <w:lastRenderedPageBreak/>
        <w:t>Part</w:t>
      </w:r>
      <w:r w:rsidR="005D0489" w:rsidRPr="006554FF">
        <w:t xml:space="preserve"> </w:t>
      </w:r>
      <w:r w:rsidR="005D0489" w:rsidRPr="006E5320">
        <w:t>2</w:t>
      </w:r>
      <w:r w:rsidRPr="00F61B09">
        <w:t>—</w:t>
      </w:r>
      <w:bookmarkEnd w:id="10"/>
      <w:r w:rsidR="00E60337">
        <w:t>Declaration</w:t>
      </w:r>
      <w:bookmarkEnd w:id="11"/>
    </w:p>
    <w:p w14:paraId="6C17E4F9" w14:textId="77777777" w:rsidR="00FA31DE" w:rsidRDefault="00FC3EB8" w:rsidP="00005446">
      <w:pPr>
        <w:pStyle w:val="LI-Heading2"/>
      </w:pPr>
      <w:bookmarkStart w:id="12" w:name="_Toc420481757"/>
      <w:bookmarkStart w:id="13" w:name="_Toc120786551"/>
      <w:r>
        <w:t>5</w:t>
      </w:r>
      <w:r>
        <w:tab/>
      </w:r>
      <w:bookmarkEnd w:id="12"/>
      <w:r w:rsidR="00E60337" w:rsidRPr="00E60337">
        <w:t>Registered scheme – changing the constitution</w:t>
      </w:r>
      <w:bookmarkEnd w:id="13"/>
    </w:p>
    <w:p w14:paraId="6BB811C6" w14:textId="77777777" w:rsidR="004577AA" w:rsidRPr="004577AA" w:rsidRDefault="004577AA" w:rsidP="004577AA">
      <w:pPr>
        <w:pStyle w:val="LI-BodyTextUnnumbered"/>
        <w:ind w:left="567"/>
      </w:pPr>
      <w:r>
        <w:rPr>
          <w:rFonts w:cs="Arial"/>
          <w:szCs w:val="24"/>
        </w:rPr>
        <w:t>C</w:t>
      </w:r>
      <w:r w:rsidRPr="000D3BAF">
        <w:rPr>
          <w:rFonts w:cs="Arial"/>
          <w:szCs w:val="24"/>
        </w:rPr>
        <w:t xml:space="preserve">hapter 5C of the Act applies to all persons in relation to a registered scheme as if section 601GC of the Act were modified or varied </w:t>
      </w:r>
      <w:r>
        <w:rPr>
          <w:rFonts w:cs="Arial"/>
          <w:szCs w:val="24"/>
        </w:rPr>
        <w:t>by, after subsection (1), inserting the following subsections:</w:t>
      </w:r>
    </w:p>
    <w:p w14:paraId="0F8ED9BC" w14:textId="77777777" w:rsidR="00D83DCD" w:rsidRDefault="00D83DCD" w:rsidP="00D83DCD">
      <w:pPr>
        <w:pStyle w:val="LI-BodyTextUnnumbered"/>
        <w:ind w:left="1854" w:hanging="720"/>
        <w:rPr>
          <w:color w:val="000000"/>
          <w:shd w:val="clear" w:color="auto" w:fill="FFFFFF"/>
        </w:rPr>
      </w:pPr>
      <w:r>
        <w:t>“(1B)</w:t>
      </w:r>
      <w:r>
        <w:tab/>
        <w:t xml:space="preserve">If the </w:t>
      </w:r>
      <w:r w:rsidRPr="00D83DCD">
        <w:t>constitution of a scheme sets out a procedure for varying or</w:t>
      </w:r>
      <w:r>
        <w:t xml:space="preserve"> </w:t>
      </w:r>
      <w:r>
        <w:rPr>
          <w:color w:val="000000"/>
          <w:shd w:val="clear" w:color="auto" w:fill="FFFFFF"/>
        </w:rPr>
        <w:t>cancelling rights of a class of members of the scheme, or rights attached to a class of interests under the scheme, those rights may be varied or</w:t>
      </w:r>
      <w:r w:rsidRPr="00D83DCD">
        <w:rPr>
          <w:color w:val="000000"/>
          <w:shd w:val="clear" w:color="auto" w:fill="FFFFFF"/>
        </w:rPr>
        <w:t xml:space="preserve"> </w:t>
      </w:r>
      <w:r>
        <w:rPr>
          <w:color w:val="000000"/>
          <w:shd w:val="clear" w:color="auto" w:fill="FFFFFF"/>
        </w:rPr>
        <w:t>cancelled by a resolution under paragraph (1)(a) only if that procedure is complied with.</w:t>
      </w:r>
    </w:p>
    <w:p w14:paraId="7643BE10" w14:textId="77777777" w:rsidR="004577AA" w:rsidRPr="00E950E0" w:rsidRDefault="004577AA" w:rsidP="004577AA">
      <w:pPr>
        <w:pStyle w:val="LI-BodyTextNumbered"/>
        <w:ind w:firstLine="0"/>
        <w:rPr>
          <w:rFonts w:cs="Arial"/>
          <w:i/>
        </w:rPr>
      </w:pPr>
      <w:r w:rsidRPr="00E950E0">
        <w:rPr>
          <w:rFonts w:cs="Arial"/>
          <w:i/>
        </w:rPr>
        <w:t>Passport Rules</w:t>
      </w:r>
    </w:p>
    <w:p w14:paraId="1FDF5191" w14:textId="77777777" w:rsidR="004577AA" w:rsidRPr="00E950E0" w:rsidRDefault="004577AA" w:rsidP="004577AA">
      <w:pPr>
        <w:pStyle w:val="LI-BodyTextNumbered"/>
        <w:ind w:left="1984" w:hanging="850"/>
        <w:rPr>
          <w:rFonts w:cs="Arial"/>
        </w:rPr>
      </w:pPr>
      <w:r w:rsidRPr="00E950E0">
        <w:rPr>
          <w:rFonts w:cs="Arial"/>
        </w:rPr>
        <w:t>(1</w:t>
      </w:r>
      <w:r>
        <w:rPr>
          <w:rFonts w:cs="Arial"/>
        </w:rPr>
        <w:t>C</w:t>
      </w:r>
      <w:r w:rsidRPr="00E950E0">
        <w:rPr>
          <w:rFonts w:cs="Arial"/>
        </w:rPr>
        <w:t>)</w:t>
      </w:r>
      <w:r w:rsidRPr="00E950E0">
        <w:rPr>
          <w:rFonts w:cs="Arial"/>
        </w:rPr>
        <w:tab/>
      </w:r>
      <w:r>
        <w:rPr>
          <w:rFonts w:cs="Arial"/>
        </w:rPr>
        <w:t xml:space="preserve">Despite subsection (1), the </w:t>
      </w:r>
      <w:r w:rsidRPr="00E950E0">
        <w:rPr>
          <w:rFonts w:cs="Arial"/>
        </w:rPr>
        <w:t>responsible entity of a registered</w:t>
      </w:r>
      <w:r>
        <w:rPr>
          <w:rFonts w:cs="Arial"/>
        </w:rPr>
        <w:t xml:space="preserve"> </w:t>
      </w:r>
      <w:r w:rsidRPr="00E950E0">
        <w:rPr>
          <w:rFonts w:cs="Arial"/>
        </w:rPr>
        <w:t>scheme may modify the constitution of the scheme to the extent the responsible entity reasonably considers necessary to ensure the constitution:</w:t>
      </w:r>
    </w:p>
    <w:p w14:paraId="5548F4ED" w14:textId="77777777" w:rsidR="004577AA" w:rsidRPr="00E950E0" w:rsidRDefault="004577AA" w:rsidP="004577AA">
      <w:pPr>
        <w:pStyle w:val="LI-BodyTextNumbered"/>
        <w:numPr>
          <w:ilvl w:val="0"/>
          <w:numId w:val="16"/>
        </w:numPr>
        <w:ind w:left="2551" w:hanging="567"/>
        <w:rPr>
          <w:rFonts w:cs="Arial"/>
        </w:rPr>
      </w:pPr>
      <w:r w:rsidRPr="00E950E0">
        <w:rPr>
          <w:rFonts w:cs="Arial"/>
        </w:rPr>
        <w:t>is consistent with section 4 of the Passport Rules for this jurisdiction; and</w:t>
      </w:r>
    </w:p>
    <w:p w14:paraId="6AE90C59" w14:textId="77777777" w:rsidR="004577AA" w:rsidRPr="00E950E0" w:rsidRDefault="004577AA" w:rsidP="004577AA">
      <w:pPr>
        <w:numPr>
          <w:ilvl w:val="0"/>
          <w:numId w:val="16"/>
        </w:numPr>
        <w:spacing w:before="240" w:line="240" w:lineRule="auto"/>
        <w:ind w:left="2551" w:hanging="567"/>
        <w:rPr>
          <w:sz w:val="24"/>
          <w:szCs w:val="24"/>
        </w:rPr>
      </w:pPr>
      <w:bookmarkStart w:id="14" w:name="_Toc517414603"/>
      <w:r w:rsidRPr="00E950E0">
        <w:rPr>
          <w:sz w:val="24"/>
          <w:szCs w:val="24"/>
        </w:rPr>
        <w:t>specifies a right of withdrawal and contains provisions for making and dealing with withdrawal requests that are consistent with Division 7.1 of Part 7 of those Rules.</w:t>
      </w:r>
    </w:p>
    <w:p w14:paraId="098BB3E3" w14:textId="77777777" w:rsidR="004577AA" w:rsidRDefault="004577AA" w:rsidP="004577AA">
      <w:pPr>
        <w:spacing w:before="240" w:line="240" w:lineRule="auto"/>
        <w:ind w:left="1984"/>
      </w:pPr>
      <w:r w:rsidRPr="00E950E0">
        <w:rPr>
          <w:sz w:val="24"/>
          <w:szCs w:val="24"/>
        </w:rPr>
        <w:t>Any modifications made to the constitution under this subsection</w:t>
      </w:r>
      <w:r>
        <w:rPr>
          <w:sz w:val="24"/>
          <w:szCs w:val="24"/>
        </w:rPr>
        <w:t xml:space="preserve"> </w:t>
      </w:r>
      <w:r w:rsidRPr="00E950E0">
        <w:rPr>
          <w:sz w:val="24"/>
          <w:szCs w:val="24"/>
        </w:rPr>
        <w:t>may be made before the scheme has a status of being an Australian passport fund but only have operative effect while the Passport Rules for this jurisdiction apply in relation to the fund.</w:t>
      </w:r>
      <w:bookmarkEnd w:id="14"/>
    </w:p>
    <w:p w14:paraId="4F80C130" w14:textId="77777777" w:rsidR="005355F6" w:rsidRDefault="005355F6" w:rsidP="005355F6">
      <w:pPr>
        <w:pStyle w:val="LI-BodyTextUnnumbered"/>
        <w:rPr>
          <w:i/>
          <w:iCs/>
          <w:color w:val="000000"/>
          <w:shd w:val="clear" w:color="auto" w:fill="FFFFFF"/>
        </w:rPr>
      </w:pPr>
      <w:r>
        <w:rPr>
          <w:i/>
          <w:iCs/>
          <w:color w:val="000000"/>
          <w:shd w:val="clear" w:color="auto" w:fill="FFFFFF"/>
        </w:rPr>
        <w:t>Other scenarios</w:t>
      </w:r>
    </w:p>
    <w:p w14:paraId="19803158" w14:textId="77777777" w:rsidR="005355F6" w:rsidRDefault="005355F6" w:rsidP="005355F6">
      <w:pPr>
        <w:pStyle w:val="LI-BodyTextUnnumbered"/>
        <w:ind w:left="2154" w:hanging="1020"/>
        <w:rPr>
          <w:color w:val="000000"/>
          <w:shd w:val="clear" w:color="auto" w:fill="FFFFFF"/>
        </w:rPr>
      </w:pPr>
      <w:r>
        <w:rPr>
          <w:color w:val="000000"/>
          <w:shd w:val="clear" w:color="auto" w:fill="FFFFFF"/>
        </w:rPr>
        <w:t>(1D)</w:t>
      </w:r>
      <w:r>
        <w:rPr>
          <w:color w:val="000000"/>
          <w:shd w:val="clear" w:color="auto" w:fill="FFFFFF"/>
        </w:rPr>
        <w:tab/>
      </w:r>
      <w:r w:rsidRPr="005355F6">
        <w:rPr>
          <w:color w:val="000000"/>
          <w:shd w:val="clear" w:color="auto" w:fill="FFFFFF"/>
        </w:rPr>
        <w:t>Despite subsection (1), the constitution of the scheme may be modified, or repealed and replaced with a new constitution, by the responsible entity if at least one of the following is satisfied at the time of the modification, or repeal and replacement:</w:t>
      </w:r>
    </w:p>
    <w:p w14:paraId="65F1CDD0" w14:textId="77777777" w:rsidR="005355F6" w:rsidRDefault="005355F6" w:rsidP="005355F6">
      <w:pPr>
        <w:pStyle w:val="LI-BodyTextUnnumbered"/>
        <w:ind w:left="2880" w:hanging="726"/>
        <w:rPr>
          <w:color w:val="000000"/>
          <w:shd w:val="clear" w:color="auto" w:fill="FFFFFF"/>
        </w:rPr>
      </w:pPr>
      <w:r>
        <w:rPr>
          <w:color w:val="000000"/>
          <w:shd w:val="clear" w:color="auto" w:fill="FFFFFF"/>
        </w:rPr>
        <w:t>(a)</w:t>
      </w:r>
      <w:r>
        <w:rPr>
          <w:color w:val="000000"/>
          <w:shd w:val="clear" w:color="auto" w:fill="FFFFFF"/>
        </w:rPr>
        <w:tab/>
      </w:r>
      <w:r w:rsidRPr="005355F6">
        <w:rPr>
          <w:color w:val="000000"/>
          <w:shd w:val="clear" w:color="auto" w:fill="FFFFFF"/>
        </w:rPr>
        <w:t>a meeting of members is unable to be held because the quorum requirement in either subsection 252R(2) or the scheme’s constitution is not capable of being satisfied because the scheme has an insufficient number of members;</w:t>
      </w:r>
    </w:p>
    <w:p w14:paraId="0871A465" w14:textId="77777777" w:rsidR="005355F6" w:rsidRDefault="005355F6" w:rsidP="005355F6">
      <w:pPr>
        <w:pStyle w:val="LI-BodyTextUnnumbered"/>
        <w:ind w:left="2880" w:hanging="726"/>
        <w:rPr>
          <w:color w:val="000000"/>
          <w:shd w:val="clear" w:color="auto" w:fill="FFFFFF"/>
        </w:rPr>
      </w:pPr>
      <w:r>
        <w:rPr>
          <w:color w:val="000000"/>
          <w:shd w:val="clear" w:color="auto" w:fill="FFFFFF"/>
        </w:rPr>
        <w:t>(b)</w:t>
      </w:r>
      <w:r>
        <w:rPr>
          <w:color w:val="000000"/>
          <w:shd w:val="clear" w:color="auto" w:fill="FFFFFF"/>
        </w:rPr>
        <w:tab/>
      </w:r>
      <w:r w:rsidRPr="005355F6">
        <w:rPr>
          <w:color w:val="000000"/>
          <w:shd w:val="clear" w:color="auto" w:fill="FFFFFF"/>
        </w:rPr>
        <w:t>every member of the scheme is not entitled to vote at a meeting of members because of section 253E;</w:t>
      </w:r>
    </w:p>
    <w:p w14:paraId="0ABC6586" w14:textId="77777777" w:rsidR="005355F6" w:rsidRDefault="005355F6" w:rsidP="005355F6">
      <w:pPr>
        <w:pStyle w:val="LI-BodyTextUnnumbered"/>
        <w:ind w:left="2880" w:hanging="726"/>
        <w:rPr>
          <w:color w:val="000000"/>
          <w:shd w:val="clear" w:color="auto" w:fill="FFFFFF"/>
        </w:rPr>
      </w:pPr>
      <w:r>
        <w:rPr>
          <w:color w:val="000000"/>
          <w:shd w:val="clear" w:color="auto" w:fill="FFFFFF"/>
        </w:rPr>
        <w:t>(c)</w:t>
      </w:r>
      <w:r>
        <w:rPr>
          <w:color w:val="000000"/>
          <w:shd w:val="clear" w:color="auto" w:fill="FFFFFF"/>
        </w:rPr>
        <w:tab/>
      </w:r>
      <w:r w:rsidRPr="005355F6">
        <w:rPr>
          <w:color w:val="000000"/>
          <w:shd w:val="clear" w:color="auto" w:fill="FFFFFF"/>
        </w:rPr>
        <w:t>all interests in the scheme were issued in situations that:</w:t>
      </w:r>
    </w:p>
    <w:p w14:paraId="788F8D4F" w14:textId="77777777" w:rsidR="005355F6" w:rsidRDefault="005355F6" w:rsidP="005355F6">
      <w:pPr>
        <w:pStyle w:val="LI-BodyTextUnnumbered"/>
        <w:ind w:left="3600" w:hanging="726"/>
        <w:rPr>
          <w:color w:val="000000"/>
          <w:shd w:val="clear" w:color="auto" w:fill="FFFFFF"/>
        </w:rPr>
      </w:pPr>
      <w:r>
        <w:rPr>
          <w:color w:val="000000"/>
          <w:shd w:val="clear" w:color="auto" w:fill="FFFFFF"/>
        </w:rPr>
        <w:lastRenderedPageBreak/>
        <w:t>(</w:t>
      </w:r>
      <w:proofErr w:type="spellStart"/>
      <w:r>
        <w:rPr>
          <w:color w:val="000000"/>
          <w:shd w:val="clear" w:color="auto" w:fill="FFFFFF"/>
        </w:rPr>
        <w:t>i</w:t>
      </w:r>
      <w:proofErr w:type="spellEnd"/>
      <w:r>
        <w:rPr>
          <w:color w:val="000000"/>
          <w:shd w:val="clear" w:color="auto" w:fill="FFFFFF"/>
        </w:rPr>
        <w:t>)</w:t>
      </w:r>
      <w:r>
        <w:rPr>
          <w:color w:val="000000"/>
          <w:shd w:val="clear" w:color="auto" w:fill="FFFFFF"/>
        </w:rPr>
        <w:tab/>
        <w:t>did not require the responsible entity to give a Product Disclosure Statement; and</w:t>
      </w:r>
    </w:p>
    <w:p w14:paraId="362D026A" w14:textId="77777777" w:rsidR="005355F6" w:rsidRDefault="005355F6" w:rsidP="005355F6">
      <w:pPr>
        <w:pStyle w:val="LI-BodyTextUnnumbered"/>
        <w:ind w:left="3600" w:hanging="726"/>
        <w:rPr>
          <w:color w:val="000000"/>
          <w:shd w:val="clear" w:color="auto" w:fill="FFFFFF"/>
        </w:rPr>
      </w:pPr>
      <w:r>
        <w:rPr>
          <w:color w:val="000000"/>
          <w:shd w:val="clear" w:color="auto" w:fill="FFFFFF"/>
        </w:rPr>
        <w:t>(ii)</w:t>
      </w:r>
      <w:r>
        <w:rPr>
          <w:color w:val="000000"/>
          <w:shd w:val="clear" w:color="auto" w:fill="FFFFFF"/>
        </w:rPr>
        <w:tab/>
        <w:t xml:space="preserve">did not need disclosure </w:t>
      </w:r>
      <w:r w:rsidRPr="005355F6">
        <w:rPr>
          <w:color w:val="000000"/>
          <w:shd w:val="clear" w:color="auto" w:fill="FFFFFF"/>
        </w:rPr>
        <w:t>under Part 6D.2, or under Division 2 of Part 7.12 of the old Corporations Law.</w:t>
      </w:r>
    </w:p>
    <w:p w14:paraId="77C279F1" w14:textId="77777777" w:rsidR="005355F6" w:rsidRDefault="005355F6" w:rsidP="005355F6">
      <w:pPr>
        <w:pStyle w:val="LI-BodyTextUnnumbered"/>
        <w:ind w:left="2160" w:hanging="1026"/>
        <w:rPr>
          <w:color w:val="000000"/>
          <w:shd w:val="clear" w:color="auto" w:fill="FFFFFF"/>
        </w:rPr>
      </w:pPr>
      <w:r>
        <w:rPr>
          <w:color w:val="000000"/>
          <w:shd w:val="clear" w:color="auto" w:fill="FFFFFF"/>
        </w:rPr>
        <w:t>(1E)</w:t>
      </w:r>
      <w:r>
        <w:rPr>
          <w:color w:val="000000"/>
          <w:shd w:val="clear" w:color="auto" w:fill="FFFFFF"/>
        </w:rPr>
        <w:tab/>
        <w:t>T</w:t>
      </w:r>
      <w:r w:rsidRPr="005355F6">
        <w:rPr>
          <w:color w:val="000000"/>
          <w:shd w:val="clear" w:color="auto" w:fill="FFFFFF"/>
        </w:rPr>
        <w:t>he responsible entity may only make the modification, or repeal and replacement, under subsection (1D) if, before the modification, or repeal and replacement, both of the following are satisfied:</w:t>
      </w:r>
    </w:p>
    <w:p w14:paraId="7ACCFFCB" w14:textId="77777777" w:rsidR="005355F6" w:rsidRDefault="005355F6" w:rsidP="005355F6">
      <w:pPr>
        <w:pStyle w:val="LI-BodyTextUnnumbered"/>
        <w:ind w:left="2880" w:hanging="726"/>
        <w:rPr>
          <w:color w:val="000000"/>
          <w:shd w:val="clear" w:color="auto" w:fill="FFFFFF"/>
        </w:rPr>
      </w:pPr>
      <w:r>
        <w:rPr>
          <w:color w:val="000000"/>
          <w:shd w:val="clear" w:color="auto" w:fill="FFFFFF"/>
        </w:rPr>
        <w:t xml:space="preserve">(a) </w:t>
      </w:r>
      <w:r>
        <w:rPr>
          <w:color w:val="000000"/>
          <w:shd w:val="clear" w:color="auto" w:fill="FFFFFF"/>
        </w:rPr>
        <w:tab/>
      </w:r>
      <w:r w:rsidRPr="005355F6">
        <w:rPr>
          <w:color w:val="000000"/>
          <w:shd w:val="clear" w:color="auto" w:fill="FFFFFF"/>
        </w:rPr>
        <w:t>the responsible entity has provided to each member of the scheme, the auditor of the scheme and the auditor of the scheme’s compliance plan, all the information that the responsible entity reasonably expects to be material to the decision of a member</w:t>
      </w:r>
      <w:r w:rsidRPr="005355F6">
        <w:rPr>
          <w:rFonts w:eastAsia="Calibri"/>
          <w:color w:val="000000"/>
          <w:sz w:val="22"/>
          <w:shd w:val="clear" w:color="auto" w:fill="FFFFFF"/>
          <w:lang w:eastAsia="en-US"/>
        </w:rPr>
        <w:t xml:space="preserve"> </w:t>
      </w:r>
      <w:r w:rsidRPr="005355F6">
        <w:rPr>
          <w:color w:val="000000"/>
          <w:shd w:val="clear" w:color="auto" w:fill="FFFFFF"/>
        </w:rPr>
        <w:t>whether to consent to the modification, or repeal and replacement;</w:t>
      </w:r>
    </w:p>
    <w:p w14:paraId="257E08A8" w14:textId="77777777" w:rsidR="005355F6" w:rsidRPr="004577AA" w:rsidRDefault="005355F6" w:rsidP="004577AA">
      <w:pPr>
        <w:pStyle w:val="LI-BodyTextUnnumbered"/>
        <w:ind w:left="2880" w:hanging="726"/>
        <w:rPr>
          <w:color w:val="000000"/>
          <w:shd w:val="clear" w:color="auto" w:fill="FFFFFF"/>
        </w:rPr>
      </w:pPr>
      <w:r>
        <w:rPr>
          <w:color w:val="000000"/>
          <w:shd w:val="clear" w:color="auto" w:fill="FFFFFF"/>
        </w:rPr>
        <w:t>(b)</w:t>
      </w:r>
      <w:r>
        <w:rPr>
          <w:color w:val="000000"/>
          <w:shd w:val="clear" w:color="auto" w:fill="FFFFFF"/>
        </w:rPr>
        <w:tab/>
        <w:t>after the information in paragraph (a) has been provided, every member of the scheme has given their written consent, to the modification, or repeal and replacement.”.</w:t>
      </w:r>
    </w:p>
    <w:p w14:paraId="6F1EDCE3" w14:textId="77777777" w:rsidR="002A3AE6" w:rsidRDefault="00FC3EB8" w:rsidP="002A3AE6">
      <w:pPr>
        <w:pStyle w:val="LI-Heading2"/>
      </w:pPr>
      <w:bookmarkStart w:id="15" w:name="_Toc420481760"/>
      <w:bookmarkStart w:id="16" w:name="_Toc120786552"/>
      <w:r w:rsidRPr="005D3D41">
        <w:t>6</w:t>
      </w:r>
      <w:r w:rsidRPr="005D3D41">
        <w:tab/>
      </w:r>
      <w:r w:rsidR="002A3AE6">
        <w:t>Retail CCIV – changing the constitution</w:t>
      </w:r>
      <w:bookmarkEnd w:id="15"/>
      <w:bookmarkEnd w:id="16"/>
    </w:p>
    <w:p w14:paraId="0E0CD1BA" w14:textId="77777777" w:rsidR="002A3AE6" w:rsidRDefault="002A3AE6" w:rsidP="002A3AE6">
      <w:pPr>
        <w:pStyle w:val="LI-BodyTextUnnumbered"/>
        <w:ind w:left="567"/>
      </w:pPr>
      <w:r w:rsidRPr="002A3AE6">
        <w:t>Part 8B.3 of the Act applies in relation to a retail CCIV as if section 1223D of the Act were modified or varied by, after subsection (2), inserting the following subsections:</w:t>
      </w:r>
    </w:p>
    <w:p w14:paraId="1CD6775B" w14:textId="77777777" w:rsidR="002A3AE6" w:rsidRDefault="002A3AE6" w:rsidP="002A3AE6">
      <w:pPr>
        <w:pStyle w:val="LI-BodyTextUnnumbered"/>
        <w:ind w:left="2160" w:hanging="1023"/>
        <w:rPr>
          <w:rFonts w:cs="Arial"/>
        </w:rPr>
      </w:pPr>
      <w:r>
        <w:t>“(2A)</w:t>
      </w:r>
      <w:r>
        <w:tab/>
      </w:r>
      <w:r w:rsidRPr="0038139D">
        <w:rPr>
          <w:rFonts w:cs="Arial"/>
        </w:rPr>
        <w:t>If the constitution of a retail CCIV sets out a procedure for varying or cancelling rights of a class of members of the retail CCIV, or rights attached to a class of shares in the retail CCIV, those rights may be varied or cancelled by a resolution under subparagraph (2)(a)(</w:t>
      </w:r>
      <w:proofErr w:type="spellStart"/>
      <w:r w:rsidRPr="0038139D">
        <w:rPr>
          <w:rFonts w:cs="Arial"/>
        </w:rPr>
        <w:t>i</w:t>
      </w:r>
      <w:proofErr w:type="spellEnd"/>
      <w:r w:rsidRPr="0038139D">
        <w:rPr>
          <w:rFonts w:cs="Arial"/>
        </w:rPr>
        <w:t>) or (iii) only if that procedure is complied with.</w:t>
      </w:r>
    </w:p>
    <w:p w14:paraId="6AADAD08" w14:textId="77777777" w:rsidR="002A3AE6" w:rsidRDefault="002A3AE6" w:rsidP="002A3AE6">
      <w:pPr>
        <w:pStyle w:val="LI-BodyTextUnnumbered"/>
        <w:ind w:left="2160" w:hanging="1023"/>
        <w:rPr>
          <w:rFonts w:cs="Arial"/>
        </w:rPr>
      </w:pPr>
      <w:r>
        <w:rPr>
          <w:rFonts w:cs="Arial"/>
          <w:i/>
          <w:iCs/>
        </w:rPr>
        <w:t>Passport Rules</w:t>
      </w:r>
    </w:p>
    <w:p w14:paraId="23D3F6FB" w14:textId="77777777" w:rsidR="002A3AE6" w:rsidRDefault="002A3AE6" w:rsidP="002A3AE6">
      <w:pPr>
        <w:pStyle w:val="LI-BodyTextUnnumbered"/>
        <w:ind w:left="2160" w:hanging="1023"/>
        <w:rPr>
          <w:rFonts w:cs="Arial"/>
        </w:rPr>
      </w:pPr>
      <w:r>
        <w:t>(2B)</w:t>
      </w:r>
      <w:r>
        <w:tab/>
        <w:t xml:space="preserve">Despite </w:t>
      </w:r>
      <w:r>
        <w:rPr>
          <w:rFonts w:cs="Arial"/>
        </w:rPr>
        <w:t xml:space="preserve">subsection (2), the corporate director of a retail CCIV </w:t>
      </w:r>
      <w:r w:rsidRPr="00E950E0">
        <w:rPr>
          <w:rFonts w:cs="Arial"/>
        </w:rPr>
        <w:t xml:space="preserve">may modify the constitution of the </w:t>
      </w:r>
      <w:r>
        <w:rPr>
          <w:rFonts w:cs="Arial"/>
        </w:rPr>
        <w:t xml:space="preserve">retail CCIV </w:t>
      </w:r>
      <w:r w:rsidRPr="00E950E0">
        <w:rPr>
          <w:rFonts w:cs="Arial"/>
        </w:rPr>
        <w:t xml:space="preserve">to the extent the </w:t>
      </w:r>
      <w:r>
        <w:rPr>
          <w:rFonts w:cs="Arial"/>
        </w:rPr>
        <w:t>corporate director</w:t>
      </w:r>
      <w:r w:rsidRPr="00E950E0">
        <w:rPr>
          <w:rFonts w:cs="Arial"/>
        </w:rPr>
        <w:t xml:space="preserve"> reasonably considers necessary to ensure the constitution:</w:t>
      </w:r>
    </w:p>
    <w:p w14:paraId="15B6C451" w14:textId="77777777" w:rsidR="002A3AE6" w:rsidRDefault="002A3AE6" w:rsidP="002A3AE6">
      <w:pPr>
        <w:pStyle w:val="LI-BodyTextUnnumbered"/>
        <w:ind w:left="2880" w:hanging="723"/>
        <w:rPr>
          <w:rFonts w:cs="Arial"/>
        </w:rPr>
      </w:pPr>
      <w:r>
        <w:rPr>
          <w:rFonts w:cs="Arial"/>
        </w:rPr>
        <w:t>(a)</w:t>
      </w:r>
      <w:r>
        <w:rPr>
          <w:rFonts w:cs="Arial"/>
        </w:rPr>
        <w:tab/>
        <w:t xml:space="preserve">is consistent </w:t>
      </w:r>
      <w:r w:rsidRPr="002A3AE6">
        <w:rPr>
          <w:rFonts w:cs="Arial"/>
        </w:rPr>
        <w:t>with section 4 of the Passport Rules for this jurisdiction; and</w:t>
      </w:r>
    </w:p>
    <w:p w14:paraId="1F9615B2" w14:textId="77777777" w:rsidR="002A3AE6" w:rsidRDefault="002A3AE6" w:rsidP="002A3AE6">
      <w:pPr>
        <w:pStyle w:val="LI-BodyTextUnnumbered"/>
        <w:ind w:left="2880" w:hanging="723"/>
        <w:rPr>
          <w:rFonts w:cs="Arial"/>
          <w:szCs w:val="24"/>
        </w:rPr>
      </w:pPr>
      <w:r>
        <w:rPr>
          <w:rFonts w:cs="Arial"/>
        </w:rPr>
        <w:t>(b)</w:t>
      </w:r>
      <w:r>
        <w:rPr>
          <w:rFonts w:cs="Arial"/>
        </w:rPr>
        <w:tab/>
      </w:r>
      <w:r w:rsidRPr="00686CFE">
        <w:rPr>
          <w:rFonts w:cs="Arial"/>
          <w:szCs w:val="24"/>
        </w:rPr>
        <w:t>specifies a right of withdrawal and contains provisions for making and dealing with</w:t>
      </w:r>
      <w:r w:rsidRPr="002A3AE6">
        <w:rPr>
          <w:rFonts w:cs="Arial"/>
          <w:szCs w:val="24"/>
        </w:rPr>
        <w:t xml:space="preserve"> </w:t>
      </w:r>
      <w:r w:rsidRPr="00686CFE">
        <w:rPr>
          <w:rFonts w:cs="Arial"/>
          <w:szCs w:val="24"/>
        </w:rPr>
        <w:t>withdrawal requests that are consistent with Division 7.1 of Part 7 of those Rules.</w:t>
      </w:r>
    </w:p>
    <w:p w14:paraId="5BCAFEF7" w14:textId="77777777" w:rsidR="004577AA" w:rsidRDefault="004577AA" w:rsidP="004577AA">
      <w:pPr>
        <w:spacing w:before="240" w:line="240" w:lineRule="auto"/>
        <w:ind w:left="2160"/>
        <w:rPr>
          <w:rFonts w:cs="Arial"/>
          <w:szCs w:val="24"/>
        </w:rPr>
      </w:pPr>
      <w:r w:rsidRPr="00E950E0">
        <w:rPr>
          <w:sz w:val="24"/>
          <w:szCs w:val="24"/>
        </w:rPr>
        <w:lastRenderedPageBreak/>
        <w:t>Any modifications made to the constitution under this subsection</w:t>
      </w:r>
      <w:r>
        <w:rPr>
          <w:sz w:val="24"/>
          <w:szCs w:val="24"/>
        </w:rPr>
        <w:t xml:space="preserve"> </w:t>
      </w:r>
      <w:r w:rsidRPr="00E950E0">
        <w:rPr>
          <w:sz w:val="24"/>
          <w:szCs w:val="24"/>
        </w:rPr>
        <w:t>may be made before</w:t>
      </w:r>
      <w:r>
        <w:rPr>
          <w:sz w:val="24"/>
          <w:szCs w:val="24"/>
        </w:rPr>
        <w:t xml:space="preserve"> a sub-fund of the</w:t>
      </w:r>
      <w:r w:rsidRPr="00E950E0">
        <w:rPr>
          <w:sz w:val="24"/>
          <w:szCs w:val="24"/>
        </w:rPr>
        <w:t xml:space="preserve"> </w:t>
      </w:r>
      <w:r>
        <w:rPr>
          <w:sz w:val="24"/>
          <w:szCs w:val="24"/>
        </w:rPr>
        <w:t>retail CCIV</w:t>
      </w:r>
      <w:r w:rsidRPr="00E950E0">
        <w:rPr>
          <w:sz w:val="24"/>
          <w:szCs w:val="24"/>
        </w:rPr>
        <w:t xml:space="preserve"> has a status of being an Australian passport fund but only have operative effect while the Passport Rules for this jurisdiction apply in relation to the fund.</w:t>
      </w:r>
    </w:p>
    <w:p w14:paraId="15A43781" w14:textId="77777777" w:rsidR="002A3AE6" w:rsidRDefault="002A3AE6" w:rsidP="002A3AE6">
      <w:pPr>
        <w:pStyle w:val="LI-BodyTextUnnumbered"/>
        <w:rPr>
          <w:rFonts w:cs="Arial"/>
          <w:i/>
          <w:iCs/>
          <w:szCs w:val="24"/>
        </w:rPr>
      </w:pPr>
      <w:r>
        <w:rPr>
          <w:rFonts w:cs="Arial"/>
          <w:i/>
          <w:iCs/>
          <w:szCs w:val="24"/>
        </w:rPr>
        <w:t>Other scenarios</w:t>
      </w:r>
    </w:p>
    <w:p w14:paraId="57F2074F" w14:textId="77777777" w:rsidR="002A3AE6" w:rsidRDefault="002A3AE6" w:rsidP="002A3AE6">
      <w:pPr>
        <w:pStyle w:val="LI-BodyTextUnnumbered"/>
        <w:ind w:left="2154" w:hanging="1020"/>
        <w:rPr>
          <w:rFonts w:cs="Arial"/>
          <w:szCs w:val="24"/>
        </w:rPr>
      </w:pPr>
      <w:r>
        <w:rPr>
          <w:rFonts w:cs="Arial"/>
        </w:rPr>
        <w:t>(2C)</w:t>
      </w:r>
      <w:r>
        <w:rPr>
          <w:rFonts w:cs="Arial"/>
        </w:rPr>
        <w:tab/>
      </w:r>
      <w:r>
        <w:rPr>
          <w:rFonts w:cs="Arial"/>
          <w:szCs w:val="24"/>
        </w:rPr>
        <w:t xml:space="preserve">Despite subsection (2), the </w:t>
      </w:r>
      <w:r w:rsidRPr="000D3BAF">
        <w:rPr>
          <w:rFonts w:cs="Arial"/>
          <w:szCs w:val="24"/>
        </w:rPr>
        <w:t>constitution of the</w:t>
      </w:r>
      <w:r>
        <w:rPr>
          <w:rFonts w:cs="Arial"/>
          <w:szCs w:val="24"/>
        </w:rPr>
        <w:t xml:space="preserve"> retail CCIV</w:t>
      </w:r>
      <w:r w:rsidRPr="000D3BAF">
        <w:rPr>
          <w:rFonts w:cs="Arial"/>
          <w:szCs w:val="24"/>
        </w:rPr>
        <w:t xml:space="preserve"> may be modified, or repealed and replaced with a new constitution, by the </w:t>
      </w:r>
      <w:r>
        <w:rPr>
          <w:rFonts w:cs="Arial"/>
          <w:szCs w:val="24"/>
        </w:rPr>
        <w:t>corporate director</w:t>
      </w:r>
      <w:r w:rsidRPr="000D3BAF">
        <w:rPr>
          <w:rFonts w:cs="Arial"/>
          <w:szCs w:val="24"/>
        </w:rPr>
        <w:t xml:space="preserve"> if at least one of the following is satisfied at the time of the modification, or repeal and replacement:</w:t>
      </w:r>
    </w:p>
    <w:p w14:paraId="7B0F4B6B" w14:textId="77777777" w:rsidR="002A3AE6" w:rsidRDefault="002A3AE6" w:rsidP="002A3AE6">
      <w:pPr>
        <w:pStyle w:val="LI-BodyTextUnnumbered"/>
        <w:ind w:left="2880" w:hanging="726"/>
        <w:rPr>
          <w:rFonts w:cs="Arial"/>
          <w:szCs w:val="24"/>
        </w:rPr>
      </w:pPr>
      <w:r>
        <w:rPr>
          <w:rFonts w:cs="Arial"/>
          <w:szCs w:val="24"/>
        </w:rPr>
        <w:t>(a)</w:t>
      </w:r>
      <w:r>
        <w:rPr>
          <w:rFonts w:cs="Arial"/>
          <w:szCs w:val="24"/>
        </w:rPr>
        <w:tab/>
      </w:r>
      <w:r w:rsidRPr="000D3BAF">
        <w:rPr>
          <w:rFonts w:cs="Arial"/>
          <w:szCs w:val="24"/>
        </w:rPr>
        <w:t>a meeting of members is unable to be held because the quorum</w:t>
      </w:r>
      <w:r>
        <w:rPr>
          <w:rFonts w:cs="Arial"/>
          <w:szCs w:val="24"/>
        </w:rPr>
        <w:t> </w:t>
      </w:r>
      <w:r w:rsidRPr="002A3AE6">
        <w:rPr>
          <w:rFonts w:cs="Arial"/>
          <w:szCs w:val="24"/>
        </w:rPr>
        <w:t>requirement in either subsection 252R(2) or the retail CCIV’s constitution is not capable of being satisfied because the retail CCIV has an insufficient number of members;</w:t>
      </w:r>
    </w:p>
    <w:p w14:paraId="14CD5364" w14:textId="77777777" w:rsidR="002A3AE6" w:rsidRDefault="002A3AE6" w:rsidP="002A3AE6">
      <w:pPr>
        <w:pStyle w:val="LI-BodyTextUnnumbered"/>
        <w:ind w:left="2880" w:hanging="726"/>
        <w:rPr>
          <w:rFonts w:cs="Arial"/>
          <w:sz w:val="18"/>
          <w:szCs w:val="18"/>
        </w:rPr>
      </w:pPr>
      <w:r w:rsidRPr="00051A8A">
        <w:rPr>
          <w:rFonts w:cs="Arial"/>
          <w:sz w:val="18"/>
          <w:szCs w:val="18"/>
        </w:rPr>
        <w:t xml:space="preserve">Note: </w:t>
      </w:r>
      <w:r w:rsidRPr="00051A8A">
        <w:rPr>
          <w:rFonts w:cs="Arial"/>
          <w:sz w:val="18"/>
          <w:szCs w:val="18"/>
        </w:rPr>
        <w:tab/>
        <w:t xml:space="preserve">Section 252R applies in relation to a CCIV and its members subject to the modifications in Subdivision B of Division 6 of Part 8B.3.  </w:t>
      </w:r>
    </w:p>
    <w:p w14:paraId="2404DF33" w14:textId="77777777" w:rsidR="003A0519" w:rsidRPr="00FB47F2" w:rsidRDefault="003A0519" w:rsidP="00051A8A">
      <w:pPr>
        <w:pStyle w:val="LI-BodyTextNumbered"/>
        <w:numPr>
          <w:ilvl w:val="0"/>
          <w:numId w:val="15"/>
        </w:numPr>
        <w:ind w:left="2835"/>
        <w:rPr>
          <w:rFonts w:cs="Arial"/>
        </w:rPr>
      </w:pPr>
      <w:r w:rsidRPr="000D3BAF">
        <w:rPr>
          <w:rFonts w:cs="Arial"/>
        </w:rPr>
        <w:t xml:space="preserve">every member of the </w:t>
      </w:r>
      <w:r>
        <w:rPr>
          <w:rFonts w:cs="Arial"/>
        </w:rPr>
        <w:t>retail CCIV</w:t>
      </w:r>
      <w:r w:rsidRPr="000D3BAF">
        <w:rPr>
          <w:rFonts w:cs="Arial"/>
        </w:rPr>
        <w:t xml:space="preserve"> is not entitled to vote at a meeting of</w:t>
      </w:r>
      <w:r>
        <w:rPr>
          <w:rFonts w:cs="Arial"/>
        </w:rPr>
        <w:t xml:space="preserve"> members because of section 253E;</w:t>
      </w:r>
    </w:p>
    <w:p w14:paraId="69F36005" w14:textId="77777777" w:rsidR="003A0519" w:rsidRPr="00910B7F" w:rsidRDefault="003A0519" w:rsidP="00051A8A">
      <w:pPr>
        <w:tabs>
          <w:tab w:val="left" w:pos="720"/>
        </w:tabs>
        <w:spacing w:before="240" w:line="240" w:lineRule="auto"/>
        <w:ind w:left="2727" w:hanging="567"/>
        <w:rPr>
          <w:rFonts w:cs="Arial"/>
          <w:sz w:val="18"/>
          <w:szCs w:val="18"/>
        </w:rPr>
      </w:pPr>
      <w:r w:rsidRPr="00910B7F">
        <w:rPr>
          <w:rFonts w:cs="Arial"/>
          <w:sz w:val="18"/>
          <w:szCs w:val="18"/>
        </w:rPr>
        <w:t xml:space="preserve">Note: </w:t>
      </w:r>
      <w:r w:rsidRPr="00910B7F">
        <w:rPr>
          <w:rFonts w:cs="Arial"/>
          <w:sz w:val="18"/>
          <w:szCs w:val="18"/>
        </w:rPr>
        <w:tab/>
        <w:t xml:space="preserve">Section 253E applies in relation to a CCIV subject to the modifications in </w:t>
      </w:r>
      <w:r>
        <w:rPr>
          <w:rFonts w:cs="Arial"/>
          <w:sz w:val="18"/>
          <w:szCs w:val="18"/>
        </w:rPr>
        <w:t xml:space="preserve">Subdivision B of Division 6 of Part 8B.3. </w:t>
      </w:r>
      <w:r w:rsidRPr="00910B7F">
        <w:rPr>
          <w:rFonts w:cs="Arial"/>
          <w:sz w:val="18"/>
          <w:szCs w:val="18"/>
        </w:rPr>
        <w:t xml:space="preserve"> </w:t>
      </w:r>
    </w:p>
    <w:p w14:paraId="38B79E5F" w14:textId="77777777" w:rsidR="003A0519" w:rsidRDefault="003A0519" w:rsidP="00051A8A">
      <w:pPr>
        <w:pStyle w:val="LI-BodyTextNumbered"/>
        <w:ind w:left="2727"/>
        <w:rPr>
          <w:rFonts w:cs="Arial"/>
        </w:rPr>
      </w:pPr>
      <w:r w:rsidRPr="00D80B72">
        <w:rPr>
          <w:rFonts w:cs="Arial"/>
        </w:rPr>
        <w:t>(c)</w:t>
      </w:r>
      <w:r w:rsidRPr="00D80B72">
        <w:rPr>
          <w:rFonts w:cs="Arial"/>
        </w:rPr>
        <w:tab/>
        <w:t xml:space="preserve">all </w:t>
      </w:r>
      <w:r>
        <w:rPr>
          <w:rFonts w:cs="Arial"/>
        </w:rPr>
        <w:t>shares</w:t>
      </w:r>
      <w:r w:rsidRPr="00D80B72">
        <w:rPr>
          <w:rFonts w:cs="Arial"/>
        </w:rPr>
        <w:t xml:space="preserve"> in the</w:t>
      </w:r>
      <w:r>
        <w:rPr>
          <w:rFonts w:cs="Arial"/>
        </w:rPr>
        <w:t xml:space="preserve"> retail CCIV</w:t>
      </w:r>
      <w:r w:rsidRPr="00D80B72">
        <w:rPr>
          <w:rFonts w:cs="Arial"/>
        </w:rPr>
        <w:t xml:space="preserve"> were issued</w:t>
      </w:r>
      <w:r>
        <w:rPr>
          <w:rFonts w:cs="Arial"/>
        </w:rPr>
        <w:t xml:space="preserve"> in situations that </w:t>
      </w:r>
      <w:r w:rsidRPr="00D80B72">
        <w:rPr>
          <w:rFonts w:cs="Arial"/>
        </w:rPr>
        <w:t>did</w:t>
      </w:r>
      <w:r>
        <w:rPr>
          <w:rFonts w:cs="Arial"/>
        </w:rPr>
        <w:t> </w:t>
      </w:r>
      <w:r w:rsidRPr="00D80B72">
        <w:rPr>
          <w:rFonts w:cs="Arial"/>
        </w:rPr>
        <w:t>not require the</w:t>
      </w:r>
      <w:r>
        <w:rPr>
          <w:rFonts w:cs="Arial"/>
        </w:rPr>
        <w:t xml:space="preserve"> retail</w:t>
      </w:r>
      <w:r w:rsidRPr="00D80B72">
        <w:rPr>
          <w:rFonts w:cs="Arial"/>
        </w:rPr>
        <w:t xml:space="preserve"> </w:t>
      </w:r>
      <w:r>
        <w:rPr>
          <w:rFonts w:cs="Arial"/>
        </w:rPr>
        <w:t>CCIV</w:t>
      </w:r>
      <w:r w:rsidRPr="00D80B72">
        <w:rPr>
          <w:rFonts w:cs="Arial"/>
        </w:rPr>
        <w:t xml:space="preserve"> to give a Product</w:t>
      </w:r>
      <w:r>
        <w:rPr>
          <w:rFonts w:cs="Arial"/>
        </w:rPr>
        <w:t> </w:t>
      </w:r>
      <w:r w:rsidRPr="00D80B72">
        <w:rPr>
          <w:rFonts w:cs="Arial"/>
        </w:rPr>
        <w:t>Disclosure Statement</w:t>
      </w:r>
      <w:r>
        <w:rPr>
          <w:rFonts w:cs="Arial"/>
        </w:rPr>
        <w:t>.</w:t>
      </w:r>
    </w:p>
    <w:p w14:paraId="77437455" w14:textId="77777777" w:rsidR="003A0519" w:rsidRPr="00D80B72" w:rsidRDefault="003A0519" w:rsidP="00051A8A">
      <w:pPr>
        <w:pStyle w:val="LI-BodyTextNumbered"/>
        <w:ind w:left="2290" w:hanging="850"/>
        <w:rPr>
          <w:rFonts w:cs="Arial"/>
        </w:rPr>
      </w:pPr>
      <w:r w:rsidRPr="00D80B72">
        <w:rPr>
          <w:rFonts w:cs="Arial"/>
        </w:rPr>
        <w:t>(</w:t>
      </w:r>
      <w:r>
        <w:rPr>
          <w:rFonts w:cs="Arial"/>
        </w:rPr>
        <w:t>2D</w:t>
      </w:r>
      <w:r w:rsidRPr="00D80B72">
        <w:rPr>
          <w:rFonts w:cs="Arial"/>
        </w:rPr>
        <w:t>)</w:t>
      </w:r>
      <w:r>
        <w:rPr>
          <w:rFonts w:cs="Arial"/>
        </w:rPr>
        <w:tab/>
      </w:r>
      <w:r w:rsidRPr="00D80B72">
        <w:rPr>
          <w:rFonts w:cs="Arial"/>
        </w:rPr>
        <w:t xml:space="preserve">The </w:t>
      </w:r>
      <w:r>
        <w:rPr>
          <w:rFonts w:cs="Arial"/>
        </w:rPr>
        <w:t>corporate director</w:t>
      </w:r>
      <w:r w:rsidRPr="00D80B72">
        <w:rPr>
          <w:rFonts w:cs="Arial"/>
        </w:rPr>
        <w:t xml:space="preserve"> may only make the modification, or repeal and replacement, under subsection (</w:t>
      </w:r>
      <w:r>
        <w:rPr>
          <w:rFonts w:cs="Arial"/>
        </w:rPr>
        <w:t>2C</w:t>
      </w:r>
      <w:r w:rsidRPr="00D80B72">
        <w:rPr>
          <w:rFonts w:cs="Arial"/>
        </w:rPr>
        <w:t>) if, before the modification, or repeal and replacement, both of the following</w:t>
      </w:r>
      <w:r>
        <w:rPr>
          <w:rFonts w:cs="Arial"/>
        </w:rPr>
        <w:t xml:space="preserve"> </w:t>
      </w:r>
      <w:r w:rsidRPr="00D80B72">
        <w:rPr>
          <w:rFonts w:cs="Arial"/>
        </w:rPr>
        <w:t>are satisfied:</w:t>
      </w:r>
    </w:p>
    <w:p w14:paraId="71D2C834" w14:textId="77777777" w:rsidR="003A0519" w:rsidRPr="00D80B72" w:rsidRDefault="003A0519" w:rsidP="00051A8A">
      <w:pPr>
        <w:pStyle w:val="LI-BodyTextNumbered"/>
        <w:ind w:left="2857"/>
        <w:rPr>
          <w:rFonts w:cs="Arial"/>
        </w:rPr>
      </w:pPr>
      <w:r w:rsidRPr="00D80B72">
        <w:rPr>
          <w:rFonts w:cs="Arial"/>
        </w:rPr>
        <w:t>(a)</w:t>
      </w:r>
      <w:r w:rsidRPr="00D80B72">
        <w:rPr>
          <w:rFonts w:cs="Arial"/>
        </w:rPr>
        <w:tab/>
        <w:t xml:space="preserve">the </w:t>
      </w:r>
      <w:r>
        <w:rPr>
          <w:rFonts w:cs="Arial"/>
        </w:rPr>
        <w:t>corporate director</w:t>
      </w:r>
      <w:r w:rsidRPr="00D80B72">
        <w:rPr>
          <w:rFonts w:cs="Arial"/>
        </w:rPr>
        <w:t xml:space="preserve"> has provided to each member of the </w:t>
      </w:r>
      <w:r>
        <w:rPr>
          <w:rFonts w:cs="Arial"/>
        </w:rPr>
        <w:t>retail CCIV</w:t>
      </w:r>
      <w:r w:rsidRPr="00D80B72">
        <w:rPr>
          <w:rFonts w:cs="Arial"/>
        </w:rPr>
        <w:t xml:space="preserve">, the auditor of the </w:t>
      </w:r>
      <w:r>
        <w:rPr>
          <w:rFonts w:cs="Arial"/>
        </w:rPr>
        <w:t xml:space="preserve">retail CCIV </w:t>
      </w:r>
      <w:r w:rsidRPr="00D80B72">
        <w:rPr>
          <w:rFonts w:cs="Arial"/>
        </w:rPr>
        <w:t xml:space="preserve">and the auditor of the </w:t>
      </w:r>
      <w:r>
        <w:rPr>
          <w:rFonts w:cs="Arial"/>
        </w:rPr>
        <w:t xml:space="preserve">retail CCIV’s </w:t>
      </w:r>
      <w:r w:rsidRPr="00D80B72">
        <w:rPr>
          <w:rFonts w:cs="Arial"/>
        </w:rPr>
        <w:t xml:space="preserve">compliance plan, all the information that the </w:t>
      </w:r>
      <w:r>
        <w:rPr>
          <w:rFonts w:cs="Arial"/>
        </w:rPr>
        <w:t>corporate director</w:t>
      </w:r>
      <w:r w:rsidRPr="00D80B72">
        <w:rPr>
          <w:rFonts w:cs="Arial"/>
        </w:rPr>
        <w:t xml:space="preserve"> reasonably expects to be material to the decision of a member whether to consent to the modification, or repeal and replacement;</w:t>
      </w:r>
    </w:p>
    <w:p w14:paraId="3E575F50" w14:textId="77777777" w:rsidR="003A0519" w:rsidRPr="00D80B72" w:rsidRDefault="003A0519" w:rsidP="00051A8A">
      <w:pPr>
        <w:pStyle w:val="LI-BodyTextNumbered"/>
        <w:ind w:left="2857"/>
        <w:rPr>
          <w:rFonts w:cs="Arial"/>
        </w:rPr>
      </w:pPr>
      <w:r w:rsidRPr="00D80B72">
        <w:rPr>
          <w:rFonts w:cs="Arial"/>
        </w:rPr>
        <w:t>(b)</w:t>
      </w:r>
      <w:r w:rsidRPr="00D80B72">
        <w:rPr>
          <w:rFonts w:cs="Arial"/>
        </w:rPr>
        <w:tab/>
        <w:t xml:space="preserve">after the information in paragraph (a) has been provided, every member </w:t>
      </w:r>
      <w:r>
        <w:rPr>
          <w:rFonts w:cs="Arial"/>
        </w:rPr>
        <w:t>of the retail CCIV</w:t>
      </w:r>
      <w:r w:rsidRPr="00D80B72">
        <w:rPr>
          <w:rFonts w:cs="Arial"/>
        </w:rPr>
        <w:t xml:space="preserve"> has given their written consent to the modification or repeal and replacement.</w:t>
      </w:r>
      <w:r>
        <w:rPr>
          <w:rFonts w:cs="Arial"/>
        </w:rPr>
        <w:t>”.</w:t>
      </w:r>
    </w:p>
    <w:p w14:paraId="38F0539C" w14:textId="77777777" w:rsidR="002A3AE6" w:rsidRPr="002A3AE6" w:rsidRDefault="002A3AE6" w:rsidP="004577AA">
      <w:pPr>
        <w:pStyle w:val="LI-BodyTextUnnumbered"/>
        <w:ind w:left="2157" w:hanging="1023"/>
      </w:pPr>
    </w:p>
    <w:p w14:paraId="76C44F73" w14:textId="77777777" w:rsidR="0040053F" w:rsidRDefault="0040053F" w:rsidP="004577AA">
      <w:pPr>
        <w:pStyle w:val="LI-BodyTextUnnumbered"/>
        <w:ind w:left="0"/>
        <w:sectPr w:rsidR="0040053F" w:rsidSect="0040053F">
          <w:headerReference w:type="default" r:id="rId26"/>
          <w:pgSz w:w="11907" w:h="16839" w:code="9"/>
          <w:pgMar w:top="1534" w:right="1797" w:bottom="1440" w:left="1797" w:header="720" w:footer="709" w:gutter="0"/>
          <w:cols w:space="708"/>
          <w:docGrid w:linePitch="360"/>
        </w:sectPr>
      </w:pPr>
    </w:p>
    <w:p w14:paraId="6428EF6D" w14:textId="77777777" w:rsidR="001534EB" w:rsidRPr="00F61B09" w:rsidRDefault="001534EB" w:rsidP="001534EB">
      <w:pPr>
        <w:pStyle w:val="LI-Heading1"/>
      </w:pPr>
      <w:bookmarkStart w:id="17" w:name="_Toc402889769"/>
      <w:bookmarkStart w:id="18" w:name="_Toc420481767"/>
      <w:bookmarkStart w:id="19" w:name="_Toc120786553"/>
      <w:bookmarkStart w:id="20" w:name="_Toc401238162"/>
      <w:r>
        <w:lastRenderedPageBreak/>
        <w:t>Endnotes</w:t>
      </w:r>
      <w:bookmarkEnd w:id="17"/>
      <w:bookmarkEnd w:id="18"/>
      <w:bookmarkEnd w:id="19"/>
    </w:p>
    <w:p w14:paraId="11762428" w14:textId="77777777" w:rsidR="001534EB" w:rsidRDefault="001534EB" w:rsidP="009319E3">
      <w:pPr>
        <w:pStyle w:val="LI-Heading2"/>
        <w:spacing w:after="120"/>
      </w:pPr>
      <w:bookmarkStart w:id="21" w:name="_Toc402889770"/>
      <w:bookmarkStart w:id="22" w:name="_Toc420481768"/>
      <w:bookmarkStart w:id="23" w:name="_Toc120786554"/>
      <w:r>
        <w:t>Endnote 1—Instrument history</w:t>
      </w:r>
      <w:bookmarkEnd w:id="21"/>
      <w:bookmarkEnd w:id="22"/>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087"/>
        <w:gridCol w:w="2115"/>
        <w:gridCol w:w="2059"/>
      </w:tblGrid>
      <w:tr w:rsidR="001534EB" w:rsidRPr="005E3EF5" w14:paraId="7B8E7CA1" w14:textId="77777777" w:rsidTr="0037049A">
        <w:trPr>
          <w:tblHeader/>
        </w:trPr>
        <w:tc>
          <w:tcPr>
            <w:tcW w:w="2106" w:type="dxa"/>
            <w:shd w:val="clear" w:color="auto" w:fill="auto"/>
          </w:tcPr>
          <w:bookmarkEnd w:id="20"/>
          <w:p w14:paraId="7C55DA29" w14:textId="77777777" w:rsidR="001534EB" w:rsidRPr="005E3EF5" w:rsidRDefault="001534EB" w:rsidP="0037049A">
            <w:pPr>
              <w:pStyle w:val="LI-Notestableheader"/>
              <w:rPr>
                <w:lang w:val="en-US"/>
              </w:rPr>
            </w:pPr>
            <w:r w:rsidRPr="005E3EF5">
              <w:rPr>
                <w:lang w:val="en-US"/>
              </w:rPr>
              <w:t>Instrument number</w:t>
            </w:r>
          </w:p>
        </w:tc>
        <w:tc>
          <w:tcPr>
            <w:tcW w:w="2141" w:type="dxa"/>
            <w:shd w:val="clear" w:color="auto" w:fill="auto"/>
          </w:tcPr>
          <w:p w14:paraId="049F499D" w14:textId="77777777" w:rsidR="001534EB" w:rsidRPr="005E3EF5" w:rsidRDefault="001534EB" w:rsidP="00E71F25">
            <w:pPr>
              <w:pStyle w:val="LI-Notestableheader"/>
              <w:rPr>
                <w:lang w:val="en-US"/>
              </w:rPr>
            </w:pPr>
            <w:r w:rsidRPr="005E3EF5">
              <w:rPr>
                <w:lang w:val="en-US"/>
              </w:rPr>
              <w:t>Date of FRL registration</w:t>
            </w:r>
          </w:p>
        </w:tc>
        <w:tc>
          <w:tcPr>
            <w:tcW w:w="2162" w:type="dxa"/>
            <w:shd w:val="clear" w:color="auto" w:fill="auto"/>
          </w:tcPr>
          <w:p w14:paraId="6DD7C31B" w14:textId="77777777" w:rsidR="001534EB" w:rsidRPr="005E3EF5" w:rsidRDefault="001534EB" w:rsidP="0037049A">
            <w:pPr>
              <w:pStyle w:val="LI-Notestableheader"/>
              <w:rPr>
                <w:lang w:val="en-US"/>
              </w:rPr>
            </w:pPr>
            <w:r>
              <w:rPr>
                <w:lang w:val="en-US"/>
              </w:rPr>
              <w:t>Date of commencement</w:t>
            </w:r>
          </w:p>
        </w:tc>
        <w:tc>
          <w:tcPr>
            <w:tcW w:w="2120" w:type="dxa"/>
            <w:shd w:val="clear" w:color="auto" w:fill="auto"/>
          </w:tcPr>
          <w:p w14:paraId="0964D00F" w14:textId="77777777" w:rsidR="001534EB" w:rsidRPr="005E3EF5" w:rsidRDefault="001534EB" w:rsidP="0037049A">
            <w:pPr>
              <w:pStyle w:val="LI-Notestableheader"/>
              <w:rPr>
                <w:lang w:val="en-US"/>
              </w:rPr>
            </w:pPr>
            <w:r w:rsidRPr="005E3EF5">
              <w:rPr>
                <w:lang w:val="en-US"/>
              </w:rPr>
              <w:t>Application, saving or transitional provisions</w:t>
            </w:r>
          </w:p>
        </w:tc>
      </w:tr>
      <w:tr w:rsidR="00D21817" w:rsidRPr="005E3EF5" w14:paraId="5791E2AE" w14:textId="77777777" w:rsidTr="0037049A">
        <w:trPr>
          <w:tblHeader/>
        </w:trPr>
        <w:tc>
          <w:tcPr>
            <w:tcW w:w="2106" w:type="dxa"/>
            <w:shd w:val="clear" w:color="auto" w:fill="auto"/>
          </w:tcPr>
          <w:p w14:paraId="24501AA3" w14:textId="77777777" w:rsidR="00D21817" w:rsidRPr="00051A8A" w:rsidRDefault="00D21817" w:rsidP="0037049A">
            <w:pPr>
              <w:pStyle w:val="LI-Notestableheader"/>
              <w:rPr>
                <w:b w:val="0"/>
                <w:bCs w:val="0"/>
                <w:lang w:val="en-US"/>
              </w:rPr>
            </w:pPr>
            <w:r w:rsidRPr="00051A8A">
              <w:rPr>
                <w:b w:val="0"/>
                <w:bCs w:val="0"/>
                <w:lang w:val="en-US"/>
              </w:rPr>
              <w:t>2019/700</w:t>
            </w:r>
          </w:p>
        </w:tc>
        <w:tc>
          <w:tcPr>
            <w:tcW w:w="2141" w:type="dxa"/>
            <w:shd w:val="clear" w:color="auto" w:fill="auto"/>
          </w:tcPr>
          <w:p w14:paraId="301A934B" w14:textId="77777777" w:rsidR="00D21817" w:rsidRPr="00051A8A" w:rsidRDefault="00D21817" w:rsidP="00E71F25">
            <w:pPr>
              <w:pStyle w:val="LI-Notestableheader"/>
              <w:rPr>
                <w:b w:val="0"/>
                <w:bCs w:val="0"/>
                <w:lang w:val="en-US"/>
              </w:rPr>
            </w:pPr>
            <w:r w:rsidRPr="00051A8A">
              <w:rPr>
                <w:b w:val="0"/>
                <w:bCs w:val="0"/>
                <w:lang w:val="en-US"/>
              </w:rPr>
              <w:t>12/09/2019 (</w:t>
            </w:r>
            <w:r w:rsidRPr="00051A8A">
              <w:rPr>
                <w:b w:val="0"/>
                <w:bCs w:val="0"/>
                <w:i/>
                <w:iCs/>
                <w:lang w:val="en-US"/>
              </w:rPr>
              <w:t>see</w:t>
            </w:r>
            <w:r w:rsidRPr="00051A8A">
              <w:rPr>
                <w:b w:val="0"/>
                <w:bCs w:val="0"/>
                <w:lang w:val="en-US"/>
              </w:rPr>
              <w:t xml:space="preserve"> F2019L01185</w:t>
            </w:r>
            <w:r w:rsidRPr="004577AA">
              <w:rPr>
                <w:b w:val="0"/>
                <w:bCs w:val="0"/>
                <w:lang w:val="en-US"/>
              </w:rPr>
              <w:t>)</w:t>
            </w:r>
          </w:p>
        </w:tc>
        <w:tc>
          <w:tcPr>
            <w:tcW w:w="2162" w:type="dxa"/>
            <w:shd w:val="clear" w:color="auto" w:fill="auto"/>
          </w:tcPr>
          <w:p w14:paraId="069160F1" w14:textId="77777777" w:rsidR="00D21817" w:rsidRPr="004577AA" w:rsidRDefault="00D21817" w:rsidP="0037049A">
            <w:pPr>
              <w:pStyle w:val="LI-Notestableheader"/>
              <w:rPr>
                <w:lang w:val="en-US"/>
              </w:rPr>
            </w:pPr>
            <w:r w:rsidRPr="004577AA">
              <w:rPr>
                <w:b w:val="0"/>
                <w:bCs w:val="0"/>
                <w:lang w:val="en-US"/>
              </w:rPr>
              <w:t>13/09/2019</w:t>
            </w:r>
          </w:p>
        </w:tc>
        <w:tc>
          <w:tcPr>
            <w:tcW w:w="2120" w:type="dxa"/>
            <w:shd w:val="clear" w:color="auto" w:fill="auto"/>
          </w:tcPr>
          <w:p w14:paraId="1240B5FA" w14:textId="77777777" w:rsidR="00D21817" w:rsidRPr="00051A8A" w:rsidRDefault="00D21817" w:rsidP="0037049A">
            <w:pPr>
              <w:pStyle w:val="LI-Notestableheader"/>
              <w:rPr>
                <w:b w:val="0"/>
                <w:bCs w:val="0"/>
                <w:lang w:val="en-US"/>
              </w:rPr>
            </w:pPr>
          </w:p>
        </w:tc>
      </w:tr>
      <w:tr w:rsidR="008F26FE" w:rsidRPr="005E3EF5" w14:paraId="4BF68C1F" w14:textId="77777777" w:rsidTr="0037049A">
        <w:tc>
          <w:tcPr>
            <w:tcW w:w="2106" w:type="dxa"/>
            <w:shd w:val="clear" w:color="auto" w:fill="auto"/>
          </w:tcPr>
          <w:p w14:paraId="12B20328" w14:textId="648AC467" w:rsidR="008F26FE" w:rsidRPr="00051A8A" w:rsidRDefault="008F26FE" w:rsidP="008F26FE">
            <w:pPr>
              <w:pStyle w:val="LI-Notestabletext"/>
              <w:rPr>
                <w:lang w:val="en-US"/>
              </w:rPr>
            </w:pPr>
            <w:r w:rsidRPr="00051A8A">
              <w:rPr>
                <w:lang w:val="en-US"/>
              </w:rPr>
              <w:t>2022/0940</w:t>
            </w:r>
          </w:p>
        </w:tc>
        <w:tc>
          <w:tcPr>
            <w:tcW w:w="2141" w:type="dxa"/>
            <w:shd w:val="clear" w:color="auto" w:fill="auto"/>
          </w:tcPr>
          <w:p w14:paraId="522FD61E" w14:textId="046005DF" w:rsidR="008F26FE" w:rsidRPr="00051A8A" w:rsidRDefault="008F26FE" w:rsidP="008F26FE">
            <w:pPr>
              <w:pStyle w:val="LI-Notestabletext"/>
              <w:rPr>
                <w:lang w:val="en-US"/>
              </w:rPr>
            </w:pPr>
            <w:r w:rsidRPr="00051A8A">
              <w:rPr>
                <w:lang w:val="en-US"/>
              </w:rPr>
              <w:t>14/11/2022 (</w:t>
            </w:r>
            <w:r w:rsidRPr="00051A8A">
              <w:rPr>
                <w:i/>
                <w:iCs/>
                <w:lang w:val="en-US"/>
              </w:rPr>
              <w:t xml:space="preserve">see </w:t>
            </w:r>
            <w:r w:rsidRPr="00051A8A">
              <w:rPr>
                <w:lang w:val="en-US"/>
              </w:rPr>
              <w:t>F2022L01459)</w:t>
            </w:r>
          </w:p>
        </w:tc>
        <w:tc>
          <w:tcPr>
            <w:tcW w:w="2162" w:type="dxa"/>
            <w:shd w:val="clear" w:color="auto" w:fill="auto"/>
          </w:tcPr>
          <w:p w14:paraId="10362CC5" w14:textId="72CDEC56" w:rsidR="008F26FE" w:rsidRPr="00051A8A" w:rsidRDefault="008F26FE" w:rsidP="008F26FE">
            <w:pPr>
              <w:pStyle w:val="LI-Notestabletext"/>
              <w:rPr>
                <w:lang w:val="en-US"/>
              </w:rPr>
            </w:pPr>
            <w:r w:rsidRPr="00051A8A">
              <w:rPr>
                <w:lang w:val="en-US"/>
              </w:rPr>
              <w:t>15/11/2022</w:t>
            </w:r>
          </w:p>
        </w:tc>
        <w:tc>
          <w:tcPr>
            <w:tcW w:w="2120" w:type="dxa"/>
            <w:shd w:val="clear" w:color="auto" w:fill="auto"/>
          </w:tcPr>
          <w:p w14:paraId="09603C50" w14:textId="77777777" w:rsidR="008F26FE" w:rsidRPr="00051A8A" w:rsidRDefault="00A55C3A" w:rsidP="008F26FE">
            <w:pPr>
              <w:pStyle w:val="LI-Notestabletext"/>
              <w:rPr>
                <w:lang w:val="en-US"/>
              </w:rPr>
            </w:pPr>
            <w:r w:rsidRPr="00051A8A">
              <w:rPr>
                <w:lang w:val="en-US"/>
              </w:rPr>
              <w:t>-</w:t>
            </w:r>
          </w:p>
        </w:tc>
      </w:tr>
    </w:tbl>
    <w:p w14:paraId="4C6A70E8" w14:textId="77777777" w:rsidR="001534EB" w:rsidRPr="00210E88" w:rsidRDefault="001534EB" w:rsidP="001534EB">
      <w:pPr>
        <w:pStyle w:val="LI-Heading2"/>
      </w:pPr>
      <w:bookmarkStart w:id="24" w:name="_Toc402889771"/>
      <w:bookmarkStart w:id="25" w:name="_Toc420481769"/>
      <w:bookmarkStart w:id="26" w:name="_Toc120786555"/>
      <w:r>
        <w:t>Endnote 2—Amendment history</w:t>
      </w:r>
      <w:bookmarkEnd w:id="24"/>
      <w:bookmarkEnd w:id="25"/>
      <w:bookmarkEnd w:id="26"/>
    </w:p>
    <w:p w14:paraId="2A7A407C" w14:textId="77777777" w:rsidR="001534EB" w:rsidRDefault="001534EB" w:rsidP="001534EB">
      <w:pPr>
        <w:pStyle w:val="LI-Notestabletext"/>
      </w:pPr>
      <w:r w:rsidRPr="00C76A81">
        <w:t xml:space="preserve">ad. = added or inserted     am. = amended     </w:t>
      </w:r>
      <w:r w:rsidR="008346B8" w:rsidRPr="008346B8">
        <w:t xml:space="preserve">LA = </w:t>
      </w:r>
      <w:r w:rsidR="008346B8" w:rsidRPr="008346B8">
        <w:rPr>
          <w:i/>
        </w:rPr>
        <w:t>Legislation Act 2003</w:t>
      </w:r>
      <w:r w:rsidR="008346B8" w:rsidRPr="008346B8">
        <w:t xml:space="preserve">    </w:t>
      </w:r>
      <w:r w:rsidRPr="00C76A81">
        <w:t>rep. = repealed     rs. = repealed and substituted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42"/>
      </w:tblGrid>
      <w:tr w:rsidR="001534EB" w14:paraId="36E4F54E" w14:textId="77777777" w:rsidTr="00713154">
        <w:trPr>
          <w:tblHeader/>
        </w:trPr>
        <w:tc>
          <w:tcPr>
            <w:tcW w:w="2204" w:type="dxa"/>
            <w:shd w:val="clear" w:color="auto" w:fill="auto"/>
          </w:tcPr>
          <w:p w14:paraId="2F08A479" w14:textId="77777777" w:rsidR="001534EB" w:rsidRDefault="001534EB" w:rsidP="0037049A">
            <w:pPr>
              <w:pStyle w:val="LI-Notestableheader"/>
            </w:pPr>
            <w:r w:rsidRPr="005E3EF5">
              <w:rPr>
                <w:lang w:val="en-US"/>
              </w:rPr>
              <w:t>Provision affected</w:t>
            </w:r>
            <w:r w:rsidRPr="005E3EF5">
              <w:rPr>
                <w:lang w:val="en-US"/>
              </w:rPr>
              <w:tab/>
            </w:r>
          </w:p>
        </w:tc>
        <w:tc>
          <w:tcPr>
            <w:tcW w:w="6325" w:type="dxa"/>
            <w:shd w:val="clear" w:color="auto" w:fill="auto"/>
          </w:tcPr>
          <w:p w14:paraId="799A7E1C" w14:textId="77777777" w:rsidR="001534EB" w:rsidRDefault="001534EB" w:rsidP="0037049A">
            <w:pPr>
              <w:pStyle w:val="LI-Notestableheader"/>
            </w:pPr>
            <w:r w:rsidRPr="005E3EF5">
              <w:rPr>
                <w:lang w:val="en-US"/>
              </w:rPr>
              <w:t>How affected</w:t>
            </w:r>
          </w:p>
        </w:tc>
      </w:tr>
      <w:tr w:rsidR="00330C9D" w:rsidRPr="005E3EF5" w14:paraId="572510F1" w14:textId="77777777" w:rsidTr="00713154">
        <w:tc>
          <w:tcPr>
            <w:tcW w:w="2204" w:type="dxa"/>
            <w:shd w:val="clear" w:color="auto" w:fill="auto"/>
          </w:tcPr>
          <w:p w14:paraId="08A37201" w14:textId="5075D213" w:rsidR="00330C9D" w:rsidRDefault="00330C9D" w:rsidP="00330C9D">
            <w:pPr>
              <w:pStyle w:val="LI-Notestabletext"/>
              <w:rPr>
                <w:lang w:val="en-US"/>
              </w:rPr>
            </w:pPr>
            <w:r>
              <w:rPr>
                <w:lang w:val="en-US"/>
              </w:rPr>
              <w:t>Section 1</w:t>
            </w:r>
          </w:p>
        </w:tc>
        <w:tc>
          <w:tcPr>
            <w:tcW w:w="6325" w:type="dxa"/>
            <w:shd w:val="clear" w:color="auto" w:fill="auto"/>
          </w:tcPr>
          <w:p w14:paraId="01593A7A" w14:textId="77777777" w:rsidR="00330C9D" w:rsidRDefault="00330C9D" w:rsidP="00330C9D">
            <w:pPr>
              <w:pStyle w:val="LI-Notestabletext"/>
              <w:rPr>
                <w:lang w:val="en-US"/>
              </w:rPr>
            </w:pPr>
            <w:r>
              <w:rPr>
                <w:lang w:val="en-US"/>
              </w:rPr>
              <w:t xml:space="preserve">am. </w:t>
            </w:r>
            <w:r w:rsidRPr="00713154">
              <w:t>2022/0940</w:t>
            </w:r>
          </w:p>
        </w:tc>
      </w:tr>
      <w:tr w:rsidR="004009AA" w:rsidRPr="005E3EF5" w14:paraId="780ED550" w14:textId="77777777" w:rsidTr="00713154">
        <w:tc>
          <w:tcPr>
            <w:tcW w:w="2204" w:type="dxa"/>
            <w:shd w:val="clear" w:color="auto" w:fill="auto"/>
          </w:tcPr>
          <w:p w14:paraId="4407D75A" w14:textId="77777777" w:rsidR="004009AA" w:rsidRDefault="004009AA" w:rsidP="004009AA">
            <w:pPr>
              <w:pStyle w:val="LI-Notestabletext"/>
              <w:rPr>
                <w:lang w:val="en-US"/>
              </w:rPr>
            </w:pPr>
            <w:r>
              <w:rPr>
                <w:lang w:val="en-US"/>
              </w:rPr>
              <w:t>Section 2</w:t>
            </w:r>
          </w:p>
        </w:tc>
        <w:tc>
          <w:tcPr>
            <w:tcW w:w="6325" w:type="dxa"/>
            <w:shd w:val="clear" w:color="auto" w:fill="auto"/>
          </w:tcPr>
          <w:p w14:paraId="7BDD68EA" w14:textId="77777777" w:rsidR="004009AA" w:rsidRPr="005E3EF5" w:rsidRDefault="004009AA" w:rsidP="0037049A">
            <w:pPr>
              <w:pStyle w:val="LI-Notestabletext"/>
              <w:rPr>
                <w:lang w:val="en-US"/>
              </w:rPr>
            </w:pPr>
            <w:r>
              <w:rPr>
                <w:lang w:val="en-US"/>
              </w:rPr>
              <w:t>rep. s48D LA</w:t>
            </w:r>
          </w:p>
        </w:tc>
      </w:tr>
      <w:tr w:rsidR="001534EB" w:rsidRPr="005E3EF5" w14:paraId="28EC80F8" w14:textId="77777777" w:rsidTr="00713154">
        <w:tc>
          <w:tcPr>
            <w:tcW w:w="2204" w:type="dxa"/>
            <w:shd w:val="clear" w:color="auto" w:fill="auto"/>
          </w:tcPr>
          <w:p w14:paraId="08823890" w14:textId="5308F672" w:rsidR="001534EB" w:rsidRPr="005E3EF5" w:rsidRDefault="008F26FE" w:rsidP="0037049A">
            <w:pPr>
              <w:pStyle w:val="LI-Notestabletext"/>
              <w:rPr>
                <w:lang w:val="en-US"/>
              </w:rPr>
            </w:pPr>
            <w:r>
              <w:rPr>
                <w:lang w:val="en-US"/>
              </w:rPr>
              <w:t>Section 3</w:t>
            </w:r>
          </w:p>
        </w:tc>
        <w:tc>
          <w:tcPr>
            <w:tcW w:w="6325" w:type="dxa"/>
            <w:shd w:val="clear" w:color="auto" w:fill="auto"/>
          </w:tcPr>
          <w:p w14:paraId="06C0AE54" w14:textId="4322853D" w:rsidR="001534EB" w:rsidRPr="00051A8A" w:rsidRDefault="00713154" w:rsidP="0037049A">
            <w:pPr>
              <w:pStyle w:val="LI-Notestabletext"/>
            </w:pPr>
            <w:r>
              <w:rPr>
                <w:lang w:val="en-US"/>
              </w:rPr>
              <w:t xml:space="preserve">am. </w:t>
            </w:r>
            <w:r w:rsidRPr="00713154">
              <w:t>2022/0940</w:t>
            </w:r>
          </w:p>
        </w:tc>
      </w:tr>
      <w:tr w:rsidR="001534EB" w:rsidRPr="005E3EF5" w14:paraId="78043E32" w14:textId="77777777" w:rsidTr="00713154">
        <w:tc>
          <w:tcPr>
            <w:tcW w:w="2204" w:type="dxa"/>
            <w:shd w:val="clear" w:color="auto" w:fill="auto"/>
          </w:tcPr>
          <w:p w14:paraId="141C6344" w14:textId="1E5E4A48" w:rsidR="001534EB" w:rsidRPr="005E3EF5" w:rsidRDefault="008F26FE" w:rsidP="0037049A">
            <w:pPr>
              <w:pStyle w:val="LI-Notestabletext"/>
              <w:rPr>
                <w:lang w:val="en-US"/>
              </w:rPr>
            </w:pPr>
            <w:r>
              <w:rPr>
                <w:lang w:val="en-US"/>
              </w:rPr>
              <w:t>Section 5</w:t>
            </w:r>
            <w:r w:rsidR="004577AA">
              <w:rPr>
                <w:lang w:val="en-US"/>
              </w:rPr>
              <w:t xml:space="preserve"> (heading)</w:t>
            </w:r>
            <w:r>
              <w:rPr>
                <w:lang w:val="en-US"/>
              </w:rPr>
              <w:t xml:space="preserve"> </w:t>
            </w:r>
          </w:p>
        </w:tc>
        <w:tc>
          <w:tcPr>
            <w:tcW w:w="6325" w:type="dxa"/>
            <w:shd w:val="clear" w:color="auto" w:fill="auto"/>
          </w:tcPr>
          <w:p w14:paraId="2018F1E2" w14:textId="1D84A0E7" w:rsidR="001534EB" w:rsidRPr="005E3EF5" w:rsidRDefault="00E807FB" w:rsidP="0037049A">
            <w:pPr>
              <w:pStyle w:val="LI-Notestabletext"/>
              <w:rPr>
                <w:lang w:val="en-US"/>
              </w:rPr>
            </w:pPr>
            <w:proofErr w:type="spellStart"/>
            <w:r>
              <w:rPr>
                <w:lang w:val="en-US"/>
              </w:rPr>
              <w:t>rs</w:t>
            </w:r>
            <w:proofErr w:type="spellEnd"/>
            <w:r w:rsidR="00713154">
              <w:rPr>
                <w:lang w:val="en-US"/>
              </w:rPr>
              <w:t xml:space="preserve">. </w:t>
            </w:r>
            <w:r w:rsidR="00713154" w:rsidRPr="00713154">
              <w:t>2022/0940</w:t>
            </w:r>
          </w:p>
        </w:tc>
      </w:tr>
      <w:tr w:rsidR="008F26FE" w:rsidRPr="005E3EF5" w14:paraId="79EDAA0E" w14:textId="77777777" w:rsidTr="00713154">
        <w:tc>
          <w:tcPr>
            <w:tcW w:w="2204" w:type="dxa"/>
            <w:shd w:val="clear" w:color="auto" w:fill="auto"/>
          </w:tcPr>
          <w:p w14:paraId="55D2EEDC" w14:textId="77777777" w:rsidR="008F26FE" w:rsidRDefault="008F26FE" w:rsidP="0037049A">
            <w:pPr>
              <w:pStyle w:val="LI-Notestabletext"/>
              <w:rPr>
                <w:lang w:val="en-US"/>
              </w:rPr>
            </w:pPr>
            <w:r>
              <w:rPr>
                <w:lang w:val="en-US"/>
              </w:rPr>
              <w:t>Section</w:t>
            </w:r>
            <w:r w:rsidR="00713154">
              <w:rPr>
                <w:lang w:val="en-US"/>
              </w:rPr>
              <w:t xml:space="preserve"> </w:t>
            </w:r>
            <w:r w:rsidR="007C7CC1">
              <w:rPr>
                <w:lang w:val="en-US"/>
              </w:rPr>
              <w:t>6</w:t>
            </w:r>
          </w:p>
        </w:tc>
        <w:tc>
          <w:tcPr>
            <w:tcW w:w="6325" w:type="dxa"/>
            <w:shd w:val="clear" w:color="auto" w:fill="auto"/>
          </w:tcPr>
          <w:p w14:paraId="182260F1" w14:textId="77777777" w:rsidR="008F26FE" w:rsidRPr="005E3EF5" w:rsidRDefault="00713154" w:rsidP="0037049A">
            <w:pPr>
              <w:pStyle w:val="LI-Notestabletext"/>
              <w:rPr>
                <w:lang w:val="en-US"/>
              </w:rPr>
            </w:pPr>
            <w:r>
              <w:rPr>
                <w:lang w:val="en-US"/>
              </w:rPr>
              <w:t>a</w:t>
            </w:r>
            <w:r w:rsidR="008F26FE">
              <w:rPr>
                <w:lang w:val="en-US"/>
              </w:rPr>
              <w:t>d.</w:t>
            </w:r>
            <w:r>
              <w:rPr>
                <w:lang w:val="en-US"/>
              </w:rPr>
              <w:t xml:space="preserve">  </w:t>
            </w:r>
            <w:r w:rsidRPr="00713154">
              <w:t>2022/0940</w:t>
            </w:r>
          </w:p>
        </w:tc>
      </w:tr>
    </w:tbl>
    <w:p w14:paraId="34CB3E9D" w14:textId="77777777" w:rsidR="00DC4445" w:rsidRDefault="00DC4445" w:rsidP="00051A8A">
      <w:pPr>
        <w:pStyle w:val="LI-BodyTextUnnumbered"/>
        <w:ind w:left="0"/>
      </w:pPr>
    </w:p>
    <w:sectPr w:rsidR="00DC4445" w:rsidSect="0040053F">
      <w:headerReference w:type="even" r:id="rId27"/>
      <w:headerReference w:type="default" r:id="rId28"/>
      <w:pgSz w:w="11907" w:h="16839" w:code="9"/>
      <w:pgMar w:top="1534"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9B1AF" w14:textId="77777777" w:rsidR="0011027F" w:rsidRDefault="0011027F" w:rsidP="00715914">
      <w:pPr>
        <w:spacing w:line="240" w:lineRule="auto"/>
      </w:pPr>
      <w:r>
        <w:separator/>
      </w:r>
    </w:p>
  </w:endnote>
  <w:endnote w:type="continuationSeparator" w:id="0">
    <w:p w14:paraId="7D44C8F2" w14:textId="77777777" w:rsidR="0011027F" w:rsidRDefault="0011027F"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313"/>
    </w:tblGrid>
    <w:tr w:rsidR="00102CA6" w:rsidRPr="00081794" w14:paraId="11C395CC" w14:textId="77777777" w:rsidTr="00081794">
      <w:tc>
        <w:tcPr>
          <w:tcW w:w="8472" w:type="dxa"/>
          <w:shd w:val="clear" w:color="auto" w:fill="auto"/>
        </w:tcPr>
        <w:p w14:paraId="790D6409" w14:textId="63AD826E" w:rsidR="00102CA6" w:rsidRPr="00081794" w:rsidRDefault="005171E2" w:rsidP="00081794">
          <w:pPr>
            <w:jc w:val="right"/>
            <w:rPr>
              <w:sz w:val="18"/>
            </w:rPr>
          </w:pPr>
          <w:r>
            <w:rPr>
              <w:noProof/>
            </w:rPr>
            <mc:AlternateContent>
              <mc:Choice Requires="wps">
                <w:drawing>
                  <wp:anchor distT="0" distB="0" distL="114300" distR="114300" simplePos="0" relativeHeight="251659264" behindDoc="1" locked="0" layoutInCell="1" allowOverlap="1" wp14:anchorId="51045301" wp14:editId="482C39AD">
                    <wp:simplePos x="0" y="0"/>
                    <wp:positionH relativeFrom="column">
                      <wp:align>center</wp:align>
                    </wp:positionH>
                    <wp:positionV relativeFrom="page">
                      <wp:posOffset>10079990</wp:posOffset>
                    </wp:positionV>
                    <wp:extent cx="4410075" cy="4000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6317C02" w14:textId="77777777" w:rsidR="00102CA6" w:rsidRPr="00284719" w:rsidRDefault="00102CA6"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4642C1">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oel="http://schemas.microsoft.com/office/2019/extlst">
                <w:pict w14:anchorId="15D376A8">
                  <v:shapetype id="_x0000_t202" coordsize="21600,21600" o:spt="202" path="m,l,21600r21600,l21600,xe" w14:anchorId="51045301">
                    <v:stroke joinstyle="miter"/>
                    <v:path gradientshapeok="t" o:connecttype="rect"/>
                  </v:shapetype>
                  <v:shape id="Text Box 21" style="position:absolute;left:0;text-align:left;margin-left:0;margin-top:793.7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">
                    <v:stroke joinstyle="round"/>
                    <v:path arrowok="t"/>
                    <v:textbox>
                      <w:txbxContent>
                        <w:p w:rsidRPr="00284719" w:rsidR="00102CA6" w:rsidP="00284719" w:rsidRDefault="00102CA6" w14:paraId="60D98668" w14:textId="77777777">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4642C1">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06250C" w:rsidRPr="00081794">
            <w:rPr>
              <w:i/>
              <w:noProof/>
              <w:sz w:val="18"/>
            </w:rPr>
            <w:t>I14KE197.v07.docx</w:t>
          </w:r>
          <w:r w:rsidR="00102CA6" w:rsidRPr="00081794">
            <w:rPr>
              <w:i/>
              <w:sz w:val="18"/>
            </w:rPr>
            <w:t xml:space="preserve"> </w:t>
          </w:r>
          <w:r w:rsidR="0006250C" w:rsidRPr="00081794">
            <w:rPr>
              <w:i/>
              <w:noProof/>
              <w:sz w:val="18"/>
            </w:rPr>
            <w:t>25/6/2014 3:37 PM</w:t>
          </w:r>
        </w:p>
      </w:tc>
    </w:tr>
  </w:tbl>
  <w:p w14:paraId="17567593" w14:textId="77777777" w:rsidR="00102CA6" w:rsidRPr="007500C8" w:rsidRDefault="00102CA6" w:rsidP="00335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90C8" w14:textId="7F18DD8F" w:rsidR="00102CA6" w:rsidRDefault="005171E2" w:rsidP="007500C8">
    <w:pPr>
      <w:pStyle w:val="Footer"/>
    </w:pPr>
    <w:r>
      <w:rPr>
        <w:noProof/>
      </w:rPr>
      <mc:AlternateContent>
        <mc:Choice Requires="wps">
          <w:drawing>
            <wp:anchor distT="0" distB="0" distL="114300" distR="114300" simplePos="0" relativeHeight="251658240" behindDoc="1" locked="0" layoutInCell="1" allowOverlap="1" wp14:anchorId="2DF120E9" wp14:editId="50EF1581">
              <wp:simplePos x="0" y="0"/>
              <wp:positionH relativeFrom="column">
                <wp:align>center</wp:align>
              </wp:positionH>
              <wp:positionV relativeFrom="page">
                <wp:posOffset>10079990</wp:posOffset>
              </wp:positionV>
              <wp:extent cx="4410075" cy="4000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6ACB321" w14:textId="77777777" w:rsidR="00102CA6" w:rsidRPr="00284719" w:rsidRDefault="00102CA6"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oel="http://schemas.microsoft.com/office/2019/extlst">
          <w:pict w14:anchorId="47784532">
            <v:shapetype id="_x0000_t202" coordsize="21600,21600" o:spt="202" path="m,l,21600r21600,l21600,xe" w14:anchorId="2DF120E9">
              <v:stroke joinstyle="miter"/>
              <v:path gradientshapeok="t" o:connecttype="rect"/>
            </v:shapetype>
            <v:shape id="Text Box 20"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">
              <v:stroke joinstyle="round"/>
              <v:path arrowok="t"/>
              <v:textbox>
                <w:txbxContent>
                  <w:p w:rsidRPr="00284719" w:rsidR="00102CA6" w:rsidP="00284719" w:rsidRDefault="00102CA6" w14:paraId="672A6659" w14:textId="77777777">
                    <w:pPr>
                      <w:jc w:val="center"/>
                      <w:rPr>
                        <w:rFonts w:ascii="Arial" w:hAnsi="Arial" w:cs="Arial"/>
                        <w:b/>
                        <w:sz w:val="40"/>
                      </w:rPr>
                    </w:pPr>
                  </w:p>
                </w:txbxContent>
              </v:textbox>
              <w10:wrap anchory="page"/>
            </v:shape>
          </w:pict>
        </mc:Fallback>
      </mc:AlternateContent>
    </w:r>
  </w:p>
  <w:tbl>
    <w:tblPr>
      <w:tblW w:w="0" w:type="auto"/>
      <w:tblLook w:val="04A0" w:firstRow="1" w:lastRow="0" w:firstColumn="1" w:lastColumn="0" w:noHBand="0" w:noVBand="1"/>
    </w:tblPr>
    <w:tblGrid>
      <w:gridCol w:w="8313"/>
    </w:tblGrid>
    <w:tr w:rsidR="00102CA6" w:rsidRPr="00081794" w14:paraId="4C8F8AD4" w14:textId="77777777" w:rsidTr="00081794">
      <w:tc>
        <w:tcPr>
          <w:tcW w:w="8472" w:type="dxa"/>
          <w:shd w:val="clear" w:color="auto" w:fill="auto"/>
        </w:tcPr>
        <w:p w14:paraId="74431528" w14:textId="77777777" w:rsidR="00102CA6" w:rsidRPr="00081794" w:rsidRDefault="00102CA6" w:rsidP="00102CA6">
          <w:pPr>
            <w:rPr>
              <w:sz w:val="18"/>
            </w:rPr>
          </w:pPr>
        </w:p>
      </w:tc>
    </w:tr>
  </w:tbl>
  <w:p w14:paraId="39CDC50D" w14:textId="77777777" w:rsidR="00102CA6" w:rsidRPr="007500C8" w:rsidRDefault="00102CA6" w:rsidP="00750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FB28" w14:textId="77777777" w:rsidR="00102CA6" w:rsidRPr="00ED79B6" w:rsidRDefault="00102CA6"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BAF1" w14:textId="77777777" w:rsidR="00102CA6" w:rsidRPr="00E2168B" w:rsidRDefault="00E2168B" w:rsidP="00E2168B">
    <w:pPr>
      <w:pStyle w:val="LI-Footer"/>
    </w:pPr>
    <w:r w:rsidRPr="00A52B0F">
      <w:fldChar w:fldCharType="begin"/>
    </w:r>
    <w:r w:rsidRPr="00A52B0F">
      <w:instrText xml:space="preserve"> PAGE  \* Arabic  \* MERGEFORMAT </w:instrText>
    </w:r>
    <w:r w:rsidRPr="00A52B0F">
      <w:fldChar w:fldCharType="separate"/>
    </w:r>
    <w:r w:rsidR="007D230B">
      <w:rPr>
        <w:noProof/>
      </w:rPr>
      <w:t>2</w:t>
    </w:r>
    <w:r w:rsidRPr="00A52B0F">
      <w:fldChar w:fldCharType="end"/>
    </w:r>
    <w:r>
      <w:t xml:space="preserve"> </w:t>
    </w:r>
    <w:r w:rsidRPr="00A52B0F">
      <w:tab/>
    </w:r>
    <w:r>
      <w:t xml:space="preserve">No. </w:t>
    </w:r>
    <w:r w:rsidRPr="00E2168B">
      <w:rPr>
        <w:highlight w:val="yellow"/>
      </w:rPr>
      <w:t>XX</w:t>
    </w:r>
    <w:r>
      <w:t>, 201</w:t>
    </w:r>
    <w:r w:rsidRPr="00E2168B">
      <w:rPr>
        <w:highlight w:val="yellow"/>
      </w:rPr>
      <w:t>XX</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4DC1" w14:textId="77777777" w:rsidR="00102CA6" w:rsidRPr="00E33C1C" w:rsidRDefault="008945E0" w:rsidP="00243EC0">
    <w:pPr>
      <w:pStyle w:val="LI-Footer"/>
      <w:rPr>
        <w:sz w:val="16"/>
        <w:szCs w:val="16"/>
      </w:rPr>
    </w:pPr>
    <w:r w:rsidRPr="00A52B0F">
      <w:tab/>
    </w:r>
    <w:r w:rsidR="00D73C22">
      <w:t xml:space="preserve">Page </w:t>
    </w:r>
    <w:r w:rsidRPr="00A52B0F">
      <w:fldChar w:fldCharType="begin"/>
    </w:r>
    <w:r w:rsidRPr="00A52B0F">
      <w:instrText xml:space="preserve"> PAGE  \* Arabic  \* MERGEFORMAT </w:instrText>
    </w:r>
    <w:r w:rsidRPr="00A52B0F">
      <w:fldChar w:fldCharType="separate"/>
    </w:r>
    <w:r w:rsidR="00FE5949">
      <w:rPr>
        <w:noProof/>
      </w:rPr>
      <w:t>8</w:t>
    </w:r>
    <w:r w:rsidRPr="00A52B0F">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9501" w14:textId="77777777" w:rsidR="00102CA6" w:rsidRPr="00243EC0" w:rsidRDefault="00E2168B" w:rsidP="00E2168B">
    <w:pPr>
      <w:pStyle w:val="LI-Footer"/>
    </w:pPr>
    <w:r w:rsidRPr="00A52B0F">
      <w:fldChar w:fldCharType="begin"/>
    </w:r>
    <w:r w:rsidRPr="00A52B0F">
      <w:instrText xml:space="preserve"> PAGE  \* Arabic  \* MERGEFORMAT </w:instrText>
    </w:r>
    <w:r w:rsidRPr="00A52B0F">
      <w:fldChar w:fldCharType="separate"/>
    </w:r>
    <w:r w:rsidR="007D230B">
      <w:rPr>
        <w:noProof/>
      </w:rPr>
      <w:t>4</w:t>
    </w:r>
    <w:r w:rsidRPr="00A52B0F">
      <w:fldChar w:fldCharType="end"/>
    </w:r>
    <w:r>
      <w:t xml:space="preserve"> </w:t>
    </w:r>
    <w:r w:rsidR="00243EC0" w:rsidRPr="00A52B0F">
      <w:tab/>
    </w:r>
    <w:r>
      <w:t xml:space="preserve">No. </w:t>
    </w:r>
    <w:r w:rsidRPr="00E2168B">
      <w:rPr>
        <w:highlight w:val="yellow"/>
      </w:rPr>
      <w:t>XX</w:t>
    </w:r>
    <w:r>
      <w:t>, 201</w:t>
    </w:r>
    <w:r w:rsidRPr="00E2168B">
      <w:rPr>
        <w:highlight w:val="yellow"/>
      </w:rPr>
      <w:t>XX</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0238" w14:textId="77777777" w:rsidR="00102CA6" w:rsidRPr="00E33C1C" w:rsidRDefault="00102CA6"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6257"/>
      <w:gridCol w:w="699"/>
    </w:tblGrid>
    <w:tr w:rsidR="00102CA6" w:rsidRPr="00081794" w14:paraId="57735A36" w14:textId="77777777" w:rsidTr="00081794">
      <w:tc>
        <w:tcPr>
          <w:tcW w:w="1384" w:type="dxa"/>
          <w:tcBorders>
            <w:top w:val="nil"/>
            <w:left w:val="nil"/>
            <w:bottom w:val="nil"/>
            <w:right w:val="nil"/>
          </w:tcBorders>
          <w:shd w:val="clear" w:color="auto" w:fill="auto"/>
        </w:tcPr>
        <w:p w14:paraId="53D2DFAE" w14:textId="77777777" w:rsidR="00102CA6" w:rsidRPr="00081794" w:rsidRDefault="00102CA6" w:rsidP="00081794">
          <w:pPr>
            <w:spacing w:line="0" w:lineRule="atLeast"/>
            <w:rPr>
              <w:sz w:val="18"/>
            </w:rPr>
          </w:pPr>
        </w:p>
      </w:tc>
      <w:tc>
        <w:tcPr>
          <w:tcW w:w="6379" w:type="dxa"/>
          <w:tcBorders>
            <w:top w:val="nil"/>
            <w:left w:val="nil"/>
            <w:bottom w:val="nil"/>
            <w:right w:val="nil"/>
          </w:tcBorders>
          <w:shd w:val="clear" w:color="auto" w:fill="auto"/>
        </w:tcPr>
        <w:p w14:paraId="5BDBFF09" w14:textId="77777777" w:rsidR="00102CA6" w:rsidRPr="00081794" w:rsidRDefault="00102CA6" w:rsidP="00081794">
          <w:pPr>
            <w:spacing w:line="0" w:lineRule="atLeast"/>
            <w:jc w:val="center"/>
            <w:rPr>
              <w:sz w:val="18"/>
            </w:rPr>
          </w:pPr>
          <w:r w:rsidRPr="00081794">
            <w:rPr>
              <w:i/>
              <w:sz w:val="18"/>
            </w:rPr>
            <w:fldChar w:fldCharType="begin"/>
          </w:r>
          <w:r w:rsidRPr="00081794">
            <w:rPr>
              <w:i/>
              <w:sz w:val="18"/>
            </w:rPr>
            <w:instrText xml:space="preserve"> DOCPROPERTY ShortT </w:instrText>
          </w:r>
          <w:r w:rsidRPr="00081794">
            <w:rPr>
              <w:i/>
              <w:sz w:val="18"/>
            </w:rPr>
            <w:fldChar w:fldCharType="separate"/>
          </w:r>
          <w:r w:rsidR="004642C1">
            <w:rPr>
              <w:i/>
              <w:sz w:val="18"/>
            </w:rPr>
            <w:t>Australian Securities and Investments Commission Class Order 13/1050</w:t>
          </w:r>
          <w:r w:rsidRPr="00081794">
            <w:rPr>
              <w:i/>
              <w:sz w:val="18"/>
            </w:rPr>
            <w:fldChar w:fldCharType="end"/>
          </w:r>
        </w:p>
      </w:tc>
      <w:tc>
        <w:tcPr>
          <w:tcW w:w="709" w:type="dxa"/>
          <w:tcBorders>
            <w:top w:val="nil"/>
            <w:left w:val="nil"/>
            <w:bottom w:val="nil"/>
            <w:right w:val="nil"/>
          </w:tcBorders>
          <w:shd w:val="clear" w:color="auto" w:fill="auto"/>
        </w:tcPr>
        <w:p w14:paraId="21D3DA88" w14:textId="77777777" w:rsidR="00102CA6" w:rsidRPr="00081794" w:rsidRDefault="00102CA6" w:rsidP="00081794">
          <w:pPr>
            <w:spacing w:line="0" w:lineRule="atLeast"/>
            <w:jc w:val="right"/>
            <w:rPr>
              <w:sz w:val="18"/>
            </w:rPr>
          </w:pPr>
          <w:r w:rsidRPr="00081794">
            <w:rPr>
              <w:i/>
              <w:sz w:val="18"/>
            </w:rPr>
            <w:fldChar w:fldCharType="begin"/>
          </w:r>
          <w:r w:rsidRPr="00081794">
            <w:rPr>
              <w:i/>
              <w:sz w:val="18"/>
            </w:rPr>
            <w:instrText xml:space="preserve"> PAGE </w:instrText>
          </w:r>
          <w:r w:rsidRPr="00081794">
            <w:rPr>
              <w:i/>
              <w:sz w:val="18"/>
            </w:rPr>
            <w:fldChar w:fldCharType="separate"/>
          </w:r>
          <w:r w:rsidR="00BC7183" w:rsidRPr="00081794">
            <w:rPr>
              <w:i/>
              <w:noProof/>
              <w:sz w:val="18"/>
            </w:rPr>
            <w:t>4</w:t>
          </w:r>
          <w:r w:rsidRPr="00081794">
            <w:rPr>
              <w:i/>
              <w:sz w:val="18"/>
            </w:rPr>
            <w:fldChar w:fldCharType="end"/>
          </w:r>
        </w:p>
      </w:tc>
    </w:tr>
    <w:tr w:rsidR="00102CA6" w:rsidRPr="00081794" w14:paraId="0A40C61D" w14:textId="77777777" w:rsidTr="00081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7F58BC67" w14:textId="77777777" w:rsidR="00102CA6" w:rsidRPr="00081794" w:rsidRDefault="00FA31DE" w:rsidP="00102CA6">
          <w:pPr>
            <w:rPr>
              <w:sz w:val="18"/>
            </w:rPr>
          </w:pPr>
          <w:r w:rsidRPr="00081794">
            <w:rPr>
              <w:i/>
              <w:noProof/>
              <w:sz w:val="18"/>
            </w:rPr>
            <w:t>I14KE197.v01.docx</w:t>
          </w:r>
          <w:r w:rsidR="00102CA6" w:rsidRPr="00081794">
            <w:rPr>
              <w:i/>
              <w:sz w:val="18"/>
            </w:rPr>
            <w:t xml:space="preserve"> </w:t>
          </w:r>
          <w:r w:rsidRPr="00081794">
            <w:rPr>
              <w:i/>
              <w:noProof/>
              <w:sz w:val="18"/>
            </w:rPr>
            <w:t>13/6/2014 3:07 PM</w:t>
          </w:r>
        </w:p>
      </w:tc>
    </w:tr>
  </w:tbl>
  <w:p w14:paraId="71FD0266" w14:textId="77777777" w:rsidR="00102CA6" w:rsidRPr="00ED79B6" w:rsidRDefault="00102CA6" w:rsidP="007500C8">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7C623" w14:textId="77777777" w:rsidR="0011027F" w:rsidRDefault="0011027F" w:rsidP="00715914">
      <w:pPr>
        <w:spacing w:line="240" w:lineRule="auto"/>
      </w:pPr>
      <w:r>
        <w:separator/>
      </w:r>
    </w:p>
  </w:footnote>
  <w:footnote w:type="continuationSeparator" w:id="0">
    <w:p w14:paraId="2357A069" w14:textId="77777777" w:rsidR="0011027F" w:rsidRDefault="0011027F"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4361" w14:textId="73C34072" w:rsidR="00102CA6" w:rsidRPr="005F1388" w:rsidRDefault="005171E2" w:rsidP="00715914">
    <w:pPr>
      <w:pStyle w:val="Header"/>
      <w:tabs>
        <w:tab w:val="clear" w:pos="4150"/>
        <w:tab w:val="clear" w:pos="8307"/>
      </w:tabs>
    </w:pPr>
    <w:r>
      <w:rPr>
        <w:noProof/>
      </w:rPr>
      <mc:AlternateContent>
        <mc:Choice Requires="wps">
          <w:drawing>
            <wp:anchor distT="0" distB="0" distL="114300" distR="114300" simplePos="0" relativeHeight="251657216" behindDoc="1" locked="0" layoutInCell="1" allowOverlap="1" wp14:anchorId="4E314D63" wp14:editId="3B1A1C7A">
              <wp:simplePos x="0" y="0"/>
              <wp:positionH relativeFrom="column">
                <wp:align>center</wp:align>
              </wp:positionH>
              <wp:positionV relativeFrom="page">
                <wp:posOffset>143510</wp:posOffset>
              </wp:positionV>
              <wp:extent cx="4410075" cy="4000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688526E" w14:textId="77777777" w:rsidR="00102CA6" w:rsidRPr="00284719" w:rsidRDefault="00102CA6"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4642C1">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oel="http://schemas.microsoft.com/office/2019/extlst">
          <w:pict w14:anchorId="1FF8DCD7">
            <v:shapetype id="_x0000_t202" coordsize="21600,21600" o:spt="202" path="m,l,21600r21600,l21600,xe" w14:anchorId="4E314D63">
              <v:stroke joinstyle="miter"/>
              <v:path gradientshapeok="t" o:connecttype="rect"/>
            </v:shapetype>
            <v:shape id="Text Box 15" style="position:absolute;margin-left:0;margin-top:11.3pt;width:347.25pt;height: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">
              <v:stroke joinstyle="round"/>
              <v:path arrowok="t"/>
              <v:textbox>
                <w:txbxContent>
                  <w:p w:rsidRPr="00284719" w:rsidR="00102CA6" w:rsidP="00284719" w:rsidRDefault="00102CA6" w14:paraId="0AAEDE43" w14:textId="77777777">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4642C1">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tblBorders>
      <w:tblCellMar>
        <w:left w:w="0" w:type="dxa"/>
        <w:bottom w:w="28" w:type="dxa"/>
        <w:right w:w="0" w:type="dxa"/>
      </w:tblCellMar>
      <w:tblLook w:val="04A0" w:firstRow="1" w:lastRow="0" w:firstColumn="1" w:lastColumn="0" w:noHBand="0" w:noVBand="1"/>
    </w:tblPr>
    <w:tblGrid>
      <w:gridCol w:w="6804"/>
      <w:gridCol w:w="1509"/>
    </w:tblGrid>
    <w:tr w:rsidR="00F4215A" w:rsidRPr="00E40FF8" w14:paraId="453EAD68" w14:textId="77777777" w:rsidTr="00BF75C9">
      <w:tc>
        <w:tcPr>
          <w:tcW w:w="6804" w:type="dxa"/>
          <w:shd w:val="clear" w:color="auto" w:fill="auto"/>
        </w:tcPr>
        <w:p w14:paraId="70146421" w14:textId="59A3602D" w:rsidR="00F4215A" w:rsidRDefault="0011027F" w:rsidP="00BF75C9">
          <w:pPr>
            <w:pStyle w:val="LI-Header"/>
            <w:pBdr>
              <w:bottom w:val="none" w:sz="0" w:space="0" w:color="auto"/>
            </w:pBdr>
            <w:jc w:val="left"/>
          </w:pPr>
          <w:r>
            <w:fldChar w:fldCharType="begin"/>
          </w:r>
          <w:r>
            <w:instrText>STYLEREF  "LI - Title"  \* MERGEFORMAT</w:instrText>
          </w:r>
          <w:r>
            <w:fldChar w:fldCharType="separate"/>
          </w:r>
          <w:r w:rsidR="00694BF8">
            <w:rPr>
              <w:noProof/>
            </w:rPr>
            <w:t>ASIC Corporations (Changing Scheme and Retail CCIV Constitutions) Instrument 2019/700</w:t>
          </w:r>
          <w:r>
            <w:rPr>
              <w:noProof/>
            </w:rPr>
            <w:fldChar w:fldCharType="end"/>
          </w:r>
        </w:p>
      </w:tc>
      <w:tc>
        <w:tcPr>
          <w:tcW w:w="1509" w:type="dxa"/>
          <w:shd w:val="clear" w:color="auto" w:fill="auto"/>
        </w:tcPr>
        <w:p w14:paraId="59524C1C" w14:textId="7BBCFA84" w:rsidR="00F4215A" w:rsidRDefault="00B2799D" w:rsidP="00E40FF8">
          <w:pPr>
            <w:pStyle w:val="LI-Header"/>
            <w:pBdr>
              <w:bottom w:val="none" w:sz="0" w:space="0" w:color="auto"/>
            </w:pBdr>
          </w:pPr>
          <w:r>
            <w:fldChar w:fldCharType="begin"/>
          </w:r>
          <w:r>
            <w:instrText>STYLEREF  "LI - Heading 1"</w:instrText>
          </w:r>
          <w:r>
            <w:fldChar w:fldCharType="separate"/>
          </w:r>
          <w:r w:rsidR="00694BF8">
            <w:rPr>
              <w:noProof/>
            </w:rPr>
            <w:t>Part 2—Declaration</w:t>
          </w:r>
          <w:r>
            <w:fldChar w:fldCharType="end"/>
          </w:r>
        </w:p>
      </w:tc>
    </w:tr>
  </w:tbl>
  <w:p w14:paraId="108F4374" w14:textId="77777777" w:rsidR="0040053F" w:rsidRPr="00F4215A" w:rsidRDefault="0040053F" w:rsidP="002D16A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6A42" w14:textId="77777777" w:rsidR="00E2168B" w:rsidRPr="00243EC0" w:rsidRDefault="00E2168B" w:rsidP="00243EC0">
    <w:pPr>
      <w:pStyle w:val="LI-Footer"/>
      <w:pBdr>
        <w:top w:val="none" w:sz="0" w:space="0" w:color="auto"/>
        <w:bottom w:val="single" w:sz="4" w:space="1" w:color="auto"/>
      </w:pBdr>
    </w:pPr>
    <w:r w:rsidRPr="00A52B0F">
      <w:t xml:space="preserve">ASIC Corporations / Superannuation / Credit </w:t>
    </w:r>
    <w:r w:rsidRPr="00A52B0F">
      <w:rPr>
        <w:highlight w:val="yellow"/>
      </w:rPr>
      <w:t>(&lt;Short Narrative Name&gt;</w:t>
    </w:r>
    <w:r w:rsidRPr="00A52B0F">
      <w:t xml:space="preserve">) Instrument </w:t>
    </w:r>
    <w:r w:rsidRPr="00A52B0F">
      <w:rPr>
        <w:highlight w:val="yellow"/>
      </w:rPr>
      <w:t>&lt;Year&gt;</w:t>
    </w:r>
    <w:r>
      <w:tab/>
      <w:t>Part 3—Declaration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tblBorders>
      <w:tblCellMar>
        <w:left w:w="0" w:type="dxa"/>
        <w:bottom w:w="28" w:type="dxa"/>
        <w:right w:w="0" w:type="dxa"/>
      </w:tblCellMar>
      <w:tblLook w:val="04A0" w:firstRow="1" w:lastRow="0" w:firstColumn="1" w:lastColumn="0" w:noHBand="0" w:noVBand="1"/>
    </w:tblPr>
    <w:tblGrid>
      <w:gridCol w:w="6804"/>
      <w:gridCol w:w="1509"/>
    </w:tblGrid>
    <w:tr w:rsidR="00F4215A" w:rsidRPr="00E40FF8" w14:paraId="76D5851D" w14:textId="77777777" w:rsidTr="00BF75C9">
      <w:tc>
        <w:tcPr>
          <w:tcW w:w="6804" w:type="dxa"/>
          <w:shd w:val="clear" w:color="auto" w:fill="auto"/>
        </w:tcPr>
        <w:p w14:paraId="4D8C850C" w14:textId="4A721E71" w:rsidR="00F4215A" w:rsidRDefault="00B2799D" w:rsidP="00E40FF8">
          <w:pPr>
            <w:pStyle w:val="LI-Header"/>
            <w:pBdr>
              <w:bottom w:val="none" w:sz="0" w:space="0" w:color="auto"/>
            </w:pBdr>
            <w:jc w:val="left"/>
          </w:pPr>
          <w:r>
            <w:fldChar w:fldCharType="begin"/>
          </w:r>
          <w:r>
            <w:instrText>STYLEREF  "LI - Title"</w:instrText>
          </w:r>
          <w:r>
            <w:fldChar w:fldCharType="separate"/>
          </w:r>
          <w:r w:rsidR="00694BF8">
            <w:rPr>
              <w:noProof/>
            </w:rPr>
            <w:t>ASIC Corporations (Changing Scheme and Retail CCIV Constitutions) Instrument 2019/700</w:t>
          </w:r>
          <w:r>
            <w:fldChar w:fldCharType="end"/>
          </w:r>
        </w:p>
      </w:tc>
      <w:tc>
        <w:tcPr>
          <w:tcW w:w="1509" w:type="dxa"/>
          <w:shd w:val="clear" w:color="auto" w:fill="auto"/>
        </w:tcPr>
        <w:p w14:paraId="22D8EBA9" w14:textId="762575DC" w:rsidR="00F4215A" w:rsidRDefault="00B2799D" w:rsidP="00E40FF8">
          <w:pPr>
            <w:pStyle w:val="LI-Header"/>
            <w:pBdr>
              <w:bottom w:val="none" w:sz="0" w:space="0" w:color="auto"/>
            </w:pBdr>
          </w:pPr>
          <w:r>
            <w:fldChar w:fldCharType="begin"/>
          </w:r>
          <w:r>
            <w:instrText>STYLEREF  "LI - Heading 1"</w:instrText>
          </w:r>
          <w:r>
            <w:fldChar w:fldCharType="separate"/>
          </w:r>
          <w:r w:rsidR="00694BF8">
            <w:rPr>
              <w:noProof/>
            </w:rPr>
            <w:t>Endnotes</w:t>
          </w:r>
          <w:r>
            <w:fldChar w:fldCharType="end"/>
          </w:r>
        </w:p>
      </w:tc>
    </w:tr>
  </w:tbl>
  <w:p w14:paraId="786097C0" w14:textId="77777777" w:rsidR="0040053F" w:rsidRPr="00F4215A" w:rsidRDefault="0040053F" w:rsidP="00F42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737E" w14:textId="41603C86" w:rsidR="00102CA6" w:rsidRPr="005F1388" w:rsidRDefault="005171E2" w:rsidP="00715914">
    <w:pPr>
      <w:pStyle w:val="Header"/>
      <w:tabs>
        <w:tab w:val="clear" w:pos="4150"/>
        <w:tab w:val="clear" w:pos="8307"/>
      </w:tabs>
    </w:pPr>
    <w:r>
      <w:rPr>
        <w:noProof/>
      </w:rPr>
      <mc:AlternateContent>
        <mc:Choice Requires="wps">
          <w:drawing>
            <wp:anchor distT="0" distB="0" distL="114300" distR="114300" simplePos="0" relativeHeight="251656192" behindDoc="1" locked="0" layoutInCell="1" allowOverlap="1" wp14:anchorId="5472BE88" wp14:editId="7045D098">
              <wp:simplePos x="0" y="0"/>
              <wp:positionH relativeFrom="column">
                <wp:align>center</wp:align>
              </wp:positionH>
              <wp:positionV relativeFrom="page">
                <wp:posOffset>143510</wp:posOffset>
              </wp:positionV>
              <wp:extent cx="4410075" cy="4000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D554E95" w14:textId="77777777" w:rsidR="00102CA6" w:rsidRPr="00284719" w:rsidRDefault="00102CA6"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oel="http://schemas.microsoft.com/office/2019/extlst">
          <w:pict w14:anchorId="03C62087">
            <v:shapetype id="_x0000_t202" coordsize="21600,21600" o:spt="202" path="m,l,21600r21600,l21600,xe" w14:anchorId="5472BE88">
              <v:stroke joinstyle="miter"/>
              <v:path gradientshapeok="t" o:connecttype="rect"/>
            </v:shapetype>
            <v:shape id="Text Box 14" style="position:absolute;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">
              <v:stroke joinstyle="round"/>
              <v:path arrowok="t"/>
              <v:textbox>
                <w:txbxContent>
                  <w:p w:rsidRPr="00284719" w:rsidR="00102CA6" w:rsidP="00284719" w:rsidRDefault="00102CA6" w14:paraId="0A37501D" w14:textId="77777777">
                    <w:pPr>
                      <w:jc w:val="center"/>
                      <w:rPr>
                        <w:rFonts w:ascii="Arial" w:hAnsi="Arial" w:cs="Arial"/>
                        <w:b/>
                        <w:sz w:val="40"/>
                      </w:rPr>
                    </w:pP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D1B3" w14:textId="77777777" w:rsidR="00102CA6" w:rsidRPr="005F1388" w:rsidRDefault="00102CA6"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D649" w14:textId="77777777" w:rsidR="00102CA6" w:rsidRDefault="00E2168B" w:rsidP="00E2168B">
    <w:pPr>
      <w:pStyle w:val="LI-Header"/>
    </w:pPr>
    <w:r w:rsidRPr="00A52B0F">
      <w:t xml:space="preserve">ASIC Corporations / Superannuation / Credit </w:t>
    </w:r>
    <w:r w:rsidRPr="00A52B0F">
      <w:rPr>
        <w:highlight w:val="yellow"/>
      </w:rPr>
      <w:t>(&lt;Short Narrative Name&gt;</w:t>
    </w:r>
    <w:r w:rsidRPr="00A52B0F">
      <w:t xml:space="preserve">) Instrument </w:t>
    </w:r>
    <w:r w:rsidRPr="00A52B0F">
      <w:rPr>
        <w:highlight w:val="yellow"/>
      </w:rPr>
      <w:t>&lt;Year&gt;</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tblBorders>
      <w:tblCellMar>
        <w:left w:w="0" w:type="dxa"/>
        <w:bottom w:w="28" w:type="dxa"/>
        <w:right w:w="0" w:type="dxa"/>
      </w:tblCellMar>
      <w:tblLook w:val="04A0" w:firstRow="1" w:lastRow="0" w:firstColumn="1" w:lastColumn="0" w:noHBand="0" w:noVBand="1"/>
    </w:tblPr>
    <w:tblGrid>
      <w:gridCol w:w="6804"/>
      <w:gridCol w:w="1509"/>
    </w:tblGrid>
    <w:tr w:rsidR="00F4215A" w:rsidRPr="00E40FF8" w14:paraId="21935330" w14:textId="77777777" w:rsidTr="00BF75C9">
      <w:tc>
        <w:tcPr>
          <w:tcW w:w="6804" w:type="dxa"/>
          <w:shd w:val="clear" w:color="auto" w:fill="auto"/>
        </w:tcPr>
        <w:p w14:paraId="489F2656" w14:textId="0BE736DC" w:rsidR="00F4215A" w:rsidRDefault="00B2799D" w:rsidP="00E40FF8">
          <w:pPr>
            <w:pStyle w:val="LI-Header"/>
            <w:pBdr>
              <w:bottom w:val="none" w:sz="0" w:space="0" w:color="auto"/>
            </w:pBdr>
            <w:jc w:val="left"/>
          </w:pPr>
          <w:r>
            <w:fldChar w:fldCharType="begin"/>
          </w:r>
          <w:r>
            <w:instrText>STYLEREF  "LI - Title"</w:instrText>
          </w:r>
          <w:r>
            <w:fldChar w:fldCharType="separate"/>
          </w:r>
          <w:r w:rsidR="00694BF8">
            <w:rPr>
              <w:noProof/>
            </w:rPr>
            <w:t>ASIC Corporations (Changing Scheme and Retail CCIV Constitutions) Instrument 2019/700</w:t>
          </w:r>
          <w:r>
            <w:fldChar w:fldCharType="end"/>
          </w:r>
        </w:p>
      </w:tc>
      <w:tc>
        <w:tcPr>
          <w:tcW w:w="1509" w:type="dxa"/>
          <w:shd w:val="clear" w:color="auto" w:fill="auto"/>
        </w:tcPr>
        <w:p w14:paraId="1C8E7E63" w14:textId="77777777" w:rsidR="00F4215A" w:rsidRDefault="00F4215A" w:rsidP="00E40FF8">
          <w:pPr>
            <w:pStyle w:val="LI-Header"/>
            <w:pBdr>
              <w:bottom w:val="none" w:sz="0" w:space="0" w:color="auto"/>
            </w:pBdr>
          </w:pPr>
        </w:p>
      </w:tc>
    </w:tr>
  </w:tbl>
  <w:p w14:paraId="2BEB2D42" w14:textId="77777777" w:rsidR="00102CA6" w:rsidRPr="008945E0" w:rsidRDefault="00102CA6" w:rsidP="00F4215A">
    <w:pPr>
      <w:pStyle w:val="LI-Header"/>
      <w:pBdr>
        <w:bottom w:val="none" w:sz="0" w:space="0" w:color="auto"/>
      </w:pBdr>
      <w:spacing w:befor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6146" w14:textId="77777777" w:rsidR="00102CA6" w:rsidRPr="00ED79B6" w:rsidRDefault="00102CA6"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57BD" w14:textId="77777777" w:rsidR="00102CA6" w:rsidRPr="00243EC0" w:rsidRDefault="00243EC0" w:rsidP="00243EC0">
    <w:pPr>
      <w:pStyle w:val="LI-Footer"/>
      <w:pBdr>
        <w:top w:val="none" w:sz="0" w:space="0" w:color="auto"/>
        <w:bottom w:val="single" w:sz="4" w:space="1" w:color="auto"/>
      </w:pBdr>
    </w:pPr>
    <w:r w:rsidRPr="00A52B0F">
      <w:t xml:space="preserve">ASIC Corporations / Superannuation / Credit </w:t>
    </w:r>
    <w:r w:rsidRPr="00A52B0F">
      <w:rPr>
        <w:highlight w:val="yellow"/>
      </w:rPr>
      <w:t>(&lt;Short Narrative Name&gt;</w:t>
    </w:r>
    <w:r w:rsidRPr="00A52B0F">
      <w:t xml:space="preserve">) Instrument </w:t>
    </w:r>
    <w:r w:rsidRPr="00A52B0F">
      <w:rPr>
        <w:highlight w:val="yellow"/>
      </w:rPr>
      <w:t>&lt;Year&gt;</w:t>
    </w:r>
    <w:r>
      <w:tab/>
      <w:t xml:space="preserve">Part </w:t>
    </w:r>
    <w:r w:rsidR="00E2168B">
      <w:t>2</w:t>
    </w:r>
    <w:r>
      <w:t>—</w:t>
    </w:r>
    <w:r w:rsidR="00E2168B">
      <w:t>Exemption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tblBorders>
      <w:tblCellMar>
        <w:left w:w="0" w:type="dxa"/>
        <w:bottom w:w="28" w:type="dxa"/>
        <w:right w:w="0" w:type="dxa"/>
      </w:tblCellMar>
      <w:tblLook w:val="04A0" w:firstRow="1" w:lastRow="0" w:firstColumn="1" w:lastColumn="0" w:noHBand="0" w:noVBand="1"/>
    </w:tblPr>
    <w:tblGrid>
      <w:gridCol w:w="6804"/>
      <w:gridCol w:w="1509"/>
    </w:tblGrid>
    <w:tr w:rsidR="00F4215A" w14:paraId="6BC14E72" w14:textId="77777777" w:rsidTr="00BF75C9">
      <w:tc>
        <w:tcPr>
          <w:tcW w:w="6804" w:type="dxa"/>
          <w:shd w:val="clear" w:color="auto" w:fill="auto"/>
        </w:tcPr>
        <w:p w14:paraId="74917FEF" w14:textId="483EC05E" w:rsidR="00F4215A" w:rsidRDefault="00B2799D" w:rsidP="00E40FF8">
          <w:pPr>
            <w:pStyle w:val="LI-Header"/>
            <w:pBdr>
              <w:bottom w:val="none" w:sz="0" w:space="0" w:color="auto"/>
            </w:pBdr>
            <w:jc w:val="left"/>
          </w:pPr>
          <w:r>
            <w:fldChar w:fldCharType="begin"/>
          </w:r>
          <w:r>
            <w:instrText>STYLEREF  "LI - Title"</w:instrText>
          </w:r>
          <w:r>
            <w:fldChar w:fldCharType="separate"/>
          </w:r>
          <w:r w:rsidR="00694BF8">
            <w:rPr>
              <w:noProof/>
            </w:rPr>
            <w:t>ASIC Corporations (Changing Scheme and Retail CCIV Constitutions) Instrument 2019/700</w:t>
          </w:r>
          <w:r>
            <w:fldChar w:fldCharType="end"/>
          </w:r>
        </w:p>
      </w:tc>
      <w:tc>
        <w:tcPr>
          <w:tcW w:w="1509" w:type="dxa"/>
          <w:shd w:val="clear" w:color="auto" w:fill="auto"/>
        </w:tcPr>
        <w:p w14:paraId="0CE5ECFD" w14:textId="40E1C9ED" w:rsidR="00F4215A" w:rsidRDefault="00B2799D" w:rsidP="00E40FF8">
          <w:pPr>
            <w:pStyle w:val="LI-Header"/>
            <w:pBdr>
              <w:bottom w:val="none" w:sz="0" w:space="0" w:color="auto"/>
            </w:pBdr>
          </w:pPr>
          <w:r>
            <w:fldChar w:fldCharType="begin"/>
          </w:r>
          <w:r>
            <w:instrText>STYLEREF  "LI - Heading 1"</w:instrText>
          </w:r>
          <w:r>
            <w:fldChar w:fldCharType="separate"/>
          </w:r>
          <w:r w:rsidR="00694BF8">
            <w:rPr>
              <w:noProof/>
            </w:rPr>
            <w:t>Part 1—Preliminary</w:t>
          </w:r>
          <w:r>
            <w:fldChar w:fldCharType="end"/>
          </w:r>
        </w:p>
      </w:tc>
    </w:tr>
  </w:tbl>
  <w:p w14:paraId="71EB4F84" w14:textId="77777777" w:rsidR="00D341C4" w:rsidRPr="00F4215A" w:rsidRDefault="00D341C4" w:rsidP="00F421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8B28" w14:textId="77777777" w:rsidR="00102CA6" w:rsidRPr="007A1328" w:rsidRDefault="00102CA6"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AAC6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1AFA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D08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D637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CED8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A8CE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24B3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6C7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6A4D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C02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266B82"/>
    <w:multiLevelType w:val="hybridMultilevel"/>
    <w:tmpl w:val="8A1E49B4"/>
    <w:lvl w:ilvl="0" w:tplc="69EAD68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D859B8"/>
    <w:multiLevelType w:val="hybridMultilevel"/>
    <w:tmpl w:val="53CC2FBA"/>
    <w:lvl w:ilvl="0" w:tplc="5ED0D566">
      <w:start w:val="2"/>
      <w:numFmt w:val="lowerLetter"/>
      <w:lvlText w:val="(%1)"/>
      <w:lvlJc w:val="left"/>
      <w:pPr>
        <w:ind w:left="2376" w:hanging="6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49B13F44"/>
    <w:multiLevelType w:val="hybridMultilevel"/>
    <w:tmpl w:val="0E4CB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3C26FC"/>
    <w:multiLevelType w:val="hybridMultilevel"/>
    <w:tmpl w:val="48E25C1A"/>
    <w:lvl w:ilvl="0" w:tplc="C8DAEB7A">
      <w:start w:val="1"/>
      <w:numFmt w:val="lowerLetter"/>
      <w:lvlText w:val="(%1)"/>
      <w:lvlJc w:val="left"/>
      <w:pPr>
        <w:ind w:left="2835" w:hanging="675"/>
      </w:pPr>
      <w:rPr>
        <w:rFonts w:ascii="Times New Roman" w:eastAsia="Times New Roman" w:hAnsi="Times New Roman" w:cs="Arial"/>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4"/>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hideSpellingErrors/>
  <w:hideGrammaticalErrors/>
  <w:proofState w:spelling="clean" w:grammar="clean"/>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A1"/>
    <w:rsid w:val="00002CA4"/>
    <w:rsid w:val="00004470"/>
    <w:rsid w:val="00005446"/>
    <w:rsid w:val="000136AF"/>
    <w:rsid w:val="00013B8D"/>
    <w:rsid w:val="000179EC"/>
    <w:rsid w:val="00023D53"/>
    <w:rsid w:val="000437C1"/>
    <w:rsid w:val="00043853"/>
    <w:rsid w:val="00051A8A"/>
    <w:rsid w:val="0005365D"/>
    <w:rsid w:val="00060615"/>
    <w:rsid w:val="000614BF"/>
    <w:rsid w:val="0006250C"/>
    <w:rsid w:val="00081794"/>
    <w:rsid w:val="000957E2"/>
    <w:rsid w:val="000A142F"/>
    <w:rsid w:val="000A6C39"/>
    <w:rsid w:val="000B58FA"/>
    <w:rsid w:val="000B6F11"/>
    <w:rsid w:val="000C049F"/>
    <w:rsid w:val="000C289E"/>
    <w:rsid w:val="000C55A0"/>
    <w:rsid w:val="000D05EF"/>
    <w:rsid w:val="000E2261"/>
    <w:rsid w:val="000E3C2E"/>
    <w:rsid w:val="000F21C1"/>
    <w:rsid w:val="00102CA6"/>
    <w:rsid w:val="0010745C"/>
    <w:rsid w:val="0011027F"/>
    <w:rsid w:val="00132CEB"/>
    <w:rsid w:val="00142B62"/>
    <w:rsid w:val="001534EB"/>
    <w:rsid w:val="00157B8B"/>
    <w:rsid w:val="00166C2F"/>
    <w:rsid w:val="00171A6E"/>
    <w:rsid w:val="001809D7"/>
    <w:rsid w:val="001939E1"/>
    <w:rsid w:val="00194C3E"/>
    <w:rsid w:val="00195382"/>
    <w:rsid w:val="00195BD4"/>
    <w:rsid w:val="001A2B52"/>
    <w:rsid w:val="001C61C5"/>
    <w:rsid w:val="001C69C4"/>
    <w:rsid w:val="001D37EF"/>
    <w:rsid w:val="001D75A0"/>
    <w:rsid w:val="001E3590"/>
    <w:rsid w:val="001E7407"/>
    <w:rsid w:val="001F4EFC"/>
    <w:rsid w:val="001F5D5E"/>
    <w:rsid w:val="001F6219"/>
    <w:rsid w:val="001F6CD4"/>
    <w:rsid w:val="00206C4D"/>
    <w:rsid w:val="0021053C"/>
    <w:rsid w:val="00215AF1"/>
    <w:rsid w:val="002321E8"/>
    <w:rsid w:val="00236EEC"/>
    <w:rsid w:val="0024010F"/>
    <w:rsid w:val="00240749"/>
    <w:rsid w:val="00243018"/>
    <w:rsid w:val="00243EC0"/>
    <w:rsid w:val="00244742"/>
    <w:rsid w:val="0024652E"/>
    <w:rsid w:val="002564A4"/>
    <w:rsid w:val="0026736C"/>
    <w:rsid w:val="00281308"/>
    <w:rsid w:val="00281813"/>
    <w:rsid w:val="00281DB5"/>
    <w:rsid w:val="00283FE8"/>
    <w:rsid w:val="00284719"/>
    <w:rsid w:val="00293707"/>
    <w:rsid w:val="00297ECB"/>
    <w:rsid w:val="002A3AE6"/>
    <w:rsid w:val="002A7BCF"/>
    <w:rsid w:val="002B19F3"/>
    <w:rsid w:val="002B4A0D"/>
    <w:rsid w:val="002D043A"/>
    <w:rsid w:val="002D16A2"/>
    <w:rsid w:val="002D3711"/>
    <w:rsid w:val="002D6224"/>
    <w:rsid w:val="002E3F4B"/>
    <w:rsid w:val="00304F8B"/>
    <w:rsid w:val="00311E42"/>
    <w:rsid w:val="00321F9B"/>
    <w:rsid w:val="00327DDF"/>
    <w:rsid w:val="00327F27"/>
    <w:rsid w:val="00330C9D"/>
    <w:rsid w:val="00333743"/>
    <w:rsid w:val="003354D2"/>
    <w:rsid w:val="00335BC6"/>
    <w:rsid w:val="003415D3"/>
    <w:rsid w:val="00344701"/>
    <w:rsid w:val="003528DA"/>
    <w:rsid w:val="00352B0F"/>
    <w:rsid w:val="00356690"/>
    <w:rsid w:val="00360459"/>
    <w:rsid w:val="003616CF"/>
    <w:rsid w:val="00365497"/>
    <w:rsid w:val="0037049A"/>
    <w:rsid w:val="00376F3A"/>
    <w:rsid w:val="00380635"/>
    <w:rsid w:val="00386AD9"/>
    <w:rsid w:val="00387A96"/>
    <w:rsid w:val="003A0519"/>
    <w:rsid w:val="003A2A48"/>
    <w:rsid w:val="003A4853"/>
    <w:rsid w:val="003A6E1A"/>
    <w:rsid w:val="003B0079"/>
    <w:rsid w:val="003B732F"/>
    <w:rsid w:val="003C6231"/>
    <w:rsid w:val="003D0BFE"/>
    <w:rsid w:val="003D5700"/>
    <w:rsid w:val="003E0F99"/>
    <w:rsid w:val="003E341B"/>
    <w:rsid w:val="003F1EB1"/>
    <w:rsid w:val="003F2C2F"/>
    <w:rsid w:val="0040053F"/>
    <w:rsid w:val="004009AA"/>
    <w:rsid w:val="004116CD"/>
    <w:rsid w:val="00413B4F"/>
    <w:rsid w:val="004144EC"/>
    <w:rsid w:val="0041553F"/>
    <w:rsid w:val="00417EB9"/>
    <w:rsid w:val="00424CA9"/>
    <w:rsid w:val="004303BE"/>
    <w:rsid w:val="00431E9B"/>
    <w:rsid w:val="004379E3"/>
    <w:rsid w:val="0044015E"/>
    <w:rsid w:val="0044291A"/>
    <w:rsid w:val="00444ABD"/>
    <w:rsid w:val="00447DB4"/>
    <w:rsid w:val="004577AA"/>
    <w:rsid w:val="00460F1D"/>
    <w:rsid w:val="004642C1"/>
    <w:rsid w:val="00467661"/>
    <w:rsid w:val="004705B7"/>
    <w:rsid w:val="00472DBE"/>
    <w:rsid w:val="00474A19"/>
    <w:rsid w:val="004823C0"/>
    <w:rsid w:val="0048276B"/>
    <w:rsid w:val="00496B5F"/>
    <w:rsid w:val="00496F97"/>
    <w:rsid w:val="004A44FC"/>
    <w:rsid w:val="004E063A"/>
    <w:rsid w:val="004E7BEC"/>
    <w:rsid w:val="004F5D2D"/>
    <w:rsid w:val="004F7522"/>
    <w:rsid w:val="0050044F"/>
    <w:rsid w:val="00505D3D"/>
    <w:rsid w:val="00506AF6"/>
    <w:rsid w:val="00516B8D"/>
    <w:rsid w:val="005171E2"/>
    <w:rsid w:val="00517E56"/>
    <w:rsid w:val="00532049"/>
    <w:rsid w:val="005355F6"/>
    <w:rsid w:val="005356A7"/>
    <w:rsid w:val="00537FBC"/>
    <w:rsid w:val="00547741"/>
    <w:rsid w:val="005574D1"/>
    <w:rsid w:val="005657FE"/>
    <w:rsid w:val="00572BB1"/>
    <w:rsid w:val="0057670F"/>
    <w:rsid w:val="00584811"/>
    <w:rsid w:val="00585784"/>
    <w:rsid w:val="005919ED"/>
    <w:rsid w:val="00593AA6"/>
    <w:rsid w:val="00594161"/>
    <w:rsid w:val="00594749"/>
    <w:rsid w:val="005B4067"/>
    <w:rsid w:val="005B780C"/>
    <w:rsid w:val="005C3F41"/>
    <w:rsid w:val="005D0489"/>
    <w:rsid w:val="005D2D09"/>
    <w:rsid w:val="005D3D41"/>
    <w:rsid w:val="005E42B9"/>
    <w:rsid w:val="005E4810"/>
    <w:rsid w:val="005F65CD"/>
    <w:rsid w:val="00600219"/>
    <w:rsid w:val="00601175"/>
    <w:rsid w:val="00603DC4"/>
    <w:rsid w:val="00607A71"/>
    <w:rsid w:val="00620076"/>
    <w:rsid w:val="00622213"/>
    <w:rsid w:val="00634044"/>
    <w:rsid w:val="00640161"/>
    <w:rsid w:val="00652769"/>
    <w:rsid w:val="0065542F"/>
    <w:rsid w:val="006554FF"/>
    <w:rsid w:val="00670EA1"/>
    <w:rsid w:val="00677CC2"/>
    <w:rsid w:val="006905DE"/>
    <w:rsid w:val="0069207B"/>
    <w:rsid w:val="00694BF8"/>
    <w:rsid w:val="006B5789"/>
    <w:rsid w:val="006C30C5"/>
    <w:rsid w:val="006C3B16"/>
    <w:rsid w:val="006C48FA"/>
    <w:rsid w:val="006C7F8C"/>
    <w:rsid w:val="006E5320"/>
    <w:rsid w:val="006E6246"/>
    <w:rsid w:val="006F318F"/>
    <w:rsid w:val="006F4226"/>
    <w:rsid w:val="0070017E"/>
    <w:rsid w:val="00700B2C"/>
    <w:rsid w:val="007050A2"/>
    <w:rsid w:val="00713084"/>
    <w:rsid w:val="00713154"/>
    <w:rsid w:val="00714F20"/>
    <w:rsid w:val="0071590F"/>
    <w:rsid w:val="00715914"/>
    <w:rsid w:val="00731E00"/>
    <w:rsid w:val="00741EE8"/>
    <w:rsid w:val="007440B7"/>
    <w:rsid w:val="007500C8"/>
    <w:rsid w:val="00756272"/>
    <w:rsid w:val="007662B5"/>
    <w:rsid w:val="0076681A"/>
    <w:rsid w:val="007715C9"/>
    <w:rsid w:val="00771613"/>
    <w:rsid w:val="00774EDD"/>
    <w:rsid w:val="007757EC"/>
    <w:rsid w:val="00783E89"/>
    <w:rsid w:val="00785A9E"/>
    <w:rsid w:val="00793915"/>
    <w:rsid w:val="007B30D5"/>
    <w:rsid w:val="007B4C4F"/>
    <w:rsid w:val="007C2253"/>
    <w:rsid w:val="007C7CC1"/>
    <w:rsid w:val="007D230B"/>
    <w:rsid w:val="007E163D"/>
    <w:rsid w:val="007E3DF4"/>
    <w:rsid w:val="007E667A"/>
    <w:rsid w:val="007F28C9"/>
    <w:rsid w:val="0080312D"/>
    <w:rsid w:val="00803587"/>
    <w:rsid w:val="008117E9"/>
    <w:rsid w:val="00824498"/>
    <w:rsid w:val="008346B8"/>
    <w:rsid w:val="00840442"/>
    <w:rsid w:val="00842A13"/>
    <w:rsid w:val="00851D8A"/>
    <w:rsid w:val="008527C0"/>
    <w:rsid w:val="00856A31"/>
    <w:rsid w:val="00860B58"/>
    <w:rsid w:val="00867B37"/>
    <w:rsid w:val="008754D0"/>
    <w:rsid w:val="008855C9"/>
    <w:rsid w:val="00886456"/>
    <w:rsid w:val="008945E0"/>
    <w:rsid w:val="0089527F"/>
    <w:rsid w:val="008A362B"/>
    <w:rsid w:val="008A46E1"/>
    <w:rsid w:val="008A4F43"/>
    <w:rsid w:val="008B2706"/>
    <w:rsid w:val="008C0F29"/>
    <w:rsid w:val="008D0EE0"/>
    <w:rsid w:val="008D3422"/>
    <w:rsid w:val="008E1722"/>
    <w:rsid w:val="008E6067"/>
    <w:rsid w:val="008F26FE"/>
    <w:rsid w:val="008F54E7"/>
    <w:rsid w:val="008F6333"/>
    <w:rsid w:val="00903422"/>
    <w:rsid w:val="009157B9"/>
    <w:rsid w:val="00915DF9"/>
    <w:rsid w:val="009254C3"/>
    <w:rsid w:val="00930A0A"/>
    <w:rsid w:val="009319E3"/>
    <w:rsid w:val="00932377"/>
    <w:rsid w:val="00947D5A"/>
    <w:rsid w:val="009532A5"/>
    <w:rsid w:val="0095528E"/>
    <w:rsid w:val="009641E5"/>
    <w:rsid w:val="0096753E"/>
    <w:rsid w:val="00982242"/>
    <w:rsid w:val="009868E9"/>
    <w:rsid w:val="00987CCC"/>
    <w:rsid w:val="009944E6"/>
    <w:rsid w:val="009A49C9"/>
    <w:rsid w:val="009D1818"/>
    <w:rsid w:val="009E2B83"/>
    <w:rsid w:val="009E5CFC"/>
    <w:rsid w:val="00A079CB"/>
    <w:rsid w:val="00A12128"/>
    <w:rsid w:val="00A12F48"/>
    <w:rsid w:val="00A15512"/>
    <w:rsid w:val="00A22C98"/>
    <w:rsid w:val="00A231E2"/>
    <w:rsid w:val="00A33D55"/>
    <w:rsid w:val="00A40424"/>
    <w:rsid w:val="00A42280"/>
    <w:rsid w:val="00A52B0F"/>
    <w:rsid w:val="00A55C3A"/>
    <w:rsid w:val="00A5632E"/>
    <w:rsid w:val="00A56547"/>
    <w:rsid w:val="00A64912"/>
    <w:rsid w:val="00A70A74"/>
    <w:rsid w:val="00A74D5A"/>
    <w:rsid w:val="00A91966"/>
    <w:rsid w:val="00AA0D08"/>
    <w:rsid w:val="00AA66AC"/>
    <w:rsid w:val="00AB0593"/>
    <w:rsid w:val="00AC0886"/>
    <w:rsid w:val="00AD5315"/>
    <w:rsid w:val="00AD5641"/>
    <w:rsid w:val="00AD7889"/>
    <w:rsid w:val="00AF021B"/>
    <w:rsid w:val="00AF06CF"/>
    <w:rsid w:val="00B07CDB"/>
    <w:rsid w:val="00B16A31"/>
    <w:rsid w:val="00B17DFD"/>
    <w:rsid w:val="00B2799D"/>
    <w:rsid w:val="00B308FE"/>
    <w:rsid w:val="00B33709"/>
    <w:rsid w:val="00B33B3C"/>
    <w:rsid w:val="00B409C4"/>
    <w:rsid w:val="00B50ADC"/>
    <w:rsid w:val="00B553E8"/>
    <w:rsid w:val="00B56164"/>
    <w:rsid w:val="00B566B1"/>
    <w:rsid w:val="00B60DC2"/>
    <w:rsid w:val="00B63834"/>
    <w:rsid w:val="00B66C1C"/>
    <w:rsid w:val="00B72734"/>
    <w:rsid w:val="00B80199"/>
    <w:rsid w:val="00B82D81"/>
    <w:rsid w:val="00B83204"/>
    <w:rsid w:val="00BA220B"/>
    <w:rsid w:val="00BA3A57"/>
    <w:rsid w:val="00BB4E1A"/>
    <w:rsid w:val="00BB55D7"/>
    <w:rsid w:val="00BB5C17"/>
    <w:rsid w:val="00BC015E"/>
    <w:rsid w:val="00BC7183"/>
    <w:rsid w:val="00BC76AC"/>
    <w:rsid w:val="00BD0ECB"/>
    <w:rsid w:val="00BE0BD0"/>
    <w:rsid w:val="00BE2155"/>
    <w:rsid w:val="00BE2213"/>
    <w:rsid w:val="00BE719A"/>
    <w:rsid w:val="00BE720A"/>
    <w:rsid w:val="00BF0D73"/>
    <w:rsid w:val="00BF2465"/>
    <w:rsid w:val="00BF75C9"/>
    <w:rsid w:val="00C0544A"/>
    <w:rsid w:val="00C11452"/>
    <w:rsid w:val="00C25E7F"/>
    <w:rsid w:val="00C2746F"/>
    <w:rsid w:val="00C324A0"/>
    <w:rsid w:val="00C3300F"/>
    <w:rsid w:val="00C34E77"/>
    <w:rsid w:val="00C35875"/>
    <w:rsid w:val="00C42BF8"/>
    <w:rsid w:val="00C45171"/>
    <w:rsid w:val="00C50043"/>
    <w:rsid w:val="00C50B97"/>
    <w:rsid w:val="00C6434E"/>
    <w:rsid w:val="00C70CA8"/>
    <w:rsid w:val="00C7573B"/>
    <w:rsid w:val="00C7761F"/>
    <w:rsid w:val="00C927E7"/>
    <w:rsid w:val="00C93C03"/>
    <w:rsid w:val="00CA061B"/>
    <w:rsid w:val="00CA1B10"/>
    <w:rsid w:val="00CA66DC"/>
    <w:rsid w:val="00CB2C8E"/>
    <w:rsid w:val="00CB602E"/>
    <w:rsid w:val="00CD2E90"/>
    <w:rsid w:val="00CE051D"/>
    <w:rsid w:val="00CE1335"/>
    <w:rsid w:val="00CE3D2A"/>
    <w:rsid w:val="00CE493D"/>
    <w:rsid w:val="00CF07FA"/>
    <w:rsid w:val="00CF0BB2"/>
    <w:rsid w:val="00CF3EE8"/>
    <w:rsid w:val="00D050E6"/>
    <w:rsid w:val="00D13441"/>
    <w:rsid w:val="00D150E7"/>
    <w:rsid w:val="00D21817"/>
    <w:rsid w:val="00D22A37"/>
    <w:rsid w:val="00D32F65"/>
    <w:rsid w:val="00D341C4"/>
    <w:rsid w:val="00D52DC2"/>
    <w:rsid w:val="00D53BCC"/>
    <w:rsid w:val="00D702DE"/>
    <w:rsid w:val="00D70DFB"/>
    <w:rsid w:val="00D73C22"/>
    <w:rsid w:val="00D766DF"/>
    <w:rsid w:val="00D83DCD"/>
    <w:rsid w:val="00DA186E"/>
    <w:rsid w:val="00DA4116"/>
    <w:rsid w:val="00DB251C"/>
    <w:rsid w:val="00DB38AD"/>
    <w:rsid w:val="00DB4630"/>
    <w:rsid w:val="00DC4445"/>
    <w:rsid w:val="00DC4F88"/>
    <w:rsid w:val="00DE79F9"/>
    <w:rsid w:val="00E05704"/>
    <w:rsid w:val="00E06CC3"/>
    <w:rsid w:val="00E11E44"/>
    <w:rsid w:val="00E13AFA"/>
    <w:rsid w:val="00E2168B"/>
    <w:rsid w:val="00E21F03"/>
    <w:rsid w:val="00E338EF"/>
    <w:rsid w:val="00E40FF8"/>
    <w:rsid w:val="00E544BB"/>
    <w:rsid w:val="00E578EC"/>
    <w:rsid w:val="00E60337"/>
    <w:rsid w:val="00E60423"/>
    <w:rsid w:val="00E662CB"/>
    <w:rsid w:val="00E71F25"/>
    <w:rsid w:val="00E74DC7"/>
    <w:rsid w:val="00E8075A"/>
    <w:rsid w:val="00E807FB"/>
    <w:rsid w:val="00E818A6"/>
    <w:rsid w:val="00E87AF6"/>
    <w:rsid w:val="00E94D5E"/>
    <w:rsid w:val="00EA7100"/>
    <w:rsid w:val="00EA7F9F"/>
    <w:rsid w:val="00EB0E70"/>
    <w:rsid w:val="00EB1274"/>
    <w:rsid w:val="00EB2600"/>
    <w:rsid w:val="00EC4757"/>
    <w:rsid w:val="00EC7EDB"/>
    <w:rsid w:val="00ED2BB6"/>
    <w:rsid w:val="00ED34E1"/>
    <w:rsid w:val="00ED3B8D"/>
    <w:rsid w:val="00EF2E3A"/>
    <w:rsid w:val="00F020AC"/>
    <w:rsid w:val="00F02EF9"/>
    <w:rsid w:val="00F072A7"/>
    <w:rsid w:val="00F07735"/>
    <w:rsid w:val="00F078DC"/>
    <w:rsid w:val="00F14593"/>
    <w:rsid w:val="00F171A1"/>
    <w:rsid w:val="00F245D3"/>
    <w:rsid w:val="00F254F9"/>
    <w:rsid w:val="00F32BA8"/>
    <w:rsid w:val="00F34060"/>
    <w:rsid w:val="00F349F1"/>
    <w:rsid w:val="00F4215A"/>
    <w:rsid w:val="00F4350D"/>
    <w:rsid w:val="00F50532"/>
    <w:rsid w:val="00F567F7"/>
    <w:rsid w:val="00F61B09"/>
    <w:rsid w:val="00F62036"/>
    <w:rsid w:val="00F65B52"/>
    <w:rsid w:val="00F67BCA"/>
    <w:rsid w:val="00F73BD6"/>
    <w:rsid w:val="00F81572"/>
    <w:rsid w:val="00F83989"/>
    <w:rsid w:val="00F84DD2"/>
    <w:rsid w:val="00F85099"/>
    <w:rsid w:val="00F9379C"/>
    <w:rsid w:val="00F9632C"/>
    <w:rsid w:val="00FA0262"/>
    <w:rsid w:val="00FA1E52"/>
    <w:rsid w:val="00FA31DE"/>
    <w:rsid w:val="00FA7D17"/>
    <w:rsid w:val="00FB0B57"/>
    <w:rsid w:val="00FC3EB8"/>
    <w:rsid w:val="00FC7D25"/>
    <w:rsid w:val="00FE4688"/>
    <w:rsid w:val="00FE5949"/>
    <w:rsid w:val="00FE72D6"/>
    <w:rsid w:val="00FE79D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F6B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F65CD"/>
    <w:pPr>
      <w:spacing w:line="260" w:lineRule="atLeast"/>
    </w:pPr>
    <w:rPr>
      <w:sz w:val="22"/>
      <w:lang w:eastAsia="en-US"/>
    </w:rPr>
  </w:style>
  <w:style w:type="paragraph" w:styleId="Heading1">
    <w:name w:val="heading 1"/>
    <w:basedOn w:val="Normal"/>
    <w:next w:val="Normal"/>
    <w:link w:val="Heading1Char"/>
    <w:uiPriority w:val="9"/>
    <w:qFormat/>
    <w:rsid w:val="008945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45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45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45E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8945E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8945E0"/>
    <w:p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
    <w:semiHidden/>
    <w:unhideWhenUsed/>
    <w:qFormat/>
    <w:rsid w:val="008945E0"/>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8945E0"/>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8945E0"/>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61B09"/>
  </w:style>
  <w:style w:type="paragraph" w:customStyle="1" w:styleId="OPCParaBase">
    <w:name w:val="OPCParaBase"/>
    <w:link w:val="OPCParaBaseChar"/>
    <w:semiHidden/>
    <w:qFormat/>
    <w:rsid w:val="00F61B09"/>
    <w:pPr>
      <w:spacing w:line="260" w:lineRule="atLeast"/>
    </w:pPr>
    <w:rPr>
      <w:rFonts w:eastAsia="Times New Roman"/>
      <w:sz w:val="22"/>
    </w:rPr>
  </w:style>
  <w:style w:type="paragraph" w:customStyle="1" w:styleId="LI-Title">
    <w:name w:val="LI - Title"/>
    <w:basedOn w:val="OPCParaBase"/>
    <w:next w:val="Normal"/>
    <w:qFormat/>
    <w:rsid w:val="00243EC0"/>
    <w:pPr>
      <w:pBdr>
        <w:top w:val="single" w:sz="4" w:space="1" w:color="auto"/>
      </w:pBdr>
      <w:spacing w:line="240" w:lineRule="auto"/>
    </w:pPr>
    <w:rPr>
      <w:b/>
      <w:sz w:val="40"/>
    </w:rPr>
  </w:style>
  <w:style w:type="paragraph" w:customStyle="1" w:styleId="ActHead1">
    <w:name w:val="ActHead 1"/>
    <w:aliases w:val="c"/>
    <w:basedOn w:val="OPCParaBase"/>
    <w:next w:val="Normal"/>
    <w:semiHidden/>
    <w:rsid w:val="00F61B09"/>
    <w:pPr>
      <w:keepNext/>
      <w:keepLines/>
      <w:spacing w:line="240" w:lineRule="auto"/>
      <w:ind w:left="1134" w:hanging="1134"/>
      <w:outlineLvl w:val="0"/>
    </w:pPr>
    <w:rPr>
      <w:b/>
      <w:kern w:val="28"/>
      <w:sz w:val="36"/>
    </w:rPr>
  </w:style>
  <w:style w:type="paragraph" w:customStyle="1" w:styleId="LI-Heading1">
    <w:name w:val="LI - Heading 1"/>
    <w:basedOn w:val="OPCParaBase"/>
    <w:next w:val="ActHead3"/>
    <w:qFormat/>
    <w:rsid w:val="0040053F"/>
    <w:pPr>
      <w:keepNext/>
      <w:keepLines/>
      <w:spacing w:before="280" w:line="240" w:lineRule="auto"/>
      <w:ind w:left="1134" w:hanging="1134"/>
      <w:outlineLvl w:val="0"/>
    </w:pPr>
    <w:rPr>
      <w:b/>
      <w:kern w:val="28"/>
      <w:sz w:val="32"/>
    </w:rPr>
  </w:style>
  <w:style w:type="paragraph" w:customStyle="1" w:styleId="ActHead3">
    <w:name w:val="ActHead 3"/>
    <w:aliases w:val="d"/>
    <w:basedOn w:val="OPCParaBase"/>
    <w:next w:val="ActHead4"/>
    <w:semiHidden/>
    <w:qFormat/>
    <w:rsid w:val="00F61B0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LI-Heading2"/>
    <w:semiHidden/>
    <w:qFormat/>
    <w:rsid w:val="00F61B09"/>
    <w:pPr>
      <w:keepNext/>
      <w:keepLines/>
      <w:spacing w:before="220" w:line="240" w:lineRule="auto"/>
      <w:ind w:left="1134" w:hanging="1134"/>
      <w:outlineLvl w:val="3"/>
    </w:pPr>
    <w:rPr>
      <w:b/>
      <w:kern w:val="28"/>
      <w:sz w:val="26"/>
    </w:rPr>
  </w:style>
  <w:style w:type="paragraph" w:customStyle="1" w:styleId="LI-Heading2">
    <w:name w:val="LI - Heading 2"/>
    <w:basedOn w:val="OPCParaBase"/>
    <w:next w:val="LI-BodyTextUnnumbered"/>
    <w:qFormat/>
    <w:rsid w:val="000E3C2E"/>
    <w:pPr>
      <w:keepNext/>
      <w:keepLines/>
      <w:spacing w:before="360" w:line="240" w:lineRule="auto"/>
      <w:ind w:left="567" w:hanging="567"/>
      <w:outlineLvl w:val="1"/>
    </w:pPr>
    <w:rPr>
      <w:b/>
      <w:kern w:val="28"/>
      <w:sz w:val="24"/>
    </w:rPr>
  </w:style>
  <w:style w:type="paragraph" w:customStyle="1" w:styleId="ActHead6">
    <w:name w:val="ActHead 6"/>
    <w:aliases w:val="as"/>
    <w:basedOn w:val="OPCParaBase"/>
    <w:next w:val="ActHead7"/>
    <w:semiHidden/>
    <w:qFormat/>
    <w:rsid w:val="00F61B0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semiHidden/>
    <w:qFormat/>
    <w:rsid w:val="00F61B0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semiHidden/>
    <w:qFormat/>
    <w:rsid w:val="00F61B0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semiHidden/>
    <w:qFormat/>
    <w:rsid w:val="00F61B09"/>
    <w:pPr>
      <w:keepNext/>
      <w:keepLines/>
      <w:spacing w:before="280" w:line="240" w:lineRule="auto"/>
      <w:ind w:left="1134" w:hanging="1134"/>
      <w:outlineLvl w:val="8"/>
    </w:pPr>
    <w:rPr>
      <w:b/>
      <w:i/>
      <w:kern w:val="28"/>
      <w:sz w:val="28"/>
    </w:rPr>
  </w:style>
  <w:style w:type="paragraph" w:customStyle="1" w:styleId="Actno">
    <w:name w:val="Actno"/>
    <w:basedOn w:val="LI-Title"/>
    <w:next w:val="Normal"/>
    <w:semiHidden/>
    <w:qFormat/>
    <w:rsid w:val="00F61B09"/>
  </w:style>
  <w:style w:type="paragraph" w:customStyle="1" w:styleId="Blocks">
    <w:name w:val="Blocks"/>
    <w:aliases w:val="bb"/>
    <w:basedOn w:val="OPCParaBase"/>
    <w:semiHidden/>
    <w:qFormat/>
    <w:rsid w:val="00F61B09"/>
    <w:pPr>
      <w:spacing w:line="240" w:lineRule="auto"/>
    </w:pPr>
    <w:rPr>
      <w:sz w:val="24"/>
    </w:rPr>
  </w:style>
  <w:style w:type="paragraph" w:customStyle="1" w:styleId="BoxText">
    <w:name w:val="BoxText"/>
    <w:aliases w:val="bt"/>
    <w:basedOn w:val="OPCParaBase"/>
    <w:semiHidden/>
    <w:qFormat/>
    <w:rsid w:val="00F61B0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semiHidden/>
    <w:qFormat/>
    <w:rsid w:val="00F61B09"/>
    <w:rPr>
      <w:b/>
    </w:rPr>
  </w:style>
  <w:style w:type="paragraph" w:customStyle="1" w:styleId="BoxHeadItalic">
    <w:name w:val="BoxHeadItalic"/>
    <w:aliases w:val="bhi"/>
    <w:basedOn w:val="BoxText"/>
    <w:next w:val="BoxStep"/>
    <w:semiHidden/>
    <w:qFormat/>
    <w:rsid w:val="00F61B09"/>
    <w:rPr>
      <w:i/>
    </w:rPr>
  </w:style>
  <w:style w:type="paragraph" w:customStyle="1" w:styleId="BoxList">
    <w:name w:val="BoxList"/>
    <w:aliases w:val="bl"/>
    <w:basedOn w:val="BoxText"/>
    <w:semiHidden/>
    <w:qFormat/>
    <w:rsid w:val="00F61B09"/>
    <w:pPr>
      <w:ind w:left="1559" w:hanging="425"/>
    </w:pPr>
  </w:style>
  <w:style w:type="paragraph" w:customStyle="1" w:styleId="BoxNote">
    <w:name w:val="BoxNote"/>
    <w:aliases w:val="bn"/>
    <w:basedOn w:val="BoxText"/>
    <w:semiHidden/>
    <w:qFormat/>
    <w:rsid w:val="00F61B09"/>
    <w:pPr>
      <w:tabs>
        <w:tab w:val="left" w:pos="1985"/>
      </w:tabs>
      <w:spacing w:before="122" w:line="198" w:lineRule="exact"/>
      <w:ind w:left="2948" w:hanging="1814"/>
    </w:pPr>
    <w:rPr>
      <w:sz w:val="18"/>
    </w:rPr>
  </w:style>
  <w:style w:type="paragraph" w:customStyle="1" w:styleId="BoxPara">
    <w:name w:val="BoxPara"/>
    <w:aliases w:val="bp"/>
    <w:basedOn w:val="BoxText"/>
    <w:semiHidden/>
    <w:qFormat/>
    <w:rsid w:val="00F61B09"/>
    <w:pPr>
      <w:tabs>
        <w:tab w:val="right" w:pos="2268"/>
      </w:tabs>
      <w:ind w:left="2552" w:hanging="1418"/>
    </w:pPr>
  </w:style>
  <w:style w:type="paragraph" w:customStyle="1" w:styleId="BoxStep">
    <w:name w:val="BoxStep"/>
    <w:aliases w:val="bs"/>
    <w:basedOn w:val="BoxText"/>
    <w:semiHidden/>
    <w:qFormat/>
    <w:rsid w:val="00F61B09"/>
    <w:pPr>
      <w:ind w:left="1985" w:hanging="851"/>
    </w:pPr>
  </w:style>
  <w:style w:type="character" w:customStyle="1" w:styleId="CharAmPartNo">
    <w:name w:val="CharAmPartNo"/>
    <w:basedOn w:val="OPCCharBase"/>
    <w:uiPriority w:val="1"/>
    <w:semiHidden/>
    <w:qFormat/>
    <w:rsid w:val="00F61B09"/>
  </w:style>
  <w:style w:type="character" w:customStyle="1" w:styleId="CharAmPartText">
    <w:name w:val="CharAmPartText"/>
    <w:basedOn w:val="OPCCharBase"/>
    <w:uiPriority w:val="1"/>
    <w:semiHidden/>
    <w:qFormat/>
    <w:rsid w:val="00F61B09"/>
  </w:style>
  <w:style w:type="character" w:customStyle="1" w:styleId="CharAmSchNo">
    <w:name w:val="CharAmSchNo"/>
    <w:basedOn w:val="OPCCharBase"/>
    <w:uiPriority w:val="1"/>
    <w:semiHidden/>
    <w:qFormat/>
    <w:rsid w:val="00F61B09"/>
  </w:style>
  <w:style w:type="character" w:customStyle="1" w:styleId="CharAmSchText">
    <w:name w:val="CharAmSchText"/>
    <w:basedOn w:val="OPCCharBase"/>
    <w:uiPriority w:val="1"/>
    <w:semiHidden/>
    <w:qFormat/>
    <w:rsid w:val="00F61B09"/>
  </w:style>
  <w:style w:type="character" w:customStyle="1" w:styleId="CharBoldItalic">
    <w:name w:val="CharBoldItalic"/>
    <w:uiPriority w:val="1"/>
    <w:semiHidden/>
    <w:qFormat/>
    <w:rsid w:val="00F61B09"/>
    <w:rPr>
      <w:b/>
      <w:i/>
    </w:rPr>
  </w:style>
  <w:style w:type="character" w:customStyle="1" w:styleId="CharChapNo">
    <w:name w:val="CharChapNo"/>
    <w:basedOn w:val="OPCCharBase"/>
    <w:semiHidden/>
    <w:qFormat/>
    <w:rsid w:val="00F61B09"/>
  </w:style>
  <w:style w:type="character" w:customStyle="1" w:styleId="CharChapText">
    <w:name w:val="CharChapText"/>
    <w:basedOn w:val="OPCCharBase"/>
    <w:semiHidden/>
    <w:qFormat/>
    <w:rsid w:val="00F61B09"/>
  </w:style>
  <w:style w:type="character" w:customStyle="1" w:styleId="CharDivNo">
    <w:name w:val="CharDivNo"/>
    <w:basedOn w:val="OPCCharBase"/>
    <w:semiHidden/>
    <w:qFormat/>
    <w:rsid w:val="00F61B09"/>
  </w:style>
  <w:style w:type="character" w:customStyle="1" w:styleId="CharDivText">
    <w:name w:val="CharDivText"/>
    <w:basedOn w:val="OPCCharBase"/>
    <w:semiHidden/>
    <w:qFormat/>
    <w:rsid w:val="00F61B09"/>
  </w:style>
  <w:style w:type="character" w:customStyle="1" w:styleId="CharItalic">
    <w:name w:val="CharItalic"/>
    <w:uiPriority w:val="1"/>
    <w:semiHidden/>
    <w:qFormat/>
    <w:rsid w:val="00F61B09"/>
    <w:rPr>
      <w:i/>
    </w:rPr>
  </w:style>
  <w:style w:type="character" w:customStyle="1" w:styleId="CharPartNo">
    <w:name w:val="CharPartNo"/>
    <w:basedOn w:val="OPCCharBase"/>
    <w:semiHidden/>
    <w:qFormat/>
    <w:rsid w:val="00F61B09"/>
  </w:style>
  <w:style w:type="character" w:customStyle="1" w:styleId="CharPartText">
    <w:name w:val="CharPartText"/>
    <w:basedOn w:val="OPCCharBase"/>
    <w:semiHidden/>
    <w:qFormat/>
    <w:rsid w:val="00F61B09"/>
  </w:style>
  <w:style w:type="character" w:customStyle="1" w:styleId="CharSectno">
    <w:name w:val="CharSectno"/>
    <w:basedOn w:val="OPCCharBase"/>
    <w:semiHidden/>
    <w:qFormat/>
    <w:rsid w:val="00F61B09"/>
  </w:style>
  <w:style w:type="character" w:customStyle="1" w:styleId="CharSubdNo">
    <w:name w:val="CharSubdNo"/>
    <w:basedOn w:val="OPCCharBase"/>
    <w:uiPriority w:val="1"/>
    <w:semiHidden/>
    <w:qFormat/>
    <w:rsid w:val="00F61B09"/>
  </w:style>
  <w:style w:type="character" w:customStyle="1" w:styleId="CharSubdText">
    <w:name w:val="CharSubdText"/>
    <w:basedOn w:val="OPCCharBase"/>
    <w:uiPriority w:val="1"/>
    <w:semiHidden/>
    <w:qFormat/>
    <w:rsid w:val="00F61B09"/>
  </w:style>
  <w:style w:type="paragraph" w:customStyle="1" w:styleId="CTA--">
    <w:name w:val="CTA --"/>
    <w:basedOn w:val="OPCParaBase"/>
    <w:next w:val="Normal"/>
    <w:semiHidden/>
    <w:rsid w:val="00F61B09"/>
    <w:pPr>
      <w:spacing w:before="60" w:line="240" w:lineRule="atLeast"/>
      <w:ind w:left="142" w:hanging="142"/>
    </w:pPr>
    <w:rPr>
      <w:sz w:val="20"/>
    </w:rPr>
  </w:style>
  <w:style w:type="paragraph" w:customStyle="1" w:styleId="CTA-">
    <w:name w:val="CTA -"/>
    <w:basedOn w:val="OPCParaBase"/>
    <w:semiHidden/>
    <w:rsid w:val="00F61B09"/>
    <w:pPr>
      <w:spacing w:before="60" w:line="240" w:lineRule="atLeast"/>
      <w:ind w:left="85" w:hanging="85"/>
    </w:pPr>
    <w:rPr>
      <w:sz w:val="20"/>
    </w:rPr>
  </w:style>
  <w:style w:type="paragraph" w:customStyle="1" w:styleId="CTA---">
    <w:name w:val="CTA ---"/>
    <w:basedOn w:val="OPCParaBase"/>
    <w:next w:val="Normal"/>
    <w:semiHidden/>
    <w:rsid w:val="00F61B09"/>
    <w:pPr>
      <w:spacing w:before="60" w:line="240" w:lineRule="atLeast"/>
      <w:ind w:left="198" w:hanging="198"/>
    </w:pPr>
    <w:rPr>
      <w:sz w:val="20"/>
    </w:rPr>
  </w:style>
  <w:style w:type="paragraph" w:customStyle="1" w:styleId="CTA----">
    <w:name w:val="CTA ----"/>
    <w:basedOn w:val="OPCParaBase"/>
    <w:next w:val="Normal"/>
    <w:semiHidden/>
    <w:rsid w:val="00F61B09"/>
    <w:pPr>
      <w:spacing w:before="60" w:line="240" w:lineRule="atLeast"/>
      <w:ind w:left="255" w:hanging="255"/>
    </w:pPr>
    <w:rPr>
      <w:sz w:val="20"/>
    </w:rPr>
  </w:style>
  <w:style w:type="paragraph" w:customStyle="1" w:styleId="CTA1a">
    <w:name w:val="CTA 1(a)"/>
    <w:basedOn w:val="OPCParaBase"/>
    <w:semiHidden/>
    <w:rsid w:val="00F61B09"/>
    <w:pPr>
      <w:tabs>
        <w:tab w:val="right" w:pos="414"/>
      </w:tabs>
      <w:spacing w:before="40" w:line="240" w:lineRule="atLeast"/>
      <w:ind w:left="675" w:hanging="675"/>
    </w:pPr>
    <w:rPr>
      <w:sz w:val="20"/>
    </w:rPr>
  </w:style>
  <w:style w:type="paragraph" w:customStyle="1" w:styleId="CTA1ai">
    <w:name w:val="CTA 1(a)(i)"/>
    <w:basedOn w:val="OPCParaBase"/>
    <w:semiHidden/>
    <w:rsid w:val="00F61B09"/>
    <w:pPr>
      <w:tabs>
        <w:tab w:val="right" w:pos="1004"/>
      </w:tabs>
      <w:spacing w:before="40" w:line="240" w:lineRule="atLeast"/>
      <w:ind w:left="1253" w:hanging="1253"/>
    </w:pPr>
    <w:rPr>
      <w:sz w:val="20"/>
    </w:rPr>
  </w:style>
  <w:style w:type="paragraph" w:customStyle="1" w:styleId="CTA2a">
    <w:name w:val="CTA 2(a)"/>
    <w:basedOn w:val="OPCParaBase"/>
    <w:semiHidden/>
    <w:rsid w:val="00F61B09"/>
    <w:pPr>
      <w:tabs>
        <w:tab w:val="right" w:pos="482"/>
      </w:tabs>
      <w:spacing w:before="40" w:line="240" w:lineRule="atLeast"/>
      <w:ind w:left="748" w:hanging="748"/>
    </w:pPr>
    <w:rPr>
      <w:sz w:val="20"/>
    </w:rPr>
  </w:style>
  <w:style w:type="paragraph" w:customStyle="1" w:styleId="CTA2ai">
    <w:name w:val="CTA 2(a)(i)"/>
    <w:basedOn w:val="OPCParaBase"/>
    <w:semiHidden/>
    <w:rsid w:val="00F61B09"/>
    <w:pPr>
      <w:tabs>
        <w:tab w:val="right" w:pos="1089"/>
      </w:tabs>
      <w:spacing w:before="40" w:line="240" w:lineRule="atLeast"/>
      <w:ind w:left="1327" w:hanging="1327"/>
    </w:pPr>
    <w:rPr>
      <w:sz w:val="20"/>
    </w:rPr>
  </w:style>
  <w:style w:type="paragraph" w:customStyle="1" w:styleId="CTA3a">
    <w:name w:val="CTA 3(a)"/>
    <w:basedOn w:val="OPCParaBase"/>
    <w:semiHidden/>
    <w:rsid w:val="00F61B09"/>
    <w:pPr>
      <w:tabs>
        <w:tab w:val="right" w:pos="556"/>
      </w:tabs>
      <w:spacing w:before="40" w:line="240" w:lineRule="atLeast"/>
      <w:ind w:left="805" w:hanging="805"/>
    </w:pPr>
    <w:rPr>
      <w:sz w:val="20"/>
    </w:rPr>
  </w:style>
  <w:style w:type="paragraph" w:customStyle="1" w:styleId="CTA3ai">
    <w:name w:val="CTA 3(a)(i)"/>
    <w:basedOn w:val="OPCParaBase"/>
    <w:semiHidden/>
    <w:rsid w:val="00F61B09"/>
    <w:pPr>
      <w:tabs>
        <w:tab w:val="right" w:pos="1140"/>
      </w:tabs>
      <w:spacing w:before="40" w:line="240" w:lineRule="atLeast"/>
      <w:ind w:left="1361" w:hanging="1361"/>
    </w:pPr>
    <w:rPr>
      <w:sz w:val="20"/>
    </w:rPr>
  </w:style>
  <w:style w:type="paragraph" w:customStyle="1" w:styleId="CTA4a">
    <w:name w:val="CTA 4(a)"/>
    <w:basedOn w:val="OPCParaBase"/>
    <w:semiHidden/>
    <w:rsid w:val="00F61B09"/>
    <w:pPr>
      <w:tabs>
        <w:tab w:val="right" w:pos="624"/>
      </w:tabs>
      <w:spacing w:before="40" w:line="240" w:lineRule="atLeast"/>
      <w:ind w:left="873" w:hanging="873"/>
    </w:pPr>
    <w:rPr>
      <w:sz w:val="20"/>
    </w:rPr>
  </w:style>
  <w:style w:type="paragraph" w:customStyle="1" w:styleId="CTA4ai">
    <w:name w:val="CTA 4(a)(i)"/>
    <w:basedOn w:val="OPCParaBase"/>
    <w:semiHidden/>
    <w:rsid w:val="00F61B09"/>
    <w:pPr>
      <w:tabs>
        <w:tab w:val="right" w:pos="1213"/>
      </w:tabs>
      <w:spacing w:before="40" w:line="240" w:lineRule="atLeast"/>
      <w:ind w:left="1452" w:hanging="1452"/>
    </w:pPr>
    <w:rPr>
      <w:sz w:val="20"/>
    </w:rPr>
  </w:style>
  <w:style w:type="paragraph" w:customStyle="1" w:styleId="CTACAPS">
    <w:name w:val="CTA CAPS"/>
    <w:basedOn w:val="OPCParaBase"/>
    <w:semiHidden/>
    <w:rsid w:val="00F61B09"/>
    <w:pPr>
      <w:spacing w:before="60" w:line="240" w:lineRule="atLeast"/>
    </w:pPr>
    <w:rPr>
      <w:sz w:val="20"/>
    </w:rPr>
  </w:style>
  <w:style w:type="paragraph" w:customStyle="1" w:styleId="CTAright">
    <w:name w:val="CTA right"/>
    <w:basedOn w:val="OPCParaBase"/>
    <w:semiHidden/>
    <w:rsid w:val="00F61B09"/>
    <w:pPr>
      <w:spacing w:before="60" w:line="240" w:lineRule="auto"/>
      <w:jc w:val="right"/>
    </w:pPr>
    <w:rPr>
      <w:sz w:val="20"/>
    </w:rPr>
  </w:style>
  <w:style w:type="paragraph" w:customStyle="1" w:styleId="LI-BodyTextUnnumbered">
    <w:name w:val="LI - Body Text Unnumbered"/>
    <w:basedOn w:val="OPCParaBase"/>
    <w:link w:val="LI-BodyTextUnnumberedChar"/>
    <w:rsid w:val="006E5320"/>
    <w:pPr>
      <w:spacing w:before="240" w:line="240" w:lineRule="auto"/>
      <w:ind w:left="1134"/>
    </w:pPr>
    <w:rPr>
      <w:sz w:val="24"/>
    </w:rPr>
  </w:style>
  <w:style w:type="paragraph" w:customStyle="1" w:styleId="Definition">
    <w:name w:val="Definition"/>
    <w:aliases w:val="dd"/>
    <w:basedOn w:val="OPCParaBase"/>
    <w:semiHidden/>
    <w:rsid w:val="00F61B09"/>
    <w:pPr>
      <w:spacing w:before="180" w:line="240" w:lineRule="auto"/>
      <w:ind w:left="1134"/>
    </w:pPr>
  </w:style>
  <w:style w:type="paragraph" w:customStyle="1" w:styleId="EndNotespara">
    <w:name w:val="EndNotes(para)"/>
    <w:aliases w:val="eta"/>
    <w:basedOn w:val="OPCParaBase"/>
    <w:next w:val="EndNotessubpara"/>
    <w:semiHidden/>
    <w:rsid w:val="00F61B09"/>
    <w:pPr>
      <w:tabs>
        <w:tab w:val="right" w:pos="1985"/>
      </w:tabs>
      <w:spacing w:before="40" w:line="240" w:lineRule="auto"/>
      <w:ind w:left="828" w:hanging="828"/>
    </w:pPr>
    <w:rPr>
      <w:sz w:val="20"/>
    </w:rPr>
  </w:style>
  <w:style w:type="paragraph" w:customStyle="1" w:styleId="EndNotessubitem">
    <w:name w:val="EndNotes(subitem)"/>
    <w:aliases w:val="ens"/>
    <w:basedOn w:val="OPCParaBase"/>
    <w:semiHidden/>
    <w:rsid w:val="00F61B0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semiHidden/>
    <w:rsid w:val="00F61B0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semiHidden/>
    <w:rsid w:val="00F61B09"/>
    <w:pPr>
      <w:tabs>
        <w:tab w:val="right" w:pos="1412"/>
      </w:tabs>
      <w:spacing w:before="60" w:line="240" w:lineRule="auto"/>
      <w:ind w:left="1525" w:hanging="1525"/>
    </w:pPr>
    <w:rPr>
      <w:sz w:val="20"/>
    </w:rPr>
  </w:style>
  <w:style w:type="paragraph" w:customStyle="1" w:styleId="Formula">
    <w:name w:val="Formula"/>
    <w:basedOn w:val="OPCParaBase"/>
    <w:rsid w:val="00F61B09"/>
    <w:pPr>
      <w:spacing w:line="240" w:lineRule="auto"/>
      <w:ind w:left="1134"/>
    </w:pPr>
    <w:rPr>
      <w:sz w:val="20"/>
    </w:rPr>
  </w:style>
  <w:style w:type="paragraph" w:styleId="Header">
    <w:name w:val="header"/>
    <w:basedOn w:val="OPCParaBase"/>
    <w:link w:val="HeaderChar"/>
    <w:unhideWhenUsed/>
    <w:rsid w:val="00F61B09"/>
    <w:pPr>
      <w:keepNext/>
      <w:keepLines/>
      <w:tabs>
        <w:tab w:val="center" w:pos="4150"/>
        <w:tab w:val="right" w:pos="8307"/>
      </w:tabs>
      <w:spacing w:line="160" w:lineRule="exact"/>
    </w:pPr>
    <w:rPr>
      <w:sz w:val="16"/>
    </w:rPr>
  </w:style>
  <w:style w:type="character" w:customStyle="1" w:styleId="HeaderChar">
    <w:name w:val="Header Char"/>
    <w:link w:val="Header"/>
    <w:rsid w:val="00F61B09"/>
    <w:rPr>
      <w:rFonts w:eastAsia="Times New Roman" w:cs="Times New Roman"/>
      <w:sz w:val="16"/>
      <w:lang w:eastAsia="en-AU"/>
    </w:rPr>
  </w:style>
  <w:style w:type="paragraph" w:customStyle="1" w:styleId="House">
    <w:name w:val="House"/>
    <w:basedOn w:val="OPCParaBase"/>
    <w:semiHidden/>
    <w:rsid w:val="00F61B09"/>
    <w:pPr>
      <w:spacing w:line="240" w:lineRule="auto"/>
    </w:pPr>
    <w:rPr>
      <w:sz w:val="28"/>
    </w:rPr>
  </w:style>
  <w:style w:type="paragraph" w:customStyle="1" w:styleId="Item">
    <w:name w:val="Item"/>
    <w:aliases w:val="i"/>
    <w:basedOn w:val="OPCParaBase"/>
    <w:next w:val="ItemHead"/>
    <w:semiHidden/>
    <w:rsid w:val="00F61B09"/>
    <w:pPr>
      <w:keepLines/>
      <w:spacing w:before="80" w:line="240" w:lineRule="auto"/>
      <w:ind w:left="709"/>
    </w:pPr>
  </w:style>
  <w:style w:type="paragraph" w:customStyle="1" w:styleId="ItemHead">
    <w:name w:val="ItemHead"/>
    <w:aliases w:val="ih"/>
    <w:basedOn w:val="OPCParaBase"/>
    <w:next w:val="Item"/>
    <w:semiHidden/>
    <w:rsid w:val="00F61B09"/>
    <w:pPr>
      <w:keepNext/>
      <w:keepLines/>
      <w:spacing w:before="220" w:line="240" w:lineRule="auto"/>
      <w:ind w:left="709" w:hanging="709"/>
    </w:pPr>
    <w:rPr>
      <w:rFonts w:ascii="Arial" w:hAnsi="Arial"/>
      <w:b/>
      <w:kern w:val="28"/>
      <w:sz w:val="24"/>
    </w:rPr>
  </w:style>
  <w:style w:type="paragraph" w:customStyle="1" w:styleId="LongT">
    <w:name w:val="LongT"/>
    <w:basedOn w:val="OPCParaBase"/>
    <w:semiHidden/>
    <w:rsid w:val="00F61B09"/>
    <w:pPr>
      <w:spacing w:line="240" w:lineRule="auto"/>
    </w:pPr>
    <w:rPr>
      <w:b/>
      <w:sz w:val="32"/>
    </w:rPr>
  </w:style>
  <w:style w:type="paragraph" w:customStyle="1" w:styleId="notedraft">
    <w:name w:val="note(draft)"/>
    <w:aliases w:val="nd"/>
    <w:basedOn w:val="OPCParaBase"/>
    <w:semiHidden/>
    <w:rsid w:val="00F61B09"/>
    <w:pPr>
      <w:spacing w:before="240" w:line="240" w:lineRule="auto"/>
      <w:ind w:left="284" w:hanging="284"/>
    </w:pPr>
    <w:rPr>
      <w:i/>
      <w:sz w:val="24"/>
    </w:rPr>
  </w:style>
  <w:style w:type="paragraph" w:customStyle="1" w:styleId="notemargin">
    <w:name w:val="note(margin)"/>
    <w:aliases w:val="nm"/>
    <w:basedOn w:val="OPCParaBase"/>
    <w:semiHidden/>
    <w:rsid w:val="00F61B09"/>
    <w:pPr>
      <w:tabs>
        <w:tab w:val="left" w:pos="709"/>
      </w:tabs>
      <w:spacing w:before="122" w:line="198" w:lineRule="exact"/>
      <w:ind w:left="709" w:hanging="709"/>
    </w:pPr>
    <w:rPr>
      <w:sz w:val="18"/>
    </w:rPr>
  </w:style>
  <w:style w:type="paragraph" w:customStyle="1" w:styleId="noteToPara">
    <w:name w:val="noteToPara"/>
    <w:aliases w:val="ntp"/>
    <w:basedOn w:val="OPCParaBase"/>
    <w:semiHidden/>
    <w:rsid w:val="00F61B09"/>
    <w:pPr>
      <w:spacing w:before="122" w:line="198" w:lineRule="exact"/>
      <w:ind w:left="2353" w:hanging="709"/>
    </w:pPr>
    <w:rPr>
      <w:sz w:val="18"/>
    </w:rPr>
  </w:style>
  <w:style w:type="paragraph" w:customStyle="1" w:styleId="noteParlAmend">
    <w:name w:val="note(ParlAmend)"/>
    <w:aliases w:val="npp"/>
    <w:basedOn w:val="OPCParaBase"/>
    <w:next w:val="ParlAmend"/>
    <w:semiHidden/>
    <w:rsid w:val="00F61B09"/>
    <w:pPr>
      <w:spacing w:line="240" w:lineRule="auto"/>
      <w:jc w:val="right"/>
    </w:pPr>
    <w:rPr>
      <w:rFonts w:ascii="Arial" w:hAnsi="Arial"/>
      <w:b/>
      <w:i/>
    </w:rPr>
  </w:style>
  <w:style w:type="paragraph" w:customStyle="1" w:styleId="Page1">
    <w:name w:val="Page1"/>
    <w:basedOn w:val="OPCParaBase"/>
    <w:semiHidden/>
    <w:rsid w:val="00F61B09"/>
    <w:pPr>
      <w:spacing w:before="5600" w:line="240" w:lineRule="auto"/>
    </w:pPr>
    <w:rPr>
      <w:b/>
      <w:sz w:val="32"/>
    </w:rPr>
  </w:style>
  <w:style w:type="paragraph" w:customStyle="1" w:styleId="PageBreak">
    <w:name w:val="PageBreak"/>
    <w:aliases w:val="pb"/>
    <w:basedOn w:val="OPCParaBase"/>
    <w:semiHidden/>
    <w:rsid w:val="00F61B09"/>
    <w:pPr>
      <w:spacing w:line="240" w:lineRule="auto"/>
    </w:pPr>
    <w:rPr>
      <w:sz w:val="20"/>
    </w:rPr>
  </w:style>
  <w:style w:type="paragraph" w:customStyle="1" w:styleId="paragraphsub">
    <w:name w:val="paragraph(sub)"/>
    <w:aliases w:val="aa"/>
    <w:basedOn w:val="OPCParaBase"/>
    <w:semiHidden/>
    <w:rsid w:val="00F61B09"/>
    <w:pPr>
      <w:tabs>
        <w:tab w:val="right" w:pos="1985"/>
      </w:tabs>
      <w:spacing w:before="40" w:line="240" w:lineRule="auto"/>
      <w:ind w:left="2098" w:hanging="2098"/>
    </w:pPr>
  </w:style>
  <w:style w:type="paragraph" w:customStyle="1" w:styleId="paragraphsub-sub">
    <w:name w:val="paragraph(sub-sub)"/>
    <w:aliases w:val="aaa"/>
    <w:basedOn w:val="OPCParaBase"/>
    <w:semiHidden/>
    <w:rsid w:val="00F61B09"/>
    <w:pPr>
      <w:tabs>
        <w:tab w:val="right" w:pos="2722"/>
      </w:tabs>
      <w:spacing w:before="40" w:line="240" w:lineRule="auto"/>
      <w:ind w:left="2835" w:hanging="2835"/>
    </w:pPr>
  </w:style>
  <w:style w:type="paragraph" w:customStyle="1" w:styleId="LI-BodyTextParaa">
    <w:name w:val="LI - Body Text Para (a)"/>
    <w:basedOn w:val="OPCParaBase"/>
    <w:link w:val="LI-BodyTextParaaChar"/>
    <w:rsid w:val="00FC3EB8"/>
    <w:pPr>
      <w:spacing w:before="240" w:line="240" w:lineRule="auto"/>
      <w:ind w:left="1701" w:hanging="567"/>
    </w:pPr>
    <w:rPr>
      <w:sz w:val="24"/>
      <w:szCs w:val="24"/>
    </w:rPr>
  </w:style>
  <w:style w:type="paragraph" w:customStyle="1" w:styleId="ParlAmend">
    <w:name w:val="ParlAmend"/>
    <w:aliases w:val="pp"/>
    <w:basedOn w:val="OPCParaBase"/>
    <w:semiHidden/>
    <w:rsid w:val="00F61B09"/>
    <w:pPr>
      <w:spacing w:before="240" w:line="240" w:lineRule="atLeast"/>
      <w:ind w:hanging="567"/>
    </w:pPr>
    <w:rPr>
      <w:sz w:val="24"/>
    </w:rPr>
  </w:style>
  <w:style w:type="paragraph" w:customStyle="1" w:styleId="Penalty">
    <w:name w:val="Penalty"/>
    <w:basedOn w:val="OPCParaBase"/>
    <w:semiHidden/>
    <w:rsid w:val="00F61B09"/>
    <w:pPr>
      <w:tabs>
        <w:tab w:val="left" w:pos="2977"/>
      </w:tabs>
      <w:spacing w:before="180" w:line="240" w:lineRule="auto"/>
      <w:ind w:left="1985" w:hanging="851"/>
    </w:pPr>
  </w:style>
  <w:style w:type="paragraph" w:customStyle="1" w:styleId="Portfolio">
    <w:name w:val="Portfolio"/>
    <w:basedOn w:val="OPCParaBase"/>
    <w:semiHidden/>
    <w:rsid w:val="00F61B09"/>
    <w:pPr>
      <w:spacing w:line="240" w:lineRule="auto"/>
    </w:pPr>
    <w:rPr>
      <w:i/>
      <w:sz w:val="20"/>
    </w:rPr>
  </w:style>
  <w:style w:type="paragraph" w:customStyle="1" w:styleId="Preamble">
    <w:name w:val="Preamble"/>
    <w:basedOn w:val="OPCParaBase"/>
    <w:next w:val="Normal"/>
    <w:semiHidden/>
    <w:rsid w:val="00F61B0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semiHidden/>
    <w:rsid w:val="00F61B09"/>
    <w:pPr>
      <w:spacing w:line="240" w:lineRule="auto"/>
    </w:pPr>
    <w:rPr>
      <w:i/>
      <w:sz w:val="20"/>
    </w:rPr>
  </w:style>
  <w:style w:type="paragraph" w:customStyle="1" w:styleId="Session">
    <w:name w:val="Session"/>
    <w:basedOn w:val="OPCParaBase"/>
    <w:semiHidden/>
    <w:rsid w:val="00F61B09"/>
    <w:pPr>
      <w:spacing w:line="240" w:lineRule="auto"/>
    </w:pPr>
    <w:rPr>
      <w:sz w:val="28"/>
    </w:rPr>
  </w:style>
  <w:style w:type="paragraph" w:customStyle="1" w:styleId="Sponsor">
    <w:name w:val="Sponsor"/>
    <w:basedOn w:val="OPCParaBase"/>
    <w:semiHidden/>
    <w:rsid w:val="00F61B09"/>
    <w:pPr>
      <w:spacing w:line="240" w:lineRule="auto"/>
    </w:pPr>
    <w:rPr>
      <w:i/>
    </w:rPr>
  </w:style>
  <w:style w:type="paragraph" w:customStyle="1" w:styleId="Subitem">
    <w:name w:val="Subitem"/>
    <w:aliases w:val="iss"/>
    <w:basedOn w:val="OPCParaBase"/>
    <w:semiHidden/>
    <w:rsid w:val="00F61B09"/>
    <w:pPr>
      <w:spacing w:before="180" w:line="240" w:lineRule="auto"/>
      <w:ind w:left="709" w:hanging="709"/>
    </w:pPr>
  </w:style>
  <w:style w:type="paragraph" w:customStyle="1" w:styleId="SubitemHead">
    <w:name w:val="SubitemHead"/>
    <w:aliases w:val="issh"/>
    <w:basedOn w:val="OPCParaBase"/>
    <w:semiHidden/>
    <w:rsid w:val="00F61B0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LI-BodyTextUnnumbered"/>
    <w:semiHidden/>
    <w:rsid w:val="00F61B09"/>
    <w:pPr>
      <w:spacing w:before="40" w:line="240" w:lineRule="auto"/>
      <w:ind w:left="1134"/>
    </w:pPr>
  </w:style>
  <w:style w:type="paragraph" w:customStyle="1" w:styleId="LI-Heading3">
    <w:name w:val="LI - Heading 3"/>
    <w:basedOn w:val="OPCParaBase"/>
    <w:next w:val="LI-BodyTextUnnumbered"/>
    <w:rsid w:val="00005446"/>
    <w:pPr>
      <w:keepNext/>
      <w:keepLines/>
      <w:spacing w:before="240" w:line="240" w:lineRule="auto"/>
      <w:ind w:left="567"/>
      <w:outlineLvl w:val="2"/>
    </w:pPr>
    <w:rPr>
      <w:i/>
    </w:rPr>
  </w:style>
  <w:style w:type="paragraph" w:customStyle="1" w:styleId="Tablea">
    <w:name w:val="Table(a)"/>
    <w:aliases w:val="ta"/>
    <w:basedOn w:val="OPCParaBase"/>
    <w:semiHidden/>
    <w:rsid w:val="00F61B09"/>
    <w:pPr>
      <w:spacing w:before="60" w:line="240" w:lineRule="auto"/>
      <w:ind w:left="284" w:hanging="284"/>
    </w:pPr>
    <w:rPr>
      <w:sz w:val="20"/>
    </w:rPr>
  </w:style>
  <w:style w:type="paragraph" w:customStyle="1" w:styleId="TableAA">
    <w:name w:val="Table(AA)"/>
    <w:aliases w:val="taaa"/>
    <w:basedOn w:val="OPCParaBase"/>
    <w:semiHidden/>
    <w:rsid w:val="00F61B09"/>
    <w:pPr>
      <w:tabs>
        <w:tab w:val="left" w:pos="-6543"/>
        <w:tab w:val="left" w:pos="-6260"/>
      </w:tabs>
      <w:spacing w:line="240" w:lineRule="exact"/>
      <w:ind w:left="1055" w:hanging="284"/>
    </w:pPr>
    <w:rPr>
      <w:sz w:val="20"/>
    </w:rPr>
  </w:style>
  <w:style w:type="paragraph" w:customStyle="1" w:styleId="Tablei">
    <w:name w:val="Table(i)"/>
    <w:aliases w:val="taa"/>
    <w:basedOn w:val="OPCParaBase"/>
    <w:semiHidden/>
    <w:rsid w:val="00F61B0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semiHidden/>
    <w:rsid w:val="00F61B09"/>
    <w:pPr>
      <w:spacing w:before="60" w:line="240" w:lineRule="atLeast"/>
    </w:pPr>
    <w:rPr>
      <w:sz w:val="20"/>
    </w:rPr>
  </w:style>
  <w:style w:type="paragraph" w:customStyle="1" w:styleId="TLPBoxTextnote">
    <w:name w:val="TLPBoxText(note"/>
    <w:aliases w:val="right)"/>
    <w:basedOn w:val="OPCParaBase"/>
    <w:semiHidden/>
    <w:rsid w:val="00F61B0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semiHidden/>
    <w:rsid w:val="00F61B0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semiHidden/>
    <w:rsid w:val="00F61B09"/>
    <w:pPr>
      <w:spacing w:before="122" w:line="198" w:lineRule="exact"/>
      <w:ind w:left="1985" w:hanging="851"/>
      <w:jc w:val="right"/>
    </w:pPr>
    <w:rPr>
      <w:sz w:val="18"/>
    </w:rPr>
  </w:style>
  <w:style w:type="paragraph" w:customStyle="1" w:styleId="TLPTableBullet">
    <w:name w:val="TLPTableBullet"/>
    <w:aliases w:val="ttb"/>
    <w:basedOn w:val="OPCParaBase"/>
    <w:semiHidden/>
    <w:rsid w:val="00F61B09"/>
    <w:pPr>
      <w:spacing w:line="240" w:lineRule="exact"/>
      <w:ind w:left="284" w:hanging="284"/>
    </w:pPr>
    <w:rPr>
      <w:sz w:val="20"/>
    </w:rPr>
  </w:style>
  <w:style w:type="paragraph" w:styleId="TOC1">
    <w:name w:val="toc 1"/>
    <w:basedOn w:val="OPCParaBase"/>
    <w:next w:val="Normal"/>
    <w:uiPriority w:val="39"/>
    <w:unhideWhenUsed/>
    <w:rsid w:val="00F07735"/>
    <w:pPr>
      <w:keepNext/>
      <w:keepLines/>
      <w:tabs>
        <w:tab w:val="right" w:pos="8278"/>
      </w:tabs>
      <w:spacing w:before="120" w:line="240" w:lineRule="auto"/>
      <w:ind w:right="562"/>
    </w:pPr>
    <w:rPr>
      <w:b/>
      <w:kern w:val="28"/>
      <w:sz w:val="24"/>
    </w:rPr>
  </w:style>
  <w:style w:type="paragraph" w:styleId="TOC2">
    <w:name w:val="toc 2"/>
    <w:basedOn w:val="OPCParaBase"/>
    <w:next w:val="Normal"/>
    <w:uiPriority w:val="39"/>
    <w:unhideWhenUsed/>
    <w:rsid w:val="006E5320"/>
    <w:pPr>
      <w:keepNext/>
      <w:keepLines/>
      <w:tabs>
        <w:tab w:val="right" w:leader="dot" w:pos="8278"/>
      </w:tabs>
      <w:spacing w:before="120" w:line="240" w:lineRule="auto"/>
      <w:ind w:left="851" w:hanging="284"/>
    </w:pPr>
    <w:rPr>
      <w:kern w:val="28"/>
      <w:sz w:val="24"/>
    </w:rPr>
  </w:style>
  <w:style w:type="paragraph" w:styleId="TOC3">
    <w:name w:val="toc 3"/>
    <w:basedOn w:val="OPCParaBase"/>
    <w:next w:val="Normal"/>
    <w:uiPriority w:val="39"/>
    <w:unhideWhenUsed/>
    <w:rsid w:val="00F61B0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F61B0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61B0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F61B0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61B0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61B0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F61B0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semiHidden/>
    <w:rsid w:val="00F61B09"/>
    <w:pPr>
      <w:keepLines/>
      <w:spacing w:before="240" w:after="120" w:line="240" w:lineRule="auto"/>
      <w:ind w:left="794"/>
    </w:pPr>
    <w:rPr>
      <w:b/>
      <w:kern w:val="28"/>
      <w:sz w:val="20"/>
    </w:rPr>
  </w:style>
  <w:style w:type="paragraph" w:customStyle="1" w:styleId="TofSectsHeading">
    <w:name w:val="TofSects(Heading)"/>
    <w:basedOn w:val="OPCParaBase"/>
    <w:semiHidden/>
    <w:rsid w:val="00F61B09"/>
    <w:pPr>
      <w:spacing w:before="240" w:after="120" w:line="240" w:lineRule="auto"/>
    </w:pPr>
    <w:rPr>
      <w:b/>
      <w:sz w:val="24"/>
    </w:rPr>
  </w:style>
  <w:style w:type="paragraph" w:customStyle="1" w:styleId="TofSectsSection">
    <w:name w:val="TofSects(Section)"/>
    <w:basedOn w:val="OPCParaBase"/>
    <w:semiHidden/>
    <w:rsid w:val="00F61B09"/>
    <w:pPr>
      <w:keepLines/>
      <w:spacing w:before="40" w:line="240" w:lineRule="auto"/>
      <w:ind w:left="1588" w:hanging="794"/>
    </w:pPr>
    <w:rPr>
      <w:kern w:val="28"/>
      <w:sz w:val="18"/>
    </w:rPr>
  </w:style>
  <w:style w:type="paragraph" w:customStyle="1" w:styleId="TofSectsSubdiv">
    <w:name w:val="TofSects(Subdiv)"/>
    <w:basedOn w:val="OPCParaBase"/>
    <w:semiHidden/>
    <w:rsid w:val="00F61B09"/>
    <w:pPr>
      <w:keepLines/>
      <w:spacing w:before="80" w:line="240" w:lineRule="auto"/>
      <w:ind w:left="1588" w:hanging="794"/>
    </w:pPr>
    <w:rPr>
      <w:kern w:val="28"/>
    </w:rPr>
  </w:style>
  <w:style w:type="paragraph" w:customStyle="1" w:styleId="WRStyle">
    <w:name w:val="WR Style"/>
    <w:aliases w:val="WR"/>
    <w:basedOn w:val="OPCParaBase"/>
    <w:semiHidden/>
    <w:rsid w:val="00F61B09"/>
    <w:pPr>
      <w:spacing w:before="240" w:line="240" w:lineRule="auto"/>
      <w:ind w:left="284" w:hanging="284"/>
    </w:pPr>
    <w:rPr>
      <w:b/>
      <w:i/>
      <w:kern w:val="28"/>
      <w:sz w:val="24"/>
    </w:rPr>
  </w:style>
  <w:style w:type="paragraph" w:customStyle="1" w:styleId="notepara">
    <w:name w:val="note(para)"/>
    <w:aliases w:val="na"/>
    <w:basedOn w:val="OPCParaBase"/>
    <w:semiHidden/>
    <w:rsid w:val="00F61B09"/>
    <w:pPr>
      <w:spacing w:before="40" w:line="198" w:lineRule="exact"/>
      <w:ind w:left="2354" w:hanging="369"/>
    </w:pPr>
    <w:rPr>
      <w:sz w:val="18"/>
    </w:rPr>
  </w:style>
  <w:style w:type="paragraph" w:styleId="Footer">
    <w:name w:val="footer"/>
    <w:link w:val="FooterChar"/>
    <w:rsid w:val="00F61B09"/>
    <w:pPr>
      <w:tabs>
        <w:tab w:val="center" w:pos="4153"/>
        <w:tab w:val="right" w:pos="8306"/>
      </w:tabs>
    </w:pPr>
    <w:rPr>
      <w:rFonts w:eastAsia="Times New Roman"/>
      <w:sz w:val="22"/>
      <w:szCs w:val="24"/>
    </w:rPr>
  </w:style>
  <w:style w:type="character" w:customStyle="1" w:styleId="FooterChar">
    <w:name w:val="Footer Char"/>
    <w:link w:val="Footer"/>
    <w:rsid w:val="00F61B09"/>
    <w:rPr>
      <w:rFonts w:eastAsia="Times New Roman" w:cs="Times New Roman"/>
      <w:sz w:val="22"/>
      <w:szCs w:val="24"/>
      <w:lang w:eastAsia="en-AU"/>
    </w:rPr>
  </w:style>
  <w:style w:type="character" w:styleId="LineNumber">
    <w:name w:val="line number"/>
    <w:uiPriority w:val="99"/>
    <w:semiHidden/>
    <w:unhideWhenUsed/>
    <w:rsid w:val="00F61B09"/>
    <w:rPr>
      <w:sz w:val="16"/>
    </w:rPr>
  </w:style>
  <w:style w:type="table" w:customStyle="1" w:styleId="CFlag">
    <w:name w:val="CFlag"/>
    <w:basedOn w:val="TableNormal"/>
    <w:uiPriority w:val="99"/>
    <w:rsid w:val="00F61B09"/>
    <w:rPr>
      <w:rFonts w:eastAsia="Times New Roman"/>
    </w:rPr>
    <w:tblPr/>
  </w:style>
  <w:style w:type="paragraph" w:styleId="BalloonText">
    <w:name w:val="Balloon Text"/>
    <w:basedOn w:val="Normal"/>
    <w:link w:val="BalloonTextChar"/>
    <w:uiPriority w:val="99"/>
    <w:semiHidden/>
    <w:unhideWhenUsed/>
    <w:rsid w:val="00F61B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61B09"/>
    <w:rPr>
      <w:rFonts w:ascii="Tahoma" w:hAnsi="Tahoma" w:cs="Tahoma"/>
      <w:sz w:val="16"/>
      <w:szCs w:val="16"/>
    </w:rPr>
  </w:style>
  <w:style w:type="table" w:styleId="TableGrid">
    <w:name w:val="Table Grid"/>
    <w:basedOn w:val="TableNormal"/>
    <w:uiPriority w:val="59"/>
    <w:rsid w:val="00F61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semiHidden/>
    <w:rsid w:val="00F61B09"/>
    <w:rPr>
      <w:b/>
      <w:sz w:val="28"/>
      <w:szCs w:val="32"/>
    </w:rPr>
  </w:style>
  <w:style w:type="paragraph" w:customStyle="1" w:styleId="LegislationMadeUnder">
    <w:name w:val="LegislationMadeUnder"/>
    <w:basedOn w:val="OPCParaBase"/>
    <w:next w:val="Normal"/>
    <w:semiHidden/>
    <w:rsid w:val="00F61B09"/>
    <w:rPr>
      <w:i/>
      <w:sz w:val="32"/>
      <w:szCs w:val="32"/>
    </w:rPr>
  </w:style>
  <w:style w:type="paragraph" w:customStyle="1" w:styleId="SignCoverPageEnd">
    <w:name w:val="SignCoverPageEnd"/>
    <w:basedOn w:val="OPCParaBase"/>
    <w:next w:val="Normal"/>
    <w:semiHidden/>
    <w:rsid w:val="00F61B09"/>
    <w:pPr>
      <w:keepNext/>
      <w:pBdr>
        <w:bottom w:val="single" w:sz="4" w:space="12" w:color="auto"/>
      </w:pBdr>
      <w:tabs>
        <w:tab w:val="left" w:pos="3402"/>
      </w:tabs>
      <w:spacing w:line="300" w:lineRule="atLeast"/>
      <w:ind w:right="397"/>
    </w:pPr>
  </w:style>
  <w:style w:type="paragraph" w:customStyle="1" w:styleId="LI-Fronttext">
    <w:name w:val="LI - Front text"/>
    <w:basedOn w:val="OPCParaBase"/>
    <w:next w:val="Normal"/>
    <w:rsid w:val="00572BB1"/>
    <w:pPr>
      <w:spacing w:before="240"/>
      <w:ind w:right="397"/>
    </w:pPr>
  </w:style>
  <w:style w:type="paragraph" w:customStyle="1" w:styleId="NotesHeading1">
    <w:name w:val="NotesHeading 1"/>
    <w:basedOn w:val="OPCParaBase"/>
    <w:next w:val="Normal"/>
    <w:semiHidden/>
    <w:rsid w:val="00F61B09"/>
    <w:pPr>
      <w:outlineLvl w:val="0"/>
    </w:pPr>
    <w:rPr>
      <w:b/>
      <w:sz w:val="28"/>
      <w:szCs w:val="28"/>
    </w:rPr>
  </w:style>
  <w:style w:type="paragraph" w:customStyle="1" w:styleId="NotesHeading2">
    <w:name w:val="NotesHeading 2"/>
    <w:basedOn w:val="OPCParaBase"/>
    <w:next w:val="Normal"/>
    <w:semiHidden/>
    <w:rsid w:val="00F61B09"/>
    <w:rPr>
      <w:b/>
      <w:sz w:val="28"/>
      <w:szCs w:val="28"/>
    </w:rPr>
  </w:style>
  <w:style w:type="paragraph" w:customStyle="1" w:styleId="CompiledActNo">
    <w:name w:val="CompiledActNo"/>
    <w:basedOn w:val="OPCParaBase"/>
    <w:next w:val="Normal"/>
    <w:semiHidden/>
    <w:rsid w:val="00F61B09"/>
    <w:rPr>
      <w:b/>
      <w:sz w:val="24"/>
      <w:szCs w:val="24"/>
    </w:rPr>
  </w:style>
  <w:style w:type="paragraph" w:customStyle="1" w:styleId="ENotesText">
    <w:name w:val="ENotesText"/>
    <w:aliases w:val="Ent"/>
    <w:basedOn w:val="OPCParaBase"/>
    <w:next w:val="Normal"/>
    <w:semiHidden/>
    <w:rsid w:val="00F61B09"/>
    <w:pPr>
      <w:spacing w:before="120"/>
    </w:pPr>
  </w:style>
  <w:style w:type="paragraph" w:customStyle="1" w:styleId="CompiledMadeUnder">
    <w:name w:val="CompiledMadeUnder"/>
    <w:basedOn w:val="OPCParaBase"/>
    <w:next w:val="Normal"/>
    <w:semiHidden/>
    <w:rsid w:val="00F61B09"/>
    <w:rPr>
      <w:i/>
      <w:sz w:val="24"/>
      <w:szCs w:val="24"/>
    </w:rPr>
  </w:style>
  <w:style w:type="paragraph" w:customStyle="1" w:styleId="Paragraphsub-sub-sub">
    <w:name w:val="Paragraph(sub-sub-sub)"/>
    <w:aliases w:val="aaaa"/>
    <w:basedOn w:val="OPCParaBase"/>
    <w:semiHidden/>
    <w:rsid w:val="00F61B09"/>
    <w:pPr>
      <w:tabs>
        <w:tab w:val="right" w:pos="3402"/>
      </w:tabs>
      <w:spacing w:before="40" w:line="240" w:lineRule="auto"/>
      <w:ind w:left="3402" w:hanging="3402"/>
    </w:pPr>
  </w:style>
  <w:style w:type="paragraph" w:customStyle="1" w:styleId="TableTextEndNotes">
    <w:name w:val="TableTextEndNotes"/>
    <w:aliases w:val="Tten"/>
    <w:basedOn w:val="Normal"/>
    <w:semiHidden/>
    <w:rsid w:val="00F61B09"/>
    <w:pPr>
      <w:spacing w:before="60" w:line="240" w:lineRule="auto"/>
    </w:pPr>
    <w:rPr>
      <w:rFonts w:cs="Arial"/>
      <w:sz w:val="20"/>
      <w:szCs w:val="22"/>
    </w:rPr>
  </w:style>
  <w:style w:type="paragraph" w:customStyle="1" w:styleId="NoteToSubpara">
    <w:name w:val="NoteToSubpara"/>
    <w:aliases w:val="nts"/>
    <w:basedOn w:val="OPCParaBase"/>
    <w:semiHidden/>
    <w:rsid w:val="00F61B09"/>
    <w:pPr>
      <w:spacing w:before="40" w:line="198" w:lineRule="exact"/>
      <w:ind w:left="2835" w:hanging="709"/>
    </w:pPr>
    <w:rPr>
      <w:sz w:val="18"/>
    </w:rPr>
  </w:style>
  <w:style w:type="paragraph" w:customStyle="1" w:styleId="ENoteTableHeading">
    <w:name w:val="ENoteTableHeading"/>
    <w:aliases w:val="enth"/>
    <w:basedOn w:val="OPCParaBase"/>
    <w:semiHidden/>
    <w:rsid w:val="00F61B09"/>
    <w:pPr>
      <w:keepNext/>
      <w:spacing w:before="60" w:line="240" w:lineRule="atLeast"/>
    </w:pPr>
    <w:rPr>
      <w:rFonts w:ascii="Arial" w:hAnsi="Arial"/>
      <w:b/>
      <w:sz w:val="16"/>
    </w:rPr>
  </w:style>
  <w:style w:type="paragraph" w:customStyle="1" w:styleId="ENoteTTi">
    <w:name w:val="ENoteTTi"/>
    <w:aliases w:val="entti"/>
    <w:basedOn w:val="OPCParaBase"/>
    <w:semiHidden/>
    <w:rsid w:val="00F61B09"/>
    <w:pPr>
      <w:keepNext/>
      <w:spacing w:before="60" w:line="240" w:lineRule="atLeast"/>
      <w:ind w:left="170"/>
    </w:pPr>
    <w:rPr>
      <w:sz w:val="16"/>
    </w:rPr>
  </w:style>
  <w:style w:type="paragraph" w:customStyle="1" w:styleId="ENotesHeading1">
    <w:name w:val="ENotesHeading 1"/>
    <w:aliases w:val="Enh1"/>
    <w:basedOn w:val="OPCParaBase"/>
    <w:next w:val="Normal"/>
    <w:semiHidden/>
    <w:rsid w:val="00F61B09"/>
    <w:pPr>
      <w:spacing w:before="120"/>
      <w:outlineLvl w:val="1"/>
    </w:pPr>
    <w:rPr>
      <w:b/>
      <w:sz w:val="28"/>
      <w:szCs w:val="28"/>
    </w:rPr>
  </w:style>
  <w:style w:type="paragraph" w:customStyle="1" w:styleId="ENotesHeading2">
    <w:name w:val="ENotesHeading 2"/>
    <w:aliases w:val="Enh2"/>
    <w:basedOn w:val="OPCParaBase"/>
    <w:next w:val="Normal"/>
    <w:semiHidden/>
    <w:rsid w:val="00F61B09"/>
    <w:pPr>
      <w:spacing w:before="120" w:after="120"/>
      <w:outlineLvl w:val="2"/>
    </w:pPr>
    <w:rPr>
      <w:b/>
      <w:sz w:val="24"/>
      <w:szCs w:val="28"/>
    </w:rPr>
  </w:style>
  <w:style w:type="paragraph" w:customStyle="1" w:styleId="ENoteTTIndentHeading">
    <w:name w:val="ENoteTTIndentHeading"/>
    <w:aliases w:val="enTTHi"/>
    <w:basedOn w:val="OPCParaBase"/>
    <w:semiHidden/>
    <w:rsid w:val="00F61B09"/>
    <w:pPr>
      <w:keepNext/>
      <w:spacing w:before="60" w:line="240" w:lineRule="atLeast"/>
      <w:ind w:left="170"/>
    </w:pPr>
    <w:rPr>
      <w:rFonts w:cs="Arial"/>
      <w:b/>
      <w:sz w:val="16"/>
      <w:szCs w:val="16"/>
    </w:rPr>
  </w:style>
  <w:style w:type="paragraph" w:customStyle="1" w:styleId="ENoteTableText">
    <w:name w:val="ENoteTableText"/>
    <w:aliases w:val="entt"/>
    <w:basedOn w:val="OPCParaBase"/>
    <w:semiHidden/>
    <w:rsid w:val="00F61B09"/>
    <w:pPr>
      <w:spacing w:before="60" w:line="240" w:lineRule="atLeast"/>
    </w:pPr>
    <w:rPr>
      <w:sz w:val="16"/>
    </w:rPr>
  </w:style>
  <w:style w:type="paragraph" w:customStyle="1" w:styleId="MadeunderText">
    <w:name w:val="MadeunderText"/>
    <w:basedOn w:val="OPCParaBase"/>
    <w:next w:val="CompiledMadeUnder"/>
    <w:semiHidden/>
    <w:rsid w:val="00F61B09"/>
    <w:pPr>
      <w:spacing w:before="240"/>
    </w:pPr>
    <w:rPr>
      <w:sz w:val="24"/>
      <w:szCs w:val="24"/>
    </w:rPr>
  </w:style>
  <w:style w:type="paragraph" w:customStyle="1" w:styleId="ENotesHeading3">
    <w:name w:val="ENotesHeading 3"/>
    <w:aliases w:val="Enh3"/>
    <w:basedOn w:val="OPCParaBase"/>
    <w:next w:val="Normal"/>
    <w:semiHidden/>
    <w:rsid w:val="00F61B09"/>
    <w:pPr>
      <w:keepNext/>
      <w:spacing w:before="120" w:line="240" w:lineRule="auto"/>
      <w:outlineLvl w:val="4"/>
    </w:pPr>
    <w:rPr>
      <w:b/>
      <w:szCs w:val="24"/>
    </w:rPr>
  </w:style>
  <w:style w:type="paragraph" w:customStyle="1" w:styleId="SubPartCASA">
    <w:name w:val="SubPart(CASA)"/>
    <w:aliases w:val="csp"/>
    <w:basedOn w:val="OPCParaBase"/>
    <w:next w:val="ActHead3"/>
    <w:semiHidden/>
    <w:rsid w:val="00F61B09"/>
    <w:pPr>
      <w:keepNext/>
      <w:keepLines/>
      <w:spacing w:before="280"/>
      <w:outlineLvl w:val="1"/>
    </w:pPr>
    <w:rPr>
      <w:b/>
      <w:kern w:val="28"/>
      <w:sz w:val="32"/>
    </w:rPr>
  </w:style>
  <w:style w:type="character" w:customStyle="1" w:styleId="CharSubPartTextCASA">
    <w:name w:val="CharSubPartText(CASA)"/>
    <w:basedOn w:val="OPCCharBase"/>
    <w:uiPriority w:val="1"/>
    <w:semiHidden/>
    <w:rsid w:val="00F61B09"/>
  </w:style>
  <w:style w:type="character" w:customStyle="1" w:styleId="CharSubPartNoCASA">
    <w:name w:val="CharSubPartNo(CASA)"/>
    <w:basedOn w:val="OPCCharBase"/>
    <w:uiPriority w:val="1"/>
    <w:semiHidden/>
    <w:rsid w:val="00F61B09"/>
  </w:style>
  <w:style w:type="paragraph" w:customStyle="1" w:styleId="ENoteTTIndentHeadingSub">
    <w:name w:val="ENoteTTIndentHeadingSub"/>
    <w:aliases w:val="enTTHis"/>
    <w:basedOn w:val="OPCParaBase"/>
    <w:semiHidden/>
    <w:rsid w:val="00F61B09"/>
    <w:pPr>
      <w:keepNext/>
      <w:spacing w:before="60" w:line="240" w:lineRule="atLeast"/>
      <w:ind w:left="340"/>
    </w:pPr>
    <w:rPr>
      <w:b/>
      <w:sz w:val="16"/>
    </w:rPr>
  </w:style>
  <w:style w:type="paragraph" w:customStyle="1" w:styleId="ENoteTTiSub">
    <w:name w:val="ENoteTTiSub"/>
    <w:aliases w:val="enttis"/>
    <w:basedOn w:val="OPCParaBase"/>
    <w:semiHidden/>
    <w:rsid w:val="00F61B09"/>
    <w:pPr>
      <w:keepNext/>
      <w:spacing w:before="60" w:line="240" w:lineRule="atLeast"/>
      <w:ind w:left="340"/>
    </w:pPr>
    <w:rPr>
      <w:sz w:val="16"/>
    </w:rPr>
  </w:style>
  <w:style w:type="paragraph" w:customStyle="1" w:styleId="SubDivisionMigration">
    <w:name w:val="SubDivisionMigration"/>
    <w:aliases w:val="sdm"/>
    <w:basedOn w:val="OPCParaBase"/>
    <w:semiHidden/>
    <w:rsid w:val="00F61B0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semiHidden/>
    <w:rsid w:val="00F61B09"/>
    <w:pPr>
      <w:keepNext/>
      <w:keepLines/>
      <w:spacing w:before="240" w:line="240" w:lineRule="auto"/>
      <w:ind w:left="1134" w:hanging="1134"/>
    </w:pPr>
    <w:rPr>
      <w:b/>
      <w:sz w:val="28"/>
    </w:rPr>
  </w:style>
  <w:style w:type="paragraph" w:customStyle="1" w:styleId="LI-BodyTextNote">
    <w:name w:val="LI - Body Text Note"/>
    <w:basedOn w:val="OPCParaBase"/>
    <w:link w:val="LI-BodyTextNoteChar"/>
    <w:rsid w:val="00572BB1"/>
    <w:pPr>
      <w:spacing w:before="200" w:line="240" w:lineRule="auto"/>
      <w:ind w:left="1701" w:hanging="567"/>
    </w:pPr>
    <w:rPr>
      <w:sz w:val="18"/>
    </w:rPr>
  </w:style>
  <w:style w:type="paragraph" w:customStyle="1" w:styleId="FreeForm">
    <w:name w:val="FreeForm"/>
    <w:rsid w:val="00E11E44"/>
    <w:rPr>
      <w:rFonts w:ascii="Arial" w:hAnsi="Arial"/>
      <w:sz w:val="22"/>
      <w:lang w:eastAsia="en-US"/>
    </w:rPr>
  </w:style>
  <w:style w:type="paragraph" w:customStyle="1" w:styleId="SOText">
    <w:name w:val="SO Text"/>
    <w:aliases w:val="sot"/>
    <w:link w:val="SOTextChar"/>
    <w:semiHidden/>
    <w:rsid w:val="00F61B09"/>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semiHidden/>
    <w:rsid w:val="005F65CD"/>
    <w:rPr>
      <w:sz w:val="22"/>
      <w:lang w:eastAsia="en-US"/>
    </w:rPr>
  </w:style>
  <w:style w:type="paragraph" w:customStyle="1" w:styleId="SOTextNote">
    <w:name w:val="SO TextNote"/>
    <w:aliases w:val="sont"/>
    <w:basedOn w:val="SOText"/>
    <w:semiHidden/>
    <w:qFormat/>
    <w:rsid w:val="00F61B09"/>
    <w:pPr>
      <w:spacing w:before="122" w:line="198" w:lineRule="exact"/>
      <w:ind w:left="1843" w:hanging="709"/>
    </w:pPr>
    <w:rPr>
      <w:sz w:val="18"/>
    </w:rPr>
  </w:style>
  <w:style w:type="paragraph" w:customStyle="1" w:styleId="SOPara">
    <w:name w:val="SO Para"/>
    <w:aliases w:val="soa"/>
    <w:basedOn w:val="SOText"/>
    <w:link w:val="SOParaChar"/>
    <w:semiHidden/>
    <w:qFormat/>
    <w:rsid w:val="00F61B09"/>
    <w:pPr>
      <w:tabs>
        <w:tab w:val="right" w:pos="1786"/>
      </w:tabs>
      <w:spacing w:before="40"/>
      <w:ind w:left="2070" w:hanging="936"/>
    </w:pPr>
  </w:style>
  <w:style w:type="character" w:customStyle="1" w:styleId="SOParaChar">
    <w:name w:val="SO Para Char"/>
    <w:aliases w:val="soa Char"/>
    <w:link w:val="SOPara"/>
    <w:semiHidden/>
    <w:rsid w:val="005F65CD"/>
    <w:rPr>
      <w:sz w:val="22"/>
      <w:lang w:eastAsia="en-US"/>
    </w:rPr>
  </w:style>
  <w:style w:type="paragraph" w:customStyle="1" w:styleId="FileName">
    <w:name w:val="FileName"/>
    <w:basedOn w:val="Normal"/>
    <w:semiHidden/>
    <w:rsid w:val="00F61B09"/>
  </w:style>
  <w:style w:type="paragraph" w:customStyle="1" w:styleId="TableHeading">
    <w:name w:val="TableHeading"/>
    <w:aliases w:val="th"/>
    <w:basedOn w:val="OPCParaBase"/>
    <w:next w:val="Tabletext"/>
    <w:semiHidden/>
    <w:rsid w:val="00F61B09"/>
    <w:pPr>
      <w:keepNext/>
      <w:spacing w:before="60" w:line="240" w:lineRule="atLeast"/>
    </w:pPr>
    <w:rPr>
      <w:b/>
      <w:sz w:val="20"/>
    </w:rPr>
  </w:style>
  <w:style w:type="paragraph" w:customStyle="1" w:styleId="SOHeadBold">
    <w:name w:val="SO HeadBold"/>
    <w:aliases w:val="sohb"/>
    <w:basedOn w:val="SOText"/>
    <w:next w:val="SOText"/>
    <w:link w:val="SOHeadBoldChar"/>
    <w:semiHidden/>
    <w:qFormat/>
    <w:rsid w:val="00F61B09"/>
    <w:rPr>
      <w:b/>
    </w:rPr>
  </w:style>
  <w:style w:type="character" w:customStyle="1" w:styleId="SOHeadBoldChar">
    <w:name w:val="SO HeadBold Char"/>
    <w:aliases w:val="sohb Char"/>
    <w:link w:val="SOHeadBold"/>
    <w:semiHidden/>
    <w:rsid w:val="005F65CD"/>
    <w:rPr>
      <w:b/>
      <w:sz w:val="22"/>
      <w:lang w:eastAsia="en-US"/>
    </w:rPr>
  </w:style>
  <w:style w:type="paragraph" w:customStyle="1" w:styleId="SOHeadItalic">
    <w:name w:val="SO HeadItalic"/>
    <w:aliases w:val="sohi"/>
    <w:basedOn w:val="SOText"/>
    <w:next w:val="SOText"/>
    <w:link w:val="SOHeadItalicChar"/>
    <w:semiHidden/>
    <w:qFormat/>
    <w:rsid w:val="00F61B09"/>
    <w:rPr>
      <w:i/>
    </w:rPr>
  </w:style>
  <w:style w:type="character" w:customStyle="1" w:styleId="SOHeadItalicChar">
    <w:name w:val="SO HeadItalic Char"/>
    <w:aliases w:val="sohi Char"/>
    <w:link w:val="SOHeadItalic"/>
    <w:semiHidden/>
    <w:rsid w:val="005F65CD"/>
    <w:rPr>
      <w:i/>
      <w:sz w:val="22"/>
      <w:lang w:eastAsia="en-US"/>
    </w:rPr>
  </w:style>
  <w:style w:type="paragraph" w:customStyle="1" w:styleId="SOBullet">
    <w:name w:val="SO Bullet"/>
    <w:aliases w:val="sotb"/>
    <w:basedOn w:val="SOText"/>
    <w:link w:val="SOBulletChar"/>
    <w:semiHidden/>
    <w:qFormat/>
    <w:rsid w:val="00F61B09"/>
    <w:pPr>
      <w:ind w:left="1559" w:hanging="425"/>
    </w:pPr>
  </w:style>
  <w:style w:type="character" w:customStyle="1" w:styleId="SOBulletChar">
    <w:name w:val="SO Bullet Char"/>
    <w:aliases w:val="sotb Char"/>
    <w:link w:val="SOBullet"/>
    <w:semiHidden/>
    <w:rsid w:val="005F65CD"/>
    <w:rPr>
      <w:sz w:val="22"/>
      <w:lang w:eastAsia="en-US"/>
    </w:rPr>
  </w:style>
  <w:style w:type="paragraph" w:customStyle="1" w:styleId="SOBulletNote">
    <w:name w:val="SO BulletNote"/>
    <w:aliases w:val="sonb"/>
    <w:basedOn w:val="SOTextNote"/>
    <w:link w:val="SOBulletNoteChar"/>
    <w:semiHidden/>
    <w:qFormat/>
    <w:rsid w:val="00F61B09"/>
    <w:pPr>
      <w:tabs>
        <w:tab w:val="left" w:pos="1560"/>
      </w:tabs>
      <w:ind w:left="2268" w:hanging="1134"/>
    </w:pPr>
  </w:style>
  <w:style w:type="character" w:customStyle="1" w:styleId="SOBulletNoteChar">
    <w:name w:val="SO BulletNote Char"/>
    <w:aliases w:val="sonb Char"/>
    <w:link w:val="SOBulletNote"/>
    <w:semiHidden/>
    <w:rsid w:val="005F65CD"/>
    <w:rPr>
      <w:sz w:val="18"/>
      <w:lang w:eastAsia="en-US"/>
    </w:rPr>
  </w:style>
  <w:style w:type="paragraph" w:customStyle="1" w:styleId="SOText2">
    <w:name w:val="SO Text2"/>
    <w:aliases w:val="sot2"/>
    <w:basedOn w:val="Normal"/>
    <w:next w:val="SOText"/>
    <w:link w:val="SOText2Char"/>
    <w:semiHidden/>
    <w:rsid w:val="00F61B0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semiHidden/>
    <w:rsid w:val="005F65CD"/>
    <w:rPr>
      <w:sz w:val="22"/>
      <w:lang w:eastAsia="en-US"/>
    </w:rPr>
  </w:style>
  <w:style w:type="paragraph" w:styleId="BodyText">
    <w:name w:val="Body Text"/>
    <w:link w:val="BodyTextChar"/>
    <w:semiHidden/>
    <w:rsid w:val="00F02EF9"/>
    <w:pPr>
      <w:overflowPunct w:val="0"/>
      <w:autoSpaceDE w:val="0"/>
      <w:autoSpaceDN w:val="0"/>
      <w:adjustRightInd w:val="0"/>
      <w:spacing w:before="40" w:after="160" w:line="300" w:lineRule="atLeast"/>
    </w:pPr>
    <w:rPr>
      <w:rFonts w:eastAsia="Times New Roman"/>
      <w:color w:val="000000"/>
      <w:sz w:val="24"/>
      <w:lang w:eastAsia="en-US"/>
    </w:rPr>
  </w:style>
  <w:style w:type="character" w:customStyle="1" w:styleId="BodyTextChar">
    <w:name w:val="Body Text Char"/>
    <w:link w:val="BodyText"/>
    <w:semiHidden/>
    <w:rsid w:val="00F02EF9"/>
    <w:rPr>
      <w:rFonts w:eastAsia="Times New Roman" w:cs="Times New Roman"/>
      <w:color w:val="000000"/>
      <w:sz w:val="24"/>
    </w:rPr>
  </w:style>
  <w:style w:type="paragraph" w:styleId="BodyTextIndent">
    <w:name w:val="Body Text Indent"/>
    <w:basedOn w:val="Normal"/>
    <w:link w:val="BodyTextIndentChar"/>
    <w:semiHidden/>
    <w:unhideWhenUsed/>
    <w:rsid w:val="00840442"/>
    <w:pPr>
      <w:spacing w:after="120"/>
      <w:ind w:left="283"/>
    </w:pPr>
  </w:style>
  <w:style w:type="character" w:customStyle="1" w:styleId="BodyTextIndentChar">
    <w:name w:val="Body Text Indent Char"/>
    <w:link w:val="BodyTextIndent"/>
    <w:uiPriority w:val="99"/>
    <w:semiHidden/>
    <w:rsid w:val="00840442"/>
    <w:rPr>
      <w:sz w:val="22"/>
    </w:rPr>
  </w:style>
  <w:style w:type="character" w:styleId="Hyperlink">
    <w:name w:val="Hyperlink"/>
    <w:uiPriority w:val="99"/>
    <w:rsid w:val="00840442"/>
    <w:rPr>
      <w:color w:val="0000FF"/>
      <w:u w:val="single"/>
    </w:rPr>
  </w:style>
  <w:style w:type="character" w:styleId="PageNumber">
    <w:name w:val="page number"/>
    <w:basedOn w:val="DefaultParagraphFont"/>
    <w:semiHidden/>
    <w:rsid w:val="00840442"/>
  </w:style>
  <w:style w:type="character" w:customStyle="1" w:styleId="Heading1Char">
    <w:name w:val="Heading 1 Char"/>
    <w:link w:val="Heading1"/>
    <w:uiPriority w:val="9"/>
    <w:rsid w:val="008945E0"/>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8945E0"/>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8945E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8945E0"/>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8945E0"/>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8945E0"/>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8945E0"/>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8945E0"/>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8945E0"/>
    <w:rPr>
      <w:rFonts w:ascii="Cambria" w:eastAsia="Times New Roman" w:hAnsi="Cambria" w:cs="Times New Roman"/>
      <w:sz w:val="22"/>
      <w:szCs w:val="22"/>
      <w:lang w:eastAsia="en-US"/>
    </w:rPr>
  </w:style>
  <w:style w:type="paragraph" w:customStyle="1" w:styleId="LI-BodyTextSubparai">
    <w:name w:val="LI - Body Text Subpara (i)"/>
    <w:basedOn w:val="LI-BodyTextParaa"/>
    <w:link w:val="LI-BodyTextSubparaiChar"/>
    <w:qFormat/>
    <w:rsid w:val="00FC3EB8"/>
    <w:pPr>
      <w:ind w:left="2268"/>
    </w:pPr>
  </w:style>
  <w:style w:type="paragraph" w:customStyle="1" w:styleId="LI-BodyTextSubsubparaA">
    <w:name w:val="LI - Body Text Subsubpara (A)"/>
    <w:basedOn w:val="LI-BodyTextParaa"/>
    <w:link w:val="LI-BodyTextSubsubparaAChar"/>
    <w:qFormat/>
    <w:rsid w:val="00FC3EB8"/>
    <w:pPr>
      <w:ind w:left="2835"/>
    </w:pPr>
  </w:style>
  <w:style w:type="character" w:customStyle="1" w:styleId="OPCParaBaseChar">
    <w:name w:val="OPCParaBase Char"/>
    <w:link w:val="OPCParaBase"/>
    <w:semiHidden/>
    <w:rsid w:val="005F65CD"/>
    <w:rPr>
      <w:rFonts w:eastAsia="Times New Roman"/>
      <w:sz w:val="22"/>
    </w:rPr>
  </w:style>
  <w:style w:type="character" w:customStyle="1" w:styleId="LI-BodyTextParaaChar">
    <w:name w:val="LI - Body Text Para (a) Char"/>
    <w:link w:val="LI-BodyTextParaa"/>
    <w:rsid w:val="00FC3EB8"/>
    <w:rPr>
      <w:rFonts w:eastAsia="Times New Roman"/>
      <w:sz w:val="24"/>
      <w:szCs w:val="24"/>
    </w:rPr>
  </w:style>
  <w:style w:type="character" w:customStyle="1" w:styleId="LI-BodyTextSubparaiChar">
    <w:name w:val="LI - Body Text Subpara (i) Char"/>
    <w:basedOn w:val="LI-BodyTextParaaChar"/>
    <w:link w:val="LI-BodyTextSubparai"/>
    <w:rsid w:val="00FC3EB8"/>
    <w:rPr>
      <w:rFonts w:eastAsia="Times New Roman"/>
      <w:sz w:val="24"/>
      <w:szCs w:val="24"/>
    </w:rPr>
  </w:style>
  <w:style w:type="paragraph" w:customStyle="1" w:styleId="LI-BodyTextNumbered">
    <w:name w:val="LI - Body Text Numbered"/>
    <w:basedOn w:val="LI-BodyTextUnnumbered"/>
    <w:link w:val="LI-BodyTextNumberedChar"/>
    <w:qFormat/>
    <w:rsid w:val="00005446"/>
    <w:pPr>
      <w:ind w:hanging="567"/>
    </w:pPr>
    <w:rPr>
      <w:szCs w:val="24"/>
    </w:rPr>
  </w:style>
  <w:style w:type="character" w:customStyle="1" w:styleId="LI-BodyTextSubsubparaAChar">
    <w:name w:val="LI - Body Text Subsubpara (A) Char"/>
    <w:basedOn w:val="LI-BodyTextParaaChar"/>
    <w:link w:val="LI-BodyTextSubsubparaA"/>
    <w:rsid w:val="00FC3EB8"/>
    <w:rPr>
      <w:rFonts w:eastAsia="Times New Roman"/>
      <w:sz w:val="24"/>
      <w:szCs w:val="24"/>
    </w:rPr>
  </w:style>
  <w:style w:type="paragraph" w:customStyle="1" w:styleId="LI-Footer">
    <w:name w:val="LI - Footer"/>
    <w:basedOn w:val="Normal"/>
    <w:link w:val="LI-FooterChar"/>
    <w:qFormat/>
    <w:rsid w:val="002B4A0D"/>
    <w:pPr>
      <w:pBdr>
        <w:top w:val="single" w:sz="6" w:space="1" w:color="auto"/>
      </w:pBdr>
      <w:tabs>
        <w:tab w:val="right" w:pos="8313"/>
      </w:tabs>
      <w:spacing w:before="120" w:line="0" w:lineRule="atLeast"/>
    </w:pPr>
    <w:rPr>
      <w:i/>
      <w:sz w:val="18"/>
    </w:rPr>
  </w:style>
  <w:style w:type="character" w:customStyle="1" w:styleId="LI-BodyTextUnnumberedChar">
    <w:name w:val="LI - Body Text Unnumbered Char"/>
    <w:link w:val="LI-BodyTextUnnumbered"/>
    <w:rsid w:val="006E5320"/>
    <w:rPr>
      <w:rFonts w:eastAsia="Times New Roman"/>
      <w:sz w:val="24"/>
    </w:rPr>
  </w:style>
  <w:style w:type="character" w:customStyle="1" w:styleId="LI-BodyTextNumberedChar">
    <w:name w:val="LI - Body Text Numbered Char"/>
    <w:link w:val="LI-BodyTextNumbered"/>
    <w:rsid w:val="00005446"/>
    <w:rPr>
      <w:rFonts w:eastAsia="Times New Roman"/>
      <w:sz w:val="24"/>
      <w:szCs w:val="24"/>
    </w:rPr>
  </w:style>
  <w:style w:type="paragraph" w:customStyle="1" w:styleId="LI-SectionHeading">
    <w:name w:val="LI - Section Heading"/>
    <w:basedOn w:val="LI-BodyTextUnnumbered"/>
    <w:link w:val="LI-SectionHeadingChar"/>
    <w:qFormat/>
    <w:rsid w:val="002B4A0D"/>
    <w:pPr>
      <w:ind w:left="2268" w:hanging="567"/>
    </w:pPr>
    <w:rPr>
      <w:b/>
      <w:szCs w:val="24"/>
    </w:rPr>
  </w:style>
  <w:style w:type="character" w:customStyle="1" w:styleId="LI-FooterChar">
    <w:name w:val="LI - Footer Char"/>
    <w:link w:val="LI-Footer"/>
    <w:rsid w:val="002B4A0D"/>
    <w:rPr>
      <w:i/>
      <w:sz w:val="18"/>
      <w:lang w:eastAsia="en-US"/>
    </w:rPr>
  </w:style>
  <w:style w:type="paragraph" w:customStyle="1" w:styleId="LI-SectionSubsectionText">
    <w:name w:val="LI - Section Subsection Text"/>
    <w:basedOn w:val="LI-BodyTextUnnumbered"/>
    <w:link w:val="LI-SectionSubsectionTextChar"/>
    <w:qFormat/>
    <w:rsid w:val="006554FF"/>
    <w:pPr>
      <w:ind w:left="2268" w:hanging="567"/>
    </w:pPr>
    <w:rPr>
      <w:szCs w:val="24"/>
    </w:rPr>
  </w:style>
  <w:style w:type="character" w:customStyle="1" w:styleId="LI-SectionHeadingChar">
    <w:name w:val="LI - Section Heading Char"/>
    <w:link w:val="LI-SectionHeading"/>
    <w:rsid w:val="002B4A0D"/>
    <w:rPr>
      <w:rFonts w:eastAsia="Times New Roman"/>
      <w:b/>
      <w:sz w:val="24"/>
      <w:szCs w:val="24"/>
    </w:rPr>
  </w:style>
  <w:style w:type="paragraph" w:customStyle="1" w:styleId="LI-SectionNote">
    <w:name w:val="LI - Section Note"/>
    <w:basedOn w:val="LI-BodyTextNote"/>
    <w:link w:val="LI-SectionNoteChar"/>
    <w:qFormat/>
    <w:rsid w:val="006554FF"/>
    <w:pPr>
      <w:spacing w:before="240"/>
      <w:ind w:left="2835"/>
    </w:pPr>
  </w:style>
  <w:style w:type="character" w:customStyle="1" w:styleId="LI-SectionSubsectionTextChar">
    <w:name w:val="LI - Section Subsection Text Char"/>
    <w:link w:val="LI-SectionSubsectionText"/>
    <w:rsid w:val="006554FF"/>
    <w:rPr>
      <w:rFonts w:eastAsia="Times New Roman"/>
      <w:sz w:val="24"/>
      <w:szCs w:val="24"/>
    </w:rPr>
  </w:style>
  <w:style w:type="paragraph" w:customStyle="1" w:styleId="LI-Sectionparaa">
    <w:name w:val="LI - Section para (a)"/>
    <w:basedOn w:val="LI-BodyTextUnnumbered"/>
    <w:link w:val="LI-SectionparaaChar"/>
    <w:qFormat/>
    <w:rsid w:val="006554FF"/>
    <w:pPr>
      <w:ind w:left="2835" w:hanging="567"/>
    </w:pPr>
    <w:rPr>
      <w:szCs w:val="24"/>
    </w:rPr>
  </w:style>
  <w:style w:type="character" w:customStyle="1" w:styleId="LI-BodyTextNoteChar">
    <w:name w:val="LI - Body Text Note Char"/>
    <w:link w:val="LI-BodyTextNote"/>
    <w:rsid w:val="00572BB1"/>
    <w:rPr>
      <w:rFonts w:eastAsia="Times New Roman"/>
      <w:sz w:val="18"/>
    </w:rPr>
  </w:style>
  <w:style w:type="character" w:customStyle="1" w:styleId="LI-SectionNoteChar">
    <w:name w:val="LI - Section Note Char"/>
    <w:basedOn w:val="LI-BodyTextNoteChar"/>
    <w:link w:val="LI-SectionNote"/>
    <w:rsid w:val="006554FF"/>
    <w:rPr>
      <w:rFonts w:eastAsia="Times New Roman"/>
      <w:sz w:val="18"/>
    </w:rPr>
  </w:style>
  <w:style w:type="paragraph" w:customStyle="1" w:styleId="LI-Sectionsubparai">
    <w:name w:val="LI - Section subpara (i)"/>
    <w:basedOn w:val="LI-BodyTextUnnumbered"/>
    <w:link w:val="LI-SectionsubparaiChar"/>
    <w:qFormat/>
    <w:rsid w:val="006554FF"/>
    <w:pPr>
      <w:ind w:left="3402" w:hanging="567"/>
    </w:pPr>
    <w:rPr>
      <w:szCs w:val="24"/>
    </w:rPr>
  </w:style>
  <w:style w:type="character" w:customStyle="1" w:styleId="LI-SectionparaaChar">
    <w:name w:val="LI - Section para (a) Char"/>
    <w:link w:val="LI-Sectionparaa"/>
    <w:rsid w:val="006554FF"/>
    <w:rPr>
      <w:rFonts w:eastAsia="Times New Roman"/>
      <w:sz w:val="24"/>
      <w:szCs w:val="24"/>
    </w:rPr>
  </w:style>
  <w:style w:type="paragraph" w:customStyle="1" w:styleId="LI-SectionsubsubparaA">
    <w:name w:val="LI - Section subsubpara (A)"/>
    <w:basedOn w:val="LI-BodyTextUnnumbered"/>
    <w:link w:val="LI-SectionsubsubparaAChar"/>
    <w:qFormat/>
    <w:rsid w:val="006554FF"/>
    <w:pPr>
      <w:ind w:left="3969" w:hanging="567"/>
    </w:pPr>
    <w:rPr>
      <w:szCs w:val="24"/>
    </w:rPr>
  </w:style>
  <w:style w:type="character" w:customStyle="1" w:styleId="LI-SectionsubparaiChar">
    <w:name w:val="LI - Section subpara (i) Char"/>
    <w:link w:val="LI-Sectionsubparai"/>
    <w:rsid w:val="006554FF"/>
    <w:rPr>
      <w:rFonts w:eastAsia="Times New Roman"/>
      <w:sz w:val="24"/>
      <w:szCs w:val="24"/>
    </w:rPr>
  </w:style>
  <w:style w:type="character" w:customStyle="1" w:styleId="LI-SectionsubsubparaAChar">
    <w:name w:val="LI - Section subsubpara (A) Char"/>
    <w:link w:val="LI-SectionsubsubparaA"/>
    <w:rsid w:val="006554FF"/>
    <w:rPr>
      <w:rFonts w:eastAsia="Times New Roman"/>
      <w:sz w:val="24"/>
      <w:szCs w:val="24"/>
    </w:rPr>
  </w:style>
  <w:style w:type="paragraph" w:customStyle="1" w:styleId="LI-SectionsubsubsubparaI">
    <w:name w:val="LI - Section subsubsubpara (I)"/>
    <w:basedOn w:val="LI-SectionsubsubparaA"/>
    <w:link w:val="LI-SectionsubsubsubparaIChar"/>
    <w:qFormat/>
    <w:rsid w:val="003528DA"/>
    <w:pPr>
      <w:ind w:left="4536"/>
    </w:pPr>
  </w:style>
  <w:style w:type="character" w:customStyle="1" w:styleId="LI-SectionsubsubsubparaIChar">
    <w:name w:val="LI - Section subsubsubpara (I) Char"/>
    <w:basedOn w:val="LI-SectionsubsubparaAChar"/>
    <w:link w:val="LI-SectionsubsubsubparaI"/>
    <w:rsid w:val="003528DA"/>
    <w:rPr>
      <w:rFonts w:eastAsia="Times New Roman"/>
      <w:sz w:val="24"/>
      <w:szCs w:val="24"/>
    </w:rPr>
  </w:style>
  <w:style w:type="character" w:styleId="CommentReference">
    <w:name w:val="annotation reference"/>
    <w:uiPriority w:val="99"/>
    <w:semiHidden/>
    <w:unhideWhenUsed/>
    <w:rsid w:val="00D702DE"/>
    <w:rPr>
      <w:sz w:val="16"/>
      <w:szCs w:val="16"/>
    </w:rPr>
  </w:style>
  <w:style w:type="paragraph" w:styleId="CommentText">
    <w:name w:val="annotation text"/>
    <w:basedOn w:val="Normal"/>
    <w:link w:val="CommentTextChar"/>
    <w:uiPriority w:val="99"/>
    <w:semiHidden/>
    <w:unhideWhenUsed/>
    <w:rsid w:val="00D702DE"/>
    <w:rPr>
      <w:sz w:val="20"/>
    </w:rPr>
  </w:style>
  <w:style w:type="character" w:customStyle="1" w:styleId="CommentTextChar">
    <w:name w:val="Comment Text Char"/>
    <w:link w:val="CommentText"/>
    <w:uiPriority w:val="99"/>
    <w:semiHidden/>
    <w:rsid w:val="00D702DE"/>
    <w:rPr>
      <w:lang w:eastAsia="en-US"/>
    </w:rPr>
  </w:style>
  <w:style w:type="paragraph" w:styleId="CommentSubject">
    <w:name w:val="annotation subject"/>
    <w:basedOn w:val="CommentText"/>
    <w:next w:val="CommentText"/>
    <w:link w:val="CommentSubjectChar"/>
    <w:uiPriority w:val="99"/>
    <w:semiHidden/>
    <w:unhideWhenUsed/>
    <w:rsid w:val="00D702DE"/>
    <w:rPr>
      <w:b/>
      <w:bCs/>
    </w:rPr>
  </w:style>
  <w:style w:type="character" w:customStyle="1" w:styleId="CommentSubjectChar">
    <w:name w:val="Comment Subject Char"/>
    <w:link w:val="CommentSubject"/>
    <w:uiPriority w:val="99"/>
    <w:semiHidden/>
    <w:rsid w:val="00D702DE"/>
    <w:rPr>
      <w:b/>
      <w:bCs/>
      <w:lang w:eastAsia="en-US"/>
    </w:rPr>
  </w:style>
  <w:style w:type="paragraph" w:customStyle="1" w:styleId="LI-Header">
    <w:name w:val="LI - Header"/>
    <w:basedOn w:val="LI-Footer"/>
    <w:link w:val="LI-HeaderChar"/>
    <w:qFormat/>
    <w:rsid w:val="0040053F"/>
    <w:pPr>
      <w:pBdr>
        <w:top w:val="none" w:sz="0" w:space="0" w:color="auto"/>
        <w:bottom w:val="single" w:sz="4" w:space="1" w:color="auto"/>
      </w:pBdr>
      <w:jc w:val="right"/>
    </w:pPr>
  </w:style>
  <w:style w:type="paragraph" w:customStyle="1" w:styleId="LI-Subtitle">
    <w:name w:val="LI - Subtitle"/>
    <w:basedOn w:val="Normal"/>
    <w:link w:val="LI-SubtitleChar"/>
    <w:qFormat/>
    <w:rsid w:val="00243EC0"/>
    <w:pPr>
      <w:pBdr>
        <w:bottom w:val="single" w:sz="4" w:space="1" w:color="auto"/>
      </w:pBdr>
      <w:spacing w:before="240"/>
    </w:pPr>
    <w:rPr>
      <w:b/>
      <w:sz w:val="28"/>
      <w:szCs w:val="28"/>
      <w:lang w:eastAsia="en-AU"/>
    </w:rPr>
  </w:style>
  <w:style w:type="character" w:customStyle="1" w:styleId="LI-HeaderChar">
    <w:name w:val="LI - Header Char"/>
    <w:basedOn w:val="LI-FooterChar"/>
    <w:link w:val="LI-Header"/>
    <w:rsid w:val="0040053F"/>
    <w:rPr>
      <w:i/>
      <w:sz w:val="18"/>
      <w:lang w:eastAsia="en-US"/>
    </w:rPr>
  </w:style>
  <w:style w:type="paragraph" w:customStyle="1" w:styleId="LI-Notestableheader">
    <w:name w:val="LI - Notes table header"/>
    <w:rsid w:val="001534EB"/>
    <w:pPr>
      <w:spacing w:before="60" w:after="60"/>
    </w:pPr>
    <w:rPr>
      <w:rFonts w:eastAsia="Times New Roman"/>
      <w:b/>
      <w:bCs/>
      <w:sz w:val="18"/>
      <w:szCs w:val="16"/>
      <w:lang w:eastAsia="en-US"/>
    </w:rPr>
  </w:style>
  <w:style w:type="character" w:customStyle="1" w:styleId="LI-SubtitleChar">
    <w:name w:val="LI - Subtitle Char"/>
    <w:link w:val="LI-Subtitle"/>
    <w:rsid w:val="00243EC0"/>
    <w:rPr>
      <w:b/>
      <w:sz w:val="28"/>
      <w:szCs w:val="28"/>
    </w:rPr>
  </w:style>
  <w:style w:type="paragraph" w:customStyle="1" w:styleId="LI-Notestabletext">
    <w:name w:val="LI - Notes table text"/>
    <w:rsid w:val="003B0079"/>
    <w:pPr>
      <w:spacing w:before="60" w:after="120"/>
    </w:pPr>
    <w:rPr>
      <w:rFonts w:eastAsia="Times New Roman"/>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8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C9E3587B-CBAC-43BC-8708-213DA08610D4}">
  <ds:schemaRefs>
    <ds:schemaRef ds:uri="http://schemas.openxmlformats.org/officeDocument/2006/bibliography"/>
  </ds:schemaRefs>
</ds:datastoreItem>
</file>

<file path=customXml/itemProps2.xml><?xml version="1.0" encoding="utf-8"?>
<ds:datastoreItem xmlns:ds="http://schemas.openxmlformats.org/officeDocument/2006/customXml" ds:itemID="{3BEC075C-6FAC-4EC4-B7D8-8EB2756E61C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1253</Words>
  <Characters>7143</Characters>
  <Application>Microsoft Office Word</Application>
  <DocSecurity>0</DocSecurity>
  <PresentationFormat/>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2022-12-09T00:00:00Z</dcterms:created>
  <dcterms:modified xsi:type="dcterms:W3CDTF">2022-12-09T00:00:00Z</dcterms:modified>
  <dc:language/>
  <cp:version/>
</cp:coreProperties>
</file>