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12A" w:rsidRDefault="001C012A" w:rsidP="00A36F39">
      <w:pPr>
        <w:ind w:left="-180"/>
        <w:jc w:val="right"/>
        <w:rPr>
          <w:b/>
          <w:lang w:val="en-AU"/>
        </w:rPr>
      </w:pPr>
      <w:bookmarkStart w:id="0" w:name="_GoBack"/>
      <w:bookmarkEnd w:id="0"/>
    </w:p>
    <w:p w:rsidR="001C012A" w:rsidRDefault="001C012A" w:rsidP="00E41D6C">
      <w:pPr>
        <w:jc w:val="right"/>
        <w:rPr>
          <w:b/>
          <w:lang w:val="en-AU"/>
        </w:rPr>
      </w:pPr>
    </w:p>
    <w:p w:rsidR="008E02F9" w:rsidRDefault="008E02F9" w:rsidP="00E41D6C">
      <w:pPr>
        <w:jc w:val="right"/>
        <w:rPr>
          <w:b/>
          <w:lang w:val="en-AU"/>
        </w:rPr>
      </w:pPr>
    </w:p>
    <w:p w:rsidR="00D362A4" w:rsidRPr="00D362A4" w:rsidRDefault="00841761" w:rsidP="006C0B33">
      <w:pPr>
        <w:jc w:val="center"/>
        <w:rPr>
          <w:b/>
          <w:lang w:val="en-AU"/>
        </w:rPr>
      </w:pPr>
      <w:r>
        <w:rPr>
          <w:b/>
          <w:lang w:val="en-AU"/>
        </w:rPr>
        <w:t>EXPLANATORY</w:t>
      </w:r>
      <w:r w:rsidR="00C57D04">
        <w:rPr>
          <w:b/>
          <w:lang w:val="en-AU"/>
        </w:rPr>
        <w:t xml:space="preserve"> STATEMENT</w:t>
      </w:r>
    </w:p>
    <w:p w:rsidR="00324366" w:rsidRDefault="00324366" w:rsidP="001B3A4C">
      <w:pPr>
        <w:jc w:val="center"/>
        <w:rPr>
          <w:b/>
          <w:i/>
          <w:lang w:val="en-AU"/>
        </w:rPr>
      </w:pPr>
    </w:p>
    <w:p w:rsidR="00324366" w:rsidRDefault="00324366" w:rsidP="001B3A4C">
      <w:pPr>
        <w:jc w:val="center"/>
        <w:rPr>
          <w:b/>
          <w:i/>
          <w:lang w:val="en-AU"/>
        </w:rPr>
      </w:pPr>
    </w:p>
    <w:p w:rsidR="000D08B2" w:rsidRPr="000D08B2" w:rsidRDefault="006C0B33" w:rsidP="001B3A4C">
      <w:pPr>
        <w:jc w:val="center"/>
        <w:rPr>
          <w:b/>
          <w:i/>
          <w:lang w:val="en-AU"/>
        </w:rPr>
      </w:pPr>
      <w:r w:rsidRPr="000D08B2">
        <w:rPr>
          <w:b/>
          <w:i/>
          <w:lang w:val="en-AU"/>
        </w:rPr>
        <w:t>Australian Capital Territory</w:t>
      </w:r>
      <w:r>
        <w:rPr>
          <w:b/>
          <w:i/>
          <w:lang w:val="en-AU"/>
        </w:rPr>
        <w:t xml:space="preserve"> </w:t>
      </w:r>
      <w:r w:rsidRPr="000D08B2">
        <w:rPr>
          <w:b/>
          <w:i/>
          <w:lang w:val="en-AU"/>
        </w:rPr>
        <w:t xml:space="preserve">(Planning </w:t>
      </w:r>
      <w:r>
        <w:rPr>
          <w:b/>
          <w:i/>
          <w:lang w:val="en-AU"/>
        </w:rPr>
        <w:t>a</w:t>
      </w:r>
      <w:r w:rsidRPr="000D08B2">
        <w:rPr>
          <w:b/>
          <w:i/>
          <w:lang w:val="en-AU"/>
        </w:rPr>
        <w:t>nd Land Management) Act 1988</w:t>
      </w:r>
    </w:p>
    <w:p w:rsidR="000D08B2" w:rsidRDefault="000D08B2" w:rsidP="001B3A4C">
      <w:pPr>
        <w:jc w:val="center"/>
        <w:rPr>
          <w:b/>
          <w:lang w:val="en-AU"/>
        </w:rPr>
      </w:pPr>
    </w:p>
    <w:p w:rsidR="000D08B2" w:rsidRDefault="000D08B2" w:rsidP="001B3A4C">
      <w:pPr>
        <w:jc w:val="center"/>
        <w:rPr>
          <w:b/>
          <w:lang w:val="en-AU"/>
        </w:rPr>
      </w:pPr>
      <w:r>
        <w:rPr>
          <w:b/>
          <w:lang w:val="en-AU"/>
        </w:rPr>
        <w:t xml:space="preserve">APPROVAL OF AMENDMENT </w:t>
      </w:r>
      <w:r w:rsidR="00946906">
        <w:rPr>
          <w:b/>
          <w:lang w:val="en-AU"/>
        </w:rPr>
        <w:t>93</w:t>
      </w:r>
      <w:r w:rsidR="001959BE">
        <w:rPr>
          <w:b/>
          <w:lang w:val="en-AU"/>
        </w:rPr>
        <w:t xml:space="preserve"> </w:t>
      </w:r>
      <w:r>
        <w:rPr>
          <w:b/>
          <w:lang w:val="en-AU"/>
        </w:rPr>
        <w:t>OF THE NATIONAL CAPITAL PLAN</w:t>
      </w:r>
      <w:r w:rsidR="00F60EC4">
        <w:rPr>
          <w:b/>
          <w:lang w:val="en-AU"/>
        </w:rPr>
        <w:t xml:space="preserve"> -</w:t>
      </w:r>
    </w:p>
    <w:p w:rsidR="00E04EF5" w:rsidRDefault="00F60EC4" w:rsidP="001B3A4C">
      <w:pPr>
        <w:jc w:val="center"/>
        <w:rPr>
          <w:b/>
          <w:lang w:val="en-AU"/>
        </w:rPr>
      </w:pPr>
      <w:r>
        <w:rPr>
          <w:b/>
          <w:lang w:val="en-AU"/>
        </w:rPr>
        <w:t>CITY AND GATEWAY URBAN DESIGN PROVISIONS</w:t>
      </w:r>
      <w:r w:rsidR="00946906">
        <w:rPr>
          <w:b/>
          <w:lang w:val="en-AU"/>
        </w:rPr>
        <w:t xml:space="preserve"> TECHNICAL CHANGES</w:t>
      </w:r>
    </w:p>
    <w:p w:rsidR="00620AAF" w:rsidRPr="00620AAF" w:rsidRDefault="00620AAF" w:rsidP="001B3A4C">
      <w:pPr>
        <w:jc w:val="center"/>
        <w:rPr>
          <w:b/>
          <w:lang w:val="en-AU"/>
        </w:rPr>
      </w:pPr>
    </w:p>
    <w:p w:rsidR="00620AAF" w:rsidRPr="00620AAF" w:rsidRDefault="00620AAF" w:rsidP="001959BB">
      <w:pPr>
        <w:rPr>
          <w:b/>
        </w:rPr>
      </w:pPr>
      <w:r w:rsidRPr="00620AAF">
        <w:t xml:space="preserve">Section 6 of the </w:t>
      </w:r>
      <w:smartTag w:uri="urn:schemas-microsoft-com:office:smarttags" w:element="State">
        <w:smartTag w:uri="urn:schemas-microsoft-com:office:smarttags" w:element="place">
          <w:r w:rsidRPr="00620AAF">
            <w:rPr>
              <w:i/>
            </w:rPr>
            <w:t>Australian Capital Territory</w:t>
          </w:r>
        </w:smartTag>
      </w:smartTag>
      <w:r w:rsidRPr="00620AAF">
        <w:rPr>
          <w:i/>
        </w:rPr>
        <w:t xml:space="preserve"> (Planning and Land Management</w:t>
      </w:r>
      <w:r w:rsidRPr="00620AAF">
        <w:t xml:space="preserve">) </w:t>
      </w:r>
      <w:r w:rsidRPr="00620AAF">
        <w:rPr>
          <w:i/>
        </w:rPr>
        <w:t>Act 1988</w:t>
      </w:r>
      <w:r w:rsidRPr="00620AAF">
        <w:t xml:space="preserve"> (the </w:t>
      </w:r>
      <w:r w:rsidRPr="00045E26">
        <w:t>Act)</w:t>
      </w:r>
      <w:r w:rsidRPr="00620AAF">
        <w:t xml:space="preserve"> provides that the National Capital Authority </w:t>
      </w:r>
      <w:r w:rsidR="00045E26">
        <w:t xml:space="preserve">(the NCA) </w:t>
      </w:r>
      <w:r w:rsidRPr="00620AAF">
        <w:t>is responsible, among other things, for preparing and administering the National Capital Plan</w:t>
      </w:r>
      <w:r w:rsidR="000E0CB5">
        <w:t xml:space="preserve"> (the Plan)</w:t>
      </w:r>
      <w:r w:rsidRPr="00620AAF">
        <w:t xml:space="preserve">, for keeping the Plan under constant review and for proposing </w:t>
      </w:r>
      <w:r w:rsidR="004020A2">
        <w:t>a</w:t>
      </w:r>
      <w:r w:rsidRPr="00620AAF">
        <w:t>mendments t</w:t>
      </w:r>
      <w:r w:rsidR="00B728CF">
        <w:t>o the Plan</w:t>
      </w:r>
      <w:r w:rsidR="00DF0694">
        <w:t xml:space="preserve"> when necessary.   Amendment </w:t>
      </w:r>
      <w:r w:rsidR="00946906">
        <w:t>93</w:t>
      </w:r>
      <w:r w:rsidR="00451FFE">
        <w:t xml:space="preserve"> </w:t>
      </w:r>
      <w:r w:rsidR="00BD03CD">
        <w:t xml:space="preserve">of the Plan </w:t>
      </w:r>
      <w:r w:rsidR="000E0CB5">
        <w:t>–</w:t>
      </w:r>
      <w:r w:rsidR="00CB2293">
        <w:t xml:space="preserve"> </w:t>
      </w:r>
      <w:r w:rsidR="00F60EC4">
        <w:t>City and Gateway Urban Design Provisions</w:t>
      </w:r>
      <w:r w:rsidR="00451FFE">
        <w:t xml:space="preserve"> </w:t>
      </w:r>
      <w:r w:rsidR="00946906">
        <w:t>Technical Changes (Amendment 93</w:t>
      </w:r>
      <w:r w:rsidR="00EC42C6">
        <w:t xml:space="preserve">) </w:t>
      </w:r>
      <w:r w:rsidRPr="00620AAF">
        <w:t>has been prepared in a</w:t>
      </w:r>
      <w:r w:rsidR="00C84837">
        <w:t>ccordance with sections 14 to 22</w:t>
      </w:r>
      <w:r w:rsidRPr="00620AAF">
        <w:t xml:space="preserve"> of the </w:t>
      </w:r>
      <w:r w:rsidRPr="00045E26">
        <w:t>Act</w:t>
      </w:r>
      <w:r w:rsidRPr="00620AAF">
        <w:t xml:space="preserve">. </w:t>
      </w:r>
    </w:p>
    <w:p w:rsidR="00620AAF" w:rsidRPr="00620AAF" w:rsidRDefault="00620AAF" w:rsidP="001959BB"/>
    <w:p w:rsidR="00A82518" w:rsidRDefault="00623F3B" w:rsidP="001959BB">
      <w:pPr>
        <w:pStyle w:val="BodyText3"/>
        <w:ind w:right="0"/>
        <w:rPr>
          <w:rFonts w:ascii="Times New Roman" w:hAnsi="Times New Roman"/>
          <w:szCs w:val="24"/>
        </w:rPr>
      </w:pPr>
      <w:r>
        <w:rPr>
          <w:rFonts w:ascii="Times New Roman" w:hAnsi="Times New Roman"/>
          <w:szCs w:val="24"/>
        </w:rPr>
        <w:t xml:space="preserve">The Hon </w:t>
      </w:r>
      <w:r w:rsidR="00946906">
        <w:rPr>
          <w:rFonts w:ascii="Times New Roman" w:hAnsi="Times New Roman"/>
          <w:szCs w:val="24"/>
        </w:rPr>
        <w:t>Nola Marino MP</w:t>
      </w:r>
      <w:r>
        <w:rPr>
          <w:rFonts w:ascii="Times New Roman" w:hAnsi="Times New Roman"/>
          <w:szCs w:val="24"/>
        </w:rPr>
        <w:t xml:space="preserve">, </w:t>
      </w:r>
      <w:r w:rsidR="00F60EC4">
        <w:rPr>
          <w:rFonts w:ascii="Times New Roman" w:hAnsi="Times New Roman"/>
          <w:szCs w:val="24"/>
        </w:rPr>
        <w:t xml:space="preserve">Assistant </w:t>
      </w:r>
      <w:r w:rsidR="00396157">
        <w:rPr>
          <w:rFonts w:ascii="Times New Roman" w:hAnsi="Times New Roman"/>
          <w:szCs w:val="24"/>
        </w:rPr>
        <w:t xml:space="preserve">Minister for </w:t>
      </w:r>
      <w:r w:rsidR="00F60EC4">
        <w:rPr>
          <w:rFonts w:ascii="Times New Roman" w:hAnsi="Times New Roman"/>
          <w:szCs w:val="24"/>
        </w:rPr>
        <w:t>Regional Development and Territorie</w:t>
      </w:r>
      <w:r w:rsidR="00396157">
        <w:rPr>
          <w:rFonts w:ascii="Times New Roman" w:hAnsi="Times New Roman"/>
          <w:szCs w:val="24"/>
        </w:rPr>
        <w:t>s</w:t>
      </w:r>
      <w:r w:rsidR="00CA38CB">
        <w:rPr>
          <w:rFonts w:ascii="Times New Roman" w:eastAsia="DIN-Regular" w:hAnsi="Times New Roman"/>
        </w:rPr>
        <w:t xml:space="preserve">, </w:t>
      </w:r>
      <w:r w:rsidR="00D639AD">
        <w:rPr>
          <w:rFonts w:ascii="Times New Roman" w:hAnsi="Times New Roman"/>
          <w:szCs w:val="24"/>
        </w:rPr>
        <w:t>approved Amendment</w:t>
      </w:r>
      <w:r w:rsidR="00946906">
        <w:rPr>
          <w:rFonts w:ascii="Times New Roman" w:hAnsi="Times New Roman"/>
          <w:szCs w:val="24"/>
        </w:rPr>
        <w:t xml:space="preserve"> 93</w:t>
      </w:r>
      <w:r w:rsidR="00451FFE" w:rsidRPr="00A75CB6">
        <w:rPr>
          <w:rFonts w:ascii="Times New Roman" w:hAnsi="Times New Roman"/>
          <w:szCs w:val="24"/>
        </w:rPr>
        <w:t xml:space="preserve"> </w:t>
      </w:r>
      <w:r w:rsidR="00D639AD" w:rsidRPr="00A75CB6">
        <w:rPr>
          <w:rFonts w:ascii="Times New Roman" w:hAnsi="Times New Roman"/>
          <w:szCs w:val="24"/>
        </w:rPr>
        <w:t>on</w:t>
      </w:r>
      <w:r w:rsidR="00C943F1" w:rsidRPr="00A75CB6">
        <w:rPr>
          <w:rFonts w:ascii="Times New Roman" w:hAnsi="Times New Roman"/>
          <w:szCs w:val="24"/>
        </w:rPr>
        <w:t xml:space="preserve"> </w:t>
      </w:r>
      <w:r w:rsidR="0081179C" w:rsidRPr="0081179C">
        <w:rPr>
          <w:rFonts w:ascii="Times New Roman" w:hAnsi="Times New Roman"/>
          <w:szCs w:val="24"/>
        </w:rPr>
        <w:t xml:space="preserve">10 September </w:t>
      </w:r>
      <w:r w:rsidR="00C51E51" w:rsidRPr="0081179C">
        <w:rPr>
          <w:rFonts w:ascii="Times New Roman" w:hAnsi="Times New Roman"/>
          <w:szCs w:val="24"/>
        </w:rPr>
        <w:t>201</w:t>
      </w:r>
      <w:r w:rsidR="00F60EC4" w:rsidRPr="0081179C">
        <w:rPr>
          <w:rFonts w:ascii="Times New Roman" w:hAnsi="Times New Roman"/>
          <w:szCs w:val="24"/>
        </w:rPr>
        <w:t>9</w:t>
      </w:r>
      <w:r w:rsidR="00A82518" w:rsidRPr="00A75CB6">
        <w:rPr>
          <w:rFonts w:ascii="Times New Roman" w:hAnsi="Times New Roman"/>
          <w:szCs w:val="24"/>
        </w:rPr>
        <w:t>, in accordance with section 19 of the Act.</w:t>
      </w:r>
    </w:p>
    <w:p w:rsidR="00A82518" w:rsidRDefault="00A82518" w:rsidP="001959BB"/>
    <w:p w:rsidR="004B3A57" w:rsidRDefault="00A82518" w:rsidP="00F70FED">
      <w:r w:rsidRPr="00AC5C0F">
        <w:t xml:space="preserve">The </w:t>
      </w:r>
      <w:r w:rsidR="003A71CF">
        <w:t>A</w:t>
      </w:r>
      <w:r w:rsidRPr="00AC5C0F">
        <w:t xml:space="preserve">mendment is being laid before both Houses of Parliament as a disallowable instrument in accordance with the </w:t>
      </w:r>
      <w:r w:rsidRPr="00AC5C0F">
        <w:rPr>
          <w:i/>
        </w:rPr>
        <w:t>Legislative Instruments Act 2003.</w:t>
      </w:r>
      <w:r w:rsidRPr="00AC5C0F">
        <w:t xml:space="preserve"> If either House, in pursuance of a motion of which notice</w:t>
      </w:r>
      <w:r w:rsidR="00F70FED">
        <w:t xml:space="preserve"> has been given within 15</w:t>
      </w:r>
      <w:r w:rsidRPr="00AC5C0F">
        <w:t xml:space="preserve"> sitting days after the </w:t>
      </w:r>
      <w:r w:rsidR="006512CB">
        <w:t>A</w:t>
      </w:r>
      <w:r w:rsidRPr="00AC5C0F">
        <w:t xml:space="preserve">mendment has been laid before that House, passes a resolution disallowing the </w:t>
      </w:r>
      <w:r w:rsidR="003A71CF">
        <w:t>A</w:t>
      </w:r>
      <w:r w:rsidRPr="00AC5C0F">
        <w:t xml:space="preserve">mendment, or part of the </w:t>
      </w:r>
      <w:r w:rsidR="006512CB">
        <w:t>A</w:t>
      </w:r>
      <w:r w:rsidRPr="00AC5C0F">
        <w:t xml:space="preserve">mendment, the </w:t>
      </w:r>
      <w:r w:rsidR="006512CB">
        <w:t>A</w:t>
      </w:r>
      <w:r w:rsidRPr="00AC5C0F">
        <w:t>mendment or part so disallowed ceases to have effect.</w:t>
      </w:r>
    </w:p>
    <w:p w:rsidR="00F70FED" w:rsidRDefault="00F70FED" w:rsidP="00F70FED"/>
    <w:p w:rsidR="00F60EC4" w:rsidRDefault="002B5050" w:rsidP="00F60EC4">
      <w:r w:rsidRPr="006C1B6A">
        <w:t>Amendment 91 to the Plan came into effect on 4 April 2019</w:t>
      </w:r>
      <w:r>
        <w:t xml:space="preserve"> and </w:t>
      </w:r>
      <w:r w:rsidRPr="006C1B6A">
        <w:t xml:space="preserve">introduced detailed conditions of planning and design for sites flanking the Federal Highway and </w:t>
      </w:r>
      <w:proofErr w:type="spellStart"/>
      <w:r w:rsidRPr="006C1B6A">
        <w:t>Northbourne</w:t>
      </w:r>
      <w:proofErr w:type="spellEnd"/>
      <w:r w:rsidRPr="006C1B6A">
        <w:t xml:space="preserve"> Avenue. The amendment was the outcome of the two </w:t>
      </w:r>
      <w:proofErr w:type="spellStart"/>
      <w:r w:rsidRPr="006C1B6A">
        <w:t>year long</w:t>
      </w:r>
      <w:proofErr w:type="spellEnd"/>
      <w:r w:rsidRPr="006C1B6A">
        <w:t xml:space="preserve"> ‘City and Gateway urban design’ joint project between the NCA and the ACT Government.</w:t>
      </w:r>
      <w:r>
        <w:t xml:space="preserve"> Monitoring of actions since the </w:t>
      </w:r>
      <w:proofErr w:type="spellStart"/>
      <w:r>
        <w:t>finalisation</w:t>
      </w:r>
      <w:proofErr w:type="spellEnd"/>
      <w:r>
        <w:t xml:space="preserve"> of the amendment resulted in the need to either introduce or vary provisions to improve implementation of Amendment 91. </w:t>
      </w:r>
    </w:p>
    <w:p w:rsidR="002B5050" w:rsidRDefault="002B5050" w:rsidP="00F60EC4"/>
    <w:p w:rsidR="00F60EC4" w:rsidRDefault="00EC42C6" w:rsidP="00EC42C6">
      <w:r>
        <w:t xml:space="preserve">The purpose of </w:t>
      </w:r>
      <w:r w:rsidR="00946906">
        <w:t>Amendment 93</w:t>
      </w:r>
      <w:r w:rsidR="00F60EC4">
        <w:t xml:space="preserve"> is to </w:t>
      </w:r>
      <w:r w:rsidR="00946906">
        <w:t>introduce transitional provisions to address development application</w:t>
      </w:r>
      <w:r w:rsidR="00625631">
        <w:t>s</w:t>
      </w:r>
      <w:r w:rsidR="00946906">
        <w:t xml:space="preserve"> submitted to the Territory planning authority prior to the commencement of Amendment 91 to the Plan, and to clarify design provisions concerning permitted building lengths, and balconies and balustrades.</w:t>
      </w:r>
    </w:p>
    <w:p w:rsidR="00F60EC4" w:rsidRPr="00F60EC4" w:rsidRDefault="00F60EC4" w:rsidP="00F60EC4"/>
    <w:p w:rsidR="002E56EE" w:rsidRDefault="00086AEB" w:rsidP="00524BE7">
      <w:r w:rsidRPr="00086AEB">
        <w:t xml:space="preserve">On </w:t>
      </w:r>
      <w:r w:rsidR="00946906">
        <w:t>24 July</w:t>
      </w:r>
      <w:r w:rsidR="00F60EC4">
        <w:t xml:space="preserve"> 2019</w:t>
      </w:r>
      <w:r w:rsidR="004421B1">
        <w:t xml:space="preserve">, Draft Amendment </w:t>
      </w:r>
      <w:r w:rsidR="00F60EC4">
        <w:t>9</w:t>
      </w:r>
      <w:r w:rsidR="00946906">
        <w:t>3</w:t>
      </w:r>
      <w:r w:rsidRPr="00086AEB">
        <w:t xml:space="preserve"> </w:t>
      </w:r>
      <w:r w:rsidR="00C23874">
        <w:t>was</w:t>
      </w:r>
      <w:r w:rsidRPr="00086AEB">
        <w:t xml:space="preserve"> released for public comment. </w:t>
      </w:r>
      <w:r w:rsidR="004421B1">
        <w:t>N</w:t>
      </w:r>
      <w:r>
        <w:t>otice</w:t>
      </w:r>
      <w:r w:rsidR="004421B1">
        <w:t>s were</w:t>
      </w:r>
      <w:r>
        <w:t xml:space="preserve"> pub</w:t>
      </w:r>
      <w:r w:rsidR="00EC42C6">
        <w:t xml:space="preserve">lished in the Canberra Times </w:t>
      </w:r>
      <w:r w:rsidR="002B5050">
        <w:t xml:space="preserve">and in the Government Notices Gazette </w:t>
      </w:r>
      <w:r w:rsidR="00EC42C6">
        <w:t xml:space="preserve">on </w:t>
      </w:r>
      <w:r w:rsidR="00946906">
        <w:t>24 July</w:t>
      </w:r>
      <w:r w:rsidR="00EC42C6">
        <w:t xml:space="preserve"> 2019</w:t>
      </w:r>
      <w:r w:rsidR="002B5050">
        <w:t>.</w:t>
      </w:r>
    </w:p>
    <w:p w:rsidR="00086AEB" w:rsidRDefault="00086AEB" w:rsidP="001959BB">
      <w:pPr>
        <w:pStyle w:val="BodyText"/>
        <w:spacing w:after="0"/>
        <w:rPr>
          <w:rFonts w:ascii="Times New Roman" w:hAnsi="Times New Roman"/>
          <w:sz w:val="24"/>
          <w:szCs w:val="24"/>
        </w:rPr>
      </w:pPr>
    </w:p>
    <w:p w:rsidR="00086AEB" w:rsidRDefault="00086AEB" w:rsidP="00086AEB">
      <w:r w:rsidRPr="00086AEB">
        <w:t xml:space="preserve">In accordance with the NCA’s </w:t>
      </w:r>
      <w:r w:rsidRPr="00524BE7">
        <w:t>‘Commitment to Community Engagement</w:t>
      </w:r>
      <w:r w:rsidRPr="00086AEB">
        <w:t xml:space="preserve"> (February 2015)’ the period for public comment ran for 30 business days, concluding on </w:t>
      </w:r>
      <w:r w:rsidR="00946906">
        <w:t>4 September</w:t>
      </w:r>
      <w:r w:rsidR="00F60EC4">
        <w:t xml:space="preserve"> 2019</w:t>
      </w:r>
      <w:r w:rsidRPr="00086AEB">
        <w:t>. D</w:t>
      </w:r>
      <w:r w:rsidR="004421B1">
        <w:t xml:space="preserve">raft </w:t>
      </w:r>
      <w:r w:rsidRPr="00086AEB">
        <w:t>A</w:t>
      </w:r>
      <w:r w:rsidR="00946906">
        <w:t>mendment 93</w:t>
      </w:r>
      <w:r w:rsidRPr="00086AEB">
        <w:t xml:space="preserve"> was available to the public on the NCA website</w:t>
      </w:r>
      <w:r w:rsidR="00EC42C6">
        <w:t xml:space="preserve"> and hard copies were available on request</w:t>
      </w:r>
      <w:r w:rsidRPr="00086AEB">
        <w:t>.</w:t>
      </w:r>
    </w:p>
    <w:p w:rsidR="00086AEB" w:rsidRDefault="00086AEB" w:rsidP="00086AEB">
      <w:pPr>
        <w:pStyle w:val="BodyText"/>
        <w:spacing w:after="0"/>
        <w:rPr>
          <w:rFonts w:ascii="Times New Roman" w:hAnsi="Times New Roman"/>
          <w:sz w:val="24"/>
          <w:szCs w:val="24"/>
        </w:rPr>
      </w:pPr>
    </w:p>
    <w:p w:rsidR="00BD2010" w:rsidRDefault="00243259" w:rsidP="001959BB">
      <w:pPr>
        <w:pStyle w:val="BodyText"/>
        <w:spacing w:after="0"/>
        <w:rPr>
          <w:rFonts w:ascii="Times New Roman" w:hAnsi="Times New Roman"/>
          <w:sz w:val="24"/>
          <w:szCs w:val="24"/>
        </w:rPr>
      </w:pPr>
      <w:r>
        <w:rPr>
          <w:rFonts w:ascii="Times New Roman" w:hAnsi="Times New Roman"/>
          <w:sz w:val="24"/>
          <w:szCs w:val="24"/>
        </w:rPr>
        <w:t xml:space="preserve">The </w:t>
      </w:r>
      <w:r w:rsidR="00362B01">
        <w:rPr>
          <w:rFonts w:ascii="Times New Roman" w:hAnsi="Times New Roman"/>
          <w:sz w:val="24"/>
          <w:szCs w:val="24"/>
        </w:rPr>
        <w:t xml:space="preserve">Office of Best Practice Regulation </w:t>
      </w:r>
      <w:r w:rsidR="00BD2010">
        <w:rPr>
          <w:rFonts w:ascii="Times New Roman" w:hAnsi="Times New Roman"/>
          <w:sz w:val="24"/>
          <w:szCs w:val="24"/>
        </w:rPr>
        <w:t xml:space="preserve">advised a Regulation Impact Statement </w:t>
      </w:r>
      <w:r w:rsidR="00362B01">
        <w:rPr>
          <w:rFonts w:ascii="Times New Roman" w:hAnsi="Times New Roman"/>
          <w:sz w:val="24"/>
          <w:szCs w:val="24"/>
        </w:rPr>
        <w:t xml:space="preserve">is </w:t>
      </w:r>
      <w:r w:rsidR="004421B1">
        <w:rPr>
          <w:rFonts w:ascii="Times New Roman" w:hAnsi="Times New Roman"/>
          <w:sz w:val="24"/>
          <w:szCs w:val="24"/>
        </w:rPr>
        <w:t>not required.</w:t>
      </w:r>
    </w:p>
    <w:p w:rsidR="00A82518" w:rsidRDefault="00A82518" w:rsidP="001959BB">
      <w:pPr>
        <w:pStyle w:val="BodyText"/>
        <w:spacing w:after="0"/>
        <w:rPr>
          <w:rFonts w:ascii="Times New Roman" w:hAnsi="Times New Roman"/>
          <w:sz w:val="24"/>
          <w:szCs w:val="24"/>
        </w:rPr>
      </w:pPr>
    </w:p>
    <w:p w:rsidR="00EC42C6" w:rsidRDefault="002F79FF" w:rsidP="008355EA">
      <w:pPr>
        <w:spacing w:before="360" w:after="120"/>
        <w:jc w:val="center"/>
      </w:pPr>
      <w:r>
        <w:br w:type="page"/>
      </w:r>
    </w:p>
    <w:p w:rsidR="002F79FF" w:rsidRPr="00E4135E" w:rsidRDefault="002F79FF" w:rsidP="008355EA">
      <w:pPr>
        <w:spacing w:before="360" w:after="120"/>
        <w:jc w:val="center"/>
        <w:rPr>
          <w:b/>
          <w:sz w:val="28"/>
          <w:szCs w:val="28"/>
        </w:rPr>
      </w:pPr>
      <w:r w:rsidRPr="00E4135E">
        <w:rPr>
          <w:b/>
          <w:sz w:val="28"/>
          <w:szCs w:val="28"/>
        </w:rPr>
        <w:lastRenderedPageBreak/>
        <w:t>Statement of Compatibility with Human Rights</w:t>
      </w:r>
    </w:p>
    <w:p w:rsidR="002F79FF" w:rsidRPr="00E4135E" w:rsidRDefault="002F79FF" w:rsidP="008355EA">
      <w:pPr>
        <w:spacing w:before="120" w:after="120"/>
        <w:jc w:val="center"/>
      </w:pPr>
      <w:r w:rsidRPr="00175ECE">
        <w:t>Prepared in accordance with Part 3 of the</w:t>
      </w:r>
      <w:r w:rsidRPr="00E4135E">
        <w:rPr>
          <w:i/>
        </w:rPr>
        <w:t xml:space="preserve"> Human Rights (Parliamentary Scrutiny) Act 2011</w:t>
      </w:r>
    </w:p>
    <w:p w:rsidR="002F79FF" w:rsidRPr="00007848" w:rsidRDefault="002F79FF" w:rsidP="008355EA">
      <w:pPr>
        <w:spacing w:before="120" w:after="120"/>
        <w:jc w:val="center"/>
        <w:rPr>
          <w:sz w:val="22"/>
        </w:rPr>
      </w:pPr>
    </w:p>
    <w:p w:rsidR="002F79FF" w:rsidRPr="00D5145C" w:rsidRDefault="002F79FF" w:rsidP="00D5145C">
      <w:pPr>
        <w:spacing w:before="120" w:after="120"/>
        <w:jc w:val="center"/>
        <w:rPr>
          <w:b/>
        </w:rPr>
      </w:pPr>
      <w:r>
        <w:rPr>
          <w:b/>
        </w:rPr>
        <w:t xml:space="preserve">National Capital Plan Amendment </w:t>
      </w:r>
      <w:r w:rsidR="00D5145C">
        <w:rPr>
          <w:b/>
        </w:rPr>
        <w:t>9</w:t>
      </w:r>
      <w:r w:rsidR="00946906">
        <w:rPr>
          <w:b/>
        </w:rPr>
        <w:t>3</w:t>
      </w:r>
      <w:r>
        <w:rPr>
          <w:b/>
        </w:rPr>
        <w:t xml:space="preserve"> – </w:t>
      </w:r>
      <w:r w:rsidR="00D5145C" w:rsidRPr="00D5145C">
        <w:rPr>
          <w:b/>
        </w:rPr>
        <w:t>City and Gateway Urban Design Provisions</w:t>
      </w:r>
      <w:r w:rsidR="00946906">
        <w:rPr>
          <w:b/>
        </w:rPr>
        <w:t xml:space="preserve"> Technical Changes</w:t>
      </w:r>
    </w:p>
    <w:p w:rsidR="002F79FF" w:rsidRDefault="00A36F39" w:rsidP="008355EA">
      <w:pPr>
        <w:spacing w:before="120" w:after="120"/>
        <w:jc w:val="center"/>
      </w:pPr>
      <w:r>
        <w:t xml:space="preserve">This </w:t>
      </w:r>
      <w:r w:rsidR="002F79FF" w:rsidRPr="00E4135E">
        <w:t xml:space="preserve">Legislative Instrument is compatible with the human rights and freedoms </w:t>
      </w:r>
      <w:proofErr w:type="spellStart"/>
      <w:r w:rsidR="002F79FF" w:rsidRPr="00E4135E">
        <w:t>recognised</w:t>
      </w:r>
      <w:proofErr w:type="spellEnd"/>
      <w:r w:rsidR="002F79FF" w:rsidRPr="00E4135E">
        <w:t xml:space="preserve"> or declared in the international instruments listed in section 3 of the </w:t>
      </w:r>
      <w:r w:rsidR="002F79FF" w:rsidRPr="00E4135E">
        <w:rPr>
          <w:i/>
        </w:rPr>
        <w:t>Human Rights (Parliamentary Scrutiny) Act 2011</w:t>
      </w:r>
      <w:r w:rsidR="002F79FF" w:rsidRPr="00E4135E">
        <w:t>.</w:t>
      </w:r>
    </w:p>
    <w:p w:rsidR="008355EA" w:rsidRPr="00E4135E" w:rsidRDefault="008355EA" w:rsidP="008355EA">
      <w:pPr>
        <w:spacing w:before="120" w:after="120"/>
        <w:jc w:val="center"/>
      </w:pPr>
    </w:p>
    <w:p w:rsidR="002F79FF" w:rsidRPr="00E4135E" w:rsidRDefault="00F34FD3" w:rsidP="008355EA">
      <w:pPr>
        <w:spacing w:before="120" w:after="120"/>
        <w:jc w:val="both"/>
        <w:rPr>
          <w:b/>
        </w:rPr>
      </w:pPr>
      <w:r>
        <w:rPr>
          <w:b/>
        </w:rPr>
        <w:t xml:space="preserve">Overview of the </w:t>
      </w:r>
      <w:r w:rsidR="002F79FF" w:rsidRPr="00E4135E">
        <w:rPr>
          <w:b/>
        </w:rPr>
        <w:t>Legislative Instrument</w:t>
      </w:r>
    </w:p>
    <w:p w:rsidR="00F60EC4" w:rsidRDefault="00524BE7" w:rsidP="00D5145C">
      <w:r w:rsidRPr="00F11FC1">
        <w:t xml:space="preserve">The Legislative Instrument amends the National Capital Plan by </w:t>
      </w:r>
      <w:r w:rsidR="00F11FC1" w:rsidRPr="00F11FC1">
        <w:t>introducing transitional provisions to address development application submitted to the Territory planning authority prior to the commencement of Amendment 91 to the Plan, and clarifies design provisions concerning permitted building lengths, and balconies and balustrades.</w:t>
      </w:r>
    </w:p>
    <w:p w:rsidR="00D5145C" w:rsidRDefault="00D5145C" w:rsidP="00D5145C"/>
    <w:p w:rsidR="004D4E1F" w:rsidRDefault="008355EA" w:rsidP="00D5145C">
      <w:r w:rsidRPr="00451FFE">
        <w:t>The Legislative Instrument relates to</w:t>
      </w:r>
      <w:r w:rsidR="00CE6BD9" w:rsidRPr="00451FFE">
        <w:t xml:space="preserve"> planning and design policy only and is compatible with human rights in the seven core United Nations human rights treaties.</w:t>
      </w:r>
      <w:r w:rsidR="004D4E1F">
        <w:t xml:space="preserve"> The planning framework within the ACT makes appropriate provision for places of religious worship to be established.</w:t>
      </w:r>
    </w:p>
    <w:p w:rsidR="008355EA" w:rsidRPr="00E4135E" w:rsidRDefault="008355EA" w:rsidP="008355EA">
      <w:pPr>
        <w:spacing w:before="120" w:after="120"/>
      </w:pPr>
    </w:p>
    <w:p w:rsidR="002F79FF" w:rsidRPr="00E4135E" w:rsidRDefault="002F79FF" w:rsidP="008355EA">
      <w:pPr>
        <w:spacing w:before="120" w:after="120"/>
        <w:rPr>
          <w:b/>
        </w:rPr>
      </w:pPr>
      <w:r w:rsidRPr="00E4135E">
        <w:rPr>
          <w:b/>
        </w:rPr>
        <w:t>Human rights implications</w:t>
      </w:r>
    </w:p>
    <w:p w:rsidR="002F79FF" w:rsidRPr="00E4135E" w:rsidRDefault="00A36F39" w:rsidP="008355EA">
      <w:pPr>
        <w:spacing w:before="120" w:after="120"/>
      </w:pPr>
      <w:r>
        <w:t xml:space="preserve">This </w:t>
      </w:r>
      <w:r w:rsidR="002F79FF" w:rsidRPr="00E4135E">
        <w:t>Legislative Instrument does not engage any of the applicable rights or freedoms.</w:t>
      </w:r>
    </w:p>
    <w:p w:rsidR="002F79FF" w:rsidRPr="00E4135E" w:rsidRDefault="002F79FF" w:rsidP="008355EA">
      <w:pPr>
        <w:spacing w:before="120" w:after="120"/>
      </w:pPr>
    </w:p>
    <w:p w:rsidR="002F79FF" w:rsidRPr="00E4135E" w:rsidRDefault="002F79FF" w:rsidP="008355EA">
      <w:pPr>
        <w:spacing w:before="120" w:after="120"/>
        <w:rPr>
          <w:b/>
        </w:rPr>
      </w:pPr>
      <w:r w:rsidRPr="00E4135E">
        <w:rPr>
          <w:b/>
        </w:rPr>
        <w:t>Conclusion</w:t>
      </w:r>
    </w:p>
    <w:p w:rsidR="002F79FF" w:rsidRPr="00E4135E" w:rsidRDefault="00A36F39" w:rsidP="008355EA">
      <w:pPr>
        <w:spacing w:before="120" w:after="120"/>
      </w:pPr>
      <w:r>
        <w:t xml:space="preserve">This </w:t>
      </w:r>
      <w:r w:rsidR="002F79FF" w:rsidRPr="00E4135E">
        <w:t>Legislative Instrument is compatible with human rights as it does not raise any human rights issues.</w:t>
      </w:r>
    </w:p>
    <w:p w:rsidR="002F79FF" w:rsidRPr="00E4135E" w:rsidRDefault="002F79FF" w:rsidP="008355EA">
      <w:pPr>
        <w:spacing w:before="120" w:after="120"/>
        <w:jc w:val="center"/>
      </w:pPr>
    </w:p>
    <w:p w:rsidR="002F79FF" w:rsidRPr="00E4135E" w:rsidRDefault="002F79FF" w:rsidP="008355EA">
      <w:pPr>
        <w:spacing w:before="120" w:after="120"/>
        <w:jc w:val="center"/>
      </w:pPr>
    </w:p>
    <w:p w:rsidR="00BD2010" w:rsidRDefault="00BD2010" w:rsidP="001959BB">
      <w:pPr>
        <w:pStyle w:val="BodyText"/>
        <w:spacing w:after="0"/>
        <w:rPr>
          <w:rFonts w:ascii="Times New Roman" w:hAnsi="Times New Roman"/>
          <w:sz w:val="24"/>
          <w:szCs w:val="24"/>
        </w:rPr>
      </w:pPr>
    </w:p>
    <w:p w:rsidR="00E04EF5" w:rsidRDefault="00E04EF5" w:rsidP="001959BB">
      <w:pPr>
        <w:pStyle w:val="BodyText3"/>
        <w:spacing w:after="120"/>
        <w:ind w:right="0"/>
        <w:rPr>
          <w:rFonts w:ascii="Times New Roman" w:hAnsi="Times New Roman"/>
          <w:szCs w:val="24"/>
        </w:rPr>
      </w:pPr>
    </w:p>
    <w:sectPr w:rsidR="00E04EF5" w:rsidSect="00A36F39">
      <w:pgSz w:w="12240" w:h="15840"/>
      <w:pgMar w:top="539" w:right="1418" w:bottom="899"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Officina Serif Book">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5A2F"/>
    <w:multiLevelType w:val="hybridMultilevel"/>
    <w:tmpl w:val="6464BF72"/>
    <w:lvl w:ilvl="0" w:tplc="EE5011CA">
      <w:start w:val="1"/>
      <w:numFmt w:val="decimal"/>
      <w:lvlText w:val="%1"/>
      <w:lvlJc w:val="left"/>
      <w:pPr>
        <w:tabs>
          <w:tab w:val="num" w:pos="720"/>
        </w:tabs>
        <w:ind w:left="720" w:hanging="360"/>
      </w:pPr>
      <w:rPr>
        <w:rFonts w:hint="default"/>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A90B6B"/>
    <w:multiLevelType w:val="hybridMultilevel"/>
    <w:tmpl w:val="7C2C173A"/>
    <w:lvl w:ilvl="0" w:tplc="3C1451EC">
      <w:start w:val="1"/>
      <w:numFmt w:val="bullet"/>
      <w:lvlText w:val=""/>
      <w:lvlJc w:val="left"/>
      <w:pPr>
        <w:tabs>
          <w:tab w:val="num" w:pos="283"/>
        </w:tabs>
        <w:ind w:left="283" w:hanging="283"/>
      </w:pPr>
      <w:rPr>
        <w:rFonts w:ascii="Symbol" w:hAnsi="Symbol" w:hint="default"/>
      </w:rPr>
    </w:lvl>
    <w:lvl w:ilvl="1" w:tplc="0C090003" w:tentative="1">
      <w:start w:val="1"/>
      <w:numFmt w:val="bullet"/>
      <w:lvlText w:val="o"/>
      <w:lvlJc w:val="left"/>
      <w:pPr>
        <w:tabs>
          <w:tab w:val="num" w:pos="589"/>
        </w:tabs>
        <w:ind w:left="589" w:hanging="360"/>
      </w:pPr>
      <w:rPr>
        <w:rFonts w:ascii="Courier New" w:hAnsi="Courier New" w:cs="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cs="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cs="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2" w15:restartNumberingAfterBreak="0">
    <w:nsid w:val="67E32B89"/>
    <w:multiLevelType w:val="hybridMultilevel"/>
    <w:tmpl w:val="B92A2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D57602"/>
    <w:multiLevelType w:val="hybridMultilevel"/>
    <w:tmpl w:val="AD620256"/>
    <w:lvl w:ilvl="0" w:tplc="A44466E2">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267D1"/>
    <w:multiLevelType w:val="hybridMultilevel"/>
    <w:tmpl w:val="E3F6FD6A"/>
    <w:lvl w:ilvl="0" w:tplc="A44466E2">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DD"/>
    <w:rsid w:val="0000017E"/>
    <w:rsid w:val="00003CD8"/>
    <w:rsid w:val="00007848"/>
    <w:rsid w:val="0001220A"/>
    <w:rsid w:val="00021764"/>
    <w:rsid w:val="00030ABE"/>
    <w:rsid w:val="000436DD"/>
    <w:rsid w:val="00045E26"/>
    <w:rsid w:val="000502EB"/>
    <w:rsid w:val="00052504"/>
    <w:rsid w:val="00057A6F"/>
    <w:rsid w:val="00060863"/>
    <w:rsid w:val="00064D85"/>
    <w:rsid w:val="00074948"/>
    <w:rsid w:val="000808F4"/>
    <w:rsid w:val="00086AEB"/>
    <w:rsid w:val="000A3981"/>
    <w:rsid w:val="000B5FD6"/>
    <w:rsid w:val="000C58DF"/>
    <w:rsid w:val="000D08B2"/>
    <w:rsid w:val="000D0E1B"/>
    <w:rsid w:val="000D3652"/>
    <w:rsid w:val="000D4F7C"/>
    <w:rsid w:val="000E0CB5"/>
    <w:rsid w:val="000F48FC"/>
    <w:rsid w:val="0010239D"/>
    <w:rsid w:val="0010352E"/>
    <w:rsid w:val="00103A60"/>
    <w:rsid w:val="00103DBA"/>
    <w:rsid w:val="001051E6"/>
    <w:rsid w:val="0010590D"/>
    <w:rsid w:val="00116019"/>
    <w:rsid w:val="00116D5E"/>
    <w:rsid w:val="00152F1E"/>
    <w:rsid w:val="00153A55"/>
    <w:rsid w:val="00164667"/>
    <w:rsid w:val="00171C07"/>
    <w:rsid w:val="00174486"/>
    <w:rsid w:val="00175ECE"/>
    <w:rsid w:val="00184924"/>
    <w:rsid w:val="0018505E"/>
    <w:rsid w:val="00185C21"/>
    <w:rsid w:val="00191443"/>
    <w:rsid w:val="001959BB"/>
    <w:rsid w:val="001959BE"/>
    <w:rsid w:val="0019685A"/>
    <w:rsid w:val="001A2313"/>
    <w:rsid w:val="001A775D"/>
    <w:rsid w:val="001B0431"/>
    <w:rsid w:val="001B1113"/>
    <w:rsid w:val="001B3A4C"/>
    <w:rsid w:val="001B53BE"/>
    <w:rsid w:val="001B631A"/>
    <w:rsid w:val="001C012A"/>
    <w:rsid w:val="001D116C"/>
    <w:rsid w:val="001D6190"/>
    <w:rsid w:val="001D68B2"/>
    <w:rsid w:val="001E34FA"/>
    <w:rsid w:val="001E4D7A"/>
    <w:rsid w:val="001E4E41"/>
    <w:rsid w:val="001E6FB7"/>
    <w:rsid w:val="001F5885"/>
    <w:rsid w:val="001F79F2"/>
    <w:rsid w:val="0020758F"/>
    <w:rsid w:val="002075C5"/>
    <w:rsid w:val="00243259"/>
    <w:rsid w:val="00252D21"/>
    <w:rsid w:val="00296EDC"/>
    <w:rsid w:val="002A044D"/>
    <w:rsid w:val="002A2495"/>
    <w:rsid w:val="002A2A40"/>
    <w:rsid w:val="002B5050"/>
    <w:rsid w:val="002B6351"/>
    <w:rsid w:val="002B7646"/>
    <w:rsid w:val="002B7F59"/>
    <w:rsid w:val="002E0863"/>
    <w:rsid w:val="002E56EE"/>
    <w:rsid w:val="002E7394"/>
    <w:rsid w:val="002F79FF"/>
    <w:rsid w:val="003058BA"/>
    <w:rsid w:val="0032338C"/>
    <w:rsid w:val="00324366"/>
    <w:rsid w:val="00327C10"/>
    <w:rsid w:val="00335612"/>
    <w:rsid w:val="00340012"/>
    <w:rsid w:val="00347121"/>
    <w:rsid w:val="00352552"/>
    <w:rsid w:val="00361CD9"/>
    <w:rsid w:val="00362B01"/>
    <w:rsid w:val="0036651E"/>
    <w:rsid w:val="00372F47"/>
    <w:rsid w:val="00377026"/>
    <w:rsid w:val="003804A6"/>
    <w:rsid w:val="0038347D"/>
    <w:rsid w:val="00396157"/>
    <w:rsid w:val="003A05D5"/>
    <w:rsid w:val="003A3C39"/>
    <w:rsid w:val="003A4B20"/>
    <w:rsid w:val="003A6333"/>
    <w:rsid w:val="003A71CF"/>
    <w:rsid w:val="003C4797"/>
    <w:rsid w:val="003C57B2"/>
    <w:rsid w:val="003D2552"/>
    <w:rsid w:val="003D70D8"/>
    <w:rsid w:val="003F7BB0"/>
    <w:rsid w:val="004020A2"/>
    <w:rsid w:val="00411EF1"/>
    <w:rsid w:val="00417B30"/>
    <w:rsid w:val="004270B3"/>
    <w:rsid w:val="004421B1"/>
    <w:rsid w:val="00451FFE"/>
    <w:rsid w:val="00455DB7"/>
    <w:rsid w:val="004650F7"/>
    <w:rsid w:val="00467761"/>
    <w:rsid w:val="004768DE"/>
    <w:rsid w:val="00482CDA"/>
    <w:rsid w:val="00483B71"/>
    <w:rsid w:val="00486D71"/>
    <w:rsid w:val="00490CA1"/>
    <w:rsid w:val="00494369"/>
    <w:rsid w:val="00496E6D"/>
    <w:rsid w:val="004A3353"/>
    <w:rsid w:val="004B3A57"/>
    <w:rsid w:val="004B6FE9"/>
    <w:rsid w:val="004C06A7"/>
    <w:rsid w:val="004C0B76"/>
    <w:rsid w:val="004C2B90"/>
    <w:rsid w:val="004C2EA8"/>
    <w:rsid w:val="004D4E1F"/>
    <w:rsid w:val="004D6E9B"/>
    <w:rsid w:val="004F30D6"/>
    <w:rsid w:val="0050387C"/>
    <w:rsid w:val="00511BA2"/>
    <w:rsid w:val="00513301"/>
    <w:rsid w:val="00517CCB"/>
    <w:rsid w:val="00524BE7"/>
    <w:rsid w:val="00540256"/>
    <w:rsid w:val="00542D22"/>
    <w:rsid w:val="005513DD"/>
    <w:rsid w:val="005541D3"/>
    <w:rsid w:val="005634D0"/>
    <w:rsid w:val="0058682C"/>
    <w:rsid w:val="00597D1F"/>
    <w:rsid w:val="005A30EE"/>
    <w:rsid w:val="005A68CC"/>
    <w:rsid w:val="005A7FA3"/>
    <w:rsid w:val="005B1CDA"/>
    <w:rsid w:val="005B74DA"/>
    <w:rsid w:val="005D1742"/>
    <w:rsid w:val="005D6A80"/>
    <w:rsid w:val="005D75A2"/>
    <w:rsid w:val="00603A31"/>
    <w:rsid w:val="006112E7"/>
    <w:rsid w:val="00615B69"/>
    <w:rsid w:val="00620AAF"/>
    <w:rsid w:val="00623F3B"/>
    <w:rsid w:val="00625631"/>
    <w:rsid w:val="00642F57"/>
    <w:rsid w:val="006512CB"/>
    <w:rsid w:val="00657695"/>
    <w:rsid w:val="00661AEB"/>
    <w:rsid w:val="006923D4"/>
    <w:rsid w:val="006942A7"/>
    <w:rsid w:val="00694952"/>
    <w:rsid w:val="006A002F"/>
    <w:rsid w:val="006A1820"/>
    <w:rsid w:val="006A7345"/>
    <w:rsid w:val="006B2848"/>
    <w:rsid w:val="006C0B33"/>
    <w:rsid w:val="006C5F3C"/>
    <w:rsid w:val="006D7ABE"/>
    <w:rsid w:val="006F0A46"/>
    <w:rsid w:val="006F3E97"/>
    <w:rsid w:val="007171C7"/>
    <w:rsid w:val="007213E1"/>
    <w:rsid w:val="007277D0"/>
    <w:rsid w:val="00743B0B"/>
    <w:rsid w:val="0075064C"/>
    <w:rsid w:val="00750887"/>
    <w:rsid w:val="0078033B"/>
    <w:rsid w:val="007905D6"/>
    <w:rsid w:val="007C0822"/>
    <w:rsid w:val="007C586F"/>
    <w:rsid w:val="007D175E"/>
    <w:rsid w:val="007D57FE"/>
    <w:rsid w:val="007D6F7F"/>
    <w:rsid w:val="007D7397"/>
    <w:rsid w:val="007E251A"/>
    <w:rsid w:val="007F3194"/>
    <w:rsid w:val="00807C41"/>
    <w:rsid w:val="0081179C"/>
    <w:rsid w:val="00814021"/>
    <w:rsid w:val="008355EA"/>
    <w:rsid w:val="00841761"/>
    <w:rsid w:val="00845139"/>
    <w:rsid w:val="00852259"/>
    <w:rsid w:val="00865434"/>
    <w:rsid w:val="00865BDB"/>
    <w:rsid w:val="008762C8"/>
    <w:rsid w:val="00876772"/>
    <w:rsid w:val="00876AC6"/>
    <w:rsid w:val="0088311B"/>
    <w:rsid w:val="008A36E0"/>
    <w:rsid w:val="008B2A24"/>
    <w:rsid w:val="008B3D1D"/>
    <w:rsid w:val="008C60B5"/>
    <w:rsid w:val="008E02F9"/>
    <w:rsid w:val="008E7897"/>
    <w:rsid w:val="00903C14"/>
    <w:rsid w:val="009105D8"/>
    <w:rsid w:val="00917957"/>
    <w:rsid w:val="00922B02"/>
    <w:rsid w:val="00930BC3"/>
    <w:rsid w:val="00935B66"/>
    <w:rsid w:val="00941C10"/>
    <w:rsid w:val="00946906"/>
    <w:rsid w:val="00952090"/>
    <w:rsid w:val="009646BA"/>
    <w:rsid w:val="009649A2"/>
    <w:rsid w:val="00970693"/>
    <w:rsid w:val="009B72C9"/>
    <w:rsid w:val="009B7F5B"/>
    <w:rsid w:val="009C209A"/>
    <w:rsid w:val="009D5B27"/>
    <w:rsid w:val="009D6164"/>
    <w:rsid w:val="009E659C"/>
    <w:rsid w:val="009E7203"/>
    <w:rsid w:val="009F4173"/>
    <w:rsid w:val="00A0267D"/>
    <w:rsid w:val="00A056D6"/>
    <w:rsid w:val="00A16EDE"/>
    <w:rsid w:val="00A25BCC"/>
    <w:rsid w:val="00A35B23"/>
    <w:rsid w:val="00A36F39"/>
    <w:rsid w:val="00A61D69"/>
    <w:rsid w:val="00A75074"/>
    <w:rsid w:val="00A75CB6"/>
    <w:rsid w:val="00A7642A"/>
    <w:rsid w:val="00A82518"/>
    <w:rsid w:val="00A83F9C"/>
    <w:rsid w:val="00A95243"/>
    <w:rsid w:val="00AA4BFF"/>
    <w:rsid w:val="00AB5DDA"/>
    <w:rsid w:val="00AB7555"/>
    <w:rsid w:val="00AC5C0F"/>
    <w:rsid w:val="00AC69DD"/>
    <w:rsid w:val="00AD0068"/>
    <w:rsid w:val="00AD225D"/>
    <w:rsid w:val="00AD22AF"/>
    <w:rsid w:val="00B010BE"/>
    <w:rsid w:val="00B06300"/>
    <w:rsid w:val="00B07C4D"/>
    <w:rsid w:val="00B113B5"/>
    <w:rsid w:val="00B20A0F"/>
    <w:rsid w:val="00B371C7"/>
    <w:rsid w:val="00B4173F"/>
    <w:rsid w:val="00B4625F"/>
    <w:rsid w:val="00B53080"/>
    <w:rsid w:val="00B575BB"/>
    <w:rsid w:val="00B65287"/>
    <w:rsid w:val="00B66C05"/>
    <w:rsid w:val="00B728CF"/>
    <w:rsid w:val="00B77D6F"/>
    <w:rsid w:val="00B8519D"/>
    <w:rsid w:val="00BA0705"/>
    <w:rsid w:val="00BC29EB"/>
    <w:rsid w:val="00BC3508"/>
    <w:rsid w:val="00BD03CD"/>
    <w:rsid w:val="00BD1009"/>
    <w:rsid w:val="00BD1F56"/>
    <w:rsid w:val="00BD2010"/>
    <w:rsid w:val="00BD511B"/>
    <w:rsid w:val="00BD6F22"/>
    <w:rsid w:val="00C04F45"/>
    <w:rsid w:val="00C07D85"/>
    <w:rsid w:val="00C12000"/>
    <w:rsid w:val="00C23874"/>
    <w:rsid w:val="00C438D7"/>
    <w:rsid w:val="00C5168E"/>
    <w:rsid w:val="00C51E51"/>
    <w:rsid w:val="00C52661"/>
    <w:rsid w:val="00C53F83"/>
    <w:rsid w:val="00C57D04"/>
    <w:rsid w:val="00C6035E"/>
    <w:rsid w:val="00C650A7"/>
    <w:rsid w:val="00C81391"/>
    <w:rsid w:val="00C84837"/>
    <w:rsid w:val="00C943F1"/>
    <w:rsid w:val="00C96A23"/>
    <w:rsid w:val="00CA38CB"/>
    <w:rsid w:val="00CA47D3"/>
    <w:rsid w:val="00CA489F"/>
    <w:rsid w:val="00CA5E2F"/>
    <w:rsid w:val="00CB2293"/>
    <w:rsid w:val="00CB255E"/>
    <w:rsid w:val="00CD367C"/>
    <w:rsid w:val="00CE6BD9"/>
    <w:rsid w:val="00D22BAF"/>
    <w:rsid w:val="00D32BCB"/>
    <w:rsid w:val="00D33C79"/>
    <w:rsid w:val="00D35A54"/>
    <w:rsid w:val="00D362A4"/>
    <w:rsid w:val="00D43302"/>
    <w:rsid w:val="00D5145C"/>
    <w:rsid w:val="00D55BD2"/>
    <w:rsid w:val="00D56077"/>
    <w:rsid w:val="00D62A54"/>
    <w:rsid w:val="00D639AD"/>
    <w:rsid w:val="00D63F0C"/>
    <w:rsid w:val="00D671E7"/>
    <w:rsid w:val="00D802D5"/>
    <w:rsid w:val="00D86ADC"/>
    <w:rsid w:val="00D91853"/>
    <w:rsid w:val="00DA7A0A"/>
    <w:rsid w:val="00DC177A"/>
    <w:rsid w:val="00DD0DA8"/>
    <w:rsid w:val="00DE2CEE"/>
    <w:rsid w:val="00DF0694"/>
    <w:rsid w:val="00DF3E27"/>
    <w:rsid w:val="00DF472F"/>
    <w:rsid w:val="00E04EF5"/>
    <w:rsid w:val="00E3246B"/>
    <w:rsid w:val="00E41D6C"/>
    <w:rsid w:val="00E42EA5"/>
    <w:rsid w:val="00E563E3"/>
    <w:rsid w:val="00E7272A"/>
    <w:rsid w:val="00E74ABB"/>
    <w:rsid w:val="00EA5CEB"/>
    <w:rsid w:val="00EB1749"/>
    <w:rsid w:val="00EB2933"/>
    <w:rsid w:val="00EC42C6"/>
    <w:rsid w:val="00ED4175"/>
    <w:rsid w:val="00ED5417"/>
    <w:rsid w:val="00EE1849"/>
    <w:rsid w:val="00EE3633"/>
    <w:rsid w:val="00F11FC1"/>
    <w:rsid w:val="00F162EB"/>
    <w:rsid w:val="00F21DA6"/>
    <w:rsid w:val="00F2490F"/>
    <w:rsid w:val="00F25193"/>
    <w:rsid w:val="00F3478B"/>
    <w:rsid w:val="00F34FD3"/>
    <w:rsid w:val="00F42B6E"/>
    <w:rsid w:val="00F557B4"/>
    <w:rsid w:val="00F60EC4"/>
    <w:rsid w:val="00F668B2"/>
    <w:rsid w:val="00F70FED"/>
    <w:rsid w:val="00F96F1F"/>
    <w:rsid w:val="00FA17FE"/>
    <w:rsid w:val="00FA2E5D"/>
    <w:rsid w:val="00FB105F"/>
    <w:rsid w:val="00FB79F1"/>
    <w:rsid w:val="00FC0A38"/>
    <w:rsid w:val="00FC4D56"/>
    <w:rsid w:val="00FC7CEF"/>
    <w:rsid w:val="00FE1851"/>
    <w:rsid w:val="00FE5F8F"/>
    <w:rsid w:val="00FF4D1A"/>
    <w:rsid w:val="00FF4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940A10A-D0BF-4E4C-A84B-727819BF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C58DF"/>
    <w:pPr>
      <w:ind w:right="-1"/>
    </w:pPr>
    <w:rPr>
      <w:rFonts w:ascii="Arial" w:hAnsi="Arial"/>
      <w:szCs w:val="20"/>
      <w:lang w:val="en-GB" w:eastAsia="en-AU"/>
    </w:rPr>
  </w:style>
  <w:style w:type="paragraph" w:styleId="BodyText">
    <w:name w:val="Body Text"/>
    <w:basedOn w:val="Normal"/>
    <w:rsid w:val="00003CD8"/>
    <w:pPr>
      <w:spacing w:after="120"/>
    </w:pPr>
    <w:rPr>
      <w:rFonts w:ascii="ITC Officina Serif Book" w:hAnsi="ITC Officina Serif Book"/>
      <w:sz w:val="22"/>
      <w:szCs w:val="22"/>
      <w:lang w:val="en-AU" w:eastAsia="en-AU"/>
    </w:rPr>
  </w:style>
  <w:style w:type="paragraph" w:styleId="Header">
    <w:name w:val="header"/>
    <w:basedOn w:val="Normal"/>
    <w:rsid w:val="000B5FD6"/>
    <w:pPr>
      <w:tabs>
        <w:tab w:val="center" w:pos="4320"/>
        <w:tab w:val="right" w:pos="8640"/>
      </w:tabs>
    </w:pPr>
  </w:style>
  <w:style w:type="paragraph" w:styleId="BalloonText">
    <w:name w:val="Balloon Text"/>
    <w:basedOn w:val="Normal"/>
    <w:semiHidden/>
    <w:rsid w:val="002A2495"/>
    <w:rPr>
      <w:rFonts w:ascii="Tahoma" w:hAnsi="Tahoma" w:cs="Tahoma"/>
      <w:sz w:val="16"/>
      <w:szCs w:val="16"/>
    </w:rPr>
  </w:style>
  <w:style w:type="character" w:styleId="CommentReference">
    <w:name w:val="annotation reference"/>
    <w:basedOn w:val="DefaultParagraphFont"/>
    <w:rsid w:val="007E251A"/>
    <w:rPr>
      <w:sz w:val="16"/>
      <w:szCs w:val="16"/>
    </w:rPr>
  </w:style>
  <w:style w:type="paragraph" w:styleId="CommentText">
    <w:name w:val="annotation text"/>
    <w:basedOn w:val="Normal"/>
    <w:link w:val="CommentTextChar"/>
    <w:rsid w:val="007E251A"/>
    <w:rPr>
      <w:sz w:val="20"/>
      <w:szCs w:val="20"/>
    </w:rPr>
  </w:style>
  <w:style w:type="character" w:customStyle="1" w:styleId="CommentTextChar">
    <w:name w:val="Comment Text Char"/>
    <w:basedOn w:val="DefaultParagraphFont"/>
    <w:link w:val="CommentText"/>
    <w:rsid w:val="007E251A"/>
    <w:rPr>
      <w:lang w:val="en-US" w:eastAsia="en-US"/>
    </w:rPr>
  </w:style>
  <w:style w:type="paragraph" w:styleId="CommentSubject">
    <w:name w:val="annotation subject"/>
    <w:basedOn w:val="CommentText"/>
    <w:next w:val="CommentText"/>
    <w:link w:val="CommentSubjectChar"/>
    <w:rsid w:val="007E251A"/>
    <w:rPr>
      <w:b/>
      <w:bCs/>
    </w:rPr>
  </w:style>
  <w:style w:type="character" w:customStyle="1" w:styleId="CommentSubjectChar">
    <w:name w:val="Comment Subject Char"/>
    <w:basedOn w:val="CommentTextChar"/>
    <w:link w:val="CommentSubject"/>
    <w:rsid w:val="007E251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8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3408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National Capital Authority</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SmithJ</dc:creator>
  <cp:keywords/>
  <dc:description/>
  <cp:lastModifiedBy>Rebecca Sorensen</cp:lastModifiedBy>
  <cp:revision>2</cp:revision>
  <cp:lastPrinted>2016-01-28T03:38:00Z</cp:lastPrinted>
  <dcterms:created xsi:type="dcterms:W3CDTF">2019-09-10T23:07:00Z</dcterms:created>
  <dcterms:modified xsi:type="dcterms:W3CDTF">2019-09-10T23:07:00Z</dcterms:modified>
</cp:coreProperties>
</file>