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CDA" w:rsidRDefault="00600CDA" w:rsidP="00600CDA">
      <w:pPr>
        <w:rPr>
          <w:lang w:val="en-GB"/>
        </w:rPr>
      </w:pPr>
    </w:p>
    <w:p w:rsidR="00600CDA" w:rsidRDefault="00600CDA" w:rsidP="00600CDA">
      <w:pPr>
        <w:rPr>
          <w:lang w:val="en-GB"/>
        </w:rPr>
      </w:pPr>
    </w:p>
    <w:p w:rsidR="00600CDA" w:rsidRDefault="00600CDA" w:rsidP="00600CDA">
      <w:pPr>
        <w:rPr>
          <w:lang w:val="en-GB"/>
        </w:rPr>
      </w:pPr>
    </w:p>
    <w:p w:rsidR="00600CDA" w:rsidRDefault="00600CDA" w:rsidP="00600CDA">
      <w:pPr>
        <w:pStyle w:val="Heading1"/>
        <w:tabs>
          <w:tab w:val="left" w:pos="-142"/>
        </w:tabs>
        <w:rPr>
          <w:b w:val="0"/>
        </w:rPr>
      </w:pPr>
      <w:r w:rsidRPr="00F32AB6">
        <w:rPr>
          <w:b w:val="0"/>
          <w:noProof/>
          <w:lang w:val="en-AU"/>
        </w:rPr>
        <w:drawing>
          <wp:inline distT="0" distB="0" distL="0" distR="0" wp14:anchorId="037D7721" wp14:editId="7F4FDF43">
            <wp:extent cx="1704975" cy="1181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CDA" w:rsidRPr="00FC64CE" w:rsidRDefault="00600CDA" w:rsidP="00600CDA">
      <w:pPr>
        <w:rPr>
          <w:lang w:val="en-GB"/>
        </w:rPr>
      </w:pPr>
    </w:p>
    <w:p w:rsidR="00600CDA" w:rsidRPr="00FC64CE" w:rsidRDefault="00600CDA" w:rsidP="00600CDA">
      <w:pPr>
        <w:pStyle w:val="Heading9"/>
        <w:jc w:val="left"/>
        <w:rPr>
          <w:rFonts w:ascii="Times New Roman" w:hAnsi="Times New Roman"/>
          <w:b w:val="0"/>
          <w:color w:val="000000"/>
          <w:sz w:val="28"/>
          <w:szCs w:val="28"/>
        </w:rPr>
      </w:pPr>
      <w:r w:rsidRPr="00FC64CE">
        <w:rPr>
          <w:rFonts w:ascii="Times New Roman" w:hAnsi="Times New Roman"/>
          <w:b w:val="0"/>
          <w:color w:val="000000"/>
          <w:sz w:val="28"/>
          <w:szCs w:val="28"/>
        </w:rPr>
        <w:t>Repatriation Commission</w:t>
      </w:r>
    </w:p>
    <w:p w:rsidR="00600CDA" w:rsidRPr="006D3A68" w:rsidRDefault="00600CDA" w:rsidP="00600C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color w:val="000000"/>
        </w:rPr>
      </w:pPr>
    </w:p>
    <w:p w:rsidR="00600CDA" w:rsidRDefault="00600CDA" w:rsidP="00600CDA">
      <w:pPr>
        <w:rPr>
          <w:b/>
          <w:color w:val="000000"/>
          <w:sz w:val="32"/>
        </w:rPr>
      </w:pPr>
    </w:p>
    <w:p w:rsidR="00600CDA" w:rsidRPr="00FC64CE" w:rsidRDefault="00600CDA" w:rsidP="00600CDA">
      <w:pPr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Veterans’</w:t>
      </w:r>
      <w:r w:rsidRPr="00FC64CE">
        <w:rPr>
          <w:b/>
          <w:color w:val="000000"/>
          <w:sz w:val="36"/>
          <w:szCs w:val="36"/>
        </w:rPr>
        <w:t xml:space="preserve"> Entitlements </w:t>
      </w:r>
      <w:r w:rsidRPr="005173BA">
        <w:rPr>
          <w:b/>
          <w:sz w:val="36"/>
          <w:szCs w:val="36"/>
        </w:rPr>
        <w:t>(Partner Service Pension </w:t>
      </w:r>
      <w:r>
        <w:rPr>
          <w:b/>
          <w:sz w:val="36"/>
          <w:szCs w:val="36"/>
        </w:rPr>
        <w:t>— </w:t>
      </w:r>
      <w:r w:rsidRPr="005173BA">
        <w:rPr>
          <w:b/>
          <w:sz w:val="36"/>
          <w:szCs w:val="36"/>
        </w:rPr>
        <w:t xml:space="preserve">Retention of Eligibility) </w:t>
      </w:r>
      <w:r w:rsidRPr="00FC64CE">
        <w:rPr>
          <w:b/>
          <w:color w:val="000000"/>
          <w:sz w:val="36"/>
          <w:szCs w:val="36"/>
        </w:rPr>
        <w:t xml:space="preserve">Determination </w:t>
      </w:r>
      <w:r>
        <w:rPr>
          <w:b/>
          <w:color w:val="000000"/>
          <w:sz w:val="36"/>
          <w:szCs w:val="36"/>
        </w:rPr>
        <w:t>2019</w:t>
      </w:r>
    </w:p>
    <w:p w:rsidR="00600CDA" w:rsidRPr="006D3A68" w:rsidRDefault="00600CDA" w:rsidP="00600CDA">
      <w:pPr>
        <w:pStyle w:val="BodyText"/>
        <w:ind w:left="1134" w:hanging="1134"/>
        <w:rPr>
          <w:rFonts w:ascii="Times New Roman" w:hAnsi="Times New Roman"/>
          <w:color w:val="000000"/>
        </w:rPr>
      </w:pPr>
    </w:p>
    <w:p w:rsidR="00600CDA" w:rsidRDefault="00600CDA" w:rsidP="00600CDA">
      <w:pPr>
        <w:rPr>
          <w:color w:val="000000"/>
          <w:u w:val="single"/>
        </w:rPr>
      </w:pPr>
      <w:r w:rsidRPr="00AF4A81">
        <w:rPr>
          <w:color w:val="000000"/>
          <w:u w:val="single"/>
        </w:rPr>
        <w:t>Instrument 201</w:t>
      </w:r>
      <w:r>
        <w:rPr>
          <w:color w:val="000000"/>
          <w:u w:val="single"/>
        </w:rPr>
        <w:t>9</w:t>
      </w:r>
      <w:r w:rsidRPr="00AF4A81">
        <w:rPr>
          <w:color w:val="000000"/>
          <w:u w:val="single"/>
        </w:rPr>
        <w:t xml:space="preserve"> No. R</w:t>
      </w:r>
      <w:r>
        <w:rPr>
          <w:color w:val="000000"/>
          <w:u w:val="single"/>
        </w:rPr>
        <w:t>24</w:t>
      </w:r>
    </w:p>
    <w:p w:rsidR="00600CDA" w:rsidRDefault="00600CDA" w:rsidP="00600CDA">
      <w:pPr>
        <w:rPr>
          <w:color w:val="000000"/>
          <w:u w:val="single"/>
        </w:rPr>
      </w:pPr>
    </w:p>
    <w:p w:rsidR="00600CDA" w:rsidRDefault="00600CDA" w:rsidP="00600C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1"/>
      </w:tblGrid>
      <w:tr w:rsidR="00600CDA" w:rsidTr="007D0F68">
        <w:tc>
          <w:tcPr>
            <w:tcW w:w="8494" w:type="dxa"/>
          </w:tcPr>
          <w:p w:rsidR="00600CDA" w:rsidRPr="00521F40" w:rsidRDefault="00600CDA" w:rsidP="007D0F68"/>
          <w:tbl>
            <w:tblPr>
              <w:tblW w:w="864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647"/>
            </w:tblGrid>
            <w:tr w:rsidR="00600CDA" w:rsidRPr="009C7E75" w:rsidTr="007D0F68">
              <w:trPr>
                <w:trHeight w:val="80"/>
              </w:trPr>
              <w:tc>
                <w:tcPr>
                  <w:tcW w:w="86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00CDA" w:rsidRPr="00D25FAF" w:rsidRDefault="00600CDA" w:rsidP="007D0F68">
                  <w:pPr>
                    <w:pStyle w:val="Firstpara"/>
                    <w:spacing w:before="120" w:after="0"/>
                    <w:rPr>
                      <w:szCs w:val="24"/>
                    </w:rPr>
                  </w:pPr>
                  <w:r w:rsidRPr="00D25FAF">
                    <w:rPr>
                      <w:szCs w:val="24"/>
                    </w:rPr>
                    <w:t xml:space="preserve">The </w:t>
                  </w:r>
                  <w:r w:rsidRPr="00D25FAF">
                    <w:rPr>
                      <w:szCs w:val="24"/>
                      <w:u w:val="single"/>
                    </w:rPr>
                    <w:t>Repatriation Commission</w:t>
                  </w:r>
                  <w:r w:rsidRPr="00D25FAF">
                    <w:rPr>
                      <w:szCs w:val="24"/>
                    </w:rPr>
                    <w:t xml:space="preserve">, under </w:t>
                  </w:r>
                  <w:r w:rsidRPr="00630037">
                    <w:t xml:space="preserve">subsection 38 (2AD) </w:t>
                  </w:r>
                  <w:r w:rsidRPr="00915483">
                    <w:rPr>
                      <w:szCs w:val="24"/>
                    </w:rPr>
                    <w:t xml:space="preserve">of the </w:t>
                  </w:r>
                  <w:r w:rsidRPr="00915483">
                    <w:rPr>
                      <w:i/>
                      <w:szCs w:val="24"/>
                    </w:rPr>
                    <w:t>Veterans’</w:t>
                  </w:r>
                  <w:r w:rsidRPr="00D25FAF">
                    <w:rPr>
                      <w:i/>
                      <w:szCs w:val="24"/>
                    </w:rPr>
                    <w:t xml:space="preserve"> Entitlements Act 1986</w:t>
                  </w:r>
                  <w:r>
                    <w:rPr>
                      <w:szCs w:val="24"/>
                    </w:rPr>
                    <w:t xml:space="preserve">, </w:t>
                  </w:r>
                  <w:r w:rsidRPr="00D25FAF">
                    <w:rPr>
                      <w:szCs w:val="24"/>
                    </w:rPr>
                    <w:t>makes the following instrument.</w:t>
                  </w:r>
                </w:p>
                <w:p w:rsidR="00600CDA" w:rsidRPr="00D25FAF" w:rsidRDefault="00600CDA" w:rsidP="007D0F68">
                  <w:pPr>
                    <w:pStyle w:val="Firstpara"/>
                    <w:spacing w:before="0" w:after="0"/>
                    <w:rPr>
                      <w:szCs w:val="24"/>
                    </w:rPr>
                  </w:pPr>
                </w:p>
                <w:p w:rsidR="00600CDA" w:rsidRPr="00D25FAF" w:rsidRDefault="00600CDA" w:rsidP="007D0F68">
                  <w:pPr>
                    <w:pStyle w:val="Firstpara"/>
                    <w:tabs>
                      <w:tab w:val="left" w:pos="1980"/>
                      <w:tab w:val="left" w:pos="2340"/>
                      <w:tab w:val="left" w:pos="4860"/>
                    </w:tabs>
                    <w:spacing w:before="120"/>
                    <w:rPr>
                      <w:szCs w:val="24"/>
                    </w:rPr>
                  </w:pPr>
                </w:p>
                <w:p w:rsidR="00600CDA" w:rsidRPr="00D25FAF" w:rsidRDefault="00600CDA" w:rsidP="007D0F68">
                  <w:pPr>
                    <w:pStyle w:val="Firstpara"/>
                    <w:tabs>
                      <w:tab w:val="left" w:pos="1980"/>
                      <w:tab w:val="left" w:pos="2340"/>
                      <w:tab w:val="left" w:pos="4860"/>
                    </w:tabs>
                    <w:spacing w:before="120"/>
                    <w:rPr>
                      <w:szCs w:val="24"/>
                    </w:rPr>
                  </w:pPr>
                  <w:r w:rsidRPr="00D25FAF">
                    <w:rPr>
                      <w:szCs w:val="24"/>
                    </w:rPr>
                    <w:t xml:space="preserve">Dated this </w:t>
                  </w:r>
                  <w:r>
                    <w:rPr>
                      <w:szCs w:val="24"/>
                    </w:rPr>
                    <w:t xml:space="preserve">    </w:t>
                  </w:r>
                  <w:r w:rsidR="00983867">
                    <w:rPr>
                      <w:szCs w:val="24"/>
                    </w:rPr>
                    <w:t>5</w:t>
                  </w:r>
                  <w:r w:rsidR="00983867" w:rsidRPr="00983867">
                    <w:rPr>
                      <w:szCs w:val="24"/>
                      <w:vertAlign w:val="superscript"/>
                    </w:rPr>
                    <w:t>th</w:t>
                  </w:r>
                  <w:r w:rsidR="00983867">
                    <w:rPr>
                      <w:szCs w:val="24"/>
                    </w:rPr>
                    <w:t xml:space="preserve">     </w:t>
                  </w:r>
                  <w:r>
                    <w:rPr>
                      <w:szCs w:val="24"/>
                    </w:rPr>
                    <w:t xml:space="preserve">of      </w:t>
                  </w:r>
                  <w:r w:rsidR="00983867">
                    <w:rPr>
                      <w:szCs w:val="24"/>
                    </w:rPr>
                    <w:t xml:space="preserve">September     </w:t>
                  </w:r>
                  <w:r w:rsidRPr="00D25FAF">
                    <w:rPr>
                      <w:szCs w:val="24"/>
                    </w:rPr>
                    <w:t>201</w:t>
                  </w:r>
                  <w:r>
                    <w:rPr>
                      <w:szCs w:val="24"/>
                    </w:rPr>
                    <w:t>9</w:t>
                  </w:r>
                </w:p>
                <w:p w:rsidR="00600CDA" w:rsidRPr="00D25FAF" w:rsidRDefault="00600CDA" w:rsidP="007D0F68">
                  <w:pPr>
                    <w:tabs>
                      <w:tab w:val="left" w:pos="2880"/>
                    </w:tabs>
                    <w:ind w:right="-239"/>
                    <w:rPr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210"/>
                    <w:gridCol w:w="4211"/>
                  </w:tblGrid>
                  <w:tr w:rsidR="00763666" w:rsidTr="00763666">
                    <w:tc>
                      <w:tcPr>
                        <w:tcW w:w="4210" w:type="dxa"/>
                      </w:tcPr>
                      <w:p w:rsidR="00763666" w:rsidRDefault="00763666" w:rsidP="007D0F68">
                        <w:pPr>
                          <w:tabs>
                            <w:tab w:val="left" w:pos="2880"/>
                          </w:tabs>
                          <w:ind w:right="-23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The Seal of the </w:t>
                        </w:r>
                      </w:p>
                      <w:p w:rsidR="00763666" w:rsidRDefault="00763666" w:rsidP="007D0F68">
                        <w:pPr>
                          <w:tabs>
                            <w:tab w:val="left" w:pos="2880"/>
                          </w:tabs>
                          <w:ind w:right="-23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Repatriation Commission</w:t>
                        </w:r>
                      </w:p>
                      <w:p w:rsidR="00763666" w:rsidRDefault="00763666" w:rsidP="007D0F68">
                        <w:pPr>
                          <w:tabs>
                            <w:tab w:val="left" w:pos="2880"/>
                          </w:tabs>
                          <w:ind w:right="-23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was affixed hereto in the </w:t>
                        </w:r>
                      </w:p>
                      <w:p w:rsidR="00763666" w:rsidRDefault="00763666" w:rsidP="007D0F68">
                        <w:pPr>
                          <w:tabs>
                            <w:tab w:val="left" w:pos="2880"/>
                          </w:tabs>
                          <w:ind w:right="-23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presence of:</w:t>
                        </w:r>
                      </w:p>
                    </w:tc>
                    <w:tc>
                      <w:tcPr>
                        <w:tcW w:w="4211" w:type="dxa"/>
                      </w:tcPr>
                      <w:p w:rsidR="00763666" w:rsidRDefault="00763666" w:rsidP="007D0F68">
                        <w:pPr>
                          <w:tabs>
                            <w:tab w:val="left" w:pos="2880"/>
                          </w:tabs>
                          <w:ind w:right="-239"/>
                          <w:rPr>
                            <w:sz w:val="24"/>
                            <w:szCs w:val="24"/>
                          </w:rPr>
                        </w:pPr>
                      </w:p>
                      <w:p w:rsidR="00763666" w:rsidRDefault="00763666" w:rsidP="007D0F68">
                        <w:pPr>
                          <w:tabs>
                            <w:tab w:val="left" w:pos="2880"/>
                          </w:tabs>
                          <w:ind w:right="-23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SEAL</w:t>
                        </w:r>
                      </w:p>
                    </w:tc>
                  </w:tr>
                </w:tbl>
                <w:p w:rsidR="00600CDA" w:rsidRPr="00D25FAF" w:rsidRDefault="00600CDA" w:rsidP="007D0F68">
                  <w:pPr>
                    <w:tabs>
                      <w:tab w:val="left" w:pos="2880"/>
                    </w:tabs>
                    <w:ind w:right="-239"/>
                    <w:rPr>
                      <w:sz w:val="24"/>
                      <w:szCs w:val="24"/>
                    </w:rPr>
                  </w:pPr>
                </w:p>
                <w:p w:rsidR="00600CDA" w:rsidRDefault="00600CDA" w:rsidP="007D0F68">
                  <w:pPr>
                    <w:tabs>
                      <w:tab w:val="left" w:pos="2232"/>
                    </w:tabs>
                    <w:ind w:left="-1080" w:right="-239" w:firstLine="1080"/>
                  </w:pPr>
                </w:p>
                <w:p w:rsidR="00077E17" w:rsidRPr="00FF676F" w:rsidRDefault="00077E17" w:rsidP="00077E17">
                  <w:pPr>
                    <w:rPr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054"/>
                    <w:gridCol w:w="961"/>
                    <w:gridCol w:w="3416"/>
                  </w:tblGrid>
                  <w:tr w:rsidR="00077E17" w:rsidRPr="00FF676F" w:rsidTr="00C37A3A">
                    <w:tc>
                      <w:tcPr>
                        <w:tcW w:w="4054" w:type="dxa"/>
                        <w:shd w:val="clear" w:color="auto" w:fill="auto"/>
                      </w:tcPr>
                      <w:p w:rsidR="00077E17" w:rsidRPr="00193841" w:rsidRDefault="00077E17" w:rsidP="00077E17">
                        <w:pPr>
                          <w:jc w:val="center"/>
                          <w:rPr>
                            <w:b/>
                          </w:rPr>
                        </w:pPr>
                        <w:r w:rsidRPr="00FF676F">
                          <w:t>…</w:t>
                        </w:r>
                        <w:r w:rsidR="00983867">
                          <w:t xml:space="preserve">Elizabeth </w:t>
                        </w:r>
                        <w:proofErr w:type="spellStart"/>
                        <w:r w:rsidR="00983867">
                          <w:t>Cosson</w:t>
                        </w:r>
                        <w:proofErr w:type="spellEnd"/>
                        <w:r w:rsidR="00983867">
                          <w:t>…</w:t>
                        </w:r>
                      </w:p>
                    </w:tc>
                    <w:tc>
                      <w:tcPr>
                        <w:tcW w:w="961" w:type="dxa"/>
                        <w:shd w:val="clear" w:color="auto" w:fill="auto"/>
                      </w:tcPr>
                      <w:p w:rsidR="00077E17" w:rsidRPr="00FF676F" w:rsidRDefault="00077E17" w:rsidP="00077E1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416" w:type="dxa"/>
                        <w:shd w:val="clear" w:color="auto" w:fill="auto"/>
                      </w:tcPr>
                      <w:p w:rsidR="00077E17" w:rsidRPr="00193841" w:rsidRDefault="00077E17" w:rsidP="00983867">
                        <w:pPr>
                          <w:jc w:val="center"/>
                          <w:rPr>
                            <w:b/>
                          </w:rPr>
                        </w:pPr>
                        <w:r w:rsidRPr="00193841">
                          <w:t>…</w:t>
                        </w:r>
                        <w:r w:rsidR="00983867" w:rsidRPr="00193841">
                          <w:t>………</w:t>
                        </w:r>
                        <w:r w:rsidR="00983867">
                          <w:t xml:space="preserve">D </w:t>
                        </w:r>
                        <w:proofErr w:type="spellStart"/>
                        <w:r w:rsidR="00983867">
                          <w:t>Spinks</w:t>
                        </w:r>
                        <w:proofErr w:type="spellEnd"/>
                        <w:r w:rsidRPr="00193841">
                          <w:t>……………</w:t>
                        </w:r>
                      </w:p>
                    </w:tc>
                  </w:tr>
                  <w:tr w:rsidR="00983867" w:rsidRPr="00FF676F" w:rsidTr="00C37A3A">
                    <w:tc>
                      <w:tcPr>
                        <w:tcW w:w="4054" w:type="dxa"/>
                        <w:shd w:val="clear" w:color="auto" w:fill="auto"/>
                      </w:tcPr>
                      <w:p w:rsidR="00983867" w:rsidRPr="00FF676F" w:rsidRDefault="00983867" w:rsidP="00983867">
                        <w:pPr>
                          <w:jc w:val="center"/>
                          <w:rPr>
                            <w:b/>
                          </w:rPr>
                        </w:pPr>
                        <w:r w:rsidRPr="00FF676F">
                          <w:rPr>
                            <w:b/>
                          </w:rPr>
                          <w:t>ELIZABETH COSSON</w:t>
                        </w:r>
                      </w:p>
                    </w:tc>
                    <w:tc>
                      <w:tcPr>
                        <w:tcW w:w="961" w:type="dxa"/>
                        <w:shd w:val="clear" w:color="auto" w:fill="auto"/>
                      </w:tcPr>
                      <w:p w:rsidR="00983867" w:rsidRPr="00FF676F" w:rsidRDefault="00983867" w:rsidP="0098386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416" w:type="dxa"/>
                        <w:shd w:val="clear" w:color="auto" w:fill="auto"/>
                      </w:tcPr>
                      <w:p w:rsidR="00983867" w:rsidRPr="00FF676F" w:rsidRDefault="00983867" w:rsidP="00983867">
                        <w:pPr>
                          <w:jc w:val="center"/>
                          <w:rPr>
                            <w:b/>
                          </w:rPr>
                        </w:pPr>
                        <w:r w:rsidRPr="00FF676F">
                          <w:rPr>
                            <w:b/>
                          </w:rPr>
                          <w:t>DONALD SPINKS</w:t>
                        </w:r>
                      </w:p>
                    </w:tc>
                  </w:tr>
                  <w:tr w:rsidR="00983867" w:rsidRPr="00FF676F" w:rsidTr="00C37A3A">
                    <w:trPr>
                      <w:trHeight w:val="102"/>
                    </w:trPr>
                    <w:tc>
                      <w:tcPr>
                        <w:tcW w:w="4054" w:type="dxa"/>
                        <w:shd w:val="clear" w:color="auto" w:fill="auto"/>
                      </w:tcPr>
                      <w:p w:rsidR="00983867" w:rsidRPr="00FF676F" w:rsidRDefault="00983867" w:rsidP="00983867">
                        <w:pPr>
                          <w:jc w:val="center"/>
                          <w:rPr>
                            <w:b/>
                          </w:rPr>
                        </w:pPr>
                        <w:r w:rsidRPr="00FF676F">
                          <w:rPr>
                            <w:b/>
                          </w:rPr>
                          <w:t>AM CSC</w:t>
                        </w:r>
                      </w:p>
                    </w:tc>
                    <w:tc>
                      <w:tcPr>
                        <w:tcW w:w="961" w:type="dxa"/>
                        <w:shd w:val="clear" w:color="auto" w:fill="auto"/>
                      </w:tcPr>
                      <w:p w:rsidR="00983867" w:rsidRPr="00FF676F" w:rsidRDefault="00983867" w:rsidP="0098386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416" w:type="dxa"/>
                        <w:shd w:val="clear" w:color="auto" w:fill="auto"/>
                      </w:tcPr>
                      <w:p w:rsidR="00983867" w:rsidRPr="00FF676F" w:rsidRDefault="00983867" w:rsidP="00983867">
                        <w:pPr>
                          <w:jc w:val="center"/>
                          <w:rPr>
                            <w:b/>
                          </w:rPr>
                        </w:pPr>
                        <w:r w:rsidRPr="00FF676F">
                          <w:rPr>
                            <w:b/>
                          </w:rPr>
                          <w:t>AM</w:t>
                        </w:r>
                      </w:p>
                    </w:tc>
                  </w:tr>
                  <w:tr w:rsidR="00983867" w:rsidRPr="00FF676F" w:rsidTr="00C37A3A">
                    <w:tc>
                      <w:tcPr>
                        <w:tcW w:w="4054" w:type="dxa"/>
                        <w:shd w:val="clear" w:color="auto" w:fill="auto"/>
                      </w:tcPr>
                      <w:p w:rsidR="00983867" w:rsidRPr="00FF676F" w:rsidRDefault="00983867" w:rsidP="00983867">
                        <w:pPr>
                          <w:jc w:val="center"/>
                          <w:rPr>
                            <w:b/>
                          </w:rPr>
                        </w:pPr>
                        <w:r w:rsidRPr="00FF676F">
                          <w:rPr>
                            <w:b/>
                          </w:rPr>
                          <w:t>PRESIDENT</w:t>
                        </w:r>
                      </w:p>
                    </w:tc>
                    <w:tc>
                      <w:tcPr>
                        <w:tcW w:w="961" w:type="dxa"/>
                        <w:shd w:val="clear" w:color="auto" w:fill="auto"/>
                      </w:tcPr>
                      <w:p w:rsidR="00983867" w:rsidRPr="00FF676F" w:rsidRDefault="00983867" w:rsidP="0098386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416" w:type="dxa"/>
                        <w:shd w:val="clear" w:color="auto" w:fill="auto"/>
                      </w:tcPr>
                      <w:p w:rsidR="00983867" w:rsidRPr="00FF676F" w:rsidRDefault="00983867" w:rsidP="00983867">
                        <w:pPr>
                          <w:jc w:val="center"/>
                          <w:rPr>
                            <w:b/>
                          </w:rPr>
                        </w:pPr>
                        <w:r w:rsidRPr="00FF676F">
                          <w:rPr>
                            <w:b/>
                          </w:rPr>
                          <w:t>COMMISSIONER</w:t>
                        </w:r>
                      </w:p>
                      <w:p w:rsidR="00983867" w:rsidRPr="00FF676F" w:rsidRDefault="00983867" w:rsidP="0098386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983867" w:rsidRPr="00FF676F" w:rsidTr="00C37A3A">
                    <w:tc>
                      <w:tcPr>
                        <w:tcW w:w="4054" w:type="dxa"/>
                        <w:shd w:val="clear" w:color="auto" w:fill="auto"/>
                      </w:tcPr>
                      <w:p w:rsidR="00983867" w:rsidRPr="00FF676F" w:rsidRDefault="00983867" w:rsidP="0098386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61" w:type="dxa"/>
                        <w:shd w:val="clear" w:color="auto" w:fill="auto"/>
                      </w:tcPr>
                      <w:p w:rsidR="00983867" w:rsidRPr="00FF676F" w:rsidRDefault="00983867" w:rsidP="0098386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416" w:type="dxa"/>
                        <w:shd w:val="clear" w:color="auto" w:fill="auto"/>
                      </w:tcPr>
                      <w:p w:rsidR="00983867" w:rsidRPr="00FF676F" w:rsidRDefault="00983867" w:rsidP="0098386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983867" w:rsidRPr="00FF676F" w:rsidTr="00C37A3A">
                    <w:tc>
                      <w:tcPr>
                        <w:tcW w:w="4054" w:type="dxa"/>
                        <w:shd w:val="clear" w:color="auto" w:fill="auto"/>
                      </w:tcPr>
                      <w:p w:rsidR="00983867" w:rsidRPr="00FF676F" w:rsidRDefault="00983867" w:rsidP="0098386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61" w:type="dxa"/>
                        <w:shd w:val="clear" w:color="auto" w:fill="auto"/>
                      </w:tcPr>
                      <w:p w:rsidR="00983867" w:rsidRPr="00FF676F" w:rsidRDefault="00983867" w:rsidP="0098386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416" w:type="dxa"/>
                        <w:shd w:val="clear" w:color="auto" w:fill="auto"/>
                      </w:tcPr>
                      <w:p w:rsidR="00983867" w:rsidRPr="00FF676F" w:rsidRDefault="00983867" w:rsidP="0098386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983867" w:rsidRPr="00FF676F" w:rsidTr="00C37A3A">
                    <w:tc>
                      <w:tcPr>
                        <w:tcW w:w="4054" w:type="dxa"/>
                        <w:shd w:val="clear" w:color="auto" w:fill="auto"/>
                      </w:tcPr>
                      <w:p w:rsidR="00983867" w:rsidRPr="00FF676F" w:rsidRDefault="00983867" w:rsidP="0098386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61" w:type="dxa"/>
                        <w:shd w:val="clear" w:color="auto" w:fill="auto"/>
                      </w:tcPr>
                      <w:p w:rsidR="00983867" w:rsidRPr="00FF676F" w:rsidRDefault="00983867" w:rsidP="0098386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416" w:type="dxa"/>
                        <w:shd w:val="clear" w:color="auto" w:fill="auto"/>
                      </w:tcPr>
                      <w:p w:rsidR="00983867" w:rsidRPr="00FF676F" w:rsidRDefault="00983867" w:rsidP="0098386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983867" w:rsidRPr="00FF676F" w:rsidTr="00C37A3A">
                    <w:tc>
                      <w:tcPr>
                        <w:tcW w:w="4054" w:type="dxa"/>
                        <w:shd w:val="clear" w:color="auto" w:fill="auto"/>
                      </w:tcPr>
                      <w:p w:rsidR="00983867" w:rsidRPr="00FF676F" w:rsidRDefault="00983867" w:rsidP="0098386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61" w:type="dxa"/>
                        <w:shd w:val="clear" w:color="auto" w:fill="auto"/>
                      </w:tcPr>
                      <w:p w:rsidR="00983867" w:rsidRPr="00FF676F" w:rsidRDefault="00983867" w:rsidP="0098386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416" w:type="dxa"/>
                        <w:shd w:val="clear" w:color="auto" w:fill="auto"/>
                      </w:tcPr>
                      <w:p w:rsidR="00983867" w:rsidRPr="00FF676F" w:rsidRDefault="00983867" w:rsidP="0098386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983867" w:rsidRPr="00FF676F" w:rsidTr="00C37A3A">
                    <w:tc>
                      <w:tcPr>
                        <w:tcW w:w="4054" w:type="dxa"/>
                        <w:shd w:val="clear" w:color="auto" w:fill="auto"/>
                      </w:tcPr>
                      <w:p w:rsidR="00983867" w:rsidRPr="00FF676F" w:rsidRDefault="00983867" w:rsidP="0098386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61" w:type="dxa"/>
                        <w:shd w:val="clear" w:color="auto" w:fill="auto"/>
                      </w:tcPr>
                      <w:p w:rsidR="00983867" w:rsidRPr="00FF676F" w:rsidRDefault="00983867" w:rsidP="0098386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416" w:type="dxa"/>
                        <w:shd w:val="clear" w:color="auto" w:fill="auto"/>
                      </w:tcPr>
                      <w:p w:rsidR="00983867" w:rsidRPr="00FF676F" w:rsidRDefault="00983867" w:rsidP="0098386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983867" w:rsidRPr="00FF676F" w:rsidTr="00C37A3A">
                    <w:tc>
                      <w:tcPr>
                        <w:tcW w:w="4054" w:type="dxa"/>
                        <w:shd w:val="clear" w:color="auto" w:fill="auto"/>
                      </w:tcPr>
                      <w:p w:rsidR="00983867" w:rsidRPr="00FF676F" w:rsidRDefault="00983867" w:rsidP="0098386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61" w:type="dxa"/>
                        <w:shd w:val="clear" w:color="auto" w:fill="auto"/>
                      </w:tcPr>
                      <w:p w:rsidR="00983867" w:rsidRPr="00FF676F" w:rsidRDefault="00983867" w:rsidP="0098386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416" w:type="dxa"/>
                        <w:shd w:val="clear" w:color="auto" w:fill="auto"/>
                      </w:tcPr>
                      <w:p w:rsidR="00983867" w:rsidRPr="00FF676F" w:rsidRDefault="00983867" w:rsidP="0098386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983867" w:rsidRPr="00FF676F" w:rsidTr="00C37A3A">
                    <w:tc>
                      <w:tcPr>
                        <w:tcW w:w="4054" w:type="dxa"/>
                        <w:shd w:val="clear" w:color="auto" w:fill="auto"/>
                      </w:tcPr>
                      <w:p w:rsidR="00983867" w:rsidRPr="00FF676F" w:rsidRDefault="00983867" w:rsidP="0098386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61" w:type="dxa"/>
                        <w:shd w:val="clear" w:color="auto" w:fill="auto"/>
                      </w:tcPr>
                      <w:p w:rsidR="00983867" w:rsidRPr="00FF676F" w:rsidRDefault="00983867" w:rsidP="0098386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416" w:type="dxa"/>
                        <w:shd w:val="clear" w:color="auto" w:fill="auto"/>
                      </w:tcPr>
                      <w:p w:rsidR="00983867" w:rsidRPr="00FF676F" w:rsidRDefault="00983867" w:rsidP="0098386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</w:tbl>
                <w:p w:rsidR="00600CDA" w:rsidRPr="009C7E75" w:rsidRDefault="00600CDA" w:rsidP="00C820D0">
                  <w:pPr>
                    <w:tabs>
                      <w:tab w:val="left" w:pos="2232"/>
                    </w:tabs>
                    <w:ind w:left="-1080" w:right="-239" w:firstLine="1080"/>
                    <w:rPr>
                      <w:sz w:val="18"/>
                      <w:szCs w:val="18"/>
                    </w:rPr>
                  </w:pPr>
                </w:p>
              </w:tc>
            </w:tr>
            <w:tr w:rsidR="00983867" w:rsidRPr="009C7E75" w:rsidTr="007D0F68">
              <w:trPr>
                <w:trHeight w:val="80"/>
              </w:trPr>
              <w:tc>
                <w:tcPr>
                  <w:tcW w:w="86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83867" w:rsidRPr="00D25FAF" w:rsidRDefault="00983867" w:rsidP="007D0F68">
                  <w:pPr>
                    <w:pStyle w:val="Firstpara"/>
                    <w:spacing w:before="120" w:after="0"/>
                    <w:rPr>
                      <w:szCs w:val="24"/>
                    </w:rPr>
                  </w:pPr>
                </w:p>
              </w:tc>
            </w:tr>
          </w:tbl>
          <w:p w:rsidR="00600CDA" w:rsidRDefault="00600CDA" w:rsidP="007D0F68"/>
        </w:tc>
      </w:tr>
    </w:tbl>
    <w:p w:rsidR="00600CDA" w:rsidRDefault="00600CDA" w:rsidP="00600CDA"/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600CDA" w:rsidRPr="009C7E75" w:rsidTr="007D0F68">
        <w:trPr>
          <w:trHeight w:val="8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CDA" w:rsidRPr="009C7E75" w:rsidRDefault="00600CDA" w:rsidP="007D0F68">
            <w:pPr>
              <w:tabs>
                <w:tab w:val="left" w:pos="0"/>
              </w:tabs>
              <w:ind w:right="-239"/>
              <w:rPr>
                <w:sz w:val="18"/>
                <w:szCs w:val="18"/>
              </w:rPr>
            </w:pPr>
          </w:p>
        </w:tc>
      </w:tr>
    </w:tbl>
    <w:p w:rsidR="00600CDA" w:rsidRPr="00503DF9" w:rsidRDefault="00600CDA" w:rsidP="00600CDA">
      <w:pPr>
        <w:pStyle w:val="ActHead5"/>
        <w:ind w:left="0" w:firstLine="0"/>
        <w:rPr>
          <w:rFonts w:ascii="Times New Roman" w:hAnsi="Times New Roman" w:cs="Times New Roman"/>
          <w:szCs w:val="24"/>
          <w:lang w:val="en-GB"/>
        </w:rPr>
      </w:pPr>
      <w:proofErr w:type="gramStart"/>
      <w:r w:rsidRPr="00503DF9">
        <w:rPr>
          <w:rFonts w:ascii="Times New Roman" w:hAnsi="Times New Roman" w:cs="Times New Roman"/>
          <w:szCs w:val="24"/>
          <w:lang w:val="en-GB"/>
        </w:rPr>
        <w:lastRenderedPageBreak/>
        <w:t xml:space="preserve">1 </w:t>
      </w:r>
      <w:r w:rsidR="003A6C73">
        <w:rPr>
          <w:rFonts w:ascii="Times New Roman" w:hAnsi="Times New Roman" w:cs="Times New Roman"/>
          <w:szCs w:val="24"/>
          <w:lang w:val="en-GB"/>
        </w:rPr>
        <w:t xml:space="preserve"> </w:t>
      </w:r>
      <w:r w:rsidRPr="00503DF9">
        <w:rPr>
          <w:rFonts w:ascii="Times New Roman" w:hAnsi="Times New Roman" w:cs="Times New Roman"/>
          <w:szCs w:val="24"/>
          <w:lang w:val="en-GB"/>
        </w:rPr>
        <w:t>Name</w:t>
      </w:r>
      <w:proofErr w:type="gramEnd"/>
      <w:r w:rsidRPr="00503DF9">
        <w:rPr>
          <w:rFonts w:ascii="Times New Roman" w:hAnsi="Times New Roman" w:cs="Times New Roman"/>
          <w:szCs w:val="24"/>
          <w:lang w:val="en-GB"/>
        </w:rPr>
        <w:t xml:space="preserve"> </w:t>
      </w:r>
    </w:p>
    <w:p w:rsidR="00600CDA" w:rsidRPr="00636E62" w:rsidRDefault="00600CDA" w:rsidP="00600CDA">
      <w:pPr>
        <w:pStyle w:val="ListParagraph"/>
        <w:spacing w:before="240"/>
        <w:ind w:left="426"/>
        <w:rPr>
          <w:b/>
          <w:color w:val="000000"/>
          <w:sz w:val="36"/>
          <w:szCs w:val="36"/>
        </w:rPr>
      </w:pPr>
      <w:r w:rsidRPr="0069698F">
        <w:rPr>
          <w:color w:val="000000"/>
          <w:sz w:val="24"/>
          <w:szCs w:val="24"/>
          <w:lang w:val="en-GB"/>
        </w:rPr>
        <w:t xml:space="preserve">This </w:t>
      </w:r>
      <w:r>
        <w:rPr>
          <w:color w:val="000000"/>
          <w:sz w:val="24"/>
          <w:szCs w:val="24"/>
          <w:lang w:val="en-GB"/>
        </w:rPr>
        <w:t>instrument</w:t>
      </w:r>
      <w:r w:rsidRPr="0069698F">
        <w:rPr>
          <w:color w:val="000000"/>
          <w:sz w:val="24"/>
          <w:szCs w:val="24"/>
          <w:lang w:val="en-GB"/>
        </w:rPr>
        <w:t xml:space="preserve"> is </w:t>
      </w:r>
      <w:r w:rsidRPr="00F77EC9">
        <w:rPr>
          <w:sz w:val="24"/>
          <w:szCs w:val="24"/>
        </w:rPr>
        <w:t xml:space="preserve">the </w:t>
      </w:r>
      <w:r w:rsidRPr="00636E62">
        <w:rPr>
          <w:i/>
          <w:color w:val="000000"/>
          <w:sz w:val="24"/>
          <w:szCs w:val="24"/>
        </w:rPr>
        <w:t xml:space="preserve">Veterans’ Entitlements </w:t>
      </w:r>
      <w:r w:rsidRPr="00636E62">
        <w:rPr>
          <w:i/>
          <w:sz w:val="24"/>
          <w:szCs w:val="24"/>
        </w:rPr>
        <w:t xml:space="preserve">(Partner Service Pension — Retention of Eligibility) </w:t>
      </w:r>
      <w:r w:rsidRPr="00636E62">
        <w:rPr>
          <w:i/>
          <w:color w:val="000000"/>
          <w:sz w:val="24"/>
          <w:szCs w:val="24"/>
        </w:rPr>
        <w:t>Determination 2019</w:t>
      </w:r>
      <w:r>
        <w:rPr>
          <w:color w:val="000000"/>
          <w:sz w:val="24"/>
          <w:szCs w:val="24"/>
        </w:rPr>
        <w:t>.</w:t>
      </w:r>
    </w:p>
    <w:p w:rsidR="00600CDA" w:rsidRPr="00503DF9" w:rsidRDefault="00600CDA" w:rsidP="00503DF9">
      <w:pPr>
        <w:pStyle w:val="ActHead5"/>
        <w:ind w:left="0" w:firstLine="0"/>
        <w:rPr>
          <w:rFonts w:ascii="Times New Roman" w:hAnsi="Times New Roman" w:cs="Times New Roman"/>
          <w:color w:val="000000"/>
          <w:szCs w:val="24"/>
          <w:lang w:val="en-GB"/>
        </w:rPr>
      </w:pPr>
      <w:bookmarkStart w:id="0" w:name="_GoBack"/>
      <w:bookmarkEnd w:id="0"/>
      <w:proofErr w:type="gramStart"/>
      <w:r w:rsidRPr="00503DF9">
        <w:rPr>
          <w:rFonts w:ascii="Times New Roman" w:hAnsi="Times New Roman" w:cs="Times New Roman"/>
          <w:color w:val="000000"/>
          <w:szCs w:val="24"/>
          <w:lang w:val="en-GB"/>
        </w:rPr>
        <w:t xml:space="preserve">2 </w:t>
      </w:r>
      <w:r w:rsidR="003A6C73">
        <w:rPr>
          <w:rFonts w:ascii="Times New Roman" w:hAnsi="Times New Roman" w:cs="Times New Roman"/>
          <w:color w:val="000000"/>
          <w:szCs w:val="24"/>
          <w:lang w:val="en-GB"/>
        </w:rPr>
        <w:t xml:space="preserve"> </w:t>
      </w:r>
      <w:r w:rsidRPr="00503DF9">
        <w:rPr>
          <w:rFonts w:ascii="Times New Roman" w:hAnsi="Times New Roman" w:cs="Times New Roman"/>
          <w:color w:val="000000"/>
          <w:szCs w:val="24"/>
          <w:lang w:val="en-GB"/>
        </w:rPr>
        <w:t>Commencement</w:t>
      </w:r>
      <w:proofErr w:type="gramEnd"/>
    </w:p>
    <w:p w:rsidR="00600CDA" w:rsidRPr="00C531F2" w:rsidRDefault="00600CDA" w:rsidP="00600CDA">
      <w:pPr>
        <w:pStyle w:val="ListParagraph"/>
        <w:spacing w:before="240"/>
        <w:ind w:left="426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 xml:space="preserve">This instrument </w:t>
      </w:r>
      <w:r w:rsidRPr="00283740">
        <w:rPr>
          <w:sz w:val="24"/>
          <w:szCs w:val="24"/>
        </w:rPr>
        <w:t>commences</w:t>
      </w:r>
      <w:r w:rsidR="00077E17">
        <w:rPr>
          <w:sz w:val="24"/>
          <w:szCs w:val="24"/>
        </w:rPr>
        <w:t>, or is taken to have commenced,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GB"/>
        </w:rPr>
        <w:t xml:space="preserve">on </w:t>
      </w:r>
      <w:r w:rsidRPr="00C820D0">
        <w:rPr>
          <w:color w:val="000000"/>
          <w:sz w:val="24"/>
          <w:szCs w:val="24"/>
          <w:lang w:val="en-GB"/>
        </w:rPr>
        <w:t>20 September 2019</w:t>
      </w:r>
      <w:r>
        <w:rPr>
          <w:color w:val="000000"/>
          <w:sz w:val="24"/>
          <w:szCs w:val="24"/>
          <w:lang w:val="en-GB"/>
        </w:rPr>
        <w:t>.</w:t>
      </w:r>
    </w:p>
    <w:p w:rsidR="00600CDA" w:rsidRPr="00503DF9" w:rsidRDefault="00600CDA" w:rsidP="00600CDA">
      <w:pPr>
        <w:pStyle w:val="ActHead5"/>
        <w:rPr>
          <w:rFonts w:ascii="Times New Roman" w:hAnsi="Times New Roman" w:cs="Times New Roman"/>
          <w:b w:val="0"/>
          <w:color w:val="000000"/>
          <w:szCs w:val="24"/>
          <w:lang w:val="en-GB"/>
        </w:rPr>
      </w:pPr>
      <w:proofErr w:type="gramStart"/>
      <w:r w:rsidRPr="00503DF9">
        <w:rPr>
          <w:rFonts w:ascii="Times New Roman" w:hAnsi="Times New Roman" w:cs="Times New Roman"/>
          <w:color w:val="000000"/>
          <w:szCs w:val="24"/>
          <w:lang w:val="en-GB"/>
        </w:rPr>
        <w:t xml:space="preserve">3 </w:t>
      </w:r>
      <w:r w:rsidR="003A6C73">
        <w:rPr>
          <w:rFonts w:ascii="Times New Roman" w:hAnsi="Times New Roman" w:cs="Times New Roman"/>
          <w:color w:val="000000"/>
          <w:szCs w:val="24"/>
          <w:lang w:val="en-GB"/>
        </w:rPr>
        <w:t xml:space="preserve"> </w:t>
      </w:r>
      <w:r w:rsidRPr="00503DF9">
        <w:rPr>
          <w:rFonts w:ascii="Times New Roman" w:hAnsi="Times New Roman" w:cs="Times New Roman"/>
          <w:color w:val="000000"/>
          <w:szCs w:val="24"/>
          <w:lang w:val="en-GB"/>
        </w:rPr>
        <w:t>Authority</w:t>
      </w:r>
      <w:proofErr w:type="gramEnd"/>
    </w:p>
    <w:p w:rsidR="00600CDA" w:rsidRPr="00E11643" w:rsidRDefault="00600CDA" w:rsidP="00600CDA">
      <w:pPr>
        <w:pStyle w:val="ListParagraph"/>
        <w:spacing w:before="240"/>
        <w:ind w:left="426"/>
        <w:rPr>
          <w:color w:val="000000"/>
          <w:sz w:val="24"/>
          <w:szCs w:val="24"/>
          <w:lang w:val="en-GB"/>
        </w:rPr>
      </w:pPr>
      <w:r w:rsidRPr="00AF4A81">
        <w:rPr>
          <w:color w:val="000000"/>
          <w:sz w:val="24"/>
          <w:szCs w:val="24"/>
          <w:lang w:val="en-GB"/>
        </w:rPr>
        <w:t xml:space="preserve">This </w:t>
      </w:r>
      <w:r>
        <w:rPr>
          <w:color w:val="000000"/>
          <w:sz w:val="24"/>
          <w:szCs w:val="24"/>
          <w:lang w:val="en-GB"/>
        </w:rPr>
        <w:t>i</w:t>
      </w:r>
      <w:r w:rsidRPr="00AF4A81">
        <w:rPr>
          <w:color w:val="000000"/>
          <w:sz w:val="24"/>
          <w:szCs w:val="24"/>
          <w:lang w:val="en-GB"/>
        </w:rPr>
        <w:t xml:space="preserve">nstrument </w:t>
      </w:r>
      <w:r>
        <w:rPr>
          <w:color w:val="000000"/>
          <w:sz w:val="24"/>
          <w:szCs w:val="24"/>
          <w:lang w:val="en-GB"/>
        </w:rPr>
        <w:t xml:space="preserve">is made under </w:t>
      </w:r>
      <w:r w:rsidRPr="0072257F">
        <w:rPr>
          <w:sz w:val="24"/>
          <w:szCs w:val="24"/>
        </w:rPr>
        <w:t>subsection 38(2AD)</w:t>
      </w:r>
      <w:r w:rsidRPr="00630037">
        <w:t xml:space="preserve"> </w:t>
      </w:r>
      <w:r w:rsidRPr="002A4207">
        <w:rPr>
          <w:color w:val="000000"/>
          <w:sz w:val="24"/>
          <w:szCs w:val="24"/>
          <w:lang w:val="en-GB"/>
        </w:rPr>
        <w:t>of</w:t>
      </w:r>
      <w:r w:rsidRPr="00BC5A49">
        <w:rPr>
          <w:color w:val="000000"/>
          <w:sz w:val="24"/>
          <w:szCs w:val="24"/>
          <w:lang w:val="en-GB"/>
        </w:rPr>
        <w:t xml:space="preserve"> the </w:t>
      </w:r>
      <w:r w:rsidRPr="00BC5A49">
        <w:rPr>
          <w:i/>
          <w:color w:val="000000"/>
          <w:sz w:val="24"/>
          <w:szCs w:val="24"/>
          <w:lang w:val="en-GB"/>
        </w:rPr>
        <w:t>Veterans’</w:t>
      </w:r>
      <w:r w:rsidRPr="00E11643">
        <w:rPr>
          <w:i/>
          <w:color w:val="000000"/>
          <w:sz w:val="24"/>
          <w:szCs w:val="24"/>
          <w:lang w:val="en-GB"/>
        </w:rPr>
        <w:t xml:space="preserve"> Entitlements Act 1986.</w:t>
      </w:r>
    </w:p>
    <w:p w:rsidR="00600CDA" w:rsidRPr="00503DF9" w:rsidRDefault="00600CDA" w:rsidP="00600CDA">
      <w:pPr>
        <w:pStyle w:val="ActHead5"/>
        <w:rPr>
          <w:rFonts w:ascii="Times New Roman" w:hAnsi="Times New Roman" w:cs="Times New Roman"/>
          <w:b w:val="0"/>
          <w:color w:val="000000"/>
          <w:szCs w:val="24"/>
          <w:lang w:val="en-GB"/>
        </w:rPr>
      </w:pPr>
      <w:proofErr w:type="gramStart"/>
      <w:r w:rsidRPr="00503DF9">
        <w:rPr>
          <w:rFonts w:ascii="Times New Roman" w:hAnsi="Times New Roman" w:cs="Times New Roman"/>
          <w:color w:val="000000"/>
          <w:szCs w:val="24"/>
          <w:lang w:val="en-GB"/>
        </w:rPr>
        <w:t xml:space="preserve">4 </w:t>
      </w:r>
      <w:r w:rsidR="003A6C73" w:rsidRPr="00503DF9">
        <w:rPr>
          <w:rFonts w:ascii="Times New Roman" w:hAnsi="Times New Roman" w:cs="Times New Roman"/>
          <w:color w:val="000000"/>
          <w:szCs w:val="24"/>
          <w:lang w:val="en-GB"/>
        </w:rPr>
        <w:t xml:space="preserve"> </w:t>
      </w:r>
      <w:r w:rsidRPr="00503DF9">
        <w:rPr>
          <w:rFonts w:ascii="Times New Roman" w:hAnsi="Times New Roman" w:cs="Times New Roman"/>
          <w:color w:val="000000"/>
          <w:szCs w:val="24"/>
          <w:lang w:val="en-GB"/>
        </w:rPr>
        <w:t>Purpose</w:t>
      </w:r>
      <w:proofErr w:type="gramEnd"/>
    </w:p>
    <w:p w:rsidR="00600CDA" w:rsidRPr="0072257F" w:rsidRDefault="00600CDA" w:rsidP="00600CDA">
      <w:pPr>
        <w:pStyle w:val="ListParagraph"/>
        <w:spacing w:before="240"/>
        <w:ind w:left="426"/>
        <w:rPr>
          <w:sz w:val="24"/>
          <w:szCs w:val="24"/>
        </w:rPr>
      </w:pPr>
      <w:r w:rsidRPr="0072257F">
        <w:rPr>
          <w:sz w:val="24"/>
          <w:szCs w:val="24"/>
        </w:rPr>
        <w:t>T</w:t>
      </w:r>
      <w:r>
        <w:rPr>
          <w:sz w:val="24"/>
          <w:szCs w:val="24"/>
        </w:rPr>
        <w:t>he purpose of this instrument</w:t>
      </w:r>
      <w:r w:rsidRPr="0072257F">
        <w:rPr>
          <w:sz w:val="24"/>
          <w:szCs w:val="24"/>
        </w:rPr>
        <w:t xml:space="preserve"> is to set out the circumstances in which </w:t>
      </w:r>
      <w:r w:rsidR="003A6C73">
        <w:rPr>
          <w:sz w:val="24"/>
          <w:szCs w:val="24"/>
        </w:rPr>
        <w:t xml:space="preserve">the married or non-married former partner of a veteran </w:t>
      </w:r>
      <w:r w:rsidRPr="0072257F">
        <w:rPr>
          <w:sz w:val="24"/>
          <w:szCs w:val="24"/>
        </w:rPr>
        <w:t xml:space="preserve">retains eligibility for </w:t>
      </w:r>
      <w:r w:rsidR="008C3486">
        <w:rPr>
          <w:sz w:val="24"/>
          <w:szCs w:val="24"/>
        </w:rPr>
        <w:t>a</w:t>
      </w:r>
      <w:r w:rsidRPr="0072257F">
        <w:rPr>
          <w:sz w:val="24"/>
          <w:szCs w:val="24"/>
        </w:rPr>
        <w:t xml:space="preserve"> partner service pension, despite being separated from </w:t>
      </w:r>
      <w:r w:rsidR="00EA6616">
        <w:rPr>
          <w:sz w:val="24"/>
          <w:szCs w:val="24"/>
        </w:rPr>
        <w:t>the</w:t>
      </w:r>
      <w:r w:rsidR="008C3486">
        <w:rPr>
          <w:sz w:val="24"/>
          <w:szCs w:val="24"/>
        </w:rPr>
        <w:t xml:space="preserve"> veteran </w:t>
      </w:r>
      <w:r w:rsidRPr="0072257F">
        <w:rPr>
          <w:sz w:val="24"/>
          <w:szCs w:val="24"/>
        </w:rPr>
        <w:t>for more than 12 months</w:t>
      </w:r>
      <w:r w:rsidR="003A6C73">
        <w:rPr>
          <w:sz w:val="24"/>
          <w:szCs w:val="24"/>
        </w:rPr>
        <w:t>.</w:t>
      </w:r>
      <w:r w:rsidR="00631892">
        <w:rPr>
          <w:sz w:val="24"/>
          <w:szCs w:val="24"/>
        </w:rPr>
        <w:t xml:space="preserve"> </w:t>
      </w:r>
    </w:p>
    <w:p w:rsidR="00600CDA" w:rsidRPr="00503DF9" w:rsidRDefault="00600CDA" w:rsidP="00600CDA">
      <w:pPr>
        <w:pStyle w:val="ActHead5"/>
        <w:rPr>
          <w:rFonts w:ascii="Times New Roman" w:hAnsi="Times New Roman" w:cs="Times New Roman"/>
          <w:b w:val="0"/>
          <w:color w:val="000000"/>
          <w:szCs w:val="24"/>
          <w:lang w:val="en-GB"/>
        </w:rPr>
      </w:pPr>
      <w:proofErr w:type="gramStart"/>
      <w:r w:rsidRPr="00503DF9">
        <w:rPr>
          <w:rFonts w:ascii="Times New Roman" w:hAnsi="Times New Roman" w:cs="Times New Roman"/>
          <w:color w:val="000000"/>
          <w:szCs w:val="24"/>
          <w:lang w:val="en-GB"/>
        </w:rPr>
        <w:t xml:space="preserve">5 </w:t>
      </w:r>
      <w:r w:rsidR="00EA6616">
        <w:rPr>
          <w:rFonts w:ascii="Times New Roman" w:hAnsi="Times New Roman" w:cs="Times New Roman"/>
          <w:color w:val="000000"/>
          <w:szCs w:val="24"/>
          <w:lang w:val="en-GB"/>
        </w:rPr>
        <w:t xml:space="preserve"> </w:t>
      </w:r>
      <w:r w:rsidRPr="00503DF9">
        <w:rPr>
          <w:rFonts w:ascii="Times New Roman" w:hAnsi="Times New Roman" w:cs="Times New Roman"/>
          <w:color w:val="000000"/>
          <w:szCs w:val="24"/>
          <w:lang w:val="en-GB"/>
        </w:rPr>
        <w:t>Definitions</w:t>
      </w:r>
      <w:proofErr w:type="gramEnd"/>
    </w:p>
    <w:p w:rsidR="00600CDA" w:rsidRDefault="00600CDA" w:rsidP="00600CDA">
      <w:pPr>
        <w:spacing w:before="240"/>
        <w:ind w:left="426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In this instrument:</w:t>
      </w:r>
    </w:p>
    <w:p w:rsidR="00600CDA" w:rsidRDefault="00600CDA" w:rsidP="00600CDA">
      <w:pPr>
        <w:pStyle w:val="ListParagraph"/>
        <w:spacing w:before="240"/>
        <w:ind w:left="426"/>
        <w:rPr>
          <w:i/>
          <w:color w:val="000000"/>
          <w:sz w:val="24"/>
          <w:szCs w:val="24"/>
          <w:lang w:val="en-GB"/>
        </w:rPr>
      </w:pPr>
      <w:r>
        <w:rPr>
          <w:b/>
          <w:i/>
          <w:color w:val="000000"/>
          <w:sz w:val="24"/>
          <w:szCs w:val="24"/>
          <w:lang w:val="en-GB"/>
        </w:rPr>
        <w:t>Act</w:t>
      </w:r>
      <w:r>
        <w:rPr>
          <w:b/>
          <w:color w:val="000000"/>
          <w:sz w:val="24"/>
          <w:szCs w:val="24"/>
          <w:lang w:val="en-GB"/>
        </w:rPr>
        <w:t xml:space="preserve"> </w:t>
      </w:r>
      <w:r>
        <w:rPr>
          <w:color w:val="000000"/>
          <w:sz w:val="24"/>
          <w:szCs w:val="24"/>
          <w:lang w:val="en-GB"/>
        </w:rPr>
        <w:t>means the</w:t>
      </w:r>
      <w:r w:rsidRPr="001A4710">
        <w:rPr>
          <w:color w:val="000000"/>
          <w:sz w:val="24"/>
          <w:szCs w:val="24"/>
          <w:lang w:val="en-GB"/>
        </w:rPr>
        <w:t xml:space="preserve"> </w:t>
      </w:r>
      <w:r w:rsidRPr="001A4710">
        <w:rPr>
          <w:i/>
          <w:color w:val="000000"/>
          <w:sz w:val="24"/>
          <w:szCs w:val="24"/>
          <w:lang w:val="en-GB"/>
        </w:rPr>
        <w:t>Veterans’ Entitlements Act 1986</w:t>
      </w:r>
      <w:r>
        <w:rPr>
          <w:i/>
          <w:color w:val="000000"/>
          <w:sz w:val="24"/>
          <w:szCs w:val="24"/>
          <w:lang w:val="en-GB"/>
        </w:rPr>
        <w:t>.</w:t>
      </w:r>
    </w:p>
    <w:p w:rsidR="00342F7B" w:rsidRDefault="00666340" w:rsidP="00600CDA">
      <w:pPr>
        <w:pStyle w:val="ListParagraph"/>
        <w:spacing w:before="240"/>
        <w:ind w:left="426"/>
        <w:rPr>
          <w:i/>
          <w:color w:val="000000"/>
          <w:sz w:val="24"/>
          <w:szCs w:val="24"/>
          <w:lang w:val="en-GB"/>
        </w:rPr>
      </w:pPr>
      <w:proofErr w:type="gramStart"/>
      <w:r>
        <w:rPr>
          <w:b/>
          <w:i/>
          <w:sz w:val="24"/>
          <w:szCs w:val="24"/>
        </w:rPr>
        <w:t>former</w:t>
      </w:r>
      <w:proofErr w:type="gramEnd"/>
      <w:r>
        <w:rPr>
          <w:b/>
          <w:i/>
          <w:sz w:val="24"/>
          <w:szCs w:val="24"/>
        </w:rPr>
        <w:t xml:space="preserve"> partner of a veteran</w:t>
      </w:r>
      <w:r w:rsidR="00342F7B">
        <w:rPr>
          <w:sz w:val="24"/>
          <w:szCs w:val="24"/>
        </w:rPr>
        <w:t xml:space="preserve"> means a person to whom paragraph 38(1AA)(a),</w:t>
      </w:r>
      <w:r w:rsidR="00F06C99">
        <w:rPr>
          <w:sz w:val="24"/>
          <w:szCs w:val="24"/>
        </w:rPr>
        <w:t xml:space="preserve"> </w:t>
      </w:r>
      <w:r w:rsidR="00342F7B">
        <w:rPr>
          <w:sz w:val="24"/>
          <w:szCs w:val="24"/>
        </w:rPr>
        <w:t xml:space="preserve">(b) or (c) of the </w:t>
      </w:r>
      <w:r w:rsidR="00342F7B">
        <w:rPr>
          <w:i/>
          <w:sz w:val="24"/>
          <w:szCs w:val="24"/>
        </w:rPr>
        <w:t xml:space="preserve">Act </w:t>
      </w:r>
      <w:r w:rsidR="00342F7B">
        <w:rPr>
          <w:sz w:val="24"/>
          <w:szCs w:val="24"/>
        </w:rPr>
        <w:t>applies.</w:t>
      </w:r>
    </w:p>
    <w:p w:rsidR="00600CDA" w:rsidRDefault="00600CDA" w:rsidP="00600CDA">
      <w:pPr>
        <w:spacing w:before="240"/>
        <w:ind w:left="851" w:hanging="425"/>
        <w:rPr>
          <w:color w:val="000000"/>
          <w:lang w:val="en-GB"/>
        </w:rPr>
      </w:pPr>
      <w:r w:rsidRPr="0079481F">
        <w:rPr>
          <w:i/>
          <w:color w:val="000000"/>
          <w:lang w:val="en-GB"/>
        </w:rPr>
        <w:t>Note</w:t>
      </w:r>
      <w:r w:rsidRPr="00F92F84">
        <w:rPr>
          <w:color w:val="000000"/>
          <w:lang w:val="en-GB"/>
        </w:rPr>
        <w:t xml:space="preserve">: </w:t>
      </w:r>
      <w:r>
        <w:rPr>
          <w:color w:val="000000"/>
          <w:lang w:val="en-GB"/>
        </w:rPr>
        <w:t>In accordance with paragraph 46(1</w:t>
      </w:r>
      <w:proofErr w:type="gramStart"/>
      <w:r>
        <w:rPr>
          <w:color w:val="000000"/>
          <w:lang w:val="en-GB"/>
        </w:rPr>
        <w:t>)(</w:t>
      </w:r>
      <w:proofErr w:type="gramEnd"/>
      <w:r w:rsidR="00713F31">
        <w:rPr>
          <w:color w:val="000000"/>
          <w:lang w:val="en-GB"/>
        </w:rPr>
        <w:t>b</w:t>
      </w:r>
      <w:r>
        <w:rPr>
          <w:color w:val="000000"/>
          <w:lang w:val="en-GB"/>
        </w:rPr>
        <w:t xml:space="preserve">) of the </w:t>
      </w:r>
      <w:r>
        <w:rPr>
          <w:i/>
          <w:color w:val="000000"/>
          <w:lang w:val="en-GB"/>
        </w:rPr>
        <w:t xml:space="preserve">Acts Interpretation Act </w:t>
      </w:r>
      <w:r w:rsidRPr="000935D2">
        <w:rPr>
          <w:color w:val="000000"/>
          <w:lang w:val="en-GB"/>
        </w:rPr>
        <w:t>1901</w:t>
      </w:r>
      <w:r>
        <w:rPr>
          <w:color w:val="000000"/>
          <w:lang w:val="en-GB"/>
        </w:rPr>
        <w:t>, e</w:t>
      </w:r>
      <w:r w:rsidRPr="000935D2">
        <w:rPr>
          <w:color w:val="000000"/>
          <w:lang w:val="en-GB"/>
        </w:rPr>
        <w:t>xpressions</w:t>
      </w:r>
      <w:r>
        <w:rPr>
          <w:color w:val="000000"/>
          <w:lang w:val="en-GB"/>
        </w:rPr>
        <w:t xml:space="preserve"> used in this instrument have the same meaning as in the </w:t>
      </w:r>
      <w:r>
        <w:rPr>
          <w:i/>
          <w:color w:val="000000"/>
          <w:lang w:val="en-GB"/>
        </w:rPr>
        <w:t>Act</w:t>
      </w:r>
      <w:r>
        <w:rPr>
          <w:color w:val="000000"/>
          <w:lang w:val="en-GB"/>
        </w:rPr>
        <w:t xml:space="preserve">, for example: </w:t>
      </w:r>
    </w:p>
    <w:p w:rsidR="00600CDA" w:rsidRPr="00630037" w:rsidRDefault="00600CDA" w:rsidP="00600CDA">
      <w:pPr>
        <w:pStyle w:val="Notepara"/>
      </w:pPr>
      <w:r w:rsidRPr="00630037">
        <w:sym w:font="Symbol" w:char="F0B7"/>
      </w:r>
      <w:r>
        <w:tab/>
        <w:t>Commission</w:t>
      </w:r>
      <w:r w:rsidRPr="00630037">
        <w:t> —subsection 5Q (1)</w:t>
      </w:r>
      <w:r>
        <w:t xml:space="preserve"> of </w:t>
      </w:r>
      <w:r>
        <w:rPr>
          <w:color w:val="000000"/>
          <w:lang w:val="en-GB"/>
        </w:rPr>
        <w:t xml:space="preserve">the </w:t>
      </w:r>
      <w:r>
        <w:rPr>
          <w:i/>
          <w:color w:val="000000"/>
          <w:lang w:val="en-GB"/>
        </w:rPr>
        <w:t>A</w:t>
      </w:r>
      <w:r w:rsidRPr="003C3F71">
        <w:rPr>
          <w:i/>
          <w:color w:val="000000"/>
          <w:lang w:val="en-GB"/>
        </w:rPr>
        <w:t>ct</w:t>
      </w:r>
      <w:r w:rsidR="006017CC">
        <w:rPr>
          <w:i/>
          <w:color w:val="000000"/>
          <w:lang w:val="en-GB"/>
        </w:rPr>
        <w:t>.</w:t>
      </w:r>
    </w:p>
    <w:p w:rsidR="00600CDA" w:rsidRPr="00630037" w:rsidRDefault="00600CDA" w:rsidP="00600CDA">
      <w:pPr>
        <w:pStyle w:val="Notepara"/>
      </w:pPr>
      <w:r w:rsidRPr="00630037">
        <w:sym w:font="Symbol" w:char="F0B7"/>
      </w:r>
      <w:r w:rsidRPr="00630037">
        <w:tab/>
        <w:t>Military Rehabilitation and Compensation Commission —subsection 5Q (1)</w:t>
      </w:r>
      <w:r w:rsidRPr="00F00907">
        <w:t xml:space="preserve"> </w:t>
      </w:r>
      <w:r>
        <w:t xml:space="preserve">of </w:t>
      </w:r>
      <w:r>
        <w:rPr>
          <w:color w:val="000000"/>
          <w:lang w:val="en-GB"/>
        </w:rPr>
        <w:t xml:space="preserve">the </w:t>
      </w:r>
      <w:r w:rsidRPr="003C3F71">
        <w:rPr>
          <w:i/>
          <w:color w:val="000000"/>
          <w:lang w:val="en-GB"/>
        </w:rPr>
        <w:t>Act</w:t>
      </w:r>
      <w:r w:rsidR="006017CC">
        <w:rPr>
          <w:i/>
          <w:color w:val="000000"/>
          <w:lang w:val="en-GB"/>
        </w:rPr>
        <w:t>.</w:t>
      </w:r>
    </w:p>
    <w:p w:rsidR="00B84853" w:rsidRPr="00630037" w:rsidRDefault="00600CDA" w:rsidP="00B84853">
      <w:pPr>
        <w:pStyle w:val="Notepara"/>
      </w:pPr>
      <w:r w:rsidRPr="00630037">
        <w:sym w:font="Symbol" w:char="F0B7"/>
      </w:r>
      <w:r w:rsidRPr="00630037">
        <w:tab/>
      </w:r>
      <w:proofErr w:type="gramStart"/>
      <w:r w:rsidR="00713F31">
        <w:rPr>
          <w:color w:val="000000"/>
          <w:lang w:val="en-GB"/>
        </w:rPr>
        <w:t>partner</w:t>
      </w:r>
      <w:proofErr w:type="gramEnd"/>
      <w:r w:rsidR="00713F31">
        <w:rPr>
          <w:color w:val="000000"/>
          <w:lang w:val="en-GB"/>
        </w:rPr>
        <w:t xml:space="preserve"> service pension</w:t>
      </w:r>
      <w:r w:rsidR="00713F31" w:rsidRPr="00630037">
        <w:t> —</w:t>
      </w:r>
      <w:r w:rsidR="00B84853" w:rsidRPr="00503DF9">
        <w:t>paragraph (c) of the definition of ‘service pension’</w:t>
      </w:r>
      <w:r w:rsidR="00B84853">
        <w:t xml:space="preserve"> in </w:t>
      </w:r>
      <w:r w:rsidR="00B84853" w:rsidRPr="00630037">
        <w:t>subsection 5Q (1)</w:t>
      </w:r>
      <w:r w:rsidR="00B84853">
        <w:t xml:space="preserve"> of </w:t>
      </w:r>
      <w:r w:rsidR="00B84853">
        <w:rPr>
          <w:color w:val="000000"/>
          <w:lang w:val="en-GB"/>
        </w:rPr>
        <w:t xml:space="preserve">the </w:t>
      </w:r>
      <w:r w:rsidR="00B84853">
        <w:rPr>
          <w:i/>
          <w:color w:val="000000"/>
          <w:lang w:val="en-GB"/>
        </w:rPr>
        <w:t>A</w:t>
      </w:r>
      <w:r w:rsidR="00B84853" w:rsidRPr="003C3F71">
        <w:rPr>
          <w:i/>
          <w:color w:val="000000"/>
          <w:lang w:val="en-GB"/>
        </w:rPr>
        <w:t>ct</w:t>
      </w:r>
      <w:r w:rsidR="00B84853">
        <w:rPr>
          <w:i/>
          <w:color w:val="000000"/>
          <w:lang w:val="en-GB"/>
        </w:rPr>
        <w:t>.</w:t>
      </w:r>
    </w:p>
    <w:p w:rsidR="00600CDA" w:rsidRDefault="00600CDA" w:rsidP="00600CDA">
      <w:pPr>
        <w:pStyle w:val="Notepara"/>
      </w:pPr>
      <w:r w:rsidRPr="00630037">
        <w:sym w:font="Symbol" w:char="F0B7"/>
      </w:r>
      <w:r w:rsidRPr="00630037">
        <w:tab/>
      </w:r>
      <w:proofErr w:type="gramStart"/>
      <w:r w:rsidRPr="00630037">
        <w:t>veteran</w:t>
      </w:r>
      <w:proofErr w:type="gramEnd"/>
      <w:r w:rsidRPr="00630037">
        <w:t> —subsection 5C (1)</w:t>
      </w:r>
      <w:r w:rsidRPr="00F00907">
        <w:t xml:space="preserve"> </w:t>
      </w:r>
      <w:r>
        <w:t xml:space="preserve">of </w:t>
      </w:r>
      <w:r>
        <w:rPr>
          <w:color w:val="000000"/>
          <w:lang w:val="en-GB"/>
        </w:rPr>
        <w:t xml:space="preserve">the </w:t>
      </w:r>
      <w:r>
        <w:rPr>
          <w:i/>
          <w:color w:val="000000"/>
          <w:lang w:val="en-GB"/>
        </w:rPr>
        <w:t>A</w:t>
      </w:r>
      <w:r w:rsidRPr="003C3F71">
        <w:rPr>
          <w:i/>
          <w:color w:val="000000"/>
          <w:lang w:val="en-GB"/>
        </w:rPr>
        <w:t>ct</w:t>
      </w:r>
      <w:r w:rsidRPr="00630037">
        <w:t>.</w:t>
      </w:r>
    </w:p>
    <w:p w:rsidR="00600CDA" w:rsidRPr="00503DF9" w:rsidRDefault="00600CDA" w:rsidP="00600CDA">
      <w:pPr>
        <w:pStyle w:val="ActHead5"/>
        <w:rPr>
          <w:rFonts w:ascii="Times New Roman" w:hAnsi="Times New Roman" w:cs="Times New Roman"/>
          <w:b w:val="0"/>
          <w:color w:val="000000"/>
          <w:szCs w:val="24"/>
          <w:lang w:val="en-GB"/>
        </w:rPr>
      </w:pPr>
      <w:proofErr w:type="gramStart"/>
      <w:r w:rsidRPr="00503DF9">
        <w:rPr>
          <w:rFonts w:ascii="Times New Roman" w:hAnsi="Times New Roman" w:cs="Times New Roman"/>
          <w:color w:val="000000"/>
          <w:szCs w:val="24"/>
          <w:lang w:val="en-GB"/>
        </w:rPr>
        <w:t xml:space="preserve">6 </w:t>
      </w:r>
      <w:r w:rsidR="00EA6616">
        <w:rPr>
          <w:rFonts w:ascii="Times New Roman" w:hAnsi="Times New Roman" w:cs="Times New Roman"/>
          <w:color w:val="000000"/>
          <w:szCs w:val="24"/>
          <w:lang w:val="en-GB"/>
        </w:rPr>
        <w:t xml:space="preserve"> </w:t>
      </w:r>
      <w:r w:rsidRPr="00503DF9">
        <w:rPr>
          <w:rFonts w:ascii="Times New Roman" w:hAnsi="Times New Roman" w:cs="Times New Roman"/>
          <w:color w:val="000000"/>
          <w:szCs w:val="24"/>
          <w:lang w:val="en-GB"/>
        </w:rPr>
        <w:t>Specified</w:t>
      </w:r>
      <w:proofErr w:type="gramEnd"/>
      <w:r w:rsidRPr="00503DF9">
        <w:rPr>
          <w:rFonts w:ascii="Times New Roman" w:hAnsi="Times New Roman" w:cs="Times New Roman"/>
          <w:color w:val="000000"/>
          <w:szCs w:val="24"/>
          <w:lang w:val="en-GB"/>
        </w:rPr>
        <w:t xml:space="preserve"> circumstances </w:t>
      </w:r>
    </w:p>
    <w:p w:rsidR="00600CDA" w:rsidRPr="0072257F" w:rsidRDefault="00600CDA" w:rsidP="00600CDA">
      <w:pPr>
        <w:spacing w:before="240"/>
        <w:ind w:left="851" w:hanging="425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z w:val="24"/>
          <w:szCs w:val="24"/>
        </w:rPr>
        <w:tab/>
      </w:r>
      <w:r w:rsidRPr="0072257F">
        <w:rPr>
          <w:sz w:val="24"/>
          <w:szCs w:val="24"/>
        </w:rPr>
        <w:t>Subsection</w:t>
      </w:r>
      <w:r w:rsidR="009E7875">
        <w:rPr>
          <w:sz w:val="24"/>
          <w:szCs w:val="24"/>
        </w:rPr>
        <w:t>s</w:t>
      </w:r>
      <w:r w:rsidRPr="0072257F">
        <w:rPr>
          <w:sz w:val="24"/>
          <w:szCs w:val="24"/>
        </w:rPr>
        <w:t xml:space="preserve"> (2)</w:t>
      </w:r>
      <w:r>
        <w:rPr>
          <w:sz w:val="24"/>
          <w:szCs w:val="24"/>
        </w:rPr>
        <w:t xml:space="preserve"> </w:t>
      </w:r>
      <w:r w:rsidR="009E7875">
        <w:rPr>
          <w:sz w:val="24"/>
          <w:szCs w:val="24"/>
        </w:rPr>
        <w:t xml:space="preserve">and (3) </w:t>
      </w:r>
      <w:r>
        <w:rPr>
          <w:sz w:val="24"/>
          <w:szCs w:val="24"/>
        </w:rPr>
        <w:t>specif</w:t>
      </w:r>
      <w:r w:rsidR="009E7875">
        <w:rPr>
          <w:sz w:val="24"/>
          <w:szCs w:val="24"/>
        </w:rPr>
        <w:t>y</w:t>
      </w:r>
      <w:r w:rsidR="00713F31">
        <w:rPr>
          <w:sz w:val="24"/>
          <w:szCs w:val="24"/>
        </w:rPr>
        <w:t xml:space="preserve"> </w:t>
      </w:r>
      <w:r w:rsidRPr="0072257F">
        <w:rPr>
          <w:sz w:val="24"/>
          <w:szCs w:val="24"/>
        </w:rPr>
        <w:t xml:space="preserve">circumstances for subsection 38(2AD) of the </w:t>
      </w:r>
      <w:r w:rsidRPr="0072257F">
        <w:rPr>
          <w:i/>
          <w:sz w:val="24"/>
          <w:szCs w:val="24"/>
        </w:rPr>
        <w:t>Act</w:t>
      </w:r>
      <w:r w:rsidRPr="0072257F">
        <w:rPr>
          <w:sz w:val="24"/>
          <w:szCs w:val="24"/>
        </w:rPr>
        <w:t>.</w:t>
      </w:r>
    </w:p>
    <w:p w:rsidR="00600CDA" w:rsidRPr="0072257F" w:rsidRDefault="00600CDA" w:rsidP="00F77EC9">
      <w:pPr>
        <w:spacing w:before="240"/>
        <w:ind w:left="851" w:hanging="425"/>
        <w:rPr>
          <w:sz w:val="24"/>
          <w:szCs w:val="24"/>
        </w:rPr>
      </w:pPr>
      <w:r w:rsidRPr="0072257F">
        <w:rPr>
          <w:sz w:val="24"/>
          <w:szCs w:val="24"/>
        </w:rPr>
        <w:t>(2)</w:t>
      </w:r>
      <w:r w:rsidRPr="0072257F">
        <w:rPr>
          <w:sz w:val="24"/>
          <w:szCs w:val="24"/>
        </w:rPr>
        <w:tab/>
        <w:t xml:space="preserve">On the first day on which </w:t>
      </w:r>
      <w:r w:rsidR="00666340">
        <w:rPr>
          <w:sz w:val="24"/>
          <w:szCs w:val="24"/>
        </w:rPr>
        <w:t xml:space="preserve">the former partner of a veteran </w:t>
      </w:r>
      <w:r w:rsidRPr="0072257F">
        <w:rPr>
          <w:sz w:val="24"/>
          <w:szCs w:val="24"/>
        </w:rPr>
        <w:t>does not reside in the same residence as the veteran</w:t>
      </w:r>
      <w:r w:rsidR="00B11D36">
        <w:rPr>
          <w:sz w:val="24"/>
          <w:szCs w:val="24"/>
        </w:rPr>
        <w:t xml:space="preserve"> (the first separate residence day)</w:t>
      </w:r>
      <w:r w:rsidR="009E7875">
        <w:rPr>
          <w:sz w:val="24"/>
          <w:szCs w:val="24"/>
        </w:rPr>
        <w:t xml:space="preserve">, </w:t>
      </w:r>
      <w:r w:rsidRPr="0072257F">
        <w:rPr>
          <w:sz w:val="24"/>
          <w:szCs w:val="24"/>
        </w:rPr>
        <w:t>the veteran has a psychological or other mental health incapacity caused by any of the following:</w:t>
      </w:r>
    </w:p>
    <w:p w:rsidR="00713F31" w:rsidRDefault="00600CDA" w:rsidP="009E7875">
      <w:pPr>
        <w:spacing w:before="240"/>
        <w:ind w:left="1418" w:hanging="567"/>
        <w:rPr>
          <w:sz w:val="24"/>
          <w:szCs w:val="24"/>
        </w:rPr>
      </w:pPr>
      <w:r>
        <w:rPr>
          <w:sz w:val="24"/>
          <w:szCs w:val="24"/>
        </w:rPr>
        <w:t>(</w:t>
      </w:r>
      <w:r w:rsidR="009E7875">
        <w:rPr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proofErr w:type="gramStart"/>
      <w:r w:rsidRPr="0072257F">
        <w:rPr>
          <w:sz w:val="24"/>
          <w:szCs w:val="24"/>
        </w:rPr>
        <w:t>a</w:t>
      </w:r>
      <w:proofErr w:type="gramEnd"/>
      <w:r w:rsidRPr="0072257F">
        <w:rPr>
          <w:sz w:val="24"/>
          <w:szCs w:val="24"/>
        </w:rPr>
        <w:t xml:space="preserve"> war</w:t>
      </w:r>
      <w:r w:rsidRPr="0072257F">
        <w:rPr>
          <w:sz w:val="24"/>
          <w:szCs w:val="24"/>
        </w:rPr>
        <w:noBreakHyphen/>
        <w:t>caused injury or war</w:t>
      </w:r>
      <w:r w:rsidRPr="0072257F">
        <w:rPr>
          <w:sz w:val="24"/>
          <w:szCs w:val="24"/>
        </w:rPr>
        <w:noBreakHyphen/>
        <w:t>caused disease for which the Commission has determined that the veteran is entitled to be granted a pension;</w:t>
      </w:r>
    </w:p>
    <w:p w:rsidR="00713F31" w:rsidRDefault="00713F31" w:rsidP="009E7875">
      <w:pPr>
        <w:spacing w:before="240"/>
        <w:ind w:left="1418" w:hanging="567"/>
        <w:rPr>
          <w:sz w:val="24"/>
          <w:szCs w:val="24"/>
        </w:rPr>
      </w:pPr>
      <w:r>
        <w:rPr>
          <w:sz w:val="24"/>
          <w:szCs w:val="24"/>
        </w:rPr>
        <w:t>(</w:t>
      </w:r>
      <w:r w:rsidR="009E7875">
        <w:rPr>
          <w:sz w:val="24"/>
          <w:szCs w:val="24"/>
        </w:rPr>
        <w:t>b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600CDA" w:rsidRPr="0072257F">
        <w:rPr>
          <w:sz w:val="24"/>
          <w:szCs w:val="24"/>
        </w:rPr>
        <w:t>a defence</w:t>
      </w:r>
      <w:r w:rsidR="00600CDA" w:rsidRPr="0072257F">
        <w:rPr>
          <w:sz w:val="24"/>
          <w:szCs w:val="24"/>
        </w:rPr>
        <w:noBreakHyphen/>
        <w:t>caused injury or defence</w:t>
      </w:r>
      <w:r w:rsidR="00600CDA" w:rsidRPr="0072257F">
        <w:rPr>
          <w:sz w:val="24"/>
          <w:szCs w:val="24"/>
        </w:rPr>
        <w:noBreakHyphen/>
        <w:t>caused disease for which the Commission has determined that the veteran, as a member of the Forces or member of a Peacekeeping Force, is entitled to be granted a pension;</w:t>
      </w:r>
    </w:p>
    <w:p w:rsidR="00600CDA" w:rsidRDefault="00713F31" w:rsidP="009E7875">
      <w:pPr>
        <w:spacing w:before="240"/>
        <w:ind w:left="1418" w:hanging="567"/>
        <w:rPr>
          <w:sz w:val="24"/>
          <w:szCs w:val="24"/>
        </w:rPr>
      </w:pPr>
      <w:r>
        <w:rPr>
          <w:sz w:val="24"/>
          <w:szCs w:val="24"/>
        </w:rPr>
        <w:lastRenderedPageBreak/>
        <w:t>(</w:t>
      </w:r>
      <w:r w:rsidR="009E7875">
        <w:rPr>
          <w:sz w:val="24"/>
          <w:szCs w:val="24"/>
        </w:rPr>
        <w:t>c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proofErr w:type="gramStart"/>
      <w:r w:rsidR="00600CDA" w:rsidRPr="0072257F">
        <w:rPr>
          <w:sz w:val="24"/>
          <w:szCs w:val="24"/>
        </w:rPr>
        <w:t>a</w:t>
      </w:r>
      <w:proofErr w:type="gramEnd"/>
      <w:r w:rsidR="00600CDA" w:rsidRPr="0072257F">
        <w:rPr>
          <w:sz w:val="24"/>
          <w:szCs w:val="24"/>
        </w:rPr>
        <w:t xml:space="preserve"> service injury or service disease, with</w:t>
      </w:r>
      <w:r w:rsidR="00600CDA">
        <w:rPr>
          <w:sz w:val="24"/>
          <w:szCs w:val="24"/>
        </w:rPr>
        <w:t xml:space="preserve">in the meaning given by the </w:t>
      </w:r>
      <w:r w:rsidR="00600CDA">
        <w:rPr>
          <w:i/>
          <w:sz w:val="24"/>
          <w:szCs w:val="24"/>
        </w:rPr>
        <w:t>Military Rehabilitation and Compensation Act 2004</w:t>
      </w:r>
      <w:r w:rsidR="00600CDA" w:rsidRPr="0072257F">
        <w:rPr>
          <w:sz w:val="24"/>
          <w:szCs w:val="24"/>
        </w:rPr>
        <w:t>, for which the Military Rehabilitation and Compensation Commission has determined to accept liability;</w:t>
      </w:r>
    </w:p>
    <w:p w:rsidR="00600CDA" w:rsidRDefault="00713F31" w:rsidP="009E7875">
      <w:pPr>
        <w:spacing w:before="240"/>
        <w:ind w:left="1418" w:hanging="567"/>
        <w:rPr>
          <w:sz w:val="24"/>
          <w:szCs w:val="24"/>
        </w:rPr>
      </w:pPr>
      <w:r>
        <w:rPr>
          <w:sz w:val="24"/>
          <w:szCs w:val="24"/>
        </w:rPr>
        <w:t>(</w:t>
      </w:r>
      <w:r w:rsidR="009E7875">
        <w:rPr>
          <w:sz w:val="24"/>
          <w:szCs w:val="24"/>
        </w:rPr>
        <w:t>d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proofErr w:type="gramStart"/>
      <w:r w:rsidR="00600CDA" w:rsidRPr="0072257F">
        <w:rPr>
          <w:sz w:val="24"/>
          <w:szCs w:val="24"/>
        </w:rPr>
        <w:t>a</w:t>
      </w:r>
      <w:proofErr w:type="gramEnd"/>
      <w:r w:rsidR="00600CDA" w:rsidRPr="0072257F">
        <w:rPr>
          <w:sz w:val="24"/>
          <w:szCs w:val="24"/>
        </w:rPr>
        <w:t xml:space="preserve"> disease or disorder, mentioned in subsection 85 (2) of the </w:t>
      </w:r>
      <w:r w:rsidR="00600CDA" w:rsidRPr="003C3F71">
        <w:rPr>
          <w:i/>
          <w:sz w:val="24"/>
          <w:szCs w:val="24"/>
        </w:rPr>
        <w:t>Act</w:t>
      </w:r>
      <w:r w:rsidR="00600CDA" w:rsidRPr="0072257F">
        <w:rPr>
          <w:sz w:val="24"/>
          <w:szCs w:val="24"/>
        </w:rPr>
        <w:t xml:space="preserve">, for which the veteran is eligible for treatment under the </w:t>
      </w:r>
      <w:r w:rsidR="00600CDA" w:rsidRPr="003C3F71">
        <w:rPr>
          <w:i/>
          <w:sz w:val="24"/>
          <w:szCs w:val="24"/>
        </w:rPr>
        <w:t>Act</w:t>
      </w:r>
      <w:r w:rsidR="00600CDA" w:rsidRPr="0072257F">
        <w:rPr>
          <w:sz w:val="24"/>
          <w:szCs w:val="24"/>
        </w:rPr>
        <w:t>;</w:t>
      </w:r>
    </w:p>
    <w:p w:rsidR="00600CDA" w:rsidRPr="0072257F" w:rsidRDefault="00600CDA" w:rsidP="009E7875">
      <w:pPr>
        <w:spacing w:before="240"/>
        <w:ind w:left="1418" w:hanging="567"/>
        <w:rPr>
          <w:sz w:val="24"/>
          <w:szCs w:val="24"/>
        </w:rPr>
      </w:pPr>
      <w:r>
        <w:rPr>
          <w:sz w:val="24"/>
          <w:szCs w:val="24"/>
        </w:rPr>
        <w:t>(</w:t>
      </w:r>
      <w:r w:rsidR="009E7875">
        <w:rPr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proofErr w:type="gramStart"/>
      <w:r w:rsidRPr="0072257F">
        <w:rPr>
          <w:sz w:val="24"/>
          <w:szCs w:val="24"/>
        </w:rPr>
        <w:t>a</w:t>
      </w:r>
      <w:proofErr w:type="gramEnd"/>
      <w:r w:rsidRPr="0072257F">
        <w:rPr>
          <w:sz w:val="24"/>
          <w:szCs w:val="24"/>
        </w:rPr>
        <w:t xml:space="preserve"> condition to which a determination under paragraph 88A (1) (a) of the </w:t>
      </w:r>
      <w:r w:rsidRPr="003C3F71">
        <w:rPr>
          <w:i/>
          <w:sz w:val="24"/>
          <w:szCs w:val="24"/>
        </w:rPr>
        <w:t>Act</w:t>
      </w:r>
      <w:r w:rsidRPr="0072257F">
        <w:rPr>
          <w:sz w:val="24"/>
          <w:szCs w:val="24"/>
        </w:rPr>
        <w:t xml:space="preserve"> applies</w:t>
      </w:r>
      <w:r w:rsidR="009E7875">
        <w:rPr>
          <w:sz w:val="24"/>
          <w:szCs w:val="24"/>
        </w:rPr>
        <w:t>.</w:t>
      </w:r>
    </w:p>
    <w:p w:rsidR="00600CDA" w:rsidRPr="0072257F" w:rsidRDefault="00600CDA" w:rsidP="009E7875">
      <w:pPr>
        <w:spacing w:before="240"/>
        <w:ind w:left="851" w:hanging="425"/>
        <w:rPr>
          <w:sz w:val="24"/>
          <w:szCs w:val="24"/>
        </w:rPr>
      </w:pPr>
      <w:r>
        <w:rPr>
          <w:sz w:val="24"/>
          <w:szCs w:val="24"/>
        </w:rPr>
        <w:t>(</w:t>
      </w:r>
      <w:r w:rsidR="009E7875">
        <w:rPr>
          <w:sz w:val="24"/>
          <w:szCs w:val="24"/>
        </w:rPr>
        <w:t>3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9E7875">
        <w:rPr>
          <w:sz w:val="24"/>
          <w:szCs w:val="24"/>
        </w:rPr>
        <w:t>T</w:t>
      </w:r>
      <w:r w:rsidRPr="0072257F">
        <w:rPr>
          <w:sz w:val="24"/>
          <w:szCs w:val="24"/>
        </w:rPr>
        <w:t>he Commission</w:t>
      </w:r>
      <w:r>
        <w:rPr>
          <w:sz w:val="24"/>
          <w:szCs w:val="24"/>
        </w:rPr>
        <w:t xml:space="preserve"> is satisfied that</w:t>
      </w:r>
      <w:r w:rsidRPr="006017CC">
        <w:rPr>
          <w:sz w:val="24"/>
          <w:szCs w:val="24"/>
        </w:rPr>
        <w:t xml:space="preserve">, </w:t>
      </w:r>
      <w:r w:rsidRPr="00C820D0">
        <w:rPr>
          <w:sz w:val="24"/>
          <w:szCs w:val="24"/>
        </w:rPr>
        <w:t>before</w:t>
      </w:r>
      <w:r>
        <w:rPr>
          <w:sz w:val="24"/>
          <w:szCs w:val="24"/>
        </w:rPr>
        <w:t xml:space="preserve"> th</w:t>
      </w:r>
      <w:r w:rsidR="009E7875">
        <w:rPr>
          <w:sz w:val="24"/>
          <w:szCs w:val="24"/>
        </w:rPr>
        <w:t>e first</w:t>
      </w:r>
      <w:r>
        <w:rPr>
          <w:sz w:val="24"/>
          <w:szCs w:val="24"/>
        </w:rPr>
        <w:t xml:space="preserve"> </w:t>
      </w:r>
      <w:r w:rsidR="00B11D36">
        <w:rPr>
          <w:sz w:val="24"/>
          <w:szCs w:val="24"/>
        </w:rPr>
        <w:t xml:space="preserve">separate residence </w:t>
      </w:r>
      <w:r w:rsidRPr="0072257F">
        <w:rPr>
          <w:sz w:val="24"/>
          <w:szCs w:val="24"/>
        </w:rPr>
        <w:t>day</w:t>
      </w:r>
      <w:r w:rsidR="00713F3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2257F">
        <w:rPr>
          <w:sz w:val="24"/>
          <w:szCs w:val="24"/>
        </w:rPr>
        <w:t xml:space="preserve">the domestic environment shared by </w:t>
      </w:r>
      <w:r w:rsidRPr="006017CC">
        <w:rPr>
          <w:sz w:val="24"/>
          <w:szCs w:val="24"/>
        </w:rPr>
        <w:t xml:space="preserve">the </w:t>
      </w:r>
      <w:r w:rsidR="00666340">
        <w:rPr>
          <w:sz w:val="24"/>
          <w:szCs w:val="24"/>
        </w:rPr>
        <w:t>former partner</w:t>
      </w:r>
      <w:r w:rsidRPr="0072257F">
        <w:rPr>
          <w:sz w:val="24"/>
          <w:szCs w:val="24"/>
        </w:rPr>
        <w:t xml:space="preserve"> </w:t>
      </w:r>
      <w:r w:rsidR="009E7875">
        <w:rPr>
          <w:sz w:val="24"/>
          <w:szCs w:val="24"/>
        </w:rPr>
        <w:t xml:space="preserve">of the veteran </w:t>
      </w:r>
      <w:r w:rsidRPr="0072257F">
        <w:rPr>
          <w:sz w:val="24"/>
          <w:szCs w:val="24"/>
        </w:rPr>
        <w:t>with the veteran was, because of the veteran’s behaviour, unsafe or abusive for the</w:t>
      </w:r>
      <w:r w:rsidR="006017CC">
        <w:rPr>
          <w:sz w:val="24"/>
          <w:szCs w:val="24"/>
        </w:rPr>
        <w:t xml:space="preserve"> </w:t>
      </w:r>
      <w:r w:rsidR="00666340">
        <w:rPr>
          <w:sz w:val="24"/>
          <w:szCs w:val="24"/>
        </w:rPr>
        <w:t>former partner</w:t>
      </w:r>
      <w:r w:rsidR="006017CC" w:rsidRPr="0072257F">
        <w:rPr>
          <w:sz w:val="24"/>
          <w:szCs w:val="24"/>
        </w:rPr>
        <w:t xml:space="preserve"> </w:t>
      </w:r>
      <w:r w:rsidRPr="0072257F">
        <w:rPr>
          <w:sz w:val="24"/>
          <w:szCs w:val="24"/>
        </w:rPr>
        <w:t>or any child of the</w:t>
      </w:r>
      <w:r w:rsidR="006017CC">
        <w:rPr>
          <w:sz w:val="24"/>
          <w:szCs w:val="24"/>
        </w:rPr>
        <w:t xml:space="preserve"> </w:t>
      </w:r>
      <w:r w:rsidR="00666340">
        <w:rPr>
          <w:sz w:val="24"/>
          <w:szCs w:val="24"/>
        </w:rPr>
        <w:t>former partner</w:t>
      </w:r>
      <w:r w:rsidRPr="006017CC">
        <w:rPr>
          <w:sz w:val="24"/>
          <w:szCs w:val="24"/>
        </w:rPr>
        <w:t>.</w:t>
      </w:r>
    </w:p>
    <w:p w:rsidR="00600CDA" w:rsidRDefault="00600CDA"/>
    <w:p w:rsidR="004B4876" w:rsidRPr="00CE5D8F" w:rsidRDefault="004B4876" w:rsidP="004B4876">
      <w:pPr>
        <w:keepNext/>
        <w:keepLines/>
        <w:spacing w:before="120"/>
        <w:outlineLvl w:val="4"/>
        <w:rPr>
          <w:b/>
          <w:kern w:val="28"/>
          <w:sz w:val="24"/>
        </w:rPr>
      </w:pPr>
      <w:proofErr w:type="gramStart"/>
      <w:r>
        <w:rPr>
          <w:b/>
          <w:kern w:val="28"/>
          <w:sz w:val="24"/>
        </w:rPr>
        <w:t xml:space="preserve">7 </w:t>
      </w:r>
      <w:r w:rsidR="00666340">
        <w:rPr>
          <w:b/>
          <w:kern w:val="28"/>
          <w:sz w:val="24"/>
        </w:rPr>
        <w:t xml:space="preserve"> </w:t>
      </w:r>
      <w:r>
        <w:rPr>
          <w:b/>
          <w:kern w:val="28"/>
          <w:sz w:val="24"/>
        </w:rPr>
        <w:t>Repeal</w:t>
      </w:r>
      <w:proofErr w:type="gramEnd"/>
      <w:r>
        <w:rPr>
          <w:b/>
          <w:kern w:val="28"/>
          <w:sz w:val="24"/>
        </w:rPr>
        <w:t xml:space="preserve"> </w:t>
      </w:r>
    </w:p>
    <w:p w:rsidR="004B4876" w:rsidRPr="009D658B" w:rsidRDefault="004B4876" w:rsidP="004B4876">
      <w:pPr>
        <w:spacing w:before="240"/>
        <w:ind w:left="426"/>
        <w:rPr>
          <w:sz w:val="24"/>
          <w:szCs w:val="24"/>
        </w:rPr>
      </w:pPr>
      <w:r w:rsidRPr="00DF024F">
        <w:rPr>
          <w:color w:val="000000"/>
          <w:sz w:val="24"/>
          <w:szCs w:val="24"/>
          <w:lang w:val="en-GB"/>
        </w:rPr>
        <w:t>Th</w:t>
      </w:r>
      <w:r w:rsidR="00503DF9">
        <w:rPr>
          <w:color w:val="000000"/>
          <w:sz w:val="24"/>
          <w:szCs w:val="24"/>
          <w:lang w:val="en-GB"/>
        </w:rPr>
        <w:t>e</w:t>
      </w:r>
      <w:r w:rsidR="00503DF9" w:rsidRPr="00503DF9">
        <w:rPr>
          <w:i/>
          <w:color w:val="000000"/>
          <w:sz w:val="24"/>
          <w:szCs w:val="24"/>
        </w:rPr>
        <w:t xml:space="preserve"> </w:t>
      </w:r>
      <w:r w:rsidR="00503DF9" w:rsidRPr="00636E62">
        <w:rPr>
          <w:i/>
          <w:color w:val="000000"/>
          <w:sz w:val="24"/>
          <w:szCs w:val="24"/>
        </w:rPr>
        <w:t xml:space="preserve">Veterans’ Entitlements </w:t>
      </w:r>
      <w:r w:rsidR="00503DF9" w:rsidRPr="00636E62">
        <w:rPr>
          <w:i/>
          <w:sz w:val="24"/>
          <w:szCs w:val="24"/>
        </w:rPr>
        <w:t>(Partner Service Pension — Retention of Eligibility</w:t>
      </w:r>
      <w:r w:rsidR="00503DF9">
        <w:rPr>
          <w:i/>
          <w:sz w:val="24"/>
          <w:szCs w:val="24"/>
        </w:rPr>
        <w:t xml:space="preserve"> for Non-illness Separated Spouse</w:t>
      </w:r>
      <w:r w:rsidR="00503DF9" w:rsidRPr="00636E62">
        <w:rPr>
          <w:i/>
          <w:sz w:val="24"/>
          <w:szCs w:val="24"/>
        </w:rPr>
        <w:t xml:space="preserve">) </w:t>
      </w:r>
      <w:r w:rsidR="00503DF9">
        <w:rPr>
          <w:i/>
          <w:color w:val="000000"/>
          <w:sz w:val="24"/>
          <w:szCs w:val="24"/>
        </w:rPr>
        <w:t xml:space="preserve">Determination R25/2009 </w:t>
      </w:r>
      <w:r>
        <w:rPr>
          <w:color w:val="000000"/>
          <w:sz w:val="24"/>
          <w:szCs w:val="24"/>
        </w:rPr>
        <w:t>is repealed</w:t>
      </w:r>
      <w:r w:rsidRPr="009D658B">
        <w:rPr>
          <w:color w:val="000000"/>
          <w:sz w:val="24"/>
          <w:szCs w:val="24"/>
        </w:rPr>
        <w:t>.</w:t>
      </w:r>
    </w:p>
    <w:p w:rsidR="004B4876" w:rsidRPr="00C82A10" w:rsidRDefault="004B4876">
      <w:pPr>
        <w:rPr>
          <w:sz w:val="24"/>
          <w:szCs w:val="24"/>
        </w:rPr>
      </w:pPr>
    </w:p>
    <w:p w:rsidR="00666340" w:rsidRPr="00CE5D8F" w:rsidRDefault="00666340" w:rsidP="00666340">
      <w:pPr>
        <w:keepNext/>
        <w:keepLines/>
        <w:spacing w:before="120"/>
        <w:outlineLvl w:val="4"/>
        <w:rPr>
          <w:b/>
          <w:kern w:val="28"/>
          <w:sz w:val="24"/>
        </w:rPr>
      </w:pPr>
      <w:proofErr w:type="gramStart"/>
      <w:r>
        <w:rPr>
          <w:b/>
          <w:kern w:val="28"/>
          <w:sz w:val="24"/>
        </w:rPr>
        <w:t>8  Transitional</w:t>
      </w:r>
      <w:proofErr w:type="gramEnd"/>
      <w:r>
        <w:rPr>
          <w:b/>
          <w:kern w:val="28"/>
          <w:sz w:val="24"/>
        </w:rPr>
        <w:t xml:space="preserve"> provision </w:t>
      </w:r>
    </w:p>
    <w:p w:rsidR="00666340" w:rsidRPr="00C82A10" w:rsidRDefault="00666340" w:rsidP="00C82A10">
      <w:pPr>
        <w:pStyle w:val="ListParagraph"/>
        <w:numPr>
          <w:ilvl w:val="0"/>
          <w:numId w:val="3"/>
        </w:numPr>
        <w:spacing w:before="240"/>
        <w:rPr>
          <w:sz w:val="24"/>
          <w:szCs w:val="24"/>
        </w:rPr>
      </w:pPr>
      <w:r>
        <w:rPr>
          <w:color w:val="000000"/>
          <w:sz w:val="24"/>
          <w:szCs w:val="24"/>
          <w:lang w:val="en-GB"/>
        </w:rPr>
        <w:t xml:space="preserve">This section applies to </w:t>
      </w:r>
      <w:r w:rsidR="009E7875">
        <w:rPr>
          <w:color w:val="000000"/>
          <w:sz w:val="24"/>
          <w:szCs w:val="24"/>
          <w:lang w:val="en-GB"/>
        </w:rPr>
        <w:t>the non-illness separate</w:t>
      </w:r>
      <w:r w:rsidR="002D7DC7">
        <w:rPr>
          <w:color w:val="000000"/>
          <w:sz w:val="24"/>
          <w:szCs w:val="24"/>
          <w:lang w:val="en-GB"/>
        </w:rPr>
        <w:t>d</w:t>
      </w:r>
      <w:r w:rsidR="009E7875">
        <w:rPr>
          <w:color w:val="000000"/>
          <w:sz w:val="24"/>
          <w:szCs w:val="24"/>
          <w:lang w:val="en-GB"/>
        </w:rPr>
        <w:t xml:space="preserve"> spouse of a veteran</w:t>
      </w:r>
      <w:r>
        <w:rPr>
          <w:color w:val="000000"/>
          <w:sz w:val="24"/>
          <w:szCs w:val="24"/>
          <w:lang w:val="en-GB"/>
        </w:rPr>
        <w:t xml:space="preserve"> if</w:t>
      </w:r>
      <w:r w:rsidRPr="00C82A10">
        <w:rPr>
          <w:color w:val="000000"/>
          <w:sz w:val="24"/>
          <w:szCs w:val="24"/>
          <w:lang w:val="en-GB"/>
        </w:rPr>
        <w:t>, immediately before the commencement of this instrument, the</w:t>
      </w:r>
      <w:r w:rsidRPr="00C82A10">
        <w:rPr>
          <w:i/>
          <w:color w:val="000000"/>
          <w:sz w:val="24"/>
          <w:szCs w:val="24"/>
        </w:rPr>
        <w:t xml:space="preserve"> Veterans’ Entitlements </w:t>
      </w:r>
      <w:r w:rsidRPr="00C82A10">
        <w:rPr>
          <w:i/>
          <w:sz w:val="24"/>
          <w:szCs w:val="24"/>
        </w:rPr>
        <w:t xml:space="preserve">(Partner Service Pension — Retention of Eligibility for Non-illness Separated Spouse) </w:t>
      </w:r>
      <w:r w:rsidRPr="00C82A10">
        <w:rPr>
          <w:i/>
          <w:color w:val="000000"/>
          <w:sz w:val="24"/>
          <w:szCs w:val="24"/>
        </w:rPr>
        <w:t>Determination R25/2009</w:t>
      </w:r>
      <w:r w:rsidRPr="00C82A10">
        <w:rPr>
          <w:color w:val="000000"/>
          <w:sz w:val="24"/>
          <w:szCs w:val="24"/>
        </w:rPr>
        <w:t xml:space="preserve"> applied to the </w:t>
      </w:r>
      <w:r w:rsidR="009E7875">
        <w:rPr>
          <w:color w:val="000000"/>
          <w:sz w:val="24"/>
          <w:szCs w:val="24"/>
        </w:rPr>
        <w:t>spouse</w:t>
      </w:r>
      <w:r>
        <w:rPr>
          <w:color w:val="000000"/>
          <w:sz w:val="24"/>
          <w:szCs w:val="24"/>
        </w:rPr>
        <w:t>.</w:t>
      </w:r>
    </w:p>
    <w:p w:rsidR="00666340" w:rsidRPr="00C82A10" w:rsidRDefault="00666340" w:rsidP="00C82A10">
      <w:pPr>
        <w:pStyle w:val="ListParagraph"/>
        <w:numPr>
          <w:ilvl w:val="0"/>
          <w:numId w:val="3"/>
        </w:numPr>
        <w:spacing w:before="240"/>
        <w:rPr>
          <w:sz w:val="24"/>
          <w:szCs w:val="24"/>
        </w:rPr>
      </w:pPr>
      <w:r>
        <w:rPr>
          <w:color w:val="000000"/>
          <w:sz w:val="24"/>
          <w:szCs w:val="24"/>
        </w:rPr>
        <w:t>O</w:t>
      </w:r>
      <w:r w:rsidRPr="00165F06">
        <w:rPr>
          <w:color w:val="000000"/>
          <w:sz w:val="24"/>
          <w:szCs w:val="24"/>
        </w:rPr>
        <w:t>n and after the commencement</w:t>
      </w:r>
      <w:r>
        <w:rPr>
          <w:color w:val="000000"/>
          <w:sz w:val="24"/>
          <w:szCs w:val="24"/>
        </w:rPr>
        <w:t xml:space="preserve"> of this instrument,</w:t>
      </w:r>
      <w:r w:rsidRPr="00C82A10">
        <w:rPr>
          <w:color w:val="000000"/>
          <w:sz w:val="24"/>
          <w:szCs w:val="24"/>
        </w:rPr>
        <w:t xml:space="preserve"> the</w:t>
      </w:r>
      <w:r w:rsidRPr="00165F06">
        <w:rPr>
          <w:i/>
          <w:color w:val="000000"/>
          <w:sz w:val="24"/>
          <w:szCs w:val="24"/>
        </w:rPr>
        <w:t xml:space="preserve"> Veterans’ Entitlements </w:t>
      </w:r>
      <w:r w:rsidRPr="00165F06">
        <w:rPr>
          <w:i/>
          <w:sz w:val="24"/>
          <w:szCs w:val="24"/>
        </w:rPr>
        <w:t xml:space="preserve">(Partner Service Pension — Retention of Eligibility for Non-illness Separated Spouse) </w:t>
      </w:r>
      <w:r w:rsidRPr="00165F06">
        <w:rPr>
          <w:i/>
          <w:color w:val="000000"/>
          <w:sz w:val="24"/>
          <w:szCs w:val="24"/>
        </w:rPr>
        <w:t xml:space="preserve">Determination R25/2009 </w:t>
      </w:r>
      <w:r w:rsidRPr="00C82A10">
        <w:rPr>
          <w:color w:val="000000"/>
          <w:sz w:val="24"/>
          <w:szCs w:val="24"/>
        </w:rPr>
        <w:t>continues to apply to the</w:t>
      </w:r>
      <w:r w:rsidR="009E7875">
        <w:rPr>
          <w:color w:val="000000"/>
          <w:sz w:val="24"/>
          <w:szCs w:val="24"/>
          <w:lang w:val="en-GB"/>
        </w:rPr>
        <w:t xml:space="preserve"> non-illness separate</w:t>
      </w:r>
      <w:r w:rsidR="002D7DC7">
        <w:rPr>
          <w:color w:val="000000"/>
          <w:sz w:val="24"/>
          <w:szCs w:val="24"/>
          <w:lang w:val="en-GB"/>
        </w:rPr>
        <w:t>d</w:t>
      </w:r>
      <w:r w:rsidR="009E7875">
        <w:rPr>
          <w:color w:val="000000"/>
          <w:sz w:val="24"/>
          <w:szCs w:val="24"/>
          <w:lang w:val="en-GB"/>
        </w:rPr>
        <w:t xml:space="preserve"> spouse of the veteran </w:t>
      </w:r>
      <w:r w:rsidRPr="00C82A10">
        <w:rPr>
          <w:color w:val="000000"/>
          <w:sz w:val="24"/>
          <w:szCs w:val="24"/>
        </w:rPr>
        <w:t xml:space="preserve">as if </w:t>
      </w:r>
      <w:r w:rsidR="00F0071E">
        <w:rPr>
          <w:color w:val="000000"/>
          <w:sz w:val="24"/>
          <w:szCs w:val="24"/>
        </w:rPr>
        <w:t xml:space="preserve">it had not been </w:t>
      </w:r>
      <w:r w:rsidRPr="00C82A10">
        <w:rPr>
          <w:color w:val="000000"/>
          <w:sz w:val="24"/>
          <w:szCs w:val="24"/>
        </w:rPr>
        <w:t xml:space="preserve">repealed. </w:t>
      </w:r>
    </w:p>
    <w:p w:rsidR="00666340" w:rsidRDefault="00666340" w:rsidP="00666340"/>
    <w:p w:rsidR="00666340" w:rsidRDefault="00666340"/>
    <w:sectPr w:rsidR="00666340" w:rsidSect="00C820D0"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892" w:rsidRDefault="00631892" w:rsidP="00631892">
      <w:r>
        <w:separator/>
      </w:r>
    </w:p>
  </w:endnote>
  <w:endnote w:type="continuationSeparator" w:id="0">
    <w:p w:rsidR="00631892" w:rsidRDefault="00631892" w:rsidP="0063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92205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1892" w:rsidRDefault="006318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6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892" w:rsidRDefault="006318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892" w:rsidRDefault="00631892" w:rsidP="00631892">
      <w:r>
        <w:separator/>
      </w:r>
    </w:p>
  </w:footnote>
  <w:footnote w:type="continuationSeparator" w:id="0">
    <w:p w:rsidR="00631892" w:rsidRDefault="00631892" w:rsidP="00631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3BC" w:rsidRDefault="000733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75FC6"/>
    <w:multiLevelType w:val="hybridMultilevel"/>
    <w:tmpl w:val="869A607A"/>
    <w:lvl w:ilvl="0" w:tplc="A0EC1024">
      <w:start w:val="1"/>
      <w:numFmt w:val="decimal"/>
      <w:lvlText w:val="(%1)"/>
      <w:lvlJc w:val="left"/>
      <w:pPr>
        <w:ind w:left="786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8A62C2C"/>
    <w:multiLevelType w:val="hybridMultilevel"/>
    <w:tmpl w:val="A9D6F37C"/>
    <w:lvl w:ilvl="0" w:tplc="0C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2" w15:restartNumberingAfterBreak="0">
    <w:nsid w:val="6C57017D"/>
    <w:multiLevelType w:val="hybridMultilevel"/>
    <w:tmpl w:val="9062A426"/>
    <w:lvl w:ilvl="0" w:tplc="0C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DA"/>
    <w:rsid w:val="00017073"/>
    <w:rsid w:val="00022919"/>
    <w:rsid w:val="000733BC"/>
    <w:rsid w:val="00077E17"/>
    <w:rsid w:val="0009516F"/>
    <w:rsid w:val="00166046"/>
    <w:rsid w:val="001F25DC"/>
    <w:rsid w:val="002241FE"/>
    <w:rsid w:val="002D7DC7"/>
    <w:rsid w:val="00317141"/>
    <w:rsid w:val="00342F7B"/>
    <w:rsid w:val="003A6C73"/>
    <w:rsid w:val="004021A2"/>
    <w:rsid w:val="00431E00"/>
    <w:rsid w:val="004B4876"/>
    <w:rsid w:val="00503DF9"/>
    <w:rsid w:val="00525C7C"/>
    <w:rsid w:val="00600CDA"/>
    <w:rsid w:val="006017CC"/>
    <w:rsid w:val="00631892"/>
    <w:rsid w:val="00666340"/>
    <w:rsid w:val="006A5AE0"/>
    <w:rsid w:val="00713F31"/>
    <w:rsid w:val="00763666"/>
    <w:rsid w:val="0087415F"/>
    <w:rsid w:val="008C3486"/>
    <w:rsid w:val="00983867"/>
    <w:rsid w:val="00997AC9"/>
    <w:rsid w:val="009E7875"/>
    <w:rsid w:val="00A5618A"/>
    <w:rsid w:val="00B11D36"/>
    <w:rsid w:val="00B84853"/>
    <w:rsid w:val="00C050ED"/>
    <w:rsid w:val="00C551B4"/>
    <w:rsid w:val="00C751EE"/>
    <w:rsid w:val="00C820D0"/>
    <w:rsid w:val="00C82A10"/>
    <w:rsid w:val="00DF2BCA"/>
    <w:rsid w:val="00EA16FA"/>
    <w:rsid w:val="00EA6616"/>
    <w:rsid w:val="00F0071E"/>
    <w:rsid w:val="00F06C99"/>
    <w:rsid w:val="00F77EC9"/>
    <w:rsid w:val="00F8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DF3FB"/>
  <w15:chartTrackingRefBased/>
  <w15:docId w15:val="{274E90D6-53D4-4946-8E1E-D6B4394C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CDA"/>
    <w:pPr>
      <w:keepNext/>
      <w:outlineLvl w:val="0"/>
    </w:pPr>
    <w:rPr>
      <w:rFonts w:ascii="Arial" w:hAnsi="Arial"/>
      <w:b/>
      <w:sz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600CDA"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76" w:hanging="576"/>
      <w:jc w:val="center"/>
      <w:outlineLvl w:val="8"/>
    </w:pPr>
    <w:rPr>
      <w:rFonts w:ascii="CG Times" w:hAnsi="CG Times"/>
      <w:b/>
      <w:sz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CDA"/>
    <w:rPr>
      <w:rFonts w:ascii="Arial" w:eastAsia="Times New Roman" w:hAnsi="Arial" w:cs="Times New Roman"/>
      <w:b/>
      <w:sz w:val="24"/>
      <w:szCs w:val="20"/>
      <w:lang w:val="en-US" w:eastAsia="en-AU"/>
    </w:rPr>
  </w:style>
  <w:style w:type="character" w:customStyle="1" w:styleId="Heading9Char">
    <w:name w:val="Heading 9 Char"/>
    <w:basedOn w:val="DefaultParagraphFont"/>
    <w:link w:val="Heading9"/>
    <w:uiPriority w:val="9"/>
    <w:rsid w:val="00600CDA"/>
    <w:rPr>
      <w:rFonts w:ascii="CG Times" w:eastAsia="Times New Roman" w:hAnsi="CG Times" w:cs="Times New Roman"/>
      <w:b/>
      <w:sz w:val="36"/>
      <w:szCs w:val="20"/>
      <w:lang w:val="en-US" w:eastAsia="en-AU"/>
    </w:rPr>
  </w:style>
  <w:style w:type="paragraph" w:styleId="BodyText">
    <w:name w:val="Body Text"/>
    <w:basedOn w:val="Normal"/>
    <w:link w:val="BodyTextChar"/>
    <w:uiPriority w:val="99"/>
    <w:rsid w:val="00600CDA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rFonts w:ascii="CG Times" w:hAnsi="CG Times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600CDA"/>
    <w:rPr>
      <w:rFonts w:ascii="CG Times" w:eastAsia="Times New Roman" w:hAnsi="CG Times" w:cs="Times New Roman"/>
      <w:sz w:val="28"/>
      <w:szCs w:val="20"/>
      <w:lang w:val="en-GB" w:eastAsia="en-AU"/>
    </w:rPr>
  </w:style>
  <w:style w:type="paragraph" w:customStyle="1" w:styleId="Firstpara">
    <w:name w:val="First para"/>
    <w:basedOn w:val="Normal"/>
    <w:rsid w:val="00600CDA"/>
    <w:pPr>
      <w:spacing w:before="240" w:after="120"/>
    </w:pPr>
    <w:rPr>
      <w:sz w:val="24"/>
    </w:rPr>
  </w:style>
  <w:style w:type="table" w:styleId="TableGrid">
    <w:name w:val="Table Grid"/>
    <w:basedOn w:val="TableNormal"/>
    <w:uiPriority w:val="39"/>
    <w:rsid w:val="00600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0CDA"/>
    <w:pPr>
      <w:ind w:left="720"/>
    </w:pPr>
  </w:style>
  <w:style w:type="character" w:customStyle="1" w:styleId="ActHead5Char">
    <w:name w:val="ActHead 5 Char"/>
    <w:aliases w:val="s Char"/>
    <w:link w:val="ActHead5"/>
    <w:locked/>
    <w:rsid w:val="00600CDA"/>
    <w:rPr>
      <w:b/>
      <w:kern w:val="28"/>
      <w:sz w:val="24"/>
    </w:rPr>
  </w:style>
  <w:style w:type="paragraph" w:customStyle="1" w:styleId="ActHead5">
    <w:name w:val="ActHead 5"/>
    <w:aliases w:val="s"/>
    <w:basedOn w:val="Normal"/>
    <w:next w:val="Normal"/>
    <w:link w:val="ActHead5Char"/>
    <w:qFormat/>
    <w:rsid w:val="00600CDA"/>
    <w:pPr>
      <w:keepNext/>
      <w:keepLines/>
      <w:spacing w:before="280"/>
      <w:ind w:left="1134" w:hanging="1134"/>
      <w:outlineLvl w:val="4"/>
    </w:pPr>
    <w:rPr>
      <w:rFonts w:asciiTheme="minorHAnsi" w:eastAsiaTheme="minorHAnsi" w:hAnsiTheme="minorHAnsi" w:cstheme="minorBidi"/>
      <w:b/>
      <w:kern w:val="28"/>
      <w:sz w:val="24"/>
      <w:szCs w:val="22"/>
      <w:lang w:eastAsia="en-US"/>
    </w:rPr>
  </w:style>
  <w:style w:type="paragraph" w:customStyle="1" w:styleId="Notepara">
    <w:name w:val="Note para"/>
    <w:basedOn w:val="Normal"/>
    <w:rsid w:val="00600CDA"/>
    <w:pPr>
      <w:keepLines/>
      <w:spacing w:before="60" w:line="220" w:lineRule="exact"/>
      <w:ind w:left="1304" w:hanging="340"/>
      <w:jc w:val="both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A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AE0"/>
    <w:rPr>
      <w:rFonts w:ascii="Segoe UI" w:eastAsia="Times New Roman" w:hAnsi="Segoe UI" w:cs="Segoe UI"/>
      <w:sz w:val="18"/>
      <w:szCs w:val="18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318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8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318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892"/>
    <w:rPr>
      <w:rFonts w:ascii="Times New Roman" w:eastAsia="Times New Roman" w:hAnsi="Times New Roman" w:cs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2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Michael</dc:creator>
  <cp:keywords/>
  <dc:description/>
  <cp:lastModifiedBy>Wright, Michael</cp:lastModifiedBy>
  <cp:revision>9</cp:revision>
  <cp:lastPrinted>2019-08-06T02:01:00Z</cp:lastPrinted>
  <dcterms:created xsi:type="dcterms:W3CDTF">2019-08-14T03:48:00Z</dcterms:created>
  <dcterms:modified xsi:type="dcterms:W3CDTF">2019-09-05T23:30:00Z</dcterms:modified>
</cp:coreProperties>
</file>