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9EA" w:rsidRDefault="00ED081D" w:rsidP="009A530B">
      <w:pPr>
        <w:spacing w:before="100" w:beforeAutospacing="1" w:after="100" w:afterAutospacing="1"/>
        <w:jc w:val="center"/>
        <w:rPr>
          <w:rFonts w:ascii="Times New Roman" w:eastAsia="Times New Roman" w:hAnsi="Times New Roman" w:cs="Times New Roman"/>
          <w:b/>
          <w:bCs/>
          <w:sz w:val="24"/>
          <w:szCs w:val="24"/>
          <w:u w:val="single"/>
          <w:lang w:eastAsia="en-AU"/>
        </w:rPr>
      </w:pPr>
      <w:bookmarkStart w:id="0" w:name="_GoBack"/>
      <w:bookmarkEnd w:id="0"/>
      <w:r>
        <w:rPr>
          <w:rFonts w:ascii="Times New Roman" w:eastAsia="Times New Roman" w:hAnsi="Times New Roman" w:cs="Times New Roman"/>
          <w:b/>
          <w:bCs/>
          <w:sz w:val="24"/>
          <w:szCs w:val="24"/>
          <w:u w:val="single"/>
          <w:lang w:eastAsia="en-AU"/>
        </w:rPr>
        <w:t>E</w:t>
      </w:r>
      <w:r w:rsidR="00A419EA" w:rsidRPr="00A419EA">
        <w:rPr>
          <w:rFonts w:ascii="Times New Roman" w:eastAsia="Times New Roman" w:hAnsi="Times New Roman" w:cs="Times New Roman"/>
          <w:b/>
          <w:bCs/>
          <w:sz w:val="24"/>
          <w:szCs w:val="24"/>
          <w:u w:val="single"/>
          <w:lang w:eastAsia="en-AU"/>
        </w:rPr>
        <w:t>XPLANATORY STATEMENT</w:t>
      </w:r>
    </w:p>
    <w:p w:rsidR="00B60F0C" w:rsidRPr="00625284" w:rsidRDefault="00B60F0C" w:rsidP="00B60F0C">
      <w:pPr>
        <w:jc w:val="center"/>
        <w:rPr>
          <w:rFonts w:ascii="Times New Roman" w:hAnsi="Times New Roman"/>
          <w:bCs/>
          <w:i/>
          <w:iCs/>
          <w:szCs w:val="24"/>
        </w:rPr>
      </w:pPr>
      <w:r w:rsidRPr="00625284">
        <w:rPr>
          <w:rFonts w:ascii="Times New Roman" w:hAnsi="Times New Roman"/>
          <w:bCs/>
          <w:i/>
          <w:iCs/>
          <w:szCs w:val="24"/>
        </w:rPr>
        <w:t>Therapeutic Goods Act 1989</w:t>
      </w:r>
    </w:p>
    <w:p w:rsidR="00EF1F18" w:rsidRPr="008727AB" w:rsidRDefault="00EF1F18" w:rsidP="009A530B">
      <w:pPr>
        <w:spacing w:before="100" w:beforeAutospacing="1" w:after="100" w:afterAutospacing="1"/>
        <w:jc w:val="center"/>
        <w:rPr>
          <w:rFonts w:ascii="Times New Roman" w:eastAsia="Times New Roman" w:hAnsi="Times New Roman" w:cs="Times New Roman"/>
          <w:bCs/>
          <w:i/>
          <w:sz w:val="24"/>
          <w:szCs w:val="24"/>
          <w:lang w:eastAsia="en-AU"/>
        </w:rPr>
      </w:pPr>
      <w:r w:rsidRPr="008727AB">
        <w:rPr>
          <w:rFonts w:ascii="Times New Roman" w:eastAsia="Times New Roman" w:hAnsi="Times New Roman" w:cs="Times New Roman"/>
          <w:bCs/>
          <w:i/>
          <w:sz w:val="24"/>
          <w:szCs w:val="24"/>
          <w:lang w:eastAsia="en-AU"/>
        </w:rPr>
        <w:t xml:space="preserve">Therapeutic Goods </w:t>
      </w:r>
      <w:r w:rsidR="008727AB" w:rsidRPr="008727AB">
        <w:rPr>
          <w:rFonts w:ascii="Times New Roman" w:eastAsia="Times New Roman" w:hAnsi="Times New Roman" w:cs="Times New Roman"/>
          <w:bCs/>
          <w:i/>
          <w:sz w:val="24"/>
          <w:szCs w:val="24"/>
          <w:lang w:eastAsia="en-AU"/>
        </w:rPr>
        <w:t xml:space="preserve">Amendment </w:t>
      </w:r>
      <w:r w:rsidRPr="008727AB">
        <w:rPr>
          <w:rFonts w:ascii="Times New Roman" w:eastAsia="Times New Roman" w:hAnsi="Times New Roman" w:cs="Times New Roman"/>
          <w:bCs/>
          <w:i/>
          <w:sz w:val="24"/>
          <w:szCs w:val="24"/>
          <w:lang w:eastAsia="en-AU"/>
        </w:rPr>
        <w:t>(Permissible Ingredients) Determination </w:t>
      </w:r>
      <w:r w:rsidR="00045C71">
        <w:rPr>
          <w:rFonts w:ascii="Times New Roman" w:eastAsia="Times New Roman" w:hAnsi="Times New Roman" w:cs="Times New Roman"/>
          <w:bCs/>
          <w:i/>
          <w:sz w:val="24"/>
          <w:szCs w:val="24"/>
          <w:lang w:eastAsia="en-AU"/>
        </w:rPr>
        <w:t>(No.</w:t>
      </w:r>
      <w:r w:rsidR="00B60F0C">
        <w:rPr>
          <w:rFonts w:ascii="Times New Roman" w:eastAsia="Times New Roman" w:hAnsi="Times New Roman" w:cs="Times New Roman"/>
          <w:bCs/>
          <w:i/>
          <w:sz w:val="24"/>
          <w:szCs w:val="24"/>
          <w:lang w:eastAsia="en-AU"/>
        </w:rPr>
        <w:t xml:space="preserve"> </w:t>
      </w:r>
      <w:r w:rsidR="00045C71">
        <w:rPr>
          <w:rFonts w:ascii="Times New Roman" w:eastAsia="Times New Roman" w:hAnsi="Times New Roman" w:cs="Times New Roman"/>
          <w:bCs/>
          <w:i/>
          <w:sz w:val="24"/>
          <w:szCs w:val="24"/>
          <w:lang w:eastAsia="en-AU"/>
        </w:rPr>
        <w:t xml:space="preserve">1) </w:t>
      </w:r>
      <w:r w:rsidR="00685980" w:rsidRPr="008727AB">
        <w:rPr>
          <w:rFonts w:ascii="Times New Roman" w:eastAsia="Times New Roman" w:hAnsi="Times New Roman" w:cs="Times New Roman"/>
          <w:bCs/>
          <w:i/>
          <w:sz w:val="24"/>
          <w:szCs w:val="24"/>
          <w:lang w:eastAsia="en-AU"/>
        </w:rPr>
        <w:t>2019</w:t>
      </w:r>
    </w:p>
    <w:p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Act is administered by the Therapeutic Goods Administration (“the </w:t>
      </w:r>
      <w:r w:rsidR="00B60F0C">
        <w:rPr>
          <w:rFonts w:ascii="Times New Roman" w:eastAsia="Times New Roman" w:hAnsi="Times New Roman" w:cs="Times New Roman"/>
          <w:sz w:val="24"/>
          <w:szCs w:val="24"/>
          <w:lang w:eastAsia="en-AU"/>
        </w:rPr>
        <w:t>TGA</w:t>
      </w:r>
      <w:r>
        <w:rPr>
          <w:rFonts w:ascii="Times New Roman" w:eastAsia="Times New Roman" w:hAnsi="Times New Roman" w:cs="Times New Roman"/>
          <w:sz w:val="24"/>
          <w:szCs w:val="24"/>
          <w:lang w:eastAsia="en-AU"/>
        </w:rPr>
        <w:t>”) within the Australian Government Department of Health.</w:t>
      </w:r>
    </w:p>
    <w:p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p>
    <w:p w:rsidR="008727AB" w:rsidRDefault="008727AB"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26BB of the Act relevantly provides that the Minister of Health may, by legislative instrument, make a determination </w:t>
      </w:r>
      <w:r w:rsidR="004E05C9">
        <w:rPr>
          <w:rFonts w:ascii="Times New Roman" w:eastAsia="Times New Roman" w:hAnsi="Times New Roman" w:cs="Times New Roman"/>
          <w:sz w:val="24"/>
          <w:szCs w:val="24"/>
          <w:lang w:eastAsia="en-AU"/>
        </w:rPr>
        <w:t>specifying ingredients and, for some or all of those ingredients, requirements in relation to those ingredients being contained in a medicine.  Under subsections 26BB(2), (2A) and (3) of the Act, such requirements may relate to particular ingredients not being con</w:t>
      </w:r>
      <w:r w:rsidR="00226F3C">
        <w:rPr>
          <w:rFonts w:ascii="Times New Roman" w:eastAsia="Times New Roman" w:hAnsi="Times New Roman" w:cs="Times New Roman"/>
          <w:sz w:val="24"/>
          <w:szCs w:val="24"/>
          <w:lang w:eastAsia="en-AU"/>
        </w:rPr>
        <w:t xml:space="preserve">tained in particular medicines or </w:t>
      </w:r>
      <w:r w:rsidR="004E05C9">
        <w:rPr>
          <w:rFonts w:ascii="Times New Roman" w:eastAsia="Times New Roman" w:hAnsi="Times New Roman" w:cs="Times New Roman"/>
          <w:sz w:val="24"/>
          <w:szCs w:val="24"/>
          <w:lang w:eastAsia="en-AU"/>
        </w:rPr>
        <w:t>being contained in p</w:t>
      </w:r>
      <w:r w:rsidR="00226F3C">
        <w:rPr>
          <w:rFonts w:ascii="Times New Roman" w:eastAsia="Times New Roman" w:hAnsi="Times New Roman" w:cs="Times New Roman"/>
          <w:sz w:val="24"/>
          <w:szCs w:val="24"/>
          <w:lang w:eastAsia="en-AU"/>
        </w:rPr>
        <w:t xml:space="preserve">articular medicines only in specified </w:t>
      </w:r>
      <w:r w:rsidR="004E05C9">
        <w:rPr>
          <w:rFonts w:ascii="Times New Roman" w:eastAsia="Times New Roman" w:hAnsi="Times New Roman" w:cs="Times New Roman"/>
          <w:sz w:val="24"/>
          <w:szCs w:val="24"/>
          <w:lang w:eastAsia="en-AU"/>
        </w:rPr>
        <w:t>circumstances, or to permitted concentrations or total amounts of an ingredient in a medicine.</w:t>
      </w:r>
    </w:p>
    <w:p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rsidR="004E05C9" w:rsidRDefault="00226F3C"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w:t>
      </w:r>
      <w:r w:rsidR="004E05C9">
        <w:rPr>
          <w:rFonts w:ascii="Times New Roman" w:eastAsia="Times New Roman" w:hAnsi="Times New Roman" w:cs="Times New Roman"/>
          <w:sz w:val="24"/>
          <w:szCs w:val="24"/>
          <w:lang w:eastAsia="en-AU"/>
        </w:rPr>
        <w:t xml:space="preserve">egislative instruments made </w:t>
      </w:r>
      <w:r>
        <w:rPr>
          <w:rFonts w:ascii="Times New Roman" w:eastAsia="Times New Roman" w:hAnsi="Times New Roman" w:cs="Times New Roman"/>
          <w:sz w:val="24"/>
          <w:szCs w:val="24"/>
          <w:lang w:eastAsia="en-AU"/>
        </w:rPr>
        <w:t>under section 26BB of the Act are designed</w:t>
      </w:r>
      <w:r w:rsidR="004E05C9">
        <w:rPr>
          <w:rFonts w:ascii="Times New Roman" w:eastAsia="Times New Roman" w:hAnsi="Times New Roman" w:cs="Times New Roman"/>
          <w:sz w:val="24"/>
          <w:szCs w:val="24"/>
          <w:lang w:eastAsia="en-AU"/>
        </w:rPr>
        <w:t xml:space="preserve"> to specify those ingredients that may be contained in a medicine that is listed in the Australian Register of Therapeutic Goods (“the Register”) under section 26A or 26AE of the Act, and </w:t>
      </w:r>
      <w:r>
        <w:rPr>
          <w:rFonts w:ascii="Times New Roman" w:eastAsia="Times New Roman" w:hAnsi="Times New Roman" w:cs="Times New Roman"/>
          <w:sz w:val="24"/>
          <w:szCs w:val="24"/>
          <w:lang w:eastAsia="en-AU"/>
        </w:rPr>
        <w:t xml:space="preserve">to specify </w:t>
      </w:r>
      <w:r w:rsidR="004E05C9">
        <w:rPr>
          <w:rFonts w:ascii="Times New Roman" w:eastAsia="Times New Roman" w:hAnsi="Times New Roman" w:cs="Times New Roman"/>
          <w:sz w:val="24"/>
          <w:szCs w:val="24"/>
          <w:lang w:eastAsia="en-AU"/>
        </w:rPr>
        <w:t>requirements in relation to the inclusion of those ingredients in such medicines.</w:t>
      </w:r>
    </w:p>
    <w:p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p>
    <w:p w:rsidR="00226F3C"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 26BC of the Act provides that the Minister may, on his or her own initiative and by legislative instrument, vary a determination mad</w:t>
      </w:r>
      <w:r w:rsidR="00226F3C">
        <w:rPr>
          <w:rFonts w:ascii="Times New Roman" w:eastAsia="Times New Roman" w:hAnsi="Times New Roman" w:cs="Times New Roman"/>
          <w:sz w:val="24"/>
          <w:szCs w:val="24"/>
          <w:lang w:eastAsia="en-AU"/>
        </w:rPr>
        <w:t>e under section 26BB of the Act, and t</w:t>
      </w:r>
      <w:r>
        <w:rPr>
          <w:rFonts w:ascii="Times New Roman" w:eastAsia="Times New Roman" w:hAnsi="Times New Roman" w:cs="Times New Roman"/>
          <w:sz w:val="24"/>
          <w:szCs w:val="24"/>
          <w:lang w:eastAsia="en-AU"/>
        </w:rPr>
        <w:t xml:space="preserve">he </w:t>
      </w:r>
      <w:r w:rsidRPr="004E05C9">
        <w:rPr>
          <w:rFonts w:ascii="Times New Roman" w:eastAsia="Times New Roman" w:hAnsi="Times New Roman" w:cs="Times New Roman"/>
          <w:i/>
          <w:sz w:val="24"/>
          <w:szCs w:val="24"/>
          <w:lang w:eastAsia="en-AU"/>
        </w:rPr>
        <w:t xml:space="preserve">Therapeutic Goods Amendment (Permissible Ingredients) Determination </w:t>
      </w:r>
      <w:r w:rsidR="00045C71">
        <w:rPr>
          <w:rFonts w:ascii="Times New Roman" w:eastAsia="Times New Roman" w:hAnsi="Times New Roman" w:cs="Times New Roman"/>
          <w:i/>
          <w:sz w:val="24"/>
          <w:szCs w:val="24"/>
          <w:lang w:eastAsia="en-AU"/>
        </w:rPr>
        <w:t>(No.</w:t>
      </w:r>
      <w:r w:rsidR="00B60F0C">
        <w:rPr>
          <w:rFonts w:ascii="Times New Roman" w:eastAsia="Times New Roman" w:hAnsi="Times New Roman" w:cs="Times New Roman"/>
          <w:i/>
          <w:sz w:val="24"/>
          <w:szCs w:val="24"/>
          <w:lang w:eastAsia="en-AU"/>
        </w:rPr>
        <w:t xml:space="preserve"> </w:t>
      </w:r>
      <w:r w:rsidR="00045C71">
        <w:rPr>
          <w:rFonts w:ascii="Times New Roman" w:eastAsia="Times New Roman" w:hAnsi="Times New Roman" w:cs="Times New Roman"/>
          <w:i/>
          <w:sz w:val="24"/>
          <w:szCs w:val="24"/>
          <w:lang w:eastAsia="en-AU"/>
        </w:rPr>
        <w:t xml:space="preserve">1) </w:t>
      </w:r>
      <w:r w:rsidRPr="004E05C9">
        <w:rPr>
          <w:rFonts w:ascii="Times New Roman" w:eastAsia="Times New Roman" w:hAnsi="Times New Roman" w:cs="Times New Roman"/>
          <w:i/>
          <w:sz w:val="24"/>
          <w:szCs w:val="24"/>
          <w:lang w:eastAsia="en-AU"/>
        </w:rPr>
        <w:t>2019</w:t>
      </w:r>
      <w:r>
        <w:rPr>
          <w:rFonts w:ascii="Times New Roman" w:eastAsia="Times New Roman" w:hAnsi="Times New Roman" w:cs="Times New Roman"/>
          <w:sz w:val="24"/>
          <w:szCs w:val="24"/>
          <w:lang w:eastAsia="en-AU"/>
        </w:rPr>
        <w:t xml:space="preserve"> (“the Amendment Determination”) is a determination made by a delegate of the Minister under section 26BC of the Act.  </w:t>
      </w:r>
    </w:p>
    <w:p w:rsidR="00226F3C" w:rsidRDefault="00226F3C" w:rsidP="009A530B">
      <w:pPr>
        <w:autoSpaceDE w:val="0"/>
        <w:autoSpaceDN w:val="0"/>
        <w:adjustRightInd w:val="0"/>
        <w:spacing w:after="0"/>
        <w:rPr>
          <w:rFonts w:ascii="Times New Roman" w:eastAsia="Times New Roman" w:hAnsi="Times New Roman" w:cs="Times New Roman"/>
          <w:sz w:val="24"/>
          <w:szCs w:val="24"/>
          <w:lang w:eastAsia="en-AU"/>
        </w:rPr>
      </w:pPr>
    </w:p>
    <w:p w:rsidR="004E05C9" w:rsidRDefault="004E05C9" w:rsidP="009A530B">
      <w:pPr>
        <w:autoSpaceDE w:val="0"/>
        <w:autoSpaceDN w:val="0"/>
        <w:adjustRightInd w:val="0"/>
        <w:spacing w:after="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purpose of the</w:t>
      </w:r>
      <w:r w:rsidR="00B60F0C">
        <w:rPr>
          <w:rFonts w:ascii="Times New Roman" w:eastAsia="Times New Roman" w:hAnsi="Times New Roman" w:cs="Times New Roman"/>
          <w:sz w:val="24"/>
          <w:szCs w:val="24"/>
          <w:lang w:eastAsia="en-AU"/>
        </w:rPr>
        <w:t xml:space="preserve"> Amendment</w:t>
      </w:r>
      <w:r>
        <w:rPr>
          <w:rFonts w:ascii="Times New Roman" w:eastAsia="Times New Roman" w:hAnsi="Times New Roman" w:cs="Times New Roman"/>
          <w:sz w:val="24"/>
          <w:szCs w:val="24"/>
          <w:lang w:eastAsia="en-AU"/>
        </w:rPr>
        <w:t xml:space="preserve"> Determination is to amend the </w:t>
      </w:r>
      <w:r w:rsidRPr="004E05C9">
        <w:rPr>
          <w:rFonts w:ascii="Times New Roman" w:eastAsia="Times New Roman" w:hAnsi="Times New Roman" w:cs="Times New Roman"/>
          <w:i/>
          <w:sz w:val="24"/>
          <w:szCs w:val="24"/>
          <w:lang w:eastAsia="en-AU"/>
        </w:rPr>
        <w:t>Therapeutic Goods (Permissible Ingredients) Determination (No.</w:t>
      </w:r>
      <w:r w:rsidR="00B60F0C">
        <w:rPr>
          <w:rFonts w:ascii="Times New Roman" w:eastAsia="Times New Roman" w:hAnsi="Times New Roman" w:cs="Times New Roman"/>
          <w:i/>
          <w:sz w:val="24"/>
          <w:szCs w:val="24"/>
          <w:lang w:eastAsia="en-AU"/>
        </w:rPr>
        <w:t xml:space="preserve"> </w:t>
      </w:r>
      <w:r w:rsidRPr="004E05C9">
        <w:rPr>
          <w:rFonts w:ascii="Times New Roman" w:eastAsia="Times New Roman" w:hAnsi="Times New Roman" w:cs="Times New Roman"/>
          <w:i/>
          <w:sz w:val="24"/>
          <w:szCs w:val="24"/>
          <w:lang w:eastAsia="en-AU"/>
        </w:rPr>
        <w:t>2) 2019</w:t>
      </w:r>
      <w:r w:rsidR="00B60F0C">
        <w:rPr>
          <w:rFonts w:ascii="Times New Roman" w:eastAsia="Times New Roman" w:hAnsi="Times New Roman" w:cs="Times New Roman"/>
          <w:i/>
          <w:sz w:val="24"/>
          <w:szCs w:val="24"/>
          <w:lang w:eastAsia="en-AU"/>
        </w:rPr>
        <w:t xml:space="preserve"> </w:t>
      </w:r>
      <w:r w:rsidR="00B60F0C">
        <w:rPr>
          <w:rFonts w:ascii="Times New Roman" w:eastAsia="Times New Roman" w:hAnsi="Times New Roman" w:cs="Times New Roman"/>
          <w:sz w:val="24"/>
          <w:szCs w:val="24"/>
          <w:lang w:eastAsia="en-AU"/>
        </w:rPr>
        <w:t>(“the Principal Determination”)</w:t>
      </w:r>
      <w:r w:rsidR="00226F3C">
        <w:rPr>
          <w:rFonts w:ascii="Times New Roman" w:eastAsia="Times New Roman" w:hAnsi="Times New Roman" w:cs="Times New Roman"/>
          <w:sz w:val="24"/>
          <w:szCs w:val="24"/>
          <w:lang w:eastAsia="en-AU"/>
        </w:rPr>
        <w:t>, which commenced on 3 July 2019</w:t>
      </w:r>
      <w:r w:rsidR="00B82A8D">
        <w:rPr>
          <w:rFonts w:ascii="Times New Roman" w:eastAsia="Times New Roman" w:hAnsi="Times New Roman" w:cs="Times New Roman"/>
          <w:sz w:val="24"/>
          <w:szCs w:val="24"/>
          <w:lang w:eastAsia="en-AU"/>
        </w:rPr>
        <w:t>, mainly to better address the risks posed by overuse of the ingredient caffeine and other ingredients that contain the chemical caffeine as a component</w:t>
      </w:r>
      <w:r w:rsidR="008D3A14">
        <w:rPr>
          <w:rFonts w:ascii="Times New Roman" w:eastAsia="Times New Roman" w:hAnsi="Times New Roman" w:cs="Times New Roman"/>
          <w:sz w:val="24"/>
          <w:szCs w:val="24"/>
          <w:lang w:eastAsia="en-AU"/>
        </w:rPr>
        <w:t>, and to make a small number of other amendments including to introduce new ingredients for use in listed and assessed listed medicines</w:t>
      </w:r>
      <w:r w:rsidR="00226F3C">
        <w:rPr>
          <w:rFonts w:ascii="Times New Roman" w:eastAsia="Times New Roman" w:hAnsi="Times New Roman" w:cs="Times New Roman"/>
          <w:sz w:val="24"/>
          <w:szCs w:val="24"/>
          <w:lang w:eastAsia="en-AU"/>
        </w:rPr>
        <w:t>.</w:t>
      </w:r>
    </w:p>
    <w:p w:rsidR="00EF1F18" w:rsidRPr="00B028DC" w:rsidRDefault="00EF1F18" w:rsidP="009A530B">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B</w:t>
      </w:r>
      <w:r w:rsidR="00E01934" w:rsidRPr="00B028DC">
        <w:rPr>
          <w:rFonts w:ascii="Times New Roman" w:eastAsia="Times New Roman" w:hAnsi="Times New Roman" w:cs="Times New Roman"/>
          <w:b/>
          <w:bCs/>
          <w:sz w:val="24"/>
          <w:szCs w:val="24"/>
          <w:lang w:eastAsia="en-AU"/>
        </w:rPr>
        <w:t>ackground</w:t>
      </w:r>
    </w:p>
    <w:p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Medicines that are listed in the Register under section 26A of the Act are considered to be low risk and are not individually evaluated before those medicines are listed. Medicines that are listed in the Register under section 26AE of the Act are also considered to be low risk, but are evaluated in relation to whether the efficacy of the medicine for the purposes for which it is to be used has been satisfactorily established (these purposes are specific efficacy claims for which the sponsor of the medicine holds supporting evidence).</w:t>
      </w:r>
      <w:r w:rsidR="00B60F0C">
        <w:rPr>
          <w:rFonts w:ascii="Times New Roman" w:eastAsia="Times New Roman" w:hAnsi="Times New Roman" w:cs="Times New Roman"/>
          <w:sz w:val="24"/>
          <w:szCs w:val="24"/>
          <w:lang w:eastAsia="en-AU"/>
        </w:rPr>
        <w:t xml:space="preserve"> </w:t>
      </w:r>
      <w:r w:rsidRPr="00D4773E">
        <w:rPr>
          <w:rFonts w:ascii="Times New Roman" w:eastAsia="Times New Roman" w:hAnsi="Times New Roman" w:cs="Times New Roman"/>
          <w:sz w:val="24"/>
          <w:szCs w:val="24"/>
          <w:lang w:eastAsia="en-AU"/>
        </w:rPr>
        <w:t>When listed under section 26AE, these listed medicines are commonly referred to as ‘assessed listed medicines’.</w:t>
      </w:r>
    </w:p>
    <w:p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lastRenderedPageBreak/>
        <w:t>As the safety and quality of medicines listed under section</w:t>
      </w:r>
      <w:r w:rsidR="00B60F0C">
        <w:rPr>
          <w:rFonts w:ascii="Times New Roman" w:eastAsia="Times New Roman" w:hAnsi="Times New Roman" w:cs="Times New Roman"/>
          <w:sz w:val="24"/>
          <w:szCs w:val="24"/>
          <w:lang w:eastAsia="en-AU"/>
        </w:rPr>
        <w:t>s</w:t>
      </w:r>
      <w:r w:rsidRPr="00D4773E">
        <w:rPr>
          <w:rFonts w:ascii="Times New Roman" w:eastAsia="Times New Roman" w:hAnsi="Times New Roman" w:cs="Times New Roman"/>
          <w:sz w:val="24"/>
          <w:szCs w:val="24"/>
          <w:lang w:eastAsia="en-AU"/>
        </w:rPr>
        <w:t xml:space="preserve"> 26A and 26AE are not evaluated by the TGA before being given marketing approval, the Act contains mechanisms to help ensure that those medicines are of appropriate quality and able to be used safely by consumers. In particular, medicines listed under section 26A and 26AE may only contain ingredients from an approved list of ingredients that have been evaluated in relation to their quality and safety and suitability for use in such medicines. Sponsors of such medicines may </w:t>
      </w:r>
      <w:r w:rsidR="008E082F">
        <w:rPr>
          <w:rFonts w:ascii="Times New Roman" w:eastAsia="Times New Roman" w:hAnsi="Times New Roman" w:cs="Times New Roman"/>
          <w:sz w:val="24"/>
          <w:szCs w:val="24"/>
          <w:lang w:eastAsia="en-AU"/>
        </w:rPr>
        <w:t xml:space="preserve">also </w:t>
      </w:r>
      <w:r w:rsidRPr="00D4773E">
        <w:rPr>
          <w:rFonts w:ascii="Times New Roman" w:eastAsia="Times New Roman" w:hAnsi="Times New Roman" w:cs="Times New Roman"/>
          <w:sz w:val="24"/>
          <w:szCs w:val="24"/>
          <w:lang w:eastAsia="en-AU"/>
        </w:rPr>
        <w:t>only use indications (statements of therapeutic use) from a list of pre-approved low level indications to ensure that these products do not overstate their therapeutic benefits.</w:t>
      </w:r>
    </w:p>
    <w:p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Under paragraphs </w:t>
      </w:r>
      <w:proofErr w:type="gramStart"/>
      <w:r w:rsidRPr="00D4773E">
        <w:rPr>
          <w:rFonts w:ascii="Times New Roman" w:eastAsia="Times New Roman" w:hAnsi="Times New Roman" w:cs="Times New Roman"/>
          <w:sz w:val="24"/>
          <w:szCs w:val="24"/>
          <w:lang w:eastAsia="en-AU"/>
        </w:rPr>
        <w:t>26A(</w:t>
      </w:r>
      <w:proofErr w:type="gramEnd"/>
      <w:r w:rsidRPr="00D4773E">
        <w:rPr>
          <w:rFonts w:ascii="Times New Roman" w:eastAsia="Times New Roman" w:hAnsi="Times New Roman" w:cs="Times New Roman"/>
          <w:sz w:val="24"/>
          <w:szCs w:val="24"/>
          <w:lang w:eastAsia="en-AU"/>
        </w:rPr>
        <w:t>2)(ca) and (</w:t>
      </w:r>
      <w:proofErr w:type="spellStart"/>
      <w:r w:rsidRPr="00D4773E">
        <w:rPr>
          <w:rFonts w:ascii="Times New Roman" w:eastAsia="Times New Roman" w:hAnsi="Times New Roman" w:cs="Times New Roman"/>
          <w:sz w:val="24"/>
          <w:szCs w:val="24"/>
          <w:lang w:eastAsia="en-AU"/>
        </w:rPr>
        <w:t>cb</w:t>
      </w:r>
      <w:proofErr w:type="spellEnd"/>
      <w:r w:rsidRPr="00D4773E">
        <w:rPr>
          <w:rFonts w:ascii="Times New Roman" w:eastAsia="Times New Roman" w:hAnsi="Times New Roman" w:cs="Times New Roman"/>
          <w:sz w:val="24"/>
          <w:szCs w:val="24"/>
          <w:lang w:eastAsia="en-AU"/>
        </w:rPr>
        <w:t xml:space="preserve">) of the Act, persons applying to list a medicine in the Register under section 26A of the Act must certify that the medicine does not contain an ingredient that is not specified in a determination under paragraph 26BB(1)(a) of the Act; and does not contravene a requirement in relation to such an ingredient that is specified in such a determination. Paragraphs </w:t>
      </w:r>
      <w:proofErr w:type="gramStart"/>
      <w:r w:rsidRPr="00D4773E">
        <w:rPr>
          <w:rFonts w:ascii="Times New Roman" w:eastAsia="Times New Roman" w:hAnsi="Times New Roman" w:cs="Times New Roman"/>
          <w:sz w:val="24"/>
          <w:szCs w:val="24"/>
          <w:lang w:eastAsia="en-AU"/>
        </w:rPr>
        <w:t>26AB(</w:t>
      </w:r>
      <w:proofErr w:type="gramEnd"/>
      <w:r w:rsidRPr="00D4773E">
        <w:rPr>
          <w:rFonts w:ascii="Times New Roman" w:eastAsia="Times New Roman" w:hAnsi="Times New Roman" w:cs="Times New Roman"/>
          <w:sz w:val="24"/>
          <w:szCs w:val="24"/>
          <w:lang w:eastAsia="en-AU"/>
        </w:rPr>
        <w:t>2)(d) and (e) contain equivalent certification requirements for applicants seeking marketing approval in relation to assessed listed medicines. A listed (or assessed listed) medicine may be cancelled from the Register if it appears to the Secretary that such a certification is incorrect.</w:t>
      </w:r>
    </w:p>
    <w:p w:rsidR="00D4773E" w:rsidRPr="00D4773E" w:rsidRDefault="00D4773E" w:rsidP="00D4773E">
      <w:pPr>
        <w:spacing w:before="100" w:beforeAutospacing="1" w:after="100" w:afterAutospacing="1"/>
        <w:rPr>
          <w:rFonts w:ascii="Times New Roman" w:eastAsia="Times New Roman" w:hAnsi="Times New Roman" w:cs="Times New Roman"/>
          <w:sz w:val="24"/>
          <w:szCs w:val="24"/>
          <w:lang w:val="en-US" w:eastAsia="en-AU"/>
        </w:rPr>
      </w:pPr>
      <w:r w:rsidRPr="00D4773E">
        <w:rPr>
          <w:rFonts w:ascii="Times New Roman" w:eastAsia="Times New Roman" w:hAnsi="Times New Roman" w:cs="Times New Roman"/>
          <w:sz w:val="24"/>
          <w:szCs w:val="24"/>
          <w:lang w:eastAsia="en-AU"/>
        </w:rPr>
        <w:t xml:space="preserve">Separately, items 3, 4A, 5, 7 and 8 of Schedule 4 to the </w:t>
      </w:r>
      <w:r w:rsidRPr="00D4773E">
        <w:rPr>
          <w:rFonts w:ascii="Times New Roman" w:eastAsia="Times New Roman" w:hAnsi="Times New Roman" w:cs="Times New Roman"/>
          <w:i/>
          <w:iCs/>
          <w:sz w:val="24"/>
          <w:szCs w:val="24"/>
          <w:lang w:eastAsia="en-AU"/>
        </w:rPr>
        <w:t>Therapeutic Goods Regulations 1990</w:t>
      </w:r>
      <w:r w:rsidRPr="00D4773E">
        <w:rPr>
          <w:rFonts w:ascii="Times New Roman" w:eastAsia="Times New Roman" w:hAnsi="Times New Roman" w:cs="Times New Roman"/>
          <w:sz w:val="24"/>
          <w:szCs w:val="24"/>
          <w:lang w:eastAsia="en-AU"/>
        </w:rPr>
        <w:t xml:space="preserve">, which identifies those therapeutic goods that are eligible for listing in the Register, require that, in order for the goods mentioned in each of those items to be eligible for listing, the goods must only contain ingredients that are specified in a determination under paragraph </w:t>
      </w:r>
      <w:proofErr w:type="gramStart"/>
      <w:r w:rsidRPr="00D4773E">
        <w:rPr>
          <w:rFonts w:ascii="Times New Roman" w:eastAsia="Times New Roman" w:hAnsi="Times New Roman" w:cs="Times New Roman"/>
          <w:sz w:val="24"/>
          <w:szCs w:val="24"/>
          <w:lang w:eastAsia="en-AU"/>
        </w:rPr>
        <w:t>26BB(</w:t>
      </w:r>
      <w:proofErr w:type="gramEnd"/>
      <w:r w:rsidRPr="00D4773E">
        <w:rPr>
          <w:rFonts w:ascii="Times New Roman" w:eastAsia="Times New Roman" w:hAnsi="Times New Roman" w:cs="Times New Roman"/>
          <w:sz w:val="24"/>
          <w:szCs w:val="24"/>
          <w:lang w:eastAsia="en-AU"/>
        </w:rPr>
        <w:t>1)(a) of the Act and must not contravene a requirement in such a determination.</w:t>
      </w:r>
    </w:p>
    <w:p w:rsidR="00D4773E" w:rsidRPr="00D4773E" w:rsidRDefault="00226F3C" w:rsidP="00D4773E">
      <w:pPr>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As such, determinations </w:t>
      </w:r>
      <w:r w:rsidR="0062190F">
        <w:rPr>
          <w:rFonts w:ascii="Times New Roman" w:eastAsia="Times New Roman" w:hAnsi="Times New Roman" w:cs="Times New Roman"/>
          <w:sz w:val="24"/>
          <w:szCs w:val="24"/>
          <w:lang w:eastAsia="en-AU"/>
        </w:rPr>
        <w:t xml:space="preserve">under </w:t>
      </w:r>
      <w:r>
        <w:rPr>
          <w:rFonts w:ascii="Times New Roman" w:eastAsia="Times New Roman" w:hAnsi="Times New Roman" w:cs="Times New Roman"/>
          <w:sz w:val="24"/>
          <w:szCs w:val="24"/>
          <w:lang w:eastAsia="en-AU"/>
        </w:rPr>
        <w:t>section 26BB are</w:t>
      </w:r>
      <w:r w:rsidR="00D4773E" w:rsidRPr="00D4773E">
        <w:rPr>
          <w:rFonts w:ascii="Times New Roman" w:eastAsia="Times New Roman" w:hAnsi="Times New Roman" w:cs="Times New Roman"/>
          <w:sz w:val="24"/>
          <w:szCs w:val="24"/>
          <w:lang w:eastAsia="en-AU"/>
        </w:rPr>
        <w:t xml:space="preserve"> designed to provide a comprehensive list of ingredients which have been assessed or otherwise considered to be safe for use in listed medicines (including assessed listed medicines), and associated requirements to be followed when using particular ingredients in such products.</w:t>
      </w:r>
      <w:r w:rsidR="00D4773E">
        <w:rPr>
          <w:rFonts w:ascii="Times New Roman" w:eastAsia="Times New Roman" w:hAnsi="Times New Roman" w:cs="Times New Roman"/>
          <w:sz w:val="24"/>
          <w:szCs w:val="24"/>
          <w:lang w:eastAsia="en-AU"/>
        </w:rPr>
        <w:t xml:space="preserve">  These requirements may relate to a range of matters including, for example, </w:t>
      </w:r>
      <w:r>
        <w:rPr>
          <w:rFonts w:ascii="Times New Roman" w:eastAsia="Times New Roman" w:hAnsi="Times New Roman" w:cs="Times New Roman"/>
          <w:sz w:val="24"/>
          <w:szCs w:val="24"/>
          <w:lang w:eastAsia="en-AU"/>
        </w:rPr>
        <w:t xml:space="preserve">how an ingredient may be used in a medicine or </w:t>
      </w:r>
      <w:r w:rsidR="00D4773E">
        <w:rPr>
          <w:rFonts w:ascii="Times New Roman" w:eastAsia="Times New Roman" w:hAnsi="Times New Roman" w:cs="Times New Roman"/>
          <w:sz w:val="24"/>
          <w:szCs w:val="24"/>
          <w:lang w:eastAsia="en-AU"/>
        </w:rPr>
        <w:t>the inclusion of relevant safety information on product labels</w:t>
      </w:r>
      <w:r>
        <w:rPr>
          <w:rFonts w:ascii="Times New Roman" w:eastAsia="Times New Roman" w:hAnsi="Times New Roman" w:cs="Times New Roman"/>
          <w:sz w:val="24"/>
          <w:szCs w:val="24"/>
          <w:lang w:eastAsia="en-AU"/>
        </w:rPr>
        <w:t>.</w:t>
      </w:r>
    </w:p>
    <w:p w:rsidR="00E01934" w:rsidRDefault="00226F3C" w:rsidP="009A530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Determination amends the Principal Determination to make a number of safety related changes to entries in the Principal Determination for the ingredient ‘caffeine’ and other ingredients that contain the chemical caffeine as a component, </w:t>
      </w:r>
      <w:r w:rsidR="008E082F">
        <w:rPr>
          <w:rFonts w:ascii="Times New Roman" w:eastAsia="Times New Roman" w:hAnsi="Times New Roman" w:cs="Times New Roman"/>
          <w:sz w:val="24"/>
          <w:szCs w:val="24"/>
          <w:lang w:eastAsia="en-AU"/>
        </w:rPr>
        <w:t>principally in order to mitigate concerns in relation to</w:t>
      </w:r>
      <w:r>
        <w:rPr>
          <w:rFonts w:ascii="Times New Roman" w:eastAsia="Times New Roman" w:hAnsi="Times New Roman" w:cs="Times New Roman"/>
          <w:sz w:val="24"/>
          <w:szCs w:val="24"/>
          <w:lang w:eastAsia="en-AU"/>
        </w:rPr>
        <w:t xml:space="preserve"> unintentional </w:t>
      </w:r>
      <w:r w:rsidR="00955B2F">
        <w:rPr>
          <w:rFonts w:ascii="Times New Roman" w:eastAsia="Times New Roman" w:hAnsi="Times New Roman" w:cs="Times New Roman"/>
          <w:sz w:val="24"/>
          <w:szCs w:val="24"/>
          <w:lang w:eastAsia="en-AU"/>
        </w:rPr>
        <w:t>overuse</w:t>
      </w:r>
      <w:r>
        <w:rPr>
          <w:rFonts w:ascii="Times New Roman" w:eastAsia="Times New Roman" w:hAnsi="Times New Roman" w:cs="Times New Roman"/>
          <w:sz w:val="24"/>
          <w:szCs w:val="24"/>
          <w:lang w:eastAsia="en-AU"/>
        </w:rPr>
        <w:t>.</w:t>
      </w:r>
    </w:p>
    <w:p w:rsidR="00945858" w:rsidRDefault="00BC1EFA" w:rsidP="00187B3D">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Caffeine occurs naturally in certain plants, nuts and seeds and has a long history of use as a stimulant.  </w:t>
      </w:r>
      <w:r w:rsidR="00955B2F">
        <w:rPr>
          <w:rFonts w:ascii="Times New Roman" w:eastAsia="Times New Roman" w:hAnsi="Times New Roman" w:cs="Times New Roman"/>
          <w:sz w:val="24"/>
          <w:szCs w:val="24"/>
          <w:lang w:eastAsia="en-AU"/>
        </w:rPr>
        <w:t>Adverse effects</w:t>
      </w:r>
      <w:r>
        <w:rPr>
          <w:rFonts w:ascii="Times New Roman" w:eastAsia="Times New Roman" w:hAnsi="Times New Roman" w:cs="Times New Roman"/>
          <w:sz w:val="24"/>
          <w:szCs w:val="24"/>
          <w:lang w:eastAsia="en-AU"/>
        </w:rPr>
        <w:t xml:space="preserve"> </w:t>
      </w:r>
      <w:r w:rsidR="00955B2F">
        <w:rPr>
          <w:rFonts w:ascii="Times New Roman" w:eastAsia="Times New Roman" w:hAnsi="Times New Roman" w:cs="Times New Roman"/>
          <w:sz w:val="24"/>
          <w:szCs w:val="24"/>
          <w:lang w:eastAsia="en-AU"/>
        </w:rPr>
        <w:t xml:space="preserve">may occur in </w:t>
      </w:r>
      <w:r>
        <w:rPr>
          <w:rFonts w:ascii="Times New Roman" w:eastAsia="Times New Roman" w:hAnsi="Times New Roman" w:cs="Times New Roman"/>
          <w:sz w:val="24"/>
          <w:szCs w:val="24"/>
          <w:lang w:eastAsia="en-AU"/>
        </w:rPr>
        <w:t xml:space="preserve">people </w:t>
      </w:r>
      <w:r w:rsidR="00187B3D">
        <w:rPr>
          <w:rFonts w:ascii="Times New Roman" w:eastAsia="Times New Roman" w:hAnsi="Times New Roman" w:cs="Times New Roman"/>
          <w:sz w:val="24"/>
          <w:szCs w:val="24"/>
          <w:lang w:eastAsia="en-AU"/>
        </w:rPr>
        <w:t xml:space="preserve">who consume caffeine </w:t>
      </w:r>
      <w:r>
        <w:rPr>
          <w:rFonts w:ascii="Times New Roman" w:eastAsia="Times New Roman" w:hAnsi="Times New Roman" w:cs="Times New Roman"/>
          <w:sz w:val="24"/>
          <w:szCs w:val="24"/>
          <w:lang w:eastAsia="en-AU"/>
        </w:rPr>
        <w:t>depending on a number of factors</w:t>
      </w:r>
      <w:r w:rsidR="00955B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including how much a person consumes, their general health and whether they are a regular or infrequent user of caffeine.</w:t>
      </w:r>
    </w:p>
    <w:p w:rsidR="00DF0880" w:rsidRDefault="00DF0880" w:rsidP="00DF088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w:t>
      </w:r>
      <w:r w:rsidR="003C7446">
        <w:rPr>
          <w:rFonts w:ascii="Times New Roman" w:eastAsia="Times New Roman" w:hAnsi="Times New Roman" w:cs="Times New Roman"/>
          <w:sz w:val="24"/>
          <w:szCs w:val="24"/>
          <w:lang w:eastAsia="en-AU"/>
        </w:rPr>
        <w:t>mid</w:t>
      </w:r>
      <w:r w:rsidR="0026142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June 2019, the TGA was contacted by the </w:t>
      </w:r>
      <w:r w:rsidR="003C7446">
        <w:rPr>
          <w:rFonts w:ascii="Times New Roman" w:eastAsia="Times New Roman" w:hAnsi="Times New Roman" w:cs="Times New Roman"/>
          <w:sz w:val="24"/>
          <w:szCs w:val="24"/>
          <w:lang w:eastAsia="en-AU"/>
        </w:rPr>
        <w:t xml:space="preserve">Coroner’s Court of New South Wales </w:t>
      </w:r>
      <w:r>
        <w:rPr>
          <w:rFonts w:ascii="Times New Roman" w:eastAsia="Times New Roman" w:hAnsi="Times New Roman" w:cs="Times New Roman"/>
          <w:sz w:val="24"/>
          <w:szCs w:val="24"/>
          <w:lang w:eastAsia="en-AU"/>
        </w:rPr>
        <w:t xml:space="preserve">regarding the death of Mr Lachlan Foote. </w:t>
      </w:r>
      <w:r w:rsidR="003C7446">
        <w:rPr>
          <w:rFonts w:ascii="Times New Roman" w:eastAsia="Times New Roman" w:hAnsi="Times New Roman" w:cs="Times New Roman"/>
          <w:sz w:val="24"/>
          <w:szCs w:val="24"/>
          <w:lang w:eastAsia="en-AU"/>
        </w:rPr>
        <w:t xml:space="preserve">The TGA understands that </w:t>
      </w:r>
      <w:r>
        <w:rPr>
          <w:rFonts w:ascii="Times New Roman" w:eastAsia="Times New Roman" w:hAnsi="Times New Roman" w:cs="Times New Roman"/>
          <w:sz w:val="24"/>
          <w:szCs w:val="24"/>
          <w:lang w:eastAsia="en-AU"/>
        </w:rPr>
        <w:t>Mr Foote’s death was associated with caffeine toxicity, with the caffeine suspected to have been ingested from an unlabelled pure or highly concentrated caffeine powder</w:t>
      </w:r>
      <w:r w:rsidR="0070680E">
        <w:rPr>
          <w:rFonts w:ascii="Times New Roman" w:eastAsia="Times New Roman" w:hAnsi="Times New Roman" w:cs="Times New Roman"/>
          <w:sz w:val="24"/>
          <w:szCs w:val="24"/>
          <w:lang w:eastAsia="en-AU"/>
        </w:rPr>
        <w:t xml:space="preserve"> that contained a far higher concentration of </w:t>
      </w:r>
      <w:r w:rsidR="00A84DEA">
        <w:rPr>
          <w:rFonts w:ascii="Times New Roman" w:eastAsia="Times New Roman" w:hAnsi="Times New Roman" w:cs="Times New Roman"/>
          <w:sz w:val="24"/>
          <w:szCs w:val="24"/>
          <w:lang w:eastAsia="en-AU"/>
        </w:rPr>
        <w:t>caffeine</w:t>
      </w:r>
      <w:r w:rsidR="0070680E">
        <w:rPr>
          <w:rFonts w:ascii="Times New Roman" w:eastAsia="Times New Roman" w:hAnsi="Times New Roman" w:cs="Times New Roman"/>
          <w:sz w:val="24"/>
          <w:szCs w:val="24"/>
          <w:lang w:eastAsia="en-AU"/>
        </w:rPr>
        <w:t xml:space="preserve"> than would be contained in listed or listed assessed medicines, or in regularly consumed foods that contain caffeine</w:t>
      </w:r>
      <w:r>
        <w:rPr>
          <w:rFonts w:ascii="Times New Roman" w:eastAsia="Times New Roman" w:hAnsi="Times New Roman" w:cs="Times New Roman"/>
          <w:sz w:val="24"/>
          <w:szCs w:val="24"/>
          <w:lang w:eastAsia="en-AU"/>
        </w:rPr>
        <w:t xml:space="preserve">. </w:t>
      </w:r>
      <w:r w:rsidR="007445FE" w:rsidRPr="007445FE">
        <w:rPr>
          <w:rFonts w:ascii="Times New Roman" w:eastAsia="Times New Roman" w:hAnsi="Times New Roman" w:cs="Times New Roman"/>
          <w:sz w:val="24"/>
          <w:szCs w:val="24"/>
          <w:lang w:eastAsia="en-AU"/>
        </w:rPr>
        <w:t xml:space="preserve">Further, on 10 July 2019 Minister </w:t>
      </w:r>
      <w:proofErr w:type="spellStart"/>
      <w:r w:rsidR="007445FE" w:rsidRPr="007445FE">
        <w:rPr>
          <w:rFonts w:ascii="Times New Roman" w:eastAsia="Times New Roman" w:hAnsi="Times New Roman" w:cs="Times New Roman"/>
          <w:sz w:val="24"/>
          <w:szCs w:val="24"/>
          <w:lang w:eastAsia="en-AU"/>
        </w:rPr>
        <w:t>Colbeck</w:t>
      </w:r>
      <w:proofErr w:type="spellEnd"/>
      <w:r w:rsidR="007445FE" w:rsidRPr="007445FE">
        <w:rPr>
          <w:rFonts w:ascii="Times New Roman" w:eastAsia="Times New Roman" w:hAnsi="Times New Roman" w:cs="Times New Roman"/>
          <w:sz w:val="24"/>
          <w:szCs w:val="24"/>
          <w:lang w:eastAsia="en-AU"/>
        </w:rPr>
        <w:t xml:space="preserve"> </w:t>
      </w:r>
      <w:r w:rsidR="007445FE" w:rsidRPr="007445FE">
        <w:rPr>
          <w:rFonts w:ascii="Times New Roman" w:eastAsia="Times New Roman" w:hAnsi="Times New Roman" w:cs="Times New Roman"/>
          <w:sz w:val="24"/>
          <w:szCs w:val="24"/>
          <w:lang w:eastAsia="en-AU"/>
        </w:rPr>
        <w:lastRenderedPageBreak/>
        <w:t>and Minister Hunt wrote to Food Standards Australia New Zealand (FSANZ) to request a review of the safety of caffeine powders and high caffeine content products. The Ministers also requested that FSANZ engages with TGA to align therapeutic goods regulations with food regulation to the extent possible.</w:t>
      </w:r>
    </w:p>
    <w:p w:rsidR="007445FE" w:rsidRDefault="007445FE" w:rsidP="00DF0880">
      <w:pPr>
        <w:spacing w:after="0"/>
        <w:contextualSpacing/>
        <w:rPr>
          <w:rFonts w:ascii="Times New Roman" w:eastAsia="Times New Roman" w:hAnsi="Times New Roman" w:cs="Times New Roman"/>
          <w:sz w:val="24"/>
          <w:szCs w:val="24"/>
          <w:lang w:eastAsia="en-AU"/>
        </w:rPr>
      </w:pPr>
    </w:p>
    <w:p w:rsidR="0070680E" w:rsidRDefault="0070680E" w:rsidP="0070680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Determination is therefore intended to introduce additional requirements for this purpose, by specifying limits on total caffeine concentration in listed and assessed listed medicines.  This will ensure that caffeine levels in such medicines, which are available for self-selection </w:t>
      </w:r>
      <w:r w:rsidR="0062190F">
        <w:rPr>
          <w:rFonts w:ascii="Times New Roman" w:eastAsia="Times New Roman" w:hAnsi="Times New Roman" w:cs="Times New Roman"/>
          <w:sz w:val="24"/>
          <w:szCs w:val="24"/>
          <w:lang w:eastAsia="en-AU"/>
        </w:rPr>
        <w:t xml:space="preserve">by </w:t>
      </w:r>
      <w:r>
        <w:rPr>
          <w:rFonts w:ascii="Times New Roman" w:eastAsia="Times New Roman" w:hAnsi="Times New Roman" w:cs="Times New Roman"/>
          <w:sz w:val="24"/>
          <w:szCs w:val="24"/>
          <w:lang w:eastAsia="en-AU"/>
        </w:rPr>
        <w:t>consumers, do not present an undue risk of unintentional caffeine overdose.</w:t>
      </w:r>
    </w:p>
    <w:p w:rsidR="00EA670C" w:rsidRDefault="00EA670C" w:rsidP="00DF0880">
      <w:pPr>
        <w:spacing w:after="0"/>
        <w:contextualSpacing/>
        <w:rPr>
          <w:rFonts w:ascii="Times New Roman" w:eastAsia="Times New Roman" w:hAnsi="Times New Roman" w:cs="Times New Roman"/>
          <w:sz w:val="24"/>
          <w:szCs w:val="24"/>
          <w:lang w:eastAsia="en-AU"/>
        </w:rPr>
      </w:pPr>
    </w:p>
    <w:p w:rsidR="00EA670C" w:rsidRDefault="0070680E" w:rsidP="00EA670C">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Determination reflects work undertaken by the TGA since </w:t>
      </w:r>
      <w:r w:rsidR="00EA670C">
        <w:rPr>
          <w:rFonts w:ascii="Times New Roman" w:eastAsia="Times New Roman" w:hAnsi="Times New Roman" w:cs="Times New Roman"/>
          <w:sz w:val="24"/>
          <w:szCs w:val="24"/>
          <w:lang w:eastAsia="en-AU"/>
        </w:rPr>
        <w:t xml:space="preserve">2017, </w:t>
      </w:r>
      <w:r>
        <w:rPr>
          <w:rFonts w:ascii="Times New Roman" w:eastAsia="Times New Roman" w:hAnsi="Times New Roman" w:cs="Times New Roman"/>
          <w:sz w:val="24"/>
          <w:szCs w:val="24"/>
          <w:lang w:eastAsia="en-AU"/>
        </w:rPr>
        <w:t xml:space="preserve">to review </w:t>
      </w:r>
      <w:r w:rsidR="00EA670C">
        <w:rPr>
          <w:rFonts w:ascii="Times New Roman" w:eastAsia="Times New Roman" w:hAnsi="Times New Roman" w:cs="Times New Roman"/>
          <w:sz w:val="24"/>
          <w:szCs w:val="24"/>
          <w:lang w:eastAsia="en-AU"/>
        </w:rPr>
        <w:t xml:space="preserve">the requirements </w:t>
      </w:r>
      <w:r>
        <w:rPr>
          <w:rFonts w:ascii="Times New Roman" w:eastAsia="Times New Roman" w:hAnsi="Times New Roman" w:cs="Times New Roman"/>
          <w:sz w:val="24"/>
          <w:szCs w:val="24"/>
          <w:lang w:eastAsia="en-AU"/>
        </w:rPr>
        <w:t xml:space="preserve">applying to the </w:t>
      </w:r>
      <w:r w:rsidR="00EA670C">
        <w:rPr>
          <w:rFonts w:ascii="Times New Roman" w:eastAsia="Times New Roman" w:hAnsi="Times New Roman" w:cs="Times New Roman"/>
          <w:sz w:val="24"/>
          <w:szCs w:val="24"/>
          <w:lang w:eastAsia="en-AU"/>
        </w:rPr>
        <w:t>use of caffeine and related ingredients in listed and assessed listed medicines</w:t>
      </w:r>
      <w:r w:rsidR="007445FE">
        <w:rPr>
          <w:rFonts w:ascii="Times New Roman" w:eastAsia="Times New Roman" w:hAnsi="Times New Roman" w:cs="Times New Roman"/>
          <w:sz w:val="24"/>
          <w:szCs w:val="24"/>
          <w:lang w:eastAsia="en-AU"/>
        </w:rPr>
        <w:t>, input from industry and the Advisory Committee on Complementary Medicines during 2018, and further TGA review of current toxicology data pertaining to caffeine in 2019</w:t>
      </w:r>
      <w:r w:rsidR="00EA670C">
        <w:rPr>
          <w:rFonts w:ascii="Times New Roman" w:eastAsia="Times New Roman" w:hAnsi="Times New Roman" w:cs="Times New Roman"/>
          <w:sz w:val="24"/>
          <w:szCs w:val="24"/>
          <w:lang w:eastAsia="en-AU"/>
        </w:rPr>
        <w:t>. The review highlighted that additional requirements,</w:t>
      </w:r>
      <w:r w:rsidR="00EA670C" w:rsidRPr="00DF0880">
        <w:rPr>
          <w:rFonts w:ascii="Times New Roman" w:eastAsia="Times New Roman" w:hAnsi="Times New Roman" w:cs="Times New Roman"/>
          <w:sz w:val="24"/>
          <w:szCs w:val="24"/>
          <w:lang w:eastAsia="en-AU"/>
        </w:rPr>
        <w:t xml:space="preserve"> </w:t>
      </w:r>
      <w:r w:rsidR="00EA670C">
        <w:rPr>
          <w:rFonts w:ascii="Times New Roman" w:eastAsia="Times New Roman" w:hAnsi="Times New Roman" w:cs="Times New Roman"/>
          <w:sz w:val="24"/>
          <w:szCs w:val="24"/>
          <w:lang w:eastAsia="en-AU"/>
        </w:rPr>
        <w:t xml:space="preserve">which consist of warning statements about caffeine intake and maximum dose limits within 3 hour and daily periods, are </w:t>
      </w:r>
      <w:r w:rsidR="00F977F5">
        <w:rPr>
          <w:rFonts w:ascii="Times New Roman" w:eastAsia="Times New Roman" w:hAnsi="Times New Roman" w:cs="Times New Roman"/>
          <w:sz w:val="24"/>
          <w:szCs w:val="24"/>
          <w:lang w:eastAsia="en-AU"/>
        </w:rPr>
        <w:t>appropriate to ensure that these products are safe and consistent with the</w:t>
      </w:r>
      <w:r w:rsidR="00EA670C">
        <w:rPr>
          <w:rFonts w:ascii="Times New Roman" w:eastAsia="Times New Roman" w:hAnsi="Times New Roman" w:cs="Times New Roman"/>
          <w:sz w:val="24"/>
          <w:szCs w:val="24"/>
          <w:lang w:eastAsia="en-AU"/>
        </w:rPr>
        <w:t xml:space="preserve"> expectation </w:t>
      </w:r>
      <w:r w:rsidR="00F977F5">
        <w:rPr>
          <w:rFonts w:ascii="Times New Roman" w:eastAsia="Times New Roman" w:hAnsi="Times New Roman" w:cs="Times New Roman"/>
          <w:sz w:val="24"/>
          <w:szCs w:val="24"/>
          <w:lang w:eastAsia="en-AU"/>
        </w:rPr>
        <w:t>that they are low-risk</w:t>
      </w:r>
      <w:r w:rsidR="00EA670C">
        <w:rPr>
          <w:rFonts w:ascii="Times New Roman" w:eastAsia="Times New Roman" w:hAnsi="Times New Roman" w:cs="Times New Roman"/>
          <w:sz w:val="24"/>
          <w:szCs w:val="24"/>
          <w:lang w:eastAsia="en-AU"/>
        </w:rPr>
        <w:t xml:space="preserve"> products </w:t>
      </w:r>
      <w:r w:rsidR="00F977F5">
        <w:rPr>
          <w:rFonts w:ascii="Times New Roman" w:eastAsia="Times New Roman" w:hAnsi="Times New Roman" w:cs="Times New Roman"/>
          <w:sz w:val="24"/>
          <w:szCs w:val="24"/>
          <w:lang w:eastAsia="en-AU"/>
        </w:rPr>
        <w:t>appropriate for self-selection</w:t>
      </w:r>
      <w:r w:rsidR="00EA670C">
        <w:rPr>
          <w:rFonts w:ascii="Times New Roman" w:eastAsia="Times New Roman" w:hAnsi="Times New Roman" w:cs="Times New Roman"/>
          <w:sz w:val="24"/>
          <w:szCs w:val="24"/>
          <w:lang w:eastAsia="en-AU"/>
        </w:rPr>
        <w:t xml:space="preserve"> by consumers.</w:t>
      </w:r>
    </w:p>
    <w:p w:rsidR="00EA670C" w:rsidRDefault="00EA670C" w:rsidP="00DF0880">
      <w:pPr>
        <w:spacing w:after="0"/>
        <w:contextualSpacing/>
        <w:rPr>
          <w:rFonts w:ascii="Times New Roman" w:eastAsia="Times New Roman" w:hAnsi="Times New Roman" w:cs="Times New Roman"/>
          <w:sz w:val="24"/>
          <w:szCs w:val="24"/>
          <w:lang w:eastAsia="en-AU"/>
        </w:rPr>
      </w:pPr>
    </w:p>
    <w:p w:rsidR="00F84B7B" w:rsidRDefault="00DF0880" w:rsidP="00DF088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existing requirements in the Principal Determination for the ingredient ‘caffeine’ do not permit the listing of such a pure caffeine product</w:t>
      </w:r>
      <w:r w:rsidR="00F84B7B">
        <w:rPr>
          <w:rFonts w:ascii="Times New Roman" w:eastAsia="Times New Roman" w:hAnsi="Times New Roman" w:cs="Times New Roman"/>
          <w:sz w:val="24"/>
          <w:szCs w:val="24"/>
          <w:lang w:eastAsia="en-AU"/>
        </w:rPr>
        <w:t>.  H</w:t>
      </w:r>
      <w:r>
        <w:rPr>
          <w:rFonts w:ascii="Times New Roman" w:eastAsia="Times New Roman" w:hAnsi="Times New Roman" w:cs="Times New Roman"/>
          <w:sz w:val="24"/>
          <w:szCs w:val="24"/>
          <w:lang w:eastAsia="en-AU"/>
        </w:rPr>
        <w:t>owever</w:t>
      </w:r>
      <w:r w:rsidR="00F84B7B">
        <w:rPr>
          <w:rFonts w:ascii="Times New Roman" w:eastAsia="Times New Roman" w:hAnsi="Times New Roman" w:cs="Times New Roman"/>
          <w:sz w:val="24"/>
          <w:szCs w:val="24"/>
          <w:lang w:eastAsia="en-AU"/>
        </w:rPr>
        <w:t>, these requirements</w:t>
      </w:r>
      <w:r>
        <w:rPr>
          <w:rFonts w:ascii="Times New Roman" w:eastAsia="Times New Roman" w:hAnsi="Times New Roman" w:cs="Times New Roman"/>
          <w:sz w:val="24"/>
          <w:szCs w:val="24"/>
          <w:lang w:eastAsia="en-AU"/>
        </w:rPr>
        <w:t xml:space="preserve"> do not</w:t>
      </w:r>
      <w:r w:rsidR="00F84B7B">
        <w:rPr>
          <w:rFonts w:ascii="Times New Roman" w:eastAsia="Times New Roman" w:hAnsi="Times New Roman" w:cs="Times New Roman"/>
          <w:sz w:val="24"/>
          <w:szCs w:val="24"/>
          <w:lang w:eastAsia="en-AU"/>
        </w:rPr>
        <w:t xml:space="preserve"> also fully</w:t>
      </w:r>
      <w:r>
        <w:rPr>
          <w:rFonts w:ascii="Times New Roman" w:eastAsia="Times New Roman" w:hAnsi="Times New Roman" w:cs="Times New Roman"/>
          <w:sz w:val="24"/>
          <w:szCs w:val="24"/>
          <w:lang w:eastAsia="en-AU"/>
        </w:rPr>
        <w:t xml:space="preserve"> address the safety concerns presented by </w:t>
      </w:r>
      <w:r w:rsidR="00F84B7B">
        <w:rPr>
          <w:rFonts w:ascii="Times New Roman" w:eastAsia="Times New Roman" w:hAnsi="Times New Roman" w:cs="Times New Roman"/>
          <w:sz w:val="24"/>
          <w:szCs w:val="24"/>
          <w:lang w:eastAsia="en-AU"/>
        </w:rPr>
        <w:t xml:space="preserve">such </w:t>
      </w:r>
      <w:r>
        <w:rPr>
          <w:rFonts w:ascii="Times New Roman" w:eastAsia="Times New Roman" w:hAnsi="Times New Roman" w:cs="Times New Roman"/>
          <w:sz w:val="24"/>
          <w:szCs w:val="24"/>
          <w:lang w:eastAsia="en-AU"/>
        </w:rPr>
        <w:t>highly-concentrated caffeine products</w:t>
      </w:r>
      <w:r w:rsidR="00F977F5">
        <w:rPr>
          <w:rFonts w:ascii="Times New Roman" w:eastAsia="Times New Roman" w:hAnsi="Times New Roman" w:cs="Times New Roman"/>
          <w:sz w:val="24"/>
          <w:szCs w:val="24"/>
          <w:lang w:eastAsia="en-AU"/>
        </w:rPr>
        <w:t>, and it is these concerns that are addressed by the changes introduced by the Amendment Determination</w:t>
      </w:r>
      <w:r>
        <w:rPr>
          <w:rFonts w:ascii="Times New Roman" w:eastAsia="Times New Roman" w:hAnsi="Times New Roman" w:cs="Times New Roman"/>
          <w:sz w:val="24"/>
          <w:szCs w:val="24"/>
          <w:lang w:eastAsia="en-AU"/>
        </w:rPr>
        <w:t>.</w:t>
      </w:r>
    </w:p>
    <w:p w:rsidR="008D3A14" w:rsidRDefault="008D3A14" w:rsidP="00DF0880">
      <w:pPr>
        <w:spacing w:after="0"/>
        <w:contextualSpacing/>
        <w:rPr>
          <w:rFonts w:ascii="Times New Roman" w:eastAsia="Times New Roman" w:hAnsi="Times New Roman" w:cs="Times New Roman"/>
          <w:sz w:val="24"/>
          <w:szCs w:val="24"/>
          <w:lang w:eastAsia="en-AU"/>
        </w:rPr>
      </w:pPr>
    </w:p>
    <w:p w:rsidR="008D3A14" w:rsidRDefault="008D3A14" w:rsidP="00DF0880">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Determination also amends the Principal Determination to make a small number of other changes, including in particular to introduce new ingredients </w:t>
      </w:r>
      <w:r w:rsidRPr="008D3A14">
        <w:rPr>
          <w:rFonts w:ascii="Times New Roman" w:hAnsi="Times New Roman" w:cs="Times New Roman"/>
          <w:sz w:val="24"/>
          <w:szCs w:val="24"/>
        </w:rPr>
        <w:t>3</w:t>
      </w:r>
      <w:proofErr w:type="gramStart"/>
      <w:r w:rsidRPr="008D3A14">
        <w:rPr>
          <w:rFonts w:ascii="Times New Roman" w:hAnsi="Times New Roman" w:cs="Times New Roman"/>
          <w:sz w:val="24"/>
          <w:szCs w:val="24"/>
        </w:rPr>
        <w:t>,7</w:t>
      </w:r>
      <w:proofErr w:type="gramEnd"/>
      <w:r w:rsidRPr="008D3A14">
        <w:rPr>
          <w:rFonts w:ascii="Times New Roman" w:hAnsi="Times New Roman" w:cs="Times New Roman"/>
          <w:sz w:val="24"/>
          <w:szCs w:val="24"/>
        </w:rPr>
        <w:t>-DIMETHYL-1-OCTEN-3-OL</w:t>
      </w:r>
      <w:r w:rsidR="006D768D">
        <w:rPr>
          <w:rFonts w:ascii="Times New Roman" w:eastAsia="Times New Roman" w:hAnsi="Times New Roman" w:cs="Times New Roman"/>
          <w:sz w:val="24"/>
          <w:szCs w:val="24"/>
          <w:lang w:eastAsia="en-AU"/>
        </w:rPr>
        <w:t xml:space="preserve">, </w:t>
      </w:r>
      <w:r w:rsidR="003A3E75">
        <w:rPr>
          <w:rFonts w:ascii="Times New Roman" w:hAnsi="Times New Roman" w:cs="Times New Roman"/>
          <w:sz w:val="24"/>
          <w:szCs w:val="24"/>
        </w:rPr>
        <w:t>BACILLUS C</w:t>
      </w:r>
      <w:r w:rsidR="003A3E75" w:rsidRPr="008D3A14">
        <w:rPr>
          <w:rFonts w:ascii="Times New Roman" w:hAnsi="Times New Roman" w:cs="Times New Roman"/>
          <w:sz w:val="24"/>
          <w:szCs w:val="24"/>
        </w:rPr>
        <w:t>OAGULANS</w:t>
      </w:r>
      <w:r w:rsidR="003A3E75">
        <w:rPr>
          <w:rFonts w:ascii="Times New Roman" w:eastAsia="Times New Roman" w:hAnsi="Times New Roman" w:cs="Times New Roman"/>
          <w:sz w:val="24"/>
          <w:szCs w:val="24"/>
          <w:lang w:eastAsia="en-AU"/>
        </w:rPr>
        <w:t xml:space="preserve"> </w:t>
      </w:r>
      <w:r w:rsidR="006D768D">
        <w:rPr>
          <w:rFonts w:ascii="Times New Roman" w:eastAsia="Times New Roman" w:hAnsi="Times New Roman" w:cs="Times New Roman"/>
          <w:sz w:val="24"/>
          <w:szCs w:val="24"/>
          <w:lang w:eastAsia="en-AU"/>
        </w:rPr>
        <w:t xml:space="preserve">and </w:t>
      </w:r>
      <w:r w:rsidR="006D768D" w:rsidRPr="00AD01A3">
        <w:rPr>
          <w:rFonts w:ascii="Times New Roman" w:eastAsia="Times New Roman" w:hAnsi="Times New Roman" w:cs="Times New Roman"/>
          <w:sz w:val="24"/>
          <w:szCs w:val="24"/>
          <w:lang w:eastAsia="en-AU"/>
        </w:rPr>
        <w:t>P</w:t>
      </w:r>
      <w:r w:rsidR="003A3E75" w:rsidRPr="00AD01A3">
        <w:rPr>
          <w:rFonts w:ascii="Times New Roman" w:eastAsia="Times New Roman" w:hAnsi="Times New Roman" w:cs="Times New Roman"/>
          <w:sz w:val="24"/>
          <w:szCs w:val="24"/>
          <w:lang w:eastAsia="en-AU"/>
        </w:rPr>
        <w:t>OLYGLYCERYL-2 DISTEARATE</w:t>
      </w:r>
      <w:r w:rsidR="006D768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for use in listed and assessed listed medicines for the first time.  This follows the completion of an assessment of the suitability of these ingredients for use in low-risk medicines.</w:t>
      </w:r>
    </w:p>
    <w:p w:rsidR="008D3A14" w:rsidRDefault="008D3A14" w:rsidP="00DF0880">
      <w:pPr>
        <w:spacing w:after="0"/>
        <w:contextualSpacing/>
        <w:rPr>
          <w:rFonts w:ascii="Times New Roman" w:eastAsia="Times New Roman" w:hAnsi="Times New Roman" w:cs="Times New Roman"/>
          <w:sz w:val="24"/>
          <w:szCs w:val="24"/>
          <w:lang w:eastAsia="en-AU"/>
        </w:rPr>
      </w:pPr>
    </w:p>
    <w:p w:rsidR="008D3A14" w:rsidRDefault="008D3A14" w:rsidP="004761AE">
      <w:pPr>
        <w:keepNext/>
        <w:spacing w:before="100" w:beforeAutospacing="1" w:after="100" w:afterAutospacing="1"/>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other changes introduced by the Amendment Determination </w:t>
      </w:r>
      <w:r w:rsidR="004761AE">
        <w:rPr>
          <w:rFonts w:ascii="Times New Roman" w:eastAsia="Times New Roman" w:hAnsi="Times New Roman" w:cs="Times New Roman"/>
          <w:sz w:val="24"/>
          <w:szCs w:val="24"/>
          <w:lang w:eastAsia="en-AU"/>
        </w:rPr>
        <w:t xml:space="preserve">are designed both to make the applicable requirements for a small number of ingredients less restrictive in relation to their use in listed and assessed listed medicines, and </w:t>
      </w:r>
      <w:r w:rsidR="00042274">
        <w:rPr>
          <w:rFonts w:ascii="Times New Roman" w:eastAsia="Times New Roman" w:hAnsi="Times New Roman" w:cs="Times New Roman"/>
          <w:sz w:val="24"/>
          <w:szCs w:val="24"/>
          <w:lang w:eastAsia="en-AU"/>
        </w:rPr>
        <w:t xml:space="preserve">(principally) </w:t>
      </w:r>
      <w:r w:rsidR="004761AE">
        <w:rPr>
          <w:rFonts w:ascii="Times New Roman" w:eastAsia="Times New Roman" w:hAnsi="Times New Roman" w:cs="Times New Roman"/>
          <w:sz w:val="24"/>
          <w:szCs w:val="24"/>
          <w:lang w:eastAsia="en-AU"/>
        </w:rPr>
        <w:t>to better align those requirements</w:t>
      </w:r>
      <w:r>
        <w:rPr>
          <w:rFonts w:ascii="Times New Roman" w:eastAsia="Times New Roman" w:hAnsi="Times New Roman" w:cs="Times New Roman"/>
          <w:sz w:val="24"/>
          <w:szCs w:val="24"/>
          <w:lang w:eastAsia="en-AU"/>
        </w:rPr>
        <w:t xml:space="preserve"> with the recommended level of control relating to the use of such ingredients in the Poisons Standard</w:t>
      </w:r>
      <w:r w:rsidR="004761AE">
        <w:rPr>
          <w:rFonts w:ascii="Times New Roman" w:eastAsia="Times New Roman" w:hAnsi="Times New Roman" w:cs="Times New Roman"/>
          <w:sz w:val="24"/>
          <w:szCs w:val="24"/>
          <w:lang w:eastAsia="en-AU"/>
        </w:rPr>
        <w:t xml:space="preserve"> (e.g. </w:t>
      </w:r>
      <w:r w:rsidR="003A3E75">
        <w:rPr>
          <w:rFonts w:ascii="Times New Roman" w:eastAsia="Times New Roman" w:hAnsi="Times New Roman" w:cs="Times New Roman"/>
          <w:sz w:val="24"/>
          <w:szCs w:val="24"/>
          <w:lang w:eastAsia="en-AU"/>
        </w:rPr>
        <w:t xml:space="preserve">BRILLIANT SCARLET </w:t>
      </w:r>
      <w:r w:rsidR="004761AE">
        <w:rPr>
          <w:rFonts w:ascii="Times New Roman" w:eastAsia="Times New Roman" w:hAnsi="Times New Roman" w:cs="Times New Roman"/>
          <w:sz w:val="24"/>
          <w:szCs w:val="24"/>
          <w:lang w:eastAsia="en-AU"/>
        </w:rPr>
        <w:t xml:space="preserve">4R, </w:t>
      </w:r>
      <w:r w:rsidR="003A3E75">
        <w:rPr>
          <w:rFonts w:ascii="Times New Roman" w:eastAsia="Times New Roman" w:hAnsi="Times New Roman" w:cs="Times New Roman"/>
          <w:sz w:val="24"/>
          <w:szCs w:val="24"/>
          <w:lang w:eastAsia="en-AU"/>
        </w:rPr>
        <w:t xml:space="preserve">LAVENDER OIL </w:t>
      </w:r>
      <w:r w:rsidR="004761AE">
        <w:rPr>
          <w:rFonts w:ascii="Times New Roman" w:eastAsia="Times New Roman" w:hAnsi="Times New Roman" w:cs="Times New Roman"/>
          <w:sz w:val="24"/>
          <w:szCs w:val="24"/>
          <w:lang w:eastAsia="en-AU"/>
        </w:rPr>
        <w:t xml:space="preserve">and </w:t>
      </w:r>
      <w:r w:rsidR="003A3E75">
        <w:rPr>
          <w:rFonts w:ascii="Times New Roman" w:eastAsia="Times New Roman" w:hAnsi="Times New Roman" w:cs="Times New Roman"/>
          <w:sz w:val="24"/>
          <w:szCs w:val="24"/>
          <w:lang w:eastAsia="en-AU"/>
        </w:rPr>
        <w:t>THYMOL</w:t>
      </w:r>
      <w:r w:rsidR="004761AE">
        <w:rPr>
          <w:rFonts w:ascii="Times New Roman" w:eastAsia="Times New Roman" w:hAnsi="Times New Roman" w:cs="Times New Roman"/>
          <w:sz w:val="24"/>
          <w:szCs w:val="24"/>
          <w:lang w:eastAsia="en-AU"/>
        </w:rPr>
        <w:t>).</w:t>
      </w:r>
    </w:p>
    <w:p w:rsidR="00F84B7B" w:rsidRDefault="00F84B7B" w:rsidP="00DF0880">
      <w:pPr>
        <w:spacing w:after="0"/>
        <w:contextualSpacing/>
        <w:rPr>
          <w:rFonts w:ascii="Times New Roman" w:eastAsia="Times New Roman" w:hAnsi="Times New Roman" w:cs="Times New Roman"/>
          <w:sz w:val="24"/>
          <w:szCs w:val="24"/>
          <w:lang w:eastAsia="en-AU"/>
        </w:rPr>
      </w:pPr>
    </w:p>
    <w:p w:rsidR="00EF1F18" w:rsidRPr="00B028DC" w:rsidRDefault="00EF1F18" w:rsidP="0015421F">
      <w:pPr>
        <w:spacing w:before="100" w:beforeAutospacing="1" w:after="100" w:afterAutospacing="1"/>
        <w:rPr>
          <w:rFonts w:ascii="Times New Roman" w:eastAsia="Times New Roman" w:hAnsi="Times New Roman" w:cs="Times New Roman"/>
          <w:sz w:val="24"/>
          <w:szCs w:val="24"/>
          <w:lang w:val="en-US" w:eastAsia="en-AU"/>
        </w:rPr>
      </w:pPr>
      <w:r w:rsidRPr="00B028DC">
        <w:rPr>
          <w:rFonts w:ascii="Times New Roman" w:eastAsia="Times New Roman" w:hAnsi="Times New Roman" w:cs="Times New Roman"/>
          <w:b/>
          <w:bCs/>
          <w:sz w:val="24"/>
          <w:szCs w:val="24"/>
          <w:lang w:eastAsia="en-AU"/>
        </w:rPr>
        <w:t>C</w:t>
      </w:r>
      <w:r w:rsidR="00E1152E" w:rsidRPr="00B028DC">
        <w:rPr>
          <w:rFonts w:ascii="Times New Roman" w:eastAsia="Times New Roman" w:hAnsi="Times New Roman" w:cs="Times New Roman"/>
          <w:b/>
          <w:bCs/>
          <w:sz w:val="24"/>
          <w:szCs w:val="24"/>
          <w:lang w:eastAsia="en-AU"/>
        </w:rPr>
        <w:t>onsultation</w:t>
      </w:r>
      <w:r w:rsidRPr="00B028DC">
        <w:rPr>
          <w:rFonts w:ascii="Times New Roman" w:eastAsia="Times New Roman" w:hAnsi="Times New Roman" w:cs="Times New Roman"/>
          <w:sz w:val="24"/>
          <w:szCs w:val="24"/>
          <w:lang w:eastAsia="en-AU"/>
        </w:rPr>
        <w:t> </w:t>
      </w:r>
    </w:p>
    <w:p w:rsidR="00E87D5E" w:rsidRDefault="008E298E" w:rsidP="0015421F">
      <w:pPr>
        <w:spacing w:before="100" w:beforeAutospacing="1" w:after="100" w:afterAutospacing="1"/>
        <w:rPr>
          <w:rFonts w:ascii="Times New Roman" w:eastAsia="Times New Roman" w:hAnsi="Times New Roman" w:cs="Times New Roman"/>
          <w:snapToGrid w:val="0"/>
          <w:sz w:val="24"/>
          <w:szCs w:val="24"/>
          <w:lang w:eastAsia="en-AU"/>
        </w:rPr>
      </w:pPr>
      <w:r w:rsidRPr="006E787D">
        <w:rPr>
          <w:rFonts w:ascii="Times New Roman" w:eastAsia="Times New Roman" w:hAnsi="Times New Roman" w:cs="Times New Roman"/>
          <w:snapToGrid w:val="0"/>
          <w:sz w:val="24"/>
          <w:szCs w:val="24"/>
          <w:lang w:eastAsia="en-AU"/>
        </w:rPr>
        <w:t xml:space="preserve">The TGA contacted affected </w:t>
      </w:r>
      <w:r w:rsidR="006E787D" w:rsidRPr="006E787D">
        <w:rPr>
          <w:rFonts w:ascii="Times New Roman" w:eastAsia="Times New Roman" w:hAnsi="Times New Roman" w:cs="Times New Roman"/>
          <w:snapToGrid w:val="0"/>
          <w:sz w:val="24"/>
          <w:szCs w:val="24"/>
          <w:lang w:eastAsia="en-AU"/>
        </w:rPr>
        <w:t>sponsors</w:t>
      </w:r>
      <w:r w:rsidRPr="006E787D">
        <w:rPr>
          <w:rFonts w:ascii="Times New Roman" w:eastAsia="Times New Roman" w:hAnsi="Times New Roman" w:cs="Times New Roman"/>
          <w:snapToGrid w:val="0"/>
          <w:sz w:val="24"/>
          <w:szCs w:val="24"/>
          <w:lang w:eastAsia="en-AU"/>
        </w:rPr>
        <w:t xml:space="preserve"> </w:t>
      </w:r>
      <w:r w:rsidR="00316B98" w:rsidRPr="006E787D">
        <w:rPr>
          <w:rFonts w:ascii="Times New Roman" w:eastAsia="Times New Roman" w:hAnsi="Times New Roman" w:cs="Times New Roman"/>
          <w:snapToGrid w:val="0"/>
          <w:sz w:val="24"/>
          <w:szCs w:val="24"/>
          <w:lang w:eastAsia="en-AU"/>
        </w:rPr>
        <w:t>and key industry associations</w:t>
      </w:r>
      <w:r w:rsidR="0062190F">
        <w:rPr>
          <w:rFonts w:ascii="Times New Roman" w:eastAsia="Times New Roman" w:hAnsi="Times New Roman" w:cs="Times New Roman"/>
          <w:snapToGrid w:val="0"/>
          <w:sz w:val="24"/>
          <w:szCs w:val="24"/>
          <w:lang w:eastAsia="en-AU"/>
        </w:rPr>
        <w:t>,</w:t>
      </w:r>
      <w:r w:rsidR="00316B98" w:rsidRPr="006E787D">
        <w:rPr>
          <w:rFonts w:ascii="Times New Roman" w:eastAsia="Times New Roman" w:hAnsi="Times New Roman" w:cs="Times New Roman"/>
          <w:snapToGrid w:val="0"/>
          <w:sz w:val="24"/>
          <w:szCs w:val="24"/>
          <w:lang w:eastAsia="en-AU"/>
        </w:rPr>
        <w:t xml:space="preserve"> </w:t>
      </w:r>
      <w:r w:rsidR="006E787D" w:rsidRPr="006E787D">
        <w:rPr>
          <w:rFonts w:ascii="Times New Roman" w:eastAsia="Times New Roman" w:hAnsi="Times New Roman" w:cs="Times New Roman"/>
          <w:snapToGrid w:val="0"/>
          <w:sz w:val="24"/>
          <w:szCs w:val="24"/>
          <w:lang w:eastAsia="en-AU"/>
        </w:rPr>
        <w:t>the</w:t>
      </w:r>
      <w:r w:rsidR="00DD7962">
        <w:rPr>
          <w:rFonts w:ascii="Times New Roman" w:eastAsia="Times New Roman" w:hAnsi="Times New Roman" w:cs="Times New Roman"/>
          <w:snapToGrid w:val="0"/>
          <w:sz w:val="24"/>
          <w:szCs w:val="24"/>
          <w:lang w:eastAsia="en-AU"/>
        </w:rPr>
        <w:t xml:space="preserve"> then</w:t>
      </w:r>
      <w:r w:rsidR="006E787D" w:rsidRPr="006E787D">
        <w:rPr>
          <w:rFonts w:ascii="Times New Roman" w:eastAsia="Times New Roman" w:hAnsi="Times New Roman" w:cs="Times New Roman"/>
          <w:snapToGrid w:val="0"/>
          <w:sz w:val="24"/>
          <w:szCs w:val="24"/>
          <w:lang w:eastAsia="en-AU"/>
        </w:rPr>
        <w:t xml:space="preserve"> Australian Self Medication Industry </w:t>
      </w:r>
      <w:r w:rsidR="00E93B09">
        <w:rPr>
          <w:rFonts w:ascii="Times New Roman" w:eastAsia="Times New Roman" w:hAnsi="Times New Roman" w:cs="Times New Roman"/>
          <w:snapToGrid w:val="0"/>
          <w:sz w:val="24"/>
          <w:szCs w:val="24"/>
          <w:lang w:eastAsia="en-AU"/>
        </w:rPr>
        <w:t>(</w:t>
      </w:r>
      <w:r w:rsidR="00DD7962">
        <w:rPr>
          <w:rFonts w:ascii="Times New Roman" w:eastAsia="Times New Roman" w:hAnsi="Times New Roman" w:cs="Times New Roman"/>
          <w:snapToGrid w:val="0"/>
          <w:sz w:val="24"/>
          <w:szCs w:val="24"/>
          <w:lang w:eastAsia="en-AU"/>
        </w:rPr>
        <w:t>now Consumer Healthcare Products Australia – “CHPA”</w:t>
      </w:r>
      <w:r w:rsidR="00E93B09">
        <w:rPr>
          <w:rFonts w:ascii="Times New Roman" w:eastAsia="Times New Roman" w:hAnsi="Times New Roman" w:cs="Times New Roman"/>
          <w:snapToGrid w:val="0"/>
          <w:sz w:val="24"/>
          <w:szCs w:val="24"/>
          <w:lang w:eastAsia="en-AU"/>
        </w:rPr>
        <w:t>) and Complementary Medicines Australia (“CMA”)</w:t>
      </w:r>
      <w:r w:rsidR="0062190F">
        <w:rPr>
          <w:rFonts w:ascii="Times New Roman" w:eastAsia="Times New Roman" w:hAnsi="Times New Roman" w:cs="Times New Roman"/>
          <w:snapToGrid w:val="0"/>
          <w:sz w:val="24"/>
          <w:szCs w:val="24"/>
          <w:lang w:eastAsia="en-AU"/>
        </w:rPr>
        <w:t>,</w:t>
      </w:r>
      <w:r w:rsidR="00E93B09">
        <w:rPr>
          <w:rFonts w:ascii="Times New Roman" w:eastAsia="Times New Roman" w:hAnsi="Times New Roman" w:cs="Times New Roman"/>
          <w:snapToGrid w:val="0"/>
          <w:sz w:val="24"/>
          <w:szCs w:val="24"/>
          <w:lang w:eastAsia="en-AU"/>
        </w:rPr>
        <w:t xml:space="preserve"> </w:t>
      </w:r>
      <w:r w:rsidRPr="006E787D">
        <w:rPr>
          <w:rFonts w:ascii="Times New Roman" w:eastAsia="Times New Roman" w:hAnsi="Times New Roman" w:cs="Times New Roman"/>
          <w:snapToGrid w:val="0"/>
          <w:sz w:val="24"/>
          <w:szCs w:val="24"/>
          <w:lang w:eastAsia="en-AU"/>
        </w:rPr>
        <w:t xml:space="preserve">in March </w:t>
      </w:r>
      <w:r w:rsidR="00E93B09">
        <w:rPr>
          <w:rFonts w:ascii="Times New Roman" w:eastAsia="Times New Roman" w:hAnsi="Times New Roman" w:cs="Times New Roman"/>
          <w:snapToGrid w:val="0"/>
          <w:sz w:val="24"/>
          <w:szCs w:val="24"/>
          <w:lang w:eastAsia="en-AU"/>
        </w:rPr>
        <w:t>and</w:t>
      </w:r>
      <w:r w:rsidRPr="006E787D">
        <w:rPr>
          <w:rFonts w:ascii="Times New Roman" w:eastAsia="Times New Roman" w:hAnsi="Times New Roman" w:cs="Times New Roman"/>
          <w:snapToGrid w:val="0"/>
          <w:sz w:val="24"/>
          <w:szCs w:val="24"/>
          <w:lang w:eastAsia="en-AU"/>
        </w:rPr>
        <w:t xml:space="preserve"> May 2018 regarding </w:t>
      </w:r>
      <w:r w:rsidR="00E93B09">
        <w:rPr>
          <w:rFonts w:ascii="Times New Roman" w:eastAsia="Times New Roman" w:hAnsi="Times New Roman" w:cs="Times New Roman"/>
          <w:snapToGrid w:val="0"/>
          <w:sz w:val="24"/>
          <w:szCs w:val="24"/>
          <w:lang w:eastAsia="en-AU"/>
        </w:rPr>
        <w:t>proposals</w:t>
      </w:r>
      <w:r w:rsidRPr="006E787D">
        <w:rPr>
          <w:rFonts w:ascii="Times New Roman" w:eastAsia="Times New Roman" w:hAnsi="Times New Roman" w:cs="Times New Roman"/>
          <w:snapToGrid w:val="0"/>
          <w:sz w:val="24"/>
          <w:szCs w:val="24"/>
          <w:lang w:eastAsia="en-AU"/>
        </w:rPr>
        <w:t xml:space="preserve"> to amend the requirements</w:t>
      </w:r>
      <w:r w:rsidR="00050B0F" w:rsidRPr="006E787D">
        <w:rPr>
          <w:rFonts w:ascii="Times New Roman" w:eastAsia="Times New Roman" w:hAnsi="Times New Roman" w:cs="Times New Roman"/>
          <w:snapToGrid w:val="0"/>
          <w:sz w:val="24"/>
          <w:szCs w:val="24"/>
          <w:lang w:eastAsia="en-AU"/>
        </w:rPr>
        <w:t xml:space="preserve"> for caffeine in listed </w:t>
      </w:r>
      <w:r w:rsidR="00DF0880" w:rsidRPr="006E787D">
        <w:rPr>
          <w:rFonts w:ascii="Times New Roman" w:eastAsia="Times New Roman" w:hAnsi="Times New Roman" w:cs="Times New Roman"/>
          <w:snapToGrid w:val="0"/>
          <w:sz w:val="24"/>
          <w:szCs w:val="24"/>
          <w:lang w:eastAsia="en-AU"/>
        </w:rPr>
        <w:t xml:space="preserve">and assessed listed </w:t>
      </w:r>
      <w:r w:rsidR="00050B0F" w:rsidRPr="006E787D">
        <w:rPr>
          <w:rFonts w:ascii="Times New Roman" w:eastAsia="Times New Roman" w:hAnsi="Times New Roman" w:cs="Times New Roman"/>
          <w:snapToGrid w:val="0"/>
          <w:sz w:val="24"/>
          <w:szCs w:val="24"/>
          <w:lang w:eastAsia="en-AU"/>
        </w:rPr>
        <w:t>medicines</w:t>
      </w:r>
      <w:r w:rsidRPr="006E787D">
        <w:rPr>
          <w:rFonts w:ascii="Times New Roman" w:eastAsia="Times New Roman" w:hAnsi="Times New Roman" w:cs="Times New Roman"/>
          <w:snapToGrid w:val="0"/>
          <w:sz w:val="24"/>
          <w:szCs w:val="24"/>
          <w:lang w:eastAsia="en-AU"/>
        </w:rPr>
        <w:t xml:space="preserve">. </w:t>
      </w:r>
      <w:r w:rsidR="00E87D5E">
        <w:rPr>
          <w:rFonts w:ascii="Times New Roman" w:eastAsia="Times New Roman" w:hAnsi="Times New Roman" w:cs="Times New Roman"/>
          <w:snapToGrid w:val="0"/>
          <w:sz w:val="24"/>
          <w:szCs w:val="24"/>
          <w:lang w:eastAsia="en-AU"/>
        </w:rPr>
        <w:t>CMA</w:t>
      </w:r>
      <w:r w:rsidR="0044599A">
        <w:rPr>
          <w:rFonts w:ascii="Times New Roman" w:eastAsia="Times New Roman" w:hAnsi="Times New Roman" w:cs="Times New Roman"/>
          <w:snapToGrid w:val="0"/>
          <w:sz w:val="24"/>
          <w:szCs w:val="24"/>
          <w:lang w:eastAsia="en-AU"/>
        </w:rPr>
        <w:t xml:space="preserve"> supported the responsible use of caffeine recognising that it was occasionally subject to </w:t>
      </w:r>
      <w:r w:rsidR="0044599A">
        <w:rPr>
          <w:rFonts w:ascii="Times New Roman" w:eastAsia="Times New Roman" w:hAnsi="Times New Roman" w:cs="Times New Roman"/>
          <w:snapToGrid w:val="0"/>
          <w:sz w:val="24"/>
          <w:szCs w:val="24"/>
          <w:lang w:eastAsia="en-AU"/>
        </w:rPr>
        <w:lastRenderedPageBreak/>
        <w:t>misuse, and</w:t>
      </w:r>
      <w:r w:rsidR="00E87D5E">
        <w:rPr>
          <w:rFonts w:ascii="Times New Roman" w:eastAsia="Times New Roman" w:hAnsi="Times New Roman" w:cs="Times New Roman"/>
          <w:snapToGrid w:val="0"/>
          <w:sz w:val="24"/>
          <w:szCs w:val="24"/>
          <w:lang w:eastAsia="en-AU"/>
        </w:rPr>
        <w:t xml:space="preserve"> propos</w:t>
      </w:r>
      <w:r w:rsidR="005F2423">
        <w:rPr>
          <w:rFonts w:ascii="Times New Roman" w:eastAsia="Times New Roman" w:hAnsi="Times New Roman" w:cs="Times New Roman"/>
          <w:snapToGrid w:val="0"/>
          <w:sz w:val="24"/>
          <w:szCs w:val="24"/>
          <w:lang w:eastAsia="en-AU"/>
        </w:rPr>
        <w:t>ed</w:t>
      </w:r>
      <w:r w:rsidR="00E87D5E">
        <w:rPr>
          <w:rFonts w:ascii="Times New Roman" w:eastAsia="Times New Roman" w:hAnsi="Times New Roman" w:cs="Times New Roman"/>
          <w:snapToGrid w:val="0"/>
          <w:sz w:val="24"/>
          <w:szCs w:val="24"/>
          <w:lang w:eastAsia="en-AU"/>
        </w:rPr>
        <w:t xml:space="preserve"> additional warning statements for products with a higher caffeine content, based on </w:t>
      </w:r>
      <w:r w:rsidR="00CE1E8C">
        <w:rPr>
          <w:rFonts w:ascii="Times New Roman" w:eastAsia="Times New Roman" w:hAnsi="Times New Roman" w:cs="Times New Roman"/>
          <w:snapToGrid w:val="0"/>
          <w:sz w:val="24"/>
          <w:szCs w:val="24"/>
          <w:lang w:eastAsia="en-AU"/>
        </w:rPr>
        <w:t xml:space="preserve">requirements for current over the counter medicines, </w:t>
      </w:r>
      <w:r w:rsidR="00E87D5E">
        <w:rPr>
          <w:rFonts w:ascii="Times New Roman" w:eastAsia="Times New Roman" w:hAnsi="Times New Roman" w:cs="Times New Roman"/>
          <w:snapToGrid w:val="0"/>
          <w:sz w:val="24"/>
          <w:szCs w:val="24"/>
          <w:lang w:eastAsia="en-AU"/>
        </w:rPr>
        <w:t xml:space="preserve">a </w:t>
      </w:r>
      <w:r w:rsidR="00CE1E8C">
        <w:rPr>
          <w:rFonts w:ascii="Times New Roman" w:eastAsia="Times New Roman" w:hAnsi="Times New Roman" w:cs="Times New Roman"/>
          <w:snapToGrid w:val="0"/>
          <w:sz w:val="24"/>
          <w:szCs w:val="24"/>
          <w:lang w:eastAsia="en-AU"/>
        </w:rPr>
        <w:t>safety report</w:t>
      </w:r>
      <w:r w:rsidR="00E87D5E">
        <w:rPr>
          <w:rFonts w:ascii="Times New Roman" w:eastAsia="Times New Roman" w:hAnsi="Times New Roman" w:cs="Times New Roman"/>
          <w:snapToGrid w:val="0"/>
          <w:sz w:val="24"/>
          <w:szCs w:val="24"/>
          <w:lang w:eastAsia="en-AU"/>
        </w:rPr>
        <w:t xml:space="preserve"> </w:t>
      </w:r>
      <w:r w:rsidR="00CE1E8C">
        <w:rPr>
          <w:rFonts w:ascii="Times New Roman" w:eastAsia="Times New Roman" w:hAnsi="Times New Roman" w:cs="Times New Roman"/>
          <w:snapToGrid w:val="0"/>
          <w:sz w:val="24"/>
          <w:szCs w:val="24"/>
          <w:lang w:eastAsia="en-AU"/>
        </w:rPr>
        <w:t xml:space="preserve">produced </w:t>
      </w:r>
      <w:r w:rsidR="00E87D5E" w:rsidRPr="006E787D">
        <w:rPr>
          <w:rFonts w:ascii="Times New Roman" w:eastAsia="Times New Roman" w:hAnsi="Times New Roman" w:cs="Times New Roman"/>
          <w:snapToGrid w:val="0"/>
          <w:sz w:val="24"/>
          <w:szCs w:val="24"/>
          <w:lang w:eastAsia="en-AU"/>
        </w:rPr>
        <w:t xml:space="preserve">by the European Food Safety Authority and a monograph </w:t>
      </w:r>
      <w:r w:rsidR="00E87D5E">
        <w:rPr>
          <w:rFonts w:ascii="Times New Roman" w:eastAsia="Times New Roman" w:hAnsi="Times New Roman" w:cs="Times New Roman"/>
          <w:snapToGrid w:val="0"/>
          <w:sz w:val="24"/>
          <w:szCs w:val="24"/>
          <w:lang w:eastAsia="en-AU"/>
        </w:rPr>
        <w:t xml:space="preserve">for such products prepared </w:t>
      </w:r>
      <w:r w:rsidR="00E87D5E" w:rsidRPr="006E787D">
        <w:rPr>
          <w:rFonts w:ascii="Times New Roman" w:eastAsia="Times New Roman" w:hAnsi="Times New Roman" w:cs="Times New Roman"/>
          <w:snapToGrid w:val="0"/>
          <w:sz w:val="24"/>
          <w:szCs w:val="24"/>
          <w:lang w:eastAsia="en-AU"/>
        </w:rPr>
        <w:t>by Health Canada</w:t>
      </w:r>
      <w:r w:rsidR="00E87D5E">
        <w:rPr>
          <w:rFonts w:ascii="Times New Roman" w:eastAsia="Times New Roman" w:hAnsi="Times New Roman" w:cs="Times New Roman"/>
          <w:snapToGrid w:val="0"/>
          <w:sz w:val="24"/>
          <w:szCs w:val="24"/>
          <w:lang w:eastAsia="en-AU"/>
        </w:rPr>
        <w:t>.  CMA also raised concerns that products with only low levels of caffeine should not be affected by the proposed changes, as that would not be consistent with the particular risks being addressed.</w:t>
      </w:r>
    </w:p>
    <w:p w:rsidR="00E87D5E" w:rsidRDefault="00E87D5E"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The Amendment Determination </w:t>
      </w:r>
      <w:r w:rsidR="00A8608C">
        <w:rPr>
          <w:rFonts w:ascii="Times New Roman" w:eastAsia="Times New Roman" w:hAnsi="Times New Roman" w:cs="Times New Roman"/>
          <w:snapToGrid w:val="0"/>
          <w:sz w:val="24"/>
          <w:szCs w:val="24"/>
          <w:lang w:eastAsia="en-AU"/>
        </w:rPr>
        <w:t>takes into account</w:t>
      </w:r>
      <w:r>
        <w:rPr>
          <w:rFonts w:ascii="Times New Roman" w:eastAsia="Times New Roman" w:hAnsi="Times New Roman" w:cs="Times New Roman"/>
          <w:snapToGrid w:val="0"/>
          <w:sz w:val="24"/>
          <w:szCs w:val="24"/>
          <w:lang w:eastAsia="en-AU"/>
        </w:rPr>
        <w:t xml:space="preserve"> this feedback from CMA, by </w:t>
      </w:r>
      <w:r w:rsidR="00E06731">
        <w:rPr>
          <w:rFonts w:ascii="Times New Roman" w:eastAsia="Times New Roman" w:hAnsi="Times New Roman" w:cs="Times New Roman"/>
          <w:snapToGrid w:val="0"/>
          <w:sz w:val="24"/>
          <w:szCs w:val="24"/>
          <w:lang w:eastAsia="en-AU"/>
        </w:rPr>
        <w:t xml:space="preserve">considering the EFSA report and better clarifying </w:t>
      </w:r>
      <w:r>
        <w:rPr>
          <w:rFonts w:ascii="Times New Roman" w:eastAsia="Times New Roman" w:hAnsi="Times New Roman" w:cs="Times New Roman"/>
          <w:snapToGrid w:val="0"/>
          <w:sz w:val="24"/>
          <w:szCs w:val="24"/>
          <w:lang w:eastAsia="en-AU"/>
        </w:rPr>
        <w:t xml:space="preserve">the proposed additional warning statements </w:t>
      </w:r>
      <w:r w:rsidR="00E06731">
        <w:rPr>
          <w:rFonts w:ascii="Times New Roman" w:eastAsia="Times New Roman" w:hAnsi="Times New Roman" w:cs="Times New Roman"/>
          <w:snapToGrid w:val="0"/>
          <w:sz w:val="24"/>
          <w:szCs w:val="24"/>
          <w:lang w:eastAsia="en-AU"/>
        </w:rPr>
        <w:t>for higher and lower caffeine content products</w:t>
      </w:r>
      <w:r>
        <w:rPr>
          <w:rFonts w:ascii="Times New Roman" w:eastAsia="Times New Roman" w:hAnsi="Times New Roman" w:cs="Times New Roman"/>
          <w:snapToGrid w:val="0"/>
          <w:sz w:val="24"/>
          <w:szCs w:val="24"/>
          <w:lang w:eastAsia="en-AU"/>
        </w:rPr>
        <w:t>.</w:t>
      </w:r>
    </w:p>
    <w:p w:rsidR="00316B98" w:rsidRPr="006E787D" w:rsidRDefault="00E87D5E" w:rsidP="0015421F">
      <w:pPr>
        <w:spacing w:before="100" w:beforeAutospacing="1" w:after="100" w:afterAutospacing="1"/>
        <w:rPr>
          <w:rFonts w:ascii="Times New Roman" w:eastAsia="Times New Roman" w:hAnsi="Times New Roman" w:cs="Times New Roman"/>
          <w:snapToGrid w:val="0"/>
          <w:sz w:val="24"/>
          <w:szCs w:val="24"/>
          <w:lang w:eastAsia="en-AU"/>
        </w:rPr>
      </w:pPr>
      <w:r>
        <w:rPr>
          <w:rFonts w:ascii="Times New Roman" w:eastAsia="Times New Roman" w:hAnsi="Times New Roman" w:cs="Times New Roman"/>
          <w:snapToGrid w:val="0"/>
          <w:sz w:val="24"/>
          <w:szCs w:val="24"/>
          <w:lang w:eastAsia="en-AU"/>
        </w:rPr>
        <w:t xml:space="preserve">In addition to the above consultation, </w:t>
      </w:r>
      <w:r w:rsidR="008E298E" w:rsidRPr="006E787D">
        <w:rPr>
          <w:rFonts w:ascii="Times New Roman" w:eastAsia="Times New Roman" w:hAnsi="Times New Roman" w:cs="Times New Roman"/>
          <w:snapToGrid w:val="0"/>
          <w:sz w:val="24"/>
          <w:szCs w:val="24"/>
          <w:lang w:eastAsia="en-AU"/>
        </w:rPr>
        <w:t xml:space="preserve">advice </w:t>
      </w:r>
      <w:r w:rsidR="00D71DFE" w:rsidRPr="006E787D">
        <w:rPr>
          <w:rFonts w:ascii="Times New Roman" w:eastAsia="Times New Roman" w:hAnsi="Times New Roman" w:cs="Times New Roman"/>
          <w:snapToGrid w:val="0"/>
          <w:sz w:val="24"/>
          <w:szCs w:val="24"/>
          <w:lang w:eastAsia="en-AU"/>
        </w:rPr>
        <w:t xml:space="preserve">on the issue </w:t>
      </w:r>
      <w:r>
        <w:rPr>
          <w:rFonts w:ascii="Times New Roman" w:eastAsia="Times New Roman" w:hAnsi="Times New Roman" w:cs="Times New Roman"/>
          <w:snapToGrid w:val="0"/>
          <w:sz w:val="24"/>
          <w:szCs w:val="24"/>
          <w:lang w:eastAsia="en-AU"/>
        </w:rPr>
        <w:t xml:space="preserve">was also sought </w:t>
      </w:r>
      <w:r w:rsidR="008E298E" w:rsidRPr="006E787D">
        <w:rPr>
          <w:rFonts w:ascii="Times New Roman" w:eastAsia="Times New Roman" w:hAnsi="Times New Roman" w:cs="Times New Roman"/>
          <w:snapToGrid w:val="0"/>
          <w:sz w:val="24"/>
          <w:szCs w:val="24"/>
          <w:lang w:eastAsia="en-AU"/>
        </w:rPr>
        <w:t xml:space="preserve">from the Advisory Committee for Complementary Medicines </w:t>
      </w:r>
      <w:r w:rsidR="00050B0F" w:rsidRPr="006E787D">
        <w:rPr>
          <w:rFonts w:ascii="Times New Roman" w:eastAsia="Times New Roman" w:hAnsi="Times New Roman" w:cs="Times New Roman"/>
          <w:snapToGrid w:val="0"/>
          <w:sz w:val="24"/>
          <w:szCs w:val="24"/>
          <w:lang w:eastAsia="en-AU"/>
        </w:rPr>
        <w:t xml:space="preserve">(ACCM) </w:t>
      </w:r>
      <w:r w:rsidR="008E298E" w:rsidRPr="006E787D">
        <w:rPr>
          <w:rFonts w:ascii="Times New Roman" w:eastAsia="Times New Roman" w:hAnsi="Times New Roman" w:cs="Times New Roman"/>
          <w:snapToGrid w:val="0"/>
          <w:sz w:val="24"/>
          <w:szCs w:val="24"/>
          <w:lang w:eastAsia="en-AU"/>
        </w:rPr>
        <w:t>in November 2018</w:t>
      </w:r>
      <w:r w:rsidR="00522A66">
        <w:rPr>
          <w:rFonts w:ascii="Times New Roman" w:eastAsia="Times New Roman" w:hAnsi="Times New Roman" w:cs="Times New Roman"/>
          <w:snapToGrid w:val="0"/>
          <w:sz w:val="24"/>
          <w:szCs w:val="24"/>
          <w:lang w:eastAsia="en-AU"/>
        </w:rPr>
        <w:t xml:space="preserve"> r</w:t>
      </w:r>
      <w:r w:rsidR="00CE49AE">
        <w:rPr>
          <w:rFonts w:ascii="Times New Roman" w:eastAsia="Times New Roman" w:hAnsi="Times New Roman" w:cs="Times New Roman"/>
          <w:snapToGrid w:val="0"/>
          <w:sz w:val="24"/>
          <w:szCs w:val="24"/>
          <w:lang w:eastAsia="en-AU"/>
        </w:rPr>
        <w:t>egarding requirements for caffeine in listed medicines</w:t>
      </w:r>
      <w:r w:rsidR="00522A66">
        <w:rPr>
          <w:rFonts w:ascii="Times New Roman" w:eastAsia="Times New Roman" w:hAnsi="Times New Roman" w:cs="Times New Roman"/>
          <w:snapToGrid w:val="0"/>
          <w:sz w:val="24"/>
          <w:szCs w:val="24"/>
          <w:lang w:eastAsia="en-AU"/>
        </w:rPr>
        <w:t xml:space="preserve">. </w:t>
      </w:r>
      <w:r w:rsidR="00072A36">
        <w:rPr>
          <w:rFonts w:ascii="Times New Roman" w:eastAsia="Times New Roman" w:hAnsi="Times New Roman" w:cs="Times New Roman"/>
          <w:snapToGrid w:val="0"/>
          <w:sz w:val="24"/>
          <w:szCs w:val="24"/>
          <w:lang w:eastAsia="en-AU"/>
        </w:rPr>
        <w:t>That advice</w:t>
      </w:r>
      <w:r w:rsidR="00E06731">
        <w:rPr>
          <w:rFonts w:ascii="Times New Roman" w:eastAsia="Times New Roman" w:hAnsi="Times New Roman" w:cs="Times New Roman"/>
          <w:snapToGrid w:val="0"/>
          <w:sz w:val="24"/>
          <w:szCs w:val="24"/>
          <w:lang w:eastAsia="en-AU"/>
        </w:rPr>
        <w:t xml:space="preserve"> </w:t>
      </w:r>
      <w:r w:rsidR="00CE49AE">
        <w:rPr>
          <w:rFonts w:ascii="Times New Roman" w:eastAsia="Times New Roman" w:hAnsi="Times New Roman" w:cs="Times New Roman"/>
          <w:snapToGrid w:val="0"/>
          <w:sz w:val="24"/>
          <w:szCs w:val="24"/>
          <w:lang w:eastAsia="en-AU"/>
        </w:rPr>
        <w:t xml:space="preserve">to the Delegate of the Minister of Health </w:t>
      </w:r>
      <w:r w:rsidR="00E06731">
        <w:rPr>
          <w:rFonts w:ascii="Times New Roman" w:eastAsia="Times New Roman" w:hAnsi="Times New Roman" w:cs="Times New Roman"/>
          <w:snapToGrid w:val="0"/>
          <w:sz w:val="24"/>
          <w:szCs w:val="24"/>
          <w:lang w:eastAsia="en-AU"/>
        </w:rPr>
        <w:t xml:space="preserve">was </w:t>
      </w:r>
      <w:r w:rsidR="00072A36">
        <w:rPr>
          <w:rFonts w:ascii="Times New Roman" w:eastAsia="Times New Roman" w:hAnsi="Times New Roman" w:cs="Times New Roman"/>
          <w:snapToGrid w:val="0"/>
          <w:sz w:val="24"/>
          <w:szCs w:val="24"/>
          <w:lang w:eastAsia="en-AU"/>
        </w:rPr>
        <w:t xml:space="preserve">also </w:t>
      </w:r>
      <w:r w:rsidR="00E06731">
        <w:rPr>
          <w:rFonts w:ascii="Times New Roman" w:eastAsia="Times New Roman" w:hAnsi="Times New Roman" w:cs="Times New Roman"/>
          <w:snapToGrid w:val="0"/>
          <w:sz w:val="24"/>
          <w:szCs w:val="24"/>
          <w:lang w:eastAsia="en-AU"/>
        </w:rPr>
        <w:t>considered in</w:t>
      </w:r>
      <w:r w:rsidR="003A3E75">
        <w:rPr>
          <w:rFonts w:ascii="Times New Roman" w:eastAsia="Times New Roman" w:hAnsi="Times New Roman" w:cs="Times New Roman"/>
          <w:snapToGrid w:val="0"/>
          <w:sz w:val="24"/>
          <w:szCs w:val="24"/>
          <w:lang w:eastAsia="en-AU"/>
        </w:rPr>
        <w:t xml:space="preserve"> developing</w:t>
      </w:r>
      <w:r>
        <w:rPr>
          <w:rFonts w:ascii="Times New Roman" w:eastAsia="Times New Roman" w:hAnsi="Times New Roman" w:cs="Times New Roman"/>
          <w:snapToGrid w:val="0"/>
          <w:sz w:val="24"/>
          <w:szCs w:val="24"/>
          <w:lang w:eastAsia="en-AU"/>
        </w:rPr>
        <w:t xml:space="preserve"> the Amendment Determination</w:t>
      </w:r>
      <w:r w:rsidR="00050B0F" w:rsidRPr="006E787D">
        <w:rPr>
          <w:rFonts w:ascii="Times New Roman" w:eastAsia="Times New Roman" w:hAnsi="Times New Roman" w:cs="Times New Roman"/>
          <w:snapToGrid w:val="0"/>
          <w:sz w:val="24"/>
          <w:szCs w:val="24"/>
          <w:lang w:eastAsia="en-AU"/>
        </w:rPr>
        <w:t>.</w:t>
      </w:r>
    </w:p>
    <w:p w:rsidR="004325B5" w:rsidRPr="004325B5" w:rsidRDefault="00E87D5E">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Office of Best Practice Regulation (OBPR) advised that a regulation impact statement was not required for the </w:t>
      </w:r>
      <w:r w:rsidR="003A3E75">
        <w:rPr>
          <w:rFonts w:ascii="Times New Roman" w:eastAsia="Times New Roman" w:hAnsi="Times New Roman" w:cs="Times New Roman"/>
          <w:sz w:val="24"/>
          <w:szCs w:val="24"/>
          <w:lang w:eastAsia="en-AU"/>
        </w:rPr>
        <w:t xml:space="preserve">provisions related to caffeine within the </w:t>
      </w:r>
      <w:r>
        <w:rPr>
          <w:rFonts w:ascii="Times New Roman" w:eastAsia="Times New Roman" w:hAnsi="Times New Roman" w:cs="Times New Roman"/>
          <w:sz w:val="24"/>
          <w:szCs w:val="24"/>
          <w:lang w:eastAsia="en-AU"/>
        </w:rPr>
        <w:t>Amendment Determination (OBPR reference 25406)</w:t>
      </w:r>
      <w:r w:rsidR="00622033">
        <w:rPr>
          <w:rFonts w:ascii="Times New Roman" w:hAnsi="Times New Roman" w:cs="Times New Roman"/>
          <w:sz w:val="24"/>
          <w:szCs w:val="24"/>
        </w:rPr>
        <w:t>.</w:t>
      </w:r>
    </w:p>
    <w:p w:rsidR="0029115B" w:rsidRDefault="0029115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Details of the Amendment Determination are set out in </w:t>
      </w:r>
      <w:r w:rsidRPr="0029115B">
        <w:rPr>
          <w:rFonts w:ascii="Times New Roman" w:eastAsia="Times New Roman" w:hAnsi="Times New Roman" w:cs="Times New Roman"/>
          <w:b/>
          <w:sz w:val="24"/>
          <w:szCs w:val="24"/>
          <w:lang w:eastAsia="en-AU"/>
        </w:rPr>
        <w:t>Attachment A</w:t>
      </w:r>
      <w:r>
        <w:rPr>
          <w:rFonts w:ascii="Times New Roman" w:eastAsia="Times New Roman" w:hAnsi="Times New Roman" w:cs="Times New Roman"/>
          <w:sz w:val="24"/>
          <w:szCs w:val="24"/>
          <w:lang w:eastAsia="en-AU"/>
        </w:rPr>
        <w:t>.</w:t>
      </w:r>
    </w:p>
    <w:p w:rsidR="00EF1F18" w:rsidRPr="00B028DC" w:rsidRDefault="0029115B">
      <w:pPr>
        <w:spacing w:before="100" w:beforeAutospacing="1" w:after="100" w:afterAutospacing="1"/>
        <w:rPr>
          <w:rFonts w:ascii="Times New Roman" w:eastAsia="Times New Roman" w:hAnsi="Times New Roman" w:cs="Times New Roman"/>
          <w:sz w:val="24"/>
          <w:szCs w:val="24"/>
          <w:lang w:val="en-US" w:eastAsia="en-AU"/>
        </w:rPr>
      </w:pPr>
      <w:r>
        <w:rPr>
          <w:rFonts w:ascii="Times New Roman" w:eastAsia="Times New Roman" w:hAnsi="Times New Roman" w:cs="Times New Roman"/>
          <w:sz w:val="24"/>
          <w:szCs w:val="24"/>
          <w:lang w:eastAsia="en-AU"/>
        </w:rPr>
        <w:t xml:space="preserve">The Amendment Determination </w:t>
      </w:r>
      <w:r w:rsidR="004325B5" w:rsidRPr="004325B5">
        <w:rPr>
          <w:rFonts w:ascii="Times New Roman" w:eastAsia="Times New Roman" w:hAnsi="Times New Roman" w:cs="Times New Roman"/>
          <w:sz w:val="24"/>
          <w:szCs w:val="24"/>
          <w:lang w:eastAsia="en-AU"/>
        </w:rPr>
        <w:t xml:space="preserve">is compatible with the human rights and freedoms recognised or declared </w:t>
      </w:r>
      <w:r>
        <w:rPr>
          <w:rFonts w:ascii="Times New Roman" w:eastAsia="Times New Roman" w:hAnsi="Times New Roman" w:cs="Times New Roman"/>
          <w:sz w:val="24"/>
          <w:szCs w:val="24"/>
          <w:lang w:eastAsia="en-AU"/>
        </w:rPr>
        <w:t>under</w:t>
      </w:r>
      <w:r w:rsidR="004325B5" w:rsidRPr="004325B5">
        <w:rPr>
          <w:rFonts w:ascii="Times New Roman" w:eastAsia="Times New Roman" w:hAnsi="Times New Roman" w:cs="Times New Roman"/>
          <w:sz w:val="24"/>
          <w:szCs w:val="24"/>
          <w:lang w:eastAsia="en-AU"/>
        </w:rPr>
        <w:t xml:space="preserve"> section 3 of the </w:t>
      </w:r>
      <w:r w:rsidR="004325B5" w:rsidRPr="002D67DA">
        <w:rPr>
          <w:rFonts w:ascii="Times New Roman" w:eastAsia="Times New Roman" w:hAnsi="Times New Roman" w:cs="Times New Roman"/>
          <w:i/>
          <w:sz w:val="24"/>
          <w:szCs w:val="24"/>
          <w:lang w:eastAsia="en-AU"/>
        </w:rPr>
        <w:t>Human Rights (Parliamentary Scrutiny) Act 2011</w:t>
      </w:r>
      <w:r>
        <w:rPr>
          <w:rFonts w:ascii="Times New Roman" w:eastAsia="Times New Roman" w:hAnsi="Times New Roman" w:cs="Times New Roman"/>
          <w:sz w:val="24"/>
          <w:szCs w:val="24"/>
          <w:lang w:eastAsia="en-AU"/>
        </w:rPr>
        <w:t>.  A full</w:t>
      </w:r>
      <w:r w:rsidR="004325B5" w:rsidRPr="004325B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s</w:t>
      </w:r>
      <w:r w:rsidR="004325B5" w:rsidRPr="004325B5">
        <w:rPr>
          <w:rFonts w:ascii="Times New Roman" w:eastAsia="Times New Roman" w:hAnsi="Times New Roman" w:cs="Times New Roman"/>
          <w:sz w:val="24"/>
          <w:szCs w:val="24"/>
          <w:lang w:eastAsia="en-AU"/>
        </w:rPr>
        <w:t xml:space="preserve">tatement of </w:t>
      </w:r>
      <w:r>
        <w:rPr>
          <w:rFonts w:ascii="Times New Roman" w:eastAsia="Times New Roman" w:hAnsi="Times New Roman" w:cs="Times New Roman"/>
          <w:sz w:val="24"/>
          <w:szCs w:val="24"/>
          <w:lang w:eastAsia="en-AU"/>
        </w:rPr>
        <w:t>c</w:t>
      </w:r>
      <w:r w:rsidR="004325B5" w:rsidRPr="004325B5">
        <w:rPr>
          <w:rFonts w:ascii="Times New Roman" w:eastAsia="Times New Roman" w:hAnsi="Times New Roman" w:cs="Times New Roman"/>
          <w:sz w:val="24"/>
          <w:szCs w:val="24"/>
          <w:lang w:eastAsia="en-AU"/>
        </w:rPr>
        <w:t xml:space="preserve">ompatibility </w:t>
      </w:r>
      <w:r>
        <w:rPr>
          <w:rFonts w:ascii="Times New Roman" w:eastAsia="Times New Roman" w:hAnsi="Times New Roman" w:cs="Times New Roman"/>
          <w:sz w:val="24"/>
          <w:szCs w:val="24"/>
          <w:lang w:eastAsia="en-AU"/>
        </w:rPr>
        <w:t xml:space="preserve">is set </w:t>
      </w:r>
      <w:r w:rsidR="004325B5" w:rsidRPr="004325B5">
        <w:rPr>
          <w:rFonts w:ascii="Times New Roman" w:eastAsia="Times New Roman" w:hAnsi="Times New Roman" w:cs="Times New Roman"/>
          <w:sz w:val="24"/>
          <w:szCs w:val="24"/>
          <w:lang w:eastAsia="en-AU"/>
        </w:rPr>
        <w:t xml:space="preserve">out in </w:t>
      </w:r>
      <w:r w:rsidRPr="0029115B">
        <w:rPr>
          <w:rFonts w:ascii="Times New Roman" w:eastAsia="Times New Roman" w:hAnsi="Times New Roman" w:cs="Times New Roman"/>
          <w:b/>
          <w:sz w:val="24"/>
          <w:szCs w:val="24"/>
          <w:lang w:eastAsia="en-AU"/>
        </w:rPr>
        <w:t>Attachment B</w:t>
      </w:r>
      <w:r w:rsidR="004325B5" w:rsidRPr="004325B5">
        <w:rPr>
          <w:rFonts w:ascii="Times New Roman" w:eastAsia="Times New Roman" w:hAnsi="Times New Roman" w:cs="Times New Roman"/>
          <w:sz w:val="24"/>
          <w:szCs w:val="24"/>
          <w:lang w:eastAsia="en-AU"/>
        </w:rPr>
        <w:t>.</w:t>
      </w:r>
    </w:p>
    <w:p w:rsidR="0040312B" w:rsidRDefault="0029115B" w:rsidP="0029115B">
      <w:pPr>
        <w:spacing w:before="100" w:beforeAutospacing="1" w:after="100" w:afterAutospacing="1"/>
        <w:rPr>
          <w:rFonts w:ascii="Times New Roman" w:eastAsia="Times New Roman" w:hAnsi="Times New Roman" w:cs="Times New Roman"/>
          <w:sz w:val="24"/>
          <w:szCs w:val="24"/>
          <w:lang w:eastAsia="en-AU"/>
        </w:rPr>
      </w:pPr>
      <w:r w:rsidRPr="004325B5">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Amendment </w:t>
      </w:r>
      <w:r w:rsidRPr="004325B5">
        <w:rPr>
          <w:rFonts w:ascii="Times New Roman" w:eastAsia="Times New Roman" w:hAnsi="Times New Roman" w:cs="Times New Roman"/>
          <w:sz w:val="24"/>
          <w:szCs w:val="24"/>
          <w:lang w:eastAsia="en-AU"/>
        </w:rPr>
        <w:t xml:space="preserve">Determination is a </w:t>
      </w:r>
      <w:r>
        <w:rPr>
          <w:rFonts w:ascii="Times New Roman" w:eastAsia="Times New Roman" w:hAnsi="Times New Roman" w:cs="Times New Roman"/>
          <w:sz w:val="24"/>
          <w:szCs w:val="24"/>
          <w:lang w:eastAsia="en-AU"/>
        </w:rPr>
        <w:t xml:space="preserve">disallowable </w:t>
      </w:r>
      <w:r w:rsidRPr="004325B5">
        <w:rPr>
          <w:rFonts w:ascii="Times New Roman" w:eastAsia="Times New Roman" w:hAnsi="Times New Roman" w:cs="Times New Roman"/>
          <w:sz w:val="24"/>
          <w:szCs w:val="24"/>
          <w:lang w:eastAsia="en-AU"/>
        </w:rPr>
        <w:t xml:space="preserve">legislative instrument for the purposes of the </w:t>
      </w:r>
      <w:r w:rsidRPr="002D67DA">
        <w:rPr>
          <w:rFonts w:ascii="Times New Roman" w:eastAsia="Times New Roman" w:hAnsi="Times New Roman" w:cs="Times New Roman"/>
          <w:i/>
          <w:sz w:val="24"/>
          <w:szCs w:val="24"/>
          <w:lang w:eastAsia="en-AU"/>
        </w:rPr>
        <w:t>Legislation Act 2003</w:t>
      </w:r>
      <w:r>
        <w:rPr>
          <w:rFonts w:ascii="Times New Roman" w:eastAsia="Times New Roman" w:hAnsi="Times New Roman" w:cs="Times New Roman"/>
          <w:sz w:val="24"/>
          <w:szCs w:val="24"/>
          <w:lang w:eastAsia="en-AU"/>
        </w:rPr>
        <w:t>, and commences</w:t>
      </w:r>
      <w:r w:rsidR="00C92827">
        <w:rPr>
          <w:rFonts w:ascii="Times New Roman" w:eastAsia="Times New Roman" w:hAnsi="Times New Roman" w:cs="Times New Roman"/>
          <w:sz w:val="24"/>
          <w:szCs w:val="24"/>
          <w:lang w:eastAsia="en-AU"/>
        </w:rPr>
        <w:t xml:space="preserve"> on</w:t>
      </w:r>
      <w:r>
        <w:rPr>
          <w:rFonts w:ascii="Times New Roman" w:eastAsia="Times New Roman" w:hAnsi="Times New Roman" w:cs="Times New Roman"/>
          <w:sz w:val="24"/>
          <w:szCs w:val="24"/>
          <w:lang w:eastAsia="en-AU"/>
        </w:rPr>
        <w:t xml:space="preserve"> </w:t>
      </w:r>
      <w:r w:rsidR="00D450ED">
        <w:rPr>
          <w:rFonts w:ascii="Times New Roman" w:eastAsia="Times New Roman" w:hAnsi="Times New Roman" w:cs="Times New Roman"/>
          <w:sz w:val="24"/>
          <w:szCs w:val="24"/>
          <w:lang w:eastAsia="en-AU"/>
        </w:rPr>
        <w:t>2 September 2019</w:t>
      </w:r>
      <w:r w:rsidRPr="004325B5">
        <w:rPr>
          <w:rFonts w:ascii="Times New Roman" w:eastAsia="Times New Roman" w:hAnsi="Times New Roman" w:cs="Times New Roman"/>
          <w:sz w:val="24"/>
          <w:szCs w:val="24"/>
          <w:lang w:eastAsia="en-AU"/>
        </w:rPr>
        <w:t>.</w:t>
      </w:r>
    </w:p>
    <w:p w:rsidR="0040312B" w:rsidRDefault="0040312B">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29115B" w:rsidRDefault="0040312B" w:rsidP="0040312B">
      <w:pPr>
        <w:spacing w:before="100" w:beforeAutospacing="1" w:after="100" w:afterAutospacing="1"/>
        <w:jc w:val="right"/>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lastRenderedPageBreak/>
        <w:t>Attachment A</w:t>
      </w:r>
    </w:p>
    <w:p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 xml:space="preserve">Therapeutic Goods Amendment (Permissible Ingredients) Determination </w:t>
      </w:r>
      <w:r w:rsidR="00045C71">
        <w:rPr>
          <w:rFonts w:ascii="Times New Roman" w:eastAsia="Times New Roman" w:hAnsi="Times New Roman" w:cs="Times New Roman"/>
          <w:b/>
          <w:i/>
          <w:sz w:val="24"/>
          <w:szCs w:val="24"/>
          <w:lang w:eastAsia="en-AU"/>
        </w:rPr>
        <w:t>(No.</w:t>
      </w:r>
      <w:r w:rsidR="00C92827">
        <w:rPr>
          <w:rFonts w:ascii="Times New Roman" w:eastAsia="Times New Roman" w:hAnsi="Times New Roman" w:cs="Times New Roman"/>
          <w:b/>
          <w:i/>
          <w:sz w:val="24"/>
          <w:szCs w:val="24"/>
          <w:lang w:eastAsia="en-AU"/>
        </w:rPr>
        <w:t xml:space="preserve"> </w:t>
      </w:r>
      <w:r w:rsidR="00045C71">
        <w:rPr>
          <w:rFonts w:ascii="Times New Roman" w:eastAsia="Times New Roman" w:hAnsi="Times New Roman" w:cs="Times New Roman"/>
          <w:b/>
          <w:i/>
          <w:sz w:val="24"/>
          <w:szCs w:val="24"/>
          <w:lang w:eastAsia="en-AU"/>
        </w:rPr>
        <w:t xml:space="preserve">1) </w:t>
      </w:r>
      <w:r w:rsidRPr="0040312B">
        <w:rPr>
          <w:rFonts w:ascii="Times New Roman" w:eastAsia="Times New Roman" w:hAnsi="Times New Roman" w:cs="Times New Roman"/>
          <w:b/>
          <w:i/>
          <w:sz w:val="24"/>
          <w:szCs w:val="24"/>
          <w:lang w:eastAsia="en-AU"/>
        </w:rPr>
        <w:t>2019</w:t>
      </w:r>
    </w:p>
    <w:p w:rsid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1 Name</w:t>
      </w:r>
    </w:p>
    <w:p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name of the </w:t>
      </w:r>
      <w:r w:rsidR="00C92827">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the </w:t>
      </w:r>
      <w:r w:rsidRPr="00AE2E87">
        <w:rPr>
          <w:rFonts w:ascii="Times New Roman" w:eastAsia="Times New Roman" w:hAnsi="Times New Roman" w:cs="Times New Roman"/>
          <w:i/>
          <w:sz w:val="24"/>
          <w:szCs w:val="24"/>
          <w:lang w:eastAsia="en-AU"/>
        </w:rPr>
        <w:t xml:space="preserve">Therapeutic Goods Amendment (Permissible Ingredients) Determination </w:t>
      </w:r>
      <w:r w:rsidR="00045C71">
        <w:rPr>
          <w:rFonts w:ascii="Times New Roman" w:eastAsia="Times New Roman" w:hAnsi="Times New Roman" w:cs="Times New Roman"/>
          <w:i/>
          <w:sz w:val="24"/>
          <w:szCs w:val="24"/>
          <w:lang w:eastAsia="en-AU"/>
        </w:rPr>
        <w:t>(No.</w:t>
      </w:r>
      <w:r w:rsidR="00C92827">
        <w:rPr>
          <w:rFonts w:ascii="Times New Roman" w:eastAsia="Times New Roman" w:hAnsi="Times New Roman" w:cs="Times New Roman"/>
          <w:i/>
          <w:sz w:val="24"/>
          <w:szCs w:val="24"/>
          <w:lang w:eastAsia="en-AU"/>
        </w:rPr>
        <w:t xml:space="preserve"> </w:t>
      </w:r>
      <w:r w:rsidR="00045C71">
        <w:rPr>
          <w:rFonts w:ascii="Times New Roman" w:eastAsia="Times New Roman" w:hAnsi="Times New Roman" w:cs="Times New Roman"/>
          <w:i/>
          <w:sz w:val="24"/>
          <w:szCs w:val="24"/>
          <w:lang w:eastAsia="en-AU"/>
        </w:rPr>
        <w:t xml:space="preserve">1) </w:t>
      </w:r>
      <w:r w:rsidRPr="00AE2E87">
        <w:rPr>
          <w:rFonts w:ascii="Times New Roman" w:eastAsia="Times New Roman" w:hAnsi="Times New Roman" w:cs="Times New Roman"/>
          <w:i/>
          <w:sz w:val="24"/>
          <w:szCs w:val="24"/>
          <w:lang w:eastAsia="en-AU"/>
        </w:rPr>
        <w:t>2019</w:t>
      </w:r>
      <w:r w:rsidR="00AE2E87">
        <w:rPr>
          <w:rFonts w:ascii="Times New Roman" w:eastAsia="Times New Roman" w:hAnsi="Times New Roman" w:cs="Times New Roman"/>
          <w:sz w:val="24"/>
          <w:szCs w:val="24"/>
          <w:lang w:eastAsia="en-AU"/>
        </w:rPr>
        <w:t xml:space="preserve"> (“the Amendment Determination”)</w:t>
      </w:r>
      <w:r>
        <w:rPr>
          <w:rFonts w:ascii="Times New Roman" w:eastAsia="Times New Roman" w:hAnsi="Times New Roman" w:cs="Times New Roman"/>
          <w:sz w:val="24"/>
          <w:szCs w:val="24"/>
          <w:lang w:eastAsia="en-AU"/>
        </w:rPr>
        <w:t>.</w:t>
      </w:r>
    </w:p>
    <w:p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 Commencement</w:t>
      </w:r>
    </w:p>
    <w:p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Amendment Determination commences on </w:t>
      </w:r>
      <w:r w:rsidR="00D450ED">
        <w:rPr>
          <w:rFonts w:ascii="Times New Roman" w:eastAsia="Times New Roman" w:hAnsi="Times New Roman" w:cs="Times New Roman"/>
          <w:sz w:val="24"/>
          <w:szCs w:val="24"/>
          <w:lang w:eastAsia="en-AU"/>
        </w:rPr>
        <w:t>2 September 2019</w:t>
      </w:r>
      <w:r>
        <w:rPr>
          <w:rFonts w:ascii="Times New Roman" w:eastAsia="Times New Roman" w:hAnsi="Times New Roman" w:cs="Times New Roman"/>
          <w:sz w:val="24"/>
          <w:szCs w:val="24"/>
          <w:lang w:eastAsia="en-AU"/>
        </w:rPr>
        <w:t>.</w:t>
      </w:r>
    </w:p>
    <w:p w:rsidR="0040312B" w:rsidRPr="0040312B"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3 Authority</w:t>
      </w:r>
    </w:p>
    <w:p w:rsidR="0040312B" w:rsidRDefault="0040312B" w:rsidP="0040312B">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the legislative authority for making the Amendment Determination is section 26BC of the</w:t>
      </w:r>
      <w:r w:rsidR="00C92827">
        <w:rPr>
          <w:rFonts w:ascii="Times New Roman" w:eastAsia="Times New Roman" w:hAnsi="Times New Roman" w:cs="Times New Roman"/>
          <w:sz w:val="24"/>
          <w:szCs w:val="24"/>
          <w:lang w:eastAsia="en-AU"/>
        </w:rPr>
        <w:t xml:space="preserve"> </w:t>
      </w:r>
      <w:r w:rsidR="00C92827" w:rsidRPr="00AC41A5">
        <w:rPr>
          <w:rFonts w:ascii="Times New Roman" w:eastAsia="Times New Roman" w:hAnsi="Times New Roman" w:cs="Times New Roman"/>
          <w:i/>
          <w:sz w:val="24"/>
          <w:szCs w:val="24"/>
          <w:lang w:eastAsia="en-AU"/>
        </w:rPr>
        <w:t>Therapeutic Goods Act 1989</w:t>
      </w:r>
      <w:r w:rsidR="00C92827">
        <w:rPr>
          <w:rFonts w:ascii="Times New Roman" w:eastAsia="Times New Roman" w:hAnsi="Times New Roman" w:cs="Times New Roman"/>
          <w:sz w:val="24"/>
          <w:szCs w:val="24"/>
          <w:lang w:eastAsia="en-AU"/>
        </w:rPr>
        <w:t xml:space="preserve"> (“the</w:t>
      </w:r>
      <w:r>
        <w:rPr>
          <w:rFonts w:ascii="Times New Roman" w:eastAsia="Times New Roman" w:hAnsi="Times New Roman" w:cs="Times New Roman"/>
          <w:sz w:val="24"/>
          <w:szCs w:val="24"/>
          <w:lang w:eastAsia="en-AU"/>
        </w:rPr>
        <w:t xml:space="preserve"> Act</w:t>
      </w:r>
      <w:r w:rsidR="00C9282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rsidR="0040312B" w:rsidRPr="00AE2E87" w:rsidRDefault="0040312B" w:rsidP="0040312B">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p>
    <w:p w:rsidR="00AE2E87" w:rsidRDefault="00AE2E87">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section provides that each instrument that is specified in a Schedule to the Amendment Determination is amended or repealed as set out in the applicable items in the Schedule concerned, and that any other item in a Schedule to the instrument has effect according to its terms.</w:t>
      </w:r>
    </w:p>
    <w:p w:rsidR="00AE2E87" w:rsidRDefault="00AE2E87">
      <w:pPr>
        <w:spacing w:before="100" w:beforeAutospacing="1" w:after="100" w:afterAutospacing="1"/>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 xml:space="preserve">Schedule 1 </w:t>
      </w:r>
      <w:r>
        <w:rPr>
          <w:rFonts w:ascii="Times New Roman" w:eastAsia="Times New Roman" w:hAnsi="Times New Roman" w:cs="Times New Roman"/>
          <w:b/>
          <w:sz w:val="24"/>
          <w:szCs w:val="24"/>
          <w:lang w:eastAsia="en-AU"/>
        </w:rPr>
        <w:t>–</w:t>
      </w:r>
      <w:r w:rsidRPr="00AE2E87">
        <w:rPr>
          <w:rFonts w:ascii="Times New Roman" w:eastAsia="Times New Roman" w:hAnsi="Times New Roman" w:cs="Times New Roman"/>
          <w:b/>
          <w:sz w:val="24"/>
          <w:szCs w:val="24"/>
          <w:lang w:eastAsia="en-AU"/>
        </w:rPr>
        <w:t xml:space="preserve"> Amendments</w:t>
      </w:r>
    </w:p>
    <w:p w:rsidR="00045C71" w:rsidRDefault="00AE2E87" w:rsidP="005F1175">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Schedule amends the </w:t>
      </w:r>
      <w:r w:rsidRPr="00AE2E87">
        <w:rPr>
          <w:rFonts w:ascii="Times New Roman" w:eastAsia="Times New Roman" w:hAnsi="Times New Roman" w:cs="Times New Roman"/>
          <w:i/>
          <w:sz w:val="24"/>
          <w:szCs w:val="24"/>
          <w:lang w:eastAsia="en-AU"/>
        </w:rPr>
        <w:t>Therapeutic Goods (Permissible Ingredients) Determination (No.</w:t>
      </w:r>
      <w:r w:rsidR="00C92827">
        <w:rPr>
          <w:rFonts w:ascii="Times New Roman" w:eastAsia="Times New Roman" w:hAnsi="Times New Roman" w:cs="Times New Roman"/>
          <w:i/>
          <w:sz w:val="24"/>
          <w:szCs w:val="24"/>
          <w:lang w:eastAsia="en-AU"/>
        </w:rPr>
        <w:t> </w:t>
      </w:r>
      <w:r w:rsidRPr="00AE2E87">
        <w:rPr>
          <w:rFonts w:ascii="Times New Roman" w:eastAsia="Times New Roman" w:hAnsi="Times New Roman" w:cs="Times New Roman"/>
          <w:i/>
          <w:sz w:val="24"/>
          <w:szCs w:val="24"/>
          <w:lang w:eastAsia="en-AU"/>
        </w:rPr>
        <w:t>2) 2019</w:t>
      </w:r>
      <w:r>
        <w:rPr>
          <w:rFonts w:ascii="Times New Roman" w:eastAsia="Times New Roman" w:hAnsi="Times New Roman" w:cs="Times New Roman"/>
          <w:sz w:val="24"/>
          <w:szCs w:val="24"/>
          <w:lang w:eastAsia="en-AU"/>
        </w:rPr>
        <w:t xml:space="preserve"> (“the Principal Determination”), to repeal and substitute the entry in the Principal Determination for caffeine, and a number of other entries in the Principal Determination </w:t>
      </w:r>
      <w:r w:rsidR="00045C71">
        <w:rPr>
          <w:rFonts w:ascii="Times New Roman" w:eastAsia="Times New Roman" w:hAnsi="Times New Roman" w:cs="Times New Roman"/>
          <w:sz w:val="24"/>
          <w:szCs w:val="24"/>
          <w:lang w:eastAsia="en-AU"/>
        </w:rPr>
        <w:t xml:space="preserve">for other ingredients </w:t>
      </w:r>
      <w:r w:rsidR="005F1175">
        <w:rPr>
          <w:rFonts w:ascii="Times New Roman" w:eastAsia="Times New Roman" w:hAnsi="Times New Roman" w:cs="Times New Roman"/>
          <w:sz w:val="24"/>
          <w:szCs w:val="24"/>
          <w:lang w:eastAsia="en-AU"/>
        </w:rPr>
        <w:t>that contain the chemical caffeine as a component</w:t>
      </w:r>
      <w:r w:rsidR="00045C71">
        <w:rPr>
          <w:rFonts w:ascii="Times New Roman" w:eastAsia="Times New Roman" w:hAnsi="Times New Roman" w:cs="Times New Roman"/>
          <w:sz w:val="24"/>
          <w:szCs w:val="24"/>
          <w:lang w:eastAsia="en-AU"/>
        </w:rPr>
        <w:t xml:space="preserve"> (e.g. camellia </w:t>
      </w:r>
      <w:proofErr w:type="spellStart"/>
      <w:r w:rsidR="00045C71">
        <w:rPr>
          <w:rFonts w:ascii="Times New Roman" w:eastAsia="Times New Roman" w:hAnsi="Times New Roman" w:cs="Times New Roman"/>
          <w:sz w:val="24"/>
          <w:szCs w:val="24"/>
          <w:lang w:eastAsia="en-AU"/>
        </w:rPr>
        <w:t>sinensis</w:t>
      </w:r>
      <w:proofErr w:type="spellEnd"/>
      <w:r w:rsidR="00045C71">
        <w:rPr>
          <w:rFonts w:ascii="Times New Roman" w:eastAsia="Times New Roman" w:hAnsi="Times New Roman" w:cs="Times New Roman"/>
          <w:sz w:val="24"/>
          <w:szCs w:val="24"/>
          <w:lang w:eastAsia="en-AU"/>
        </w:rPr>
        <w:t>).</w:t>
      </w:r>
    </w:p>
    <w:p w:rsidR="00AD01A3" w:rsidRDefault="00045C71" w:rsidP="00AD01A3">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principal effect of these amendments is to replace the requirements that applied under the Principal Determination in relation to the use of caffeine and the other specified ingredients with revised requirements that are designed in particular to address the risks of unintentional caffeine overdose.</w:t>
      </w:r>
    </w:p>
    <w:p w:rsidR="00AD01A3" w:rsidRDefault="005F2423" w:rsidP="00AD01A3">
      <w:pPr>
        <w:spacing w:before="100" w:beforeAutospacing="1"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amendments in Schedule 1 also </w:t>
      </w:r>
      <w:r w:rsidR="008D3A14">
        <w:rPr>
          <w:rFonts w:ascii="Times New Roman" w:eastAsia="Times New Roman" w:hAnsi="Times New Roman" w:cs="Times New Roman"/>
          <w:sz w:val="24"/>
          <w:szCs w:val="24"/>
          <w:lang w:eastAsia="en-AU"/>
        </w:rPr>
        <w:t>have the effect of introducing</w:t>
      </w:r>
      <w:r>
        <w:rPr>
          <w:rFonts w:ascii="Times New Roman" w:eastAsia="Times New Roman" w:hAnsi="Times New Roman" w:cs="Times New Roman"/>
          <w:sz w:val="24"/>
          <w:szCs w:val="24"/>
          <w:lang w:eastAsia="en-AU"/>
        </w:rPr>
        <w:t xml:space="preserve"> </w:t>
      </w:r>
      <w:r w:rsidR="00AD01A3">
        <w:rPr>
          <w:rFonts w:ascii="Times New Roman" w:eastAsia="Times New Roman" w:hAnsi="Times New Roman" w:cs="Times New Roman"/>
          <w:sz w:val="24"/>
          <w:szCs w:val="24"/>
          <w:lang w:eastAsia="en-AU"/>
        </w:rPr>
        <w:t xml:space="preserve">3 </w:t>
      </w:r>
      <w:r>
        <w:rPr>
          <w:rFonts w:ascii="Times New Roman" w:eastAsia="Times New Roman" w:hAnsi="Times New Roman" w:cs="Times New Roman"/>
          <w:sz w:val="24"/>
          <w:szCs w:val="24"/>
          <w:lang w:eastAsia="en-AU"/>
        </w:rPr>
        <w:t xml:space="preserve">new ingredients </w:t>
      </w:r>
      <w:r w:rsidR="008D3A14">
        <w:rPr>
          <w:rFonts w:ascii="Times New Roman" w:eastAsia="Times New Roman" w:hAnsi="Times New Roman" w:cs="Times New Roman"/>
          <w:sz w:val="24"/>
          <w:szCs w:val="24"/>
          <w:lang w:eastAsia="en-AU"/>
        </w:rPr>
        <w:t xml:space="preserve">- </w:t>
      </w:r>
      <w:r w:rsidR="00AD01A3" w:rsidRPr="00AD01A3">
        <w:rPr>
          <w:rFonts w:ascii="Times New Roman" w:eastAsia="Times New Roman" w:hAnsi="Times New Roman" w:cs="Times New Roman"/>
          <w:sz w:val="24"/>
          <w:szCs w:val="24"/>
          <w:lang w:eastAsia="en-AU"/>
        </w:rPr>
        <w:t>3,7-DIMETHYL-1-OCTEN-3-OL</w:t>
      </w:r>
      <w:r w:rsidR="00AD01A3">
        <w:rPr>
          <w:rFonts w:ascii="Times New Roman" w:eastAsia="Times New Roman" w:hAnsi="Times New Roman" w:cs="Times New Roman"/>
          <w:sz w:val="24"/>
          <w:szCs w:val="24"/>
          <w:lang w:eastAsia="en-AU"/>
        </w:rPr>
        <w:t xml:space="preserve">, </w:t>
      </w:r>
      <w:r w:rsidR="00AD01A3" w:rsidRPr="00AD01A3">
        <w:rPr>
          <w:rFonts w:ascii="Times New Roman" w:eastAsia="Times New Roman" w:hAnsi="Times New Roman" w:cs="Times New Roman"/>
          <w:sz w:val="24"/>
          <w:szCs w:val="24"/>
          <w:lang w:eastAsia="en-AU"/>
        </w:rPr>
        <w:t>B</w:t>
      </w:r>
      <w:r w:rsidR="008D3A14" w:rsidRPr="00AD01A3">
        <w:rPr>
          <w:rFonts w:ascii="Times New Roman" w:eastAsia="Times New Roman" w:hAnsi="Times New Roman" w:cs="Times New Roman"/>
          <w:sz w:val="24"/>
          <w:szCs w:val="24"/>
          <w:lang w:eastAsia="en-AU"/>
        </w:rPr>
        <w:t>acillus</w:t>
      </w:r>
      <w:r w:rsidR="00AD01A3" w:rsidRPr="00AD01A3">
        <w:rPr>
          <w:rFonts w:ascii="Times New Roman" w:eastAsia="Times New Roman" w:hAnsi="Times New Roman" w:cs="Times New Roman"/>
          <w:sz w:val="24"/>
          <w:szCs w:val="24"/>
          <w:lang w:eastAsia="en-AU"/>
        </w:rPr>
        <w:t xml:space="preserve"> </w:t>
      </w:r>
      <w:proofErr w:type="spellStart"/>
      <w:r w:rsidR="00AD01A3" w:rsidRPr="00AD01A3">
        <w:rPr>
          <w:rFonts w:ascii="Times New Roman" w:eastAsia="Times New Roman" w:hAnsi="Times New Roman" w:cs="Times New Roman"/>
          <w:sz w:val="24"/>
          <w:szCs w:val="24"/>
          <w:lang w:eastAsia="en-AU"/>
        </w:rPr>
        <w:t>C</w:t>
      </w:r>
      <w:r w:rsidR="008D3A14" w:rsidRPr="00AD01A3">
        <w:rPr>
          <w:rFonts w:ascii="Times New Roman" w:eastAsia="Times New Roman" w:hAnsi="Times New Roman" w:cs="Times New Roman"/>
          <w:sz w:val="24"/>
          <w:szCs w:val="24"/>
          <w:lang w:eastAsia="en-AU"/>
        </w:rPr>
        <w:t>oagulans</w:t>
      </w:r>
      <w:proofErr w:type="spellEnd"/>
      <w:r w:rsidR="00AD01A3">
        <w:rPr>
          <w:rFonts w:ascii="Times New Roman" w:eastAsia="Times New Roman" w:hAnsi="Times New Roman" w:cs="Times New Roman"/>
          <w:sz w:val="24"/>
          <w:szCs w:val="24"/>
          <w:lang w:eastAsia="en-AU"/>
        </w:rPr>
        <w:t>,</w:t>
      </w:r>
      <w:r w:rsidR="009F1E49">
        <w:rPr>
          <w:rFonts w:ascii="Times New Roman" w:eastAsia="Times New Roman" w:hAnsi="Times New Roman" w:cs="Times New Roman"/>
          <w:sz w:val="24"/>
          <w:szCs w:val="24"/>
          <w:lang w:eastAsia="en-AU"/>
        </w:rPr>
        <w:t xml:space="preserve"> and</w:t>
      </w:r>
      <w:r w:rsidR="00AD01A3">
        <w:rPr>
          <w:rFonts w:ascii="Times New Roman" w:eastAsia="Times New Roman" w:hAnsi="Times New Roman" w:cs="Times New Roman"/>
          <w:sz w:val="24"/>
          <w:szCs w:val="24"/>
          <w:lang w:eastAsia="en-AU"/>
        </w:rPr>
        <w:t xml:space="preserve"> </w:t>
      </w:r>
      <w:r w:rsidR="00AD01A3" w:rsidRPr="00AD01A3">
        <w:rPr>
          <w:rFonts w:ascii="Times New Roman" w:eastAsia="Times New Roman" w:hAnsi="Times New Roman" w:cs="Times New Roman"/>
          <w:sz w:val="24"/>
          <w:szCs w:val="24"/>
          <w:lang w:eastAsia="en-AU"/>
        </w:rPr>
        <w:t>P</w:t>
      </w:r>
      <w:r w:rsidR="008D3A14" w:rsidRPr="00AD01A3">
        <w:rPr>
          <w:rFonts w:ascii="Times New Roman" w:eastAsia="Times New Roman" w:hAnsi="Times New Roman" w:cs="Times New Roman"/>
          <w:sz w:val="24"/>
          <w:szCs w:val="24"/>
          <w:lang w:eastAsia="en-AU"/>
        </w:rPr>
        <w:t>olyglyceryl</w:t>
      </w:r>
      <w:r w:rsidR="00AD01A3" w:rsidRPr="00AD01A3">
        <w:rPr>
          <w:rFonts w:ascii="Times New Roman" w:eastAsia="Times New Roman" w:hAnsi="Times New Roman" w:cs="Times New Roman"/>
          <w:sz w:val="24"/>
          <w:szCs w:val="24"/>
          <w:lang w:eastAsia="en-AU"/>
        </w:rPr>
        <w:t xml:space="preserve">-2 </w:t>
      </w:r>
      <w:proofErr w:type="spellStart"/>
      <w:r w:rsidR="00AD01A3" w:rsidRPr="00AD01A3">
        <w:rPr>
          <w:rFonts w:ascii="Times New Roman" w:eastAsia="Times New Roman" w:hAnsi="Times New Roman" w:cs="Times New Roman"/>
          <w:sz w:val="24"/>
          <w:szCs w:val="24"/>
          <w:lang w:eastAsia="en-AU"/>
        </w:rPr>
        <w:t>D</w:t>
      </w:r>
      <w:r w:rsidR="008D3A14" w:rsidRPr="00AD01A3">
        <w:rPr>
          <w:rFonts w:ascii="Times New Roman" w:eastAsia="Times New Roman" w:hAnsi="Times New Roman" w:cs="Times New Roman"/>
          <w:sz w:val="24"/>
          <w:szCs w:val="24"/>
          <w:lang w:eastAsia="en-AU"/>
        </w:rPr>
        <w:t>istearate</w:t>
      </w:r>
      <w:proofErr w:type="spellEnd"/>
      <w:r w:rsidR="008D3A1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to the Principal Determination to authorise their use in listed and assessed listed medicines</w:t>
      </w:r>
      <w:r w:rsidR="008D3A14">
        <w:rPr>
          <w:rFonts w:ascii="Times New Roman" w:eastAsia="Times New Roman" w:hAnsi="Times New Roman" w:cs="Times New Roman"/>
          <w:sz w:val="24"/>
          <w:szCs w:val="24"/>
          <w:lang w:eastAsia="en-AU"/>
        </w:rPr>
        <w:t>, and of making the applicable requirements for a small number of ingredients less restrictive in relation to their use in such products</w:t>
      </w:r>
      <w:r w:rsidR="00AD01A3">
        <w:rPr>
          <w:rFonts w:ascii="Times New Roman" w:eastAsia="Times New Roman" w:hAnsi="Times New Roman" w:cs="Times New Roman"/>
          <w:sz w:val="24"/>
          <w:szCs w:val="24"/>
          <w:lang w:eastAsia="en-AU"/>
        </w:rPr>
        <w:t>.</w:t>
      </w:r>
    </w:p>
    <w:p w:rsidR="00045C71" w:rsidRDefault="00045C71" w:rsidP="008D3A14">
      <w:pPr>
        <w:spacing w:before="100" w:beforeAutospacing="1" w:after="100" w:afterAutospacing="1"/>
        <w:ind w:left="284"/>
        <w:contextualSpacing/>
        <w:rPr>
          <w:rFonts w:ascii="Times New Roman" w:eastAsia="Times New Roman" w:hAnsi="Times New Roman" w:cs="Times New Roman"/>
          <w:sz w:val="24"/>
          <w:szCs w:val="24"/>
          <w:lang w:eastAsia="en-AU"/>
        </w:rPr>
      </w:pPr>
    </w:p>
    <w:p w:rsidR="00EF1F18" w:rsidRDefault="00EF1F18">
      <w:pPr>
        <w:spacing w:before="100" w:beforeAutospacing="1" w:after="100" w:afterAutospacing="1"/>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rsidR="005F2423" w:rsidRPr="00A419EA" w:rsidRDefault="005F2423" w:rsidP="005F2423">
      <w:pPr>
        <w:spacing w:before="100" w:beforeAutospacing="1" w:after="100" w:afterAutospacing="1"/>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rsidR="00EF1F18" w:rsidRDefault="00EF1F18" w:rsidP="00720518">
      <w:pPr>
        <w:spacing w:before="120" w:after="0"/>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rsidR="00510EB5" w:rsidRPr="005F2423" w:rsidRDefault="00510EB5" w:rsidP="00720518">
      <w:pPr>
        <w:spacing w:after="0"/>
        <w:jc w:val="center"/>
        <w:rPr>
          <w:rFonts w:ascii="Times New Roman" w:eastAsia="Times New Roman" w:hAnsi="Times New Roman" w:cs="Times New Roman"/>
          <w:sz w:val="24"/>
          <w:szCs w:val="24"/>
          <w:lang w:val="en-US" w:eastAsia="en-AU"/>
        </w:rPr>
      </w:pPr>
    </w:p>
    <w:p w:rsidR="00510EB5" w:rsidRDefault="00EF1F18" w:rsidP="00510EB5">
      <w:pPr>
        <w:spacing w:after="0"/>
        <w:jc w:val="center"/>
        <w:rPr>
          <w:rFonts w:ascii="Times New Roman" w:eastAsia="Times New Roman" w:hAnsi="Times New Roman" w:cs="Times New Roman"/>
          <w:sz w:val="24"/>
          <w:szCs w:val="24"/>
          <w:lang w:eastAsia="en-AU"/>
        </w:rPr>
      </w:pPr>
      <w:proofErr w:type="gramStart"/>
      <w:r w:rsidRPr="00A419EA">
        <w:rPr>
          <w:rFonts w:ascii="Times New Roman" w:eastAsia="Times New Roman" w:hAnsi="Times New Roman" w:cs="Times New Roman"/>
          <w:i/>
          <w:iCs/>
          <w:sz w:val="24"/>
          <w:szCs w:val="24"/>
          <w:lang w:eastAsia="en-AU"/>
        </w:rPr>
        <w:t>Prepared in acco</w:t>
      </w:r>
      <w:r>
        <w:rPr>
          <w:rFonts w:ascii="Times New Roman" w:eastAsia="Times New Roman" w:hAnsi="Times New Roman" w:cs="Times New Roman"/>
          <w:i/>
          <w:iCs/>
          <w:sz w:val="24"/>
          <w:szCs w:val="24"/>
          <w:lang w:eastAsia="en-AU"/>
        </w:rPr>
        <w:t>rdance with Part 3 of the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sidR="00207B8A">
        <w:rPr>
          <w:rFonts w:ascii="Times New Roman" w:eastAsia="Times New Roman" w:hAnsi="Times New Roman" w:cs="Times New Roman"/>
          <w:i/>
          <w:iCs/>
          <w:sz w:val="24"/>
          <w:szCs w:val="24"/>
          <w:lang w:eastAsia="en-AU"/>
        </w:rPr>
        <w:t>.</w:t>
      </w:r>
      <w:proofErr w:type="gramEnd"/>
      <w:r w:rsidR="00510EB5" w:rsidRPr="00510EB5">
        <w:rPr>
          <w:rFonts w:ascii="Times New Roman" w:eastAsia="Times New Roman" w:hAnsi="Times New Roman" w:cs="Times New Roman"/>
          <w:sz w:val="24"/>
          <w:szCs w:val="24"/>
          <w:lang w:eastAsia="en-AU"/>
        </w:rPr>
        <w:t xml:space="preserve"> </w:t>
      </w:r>
    </w:p>
    <w:p w:rsidR="00510EB5" w:rsidRPr="00A419EA" w:rsidRDefault="00510EB5" w:rsidP="00720518">
      <w:pPr>
        <w:spacing w:after="0"/>
        <w:jc w:val="center"/>
        <w:rPr>
          <w:rFonts w:ascii="Times New Roman" w:eastAsia="Times New Roman" w:hAnsi="Times New Roman" w:cs="Times New Roman"/>
          <w:sz w:val="24"/>
          <w:szCs w:val="24"/>
          <w:lang w:val="en-US" w:eastAsia="en-AU"/>
        </w:rPr>
      </w:pPr>
    </w:p>
    <w:p w:rsidR="005F2423" w:rsidRDefault="005F2423" w:rsidP="00720518">
      <w:pPr>
        <w:spacing w:after="0"/>
        <w:jc w:val="center"/>
        <w:rPr>
          <w:rFonts w:ascii="Times New Roman" w:eastAsia="Times New Roman" w:hAnsi="Times New Roman" w:cs="Times New Roman"/>
          <w:sz w:val="24"/>
          <w:szCs w:val="24"/>
          <w:lang w:eastAsia="en-AU"/>
        </w:rPr>
      </w:pPr>
      <w:r w:rsidRPr="005F2423">
        <w:rPr>
          <w:rFonts w:ascii="Times New Roman" w:eastAsia="Times New Roman" w:hAnsi="Times New Roman" w:cs="Times New Roman"/>
          <w:b/>
          <w:i/>
          <w:sz w:val="24"/>
          <w:szCs w:val="24"/>
          <w:lang w:eastAsia="en-AU"/>
        </w:rPr>
        <w:t>Therapeutic Goods Amendment (Permissible Ingredients) Determination (No.</w:t>
      </w:r>
      <w:r w:rsidR="00C92827">
        <w:rPr>
          <w:rFonts w:ascii="Times New Roman" w:eastAsia="Times New Roman" w:hAnsi="Times New Roman" w:cs="Times New Roman"/>
          <w:b/>
          <w:i/>
          <w:sz w:val="24"/>
          <w:szCs w:val="24"/>
          <w:lang w:eastAsia="en-AU"/>
        </w:rPr>
        <w:t xml:space="preserve"> </w:t>
      </w:r>
      <w:r w:rsidRPr="005F2423">
        <w:rPr>
          <w:rFonts w:ascii="Times New Roman" w:eastAsia="Times New Roman" w:hAnsi="Times New Roman" w:cs="Times New Roman"/>
          <w:b/>
          <w:i/>
          <w:sz w:val="24"/>
          <w:szCs w:val="24"/>
          <w:lang w:eastAsia="en-AU"/>
        </w:rPr>
        <w:t>1) 2019</w:t>
      </w:r>
    </w:p>
    <w:p w:rsidR="004761AE" w:rsidRDefault="004761AE" w:rsidP="00720518">
      <w:pPr>
        <w:spacing w:after="0"/>
        <w:rPr>
          <w:rFonts w:ascii="Times New Roman" w:eastAsia="Times New Roman" w:hAnsi="Times New Roman" w:cs="Times New Roman"/>
          <w:sz w:val="24"/>
          <w:szCs w:val="24"/>
          <w:lang w:eastAsia="en-AU"/>
        </w:rPr>
      </w:pPr>
    </w:p>
    <w:p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sidR="005F2423">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r w:rsidR="00510EB5" w:rsidRPr="00510EB5">
        <w:rPr>
          <w:rFonts w:ascii="Times New Roman" w:eastAsia="Times New Roman" w:hAnsi="Times New Roman" w:cs="Times New Roman"/>
          <w:sz w:val="24"/>
          <w:szCs w:val="24"/>
          <w:lang w:eastAsia="en-AU"/>
        </w:rPr>
        <w:t xml:space="preserve"> </w:t>
      </w:r>
    </w:p>
    <w:p w:rsidR="00EF1F18" w:rsidRPr="00A419EA" w:rsidRDefault="00EF1F18" w:rsidP="00720518">
      <w:pPr>
        <w:spacing w:after="0"/>
        <w:rPr>
          <w:rFonts w:ascii="Times New Roman" w:eastAsia="Times New Roman" w:hAnsi="Times New Roman" w:cs="Times New Roman"/>
          <w:sz w:val="24"/>
          <w:szCs w:val="24"/>
          <w:lang w:val="en-US" w:eastAsia="en-AU"/>
        </w:rPr>
      </w:pPr>
    </w:p>
    <w:p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rsidR="00005653" w:rsidRPr="00A419EA" w:rsidRDefault="00005653" w:rsidP="00720518">
      <w:pPr>
        <w:spacing w:after="0"/>
        <w:rPr>
          <w:rFonts w:ascii="Times New Roman" w:eastAsia="Times New Roman" w:hAnsi="Times New Roman" w:cs="Times New Roman"/>
          <w:sz w:val="24"/>
          <w:szCs w:val="24"/>
          <w:lang w:val="en-US" w:eastAsia="en-AU"/>
        </w:rPr>
      </w:pPr>
    </w:p>
    <w:p w:rsidR="00B82A8D" w:rsidRDefault="00EF1F18" w:rsidP="002D67DA">
      <w:pPr>
        <w:autoSpaceDE w:val="0"/>
        <w:autoSpaceDN w:val="0"/>
        <w:adjustRightInd w:val="0"/>
        <w:spacing w:after="0"/>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The </w:t>
      </w:r>
      <w:r w:rsidR="005F2423" w:rsidRPr="00AE2E87">
        <w:rPr>
          <w:rFonts w:ascii="Times New Roman" w:eastAsia="Times New Roman" w:hAnsi="Times New Roman" w:cs="Times New Roman"/>
          <w:i/>
          <w:sz w:val="24"/>
          <w:szCs w:val="24"/>
          <w:lang w:eastAsia="en-AU"/>
        </w:rPr>
        <w:t xml:space="preserve">Therapeutic Goods Amendment (Permissible Ingredients) Determination </w:t>
      </w:r>
      <w:r w:rsidR="005F2423">
        <w:rPr>
          <w:rFonts w:ascii="Times New Roman" w:eastAsia="Times New Roman" w:hAnsi="Times New Roman" w:cs="Times New Roman"/>
          <w:i/>
          <w:sz w:val="24"/>
          <w:szCs w:val="24"/>
          <w:lang w:eastAsia="en-AU"/>
        </w:rPr>
        <w:t>(No.</w:t>
      </w:r>
      <w:r w:rsidR="0046549C">
        <w:rPr>
          <w:rFonts w:ascii="Times New Roman" w:eastAsia="Times New Roman" w:hAnsi="Times New Roman" w:cs="Times New Roman"/>
          <w:i/>
          <w:sz w:val="24"/>
          <w:szCs w:val="24"/>
          <w:lang w:eastAsia="en-AU"/>
        </w:rPr>
        <w:t xml:space="preserve"> </w:t>
      </w:r>
      <w:r w:rsidR="005F2423">
        <w:rPr>
          <w:rFonts w:ascii="Times New Roman" w:eastAsia="Times New Roman" w:hAnsi="Times New Roman" w:cs="Times New Roman"/>
          <w:i/>
          <w:sz w:val="24"/>
          <w:szCs w:val="24"/>
          <w:lang w:eastAsia="en-AU"/>
        </w:rPr>
        <w:t xml:space="preserve">1) </w:t>
      </w:r>
      <w:r w:rsidR="005F2423" w:rsidRPr="00AE2E87">
        <w:rPr>
          <w:rFonts w:ascii="Times New Roman" w:eastAsia="Times New Roman" w:hAnsi="Times New Roman" w:cs="Times New Roman"/>
          <w:i/>
          <w:sz w:val="24"/>
          <w:szCs w:val="24"/>
          <w:lang w:eastAsia="en-AU"/>
        </w:rPr>
        <w:t>2019</w:t>
      </w:r>
      <w:r w:rsidR="005F2423">
        <w:rPr>
          <w:rFonts w:ascii="Times New Roman" w:eastAsia="Times New Roman" w:hAnsi="Times New Roman" w:cs="Times New Roman"/>
          <w:sz w:val="24"/>
          <w:szCs w:val="24"/>
          <w:lang w:eastAsia="en-AU"/>
        </w:rPr>
        <w:t xml:space="preserve"> (“the </w:t>
      </w:r>
      <w:r w:rsidR="00B82A8D">
        <w:rPr>
          <w:rFonts w:ascii="Times New Roman" w:eastAsia="Times New Roman" w:hAnsi="Times New Roman" w:cs="Times New Roman"/>
          <w:sz w:val="24"/>
          <w:szCs w:val="24"/>
          <w:lang w:eastAsia="en-AU"/>
        </w:rPr>
        <w:t xml:space="preserve">amendment </w:t>
      </w:r>
      <w:r w:rsidR="005F2423">
        <w:rPr>
          <w:rFonts w:ascii="Times New Roman" w:eastAsia="Times New Roman" w:hAnsi="Times New Roman" w:cs="Times New Roman"/>
          <w:sz w:val="24"/>
          <w:szCs w:val="24"/>
          <w:lang w:eastAsia="en-AU"/>
        </w:rPr>
        <w:t>instrument”)</w:t>
      </w:r>
      <w:r w:rsidRPr="00A419EA">
        <w:rPr>
          <w:rFonts w:ascii="Times New Roman" w:eastAsia="Times New Roman" w:hAnsi="Times New Roman" w:cs="Times New Roman"/>
          <w:sz w:val="24"/>
          <w:szCs w:val="24"/>
          <w:lang w:eastAsia="en-AU"/>
        </w:rPr>
        <w:t xml:space="preserve"> is made by the Minister under </w:t>
      </w:r>
      <w:r>
        <w:rPr>
          <w:rFonts w:ascii="Times New Roman" w:eastAsia="Times New Roman" w:hAnsi="Times New Roman" w:cs="Times New Roman"/>
          <w:sz w:val="24"/>
          <w:szCs w:val="24"/>
          <w:lang w:eastAsia="en-AU"/>
        </w:rPr>
        <w:t xml:space="preserve">section 26BC </w:t>
      </w:r>
      <w:r w:rsidRPr="00A419EA">
        <w:rPr>
          <w:rFonts w:ascii="Times New Roman" w:eastAsia="Times New Roman" w:hAnsi="Times New Roman" w:cs="Times New Roman"/>
          <w:sz w:val="24"/>
          <w:szCs w:val="24"/>
          <w:lang w:eastAsia="en-AU"/>
        </w:rPr>
        <w:t xml:space="preserve">of the </w:t>
      </w:r>
      <w:r>
        <w:rPr>
          <w:rFonts w:ascii="Times New Roman" w:eastAsia="Times New Roman" w:hAnsi="Times New Roman" w:cs="Times New Roman"/>
          <w:i/>
          <w:iCs/>
          <w:sz w:val="24"/>
          <w:szCs w:val="24"/>
          <w:lang w:eastAsia="en-AU"/>
        </w:rPr>
        <w:t>Therapeutic Goods Act </w:t>
      </w:r>
      <w:r w:rsidRPr="00A419EA">
        <w:rPr>
          <w:rFonts w:ascii="Times New Roman" w:eastAsia="Times New Roman" w:hAnsi="Times New Roman" w:cs="Times New Roman"/>
          <w:i/>
          <w:iCs/>
          <w:sz w:val="24"/>
          <w:szCs w:val="24"/>
          <w:lang w:eastAsia="en-AU"/>
        </w:rPr>
        <w:t>1989</w:t>
      </w:r>
      <w:r>
        <w:rPr>
          <w:rFonts w:ascii="Times New Roman" w:eastAsia="Times New Roman" w:hAnsi="Times New Roman" w:cs="Times New Roman"/>
          <w:i/>
          <w:iCs/>
          <w:sz w:val="24"/>
          <w:szCs w:val="24"/>
          <w:lang w:eastAsia="en-AU"/>
        </w:rPr>
        <w:t xml:space="preserve"> </w:t>
      </w:r>
      <w:r w:rsidRPr="00765674">
        <w:rPr>
          <w:rFonts w:ascii="Times New Roman" w:eastAsia="Times New Roman" w:hAnsi="Times New Roman" w:cs="Times New Roman"/>
          <w:iCs/>
          <w:sz w:val="24"/>
          <w:szCs w:val="24"/>
          <w:lang w:eastAsia="en-AU"/>
        </w:rPr>
        <w: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the Act</w:t>
      </w:r>
      <w:r w:rsidR="00B82A8D">
        <w:rPr>
          <w:rFonts w:ascii="Times New Roman" w:eastAsia="Times New Roman" w:hAnsi="Times New Roman" w:cs="Times New Roman"/>
          <w:iCs/>
          <w:sz w:val="24"/>
          <w:szCs w:val="24"/>
          <w:lang w:eastAsia="en-AU"/>
        </w:rPr>
        <w:t>”</w:t>
      </w:r>
      <w:r w:rsidRPr="00765674">
        <w:rPr>
          <w:rFonts w:ascii="Times New Roman" w:eastAsia="Times New Roman" w:hAnsi="Times New Roman" w:cs="Times New Roman"/>
          <w:iCs/>
          <w:sz w:val="24"/>
          <w:szCs w:val="24"/>
          <w:lang w:eastAsia="en-AU"/>
        </w:rPr>
        <w:t>)</w:t>
      </w:r>
      <w:r w:rsidRPr="00A419EA">
        <w:rPr>
          <w:rFonts w:ascii="Times New Roman" w:eastAsia="Times New Roman" w:hAnsi="Times New Roman" w:cs="Times New Roman"/>
          <w:i/>
          <w:iCs/>
          <w:sz w:val="24"/>
          <w:szCs w:val="24"/>
          <w:lang w:eastAsia="en-AU"/>
        </w:rPr>
        <w:t>.</w:t>
      </w:r>
      <w:r w:rsidRPr="00A419EA">
        <w:rPr>
          <w:rFonts w:ascii="Times New Roman" w:eastAsia="Times New Roman" w:hAnsi="Times New Roman" w:cs="Times New Roman"/>
          <w:sz w:val="24"/>
          <w:szCs w:val="24"/>
          <w:lang w:eastAsia="en-AU"/>
        </w:rPr>
        <w:t xml:space="preserve"> </w:t>
      </w:r>
    </w:p>
    <w:p w:rsidR="00B82A8D" w:rsidRDefault="00B82A8D" w:rsidP="002D67DA">
      <w:pPr>
        <w:autoSpaceDE w:val="0"/>
        <w:autoSpaceDN w:val="0"/>
        <w:adjustRightInd w:val="0"/>
        <w:spacing w:after="0"/>
        <w:rPr>
          <w:rFonts w:ascii="Times New Roman" w:eastAsia="Times New Roman" w:hAnsi="Times New Roman" w:cs="Times New Roman"/>
          <w:sz w:val="24"/>
          <w:szCs w:val="24"/>
          <w:lang w:eastAsia="en-AU"/>
        </w:rPr>
      </w:pPr>
    </w:p>
    <w:p w:rsidR="00510EB5" w:rsidRDefault="00EF1F18" w:rsidP="00510EB5">
      <w:pPr>
        <w:spacing w:after="0"/>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w:t>
      </w:r>
      <w:r w:rsidR="00B82A8D">
        <w:rPr>
          <w:rFonts w:ascii="Times New Roman" w:eastAsia="Times New Roman" w:hAnsi="Times New Roman" w:cs="Times New Roman"/>
          <w:sz w:val="24"/>
          <w:szCs w:val="24"/>
          <w:lang w:eastAsia="en-AU"/>
        </w:rPr>
        <w:t>purpose of the</w:t>
      </w:r>
      <w:r w:rsidR="0046549C">
        <w:rPr>
          <w:rFonts w:ascii="Times New Roman" w:eastAsia="Times New Roman" w:hAnsi="Times New Roman" w:cs="Times New Roman"/>
          <w:sz w:val="24"/>
          <w:szCs w:val="24"/>
          <w:lang w:eastAsia="en-AU"/>
        </w:rPr>
        <w:t xml:space="preserve"> amendment</w:t>
      </w:r>
      <w:r w:rsidR="00B82A8D">
        <w:rPr>
          <w:rFonts w:ascii="Times New Roman" w:eastAsia="Times New Roman" w:hAnsi="Times New Roman" w:cs="Times New Roman"/>
          <w:sz w:val="24"/>
          <w:szCs w:val="24"/>
          <w:lang w:eastAsia="en-AU"/>
        </w:rPr>
        <w:t xml:space="preserve"> instrument is to amend </w:t>
      </w:r>
      <w:r>
        <w:rPr>
          <w:rFonts w:ascii="Times New Roman" w:hAnsi="Times New Roman" w:cs="Times New Roman"/>
          <w:sz w:val="24"/>
          <w:szCs w:val="24"/>
          <w:lang w:eastAsia="en-AU"/>
        </w:rPr>
        <w:t xml:space="preserve">the </w:t>
      </w:r>
      <w:r w:rsidR="00E36564" w:rsidRPr="004E05C9">
        <w:rPr>
          <w:rFonts w:ascii="Times New Roman" w:eastAsia="Times New Roman" w:hAnsi="Times New Roman" w:cs="Times New Roman"/>
          <w:i/>
          <w:sz w:val="24"/>
          <w:szCs w:val="24"/>
          <w:lang w:eastAsia="en-AU"/>
        </w:rPr>
        <w:t>Therapeutic Goods (Permissible Ingredients) Determination (No.</w:t>
      </w:r>
      <w:r w:rsidR="0046549C">
        <w:rPr>
          <w:rFonts w:ascii="Times New Roman" w:eastAsia="Times New Roman" w:hAnsi="Times New Roman" w:cs="Times New Roman"/>
          <w:i/>
          <w:sz w:val="24"/>
          <w:szCs w:val="24"/>
          <w:lang w:eastAsia="en-AU"/>
        </w:rPr>
        <w:t xml:space="preserve"> </w:t>
      </w:r>
      <w:r w:rsidR="00E36564" w:rsidRPr="004E05C9">
        <w:rPr>
          <w:rFonts w:ascii="Times New Roman" w:eastAsia="Times New Roman" w:hAnsi="Times New Roman" w:cs="Times New Roman"/>
          <w:i/>
          <w:sz w:val="24"/>
          <w:szCs w:val="24"/>
          <w:lang w:eastAsia="en-AU"/>
        </w:rPr>
        <w:t>2) 2019</w:t>
      </w:r>
      <w:r w:rsidR="0046549C">
        <w:rPr>
          <w:rFonts w:ascii="Times New Roman" w:eastAsia="Times New Roman" w:hAnsi="Times New Roman" w:cs="Times New Roman"/>
          <w:i/>
          <w:sz w:val="24"/>
          <w:szCs w:val="24"/>
          <w:lang w:eastAsia="en-AU"/>
        </w:rPr>
        <w:t xml:space="preserve"> </w:t>
      </w:r>
      <w:r w:rsidR="0046549C">
        <w:rPr>
          <w:rFonts w:ascii="Times New Roman" w:hAnsi="Times New Roman" w:cs="Times New Roman"/>
          <w:iCs/>
          <w:sz w:val="24"/>
          <w:szCs w:val="24"/>
          <w:lang w:eastAsia="en-AU"/>
        </w:rPr>
        <w:t xml:space="preserve">(“the </w:t>
      </w:r>
      <w:r w:rsidR="0046549C">
        <w:rPr>
          <w:rFonts w:ascii="Times New Roman" w:hAnsi="Times New Roman" w:cs="Times New Roman"/>
          <w:sz w:val="24"/>
          <w:szCs w:val="24"/>
          <w:lang w:eastAsia="en-AU"/>
        </w:rPr>
        <w:t>principal instrument”)</w:t>
      </w:r>
      <w:r>
        <w:rPr>
          <w:rFonts w:ascii="Times New Roman" w:hAnsi="Times New Roman" w:cs="Times New Roman"/>
          <w:iCs/>
          <w:sz w:val="24"/>
          <w:szCs w:val="24"/>
          <w:lang w:eastAsia="en-AU"/>
        </w:rPr>
        <w:t xml:space="preserve">, </w:t>
      </w:r>
      <w:r w:rsidRPr="00A10B2D">
        <w:rPr>
          <w:rFonts w:ascii="Times New Roman" w:hAnsi="Times New Roman" w:cs="Times New Roman"/>
          <w:iCs/>
          <w:sz w:val="24"/>
          <w:szCs w:val="24"/>
          <w:lang w:eastAsia="en-AU"/>
        </w:rPr>
        <w:t>which</w:t>
      </w:r>
      <w:r w:rsidRPr="00F0557E">
        <w:rPr>
          <w:rFonts w:ascii="Times New Roman" w:hAnsi="Times New Roman" w:cs="Times New Roman"/>
          <w:iCs/>
          <w:sz w:val="24"/>
          <w:szCs w:val="24"/>
          <w:lang w:eastAsia="en-AU"/>
        </w:rPr>
        <w:t xml:space="preserve"> </w:t>
      </w:r>
      <w:r>
        <w:rPr>
          <w:rFonts w:ascii="Times New Roman" w:hAnsi="Times New Roman" w:cs="Times New Roman"/>
          <w:iCs/>
          <w:sz w:val="24"/>
          <w:szCs w:val="24"/>
          <w:lang w:eastAsia="en-AU"/>
        </w:rPr>
        <w:t xml:space="preserve">commenced on </w:t>
      </w:r>
      <w:r w:rsidR="00E36564">
        <w:rPr>
          <w:rFonts w:ascii="Times New Roman" w:hAnsi="Times New Roman" w:cs="Times New Roman"/>
          <w:iCs/>
          <w:sz w:val="24"/>
          <w:szCs w:val="24"/>
          <w:lang w:eastAsia="en-AU"/>
        </w:rPr>
        <w:t>3 July 2019</w:t>
      </w:r>
      <w:r>
        <w:rPr>
          <w:rFonts w:ascii="Times New Roman" w:hAnsi="Times New Roman" w:cs="Times New Roman"/>
          <w:iCs/>
          <w:sz w:val="24"/>
          <w:szCs w:val="24"/>
          <w:lang w:eastAsia="en-AU"/>
        </w:rPr>
        <w:t xml:space="preserve">, </w:t>
      </w:r>
      <w:r w:rsidR="00B82A8D">
        <w:rPr>
          <w:rFonts w:ascii="Times New Roman" w:eastAsia="Times New Roman" w:hAnsi="Times New Roman" w:cs="Times New Roman"/>
          <w:sz w:val="24"/>
          <w:szCs w:val="24"/>
          <w:lang w:eastAsia="en-AU"/>
        </w:rPr>
        <w:t>mainly to better address the risks posed by overuse of the ingredient caffeine and other ingredients that contain the chemical caffeine as a component</w:t>
      </w:r>
      <w:r>
        <w:rPr>
          <w:rFonts w:ascii="Times New Roman" w:hAnsi="Times New Roman" w:cs="Times New Roman"/>
          <w:iCs/>
          <w:sz w:val="24"/>
          <w:szCs w:val="24"/>
          <w:lang w:eastAsia="en-AU"/>
        </w:rPr>
        <w:t>.</w:t>
      </w:r>
      <w:r w:rsidR="00510EB5" w:rsidRPr="00510EB5">
        <w:rPr>
          <w:rFonts w:ascii="Times New Roman" w:eastAsia="Times New Roman" w:hAnsi="Times New Roman" w:cs="Times New Roman"/>
          <w:sz w:val="24"/>
          <w:szCs w:val="24"/>
          <w:lang w:eastAsia="en-AU"/>
        </w:rPr>
        <w:t xml:space="preserve"> </w:t>
      </w:r>
    </w:p>
    <w:p w:rsidR="00EF1F18" w:rsidRDefault="00EF1F18" w:rsidP="002D67DA">
      <w:pPr>
        <w:autoSpaceDE w:val="0"/>
        <w:autoSpaceDN w:val="0"/>
        <w:adjustRightInd w:val="0"/>
        <w:spacing w:after="0"/>
        <w:rPr>
          <w:rFonts w:ascii="Times New Roman" w:hAnsi="Times New Roman" w:cs="Times New Roman"/>
          <w:iCs/>
          <w:sz w:val="24"/>
          <w:szCs w:val="24"/>
          <w:lang w:eastAsia="en-AU"/>
        </w:rPr>
      </w:pPr>
    </w:p>
    <w:p w:rsidR="00510EB5" w:rsidRDefault="00E1152E" w:rsidP="00510EB5">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Caffeine occurs naturally in certain plants, nuts and seeds and has a long history of use as a stimulant.  Adverse effects may occur in people who consume caffeine depending on a number of factors, including how much a person consumes, their general health and whether they are a regular or infrequent user of caffeine.</w:t>
      </w:r>
      <w:r w:rsidR="00510EB5" w:rsidRPr="00510EB5">
        <w:rPr>
          <w:rFonts w:ascii="Times New Roman" w:eastAsia="Times New Roman" w:hAnsi="Times New Roman" w:cs="Times New Roman"/>
          <w:sz w:val="24"/>
          <w:szCs w:val="24"/>
          <w:lang w:eastAsia="en-AU"/>
        </w:rPr>
        <w:t xml:space="preserve"> </w:t>
      </w:r>
    </w:p>
    <w:p w:rsidR="00510EB5" w:rsidRDefault="00510EB5" w:rsidP="00510EB5">
      <w:pPr>
        <w:spacing w:after="0"/>
        <w:contextualSpacing/>
        <w:rPr>
          <w:rFonts w:ascii="Times New Roman" w:eastAsia="Times New Roman" w:hAnsi="Times New Roman" w:cs="Times New Roman"/>
          <w:sz w:val="24"/>
          <w:szCs w:val="24"/>
          <w:lang w:eastAsia="en-AU"/>
        </w:rPr>
      </w:pPr>
    </w:p>
    <w:p w:rsidR="00510EB5" w:rsidRDefault="001D3782" w:rsidP="00510EB5">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mid-June 2019, the TGA was contacted by the Coroner’s Court of New South Wales regarding the death of Mr Lachlan Foote. The TGA understands that Mr Foote’s death was associated with caffeine toxicity, with the caffeine suspected to have been ingested from an unlabelled pure or highly concentrated caffeine powder that contained a far higher concentration of </w:t>
      </w:r>
      <w:r w:rsidR="00720518">
        <w:rPr>
          <w:rFonts w:ascii="Times New Roman" w:eastAsia="Times New Roman" w:hAnsi="Times New Roman" w:cs="Times New Roman"/>
          <w:sz w:val="24"/>
          <w:szCs w:val="24"/>
          <w:lang w:eastAsia="en-AU"/>
        </w:rPr>
        <w:t>caffeine</w:t>
      </w:r>
      <w:r>
        <w:rPr>
          <w:rFonts w:ascii="Times New Roman" w:eastAsia="Times New Roman" w:hAnsi="Times New Roman" w:cs="Times New Roman"/>
          <w:sz w:val="24"/>
          <w:szCs w:val="24"/>
          <w:lang w:eastAsia="en-AU"/>
        </w:rPr>
        <w:t xml:space="preserve"> than would be contained in listed or listed assessed medicines, or in regularly consumed foods that contain caffeine. </w:t>
      </w:r>
    </w:p>
    <w:p w:rsidR="001D3782" w:rsidRDefault="001D3782" w:rsidP="00E1152E">
      <w:pPr>
        <w:spacing w:after="0"/>
        <w:contextualSpacing/>
        <w:rPr>
          <w:rFonts w:ascii="Times New Roman" w:eastAsia="Times New Roman" w:hAnsi="Times New Roman" w:cs="Times New Roman"/>
          <w:sz w:val="24"/>
          <w:szCs w:val="24"/>
          <w:lang w:eastAsia="en-AU"/>
        </w:rPr>
      </w:pPr>
    </w:p>
    <w:p w:rsidR="00510EB5" w:rsidRDefault="00E1152E" w:rsidP="00510EB5">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instrument is therefore intended to introduce additional requirements for this purpose, by specifying limits on total caffeine concentration in listed and assessed listed medicines.  This will ensure that caffeine levels in such medicines, which are available for self-selection </w:t>
      </w:r>
      <w:r w:rsidR="001D3782">
        <w:rPr>
          <w:rFonts w:ascii="Times New Roman" w:eastAsia="Times New Roman" w:hAnsi="Times New Roman" w:cs="Times New Roman"/>
          <w:sz w:val="24"/>
          <w:szCs w:val="24"/>
          <w:lang w:eastAsia="en-AU"/>
        </w:rPr>
        <w:t>by</w:t>
      </w:r>
      <w:r>
        <w:rPr>
          <w:rFonts w:ascii="Times New Roman" w:eastAsia="Times New Roman" w:hAnsi="Times New Roman" w:cs="Times New Roman"/>
          <w:sz w:val="24"/>
          <w:szCs w:val="24"/>
          <w:lang w:eastAsia="en-AU"/>
        </w:rPr>
        <w:t xml:space="preserve"> consumers, do not present an undue risk of unintentional caffeine overdose.</w:t>
      </w:r>
      <w:r w:rsidR="00510EB5" w:rsidRPr="00510EB5">
        <w:rPr>
          <w:rFonts w:ascii="Times New Roman" w:eastAsia="Times New Roman" w:hAnsi="Times New Roman" w:cs="Times New Roman"/>
          <w:sz w:val="24"/>
          <w:szCs w:val="24"/>
          <w:lang w:eastAsia="en-AU"/>
        </w:rPr>
        <w:t xml:space="preserve"> </w:t>
      </w:r>
    </w:p>
    <w:p w:rsidR="00E1152E" w:rsidRDefault="00E1152E" w:rsidP="00E1152E">
      <w:pPr>
        <w:spacing w:after="0"/>
        <w:contextualSpacing/>
        <w:rPr>
          <w:rFonts w:ascii="Times New Roman" w:eastAsia="Times New Roman" w:hAnsi="Times New Roman" w:cs="Times New Roman"/>
          <w:sz w:val="24"/>
          <w:szCs w:val="24"/>
          <w:lang w:eastAsia="en-AU"/>
        </w:rPr>
      </w:pPr>
    </w:p>
    <w:p w:rsidR="00E1152E" w:rsidRDefault="00E1152E" w:rsidP="00E1152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amendment instrument reflects work undertaken by the TGA since 2017, to review the requirements applying to the use of caffeine and related ingredients in listed and assessed listed medicines. The review highlighted that additional requirements,</w:t>
      </w:r>
      <w:r w:rsidRPr="00DF088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which consist of warning statements about caffeine intake and maximum dose limits within 3 hour and daily periods, are appropriate to ensure that these products are safe and consistent with the expectation that they are low-risk products appropriate for self-selection by consumers.</w:t>
      </w:r>
    </w:p>
    <w:p w:rsidR="00E1152E" w:rsidRDefault="00E1152E" w:rsidP="00E1152E">
      <w:pPr>
        <w:spacing w:after="0"/>
        <w:contextualSpacing/>
        <w:rPr>
          <w:rFonts w:ascii="Times New Roman" w:eastAsia="Times New Roman" w:hAnsi="Times New Roman" w:cs="Times New Roman"/>
          <w:sz w:val="24"/>
          <w:szCs w:val="24"/>
          <w:lang w:eastAsia="en-AU"/>
        </w:rPr>
      </w:pPr>
    </w:p>
    <w:p w:rsidR="00E1152E" w:rsidRDefault="00E1152E" w:rsidP="00E1152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existing requirements in the principal instrument for the ingredient ‘caffeine’ do not permit the listing of such a pure caffeine product.  However, these requirements do not also fully address the safety concerns presented by such highly-concentrated caffeine products, and it is these concerns that are addressed by the changes introduced by the amendment instrument.</w:t>
      </w:r>
    </w:p>
    <w:p w:rsidR="00E1152E" w:rsidRDefault="00E1152E" w:rsidP="00E1152E">
      <w:pPr>
        <w:spacing w:after="0"/>
        <w:contextualSpacing/>
        <w:rPr>
          <w:rFonts w:ascii="Times New Roman" w:eastAsia="Times New Roman" w:hAnsi="Times New Roman" w:cs="Times New Roman"/>
          <w:sz w:val="24"/>
          <w:szCs w:val="24"/>
          <w:lang w:eastAsia="en-AU"/>
        </w:rPr>
      </w:pPr>
    </w:p>
    <w:p w:rsidR="00E1152E" w:rsidRDefault="00E1152E" w:rsidP="00E1152E">
      <w:pPr>
        <w:spacing w:after="0"/>
        <w:contextualSpacing/>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instrument also amends the principal instrument to make a small number of other </w:t>
      </w:r>
      <w:r w:rsidR="001D3782">
        <w:rPr>
          <w:rFonts w:ascii="Times New Roman" w:eastAsia="Times New Roman" w:hAnsi="Times New Roman" w:cs="Times New Roman"/>
          <w:sz w:val="24"/>
          <w:szCs w:val="24"/>
          <w:lang w:eastAsia="en-AU"/>
        </w:rPr>
        <w:t>changes</w:t>
      </w:r>
      <w:r>
        <w:rPr>
          <w:rFonts w:ascii="Times New Roman" w:eastAsia="Times New Roman" w:hAnsi="Times New Roman" w:cs="Times New Roman"/>
          <w:sz w:val="24"/>
          <w:szCs w:val="24"/>
          <w:lang w:eastAsia="en-AU"/>
        </w:rPr>
        <w:t>,</w:t>
      </w:r>
      <w:r w:rsidR="001D3782">
        <w:rPr>
          <w:rFonts w:ascii="Times New Roman" w:eastAsia="Times New Roman" w:hAnsi="Times New Roman" w:cs="Times New Roman"/>
          <w:sz w:val="24"/>
          <w:szCs w:val="24"/>
          <w:lang w:eastAsia="en-AU"/>
        </w:rPr>
        <w:t xml:space="preserve"> including</w:t>
      </w:r>
      <w:r>
        <w:rPr>
          <w:rFonts w:ascii="Times New Roman" w:eastAsia="Times New Roman" w:hAnsi="Times New Roman" w:cs="Times New Roman"/>
          <w:sz w:val="24"/>
          <w:szCs w:val="24"/>
          <w:lang w:eastAsia="en-AU"/>
        </w:rPr>
        <w:t xml:space="preserve"> to introduce new ingredients</w:t>
      </w:r>
      <w:r w:rsidR="001D3782">
        <w:rPr>
          <w:rFonts w:ascii="Times New Roman" w:eastAsia="Times New Roman" w:hAnsi="Times New Roman" w:cs="Times New Roman"/>
          <w:sz w:val="24"/>
          <w:szCs w:val="24"/>
          <w:lang w:eastAsia="en-AU"/>
        </w:rPr>
        <w:t xml:space="preserve"> </w:t>
      </w:r>
      <w:r w:rsidR="001D3782" w:rsidRPr="008D3A14">
        <w:rPr>
          <w:rFonts w:ascii="Times New Roman" w:hAnsi="Times New Roman" w:cs="Times New Roman"/>
          <w:sz w:val="24"/>
          <w:szCs w:val="24"/>
        </w:rPr>
        <w:t>3,7-DIMETHYL-1-OCTEN-3-OL</w:t>
      </w:r>
      <w:r w:rsidR="001D3782">
        <w:rPr>
          <w:rFonts w:ascii="Times New Roman" w:hAnsi="Times New Roman" w:cs="Times New Roman"/>
          <w:sz w:val="24"/>
          <w:szCs w:val="24"/>
        </w:rPr>
        <w:t>,</w:t>
      </w:r>
      <w:r w:rsidR="001D3782">
        <w:rPr>
          <w:rFonts w:ascii="Times New Roman" w:eastAsia="Times New Roman" w:hAnsi="Times New Roman" w:cs="Times New Roman"/>
          <w:sz w:val="24"/>
          <w:szCs w:val="24"/>
          <w:lang w:eastAsia="en-AU"/>
        </w:rPr>
        <w:t xml:space="preserve"> </w:t>
      </w:r>
      <w:r w:rsidR="001D3782">
        <w:rPr>
          <w:rFonts w:ascii="Times New Roman" w:hAnsi="Times New Roman" w:cs="Times New Roman"/>
          <w:sz w:val="24"/>
          <w:szCs w:val="24"/>
        </w:rPr>
        <w:t xml:space="preserve">Bacillus </w:t>
      </w:r>
      <w:proofErr w:type="spellStart"/>
      <w:r w:rsidR="001D3782">
        <w:rPr>
          <w:rFonts w:ascii="Times New Roman" w:hAnsi="Times New Roman" w:cs="Times New Roman"/>
          <w:sz w:val="24"/>
          <w:szCs w:val="24"/>
        </w:rPr>
        <w:t>C</w:t>
      </w:r>
      <w:r w:rsidR="001D3782" w:rsidRPr="008D3A14">
        <w:rPr>
          <w:rFonts w:ascii="Times New Roman" w:hAnsi="Times New Roman" w:cs="Times New Roman"/>
          <w:sz w:val="24"/>
          <w:szCs w:val="24"/>
        </w:rPr>
        <w:t>oagulans</w:t>
      </w:r>
      <w:proofErr w:type="spellEnd"/>
      <w:r>
        <w:rPr>
          <w:rFonts w:ascii="Times New Roman" w:eastAsia="Times New Roman" w:hAnsi="Times New Roman" w:cs="Times New Roman"/>
          <w:sz w:val="24"/>
          <w:szCs w:val="24"/>
          <w:lang w:eastAsia="en-AU"/>
        </w:rPr>
        <w:t xml:space="preserve"> </w:t>
      </w:r>
      <w:r w:rsidR="001D3782">
        <w:rPr>
          <w:rFonts w:ascii="Times New Roman" w:eastAsia="Times New Roman" w:hAnsi="Times New Roman" w:cs="Times New Roman"/>
          <w:sz w:val="24"/>
          <w:szCs w:val="24"/>
          <w:lang w:eastAsia="en-AU"/>
        </w:rPr>
        <w:t xml:space="preserve">and </w:t>
      </w:r>
      <w:r w:rsidR="00510EB5" w:rsidRPr="00510EB5">
        <w:rPr>
          <w:rFonts w:ascii="Times New Roman" w:eastAsia="Times New Roman" w:hAnsi="Times New Roman" w:cs="Times New Roman"/>
          <w:sz w:val="24"/>
          <w:szCs w:val="24"/>
          <w:lang w:eastAsia="en-AU"/>
        </w:rPr>
        <w:t>P</w:t>
      </w:r>
      <w:r w:rsidR="00510EB5">
        <w:rPr>
          <w:rFonts w:ascii="Times New Roman" w:eastAsia="Times New Roman" w:hAnsi="Times New Roman" w:cs="Times New Roman"/>
          <w:sz w:val="24"/>
          <w:szCs w:val="24"/>
          <w:lang w:eastAsia="en-AU"/>
        </w:rPr>
        <w:t>olyglyceryl</w:t>
      </w:r>
      <w:r w:rsidR="00510EB5" w:rsidRPr="00510EB5">
        <w:rPr>
          <w:rFonts w:ascii="Times New Roman" w:eastAsia="Times New Roman" w:hAnsi="Times New Roman" w:cs="Times New Roman"/>
          <w:sz w:val="24"/>
          <w:szCs w:val="24"/>
          <w:lang w:eastAsia="en-AU"/>
        </w:rPr>
        <w:t xml:space="preserve">-2 </w:t>
      </w:r>
      <w:proofErr w:type="spellStart"/>
      <w:r w:rsidR="00510EB5" w:rsidRPr="00510EB5">
        <w:rPr>
          <w:rFonts w:ascii="Times New Roman" w:eastAsia="Times New Roman" w:hAnsi="Times New Roman" w:cs="Times New Roman"/>
          <w:sz w:val="24"/>
          <w:szCs w:val="24"/>
          <w:lang w:eastAsia="en-AU"/>
        </w:rPr>
        <w:t>D</w:t>
      </w:r>
      <w:r w:rsidR="00510EB5">
        <w:rPr>
          <w:rFonts w:ascii="Times New Roman" w:eastAsia="Times New Roman" w:hAnsi="Times New Roman" w:cs="Times New Roman"/>
          <w:sz w:val="24"/>
          <w:szCs w:val="24"/>
          <w:lang w:eastAsia="en-AU"/>
        </w:rPr>
        <w:t>istearate</w:t>
      </w:r>
      <w:proofErr w:type="spellEnd"/>
      <w:r w:rsidR="00510EB5" w:rsidRPr="00510EB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to the principal instrument to authorise their use in listed or assessed listed medicines for the first time, and to make minor clarifications to requirements for a small number of other ingredients, to better align the applicable requirements for those ingredients with the level of control recommended in the Poisons Standard for those ingredients</w:t>
      </w:r>
      <w:r w:rsidR="00510EB5" w:rsidRPr="00510EB5">
        <w:rPr>
          <w:rFonts w:ascii="Times New Roman" w:eastAsia="Times New Roman" w:hAnsi="Times New Roman" w:cs="Times New Roman"/>
          <w:sz w:val="24"/>
          <w:szCs w:val="24"/>
          <w:lang w:eastAsia="en-AU"/>
        </w:rPr>
        <w:t xml:space="preserve"> </w:t>
      </w:r>
      <w:r w:rsidR="00510EB5">
        <w:rPr>
          <w:rFonts w:ascii="Times New Roman" w:eastAsia="Times New Roman" w:hAnsi="Times New Roman" w:cs="Times New Roman"/>
          <w:sz w:val="24"/>
          <w:szCs w:val="24"/>
          <w:lang w:eastAsia="en-AU"/>
        </w:rPr>
        <w:t>(e.g. Brilliant Scarlet 4R, Lavender oil and Thymol)</w:t>
      </w:r>
      <w:r>
        <w:rPr>
          <w:rFonts w:ascii="Times New Roman" w:eastAsia="Times New Roman" w:hAnsi="Times New Roman" w:cs="Times New Roman"/>
          <w:sz w:val="24"/>
          <w:szCs w:val="24"/>
          <w:lang w:eastAsia="en-AU"/>
        </w:rPr>
        <w:t>.</w:t>
      </w:r>
    </w:p>
    <w:p w:rsidR="00E1152E" w:rsidRDefault="00E1152E" w:rsidP="00E1152E">
      <w:pPr>
        <w:spacing w:after="0"/>
        <w:contextualSpacing/>
        <w:rPr>
          <w:rFonts w:ascii="Times New Roman" w:eastAsia="Times New Roman" w:hAnsi="Times New Roman" w:cs="Times New Roman"/>
          <w:sz w:val="24"/>
          <w:szCs w:val="24"/>
          <w:lang w:eastAsia="en-AU"/>
        </w:rPr>
      </w:pPr>
    </w:p>
    <w:p w:rsidR="00EF1F18" w:rsidRDefault="00EF1F18" w:rsidP="00720518">
      <w:pPr>
        <w:spacing w:after="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rsidR="00510EB5" w:rsidRPr="00A419EA" w:rsidRDefault="00510EB5" w:rsidP="00720518">
      <w:pPr>
        <w:spacing w:after="0"/>
        <w:rPr>
          <w:rFonts w:ascii="Times New Roman" w:eastAsia="Times New Roman" w:hAnsi="Times New Roman" w:cs="Times New Roman"/>
          <w:sz w:val="24"/>
          <w:szCs w:val="24"/>
          <w:lang w:val="en-US" w:eastAsia="en-AU"/>
        </w:rPr>
      </w:pPr>
    </w:p>
    <w:p w:rsidR="00510EB5" w:rsidRDefault="008F596A" w:rsidP="00510EB5">
      <w:pPr>
        <w:spacing w:after="0"/>
        <w:contextualSpacing/>
        <w:rPr>
          <w:rFonts w:ascii="Times New Roman" w:eastAsia="Times New Roman" w:hAnsi="Times New Roman" w:cs="Times New Roman"/>
          <w:sz w:val="24"/>
          <w:szCs w:val="24"/>
          <w:lang w:eastAsia="en-AU"/>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amendment 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510EB5" w:rsidRDefault="00510EB5" w:rsidP="00510EB5">
      <w:pPr>
        <w:spacing w:after="0"/>
        <w:contextualSpacing/>
        <w:rPr>
          <w:rFonts w:ascii="Times New Roman" w:hAnsi="Times New Roman" w:cs="Times New Roman"/>
          <w:sz w:val="24"/>
          <w:szCs w:val="24"/>
        </w:rPr>
      </w:pPr>
    </w:p>
    <w:p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The amendment instrument takes positive steps to promote the right to health by, principally, upgrading the requirements relating to the use of caffeine and other ingredients that contain the chemical caffeine as a component, in order to ensure the safety and quality of listed and assessed list</w:t>
      </w:r>
      <w:r w:rsidR="00A34A44">
        <w:rPr>
          <w:rFonts w:ascii="Times New Roman" w:hAnsi="Times New Roman" w:cs="Times New Roman"/>
          <w:sz w:val="24"/>
          <w:szCs w:val="24"/>
        </w:rPr>
        <w:t>ed</w:t>
      </w:r>
      <w:r>
        <w:rPr>
          <w:rFonts w:ascii="Times New Roman" w:hAnsi="Times New Roman" w:cs="Times New Roman"/>
          <w:sz w:val="24"/>
          <w:szCs w:val="24"/>
        </w:rPr>
        <w:t xml:space="preserve"> medicines containing such ingredients. </w:t>
      </w:r>
    </w:p>
    <w:p w:rsidR="00510EB5" w:rsidRDefault="00510EB5" w:rsidP="00510EB5">
      <w:pPr>
        <w:spacing w:after="0"/>
        <w:contextualSpacing/>
        <w:rPr>
          <w:rFonts w:ascii="Times New Roman" w:hAnsi="Times New Roman" w:cs="Times New Roman"/>
          <w:sz w:val="24"/>
          <w:szCs w:val="24"/>
        </w:rPr>
      </w:pPr>
    </w:p>
    <w:p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By </w:t>
      </w:r>
      <w:r w:rsidR="008C1892">
        <w:rPr>
          <w:rFonts w:ascii="Times New Roman" w:hAnsi="Times New Roman" w:cs="Times New Roman"/>
          <w:sz w:val="24"/>
          <w:szCs w:val="24"/>
        </w:rPr>
        <w:t xml:space="preserve">introducing targeted requirements relating to the risk of overuse of caffeine, such as requiring the use of </w:t>
      </w:r>
      <w:r>
        <w:rPr>
          <w:rFonts w:ascii="Times New Roman" w:eastAsia="Times New Roman" w:hAnsi="Times New Roman" w:cs="Times New Roman"/>
          <w:sz w:val="24"/>
          <w:szCs w:val="24"/>
          <w:lang w:eastAsia="en-AU"/>
        </w:rPr>
        <w:t xml:space="preserve">warning statements </w:t>
      </w:r>
      <w:r w:rsidR="008C1892">
        <w:rPr>
          <w:rFonts w:ascii="Times New Roman" w:eastAsia="Times New Roman" w:hAnsi="Times New Roman" w:cs="Times New Roman"/>
          <w:sz w:val="24"/>
          <w:szCs w:val="24"/>
          <w:lang w:eastAsia="en-AU"/>
        </w:rPr>
        <w:t xml:space="preserve">on labels </w:t>
      </w:r>
      <w:r>
        <w:rPr>
          <w:rFonts w:ascii="Times New Roman" w:eastAsia="Times New Roman" w:hAnsi="Times New Roman" w:cs="Times New Roman"/>
          <w:sz w:val="24"/>
          <w:szCs w:val="24"/>
          <w:lang w:eastAsia="en-AU"/>
        </w:rPr>
        <w:t xml:space="preserve">about caffeine intake and maximum dose limits within 3 hour and daily periods, </w:t>
      </w:r>
      <w:r>
        <w:rPr>
          <w:rFonts w:ascii="Times New Roman" w:hAnsi="Times New Roman" w:cs="Times New Roman"/>
          <w:sz w:val="24"/>
          <w:szCs w:val="24"/>
        </w:rPr>
        <w:t>the safety of Australian consumers will be better protected, and they will be better able to make informed decisions about such medicines.</w:t>
      </w:r>
    </w:p>
    <w:p w:rsidR="00510EB5" w:rsidRDefault="00510EB5" w:rsidP="00510EB5">
      <w:pPr>
        <w:spacing w:after="0"/>
        <w:contextualSpacing/>
        <w:rPr>
          <w:rFonts w:ascii="Times New Roman" w:hAnsi="Times New Roman" w:cs="Times New Roman"/>
          <w:sz w:val="24"/>
          <w:szCs w:val="24"/>
        </w:rPr>
      </w:pPr>
    </w:p>
    <w:p w:rsidR="00510EB5" w:rsidRDefault="008F596A" w:rsidP="00510EB5">
      <w:pPr>
        <w:spacing w:after="0"/>
        <w:contextualSpacing/>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This is particularly important for listed medicines, given that those medicines are not evaluated for safety and quality by the TGA prior to listing in the </w:t>
      </w:r>
      <w:r w:rsidR="00A34A44">
        <w:rPr>
          <w:rFonts w:ascii="Times New Roman" w:hAnsi="Times New Roman" w:cs="Times New Roman"/>
          <w:sz w:val="24"/>
          <w:szCs w:val="24"/>
        </w:rPr>
        <w:t>Australian Register of Therapeutic Goods</w:t>
      </w:r>
      <w:r>
        <w:rPr>
          <w:rFonts w:ascii="Times New Roman" w:hAnsi="Times New Roman" w:cs="Times New Roman"/>
          <w:sz w:val="24"/>
          <w:szCs w:val="24"/>
        </w:rPr>
        <w:t>, and as they are usually available for self-selection by consumers without a requirement to first obtain the advice or prescription of a registered medical doctor, or the advice of a pharmacist.</w:t>
      </w:r>
    </w:p>
    <w:p w:rsidR="00510EB5" w:rsidRDefault="00510EB5" w:rsidP="00510EB5">
      <w:pPr>
        <w:spacing w:after="0"/>
        <w:contextualSpacing/>
        <w:rPr>
          <w:rFonts w:ascii="Times New Roman" w:eastAsia="Times New Roman" w:hAnsi="Times New Roman" w:cs="Times New Roman"/>
          <w:sz w:val="24"/>
          <w:szCs w:val="24"/>
          <w:lang w:eastAsia="en-AU"/>
        </w:rPr>
      </w:pPr>
    </w:p>
    <w:p w:rsidR="00EF1F18" w:rsidRPr="00A419EA" w:rsidRDefault="00EF1F18" w:rsidP="00720518">
      <w:pPr>
        <w:keepNext/>
        <w:spacing w:before="120" w:after="120"/>
        <w:rPr>
          <w:rFonts w:ascii="Times New Roman" w:eastAsia="Times New Roman" w:hAnsi="Times New Roman" w:cs="Times New Roman"/>
          <w:sz w:val="24"/>
          <w:szCs w:val="24"/>
          <w:lang w:val="en-US" w:eastAsia="en-AU"/>
        </w:rPr>
      </w:pPr>
      <w:r w:rsidRPr="00A419EA">
        <w:rPr>
          <w:rFonts w:ascii="Times New Roman" w:eastAsia="Times New Roman" w:hAnsi="Times New Roman" w:cs="Times New Roman"/>
          <w:b/>
          <w:bCs/>
          <w:sz w:val="24"/>
          <w:szCs w:val="24"/>
          <w:lang w:eastAsia="en-AU"/>
        </w:rPr>
        <w:lastRenderedPageBreak/>
        <w:t>Conclusion</w:t>
      </w:r>
    </w:p>
    <w:p w:rsidR="00EF1F18" w:rsidRDefault="00EF1F18">
      <w:pPr>
        <w:spacing w:before="120" w:after="120"/>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t>This legislative instrument is compatible with human rights</w:t>
      </w:r>
      <w:r w:rsidR="00A34A44" w:rsidRPr="00A34A44">
        <w:rPr>
          <w:rFonts w:ascii="Times New Roman" w:hAnsi="Times New Roman"/>
        </w:rPr>
        <w:t xml:space="preserve"> </w:t>
      </w:r>
      <w:r w:rsidR="00A34A44" w:rsidRPr="00CF219B">
        <w:rPr>
          <w:rFonts w:ascii="Times New Roman" w:hAnsi="Times New Roman"/>
        </w:rPr>
        <w:t xml:space="preserve">because it promotes the right to health in Article 12 of the ICESCR and </w:t>
      </w:r>
      <w:r w:rsidRPr="00A419EA">
        <w:rPr>
          <w:rFonts w:ascii="Times New Roman" w:eastAsia="Times New Roman" w:hAnsi="Times New Roman" w:cs="Times New Roman"/>
          <w:sz w:val="24"/>
          <w:szCs w:val="24"/>
          <w:lang w:eastAsia="en-AU"/>
        </w:rPr>
        <w:t xml:space="preserve">does not raise any </w:t>
      </w:r>
      <w:r w:rsidR="00A34A44">
        <w:rPr>
          <w:rFonts w:ascii="Times New Roman" w:eastAsia="Times New Roman" w:hAnsi="Times New Roman" w:cs="Times New Roman"/>
          <w:sz w:val="24"/>
          <w:szCs w:val="24"/>
          <w:lang w:eastAsia="en-AU"/>
        </w:rPr>
        <w:t xml:space="preserve">other </w:t>
      </w:r>
      <w:r w:rsidRPr="00A419EA">
        <w:rPr>
          <w:rFonts w:ascii="Times New Roman" w:eastAsia="Times New Roman" w:hAnsi="Times New Roman" w:cs="Times New Roman"/>
          <w:sz w:val="24"/>
          <w:szCs w:val="24"/>
          <w:lang w:eastAsia="en-AU"/>
        </w:rPr>
        <w:t>human rights issues.</w:t>
      </w:r>
    </w:p>
    <w:p w:rsidR="004761AE" w:rsidRDefault="004761AE">
      <w:pPr>
        <w:spacing w:before="120" w:after="120"/>
        <w:rPr>
          <w:rFonts w:ascii="Times New Roman" w:eastAsia="Times New Roman" w:hAnsi="Times New Roman" w:cs="Times New Roman"/>
          <w:b/>
          <w:bCs/>
          <w:sz w:val="24"/>
          <w:szCs w:val="24"/>
          <w:lang w:eastAsia="en-AU"/>
        </w:rPr>
      </w:pPr>
    </w:p>
    <w:p w:rsidR="008C0845" w:rsidRDefault="00E36564">
      <w:pPr>
        <w:spacing w:before="120" w:after="120"/>
      </w:pPr>
      <w:r>
        <w:rPr>
          <w:rFonts w:ascii="Times New Roman" w:eastAsia="Times New Roman" w:hAnsi="Times New Roman" w:cs="Times New Roman"/>
          <w:b/>
          <w:bCs/>
          <w:sz w:val="24"/>
          <w:szCs w:val="24"/>
          <w:lang w:eastAsia="en-AU"/>
        </w:rPr>
        <w:t>Cheryl McRae</w:t>
      </w:r>
      <w:r w:rsidR="00EF1F18" w:rsidRPr="00A419EA">
        <w:rPr>
          <w:rFonts w:ascii="Times New Roman" w:eastAsia="Times New Roman" w:hAnsi="Times New Roman" w:cs="Times New Roman"/>
          <w:b/>
          <w:bCs/>
          <w:sz w:val="24"/>
          <w:szCs w:val="24"/>
          <w:lang w:eastAsia="en-AU"/>
        </w:rPr>
        <w:t xml:space="preserve">, </w:t>
      </w:r>
      <w:r w:rsidR="00EF1F18" w:rsidRPr="00456FF8">
        <w:rPr>
          <w:rFonts w:ascii="Times New Roman" w:eastAsia="Times New Roman" w:hAnsi="Times New Roman" w:cs="Times New Roman"/>
          <w:b/>
          <w:bCs/>
          <w:sz w:val="24"/>
          <w:szCs w:val="24"/>
          <w:lang w:eastAsia="en-AU"/>
        </w:rPr>
        <w:t>delegate of the Minister for Health</w:t>
      </w:r>
      <w:r w:rsidR="00EF1F18">
        <w:rPr>
          <w:rFonts w:ascii="Times New Roman" w:eastAsia="Times New Roman" w:hAnsi="Times New Roman" w:cs="Times New Roman"/>
          <w:b/>
          <w:bCs/>
          <w:sz w:val="24"/>
          <w:szCs w:val="24"/>
          <w:lang w:eastAsia="en-AU"/>
        </w:rPr>
        <w:t xml:space="preserve"> </w:t>
      </w:r>
    </w:p>
    <w:sectPr w:rsidR="008C0845" w:rsidSect="00680B2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F0" w:rsidRDefault="009107F0" w:rsidP="008939B1">
      <w:pPr>
        <w:spacing w:after="0" w:line="240" w:lineRule="auto"/>
      </w:pPr>
      <w:r>
        <w:separator/>
      </w:r>
    </w:p>
  </w:endnote>
  <w:endnote w:type="continuationSeparator" w:id="0">
    <w:p w:rsidR="009107F0" w:rsidRDefault="009107F0" w:rsidP="008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F0" w:rsidRDefault="009107F0" w:rsidP="008939B1">
      <w:pPr>
        <w:spacing w:after="0" w:line="240" w:lineRule="auto"/>
      </w:pPr>
      <w:r>
        <w:separator/>
      </w:r>
    </w:p>
  </w:footnote>
  <w:footnote w:type="continuationSeparator" w:id="0">
    <w:p w:rsidR="009107F0" w:rsidRDefault="009107F0" w:rsidP="0089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E7C"/>
    <w:multiLevelType w:val="hybridMultilevel"/>
    <w:tmpl w:val="09B2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7A1138"/>
    <w:multiLevelType w:val="hybridMultilevel"/>
    <w:tmpl w:val="78D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F1B3A"/>
    <w:multiLevelType w:val="hybridMultilevel"/>
    <w:tmpl w:val="FE04A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C7F4187"/>
    <w:multiLevelType w:val="hybridMultilevel"/>
    <w:tmpl w:val="54B6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829A9"/>
    <w:multiLevelType w:val="hybridMultilevel"/>
    <w:tmpl w:val="1C94A412"/>
    <w:lvl w:ilvl="0" w:tplc="6B1A1AB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082C98"/>
    <w:multiLevelType w:val="hybridMultilevel"/>
    <w:tmpl w:val="0B10D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E397FC3"/>
    <w:multiLevelType w:val="hybridMultilevel"/>
    <w:tmpl w:val="5D143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F94564"/>
    <w:multiLevelType w:val="hybridMultilevel"/>
    <w:tmpl w:val="C6AA1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137580"/>
    <w:multiLevelType w:val="hybridMultilevel"/>
    <w:tmpl w:val="1318D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45"/>
    <w:rsid w:val="00005653"/>
    <w:rsid w:val="00007539"/>
    <w:rsid w:val="00014A86"/>
    <w:rsid w:val="000253EC"/>
    <w:rsid w:val="00042274"/>
    <w:rsid w:val="00045C71"/>
    <w:rsid w:val="00050B0F"/>
    <w:rsid w:val="00055505"/>
    <w:rsid w:val="0006051F"/>
    <w:rsid w:val="00066B2F"/>
    <w:rsid w:val="00072A36"/>
    <w:rsid w:val="00073166"/>
    <w:rsid w:val="00073AFE"/>
    <w:rsid w:val="000743AA"/>
    <w:rsid w:val="000805C8"/>
    <w:rsid w:val="0009412D"/>
    <w:rsid w:val="000A7327"/>
    <w:rsid w:val="000E1C1C"/>
    <w:rsid w:val="000E3020"/>
    <w:rsid w:val="000F4D51"/>
    <w:rsid w:val="00113AE2"/>
    <w:rsid w:val="00123510"/>
    <w:rsid w:val="001260D9"/>
    <w:rsid w:val="0013266B"/>
    <w:rsid w:val="00142FE8"/>
    <w:rsid w:val="00143BEC"/>
    <w:rsid w:val="00145ED6"/>
    <w:rsid w:val="00151C11"/>
    <w:rsid w:val="0015421F"/>
    <w:rsid w:val="00180117"/>
    <w:rsid w:val="00187288"/>
    <w:rsid w:val="00187B3D"/>
    <w:rsid w:val="00192658"/>
    <w:rsid w:val="0019281D"/>
    <w:rsid w:val="00197C3F"/>
    <w:rsid w:val="001A1891"/>
    <w:rsid w:val="001D15A8"/>
    <w:rsid w:val="001D3782"/>
    <w:rsid w:val="001D6B26"/>
    <w:rsid w:val="001F1830"/>
    <w:rsid w:val="001F626E"/>
    <w:rsid w:val="00201DC1"/>
    <w:rsid w:val="0020404A"/>
    <w:rsid w:val="00207B8A"/>
    <w:rsid w:val="00210E3C"/>
    <w:rsid w:val="00216B37"/>
    <w:rsid w:val="00226F3C"/>
    <w:rsid w:val="002323CF"/>
    <w:rsid w:val="00236ECD"/>
    <w:rsid w:val="0023720D"/>
    <w:rsid w:val="002374AC"/>
    <w:rsid w:val="00254970"/>
    <w:rsid w:val="0025627C"/>
    <w:rsid w:val="0026142F"/>
    <w:rsid w:val="00275D92"/>
    <w:rsid w:val="00284FF6"/>
    <w:rsid w:val="00287D9F"/>
    <w:rsid w:val="0029115B"/>
    <w:rsid w:val="00293C0C"/>
    <w:rsid w:val="002968E0"/>
    <w:rsid w:val="0029743B"/>
    <w:rsid w:val="002B741E"/>
    <w:rsid w:val="002B7A34"/>
    <w:rsid w:val="002C1322"/>
    <w:rsid w:val="002C4652"/>
    <w:rsid w:val="002D1160"/>
    <w:rsid w:val="002D3CD4"/>
    <w:rsid w:val="002D67DA"/>
    <w:rsid w:val="002E6160"/>
    <w:rsid w:val="002F5583"/>
    <w:rsid w:val="002F6548"/>
    <w:rsid w:val="00316B98"/>
    <w:rsid w:val="00322EC3"/>
    <w:rsid w:val="0032369E"/>
    <w:rsid w:val="003260F5"/>
    <w:rsid w:val="003307B8"/>
    <w:rsid w:val="003327D3"/>
    <w:rsid w:val="00337FDB"/>
    <w:rsid w:val="00340F3C"/>
    <w:rsid w:val="00345822"/>
    <w:rsid w:val="003811C0"/>
    <w:rsid w:val="0038203D"/>
    <w:rsid w:val="003A0BFB"/>
    <w:rsid w:val="003A20C5"/>
    <w:rsid w:val="003A2811"/>
    <w:rsid w:val="003A3E75"/>
    <w:rsid w:val="003A4D8C"/>
    <w:rsid w:val="003A59EA"/>
    <w:rsid w:val="003B4F23"/>
    <w:rsid w:val="003B7DAB"/>
    <w:rsid w:val="003C6D6E"/>
    <w:rsid w:val="003C7446"/>
    <w:rsid w:val="003D610C"/>
    <w:rsid w:val="003F01C5"/>
    <w:rsid w:val="00402AD7"/>
    <w:rsid w:val="0040312B"/>
    <w:rsid w:val="0040482D"/>
    <w:rsid w:val="00406749"/>
    <w:rsid w:val="00410EC3"/>
    <w:rsid w:val="00414CD9"/>
    <w:rsid w:val="0042665D"/>
    <w:rsid w:val="004325B5"/>
    <w:rsid w:val="00432CF7"/>
    <w:rsid w:val="00437C00"/>
    <w:rsid w:val="00437C42"/>
    <w:rsid w:val="00444741"/>
    <w:rsid w:val="0044599A"/>
    <w:rsid w:val="00446EA8"/>
    <w:rsid w:val="00456FF8"/>
    <w:rsid w:val="00461ED8"/>
    <w:rsid w:val="0046549C"/>
    <w:rsid w:val="004761AE"/>
    <w:rsid w:val="00477283"/>
    <w:rsid w:val="0049672B"/>
    <w:rsid w:val="004A68BB"/>
    <w:rsid w:val="004A7F16"/>
    <w:rsid w:val="004B4DF3"/>
    <w:rsid w:val="004C6EFE"/>
    <w:rsid w:val="004D7D5D"/>
    <w:rsid w:val="004E05C9"/>
    <w:rsid w:val="004F11F8"/>
    <w:rsid w:val="004F52D9"/>
    <w:rsid w:val="004F5754"/>
    <w:rsid w:val="004F601B"/>
    <w:rsid w:val="00503A36"/>
    <w:rsid w:val="00504F4D"/>
    <w:rsid w:val="00510EB5"/>
    <w:rsid w:val="005110EF"/>
    <w:rsid w:val="00511E85"/>
    <w:rsid w:val="00516446"/>
    <w:rsid w:val="00522A66"/>
    <w:rsid w:val="005300AF"/>
    <w:rsid w:val="00530B7D"/>
    <w:rsid w:val="00543F77"/>
    <w:rsid w:val="00546044"/>
    <w:rsid w:val="00546C0E"/>
    <w:rsid w:val="0055006E"/>
    <w:rsid w:val="00553D8E"/>
    <w:rsid w:val="005647D9"/>
    <w:rsid w:val="00567C3B"/>
    <w:rsid w:val="00567F6F"/>
    <w:rsid w:val="00571AF3"/>
    <w:rsid w:val="00576EB4"/>
    <w:rsid w:val="0058050E"/>
    <w:rsid w:val="00587C76"/>
    <w:rsid w:val="005A5867"/>
    <w:rsid w:val="005A5B1A"/>
    <w:rsid w:val="005C1E01"/>
    <w:rsid w:val="005C30DC"/>
    <w:rsid w:val="005C3927"/>
    <w:rsid w:val="005C475C"/>
    <w:rsid w:val="005D2839"/>
    <w:rsid w:val="005D7A92"/>
    <w:rsid w:val="005E1A47"/>
    <w:rsid w:val="005F1175"/>
    <w:rsid w:val="005F192D"/>
    <w:rsid w:val="005F2423"/>
    <w:rsid w:val="005F516E"/>
    <w:rsid w:val="005F524B"/>
    <w:rsid w:val="006003F5"/>
    <w:rsid w:val="00603428"/>
    <w:rsid w:val="006068A0"/>
    <w:rsid w:val="0062190F"/>
    <w:rsid w:val="00622033"/>
    <w:rsid w:val="006320B2"/>
    <w:rsid w:val="00633529"/>
    <w:rsid w:val="0063789C"/>
    <w:rsid w:val="00644F7C"/>
    <w:rsid w:val="00652960"/>
    <w:rsid w:val="00653B08"/>
    <w:rsid w:val="00665E71"/>
    <w:rsid w:val="00673DE0"/>
    <w:rsid w:val="00680B29"/>
    <w:rsid w:val="00685980"/>
    <w:rsid w:val="00686884"/>
    <w:rsid w:val="0069146E"/>
    <w:rsid w:val="006A3A8C"/>
    <w:rsid w:val="006A63BE"/>
    <w:rsid w:val="006B6D92"/>
    <w:rsid w:val="006C1D61"/>
    <w:rsid w:val="006C6DF0"/>
    <w:rsid w:val="006D768D"/>
    <w:rsid w:val="006E787D"/>
    <w:rsid w:val="006F0BA2"/>
    <w:rsid w:val="006F4A40"/>
    <w:rsid w:val="006F6F98"/>
    <w:rsid w:val="007040CD"/>
    <w:rsid w:val="0070680E"/>
    <w:rsid w:val="00706B96"/>
    <w:rsid w:val="007075E6"/>
    <w:rsid w:val="00716D98"/>
    <w:rsid w:val="00720518"/>
    <w:rsid w:val="00730B3D"/>
    <w:rsid w:val="00737E1D"/>
    <w:rsid w:val="0074268C"/>
    <w:rsid w:val="007445FE"/>
    <w:rsid w:val="0075281F"/>
    <w:rsid w:val="007537FC"/>
    <w:rsid w:val="00753C5B"/>
    <w:rsid w:val="007541DC"/>
    <w:rsid w:val="0077454E"/>
    <w:rsid w:val="00786056"/>
    <w:rsid w:val="007925F3"/>
    <w:rsid w:val="00794D3C"/>
    <w:rsid w:val="007A251F"/>
    <w:rsid w:val="007B019E"/>
    <w:rsid w:val="007B1478"/>
    <w:rsid w:val="007C6937"/>
    <w:rsid w:val="007D161A"/>
    <w:rsid w:val="007E62AA"/>
    <w:rsid w:val="007F6345"/>
    <w:rsid w:val="00804BAA"/>
    <w:rsid w:val="00810BFB"/>
    <w:rsid w:val="00814F7B"/>
    <w:rsid w:val="00815399"/>
    <w:rsid w:val="00822DF8"/>
    <w:rsid w:val="008238B7"/>
    <w:rsid w:val="008403C0"/>
    <w:rsid w:val="008416DD"/>
    <w:rsid w:val="008452B5"/>
    <w:rsid w:val="00845A4E"/>
    <w:rsid w:val="008501F3"/>
    <w:rsid w:val="008727AB"/>
    <w:rsid w:val="00873CEF"/>
    <w:rsid w:val="008833F0"/>
    <w:rsid w:val="00887720"/>
    <w:rsid w:val="00890B01"/>
    <w:rsid w:val="008939B1"/>
    <w:rsid w:val="00893D80"/>
    <w:rsid w:val="00894393"/>
    <w:rsid w:val="00895420"/>
    <w:rsid w:val="008B20FC"/>
    <w:rsid w:val="008B341F"/>
    <w:rsid w:val="008C0845"/>
    <w:rsid w:val="008C1892"/>
    <w:rsid w:val="008C64E0"/>
    <w:rsid w:val="008D2E76"/>
    <w:rsid w:val="008D3A14"/>
    <w:rsid w:val="008D4189"/>
    <w:rsid w:val="008E082F"/>
    <w:rsid w:val="008E298E"/>
    <w:rsid w:val="008E5682"/>
    <w:rsid w:val="008E6A84"/>
    <w:rsid w:val="008F596A"/>
    <w:rsid w:val="008F5C4E"/>
    <w:rsid w:val="00903A99"/>
    <w:rsid w:val="00905BC7"/>
    <w:rsid w:val="00907B73"/>
    <w:rsid w:val="009107F0"/>
    <w:rsid w:val="009127C8"/>
    <w:rsid w:val="00913CF7"/>
    <w:rsid w:val="00916D96"/>
    <w:rsid w:val="009357A3"/>
    <w:rsid w:val="0094113C"/>
    <w:rsid w:val="00945858"/>
    <w:rsid w:val="00955B2F"/>
    <w:rsid w:val="00955E93"/>
    <w:rsid w:val="00960091"/>
    <w:rsid w:val="00960206"/>
    <w:rsid w:val="009629C3"/>
    <w:rsid w:val="00977EF7"/>
    <w:rsid w:val="00990D02"/>
    <w:rsid w:val="009959B1"/>
    <w:rsid w:val="009A530B"/>
    <w:rsid w:val="009A537D"/>
    <w:rsid w:val="009B1DA1"/>
    <w:rsid w:val="009B31D6"/>
    <w:rsid w:val="009D3627"/>
    <w:rsid w:val="009D51D2"/>
    <w:rsid w:val="009E5A87"/>
    <w:rsid w:val="009F1E49"/>
    <w:rsid w:val="009F2BD2"/>
    <w:rsid w:val="009F3777"/>
    <w:rsid w:val="00A01E31"/>
    <w:rsid w:val="00A03B13"/>
    <w:rsid w:val="00A06715"/>
    <w:rsid w:val="00A10B2D"/>
    <w:rsid w:val="00A10F78"/>
    <w:rsid w:val="00A34A44"/>
    <w:rsid w:val="00A409E1"/>
    <w:rsid w:val="00A419EA"/>
    <w:rsid w:val="00A47C69"/>
    <w:rsid w:val="00A62B26"/>
    <w:rsid w:val="00A63D97"/>
    <w:rsid w:val="00A63F95"/>
    <w:rsid w:val="00A70EDF"/>
    <w:rsid w:val="00A73FA2"/>
    <w:rsid w:val="00A84DEA"/>
    <w:rsid w:val="00A8608C"/>
    <w:rsid w:val="00A94F6E"/>
    <w:rsid w:val="00AB4D85"/>
    <w:rsid w:val="00AB7E03"/>
    <w:rsid w:val="00AC0E83"/>
    <w:rsid w:val="00AC41A5"/>
    <w:rsid w:val="00AD01A3"/>
    <w:rsid w:val="00AE2E87"/>
    <w:rsid w:val="00AF2374"/>
    <w:rsid w:val="00AF70C1"/>
    <w:rsid w:val="00B028DC"/>
    <w:rsid w:val="00B03322"/>
    <w:rsid w:val="00B136FA"/>
    <w:rsid w:val="00B16543"/>
    <w:rsid w:val="00B229D8"/>
    <w:rsid w:val="00B43CEF"/>
    <w:rsid w:val="00B4506D"/>
    <w:rsid w:val="00B5769D"/>
    <w:rsid w:val="00B60F0C"/>
    <w:rsid w:val="00B66E04"/>
    <w:rsid w:val="00B72803"/>
    <w:rsid w:val="00B7641E"/>
    <w:rsid w:val="00B80545"/>
    <w:rsid w:val="00B82A8D"/>
    <w:rsid w:val="00B877B0"/>
    <w:rsid w:val="00BA016B"/>
    <w:rsid w:val="00BA150B"/>
    <w:rsid w:val="00BA3FDB"/>
    <w:rsid w:val="00BB0C79"/>
    <w:rsid w:val="00BB3518"/>
    <w:rsid w:val="00BC1EFA"/>
    <w:rsid w:val="00BC40E4"/>
    <w:rsid w:val="00BD02A2"/>
    <w:rsid w:val="00BD2902"/>
    <w:rsid w:val="00BE184C"/>
    <w:rsid w:val="00BE7EA1"/>
    <w:rsid w:val="00BF0F92"/>
    <w:rsid w:val="00BF7DD9"/>
    <w:rsid w:val="00C30116"/>
    <w:rsid w:val="00C55EE9"/>
    <w:rsid w:val="00C64C87"/>
    <w:rsid w:val="00C74D38"/>
    <w:rsid w:val="00C85FBC"/>
    <w:rsid w:val="00C86005"/>
    <w:rsid w:val="00C87CCD"/>
    <w:rsid w:val="00C92827"/>
    <w:rsid w:val="00C93C1A"/>
    <w:rsid w:val="00CA566F"/>
    <w:rsid w:val="00CA768A"/>
    <w:rsid w:val="00CC6EC4"/>
    <w:rsid w:val="00CC7D63"/>
    <w:rsid w:val="00CD6D87"/>
    <w:rsid w:val="00CE0B2D"/>
    <w:rsid w:val="00CE1E8C"/>
    <w:rsid w:val="00CE49AE"/>
    <w:rsid w:val="00CE5103"/>
    <w:rsid w:val="00D00D43"/>
    <w:rsid w:val="00D054A9"/>
    <w:rsid w:val="00D064A3"/>
    <w:rsid w:val="00D06C24"/>
    <w:rsid w:val="00D104BF"/>
    <w:rsid w:val="00D132B4"/>
    <w:rsid w:val="00D202AD"/>
    <w:rsid w:val="00D25169"/>
    <w:rsid w:val="00D2675E"/>
    <w:rsid w:val="00D40842"/>
    <w:rsid w:val="00D450ED"/>
    <w:rsid w:val="00D460EB"/>
    <w:rsid w:val="00D4773E"/>
    <w:rsid w:val="00D506AB"/>
    <w:rsid w:val="00D71DFE"/>
    <w:rsid w:val="00D73363"/>
    <w:rsid w:val="00D84DF2"/>
    <w:rsid w:val="00DA0372"/>
    <w:rsid w:val="00DA5DA3"/>
    <w:rsid w:val="00DB7FF6"/>
    <w:rsid w:val="00DC4741"/>
    <w:rsid w:val="00DC4C8C"/>
    <w:rsid w:val="00DD12DA"/>
    <w:rsid w:val="00DD7962"/>
    <w:rsid w:val="00DE79DF"/>
    <w:rsid w:val="00DF0880"/>
    <w:rsid w:val="00DF5293"/>
    <w:rsid w:val="00E01934"/>
    <w:rsid w:val="00E05ACE"/>
    <w:rsid w:val="00E06731"/>
    <w:rsid w:val="00E1152E"/>
    <w:rsid w:val="00E1463E"/>
    <w:rsid w:val="00E2024D"/>
    <w:rsid w:val="00E20723"/>
    <w:rsid w:val="00E32ED1"/>
    <w:rsid w:val="00E36564"/>
    <w:rsid w:val="00E368A6"/>
    <w:rsid w:val="00E41C3E"/>
    <w:rsid w:val="00E436CF"/>
    <w:rsid w:val="00E516A3"/>
    <w:rsid w:val="00E5765F"/>
    <w:rsid w:val="00E663A0"/>
    <w:rsid w:val="00E757B0"/>
    <w:rsid w:val="00E77437"/>
    <w:rsid w:val="00E82B82"/>
    <w:rsid w:val="00E83143"/>
    <w:rsid w:val="00E87D5E"/>
    <w:rsid w:val="00E93B09"/>
    <w:rsid w:val="00E9519B"/>
    <w:rsid w:val="00E97E68"/>
    <w:rsid w:val="00EA670C"/>
    <w:rsid w:val="00EB1BE3"/>
    <w:rsid w:val="00EB25AF"/>
    <w:rsid w:val="00EB67BE"/>
    <w:rsid w:val="00EC4B89"/>
    <w:rsid w:val="00EC4FAB"/>
    <w:rsid w:val="00ED02ED"/>
    <w:rsid w:val="00ED081D"/>
    <w:rsid w:val="00ED0A40"/>
    <w:rsid w:val="00EF1F18"/>
    <w:rsid w:val="00EF6E66"/>
    <w:rsid w:val="00F0557E"/>
    <w:rsid w:val="00F125E1"/>
    <w:rsid w:val="00F12793"/>
    <w:rsid w:val="00F211CC"/>
    <w:rsid w:val="00F340FC"/>
    <w:rsid w:val="00F464DC"/>
    <w:rsid w:val="00F52A03"/>
    <w:rsid w:val="00F610A7"/>
    <w:rsid w:val="00F67EF7"/>
    <w:rsid w:val="00F70C6F"/>
    <w:rsid w:val="00F84B7B"/>
    <w:rsid w:val="00F86FEE"/>
    <w:rsid w:val="00F951C9"/>
    <w:rsid w:val="00F954D2"/>
    <w:rsid w:val="00F96347"/>
    <w:rsid w:val="00F977F5"/>
    <w:rsid w:val="00FA19D6"/>
    <w:rsid w:val="00FA555C"/>
    <w:rsid w:val="00FC26CD"/>
    <w:rsid w:val="00FC38CE"/>
    <w:rsid w:val="00FC5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9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93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9B1"/>
  </w:style>
  <w:style w:type="paragraph" w:styleId="Footer">
    <w:name w:val="footer"/>
    <w:basedOn w:val="Normal"/>
    <w:link w:val="FooterChar"/>
    <w:uiPriority w:val="99"/>
    <w:unhideWhenUsed/>
    <w:rsid w:val="00893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9B1"/>
  </w:style>
  <w:style w:type="paragraph" w:styleId="BalloonText">
    <w:name w:val="Balloon Text"/>
    <w:basedOn w:val="Normal"/>
    <w:link w:val="BalloonTextChar"/>
    <w:uiPriority w:val="99"/>
    <w:semiHidden/>
    <w:unhideWhenUsed/>
    <w:rsid w:val="00DF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293"/>
    <w:rPr>
      <w:rFonts w:ascii="Tahoma" w:hAnsi="Tahoma" w:cs="Tahoma"/>
      <w:sz w:val="16"/>
      <w:szCs w:val="16"/>
    </w:rPr>
  </w:style>
  <w:style w:type="character" w:styleId="CommentReference">
    <w:name w:val="annotation reference"/>
    <w:basedOn w:val="DefaultParagraphFont"/>
    <w:uiPriority w:val="99"/>
    <w:semiHidden/>
    <w:unhideWhenUsed/>
    <w:rsid w:val="00FA555C"/>
    <w:rPr>
      <w:sz w:val="16"/>
      <w:szCs w:val="16"/>
    </w:rPr>
  </w:style>
  <w:style w:type="paragraph" w:styleId="CommentText">
    <w:name w:val="annotation text"/>
    <w:basedOn w:val="Normal"/>
    <w:link w:val="CommentTextChar"/>
    <w:uiPriority w:val="99"/>
    <w:unhideWhenUsed/>
    <w:rsid w:val="00FA555C"/>
    <w:pPr>
      <w:spacing w:line="240" w:lineRule="auto"/>
    </w:pPr>
    <w:rPr>
      <w:sz w:val="20"/>
      <w:szCs w:val="20"/>
    </w:rPr>
  </w:style>
  <w:style w:type="character" w:customStyle="1" w:styleId="CommentTextChar">
    <w:name w:val="Comment Text Char"/>
    <w:basedOn w:val="DefaultParagraphFont"/>
    <w:link w:val="CommentText"/>
    <w:uiPriority w:val="99"/>
    <w:rsid w:val="00FA555C"/>
    <w:rPr>
      <w:sz w:val="20"/>
      <w:szCs w:val="20"/>
    </w:rPr>
  </w:style>
  <w:style w:type="paragraph" w:styleId="CommentSubject">
    <w:name w:val="annotation subject"/>
    <w:basedOn w:val="CommentText"/>
    <w:next w:val="CommentText"/>
    <w:link w:val="CommentSubjectChar"/>
    <w:uiPriority w:val="99"/>
    <w:semiHidden/>
    <w:unhideWhenUsed/>
    <w:rsid w:val="00FA555C"/>
    <w:rPr>
      <w:b/>
      <w:bCs/>
    </w:rPr>
  </w:style>
  <w:style w:type="character" w:customStyle="1" w:styleId="CommentSubjectChar">
    <w:name w:val="Comment Subject Char"/>
    <w:basedOn w:val="CommentTextChar"/>
    <w:link w:val="CommentSubject"/>
    <w:uiPriority w:val="99"/>
    <w:semiHidden/>
    <w:rsid w:val="00FA555C"/>
    <w:rPr>
      <w:b/>
      <w:bCs/>
      <w:sz w:val="20"/>
      <w:szCs w:val="20"/>
    </w:rPr>
  </w:style>
  <w:style w:type="paragraph" w:styleId="Revision">
    <w:name w:val="Revision"/>
    <w:hidden/>
    <w:uiPriority w:val="99"/>
    <w:semiHidden/>
    <w:rsid w:val="00145ED6"/>
    <w:pPr>
      <w:spacing w:after="0" w:line="240" w:lineRule="auto"/>
    </w:pPr>
  </w:style>
  <w:style w:type="character" w:styleId="Hyperlink">
    <w:name w:val="Hyperlink"/>
    <w:uiPriority w:val="99"/>
    <w:rsid w:val="008416DD"/>
    <w:rPr>
      <w:color w:val="0D6F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668">
      <w:bodyDiv w:val="1"/>
      <w:marLeft w:val="0"/>
      <w:marRight w:val="0"/>
      <w:marTop w:val="0"/>
      <w:marBottom w:val="0"/>
      <w:divBdr>
        <w:top w:val="none" w:sz="0" w:space="0" w:color="auto"/>
        <w:left w:val="none" w:sz="0" w:space="0" w:color="auto"/>
        <w:bottom w:val="none" w:sz="0" w:space="0" w:color="auto"/>
        <w:right w:val="none" w:sz="0" w:space="0" w:color="auto"/>
      </w:divBdr>
      <w:divsChild>
        <w:div w:id="567114701">
          <w:marLeft w:val="0"/>
          <w:marRight w:val="0"/>
          <w:marTop w:val="0"/>
          <w:marBottom w:val="0"/>
          <w:divBdr>
            <w:top w:val="none" w:sz="0" w:space="0" w:color="auto"/>
            <w:left w:val="none" w:sz="0" w:space="0" w:color="auto"/>
            <w:bottom w:val="none" w:sz="0" w:space="0" w:color="auto"/>
            <w:right w:val="none" w:sz="0" w:space="0" w:color="auto"/>
          </w:divBdr>
          <w:divsChild>
            <w:div w:id="1585605544">
              <w:marLeft w:val="0"/>
              <w:marRight w:val="0"/>
              <w:marTop w:val="0"/>
              <w:marBottom w:val="0"/>
              <w:divBdr>
                <w:top w:val="none" w:sz="0" w:space="0" w:color="auto"/>
                <w:left w:val="none" w:sz="0" w:space="0" w:color="auto"/>
                <w:bottom w:val="none" w:sz="0" w:space="0" w:color="auto"/>
                <w:right w:val="none" w:sz="0" w:space="0" w:color="auto"/>
              </w:divBdr>
              <w:divsChild>
                <w:div w:id="1787844246">
                  <w:marLeft w:val="0"/>
                  <w:marRight w:val="0"/>
                  <w:marTop w:val="0"/>
                  <w:marBottom w:val="0"/>
                  <w:divBdr>
                    <w:top w:val="none" w:sz="0" w:space="0" w:color="auto"/>
                    <w:left w:val="none" w:sz="0" w:space="0" w:color="auto"/>
                    <w:bottom w:val="none" w:sz="0" w:space="0" w:color="auto"/>
                    <w:right w:val="none" w:sz="0" w:space="0" w:color="auto"/>
                  </w:divBdr>
                  <w:divsChild>
                    <w:div w:id="207033768">
                      <w:marLeft w:val="0"/>
                      <w:marRight w:val="0"/>
                      <w:marTop w:val="0"/>
                      <w:marBottom w:val="0"/>
                      <w:divBdr>
                        <w:top w:val="none" w:sz="0" w:space="0" w:color="auto"/>
                        <w:left w:val="none" w:sz="0" w:space="0" w:color="auto"/>
                        <w:bottom w:val="none" w:sz="0" w:space="0" w:color="auto"/>
                        <w:right w:val="none" w:sz="0" w:space="0" w:color="auto"/>
                      </w:divBdr>
                      <w:divsChild>
                        <w:div w:id="1948540865">
                          <w:marLeft w:val="0"/>
                          <w:marRight w:val="0"/>
                          <w:marTop w:val="0"/>
                          <w:marBottom w:val="0"/>
                          <w:divBdr>
                            <w:top w:val="none" w:sz="0" w:space="0" w:color="auto"/>
                            <w:left w:val="none" w:sz="0" w:space="0" w:color="auto"/>
                            <w:bottom w:val="none" w:sz="0" w:space="0" w:color="auto"/>
                            <w:right w:val="none" w:sz="0" w:space="0" w:color="auto"/>
                          </w:divBdr>
                          <w:divsChild>
                            <w:div w:id="1814176079">
                              <w:marLeft w:val="0"/>
                              <w:marRight w:val="0"/>
                              <w:marTop w:val="0"/>
                              <w:marBottom w:val="0"/>
                              <w:divBdr>
                                <w:top w:val="none" w:sz="0" w:space="0" w:color="auto"/>
                                <w:left w:val="none" w:sz="0" w:space="0" w:color="auto"/>
                                <w:bottom w:val="none" w:sz="0" w:space="0" w:color="auto"/>
                                <w:right w:val="none" w:sz="0" w:space="0" w:color="auto"/>
                              </w:divBdr>
                              <w:divsChild>
                                <w:div w:id="1768648928">
                                  <w:marLeft w:val="0"/>
                                  <w:marRight w:val="0"/>
                                  <w:marTop w:val="0"/>
                                  <w:marBottom w:val="0"/>
                                  <w:divBdr>
                                    <w:top w:val="none" w:sz="0" w:space="0" w:color="auto"/>
                                    <w:left w:val="none" w:sz="0" w:space="0" w:color="auto"/>
                                    <w:bottom w:val="none" w:sz="0" w:space="0" w:color="auto"/>
                                    <w:right w:val="none" w:sz="0" w:space="0" w:color="auto"/>
                                  </w:divBdr>
                                  <w:divsChild>
                                    <w:div w:id="138422544">
                                      <w:marLeft w:val="0"/>
                                      <w:marRight w:val="0"/>
                                      <w:marTop w:val="0"/>
                                      <w:marBottom w:val="0"/>
                                      <w:divBdr>
                                        <w:top w:val="none" w:sz="0" w:space="0" w:color="auto"/>
                                        <w:left w:val="none" w:sz="0" w:space="0" w:color="auto"/>
                                        <w:bottom w:val="none" w:sz="0" w:space="0" w:color="auto"/>
                                        <w:right w:val="none" w:sz="0" w:space="0" w:color="auto"/>
                                      </w:divBdr>
                                      <w:divsChild>
                                        <w:div w:id="1573657962">
                                          <w:marLeft w:val="0"/>
                                          <w:marRight w:val="0"/>
                                          <w:marTop w:val="0"/>
                                          <w:marBottom w:val="0"/>
                                          <w:divBdr>
                                            <w:top w:val="none" w:sz="0" w:space="0" w:color="auto"/>
                                            <w:left w:val="none" w:sz="0" w:space="0" w:color="auto"/>
                                            <w:bottom w:val="none" w:sz="0" w:space="0" w:color="auto"/>
                                            <w:right w:val="none" w:sz="0" w:space="0" w:color="auto"/>
                                          </w:divBdr>
                                          <w:divsChild>
                                            <w:div w:id="777067264">
                                              <w:marLeft w:val="0"/>
                                              <w:marRight w:val="0"/>
                                              <w:marTop w:val="0"/>
                                              <w:marBottom w:val="0"/>
                                              <w:divBdr>
                                                <w:top w:val="none" w:sz="0" w:space="0" w:color="auto"/>
                                                <w:left w:val="none" w:sz="0" w:space="0" w:color="auto"/>
                                                <w:bottom w:val="none" w:sz="0" w:space="0" w:color="auto"/>
                                                <w:right w:val="none" w:sz="0" w:space="0" w:color="auto"/>
                                              </w:divBdr>
                                              <w:divsChild>
                                                <w:div w:id="1056004223">
                                                  <w:marLeft w:val="0"/>
                                                  <w:marRight w:val="0"/>
                                                  <w:marTop w:val="0"/>
                                                  <w:marBottom w:val="0"/>
                                                  <w:divBdr>
                                                    <w:top w:val="none" w:sz="0" w:space="0" w:color="auto"/>
                                                    <w:left w:val="none" w:sz="0" w:space="0" w:color="auto"/>
                                                    <w:bottom w:val="none" w:sz="0" w:space="0" w:color="auto"/>
                                                    <w:right w:val="none" w:sz="0" w:space="0" w:color="auto"/>
                                                  </w:divBdr>
                                                  <w:divsChild>
                                                    <w:div w:id="1776901135">
                                                      <w:marLeft w:val="0"/>
                                                      <w:marRight w:val="0"/>
                                                      <w:marTop w:val="0"/>
                                                      <w:marBottom w:val="0"/>
                                                      <w:divBdr>
                                                        <w:top w:val="none" w:sz="0" w:space="0" w:color="auto"/>
                                                        <w:left w:val="none" w:sz="0" w:space="0" w:color="auto"/>
                                                        <w:bottom w:val="none" w:sz="0" w:space="0" w:color="auto"/>
                                                        <w:right w:val="none" w:sz="0" w:space="0" w:color="auto"/>
                                                      </w:divBdr>
                                                      <w:divsChild>
                                                        <w:div w:id="126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322756">
      <w:bodyDiv w:val="1"/>
      <w:marLeft w:val="0"/>
      <w:marRight w:val="0"/>
      <w:marTop w:val="0"/>
      <w:marBottom w:val="0"/>
      <w:divBdr>
        <w:top w:val="none" w:sz="0" w:space="0" w:color="auto"/>
        <w:left w:val="none" w:sz="0" w:space="0" w:color="auto"/>
        <w:bottom w:val="none" w:sz="0" w:space="0" w:color="auto"/>
        <w:right w:val="none" w:sz="0" w:space="0" w:color="auto"/>
      </w:divBdr>
      <w:divsChild>
        <w:div w:id="425535389">
          <w:marLeft w:val="0"/>
          <w:marRight w:val="0"/>
          <w:marTop w:val="0"/>
          <w:marBottom w:val="0"/>
          <w:divBdr>
            <w:top w:val="none" w:sz="0" w:space="0" w:color="auto"/>
            <w:left w:val="none" w:sz="0" w:space="0" w:color="auto"/>
            <w:bottom w:val="none" w:sz="0" w:space="0" w:color="auto"/>
            <w:right w:val="none" w:sz="0" w:space="0" w:color="auto"/>
          </w:divBdr>
          <w:divsChild>
            <w:div w:id="259263019">
              <w:marLeft w:val="0"/>
              <w:marRight w:val="0"/>
              <w:marTop w:val="0"/>
              <w:marBottom w:val="0"/>
              <w:divBdr>
                <w:top w:val="none" w:sz="0" w:space="0" w:color="auto"/>
                <w:left w:val="none" w:sz="0" w:space="0" w:color="auto"/>
                <w:bottom w:val="none" w:sz="0" w:space="0" w:color="auto"/>
                <w:right w:val="none" w:sz="0" w:space="0" w:color="auto"/>
              </w:divBdr>
              <w:divsChild>
                <w:div w:id="1883402999">
                  <w:marLeft w:val="0"/>
                  <w:marRight w:val="0"/>
                  <w:marTop w:val="0"/>
                  <w:marBottom w:val="0"/>
                  <w:divBdr>
                    <w:top w:val="none" w:sz="0" w:space="0" w:color="auto"/>
                    <w:left w:val="none" w:sz="0" w:space="0" w:color="auto"/>
                    <w:bottom w:val="none" w:sz="0" w:space="0" w:color="auto"/>
                    <w:right w:val="none" w:sz="0" w:space="0" w:color="auto"/>
                  </w:divBdr>
                  <w:divsChild>
                    <w:div w:id="2018076866">
                      <w:marLeft w:val="0"/>
                      <w:marRight w:val="0"/>
                      <w:marTop w:val="0"/>
                      <w:marBottom w:val="0"/>
                      <w:divBdr>
                        <w:top w:val="none" w:sz="0" w:space="0" w:color="auto"/>
                        <w:left w:val="none" w:sz="0" w:space="0" w:color="auto"/>
                        <w:bottom w:val="none" w:sz="0" w:space="0" w:color="auto"/>
                        <w:right w:val="none" w:sz="0" w:space="0" w:color="auto"/>
                      </w:divBdr>
                      <w:divsChild>
                        <w:div w:id="1637224309">
                          <w:marLeft w:val="0"/>
                          <w:marRight w:val="0"/>
                          <w:marTop w:val="0"/>
                          <w:marBottom w:val="0"/>
                          <w:divBdr>
                            <w:top w:val="none" w:sz="0" w:space="0" w:color="auto"/>
                            <w:left w:val="none" w:sz="0" w:space="0" w:color="auto"/>
                            <w:bottom w:val="none" w:sz="0" w:space="0" w:color="auto"/>
                            <w:right w:val="none" w:sz="0" w:space="0" w:color="auto"/>
                          </w:divBdr>
                          <w:divsChild>
                            <w:div w:id="1766614209">
                              <w:marLeft w:val="0"/>
                              <w:marRight w:val="0"/>
                              <w:marTop w:val="0"/>
                              <w:marBottom w:val="0"/>
                              <w:divBdr>
                                <w:top w:val="single" w:sz="6" w:space="0" w:color="828282"/>
                                <w:left w:val="single" w:sz="6" w:space="0" w:color="828282"/>
                                <w:bottom w:val="single" w:sz="6" w:space="0" w:color="828282"/>
                                <w:right w:val="single" w:sz="6" w:space="0" w:color="828282"/>
                              </w:divBdr>
                              <w:divsChild>
                                <w:div w:id="670765657">
                                  <w:marLeft w:val="0"/>
                                  <w:marRight w:val="0"/>
                                  <w:marTop w:val="0"/>
                                  <w:marBottom w:val="0"/>
                                  <w:divBdr>
                                    <w:top w:val="none" w:sz="0" w:space="0" w:color="auto"/>
                                    <w:left w:val="none" w:sz="0" w:space="0" w:color="auto"/>
                                    <w:bottom w:val="none" w:sz="0" w:space="0" w:color="auto"/>
                                    <w:right w:val="none" w:sz="0" w:space="0" w:color="auto"/>
                                  </w:divBdr>
                                  <w:divsChild>
                                    <w:div w:id="1375083406">
                                      <w:marLeft w:val="0"/>
                                      <w:marRight w:val="0"/>
                                      <w:marTop w:val="0"/>
                                      <w:marBottom w:val="0"/>
                                      <w:divBdr>
                                        <w:top w:val="none" w:sz="0" w:space="0" w:color="auto"/>
                                        <w:left w:val="none" w:sz="0" w:space="0" w:color="auto"/>
                                        <w:bottom w:val="none" w:sz="0" w:space="0" w:color="auto"/>
                                        <w:right w:val="none" w:sz="0" w:space="0" w:color="auto"/>
                                      </w:divBdr>
                                      <w:divsChild>
                                        <w:div w:id="1561867313">
                                          <w:marLeft w:val="0"/>
                                          <w:marRight w:val="0"/>
                                          <w:marTop w:val="0"/>
                                          <w:marBottom w:val="0"/>
                                          <w:divBdr>
                                            <w:top w:val="none" w:sz="0" w:space="0" w:color="auto"/>
                                            <w:left w:val="none" w:sz="0" w:space="0" w:color="auto"/>
                                            <w:bottom w:val="none" w:sz="0" w:space="0" w:color="auto"/>
                                            <w:right w:val="none" w:sz="0" w:space="0" w:color="auto"/>
                                          </w:divBdr>
                                          <w:divsChild>
                                            <w:div w:id="1815949116">
                                              <w:marLeft w:val="0"/>
                                              <w:marRight w:val="0"/>
                                              <w:marTop w:val="0"/>
                                              <w:marBottom w:val="0"/>
                                              <w:divBdr>
                                                <w:top w:val="none" w:sz="0" w:space="0" w:color="auto"/>
                                                <w:left w:val="none" w:sz="0" w:space="0" w:color="auto"/>
                                                <w:bottom w:val="none" w:sz="0" w:space="0" w:color="auto"/>
                                                <w:right w:val="none" w:sz="0" w:space="0" w:color="auto"/>
                                              </w:divBdr>
                                              <w:divsChild>
                                                <w:div w:id="589696631">
                                                  <w:marLeft w:val="0"/>
                                                  <w:marRight w:val="0"/>
                                                  <w:marTop w:val="0"/>
                                                  <w:marBottom w:val="0"/>
                                                  <w:divBdr>
                                                    <w:top w:val="none" w:sz="0" w:space="0" w:color="auto"/>
                                                    <w:left w:val="none" w:sz="0" w:space="0" w:color="auto"/>
                                                    <w:bottom w:val="none" w:sz="0" w:space="0" w:color="auto"/>
                                                    <w:right w:val="none" w:sz="0" w:space="0" w:color="auto"/>
                                                  </w:divBdr>
                                                  <w:divsChild>
                                                    <w:div w:id="1963072738">
                                                      <w:marLeft w:val="0"/>
                                                      <w:marRight w:val="0"/>
                                                      <w:marTop w:val="0"/>
                                                      <w:marBottom w:val="0"/>
                                                      <w:divBdr>
                                                        <w:top w:val="none" w:sz="0" w:space="0" w:color="auto"/>
                                                        <w:left w:val="none" w:sz="0" w:space="0" w:color="auto"/>
                                                        <w:bottom w:val="none" w:sz="0" w:space="0" w:color="auto"/>
                                                        <w:right w:val="none" w:sz="0" w:space="0" w:color="auto"/>
                                                      </w:divBdr>
                                                      <w:divsChild>
                                                        <w:div w:id="1388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90435">
      <w:bodyDiv w:val="1"/>
      <w:marLeft w:val="0"/>
      <w:marRight w:val="0"/>
      <w:marTop w:val="0"/>
      <w:marBottom w:val="0"/>
      <w:divBdr>
        <w:top w:val="none" w:sz="0" w:space="0" w:color="auto"/>
        <w:left w:val="none" w:sz="0" w:space="0" w:color="auto"/>
        <w:bottom w:val="none" w:sz="0" w:space="0" w:color="auto"/>
        <w:right w:val="none" w:sz="0" w:space="0" w:color="auto"/>
      </w:divBdr>
      <w:divsChild>
        <w:div w:id="207035492">
          <w:marLeft w:val="0"/>
          <w:marRight w:val="0"/>
          <w:marTop w:val="0"/>
          <w:marBottom w:val="0"/>
          <w:divBdr>
            <w:top w:val="none" w:sz="0" w:space="0" w:color="auto"/>
            <w:left w:val="none" w:sz="0" w:space="0" w:color="auto"/>
            <w:bottom w:val="none" w:sz="0" w:space="0" w:color="auto"/>
            <w:right w:val="none" w:sz="0" w:space="0" w:color="auto"/>
          </w:divBdr>
          <w:divsChild>
            <w:div w:id="1853445913">
              <w:marLeft w:val="0"/>
              <w:marRight w:val="0"/>
              <w:marTop w:val="0"/>
              <w:marBottom w:val="0"/>
              <w:divBdr>
                <w:top w:val="none" w:sz="0" w:space="0" w:color="auto"/>
                <w:left w:val="none" w:sz="0" w:space="0" w:color="auto"/>
                <w:bottom w:val="none" w:sz="0" w:space="0" w:color="auto"/>
                <w:right w:val="none" w:sz="0" w:space="0" w:color="auto"/>
              </w:divBdr>
              <w:divsChild>
                <w:div w:id="2099134358">
                  <w:marLeft w:val="0"/>
                  <w:marRight w:val="0"/>
                  <w:marTop w:val="0"/>
                  <w:marBottom w:val="0"/>
                  <w:divBdr>
                    <w:top w:val="none" w:sz="0" w:space="0" w:color="auto"/>
                    <w:left w:val="none" w:sz="0" w:space="0" w:color="auto"/>
                    <w:bottom w:val="none" w:sz="0" w:space="0" w:color="auto"/>
                    <w:right w:val="none" w:sz="0" w:space="0" w:color="auto"/>
                  </w:divBdr>
                  <w:divsChild>
                    <w:div w:id="1790274124">
                      <w:marLeft w:val="0"/>
                      <w:marRight w:val="0"/>
                      <w:marTop w:val="0"/>
                      <w:marBottom w:val="0"/>
                      <w:divBdr>
                        <w:top w:val="none" w:sz="0" w:space="0" w:color="auto"/>
                        <w:left w:val="none" w:sz="0" w:space="0" w:color="auto"/>
                        <w:bottom w:val="none" w:sz="0" w:space="0" w:color="auto"/>
                        <w:right w:val="none" w:sz="0" w:space="0" w:color="auto"/>
                      </w:divBdr>
                      <w:divsChild>
                        <w:div w:id="1118142279">
                          <w:marLeft w:val="0"/>
                          <w:marRight w:val="0"/>
                          <w:marTop w:val="0"/>
                          <w:marBottom w:val="0"/>
                          <w:divBdr>
                            <w:top w:val="none" w:sz="0" w:space="0" w:color="auto"/>
                            <w:left w:val="none" w:sz="0" w:space="0" w:color="auto"/>
                            <w:bottom w:val="none" w:sz="0" w:space="0" w:color="auto"/>
                            <w:right w:val="none" w:sz="0" w:space="0" w:color="auto"/>
                          </w:divBdr>
                          <w:divsChild>
                            <w:div w:id="34698356">
                              <w:marLeft w:val="0"/>
                              <w:marRight w:val="0"/>
                              <w:marTop w:val="0"/>
                              <w:marBottom w:val="0"/>
                              <w:divBdr>
                                <w:top w:val="single" w:sz="6" w:space="0" w:color="828282"/>
                                <w:left w:val="single" w:sz="6" w:space="0" w:color="828282"/>
                                <w:bottom w:val="single" w:sz="6" w:space="0" w:color="828282"/>
                                <w:right w:val="single" w:sz="6" w:space="0" w:color="828282"/>
                              </w:divBdr>
                              <w:divsChild>
                                <w:div w:id="178396556">
                                  <w:marLeft w:val="0"/>
                                  <w:marRight w:val="0"/>
                                  <w:marTop w:val="0"/>
                                  <w:marBottom w:val="0"/>
                                  <w:divBdr>
                                    <w:top w:val="none" w:sz="0" w:space="0" w:color="auto"/>
                                    <w:left w:val="none" w:sz="0" w:space="0" w:color="auto"/>
                                    <w:bottom w:val="none" w:sz="0" w:space="0" w:color="auto"/>
                                    <w:right w:val="none" w:sz="0" w:space="0" w:color="auto"/>
                                  </w:divBdr>
                                  <w:divsChild>
                                    <w:div w:id="238487663">
                                      <w:marLeft w:val="0"/>
                                      <w:marRight w:val="0"/>
                                      <w:marTop w:val="0"/>
                                      <w:marBottom w:val="0"/>
                                      <w:divBdr>
                                        <w:top w:val="none" w:sz="0" w:space="0" w:color="auto"/>
                                        <w:left w:val="none" w:sz="0" w:space="0" w:color="auto"/>
                                        <w:bottom w:val="none" w:sz="0" w:space="0" w:color="auto"/>
                                        <w:right w:val="none" w:sz="0" w:space="0" w:color="auto"/>
                                      </w:divBdr>
                                      <w:divsChild>
                                        <w:div w:id="752891691">
                                          <w:marLeft w:val="0"/>
                                          <w:marRight w:val="0"/>
                                          <w:marTop w:val="0"/>
                                          <w:marBottom w:val="0"/>
                                          <w:divBdr>
                                            <w:top w:val="none" w:sz="0" w:space="0" w:color="auto"/>
                                            <w:left w:val="none" w:sz="0" w:space="0" w:color="auto"/>
                                            <w:bottom w:val="none" w:sz="0" w:space="0" w:color="auto"/>
                                            <w:right w:val="none" w:sz="0" w:space="0" w:color="auto"/>
                                          </w:divBdr>
                                          <w:divsChild>
                                            <w:div w:id="1730152878">
                                              <w:marLeft w:val="0"/>
                                              <w:marRight w:val="0"/>
                                              <w:marTop w:val="0"/>
                                              <w:marBottom w:val="0"/>
                                              <w:divBdr>
                                                <w:top w:val="none" w:sz="0" w:space="0" w:color="auto"/>
                                                <w:left w:val="none" w:sz="0" w:space="0" w:color="auto"/>
                                                <w:bottom w:val="none" w:sz="0" w:space="0" w:color="auto"/>
                                                <w:right w:val="none" w:sz="0" w:space="0" w:color="auto"/>
                                              </w:divBdr>
                                              <w:divsChild>
                                                <w:div w:id="1814178605">
                                                  <w:marLeft w:val="0"/>
                                                  <w:marRight w:val="0"/>
                                                  <w:marTop w:val="0"/>
                                                  <w:marBottom w:val="0"/>
                                                  <w:divBdr>
                                                    <w:top w:val="none" w:sz="0" w:space="0" w:color="auto"/>
                                                    <w:left w:val="none" w:sz="0" w:space="0" w:color="auto"/>
                                                    <w:bottom w:val="none" w:sz="0" w:space="0" w:color="auto"/>
                                                    <w:right w:val="none" w:sz="0" w:space="0" w:color="auto"/>
                                                  </w:divBdr>
                                                  <w:divsChild>
                                                    <w:div w:id="1294287152">
                                                      <w:marLeft w:val="0"/>
                                                      <w:marRight w:val="0"/>
                                                      <w:marTop w:val="0"/>
                                                      <w:marBottom w:val="0"/>
                                                      <w:divBdr>
                                                        <w:top w:val="none" w:sz="0" w:space="0" w:color="auto"/>
                                                        <w:left w:val="none" w:sz="0" w:space="0" w:color="auto"/>
                                                        <w:bottom w:val="none" w:sz="0" w:space="0" w:color="auto"/>
                                                        <w:right w:val="none" w:sz="0" w:space="0" w:color="auto"/>
                                                      </w:divBdr>
                                                      <w:divsChild>
                                                        <w:div w:id="486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0619043">
      <w:bodyDiv w:val="1"/>
      <w:marLeft w:val="0"/>
      <w:marRight w:val="0"/>
      <w:marTop w:val="0"/>
      <w:marBottom w:val="0"/>
      <w:divBdr>
        <w:top w:val="none" w:sz="0" w:space="0" w:color="auto"/>
        <w:left w:val="none" w:sz="0" w:space="0" w:color="auto"/>
        <w:bottom w:val="none" w:sz="0" w:space="0" w:color="auto"/>
        <w:right w:val="none" w:sz="0" w:space="0" w:color="auto"/>
      </w:divBdr>
    </w:div>
    <w:div w:id="1476950187">
      <w:bodyDiv w:val="1"/>
      <w:marLeft w:val="0"/>
      <w:marRight w:val="0"/>
      <w:marTop w:val="0"/>
      <w:marBottom w:val="0"/>
      <w:divBdr>
        <w:top w:val="none" w:sz="0" w:space="0" w:color="auto"/>
        <w:left w:val="none" w:sz="0" w:space="0" w:color="auto"/>
        <w:bottom w:val="none" w:sz="0" w:space="0" w:color="auto"/>
        <w:right w:val="none" w:sz="0" w:space="0" w:color="auto"/>
      </w:divBdr>
      <w:divsChild>
        <w:div w:id="447352975">
          <w:marLeft w:val="0"/>
          <w:marRight w:val="0"/>
          <w:marTop w:val="0"/>
          <w:marBottom w:val="0"/>
          <w:divBdr>
            <w:top w:val="none" w:sz="0" w:space="0" w:color="auto"/>
            <w:left w:val="none" w:sz="0" w:space="0" w:color="auto"/>
            <w:bottom w:val="none" w:sz="0" w:space="0" w:color="auto"/>
            <w:right w:val="none" w:sz="0" w:space="0" w:color="auto"/>
          </w:divBdr>
          <w:divsChild>
            <w:div w:id="845100530">
              <w:marLeft w:val="0"/>
              <w:marRight w:val="0"/>
              <w:marTop w:val="0"/>
              <w:marBottom w:val="0"/>
              <w:divBdr>
                <w:top w:val="none" w:sz="0" w:space="0" w:color="auto"/>
                <w:left w:val="none" w:sz="0" w:space="0" w:color="auto"/>
                <w:bottom w:val="none" w:sz="0" w:space="0" w:color="auto"/>
                <w:right w:val="none" w:sz="0" w:space="0" w:color="auto"/>
              </w:divBdr>
              <w:divsChild>
                <w:div w:id="663631664">
                  <w:marLeft w:val="0"/>
                  <w:marRight w:val="0"/>
                  <w:marTop w:val="0"/>
                  <w:marBottom w:val="0"/>
                  <w:divBdr>
                    <w:top w:val="none" w:sz="0" w:space="0" w:color="auto"/>
                    <w:left w:val="none" w:sz="0" w:space="0" w:color="auto"/>
                    <w:bottom w:val="none" w:sz="0" w:space="0" w:color="auto"/>
                    <w:right w:val="none" w:sz="0" w:space="0" w:color="auto"/>
                  </w:divBdr>
                  <w:divsChild>
                    <w:div w:id="880869947">
                      <w:marLeft w:val="0"/>
                      <w:marRight w:val="0"/>
                      <w:marTop w:val="0"/>
                      <w:marBottom w:val="0"/>
                      <w:divBdr>
                        <w:top w:val="none" w:sz="0" w:space="0" w:color="auto"/>
                        <w:left w:val="none" w:sz="0" w:space="0" w:color="auto"/>
                        <w:bottom w:val="none" w:sz="0" w:space="0" w:color="auto"/>
                        <w:right w:val="none" w:sz="0" w:space="0" w:color="auto"/>
                      </w:divBdr>
                      <w:divsChild>
                        <w:div w:id="581305245">
                          <w:marLeft w:val="0"/>
                          <w:marRight w:val="0"/>
                          <w:marTop w:val="0"/>
                          <w:marBottom w:val="0"/>
                          <w:divBdr>
                            <w:top w:val="none" w:sz="0" w:space="0" w:color="auto"/>
                            <w:left w:val="none" w:sz="0" w:space="0" w:color="auto"/>
                            <w:bottom w:val="none" w:sz="0" w:space="0" w:color="auto"/>
                            <w:right w:val="none" w:sz="0" w:space="0" w:color="auto"/>
                          </w:divBdr>
                          <w:divsChild>
                            <w:div w:id="1352605912">
                              <w:marLeft w:val="0"/>
                              <w:marRight w:val="0"/>
                              <w:marTop w:val="0"/>
                              <w:marBottom w:val="0"/>
                              <w:divBdr>
                                <w:top w:val="single" w:sz="6" w:space="0" w:color="828282"/>
                                <w:left w:val="single" w:sz="6" w:space="0" w:color="828282"/>
                                <w:bottom w:val="single" w:sz="6" w:space="0" w:color="828282"/>
                                <w:right w:val="single" w:sz="6" w:space="0" w:color="828282"/>
                              </w:divBdr>
                              <w:divsChild>
                                <w:div w:id="14696441">
                                  <w:marLeft w:val="0"/>
                                  <w:marRight w:val="0"/>
                                  <w:marTop w:val="0"/>
                                  <w:marBottom w:val="0"/>
                                  <w:divBdr>
                                    <w:top w:val="none" w:sz="0" w:space="0" w:color="auto"/>
                                    <w:left w:val="none" w:sz="0" w:space="0" w:color="auto"/>
                                    <w:bottom w:val="none" w:sz="0" w:space="0" w:color="auto"/>
                                    <w:right w:val="none" w:sz="0" w:space="0" w:color="auto"/>
                                  </w:divBdr>
                                  <w:divsChild>
                                    <w:div w:id="358505702">
                                      <w:marLeft w:val="0"/>
                                      <w:marRight w:val="0"/>
                                      <w:marTop w:val="0"/>
                                      <w:marBottom w:val="0"/>
                                      <w:divBdr>
                                        <w:top w:val="none" w:sz="0" w:space="0" w:color="auto"/>
                                        <w:left w:val="none" w:sz="0" w:space="0" w:color="auto"/>
                                        <w:bottom w:val="none" w:sz="0" w:space="0" w:color="auto"/>
                                        <w:right w:val="none" w:sz="0" w:space="0" w:color="auto"/>
                                      </w:divBdr>
                                      <w:divsChild>
                                        <w:div w:id="748189898">
                                          <w:marLeft w:val="0"/>
                                          <w:marRight w:val="0"/>
                                          <w:marTop w:val="0"/>
                                          <w:marBottom w:val="0"/>
                                          <w:divBdr>
                                            <w:top w:val="none" w:sz="0" w:space="0" w:color="auto"/>
                                            <w:left w:val="none" w:sz="0" w:space="0" w:color="auto"/>
                                            <w:bottom w:val="none" w:sz="0" w:space="0" w:color="auto"/>
                                            <w:right w:val="none" w:sz="0" w:space="0" w:color="auto"/>
                                          </w:divBdr>
                                          <w:divsChild>
                                            <w:div w:id="1719812977">
                                              <w:marLeft w:val="0"/>
                                              <w:marRight w:val="0"/>
                                              <w:marTop w:val="0"/>
                                              <w:marBottom w:val="0"/>
                                              <w:divBdr>
                                                <w:top w:val="none" w:sz="0" w:space="0" w:color="auto"/>
                                                <w:left w:val="none" w:sz="0" w:space="0" w:color="auto"/>
                                                <w:bottom w:val="none" w:sz="0" w:space="0" w:color="auto"/>
                                                <w:right w:val="none" w:sz="0" w:space="0" w:color="auto"/>
                                              </w:divBdr>
                                              <w:divsChild>
                                                <w:div w:id="156649286">
                                                  <w:marLeft w:val="0"/>
                                                  <w:marRight w:val="0"/>
                                                  <w:marTop w:val="0"/>
                                                  <w:marBottom w:val="0"/>
                                                  <w:divBdr>
                                                    <w:top w:val="none" w:sz="0" w:space="0" w:color="auto"/>
                                                    <w:left w:val="none" w:sz="0" w:space="0" w:color="auto"/>
                                                    <w:bottom w:val="none" w:sz="0" w:space="0" w:color="auto"/>
                                                    <w:right w:val="none" w:sz="0" w:space="0" w:color="auto"/>
                                                  </w:divBdr>
                                                  <w:divsChild>
                                                    <w:div w:id="1967461965">
                                                      <w:marLeft w:val="0"/>
                                                      <w:marRight w:val="0"/>
                                                      <w:marTop w:val="0"/>
                                                      <w:marBottom w:val="0"/>
                                                      <w:divBdr>
                                                        <w:top w:val="none" w:sz="0" w:space="0" w:color="auto"/>
                                                        <w:left w:val="none" w:sz="0" w:space="0" w:color="auto"/>
                                                        <w:bottom w:val="none" w:sz="0" w:space="0" w:color="auto"/>
                                                        <w:right w:val="none" w:sz="0" w:space="0" w:color="auto"/>
                                                      </w:divBdr>
                                                      <w:divsChild>
                                                        <w:div w:id="16973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C64A-33BF-4006-9015-A6B825A6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Vimala</dc:creator>
  <cp:lastModifiedBy>Carter, Bless</cp:lastModifiedBy>
  <cp:revision>3</cp:revision>
  <cp:lastPrinted>2019-08-27T23:37:00Z</cp:lastPrinted>
  <dcterms:created xsi:type="dcterms:W3CDTF">2019-08-27T23:41:00Z</dcterms:created>
  <dcterms:modified xsi:type="dcterms:W3CDTF">2019-08-28T00:17:00Z</dcterms:modified>
</cp:coreProperties>
</file>