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DA249" w14:textId="77777777" w:rsidR="00D4785C" w:rsidRPr="00314FAC" w:rsidRDefault="00D4785C" w:rsidP="00314FAC">
      <w:pPr>
        <w:overflowPunct/>
        <w:autoSpaceDE/>
        <w:autoSpaceDN/>
        <w:adjustRightInd/>
        <w:spacing w:after="160" w:line="259" w:lineRule="auto"/>
        <w:jc w:val="center"/>
        <w:textAlignment w:val="auto"/>
        <w:rPr>
          <w:rFonts w:eastAsiaTheme="minorHAnsi"/>
          <w:b/>
          <w:sz w:val="28"/>
          <w:szCs w:val="28"/>
          <w:lang w:eastAsia="en-US"/>
        </w:rPr>
      </w:pPr>
      <w:r w:rsidRPr="00314FAC">
        <w:rPr>
          <w:rFonts w:eastAsiaTheme="minorHAnsi"/>
          <w:b/>
          <w:sz w:val="28"/>
          <w:szCs w:val="28"/>
          <w:lang w:eastAsia="en-US"/>
        </w:rPr>
        <w:t>EXPLANATORY STATEMENT</w:t>
      </w:r>
    </w:p>
    <w:p w14:paraId="501789FC" w14:textId="77777777" w:rsidR="00D4785C" w:rsidRPr="00AE27A9" w:rsidRDefault="00251D97" w:rsidP="00AE27A9">
      <w:pPr>
        <w:overflowPunct/>
        <w:autoSpaceDE/>
        <w:autoSpaceDN/>
        <w:adjustRightInd/>
        <w:spacing w:after="160" w:line="259" w:lineRule="auto"/>
        <w:jc w:val="center"/>
        <w:textAlignment w:val="auto"/>
        <w:rPr>
          <w:rFonts w:eastAsiaTheme="minorHAnsi"/>
          <w:sz w:val="22"/>
          <w:szCs w:val="22"/>
          <w:lang w:eastAsia="en-US"/>
        </w:rPr>
      </w:pPr>
      <w:r w:rsidRPr="00AE27A9">
        <w:rPr>
          <w:rFonts w:eastAsiaTheme="minorHAnsi"/>
          <w:sz w:val="22"/>
          <w:szCs w:val="22"/>
          <w:lang w:eastAsia="en-US"/>
        </w:rPr>
        <w:t xml:space="preserve">Approved </w:t>
      </w:r>
      <w:r w:rsidR="00D4785C" w:rsidRPr="00AE27A9">
        <w:rPr>
          <w:rFonts w:eastAsiaTheme="minorHAnsi"/>
          <w:sz w:val="22"/>
          <w:szCs w:val="22"/>
          <w:lang w:eastAsia="en-US"/>
        </w:rPr>
        <w:t>by the Australian Communications and Media Authority</w:t>
      </w:r>
    </w:p>
    <w:p w14:paraId="32155C9E" w14:textId="77777777" w:rsidR="009C13A4" w:rsidRPr="0017466D" w:rsidRDefault="009C13A4" w:rsidP="0017466D">
      <w:pPr>
        <w:overflowPunct/>
        <w:autoSpaceDE/>
        <w:autoSpaceDN/>
        <w:adjustRightInd/>
        <w:spacing w:after="160" w:line="259" w:lineRule="auto"/>
        <w:jc w:val="center"/>
        <w:textAlignment w:val="auto"/>
        <w:rPr>
          <w:rFonts w:eastAsiaTheme="minorHAnsi"/>
          <w:i/>
          <w:sz w:val="22"/>
          <w:szCs w:val="22"/>
          <w:lang w:eastAsia="en-US"/>
        </w:rPr>
      </w:pPr>
      <w:r w:rsidRPr="0017466D">
        <w:rPr>
          <w:rFonts w:eastAsiaTheme="minorHAnsi"/>
          <w:i/>
          <w:sz w:val="22"/>
          <w:szCs w:val="22"/>
          <w:lang w:eastAsia="en-US"/>
        </w:rPr>
        <w:t>Radiocommunications Act 1992</w:t>
      </w:r>
    </w:p>
    <w:p w14:paraId="788EEB97" w14:textId="40956341" w:rsidR="00D4785C" w:rsidRPr="00B9144C" w:rsidRDefault="00D4785C" w:rsidP="00B9144C">
      <w:pPr>
        <w:overflowPunct/>
        <w:autoSpaceDE/>
        <w:autoSpaceDN/>
        <w:adjustRightInd/>
        <w:spacing w:after="160" w:line="259" w:lineRule="auto"/>
        <w:jc w:val="center"/>
        <w:textAlignment w:val="auto"/>
        <w:rPr>
          <w:rFonts w:eastAsiaTheme="minorHAnsi"/>
          <w:b/>
          <w:i/>
          <w:sz w:val="22"/>
          <w:szCs w:val="22"/>
          <w:lang w:eastAsia="en-US"/>
        </w:rPr>
      </w:pPr>
      <w:r w:rsidRPr="00B9144C">
        <w:rPr>
          <w:rFonts w:eastAsiaTheme="minorHAnsi"/>
          <w:b/>
          <w:i/>
          <w:sz w:val="22"/>
          <w:szCs w:val="22"/>
          <w:lang w:eastAsia="en-US"/>
        </w:rPr>
        <w:t>Radiocommunications (Low Interference Potential Devices) Class Licence Variation 201</w:t>
      </w:r>
      <w:r w:rsidR="002F44C4" w:rsidRPr="00B9144C">
        <w:rPr>
          <w:rFonts w:eastAsiaTheme="minorHAnsi"/>
          <w:b/>
          <w:i/>
          <w:sz w:val="22"/>
          <w:szCs w:val="22"/>
          <w:lang w:eastAsia="en-US"/>
        </w:rPr>
        <w:t xml:space="preserve">9 </w:t>
      </w:r>
      <w:r w:rsidRPr="00B9144C">
        <w:rPr>
          <w:rFonts w:eastAsiaTheme="minorHAnsi"/>
          <w:b/>
          <w:i/>
          <w:sz w:val="22"/>
          <w:szCs w:val="22"/>
          <w:lang w:eastAsia="en-US"/>
        </w:rPr>
        <w:t>(No. 1)</w:t>
      </w:r>
    </w:p>
    <w:p w14:paraId="431A5FEC" w14:textId="77777777" w:rsidR="009C13A4" w:rsidRPr="00EA36D8" w:rsidRDefault="009C13A4" w:rsidP="00EA36D8">
      <w:pPr>
        <w:overflowPunct/>
        <w:autoSpaceDE/>
        <w:autoSpaceDN/>
        <w:adjustRightInd/>
        <w:spacing w:before="280" w:after="160" w:line="259" w:lineRule="auto"/>
        <w:textAlignment w:val="auto"/>
        <w:rPr>
          <w:rFonts w:eastAsiaTheme="minorHAnsi"/>
          <w:b/>
          <w:sz w:val="22"/>
          <w:szCs w:val="22"/>
          <w:lang w:eastAsia="en-US"/>
        </w:rPr>
      </w:pPr>
      <w:r w:rsidRPr="00EA36D8">
        <w:rPr>
          <w:rFonts w:eastAsiaTheme="minorHAnsi"/>
          <w:b/>
          <w:sz w:val="22"/>
          <w:szCs w:val="22"/>
          <w:lang w:eastAsia="en-US"/>
        </w:rPr>
        <w:t>Authority</w:t>
      </w:r>
    </w:p>
    <w:p w14:paraId="65DEAF1B" w14:textId="37E1A013" w:rsidR="009C13A4" w:rsidRPr="00B44294" w:rsidRDefault="009C13A4" w:rsidP="009C13A4">
      <w:pPr>
        <w:pStyle w:val="BodyText"/>
        <w:spacing w:line="260" w:lineRule="atLeast"/>
        <w:rPr>
          <w:sz w:val="22"/>
          <w:szCs w:val="22"/>
        </w:rPr>
      </w:pPr>
      <w:r w:rsidRPr="00B44294">
        <w:rPr>
          <w:sz w:val="22"/>
          <w:szCs w:val="22"/>
        </w:rPr>
        <w:t>The Australian Communications and Media Authority (</w:t>
      </w:r>
      <w:r w:rsidRPr="00B44294">
        <w:rPr>
          <w:b/>
          <w:sz w:val="22"/>
          <w:szCs w:val="22"/>
        </w:rPr>
        <w:t>the ACMA</w:t>
      </w:r>
      <w:r w:rsidRPr="00B44294">
        <w:rPr>
          <w:sz w:val="22"/>
          <w:szCs w:val="22"/>
        </w:rPr>
        <w:t xml:space="preserve">) has made the </w:t>
      </w:r>
      <w:r w:rsidRPr="00B44294">
        <w:rPr>
          <w:i/>
          <w:sz w:val="22"/>
          <w:szCs w:val="22"/>
        </w:rPr>
        <w:t>Radiocommunications (Low Interference Potential Devices) Class Licence Variation 201</w:t>
      </w:r>
      <w:r w:rsidR="0023358E" w:rsidRPr="00B44294">
        <w:rPr>
          <w:i/>
          <w:sz w:val="22"/>
          <w:szCs w:val="22"/>
        </w:rPr>
        <w:t>9</w:t>
      </w:r>
      <w:r w:rsidRPr="00B44294">
        <w:rPr>
          <w:i/>
          <w:sz w:val="22"/>
          <w:szCs w:val="22"/>
        </w:rPr>
        <w:t xml:space="preserve"> (No. 1)</w:t>
      </w:r>
      <w:r w:rsidRPr="00B44294">
        <w:rPr>
          <w:sz w:val="22"/>
          <w:szCs w:val="22"/>
        </w:rPr>
        <w:t xml:space="preserve"> (</w:t>
      </w:r>
      <w:r w:rsidRPr="00B44294">
        <w:rPr>
          <w:b/>
          <w:sz w:val="22"/>
          <w:szCs w:val="22"/>
        </w:rPr>
        <w:t>the instrument</w:t>
      </w:r>
      <w:r w:rsidRPr="00B44294">
        <w:rPr>
          <w:sz w:val="22"/>
          <w:szCs w:val="22"/>
        </w:rPr>
        <w:t xml:space="preserve">) under section 132 of the </w:t>
      </w:r>
      <w:r w:rsidRPr="00B44294">
        <w:rPr>
          <w:i/>
          <w:sz w:val="22"/>
          <w:szCs w:val="22"/>
        </w:rPr>
        <w:t xml:space="preserve">Radiocommunications Act 1992 </w:t>
      </w:r>
      <w:r w:rsidR="00263F69" w:rsidRPr="00B44294">
        <w:rPr>
          <w:sz w:val="22"/>
          <w:szCs w:val="22"/>
        </w:rPr>
        <w:t>(</w:t>
      </w:r>
      <w:r w:rsidR="00263F69" w:rsidRPr="00B44294">
        <w:rPr>
          <w:b/>
          <w:sz w:val="22"/>
          <w:szCs w:val="22"/>
        </w:rPr>
        <w:t>the Act</w:t>
      </w:r>
      <w:r w:rsidR="00263F69" w:rsidRPr="00B44294">
        <w:rPr>
          <w:sz w:val="22"/>
          <w:szCs w:val="22"/>
        </w:rPr>
        <w:t xml:space="preserve">) </w:t>
      </w:r>
      <w:r w:rsidRPr="00B44294">
        <w:rPr>
          <w:sz w:val="22"/>
          <w:szCs w:val="22"/>
        </w:rPr>
        <w:t xml:space="preserve">and subsection 33(3) of the </w:t>
      </w:r>
      <w:r w:rsidRPr="00B44294">
        <w:rPr>
          <w:i/>
          <w:sz w:val="22"/>
          <w:szCs w:val="22"/>
        </w:rPr>
        <w:t>Acts Interpretation Act 1901</w:t>
      </w:r>
      <w:r w:rsidRPr="00B44294">
        <w:rPr>
          <w:sz w:val="22"/>
          <w:szCs w:val="22"/>
        </w:rPr>
        <w:t xml:space="preserve"> (</w:t>
      </w:r>
      <w:r w:rsidRPr="00B44294">
        <w:rPr>
          <w:b/>
          <w:sz w:val="22"/>
          <w:szCs w:val="22"/>
        </w:rPr>
        <w:t>the AIA</w:t>
      </w:r>
      <w:r w:rsidRPr="00B44294">
        <w:rPr>
          <w:sz w:val="22"/>
          <w:szCs w:val="22"/>
        </w:rPr>
        <w:t xml:space="preserve">). </w:t>
      </w:r>
    </w:p>
    <w:p w14:paraId="2AF09EDD" w14:textId="73ED7CD3" w:rsidR="004C7AD2" w:rsidRPr="00B44294" w:rsidRDefault="004C7AD2" w:rsidP="004C7AD2">
      <w:pPr>
        <w:spacing w:before="120" w:after="120" w:line="260" w:lineRule="atLeast"/>
        <w:rPr>
          <w:sz w:val="22"/>
          <w:szCs w:val="22"/>
        </w:rPr>
      </w:pPr>
      <w:r w:rsidRPr="00B44294">
        <w:rPr>
          <w:sz w:val="22"/>
          <w:szCs w:val="22"/>
        </w:rPr>
        <w:t xml:space="preserve">Section 132 of the </w:t>
      </w:r>
      <w:r w:rsidR="00263F69" w:rsidRPr="00B44294">
        <w:rPr>
          <w:sz w:val="22"/>
          <w:szCs w:val="22"/>
        </w:rPr>
        <w:t xml:space="preserve">Act </w:t>
      </w:r>
      <w:r w:rsidRPr="00B44294">
        <w:rPr>
          <w:sz w:val="22"/>
          <w:szCs w:val="22"/>
        </w:rPr>
        <w:t>allows the ACMA, by legislative instrument, to issue class licences</w:t>
      </w:r>
      <w:r w:rsidR="00DC697C">
        <w:rPr>
          <w:sz w:val="22"/>
          <w:szCs w:val="22"/>
        </w:rPr>
        <w:t xml:space="preserve"> to authorise any person to operate a radiocommunications device of a specified kind or for a specified purpose</w:t>
      </w:r>
      <w:r w:rsidRPr="00B44294">
        <w:rPr>
          <w:sz w:val="22"/>
          <w:szCs w:val="22"/>
        </w:rPr>
        <w:t>.</w:t>
      </w:r>
    </w:p>
    <w:p w14:paraId="6C0B4805" w14:textId="77777777" w:rsidR="004C7AD2" w:rsidRPr="00B44294" w:rsidRDefault="004C7AD2" w:rsidP="004C7AD2">
      <w:pPr>
        <w:spacing w:before="120" w:after="120" w:line="260" w:lineRule="atLeast"/>
        <w:rPr>
          <w:sz w:val="22"/>
          <w:szCs w:val="22"/>
        </w:rPr>
      </w:pPr>
      <w:r w:rsidRPr="00B44294">
        <w:rPr>
          <w:sz w:val="22"/>
          <w:szCs w:val="22"/>
        </w:rPr>
        <w:t>Subsection 33(3) of the AIA relevantly provides that, where an Act confers a power to make, grant or issue an instrument of a legislative character, the power shall be construed as including a power exercisable in the like manner and subject to the like conditions (if any) to repeal, rescind, revoke, amend or vary any such instrument.</w:t>
      </w:r>
    </w:p>
    <w:p w14:paraId="07D6C974" w14:textId="1681B695" w:rsidR="004C7AD2" w:rsidRPr="00B44294" w:rsidRDefault="004C7AD2" w:rsidP="004C7AD2">
      <w:pPr>
        <w:spacing w:before="120" w:after="120" w:line="260" w:lineRule="atLeast"/>
        <w:rPr>
          <w:sz w:val="22"/>
          <w:szCs w:val="22"/>
        </w:rPr>
      </w:pPr>
      <w:r w:rsidRPr="00B44294">
        <w:rPr>
          <w:sz w:val="22"/>
          <w:szCs w:val="22"/>
        </w:rPr>
        <w:t xml:space="preserve">Section 134 of the Act provides that, to avoid doubt, the power to vary a class licence in accordance with subsection 33(3) of the AIA includes the power to vary the class licence by including one or more further conditions or revoking any conditions of the class licence. </w:t>
      </w:r>
    </w:p>
    <w:p w14:paraId="55FB0E54" w14:textId="661FDA52" w:rsidR="004C7AD2" w:rsidRPr="00B44294" w:rsidRDefault="004C7AD2" w:rsidP="004C7AD2">
      <w:pPr>
        <w:spacing w:before="120" w:after="120" w:line="260" w:lineRule="atLeast"/>
        <w:rPr>
          <w:sz w:val="22"/>
          <w:szCs w:val="22"/>
        </w:rPr>
      </w:pPr>
      <w:r w:rsidRPr="00B44294">
        <w:rPr>
          <w:color w:val="000000"/>
          <w:sz w:val="22"/>
          <w:szCs w:val="22"/>
        </w:rPr>
        <w:t xml:space="preserve">Section 136 of the Act requires </w:t>
      </w:r>
      <w:r w:rsidR="00A21636" w:rsidRPr="00B44294">
        <w:rPr>
          <w:color w:val="000000"/>
          <w:sz w:val="22"/>
          <w:szCs w:val="22"/>
        </w:rPr>
        <w:t xml:space="preserve">the </w:t>
      </w:r>
      <w:r w:rsidRPr="00B44294">
        <w:rPr>
          <w:color w:val="000000"/>
          <w:sz w:val="22"/>
          <w:szCs w:val="22"/>
        </w:rPr>
        <w:t>ACMA, before varying a class licence, to invite persons to make representations about the proposed variation and provid</w:t>
      </w:r>
      <w:r w:rsidR="00A21636" w:rsidRPr="00B44294">
        <w:rPr>
          <w:color w:val="000000"/>
          <w:sz w:val="22"/>
          <w:szCs w:val="22"/>
        </w:rPr>
        <w:t>e</w:t>
      </w:r>
      <w:r w:rsidRPr="00B44294">
        <w:rPr>
          <w:color w:val="000000"/>
          <w:sz w:val="22"/>
          <w:szCs w:val="22"/>
        </w:rPr>
        <w:t xml:space="preserve"> those persons with at least one month from the date of publication in which to make those representations</w:t>
      </w:r>
      <w:r w:rsidRPr="00B44294">
        <w:rPr>
          <w:sz w:val="22"/>
          <w:szCs w:val="22"/>
        </w:rPr>
        <w:t xml:space="preserve">. </w:t>
      </w:r>
      <w:r w:rsidR="00D75373" w:rsidRPr="00B44294">
        <w:rPr>
          <w:sz w:val="22"/>
          <w:szCs w:val="22"/>
        </w:rPr>
        <w:t>D</w:t>
      </w:r>
      <w:r w:rsidRPr="00B44294">
        <w:rPr>
          <w:sz w:val="22"/>
          <w:szCs w:val="22"/>
        </w:rPr>
        <w:t xml:space="preserve">etails about the consultation undertaken </w:t>
      </w:r>
      <w:r w:rsidR="00D75373" w:rsidRPr="00B44294">
        <w:rPr>
          <w:sz w:val="22"/>
          <w:szCs w:val="22"/>
        </w:rPr>
        <w:t>are</w:t>
      </w:r>
      <w:r w:rsidRPr="00B44294">
        <w:rPr>
          <w:sz w:val="22"/>
          <w:szCs w:val="22"/>
        </w:rPr>
        <w:t xml:space="preserve"> set out below.</w:t>
      </w:r>
      <w:r w:rsidR="00C76278" w:rsidRPr="00B44294">
        <w:rPr>
          <w:sz w:val="22"/>
          <w:szCs w:val="22"/>
        </w:rPr>
        <w:t xml:space="preserve"> Section 136 also requires the ACMA, before varying a class licence, if the variation would affect spectrum allocated, to be allocated or to be re-allocated by issuing or re-issuing spectrum licences, to be satisfied that the variation would not result in unacceptable levels of interference to the operation of radiocommunications devices operated, or likely to be operated, under spectrum licences, and that the variation of the class licence would be in the public interest.  </w:t>
      </w:r>
    </w:p>
    <w:p w14:paraId="6FA8BB0A" w14:textId="216A9DB6" w:rsidR="00EF1394" w:rsidRPr="00B44294" w:rsidRDefault="004C7AD2" w:rsidP="004C7AD2">
      <w:pPr>
        <w:spacing w:before="120" w:after="120" w:line="260" w:lineRule="atLeast"/>
        <w:rPr>
          <w:sz w:val="22"/>
          <w:szCs w:val="22"/>
        </w:rPr>
      </w:pPr>
      <w:r w:rsidRPr="00B44294">
        <w:rPr>
          <w:sz w:val="22"/>
          <w:szCs w:val="22"/>
        </w:rPr>
        <w:t xml:space="preserve">Section 137 provides that the ACMA must not issue a class licence that is inconsistent with the spectrum plan or any relevant frequency band plans. The ACMA has made the </w:t>
      </w:r>
      <w:r w:rsidR="00C76278" w:rsidRPr="00B44294">
        <w:rPr>
          <w:sz w:val="22"/>
          <w:szCs w:val="22"/>
        </w:rPr>
        <w:t>i</w:t>
      </w:r>
      <w:r w:rsidR="00263F69" w:rsidRPr="00B44294">
        <w:rPr>
          <w:sz w:val="22"/>
          <w:szCs w:val="22"/>
        </w:rPr>
        <w:t>nstrument</w:t>
      </w:r>
      <w:r w:rsidRPr="00B44294">
        <w:rPr>
          <w:sz w:val="22"/>
          <w:szCs w:val="22"/>
        </w:rPr>
        <w:t xml:space="preserve"> in accordance with sections 132</w:t>
      </w:r>
      <w:r w:rsidR="00C76278" w:rsidRPr="00B44294">
        <w:rPr>
          <w:sz w:val="22"/>
          <w:szCs w:val="22"/>
        </w:rPr>
        <w:t>,</w:t>
      </w:r>
      <w:r w:rsidRPr="00B44294">
        <w:rPr>
          <w:sz w:val="22"/>
          <w:szCs w:val="22"/>
        </w:rPr>
        <w:t xml:space="preserve"> 136 </w:t>
      </w:r>
      <w:r w:rsidR="00C76278" w:rsidRPr="00B44294">
        <w:rPr>
          <w:sz w:val="22"/>
          <w:szCs w:val="22"/>
        </w:rPr>
        <w:t xml:space="preserve">and 137 </w:t>
      </w:r>
      <w:r w:rsidRPr="00B44294">
        <w:rPr>
          <w:sz w:val="22"/>
          <w:szCs w:val="22"/>
        </w:rPr>
        <w:t>of the Act, and subsection 33(3) of the AIA.</w:t>
      </w:r>
    </w:p>
    <w:p w14:paraId="076942DD" w14:textId="77777777" w:rsidR="00D4785C" w:rsidRPr="00B44294" w:rsidRDefault="00D4785C" w:rsidP="00D4785C">
      <w:pPr>
        <w:pStyle w:val="indenta"/>
        <w:tabs>
          <w:tab w:val="left" w:pos="720"/>
        </w:tabs>
        <w:spacing w:before="120" w:after="120"/>
        <w:ind w:left="0" w:firstLine="0"/>
        <w:jc w:val="both"/>
        <w:rPr>
          <w:rFonts w:ascii="Times New Roman" w:hAnsi="Times New Roman"/>
          <w:b/>
          <w:szCs w:val="22"/>
        </w:rPr>
      </w:pPr>
      <w:r w:rsidRPr="00B44294">
        <w:rPr>
          <w:rFonts w:ascii="Times New Roman" w:hAnsi="Times New Roman"/>
          <w:b/>
          <w:szCs w:val="22"/>
        </w:rPr>
        <w:t>Purpose</w:t>
      </w:r>
      <w:r w:rsidR="004C7AD2" w:rsidRPr="00B44294">
        <w:rPr>
          <w:rFonts w:ascii="Times New Roman" w:hAnsi="Times New Roman"/>
          <w:b/>
          <w:szCs w:val="22"/>
        </w:rPr>
        <w:t xml:space="preserve"> and operation of the instrument</w:t>
      </w:r>
    </w:p>
    <w:p w14:paraId="592F2165" w14:textId="77777777" w:rsidR="00196F71" w:rsidRDefault="00D4785C" w:rsidP="00302DBB">
      <w:pPr>
        <w:pStyle w:val="BodyText"/>
        <w:spacing w:before="120" w:line="260" w:lineRule="atLeast"/>
        <w:rPr>
          <w:sz w:val="22"/>
          <w:szCs w:val="22"/>
        </w:rPr>
      </w:pPr>
      <w:r w:rsidRPr="00B44294">
        <w:rPr>
          <w:sz w:val="22"/>
          <w:szCs w:val="22"/>
        </w:rPr>
        <w:t xml:space="preserve">The </w:t>
      </w:r>
      <w:r w:rsidR="00480684" w:rsidRPr="00B44294">
        <w:rPr>
          <w:sz w:val="22"/>
          <w:szCs w:val="22"/>
        </w:rPr>
        <w:t>instrument</w:t>
      </w:r>
      <w:r w:rsidRPr="00B44294">
        <w:rPr>
          <w:sz w:val="22"/>
          <w:szCs w:val="22"/>
        </w:rPr>
        <w:t xml:space="preserve"> varies the </w:t>
      </w:r>
      <w:r w:rsidRPr="00B44294">
        <w:rPr>
          <w:i/>
          <w:sz w:val="22"/>
          <w:szCs w:val="22"/>
        </w:rPr>
        <w:t xml:space="preserve">Radiocommunications (Low Interference Potential Devices) Class Licence 2015 </w:t>
      </w:r>
      <w:r w:rsidRPr="00B44294">
        <w:rPr>
          <w:sz w:val="22"/>
          <w:szCs w:val="22"/>
        </w:rPr>
        <w:t>(</w:t>
      </w:r>
      <w:r w:rsidRPr="00B44294">
        <w:rPr>
          <w:b/>
          <w:sz w:val="22"/>
          <w:szCs w:val="22"/>
        </w:rPr>
        <w:t>the</w:t>
      </w:r>
      <w:r w:rsidRPr="00B44294">
        <w:rPr>
          <w:sz w:val="22"/>
          <w:szCs w:val="22"/>
        </w:rPr>
        <w:t xml:space="preserve"> </w:t>
      </w:r>
      <w:r w:rsidRPr="00B44294">
        <w:rPr>
          <w:b/>
          <w:sz w:val="22"/>
          <w:szCs w:val="22"/>
        </w:rPr>
        <w:t>LIPD</w:t>
      </w:r>
      <w:r w:rsidRPr="00B44294">
        <w:rPr>
          <w:sz w:val="22"/>
          <w:szCs w:val="22"/>
        </w:rPr>
        <w:t xml:space="preserve"> </w:t>
      </w:r>
      <w:r w:rsidRPr="00B44294">
        <w:rPr>
          <w:b/>
          <w:sz w:val="22"/>
          <w:szCs w:val="22"/>
        </w:rPr>
        <w:t>Class</w:t>
      </w:r>
      <w:r w:rsidRPr="00B44294">
        <w:rPr>
          <w:sz w:val="22"/>
          <w:szCs w:val="22"/>
        </w:rPr>
        <w:t xml:space="preserve"> </w:t>
      </w:r>
      <w:r w:rsidRPr="00B44294">
        <w:rPr>
          <w:b/>
          <w:sz w:val="22"/>
          <w:szCs w:val="22"/>
        </w:rPr>
        <w:t>Licence</w:t>
      </w:r>
      <w:r w:rsidRPr="00B44294">
        <w:rPr>
          <w:sz w:val="22"/>
          <w:szCs w:val="22"/>
        </w:rPr>
        <w:t>) to</w:t>
      </w:r>
      <w:r w:rsidR="00196F71">
        <w:rPr>
          <w:sz w:val="22"/>
          <w:szCs w:val="22"/>
        </w:rPr>
        <w:t>:</w:t>
      </w:r>
    </w:p>
    <w:p w14:paraId="3560B59C" w14:textId="152051D1" w:rsidR="009775AC" w:rsidRDefault="00CC5622" w:rsidP="00196F71">
      <w:pPr>
        <w:pStyle w:val="BodyText"/>
        <w:numPr>
          <w:ilvl w:val="0"/>
          <w:numId w:val="28"/>
        </w:numPr>
        <w:spacing w:before="120" w:after="0" w:line="260" w:lineRule="atLeast"/>
        <w:ind w:left="777" w:hanging="357"/>
        <w:rPr>
          <w:sz w:val="22"/>
          <w:szCs w:val="22"/>
        </w:rPr>
      </w:pPr>
      <w:r w:rsidRPr="00B44294">
        <w:rPr>
          <w:sz w:val="22"/>
          <w:szCs w:val="22"/>
        </w:rPr>
        <w:t xml:space="preserve">update </w:t>
      </w:r>
      <w:r w:rsidR="00E2147A" w:rsidRPr="00B44294">
        <w:rPr>
          <w:sz w:val="22"/>
          <w:szCs w:val="22"/>
        </w:rPr>
        <w:t>arrangement</w:t>
      </w:r>
      <w:r w:rsidR="00633212" w:rsidRPr="00B44294">
        <w:rPr>
          <w:sz w:val="22"/>
          <w:szCs w:val="22"/>
        </w:rPr>
        <w:t>s</w:t>
      </w:r>
      <w:r w:rsidR="00E2147A" w:rsidRPr="00B44294">
        <w:rPr>
          <w:sz w:val="22"/>
          <w:szCs w:val="22"/>
        </w:rPr>
        <w:t xml:space="preserve"> for data communication </w:t>
      </w:r>
      <w:r w:rsidR="008F4ED3" w:rsidRPr="00B44294">
        <w:rPr>
          <w:sz w:val="22"/>
          <w:szCs w:val="22"/>
        </w:rPr>
        <w:t>transmitters</w:t>
      </w:r>
      <w:r w:rsidR="00633212" w:rsidRPr="00B44294">
        <w:rPr>
          <w:sz w:val="22"/>
          <w:szCs w:val="22"/>
        </w:rPr>
        <w:t xml:space="preserve"> and fixed point-to-point link</w:t>
      </w:r>
      <w:r w:rsidR="008F4ED3" w:rsidRPr="00B44294">
        <w:rPr>
          <w:sz w:val="22"/>
          <w:szCs w:val="22"/>
        </w:rPr>
        <w:t xml:space="preserve"> transmitters and extend their authori</w:t>
      </w:r>
      <w:r w:rsidR="008600A0">
        <w:rPr>
          <w:sz w:val="22"/>
          <w:szCs w:val="22"/>
        </w:rPr>
        <w:t>s</w:t>
      </w:r>
      <w:r w:rsidR="008F4ED3" w:rsidRPr="00B44294">
        <w:rPr>
          <w:sz w:val="22"/>
          <w:szCs w:val="22"/>
        </w:rPr>
        <w:t xml:space="preserve">ed frequency band </w:t>
      </w:r>
      <w:r w:rsidR="00613808" w:rsidRPr="00B44294">
        <w:rPr>
          <w:sz w:val="22"/>
          <w:szCs w:val="22"/>
        </w:rPr>
        <w:t>from 57-66 GHz to 57-71 GHz</w:t>
      </w:r>
      <w:r w:rsidR="00196F71">
        <w:rPr>
          <w:sz w:val="22"/>
          <w:szCs w:val="22"/>
        </w:rPr>
        <w:t>;</w:t>
      </w:r>
    </w:p>
    <w:p w14:paraId="51F22799" w14:textId="64BF82AF" w:rsidR="0076262C" w:rsidRDefault="00D4785C" w:rsidP="0076262C">
      <w:pPr>
        <w:pStyle w:val="BodyText"/>
        <w:numPr>
          <w:ilvl w:val="0"/>
          <w:numId w:val="28"/>
        </w:numPr>
        <w:spacing w:before="120" w:after="0" w:line="260" w:lineRule="atLeast"/>
        <w:ind w:left="777" w:hanging="357"/>
        <w:rPr>
          <w:sz w:val="22"/>
          <w:szCs w:val="22"/>
        </w:rPr>
      </w:pPr>
      <w:r w:rsidRPr="00B44294">
        <w:rPr>
          <w:sz w:val="22"/>
          <w:szCs w:val="22"/>
        </w:rPr>
        <w:t xml:space="preserve">include </w:t>
      </w:r>
      <w:r w:rsidR="004270E0" w:rsidRPr="00B44294">
        <w:rPr>
          <w:sz w:val="22"/>
          <w:szCs w:val="22"/>
        </w:rPr>
        <w:t>new arrangement</w:t>
      </w:r>
      <w:r w:rsidR="00A21636" w:rsidRPr="00B44294">
        <w:rPr>
          <w:sz w:val="22"/>
          <w:szCs w:val="22"/>
        </w:rPr>
        <w:t>s</w:t>
      </w:r>
      <w:r w:rsidR="00827661" w:rsidRPr="00B44294">
        <w:rPr>
          <w:sz w:val="22"/>
          <w:szCs w:val="22"/>
        </w:rPr>
        <w:t xml:space="preserve"> for </w:t>
      </w:r>
      <w:r w:rsidR="004270E0" w:rsidRPr="00B44294">
        <w:rPr>
          <w:sz w:val="22"/>
          <w:szCs w:val="22"/>
        </w:rPr>
        <w:t xml:space="preserve">all transmitters operating in the </w:t>
      </w:r>
      <w:r w:rsidR="00A26BEA" w:rsidRPr="00B44294">
        <w:rPr>
          <w:sz w:val="22"/>
          <w:szCs w:val="22"/>
        </w:rPr>
        <w:t>57-64</w:t>
      </w:r>
      <w:r w:rsidR="004270E0" w:rsidRPr="00B44294">
        <w:rPr>
          <w:sz w:val="22"/>
          <w:szCs w:val="22"/>
        </w:rPr>
        <w:t xml:space="preserve"> </w:t>
      </w:r>
      <w:r w:rsidR="00A26BEA" w:rsidRPr="00B44294">
        <w:rPr>
          <w:sz w:val="22"/>
          <w:szCs w:val="22"/>
        </w:rPr>
        <w:t>G</w:t>
      </w:r>
      <w:r w:rsidR="004270E0" w:rsidRPr="00B44294">
        <w:rPr>
          <w:sz w:val="22"/>
          <w:szCs w:val="22"/>
        </w:rPr>
        <w:t xml:space="preserve">Hz </w:t>
      </w:r>
      <w:r w:rsidR="00916FA5" w:rsidRPr="00B44294">
        <w:rPr>
          <w:sz w:val="22"/>
          <w:szCs w:val="22"/>
        </w:rPr>
        <w:t>band</w:t>
      </w:r>
      <w:r w:rsidR="0076262C">
        <w:rPr>
          <w:sz w:val="22"/>
          <w:szCs w:val="22"/>
        </w:rPr>
        <w:t>;</w:t>
      </w:r>
    </w:p>
    <w:p w14:paraId="6F40BDAA" w14:textId="150ED4C6" w:rsidR="0076262C" w:rsidRDefault="004270E0" w:rsidP="0076262C">
      <w:pPr>
        <w:pStyle w:val="BodyText"/>
        <w:numPr>
          <w:ilvl w:val="0"/>
          <w:numId w:val="28"/>
        </w:numPr>
        <w:spacing w:before="120" w:after="0" w:line="260" w:lineRule="atLeast"/>
        <w:ind w:left="777" w:hanging="357"/>
        <w:rPr>
          <w:sz w:val="22"/>
          <w:szCs w:val="22"/>
        </w:rPr>
      </w:pPr>
      <w:r w:rsidRPr="00B44294">
        <w:rPr>
          <w:sz w:val="22"/>
          <w:szCs w:val="22"/>
        </w:rPr>
        <w:t xml:space="preserve"> </w:t>
      </w:r>
      <w:r w:rsidR="001F6CAC" w:rsidRPr="00B44294">
        <w:rPr>
          <w:sz w:val="22"/>
          <w:szCs w:val="22"/>
        </w:rPr>
        <w:t>revise</w:t>
      </w:r>
      <w:r w:rsidRPr="00B44294">
        <w:rPr>
          <w:sz w:val="22"/>
          <w:szCs w:val="22"/>
        </w:rPr>
        <w:t xml:space="preserve"> arrangements for </w:t>
      </w:r>
      <w:r w:rsidR="001F6CAC" w:rsidRPr="00B44294">
        <w:rPr>
          <w:sz w:val="22"/>
          <w:szCs w:val="22"/>
        </w:rPr>
        <w:t xml:space="preserve">underground transmitters </w:t>
      </w:r>
      <w:r w:rsidRPr="00B44294">
        <w:rPr>
          <w:sz w:val="22"/>
          <w:szCs w:val="22"/>
        </w:rPr>
        <w:t>operating in</w:t>
      </w:r>
      <w:r w:rsidR="00043909" w:rsidRPr="00B44294">
        <w:rPr>
          <w:sz w:val="22"/>
          <w:szCs w:val="22"/>
        </w:rPr>
        <w:t xml:space="preserve"> the </w:t>
      </w:r>
      <w:r w:rsidR="00680A4A" w:rsidRPr="00B44294">
        <w:rPr>
          <w:sz w:val="22"/>
          <w:szCs w:val="22"/>
        </w:rPr>
        <w:t>70-520</w:t>
      </w:r>
      <w:r w:rsidRPr="00B44294">
        <w:rPr>
          <w:sz w:val="22"/>
          <w:szCs w:val="22"/>
        </w:rPr>
        <w:t xml:space="preserve"> MHz band</w:t>
      </w:r>
      <w:r w:rsidR="0076262C">
        <w:rPr>
          <w:sz w:val="22"/>
          <w:szCs w:val="22"/>
        </w:rPr>
        <w:t>;</w:t>
      </w:r>
    </w:p>
    <w:p w14:paraId="7A199FF5" w14:textId="6E93B7E0" w:rsidR="0076262C" w:rsidRDefault="00DE6D02" w:rsidP="0076262C">
      <w:pPr>
        <w:pStyle w:val="BodyText"/>
        <w:numPr>
          <w:ilvl w:val="0"/>
          <w:numId w:val="28"/>
        </w:numPr>
        <w:spacing w:before="120" w:after="0" w:line="260" w:lineRule="atLeast"/>
        <w:ind w:left="777" w:hanging="357"/>
        <w:rPr>
          <w:sz w:val="22"/>
          <w:szCs w:val="22"/>
        </w:rPr>
      </w:pPr>
      <w:r>
        <w:rPr>
          <w:sz w:val="22"/>
          <w:szCs w:val="22"/>
        </w:rPr>
        <w:t>authorise the operation of</w:t>
      </w:r>
      <w:r w:rsidR="00680A4A" w:rsidRPr="00B44294">
        <w:rPr>
          <w:sz w:val="22"/>
          <w:szCs w:val="22"/>
        </w:rPr>
        <w:t xml:space="preserve"> higher power radiodetermination </w:t>
      </w:r>
      <w:r w:rsidR="00DA3DA3" w:rsidRPr="00B44294">
        <w:rPr>
          <w:sz w:val="22"/>
          <w:szCs w:val="22"/>
        </w:rPr>
        <w:t>transmitters</w:t>
      </w:r>
      <w:r w:rsidR="004270E0" w:rsidRPr="00B44294">
        <w:rPr>
          <w:sz w:val="22"/>
          <w:szCs w:val="22"/>
        </w:rPr>
        <w:t xml:space="preserve"> in the </w:t>
      </w:r>
      <w:r w:rsidR="00DA3DA3" w:rsidRPr="00B44294">
        <w:rPr>
          <w:sz w:val="22"/>
          <w:szCs w:val="22"/>
        </w:rPr>
        <w:t>76</w:t>
      </w:r>
      <w:r w:rsidR="00043909" w:rsidRPr="00B44294">
        <w:rPr>
          <w:sz w:val="22"/>
          <w:szCs w:val="22"/>
        </w:rPr>
        <w:t>-</w:t>
      </w:r>
      <w:r w:rsidR="00DA3DA3" w:rsidRPr="00B44294">
        <w:rPr>
          <w:sz w:val="22"/>
          <w:szCs w:val="22"/>
        </w:rPr>
        <w:t>77</w:t>
      </w:r>
      <w:r w:rsidR="004270E0" w:rsidRPr="00B44294">
        <w:rPr>
          <w:sz w:val="22"/>
          <w:szCs w:val="22"/>
        </w:rPr>
        <w:t xml:space="preserve"> </w:t>
      </w:r>
      <w:r w:rsidR="00DA3DA3" w:rsidRPr="00B44294">
        <w:rPr>
          <w:sz w:val="22"/>
          <w:szCs w:val="22"/>
        </w:rPr>
        <w:t>G</w:t>
      </w:r>
      <w:r w:rsidR="004270E0" w:rsidRPr="00B44294">
        <w:rPr>
          <w:sz w:val="22"/>
          <w:szCs w:val="22"/>
        </w:rPr>
        <w:t>Hz band</w:t>
      </w:r>
      <w:r w:rsidR="0076262C">
        <w:rPr>
          <w:sz w:val="22"/>
          <w:szCs w:val="22"/>
        </w:rPr>
        <w:t>;</w:t>
      </w:r>
    </w:p>
    <w:p w14:paraId="48C209EB" w14:textId="69E1358A" w:rsidR="003D0F16" w:rsidRDefault="00DE6D02" w:rsidP="0076262C">
      <w:pPr>
        <w:pStyle w:val="BodyText"/>
        <w:numPr>
          <w:ilvl w:val="0"/>
          <w:numId w:val="28"/>
        </w:numPr>
        <w:spacing w:before="120" w:after="0" w:line="260" w:lineRule="atLeast"/>
        <w:ind w:left="777" w:hanging="357"/>
        <w:rPr>
          <w:sz w:val="22"/>
          <w:szCs w:val="22"/>
        </w:rPr>
      </w:pPr>
      <w:r>
        <w:rPr>
          <w:sz w:val="22"/>
          <w:szCs w:val="22"/>
        </w:rPr>
        <w:t xml:space="preserve">authorise the operation of </w:t>
      </w:r>
      <w:r w:rsidR="00054652" w:rsidRPr="00B44294">
        <w:rPr>
          <w:sz w:val="22"/>
          <w:szCs w:val="22"/>
        </w:rPr>
        <w:t>ground and w</w:t>
      </w:r>
      <w:r w:rsidR="006E6EBE" w:rsidRPr="00B44294">
        <w:rPr>
          <w:sz w:val="22"/>
          <w:szCs w:val="22"/>
        </w:rPr>
        <w:t>a</w:t>
      </w:r>
      <w:r w:rsidR="00054652" w:rsidRPr="00B44294">
        <w:rPr>
          <w:sz w:val="22"/>
          <w:szCs w:val="22"/>
        </w:rPr>
        <w:t>ll penetration</w:t>
      </w:r>
      <w:r w:rsidR="006E6EBE" w:rsidRPr="00B44294">
        <w:rPr>
          <w:sz w:val="22"/>
          <w:szCs w:val="22"/>
        </w:rPr>
        <w:t xml:space="preserve"> radiodetermination transmitters in the </w:t>
      </w:r>
      <w:r w:rsidR="00D04950" w:rsidRPr="00B44294">
        <w:rPr>
          <w:sz w:val="22"/>
          <w:szCs w:val="22"/>
        </w:rPr>
        <w:t>30-12400 MHz band</w:t>
      </w:r>
      <w:r w:rsidR="003D0F16">
        <w:rPr>
          <w:sz w:val="22"/>
          <w:szCs w:val="22"/>
        </w:rPr>
        <w:t>;</w:t>
      </w:r>
    </w:p>
    <w:p w14:paraId="74EF76E5" w14:textId="018CAA2A" w:rsidR="00DE6D02" w:rsidRDefault="00D04950" w:rsidP="0076262C">
      <w:pPr>
        <w:pStyle w:val="BodyText"/>
        <w:numPr>
          <w:ilvl w:val="0"/>
          <w:numId w:val="28"/>
        </w:numPr>
        <w:spacing w:before="120" w:after="0" w:line="260" w:lineRule="atLeast"/>
        <w:ind w:left="777" w:hanging="357"/>
        <w:rPr>
          <w:sz w:val="22"/>
          <w:szCs w:val="22"/>
        </w:rPr>
      </w:pPr>
      <w:r w:rsidRPr="00B44294">
        <w:rPr>
          <w:sz w:val="22"/>
          <w:szCs w:val="22"/>
        </w:rPr>
        <w:t xml:space="preserve">align </w:t>
      </w:r>
      <w:r w:rsidR="007F51B3" w:rsidRPr="00B44294">
        <w:rPr>
          <w:sz w:val="22"/>
          <w:szCs w:val="22"/>
        </w:rPr>
        <w:t xml:space="preserve">existing </w:t>
      </w:r>
      <w:r w:rsidR="00F002B7" w:rsidRPr="00B44294">
        <w:rPr>
          <w:sz w:val="22"/>
          <w:szCs w:val="22"/>
        </w:rPr>
        <w:t xml:space="preserve">arrangements for </w:t>
      </w:r>
      <w:r w:rsidR="00882215" w:rsidRPr="00B44294">
        <w:rPr>
          <w:sz w:val="22"/>
          <w:szCs w:val="22"/>
        </w:rPr>
        <w:t>u</w:t>
      </w:r>
      <w:r w:rsidR="00DB6F6B" w:rsidRPr="00B44294">
        <w:rPr>
          <w:sz w:val="22"/>
          <w:szCs w:val="22"/>
        </w:rPr>
        <w:t>ltra-</w:t>
      </w:r>
      <w:r w:rsidR="00F002B7" w:rsidRPr="00B44294">
        <w:rPr>
          <w:sz w:val="22"/>
          <w:szCs w:val="22"/>
        </w:rPr>
        <w:t xml:space="preserve">wideband devices </w:t>
      </w:r>
      <w:r w:rsidR="007D6C4D" w:rsidRPr="00B44294">
        <w:rPr>
          <w:sz w:val="22"/>
          <w:szCs w:val="22"/>
        </w:rPr>
        <w:t>with European arrangement</w:t>
      </w:r>
      <w:r w:rsidR="005A010C" w:rsidRPr="00B44294">
        <w:rPr>
          <w:sz w:val="22"/>
          <w:szCs w:val="22"/>
        </w:rPr>
        <w:t>s</w:t>
      </w:r>
      <w:r w:rsidR="007D6C4D" w:rsidRPr="00B44294">
        <w:rPr>
          <w:sz w:val="22"/>
          <w:szCs w:val="22"/>
        </w:rPr>
        <w:t xml:space="preserve"> by adding </w:t>
      </w:r>
      <w:r w:rsidR="003D0F16">
        <w:rPr>
          <w:sz w:val="22"/>
          <w:szCs w:val="22"/>
        </w:rPr>
        <w:t xml:space="preserve">the </w:t>
      </w:r>
      <w:r w:rsidR="007D6C4D" w:rsidRPr="00B44294">
        <w:rPr>
          <w:sz w:val="22"/>
          <w:szCs w:val="22"/>
        </w:rPr>
        <w:t xml:space="preserve">3100-3400 MHz and </w:t>
      </w:r>
      <w:r w:rsidR="00CA6D14" w:rsidRPr="00B44294">
        <w:rPr>
          <w:sz w:val="22"/>
          <w:szCs w:val="22"/>
        </w:rPr>
        <w:t xml:space="preserve">8500-9000 MHz bands </w:t>
      </w:r>
      <w:r w:rsidR="00C94F8B">
        <w:rPr>
          <w:sz w:val="22"/>
          <w:szCs w:val="22"/>
        </w:rPr>
        <w:t>for such devices</w:t>
      </w:r>
      <w:r w:rsidR="009F3A58">
        <w:rPr>
          <w:sz w:val="22"/>
          <w:szCs w:val="22"/>
        </w:rPr>
        <w:t xml:space="preserve"> </w:t>
      </w:r>
      <w:r w:rsidR="00EA4DE6">
        <w:rPr>
          <w:sz w:val="22"/>
          <w:szCs w:val="22"/>
        </w:rPr>
        <w:t xml:space="preserve">and </w:t>
      </w:r>
      <w:r w:rsidR="00806D1F">
        <w:rPr>
          <w:sz w:val="22"/>
          <w:szCs w:val="22"/>
        </w:rPr>
        <w:t xml:space="preserve">by </w:t>
      </w:r>
      <w:r w:rsidR="00960F90">
        <w:rPr>
          <w:sz w:val="22"/>
          <w:szCs w:val="22"/>
        </w:rPr>
        <w:t>authori</w:t>
      </w:r>
      <w:r w:rsidR="003D0F16">
        <w:rPr>
          <w:sz w:val="22"/>
          <w:szCs w:val="22"/>
        </w:rPr>
        <w:t>s</w:t>
      </w:r>
      <w:r w:rsidR="00960F90">
        <w:rPr>
          <w:sz w:val="22"/>
          <w:szCs w:val="22"/>
        </w:rPr>
        <w:t>ing ultra-wide band transmitters</w:t>
      </w:r>
      <w:r w:rsidR="00DA02E6">
        <w:rPr>
          <w:sz w:val="22"/>
          <w:szCs w:val="22"/>
        </w:rPr>
        <w:t xml:space="preserve"> onboard aircraft operating </w:t>
      </w:r>
      <w:r w:rsidR="00960F90">
        <w:rPr>
          <w:sz w:val="22"/>
          <w:szCs w:val="22"/>
        </w:rPr>
        <w:t xml:space="preserve">in </w:t>
      </w:r>
      <w:r w:rsidR="00DA02E6">
        <w:rPr>
          <w:sz w:val="22"/>
          <w:szCs w:val="22"/>
        </w:rPr>
        <w:t>6000-8500 MHz band</w:t>
      </w:r>
      <w:r w:rsidR="00CA6D14" w:rsidRPr="00B44294">
        <w:rPr>
          <w:sz w:val="22"/>
          <w:szCs w:val="22"/>
        </w:rPr>
        <w:t xml:space="preserve">. </w:t>
      </w:r>
    </w:p>
    <w:p w14:paraId="0DC0A32E" w14:textId="259C6542" w:rsidR="00D4785C" w:rsidRPr="00B44294" w:rsidRDefault="00D4785C" w:rsidP="00302DBB">
      <w:pPr>
        <w:pStyle w:val="BodyText"/>
        <w:spacing w:before="120" w:line="260" w:lineRule="atLeast"/>
        <w:rPr>
          <w:sz w:val="22"/>
          <w:szCs w:val="22"/>
        </w:rPr>
      </w:pPr>
      <w:r w:rsidRPr="00B44294">
        <w:rPr>
          <w:sz w:val="22"/>
          <w:szCs w:val="22"/>
        </w:rPr>
        <w:lastRenderedPageBreak/>
        <w:t xml:space="preserve">It is </w:t>
      </w:r>
      <w:r w:rsidR="00A21636" w:rsidRPr="00B44294">
        <w:rPr>
          <w:sz w:val="22"/>
          <w:szCs w:val="22"/>
        </w:rPr>
        <w:t xml:space="preserve">a </w:t>
      </w:r>
      <w:r w:rsidRPr="00B44294">
        <w:rPr>
          <w:sz w:val="22"/>
          <w:szCs w:val="22"/>
        </w:rPr>
        <w:t>general requirement of the Act</w:t>
      </w:r>
      <w:r w:rsidRPr="00B44294">
        <w:rPr>
          <w:i/>
          <w:sz w:val="22"/>
          <w:szCs w:val="22"/>
        </w:rPr>
        <w:t xml:space="preserve"> </w:t>
      </w:r>
      <w:r w:rsidRPr="00B44294">
        <w:rPr>
          <w:sz w:val="22"/>
          <w:szCs w:val="22"/>
        </w:rPr>
        <w:t xml:space="preserve">that the operation of all radiocommunications devices within Australia be authorised by a radiocommunications licence. A class licence is one type of licence available to authorise the operation of radiocommunications devices. It is an effective and efficient means of spectrum management for services where a limited set of common frequencies </w:t>
      </w:r>
      <w:r w:rsidR="00750031" w:rsidRPr="00B44294">
        <w:rPr>
          <w:sz w:val="22"/>
          <w:szCs w:val="22"/>
        </w:rPr>
        <w:t>are</w:t>
      </w:r>
      <w:r w:rsidRPr="00B44294">
        <w:rPr>
          <w:sz w:val="22"/>
          <w:szCs w:val="22"/>
        </w:rPr>
        <w:t xml:space="preserve"> employed, and equipment is operated under a common set of conditions. A class licence is not issued to an individual user and does not involve the payment of licence fees</w:t>
      </w:r>
      <w:r w:rsidR="00B61C08" w:rsidRPr="00B44294">
        <w:rPr>
          <w:i/>
          <w:sz w:val="22"/>
          <w:szCs w:val="22"/>
        </w:rPr>
        <w:t>.</w:t>
      </w:r>
    </w:p>
    <w:p w14:paraId="5AE63742" w14:textId="36E9E1F9" w:rsidR="003A4575" w:rsidRDefault="00D4785C" w:rsidP="00302DBB">
      <w:pPr>
        <w:spacing w:before="120" w:after="120" w:line="260" w:lineRule="atLeast"/>
        <w:rPr>
          <w:sz w:val="22"/>
          <w:szCs w:val="22"/>
        </w:rPr>
      </w:pPr>
      <w:r w:rsidRPr="00B44294">
        <w:rPr>
          <w:sz w:val="22"/>
          <w:szCs w:val="22"/>
        </w:rPr>
        <w:t>The LIPD Class Licence</w:t>
      </w:r>
      <w:r w:rsidRPr="00B44294">
        <w:rPr>
          <w:rStyle w:val="Emphasis"/>
          <w:sz w:val="22"/>
          <w:szCs w:val="22"/>
        </w:rPr>
        <w:t xml:space="preserve"> </w:t>
      </w:r>
      <w:r w:rsidRPr="00B44294">
        <w:rPr>
          <w:sz w:val="22"/>
          <w:szCs w:val="22"/>
        </w:rPr>
        <w:t>authorises the operation of a wide range of low interference radiocommunications transmitters in various segments of the radiofrequency spectrum. The LIPD Class Licence sets out the conditions under which these transmitters may be operated. These transmitters do not require individual frequency coordination because of their low interference potential characteristics. Examples of transmitters covered by the LI</w:t>
      </w:r>
      <w:r w:rsidR="00043909" w:rsidRPr="00B44294">
        <w:rPr>
          <w:sz w:val="22"/>
          <w:szCs w:val="22"/>
        </w:rPr>
        <w:t xml:space="preserve">PD Class Licence include </w:t>
      </w:r>
      <w:proofErr w:type="spellStart"/>
      <w:r w:rsidRPr="00B44294">
        <w:rPr>
          <w:sz w:val="22"/>
          <w:szCs w:val="22"/>
        </w:rPr>
        <w:t>WiFi</w:t>
      </w:r>
      <w:proofErr w:type="spellEnd"/>
      <w:r w:rsidRPr="00B44294">
        <w:rPr>
          <w:sz w:val="22"/>
          <w:szCs w:val="22"/>
        </w:rPr>
        <w:t xml:space="preserve"> equipment</w:t>
      </w:r>
      <w:r w:rsidR="00043909" w:rsidRPr="00B44294">
        <w:rPr>
          <w:sz w:val="22"/>
          <w:szCs w:val="22"/>
        </w:rPr>
        <w:t>,</w:t>
      </w:r>
      <w:r w:rsidRPr="00B44294">
        <w:rPr>
          <w:sz w:val="22"/>
          <w:szCs w:val="22"/>
        </w:rPr>
        <w:t xml:space="preserve"> </w:t>
      </w:r>
      <w:r w:rsidR="00B61C08" w:rsidRPr="00B44294">
        <w:rPr>
          <w:sz w:val="22"/>
          <w:szCs w:val="22"/>
        </w:rPr>
        <w:t>r</w:t>
      </w:r>
      <w:r w:rsidR="00A21636" w:rsidRPr="00B44294">
        <w:rPr>
          <w:sz w:val="22"/>
          <w:szCs w:val="22"/>
        </w:rPr>
        <w:t>adio-frequency identification</w:t>
      </w:r>
      <w:r w:rsidR="00043909" w:rsidRPr="00B44294">
        <w:rPr>
          <w:sz w:val="22"/>
          <w:szCs w:val="22"/>
        </w:rPr>
        <w:t xml:space="preserve"> transmitters</w:t>
      </w:r>
      <w:r w:rsidR="005D5A9D">
        <w:rPr>
          <w:sz w:val="22"/>
          <w:szCs w:val="22"/>
        </w:rPr>
        <w:t>,</w:t>
      </w:r>
      <w:r w:rsidR="00043909" w:rsidRPr="00B44294">
        <w:rPr>
          <w:sz w:val="22"/>
          <w:szCs w:val="22"/>
        </w:rPr>
        <w:t xml:space="preserve"> </w:t>
      </w:r>
      <w:r w:rsidRPr="00B44294">
        <w:rPr>
          <w:sz w:val="22"/>
          <w:szCs w:val="22"/>
        </w:rPr>
        <w:t>personal alarms</w:t>
      </w:r>
      <w:r w:rsidR="008F0E27">
        <w:rPr>
          <w:sz w:val="22"/>
          <w:szCs w:val="22"/>
        </w:rPr>
        <w:t>,</w:t>
      </w:r>
      <w:r w:rsidR="00B21EFE">
        <w:rPr>
          <w:sz w:val="22"/>
          <w:szCs w:val="22"/>
        </w:rPr>
        <w:t xml:space="preserve"> and ground and wall penetrating radar devices</w:t>
      </w:r>
      <w:r w:rsidRPr="00B44294">
        <w:rPr>
          <w:sz w:val="22"/>
          <w:szCs w:val="22"/>
        </w:rPr>
        <w:t xml:space="preserve">. </w:t>
      </w:r>
    </w:p>
    <w:p w14:paraId="3240C4B3" w14:textId="02964BCA" w:rsidR="003F3719" w:rsidRPr="00B44294" w:rsidRDefault="003F3719" w:rsidP="00302DBB">
      <w:pPr>
        <w:spacing w:before="120" w:after="120" w:line="260" w:lineRule="atLeast"/>
        <w:rPr>
          <w:sz w:val="22"/>
          <w:szCs w:val="22"/>
        </w:rPr>
      </w:pPr>
      <w:r w:rsidRPr="00B44294">
        <w:rPr>
          <w:sz w:val="22"/>
          <w:szCs w:val="22"/>
        </w:rPr>
        <w:t xml:space="preserve">A provision-by-provision description of the instrument is set out in the notes at </w:t>
      </w:r>
      <w:r w:rsidRPr="00B44294">
        <w:rPr>
          <w:b/>
          <w:sz w:val="22"/>
          <w:szCs w:val="22"/>
        </w:rPr>
        <w:t>Attachment A</w:t>
      </w:r>
      <w:r w:rsidRPr="00B44294">
        <w:rPr>
          <w:sz w:val="22"/>
          <w:szCs w:val="22"/>
        </w:rPr>
        <w:t>.</w:t>
      </w:r>
    </w:p>
    <w:p w14:paraId="59FBC0DE" w14:textId="77777777" w:rsidR="004C7AD2" w:rsidRPr="00FE57C4" w:rsidRDefault="004C7AD2" w:rsidP="004C7AD2">
      <w:pPr>
        <w:spacing w:before="120" w:after="120" w:line="260" w:lineRule="atLeast"/>
        <w:rPr>
          <w:i/>
          <w:sz w:val="22"/>
          <w:szCs w:val="22"/>
        </w:rPr>
      </w:pPr>
      <w:r w:rsidRPr="00FE57C4">
        <w:rPr>
          <w:sz w:val="22"/>
          <w:szCs w:val="22"/>
        </w:rPr>
        <w:t xml:space="preserve">The </w:t>
      </w:r>
      <w:r w:rsidR="00263F69" w:rsidRPr="00FE57C4">
        <w:rPr>
          <w:sz w:val="22"/>
          <w:szCs w:val="22"/>
        </w:rPr>
        <w:t>instrument</w:t>
      </w:r>
      <w:r w:rsidRPr="00FE57C4">
        <w:rPr>
          <w:sz w:val="22"/>
          <w:szCs w:val="22"/>
        </w:rPr>
        <w:t xml:space="preserve"> is a </w:t>
      </w:r>
      <w:r w:rsidR="00D75373" w:rsidRPr="00FE57C4">
        <w:rPr>
          <w:sz w:val="22"/>
          <w:szCs w:val="22"/>
        </w:rPr>
        <w:t xml:space="preserve">disallowable </w:t>
      </w:r>
      <w:r w:rsidRPr="00FE57C4">
        <w:rPr>
          <w:sz w:val="22"/>
          <w:szCs w:val="22"/>
        </w:rPr>
        <w:t xml:space="preserve">legislative instrument for the purposes of the </w:t>
      </w:r>
      <w:r w:rsidRPr="00FE57C4">
        <w:rPr>
          <w:i/>
          <w:sz w:val="22"/>
          <w:szCs w:val="22"/>
        </w:rPr>
        <w:t>Legislation Act 2003</w:t>
      </w:r>
      <w:r w:rsidR="00D75373" w:rsidRPr="00FE57C4">
        <w:rPr>
          <w:sz w:val="22"/>
          <w:szCs w:val="22"/>
        </w:rPr>
        <w:t xml:space="preserve"> (</w:t>
      </w:r>
      <w:r w:rsidR="00D75373" w:rsidRPr="00FE57C4">
        <w:rPr>
          <w:b/>
          <w:sz w:val="22"/>
          <w:szCs w:val="22"/>
        </w:rPr>
        <w:t>the LA</w:t>
      </w:r>
      <w:r w:rsidR="00D75373" w:rsidRPr="00FE57C4">
        <w:rPr>
          <w:sz w:val="22"/>
          <w:szCs w:val="22"/>
        </w:rPr>
        <w:t>)</w:t>
      </w:r>
      <w:r w:rsidRPr="00FE57C4">
        <w:rPr>
          <w:i/>
          <w:sz w:val="22"/>
          <w:szCs w:val="22"/>
        </w:rPr>
        <w:t>.</w:t>
      </w:r>
    </w:p>
    <w:p w14:paraId="2A22EB3A" w14:textId="77777777" w:rsidR="00D4785C" w:rsidRPr="00FE57C4" w:rsidRDefault="004C7AD2" w:rsidP="00302DBB">
      <w:pPr>
        <w:pStyle w:val="BodyText"/>
        <w:spacing w:before="120" w:line="260" w:lineRule="atLeast"/>
        <w:rPr>
          <w:b/>
          <w:sz w:val="22"/>
          <w:szCs w:val="22"/>
        </w:rPr>
      </w:pPr>
      <w:r w:rsidRPr="00FE57C4">
        <w:rPr>
          <w:b/>
          <w:sz w:val="22"/>
          <w:szCs w:val="22"/>
        </w:rPr>
        <w:t>Documents i</w:t>
      </w:r>
      <w:r w:rsidR="00D4785C" w:rsidRPr="00FE57C4">
        <w:rPr>
          <w:b/>
          <w:sz w:val="22"/>
          <w:szCs w:val="22"/>
        </w:rPr>
        <w:t>ncorporat</w:t>
      </w:r>
      <w:r w:rsidRPr="00FE57C4">
        <w:rPr>
          <w:b/>
          <w:sz w:val="22"/>
          <w:szCs w:val="22"/>
        </w:rPr>
        <w:t>ed</w:t>
      </w:r>
      <w:r w:rsidR="00D4785C" w:rsidRPr="00FE57C4">
        <w:rPr>
          <w:b/>
          <w:sz w:val="22"/>
          <w:szCs w:val="22"/>
        </w:rPr>
        <w:t xml:space="preserve"> by reference</w:t>
      </w:r>
    </w:p>
    <w:p w14:paraId="18A6DD19" w14:textId="27A5D5C5" w:rsidR="00D4785C" w:rsidRPr="00FE57C4" w:rsidRDefault="00D4785C" w:rsidP="00302DBB">
      <w:pPr>
        <w:pStyle w:val="BodyText"/>
        <w:spacing w:before="120" w:line="260" w:lineRule="atLeast"/>
        <w:rPr>
          <w:sz w:val="22"/>
          <w:szCs w:val="22"/>
        </w:rPr>
      </w:pPr>
      <w:r w:rsidRPr="00FE57C4">
        <w:rPr>
          <w:sz w:val="22"/>
          <w:szCs w:val="22"/>
        </w:rPr>
        <w:t xml:space="preserve">The </w:t>
      </w:r>
      <w:r w:rsidR="00C76278" w:rsidRPr="00FE57C4">
        <w:rPr>
          <w:sz w:val="22"/>
          <w:szCs w:val="22"/>
        </w:rPr>
        <w:t xml:space="preserve">instrument </w:t>
      </w:r>
      <w:r w:rsidRPr="00FE57C4">
        <w:rPr>
          <w:sz w:val="22"/>
          <w:szCs w:val="22"/>
        </w:rPr>
        <w:t xml:space="preserve">inserts into the LIPD Class Licence references to documents and writing as </w:t>
      </w:r>
      <w:r w:rsidR="003C6381" w:rsidRPr="00FE57C4">
        <w:rPr>
          <w:sz w:val="22"/>
          <w:szCs w:val="22"/>
        </w:rPr>
        <w:t>in force from time to time</w:t>
      </w:r>
      <w:r w:rsidR="00CF3517">
        <w:rPr>
          <w:sz w:val="22"/>
          <w:szCs w:val="22"/>
        </w:rPr>
        <w:t>,</w:t>
      </w:r>
      <w:r w:rsidRPr="00FE57C4">
        <w:rPr>
          <w:sz w:val="22"/>
          <w:szCs w:val="22"/>
        </w:rPr>
        <w:t xml:space="preserve"> as permitted by section 314A of the Act. The documents </w:t>
      </w:r>
      <w:r w:rsidR="00633A88">
        <w:rPr>
          <w:sz w:val="22"/>
          <w:szCs w:val="22"/>
        </w:rPr>
        <w:t xml:space="preserve">being incorporated into the LIPD Class Licence for the first time </w:t>
      </w:r>
      <w:r w:rsidRPr="00FE57C4">
        <w:rPr>
          <w:sz w:val="22"/>
          <w:szCs w:val="22"/>
        </w:rPr>
        <w:t>are:</w:t>
      </w:r>
    </w:p>
    <w:p w14:paraId="3442A3C0" w14:textId="088984EE" w:rsidR="007979CF" w:rsidRPr="00FE57C4" w:rsidRDefault="00644BC8" w:rsidP="00F93F02">
      <w:pPr>
        <w:pStyle w:val="BodyText"/>
        <w:numPr>
          <w:ilvl w:val="0"/>
          <w:numId w:val="22"/>
        </w:numPr>
        <w:spacing w:before="120" w:line="260" w:lineRule="atLeast"/>
        <w:rPr>
          <w:sz w:val="22"/>
          <w:szCs w:val="22"/>
        </w:rPr>
      </w:pPr>
      <w:bookmarkStart w:id="0" w:name="_Hlk10556111"/>
      <w:r w:rsidRPr="00FE57C4">
        <w:rPr>
          <w:sz w:val="22"/>
          <w:szCs w:val="22"/>
        </w:rPr>
        <w:t xml:space="preserve">ETSI Standard EN 301 </w:t>
      </w:r>
      <w:r w:rsidR="00BC4E1D" w:rsidRPr="00FE57C4">
        <w:rPr>
          <w:sz w:val="22"/>
          <w:szCs w:val="22"/>
        </w:rPr>
        <w:t>091-2</w:t>
      </w:r>
      <w:r w:rsidRPr="00FE57C4">
        <w:rPr>
          <w:sz w:val="22"/>
          <w:szCs w:val="22"/>
        </w:rPr>
        <w:t xml:space="preserve"> </w:t>
      </w:r>
      <w:r w:rsidR="007979CF" w:rsidRPr="00FE57C4">
        <w:rPr>
          <w:i/>
          <w:sz w:val="22"/>
          <w:szCs w:val="22"/>
        </w:rPr>
        <w:t>Short Range Devices; Transport and Traffic Telematics (TTT); Radar equipment operating in the 76 GHz to 77 GHz range; Harmonised Standard covering the essential requirements of article 3.2 of Directive 2014/53/EU; Part 2: Fixed infrastructure radar equipment</w:t>
      </w:r>
    </w:p>
    <w:bookmarkEnd w:id="0"/>
    <w:p w14:paraId="770E21A8" w14:textId="1DA37BED" w:rsidR="00494134" w:rsidRPr="00FE57C4" w:rsidRDefault="00494134" w:rsidP="00494134">
      <w:pPr>
        <w:pStyle w:val="BodyText"/>
        <w:numPr>
          <w:ilvl w:val="0"/>
          <w:numId w:val="22"/>
        </w:numPr>
        <w:spacing w:before="120" w:line="260" w:lineRule="atLeast"/>
        <w:rPr>
          <w:sz w:val="22"/>
          <w:szCs w:val="22"/>
        </w:rPr>
      </w:pPr>
      <w:r w:rsidRPr="00FE57C4">
        <w:rPr>
          <w:sz w:val="22"/>
          <w:szCs w:val="22"/>
        </w:rPr>
        <w:t xml:space="preserve">ETSI Standard EN 301 091-3 </w:t>
      </w:r>
      <w:r w:rsidRPr="00FE57C4">
        <w:rPr>
          <w:i/>
          <w:sz w:val="22"/>
          <w:szCs w:val="22"/>
        </w:rPr>
        <w:t>Short Range Devices; Transport and Traffic Telematics (TTT); Radar equipment operating in the 76 GHz to 77 GHz range; Harmonised Standard covering the essential requirements of article 3.2 of Directive 2014/53/EU; Part 3: Railway/Road Crossings obstacle detection system applications</w:t>
      </w:r>
    </w:p>
    <w:p w14:paraId="6CB7D3CF" w14:textId="45F5731D" w:rsidR="0027500C" w:rsidRPr="00FE57C4" w:rsidRDefault="0027500C" w:rsidP="0027500C">
      <w:pPr>
        <w:pStyle w:val="BodyText"/>
        <w:numPr>
          <w:ilvl w:val="0"/>
          <w:numId w:val="22"/>
        </w:numPr>
        <w:spacing w:before="120" w:line="260" w:lineRule="atLeast"/>
        <w:rPr>
          <w:sz w:val="22"/>
          <w:szCs w:val="22"/>
        </w:rPr>
      </w:pPr>
      <w:r w:rsidRPr="00FE57C4">
        <w:rPr>
          <w:sz w:val="22"/>
          <w:szCs w:val="22"/>
        </w:rPr>
        <w:t xml:space="preserve">ETSI Standard EN </w:t>
      </w:r>
      <w:r w:rsidR="00FA7909" w:rsidRPr="00FE57C4">
        <w:rPr>
          <w:sz w:val="22"/>
          <w:szCs w:val="22"/>
        </w:rPr>
        <w:t>302 066</w:t>
      </w:r>
      <w:r w:rsidRPr="00FE57C4">
        <w:rPr>
          <w:sz w:val="22"/>
          <w:szCs w:val="22"/>
        </w:rPr>
        <w:t xml:space="preserve"> </w:t>
      </w:r>
      <w:r w:rsidR="00FA7909" w:rsidRPr="00FE57C4">
        <w:rPr>
          <w:i/>
          <w:sz w:val="22"/>
          <w:szCs w:val="22"/>
        </w:rPr>
        <w:t>Short Range Devices (SRD); Ground- and Wall- Probing Radio determination (GPR/WPR) devices; Harmonised Standard for access to radio spectrum</w:t>
      </w:r>
    </w:p>
    <w:p w14:paraId="40062F7D" w14:textId="1BD94D4C" w:rsidR="0031345E" w:rsidRPr="00FE57C4" w:rsidRDefault="0031345E" w:rsidP="00F93F02">
      <w:pPr>
        <w:pStyle w:val="BodyText"/>
        <w:numPr>
          <w:ilvl w:val="0"/>
          <w:numId w:val="22"/>
        </w:numPr>
        <w:spacing w:before="120" w:line="260" w:lineRule="atLeast"/>
        <w:rPr>
          <w:sz w:val="22"/>
          <w:szCs w:val="22"/>
        </w:rPr>
      </w:pPr>
      <w:r w:rsidRPr="00FE57C4">
        <w:rPr>
          <w:sz w:val="22"/>
          <w:szCs w:val="22"/>
        </w:rPr>
        <w:t xml:space="preserve">ETSI </w:t>
      </w:r>
      <w:r w:rsidR="00F64360" w:rsidRPr="00FE57C4">
        <w:rPr>
          <w:sz w:val="22"/>
          <w:szCs w:val="22"/>
        </w:rPr>
        <w:t>Guide</w:t>
      </w:r>
      <w:r w:rsidRPr="00FE57C4">
        <w:rPr>
          <w:sz w:val="22"/>
          <w:szCs w:val="22"/>
        </w:rPr>
        <w:t xml:space="preserve"> E</w:t>
      </w:r>
      <w:r w:rsidR="00F64360" w:rsidRPr="00FE57C4">
        <w:rPr>
          <w:sz w:val="22"/>
          <w:szCs w:val="22"/>
        </w:rPr>
        <w:t>G</w:t>
      </w:r>
      <w:r w:rsidRPr="00FE57C4">
        <w:rPr>
          <w:sz w:val="22"/>
          <w:szCs w:val="22"/>
        </w:rPr>
        <w:t xml:space="preserve"> </w:t>
      </w:r>
      <w:r w:rsidR="00F64360" w:rsidRPr="00FE57C4">
        <w:rPr>
          <w:sz w:val="22"/>
          <w:szCs w:val="22"/>
        </w:rPr>
        <w:t>202 730</w:t>
      </w:r>
      <w:r w:rsidRPr="00FE57C4">
        <w:rPr>
          <w:sz w:val="22"/>
          <w:szCs w:val="22"/>
        </w:rPr>
        <w:t xml:space="preserve"> </w:t>
      </w:r>
      <w:r w:rsidR="00977B75" w:rsidRPr="00FE57C4">
        <w:rPr>
          <w:i/>
          <w:sz w:val="22"/>
          <w:szCs w:val="22"/>
        </w:rPr>
        <w:t>Electromagnetic compatibility and Radio spectrum Matters (ERM); Code of Practice in respect of the control, use and application of Ground Probing Radar (GPR) and Wall Probing Radar (WPR) systems and equipment</w:t>
      </w:r>
    </w:p>
    <w:p w14:paraId="0EF1264A" w14:textId="3D2012A6" w:rsidR="006C750B" w:rsidRPr="00FE57C4" w:rsidRDefault="006C750B" w:rsidP="00A67217">
      <w:pPr>
        <w:pStyle w:val="BodyText"/>
        <w:numPr>
          <w:ilvl w:val="0"/>
          <w:numId w:val="22"/>
        </w:numPr>
        <w:spacing w:before="120" w:line="260" w:lineRule="atLeast"/>
        <w:rPr>
          <w:sz w:val="22"/>
          <w:szCs w:val="22"/>
        </w:rPr>
      </w:pPr>
      <w:r w:rsidRPr="00FE57C4">
        <w:rPr>
          <w:sz w:val="22"/>
          <w:szCs w:val="22"/>
        </w:rPr>
        <w:t xml:space="preserve">ETSI Standard EN 302 065-5 </w:t>
      </w:r>
      <w:r w:rsidR="00A67217" w:rsidRPr="00FE57C4">
        <w:rPr>
          <w:i/>
          <w:sz w:val="22"/>
          <w:szCs w:val="22"/>
        </w:rPr>
        <w:t>Short Range Devices (SRD) using Ultra Wide Band technology (UWB); Harmonised Standard covering the essential requirements of article 3.2 of Directive 2014/53/EU; Part 5: Devices using UWB technology onboard aircraft</w:t>
      </w:r>
    </w:p>
    <w:p w14:paraId="024FC5BC" w14:textId="02032B8B" w:rsidR="00C27B2B" w:rsidRPr="00EA4277" w:rsidRDefault="002B2763" w:rsidP="00FA474F">
      <w:pPr>
        <w:pStyle w:val="BodyText"/>
        <w:numPr>
          <w:ilvl w:val="0"/>
          <w:numId w:val="22"/>
        </w:numPr>
        <w:spacing w:before="120" w:line="260" w:lineRule="atLeast"/>
        <w:rPr>
          <w:sz w:val="22"/>
          <w:szCs w:val="22"/>
        </w:rPr>
      </w:pPr>
      <w:r w:rsidRPr="00C27B2B">
        <w:rPr>
          <w:sz w:val="22"/>
          <w:szCs w:val="22"/>
        </w:rPr>
        <w:t>Code of Federal R</w:t>
      </w:r>
      <w:r w:rsidR="00644BC8" w:rsidRPr="00C27B2B">
        <w:rPr>
          <w:sz w:val="22"/>
          <w:szCs w:val="22"/>
        </w:rPr>
        <w:t>egulation</w:t>
      </w:r>
      <w:r w:rsidR="00B61C08" w:rsidRPr="00C27B2B">
        <w:rPr>
          <w:sz w:val="22"/>
          <w:szCs w:val="22"/>
        </w:rPr>
        <w:t xml:space="preserve"> </w:t>
      </w:r>
      <w:r w:rsidR="00644BC8" w:rsidRPr="00C27B2B">
        <w:rPr>
          <w:sz w:val="22"/>
          <w:szCs w:val="22"/>
        </w:rPr>
        <w:t>Title 47 §15.</w:t>
      </w:r>
      <w:r w:rsidR="00E67D22" w:rsidRPr="00C27B2B">
        <w:rPr>
          <w:sz w:val="22"/>
          <w:szCs w:val="22"/>
        </w:rPr>
        <w:t>509</w:t>
      </w:r>
      <w:r w:rsidR="00D62D18" w:rsidRPr="00C27B2B">
        <w:rPr>
          <w:sz w:val="22"/>
          <w:szCs w:val="22"/>
        </w:rPr>
        <w:t>,</w:t>
      </w:r>
      <w:r w:rsidR="00644BC8" w:rsidRPr="00C27B2B">
        <w:rPr>
          <w:sz w:val="22"/>
          <w:szCs w:val="22"/>
        </w:rPr>
        <w:t xml:space="preserve"> </w:t>
      </w:r>
      <w:r w:rsidR="00644BC8" w:rsidRPr="00C27B2B">
        <w:rPr>
          <w:i/>
          <w:sz w:val="22"/>
          <w:szCs w:val="22"/>
        </w:rPr>
        <w:t xml:space="preserve">Part 15, Section </w:t>
      </w:r>
      <w:r w:rsidR="00E67D22" w:rsidRPr="00C27B2B">
        <w:rPr>
          <w:i/>
          <w:sz w:val="22"/>
          <w:szCs w:val="22"/>
        </w:rPr>
        <w:t>509</w:t>
      </w:r>
      <w:r w:rsidR="00644BC8" w:rsidRPr="00C27B2B">
        <w:rPr>
          <w:i/>
          <w:sz w:val="22"/>
          <w:szCs w:val="22"/>
        </w:rPr>
        <w:t xml:space="preserve"> </w:t>
      </w:r>
      <w:r w:rsidR="008B77E6" w:rsidRPr="00C27B2B">
        <w:rPr>
          <w:i/>
          <w:sz w:val="22"/>
          <w:szCs w:val="22"/>
        </w:rPr>
        <w:t>Technical requirements for ground penetrating radars and wall imaging systems</w:t>
      </w:r>
    </w:p>
    <w:p w14:paraId="4EAA1F41" w14:textId="1ECFFF2A" w:rsidR="00EA4277" w:rsidRDefault="00501A2F" w:rsidP="00FA474F">
      <w:pPr>
        <w:pStyle w:val="BodyText"/>
        <w:numPr>
          <w:ilvl w:val="0"/>
          <w:numId w:val="22"/>
        </w:numPr>
        <w:spacing w:before="120" w:line="260" w:lineRule="atLeast"/>
        <w:rPr>
          <w:sz w:val="22"/>
          <w:szCs w:val="22"/>
        </w:rPr>
      </w:pPr>
      <w:r>
        <w:rPr>
          <w:sz w:val="22"/>
          <w:szCs w:val="22"/>
        </w:rPr>
        <w:t>w</w:t>
      </w:r>
      <w:r w:rsidR="00EA4277">
        <w:rPr>
          <w:sz w:val="22"/>
          <w:szCs w:val="22"/>
        </w:rPr>
        <w:t xml:space="preserve">ritten </w:t>
      </w:r>
      <w:r w:rsidR="00A90E73">
        <w:rPr>
          <w:sz w:val="22"/>
          <w:szCs w:val="22"/>
        </w:rPr>
        <w:t>instructions</w:t>
      </w:r>
      <w:r w:rsidR="00EA4277">
        <w:rPr>
          <w:sz w:val="22"/>
          <w:szCs w:val="22"/>
        </w:rPr>
        <w:t xml:space="preserve"> of the CSIRO to operate certain transmitters w</w:t>
      </w:r>
      <w:r>
        <w:rPr>
          <w:sz w:val="22"/>
          <w:szCs w:val="22"/>
        </w:rPr>
        <w:t xml:space="preserve">ithin a </w:t>
      </w:r>
      <w:r w:rsidR="00A12BB2">
        <w:rPr>
          <w:sz w:val="22"/>
          <w:szCs w:val="22"/>
        </w:rPr>
        <w:t>nominated distance of a specified</w:t>
      </w:r>
      <w:r w:rsidR="007B444C">
        <w:rPr>
          <w:sz w:val="22"/>
          <w:szCs w:val="22"/>
        </w:rPr>
        <w:t xml:space="preserve"> Australian radio-astronomy site</w:t>
      </w:r>
    </w:p>
    <w:p w14:paraId="35F8A2B4" w14:textId="20069C1B" w:rsidR="007B444C" w:rsidRPr="00C27B2B" w:rsidRDefault="007B444C" w:rsidP="00FA474F">
      <w:pPr>
        <w:pStyle w:val="BodyText"/>
        <w:numPr>
          <w:ilvl w:val="0"/>
          <w:numId w:val="22"/>
        </w:numPr>
        <w:spacing w:before="120" w:line="260" w:lineRule="atLeast"/>
        <w:rPr>
          <w:sz w:val="22"/>
          <w:szCs w:val="22"/>
        </w:rPr>
      </w:pPr>
      <w:r>
        <w:rPr>
          <w:sz w:val="22"/>
          <w:szCs w:val="22"/>
        </w:rPr>
        <w:t xml:space="preserve">written </w:t>
      </w:r>
      <w:r w:rsidR="00A90E73">
        <w:rPr>
          <w:sz w:val="22"/>
          <w:szCs w:val="22"/>
        </w:rPr>
        <w:t>instructions</w:t>
      </w:r>
      <w:r>
        <w:rPr>
          <w:sz w:val="22"/>
          <w:szCs w:val="22"/>
        </w:rPr>
        <w:t xml:space="preserve"> of ear</w:t>
      </w:r>
      <w:r w:rsidR="008B1904">
        <w:rPr>
          <w:sz w:val="22"/>
          <w:szCs w:val="22"/>
        </w:rPr>
        <w:t xml:space="preserve">th station </w:t>
      </w:r>
      <w:r w:rsidR="00A90E73">
        <w:rPr>
          <w:sz w:val="22"/>
          <w:szCs w:val="22"/>
        </w:rPr>
        <w:t>licensees</w:t>
      </w:r>
      <w:r w:rsidR="008B1904">
        <w:rPr>
          <w:sz w:val="22"/>
          <w:szCs w:val="22"/>
        </w:rPr>
        <w:t xml:space="preserve"> to operate certain transmitters within a nominated distance of a specified SRS earth station</w:t>
      </w:r>
      <w:r w:rsidR="00DE05B6">
        <w:rPr>
          <w:sz w:val="22"/>
          <w:szCs w:val="22"/>
        </w:rPr>
        <w:t>.</w:t>
      </w:r>
    </w:p>
    <w:p w14:paraId="3BF4277C" w14:textId="16C0A7CC" w:rsidR="00CF0B77" w:rsidRDefault="00633A88" w:rsidP="00F31104">
      <w:pPr>
        <w:pStyle w:val="BodyText"/>
        <w:keepNext/>
        <w:spacing w:before="120" w:line="260" w:lineRule="atLeast"/>
        <w:rPr>
          <w:sz w:val="22"/>
          <w:szCs w:val="22"/>
        </w:rPr>
      </w:pPr>
      <w:r>
        <w:rPr>
          <w:sz w:val="22"/>
          <w:szCs w:val="22"/>
        </w:rPr>
        <w:t xml:space="preserve">The instrument also inserts into the LIPD Class Licence references to the following documents and writing </w:t>
      </w:r>
      <w:r w:rsidR="00A31CFB">
        <w:rPr>
          <w:sz w:val="22"/>
          <w:szCs w:val="22"/>
        </w:rPr>
        <w:t>as in force from time to time, which</w:t>
      </w:r>
      <w:r>
        <w:rPr>
          <w:sz w:val="22"/>
          <w:szCs w:val="22"/>
        </w:rPr>
        <w:t xml:space="preserve"> are already referred to in the LIPD Class Licence</w:t>
      </w:r>
      <w:r w:rsidR="00A31CFB">
        <w:rPr>
          <w:sz w:val="22"/>
          <w:szCs w:val="22"/>
        </w:rPr>
        <w:t>:</w:t>
      </w:r>
    </w:p>
    <w:p w14:paraId="1680FD46" w14:textId="45AF9E73" w:rsidR="00A31CFB" w:rsidRPr="00A31CFB" w:rsidRDefault="00A31CFB" w:rsidP="00A31CFB">
      <w:pPr>
        <w:pStyle w:val="BodyText"/>
        <w:numPr>
          <w:ilvl w:val="0"/>
          <w:numId w:val="22"/>
        </w:numPr>
        <w:spacing w:before="120" w:line="260" w:lineRule="atLeast"/>
        <w:rPr>
          <w:iCs/>
          <w:sz w:val="22"/>
          <w:szCs w:val="22"/>
        </w:rPr>
      </w:pPr>
      <w:r>
        <w:rPr>
          <w:iCs/>
          <w:sz w:val="22"/>
          <w:szCs w:val="22"/>
        </w:rPr>
        <w:t>ETSI Standard EN 302 065</w:t>
      </w:r>
      <w:r w:rsidR="00B34BA9">
        <w:rPr>
          <w:iCs/>
          <w:sz w:val="22"/>
          <w:szCs w:val="22"/>
        </w:rPr>
        <w:t xml:space="preserve"> </w:t>
      </w:r>
      <w:r w:rsidR="00B34BA9">
        <w:rPr>
          <w:i/>
          <w:sz w:val="22"/>
          <w:szCs w:val="22"/>
        </w:rPr>
        <w:t>Electromagnetic compatibility and Radio spectrum Matters (ERM); Short Range Devices (SRD) using Ultra Wide Band technology (UWB)</w:t>
      </w:r>
    </w:p>
    <w:p w14:paraId="3BA25533" w14:textId="7D859948" w:rsidR="00A31CFB" w:rsidRDefault="00633A88" w:rsidP="00A31CFB">
      <w:pPr>
        <w:pStyle w:val="BodyText"/>
        <w:numPr>
          <w:ilvl w:val="0"/>
          <w:numId w:val="22"/>
        </w:numPr>
        <w:spacing w:before="120" w:line="260" w:lineRule="atLeast"/>
        <w:rPr>
          <w:iCs/>
          <w:sz w:val="22"/>
          <w:szCs w:val="22"/>
        </w:rPr>
      </w:pPr>
      <w:r w:rsidRPr="00B17640">
        <w:rPr>
          <w:sz w:val="22"/>
          <w:szCs w:val="22"/>
        </w:rPr>
        <w:lastRenderedPageBreak/>
        <w:t>Code of Federal Regulation Title 47 §15.</w:t>
      </w:r>
      <w:r>
        <w:rPr>
          <w:sz w:val="22"/>
          <w:szCs w:val="22"/>
        </w:rPr>
        <w:t>255</w:t>
      </w:r>
      <w:r w:rsidRPr="00B17640">
        <w:rPr>
          <w:sz w:val="22"/>
          <w:szCs w:val="22"/>
        </w:rPr>
        <w:t xml:space="preserve">, </w:t>
      </w:r>
      <w:r w:rsidRPr="00B17640">
        <w:rPr>
          <w:i/>
          <w:sz w:val="22"/>
          <w:szCs w:val="22"/>
        </w:rPr>
        <w:t xml:space="preserve">Part 15, Section </w:t>
      </w:r>
      <w:r>
        <w:rPr>
          <w:i/>
          <w:sz w:val="22"/>
          <w:szCs w:val="22"/>
        </w:rPr>
        <w:t>255</w:t>
      </w:r>
      <w:r w:rsidRPr="00B17640">
        <w:rPr>
          <w:i/>
          <w:sz w:val="22"/>
          <w:szCs w:val="22"/>
        </w:rPr>
        <w:t xml:space="preserve"> </w:t>
      </w:r>
      <w:r>
        <w:rPr>
          <w:i/>
          <w:sz w:val="22"/>
          <w:szCs w:val="22"/>
        </w:rPr>
        <w:t>Operation within the band 57-71 GHZ</w:t>
      </w:r>
      <w:r w:rsidR="00D76406">
        <w:rPr>
          <w:iCs/>
          <w:sz w:val="22"/>
          <w:szCs w:val="22"/>
        </w:rPr>
        <w:t>.</w:t>
      </w:r>
    </w:p>
    <w:p w14:paraId="2D5DD597" w14:textId="4430C0FA" w:rsidR="00D4785C" w:rsidRPr="00FE57C4" w:rsidRDefault="00B61C08" w:rsidP="008B77E6">
      <w:pPr>
        <w:pStyle w:val="BodyText"/>
        <w:spacing w:before="120" w:line="260" w:lineRule="atLeast"/>
        <w:rPr>
          <w:sz w:val="22"/>
          <w:szCs w:val="22"/>
        </w:rPr>
      </w:pPr>
      <w:r w:rsidRPr="00FE57C4">
        <w:rPr>
          <w:sz w:val="22"/>
          <w:szCs w:val="22"/>
        </w:rPr>
        <w:t>At the date of making the instrument, t</w:t>
      </w:r>
      <w:r w:rsidR="00D4785C" w:rsidRPr="00FE57C4">
        <w:rPr>
          <w:sz w:val="22"/>
          <w:szCs w:val="22"/>
        </w:rPr>
        <w:t xml:space="preserve">he </w:t>
      </w:r>
      <w:r w:rsidR="002E7363" w:rsidRPr="00FE57C4">
        <w:rPr>
          <w:sz w:val="22"/>
          <w:szCs w:val="22"/>
        </w:rPr>
        <w:t>European Telecommunications Standards Institute (ETSI)</w:t>
      </w:r>
      <w:r w:rsidR="00D4785C" w:rsidRPr="00FE57C4">
        <w:rPr>
          <w:sz w:val="22"/>
          <w:szCs w:val="22"/>
        </w:rPr>
        <w:t xml:space="preserve"> </w:t>
      </w:r>
      <w:r w:rsidR="002C4BBB" w:rsidRPr="00FE57C4">
        <w:rPr>
          <w:sz w:val="22"/>
          <w:szCs w:val="22"/>
        </w:rPr>
        <w:t>s</w:t>
      </w:r>
      <w:r w:rsidR="00D4785C" w:rsidRPr="00FE57C4">
        <w:rPr>
          <w:sz w:val="22"/>
          <w:szCs w:val="22"/>
        </w:rPr>
        <w:t>tandard</w:t>
      </w:r>
      <w:r w:rsidRPr="00FE57C4">
        <w:rPr>
          <w:sz w:val="22"/>
          <w:szCs w:val="22"/>
        </w:rPr>
        <w:t>s</w:t>
      </w:r>
      <w:r w:rsidR="00D4785C" w:rsidRPr="00FE57C4">
        <w:rPr>
          <w:sz w:val="22"/>
          <w:szCs w:val="22"/>
        </w:rPr>
        <w:t xml:space="preserve"> </w:t>
      </w:r>
      <w:r w:rsidR="00161CFF">
        <w:rPr>
          <w:sz w:val="22"/>
          <w:szCs w:val="22"/>
        </w:rPr>
        <w:t xml:space="preserve">and guides </w:t>
      </w:r>
      <w:r w:rsidRPr="00FE57C4">
        <w:rPr>
          <w:sz w:val="22"/>
          <w:szCs w:val="22"/>
        </w:rPr>
        <w:t>are</w:t>
      </w:r>
      <w:r w:rsidR="00D4785C" w:rsidRPr="00FE57C4">
        <w:rPr>
          <w:sz w:val="22"/>
          <w:szCs w:val="22"/>
        </w:rPr>
        <w:t xml:space="preserve"> available</w:t>
      </w:r>
      <w:r w:rsidRPr="00FE57C4">
        <w:rPr>
          <w:sz w:val="22"/>
          <w:szCs w:val="22"/>
        </w:rPr>
        <w:t xml:space="preserve"> free of charge</w:t>
      </w:r>
      <w:r w:rsidR="00D4785C" w:rsidRPr="00FE57C4">
        <w:rPr>
          <w:sz w:val="22"/>
          <w:szCs w:val="22"/>
        </w:rPr>
        <w:t xml:space="preserve"> from the ETSI website: </w:t>
      </w:r>
      <w:hyperlink r:id="rId11" w:history="1">
        <w:r w:rsidR="00D4785C" w:rsidRPr="00FE57C4">
          <w:rPr>
            <w:rStyle w:val="Hyperlink"/>
            <w:sz w:val="22"/>
            <w:szCs w:val="22"/>
          </w:rPr>
          <w:t>www.etsi.org</w:t>
        </w:r>
      </w:hyperlink>
      <w:r w:rsidR="00D4785C" w:rsidRPr="00FE57C4">
        <w:rPr>
          <w:sz w:val="22"/>
          <w:szCs w:val="22"/>
        </w:rPr>
        <w:t>.</w:t>
      </w:r>
      <w:r w:rsidR="00644BC8" w:rsidRPr="00FE57C4">
        <w:rPr>
          <w:sz w:val="22"/>
          <w:szCs w:val="22"/>
        </w:rPr>
        <w:t xml:space="preserve"> The Code of Federal Regulation is available</w:t>
      </w:r>
      <w:r w:rsidRPr="00FE57C4">
        <w:rPr>
          <w:sz w:val="22"/>
          <w:szCs w:val="22"/>
        </w:rPr>
        <w:t xml:space="preserve"> free of charge</w:t>
      </w:r>
      <w:r w:rsidR="00644BC8" w:rsidRPr="00FE57C4">
        <w:rPr>
          <w:sz w:val="22"/>
          <w:szCs w:val="22"/>
        </w:rPr>
        <w:t xml:space="preserve"> from </w:t>
      </w:r>
      <w:r w:rsidR="005741E0">
        <w:rPr>
          <w:sz w:val="22"/>
          <w:szCs w:val="22"/>
        </w:rPr>
        <w:t xml:space="preserve">the </w:t>
      </w:r>
      <w:r w:rsidR="00644BC8" w:rsidRPr="00FE57C4">
        <w:rPr>
          <w:sz w:val="22"/>
          <w:szCs w:val="22"/>
        </w:rPr>
        <w:t xml:space="preserve">e-CFR website: </w:t>
      </w:r>
      <w:hyperlink r:id="rId12" w:history="1">
        <w:r w:rsidR="00644BC8" w:rsidRPr="00FE57C4">
          <w:rPr>
            <w:rStyle w:val="Hyperlink"/>
            <w:sz w:val="22"/>
            <w:szCs w:val="22"/>
          </w:rPr>
          <w:t>www.ecfr.gov</w:t>
        </w:r>
      </w:hyperlink>
      <w:r w:rsidR="0047031C" w:rsidRPr="00FE57C4">
        <w:rPr>
          <w:sz w:val="22"/>
          <w:szCs w:val="22"/>
        </w:rPr>
        <w:t xml:space="preserve">. </w:t>
      </w:r>
      <w:r w:rsidR="008B1904">
        <w:rPr>
          <w:sz w:val="22"/>
          <w:szCs w:val="22"/>
        </w:rPr>
        <w:t xml:space="preserve">The written </w:t>
      </w:r>
      <w:r w:rsidR="00F4717C">
        <w:rPr>
          <w:sz w:val="22"/>
          <w:szCs w:val="22"/>
        </w:rPr>
        <w:t>instructions</w:t>
      </w:r>
      <w:r w:rsidR="008B1904">
        <w:rPr>
          <w:sz w:val="22"/>
          <w:szCs w:val="22"/>
        </w:rPr>
        <w:t xml:space="preserve"> </w:t>
      </w:r>
      <w:r w:rsidR="009361BE">
        <w:rPr>
          <w:sz w:val="22"/>
          <w:szCs w:val="22"/>
        </w:rPr>
        <w:t xml:space="preserve">will be </w:t>
      </w:r>
      <w:r w:rsidR="00161CFF">
        <w:rPr>
          <w:sz w:val="22"/>
          <w:szCs w:val="22"/>
        </w:rPr>
        <w:t>available</w:t>
      </w:r>
      <w:r w:rsidR="009361BE">
        <w:rPr>
          <w:sz w:val="22"/>
          <w:szCs w:val="22"/>
        </w:rPr>
        <w:t xml:space="preserve"> on the website of the ACMA</w:t>
      </w:r>
      <w:r w:rsidR="00904785">
        <w:rPr>
          <w:sz w:val="22"/>
          <w:szCs w:val="22"/>
        </w:rPr>
        <w:t>, which,</w:t>
      </w:r>
      <w:r w:rsidR="005741E0">
        <w:rPr>
          <w:sz w:val="22"/>
          <w:szCs w:val="22"/>
        </w:rPr>
        <w:t xml:space="preserve"> at the date of making the instrument, could be access</w:t>
      </w:r>
      <w:r w:rsidR="008378F0">
        <w:rPr>
          <w:sz w:val="22"/>
          <w:szCs w:val="22"/>
        </w:rPr>
        <w:t>ed</w:t>
      </w:r>
      <w:r w:rsidR="005741E0">
        <w:rPr>
          <w:sz w:val="22"/>
          <w:szCs w:val="22"/>
        </w:rPr>
        <w:t xml:space="preserve"> free of charge</w:t>
      </w:r>
      <w:r w:rsidR="009361BE">
        <w:rPr>
          <w:sz w:val="22"/>
          <w:szCs w:val="22"/>
        </w:rPr>
        <w:t>.</w:t>
      </w:r>
    </w:p>
    <w:p w14:paraId="03D7C2AC" w14:textId="77777777" w:rsidR="00D4785C" w:rsidRPr="00FE57C4" w:rsidRDefault="00D4785C" w:rsidP="00302DBB">
      <w:pPr>
        <w:pStyle w:val="BodyText"/>
        <w:spacing w:before="120" w:line="260" w:lineRule="atLeast"/>
        <w:rPr>
          <w:b/>
          <w:sz w:val="22"/>
          <w:szCs w:val="22"/>
        </w:rPr>
      </w:pPr>
      <w:r w:rsidRPr="00FE57C4">
        <w:rPr>
          <w:b/>
          <w:sz w:val="22"/>
          <w:szCs w:val="22"/>
        </w:rPr>
        <w:t>Consultation</w:t>
      </w:r>
    </w:p>
    <w:p w14:paraId="0753F889" w14:textId="14C34824" w:rsidR="002559A7" w:rsidRPr="00FE57C4" w:rsidRDefault="002559A7" w:rsidP="00302DBB">
      <w:pPr>
        <w:spacing w:before="120" w:after="120" w:line="260" w:lineRule="atLeast"/>
        <w:rPr>
          <w:color w:val="000000"/>
          <w:sz w:val="22"/>
          <w:szCs w:val="22"/>
        </w:rPr>
      </w:pPr>
      <w:r w:rsidRPr="00FE57C4">
        <w:rPr>
          <w:color w:val="000000"/>
          <w:sz w:val="22"/>
          <w:szCs w:val="22"/>
        </w:rPr>
        <w:t xml:space="preserve">Before </w:t>
      </w:r>
      <w:r w:rsidR="00466CA8" w:rsidRPr="00FE57C4">
        <w:rPr>
          <w:color w:val="000000"/>
          <w:sz w:val="22"/>
          <w:szCs w:val="22"/>
        </w:rPr>
        <w:t xml:space="preserve">making </w:t>
      </w:r>
      <w:r w:rsidRPr="00FE57C4">
        <w:rPr>
          <w:color w:val="000000"/>
          <w:sz w:val="22"/>
          <w:szCs w:val="22"/>
        </w:rPr>
        <w:t xml:space="preserve">the instrument, the ACMA was satisfied that consultation was undertaken to the extent appropriate and reasonably practicable, in accordance with section 17 of the </w:t>
      </w:r>
      <w:r w:rsidR="00D4785C" w:rsidRPr="00FE57C4">
        <w:rPr>
          <w:i/>
          <w:color w:val="000000"/>
          <w:sz w:val="22"/>
          <w:szCs w:val="22"/>
        </w:rPr>
        <w:t>Legislation Act 2003</w:t>
      </w:r>
      <w:r w:rsidR="00E0712E" w:rsidRPr="00FE57C4">
        <w:rPr>
          <w:iCs/>
          <w:color w:val="000000"/>
          <w:sz w:val="22"/>
          <w:szCs w:val="22"/>
        </w:rPr>
        <w:t xml:space="preserve"> (</w:t>
      </w:r>
      <w:r w:rsidR="00E0712E" w:rsidRPr="00FE57C4">
        <w:rPr>
          <w:b/>
          <w:bCs/>
          <w:iCs/>
          <w:color w:val="000000"/>
          <w:sz w:val="22"/>
          <w:szCs w:val="22"/>
        </w:rPr>
        <w:t>the LA</w:t>
      </w:r>
      <w:r w:rsidR="00E0712E" w:rsidRPr="00FE57C4">
        <w:rPr>
          <w:iCs/>
          <w:color w:val="000000"/>
          <w:sz w:val="22"/>
          <w:szCs w:val="22"/>
        </w:rPr>
        <w:t>)</w:t>
      </w:r>
      <w:r w:rsidR="00D4785C" w:rsidRPr="00FE57C4">
        <w:rPr>
          <w:color w:val="000000"/>
          <w:sz w:val="22"/>
          <w:szCs w:val="22"/>
        </w:rPr>
        <w:t>.</w:t>
      </w:r>
    </w:p>
    <w:p w14:paraId="41BA7A92" w14:textId="22B34653" w:rsidR="00532934" w:rsidRPr="00FE57C4" w:rsidRDefault="00D4785C" w:rsidP="00302DBB">
      <w:pPr>
        <w:spacing w:before="120" w:after="120" w:line="260" w:lineRule="atLeast"/>
        <w:rPr>
          <w:color w:val="000000"/>
          <w:sz w:val="22"/>
          <w:szCs w:val="22"/>
        </w:rPr>
      </w:pPr>
      <w:r w:rsidRPr="00FE57C4">
        <w:rPr>
          <w:color w:val="000000"/>
          <w:sz w:val="22"/>
          <w:szCs w:val="22"/>
        </w:rPr>
        <w:t xml:space="preserve">Section 136 of the Act requires that a notice setting out </w:t>
      </w:r>
      <w:proofErr w:type="gramStart"/>
      <w:r w:rsidRPr="00FE57C4">
        <w:rPr>
          <w:color w:val="000000"/>
          <w:sz w:val="22"/>
          <w:szCs w:val="22"/>
        </w:rPr>
        <w:t>particular details</w:t>
      </w:r>
      <w:proofErr w:type="gramEnd"/>
      <w:r w:rsidRPr="00FE57C4">
        <w:rPr>
          <w:color w:val="000000"/>
          <w:sz w:val="22"/>
          <w:szCs w:val="22"/>
        </w:rPr>
        <w:t xml:space="preserve"> of the variation be published on the ACMA’s website</w:t>
      </w:r>
      <w:r w:rsidR="00E50B55" w:rsidRPr="00FE57C4">
        <w:rPr>
          <w:color w:val="000000"/>
          <w:sz w:val="22"/>
          <w:szCs w:val="22"/>
        </w:rPr>
        <w:t>,</w:t>
      </w:r>
      <w:r w:rsidRPr="00FE57C4">
        <w:rPr>
          <w:color w:val="000000"/>
          <w:sz w:val="22"/>
          <w:szCs w:val="22"/>
        </w:rPr>
        <w:t xml:space="preserve"> and in one</w:t>
      </w:r>
      <w:r w:rsidR="00E50B55" w:rsidRPr="00FE57C4">
        <w:rPr>
          <w:color w:val="000000"/>
          <w:sz w:val="22"/>
          <w:szCs w:val="22"/>
        </w:rPr>
        <w:t>,</w:t>
      </w:r>
      <w:r w:rsidRPr="00FE57C4">
        <w:rPr>
          <w:color w:val="000000"/>
          <w:sz w:val="22"/>
          <w:szCs w:val="22"/>
        </w:rPr>
        <w:t xml:space="preserve"> or more</w:t>
      </w:r>
      <w:r w:rsidR="00E50B55" w:rsidRPr="00FE57C4">
        <w:rPr>
          <w:color w:val="000000"/>
          <w:sz w:val="22"/>
          <w:szCs w:val="22"/>
        </w:rPr>
        <w:t>,</w:t>
      </w:r>
      <w:r w:rsidRPr="00FE57C4">
        <w:rPr>
          <w:color w:val="000000"/>
          <w:sz w:val="22"/>
          <w:szCs w:val="22"/>
        </w:rPr>
        <w:t xml:space="preserve"> other forms that are readily accessible by the public. The notice must allow for a</w:t>
      </w:r>
      <w:r w:rsidRPr="00FE57C4">
        <w:rPr>
          <w:i/>
          <w:color w:val="000000"/>
          <w:sz w:val="22"/>
          <w:szCs w:val="22"/>
        </w:rPr>
        <w:t xml:space="preserve"> </w:t>
      </w:r>
      <w:r w:rsidRPr="00FE57C4">
        <w:rPr>
          <w:color w:val="000000"/>
          <w:sz w:val="22"/>
          <w:szCs w:val="22"/>
        </w:rPr>
        <w:t xml:space="preserve">period of at least one month </w:t>
      </w:r>
      <w:r w:rsidR="00C17DB3" w:rsidRPr="00FE57C4">
        <w:rPr>
          <w:color w:val="000000"/>
          <w:sz w:val="22"/>
          <w:szCs w:val="22"/>
        </w:rPr>
        <w:t xml:space="preserve">to </w:t>
      </w:r>
      <w:r w:rsidRPr="00FE57C4">
        <w:rPr>
          <w:color w:val="000000"/>
          <w:sz w:val="22"/>
          <w:szCs w:val="22"/>
        </w:rPr>
        <w:t xml:space="preserve">be provided for public comment. </w:t>
      </w:r>
      <w:r w:rsidR="00F46B33">
        <w:rPr>
          <w:color w:val="000000"/>
          <w:sz w:val="22"/>
          <w:szCs w:val="22"/>
        </w:rPr>
        <w:t>Paragraph</w:t>
      </w:r>
      <w:r w:rsidR="002559A7" w:rsidRPr="00FE57C4">
        <w:rPr>
          <w:color w:val="000000"/>
          <w:sz w:val="22"/>
          <w:szCs w:val="22"/>
        </w:rPr>
        <w:t xml:space="preserve"> 136</w:t>
      </w:r>
      <w:r w:rsidR="00532934" w:rsidRPr="00FE57C4">
        <w:rPr>
          <w:color w:val="000000"/>
          <w:sz w:val="22"/>
          <w:szCs w:val="22"/>
        </w:rPr>
        <w:t xml:space="preserve"> (1A</w:t>
      </w:r>
      <w:r w:rsidR="00546FF5">
        <w:rPr>
          <w:color w:val="000000"/>
          <w:sz w:val="22"/>
          <w:szCs w:val="22"/>
        </w:rPr>
        <w:t>)(</w:t>
      </w:r>
      <w:r w:rsidR="00532934" w:rsidRPr="00FE57C4">
        <w:rPr>
          <w:color w:val="000000"/>
          <w:sz w:val="22"/>
          <w:szCs w:val="22"/>
        </w:rPr>
        <w:t>b)</w:t>
      </w:r>
      <w:r w:rsidR="002559A7" w:rsidRPr="00FE57C4">
        <w:rPr>
          <w:color w:val="000000"/>
          <w:sz w:val="22"/>
          <w:szCs w:val="22"/>
        </w:rPr>
        <w:t xml:space="preserve"> also requires consultation with spectrum licensees if the</w:t>
      </w:r>
      <w:r w:rsidR="00E74424" w:rsidRPr="00FE57C4">
        <w:rPr>
          <w:color w:val="000000"/>
          <w:sz w:val="22"/>
          <w:szCs w:val="22"/>
        </w:rPr>
        <w:t xml:space="preserve">ir licences would be affected by the instrument. </w:t>
      </w:r>
    </w:p>
    <w:p w14:paraId="301A2843" w14:textId="1F85EC81" w:rsidR="00723877" w:rsidRPr="00FE57C4" w:rsidRDefault="00D4785C" w:rsidP="00302DBB">
      <w:pPr>
        <w:spacing w:before="120" w:after="120" w:line="260" w:lineRule="atLeast"/>
        <w:rPr>
          <w:color w:val="000000"/>
          <w:sz w:val="22"/>
          <w:szCs w:val="22"/>
        </w:rPr>
      </w:pPr>
      <w:r w:rsidRPr="00FE57C4">
        <w:rPr>
          <w:color w:val="000000"/>
          <w:sz w:val="22"/>
          <w:szCs w:val="22"/>
        </w:rPr>
        <w:t xml:space="preserve">On </w:t>
      </w:r>
      <w:r w:rsidR="00E07316" w:rsidRPr="00FE57C4">
        <w:rPr>
          <w:color w:val="000000"/>
          <w:sz w:val="22"/>
          <w:szCs w:val="22"/>
        </w:rPr>
        <w:t>18</w:t>
      </w:r>
      <w:r w:rsidRPr="00FE57C4">
        <w:rPr>
          <w:color w:val="000000"/>
          <w:sz w:val="22"/>
          <w:szCs w:val="22"/>
        </w:rPr>
        <w:t xml:space="preserve"> </w:t>
      </w:r>
      <w:r w:rsidR="00BC068E" w:rsidRPr="00FE57C4">
        <w:rPr>
          <w:color w:val="000000"/>
          <w:sz w:val="22"/>
          <w:szCs w:val="22"/>
        </w:rPr>
        <w:t>December</w:t>
      </w:r>
      <w:r w:rsidRPr="00FE57C4">
        <w:rPr>
          <w:color w:val="000000"/>
          <w:sz w:val="22"/>
          <w:szCs w:val="22"/>
        </w:rPr>
        <w:t xml:space="preserve"> 201</w:t>
      </w:r>
      <w:r w:rsidR="00BC068E" w:rsidRPr="00FE57C4">
        <w:rPr>
          <w:color w:val="000000"/>
          <w:sz w:val="22"/>
          <w:szCs w:val="22"/>
        </w:rPr>
        <w:t>8</w:t>
      </w:r>
      <w:r w:rsidRPr="00FE57C4">
        <w:rPr>
          <w:color w:val="000000"/>
          <w:sz w:val="22"/>
          <w:szCs w:val="22"/>
        </w:rPr>
        <w:t xml:space="preserve">, the ACMA published a notice </w:t>
      </w:r>
      <w:hyperlink r:id="rId13" w:history="1">
        <w:r w:rsidRPr="00FE57C4">
          <w:rPr>
            <w:rStyle w:val="Hyperlink"/>
            <w:sz w:val="22"/>
            <w:szCs w:val="22"/>
          </w:rPr>
          <w:t>on its website</w:t>
        </w:r>
      </w:hyperlink>
      <w:r w:rsidRPr="00FE57C4">
        <w:rPr>
          <w:color w:val="000000"/>
          <w:sz w:val="22"/>
          <w:szCs w:val="22"/>
        </w:rPr>
        <w:t xml:space="preserve"> and in the </w:t>
      </w:r>
      <w:hyperlink r:id="rId14" w:history="1">
        <w:r w:rsidR="003F3719" w:rsidRPr="00FE57C4">
          <w:rPr>
            <w:rStyle w:val="Hyperlink"/>
            <w:i/>
            <w:sz w:val="22"/>
            <w:szCs w:val="22"/>
          </w:rPr>
          <w:t xml:space="preserve">Government </w:t>
        </w:r>
        <w:r w:rsidRPr="00FE57C4">
          <w:rPr>
            <w:rStyle w:val="Hyperlink"/>
            <w:i/>
            <w:sz w:val="22"/>
            <w:szCs w:val="22"/>
          </w:rPr>
          <w:t>Gazette</w:t>
        </w:r>
      </w:hyperlink>
      <w:r w:rsidRPr="00FE57C4">
        <w:rPr>
          <w:color w:val="000000"/>
          <w:sz w:val="22"/>
          <w:szCs w:val="22"/>
        </w:rPr>
        <w:t>,</w:t>
      </w:r>
      <w:r w:rsidRPr="00FE57C4">
        <w:rPr>
          <w:i/>
          <w:color w:val="000000"/>
          <w:sz w:val="22"/>
          <w:szCs w:val="22"/>
        </w:rPr>
        <w:t xml:space="preserve"> </w:t>
      </w:r>
      <w:r w:rsidRPr="00FE57C4">
        <w:rPr>
          <w:color w:val="000000"/>
          <w:sz w:val="22"/>
          <w:szCs w:val="22"/>
        </w:rPr>
        <w:t xml:space="preserve">inviting public comment on the draft </w:t>
      </w:r>
      <w:r w:rsidR="00D75373" w:rsidRPr="00FE57C4">
        <w:rPr>
          <w:color w:val="000000"/>
          <w:sz w:val="22"/>
          <w:szCs w:val="22"/>
        </w:rPr>
        <w:t xml:space="preserve">variation </w:t>
      </w:r>
      <w:r w:rsidR="003F3719" w:rsidRPr="00FE57C4">
        <w:rPr>
          <w:color w:val="000000"/>
          <w:sz w:val="22"/>
          <w:szCs w:val="22"/>
        </w:rPr>
        <w:t>i</w:t>
      </w:r>
      <w:r w:rsidR="00263F69" w:rsidRPr="00FE57C4">
        <w:rPr>
          <w:color w:val="000000"/>
          <w:sz w:val="22"/>
          <w:szCs w:val="22"/>
        </w:rPr>
        <w:t xml:space="preserve">nstrument </w:t>
      </w:r>
      <w:r w:rsidRPr="00FE57C4">
        <w:rPr>
          <w:color w:val="000000"/>
          <w:sz w:val="22"/>
          <w:szCs w:val="22"/>
        </w:rPr>
        <w:t xml:space="preserve">until </w:t>
      </w:r>
      <w:r w:rsidR="007B49EA" w:rsidRPr="00FE57C4">
        <w:rPr>
          <w:color w:val="000000"/>
          <w:sz w:val="22"/>
          <w:szCs w:val="22"/>
        </w:rPr>
        <w:t>22</w:t>
      </w:r>
      <w:r w:rsidRPr="00FE57C4">
        <w:rPr>
          <w:color w:val="000000"/>
          <w:sz w:val="22"/>
          <w:szCs w:val="22"/>
        </w:rPr>
        <w:t> </w:t>
      </w:r>
      <w:r w:rsidR="007B49EA" w:rsidRPr="00FE57C4">
        <w:rPr>
          <w:color w:val="000000"/>
          <w:sz w:val="22"/>
          <w:szCs w:val="22"/>
        </w:rPr>
        <w:t>February</w:t>
      </w:r>
      <w:r w:rsidRPr="00FE57C4">
        <w:rPr>
          <w:color w:val="000000"/>
          <w:sz w:val="22"/>
          <w:szCs w:val="22"/>
        </w:rPr>
        <w:t xml:space="preserve"> 201</w:t>
      </w:r>
      <w:r w:rsidR="007B49EA" w:rsidRPr="00FE57C4">
        <w:rPr>
          <w:color w:val="000000"/>
          <w:sz w:val="22"/>
          <w:szCs w:val="22"/>
        </w:rPr>
        <w:t>9</w:t>
      </w:r>
      <w:r w:rsidRPr="00FE57C4">
        <w:rPr>
          <w:color w:val="000000"/>
          <w:sz w:val="22"/>
          <w:szCs w:val="22"/>
        </w:rPr>
        <w:t xml:space="preserve">.  </w:t>
      </w:r>
    </w:p>
    <w:p w14:paraId="2B2CF25B" w14:textId="529DAF4D" w:rsidR="00D4785C" w:rsidRPr="00FE57C4" w:rsidRDefault="00723877" w:rsidP="00302DBB">
      <w:pPr>
        <w:spacing w:before="120" w:after="120" w:line="260" w:lineRule="atLeast"/>
        <w:rPr>
          <w:color w:val="000000"/>
          <w:sz w:val="22"/>
          <w:szCs w:val="22"/>
        </w:rPr>
      </w:pPr>
      <w:r w:rsidRPr="00FE57C4">
        <w:rPr>
          <w:color w:val="000000"/>
          <w:sz w:val="22"/>
          <w:szCs w:val="22"/>
        </w:rPr>
        <w:t xml:space="preserve">All affected spectrum licensees </w:t>
      </w:r>
      <w:r w:rsidR="00A0703C" w:rsidRPr="00FE57C4">
        <w:rPr>
          <w:color w:val="000000"/>
          <w:sz w:val="22"/>
          <w:szCs w:val="22"/>
        </w:rPr>
        <w:t>we</w:t>
      </w:r>
      <w:r w:rsidRPr="00FE57C4">
        <w:rPr>
          <w:color w:val="000000"/>
          <w:sz w:val="22"/>
          <w:szCs w:val="22"/>
        </w:rPr>
        <w:t>re consulted on the proposed variation</w:t>
      </w:r>
      <w:r w:rsidR="00E07316" w:rsidRPr="00FE57C4">
        <w:rPr>
          <w:color w:val="000000"/>
          <w:sz w:val="22"/>
          <w:szCs w:val="22"/>
        </w:rPr>
        <w:t>.</w:t>
      </w:r>
    </w:p>
    <w:p w14:paraId="765A4BC5" w14:textId="55FD2043" w:rsidR="000E4CB3" w:rsidRPr="00FE57C4" w:rsidRDefault="007B49EA" w:rsidP="00EC646E">
      <w:pPr>
        <w:spacing w:before="120" w:after="120" w:line="260" w:lineRule="atLeast"/>
        <w:rPr>
          <w:sz w:val="22"/>
          <w:szCs w:val="22"/>
        </w:rPr>
      </w:pPr>
      <w:r w:rsidRPr="00FE57C4">
        <w:rPr>
          <w:color w:val="000000"/>
          <w:sz w:val="22"/>
          <w:szCs w:val="22"/>
        </w:rPr>
        <w:t>Eighteen</w:t>
      </w:r>
      <w:r w:rsidR="00D4785C" w:rsidRPr="00FE57C4">
        <w:rPr>
          <w:color w:val="000000"/>
          <w:sz w:val="22"/>
          <w:szCs w:val="22"/>
        </w:rPr>
        <w:t xml:space="preserve"> submissions were received in response to the invitation for public comment</w:t>
      </w:r>
      <w:r w:rsidR="006218E4">
        <w:rPr>
          <w:color w:val="000000"/>
          <w:sz w:val="22"/>
          <w:szCs w:val="22"/>
        </w:rPr>
        <w:t xml:space="preserve">. All submissions and the Response to submissions paper </w:t>
      </w:r>
      <w:r w:rsidR="008620C2">
        <w:rPr>
          <w:color w:val="000000"/>
          <w:sz w:val="22"/>
          <w:szCs w:val="22"/>
        </w:rPr>
        <w:t>are</w:t>
      </w:r>
      <w:r w:rsidR="00095204">
        <w:rPr>
          <w:color w:val="000000"/>
          <w:sz w:val="22"/>
          <w:szCs w:val="22"/>
        </w:rPr>
        <w:t xml:space="preserve"> published </w:t>
      </w:r>
      <w:hyperlink r:id="rId15" w:history="1">
        <w:r w:rsidR="00095204" w:rsidRPr="00A627B3">
          <w:rPr>
            <w:rStyle w:val="Hyperlink"/>
            <w:sz w:val="22"/>
            <w:szCs w:val="22"/>
          </w:rPr>
          <w:t>on the ACMA’s website</w:t>
        </w:r>
      </w:hyperlink>
      <w:r w:rsidR="00095204">
        <w:rPr>
          <w:color w:val="000000"/>
          <w:sz w:val="22"/>
          <w:szCs w:val="22"/>
        </w:rPr>
        <w:t xml:space="preserve">. </w:t>
      </w:r>
    </w:p>
    <w:p w14:paraId="0119C60C" w14:textId="77777777" w:rsidR="004C7AD2" w:rsidRPr="00FE57C4" w:rsidRDefault="004C7AD2" w:rsidP="004C7AD2">
      <w:pPr>
        <w:pStyle w:val="ACMAHeading3"/>
        <w:spacing w:before="120" w:after="120" w:line="260" w:lineRule="atLeast"/>
        <w:rPr>
          <w:rFonts w:ascii="Times New Roman" w:hAnsi="Times New Roman"/>
          <w:sz w:val="22"/>
          <w:szCs w:val="22"/>
        </w:rPr>
      </w:pPr>
      <w:r w:rsidRPr="00FE57C4">
        <w:rPr>
          <w:rFonts w:ascii="Times New Roman" w:hAnsi="Times New Roman"/>
          <w:sz w:val="22"/>
          <w:szCs w:val="22"/>
        </w:rPr>
        <w:t>Regulation Impact Statement</w:t>
      </w:r>
    </w:p>
    <w:p w14:paraId="7A4E50A2" w14:textId="05D1D783" w:rsidR="00513725" w:rsidRPr="00FE57C4" w:rsidRDefault="004C7AD2" w:rsidP="00513725">
      <w:pPr>
        <w:pStyle w:val="ListParagraph"/>
        <w:spacing w:before="80" w:after="120" w:line="280" w:lineRule="atLeast"/>
        <w:ind w:left="1"/>
        <w:contextualSpacing w:val="0"/>
        <w:rPr>
          <w:rFonts w:ascii="Times New Roman" w:hAnsi="Times New Roman"/>
          <w:color w:val="000000"/>
          <w:sz w:val="22"/>
          <w:szCs w:val="22"/>
          <w:lang w:eastAsia="en-AU" w:bidi="ar-SA"/>
        </w:rPr>
      </w:pPr>
      <w:r w:rsidRPr="00FE57C4">
        <w:rPr>
          <w:rFonts w:ascii="Times New Roman" w:hAnsi="Times New Roman"/>
          <w:color w:val="000000"/>
          <w:sz w:val="22"/>
          <w:szCs w:val="22"/>
          <w:lang w:eastAsia="en-AU" w:bidi="ar-SA"/>
        </w:rPr>
        <w:t xml:space="preserve">Prior to releasing the draft </w:t>
      </w:r>
      <w:r w:rsidR="00D75373" w:rsidRPr="00FE57C4">
        <w:rPr>
          <w:rFonts w:ascii="Times New Roman" w:hAnsi="Times New Roman"/>
          <w:color w:val="000000"/>
          <w:sz w:val="22"/>
          <w:szCs w:val="22"/>
          <w:lang w:eastAsia="en-AU" w:bidi="ar-SA"/>
        </w:rPr>
        <w:t xml:space="preserve">variation </w:t>
      </w:r>
      <w:r w:rsidR="00263F69" w:rsidRPr="00FE57C4">
        <w:rPr>
          <w:rFonts w:ascii="Times New Roman" w:hAnsi="Times New Roman"/>
          <w:color w:val="000000"/>
          <w:sz w:val="22"/>
          <w:szCs w:val="22"/>
          <w:lang w:eastAsia="en-AU" w:bidi="ar-SA"/>
        </w:rPr>
        <w:t>instrument</w:t>
      </w:r>
      <w:r w:rsidRPr="00FE57C4">
        <w:rPr>
          <w:rFonts w:ascii="Times New Roman" w:hAnsi="Times New Roman"/>
          <w:color w:val="000000"/>
          <w:sz w:val="22"/>
          <w:szCs w:val="22"/>
          <w:lang w:eastAsia="en-AU" w:bidi="ar-SA"/>
        </w:rPr>
        <w:t xml:space="preserve"> for comment, the ACMA consulted with the Office of Best Practice Regulation (</w:t>
      </w:r>
      <w:r w:rsidRPr="00FE57C4">
        <w:rPr>
          <w:rFonts w:ascii="Times New Roman" w:hAnsi="Times New Roman"/>
          <w:b/>
          <w:color w:val="000000"/>
          <w:sz w:val="22"/>
          <w:szCs w:val="22"/>
          <w:lang w:eastAsia="en-AU" w:bidi="ar-SA"/>
        </w:rPr>
        <w:t>the</w:t>
      </w:r>
      <w:r w:rsidRPr="00FE57C4">
        <w:rPr>
          <w:rFonts w:ascii="Times New Roman" w:hAnsi="Times New Roman"/>
          <w:color w:val="000000"/>
          <w:sz w:val="22"/>
          <w:szCs w:val="22"/>
          <w:lang w:eastAsia="en-AU" w:bidi="ar-SA"/>
        </w:rPr>
        <w:t xml:space="preserve"> </w:t>
      </w:r>
      <w:r w:rsidRPr="00FE57C4">
        <w:rPr>
          <w:rFonts w:ascii="Times New Roman" w:hAnsi="Times New Roman"/>
          <w:b/>
          <w:color w:val="000000"/>
          <w:sz w:val="22"/>
          <w:szCs w:val="22"/>
          <w:lang w:eastAsia="en-AU" w:bidi="ar-SA"/>
        </w:rPr>
        <w:t>OBPR</w:t>
      </w:r>
      <w:r w:rsidRPr="00FE57C4">
        <w:rPr>
          <w:rFonts w:ascii="Times New Roman" w:hAnsi="Times New Roman"/>
          <w:color w:val="000000"/>
          <w:sz w:val="22"/>
          <w:szCs w:val="22"/>
          <w:lang w:eastAsia="en-AU" w:bidi="ar-SA"/>
        </w:rPr>
        <w:t>) on the requirement for a Regulation Impact Statement (</w:t>
      </w:r>
      <w:r w:rsidRPr="00FE57C4">
        <w:rPr>
          <w:rFonts w:ascii="Times New Roman" w:hAnsi="Times New Roman"/>
          <w:b/>
          <w:color w:val="000000"/>
          <w:sz w:val="22"/>
          <w:szCs w:val="22"/>
          <w:lang w:eastAsia="en-AU" w:bidi="ar-SA"/>
        </w:rPr>
        <w:t>RIS</w:t>
      </w:r>
      <w:r w:rsidRPr="00FE57C4">
        <w:rPr>
          <w:rFonts w:ascii="Times New Roman" w:hAnsi="Times New Roman"/>
          <w:color w:val="000000"/>
          <w:sz w:val="22"/>
          <w:szCs w:val="22"/>
          <w:lang w:eastAsia="en-AU" w:bidi="ar-SA"/>
        </w:rPr>
        <w:t>) for th</w:t>
      </w:r>
      <w:r w:rsidR="003F3719" w:rsidRPr="00FE57C4">
        <w:rPr>
          <w:rFonts w:ascii="Times New Roman" w:hAnsi="Times New Roman"/>
          <w:color w:val="000000"/>
          <w:sz w:val="22"/>
          <w:szCs w:val="22"/>
          <w:lang w:eastAsia="en-AU" w:bidi="ar-SA"/>
        </w:rPr>
        <w:t>e</w:t>
      </w:r>
      <w:r w:rsidRPr="00FE57C4">
        <w:rPr>
          <w:rFonts w:ascii="Times New Roman" w:hAnsi="Times New Roman"/>
          <w:color w:val="000000"/>
          <w:sz w:val="22"/>
          <w:szCs w:val="22"/>
          <w:lang w:eastAsia="en-AU" w:bidi="ar-SA"/>
        </w:rPr>
        <w:t xml:space="preserve"> </w:t>
      </w:r>
      <w:r w:rsidR="00E50B55" w:rsidRPr="00FE57C4">
        <w:rPr>
          <w:rFonts w:ascii="Times New Roman" w:hAnsi="Times New Roman"/>
          <w:color w:val="000000"/>
          <w:sz w:val="22"/>
          <w:szCs w:val="22"/>
          <w:lang w:eastAsia="en-AU" w:bidi="ar-SA"/>
        </w:rPr>
        <w:t>i</w:t>
      </w:r>
      <w:r w:rsidR="00263F69" w:rsidRPr="00FE57C4">
        <w:rPr>
          <w:rFonts w:ascii="Times New Roman" w:hAnsi="Times New Roman"/>
          <w:color w:val="000000"/>
          <w:sz w:val="22"/>
          <w:szCs w:val="22"/>
          <w:lang w:eastAsia="en-AU" w:bidi="ar-SA"/>
        </w:rPr>
        <w:t>nstrument</w:t>
      </w:r>
      <w:r w:rsidRPr="00FE57C4">
        <w:rPr>
          <w:rFonts w:ascii="Times New Roman" w:hAnsi="Times New Roman"/>
          <w:color w:val="000000"/>
          <w:sz w:val="22"/>
          <w:szCs w:val="22"/>
          <w:lang w:eastAsia="en-AU" w:bidi="ar-SA"/>
        </w:rPr>
        <w:t xml:space="preserve">. The OBPR advised that the ACMA </w:t>
      </w:r>
      <w:r w:rsidR="00D75373" w:rsidRPr="00FE57C4">
        <w:rPr>
          <w:rFonts w:ascii="Times New Roman" w:hAnsi="Times New Roman"/>
          <w:color w:val="000000"/>
          <w:sz w:val="22"/>
          <w:szCs w:val="22"/>
          <w:lang w:eastAsia="en-AU" w:bidi="ar-SA"/>
        </w:rPr>
        <w:t xml:space="preserve">could </w:t>
      </w:r>
      <w:r w:rsidRPr="00FE57C4">
        <w:rPr>
          <w:rFonts w:ascii="Times New Roman" w:hAnsi="Times New Roman"/>
          <w:color w:val="000000"/>
          <w:sz w:val="22"/>
          <w:szCs w:val="22"/>
          <w:lang w:eastAsia="en-AU" w:bidi="ar-SA"/>
        </w:rPr>
        <w:t xml:space="preserve">self-assess the performance of the </w:t>
      </w:r>
      <w:r w:rsidR="00E50B55" w:rsidRPr="00FE57C4">
        <w:rPr>
          <w:rFonts w:ascii="Times New Roman" w:hAnsi="Times New Roman"/>
          <w:color w:val="000000"/>
          <w:sz w:val="22"/>
          <w:szCs w:val="22"/>
          <w:lang w:eastAsia="en-AU" w:bidi="ar-SA"/>
        </w:rPr>
        <w:t>i</w:t>
      </w:r>
      <w:r w:rsidR="00263F69" w:rsidRPr="00FE57C4">
        <w:rPr>
          <w:rFonts w:ascii="Times New Roman" w:hAnsi="Times New Roman"/>
          <w:color w:val="000000"/>
          <w:sz w:val="22"/>
          <w:szCs w:val="22"/>
          <w:lang w:eastAsia="en-AU" w:bidi="ar-SA"/>
        </w:rPr>
        <w:t>nstrument</w:t>
      </w:r>
      <w:r w:rsidRPr="00FE57C4">
        <w:rPr>
          <w:rFonts w:ascii="Times New Roman" w:hAnsi="Times New Roman"/>
          <w:color w:val="000000"/>
          <w:sz w:val="22"/>
          <w:szCs w:val="22"/>
          <w:lang w:eastAsia="en-AU" w:bidi="ar-SA"/>
        </w:rPr>
        <w:t xml:space="preserve"> and the regulatory change made by the </w:t>
      </w:r>
      <w:r w:rsidR="00E50B55" w:rsidRPr="00FE57C4">
        <w:rPr>
          <w:rFonts w:ascii="Times New Roman" w:hAnsi="Times New Roman"/>
          <w:color w:val="000000"/>
          <w:sz w:val="22"/>
          <w:szCs w:val="22"/>
          <w:lang w:eastAsia="en-AU" w:bidi="ar-SA"/>
        </w:rPr>
        <w:t>i</w:t>
      </w:r>
      <w:r w:rsidR="00263F69" w:rsidRPr="00FE57C4">
        <w:rPr>
          <w:rFonts w:ascii="Times New Roman" w:hAnsi="Times New Roman"/>
          <w:color w:val="000000"/>
          <w:sz w:val="22"/>
          <w:szCs w:val="22"/>
          <w:lang w:eastAsia="en-AU" w:bidi="ar-SA"/>
        </w:rPr>
        <w:t>nstrument</w:t>
      </w:r>
      <w:r w:rsidRPr="00FE57C4">
        <w:rPr>
          <w:rFonts w:ascii="Times New Roman" w:hAnsi="Times New Roman"/>
          <w:color w:val="000000"/>
          <w:sz w:val="22"/>
          <w:szCs w:val="22"/>
          <w:lang w:eastAsia="en-AU" w:bidi="ar-SA"/>
        </w:rPr>
        <w:t xml:space="preserve">. The ACMA considers that the </w:t>
      </w:r>
      <w:r w:rsidR="00E50B55" w:rsidRPr="00FE57C4">
        <w:rPr>
          <w:rFonts w:ascii="Times New Roman" w:hAnsi="Times New Roman"/>
          <w:color w:val="000000"/>
          <w:sz w:val="22"/>
          <w:szCs w:val="22"/>
          <w:lang w:eastAsia="en-AU" w:bidi="ar-SA"/>
        </w:rPr>
        <w:t>i</w:t>
      </w:r>
      <w:r w:rsidR="00263F69" w:rsidRPr="00FE57C4">
        <w:rPr>
          <w:rFonts w:ascii="Times New Roman" w:hAnsi="Times New Roman"/>
          <w:color w:val="000000"/>
          <w:sz w:val="22"/>
          <w:szCs w:val="22"/>
          <w:lang w:eastAsia="en-AU" w:bidi="ar-SA"/>
        </w:rPr>
        <w:t>nstrument</w:t>
      </w:r>
      <w:r w:rsidRPr="00FE57C4">
        <w:rPr>
          <w:rFonts w:ascii="Times New Roman" w:hAnsi="Times New Roman"/>
          <w:color w:val="000000"/>
          <w:sz w:val="22"/>
          <w:szCs w:val="22"/>
          <w:lang w:eastAsia="en-AU" w:bidi="ar-SA"/>
        </w:rPr>
        <w:t xml:space="preserve"> does not give rise to the need for a RIS because it is only likely to have minor and machinery impacts. The OBPR reference for this assessment is ID </w:t>
      </w:r>
      <w:r w:rsidR="00E67A45" w:rsidRPr="00FE57C4">
        <w:rPr>
          <w:rFonts w:ascii="Times New Roman" w:hAnsi="Times New Roman"/>
          <w:sz w:val="24"/>
          <w:szCs w:val="24"/>
        </w:rPr>
        <w:t>24375</w:t>
      </w:r>
      <w:r w:rsidRPr="00FE57C4">
        <w:rPr>
          <w:rFonts w:ascii="Times New Roman" w:hAnsi="Times New Roman"/>
          <w:color w:val="000000"/>
          <w:sz w:val="22"/>
          <w:szCs w:val="22"/>
          <w:lang w:eastAsia="en-AU" w:bidi="ar-SA"/>
        </w:rPr>
        <w:t>.</w:t>
      </w:r>
    </w:p>
    <w:p w14:paraId="1FD85A5C" w14:textId="77777777" w:rsidR="00D4785C" w:rsidRPr="00FE57C4" w:rsidRDefault="00D4785C" w:rsidP="00302DBB">
      <w:pPr>
        <w:pStyle w:val="ACMAHeading3"/>
        <w:spacing w:before="120" w:after="120" w:line="360" w:lineRule="auto"/>
        <w:rPr>
          <w:rFonts w:ascii="Times New Roman" w:hAnsi="Times New Roman"/>
          <w:sz w:val="22"/>
          <w:szCs w:val="22"/>
        </w:rPr>
      </w:pPr>
      <w:r w:rsidRPr="00FE57C4">
        <w:rPr>
          <w:rFonts w:ascii="Times New Roman" w:hAnsi="Times New Roman"/>
          <w:sz w:val="22"/>
          <w:szCs w:val="22"/>
        </w:rPr>
        <w:t>Statement of Compatibility with Human Rights</w:t>
      </w:r>
    </w:p>
    <w:p w14:paraId="4A0F5004" w14:textId="5E5F5CEF" w:rsidR="003F3719" w:rsidRPr="00FE57C4" w:rsidRDefault="003F3719" w:rsidP="003F3719">
      <w:pPr>
        <w:spacing w:before="120" w:after="120" w:line="260" w:lineRule="atLeast"/>
        <w:rPr>
          <w:color w:val="000000"/>
          <w:sz w:val="22"/>
          <w:szCs w:val="22"/>
        </w:rPr>
      </w:pPr>
      <w:r w:rsidRPr="00FE57C4">
        <w:rPr>
          <w:color w:val="000000"/>
          <w:sz w:val="22"/>
          <w:szCs w:val="22"/>
        </w:rPr>
        <w:t xml:space="preserve">Subsection 9(1) of the </w:t>
      </w:r>
      <w:r w:rsidRPr="00FE57C4">
        <w:rPr>
          <w:i/>
          <w:color w:val="000000"/>
          <w:sz w:val="22"/>
          <w:szCs w:val="22"/>
        </w:rPr>
        <w:t>Human Rights (Parliamentary Scrutiny) Act 2011</w:t>
      </w:r>
      <w:r w:rsidRPr="00FE57C4">
        <w:rPr>
          <w:color w:val="000000"/>
          <w:sz w:val="22"/>
          <w:szCs w:val="22"/>
        </w:rPr>
        <w:t xml:space="preserve"> requires the rule-maker in relation to a legislative instrument to which section 42 (disallowance) of the LA applies to cause a statement of compatibility</w:t>
      </w:r>
      <w:r w:rsidR="00EB5A1F">
        <w:rPr>
          <w:color w:val="000000"/>
          <w:sz w:val="22"/>
          <w:szCs w:val="22"/>
        </w:rPr>
        <w:t xml:space="preserve"> with human rights</w:t>
      </w:r>
      <w:r w:rsidRPr="00FE57C4">
        <w:rPr>
          <w:color w:val="000000"/>
          <w:sz w:val="22"/>
          <w:szCs w:val="22"/>
        </w:rPr>
        <w:t xml:space="preserve"> to be prepared in respect of that legislative instrument.</w:t>
      </w:r>
    </w:p>
    <w:p w14:paraId="487D8610" w14:textId="77777777" w:rsidR="003F3719" w:rsidRPr="00FE57C4" w:rsidRDefault="003F3719" w:rsidP="003F3719">
      <w:pPr>
        <w:spacing w:before="120" w:after="120" w:line="260" w:lineRule="atLeast"/>
        <w:rPr>
          <w:color w:val="000000"/>
          <w:sz w:val="22"/>
          <w:szCs w:val="22"/>
        </w:rPr>
      </w:pPr>
      <w:r w:rsidRPr="00FE57C4">
        <w:rPr>
          <w:color w:val="000000"/>
          <w:sz w:val="22"/>
          <w:szCs w:val="22"/>
        </w:rPr>
        <w:t>The statement of compatibility set out below has been prepared to meet that requirement.</w:t>
      </w:r>
    </w:p>
    <w:p w14:paraId="128D0123" w14:textId="77777777" w:rsidR="003F3719" w:rsidRPr="00FE57C4" w:rsidRDefault="003F3719" w:rsidP="003F3719">
      <w:pPr>
        <w:pStyle w:val="ListParagraph"/>
        <w:spacing w:before="80" w:after="120" w:line="280" w:lineRule="atLeast"/>
        <w:ind w:left="0"/>
        <w:contextualSpacing w:val="0"/>
        <w:rPr>
          <w:rFonts w:ascii="Times New Roman" w:hAnsi="Times New Roman"/>
          <w:b/>
          <w:i/>
          <w:color w:val="000000"/>
          <w:sz w:val="22"/>
          <w:szCs w:val="22"/>
        </w:rPr>
      </w:pPr>
      <w:r w:rsidRPr="00FE57C4">
        <w:rPr>
          <w:rFonts w:ascii="Times New Roman" w:hAnsi="Times New Roman"/>
          <w:b/>
          <w:i/>
          <w:color w:val="000000"/>
          <w:sz w:val="22"/>
          <w:szCs w:val="22"/>
        </w:rPr>
        <w:t>Overview of the instrument</w:t>
      </w:r>
    </w:p>
    <w:p w14:paraId="7CF04131" w14:textId="78EF862E" w:rsidR="00196F71" w:rsidRDefault="003F3719" w:rsidP="00196F71">
      <w:pPr>
        <w:pStyle w:val="BodyText"/>
        <w:spacing w:before="120" w:line="260" w:lineRule="atLeast"/>
        <w:rPr>
          <w:sz w:val="22"/>
          <w:szCs w:val="22"/>
        </w:rPr>
      </w:pPr>
      <w:r w:rsidRPr="00FE57C4">
        <w:rPr>
          <w:sz w:val="22"/>
          <w:szCs w:val="22"/>
        </w:rPr>
        <w:t>The instrument varies the LIPD Class Licence to</w:t>
      </w:r>
      <w:r w:rsidR="00196F71">
        <w:rPr>
          <w:sz w:val="22"/>
          <w:szCs w:val="22"/>
        </w:rPr>
        <w:t>:</w:t>
      </w:r>
    </w:p>
    <w:p w14:paraId="55AC5029" w14:textId="77777777" w:rsidR="00196F71" w:rsidRDefault="00196F71" w:rsidP="00196F71">
      <w:pPr>
        <w:pStyle w:val="BodyText"/>
        <w:numPr>
          <w:ilvl w:val="0"/>
          <w:numId w:val="28"/>
        </w:numPr>
        <w:spacing w:before="120" w:after="0" w:line="260" w:lineRule="atLeast"/>
        <w:ind w:left="777" w:hanging="357"/>
        <w:rPr>
          <w:sz w:val="22"/>
          <w:szCs w:val="22"/>
        </w:rPr>
      </w:pPr>
      <w:r w:rsidRPr="00B44294">
        <w:rPr>
          <w:sz w:val="22"/>
          <w:szCs w:val="22"/>
        </w:rPr>
        <w:t>update arrangements for data communication transmitters and fixed point-to-point link transmitters and extend their authori</w:t>
      </w:r>
      <w:r>
        <w:rPr>
          <w:sz w:val="22"/>
          <w:szCs w:val="22"/>
        </w:rPr>
        <w:t>s</w:t>
      </w:r>
      <w:r w:rsidRPr="00B44294">
        <w:rPr>
          <w:sz w:val="22"/>
          <w:szCs w:val="22"/>
        </w:rPr>
        <w:t>ed frequency band from 57-66 GHz to 57-71 GHz</w:t>
      </w:r>
      <w:r>
        <w:rPr>
          <w:sz w:val="22"/>
          <w:szCs w:val="22"/>
        </w:rPr>
        <w:t>;</w:t>
      </w:r>
    </w:p>
    <w:p w14:paraId="4E8C2B0E" w14:textId="77777777" w:rsidR="00196F71" w:rsidRDefault="00196F71" w:rsidP="00196F71">
      <w:pPr>
        <w:pStyle w:val="BodyText"/>
        <w:numPr>
          <w:ilvl w:val="0"/>
          <w:numId w:val="28"/>
        </w:numPr>
        <w:spacing w:before="120" w:after="0" w:line="260" w:lineRule="atLeast"/>
        <w:ind w:left="777" w:hanging="357"/>
        <w:rPr>
          <w:sz w:val="22"/>
          <w:szCs w:val="22"/>
        </w:rPr>
      </w:pPr>
      <w:r w:rsidRPr="00B44294">
        <w:rPr>
          <w:sz w:val="22"/>
          <w:szCs w:val="22"/>
        </w:rPr>
        <w:t>include new arrangements for all transmitters operating in the 57-64 GHz band</w:t>
      </w:r>
      <w:r>
        <w:rPr>
          <w:sz w:val="22"/>
          <w:szCs w:val="22"/>
        </w:rPr>
        <w:t>;</w:t>
      </w:r>
    </w:p>
    <w:p w14:paraId="725CA315" w14:textId="77777777" w:rsidR="00196F71" w:rsidRDefault="00196F71" w:rsidP="00196F71">
      <w:pPr>
        <w:pStyle w:val="BodyText"/>
        <w:numPr>
          <w:ilvl w:val="0"/>
          <w:numId w:val="28"/>
        </w:numPr>
        <w:spacing w:before="120" w:after="0" w:line="260" w:lineRule="atLeast"/>
        <w:ind w:left="777" w:hanging="357"/>
        <w:rPr>
          <w:sz w:val="22"/>
          <w:szCs w:val="22"/>
        </w:rPr>
      </w:pPr>
      <w:r w:rsidRPr="00B44294">
        <w:rPr>
          <w:sz w:val="22"/>
          <w:szCs w:val="22"/>
        </w:rPr>
        <w:t xml:space="preserve"> revise arrangements for underground transmitters operating in the 70-520 MHz band</w:t>
      </w:r>
      <w:r>
        <w:rPr>
          <w:sz w:val="22"/>
          <w:szCs w:val="22"/>
        </w:rPr>
        <w:t>;</w:t>
      </w:r>
    </w:p>
    <w:p w14:paraId="66E94527" w14:textId="77777777" w:rsidR="00196F71" w:rsidRDefault="00196F71" w:rsidP="00196F71">
      <w:pPr>
        <w:pStyle w:val="BodyText"/>
        <w:numPr>
          <w:ilvl w:val="0"/>
          <w:numId w:val="28"/>
        </w:numPr>
        <w:spacing w:before="120" w:after="0" w:line="260" w:lineRule="atLeast"/>
        <w:ind w:left="777" w:hanging="357"/>
        <w:rPr>
          <w:sz w:val="22"/>
          <w:szCs w:val="22"/>
        </w:rPr>
      </w:pPr>
      <w:r>
        <w:rPr>
          <w:sz w:val="22"/>
          <w:szCs w:val="22"/>
        </w:rPr>
        <w:t>authorise the operation of</w:t>
      </w:r>
      <w:r w:rsidRPr="00B44294">
        <w:rPr>
          <w:sz w:val="22"/>
          <w:szCs w:val="22"/>
        </w:rPr>
        <w:t xml:space="preserve"> higher power radiodetermination transmitters in the 76-77 GHz band</w:t>
      </w:r>
      <w:r>
        <w:rPr>
          <w:sz w:val="22"/>
          <w:szCs w:val="22"/>
        </w:rPr>
        <w:t>;</w:t>
      </w:r>
    </w:p>
    <w:p w14:paraId="1E0ED1FF" w14:textId="74639017" w:rsidR="00196F71" w:rsidRDefault="00196F71" w:rsidP="00196F71">
      <w:pPr>
        <w:pStyle w:val="BodyText"/>
        <w:numPr>
          <w:ilvl w:val="0"/>
          <w:numId w:val="28"/>
        </w:numPr>
        <w:spacing w:before="120" w:after="0" w:line="260" w:lineRule="atLeast"/>
        <w:ind w:left="777" w:hanging="357"/>
        <w:rPr>
          <w:sz w:val="22"/>
          <w:szCs w:val="22"/>
        </w:rPr>
      </w:pPr>
      <w:r>
        <w:rPr>
          <w:sz w:val="22"/>
          <w:szCs w:val="22"/>
        </w:rPr>
        <w:t xml:space="preserve">authorise the operation of </w:t>
      </w:r>
      <w:r w:rsidRPr="00B44294">
        <w:rPr>
          <w:sz w:val="22"/>
          <w:szCs w:val="22"/>
        </w:rPr>
        <w:t>ground and wall penetration radiodetermination transmitters in the 30-12400 MHz band</w:t>
      </w:r>
      <w:r>
        <w:rPr>
          <w:sz w:val="22"/>
          <w:szCs w:val="22"/>
        </w:rPr>
        <w:t>;</w:t>
      </w:r>
    </w:p>
    <w:p w14:paraId="399ADB89" w14:textId="2A9BBF43" w:rsidR="00196F71" w:rsidRDefault="00196F71" w:rsidP="00196F71">
      <w:pPr>
        <w:pStyle w:val="BodyText"/>
        <w:numPr>
          <w:ilvl w:val="0"/>
          <w:numId w:val="28"/>
        </w:numPr>
        <w:spacing w:before="120" w:after="0" w:line="260" w:lineRule="atLeast"/>
        <w:ind w:left="777" w:hanging="357"/>
        <w:rPr>
          <w:sz w:val="22"/>
          <w:szCs w:val="22"/>
        </w:rPr>
      </w:pPr>
      <w:r w:rsidRPr="00B44294">
        <w:rPr>
          <w:sz w:val="22"/>
          <w:szCs w:val="22"/>
        </w:rPr>
        <w:t xml:space="preserve">align existing arrangements for ultra-wideband devices with European arrangements by adding </w:t>
      </w:r>
      <w:r>
        <w:rPr>
          <w:sz w:val="22"/>
          <w:szCs w:val="22"/>
        </w:rPr>
        <w:t xml:space="preserve">the </w:t>
      </w:r>
      <w:r w:rsidRPr="00B44294">
        <w:rPr>
          <w:sz w:val="22"/>
          <w:szCs w:val="22"/>
        </w:rPr>
        <w:t xml:space="preserve">3100-3400 MHz and 8500-9000 MHz bands </w:t>
      </w:r>
      <w:r>
        <w:rPr>
          <w:sz w:val="22"/>
          <w:szCs w:val="22"/>
        </w:rPr>
        <w:t>for such devices and by authorising ultra-wide band transmitters onboard aircraft operating in 6000-8500 MHz band</w:t>
      </w:r>
      <w:r w:rsidRPr="00B44294">
        <w:rPr>
          <w:sz w:val="22"/>
          <w:szCs w:val="22"/>
        </w:rPr>
        <w:t xml:space="preserve">. </w:t>
      </w:r>
    </w:p>
    <w:p w14:paraId="040BFB92" w14:textId="2A00D4CB" w:rsidR="003F3719" w:rsidRPr="00FE57C4" w:rsidRDefault="002B745A" w:rsidP="00F97A2E">
      <w:pPr>
        <w:spacing w:before="120" w:after="120" w:line="260" w:lineRule="atLeast"/>
        <w:rPr>
          <w:sz w:val="22"/>
          <w:szCs w:val="22"/>
        </w:rPr>
      </w:pPr>
      <w:r>
        <w:rPr>
          <w:sz w:val="22"/>
          <w:szCs w:val="22"/>
        </w:rPr>
        <w:lastRenderedPageBreak/>
        <w:t xml:space="preserve">The instrument also </w:t>
      </w:r>
      <w:r w:rsidR="00211BF0" w:rsidRPr="00FE57C4">
        <w:rPr>
          <w:sz w:val="22"/>
          <w:szCs w:val="22"/>
        </w:rPr>
        <w:t>include</w:t>
      </w:r>
      <w:r>
        <w:rPr>
          <w:sz w:val="22"/>
          <w:szCs w:val="22"/>
        </w:rPr>
        <w:t>s</w:t>
      </w:r>
      <w:r w:rsidR="00211BF0" w:rsidRPr="00FE57C4">
        <w:rPr>
          <w:sz w:val="22"/>
          <w:szCs w:val="22"/>
        </w:rPr>
        <w:t xml:space="preserve"> new arrangements for all transmitters operating in the 57-</w:t>
      </w:r>
      <w:r w:rsidRPr="00FE57C4">
        <w:rPr>
          <w:sz w:val="22"/>
          <w:szCs w:val="22"/>
        </w:rPr>
        <w:t>64</w:t>
      </w:r>
      <w:r>
        <w:rPr>
          <w:sz w:val="22"/>
          <w:szCs w:val="22"/>
        </w:rPr>
        <w:t> </w:t>
      </w:r>
      <w:r w:rsidR="00211BF0" w:rsidRPr="00F97A2E">
        <w:rPr>
          <w:color w:val="000000"/>
          <w:sz w:val="22"/>
          <w:szCs w:val="22"/>
        </w:rPr>
        <w:t>GHz</w:t>
      </w:r>
      <w:r w:rsidR="00211BF0" w:rsidRPr="00FE57C4">
        <w:rPr>
          <w:sz w:val="22"/>
          <w:szCs w:val="22"/>
        </w:rPr>
        <w:t xml:space="preserve"> band and revise</w:t>
      </w:r>
      <w:r w:rsidR="00141F69">
        <w:rPr>
          <w:sz w:val="22"/>
          <w:szCs w:val="22"/>
        </w:rPr>
        <w:t>s</w:t>
      </w:r>
      <w:r w:rsidR="00211BF0" w:rsidRPr="00FE57C4">
        <w:rPr>
          <w:sz w:val="22"/>
          <w:szCs w:val="22"/>
        </w:rPr>
        <w:t xml:space="preserve"> arrangements for underground transmitters operating in the 70-520 MHz band.  The instrument also </w:t>
      </w:r>
      <w:r w:rsidR="00141F69">
        <w:rPr>
          <w:sz w:val="22"/>
          <w:szCs w:val="22"/>
        </w:rPr>
        <w:t>authorises the operation of</w:t>
      </w:r>
      <w:r w:rsidR="00211BF0" w:rsidRPr="00FE57C4">
        <w:rPr>
          <w:sz w:val="22"/>
          <w:szCs w:val="22"/>
        </w:rPr>
        <w:t xml:space="preserve"> higher power radiodetermination transmitters in the 76-</w:t>
      </w:r>
      <w:r w:rsidR="00141F69" w:rsidRPr="00FE57C4">
        <w:rPr>
          <w:sz w:val="22"/>
          <w:szCs w:val="22"/>
        </w:rPr>
        <w:t>77</w:t>
      </w:r>
      <w:r w:rsidR="00141F69">
        <w:rPr>
          <w:sz w:val="22"/>
          <w:szCs w:val="22"/>
        </w:rPr>
        <w:t> </w:t>
      </w:r>
      <w:r w:rsidR="00211BF0" w:rsidRPr="00FE57C4">
        <w:rPr>
          <w:sz w:val="22"/>
          <w:szCs w:val="22"/>
        </w:rPr>
        <w:t xml:space="preserve">GHz band </w:t>
      </w:r>
      <w:r w:rsidR="00141F69">
        <w:rPr>
          <w:sz w:val="22"/>
          <w:szCs w:val="22"/>
        </w:rPr>
        <w:t>and the operation of</w:t>
      </w:r>
      <w:r w:rsidR="00211BF0" w:rsidRPr="00FE57C4">
        <w:rPr>
          <w:sz w:val="22"/>
          <w:szCs w:val="22"/>
        </w:rPr>
        <w:t xml:space="preserve"> ground and wall penetration radiodetermination transmitters in the 30-12400 MHz band</w:t>
      </w:r>
      <w:r w:rsidR="00F97A2E">
        <w:rPr>
          <w:sz w:val="22"/>
          <w:szCs w:val="22"/>
        </w:rPr>
        <w:t>,</w:t>
      </w:r>
      <w:r w:rsidR="00211BF0" w:rsidRPr="00FE57C4">
        <w:rPr>
          <w:sz w:val="22"/>
          <w:szCs w:val="22"/>
        </w:rPr>
        <w:t xml:space="preserve"> and align</w:t>
      </w:r>
      <w:r w:rsidR="004449E7" w:rsidRPr="00FE57C4">
        <w:rPr>
          <w:sz w:val="22"/>
          <w:szCs w:val="22"/>
        </w:rPr>
        <w:t>s</w:t>
      </w:r>
      <w:r w:rsidR="00211BF0" w:rsidRPr="00FE57C4">
        <w:rPr>
          <w:sz w:val="22"/>
          <w:szCs w:val="22"/>
        </w:rPr>
        <w:t xml:space="preserve"> existing arrangements for </w:t>
      </w:r>
      <w:r w:rsidR="004449E7" w:rsidRPr="00FE57C4">
        <w:rPr>
          <w:sz w:val="22"/>
          <w:szCs w:val="22"/>
        </w:rPr>
        <w:t>u</w:t>
      </w:r>
      <w:r w:rsidR="00211BF0" w:rsidRPr="00FE57C4">
        <w:rPr>
          <w:sz w:val="22"/>
          <w:szCs w:val="22"/>
        </w:rPr>
        <w:t>ltra</w:t>
      </w:r>
      <w:r w:rsidR="00DB6F6B" w:rsidRPr="00FE57C4">
        <w:rPr>
          <w:sz w:val="22"/>
          <w:szCs w:val="22"/>
        </w:rPr>
        <w:t>-</w:t>
      </w:r>
      <w:r w:rsidR="00211BF0" w:rsidRPr="00FE57C4">
        <w:rPr>
          <w:sz w:val="22"/>
          <w:szCs w:val="22"/>
        </w:rPr>
        <w:t>wideband devices with European arrangement</w:t>
      </w:r>
      <w:r w:rsidR="004449E7" w:rsidRPr="00FE57C4">
        <w:rPr>
          <w:sz w:val="22"/>
          <w:szCs w:val="22"/>
        </w:rPr>
        <w:t>s</w:t>
      </w:r>
      <w:r w:rsidR="00211BF0" w:rsidRPr="00FE57C4">
        <w:rPr>
          <w:sz w:val="22"/>
          <w:szCs w:val="22"/>
        </w:rPr>
        <w:t xml:space="preserve"> by adding </w:t>
      </w:r>
      <w:r w:rsidR="00F97A2E">
        <w:rPr>
          <w:sz w:val="22"/>
          <w:szCs w:val="22"/>
        </w:rPr>
        <w:t xml:space="preserve">the </w:t>
      </w:r>
      <w:r w:rsidR="00211BF0" w:rsidRPr="00FE57C4">
        <w:rPr>
          <w:sz w:val="22"/>
          <w:szCs w:val="22"/>
        </w:rPr>
        <w:t>3100-3400 MHz and 8500-9000 MHz bands to the current arrangement</w:t>
      </w:r>
      <w:r w:rsidR="004449E7" w:rsidRPr="00FE57C4">
        <w:rPr>
          <w:sz w:val="22"/>
          <w:szCs w:val="22"/>
        </w:rPr>
        <w:t>s in the LIPD Class Licence</w:t>
      </w:r>
      <w:r w:rsidR="00211BF0" w:rsidRPr="00FE57C4">
        <w:rPr>
          <w:sz w:val="22"/>
          <w:szCs w:val="22"/>
        </w:rPr>
        <w:t>.</w:t>
      </w:r>
    </w:p>
    <w:p w14:paraId="5ABECC94" w14:textId="77777777" w:rsidR="004C7AD2" w:rsidRPr="00FE57C4" w:rsidRDefault="004C7AD2" w:rsidP="00F97A2E">
      <w:pPr>
        <w:pStyle w:val="ListParagraph"/>
        <w:spacing w:before="80" w:after="120" w:line="280" w:lineRule="atLeast"/>
        <w:ind w:left="0"/>
        <w:contextualSpacing w:val="0"/>
        <w:rPr>
          <w:rFonts w:ascii="Times New Roman" w:hAnsi="Times New Roman"/>
          <w:b/>
          <w:i/>
          <w:color w:val="000000"/>
          <w:sz w:val="22"/>
          <w:szCs w:val="22"/>
        </w:rPr>
      </w:pPr>
      <w:r w:rsidRPr="00FE57C4">
        <w:rPr>
          <w:rFonts w:ascii="Times New Roman" w:hAnsi="Times New Roman"/>
          <w:b/>
          <w:i/>
          <w:color w:val="000000"/>
          <w:sz w:val="22"/>
          <w:szCs w:val="22"/>
        </w:rPr>
        <w:t>Human rights implications</w:t>
      </w:r>
    </w:p>
    <w:p w14:paraId="7EB89048" w14:textId="77777777" w:rsidR="004C7AD2" w:rsidRPr="00FE57C4" w:rsidRDefault="004C7AD2" w:rsidP="00F97A2E">
      <w:pPr>
        <w:spacing w:before="120" w:after="120" w:line="260" w:lineRule="atLeast"/>
        <w:rPr>
          <w:color w:val="000000"/>
          <w:sz w:val="22"/>
          <w:szCs w:val="22"/>
        </w:rPr>
      </w:pPr>
      <w:r w:rsidRPr="00FE57C4">
        <w:rPr>
          <w:color w:val="000000"/>
          <w:sz w:val="22"/>
          <w:szCs w:val="22"/>
        </w:rPr>
        <w:t xml:space="preserve">The ACMA has assessed whether the instrument is compatible with human rights, being the rights and freedoms recognised or declared by the </w:t>
      </w:r>
      <w:r w:rsidRPr="00F97A2E">
        <w:rPr>
          <w:sz w:val="22"/>
          <w:szCs w:val="22"/>
        </w:rPr>
        <w:t>international</w:t>
      </w:r>
      <w:r w:rsidRPr="00FE57C4">
        <w:rPr>
          <w:color w:val="000000"/>
          <w:sz w:val="22"/>
          <w:szCs w:val="22"/>
        </w:rPr>
        <w:t xml:space="preserve"> instruments listed in subsection 3(1) of the</w:t>
      </w:r>
      <w:r w:rsidRPr="00FE57C4">
        <w:rPr>
          <w:i/>
          <w:color w:val="000000"/>
          <w:sz w:val="22"/>
          <w:szCs w:val="22"/>
        </w:rPr>
        <w:t xml:space="preserve"> Human Rights (Parliamentary Scrutiny) Act 2011 </w:t>
      </w:r>
      <w:r w:rsidRPr="00FE57C4">
        <w:rPr>
          <w:color w:val="000000"/>
          <w:sz w:val="22"/>
          <w:szCs w:val="22"/>
        </w:rPr>
        <w:t xml:space="preserve">as they apply to Australia. </w:t>
      </w:r>
    </w:p>
    <w:p w14:paraId="2B41D530" w14:textId="77777777" w:rsidR="004C7AD2" w:rsidRPr="00FE57C4" w:rsidRDefault="004C7AD2" w:rsidP="00F97A2E">
      <w:pPr>
        <w:spacing w:before="120" w:after="120" w:line="260" w:lineRule="atLeast"/>
        <w:rPr>
          <w:color w:val="000000"/>
          <w:sz w:val="22"/>
          <w:szCs w:val="22"/>
        </w:rPr>
      </w:pPr>
      <w:r w:rsidRPr="00FE57C4">
        <w:rPr>
          <w:color w:val="000000"/>
          <w:sz w:val="22"/>
          <w:szCs w:val="22"/>
        </w:rPr>
        <w:t xml:space="preserve">Having considered the likely impact of the instrument and the nature of the applicable rights and freedoms, the ACMA has formed the view that the instrument does not engage any of those rights or freedoms.  </w:t>
      </w:r>
    </w:p>
    <w:p w14:paraId="65F89CB7" w14:textId="77777777" w:rsidR="004C7AD2" w:rsidRPr="00FE57C4" w:rsidRDefault="004C7AD2" w:rsidP="004C7AD2">
      <w:pPr>
        <w:pStyle w:val="ListParagraph"/>
        <w:spacing w:before="80" w:after="120" w:line="280" w:lineRule="atLeast"/>
        <w:ind w:left="1"/>
        <w:rPr>
          <w:rFonts w:ascii="Times New Roman" w:hAnsi="Times New Roman"/>
          <w:b/>
          <w:i/>
          <w:color w:val="000000"/>
          <w:sz w:val="22"/>
          <w:szCs w:val="22"/>
        </w:rPr>
      </w:pPr>
      <w:r w:rsidRPr="00FE57C4">
        <w:rPr>
          <w:rFonts w:ascii="Times New Roman" w:hAnsi="Times New Roman"/>
          <w:b/>
          <w:i/>
          <w:color w:val="000000"/>
          <w:sz w:val="22"/>
          <w:szCs w:val="22"/>
        </w:rPr>
        <w:t>Conclusion</w:t>
      </w:r>
    </w:p>
    <w:p w14:paraId="74688F58" w14:textId="77777777" w:rsidR="004C7AD2" w:rsidRPr="00FE57C4" w:rsidRDefault="004C7AD2" w:rsidP="00F97A2E">
      <w:pPr>
        <w:spacing w:before="120" w:after="120" w:line="260" w:lineRule="atLeast"/>
        <w:rPr>
          <w:color w:val="000000"/>
          <w:sz w:val="22"/>
          <w:szCs w:val="22"/>
        </w:rPr>
      </w:pPr>
      <w:r w:rsidRPr="00FE57C4">
        <w:rPr>
          <w:color w:val="000000"/>
          <w:sz w:val="22"/>
          <w:szCs w:val="22"/>
        </w:rPr>
        <w:t>The instrument is compatible with human rights as it does not raise any human rights issues.</w:t>
      </w:r>
    </w:p>
    <w:p w14:paraId="12E8FDBF" w14:textId="77777777" w:rsidR="00D4785C" w:rsidRPr="0066798F" w:rsidRDefault="00D4785C" w:rsidP="00302DBB">
      <w:pPr>
        <w:pStyle w:val="RGPara"/>
        <w:spacing w:after="120" w:line="260" w:lineRule="atLeast"/>
        <w:jc w:val="left"/>
        <w:rPr>
          <w:rFonts w:ascii="Arial" w:hAnsi="Arial" w:cs="Arial"/>
          <w:b/>
          <w:sz w:val="20"/>
        </w:rPr>
      </w:pPr>
      <w:r w:rsidRPr="0066798F">
        <w:rPr>
          <w:rFonts w:ascii="Arial" w:hAnsi="Arial" w:cs="Arial"/>
          <w:b/>
          <w:sz w:val="20"/>
        </w:rPr>
        <w:br w:type="page"/>
      </w:r>
    </w:p>
    <w:p w14:paraId="0F5B33EC" w14:textId="77777777" w:rsidR="00D4785C" w:rsidRPr="00FE57C4" w:rsidRDefault="00D4785C" w:rsidP="00C47CF2">
      <w:pPr>
        <w:spacing w:before="120" w:after="120" w:line="260" w:lineRule="atLeast"/>
        <w:jc w:val="right"/>
        <w:rPr>
          <w:b/>
          <w:sz w:val="22"/>
          <w:szCs w:val="22"/>
        </w:rPr>
      </w:pPr>
      <w:r w:rsidRPr="00FE57C4">
        <w:rPr>
          <w:b/>
          <w:sz w:val="22"/>
          <w:szCs w:val="22"/>
        </w:rPr>
        <w:lastRenderedPageBreak/>
        <w:t>ATTACHMENT A</w:t>
      </w:r>
    </w:p>
    <w:p w14:paraId="38E3ACAB" w14:textId="60D5B279" w:rsidR="00D4785C" w:rsidRPr="00FE57C4" w:rsidRDefault="00C47CF2" w:rsidP="00C47CF2">
      <w:pPr>
        <w:pStyle w:val="Heading5"/>
        <w:spacing w:before="120" w:after="120" w:line="260" w:lineRule="atLeast"/>
        <w:jc w:val="center"/>
        <w:rPr>
          <w:bCs w:val="0"/>
          <w:i w:val="0"/>
          <w:iCs w:val="0"/>
          <w:sz w:val="22"/>
          <w:szCs w:val="22"/>
        </w:rPr>
      </w:pPr>
      <w:r>
        <w:rPr>
          <w:i w:val="0"/>
          <w:sz w:val="22"/>
          <w:szCs w:val="22"/>
        </w:rPr>
        <w:t xml:space="preserve">Notes to </w:t>
      </w:r>
      <w:r w:rsidR="00D4785C" w:rsidRPr="00FE57C4">
        <w:rPr>
          <w:i w:val="0"/>
          <w:sz w:val="22"/>
          <w:szCs w:val="22"/>
        </w:rPr>
        <w:t xml:space="preserve">the </w:t>
      </w:r>
      <w:r w:rsidR="00D4785C" w:rsidRPr="00FE57C4">
        <w:rPr>
          <w:sz w:val="22"/>
          <w:szCs w:val="22"/>
        </w:rPr>
        <w:t>Radiocommunications (Low Interference Potential Devices) Class Licence Variation 201</w:t>
      </w:r>
      <w:r>
        <w:rPr>
          <w:sz w:val="22"/>
          <w:szCs w:val="22"/>
        </w:rPr>
        <w:t>9</w:t>
      </w:r>
      <w:r w:rsidR="00D4785C" w:rsidRPr="00FE57C4">
        <w:rPr>
          <w:sz w:val="22"/>
          <w:szCs w:val="22"/>
        </w:rPr>
        <w:t xml:space="preserve"> (No.1)</w:t>
      </w:r>
    </w:p>
    <w:p w14:paraId="1163DDFC" w14:textId="77777777" w:rsidR="00D4785C" w:rsidRPr="00FE57C4" w:rsidRDefault="00D4785C" w:rsidP="00302DBB">
      <w:pPr>
        <w:spacing w:before="120" w:after="120" w:line="260" w:lineRule="atLeast"/>
        <w:rPr>
          <w:b/>
          <w:sz w:val="22"/>
          <w:szCs w:val="22"/>
        </w:rPr>
      </w:pPr>
      <w:r w:rsidRPr="00FE57C4">
        <w:rPr>
          <w:b/>
          <w:sz w:val="22"/>
          <w:szCs w:val="22"/>
        </w:rPr>
        <w:t>Section 1</w:t>
      </w:r>
      <w:r w:rsidRPr="00FE57C4">
        <w:rPr>
          <w:sz w:val="22"/>
          <w:szCs w:val="22"/>
        </w:rPr>
        <w:tab/>
      </w:r>
      <w:r w:rsidRPr="00FE57C4">
        <w:rPr>
          <w:b/>
          <w:sz w:val="22"/>
          <w:szCs w:val="22"/>
        </w:rPr>
        <w:t xml:space="preserve">Name of </w:t>
      </w:r>
      <w:r w:rsidR="00F07545" w:rsidRPr="00FE57C4">
        <w:rPr>
          <w:b/>
          <w:sz w:val="22"/>
          <w:szCs w:val="22"/>
        </w:rPr>
        <w:t>i</w:t>
      </w:r>
      <w:r w:rsidR="00263F69" w:rsidRPr="00FE57C4">
        <w:rPr>
          <w:b/>
          <w:sz w:val="22"/>
          <w:szCs w:val="22"/>
        </w:rPr>
        <w:t>nstrument</w:t>
      </w:r>
    </w:p>
    <w:p w14:paraId="3F47D96C" w14:textId="006B8093" w:rsidR="00D4785C" w:rsidRPr="00FE57C4" w:rsidRDefault="00B43251" w:rsidP="00302DBB">
      <w:pPr>
        <w:spacing w:before="120" w:after="120" w:line="260" w:lineRule="atLeast"/>
        <w:rPr>
          <w:sz w:val="22"/>
          <w:szCs w:val="22"/>
        </w:rPr>
      </w:pPr>
      <w:r w:rsidRPr="00FE57C4">
        <w:rPr>
          <w:sz w:val="22"/>
          <w:szCs w:val="22"/>
        </w:rPr>
        <w:t>This s</w:t>
      </w:r>
      <w:r w:rsidR="00D4785C" w:rsidRPr="00FE57C4">
        <w:rPr>
          <w:sz w:val="22"/>
          <w:szCs w:val="22"/>
        </w:rPr>
        <w:t xml:space="preserve">ection provides </w:t>
      </w:r>
      <w:r w:rsidR="00A1060B" w:rsidRPr="00FE57C4">
        <w:rPr>
          <w:sz w:val="22"/>
          <w:szCs w:val="22"/>
        </w:rPr>
        <w:t>for the</w:t>
      </w:r>
      <w:r w:rsidR="00D4785C" w:rsidRPr="00FE57C4">
        <w:rPr>
          <w:sz w:val="22"/>
          <w:szCs w:val="22"/>
        </w:rPr>
        <w:t xml:space="preserve"> instrument </w:t>
      </w:r>
      <w:r w:rsidR="00A1060B" w:rsidRPr="00FE57C4">
        <w:rPr>
          <w:sz w:val="22"/>
          <w:szCs w:val="22"/>
        </w:rPr>
        <w:t>to be cited as</w:t>
      </w:r>
      <w:r w:rsidR="00D4785C" w:rsidRPr="00FE57C4">
        <w:rPr>
          <w:sz w:val="22"/>
          <w:szCs w:val="22"/>
        </w:rPr>
        <w:t xml:space="preserve"> the </w:t>
      </w:r>
      <w:r w:rsidR="00D4785C" w:rsidRPr="00FE57C4">
        <w:rPr>
          <w:i/>
          <w:sz w:val="22"/>
          <w:szCs w:val="22"/>
        </w:rPr>
        <w:t>Radiocommunications (Low Interference Potential Devices) Class Licence Variation 201</w:t>
      </w:r>
      <w:r w:rsidR="00125086" w:rsidRPr="00FE57C4">
        <w:rPr>
          <w:i/>
          <w:sz w:val="22"/>
          <w:szCs w:val="22"/>
        </w:rPr>
        <w:t>9</w:t>
      </w:r>
      <w:r w:rsidR="00D4785C" w:rsidRPr="00FE57C4">
        <w:rPr>
          <w:i/>
          <w:sz w:val="22"/>
          <w:szCs w:val="22"/>
        </w:rPr>
        <w:t xml:space="preserve"> (No.1)</w:t>
      </w:r>
      <w:r w:rsidR="00D4785C" w:rsidRPr="00FE57C4">
        <w:rPr>
          <w:sz w:val="22"/>
          <w:szCs w:val="22"/>
        </w:rPr>
        <w:t xml:space="preserve"> (</w:t>
      </w:r>
      <w:r w:rsidR="00D4785C" w:rsidRPr="00FE57C4">
        <w:rPr>
          <w:b/>
          <w:sz w:val="22"/>
          <w:szCs w:val="22"/>
        </w:rPr>
        <w:t>the</w:t>
      </w:r>
      <w:r w:rsidR="00D4785C" w:rsidRPr="00FE57C4">
        <w:rPr>
          <w:sz w:val="22"/>
          <w:szCs w:val="22"/>
        </w:rPr>
        <w:t xml:space="preserve"> </w:t>
      </w:r>
      <w:r w:rsidR="00E50B55" w:rsidRPr="00FE57C4">
        <w:rPr>
          <w:b/>
          <w:sz w:val="22"/>
          <w:szCs w:val="22"/>
        </w:rPr>
        <w:t>i</w:t>
      </w:r>
      <w:r w:rsidR="00263F69" w:rsidRPr="00FE57C4">
        <w:rPr>
          <w:b/>
          <w:sz w:val="22"/>
          <w:szCs w:val="22"/>
        </w:rPr>
        <w:t>nstrument</w:t>
      </w:r>
      <w:r w:rsidR="00D4785C" w:rsidRPr="00FE57C4">
        <w:rPr>
          <w:sz w:val="22"/>
          <w:szCs w:val="22"/>
        </w:rPr>
        <w:t>).</w:t>
      </w:r>
    </w:p>
    <w:p w14:paraId="426CEC03" w14:textId="77777777" w:rsidR="00D4785C" w:rsidRPr="00FE57C4" w:rsidRDefault="00D4785C" w:rsidP="00302DBB">
      <w:pPr>
        <w:spacing w:before="120" w:after="120" w:line="260" w:lineRule="atLeast"/>
        <w:rPr>
          <w:sz w:val="22"/>
          <w:szCs w:val="22"/>
        </w:rPr>
      </w:pPr>
      <w:r w:rsidRPr="00FE57C4">
        <w:rPr>
          <w:b/>
          <w:sz w:val="22"/>
          <w:szCs w:val="22"/>
        </w:rPr>
        <w:t>Section 2</w:t>
      </w:r>
      <w:r w:rsidRPr="00FE57C4">
        <w:rPr>
          <w:sz w:val="22"/>
          <w:szCs w:val="22"/>
        </w:rPr>
        <w:tab/>
      </w:r>
      <w:r w:rsidRPr="00FE57C4">
        <w:rPr>
          <w:b/>
          <w:sz w:val="22"/>
          <w:szCs w:val="22"/>
        </w:rPr>
        <w:t>Commencement</w:t>
      </w:r>
    </w:p>
    <w:p w14:paraId="67A6F884" w14:textId="77777777" w:rsidR="00D4785C" w:rsidRPr="00FE57C4" w:rsidRDefault="00B43251" w:rsidP="00302DBB">
      <w:pPr>
        <w:spacing w:before="120" w:after="120" w:line="260" w:lineRule="atLeast"/>
        <w:rPr>
          <w:sz w:val="22"/>
          <w:szCs w:val="22"/>
        </w:rPr>
      </w:pPr>
      <w:r w:rsidRPr="00FE57C4">
        <w:rPr>
          <w:sz w:val="22"/>
          <w:szCs w:val="22"/>
        </w:rPr>
        <w:t>This s</w:t>
      </w:r>
      <w:r w:rsidR="00D4785C" w:rsidRPr="00FE57C4">
        <w:rPr>
          <w:sz w:val="22"/>
          <w:szCs w:val="22"/>
        </w:rPr>
        <w:t xml:space="preserve">ection provides that the </w:t>
      </w:r>
      <w:r w:rsidR="00395667" w:rsidRPr="00FE57C4">
        <w:rPr>
          <w:sz w:val="22"/>
          <w:szCs w:val="22"/>
        </w:rPr>
        <w:t>i</w:t>
      </w:r>
      <w:r w:rsidR="00263F69" w:rsidRPr="00FE57C4">
        <w:rPr>
          <w:sz w:val="22"/>
          <w:szCs w:val="22"/>
        </w:rPr>
        <w:t>nstrument</w:t>
      </w:r>
      <w:r w:rsidR="00D4785C" w:rsidRPr="00FE57C4">
        <w:rPr>
          <w:sz w:val="22"/>
          <w:szCs w:val="22"/>
        </w:rPr>
        <w:t xml:space="preserve"> commences</w:t>
      </w:r>
      <w:r w:rsidR="0009747A" w:rsidRPr="00FE57C4">
        <w:rPr>
          <w:sz w:val="22"/>
          <w:szCs w:val="22"/>
        </w:rPr>
        <w:t xml:space="preserve"> at the start of the day </w:t>
      </w:r>
      <w:r w:rsidR="00D4785C" w:rsidRPr="00FE57C4">
        <w:rPr>
          <w:sz w:val="22"/>
          <w:szCs w:val="22"/>
        </w:rPr>
        <w:t>after it is registered on the Federal Register of Legislation.</w:t>
      </w:r>
    </w:p>
    <w:p w14:paraId="0B98E075" w14:textId="77777777" w:rsidR="00B43251" w:rsidRPr="00FE57C4" w:rsidRDefault="00B43251" w:rsidP="00302DBB">
      <w:pPr>
        <w:spacing w:before="120" w:after="120" w:line="260" w:lineRule="atLeast"/>
        <w:ind w:left="1440" w:hanging="1440"/>
        <w:rPr>
          <w:b/>
          <w:sz w:val="22"/>
          <w:szCs w:val="22"/>
        </w:rPr>
      </w:pPr>
      <w:r w:rsidRPr="00FE57C4">
        <w:rPr>
          <w:b/>
          <w:sz w:val="22"/>
          <w:szCs w:val="22"/>
        </w:rPr>
        <w:t>Section 3</w:t>
      </w:r>
      <w:r w:rsidRPr="00FE57C4">
        <w:rPr>
          <w:b/>
          <w:sz w:val="22"/>
          <w:szCs w:val="22"/>
        </w:rPr>
        <w:tab/>
        <w:t>Authority</w:t>
      </w:r>
    </w:p>
    <w:p w14:paraId="02E7AFB1" w14:textId="00AAF132" w:rsidR="00B43251" w:rsidRPr="00FE57C4" w:rsidRDefault="00B43251" w:rsidP="00B43251">
      <w:pPr>
        <w:spacing w:before="120" w:after="120" w:line="260" w:lineRule="atLeast"/>
        <w:rPr>
          <w:sz w:val="22"/>
          <w:szCs w:val="22"/>
        </w:rPr>
      </w:pPr>
      <w:r w:rsidRPr="00FE57C4">
        <w:rPr>
          <w:sz w:val="22"/>
          <w:szCs w:val="22"/>
        </w:rPr>
        <w:t xml:space="preserve">This section identifies the provision that authorises the making of the instrument, namely section 132 of the </w:t>
      </w:r>
      <w:r w:rsidRPr="00FE57C4">
        <w:rPr>
          <w:i/>
          <w:sz w:val="22"/>
          <w:szCs w:val="22"/>
        </w:rPr>
        <w:t>Radiocommunications Act 199</w:t>
      </w:r>
      <w:r w:rsidR="00196F71">
        <w:rPr>
          <w:i/>
          <w:sz w:val="22"/>
          <w:szCs w:val="22"/>
        </w:rPr>
        <w:t>2</w:t>
      </w:r>
      <w:r w:rsidRPr="00FE57C4">
        <w:rPr>
          <w:sz w:val="22"/>
          <w:szCs w:val="22"/>
        </w:rPr>
        <w:t xml:space="preserve"> (</w:t>
      </w:r>
      <w:r w:rsidRPr="00FE57C4">
        <w:rPr>
          <w:b/>
          <w:sz w:val="22"/>
          <w:szCs w:val="22"/>
        </w:rPr>
        <w:t>the Act</w:t>
      </w:r>
      <w:r w:rsidRPr="00FE57C4">
        <w:rPr>
          <w:sz w:val="22"/>
          <w:szCs w:val="22"/>
        </w:rPr>
        <w:t xml:space="preserve">).  </w:t>
      </w:r>
    </w:p>
    <w:p w14:paraId="0D4BBBD9" w14:textId="2A45C4BF" w:rsidR="00D4785C" w:rsidRPr="00FE57C4" w:rsidRDefault="00D4785C" w:rsidP="00302DBB">
      <w:pPr>
        <w:spacing w:before="120" w:after="120" w:line="260" w:lineRule="atLeast"/>
        <w:ind w:left="1440" w:hanging="1440"/>
        <w:rPr>
          <w:sz w:val="22"/>
          <w:szCs w:val="22"/>
        </w:rPr>
      </w:pPr>
      <w:r w:rsidRPr="00FE57C4">
        <w:rPr>
          <w:b/>
          <w:sz w:val="22"/>
          <w:szCs w:val="22"/>
        </w:rPr>
        <w:t xml:space="preserve">Section </w:t>
      </w:r>
      <w:r w:rsidR="00B43251" w:rsidRPr="00FE57C4">
        <w:rPr>
          <w:b/>
          <w:sz w:val="22"/>
          <w:szCs w:val="22"/>
        </w:rPr>
        <w:t>4</w:t>
      </w:r>
      <w:r w:rsidRPr="00FE57C4">
        <w:rPr>
          <w:sz w:val="22"/>
          <w:szCs w:val="22"/>
        </w:rPr>
        <w:tab/>
      </w:r>
      <w:r w:rsidRPr="00FE57C4">
        <w:rPr>
          <w:b/>
          <w:sz w:val="22"/>
          <w:szCs w:val="22"/>
        </w:rPr>
        <w:t>Variation</w:t>
      </w:r>
      <w:r w:rsidR="009956E1">
        <w:rPr>
          <w:b/>
          <w:sz w:val="22"/>
          <w:szCs w:val="22"/>
        </w:rPr>
        <w:t>s</w:t>
      </w:r>
      <w:r w:rsidRPr="00FE57C4">
        <w:rPr>
          <w:b/>
          <w:sz w:val="22"/>
          <w:szCs w:val="22"/>
        </w:rPr>
        <w:t xml:space="preserve"> </w:t>
      </w:r>
    </w:p>
    <w:p w14:paraId="0DD6DBD4" w14:textId="7938F302" w:rsidR="00D4785C" w:rsidRPr="00FE57C4" w:rsidRDefault="00B43251" w:rsidP="00302DBB">
      <w:pPr>
        <w:spacing w:before="120" w:after="120" w:line="260" w:lineRule="atLeast"/>
        <w:rPr>
          <w:i/>
          <w:sz w:val="22"/>
          <w:szCs w:val="22"/>
        </w:rPr>
      </w:pPr>
      <w:r w:rsidRPr="00FE57C4">
        <w:rPr>
          <w:sz w:val="22"/>
          <w:szCs w:val="22"/>
        </w:rPr>
        <w:t>This s</w:t>
      </w:r>
      <w:r w:rsidR="00D4785C" w:rsidRPr="00FE57C4">
        <w:rPr>
          <w:sz w:val="22"/>
          <w:szCs w:val="22"/>
        </w:rPr>
        <w:t>ection provides that</w:t>
      </w:r>
      <w:r w:rsidR="00196F71">
        <w:rPr>
          <w:sz w:val="22"/>
          <w:szCs w:val="22"/>
        </w:rPr>
        <w:t xml:space="preserve"> the</w:t>
      </w:r>
      <w:r w:rsidR="00D4785C" w:rsidRPr="00FE57C4">
        <w:rPr>
          <w:sz w:val="22"/>
          <w:szCs w:val="22"/>
        </w:rPr>
        <w:t xml:space="preserve"> </w:t>
      </w:r>
      <w:r w:rsidR="006C5860">
        <w:rPr>
          <w:sz w:val="22"/>
          <w:szCs w:val="22"/>
        </w:rPr>
        <w:t>legislative instrument specified in Schedule</w:t>
      </w:r>
      <w:r w:rsidR="00196F71">
        <w:rPr>
          <w:sz w:val="22"/>
          <w:szCs w:val="22"/>
        </w:rPr>
        <w:t xml:space="preserve"> 1</w:t>
      </w:r>
      <w:r w:rsidR="006C5860">
        <w:rPr>
          <w:sz w:val="22"/>
          <w:szCs w:val="22"/>
        </w:rPr>
        <w:t xml:space="preserve">, </w:t>
      </w:r>
      <w:r w:rsidR="00D4785C" w:rsidRPr="00FE57C4">
        <w:rPr>
          <w:sz w:val="22"/>
          <w:szCs w:val="22"/>
        </w:rPr>
        <w:t xml:space="preserve">the </w:t>
      </w:r>
      <w:r w:rsidR="00D4785C" w:rsidRPr="00FE57C4">
        <w:rPr>
          <w:i/>
          <w:sz w:val="22"/>
          <w:szCs w:val="22"/>
        </w:rPr>
        <w:t xml:space="preserve">Radiocommunications (Low Interference Potential Devices) Class Licence 2015 </w:t>
      </w:r>
      <w:r w:rsidR="00D4785C" w:rsidRPr="00FE57C4">
        <w:rPr>
          <w:sz w:val="22"/>
          <w:szCs w:val="22"/>
        </w:rPr>
        <w:t>(</w:t>
      </w:r>
      <w:r w:rsidR="00D4785C" w:rsidRPr="00FE57C4">
        <w:rPr>
          <w:b/>
          <w:sz w:val="22"/>
          <w:szCs w:val="22"/>
        </w:rPr>
        <w:t>the LIPD Class Licence</w:t>
      </w:r>
      <w:r w:rsidR="00D4785C" w:rsidRPr="00FE57C4">
        <w:rPr>
          <w:sz w:val="22"/>
          <w:szCs w:val="22"/>
        </w:rPr>
        <w:t>)</w:t>
      </w:r>
      <w:r w:rsidR="00196F71">
        <w:rPr>
          <w:sz w:val="22"/>
          <w:szCs w:val="22"/>
        </w:rPr>
        <w:t>,</w:t>
      </w:r>
      <w:r w:rsidR="00D4785C" w:rsidRPr="00FE57C4">
        <w:rPr>
          <w:sz w:val="22"/>
          <w:szCs w:val="22"/>
        </w:rPr>
        <w:t xml:space="preserve"> is varied as set out in </w:t>
      </w:r>
      <w:r w:rsidR="00196F71">
        <w:rPr>
          <w:sz w:val="22"/>
          <w:szCs w:val="22"/>
        </w:rPr>
        <w:t>that</w:t>
      </w:r>
      <w:r w:rsidR="006C5860">
        <w:rPr>
          <w:sz w:val="22"/>
          <w:szCs w:val="22"/>
        </w:rPr>
        <w:t xml:space="preserve"> Schedule</w:t>
      </w:r>
      <w:r w:rsidR="00D4785C" w:rsidRPr="00FE57C4">
        <w:rPr>
          <w:i/>
          <w:sz w:val="22"/>
          <w:szCs w:val="22"/>
        </w:rPr>
        <w:t>.</w:t>
      </w:r>
    </w:p>
    <w:p w14:paraId="06BC01FD" w14:textId="6BD5AAEF" w:rsidR="00D4785C" w:rsidRPr="00FE57C4" w:rsidRDefault="00D4785C" w:rsidP="00302DBB">
      <w:pPr>
        <w:spacing w:before="120" w:after="120" w:line="260" w:lineRule="atLeast"/>
        <w:rPr>
          <w:b/>
          <w:sz w:val="22"/>
          <w:szCs w:val="22"/>
        </w:rPr>
      </w:pPr>
      <w:r w:rsidRPr="00FE57C4">
        <w:rPr>
          <w:b/>
          <w:sz w:val="22"/>
          <w:szCs w:val="22"/>
        </w:rPr>
        <w:t>Schedule 1</w:t>
      </w:r>
      <w:r w:rsidRPr="00FE57C4">
        <w:rPr>
          <w:b/>
          <w:sz w:val="22"/>
          <w:szCs w:val="22"/>
        </w:rPr>
        <w:tab/>
        <w:t>Variations</w:t>
      </w:r>
    </w:p>
    <w:p w14:paraId="24CF169D" w14:textId="61EF2B1B" w:rsidR="00C06366" w:rsidRPr="00FE57C4" w:rsidRDefault="00C06366" w:rsidP="00E37F81">
      <w:pPr>
        <w:spacing w:before="120" w:after="120" w:line="260" w:lineRule="atLeast"/>
        <w:ind w:left="1440" w:hanging="1440"/>
        <w:rPr>
          <w:b/>
          <w:sz w:val="22"/>
          <w:szCs w:val="22"/>
        </w:rPr>
      </w:pPr>
      <w:r w:rsidRPr="00FE57C4">
        <w:rPr>
          <w:b/>
          <w:sz w:val="22"/>
          <w:szCs w:val="22"/>
        </w:rPr>
        <w:t>Item 1</w:t>
      </w:r>
      <w:r w:rsidR="00E37F81">
        <w:rPr>
          <w:b/>
          <w:sz w:val="22"/>
          <w:szCs w:val="22"/>
        </w:rPr>
        <w:tab/>
      </w:r>
      <w:r w:rsidR="00C65549" w:rsidRPr="00FE57C4">
        <w:rPr>
          <w:b/>
          <w:sz w:val="22"/>
          <w:szCs w:val="22"/>
        </w:rPr>
        <w:t xml:space="preserve">Subsection </w:t>
      </w:r>
      <w:r w:rsidR="006A16D0" w:rsidRPr="00FE57C4">
        <w:rPr>
          <w:b/>
          <w:sz w:val="22"/>
          <w:szCs w:val="22"/>
        </w:rPr>
        <w:t xml:space="preserve">3A (1), after </w:t>
      </w:r>
      <w:r w:rsidR="00A31A10" w:rsidRPr="00FE57C4">
        <w:rPr>
          <w:b/>
          <w:sz w:val="22"/>
          <w:szCs w:val="22"/>
        </w:rPr>
        <w:t xml:space="preserve">the definition of </w:t>
      </w:r>
      <w:r w:rsidR="00A31A10" w:rsidRPr="00FE57C4">
        <w:rPr>
          <w:b/>
          <w:i/>
          <w:sz w:val="22"/>
          <w:szCs w:val="22"/>
        </w:rPr>
        <w:t>coverage area</w:t>
      </w:r>
    </w:p>
    <w:p w14:paraId="78AD888E" w14:textId="6CE114FF" w:rsidR="00020BE8" w:rsidRPr="00FE57C4" w:rsidRDefault="00F83E75" w:rsidP="00302DBB">
      <w:pPr>
        <w:spacing w:before="120" w:after="120" w:line="260" w:lineRule="atLeast"/>
        <w:rPr>
          <w:sz w:val="22"/>
          <w:szCs w:val="22"/>
        </w:rPr>
      </w:pPr>
      <w:r w:rsidRPr="00FE57C4">
        <w:rPr>
          <w:sz w:val="22"/>
          <w:szCs w:val="22"/>
        </w:rPr>
        <w:t>A new item is inserted to define</w:t>
      </w:r>
      <w:r w:rsidR="008C0074" w:rsidRPr="00FE57C4">
        <w:rPr>
          <w:sz w:val="22"/>
          <w:szCs w:val="22"/>
        </w:rPr>
        <w:t xml:space="preserve"> </w:t>
      </w:r>
      <w:r w:rsidR="00D14028" w:rsidRPr="00196F71">
        <w:rPr>
          <w:b/>
          <w:bCs/>
          <w:i/>
          <w:iCs/>
          <w:sz w:val="22"/>
          <w:szCs w:val="22"/>
        </w:rPr>
        <w:t>CSIRO</w:t>
      </w:r>
      <w:r w:rsidR="00196F71">
        <w:rPr>
          <w:sz w:val="22"/>
          <w:szCs w:val="22"/>
        </w:rPr>
        <w:t xml:space="preserve"> as meaning</w:t>
      </w:r>
      <w:r w:rsidR="00403AE4" w:rsidRPr="00FE57C4">
        <w:rPr>
          <w:sz w:val="22"/>
          <w:szCs w:val="22"/>
        </w:rPr>
        <w:t xml:space="preserve"> means the Commonwealth </w:t>
      </w:r>
      <w:r w:rsidR="00DD6D7B" w:rsidRPr="00FE57C4">
        <w:rPr>
          <w:sz w:val="22"/>
          <w:szCs w:val="22"/>
        </w:rPr>
        <w:t xml:space="preserve">Scientific and </w:t>
      </w:r>
      <w:r w:rsidR="00DF5DDC" w:rsidRPr="00FE57C4">
        <w:rPr>
          <w:sz w:val="22"/>
          <w:szCs w:val="22"/>
        </w:rPr>
        <w:t xml:space="preserve">Industrial Research Organisation. </w:t>
      </w:r>
    </w:p>
    <w:p w14:paraId="15DC62F5" w14:textId="457B4AF4" w:rsidR="0087022C" w:rsidRDefault="0087022C" w:rsidP="00E37F81">
      <w:pPr>
        <w:spacing w:before="120" w:after="120" w:line="260" w:lineRule="atLeast"/>
        <w:ind w:left="1440" w:hanging="1440"/>
        <w:rPr>
          <w:b/>
          <w:sz w:val="22"/>
          <w:szCs w:val="22"/>
        </w:rPr>
      </w:pPr>
      <w:r>
        <w:rPr>
          <w:b/>
          <w:sz w:val="22"/>
          <w:szCs w:val="22"/>
        </w:rPr>
        <w:t>Item 2</w:t>
      </w:r>
      <w:r>
        <w:rPr>
          <w:b/>
          <w:sz w:val="22"/>
          <w:szCs w:val="22"/>
        </w:rPr>
        <w:tab/>
        <w:t>After section 3A</w:t>
      </w:r>
    </w:p>
    <w:p w14:paraId="25F75519" w14:textId="2ED03967" w:rsidR="0087022C" w:rsidRDefault="0087022C" w:rsidP="0087022C">
      <w:pPr>
        <w:spacing w:before="120" w:after="120" w:line="260" w:lineRule="atLeast"/>
        <w:rPr>
          <w:b/>
          <w:sz w:val="22"/>
          <w:szCs w:val="22"/>
        </w:rPr>
      </w:pPr>
      <w:r>
        <w:rPr>
          <w:sz w:val="22"/>
          <w:szCs w:val="22"/>
        </w:rPr>
        <w:t xml:space="preserve">New section 3B of the LIPD Class Licence is inserted to </w:t>
      </w:r>
      <w:r w:rsidR="007B6416">
        <w:rPr>
          <w:sz w:val="22"/>
          <w:szCs w:val="22"/>
        </w:rPr>
        <w:t>provide that</w:t>
      </w:r>
      <w:r w:rsidR="00DE7562">
        <w:rPr>
          <w:sz w:val="22"/>
          <w:szCs w:val="22"/>
        </w:rPr>
        <w:t>, unless specified otherwise,</w:t>
      </w:r>
      <w:r w:rsidR="007B6416">
        <w:rPr>
          <w:sz w:val="22"/>
          <w:szCs w:val="22"/>
        </w:rPr>
        <w:t xml:space="preserve"> instruments and documents that are incorporated </w:t>
      </w:r>
      <w:r w:rsidR="00DE7562">
        <w:rPr>
          <w:sz w:val="22"/>
          <w:szCs w:val="22"/>
        </w:rPr>
        <w:t xml:space="preserve">into the LIPD Class Licence </w:t>
      </w:r>
      <w:r w:rsidR="007B6416">
        <w:rPr>
          <w:sz w:val="22"/>
          <w:szCs w:val="22"/>
        </w:rPr>
        <w:t>by reference are incorporated as in force or as in existence from time to time, as permitted by section 314A of the Act.</w:t>
      </w:r>
    </w:p>
    <w:p w14:paraId="75A4F7F3" w14:textId="11EF7D77" w:rsidR="00DC3BFC" w:rsidRPr="00FE57C4" w:rsidRDefault="00DC3BFC" w:rsidP="00E37F81">
      <w:pPr>
        <w:spacing w:before="120" w:after="120" w:line="260" w:lineRule="atLeast"/>
        <w:ind w:left="1440" w:hanging="1440"/>
        <w:rPr>
          <w:b/>
          <w:sz w:val="22"/>
          <w:szCs w:val="22"/>
        </w:rPr>
      </w:pPr>
      <w:r w:rsidRPr="00FE57C4">
        <w:rPr>
          <w:b/>
          <w:sz w:val="22"/>
          <w:szCs w:val="22"/>
        </w:rPr>
        <w:t xml:space="preserve">Item </w:t>
      </w:r>
      <w:r w:rsidR="004334C2">
        <w:rPr>
          <w:b/>
          <w:sz w:val="22"/>
          <w:szCs w:val="22"/>
        </w:rPr>
        <w:t>3</w:t>
      </w:r>
      <w:r w:rsidR="00E37F81">
        <w:rPr>
          <w:b/>
          <w:sz w:val="22"/>
          <w:szCs w:val="22"/>
        </w:rPr>
        <w:tab/>
      </w:r>
      <w:r w:rsidRPr="00FE57C4">
        <w:rPr>
          <w:b/>
          <w:sz w:val="22"/>
          <w:szCs w:val="22"/>
        </w:rPr>
        <w:t xml:space="preserve">Schedule 1 </w:t>
      </w:r>
      <w:r w:rsidR="00EA54F8">
        <w:rPr>
          <w:b/>
          <w:sz w:val="22"/>
          <w:szCs w:val="22"/>
        </w:rPr>
        <w:t>(</w:t>
      </w:r>
      <w:r w:rsidRPr="00FE57C4">
        <w:rPr>
          <w:b/>
          <w:sz w:val="22"/>
          <w:szCs w:val="22"/>
        </w:rPr>
        <w:t xml:space="preserve">after </w:t>
      </w:r>
      <w:r w:rsidR="00337EAF" w:rsidRPr="00FE57C4">
        <w:rPr>
          <w:b/>
          <w:sz w:val="22"/>
          <w:szCs w:val="22"/>
        </w:rPr>
        <w:t xml:space="preserve">table </w:t>
      </w:r>
      <w:r w:rsidRPr="00FE57C4">
        <w:rPr>
          <w:b/>
          <w:sz w:val="22"/>
          <w:szCs w:val="22"/>
        </w:rPr>
        <w:t>item 2</w:t>
      </w:r>
      <w:r w:rsidR="00DF1AD3" w:rsidRPr="00FE57C4">
        <w:rPr>
          <w:b/>
          <w:sz w:val="22"/>
          <w:szCs w:val="22"/>
        </w:rPr>
        <w:t>2</w:t>
      </w:r>
      <w:r w:rsidR="00EA54F8">
        <w:rPr>
          <w:b/>
          <w:sz w:val="22"/>
          <w:szCs w:val="22"/>
        </w:rPr>
        <w:t>)</w:t>
      </w:r>
    </w:p>
    <w:p w14:paraId="54C90DD7" w14:textId="7EED6448" w:rsidR="00DC3BFC" w:rsidRPr="00FE57C4" w:rsidRDefault="00E50B55" w:rsidP="00302DBB">
      <w:pPr>
        <w:pStyle w:val="BodyText"/>
        <w:tabs>
          <w:tab w:val="left" w:pos="360"/>
        </w:tabs>
        <w:spacing w:before="120" w:line="260" w:lineRule="atLeast"/>
        <w:rPr>
          <w:sz w:val="22"/>
          <w:szCs w:val="22"/>
        </w:rPr>
      </w:pPr>
      <w:r w:rsidRPr="00FE57C4">
        <w:rPr>
          <w:sz w:val="22"/>
          <w:szCs w:val="22"/>
        </w:rPr>
        <w:t>A</w:t>
      </w:r>
      <w:r w:rsidR="00DC3BFC" w:rsidRPr="00FE57C4">
        <w:rPr>
          <w:sz w:val="22"/>
          <w:szCs w:val="22"/>
        </w:rPr>
        <w:t xml:space="preserve"> new item </w:t>
      </w:r>
      <w:r w:rsidR="0085294E" w:rsidRPr="00FE57C4">
        <w:rPr>
          <w:sz w:val="22"/>
          <w:szCs w:val="22"/>
        </w:rPr>
        <w:t xml:space="preserve">22A </w:t>
      </w:r>
      <w:r w:rsidRPr="00FE57C4">
        <w:rPr>
          <w:sz w:val="22"/>
          <w:szCs w:val="22"/>
        </w:rPr>
        <w:t xml:space="preserve">is inserted </w:t>
      </w:r>
      <w:r w:rsidR="00DC3BFC" w:rsidRPr="00FE57C4">
        <w:rPr>
          <w:sz w:val="22"/>
          <w:szCs w:val="22"/>
        </w:rPr>
        <w:t xml:space="preserve">in Schedule 1 to the LIPD Class Licence to authorise the use of transmitters within the </w:t>
      </w:r>
      <w:r w:rsidR="000373D8" w:rsidRPr="00FE57C4">
        <w:rPr>
          <w:sz w:val="22"/>
          <w:szCs w:val="22"/>
        </w:rPr>
        <w:t xml:space="preserve">57000-64000 MHz frequency band. </w:t>
      </w:r>
      <w:r w:rsidR="00B61307" w:rsidRPr="00FE57C4">
        <w:rPr>
          <w:sz w:val="22"/>
          <w:szCs w:val="22"/>
        </w:rPr>
        <w:t xml:space="preserve">The maximum equivalent </w:t>
      </w:r>
      <w:proofErr w:type="spellStart"/>
      <w:r w:rsidR="00C20B58" w:rsidRPr="00FE57C4">
        <w:rPr>
          <w:sz w:val="22"/>
          <w:szCs w:val="22"/>
        </w:rPr>
        <w:t>isotropically</w:t>
      </w:r>
      <w:proofErr w:type="spellEnd"/>
      <w:r w:rsidR="00C20B58" w:rsidRPr="00FE57C4">
        <w:rPr>
          <w:sz w:val="22"/>
          <w:szCs w:val="22"/>
        </w:rPr>
        <w:t xml:space="preserve"> </w:t>
      </w:r>
      <w:r w:rsidR="00D04096" w:rsidRPr="00FE57C4">
        <w:rPr>
          <w:sz w:val="22"/>
          <w:szCs w:val="22"/>
        </w:rPr>
        <w:t>radiated power (</w:t>
      </w:r>
      <w:r w:rsidR="00D04096" w:rsidRPr="008A4A35">
        <w:rPr>
          <w:b/>
          <w:bCs/>
          <w:sz w:val="22"/>
          <w:szCs w:val="22"/>
        </w:rPr>
        <w:t>EIRP</w:t>
      </w:r>
      <w:r w:rsidR="00D04096" w:rsidRPr="00FE57C4">
        <w:rPr>
          <w:sz w:val="22"/>
          <w:szCs w:val="22"/>
        </w:rPr>
        <w:t xml:space="preserve">) is limited to 100 </w:t>
      </w:r>
      <w:proofErr w:type="spellStart"/>
      <w:r w:rsidR="00D04096" w:rsidRPr="00FE57C4">
        <w:rPr>
          <w:sz w:val="22"/>
          <w:szCs w:val="22"/>
        </w:rPr>
        <w:t>mW</w:t>
      </w:r>
      <w:proofErr w:type="spellEnd"/>
      <w:r w:rsidR="00D04096" w:rsidRPr="00FE57C4">
        <w:rPr>
          <w:sz w:val="22"/>
          <w:szCs w:val="22"/>
        </w:rPr>
        <w:t xml:space="preserve"> as </w:t>
      </w:r>
      <w:r w:rsidR="00E85571" w:rsidRPr="00FE57C4">
        <w:rPr>
          <w:sz w:val="22"/>
          <w:szCs w:val="22"/>
        </w:rPr>
        <w:t xml:space="preserve">specified in </w:t>
      </w:r>
      <w:r w:rsidR="008A4A35">
        <w:rPr>
          <w:sz w:val="22"/>
          <w:szCs w:val="22"/>
        </w:rPr>
        <w:t>c</w:t>
      </w:r>
      <w:r w:rsidR="00E85571" w:rsidRPr="00FE57C4">
        <w:rPr>
          <w:sz w:val="22"/>
          <w:szCs w:val="22"/>
        </w:rPr>
        <w:t xml:space="preserve">olumn </w:t>
      </w:r>
      <w:r w:rsidR="00BC0871" w:rsidRPr="00FE57C4">
        <w:rPr>
          <w:sz w:val="22"/>
          <w:szCs w:val="22"/>
        </w:rPr>
        <w:t>3</w:t>
      </w:r>
      <w:r w:rsidR="00E85571" w:rsidRPr="00FE57C4">
        <w:rPr>
          <w:sz w:val="22"/>
          <w:szCs w:val="22"/>
        </w:rPr>
        <w:t xml:space="preserve">. </w:t>
      </w:r>
      <w:r w:rsidR="00DC3BFC" w:rsidRPr="00FE57C4">
        <w:rPr>
          <w:sz w:val="22"/>
          <w:szCs w:val="22"/>
        </w:rPr>
        <w:t xml:space="preserve">The maximum </w:t>
      </w:r>
      <w:r w:rsidR="004E1A69" w:rsidRPr="00FE57C4">
        <w:rPr>
          <w:sz w:val="22"/>
          <w:szCs w:val="22"/>
        </w:rPr>
        <w:t xml:space="preserve">transmitter output power and </w:t>
      </w:r>
      <w:r w:rsidR="00B15C1C" w:rsidRPr="00FE57C4">
        <w:rPr>
          <w:sz w:val="22"/>
          <w:szCs w:val="22"/>
        </w:rPr>
        <w:t xml:space="preserve">maximum </w:t>
      </w:r>
      <w:r w:rsidR="00FF15EF" w:rsidRPr="00FE57C4">
        <w:rPr>
          <w:sz w:val="22"/>
          <w:szCs w:val="22"/>
        </w:rPr>
        <w:t xml:space="preserve">radiated power spectral density </w:t>
      </w:r>
      <w:r w:rsidR="00B15C1C" w:rsidRPr="00FE57C4">
        <w:rPr>
          <w:sz w:val="22"/>
          <w:szCs w:val="22"/>
        </w:rPr>
        <w:t>are</w:t>
      </w:r>
      <w:r w:rsidR="00F470DA" w:rsidRPr="00FE57C4">
        <w:rPr>
          <w:sz w:val="22"/>
          <w:szCs w:val="22"/>
        </w:rPr>
        <w:t xml:space="preserve"> </w:t>
      </w:r>
      <w:r w:rsidR="00DC3BFC" w:rsidRPr="00FE57C4">
        <w:rPr>
          <w:sz w:val="22"/>
          <w:szCs w:val="22"/>
        </w:rPr>
        <w:t>limi</w:t>
      </w:r>
      <w:r w:rsidR="003B37D4" w:rsidRPr="00FE57C4">
        <w:rPr>
          <w:sz w:val="22"/>
          <w:szCs w:val="22"/>
        </w:rPr>
        <w:t>t</w:t>
      </w:r>
      <w:r w:rsidR="00F470DA" w:rsidRPr="00FE57C4">
        <w:rPr>
          <w:sz w:val="22"/>
          <w:szCs w:val="22"/>
        </w:rPr>
        <w:t>ed</w:t>
      </w:r>
      <w:r w:rsidR="003B37D4" w:rsidRPr="00FE57C4">
        <w:rPr>
          <w:sz w:val="22"/>
          <w:szCs w:val="22"/>
        </w:rPr>
        <w:t xml:space="preserve"> </w:t>
      </w:r>
      <w:r w:rsidR="00FF15EF" w:rsidRPr="00FE57C4">
        <w:rPr>
          <w:sz w:val="22"/>
          <w:szCs w:val="22"/>
        </w:rPr>
        <w:t xml:space="preserve">by </w:t>
      </w:r>
      <w:r w:rsidR="00273F4A" w:rsidRPr="00FE57C4">
        <w:rPr>
          <w:sz w:val="22"/>
          <w:szCs w:val="22"/>
        </w:rPr>
        <w:t xml:space="preserve">paragraphs </w:t>
      </w:r>
      <w:r w:rsidR="003B37D4" w:rsidRPr="00FE57C4">
        <w:rPr>
          <w:sz w:val="22"/>
          <w:szCs w:val="22"/>
        </w:rPr>
        <w:t xml:space="preserve">(a) and (b) </w:t>
      </w:r>
      <w:r w:rsidR="00273F4A" w:rsidRPr="00FE57C4">
        <w:rPr>
          <w:sz w:val="22"/>
          <w:szCs w:val="22"/>
        </w:rPr>
        <w:t xml:space="preserve">of </w:t>
      </w:r>
      <w:r w:rsidR="008A4A35">
        <w:rPr>
          <w:sz w:val="22"/>
          <w:szCs w:val="22"/>
        </w:rPr>
        <w:t>c</w:t>
      </w:r>
      <w:r w:rsidR="00273F4A" w:rsidRPr="00FE57C4">
        <w:rPr>
          <w:sz w:val="22"/>
          <w:szCs w:val="22"/>
        </w:rPr>
        <w:t>olumn 4</w:t>
      </w:r>
      <w:r w:rsidR="003B37D4" w:rsidRPr="00FE57C4">
        <w:rPr>
          <w:sz w:val="22"/>
          <w:szCs w:val="22"/>
        </w:rPr>
        <w:t xml:space="preserve">. </w:t>
      </w:r>
      <w:r w:rsidR="00273F4A" w:rsidRPr="00FE57C4">
        <w:rPr>
          <w:sz w:val="22"/>
          <w:szCs w:val="22"/>
        </w:rPr>
        <w:t xml:space="preserve">In </w:t>
      </w:r>
      <w:r w:rsidR="008A4A35" w:rsidRPr="00FE57C4">
        <w:rPr>
          <w:sz w:val="22"/>
          <w:szCs w:val="22"/>
        </w:rPr>
        <w:t>paragraph</w:t>
      </w:r>
      <w:r w:rsidR="008A4A35">
        <w:rPr>
          <w:sz w:val="22"/>
          <w:szCs w:val="22"/>
        </w:rPr>
        <w:t> </w:t>
      </w:r>
      <w:r w:rsidR="003B37D4" w:rsidRPr="00FE57C4">
        <w:rPr>
          <w:sz w:val="22"/>
          <w:szCs w:val="22"/>
        </w:rPr>
        <w:t xml:space="preserve">(a) the </w:t>
      </w:r>
      <w:r w:rsidR="00B15C1C" w:rsidRPr="00FE57C4">
        <w:rPr>
          <w:sz w:val="22"/>
          <w:szCs w:val="22"/>
        </w:rPr>
        <w:t>transmitter output power</w:t>
      </w:r>
      <w:r w:rsidR="003B37D4" w:rsidRPr="00FE57C4">
        <w:rPr>
          <w:sz w:val="22"/>
          <w:szCs w:val="22"/>
        </w:rPr>
        <w:t xml:space="preserve"> </w:t>
      </w:r>
      <w:r w:rsidR="00273F4A" w:rsidRPr="00FE57C4">
        <w:rPr>
          <w:sz w:val="22"/>
          <w:szCs w:val="22"/>
        </w:rPr>
        <w:t xml:space="preserve">has been limited to </w:t>
      </w:r>
      <w:r w:rsidR="003B37D4" w:rsidRPr="00FE57C4">
        <w:rPr>
          <w:sz w:val="22"/>
          <w:szCs w:val="22"/>
        </w:rPr>
        <w:t xml:space="preserve">10 </w:t>
      </w:r>
      <w:proofErr w:type="spellStart"/>
      <w:r w:rsidR="004424CD" w:rsidRPr="00FE57C4">
        <w:rPr>
          <w:sz w:val="22"/>
          <w:szCs w:val="22"/>
        </w:rPr>
        <w:t>mW</w:t>
      </w:r>
      <w:proofErr w:type="spellEnd"/>
      <w:r w:rsidR="003B37D4" w:rsidRPr="00FE57C4">
        <w:rPr>
          <w:sz w:val="22"/>
          <w:szCs w:val="22"/>
        </w:rPr>
        <w:t xml:space="preserve">, </w:t>
      </w:r>
      <w:r w:rsidR="00196F71">
        <w:rPr>
          <w:sz w:val="22"/>
          <w:szCs w:val="22"/>
        </w:rPr>
        <w:t>and</w:t>
      </w:r>
      <w:r w:rsidR="003B37D4" w:rsidRPr="00FE57C4">
        <w:rPr>
          <w:sz w:val="22"/>
          <w:szCs w:val="22"/>
        </w:rPr>
        <w:t xml:space="preserve"> </w:t>
      </w:r>
      <w:r w:rsidR="00273F4A" w:rsidRPr="00FE57C4">
        <w:rPr>
          <w:sz w:val="22"/>
          <w:szCs w:val="22"/>
        </w:rPr>
        <w:t>in paragraph</w:t>
      </w:r>
      <w:r w:rsidR="003B37D4" w:rsidRPr="00FE57C4">
        <w:rPr>
          <w:sz w:val="22"/>
          <w:szCs w:val="22"/>
        </w:rPr>
        <w:t xml:space="preserve"> (b) the maximum radiated power spectral density </w:t>
      </w:r>
      <w:r w:rsidR="00273F4A" w:rsidRPr="00FE57C4">
        <w:rPr>
          <w:sz w:val="22"/>
          <w:szCs w:val="22"/>
        </w:rPr>
        <w:t>has been limited to</w:t>
      </w:r>
      <w:r w:rsidR="003B37D4" w:rsidRPr="00FE57C4">
        <w:rPr>
          <w:sz w:val="22"/>
          <w:szCs w:val="22"/>
        </w:rPr>
        <w:t xml:space="preserve"> </w:t>
      </w:r>
      <w:r w:rsidR="004424CD" w:rsidRPr="00FE57C4">
        <w:rPr>
          <w:sz w:val="22"/>
          <w:szCs w:val="22"/>
        </w:rPr>
        <w:t>13</w:t>
      </w:r>
      <w:r w:rsidR="003B37D4" w:rsidRPr="00FE57C4">
        <w:rPr>
          <w:sz w:val="22"/>
          <w:szCs w:val="22"/>
        </w:rPr>
        <w:t xml:space="preserve"> dBm per </w:t>
      </w:r>
      <w:r w:rsidR="00846C27">
        <w:rPr>
          <w:sz w:val="22"/>
          <w:szCs w:val="22"/>
        </w:rPr>
        <w:t>1 </w:t>
      </w:r>
      <w:proofErr w:type="spellStart"/>
      <w:r w:rsidR="003B37D4" w:rsidRPr="00FE57C4">
        <w:rPr>
          <w:sz w:val="22"/>
          <w:szCs w:val="22"/>
        </w:rPr>
        <w:t>MHz</w:t>
      </w:r>
      <w:r w:rsidR="006B674A" w:rsidRPr="00FE57C4">
        <w:rPr>
          <w:sz w:val="22"/>
          <w:szCs w:val="22"/>
        </w:rPr>
        <w:t>.</w:t>
      </w:r>
      <w:proofErr w:type="spellEnd"/>
    </w:p>
    <w:p w14:paraId="4024CA32" w14:textId="259BF499" w:rsidR="00B61D52" w:rsidRPr="00FE57C4" w:rsidRDefault="00B61D52" w:rsidP="00E37F81">
      <w:pPr>
        <w:spacing w:before="120" w:after="120" w:line="260" w:lineRule="atLeast"/>
        <w:ind w:left="1440" w:hanging="1440"/>
        <w:rPr>
          <w:b/>
          <w:sz w:val="22"/>
          <w:szCs w:val="22"/>
        </w:rPr>
      </w:pPr>
      <w:r w:rsidRPr="00FE57C4">
        <w:rPr>
          <w:b/>
          <w:sz w:val="22"/>
          <w:szCs w:val="22"/>
        </w:rPr>
        <w:t xml:space="preserve">Item </w:t>
      </w:r>
      <w:r w:rsidR="004334C2">
        <w:rPr>
          <w:b/>
          <w:sz w:val="22"/>
          <w:szCs w:val="22"/>
        </w:rPr>
        <w:t>4</w:t>
      </w:r>
      <w:r w:rsidR="000767FA">
        <w:rPr>
          <w:b/>
          <w:sz w:val="22"/>
          <w:szCs w:val="22"/>
        </w:rPr>
        <w:tab/>
      </w:r>
      <w:r w:rsidRPr="00FE57C4">
        <w:rPr>
          <w:b/>
          <w:sz w:val="22"/>
          <w:szCs w:val="22"/>
        </w:rPr>
        <w:t xml:space="preserve">Schedule 1 </w:t>
      </w:r>
      <w:r w:rsidR="008A4A35">
        <w:rPr>
          <w:b/>
          <w:sz w:val="22"/>
          <w:szCs w:val="22"/>
        </w:rPr>
        <w:t>(</w:t>
      </w:r>
      <w:r w:rsidR="00E3461F" w:rsidRPr="00FE57C4">
        <w:rPr>
          <w:b/>
          <w:sz w:val="22"/>
          <w:szCs w:val="22"/>
        </w:rPr>
        <w:t xml:space="preserve">table </w:t>
      </w:r>
      <w:r w:rsidRPr="00FE57C4">
        <w:rPr>
          <w:b/>
          <w:sz w:val="22"/>
          <w:szCs w:val="22"/>
        </w:rPr>
        <w:t xml:space="preserve">item </w:t>
      </w:r>
      <w:r w:rsidR="00E3461F" w:rsidRPr="00FE57C4">
        <w:rPr>
          <w:b/>
          <w:sz w:val="22"/>
          <w:szCs w:val="22"/>
        </w:rPr>
        <w:t>47</w:t>
      </w:r>
      <w:r w:rsidRPr="00FE57C4">
        <w:rPr>
          <w:b/>
          <w:sz w:val="22"/>
          <w:szCs w:val="22"/>
        </w:rPr>
        <w:t xml:space="preserve">, </w:t>
      </w:r>
      <w:r w:rsidR="008A4A35">
        <w:rPr>
          <w:b/>
          <w:sz w:val="22"/>
          <w:szCs w:val="22"/>
        </w:rPr>
        <w:t>c</w:t>
      </w:r>
      <w:r w:rsidRPr="00FE57C4">
        <w:rPr>
          <w:b/>
          <w:sz w:val="22"/>
          <w:szCs w:val="22"/>
        </w:rPr>
        <w:t xml:space="preserve">olumn </w:t>
      </w:r>
      <w:r w:rsidR="00E3461F" w:rsidRPr="00FE57C4">
        <w:rPr>
          <w:b/>
          <w:sz w:val="22"/>
          <w:szCs w:val="22"/>
        </w:rPr>
        <w:t>2</w:t>
      </w:r>
      <w:r w:rsidR="008A4A35">
        <w:rPr>
          <w:b/>
          <w:sz w:val="22"/>
          <w:szCs w:val="22"/>
        </w:rPr>
        <w:t>)</w:t>
      </w:r>
    </w:p>
    <w:p w14:paraId="3F027DA4" w14:textId="0EE603B1" w:rsidR="00103859" w:rsidRPr="00FE57C4" w:rsidRDefault="005131BF" w:rsidP="00FC02B2">
      <w:pPr>
        <w:pStyle w:val="BodyText"/>
        <w:tabs>
          <w:tab w:val="left" w:pos="360"/>
        </w:tabs>
        <w:spacing w:before="120" w:line="260" w:lineRule="atLeast"/>
        <w:rPr>
          <w:sz w:val="22"/>
          <w:szCs w:val="22"/>
        </w:rPr>
      </w:pPr>
      <w:r w:rsidRPr="00FE57C4">
        <w:rPr>
          <w:sz w:val="22"/>
          <w:szCs w:val="22"/>
        </w:rPr>
        <w:t>This item</w:t>
      </w:r>
      <w:r w:rsidR="00851315" w:rsidRPr="00FE57C4">
        <w:rPr>
          <w:sz w:val="22"/>
          <w:szCs w:val="22"/>
        </w:rPr>
        <w:t xml:space="preserve"> </w:t>
      </w:r>
      <w:r w:rsidR="00494C1D" w:rsidRPr="00FE57C4">
        <w:rPr>
          <w:sz w:val="22"/>
          <w:szCs w:val="22"/>
        </w:rPr>
        <w:t xml:space="preserve">repeals paragraphs (g) to (t) and substitutes them </w:t>
      </w:r>
      <w:r w:rsidR="00F93F02" w:rsidRPr="00FE57C4">
        <w:rPr>
          <w:sz w:val="22"/>
          <w:szCs w:val="22"/>
        </w:rPr>
        <w:t>with</w:t>
      </w:r>
      <w:r w:rsidR="00B815C1" w:rsidRPr="00FE57C4">
        <w:rPr>
          <w:sz w:val="22"/>
          <w:szCs w:val="22"/>
        </w:rPr>
        <w:t xml:space="preserve"> new paragraphs (g) to (p).</w:t>
      </w:r>
      <w:r w:rsidR="00761B7D" w:rsidRPr="00FE57C4">
        <w:rPr>
          <w:sz w:val="22"/>
          <w:szCs w:val="22"/>
        </w:rPr>
        <w:t xml:space="preserve"> </w:t>
      </w:r>
      <w:r w:rsidR="00B815C1" w:rsidRPr="00FE57C4">
        <w:rPr>
          <w:sz w:val="22"/>
          <w:szCs w:val="22"/>
        </w:rPr>
        <w:t xml:space="preserve">It effectively </w:t>
      </w:r>
      <w:r w:rsidR="00761B7D" w:rsidRPr="00FE57C4">
        <w:rPr>
          <w:sz w:val="22"/>
          <w:szCs w:val="22"/>
        </w:rPr>
        <w:t>replaces the authori</w:t>
      </w:r>
      <w:r w:rsidR="00272EA5">
        <w:rPr>
          <w:sz w:val="22"/>
          <w:szCs w:val="22"/>
        </w:rPr>
        <w:t>s</w:t>
      </w:r>
      <w:r w:rsidR="00761B7D" w:rsidRPr="00FE57C4">
        <w:rPr>
          <w:sz w:val="22"/>
          <w:szCs w:val="22"/>
        </w:rPr>
        <w:t>ed frequency bands</w:t>
      </w:r>
      <w:r w:rsidR="00272EA5">
        <w:rPr>
          <w:sz w:val="22"/>
          <w:szCs w:val="22"/>
        </w:rPr>
        <w:t>, to consolidate and expand the frequencies on which the devices in table item 47 may be used</w:t>
      </w:r>
      <w:r w:rsidR="00FC02B2" w:rsidRPr="00FE57C4">
        <w:rPr>
          <w:sz w:val="22"/>
          <w:szCs w:val="22"/>
        </w:rPr>
        <w:t>.</w:t>
      </w:r>
    </w:p>
    <w:p w14:paraId="10FCF295" w14:textId="6B0364AD" w:rsidR="005E2567" w:rsidRPr="00FE57C4" w:rsidRDefault="005E2567" w:rsidP="00E37F81">
      <w:pPr>
        <w:spacing w:before="120" w:after="120" w:line="260" w:lineRule="atLeast"/>
        <w:ind w:left="1440" w:hanging="1440"/>
        <w:rPr>
          <w:b/>
          <w:sz w:val="22"/>
          <w:szCs w:val="22"/>
        </w:rPr>
      </w:pPr>
      <w:r w:rsidRPr="00FE57C4">
        <w:rPr>
          <w:b/>
          <w:sz w:val="22"/>
          <w:szCs w:val="22"/>
        </w:rPr>
        <w:t xml:space="preserve">Item </w:t>
      </w:r>
      <w:r w:rsidR="004334C2">
        <w:rPr>
          <w:b/>
          <w:sz w:val="22"/>
          <w:szCs w:val="22"/>
        </w:rPr>
        <w:t>5</w:t>
      </w:r>
      <w:r w:rsidRPr="00FE57C4">
        <w:rPr>
          <w:b/>
          <w:sz w:val="22"/>
          <w:szCs w:val="22"/>
        </w:rPr>
        <w:t xml:space="preserve"> </w:t>
      </w:r>
      <w:r w:rsidR="000767FA">
        <w:rPr>
          <w:b/>
          <w:sz w:val="22"/>
          <w:szCs w:val="22"/>
        </w:rPr>
        <w:tab/>
        <w:t>S</w:t>
      </w:r>
      <w:r w:rsidRPr="00FE57C4">
        <w:rPr>
          <w:b/>
          <w:sz w:val="22"/>
          <w:szCs w:val="22"/>
        </w:rPr>
        <w:t xml:space="preserve">chedule 1 </w:t>
      </w:r>
      <w:r w:rsidR="00A5532B">
        <w:rPr>
          <w:b/>
          <w:sz w:val="22"/>
          <w:szCs w:val="22"/>
        </w:rPr>
        <w:t>(</w:t>
      </w:r>
      <w:r w:rsidR="00B06789" w:rsidRPr="00FE57C4">
        <w:rPr>
          <w:b/>
          <w:sz w:val="22"/>
          <w:szCs w:val="22"/>
        </w:rPr>
        <w:t>table</w:t>
      </w:r>
      <w:r w:rsidRPr="00FE57C4">
        <w:rPr>
          <w:b/>
          <w:sz w:val="22"/>
          <w:szCs w:val="22"/>
        </w:rPr>
        <w:t xml:space="preserve"> item </w:t>
      </w:r>
      <w:r w:rsidR="00964859" w:rsidRPr="00FE57C4">
        <w:rPr>
          <w:b/>
          <w:sz w:val="22"/>
          <w:szCs w:val="22"/>
        </w:rPr>
        <w:t>65</w:t>
      </w:r>
      <w:r w:rsidR="00E93507" w:rsidRPr="00FE57C4">
        <w:rPr>
          <w:b/>
          <w:sz w:val="22"/>
          <w:szCs w:val="22"/>
        </w:rPr>
        <w:t xml:space="preserve">, </w:t>
      </w:r>
      <w:r w:rsidR="00A5532B">
        <w:rPr>
          <w:b/>
          <w:sz w:val="22"/>
          <w:szCs w:val="22"/>
        </w:rPr>
        <w:t>c</w:t>
      </w:r>
      <w:r w:rsidR="00E93507" w:rsidRPr="00FE57C4">
        <w:rPr>
          <w:b/>
          <w:sz w:val="22"/>
          <w:szCs w:val="22"/>
        </w:rPr>
        <w:t>olumn 2</w:t>
      </w:r>
      <w:r w:rsidR="00A5532B">
        <w:rPr>
          <w:b/>
          <w:sz w:val="22"/>
          <w:szCs w:val="22"/>
        </w:rPr>
        <w:t>)</w:t>
      </w:r>
    </w:p>
    <w:p w14:paraId="7627EAB4" w14:textId="0A970500" w:rsidR="006D0B6D" w:rsidRPr="00FE57C4" w:rsidRDefault="005131BF" w:rsidP="00302DBB">
      <w:pPr>
        <w:pStyle w:val="BodyText"/>
        <w:tabs>
          <w:tab w:val="left" w:pos="360"/>
        </w:tabs>
        <w:spacing w:before="120" w:line="260" w:lineRule="atLeast"/>
        <w:rPr>
          <w:sz w:val="22"/>
          <w:szCs w:val="22"/>
        </w:rPr>
      </w:pPr>
      <w:r w:rsidRPr="00FE57C4">
        <w:rPr>
          <w:sz w:val="22"/>
          <w:szCs w:val="22"/>
        </w:rPr>
        <w:t>This item</w:t>
      </w:r>
      <w:r w:rsidR="005E2567" w:rsidRPr="00FE57C4">
        <w:rPr>
          <w:sz w:val="22"/>
          <w:szCs w:val="22"/>
        </w:rPr>
        <w:t xml:space="preserve"> </w:t>
      </w:r>
      <w:r w:rsidR="000C2BF1" w:rsidRPr="00FE57C4">
        <w:rPr>
          <w:sz w:val="22"/>
          <w:szCs w:val="22"/>
        </w:rPr>
        <w:t xml:space="preserve">extends the permitted frequency band </w:t>
      </w:r>
      <w:r w:rsidR="009169FD" w:rsidRPr="00FE57C4">
        <w:rPr>
          <w:sz w:val="22"/>
          <w:szCs w:val="22"/>
        </w:rPr>
        <w:t>from 57000-66000 MHz to 57000-71000 MHz</w:t>
      </w:r>
      <w:r w:rsidR="00EB0284">
        <w:rPr>
          <w:sz w:val="22"/>
          <w:szCs w:val="22"/>
        </w:rPr>
        <w:t xml:space="preserve"> for the devices in table item 65</w:t>
      </w:r>
      <w:r w:rsidR="009169FD" w:rsidRPr="00FE57C4">
        <w:rPr>
          <w:sz w:val="22"/>
          <w:szCs w:val="22"/>
        </w:rPr>
        <w:t xml:space="preserve">. </w:t>
      </w:r>
      <w:r w:rsidR="006B4826" w:rsidRPr="00FE57C4">
        <w:rPr>
          <w:sz w:val="22"/>
          <w:szCs w:val="22"/>
        </w:rPr>
        <w:t xml:space="preserve"> </w:t>
      </w:r>
    </w:p>
    <w:p w14:paraId="6B3BDED9" w14:textId="7C3A2B8B" w:rsidR="00114539" w:rsidRPr="00FE57C4" w:rsidRDefault="00114539" w:rsidP="00E37F81">
      <w:pPr>
        <w:spacing w:before="120" w:after="120" w:line="260" w:lineRule="atLeast"/>
        <w:ind w:left="1440" w:hanging="1440"/>
        <w:rPr>
          <w:b/>
          <w:sz w:val="22"/>
          <w:szCs w:val="22"/>
        </w:rPr>
      </w:pPr>
      <w:r w:rsidRPr="00FE57C4">
        <w:rPr>
          <w:b/>
          <w:sz w:val="22"/>
          <w:szCs w:val="22"/>
        </w:rPr>
        <w:t xml:space="preserve">Item </w:t>
      </w:r>
      <w:r w:rsidR="004334C2">
        <w:rPr>
          <w:b/>
          <w:sz w:val="22"/>
          <w:szCs w:val="22"/>
        </w:rPr>
        <w:t>6</w:t>
      </w:r>
      <w:r w:rsidR="000767FA">
        <w:rPr>
          <w:b/>
          <w:sz w:val="22"/>
          <w:szCs w:val="22"/>
        </w:rPr>
        <w:tab/>
      </w:r>
      <w:r w:rsidRPr="00FE57C4">
        <w:rPr>
          <w:b/>
          <w:sz w:val="22"/>
          <w:szCs w:val="22"/>
        </w:rPr>
        <w:t xml:space="preserve">Schedule 1 </w:t>
      </w:r>
      <w:r w:rsidR="00D320D9">
        <w:rPr>
          <w:b/>
          <w:sz w:val="22"/>
          <w:szCs w:val="22"/>
        </w:rPr>
        <w:t>(</w:t>
      </w:r>
      <w:r w:rsidRPr="00FE57C4">
        <w:rPr>
          <w:b/>
          <w:sz w:val="22"/>
          <w:szCs w:val="22"/>
        </w:rPr>
        <w:t>after table item 65</w:t>
      </w:r>
      <w:r w:rsidR="00D320D9">
        <w:rPr>
          <w:b/>
          <w:sz w:val="22"/>
          <w:szCs w:val="22"/>
        </w:rPr>
        <w:t>)</w:t>
      </w:r>
    </w:p>
    <w:p w14:paraId="72E12842" w14:textId="0A5A828A" w:rsidR="00114539" w:rsidRPr="00FE57C4" w:rsidRDefault="00114539" w:rsidP="00114539">
      <w:pPr>
        <w:pStyle w:val="BodyText"/>
        <w:tabs>
          <w:tab w:val="left" w:pos="360"/>
        </w:tabs>
        <w:spacing w:before="120" w:line="260" w:lineRule="atLeast"/>
        <w:rPr>
          <w:sz w:val="22"/>
          <w:szCs w:val="22"/>
        </w:rPr>
      </w:pPr>
      <w:bookmarkStart w:id="1" w:name="_Hlk10703423"/>
      <w:r w:rsidRPr="00FE57C4">
        <w:rPr>
          <w:sz w:val="22"/>
          <w:szCs w:val="22"/>
        </w:rPr>
        <w:t>A new item 65A is inserted in Schedule 1 to the LIPD Class Licence to authorise the use of fixed point-to-point links used outdoor</w:t>
      </w:r>
      <w:r w:rsidR="00196F71">
        <w:rPr>
          <w:sz w:val="22"/>
          <w:szCs w:val="22"/>
        </w:rPr>
        <w:t>s</w:t>
      </w:r>
      <w:r w:rsidRPr="00FE57C4">
        <w:rPr>
          <w:sz w:val="22"/>
          <w:szCs w:val="22"/>
        </w:rPr>
        <w:t xml:space="preserve"> in the 57000-71000 MHz band. </w:t>
      </w:r>
      <w:bookmarkEnd w:id="1"/>
      <w:r w:rsidRPr="00FE57C4">
        <w:rPr>
          <w:sz w:val="22"/>
          <w:szCs w:val="22"/>
        </w:rPr>
        <w:t>The maximum EIRP is limited by a compliance requirement with FCC Title 47 Part 15 Section 255</w:t>
      </w:r>
      <w:r w:rsidR="00EB0284">
        <w:rPr>
          <w:sz w:val="22"/>
          <w:szCs w:val="22"/>
        </w:rPr>
        <w:t xml:space="preserve"> (see paragraph (a) in column 4)</w:t>
      </w:r>
      <w:r w:rsidRPr="00FE57C4">
        <w:rPr>
          <w:sz w:val="22"/>
          <w:szCs w:val="22"/>
        </w:rPr>
        <w:t xml:space="preserve">. Paragraph (b) in </w:t>
      </w:r>
      <w:r w:rsidR="00EB0284">
        <w:rPr>
          <w:sz w:val="22"/>
          <w:szCs w:val="22"/>
        </w:rPr>
        <w:t>c</w:t>
      </w:r>
      <w:r w:rsidRPr="00FE57C4">
        <w:rPr>
          <w:sz w:val="22"/>
          <w:szCs w:val="22"/>
        </w:rPr>
        <w:t xml:space="preserve">olumn 4 requires that these transmitters must not be operated in the 58200-59000 MHz or 64000-65000 </w:t>
      </w:r>
      <w:r w:rsidRPr="00FE57C4">
        <w:rPr>
          <w:sz w:val="22"/>
          <w:szCs w:val="22"/>
        </w:rPr>
        <w:lastRenderedPageBreak/>
        <w:t xml:space="preserve">MHz bands within a nominated distance of a specified Australian radio astronomy site </w:t>
      </w:r>
      <w:r w:rsidR="002D69E2">
        <w:rPr>
          <w:sz w:val="22"/>
          <w:szCs w:val="22"/>
        </w:rPr>
        <w:t>unless</w:t>
      </w:r>
      <w:r w:rsidRPr="00FE57C4">
        <w:rPr>
          <w:sz w:val="22"/>
          <w:szCs w:val="22"/>
        </w:rPr>
        <w:t xml:space="preserve"> </w:t>
      </w:r>
      <w:r w:rsidR="002D69E2">
        <w:rPr>
          <w:sz w:val="22"/>
          <w:szCs w:val="22"/>
        </w:rPr>
        <w:t>the</w:t>
      </w:r>
      <w:r w:rsidRPr="00FE57C4">
        <w:rPr>
          <w:sz w:val="22"/>
          <w:szCs w:val="22"/>
        </w:rPr>
        <w:t xml:space="preserve"> CSIRO</w:t>
      </w:r>
      <w:r w:rsidR="002D69E2">
        <w:rPr>
          <w:sz w:val="22"/>
          <w:szCs w:val="22"/>
        </w:rPr>
        <w:t xml:space="preserve"> has issued written instructions for the use of the transmitter</w:t>
      </w:r>
      <w:r w:rsidRPr="00FE57C4">
        <w:rPr>
          <w:sz w:val="22"/>
          <w:szCs w:val="22"/>
        </w:rPr>
        <w:t xml:space="preserve">. </w:t>
      </w:r>
    </w:p>
    <w:p w14:paraId="1DFFDBE8" w14:textId="5C249C4C" w:rsidR="0067185F" w:rsidRPr="00FE57C4" w:rsidRDefault="0067185F" w:rsidP="00E37F81">
      <w:pPr>
        <w:keepNext/>
        <w:spacing w:before="120" w:after="120" w:line="260" w:lineRule="atLeast"/>
        <w:ind w:left="1440" w:hanging="1440"/>
        <w:rPr>
          <w:b/>
          <w:sz w:val="22"/>
          <w:szCs w:val="22"/>
        </w:rPr>
      </w:pPr>
      <w:r w:rsidRPr="00FE57C4">
        <w:rPr>
          <w:b/>
          <w:sz w:val="22"/>
          <w:szCs w:val="22"/>
        </w:rPr>
        <w:t xml:space="preserve">Item </w:t>
      </w:r>
      <w:r w:rsidR="004334C2">
        <w:rPr>
          <w:b/>
          <w:sz w:val="22"/>
          <w:szCs w:val="22"/>
        </w:rPr>
        <w:t>7</w:t>
      </w:r>
      <w:r w:rsidR="000767FA">
        <w:rPr>
          <w:b/>
          <w:sz w:val="22"/>
          <w:szCs w:val="22"/>
        </w:rPr>
        <w:tab/>
      </w:r>
      <w:r w:rsidRPr="00FE57C4">
        <w:rPr>
          <w:b/>
          <w:sz w:val="22"/>
          <w:szCs w:val="22"/>
        </w:rPr>
        <w:t>Schedule 1</w:t>
      </w:r>
      <w:r w:rsidR="00196F71">
        <w:rPr>
          <w:b/>
          <w:sz w:val="22"/>
          <w:szCs w:val="22"/>
        </w:rPr>
        <w:t xml:space="preserve"> </w:t>
      </w:r>
      <w:r w:rsidR="00D320D9">
        <w:rPr>
          <w:b/>
          <w:sz w:val="22"/>
          <w:szCs w:val="22"/>
        </w:rPr>
        <w:t>(</w:t>
      </w:r>
      <w:r w:rsidR="00983CD4" w:rsidRPr="00FE57C4">
        <w:rPr>
          <w:b/>
          <w:sz w:val="22"/>
          <w:szCs w:val="22"/>
        </w:rPr>
        <w:t xml:space="preserve">after </w:t>
      </w:r>
      <w:r w:rsidRPr="00FE57C4">
        <w:rPr>
          <w:b/>
          <w:sz w:val="22"/>
          <w:szCs w:val="22"/>
        </w:rPr>
        <w:t>table item 6</w:t>
      </w:r>
      <w:r w:rsidR="00983CD4" w:rsidRPr="00FE57C4">
        <w:rPr>
          <w:b/>
          <w:sz w:val="22"/>
          <w:szCs w:val="22"/>
        </w:rPr>
        <w:t>9</w:t>
      </w:r>
      <w:r w:rsidR="00D320D9">
        <w:rPr>
          <w:b/>
          <w:sz w:val="22"/>
          <w:szCs w:val="22"/>
        </w:rPr>
        <w:t>)</w:t>
      </w:r>
    </w:p>
    <w:p w14:paraId="07A0191B" w14:textId="547C5D8E" w:rsidR="00BB6C87" w:rsidRPr="00FE57C4" w:rsidRDefault="00BB6C87" w:rsidP="0067185F">
      <w:pPr>
        <w:pStyle w:val="BodyText"/>
        <w:tabs>
          <w:tab w:val="left" w:pos="360"/>
        </w:tabs>
        <w:spacing w:before="120" w:line="260" w:lineRule="atLeast"/>
        <w:rPr>
          <w:sz w:val="22"/>
          <w:szCs w:val="22"/>
        </w:rPr>
      </w:pPr>
      <w:r w:rsidRPr="00FE57C4">
        <w:rPr>
          <w:sz w:val="22"/>
          <w:szCs w:val="22"/>
        </w:rPr>
        <w:t xml:space="preserve">A new item 69A is inserted in Schedule 1 to the LIPD Class Licence to authorise the use of radiodetermination </w:t>
      </w:r>
      <w:r w:rsidR="00F25E8A" w:rsidRPr="00FE57C4">
        <w:rPr>
          <w:sz w:val="22"/>
          <w:szCs w:val="22"/>
        </w:rPr>
        <w:t>transmitters</w:t>
      </w:r>
      <w:r w:rsidRPr="00FE57C4">
        <w:rPr>
          <w:sz w:val="22"/>
          <w:szCs w:val="22"/>
        </w:rPr>
        <w:t xml:space="preserve"> in the </w:t>
      </w:r>
      <w:r w:rsidR="00F25E8A" w:rsidRPr="00FE57C4">
        <w:rPr>
          <w:sz w:val="22"/>
          <w:szCs w:val="22"/>
        </w:rPr>
        <w:t>76000</w:t>
      </w:r>
      <w:r w:rsidRPr="00FE57C4">
        <w:rPr>
          <w:sz w:val="22"/>
          <w:szCs w:val="22"/>
        </w:rPr>
        <w:t>-7</w:t>
      </w:r>
      <w:r w:rsidR="00F25E8A" w:rsidRPr="00FE57C4">
        <w:rPr>
          <w:sz w:val="22"/>
          <w:szCs w:val="22"/>
        </w:rPr>
        <w:t>7</w:t>
      </w:r>
      <w:r w:rsidRPr="00FE57C4">
        <w:rPr>
          <w:sz w:val="22"/>
          <w:szCs w:val="22"/>
        </w:rPr>
        <w:t>000 MHz ban</w:t>
      </w:r>
      <w:r w:rsidR="00994A9B">
        <w:rPr>
          <w:sz w:val="22"/>
          <w:szCs w:val="22"/>
        </w:rPr>
        <w:t xml:space="preserve">d </w:t>
      </w:r>
      <w:r w:rsidR="00994A9B" w:rsidRPr="00FE57C4">
        <w:rPr>
          <w:sz w:val="22"/>
          <w:szCs w:val="22"/>
        </w:rPr>
        <w:t>to be used for fixed infrastructure and at road crossings of railway tracks</w:t>
      </w:r>
      <w:r w:rsidRPr="00FE57C4">
        <w:rPr>
          <w:sz w:val="22"/>
          <w:szCs w:val="22"/>
        </w:rPr>
        <w:t>.</w:t>
      </w:r>
      <w:r w:rsidR="001A7DD1" w:rsidRPr="00FE57C4">
        <w:rPr>
          <w:sz w:val="22"/>
          <w:szCs w:val="22"/>
        </w:rPr>
        <w:t xml:space="preserve"> </w:t>
      </w:r>
      <w:r w:rsidR="003B50C3" w:rsidRPr="00FE57C4">
        <w:rPr>
          <w:sz w:val="22"/>
          <w:szCs w:val="22"/>
        </w:rPr>
        <w:t xml:space="preserve">The use of these </w:t>
      </w:r>
      <w:r w:rsidR="00DE63C4" w:rsidRPr="00FE57C4">
        <w:rPr>
          <w:sz w:val="22"/>
          <w:szCs w:val="22"/>
        </w:rPr>
        <w:t xml:space="preserve">transmitters must </w:t>
      </w:r>
      <w:r w:rsidR="006D202B">
        <w:rPr>
          <w:sz w:val="22"/>
          <w:szCs w:val="22"/>
        </w:rPr>
        <w:t>comply</w:t>
      </w:r>
      <w:r w:rsidR="00DE63C4" w:rsidRPr="00FE57C4">
        <w:rPr>
          <w:sz w:val="22"/>
          <w:szCs w:val="22"/>
        </w:rPr>
        <w:t xml:space="preserve"> </w:t>
      </w:r>
      <w:r w:rsidR="001727BC">
        <w:rPr>
          <w:sz w:val="22"/>
          <w:szCs w:val="22"/>
        </w:rPr>
        <w:t xml:space="preserve">either </w:t>
      </w:r>
      <w:r w:rsidR="004D4367" w:rsidRPr="00FE57C4">
        <w:rPr>
          <w:sz w:val="22"/>
          <w:szCs w:val="22"/>
        </w:rPr>
        <w:t xml:space="preserve">with </w:t>
      </w:r>
      <w:r w:rsidR="00925255" w:rsidRPr="00FE57C4">
        <w:rPr>
          <w:sz w:val="22"/>
          <w:szCs w:val="22"/>
        </w:rPr>
        <w:t xml:space="preserve">Part 2 </w:t>
      </w:r>
      <w:r w:rsidR="001727BC">
        <w:rPr>
          <w:sz w:val="22"/>
          <w:szCs w:val="22"/>
        </w:rPr>
        <w:t>or</w:t>
      </w:r>
      <w:r w:rsidR="00925255" w:rsidRPr="00FE57C4">
        <w:rPr>
          <w:sz w:val="22"/>
          <w:szCs w:val="22"/>
        </w:rPr>
        <w:t xml:space="preserve"> Part </w:t>
      </w:r>
      <w:r w:rsidR="00D3143E" w:rsidRPr="00FE57C4">
        <w:rPr>
          <w:sz w:val="22"/>
          <w:szCs w:val="22"/>
        </w:rPr>
        <w:t>3</w:t>
      </w:r>
      <w:r w:rsidR="00925255" w:rsidRPr="00FE57C4">
        <w:rPr>
          <w:sz w:val="22"/>
          <w:szCs w:val="22"/>
        </w:rPr>
        <w:t xml:space="preserve"> of the </w:t>
      </w:r>
      <w:r w:rsidR="004D4367" w:rsidRPr="00FE57C4">
        <w:rPr>
          <w:sz w:val="22"/>
          <w:szCs w:val="22"/>
        </w:rPr>
        <w:t>ETSI Standard</w:t>
      </w:r>
      <w:r w:rsidR="00925255" w:rsidRPr="00FE57C4">
        <w:rPr>
          <w:sz w:val="22"/>
          <w:szCs w:val="22"/>
        </w:rPr>
        <w:t xml:space="preserve"> EN 301 091. </w:t>
      </w:r>
      <w:r w:rsidR="007F6FE7" w:rsidRPr="00FE57C4">
        <w:rPr>
          <w:sz w:val="22"/>
          <w:szCs w:val="22"/>
        </w:rPr>
        <w:t xml:space="preserve">Part 2 of the </w:t>
      </w:r>
      <w:r w:rsidR="00176920" w:rsidRPr="00FE57C4">
        <w:rPr>
          <w:sz w:val="22"/>
          <w:szCs w:val="22"/>
        </w:rPr>
        <w:t xml:space="preserve">Standard </w:t>
      </w:r>
      <w:r w:rsidR="00814FE6" w:rsidRPr="00FE57C4">
        <w:rPr>
          <w:sz w:val="22"/>
          <w:szCs w:val="22"/>
        </w:rPr>
        <w:t xml:space="preserve">specifies technical </w:t>
      </w:r>
      <w:r w:rsidR="003F437D" w:rsidRPr="00FE57C4">
        <w:rPr>
          <w:sz w:val="22"/>
          <w:szCs w:val="22"/>
        </w:rPr>
        <w:t>characteristics</w:t>
      </w:r>
      <w:r w:rsidR="00412A59" w:rsidRPr="00FE57C4">
        <w:rPr>
          <w:sz w:val="22"/>
          <w:szCs w:val="22"/>
        </w:rPr>
        <w:t xml:space="preserve"> and method of measurements for </w:t>
      </w:r>
      <w:r w:rsidR="003F437D" w:rsidRPr="00FE57C4">
        <w:rPr>
          <w:sz w:val="22"/>
          <w:szCs w:val="22"/>
        </w:rPr>
        <w:t xml:space="preserve">radiodetermination transmitters </w:t>
      </w:r>
      <w:r w:rsidR="00812D0F" w:rsidRPr="00FE57C4">
        <w:rPr>
          <w:sz w:val="22"/>
          <w:szCs w:val="22"/>
        </w:rPr>
        <w:t>for fixed infrastructure</w:t>
      </w:r>
      <w:r w:rsidR="007F6FE7" w:rsidRPr="00FE57C4">
        <w:rPr>
          <w:sz w:val="22"/>
          <w:szCs w:val="22"/>
        </w:rPr>
        <w:t xml:space="preserve">. </w:t>
      </w:r>
      <w:r w:rsidR="00D0379C" w:rsidRPr="00FE57C4">
        <w:rPr>
          <w:sz w:val="22"/>
          <w:szCs w:val="22"/>
        </w:rPr>
        <w:t xml:space="preserve">Part 3 of the </w:t>
      </w:r>
      <w:r w:rsidR="003C01FE" w:rsidRPr="00FE57C4">
        <w:rPr>
          <w:sz w:val="22"/>
          <w:szCs w:val="22"/>
        </w:rPr>
        <w:t xml:space="preserve">Standard </w:t>
      </w:r>
      <w:r w:rsidR="00CA53D9" w:rsidRPr="00FE57C4">
        <w:rPr>
          <w:sz w:val="22"/>
          <w:szCs w:val="22"/>
        </w:rPr>
        <w:t>covers radar equipment for obstacle d</w:t>
      </w:r>
      <w:r w:rsidR="00EA3535" w:rsidRPr="00FE57C4">
        <w:rPr>
          <w:sz w:val="22"/>
          <w:szCs w:val="22"/>
        </w:rPr>
        <w:t xml:space="preserve">etection at the road crossing of a railway track </w:t>
      </w:r>
      <w:r w:rsidR="005F72AB" w:rsidRPr="00FE57C4">
        <w:rPr>
          <w:sz w:val="22"/>
          <w:szCs w:val="22"/>
        </w:rPr>
        <w:t xml:space="preserve">and </w:t>
      </w:r>
      <w:r w:rsidR="00994A9B" w:rsidRPr="00FE57C4">
        <w:rPr>
          <w:sz w:val="22"/>
          <w:szCs w:val="22"/>
        </w:rPr>
        <w:t>short-range</w:t>
      </w:r>
      <w:r w:rsidR="005F72AB" w:rsidRPr="00FE57C4">
        <w:rPr>
          <w:sz w:val="22"/>
          <w:szCs w:val="22"/>
        </w:rPr>
        <w:t xml:space="preserve"> devices for the use at the road crossing of a railway track</w:t>
      </w:r>
      <w:r w:rsidR="009405A7" w:rsidRPr="00FE57C4">
        <w:rPr>
          <w:sz w:val="22"/>
          <w:szCs w:val="22"/>
        </w:rPr>
        <w:t xml:space="preserve">. </w:t>
      </w:r>
    </w:p>
    <w:p w14:paraId="4362D729" w14:textId="421DEC73" w:rsidR="00A33D1A" w:rsidRPr="00FE57C4" w:rsidRDefault="00A33D1A" w:rsidP="000767FA">
      <w:pPr>
        <w:keepNext/>
        <w:spacing w:before="120" w:after="120" w:line="260" w:lineRule="atLeast"/>
        <w:ind w:left="1440" w:hanging="1440"/>
        <w:rPr>
          <w:b/>
          <w:sz w:val="22"/>
          <w:szCs w:val="22"/>
        </w:rPr>
      </w:pPr>
      <w:r w:rsidRPr="00FE57C4">
        <w:rPr>
          <w:b/>
          <w:sz w:val="22"/>
          <w:szCs w:val="22"/>
        </w:rPr>
        <w:t xml:space="preserve">Item </w:t>
      </w:r>
      <w:r w:rsidR="004334C2">
        <w:rPr>
          <w:b/>
          <w:sz w:val="22"/>
          <w:szCs w:val="22"/>
        </w:rPr>
        <w:t>8</w:t>
      </w:r>
      <w:r w:rsidR="00EB0284">
        <w:rPr>
          <w:b/>
          <w:sz w:val="22"/>
          <w:szCs w:val="22"/>
        </w:rPr>
        <w:tab/>
      </w:r>
      <w:r w:rsidRPr="00FE57C4">
        <w:rPr>
          <w:b/>
          <w:sz w:val="22"/>
          <w:szCs w:val="22"/>
        </w:rPr>
        <w:t xml:space="preserve">Schedule 1 </w:t>
      </w:r>
      <w:r w:rsidR="00D320D9">
        <w:rPr>
          <w:b/>
          <w:sz w:val="22"/>
          <w:szCs w:val="22"/>
        </w:rPr>
        <w:t>(</w:t>
      </w:r>
      <w:r w:rsidRPr="00FE57C4">
        <w:rPr>
          <w:b/>
          <w:sz w:val="22"/>
          <w:szCs w:val="22"/>
        </w:rPr>
        <w:t>after table item 71</w:t>
      </w:r>
      <w:r w:rsidR="00D320D9">
        <w:rPr>
          <w:b/>
          <w:sz w:val="22"/>
          <w:szCs w:val="22"/>
        </w:rPr>
        <w:t>)</w:t>
      </w:r>
    </w:p>
    <w:p w14:paraId="1F598170" w14:textId="19A50BDE" w:rsidR="00572189" w:rsidRPr="00FE57C4" w:rsidRDefault="00A33D1A" w:rsidP="00572189">
      <w:pPr>
        <w:pStyle w:val="BodyText"/>
        <w:tabs>
          <w:tab w:val="left" w:pos="360"/>
        </w:tabs>
        <w:spacing w:before="120" w:line="260" w:lineRule="atLeast"/>
        <w:rPr>
          <w:sz w:val="22"/>
          <w:szCs w:val="22"/>
        </w:rPr>
      </w:pPr>
      <w:r w:rsidRPr="00FE57C4">
        <w:rPr>
          <w:sz w:val="22"/>
          <w:szCs w:val="22"/>
        </w:rPr>
        <w:t xml:space="preserve">A new item 71A is inserted in Schedule 1 to the LIPD Class Licence to authorise the use of radiodetermination transmitters in the 30-12400 MHz band. </w:t>
      </w:r>
      <w:r w:rsidR="00E8384A" w:rsidRPr="00FE57C4">
        <w:rPr>
          <w:sz w:val="22"/>
          <w:szCs w:val="22"/>
        </w:rPr>
        <w:t>This item authori</w:t>
      </w:r>
      <w:r w:rsidR="00FB3056">
        <w:rPr>
          <w:sz w:val="22"/>
          <w:szCs w:val="22"/>
        </w:rPr>
        <w:t>s</w:t>
      </w:r>
      <w:r w:rsidR="00E8384A" w:rsidRPr="00FE57C4">
        <w:rPr>
          <w:sz w:val="22"/>
          <w:szCs w:val="22"/>
        </w:rPr>
        <w:t>es ground and wall penetration radars</w:t>
      </w:r>
      <w:r w:rsidR="006D18CB" w:rsidRPr="00FE57C4">
        <w:rPr>
          <w:sz w:val="22"/>
          <w:szCs w:val="22"/>
        </w:rPr>
        <w:t xml:space="preserve"> (</w:t>
      </w:r>
      <w:r w:rsidR="006D18CB" w:rsidRPr="00DA1BD7">
        <w:rPr>
          <w:b/>
          <w:bCs/>
          <w:sz w:val="22"/>
          <w:szCs w:val="22"/>
        </w:rPr>
        <w:t>GPR/WPR</w:t>
      </w:r>
      <w:r w:rsidR="006D18CB" w:rsidRPr="00FE57C4">
        <w:rPr>
          <w:sz w:val="22"/>
          <w:szCs w:val="22"/>
        </w:rPr>
        <w:t>)</w:t>
      </w:r>
      <w:r w:rsidR="00E8384A" w:rsidRPr="00FE57C4">
        <w:rPr>
          <w:sz w:val="22"/>
          <w:szCs w:val="22"/>
        </w:rPr>
        <w:t xml:space="preserve"> operating in </w:t>
      </w:r>
      <w:r w:rsidR="00FB3056">
        <w:rPr>
          <w:sz w:val="22"/>
          <w:szCs w:val="22"/>
        </w:rPr>
        <w:t>that</w:t>
      </w:r>
      <w:r w:rsidR="00E8384A" w:rsidRPr="00FE57C4">
        <w:rPr>
          <w:sz w:val="22"/>
          <w:szCs w:val="22"/>
        </w:rPr>
        <w:t xml:space="preserve"> band. </w:t>
      </w:r>
      <w:r w:rsidR="00130880" w:rsidRPr="00FE57C4">
        <w:rPr>
          <w:sz w:val="22"/>
          <w:szCs w:val="22"/>
        </w:rPr>
        <w:t>Guidance on the operation of t</w:t>
      </w:r>
      <w:r w:rsidR="00B15147" w:rsidRPr="00FE57C4">
        <w:rPr>
          <w:sz w:val="22"/>
          <w:szCs w:val="22"/>
        </w:rPr>
        <w:t>he</w:t>
      </w:r>
      <w:r w:rsidR="00130880" w:rsidRPr="00FE57C4">
        <w:rPr>
          <w:sz w:val="22"/>
          <w:szCs w:val="22"/>
        </w:rPr>
        <w:t>se</w:t>
      </w:r>
      <w:r w:rsidR="00B15147" w:rsidRPr="00FE57C4">
        <w:rPr>
          <w:sz w:val="22"/>
          <w:szCs w:val="22"/>
        </w:rPr>
        <w:t xml:space="preserve"> transmitters </w:t>
      </w:r>
      <w:r w:rsidR="00130880" w:rsidRPr="00FE57C4">
        <w:rPr>
          <w:sz w:val="22"/>
          <w:szCs w:val="22"/>
        </w:rPr>
        <w:t>is provided at</w:t>
      </w:r>
      <w:r w:rsidR="00CA231A">
        <w:rPr>
          <w:sz w:val="22"/>
          <w:szCs w:val="22"/>
        </w:rPr>
        <w:t xml:space="preserve"> new</w:t>
      </w:r>
      <w:r w:rsidR="00AC105E" w:rsidRPr="00FE57C4">
        <w:rPr>
          <w:sz w:val="22"/>
          <w:szCs w:val="22"/>
        </w:rPr>
        <w:t xml:space="preserve"> Notes 4 and 5</w:t>
      </w:r>
      <w:r w:rsidR="00CA231A">
        <w:rPr>
          <w:sz w:val="22"/>
          <w:szCs w:val="22"/>
        </w:rPr>
        <w:t xml:space="preserve"> (see item 12, below)</w:t>
      </w:r>
      <w:r w:rsidR="00AC105E" w:rsidRPr="00FE57C4">
        <w:rPr>
          <w:sz w:val="22"/>
          <w:szCs w:val="22"/>
        </w:rPr>
        <w:t xml:space="preserve">. </w:t>
      </w:r>
      <w:r w:rsidR="00743740" w:rsidRPr="00FE57C4">
        <w:rPr>
          <w:sz w:val="22"/>
          <w:szCs w:val="22"/>
        </w:rPr>
        <w:t xml:space="preserve">Paragraph (a) in </w:t>
      </w:r>
      <w:r w:rsidR="00CA231A">
        <w:rPr>
          <w:sz w:val="22"/>
          <w:szCs w:val="22"/>
        </w:rPr>
        <w:t>c</w:t>
      </w:r>
      <w:r w:rsidR="00743740" w:rsidRPr="00FE57C4">
        <w:rPr>
          <w:sz w:val="22"/>
          <w:szCs w:val="22"/>
        </w:rPr>
        <w:t xml:space="preserve">olumn 4 </w:t>
      </w:r>
      <w:r w:rsidR="001226CE" w:rsidRPr="00FE57C4">
        <w:rPr>
          <w:sz w:val="22"/>
          <w:szCs w:val="22"/>
        </w:rPr>
        <w:t xml:space="preserve">specifies that the operational </w:t>
      </w:r>
      <w:r w:rsidR="008D131D" w:rsidRPr="00FE57C4">
        <w:rPr>
          <w:sz w:val="22"/>
          <w:szCs w:val="22"/>
        </w:rPr>
        <w:t xml:space="preserve">positions of these transmitters must be such that their emissions </w:t>
      </w:r>
      <w:r w:rsidR="00166D4B" w:rsidRPr="00FE57C4">
        <w:rPr>
          <w:sz w:val="22"/>
          <w:szCs w:val="22"/>
        </w:rPr>
        <w:t xml:space="preserve">are directed towards the ground or a wall of a building or </w:t>
      </w:r>
      <w:r w:rsidR="008235E7" w:rsidRPr="00FE57C4">
        <w:rPr>
          <w:sz w:val="22"/>
          <w:szCs w:val="22"/>
        </w:rPr>
        <w:t xml:space="preserve">similar structure. </w:t>
      </w:r>
      <w:r w:rsidR="00796777" w:rsidRPr="00FE57C4">
        <w:rPr>
          <w:sz w:val="22"/>
          <w:szCs w:val="22"/>
        </w:rPr>
        <w:t xml:space="preserve">Paragraph (b) in </w:t>
      </w:r>
      <w:r w:rsidR="00CA231A">
        <w:rPr>
          <w:sz w:val="22"/>
          <w:szCs w:val="22"/>
        </w:rPr>
        <w:t>c</w:t>
      </w:r>
      <w:r w:rsidR="00796777" w:rsidRPr="00FE57C4">
        <w:rPr>
          <w:sz w:val="22"/>
          <w:szCs w:val="22"/>
        </w:rPr>
        <w:t xml:space="preserve">olumn 4 </w:t>
      </w:r>
      <w:r w:rsidR="00337A9E" w:rsidRPr="00FE57C4">
        <w:rPr>
          <w:sz w:val="22"/>
          <w:szCs w:val="22"/>
        </w:rPr>
        <w:t xml:space="preserve">requires that these transmitters </w:t>
      </w:r>
      <w:r w:rsidR="00496D78" w:rsidRPr="00FE57C4">
        <w:rPr>
          <w:sz w:val="22"/>
          <w:szCs w:val="22"/>
        </w:rPr>
        <w:t xml:space="preserve">must comply with either ETSI Standard </w:t>
      </w:r>
      <w:r w:rsidR="00AA30F5" w:rsidRPr="00FE57C4">
        <w:rPr>
          <w:sz w:val="22"/>
          <w:szCs w:val="22"/>
        </w:rPr>
        <w:t xml:space="preserve">EN 302 066 or </w:t>
      </w:r>
      <w:r w:rsidR="005A7C72">
        <w:rPr>
          <w:sz w:val="22"/>
          <w:szCs w:val="22"/>
        </w:rPr>
        <w:t xml:space="preserve">the </w:t>
      </w:r>
      <w:r w:rsidR="00D82E33" w:rsidRPr="00FE57C4">
        <w:rPr>
          <w:sz w:val="22"/>
          <w:szCs w:val="22"/>
        </w:rPr>
        <w:t xml:space="preserve">technical requirements of </w:t>
      </w:r>
      <w:r w:rsidR="00AA30F5" w:rsidRPr="00FE57C4">
        <w:rPr>
          <w:sz w:val="22"/>
          <w:szCs w:val="22"/>
        </w:rPr>
        <w:t xml:space="preserve">FCC Rule Title 47 Part 15 Section 509. </w:t>
      </w:r>
      <w:r w:rsidR="005B2384" w:rsidRPr="00FE57C4">
        <w:rPr>
          <w:sz w:val="22"/>
          <w:szCs w:val="22"/>
        </w:rPr>
        <w:t xml:space="preserve">Paragraph (b) effectively limits the </w:t>
      </w:r>
      <w:r w:rsidR="00AD5A75" w:rsidRPr="00FE57C4">
        <w:rPr>
          <w:sz w:val="22"/>
          <w:szCs w:val="22"/>
        </w:rPr>
        <w:t xml:space="preserve">maximum mean </w:t>
      </w:r>
      <w:r w:rsidR="00930E90" w:rsidRPr="00FE57C4">
        <w:rPr>
          <w:sz w:val="22"/>
          <w:szCs w:val="22"/>
        </w:rPr>
        <w:t xml:space="preserve">and peak </w:t>
      </w:r>
      <w:r w:rsidR="00AD5A75" w:rsidRPr="00FE57C4">
        <w:rPr>
          <w:sz w:val="22"/>
          <w:szCs w:val="22"/>
        </w:rPr>
        <w:t xml:space="preserve">EIRP density for </w:t>
      </w:r>
      <w:r w:rsidR="006D18CB" w:rsidRPr="00FE57C4">
        <w:rPr>
          <w:sz w:val="22"/>
          <w:szCs w:val="22"/>
        </w:rPr>
        <w:t>GPR/WPR radars</w:t>
      </w:r>
      <w:r w:rsidR="00930E90" w:rsidRPr="00FE57C4">
        <w:rPr>
          <w:sz w:val="22"/>
          <w:szCs w:val="22"/>
        </w:rPr>
        <w:t xml:space="preserve">. </w:t>
      </w:r>
      <w:r w:rsidR="00345DC3" w:rsidRPr="00FE57C4">
        <w:rPr>
          <w:sz w:val="22"/>
          <w:szCs w:val="22"/>
        </w:rPr>
        <w:t xml:space="preserve">Paragraph (c) in </w:t>
      </w:r>
      <w:r w:rsidR="00F40439">
        <w:rPr>
          <w:sz w:val="22"/>
          <w:szCs w:val="22"/>
        </w:rPr>
        <w:t>c</w:t>
      </w:r>
      <w:r w:rsidR="00345DC3" w:rsidRPr="00FE57C4">
        <w:rPr>
          <w:sz w:val="22"/>
          <w:szCs w:val="22"/>
        </w:rPr>
        <w:t xml:space="preserve">olumn 4 requires that these transmitters must not be operated within a nominated distance of a specified Australian radio astronomy site </w:t>
      </w:r>
      <w:r w:rsidR="002204ED">
        <w:rPr>
          <w:sz w:val="22"/>
          <w:szCs w:val="22"/>
        </w:rPr>
        <w:t>unless</w:t>
      </w:r>
      <w:r w:rsidR="00345DC3" w:rsidRPr="00FE57C4">
        <w:rPr>
          <w:sz w:val="22"/>
          <w:szCs w:val="22"/>
        </w:rPr>
        <w:t xml:space="preserve"> </w:t>
      </w:r>
      <w:r w:rsidR="00FB2995">
        <w:rPr>
          <w:sz w:val="22"/>
          <w:szCs w:val="22"/>
        </w:rPr>
        <w:t xml:space="preserve">the </w:t>
      </w:r>
      <w:r w:rsidR="00345DC3" w:rsidRPr="00FE57C4">
        <w:rPr>
          <w:sz w:val="22"/>
          <w:szCs w:val="22"/>
        </w:rPr>
        <w:t>CSIRO</w:t>
      </w:r>
      <w:r w:rsidR="002204ED">
        <w:rPr>
          <w:sz w:val="22"/>
          <w:szCs w:val="22"/>
        </w:rPr>
        <w:t xml:space="preserve"> </w:t>
      </w:r>
      <w:r w:rsidR="002D69E2">
        <w:rPr>
          <w:sz w:val="22"/>
          <w:szCs w:val="22"/>
        </w:rPr>
        <w:t>has issued written instructions for the use of the transmitter</w:t>
      </w:r>
      <w:r w:rsidR="00345DC3" w:rsidRPr="00FE57C4">
        <w:rPr>
          <w:sz w:val="22"/>
          <w:szCs w:val="22"/>
        </w:rPr>
        <w:t xml:space="preserve">. </w:t>
      </w:r>
      <w:r w:rsidR="00572189" w:rsidRPr="00FE57C4">
        <w:rPr>
          <w:sz w:val="22"/>
          <w:szCs w:val="22"/>
        </w:rPr>
        <w:t xml:space="preserve">Paragraph (d) in </w:t>
      </w:r>
      <w:r w:rsidR="0076584C">
        <w:rPr>
          <w:sz w:val="22"/>
          <w:szCs w:val="22"/>
        </w:rPr>
        <w:t>c</w:t>
      </w:r>
      <w:r w:rsidR="00572189" w:rsidRPr="00FE57C4">
        <w:rPr>
          <w:sz w:val="22"/>
          <w:szCs w:val="22"/>
        </w:rPr>
        <w:t xml:space="preserve">olumn 4 requires that these transmitters must not be operated in the </w:t>
      </w:r>
      <w:r w:rsidR="00F66401" w:rsidRPr="00FE57C4">
        <w:rPr>
          <w:sz w:val="22"/>
          <w:szCs w:val="22"/>
        </w:rPr>
        <w:t>8400-8500</w:t>
      </w:r>
      <w:r w:rsidR="00572189" w:rsidRPr="00FE57C4">
        <w:rPr>
          <w:sz w:val="22"/>
          <w:szCs w:val="22"/>
        </w:rPr>
        <w:t xml:space="preserve"> MHz band within a nominated distance of a specified </w:t>
      </w:r>
      <w:r w:rsidR="00002138" w:rsidRPr="00FE57C4">
        <w:rPr>
          <w:sz w:val="22"/>
          <w:szCs w:val="22"/>
        </w:rPr>
        <w:t>space research service</w:t>
      </w:r>
      <w:r w:rsidR="00A26BD3" w:rsidRPr="00FE57C4">
        <w:rPr>
          <w:sz w:val="22"/>
          <w:szCs w:val="22"/>
        </w:rPr>
        <w:t xml:space="preserve"> earth </w:t>
      </w:r>
      <w:r w:rsidR="007F5773" w:rsidRPr="00FE57C4">
        <w:rPr>
          <w:sz w:val="22"/>
          <w:szCs w:val="22"/>
        </w:rPr>
        <w:t>station</w:t>
      </w:r>
      <w:r w:rsidR="00572189" w:rsidRPr="00FE57C4">
        <w:rPr>
          <w:sz w:val="22"/>
          <w:szCs w:val="22"/>
        </w:rPr>
        <w:t xml:space="preserve"> </w:t>
      </w:r>
      <w:r w:rsidR="006A514E">
        <w:rPr>
          <w:sz w:val="22"/>
          <w:szCs w:val="22"/>
        </w:rPr>
        <w:t>unless</w:t>
      </w:r>
      <w:r w:rsidR="00572189" w:rsidRPr="00FE57C4">
        <w:rPr>
          <w:sz w:val="22"/>
          <w:szCs w:val="22"/>
        </w:rPr>
        <w:t xml:space="preserve"> </w:t>
      </w:r>
      <w:r w:rsidR="007F5773" w:rsidRPr="00FE57C4">
        <w:rPr>
          <w:sz w:val="22"/>
          <w:szCs w:val="22"/>
        </w:rPr>
        <w:t xml:space="preserve">the </w:t>
      </w:r>
      <w:r w:rsidR="006A514E">
        <w:rPr>
          <w:sz w:val="22"/>
          <w:szCs w:val="22"/>
        </w:rPr>
        <w:t>relevant</w:t>
      </w:r>
      <w:r w:rsidR="002204ED">
        <w:rPr>
          <w:sz w:val="22"/>
          <w:szCs w:val="22"/>
        </w:rPr>
        <w:t xml:space="preserve"> </w:t>
      </w:r>
      <w:r w:rsidR="007F5773" w:rsidRPr="00FE57C4">
        <w:rPr>
          <w:sz w:val="22"/>
          <w:szCs w:val="22"/>
        </w:rPr>
        <w:t>earth station licensee</w:t>
      </w:r>
      <w:r w:rsidR="002204ED">
        <w:rPr>
          <w:sz w:val="22"/>
          <w:szCs w:val="22"/>
        </w:rPr>
        <w:t xml:space="preserve"> has issued written instructions for the use of the transmitter</w:t>
      </w:r>
      <w:r w:rsidR="007F5773" w:rsidRPr="00FE57C4">
        <w:rPr>
          <w:sz w:val="22"/>
          <w:szCs w:val="22"/>
        </w:rPr>
        <w:t>.</w:t>
      </w:r>
      <w:r w:rsidR="00572189" w:rsidRPr="00FE57C4">
        <w:rPr>
          <w:sz w:val="22"/>
          <w:szCs w:val="22"/>
        </w:rPr>
        <w:t xml:space="preserve"> </w:t>
      </w:r>
    </w:p>
    <w:p w14:paraId="6A3FD169" w14:textId="6BC4FCAB" w:rsidR="001F1F5D" w:rsidRPr="00FE57C4" w:rsidRDefault="001F1F5D" w:rsidP="000767FA">
      <w:pPr>
        <w:keepNext/>
        <w:spacing w:before="120" w:after="120" w:line="260" w:lineRule="atLeast"/>
        <w:ind w:left="1440" w:hanging="1440"/>
        <w:rPr>
          <w:b/>
          <w:sz w:val="22"/>
          <w:szCs w:val="22"/>
        </w:rPr>
      </w:pPr>
      <w:r w:rsidRPr="00FE57C4">
        <w:rPr>
          <w:b/>
          <w:sz w:val="22"/>
          <w:szCs w:val="22"/>
        </w:rPr>
        <w:t xml:space="preserve">Item </w:t>
      </w:r>
      <w:r w:rsidR="004334C2">
        <w:rPr>
          <w:b/>
          <w:sz w:val="22"/>
          <w:szCs w:val="22"/>
        </w:rPr>
        <w:t>9</w:t>
      </w:r>
      <w:r w:rsidR="00EB0284">
        <w:rPr>
          <w:b/>
          <w:sz w:val="22"/>
          <w:szCs w:val="22"/>
        </w:rPr>
        <w:tab/>
      </w:r>
      <w:r w:rsidRPr="00FE57C4">
        <w:rPr>
          <w:b/>
          <w:sz w:val="22"/>
          <w:szCs w:val="22"/>
        </w:rPr>
        <w:t xml:space="preserve">Schedule 1 </w:t>
      </w:r>
      <w:r w:rsidR="0076584C">
        <w:rPr>
          <w:b/>
          <w:sz w:val="22"/>
          <w:szCs w:val="22"/>
        </w:rPr>
        <w:t>(</w:t>
      </w:r>
      <w:r w:rsidRPr="00FE57C4">
        <w:rPr>
          <w:b/>
          <w:sz w:val="22"/>
          <w:szCs w:val="22"/>
        </w:rPr>
        <w:t>table item 7</w:t>
      </w:r>
      <w:r w:rsidR="00123C6C" w:rsidRPr="00FE57C4">
        <w:rPr>
          <w:b/>
          <w:sz w:val="22"/>
          <w:szCs w:val="22"/>
        </w:rPr>
        <w:t xml:space="preserve">8, </w:t>
      </w:r>
      <w:r w:rsidR="0076584C">
        <w:rPr>
          <w:b/>
          <w:sz w:val="22"/>
          <w:szCs w:val="22"/>
        </w:rPr>
        <w:t>c</w:t>
      </w:r>
      <w:r w:rsidR="00123C6C" w:rsidRPr="00FE57C4">
        <w:rPr>
          <w:b/>
          <w:sz w:val="22"/>
          <w:szCs w:val="22"/>
        </w:rPr>
        <w:t>olumn 2</w:t>
      </w:r>
      <w:r w:rsidR="0076584C">
        <w:rPr>
          <w:b/>
          <w:sz w:val="22"/>
          <w:szCs w:val="22"/>
        </w:rPr>
        <w:t>)</w:t>
      </w:r>
    </w:p>
    <w:p w14:paraId="5E3868CE" w14:textId="3A111100" w:rsidR="00152CF6" w:rsidRPr="00FE57C4" w:rsidRDefault="00152CF6" w:rsidP="00152CF6">
      <w:pPr>
        <w:pStyle w:val="BodyText"/>
        <w:tabs>
          <w:tab w:val="left" w:pos="360"/>
        </w:tabs>
        <w:spacing w:before="120" w:line="260" w:lineRule="atLeast"/>
        <w:rPr>
          <w:sz w:val="22"/>
          <w:szCs w:val="22"/>
        </w:rPr>
      </w:pPr>
      <w:r w:rsidRPr="00FE57C4">
        <w:rPr>
          <w:sz w:val="22"/>
          <w:szCs w:val="22"/>
        </w:rPr>
        <w:t>This item extends the permitted frequency band</w:t>
      </w:r>
      <w:r w:rsidR="00735655" w:rsidRPr="00FE57C4">
        <w:rPr>
          <w:sz w:val="22"/>
          <w:szCs w:val="22"/>
        </w:rPr>
        <w:t>s</w:t>
      </w:r>
      <w:r w:rsidR="00FB1B2E">
        <w:rPr>
          <w:sz w:val="22"/>
          <w:szCs w:val="22"/>
        </w:rPr>
        <w:t xml:space="preserve"> for the devices in table item 78,</w:t>
      </w:r>
      <w:r w:rsidRPr="00FE57C4">
        <w:rPr>
          <w:sz w:val="22"/>
          <w:szCs w:val="22"/>
        </w:rPr>
        <w:t xml:space="preserve"> from </w:t>
      </w:r>
      <w:r w:rsidR="00735655" w:rsidRPr="00FE57C4">
        <w:rPr>
          <w:sz w:val="22"/>
          <w:szCs w:val="22"/>
        </w:rPr>
        <w:t xml:space="preserve">3400-4800 </w:t>
      </w:r>
      <w:r w:rsidR="009F38B8" w:rsidRPr="00FE57C4">
        <w:rPr>
          <w:sz w:val="22"/>
          <w:szCs w:val="22"/>
        </w:rPr>
        <w:t xml:space="preserve">MHz </w:t>
      </w:r>
      <w:r w:rsidR="00735655" w:rsidRPr="00FE57C4">
        <w:rPr>
          <w:sz w:val="22"/>
          <w:szCs w:val="22"/>
        </w:rPr>
        <w:t>and 6000-8500 MHz</w:t>
      </w:r>
      <w:r w:rsidRPr="00FE57C4">
        <w:rPr>
          <w:sz w:val="22"/>
          <w:szCs w:val="22"/>
        </w:rPr>
        <w:t xml:space="preserve"> to </w:t>
      </w:r>
      <w:r w:rsidR="009F38B8" w:rsidRPr="00FE57C4">
        <w:rPr>
          <w:sz w:val="22"/>
          <w:szCs w:val="22"/>
        </w:rPr>
        <w:t>31</w:t>
      </w:r>
      <w:r w:rsidRPr="00FE57C4">
        <w:rPr>
          <w:sz w:val="22"/>
          <w:szCs w:val="22"/>
        </w:rPr>
        <w:t>00-</w:t>
      </w:r>
      <w:r w:rsidR="009F38B8" w:rsidRPr="00FE57C4">
        <w:rPr>
          <w:sz w:val="22"/>
          <w:szCs w:val="22"/>
        </w:rPr>
        <w:t>4800</w:t>
      </w:r>
      <w:r w:rsidRPr="00FE57C4">
        <w:rPr>
          <w:sz w:val="22"/>
          <w:szCs w:val="22"/>
        </w:rPr>
        <w:t xml:space="preserve"> MHz </w:t>
      </w:r>
      <w:r w:rsidR="009F38B8" w:rsidRPr="00FE57C4">
        <w:rPr>
          <w:sz w:val="22"/>
          <w:szCs w:val="22"/>
        </w:rPr>
        <w:t xml:space="preserve">and 6000-9000 </w:t>
      </w:r>
      <w:proofErr w:type="spellStart"/>
      <w:r w:rsidR="009F38B8" w:rsidRPr="00FE57C4">
        <w:rPr>
          <w:sz w:val="22"/>
          <w:szCs w:val="22"/>
        </w:rPr>
        <w:t>MHz</w:t>
      </w:r>
      <w:r w:rsidRPr="00FE57C4">
        <w:rPr>
          <w:sz w:val="22"/>
          <w:szCs w:val="22"/>
        </w:rPr>
        <w:t>.</w:t>
      </w:r>
      <w:proofErr w:type="spellEnd"/>
      <w:r w:rsidRPr="00FE57C4">
        <w:rPr>
          <w:sz w:val="22"/>
          <w:szCs w:val="22"/>
        </w:rPr>
        <w:t xml:space="preserve">  </w:t>
      </w:r>
    </w:p>
    <w:p w14:paraId="1E889143" w14:textId="3BC5FEBF" w:rsidR="00815D8F" w:rsidRPr="00FE57C4" w:rsidRDefault="00815D8F" w:rsidP="000767FA">
      <w:pPr>
        <w:keepNext/>
        <w:spacing w:before="120" w:after="120" w:line="260" w:lineRule="atLeast"/>
        <w:ind w:left="1440" w:hanging="1440"/>
        <w:rPr>
          <w:b/>
          <w:sz w:val="22"/>
          <w:szCs w:val="22"/>
        </w:rPr>
      </w:pPr>
      <w:r w:rsidRPr="00FE57C4">
        <w:rPr>
          <w:b/>
          <w:sz w:val="22"/>
          <w:szCs w:val="22"/>
        </w:rPr>
        <w:t xml:space="preserve">Item </w:t>
      </w:r>
      <w:r w:rsidR="004334C2">
        <w:rPr>
          <w:b/>
          <w:sz w:val="22"/>
          <w:szCs w:val="22"/>
        </w:rPr>
        <w:t>10</w:t>
      </w:r>
      <w:r w:rsidR="00EB0284">
        <w:rPr>
          <w:b/>
          <w:sz w:val="22"/>
          <w:szCs w:val="22"/>
        </w:rPr>
        <w:tab/>
      </w:r>
      <w:r w:rsidRPr="00FE57C4">
        <w:rPr>
          <w:b/>
          <w:sz w:val="22"/>
          <w:szCs w:val="22"/>
        </w:rPr>
        <w:t xml:space="preserve">Schedule 1 </w:t>
      </w:r>
      <w:r w:rsidR="0033565F">
        <w:rPr>
          <w:b/>
          <w:sz w:val="22"/>
          <w:szCs w:val="22"/>
        </w:rPr>
        <w:t>(</w:t>
      </w:r>
      <w:r w:rsidRPr="00FE57C4">
        <w:rPr>
          <w:b/>
          <w:sz w:val="22"/>
          <w:szCs w:val="22"/>
        </w:rPr>
        <w:t xml:space="preserve">table item 78, </w:t>
      </w:r>
      <w:r w:rsidR="0033565F">
        <w:rPr>
          <w:b/>
          <w:sz w:val="22"/>
          <w:szCs w:val="22"/>
        </w:rPr>
        <w:t>c</w:t>
      </w:r>
      <w:r w:rsidRPr="00FE57C4">
        <w:rPr>
          <w:b/>
          <w:sz w:val="22"/>
          <w:szCs w:val="22"/>
        </w:rPr>
        <w:t>olumn 4, paragraph (</w:t>
      </w:r>
      <w:r w:rsidR="00370125" w:rsidRPr="00FE57C4">
        <w:rPr>
          <w:b/>
          <w:sz w:val="22"/>
          <w:szCs w:val="22"/>
        </w:rPr>
        <w:t>a</w:t>
      </w:r>
      <w:r w:rsidRPr="00FE57C4">
        <w:rPr>
          <w:b/>
          <w:sz w:val="22"/>
          <w:szCs w:val="22"/>
        </w:rPr>
        <w:t>)</w:t>
      </w:r>
      <w:r w:rsidR="0033565F">
        <w:rPr>
          <w:b/>
          <w:sz w:val="22"/>
          <w:szCs w:val="22"/>
        </w:rPr>
        <w:t>)</w:t>
      </w:r>
    </w:p>
    <w:p w14:paraId="77EBEAA8" w14:textId="3F10FA7E" w:rsidR="00815D8F" w:rsidRPr="00FE57C4" w:rsidRDefault="00815D8F" w:rsidP="00152CF6">
      <w:pPr>
        <w:pStyle w:val="BodyText"/>
        <w:tabs>
          <w:tab w:val="left" w:pos="360"/>
        </w:tabs>
        <w:spacing w:before="120" w:line="260" w:lineRule="atLeast"/>
        <w:rPr>
          <w:sz w:val="22"/>
          <w:szCs w:val="22"/>
        </w:rPr>
      </w:pPr>
      <w:r w:rsidRPr="00FE57C4">
        <w:rPr>
          <w:sz w:val="22"/>
          <w:szCs w:val="22"/>
        </w:rPr>
        <w:t xml:space="preserve">This item removes </w:t>
      </w:r>
      <w:r w:rsidR="00B95974" w:rsidRPr="00FE57C4">
        <w:rPr>
          <w:sz w:val="22"/>
          <w:szCs w:val="22"/>
        </w:rPr>
        <w:t xml:space="preserve">reference </w:t>
      </w:r>
      <w:r w:rsidR="009C0F67" w:rsidRPr="00FE57C4">
        <w:rPr>
          <w:sz w:val="22"/>
          <w:szCs w:val="22"/>
        </w:rPr>
        <w:t xml:space="preserve">to </w:t>
      </w:r>
      <w:r w:rsidR="00414028">
        <w:rPr>
          <w:sz w:val="22"/>
          <w:szCs w:val="22"/>
        </w:rPr>
        <w:t>a former standard, being</w:t>
      </w:r>
      <w:r w:rsidR="009C0F67" w:rsidRPr="00FE57C4">
        <w:rPr>
          <w:sz w:val="22"/>
          <w:szCs w:val="22"/>
        </w:rPr>
        <w:t xml:space="preserve"> ETSI Standard EN 302 500. </w:t>
      </w:r>
    </w:p>
    <w:p w14:paraId="55CC9B69" w14:textId="09667FE7" w:rsidR="00116AF2" w:rsidRPr="00FE57C4" w:rsidRDefault="00116AF2" w:rsidP="000767FA">
      <w:pPr>
        <w:keepNext/>
        <w:spacing w:before="120" w:after="120" w:line="260" w:lineRule="atLeast"/>
        <w:ind w:left="1440" w:hanging="1440"/>
        <w:rPr>
          <w:b/>
          <w:sz w:val="22"/>
          <w:szCs w:val="22"/>
        </w:rPr>
      </w:pPr>
      <w:r w:rsidRPr="00FE57C4">
        <w:rPr>
          <w:b/>
          <w:sz w:val="22"/>
          <w:szCs w:val="22"/>
        </w:rPr>
        <w:t>Item 1</w:t>
      </w:r>
      <w:r w:rsidR="004334C2">
        <w:rPr>
          <w:b/>
          <w:sz w:val="22"/>
          <w:szCs w:val="22"/>
        </w:rPr>
        <w:t>1</w:t>
      </w:r>
      <w:r w:rsidR="00EB0284">
        <w:rPr>
          <w:b/>
          <w:sz w:val="22"/>
          <w:szCs w:val="22"/>
        </w:rPr>
        <w:tab/>
      </w:r>
      <w:r w:rsidRPr="00FE57C4">
        <w:rPr>
          <w:b/>
          <w:sz w:val="22"/>
          <w:szCs w:val="22"/>
        </w:rPr>
        <w:t xml:space="preserve">Schedule 1 </w:t>
      </w:r>
      <w:r w:rsidR="0033565F">
        <w:rPr>
          <w:b/>
          <w:sz w:val="22"/>
          <w:szCs w:val="22"/>
        </w:rPr>
        <w:t>(</w:t>
      </w:r>
      <w:r w:rsidRPr="00FE57C4">
        <w:rPr>
          <w:b/>
          <w:sz w:val="22"/>
          <w:szCs w:val="22"/>
        </w:rPr>
        <w:t xml:space="preserve">table item 78, </w:t>
      </w:r>
      <w:r w:rsidR="0033565F">
        <w:rPr>
          <w:b/>
          <w:sz w:val="22"/>
          <w:szCs w:val="22"/>
        </w:rPr>
        <w:t>c</w:t>
      </w:r>
      <w:r w:rsidRPr="00FE57C4">
        <w:rPr>
          <w:b/>
          <w:sz w:val="22"/>
          <w:szCs w:val="22"/>
        </w:rPr>
        <w:t xml:space="preserve">olumn </w:t>
      </w:r>
      <w:r w:rsidR="00B71026" w:rsidRPr="00FE57C4">
        <w:rPr>
          <w:b/>
          <w:sz w:val="22"/>
          <w:szCs w:val="22"/>
        </w:rPr>
        <w:t>4, paragraph (c)</w:t>
      </w:r>
      <w:r w:rsidR="0033565F">
        <w:rPr>
          <w:b/>
          <w:sz w:val="22"/>
          <w:szCs w:val="22"/>
        </w:rPr>
        <w:t>)</w:t>
      </w:r>
    </w:p>
    <w:p w14:paraId="0BE555B4" w14:textId="52B3F427" w:rsidR="009405A7" w:rsidRPr="00FE57C4" w:rsidRDefault="00116AF2" w:rsidP="00A33D1A">
      <w:pPr>
        <w:pStyle w:val="BodyText"/>
        <w:tabs>
          <w:tab w:val="left" w:pos="360"/>
        </w:tabs>
        <w:spacing w:before="120" w:line="260" w:lineRule="atLeast"/>
        <w:rPr>
          <w:sz w:val="22"/>
          <w:szCs w:val="22"/>
        </w:rPr>
      </w:pPr>
      <w:r w:rsidRPr="00FE57C4">
        <w:rPr>
          <w:sz w:val="22"/>
          <w:szCs w:val="22"/>
        </w:rPr>
        <w:t xml:space="preserve">This item </w:t>
      </w:r>
      <w:r w:rsidR="00EC48C4" w:rsidRPr="00FE57C4">
        <w:rPr>
          <w:sz w:val="22"/>
          <w:szCs w:val="22"/>
        </w:rPr>
        <w:t xml:space="preserve">removes </w:t>
      </w:r>
      <w:r w:rsidR="0033565F">
        <w:rPr>
          <w:sz w:val="22"/>
          <w:szCs w:val="22"/>
        </w:rPr>
        <w:t xml:space="preserve">an </w:t>
      </w:r>
      <w:r w:rsidR="0011652B" w:rsidRPr="00FE57C4">
        <w:rPr>
          <w:sz w:val="22"/>
          <w:szCs w:val="22"/>
        </w:rPr>
        <w:t xml:space="preserve">outdated </w:t>
      </w:r>
      <w:r w:rsidR="00A80909" w:rsidRPr="00FE57C4">
        <w:rPr>
          <w:sz w:val="22"/>
          <w:szCs w:val="22"/>
        </w:rPr>
        <w:t>requirement which ban</w:t>
      </w:r>
      <w:r w:rsidR="00414028">
        <w:rPr>
          <w:sz w:val="22"/>
          <w:szCs w:val="22"/>
        </w:rPr>
        <w:t>ned</w:t>
      </w:r>
      <w:r w:rsidR="0011652B" w:rsidRPr="00FE57C4">
        <w:rPr>
          <w:sz w:val="22"/>
          <w:szCs w:val="22"/>
        </w:rPr>
        <w:t xml:space="preserve"> </w:t>
      </w:r>
      <w:r w:rsidR="00187E4F" w:rsidRPr="00FE57C4">
        <w:rPr>
          <w:sz w:val="22"/>
          <w:szCs w:val="22"/>
        </w:rPr>
        <w:t xml:space="preserve">operation </w:t>
      </w:r>
      <w:r w:rsidR="00C85B79">
        <w:rPr>
          <w:sz w:val="22"/>
          <w:szCs w:val="22"/>
        </w:rPr>
        <w:t xml:space="preserve">of the devices in table item 78 </w:t>
      </w:r>
      <w:r w:rsidR="00187E4F" w:rsidRPr="00FE57C4">
        <w:rPr>
          <w:sz w:val="22"/>
          <w:szCs w:val="22"/>
        </w:rPr>
        <w:t xml:space="preserve">in the 3425-3575 MHz </w:t>
      </w:r>
      <w:r w:rsidR="00A80909" w:rsidRPr="00FE57C4">
        <w:rPr>
          <w:sz w:val="22"/>
          <w:szCs w:val="22"/>
        </w:rPr>
        <w:t xml:space="preserve">band </w:t>
      </w:r>
      <w:r w:rsidR="00187E4F" w:rsidRPr="00FE57C4">
        <w:rPr>
          <w:sz w:val="22"/>
          <w:szCs w:val="22"/>
        </w:rPr>
        <w:t xml:space="preserve">before 14 December 2015. </w:t>
      </w:r>
    </w:p>
    <w:p w14:paraId="7EB9BB1C" w14:textId="55C73ED5" w:rsidR="00CA5408" w:rsidRPr="00FE57C4" w:rsidRDefault="00CA5408" w:rsidP="000767FA">
      <w:pPr>
        <w:keepNext/>
        <w:spacing w:before="120" w:after="120" w:line="260" w:lineRule="atLeast"/>
        <w:ind w:left="1440" w:hanging="1440"/>
        <w:rPr>
          <w:b/>
          <w:sz w:val="22"/>
          <w:szCs w:val="22"/>
        </w:rPr>
      </w:pPr>
      <w:r w:rsidRPr="00FE57C4">
        <w:rPr>
          <w:b/>
          <w:sz w:val="22"/>
          <w:szCs w:val="22"/>
        </w:rPr>
        <w:t>Item 1</w:t>
      </w:r>
      <w:r w:rsidR="004334C2">
        <w:rPr>
          <w:b/>
          <w:sz w:val="22"/>
          <w:szCs w:val="22"/>
        </w:rPr>
        <w:t>2</w:t>
      </w:r>
      <w:r w:rsidR="00C85B79">
        <w:rPr>
          <w:b/>
          <w:sz w:val="22"/>
          <w:szCs w:val="22"/>
        </w:rPr>
        <w:tab/>
      </w:r>
      <w:r w:rsidRPr="00FE57C4">
        <w:rPr>
          <w:b/>
          <w:sz w:val="22"/>
          <w:szCs w:val="22"/>
        </w:rPr>
        <w:t xml:space="preserve">Schedule 1 </w:t>
      </w:r>
      <w:r w:rsidR="00C85B79">
        <w:rPr>
          <w:b/>
          <w:sz w:val="22"/>
          <w:szCs w:val="22"/>
        </w:rPr>
        <w:t>(</w:t>
      </w:r>
      <w:r w:rsidR="00370125" w:rsidRPr="00FE57C4">
        <w:rPr>
          <w:b/>
          <w:sz w:val="22"/>
          <w:szCs w:val="22"/>
        </w:rPr>
        <w:t xml:space="preserve">after </w:t>
      </w:r>
      <w:r w:rsidRPr="00FE57C4">
        <w:rPr>
          <w:b/>
          <w:sz w:val="22"/>
          <w:szCs w:val="22"/>
        </w:rPr>
        <w:t>table item 78</w:t>
      </w:r>
      <w:r w:rsidR="00C85B79">
        <w:rPr>
          <w:b/>
          <w:sz w:val="22"/>
          <w:szCs w:val="22"/>
        </w:rPr>
        <w:t>)</w:t>
      </w:r>
    </w:p>
    <w:p w14:paraId="5210C7E2" w14:textId="57C24C44" w:rsidR="00E462CF" w:rsidRPr="00FE57C4" w:rsidRDefault="00627553" w:rsidP="00E462CF">
      <w:pPr>
        <w:pStyle w:val="BodyText"/>
        <w:tabs>
          <w:tab w:val="left" w:pos="360"/>
        </w:tabs>
        <w:spacing w:before="120" w:line="260" w:lineRule="atLeast"/>
        <w:rPr>
          <w:sz w:val="22"/>
          <w:szCs w:val="22"/>
        </w:rPr>
      </w:pPr>
      <w:r w:rsidRPr="00FE57C4">
        <w:rPr>
          <w:sz w:val="22"/>
          <w:szCs w:val="22"/>
        </w:rPr>
        <w:t xml:space="preserve">A new item 78A is inserted in Schedule 1 to the LIPD Class Licence to authorise the use of </w:t>
      </w:r>
      <w:r w:rsidR="00125FFF" w:rsidRPr="00FE57C4">
        <w:rPr>
          <w:sz w:val="22"/>
          <w:szCs w:val="22"/>
        </w:rPr>
        <w:t>u</w:t>
      </w:r>
      <w:r w:rsidR="00A43DEF" w:rsidRPr="00FE57C4">
        <w:rPr>
          <w:sz w:val="22"/>
          <w:szCs w:val="22"/>
        </w:rPr>
        <w:t>ltra</w:t>
      </w:r>
      <w:r w:rsidR="00DB6F6B" w:rsidRPr="00FE57C4">
        <w:rPr>
          <w:sz w:val="22"/>
          <w:szCs w:val="22"/>
        </w:rPr>
        <w:t>-</w:t>
      </w:r>
      <w:r w:rsidR="00A43DEF" w:rsidRPr="00FE57C4">
        <w:rPr>
          <w:sz w:val="22"/>
          <w:szCs w:val="22"/>
        </w:rPr>
        <w:t xml:space="preserve">wideband </w:t>
      </w:r>
      <w:r w:rsidRPr="00FE57C4">
        <w:rPr>
          <w:sz w:val="22"/>
          <w:szCs w:val="22"/>
        </w:rPr>
        <w:t xml:space="preserve">transmitters </w:t>
      </w:r>
      <w:r w:rsidR="00A43DEF" w:rsidRPr="00FE57C4">
        <w:rPr>
          <w:sz w:val="22"/>
          <w:szCs w:val="22"/>
        </w:rPr>
        <w:t xml:space="preserve">onboard aircraft </w:t>
      </w:r>
      <w:r w:rsidRPr="00FE57C4">
        <w:rPr>
          <w:sz w:val="22"/>
          <w:szCs w:val="22"/>
        </w:rPr>
        <w:t xml:space="preserve">in the </w:t>
      </w:r>
      <w:r w:rsidR="00ED271F" w:rsidRPr="00FE57C4">
        <w:rPr>
          <w:sz w:val="22"/>
          <w:szCs w:val="22"/>
        </w:rPr>
        <w:t>6000-85</w:t>
      </w:r>
      <w:r w:rsidRPr="00FE57C4">
        <w:rPr>
          <w:sz w:val="22"/>
          <w:szCs w:val="22"/>
        </w:rPr>
        <w:t>00 MHz band.</w:t>
      </w:r>
      <w:r w:rsidR="00886D8D" w:rsidRPr="00FE57C4">
        <w:rPr>
          <w:sz w:val="22"/>
          <w:szCs w:val="22"/>
        </w:rPr>
        <w:t xml:space="preserve"> The use of these transmitters must </w:t>
      </w:r>
      <w:r w:rsidR="00C85B79">
        <w:rPr>
          <w:sz w:val="22"/>
          <w:szCs w:val="22"/>
        </w:rPr>
        <w:t>comply</w:t>
      </w:r>
      <w:r w:rsidR="00886D8D" w:rsidRPr="00FE57C4">
        <w:rPr>
          <w:sz w:val="22"/>
          <w:szCs w:val="22"/>
        </w:rPr>
        <w:t xml:space="preserve"> with Part 5 of the ETSI Standard EN 302 065. </w:t>
      </w:r>
      <w:r w:rsidR="009416F6" w:rsidRPr="00FE57C4">
        <w:rPr>
          <w:sz w:val="22"/>
          <w:szCs w:val="22"/>
        </w:rPr>
        <w:t xml:space="preserve">The </w:t>
      </w:r>
      <w:r w:rsidR="00125FFF" w:rsidRPr="00FE57C4">
        <w:rPr>
          <w:sz w:val="22"/>
          <w:szCs w:val="22"/>
        </w:rPr>
        <w:t xml:space="preserve">ETSI </w:t>
      </w:r>
      <w:r w:rsidR="009416F6" w:rsidRPr="00FE57C4">
        <w:rPr>
          <w:sz w:val="22"/>
          <w:szCs w:val="22"/>
        </w:rPr>
        <w:t>Standard limits the maximum</w:t>
      </w:r>
      <w:r w:rsidR="00F966FB" w:rsidRPr="00FE57C4">
        <w:rPr>
          <w:sz w:val="22"/>
          <w:szCs w:val="22"/>
        </w:rPr>
        <w:t xml:space="preserve"> mean power spectral density for th</w:t>
      </w:r>
      <w:r w:rsidR="00C2696D" w:rsidRPr="00FE57C4">
        <w:rPr>
          <w:sz w:val="22"/>
          <w:szCs w:val="22"/>
        </w:rPr>
        <w:t xml:space="preserve">e </w:t>
      </w:r>
      <w:r w:rsidR="00125FFF" w:rsidRPr="00FE57C4">
        <w:rPr>
          <w:sz w:val="22"/>
          <w:szCs w:val="22"/>
        </w:rPr>
        <w:t>u</w:t>
      </w:r>
      <w:r w:rsidR="00513725" w:rsidRPr="00FE57C4">
        <w:rPr>
          <w:sz w:val="22"/>
          <w:szCs w:val="22"/>
        </w:rPr>
        <w:t>ltra-wideband</w:t>
      </w:r>
      <w:r w:rsidR="00C2696D" w:rsidRPr="00FE57C4">
        <w:rPr>
          <w:sz w:val="22"/>
          <w:szCs w:val="22"/>
        </w:rPr>
        <w:t xml:space="preserve"> </w:t>
      </w:r>
      <w:r w:rsidR="00E824AD" w:rsidRPr="00FE57C4">
        <w:rPr>
          <w:sz w:val="22"/>
          <w:szCs w:val="22"/>
        </w:rPr>
        <w:t xml:space="preserve">transmitters </w:t>
      </w:r>
      <w:r w:rsidR="00C2696D" w:rsidRPr="00FE57C4">
        <w:rPr>
          <w:sz w:val="22"/>
          <w:szCs w:val="22"/>
        </w:rPr>
        <w:t>operating onboard airc</w:t>
      </w:r>
      <w:r w:rsidR="00ED3F88" w:rsidRPr="00FE57C4">
        <w:rPr>
          <w:sz w:val="22"/>
          <w:szCs w:val="22"/>
        </w:rPr>
        <w:t>raft.</w:t>
      </w:r>
      <w:r w:rsidR="00174192" w:rsidRPr="00FE57C4">
        <w:rPr>
          <w:sz w:val="22"/>
          <w:szCs w:val="22"/>
        </w:rPr>
        <w:t xml:space="preserve"> The item authori</w:t>
      </w:r>
      <w:r w:rsidR="001D3D6F">
        <w:rPr>
          <w:sz w:val="22"/>
          <w:szCs w:val="22"/>
        </w:rPr>
        <w:t>s</w:t>
      </w:r>
      <w:r w:rsidR="00174192" w:rsidRPr="00FE57C4">
        <w:rPr>
          <w:sz w:val="22"/>
          <w:szCs w:val="22"/>
        </w:rPr>
        <w:t>es radio-links for intra-aircraft communications purposes inside an airc</w:t>
      </w:r>
      <w:r w:rsidR="00860E27" w:rsidRPr="00FE57C4">
        <w:rPr>
          <w:sz w:val="22"/>
          <w:szCs w:val="22"/>
        </w:rPr>
        <w:t xml:space="preserve">raft. </w:t>
      </w:r>
    </w:p>
    <w:p w14:paraId="5456733C" w14:textId="53F4B334" w:rsidR="0094268B" w:rsidRPr="00FE57C4" w:rsidRDefault="0094268B" w:rsidP="000767FA">
      <w:pPr>
        <w:keepNext/>
        <w:spacing w:before="120" w:after="120" w:line="260" w:lineRule="atLeast"/>
        <w:ind w:left="1440" w:hanging="1440"/>
        <w:rPr>
          <w:sz w:val="22"/>
          <w:szCs w:val="22"/>
        </w:rPr>
      </w:pPr>
      <w:r w:rsidRPr="00FE57C4">
        <w:rPr>
          <w:b/>
          <w:sz w:val="22"/>
          <w:szCs w:val="22"/>
        </w:rPr>
        <w:t xml:space="preserve">Item </w:t>
      </w:r>
      <w:r w:rsidR="00E462CF" w:rsidRPr="00FE57C4">
        <w:rPr>
          <w:b/>
          <w:sz w:val="22"/>
          <w:szCs w:val="22"/>
        </w:rPr>
        <w:t>1</w:t>
      </w:r>
      <w:r w:rsidR="004334C2">
        <w:rPr>
          <w:b/>
          <w:sz w:val="22"/>
          <w:szCs w:val="22"/>
        </w:rPr>
        <w:t>3</w:t>
      </w:r>
      <w:r w:rsidR="001D3D6F">
        <w:rPr>
          <w:b/>
          <w:sz w:val="22"/>
          <w:szCs w:val="22"/>
        </w:rPr>
        <w:tab/>
      </w:r>
      <w:r w:rsidRPr="00FE57C4">
        <w:rPr>
          <w:b/>
          <w:sz w:val="22"/>
          <w:szCs w:val="22"/>
        </w:rPr>
        <w:t xml:space="preserve">Schedule 1, </w:t>
      </w:r>
      <w:r w:rsidR="001D3D6F">
        <w:rPr>
          <w:b/>
          <w:sz w:val="22"/>
          <w:szCs w:val="22"/>
        </w:rPr>
        <w:t>after note 3</w:t>
      </w:r>
    </w:p>
    <w:p w14:paraId="0116CE20" w14:textId="77777777" w:rsidR="00995874" w:rsidRPr="00FE57C4" w:rsidRDefault="005131BF" w:rsidP="00302DBB">
      <w:pPr>
        <w:pStyle w:val="BodyText"/>
        <w:tabs>
          <w:tab w:val="left" w:pos="360"/>
        </w:tabs>
        <w:spacing w:before="120" w:line="260" w:lineRule="atLeast"/>
        <w:rPr>
          <w:sz w:val="22"/>
          <w:szCs w:val="22"/>
        </w:rPr>
      </w:pPr>
      <w:r w:rsidRPr="00FE57C4">
        <w:rPr>
          <w:sz w:val="22"/>
          <w:szCs w:val="22"/>
        </w:rPr>
        <w:t>This item</w:t>
      </w:r>
      <w:r w:rsidR="0094268B" w:rsidRPr="00FE57C4">
        <w:rPr>
          <w:sz w:val="22"/>
          <w:szCs w:val="22"/>
        </w:rPr>
        <w:t xml:space="preserve"> </w:t>
      </w:r>
      <w:r w:rsidR="00812301" w:rsidRPr="00FE57C4">
        <w:rPr>
          <w:sz w:val="22"/>
          <w:szCs w:val="22"/>
        </w:rPr>
        <w:t xml:space="preserve">inserts </w:t>
      </w:r>
      <w:r w:rsidR="00256B74" w:rsidRPr="00FE57C4">
        <w:rPr>
          <w:sz w:val="22"/>
          <w:szCs w:val="22"/>
        </w:rPr>
        <w:t xml:space="preserve">Note </w:t>
      </w:r>
      <w:r w:rsidR="00995874" w:rsidRPr="00FE57C4">
        <w:rPr>
          <w:sz w:val="22"/>
          <w:szCs w:val="22"/>
        </w:rPr>
        <w:t>4 and Note 5</w:t>
      </w:r>
      <w:r w:rsidR="00256B74" w:rsidRPr="00FE57C4">
        <w:rPr>
          <w:sz w:val="22"/>
          <w:szCs w:val="22"/>
        </w:rPr>
        <w:t xml:space="preserve"> into</w:t>
      </w:r>
      <w:r w:rsidR="00812301" w:rsidRPr="00FE57C4">
        <w:rPr>
          <w:sz w:val="22"/>
          <w:szCs w:val="22"/>
        </w:rPr>
        <w:t xml:space="preserve"> Schedule 1</w:t>
      </w:r>
      <w:r w:rsidR="00256B74" w:rsidRPr="00FE57C4">
        <w:rPr>
          <w:sz w:val="22"/>
          <w:szCs w:val="22"/>
        </w:rPr>
        <w:t xml:space="preserve">. </w:t>
      </w:r>
    </w:p>
    <w:p w14:paraId="2EFB2706" w14:textId="3B3C207B" w:rsidR="00841B7C" w:rsidRPr="00FE57C4" w:rsidRDefault="00995874" w:rsidP="00302DBB">
      <w:pPr>
        <w:pStyle w:val="BodyText"/>
        <w:tabs>
          <w:tab w:val="left" w:pos="360"/>
        </w:tabs>
        <w:spacing w:before="120" w:line="260" w:lineRule="atLeast"/>
        <w:rPr>
          <w:sz w:val="22"/>
          <w:szCs w:val="22"/>
        </w:rPr>
      </w:pPr>
      <w:r w:rsidRPr="00FE57C4">
        <w:rPr>
          <w:sz w:val="22"/>
          <w:szCs w:val="22"/>
        </w:rPr>
        <w:t>Note 4</w:t>
      </w:r>
      <w:r w:rsidR="00833F28" w:rsidRPr="00FE57C4">
        <w:rPr>
          <w:sz w:val="22"/>
          <w:szCs w:val="22"/>
        </w:rPr>
        <w:t xml:space="preserve"> </w:t>
      </w:r>
      <w:r w:rsidR="00691F21">
        <w:rPr>
          <w:sz w:val="22"/>
          <w:szCs w:val="22"/>
        </w:rPr>
        <w:t xml:space="preserve">states that </w:t>
      </w:r>
      <w:r w:rsidR="00691F21" w:rsidRPr="00FE57C4">
        <w:rPr>
          <w:sz w:val="22"/>
          <w:szCs w:val="22"/>
        </w:rPr>
        <w:t>ETSI Guide EG 202 730</w:t>
      </w:r>
      <w:r w:rsidR="00691F21">
        <w:rPr>
          <w:sz w:val="22"/>
          <w:szCs w:val="22"/>
        </w:rPr>
        <w:t xml:space="preserve"> </w:t>
      </w:r>
      <w:r w:rsidR="000C6593" w:rsidRPr="00FE57C4">
        <w:rPr>
          <w:sz w:val="22"/>
          <w:szCs w:val="22"/>
        </w:rPr>
        <w:t>provides</w:t>
      </w:r>
      <w:r w:rsidR="00456FEB" w:rsidRPr="00FE57C4">
        <w:rPr>
          <w:sz w:val="22"/>
          <w:szCs w:val="22"/>
        </w:rPr>
        <w:t xml:space="preserve"> advice </w:t>
      </w:r>
      <w:r w:rsidR="00691F21">
        <w:rPr>
          <w:sz w:val="22"/>
          <w:szCs w:val="22"/>
        </w:rPr>
        <w:t>on</w:t>
      </w:r>
      <w:r w:rsidR="00456FEB" w:rsidRPr="00FE57C4">
        <w:rPr>
          <w:sz w:val="22"/>
          <w:szCs w:val="22"/>
        </w:rPr>
        <w:t xml:space="preserve"> </w:t>
      </w:r>
      <w:r w:rsidR="00156016" w:rsidRPr="00FE57C4">
        <w:rPr>
          <w:sz w:val="22"/>
          <w:szCs w:val="22"/>
        </w:rPr>
        <w:t xml:space="preserve">the control, use and application of  </w:t>
      </w:r>
      <w:r w:rsidR="00691F21">
        <w:rPr>
          <w:sz w:val="22"/>
          <w:szCs w:val="22"/>
        </w:rPr>
        <w:t>GPR/WPR systems</w:t>
      </w:r>
      <w:r w:rsidR="00103757" w:rsidRPr="00FE57C4">
        <w:rPr>
          <w:sz w:val="22"/>
          <w:szCs w:val="22"/>
        </w:rPr>
        <w:t>.</w:t>
      </w:r>
    </w:p>
    <w:p w14:paraId="3FC26C62" w14:textId="2510D689" w:rsidR="0002533F" w:rsidRPr="00FE57C4" w:rsidRDefault="00833F28" w:rsidP="00302DBB">
      <w:pPr>
        <w:pStyle w:val="BodyText"/>
        <w:tabs>
          <w:tab w:val="left" w:pos="360"/>
        </w:tabs>
        <w:spacing w:before="120" w:line="260" w:lineRule="atLeast"/>
        <w:rPr>
          <w:sz w:val="22"/>
          <w:szCs w:val="22"/>
        </w:rPr>
      </w:pPr>
      <w:r w:rsidRPr="00FE57C4">
        <w:rPr>
          <w:sz w:val="22"/>
          <w:szCs w:val="22"/>
        </w:rPr>
        <w:t>Note 5</w:t>
      </w:r>
      <w:r w:rsidR="00256B74" w:rsidRPr="00FE57C4">
        <w:rPr>
          <w:sz w:val="22"/>
          <w:szCs w:val="22"/>
        </w:rPr>
        <w:t xml:space="preserve"> </w:t>
      </w:r>
      <w:r w:rsidR="006D677C" w:rsidRPr="00FE57C4">
        <w:rPr>
          <w:sz w:val="22"/>
          <w:szCs w:val="22"/>
        </w:rPr>
        <w:t>states</w:t>
      </w:r>
      <w:r w:rsidR="00256B74" w:rsidRPr="00FE57C4">
        <w:rPr>
          <w:sz w:val="22"/>
          <w:szCs w:val="22"/>
        </w:rPr>
        <w:t xml:space="preserve"> that </w:t>
      </w:r>
      <w:r w:rsidR="00E824AD" w:rsidRPr="00FE57C4">
        <w:rPr>
          <w:sz w:val="22"/>
          <w:szCs w:val="22"/>
        </w:rPr>
        <w:t>u</w:t>
      </w:r>
      <w:r w:rsidR="00513725" w:rsidRPr="00FE57C4">
        <w:rPr>
          <w:sz w:val="22"/>
          <w:szCs w:val="22"/>
        </w:rPr>
        <w:t>ltra-wideband</w:t>
      </w:r>
      <w:r w:rsidR="002511D8" w:rsidRPr="00FE57C4">
        <w:rPr>
          <w:sz w:val="22"/>
          <w:szCs w:val="22"/>
        </w:rPr>
        <w:t xml:space="preserve"> sensors used in </w:t>
      </w:r>
      <w:r w:rsidR="00BB0319" w:rsidRPr="00FE57C4">
        <w:rPr>
          <w:sz w:val="22"/>
          <w:szCs w:val="22"/>
        </w:rPr>
        <w:t xml:space="preserve">crop harvesting where </w:t>
      </w:r>
      <w:r w:rsidR="00B13AF1" w:rsidRPr="00FE57C4">
        <w:rPr>
          <w:sz w:val="22"/>
          <w:szCs w:val="22"/>
        </w:rPr>
        <w:t xml:space="preserve">the </w:t>
      </w:r>
      <w:r w:rsidR="0017799C" w:rsidRPr="00FE57C4">
        <w:rPr>
          <w:sz w:val="22"/>
          <w:szCs w:val="22"/>
        </w:rPr>
        <w:t>sensor</w:t>
      </w:r>
      <w:r w:rsidR="00B13AF1" w:rsidRPr="00FE57C4">
        <w:rPr>
          <w:sz w:val="22"/>
          <w:szCs w:val="22"/>
        </w:rPr>
        <w:t xml:space="preserve"> is no more than 1 metre above </w:t>
      </w:r>
      <w:r w:rsidR="00A61935" w:rsidRPr="00FE57C4">
        <w:rPr>
          <w:sz w:val="22"/>
          <w:szCs w:val="22"/>
        </w:rPr>
        <w:t>the crop height and 3.7 metr</w:t>
      </w:r>
      <w:r w:rsidR="00DB49D3">
        <w:rPr>
          <w:sz w:val="22"/>
          <w:szCs w:val="22"/>
        </w:rPr>
        <w:t>e</w:t>
      </w:r>
      <w:r w:rsidR="00A61935" w:rsidRPr="00FE57C4">
        <w:rPr>
          <w:sz w:val="22"/>
          <w:szCs w:val="22"/>
        </w:rPr>
        <w:t xml:space="preserve">s above the ground will meet the </w:t>
      </w:r>
      <w:r w:rsidR="00A50CC8" w:rsidRPr="00FE57C4">
        <w:rPr>
          <w:sz w:val="22"/>
          <w:szCs w:val="22"/>
        </w:rPr>
        <w:t>requirement</w:t>
      </w:r>
      <w:r w:rsidR="00DB49D3">
        <w:rPr>
          <w:sz w:val="22"/>
          <w:szCs w:val="22"/>
        </w:rPr>
        <w:t xml:space="preserve"> to comply with FCC</w:t>
      </w:r>
      <w:r w:rsidR="000977A1">
        <w:rPr>
          <w:sz w:val="22"/>
          <w:szCs w:val="22"/>
        </w:rPr>
        <w:t xml:space="preserve"> Rules Title 47 Part 15 Section 509</w:t>
      </w:r>
      <w:r w:rsidR="00A50CC8" w:rsidRPr="00FE57C4">
        <w:rPr>
          <w:sz w:val="22"/>
          <w:szCs w:val="22"/>
        </w:rPr>
        <w:t>.</w:t>
      </w:r>
    </w:p>
    <w:p w14:paraId="72A990D5" w14:textId="120306BC" w:rsidR="00EF7A73" w:rsidRPr="00FE57C4" w:rsidRDefault="00EF7A73" w:rsidP="000767FA">
      <w:pPr>
        <w:keepNext/>
        <w:spacing w:before="120" w:after="120" w:line="260" w:lineRule="atLeast"/>
        <w:ind w:left="1440" w:hanging="1440"/>
        <w:rPr>
          <w:b/>
          <w:sz w:val="22"/>
          <w:szCs w:val="22"/>
        </w:rPr>
      </w:pPr>
      <w:r w:rsidRPr="00FE57C4">
        <w:rPr>
          <w:b/>
          <w:sz w:val="22"/>
          <w:szCs w:val="22"/>
        </w:rPr>
        <w:lastRenderedPageBreak/>
        <w:t xml:space="preserve">Item </w:t>
      </w:r>
      <w:r w:rsidR="006407E0" w:rsidRPr="00FE57C4">
        <w:rPr>
          <w:b/>
          <w:sz w:val="22"/>
          <w:szCs w:val="22"/>
        </w:rPr>
        <w:t>1</w:t>
      </w:r>
      <w:r w:rsidR="004334C2">
        <w:rPr>
          <w:b/>
          <w:sz w:val="22"/>
          <w:szCs w:val="22"/>
        </w:rPr>
        <w:t>4</w:t>
      </w:r>
      <w:r w:rsidR="00691F21">
        <w:rPr>
          <w:b/>
          <w:sz w:val="22"/>
          <w:szCs w:val="22"/>
        </w:rPr>
        <w:tab/>
      </w:r>
      <w:r w:rsidRPr="00FE57C4">
        <w:rPr>
          <w:b/>
          <w:sz w:val="22"/>
          <w:szCs w:val="22"/>
        </w:rPr>
        <w:t xml:space="preserve">Schedule 2 </w:t>
      </w:r>
      <w:r w:rsidR="00691F21">
        <w:rPr>
          <w:b/>
          <w:sz w:val="22"/>
          <w:szCs w:val="22"/>
        </w:rPr>
        <w:t>(</w:t>
      </w:r>
      <w:r w:rsidR="009878FA" w:rsidRPr="00FE57C4">
        <w:rPr>
          <w:b/>
          <w:sz w:val="22"/>
          <w:szCs w:val="22"/>
        </w:rPr>
        <w:t xml:space="preserve">after table </w:t>
      </w:r>
      <w:r w:rsidR="006D677C" w:rsidRPr="00FE57C4">
        <w:rPr>
          <w:b/>
          <w:sz w:val="22"/>
          <w:szCs w:val="22"/>
        </w:rPr>
        <w:t>i</w:t>
      </w:r>
      <w:r w:rsidRPr="00FE57C4">
        <w:rPr>
          <w:b/>
          <w:sz w:val="22"/>
          <w:szCs w:val="22"/>
        </w:rPr>
        <w:t xml:space="preserve">tem </w:t>
      </w:r>
      <w:r w:rsidR="00712F19" w:rsidRPr="00FE57C4">
        <w:rPr>
          <w:b/>
          <w:sz w:val="22"/>
          <w:szCs w:val="22"/>
        </w:rPr>
        <w:t>7</w:t>
      </w:r>
      <w:r w:rsidR="00691F21">
        <w:rPr>
          <w:b/>
          <w:sz w:val="22"/>
          <w:szCs w:val="22"/>
        </w:rPr>
        <w:t>)</w:t>
      </w:r>
    </w:p>
    <w:p w14:paraId="460D6DC8" w14:textId="3D142D7C" w:rsidR="007420DE" w:rsidRPr="00FE57C4" w:rsidRDefault="007420DE" w:rsidP="007420DE">
      <w:pPr>
        <w:pStyle w:val="BodyText"/>
        <w:keepNext/>
        <w:keepLines/>
        <w:tabs>
          <w:tab w:val="left" w:pos="360"/>
        </w:tabs>
        <w:spacing w:before="120" w:line="260" w:lineRule="atLeast"/>
        <w:rPr>
          <w:sz w:val="22"/>
          <w:szCs w:val="22"/>
        </w:rPr>
      </w:pPr>
      <w:r w:rsidRPr="00FE57C4">
        <w:rPr>
          <w:sz w:val="22"/>
          <w:szCs w:val="22"/>
        </w:rPr>
        <w:t xml:space="preserve">This item inserts two new </w:t>
      </w:r>
      <w:r w:rsidR="00691F21">
        <w:rPr>
          <w:sz w:val="22"/>
          <w:szCs w:val="22"/>
        </w:rPr>
        <w:t>entries</w:t>
      </w:r>
      <w:r w:rsidRPr="00FE57C4">
        <w:rPr>
          <w:sz w:val="22"/>
          <w:szCs w:val="22"/>
        </w:rPr>
        <w:t xml:space="preserve"> in the table titled </w:t>
      </w:r>
      <w:r w:rsidR="00E824AD" w:rsidRPr="00FE57C4">
        <w:rPr>
          <w:sz w:val="22"/>
          <w:szCs w:val="22"/>
        </w:rPr>
        <w:t>’</w:t>
      </w:r>
      <w:r w:rsidRPr="00FE57C4">
        <w:rPr>
          <w:sz w:val="22"/>
          <w:szCs w:val="22"/>
        </w:rPr>
        <w:t>Instruments that apply to a transmitter</w:t>
      </w:r>
      <w:r w:rsidR="00E824AD" w:rsidRPr="00FE57C4">
        <w:rPr>
          <w:sz w:val="22"/>
          <w:szCs w:val="22"/>
        </w:rPr>
        <w:t>’</w:t>
      </w:r>
      <w:r w:rsidRPr="00FE57C4" w:rsidDel="00597378">
        <w:rPr>
          <w:sz w:val="22"/>
          <w:szCs w:val="22"/>
        </w:rPr>
        <w:t xml:space="preserve"> </w:t>
      </w:r>
      <w:r w:rsidRPr="00FE57C4">
        <w:rPr>
          <w:sz w:val="22"/>
          <w:szCs w:val="22"/>
        </w:rPr>
        <w:t xml:space="preserve">in Schedule 2 to the LIPD Class Licence, in relation to </w:t>
      </w:r>
      <w:r w:rsidR="00284CEA" w:rsidRPr="00FE57C4">
        <w:rPr>
          <w:sz w:val="22"/>
          <w:szCs w:val="22"/>
        </w:rPr>
        <w:t xml:space="preserve">radiodetermination </w:t>
      </w:r>
      <w:r w:rsidR="009F6385" w:rsidRPr="00FE57C4">
        <w:rPr>
          <w:sz w:val="22"/>
          <w:szCs w:val="22"/>
        </w:rPr>
        <w:t>transmitter</w:t>
      </w:r>
      <w:r w:rsidR="005A2130" w:rsidRPr="00FE57C4">
        <w:rPr>
          <w:sz w:val="22"/>
          <w:szCs w:val="22"/>
        </w:rPr>
        <w:t>s</w:t>
      </w:r>
      <w:r w:rsidR="009F6385" w:rsidRPr="00FE57C4">
        <w:rPr>
          <w:sz w:val="22"/>
          <w:szCs w:val="22"/>
        </w:rPr>
        <w:t xml:space="preserve"> in </w:t>
      </w:r>
      <w:r w:rsidR="00BA2943">
        <w:rPr>
          <w:sz w:val="22"/>
          <w:szCs w:val="22"/>
        </w:rPr>
        <w:t xml:space="preserve">the </w:t>
      </w:r>
      <w:r w:rsidR="009F6385" w:rsidRPr="00FE57C4">
        <w:rPr>
          <w:sz w:val="22"/>
          <w:szCs w:val="22"/>
        </w:rPr>
        <w:t>76000-77000 M</w:t>
      </w:r>
      <w:r w:rsidR="001C4C01" w:rsidRPr="00FE57C4">
        <w:rPr>
          <w:sz w:val="22"/>
          <w:szCs w:val="22"/>
        </w:rPr>
        <w:t>Hz</w:t>
      </w:r>
      <w:r w:rsidR="00BA2943">
        <w:rPr>
          <w:sz w:val="22"/>
          <w:szCs w:val="22"/>
        </w:rPr>
        <w:t xml:space="preserve"> band</w:t>
      </w:r>
      <w:r w:rsidR="001C4C01" w:rsidRPr="00FE57C4">
        <w:rPr>
          <w:sz w:val="22"/>
          <w:szCs w:val="22"/>
        </w:rPr>
        <w:t xml:space="preserve">. </w:t>
      </w:r>
    </w:p>
    <w:p w14:paraId="0C396D4C" w14:textId="18530D32" w:rsidR="007420DE" w:rsidRPr="00FE57C4" w:rsidRDefault="007420DE" w:rsidP="007420DE">
      <w:pPr>
        <w:pStyle w:val="BodyText"/>
        <w:keepNext/>
        <w:keepLines/>
        <w:tabs>
          <w:tab w:val="left" w:pos="360"/>
        </w:tabs>
        <w:spacing w:before="120" w:line="260" w:lineRule="atLeast"/>
        <w:rPr>
          <w:i/>
          <w:sz w:val="22"/>
          <w:szCs w:val="22"/>
        </w:rPr>
      </w:pPr>
      <w:r w:rsidRPr="00FE57C4">
        <w:rPr>
          <w:sz w:val="22"/>
          <w:szCs w:val="22"/>
        </w:rPr>
        <w:t xml:space="preserve">The first new entry lists the </w:t>
      </w:r>
      <w:bookmarkStart w:id="2" w:name="_Hlk10721513"/>
      <w:r w:rsidRPr="00FE57C4">
        <w:rPr>
          <w:sz w:val="22"/>
          <w:szCs w:val="22"/>
        </w:rPr>
        <w:t xml:space="preserve">ETSI Standard EN </w:t>
      </w:r>
      <w:r w:rsidR="00F7227D" w:rsidRPr="00FE57C4">
        <w:rPr>
          <w:sz w:val="22"/>
          <w:szCs w:val="22"/>
        </w:rPr>
        <w:t>301 091-2</w:t>
      </w:r>
      <w:r w:rsidRPr="00FE57C4">
        <w:rPr>
          <w:sz w:val="22"/>
          <w:szCs w:val="22"/>
        </w:rPr>
        <w:t>:</w:t>
      </w:r>
      <w:bookmarkEnd w:id="2"/>
      <w:r w:rsidRPr="00FE57C4">
        <w:rPr>
          <w:sz w:val="22"/>
          <w:szCs w:val="22"/>
        </w:rPr>
        <w:t xml:space="preserve"> </w:t>
      </w:r>
      <w:r w:rsidR="00F7227D" w:rsidRPr="00FE57C4">
        <w:rPr>
          <w:i/>
          <w:sz w:val="22"/>
          <w:szCs w:val="22"/>
        </w:rPr>
        <w:t>Short Range Devices; Transport and Traffic Telematics (TTT); Radar equipment operating in the 76 GHz to 77 GHz range; Harmonised Standard covering the essential requirements of article 3.2 of Directive 2014/53/EU; Part 2: Fixed infrastructure radar equipment</w:t>
      </w:r>
      <w:r w:rsidR="005A2130" w:rsidRPr="00FE57C4">
        <w:rPr>
          <w:i/>
          <w:sz w:val="22"/>
          <w:szCs w:val="22"/>
        </w:rPr>
        <w:t>.</w:t>
      </w:r>
    </w:p>
    <w:p w14:paraId="0CAF3C3E" w14:textId="67A450EF" w:rsidR="007878C6" w:rsidRPr="00FE57C4" w:rsidRDefault="007420DE" w:rsidP="007878C6">
      <w:pPr>
        <w:pStyle w:val="BodyText"/>
        <w:keepNext/>
        <w:keepLines/>
        <w:tabs>
          <w:tab w:val="left" w:pos="360"/>
        </w:tabs>
        <w:spacing w:before="120" w:line="260" w:lineRule="atLeast"/>
        <w:rPr>
          <w:i/>
          <w:sz w:val="22"/>
          <w:szCs w:val="22"/>
        </w:rPr>
      </w:pPr>
      <w:r w:rsidRPr="00FE57C4">
        <w:rPr>
          <w:sz w:val="22"/>
          <w:szCs w:val="22"/>
        </w:rPr>
        <w:t xml:space="preserve">The second new entry lists the </w:t>
      </w:r>
      <w:r w:rsidR="00F7227D" w:rsidRPr="00FE57C4">
        <w:rPr>
          <w:sz w:val="22"/>
          <w:szCs w:val="22"/>
        </w:rPr>
        <w:t>ETSI Standard EN 301 091-3:</w:t>
      </w:r>
      <w:r w:rsidRPr="00FE57C4">
        <w:rPr>
          <w:sz w:val="22"/>
          <w:szCs w:val="22"/>
        </w:rPr>
        <w:t xml:space="preserve"> </w:t>
      </w:r>
      <w:r w:rsidR="007878C6" w:rsidRPr="00FE57C4">
        <w:rPr>
          <w:i/>
          <w:sz w:val="22"/>
          <w:szCs w:val="22"/>
        </w:rPr>
        <w:t>Short Range Devices; Transport and Traffic Telematics (TTT); Radar equipment operating in the 76 GHz to 77 GHz range; Harmonised Standard covering the essential requirements of article 3.2 of Directive 2014/53/EU; Part 3: Railway/Road Crossings obstacle detection system applications</w:t>
      </w:r>
      <w:r w:rsidR="005A2130" w:rsidRPr="00FE57C4">
        <w:rPr>
          <w:i/>
          <w:sz w:val="22"/>
          <w:szCs w:val="22"/>
        </w:rPr>
        <w:t>.</w:t>
      </w:r>
    </w:p>
    <w:p w14:paraId="4795853E" w14:textId="19262048" w:rsidR="000A1D98" w:rsidRPr="00FE57C4" w:rsidRDefault="000A1D98" w:rsidP="000767FA">
      <w:pPr>
        <w:keepNext/>
        <w:spacing w:before="120" w:after="120" w:line="260" w:lineRule="atLeast"/>
        <w:ind w:left="1440" w:hanging="1440"/>
        <w:rPr>
          <w:b/>
          <w:sz w:val="22"/>
          <w:szCs w:val="22"/>
        </w:rPr>
      </w:pPr>
      <w:r w:rsidRPr="00FE57C4">
        <w:rPr>
          <w:b/>
          <w:sz w:val="22"/>
          <w:szCs w:val="22"/>
        </w:rPr>
        <w:t xml:space="preserve">Item </w:t>
      </w:r>
      <w:r w:rsidR="006407E0" w:rsidRPr="00FE57C4">
        <w:rPr>
          <w:b/>
          <w:sz w:val="22"/>
          <w:szCs w:val="22"/>
        </w:rPr>
        <w:t>1</w:t>
      </w:r>
      <w:r w:rsidR="004334C2">
        <w:rPr>
          <w:b/>
          <w:sz w:val="22"/>
          <w:szCs w:val="22"/>
        </w:rPr>
        <w:t>5</w:t>
      </w:r>
      <w:r w:rsidR="00461997">
        <w:rPr>
          <w:b/>
          <w:sz w:val="22"/>
          <w:szCs w:val="22"/>
        </w:rPr>
        <w:tab/>
      </w:r>
      <w:r w:rsidRPr="00FE57C4">
        <w:rPr>
          <w:b/>
          <w:sz w:val="22"/>
          <w:szCs w:val="22"/>
        </w:rPr>
        <w:t xml:space="preserve">Schedule 2 </w:t>
      </w:r>
      <w:r w:rsidR="00461997">
        <w:rPr>
          <w:b/>
          <w:sz w:val="22"/>
          <w:szCs w:val="22"/>
        </w:rPr>
        <w:t>(</w:t>
      </w:r>
      <w:r w:rsidR="007878C6" w:rsidRPr="00FE57C4">
        <w:rPr>
          <w:b/>
          <w:sz w:val="22"/>
          <w:szCs w:val="22"/>
        </w:rPr>
        <w:t xml:space="preserve">after table </w:t>
      </w:r>
      <w:r w:rsidR="006D677C" w:rsidRPr="00FE57C4">
        <w:rPr>
          <w:b/>
          <w:sz w:val="22"/>
          <w:szCs w:val="22"/>
        </w:rPr>
        <w:t>i</w:t>
      </w:r>
      <w:r w:rsidRPr="00FE57C4">
        <w:rPr>
          <w:b/>
          <w:sz w:val="22"/>
          <w:szCs w:val="22"/>
        </w:rPr>
        <w:t xml:space="preserve">tem </w:t>
      </w:r>
      <w:r w:rsidR="007878C6" w:rsidRPr="00FE57C4">
        <w:rPr>
          <w:b/>
          <w:sz w:val="22"/>
          <w:szCs w:val="22"/>
        </w:rPr>
        <w:t>9</w:t>
      </w:r>
      <w:r w:rsidR="00461997">
        <w:rPr>
          <w:b/>
          <w:sz w:val="22"/>
          <w:szCs w:val="22"/>
        </w:rPr>
        <w:t>)</w:t>
      </w:r>
    </w:p>
    <w:p w14:paraId="4DEDAFF1" w14:textId="4E5A51B6" w:rsidR="00C7068C" w:rsidRPr="00FE57C4" w:rsidRDefault="00C7068C" w:rsidP="00C7068C">
      <w:pPr>
        <w:pStyle w:val="BodyText"/>
        <w:tabs>
          <w:tab w:val="left" w:pos="360"/>
        </w:tabs>
        <w:spacing w:before="120" w:line="260" w:lineRule="atLeast"/>
        <w:rPr>
          <w:sz w:val="22"/>
          <w:szCs w:val="22"/>
        </w:rPr>
      </w:pPr>
      <w:r w:rsidRPr="00FE57C4">
        <w:rPr>
          <w:sz w:val="22"/>
          <w:szCs w:val="22"/>
        </w:rPr>
        <w:t xml:space="preserve">This item inserts two new </w:t>
      </w:r>
      <w:r w:rsidR="0038734A">
        <w:rPr>
          <w:sz w:val="22"/>
          <w:szCs w:val="22"/>
        </w:rPr>
        <w:t>entries</w:t>
      </w:r>
      <w:r w:rsidRPr="00FE57C4">
        <w:rPr>
          <w:sz w:val="22"/>
          <w:szCs w:val="22"/>
        </w:rPr>
        <w:t xml:space="preserve"> in the table titled “Instruments that apply to a transmitter” in Schedule 2 to the LIPD Class Licence, in relation to radiodetermination transmitter</w:t>
      </w:r>
      <w:r w:rsidR="00BA2943">
        <w:rPr>
          <w:sz w:val="22"/>
          <w:szCs w:val="22"/>
        </w:rPr>
        <w:t>s</w:t>
      </w:r>
      <w:r w:rsidRPr="00FE57C4">
        <w:rPr>
          <w:sz w:val="22"/>
          <w:szCs w:val="22"/>
        </w:rPr>
        <w:t xml:space="preserve"> in </w:t>
      </w:r>
      <w:r w:rsidR="00BA2943">
        <w:rPr>
          <w:sz w:val="22"/>
          <w:szCs w:val="22"/>
        </w:rPr>
        <w:t xml:space="preserve">the </w:t>
      </w:r>
      <w:r w:rsidR="00615493" w:rsidRPr="00FE57C4">
        <w:rPr>
          <w:sz w:val="22"/>
          <w:szCs w:val="22"/>
        </w:rPr>
        <w:t>30-12400</w:t>
      </w:r>
      <w:r w:rsidRPr="00FE57C4">
        <w:rPr>
          <w:sz w:val="22"/>
          <w:szCs w:val="22"/>
        </w:rPr>
        <w:t xml:space="preserve"> MHz</w:t>
      </w:r>
      <w:r w:rsidR="00BA2943">
        <w:rPr>
          <w:sz w:val="22"/>
          <w:szCs w:val="22"/>
        </w:rPr>
        <w:t xml:space="preserve"> band</w:t>
      </w:r>
      <w:r w:rsidRPr="00FE57C4">
        <w:rPr>
          <w:sz w:val="22"/>
          <w:szCs w:val="22"/>
        </w:rPr>
        <w:t xml:space="preserve">.  </w:t>
      </w:r>
    </w:p>
    <w:p w14:paraId="1A75D66C" w14:textId="445FCCC9" w:rsidR="00EB1156" w:rsidRPr="00BE3AD2" w:rsidRDefault="00C7068C" w:rsidP="00C7068C">
      <w:pPr>
        <w:pStyle w:val="BodyText"/>
        <w:tabs>
          <w:tab w:val="left" w:pos="360"/>
        </w:tabs>
        <w:spacing w:before="120" w:line="260" w:lineRule="atLeast"/>
        <w:rPr>
          <w:iCs/>
          <w:sz w:val="22"/>
          <w:szCs w:val="22"/>
        </w:rPr>
      </w:pPr>
      <w:r w:rsidRPr="00FE57C4">
        <w:rPr>
          <w:sz w:val="22"/>
          <w:szCs w:val="22"/>
        </w:rPr>
        <w:t xml:space="preserve">The first new entry lists the ETSI Standard EN </w:t>
      </w:r>
      <w:r w:rsidR="00F212EF" w:rsidRPr="00FE57C4">
        <w:rPr>
          <w:sz w:val="22"/>
          <w:szCs w:val="22"/>
        </w:rPr>
        <w:t>302 066</w:t>
      </w:r>
      <w:r w:rsidRPr="00FE57C4">
        <w:rPr>
          <w:sz w:val="22"/>
          <w:szCs w:val="22"/>
        </w:rPr>
        <w:t xml:space="preserve">: </w:t>
      </w:r>
      <w:r w:rsidR="00EB1156" w:rsidRPr="00FE57C4">
        <w:rPr>
          <w:i/>
          <w:sz w:val="22"/>
          <w:szCs w:val="22"/>
        </w:rPr>
        <w:t>Short Range Devices (SRD); Ground- and Wall- Probing Radio determination (GPR/WPR) devices</w:t>
      </w:r>
      <w:r w:rsidR="007D1B48" w:rsidRPr="00FE57C4">
        <w:rPr>
          <w:i/>
          <w:sz w:val="22"/>
          <w:szCs w:val="22"/>
        </w:rPr>
        <w:t>.</w:t>
      </w:r>
      <w:r w:rsidR="007B62ED" w:rsidRPr="00BE3AD2">
        <w:rPr>
          <w:i/>
          <w:sz w:val="22"/>
          <w:szCs w:val="22"/>
        </w:rPr>
        <w:t xml:space="preserve"> Harmonised Standard for access to radio spectrum</w:t>
      </w:r>
      <w:r w:rsidR="00BE3AD2">
        <w:rPr>
          <w:iCs/>
          <w:sz w:val="22"/>
          <w:szCs w:val="22"/>
        </w:rPr>
        <w:t>.</w:t>
      </w:r>
    </w:p>
    <w:p w14:paraId="3D5B8D53" w14:textId="381A9ABF" w:rsidR="00C7068C" w:rsidRPr="00FE57C4" w:rsidRDefault="00C7068C" w:rsidP="00C7068C">
      <w:pPr>
        <w:pStyle w:val="BodyText"/>
        <w:tabs>
          <w:tab w:val="left" w:pos="360"/>
        </w:tabs>
        <w:spacing w:before="120" w:line="260" w:lineRule="atLeast"/>
        <w:rPr>
          <w:sz w:val="22"/>
          <w:szCs w:val="22"/>
        </w:rPr>
      </w:pPr>
      <w:r w:rsidRPr="00FE57C4">
        <w:rPr>
          <w:sz w:val="22"/>
          <w:szCs w:val="22"/>
        </w:rPr>
        <w:t xml:space="preserve">The second new entry lists the ETSI </w:t>
      </w:r>
      <w:r w:rsidR="003056EF" w:rsidRPr="00FE57C4">
        <w:rPr>
          <w:sz w:val="22"/>
          <w:szCs w:val="22"/>
        </w:rPr>
        <w:t>Guide</w:t>
      </w:r>
      <w:r w:rsidRPr="00FE57C4">
        <w:rPr>
          <w:sz w:val="22"/>
          <w:szCs w:val="22"/>
        </w:rPr>
        <w:t xml:space="preserve"> EN </w:t>
      </w:r>
      <w:r w:rsidR="003056EF" w:rsidRPr="00FE57C4">
        <w:rPr>
          <w:sz w:val="22"/>
          <w:szCs w:val="22"/>
        </w:rPr>
        <w:t>202 730</w:t>
      </w:r>
      <w:r w:rsidRPr="00FE57C4">
        <w:rPr>
          <w:sz w:val="22"/>
          <w:szCs w:val="22"/>
        </w:rPr>
        <w:t xml:space="preserve">: </w:t>
      </w:r>
      <w:r w:rsidR="0046273D" w:rsidRPr="00FE57C4">
        <w:rPr>
          <w:i/>
          <w:sz w:val="22"/>
          <w:szCs w:val="22"/>
        </w:rPr>
        <w:t>Electromagnetic compatibility and Radio spectrum Matters (ERM); Code of Practice in respect of the control, use and application of Ground Probing Radar (GPR) and Wall Probing Radar (WPR) systems and equipment</w:t>
      </w:r>
      <w:r w:rsidR="007D1B48" w:rsidRPr="00FE57C4">
        <w:rPr>
          <w:i/>
          <w:sz w:val="22"/>
          <w:szCs w:val="22"/>
        </w:rPr>
        <w:t>.</w:t>
      </w:r>
    </w:p>
    <w:p w14:paraId="6917D4E3" w14:textId="66B136A8" w:rsidR="004C41BD" w:rsidRPr="00FE57C4" w:rsidRDefault="004C41BD" w:rsidP="000767FA">
      <w:pPr>
        <w:keepNext/>
        <w:spacing w:before="120" w:after="120" w:line="260" w:lineRule="atLeast"/>
        <w:ind w:left="1440" w:hanging="1440"/>
        <w:rPr>
          <w:b/>
          <w:sz w:val="22"/>
          <w:szCs w:val="22"/>
        </w:rPr>
      </w:pPr>
      <w:r w:rsidRPr="00FE57C4">
        <w:rPr>
          <w:b/>
          <w:sz w:val="22"/>
          <w:szCs w:val="22"/>
        </w:rPr>
        <w:t>Item 1</w:t>
      </w:r>
      <w:r w:rsidR="004334C2">
        <w:rPr>
          <w:b/>
          <w:sz w:val="22"/>
          <w:szCs w:val="22"/>
        </w:rPr>
        <w:t>6</w:t>
      </w:r>
      <w:r w:rsidR="00AB07D3">
        <w:rPr>
          <w:b/>
          <w:sz w:val="22"/>
          <w:szCs w:val="22"/>
        </w:rPr>
        <w:tab/>
      </w:r>
      <w:r w:rsidRPr="00FE57C4">
        <w:rPr>
          <w:b/>
          <w:sz w:val="22"/>
          <w:szCs w:val="22"/>
        </w:rPr>
        <w:t xml:space="preserve">Schedule 2 </w:t>
      </w:r>
      <w:r w:rsidR="00AB07D3">
        <w:rPr>
          <w:b/>
          <w:sz w:val="22"/>
          <w:szCs w:val="22"/>
        </w:rPr>
        <w:t>(</w:t>
      </w:r>
      <w:r w:rsidRPr="00FE57C4">
        <w:rPr>
          <w:b/>
          <w:sz w:val="22"/>
          <w:szCs w:val="22"/>
        </w:rPr>
        <w:t>table item 12</w:t>
      </w:r>
      <w:r w:rsidR="00AB07D3">
        <w:rPr>
          <w:b/>
          <w:sz w:val="22"/>
          <w:szCs w:val="22"/>
        </w:rPr>
        <w:t>)</w:t>
      </w:r>
    </w:p>
    <w:p w14:paraId="2A6112B8" w14:textId="14F2AB34" w:rsidR="004C41BD" w:rsidRPr="00FE57C4" w:rsidRDefault="004C41BD" w:rsidP="004C41BD">
      <w:pPr>
        <w:pStyle w:val="BodyText"/>
        <w:tabs>
          <w:tab w:val="left" w:pos="360"/>
        </w:tabs>
        <w:spacing w:before="120" w:line="260" w:lineRule="atLeast"/>
        <w:rPr>
          <w:sz w:val="28"/>
          <w:szCs w:val="22"/>
        </w:rPr>
      </w:pPr>
      <w:r w:rsidRPr="00FE57C4">
        <w:rPr>
          <w:sz w:val="22"/>
          <w:szCs w:val="22"/>
        </w:rPr>
        <w:t xml:space="preserve">This item </w:t>
      </w:r>
      <w:r w:rsidR="00E824AD" w:rsidRPr="00FE57C4">
        <w:rPr>
          <w:sz w:val="22"/>
          <w:szCs w:val="22"/>
        </w:rPr>
        <w:t>repeals item 12 from the table</w:t>
      </w:r>
      <w:r w:rsidR="002F51EF" w:rsidRPr="00FE57C4">
        <w:rPr>
          <w:sz w:val="22"/>
          <w:szCs w:val="22"/>
        </w:rPr>
        <w:t xml:space="preserve">. </w:t>
      </w:r>
    </w:p>
    <w:p w14:paraId="1013EB71" w14:textId="3C9EA6BC" w:rsidR="00D4785C" w:rsidRPr="00FE57C4" w:rsidRDefault="00D4785C" w:rsidP="000767FA">
      <w:pPr>
        <w:keepNext/>
        <w:spacing w:before="120" w:after="120" w:line="260" w:lineRule="atLeast"/>
        <w:ind w:left="1440" w:hanging="1440"/>
        <w:rPr>
          <w:b/>
          <w:sz w:val="22"/>
          <w:szCs w:val="22"/>
        </w:rPr>
      </w:pPr>
      <w:r w:rsidRPr="00FE57C4">
        <w:rPr>
          <w:b/>
          <w:sz w:val="22"/>
          <w:szCs w:val="22"/>
        </w:rPr>
        <w:t xml:space="preserve">Item </w:t>
      </w:r>
      <w:r w:rsidR="006407E0" w:rsidRPr="00FE57C4">
        <w:rPr>
          <w:b/>
          <w:sz w:val="22"/>
          <w:szCs w:val="22"/>
        </w:rPr>
        <w:t>1</w:t>
      </w:r>
      <w:r w:rsidR="004334C2">
        <w:rPr>
          <w:b/>
          <w:sz w:val="22"/>
          <w:szCs w:val="22"/>
        </w:rPr>
        <w:t>7</w:t>
      </w:r>
      <w:r w:rsidR="00AB07D3">
        <w:rPr>
          <w:b/>
          <w:sz w:val="22"/>
          <w:szCs w:val="22"/>
        </w:rPr>
        <w:tab/>
      </w:r>
      <w:r w:rsidRPr="00FE57C4">
        <w:rPr>
          <w:b/>
          <w:sz w:val="22"/>
          <w:szCs w:val="22"/>
        </w:rPr>
        <w:t xml:space="preserve">Schedule 2 </w:t>
      </w:r>
      <w:r w:rsidR="0047304F">
        <w:rPr>
          <w:b/>
          <w:sz w:val="22"/>
          <w:szCs w:val="22"/>
        </w:rPr>
        <w:t>(before</w:t>
      </w:r>
      <w:r w:rsidR="00A94510" w:rsidRPr="00FE57C4">
        <w:rPr>
          <w:b/>
          <w:sz w:val="22"/>
          <w:szCs w:val="22"/>
        </w:rPr>
        <w:t xml:space="preserve"> </w:t>
      </w:r>
      <w:r w:rsidR="00F75862" w:rsidRPr="00FE57C4">
        <w:rPr>
          <w:b/>
          <w:sz w:val="22"/>
          <w:szCs w:val="22"/>
        </w:rPr>
        <w:t xml:space="preserve">table </w:t>
      </w:r>
      <w:r w:rsidR="00683A71" w:rsidRPr="00FE57C4">
        <w:rPr>
          <w:b/>
          <w:sz w:val="22"/>
          <w:szCs w:val="22"/>
        </w:rPr>
        <w:t>i</w:t>
      </w:r>
      <w:r w:rsidRPr="00FE57C4">
        <w:rPr>
          <w:b/>
          <w:sz w:val="22"/>
          <w:szCs w:val="22"/>
        </w:rPr>
        <w:t>tem 1</w:t>
      </w:r>
      <w:r w:rsidR="0047304F">
        <w:rPr>
          <w:b/>
          <w:sz w:val="22"/>
          <w:szCs w:val="22"/>
        </w:rPr>
        <w:t>3)</w:t>
      </w:r>
    </w:p>
    <w:p w14:paraId="123E86FD" w14:textId="3E8208E3" w:rsidR="00D2181C" w:rsidRPr="00FE57C4" w:rsidRDefault="005131BF" w:rsidP="00302DBB">
      <w:pPr>
        <w:pStyle w:val="BodyText"/>
        <w:tabs>
          <w:tab w:val="left" w:pos="360"/>
        </w:tabs>
        <w:spacing w:before="120" w:line="260" w:lineRule="atLeast"/>
        <w:rPr>
          <w:sz w:val="22"/>
          <w:szCs w:val="22"/>
        </w:rPr>
      </w:pPr>
      <w:r w:rsidRPr="00FE57C4">
        <w:rPr>
          <w:sz w:val="22"/>
          <w:szCs w:val="22"/>
        </w:rPr>
        <w:t>This item</w:t>
      </w:r>
      <w:r w:rsidR="00D4785C" w:rsidRPr="00FE57C4">
        <w:rPr>
          <w:sz w:val="22"/>
          <w:szCs w:val="22"/>
        </w:rPr>
        <w:t xml:space="preserve"> inserts a new item</w:t>
      </w:r>
      <w:r w:rsidR="004C41BD" w:rsidRPr="00FE57C4">
        <w:rPr>
          <w:sz w:val="22"/>
          <w:szCs w:val="22"/>
        </w:rPr>
        <w:t xml:space="preserve"> 12</w:t>
      </w:r>
      <w:r w:rsidR="00A94510" w:rsidRPr="00FE57C4">
        <w:rPr>
          <w:sz w:val="22"/>
          <w:szCs w:val="22"/>
        </w:rPr>
        <w:t>A</w:t>
      </w:r>
      <w:r w:rsidR="00D4785C" w:rsidRPr="00FE57C4">
        <w:rPr>
          <w:sz w:val="22"/>
          <w:szCs w:val="22"/>
        </w:rPr>
        <w:t xml:space="preserve"> </w:t>
      </w:r>
      <w:r w:rsidR="00683A71" w:rsidRPr="00FE57C4">
        <w:rPr>
          <w:sz w:val="22"/>
          <w:szCs w:val="22"/>
        </w:rPr>
        <w:t>in</w:t>
      </w:r>
      <w:r w:rsidR="00D4785C" w:rsidRPr="00FE57C4">
        <w:rPr>
          <w:sz w:val="22"/>
          <w:szCs w:val="22"/>
        </w:rPr>
        <w:t xml:space="preserve"> the table titled “Instruments that apply to a transmitter”</w:t>
      </w:r>
      <w:r w:rsidR="00D4785C" w:rsidRPr="00FE57C4" w:rsidDel="00597378">
        <w:rPr>
          <w:sz w:val="22"/>
          <w:szCs w:val="22"/>
        </w:rPr>
        <w:t xml:space="preserve"> </w:t>
      </w:r>
      <w:r w:rsidR="00D4785C" w:rsidRPr="00FE57C4">
        <w:rPr>
          <w:sz w:val="22"/>
          <w:szCs w:val="22"/>
        </w:rPr>
        <w:t xml:space="preserve">in Schedule 2 </w:t>
      </w:r>
      <w:r w:rsidR="00683A71" w:rsidRPr="00FE57C4">
        <w:rPr>
          <w:sz w:val="22"/>
          <w:szCs w:val="22"/>
        </w:rPr>
        <w:t>to</w:t>
      </w:r>
      <w:r w:rsidR="00D4785C" w:rsidRPr="00FE57C4">
        <w:rPr>
          <w:sz w:val="22"/>
          <w:szCs w:val="22"/>
        </w:rPr>
        <w:t xml:space="preserve"> the LIPD Class Licence</w:t>
      </w:r>
      <w:r w:rsidR="00541E79" w:rsidRPr="00FE57C4">
        <w:rPr>
          <w:sz w:val="22"/>
          <w:szCs w:val="22"/>
        </w:rPr>
        <w:t xml:space="preserve">, in relation to </w:t>
      </w:r>
      <w:r w:rsidR="0047304F">
        <w:rPr>
          <w:sz w:val="22"/>
          <w:szCs w:val="22"/>
        </w:rPr>
        <w:t>u</w:t>
      </w:r>
      <w:r w:rsidR="00513725" w:rsidRPr="00FE57C4">
        <w:rPr>
          <w:sz w:val="22"/>
          <w:szCs w:val="22"/>
        </w:rPr>
        <w:t>ltra-wideband</w:t>
      </w:r>
      <w:r w:rsidR="00541E79" w:rsidRPr="00FE57C4">
        <w:rPr>
          <w:sz w:val="22"/>
          <w:szCs w:val="22"/>
        </w:rPr>
        <w:t xml:space="preserve"> transmitters onboard aircraft</w:t>
      </w:r>
      <w:r w:rsidR="006D37AC" w:rsidRPr="00FE57C4">
        <w:rPr>
          <w:sz w:val="22"/>
          <w:szCs w:val="22"/>
        </w:rPr>
        <w:t>.</w:t>
      </w:r>
    </w:p>
    <w:p w14:paraId="492ADB7A" w14:textId="21A5A474" w:rsidR="00D2181C" w:rsidRPr="00FE57C4" w:rsidRDefault="006D37AC" w:rsidP="006E0010">
      <w:pPr>
        <w:pStyle w:val="BodyText"/>
        <w:tabs>
          <w:tab w:val="left" w:pos="360"/>
        </w:tabs>
        <w:spacing w:before="120" w:line="260" w:lineRule="atLeast"/>
        <w:rPr>
          <w:sz w:val="28"/>
          <w:szCs w:val="22"/>
        </w:rPr>
      </w:pPr>
      <w:r w:rsidRPr="00FE57C4">
        <w:rPr>
          <w:sz w:val="22"/>
          <w:szCs w:val="22"/>
        </w:rPr>
        <w:t>The new entry lists the ETSI Standard EN 302 06</w:t>
      </w:r>
      <w:r w:rsidR="00AF513E" w:rsidRPr="00FE57C4">
        <w:rPr>
          <w:sz w:val="22"/>
          <w:szCs w:val="22"/>
        </w:rPr>
        <w:t>5-</w:t>
      </w:r>
      <w:r w:rsidR="004C41BD" w:rsidRPr="00FE57C4">
        <w:rPr>
          <w:sz w:val="22"/>
          <w:szCs w:val="22"/>
        </w:rPr>
        <w:t>5</w:t>
      </w:r>
      <w:r w:rsidRPr="00FE57C4">
        <w:rPr>
          <w:sz w:val="22"/>
          <w:szCs w:val="22"/>
        </w:rPr>
        <w:t xml:space="preserve">: </w:t>
      </w:r>
      <w:r w:rsidR="00AF513E" w:rsidRPr="00FE57C4">
        <w:rPr>
          <w:i/>
          <w:sz w:val="22"/>
          <w:szCs w:val="22"/>
        </w:rPr>
        <w:t>Short Range Devices (SRD) using Ultra Wide Band technology (UWB); Harmonised Standard covering the essential requirements of article 3.2 of Directive 2014/53/EU; Part 5: Devices using UWB technology onboard aircraft</w:t>
      </w:r>
      <w:r w:rsidR="00E3265F" w:rsidRPr="00E3265F">
        <w:rPr>
          <w:iCs/>
          <w:sz w:val="22"/>
          <w:szCs w:val="22"/>
        </w:rPr>
        <w:t>.</w:t>
      </w:r>
    </w:p>
    <w:p w14:paraId="27A5CAA8" w14:textId="2D6F40A8" w:rsidR="006E0010" w:rsidRPr="00FE57C4" w:rsidRDefault="006E0010" w:rsidP="000767FA">
      <w:pPr>
        <w:keepNext/>
        <w:spacing w:before="120" w:after="120" w:line="260" w:lineRule="atLeast"/>
        <w:ind w:left="1440" w:hanging="1440"/>
        <w:rPr>
          <w:b/>
          <w:sz w:val="22"/>
          <w:szCs w:val="22"/>
        </w:rPr>
      </w:pPr>
      <w:r w:rsidRPr="00FE57C4">
        <w:rPr>
          <w:b/>
          <w:sz w:val="22"/>
          <w:szCs w:val="22"/>
        </w:rPr>
        <w:t>Item 1</w:t>
      </w:r>
      <w:r w:rsidR="004334C2">
        <w:rPr>
          <w:b/>
          <w:sz w:val="22"/>
          <w:szCs w:val="22"/>
        </w:rPr>
        <w:t>8</w:t>
      </w:r>
      <w:r w:rsidR="00C673F1">
        <w:rPr>
          <w:b/>
          <w:sz w:val="22"/>
          <w:szCs w:val="22"/>
        </w:rPr>
        <w:tab/>
      </w:r>
      <w:r w:rsidRPr="00FE57C4">
        <w:rPr>
          <w:b/>
          <w:sz w:val="22"/>
          <w:szCs w:val="22"/>
        </w:rPr>
        <w:t xml:space="preserve">Schedule 2 </w:t>
      </w:r>
      <w:r w:rsidR="00C673F1">
        <w:rPr>
          <w:b/>
          <w:sz w:val="22"/>
          <w:szCs w:val="22"/>
        </w:rPr>
        <w:t>(</w:t>
      </w:r>
      <w:r w:rsidRPr="00FE57C4">
        <w:rPr>
          <w:b/>
          <w:sz w:val="22"/>
          <w:szCs w:val="22"/>
        </w:rPr>
        <w:t>after table item 18</w:t>
      </w:r>
      <w:r w:rsidR="00C673F1">
        <w:rPr>
          <w:b/>
          <w:sz w:val="22"/>
          <w:szCs w:val="22"/>
        </w:rPr>
        <w:t>)</w:t>
      </w:r>
    </w:p>
    <w:p w14:paraId="1E5C504C" w14:textId="7E92472D" w:rsidR="006E0010" w:rsidRPr="00FE57C4" w:rsidRDefault="006E0010" w:rsidP="006E0010">
      <w:pPr>
        <w:pStyle w:val="BodyText"/>
        <w:tabs>
          <w:tab w:val="left" w:pos="360"/>
        </w:tabs>
        <w:spacing w:before="120" w:line="260" w:lineRule="atLeast"/>
        <w:rPr>
          <w:sz w:val="22"/>
          <w:szCs w:val="22"/>
        </w:rPr>
      </w:pPr>
      <w:r w:rsidRPr="00FE57C4">
        <w:rPr>
          <w:sz w:val="22"/>
          <w:szCs w:val="22"/>
        </w:rPr>
        <w:t xml:space="preserve">This item inserts a new </w:t>
      </w:r>
      <w:r w:rsidR="004A21FB">
        <w:rPr>
          <w:sz w:val="22"/>
          <w:szCs w:val="22"/>
        </w:rPr>
        <w:t>entry</w:t>
      </w:r>
      <w:r w:rsidRPr="00FE57C4">
        <w:rPr>
          <w:sz w:val="22"/>
          <w:szCs w:val="22"/>
        </w:rPr>
        <w:t xml:space="preserve"> in the table titled “Instruments that apply to a transmitter”</w:t>
      </w:r>
      <w:r w:rsidRPr="00FE57C4" w:rsidDel="00597378">
        <w:rPr>
          <w:sz w:val="22"/>
          <w:szCs w:val="22"/>
        </w:rPr>
        <w:t xml:space="preserve"> </w:t>
      </w:r>
      <w:r w:rsidRPr="00FE57C4">
        <w:rPr>
          <w:sz w:val="22"/>
          <w:szCs w:val="22"/>
        </w:rPr>
        <w:t xml:space="preserve">in Schedule 2 to the LIPD Class Licence, </w:t>
      </w:r>
      <w:r w:rsidR="00A86830" w:rsidRPr="00FE57C4">
        <w:rPr>
          <w:sz w:val="22"/>
          <w:szCs w:val="22"/>
        </w:rPr>
        <w:t>in relation to radiodetermination transmitter</w:t>
      </w:r>
      <w:r w:rsidR="007D1B48" w:rsidRPr="00FE57C4">
        <w:rPr>
          <w:sz w:val="22"/>
          <w:szCs w:val="22"/>
        </w:rPr>
        <w:t>s</w:t>
      </w:r>
      <w:r w:rsidR="00A86830" w:rsidRPr="00FE57C4">
        <w:rPr>
          <w:sz w:val="22"/>
          <w:szCs w:val="22"/>
        </w:rPr>
        <w:t xml:space="preserve"> in </w:t>
      </w:r>
      <w:r w:rsidR="00492276">
        <w:rPr>
          <w:sz w:val="22"/>
          <w:szCs w:val="22"/>
        </w:rPr>
        <w:t xml:space="preserve">the </w:t>
      </w:r>
      <w:r w:rsidR="00A86830" w:rsidRPr="00FE57C4">
        <w:rPr>
          <w:sz w:val="22"/>
          <w:szCs w:val="22"/>
        </w:rPr>
        <w:t>30-12400 MHz</w:t>
      </w:r>
      <w:r w:rsidR="00492276">
        <w:rPr>
          <w:sz w:val="22"/>
          <w:szCs w:val="22"/>
        </w:rPr>
        <w:t xml:space="preserve"> band</w:t>
      </w:r>
      <w:r w:rsidR="00A86830" w:rsidRPr="00FE57C4">
        <w:rPr>
          <w:sz w:val="22"/>
          <w:szCs w:val="22"/>
        </w:rPr>
        <w:t xml:space="preserve">.  </w:t>
      </w:r>
    </w:p>
    <w:p w14:paraId="56812F1A" w14:textId="4CC18F2C" w:rsidR="006E0010" w:rsidRPr="00FE57C4" w:rsidRDefault="006E0010" w:rsidP="006E0010">
      <w:pPr>
        <w:pStyle w:val="BodyText"/>
        <w:tabs>
          <w:tab w:val="left" w:pos="360"/>
        </w:tabs>
        <w:spacing w:before="120" w:line="260" w:lineRule="atLeast"/>
        <w:rPr>
          <w:i/>
          <w:sz w:val="28"/>
          <w:szCs w:val="22"/>
        </w:rPr>
      </w:pPr>
      <w:r w:rsidRPr="00FE57C4">
        <w:rPr>
          <w:sz w:val="22"/>
          <w:szCs w:val="22"/>
        </w:rPr>
        <w:t xml:space="preserve">The new entry lists the </w:t>
      </w:r>
      <w:r w:rsidR="00A86830" w:rsidRPr="00FE57C4">
        <w:rPr>
          <w:sz w:val="22"/>
          <w:szCs w:val="22"/>
        </w:rPr>
        <w:t xml:space="preserve">FCC Rules </w:t>
      </w:r>
      <w:r w:rsidR="00492276">
        <w:rPr>
          <w:sz w:val="22"/>
          <w:szCs w:val="22"/>
        </w:rPr>
        <w:t>T</w:t>
      </w:r>
      <w:r w:rsidR="000F1DC3" w:rsidRPr="00FE57C4">
        <w:rPr>
          <w:sz w:val="22"/>
          <w:szCs w:val="22"/>
        </w:rPr>
        <w:t>i</w:t>
      </w:r>
      <w:r w:rsidR="00492276">
        <w:rPr>
          <w:sz w:val="22"/>
          <w:szCs w:val="22"/>
        </w:rPr>
        <w:t>t</w:t>
      </w:r>
      <w:r w:rsidR="000F1DC3" w:rsidRPr="00FE57C4">
        <w:rPr>
          <w:sz w:val="22"/>
          <w:szCs w:val="22"/>
        </w:rPr>
        <w:t xml:space="preserve">le 47 Part 15 Section </w:t>
      </w:r>
      <w:r w:rsidR="00DA54B0" w:rsidRPr="00FE57C4">
        <w:rPr>
          <w:sz w:val="22"/>
          <w:szCs w:val="22"/>
        </w:rPr>
        <w:t xml:space="preserve">509: </w:t>
      </w:r>
      <w:r w:rsidR="00DA54B0" w:rsidRPr="00FE57C4">
        <w:rPr>
          <w:i/>
          <w:sz w:val="22"/>
          <w:szCs w:val="22"/>
        </w:rPr>
        <w:t>Technical requirements for ground penetrating radars and wall imaging systems.</w:t>
      </w:r>
      <w:bookmarkStart w:id="3" w:name="_GoBack"/>
      <w:bookmarkEnd w:id="3"/>
    </w:p>
    <w:p w14:paraId="2A454D43" w14:textId="77777777" w:rsidR="00AF513E" w:rsidRPr="00FE57C4" w:rsidRDefault="00AF513E" w:rsidP="00C13ED7">
      <w:pPr>
        <w:spacing w:before="120" w:after="120" w:line="260" w:lineRule="atLeast"/>
        <w:rPr>
          <w:sz w:val="22"/>
          <w:szCs w:val="22"/>
        </w:rPr>
      </w:pPr>
    </w:p>
    <w:sectPr w:rsidR="00AF513E" w:rsidRPr="00FE57C4" w:rsidSect="00DB1ED0">
      <w:headerReference w:type="default" r:id="rId16"/>
      <w:footerReference w:type="default" r:id="rId17"/>
      <w:pgSz w:w="11907" w:h="16840" w:code="9"/>
      <w:pgMar w:top="1134" w:right="1107" w:bottom="1134"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3BA80" w14:textId="77777777" w:rsidR="0024292A" w:rsidRDefault="0024292A">
      <w:r>
        <w:separator/>
      </w:r>
    </w:p>
  </w:endnote>
  <w:endnote w:type="continuationSeparator" w:id="0">
    <w:p w14:paraId="1F1D021A" w14:textId="77777777" w:rsidR="0024292A" w:rsidRDefault="0024292A">
      <w:r>
        <w:continuationSeparator/>
      </w:r>
    </w:p>
  </w:endnote>
  <w:endnote w:type="continuationNotice" w:id="1">
    <w:p w14:paraId="3EA8DDA8" w14:textId="77777777" w:rsidR="0024292A" w:rsidRDefault="00242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37E1" w14:textId="77777777" w:rsidR="00F93F02" w:rsidRDefault="00F93F02" w:rsidP="0066798F">
    <w:pPr>
      <w:pStyle w:val="Footer"/>
      <w:framePr w:wrap="auto" w:vAnchor="text" w:hAnchor="page" w:x="11203" w:y="486"/>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CEF8DDA" w14:textId="5323AF5E" w:rsidR="00F93F02" w:rsidRPr="000767FA" w:rsidRDefault="00F93F02" w:rsidP="00E37F81">
    <w:pPr>
      <w:pStyle w:val="Footer"/>
      <w:pBdr>
        <w:top w:val="single" w:sz="4" w:space="1" w:color="auto"/>
      </w:pBdr>
      <w:jc w:val="center"/>
      <w:rPr>
        <w:sz w:val="22"/>
        <w:szCs w:val="22"/>
      </w:rPr>
    </w:pPr>
    <w:r w:rsidRPr="000767FA">
      <w:rPr>
        <w:sz w:val="22"/>
        <w:szCs w:val="22"/>
      </w:rPr>
      <w:t xml:space="preserve">Explanatory Statement to the </w:t>
    </w:r>
    <w:r w:rsidRPr="000767FA">
      <w:rPr>
        <w:i/>
        <w:sz w:val="22"/>
        <w:szCs w:val="22"/>
      </w:rPr>
      <w:t>Radiocommunications (Low Interference Potential Devices) Class Licence Variation 2019 (No.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D4145" w14:textId="77777777" w:rsidR="0024292A" w:rsidRDefault="0024292A">
      <w:r>
        <w:separator/>
      </w:r>
    </w:p>
  </w:footnote>
  <w:footnote w:type="continuationSeparator" w:id="0">
    <w:p w14:paraId="0EF4862A" w14:textId="77777777" w:rsidR="0024292A" w:rsidRDefault="0024292A">
      <w:r>
        <w:continuationSeparator/>
      </w:r>
    </w:p>
  </w:footnote>
  <w:footnote w:type="continuationNotice" w:id="1">
    <w:p w14:paraId="7FDCCEEA" w14:textId="77777777" w:rsidR="0024292A" w:rsidRDefault="00242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CCAE9" w14:textId="77777777" w:rsidR="00F93F02" w:rsidRDefault="00F93F02" w:rsidP="001F4D7A">
    <w:pPr>
      <w:pStyle w:val="Heading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41DE9"/>
    <w:multiLevelType w:val="hybridMultilevel"/>
    <w:tmpl w:val="2A1862F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8232D0"/>
    <w:multiLevelType w:val="hybridMultilevel"/>
    <w:tmpl w:val="2CD09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6A7E6D"/>
    <w:multiLevelType w:val="hybridMultilevel"/>
    <w:tmpl w:val="00A4D4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32E5533"/>
    <w:multiLevelType w:val="hybridMultilevel"/>
    <w:tmpl w:val="A0BE1C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DF6DF1"/>
    <w:multiLevelType w:val="hybridMultilevel"/>
    <w:tmpl w:val="37DC5F8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EFC3B1B"/>
    <w:multiLevelType w:val="hybridMultilevel"/>
    <w:tmpl w:val="64F692A2"/>
    <w:lvl w:ilvl="0" w:tplc="0C09000F">
      <w:start w:val="1"/>
      <w:numFmt w:val="decimal"/>
      <w:lvlText w:val="%1."/>
      <w:lvlJc w:val="left"/>
      <w:pPr>
        <w:ind w:left="-1060" w:hanging="360"/>
      </w:pPr>
      <w:rPr>
        <w:rFonts w:hint="default"/>
      </w:rPr>
    </w:lvl>
    <w:lvl w:ilvl="1" w:tplc="0C090019">
      <w:start w:val="1"/>
      <w:numFmt w:val="lowerLetter"/>
      <w:lvlText w:val="%2."/>
      <w:lvlJc w:val="left"/>
      <w:pPr>
        <w:ind w:left="-340" w:hanging="360"/>
      </w:pPr>
    </w:lvl>
    <w:lvl w:ilvl="2" w:tplc="0C09001B" w:tentative="1">
      <w:start w:val="1"/>
      <w:numFmt w:val="lowerRoman"/>
      <w:lvlText w:val="%3."/>
      <w:lvlJc w:val="right"/>
      <w:pPr>
        <w:ind w:left="380" w:hanging="180"/>
      </w:pPr>
    </w:lvl>
    <w:lvl w:ilvl="3" w:tplc="0C09000F" w:tentative="1">
      <w:start w:val="1"/>
      <w:numFmt w:val="decimal"/>
      <w:lvlText w:val="%4."/>
      <w:lvlJc w:val="left"/>
      <w:pPr>
        <w:ind w:left="1100" w:hanging="360"/>
      </w:pPr>
    </w:lvl>
    <w:lvl w:ilvl="4" w:tplc="0C090019" w:tentative="1">
      <w:start w:val="1"/>
      <w:numFmt w:val="lowerLetter"/>
      <w:lvlText w:val="%5."/>
      <w:lvlJc w:val="left"/>
      <w:pPr>
        <w:ind w:left="1820" w:hanging="360"/>
      </w:pPr>
    </w:lvl>
    <w:lvl w:ilvl="5" w:tplc="0C09001B" w:tentative="1">
      <w:start w:val="1"/>
      <w:numFmt w:val="lowerRoman"/>
      <w:lvlText w:val="%6."/>
      <w:lvlJc w:val="right"/>
      <w:pPr>
        <w:ind w:left="2540" w:hanging="180"/>
      </w:pPr>
    </w:lvl>
    <w:lvl w:ilvl="6" w:tplc="0C09000F" w:tentative="1">
      <w:start w:val="1"/>
      <w:numFmt w:val="decimal"/>
      <w:lvlText w:val="%7."/>
      <w:lvlJc w:val="left"/>
      <w:pPr>
        <w:ind w:left="3260" w:hanging="360"/>
      </w:pPr>
    </w:lvl>
    <w:lvl w:ilvl="7" w:tplc="0C090019" w:tentative="1">
      <w:start w:val="1"/>
      <w:numFmt w:val="lowerLetter"/>
      <w:lvlText w:val="%8."/>
      <w:lvlJc w:val="left"/>
      <w:pPr>
        <w:ind w:left="3980" w:hanging="360"/>
      </w:pPr>
    </w:lvl>
    <w:lvl w:ilvl="8" w:tplc="0C09001B" w:tentative="1">
      <w:start w:val="1"/>
      <w:numFmt w:val="lowerRoman"/>
      <w:lvlText w:val="%9."/>
      <w:lvlJc w:val="right"/>
      <w:pPr>
        <w:ind w:left="4700" w:hanging="180"/>
      </w:pPr>
    </w:lvl>
  </w:abstractNum>
  <w:abstractNum w:abstractNumId="11"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85D1927"/>
    <w:multiLevelType w:val="hybridMultilevel"/>
    <w:tmpl w:val="92CE8E90"/>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7E7395"/>
    <w:multiLevelType w:val="hybridMultilevel"/>
    <w:tmpl w:val="A0740922"/>
    <w:lvl w:ilvl="0" w:tplc="3528CA4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FC3BBF"/>
    <w:multiLevelType w:val="hybridMultilevel"/>
    <w:tmpl w:val="45FAF3A4"/>
    <w:lvl w:ilvl="0" w:tplc="0C09000F">
      <w:start w:val="1"/>
      <w:numFmt w:val="decimal"/>
      <w:lvlText w:val="%1."/>
      <w:lvlJc w:val="left"/>
      <w:pPr>
        <w:tabs>
          <w:tab w:val="num" w:pos="1440"/>
        </w:tabs>
        <w:ind w:left="1440" w:hanging="360"/>
      </w:pPr>
      <w:rPr>
        <w:rFonts w:hint="default"/>
      </w:rPr>
    </w:lvl>
    <w:lvl w:ilvl="1" w:tplc="0C090019">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547F445F"/>
    <w:multiLevelType w:val="hybridMultilevel"/>
    <w:tmpl w:val="554498A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B592FCA"/>
    <w:multiLevelType w:val="hybridMultilevel"/>
    <w:tmpl w:val="3148FDF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5A4823"/>
    <w:multiLevelType w:val="hybridMultilevel"/>
    <w:tmpl w:val="2A1862F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AA2BDC"/>
    <w:multiLevelType w:val="hybridMultilevel"/>
    <w:tmpl w:val="45FAF3A4"/>
    <w:lvl w:ilvl="0" w:tplc="0C09000F">
      <w:start w:val="1"/>
      <w:numFmt w:val="decimal"/>
      <w:lvlText w:val="%1."/>
      <w:lvlJc w:val="left"/>
      <w:pPr>
        <w:tabs>
          <w:tab w:val="num" w:pos="1440"/>
        </w:tabs>
        <w:ind w:left="1440" w:hanging="360"/>
      </w:pPr>
      <w:rPr>
        <w:rFonts w:hint="default"/>
      </w:rPr>
    </w:lvl>
    <w:lvl w:ilvl="1" w:tplc="0C090019">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0" w15:restartNumberingAfterBreak="0">
    <w:nsid w:val="67AE4F76"/>
    <w:multiLevelType w:val="hybridMultilevel"/>
    <w:tmpl w:val="36CCA4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A452F39"/>
    <w:multiLevelType w:val="hybridMultilevel"/>
    <w:tmpl w:val="BF500F30"/>
    <w:lvl w:ilvl="0" w:tplc="17D4842A">
      <w:numFmt w:val="bullet"/>
      <w:lvlText w:val=""/>
      <w:legacy w:legacy="1" w:legacySpace="0" w:legacyIndent="360"/>
      <w:lvlJc w:val="left"/>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A97080"/>
    <w:multiLevelType w:val="hybridMultilevel"/>
    <w:tmpl w:val="2A1862F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B57BDE"/>
    <w:multiLevelType w:val="hybridMultilevel"/>
    <w:tmpl w:val="7B5C1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717985"/>
    <w:multiLevelType w:val="hybridMultilevel"/>
    <w:tmpl w:val="6AF47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8"/>
  </w:num>
  <w:num w:numId="5">
    <w:abstractNumId w:val="1"/>
  </w:num>
  <w:num w:numId="6">
    <w:abstractNumId w:val="0"/>
    <w:lvlOverride w:ilvl="0">
      <w:startOverride w:val="1"/>
    </w:lvlOverride>
  </w:num>
  <w:num w:numId="7">
    <w:abstractNumId w:val="0"/>
  </w:num>
  <w:num w:numId="8">
    <w:abstractNumId w:val="0"/>
  </w:num>
  <w:num w:numId="9">
    <w:abstractNumId w:val="0"/>
  </w:num>
  <w:num w:numId="10">
    <w:abstractNumId w:val="16"/>
  </w:num>
  <w:num w:numId="11">
    <w:abstractNumId w:val="15"/>
  </w:num>
  <w:num w:numId="12">
    <w:abstractNumId w:val="19"/>
  </w:num>
  <w:num w:numId="13">
    <w:abstractNumId w:val="21"/>
  </w:num>
  <w:num w:numId="14">
    <w:abstractNumId w:val="10"/>
  </w:num>
  <w:num w:numId="15">
    <w:abstractNumId w:val="14"/>
  </w:num>
  <w:num w:numId="16">
    <w:abstractNumId w:val="12"/>
  </w:num>
  <w:num w:numId="17">
    <w:abstractNumId w:val="4"/>
  </w:num>
  <w:num w:numId="18">
    <w:abstractNumId w:val="23"/>
  </w:num>
  <w:num w:numId="19">
    <w:abstractNumId w:val="20"/>
  </w:num>
  <w:num w:numId="20">
    <w:abstractNumId w:val="5"/>
  </w:num>
  <w:num w:numId="21">
    <w:abstractNumId w:val="22"/>
  </w:num>
  <w:num w:numId="22">
    <w:abstractNumId w:val="7"/>
  </w:num>
  <w:num w:numId="23">
    <w:abstractNumId w:val="18"/>
  </w:num>
  <w:num w:numId="24">
    <w:abstractNumId w:val="24"/>
  </w:num>
  <w:num w:numId="25">
    <w:abstractNumId w:val="9"/>
  </w:num>
  <w:num w:numId="26">
    <w:abstractNumId w:val="17"/>
  </w:num>
  <w:num w:numId="27">
    <w:abstractNumId w:val="1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24"/>
    <w:rsid w:val="00000B7A"/>
    <w:rsid w:val="00001C1F"/>
    <w:rsid w:val="00002138"/>
    <w:rsid w:val="000022E3"/>
    <w:rsid w:val="0000335C"/>
    <w:rsid w:val="00004D3E"/>
    <w:rsid w:val="00011F90"/>
    <w:rsid w:val="00012344"/>
    <w:rsid w:val="00013498"/>
    <w:rsid w:val="00020BE8"/>
    <w:rsid w:val="0002142F"/>
    <w:rsid w:val="00021B31"/>
    <w:rsid w:val="00021BD3"/>
    <w:rsid w:val="0002533F"/>
    <w:rsid w:val="00026C4F"/>
    <w:rsid w:val="00032DDA"/>
    <w:rsid w:val="00034416"/>
    <w:rsid w:val="0003564F"/>
    <w:rsid w:val="000373D8"/>
    <w:rsid w:val="0003746E"/>
    <w:rsid w:val="00041192"/>
    <w:rsid w:val="00041334"/>
    <w:rsid w:val="0004185E"/>
    <w:rsid w:val="00043909"/>
    <w:rsid w:val="000447EF"/>
    <w:rsid w:val="00054652"/>
    <w:rsid w:val="000551EF"/>
    <w:rsid w:val="0006128C"/>
    <w:rsid w:val="000614E4"/>
    <w:rsid w:val="00061BC6"/>
    <w:rsid w:val="0006384A"/>
    <w:rsid w:val="00066546"/>
    <w:rsid w:val="00071913"/>
    <w:rsid w:val="000724A6"/>
    <w:rsid w:val="00072C4A"/>
    <w:rsid w:val="000767FA"/>
    <w:rsid w:val="00082A94"/>
    <w:rsid w:val="00085421"/>
    <w:rsid w:val="00087083"/>
    <w:rsid w:val="0008777E"/>
    <w:rsid w:val="0009168E"/>
    <w:rsid w:val="00094807"/>
    <w:rsid w:val="00095204"/>
    <w:rsid w:val="00095926"/>
    <w:rsid w:val="00096EA0"/>
    <w:rsid w:val="0009747A"/>
    <w:rsid w:val="000977A1"/>
    <w:rsid w:val="000A034E"/>
    <w:rsid w:val="000A1D98"/>
    <w:rsid w:val="000A400F"/>
    <w:rsid w:val="000A5084"/>
    <w:rsid w:val="000B3091"/>
    <w:rsid w:val="000B596F"/>
    <w:rsid w:val="000C0097"/>
    <w:rsid w:val="000C2BF1"/>
    <w:rsid w:val="000C6593"/>
    <w:rsid w:val="000C6D6C"/>
    <w:rsid w:val="000D24BA"/>
    <w:rsid w:val="000D7559"/>
    <w:rsid w:val="000E2B69"/>
    <w:rsid w:val="000E4689"/>
    <w:rsid w:val="000E4CB3"/>
    <w:rsid w:val="000E637E"/>
    <w:rsid w:val="000E7C5D"/>
    <w:rsid w:val="000E7CED"/>
    <w:rsid w:val="000F0A0B"/>
    <w:rsid w:val="000F1DC3"/>
    <w:rsid w:val="000F2185"/>
    <w:rsid w:val="000F4BD7"/>
    <w:rsid w:val="00101AE8"/>
    <w:rsid w:val="00103757"/>
    <w:rsid w:val="00103859"/>
    <w:rsid w:val="00107561"/>
    <w:rsid w:val="001100C7"/>
    <w:rsid w:val="001106C7"/>
    <w:rsid w:val="00110F3A"/>
    <w:rsid w:val="00111C99"/>
    <w:rsid w:val="00112544"/>
    <w:rsid w:val="00112DD3"/>
    <w:rsid w:val="00114539"/>
    <w:rsid w:val="0011652B"/>
    <w:rsid w:val="00116AF2"/>
    <w:rsid w:val="00117AE3"/>
    <w:rsid w:val="00121D14"/>
    <w:rsid w:val="001226CE"/>
    <w:rsid w:val="00123C6C"/>
    <w:rsid w:val="00124BA7"/>
    <w:rsid w:val="00125086"/>
    <w:rsid w:val="001253F0"/>
    <w:rsid w:val="00125ADA"/>
    <w:rsid w:val="00125FFF"/>
    <w:rsid w:val="001274AF"/>
    <w:rsid w:val="00127A2D"/>
    <w:rsid w:val="00130880"/>
    <w:rsid w:val="00130987"/>
    <w:rsid w:val="00133765"/>
    <w:rsid w:val="001360A6"/>
    <w:rsid w:val="0013723D"/>
    <w:rsid w:val="00141AA4"/>
    <w:rsid w:val="00141F69"/>
    <w:rsid w:val="0014310F"/>
    <w:rsid w:val="00150AFC"/>
    <w:rsid w:val="00151C48"/>
    <w:rsid w:val="00152CF6"/>
    <w:rsid w:val="001559D8"/>
    <w:rsid w:val="00156016"/>
    <w:rsid w:val="00157CC4"/>
    <w:rsid w:val="0016149C"/>
    <w:rsid w:val="00161CFF"/>
    <w:rsid w:val="00162242"/>
    <w:rsid w:val="00162844"/>
    <w:rsid w:val="001633E7"/>
    <w:rsid w:val="0016469A"/>
    <w:rsid w:val="00166D4B"/>
    <w:rsid w:val="00167B49"/>
    <w:rsid w:val="001706CD"/>
    <w:rsid w:val="001727BC"/>
    <w:rsid w:val="00174192"/>
    <w:rsid w:val="0017466D"/>
    <w:rsid w:val="0017638E"/>
    <w:rsid w:val="00176920"/>
    <w:rsid w:val="0017799C"/>
    <w:rsid w:val="00180DDF"/>
    <w:rsid w:val="0018114B"/>
    <w:rsid w:val="00184520"/>
    <w:rsid w:val="00184F15"/>
    <w:rsid w:val="0018786E"/>
    <w:rsid w:val="00187E4F"/>
    <w:rsid w:val="0019095F"/>
    <w:rsid w:val="00194BE7"/>
    <w:rsid w:val="00196F71"/>
    <w:rsid w:val="001A0123"/>
    <w:rsid w:val="001A7DD1"/>
    <w:rsid w:val="001B1D7A"/>
    <w:rsid w:val="001B2CBF"/>
    <w:rsid w:val="001B33B3"/>
    <w:rsid w:val="001B34F3"/>
    <w:rsid w:val="001B3B04"/>
    <w:rsid w:val="001B5CEC"/>
    <w:rsid w:val="001B6C8A"/>
    <w:rsid w:val="001B7FF2"/>
    <w:rsid w:val="001C0B91"/>
    <w:rsid w:val="001C202A"/>
    <w:rsid w:val="001C2ED2"/>
    <w:rsid w:val="001C37A4"/>
    <w:rsid w:val="001C4C01"/>
    <w:rsid w:val="001C51E5"/>
    <w:rsid w:val="001C52DB"/>
    <w:rsid w:val="001C5BFF"/>
    <w:rsid w:val="001D1FCB"/>
    <w:rsid w:val="001D2298"/>
    <w:rsid w:val="001D2AE4"/>
    <w:rsid w:val="001D3D6F"/>
    <w:rsid w:val="001D4A68"/>
    <w:rsid w:val="001D4FF3"/>
    <w:rsid w:val="001D51E4"/>
    <w:rsid w:val="001E05D1"/>
    <w:rsid w:val="001E1DDE"/>
    <w:rsid w:val="001E4818"/>
    <w:rsid w:val="001E5952"/>
    <w:rsid w:val="001E5AF0"/>
    <w:rsid w:val="001E6A63"/>
    <w:rsid w:val="001F188C"/>
    <w:rsid w:val="001F1F5D"/>
    <w:rsid w:val="001F4D7A"/>
    <w:rsid w:val="001F6CAC"/>
    <w:rsid w:val="00203F19"/>
    <w:rsid w:val="00204B7E"/>
    <w:rsid w:val="00211BF0"/>
    <w:rsid w:val="00214E4A"/>
    <w:rsid w:val="002204ED"/>
    <w:rsid w:val="00220ADA"/>
    <w:rsid w:val="0022176E"/>
    <w:rsid w:val="00222214"/>
    <w:rsid w:val="00222477"/>
    <w:rsid w:val="00222818"/>
    <w:rsid w:val="00223AEF"/>
    <w:rsid w:val="00227270"/>
    <w:rsid w:val="00227C92"/>
    <w:rsid w:val="002303F5"/>
    <w:rsid w:val="002317EE"/>
    <w:rsid w:val="0023358E"/>
    <w:rsid w:val="0023486B"/>
    <w:rsid w:val="00236DB0"/>
    <w:rsid w:val="00241053"/>
    <w:rsid w:val="002428A9"/>
    <w:rsid w:val="0024292A"/>
    <w:rsid w:val="00243CA4"/>
    <w:rsid w:val="00246A01"/>
    <w:rsid w:val="00247E34"/>
    <w:rsid w:val="0025054D"/>
    <w:rsid w:val="002511D8"/>
    <w:rsid w:val="00251714"/>
    <w:rsid w:val="00251D97"/>
    <w:rsid w:val="00255546"/>
    <w:rsid w:val="0025579A"/>
    <w:rsid w:val="002559A7"/>
    <w:rsid w:val="00255F92"/>
    <w:rsid w:val="00256B74"/>
    <w:rsid w:val="00263421"/>
    <w:rsid w:val="00263F69"/>
    <w:rsid w:val="00265E6B"/>
    <w:rsid w:val="00271F61"/>
    <w:rsid w:val="00272EA5"/>
    <w:rsid w:val="00273F4A"/>
    <w:rsid w:val="00274B21"/>
    <w:rsid w:val="0027500C"/>
    <w:rsid w:val="0027507F"/>
    <w:rsid w:val="0027628B"/>
    <w:rsid w:val="00277C3D"/>
    <w:rsid w:val="002805C6"/>
    <w:rsid w:val="00281855"/>
    <w:rsid w:val="00284CEA"/>
    <w:rsid w:val="002860D4"/>
    <w:rsid w:val="0029062E"/>
    <w:rsid w:val="0029091D"/>
    <w:rsid w:val="0029210B"/>
    <w:rsid w:val="0029651C"/>
    <w:rsid w:val="002A1726"/>
    <w:rsid w:val="002A1E37"/>
    <w:rsid w:val="002A608A"/>
    <w:rsid w:val="002A6BF1"/>
    <w:rsid w:val="002A7C0A"/>
    <w:rsid w:val="002A7CD8"/>
    <w:rsid w:val="002B2763"/>
    <w:rsid w:val="002B397C"/>
    <w:rsid w:val="002B3DD1"/>
    <w:rsid w:val="002B516A"/>
    <w:rsid w:val="002B6660"/>
    <w:rsid w:val="002B745A"/>
    <w:rsid w:val="002C3B7B"/>
    <w:rsid w:val="002C4BBB"/>
    <w:rsid w:val="002C5294"/>
    <w:rsid w:val="002C7144"/>
    <w:rsid w:val="002D69E2"/>
    <w:rsid w:val="002E02FD"/>
    <w:rsid w:val="002E0B6D"/>
    <w:rsid w:val="002E4E04"/>
    <w:rsid w:val="002E7363"/>
    <w:rsid w:val="002F44C4"/>
    <w:rsid w:val="002F467F"/>
    <w:rsid w:val="002F51EF"/>
    <w:rsid w:val="002F62E7"/>
    <w:rsid w:val="003016BC"/>
    <w:rsid w:val="00302DBB"/>
    <w:rsid w:val="00303594"/>
    <w:rsid w:val="00304BD9"/>
    <w:rsid w:val="003056EF"/>
    <w:rsid w:val="0031074E"/>
    <w:rsid w:val="00311CAD"/>
    <w:rsid w:val="0031345E"/>
    <w:rsid w:val="00314FAC"/>
    <w:rsid w:val="00315CD8"/>
    <w:rsid w:val="0032059C"/>
    <w:rsid w:val="00321D33"/>
    <w:rsid w:val="00324722"/>
    <w:rsid w:val="00326B5E"/>
    <w:rsid w:val="0033012D"/>
    <w:rsid w:val="0033072E"/>
    <w:rsid w:val="0033565F"/>
    <w:rsid w:val="00336479"/>
    <w:rsid w:val="00337A9E"/>
    <w:rsid w:val="00337CD4"/>
    <w:rsid w:val="00337EAF"/>
    <w:rsid w:val="003404CD"/>
    <w:rsid w:val="00343062"/>
    <w:rsid w:val="00345DC3"/>
    <w:rsid w:val="003469E6"/>
    <w:rsid w:val="0035198E"/>
    <w:rsid w:val="00351D6F"/>
    <w:rsid w:val="00353466"/>
    <w:rsid w:val="0035542A"/>
    <w:rsid w:val="00356353"/>
    <w:rsid w:val="00356C37"/>
    <w:rsid w:val="0036139D"/>
    <w:rsid w:val="00361CAB"/>
    <w:rsid w:val="00363322"/>
    <w:rsid w:val="003646C2"/>
    <w:rsid w:val="00370125"/>
    <w:rsid w:val="00373AB4"/>
    <w:rsid w:val="003745FB"/>
    <w:rsid w:val="00374818"/>
    <w:rsid w:val="00374E0E"/>
    <w:rsid w:val="00375332"/>
    <w:rsid w:val="0038547C"/>
    <w:rsid w:val="0038734A"/>
    <w:rsid w:val="00387BF1"/>
    <w:rsid w:val="00393980"/>
    <w:rsid w:val="00395667"/>
    <w:rsid w:val="003973A1"/>
    <w:rsid w:val="003A11EB"/>
    <w:rsid w:val="003A1F34"/>
    <w:rsid w:val="003A254D"/>
    <w:rsid w:val="003A31D4"/>
    <w:rsid w:val="003A4575"/>
    <w:rsid w:val="003A46CF"/>
    <w:rsid w:val="003A6CC8"/>
    <w:rsid w:val="003A7274"/>
    <w:rsid w:val="003B131A"/>
    <w:rsid w:val="003B37D4"/>
    <w:rsid w:val="003B3FAE"/>
    <w:rsid w:val="003B47B8"/>
    <w:rsid w:val="003B50C3"/>
    <w:rsid w:val="003B58FA"/>
    <w:rsid w:val="003B640F"/>
    <w:rsid w:val="003C01FE"/>
    <w:rsid w:val="003C39CB"/>
    <w:rsid w:val="003C4208"/>
    <w:rsid w:val="003C50D8"/>
    <w:rsid w:val="003C5C06"/>
    <w:rsid w:val="003C6381"/>
    <w:rsid w:val="003C6D6A"/>
    <w:rsid w:val="003C70CA"/>
    <w:rsid w:val="003D0A93"/>
    <w:rsid w:val="003D0F16"/>
    <w:rsid w:val="003D105C"/>
    <w:rsid w:val="003D2156"/>
    <w:rsid w:val="003D46FA"/>
    <w:rsid w:val="003E11BD"/>
    <w:rsid w:val="003E1F6F"/>
    <w:rsid w:val="003E72D3"/>
    <w:rsid w:val="003E7E3B"/>
    <w:rsid w:val="003F3719"/>
    <w:rsid w:val="003F437D"/>
    <w:rsid w:val="003F5BA1"/>
    <w:rsid w:val="003F6F65"/>
    <w:rsid w:val="004019DA"/>
    <w:rsid w:val="00402507"/>
    <w:rsid w:val="004038E4"/>
    <w:rsid w:val="00403AE4"/>
    <w:rsid w:val="0040474A"/>
    <w:rsid w:val="00410BFA"/>
    <w:rsid w:val="00411A47"/>
    <w:rsid w:val="00412A59"/>
    <w:rsid w:val="00412A73"/>
    <w:rsid w:val="00413FC4"/>
    <w:rsid w:val="00414028"/>
    <w:rsid w:val="0042068C"/>
    <w:rsid w:val="00420883"/>
    <w:rsid w:val="00421E61"/>
    <w:rsid w:val="004270E0"/>
    <w:rsid w:val="00427371"/>
    <w:rsid w:val="00431CF1"/>
    <w:rsid w:val="0043278A"/>
    <w:rsid w:val="004334C2"/>
    <w:rsid w:val="00436A45"/>
    <w:rsid w:val="004412A7"/>
    <w:rsid w:val="00441B1F"/>
    <w:rsid w:val="004424CD"/>
    <w:rsid w:val="004447A2"/>
    <w:rsid w:val="004449E7"/>
    <w:rsid w:val="00450074"/>
    <w:rsid w:val="0045062B"/>
    <w:rsid w:val="00452283"/>
    <w:rsid w:val="00453352"/>
    <w:rsid w:val="00453A6B"/>
    <w:rsid w:val="00454180"/>
    <w:rsid w:val="00456FEB"/>
    <w:rsid w:val="00461997"/>
    <w:rsid w:val="0046273D"/>
    <w:rsid w:val="00462FA5"/>
    <w:rsid w:val="00465C1C"/>
    <w:rsid w:val="00466294"/>
    <w:rsid w:val="004663DC"/>
    <w:rsid w:val="00466CA8"/>
    <w:rsid w:val="0047031C"/>
    <w:rsid w:val="0047304F"/>
    <w:rsid w:val="00473154"/>
    <w:rsid w:val="00477DF2"/>
    <w:rsid w:val="00480684"/>
    <w:rsid w:val="00483A91"/>
    <w:rsid w:val="00484D36"/>
    <w:rsid w:val="00485987"/>
    <w:rsid w:val="00492276"/>
    <w:rsid w:val="00493763"/>
    <w:rsid w:val="00494134"/>
    <w:rsid w:val="00494C1D"/>
    <w:rsid w:val="00494C52"/>
    <w:rsid w:val="00495881"/>
    <w:rsid w:val="00496D78"/>
    <w:rsid w:val="004A214E"/>
    <w:rsid w:val="004A21FB"/>
    <w:rsid w:val="004A4820"/>
    <w:rsid w:val="004A5E16"/>
    <w:rsid w:val="004B05F8"/>
    <w:rsid w:val="004B08EC"/>
    <w:rsid w:val="004B44A0"/>
    <w:rsid w:val="004B4809"/>
    <w:rsid w:val="004B5190"/>
    <w:rsid w:val="004C41BD"/>
    <w:rsid w:val="004C4CD8"/>
    <w:rsid w:val="004C6286"/>
    <w:rsid w:val="004C639B"/>
    <w:rsid w:val="004C7AD2"/>
    <w:rsid w:val="004D173F"/>
    <w:rsid w:val="004D1A51"/>
    <w:rsid w:val="004D4367"/>
    <w:rsid w:val="004D5E97"/>
    <w:rsid w:val="004E1A69"/>
    <w:rsid w:val="004E325D"/>
    <w:rsid w:val="004F2483"/>
    <w:rsid w:val="004F35FD"/>
    <w:rsid w:val="004F397D"/>
    <w:rsid w:val="004F7235"/>
    <w:rsid w:val="00501A2F"/>
    <w:rsid w:val="005038F3"/>
    <w:rsid w:val="00506D1D"/>
    <w:rsid w:val="0051260C"/>
    <w:rsid w:val="005131BF"/>
    <w:rsid w:val="00513725"/>
    <w:rsid w:val="005138C2"/>
    <w:rsid w:val="00514580"/>
    <w:rsid w:val="00515477"/>
    <w:rsid w:val="00522B84"/>
    <w:rsid w:val="005248BA"/>
    <w:rsid w:val="00532121"/>
    <w:rsid w:val="00532934"/>
    <w:rsid w:val="00533DD7"/>
    <w:rsid w:val="0053496C"/>
    <w:rsid w:val="005415F5"/>
    <w:rsid w:val="00541E79"/>
    <w:rsid w:val="00544EBF"/>
    <w:rsid w:val="005452DC"/>
    <w:rsid w:val="00546614"/>
    <w:rsid w:val="00546FF5"/>
    <w:rsid w:val="00552613"/>
    <w:rsid w:val="00553F68"/>
    <w:rsid w:val="005542FB"/>
    <w:rsid w:val="0055524C"/>
    <w:rsid w:val="005554F1"/>
    <w:rsid w:val="0056091E"/>
    <w:rsid w:val="005613D8"/>
    <w:rsid w:val="0056428D"/>
    <w:rsid w:val="00572189"/>
    <w:rsid w:val="005741E0"/>
    <w:rsid w:val="0057444D"/>
    <w:rsid w:val="00574F02"/>
    <w:rsid w:val="00576F3D"/>
    <w:rsid w:val="00580380"/>
    <w:rsid w:val="00581E99"/>
    <w:rsid w:val="0058622D"/>
    <w:rsid w:val="005941CC"/>
    <w:rsid w:val="00595DC5"/>
    <w:rsid w:val="00596C41"/>
    <w:rsid w:val="005975F2"/>
    <w:rsid w:val="00597D50"/>
    <w:rsid w:val="005A010C"/>
    <w:rsid w:val="005A2130"/>
    <w:rsid w:val="005A37B4"/>
    <w:rsid w:val="005A625F"/>
    <w:rsid w:val="005A6804"/>
    <w:rsid w:val="005A7C72"/>
    <w:rsid w:val="005A7C97"/>
    <w:rsid w:val="005B1315"/>
    <w:rsid w:val="005B2384"/>
    <w:rsid w:val="005B3C9A"/>
    <w:rsid w:val="005B645F"/>
    <w:rsid w:val="005C0452"/>
    <w:rsid w:val="005C18B4"/>
    <w:rsid w:val="005C1B5F"/>
    <w:rsid w:val="005C23C1"/>
    <w:rsid w:val="005C240F"/>
    <w:rsid w:val="005C30A9"/>
    <w:rsid w:val="005D012F"/>
    <w:rsid w:val="005D1488"/>
    <w:rsid w:val="005D1FF6"/>
    <w:rsid w:val="005D5A9D"/>
    <w:rsid w:val="005E0358"/>
    <w:rsid w:val="005E2282"/>
    <w:rsid w:val="005E2567"/>
    <w:rsid w:val="005E2A56"/>
    <w:rsid w:val="005E5818"/>
    <w:rsid w:val="005F04B8"/>
    <w:rsid w:val="005F26CA"/>
    <w:rsid w:val="005F72AB"/>
    <w:rsid w:val="005F7457"/>
    <w:rsid w:val="00602A2D"/>
    <w:rsid w:val="00602B6A"/>
    <w:rsid w:val="00605306"/>
    <w:rsid w:val="0060704F"/>
    <w:rsid w:val="00611933"/>
    <w:rsid w:val="006128C6"/>
    <w:rsid w:val="00612A55"/>
    <w:rsid w:val="00613808"/>
    <w:rsid w:val="00614A86"/>
    <w:rsid w:val="00615493"/>
    <w:rsid w:val="006178C5"/>
    <w:rsid w:val="00620FB1"/>
    <w:rsid w:val="006218E4"/>
    <w:rsid w:val="006250DF"/>
    <w:rsid w:val="0062522C"/>
    <w:rsid w:val="00627553"/>
    <w:rsid w:val="00627F2E"/>
    <w:rsid w:val="00633212"/>
    <w:rsid w:val="00633A88"/>
    <w:rsid w:val="006407E0"/>
    <w:rsid w:val="0064101F"/>
    <w:rsid w:val="00641118"/>
    <w:rsid w:val="00642CF7"/>
    <w:rsid w:val="00643800"/>
    <w:rsid w:val="00644BC8"/>
    <w:rsid w:val="006508FB"/>
    <w:rsid w:val="006604F4"/>
    <w:rsid w:val="00660C1C"/>
    <w:rsid w:val="00660D86"/>
    <w:rsid w:val="00665726"/>
    <w:rsid w:val="006668ED"/>
    <w:rsid w:val="00667815"/>
    <w:rsid w:val="0066798F"/>
    <w:rsid w:val="0067185F"/>
    <w:rsid w:val="006735D8"/>
    <w:rsid w:val="0068073B"/>
    <w:rsid w:val="00680A4A"/>
    <w:rsid w:val="00680C0B"/>
    <w:rsid w:val="00683A71"/>
    <w:rsid w:val="0068420E"/>
    <w:rsid w:val="006849B2"/>
    <w:rsid w:val="00691F21"/>
    <w:rsid w:val="00693771"/>
    <w:rsid w:val="00694E9E"/>
    <w:rsid w:val="006A16D0"/>
    <w:rsid w:val="006A1CAF"/>
    <w:rsid w:val="006A2019"/>
    <w:rsid w:val="006A514E"/>
    <w:rsid w:val="006B0096"/>
    <w:rsid w:val="006B04FF"/>
    <w:rsid w:val="006B09F0"/>
    <w:rsid w:val="006B4826"/>
    <w:rsid w:val="006B4C2F"/>
    <w:rsid w:val="006B674A"/>
    <w:rsid w:val="006C2078"/>
    <w:rsid w:val="006C5860"/>
    <w:rsid w:val="006C60FE"/>
    <w:rsid w:val="006C68EE"/>
    <w:rsid w:val="006C750B"/>
    <w:rsid w:val="006D0B6D"/>
    <w:rsid w:val="006D18CB"/>
    <w:rsid w:val="006D1CD0"/>
    <w:rsid w:val="006D202B"/>
    <w:rsid w:val="006D262A"/>
    <w:rsid w:val="006D2D21"/>
    <w:rsid w:val="006D37AC"/>
    <w:rsid w:val="006D467F"/>
    <w:rsid w:val="006D6533"/>
    <w:rsid w:val="006D677C"/>
    <w:rsid w:val="006E0010"/>
    <w:rsid w:val="006E1E36"/>
    <w:rsid w:val="006E2A82"/>
    <w:rsid w:val="006E4346"/>
    <w:rsid w:val="006E515A"/>
    <w:rsid w:val="006E6EBE"/>
    <w:rsid w:val="006F028E"/>
    <w:rsid w:val="006F18A5"/>
    <w:rsid w:val="006F20CF"/>
    <w:rsid w:val="006F2D8B"/>
    <w:rsid w:val="006F316E"/>
    <w:rsid w:val="006F3D55"/>
    <w:rsid w:val="006F7782"/>
    <w:rsid w:val="007044FE"/>
    <w:rsid w:val="00711232"/>
    <w:rsid w:val="00711790"/>
    <w:rsid w:val="007125ED"/>
    <w:rsid w:val="00712D9B"/>
    <w:rsid w:val="00712F19"/>
    <w:rsid w:val="00713D29"/>
    <w:rsid w:val="007161E7"/>
    <w:rsid w:val="007164E4"/>
    <w:rsid w:val="00723877"/>
    <w:rsid w:val="00725353"/>
    <w:rsid w:val="007262A3"/>
    <w:rsid w:val="00726702"/>
    <w:rsid w:val="0072761A"/>
    <w:rsid w:val="00731406"/>
    <w:rsid w:val="00735655"/>
    <w:rsid w:val="00737554"/>
    <w:rsid w:val="007420DE"/>
    <w:rsid w:val="00742668"/>
    <w:rsid w:val="00743740"/>
    <w:rsid w:val="00743CBF"/>
    <w:rsid w:val="00743D8E"/>
    <w:rsid w:val="00744EBF"/>
    <w:rsid w:val="00750031"/>
    <w:rsid w:val="00750320"/>
    <w:rsid w:val="00751DF6"/>
    <w:rsid w:val="007529CE"/>
    <w:rsid w:val="0075714C"/>
    <w:rsid w:val="007617E8"/>
    <w:rsid w:val="00761B7D"/>
    <w:rsid w:val="00762344"/>
    <w:rsid w:val="0076262C"/>
    <w:rsid w:val="00762A84"/>
    <w:rsid w:val="00764FA4"/>
    <w:rsid w:val="0076584C"/>
    <w:rsid w:val="00765ED5"/>
    <w:rsid w:val="00767814"/>
    <w:rsid w:val="007706DD"/>
    <w:rsid w:val="00776320"/>
    <w:rsid w:val="007763C5"/>
    <w:rsid w:val="00780B4E"/>
    <w:rsid w:val="00785879"/>
    <w:rsid w:val="007863D1"/>
    <w:rsid w:val="007871A9"/>
    <w:rsid w:val="007878C6"/>
    <w:rsid w:val="00790A80"/>
    <w:rsid w:val="007915BD"/>
    <w:rsid w:val="00796777"/>
    <w:rsid w:val="00797931"/>
    <w:rsid w:val="007979CF"/>
    <w:rsid w:val="007A3B4F"/>
    <w:rsid w:val="007A6D87"/>
    <w:rsid w:val="007A7FC0"/>
    <w:rsid w:val="007B06E7"/>
    <w:rsid w:val="007B2949"/>
    <w:rsid w:val="007B41D3"/>
    <w:rsid w:val="007B444C"/>
    <w:rsid w:val="007B49EA"/>
    <w:rsid w:val="007B62ED"/>
    <w:rsid w:val="007B6416"/>
    <w:rsid w:val="007B689E"/>
    <w:rsid w:val="007C0BA5"/>
    <w:rsid w:val="007D11CD"/>
    <w:rsid w:val="007D1B48"/>
    <w:rsid w:val="007D582B"/>
    <w:rsid w:val="007D5C04"/>
    <w:rsid w:val="007D6C4D"/>
    <w:rsid w:val="007E1B12"/>
    <w:rsid w:val="007E6568"/>
    <w:rsid w:val="007F51B3"/>
    <w:rsid w:val="007F5599"/>
    <w:rsid w:val="007F5773"/>
    <w:rsid w:val="007F6FE7"/>
    <w:rsid w:val="008009E9"/>
    <w:rsid w:val="00800DD6"/>
    <w:rsid w:val="00801E77"/>
    <w:rsid w:val="0080429C"/>
    <w:rsid w:val="00806D1F"/>
    <w:rsid w:val="00810241"/>
    <w:rsid w:val="008109F5"/>
    <w:rsid w:val="00812301"/>
    <w:rsid w:val="00812D0F"/>
    <w:rsid w:val="00814FE6"/>
    <w:rsid w:val="00815D8F"/>
    <w:rsid w:val="00820032"/>
    <w:rsid w:val="00820D3C"/>
    <w:rsid w:val="008231B8"/>
    <w:rsid w:val="008235E7"/>
    <w:rsid w:val="00827661"/>
    <w:rsid w:val="00830827"/>
    <w:rsid w:val="00831C17"/>
    <w:rsid w:val="00832969"/>
    <w:rsid w:val="00833359"/>
    <w:rsid w:val="00833F28"/>
    <w:rsid w:val="008378F0"/>
    <w:rsid w:val="0084122D"/>
    <w:rsid w:val="00841B7C"/>
    <w:rsid w:val="00843CBE"/>
    <w:rsid w:val="00845EE7"/>
    <w:rsid w:val="00846C27"/>
    <w:rsid w:val="008502DA"/>
    <w:rsid w:val="00851315"/>
    <w:rsid w:val="0085294E"/>
    <w:rsid w:val="00853BCA"/>
    <w:rsid w:val="008600A0"/>
    <w:rsid w:val="008601E5"/>
    <w:rsid w:val="00860E27"/>
    <w:rsid w:val="00861776"/>
    <w:rsid w:val="008620C2"/>
    <w:rsid w:val="00864D13"/>
    <w:rsid w:val="00865313"/>
    <w:rsid w:val="0087022C"/>
    <w:rsid w:val="008719ED"/>
    <w:rsid w:val="00877381"/>
    <w:rsid w:val="00882215"/>
    <w:rsid w:val="00882BEF"/>
    <w:rsid w:val="00886D8D"/>
    <w:rsid w:val="0088703A"/>
    <w:rsid w:val="008873A5"/>
    <w:rsid w:val="00890CF2"/>
    <w:rsid w:val="008921BE"/>
    <w:rsid w:val="00895648"/>
    <w:rsid w:val="008977A7"/>
    <w:rsid w:val="008A155B"/>
    <w:rsid w:val="008A4A35"/>
    <w:rsid w:val="008A58CD"/>
    <w:rsid w:val="008A5DBD"/>
    <w:rsid w:val="008B09C0"/>
    <w:rsid w:val="008B1904"/>
    <w:rsid w:val="008B5C75"/>
    <w:rsid w:val="008B7312"/>
    <w:rsid w:val="008B77E6"/>
    <w:rsid w:val="008C0074"/>
    <w:rsid w:val="008C0DF2"/>
    <w:rsid w:val="008C0F99"/>
    <w:rsid w:val="008C30F0"/>
    <w:rsid w:val="008C3A18"/>
    <w:rsid w:val="008C411A"/>
    <w:rsid w:val="008C47D9"/>
    <w:rsid w:val="008C587B"/>
    <w:rsid w:val="008C5F2E"/>
    <w:rsid w:val="008C6826"/>
    <w:rsid w:val="008D131D"/>
    <w:rsid w:val="008D47B2"/>
    <w:rsid w:val="008D7BDA"/>
    <w:rsid w:val="008E567E"/>
    <w:rsid w:val="008E57D6"/>
    <w:rsid w:val="008E78DD"/>
    <w:rsid w:val="008F0E27"/>
    <w:rsid w:val="008F1EFE"/>
    <w:rsid w:val="008F4ED3"/>
    <w:rsid w:val="008F5308"/>
    <w:rsid w:val="008F73ED"/>
    <w:rsid w:val="00901EEA"/>
    <w:rsid w:val="00904785"/>
    <w:rsid w:val="009047CE"/>
    <w:rsid w:val="00905D70"/>
    <w:rsid w:val="0091079F"/>
    <w:rsid w:val="009169FD"/>
    <w:rsid w:val="00916B50"/>
    <w:rsid w:val="00916FA5"/>
    <w:rsid w:val="00921D34"/>
    <w:rsid w:val="00925255"/>
    <w:rsid w:val="00925910"/>
    <w:rsid w:val="009263A5"/>
    <w:rsid w:val="0092747D"/>
    <w:rsid w:val="00930E90"/>
    <w:rsid w:val="009343B1"/>
    <w:rsid w:val="00935CBB"/>
    <w:rsid w:val="00935E9E"/>
    <w:rsid w:val="009361BE"/>
    <w:rsid w:val="009405A7"/>
    <w:rsid w:val="009416F6"/>
    <w:rsid w:val="009423CA"/>
    <w:rsid w:val="0094268B"/>
    <w:rsid w:val="00946DD8"/>
    <w:rsid w:val="00951B50"/>
    <w:rsid w:val="0095237B"/>
    <w:rsid w:val="00953CF3"/>
    <w:rsid w:val="00957118"/>
    <w:rsid w:val="00960F90"/>
    <w:rsid w:val="009619EF"/>
    <w:rsid w:val="00964859"/>
    <w:rsid w:val="00965E8F"/>
    <w:rsid w:val="00970DC2"/>
    <w:rsid w:val="00974F3E"/>
    <w:rsid w:val="009775AC"/>
    <w:rsid w:val="0097786E"/>
    <w:rsid w:val="009779E8"/>
    <w:rsid w:val="00977B75"/>
    <w:rsid w:val="00980F3C"/>
    <w:rsid w:val="0098243B"/>
    <w:rsid w:val="00983CD4"/>
    <w:rsid w:val="00986978"/>
    <w:rsid w:val="00986B31"/>
    <w:rsid w:val="00986DCC"/>
    <w:rsid w:val="009877CD"/>
    <w:rsid w:val="009878FA"/>
    <w:rsid w:val="00990AC1"/>
    <w:rsid w:val="00994A9B"/>
    <w:rsid w:val="009956E1"/>
    <w:rsid w:val="00995874"/>
    <w:rsid w:val="0099744F"/>
    <w:rsid w:val="009A0BFF"/>
    <w:rsid w:val="009A0E66"/>
    <w:rsid w:val="009A285E"/>
    <w:rsid w:val="009A3F24"/>
    <w:rsid w:val="009A6EBF"/>
    <w:rsid w:val="009A7FE3"/>
    <w:rsid w:val="009B72C5"/>
    <w:rsid w:val="009B751F"/>
    <w:rsid w:val="009C0B5E"/>
    <w:rsid w:val="009C0DBE"/>
    <w:rsid w:val="009C0F67"/>
    <w:rsid w:val="009C13A4"/>
    <w:rsid w:val="009C4620"/>
    <w:rsid w:val="009C46FD"/>
    <w:rsid w:val="009C7DC9"/>
    <w:rsid w:val="009D05F2"/>
    <w:rsid w:val="009D0DE2"/>
    <w:rsid w:val="009D157F"/>
    <w:rsid w:val="009D2164"/>
    <w:rsid w:val="009D37A9"/>
    <w:rsid w:val="009E3750"/>
    <w:rsid w:val="009E747C"/>
    <w:rsid w:val="009F3837"/>
    <w:rsid w:val="009F38B8"/>
    <w:rsid w:val="009F3A58"/>
    <w:rsid w:val="009F3B35"/>
    <w:rsid w:val="009F3F44"/>
    <w:rsid w:val="009F42A0"/>
    <w:rsid w:val="009F4F06"/>
    <w:rsid w:val="009F6385"/>
    <w:rsid w:val="009F71D6"/>
    <w:rsid w:val="00A00146"/>
    <w:rsid w:val="00A00BD2"/>
    <w:rsid w:val="00A013DA"/>
    <w:rsid w:val="00A016B3"/>
    <w:rsid w:val="00A02023"/>
    <w:rsid w:val="00A0703C"/>
    <w:rsid w:val="00A07DB4"/>
    <w:rsid w:val="00A1060B"/>
    <w:rsid w:val="00A10F60"/>
    <w:rsid w:val="00A1183D"/>
    <w:rsid w:val="00A12BB2"/>
    <w:rsid w:val="00A21636"/>
    <w:rsid w:val="00A21F80"/>
    <w:rsid w:val="00A26BD3"/>
    <w:rsid w:val="00A26BEA"/>
    <w:rsid w:val="00A31A10"/>
    <w:rsid w:val="00A31CFB"/>
    <w:rsid w:val="00A335B4"/>
    <w:rsid w:val="00A33D1A"/>
    <w:rsid w:val="00A35148"/>
    <w:rsid w:val="00A3580D"/>
    <w:rsid w:val="00A35D46"/>
    <w:rsid w:val="00A37100"/>
    <w:rsid w:val="00A40DA5"/>
    <w:rsid w:val="00A40F90"/>
    <w:rsid w:val="00A41075"/>
    <w:rsid w:val="00A41E18"/>
    <w:rsid w:val="00A43DEF"/>
    <w:rsid w:val="00A44247"/>
    <w:rsid w:val="00A442B8"/>
    <w:rsid w:val="00A46B97"/>
    <w:rsid w:val="00A50CC8"/>
    <w:rsid w:val="00A5228F"/>
    <w:rsid w:val="00A5532B"/>
    <w:rsid w:val="00A57638"/>
    <w:rsid w:val="00A61935"/>
    <w:rsid w:val="00A627B3"/>
    <w:rsid w:val="00A67217"/>
    <w:rsid w:val="00A72A8C"/>
    <w:rsid w:val="00A7635D"/>
    <w:rsid w:val="00A80909"/>
    <w:rsid w:val="00A86830"/>
    <w:rsid w:val="00A87DB2"/>
    <w:rsid w:val="00A90E73"/>
    <w:rsid w:val="00A934C5"/>
    <w:rsid w:val="00A936BD"/>
    <w:rsid w:val="00A94510"/>
    <w:rsid w:val="00AA2DD9"/>
    <w:rsid w:val="00AA30F5"/>
    <w:rsid w:val="00AA5151"/>
    <w:rsid w:val="00AA64A3"/>
    <w:rsid w:val="00AB07D3"/>
    <w:rsid w:val="00AB54C5"/>
    <w:rsid w:val="00AC0820"/>
    <w:rsid w:val="00AC105E"/>
    <w:rsid w:val="00AC10A4"/>
    <w:rsid w:val="00AC359D"/>
    <w:rsid w:val="00AC3E45"/>
    <w:rsid w:val="00AC5749"/>
    <w:rsid w:val="00AC5899"/>
    <w:rsid w:val="00AC7CA6"/>
    <w:rsid w:val="00AD2205"/>
    <w:rsid w:val="00AD4CCE"/>
    <w:rsid w:val="00AD5A75"/>
    <w:rsid w:val="00AE27A9"/>
    <w:rsid w:val="00AE6E02"/>
    <w:rsid w:val="00AF4B06"/>
    <w:rsid w:val="00AF513E"/>
    <w:rsid w:val="00AF5D62"/>
    <w:rsid w:val="00B00392"/>
    <w:rsid w:val="00B03F8D"/>
    <w:rsid w:val="00B0468B"/>
    <w:rsid w:val="00B04C88"/>
    <w:rsid w:val="00B06789"/>
    <w:rsid w:val="00B06B6D"/>
    <w:rsid w:val="00B079FD"/>
    <w:rsid w:val="00B107C5"/>
    <w:rsid w:val="00B118A4"/>
    <w:rsid w:val="00B13089"/>
    <w:rsid w:val="00B13AF1"/>
    <w:rsid w:val="00B150B7"/>
    <w:rsid w:val="00B15147"/>
    <w:rsid w:val="00B157DA"/>
    <w:rsid w:val="00B15C1C"/>
    <w:rsid w:val="00B17640"/>
    <w:rsid w:val="00B21B3D"/>
    <w:rsid w:val="00B21EFE"/>
    <w:rsid w:val="00B223EC"/>
    <w:rsid w:val="00B22663"/>
    <w:rsid w:val="00B24195"/>
    <w:rsid w:val="00B2451D"/>
    <w:rsid w:val="00B277D0"/>
    <w:rsid w:val="00B27967"/>
    <w:rsid w:val="00B30610"/>
    <w:rsid w:val="00B33E94"/>
    <w:rsid w:val="00B34BA9"/>
    <w:rsid w:val="00B41741"/>
    <w:rsid w:val="00B42368"/>
    <w:rsid w:val="00B427EA"/>
    <w:rsid w:val="00B43251"/>
    <w:rsid w:val="00B44294"/>
    <w:rsid w:val="00B44322"/>
    <w:rsid w:val="00B45DC0"/>
    <w:rsid w:val="00B47209"/>
    <w:rsid w:val="00B51DB9"/>
    <w:rsid w:val="00B55645"/>
    <w:rsid w:val="00B56133"/>
    <w:rsid w:val="00B5615A"/>
    <w:rsid w:val="00B57322"/>
    <w:rsid w:val="00B61307"/>
    <w:rsid w:val="00B61C08"/>
    <w:rsid w:val="00B61D52"/>
    <w:rsid w:val="00B622A0"/>
    <w:rsid w:val="00B63132"/>
    <w:rsid w:val="00B66CD2"/>
    <w:rsid w:val="00B71026"/>
    <w:rsid w:val="00B714C1"/>
    <w:rsid w:val="00B73289"/>
    <w:rsid w:val="00B815C1"/>
    <w:rsid w:val="00B83D5B"/>
    <w:rsid w:val="00B86EFB"/>
    <w:rsid w:val="00B90597"/>
    <w:rsid w:val="00B9144C"/>
    <w:rsid w:val="00B95974"/>
    <w:rsid w:val="00BA0768"/>
    <w:rsid w:val="00BA076A"/>
    <w:rsid w:val="00BA2943"/>
    <w:rsid w:val="00BA3CFF"/>
    <w:rsid w:val="00BA3DB4"/>
    <w:rsid w:val="00BA49CE"/>
    <w:rsid w:val="00BB0319"/>
    <w:rsid w:val="00BB1F3C"/>
    <w:rsid w:val="00BB50B4"/>
    <w:rsid w:val="00BB5A3D"/>
    <w:rsid w:val="00BB62A3"/>
    <w:rsid w:val="00BB6C87"/>
    <w:rsid w:val="00BB72BF"/>
    <w:rsid w:val="00BC068E"/>
    <w:rsid w:val="00BC0871"/>
    <w:rsid w:val="00BC2161"/>
    <w:rsid w:val="00BC422D"/>
    <w:rsid w:val="00BC47B6"/>
    <w:rsid w:val="00BC4E1D"/>
    <w:rsid w:val="00BC5AF3"/>
    <w:rsid w:val="00BC7E0A"/>
    <w:rsid w:val="00BD37CD"/>
    <w:rsid w:val="00BD6D3D"/>
    <w:rsid w:val="00BE22B9"/>
    <w:rsid w:val="00BE2E1F"/>
    <w:rsid w:val="00BE3AD2"/>
    <w:rsid w:val="00BE41A4"/>
    <w:rsid w:val="00BE6C2E"/>
    <w:rsid w:val="00BF01C3"/>
    <w:rsid w:val="00BF4600"/>
    <w:rsid w:val="00C02F94"/>
    <w:rsid w:val="00C04DB4"/>
    <w:rsid w:val="00C06366"/>
    <w:rsid w:val="00C06B88"/>
    <w:rsid w:val="00C07E8B"/>
    <w:rsid w:val="00C07FA2"/>
    <w:rsid w:val="00C13ED7"/>
    <w:rsid w:val="00C17187"/>
    <w:rsid w:val="00C1731B"/>
    <w:rsid w:val="00C17DB3"/>
    <w:rsid w:val="00C20B58"/>
    <w:rsid w:val="00C21AF7"/>
    <w:rsid w:val="00C22929"/>
    <w:rsid w:val="00C23AD1"/>
    <w:rsid w:val="00C2696D"/>
    <w:rsid w:val="00C27B2B"/>
    <w:rsid w:val="00C3219A"/>
    <w:rsid w:val="00C33B42"/>
    <w:rsid w:val="00C33BF4"/>
    <w:rsid w:val="00C362EA"/>
    <w:rsid w:val="00C3659E"/>
    <w:rsid w:val="00C366CF"/>
    <w:rsid w:val="00C36FD5"/>
    <w:rsid w:val="00C44FF3"/>
    <w:rsid w:val="00C45682"/>
    <w:rsid w:val="00C45CF1"/>
    <w:rsid w:val="00C47CF2"/>
    <w:rsid w:val="00C54A35"/>
    <w:rsid w:val="00C5529D"/>
    <w:rsid w:val="00C5722B"/>
    <w:rsid w:val="00C6141C"/>
    <w:rsid w:val="00C64CF3"/>
    <w:rsid w:val="00C65549"/>
    <w:rsid w:val="00C65ED0"/>
    <w:rsid w:val="00C673F1"/>
    <w:rsid w:val="00C7068C"/>
    <w:rsid w:val="00C722F5"/>
    <w:rsid w:val="00C751CD"/>
    <w:rsid w:val="00C76278"/>
    <w:rsid w:val="00C80BEE"/>
    <w:rsid w:val="00C85B79"/>
    <w:rsid w:val="00C94F8B"/>
    <w:rsid w:val="00C971E5"/>
    <w:rsid w:val="00CA231A"/>
    <w:rsid w:val="00CA5279"/>
    <w:rsid w:val="00CA53D9"/>
    <w:rsid w:val="00CA5408"/>
    <w:rsid w:val="00CA6D14"/>
    <w:rsid w:val="00CB000F"/>
    <w:rsid w:val="00CB0084"/>
    <w:rsid w:val="00CB6577"/>
    <w:rsid w:val="00CB77BC"/>
    <w:rsid w:val="00CC01E6"/>
    <w:rsid w:val="00CC17DE"/>
    <w:rsid w:val="00CC511E"/>
    <w:rsid w:val="00CC5622"/>
    <w:rsid w:val="00CC7F64"/>
    <w:rsid w:val="00CD4E04"/>
    <w:rsid w:val="00CD6692"/>
    <w:rsid w:val="00CD6C63"/>
    <w:rsid w:val="00CE427B"/>
    <w:rsid w:val="00CF0B77"/>
    <w:rsid w:val="00CF3517"/>
    <w:rsid w:val="00CF55D8"/>
    <w:rsid w:val="00D02363"/>
    <w:rsid w:val="00D0379C"/>
    <w:rsid w:val="00D04096"/>
    <w:rsid w:val="00D04950"/>
    <w:rsid w:val="00D134E3"/>
    <w:rsid w:val="00D14028"/>
    <w:rsid w:val="00D16D30"/>
    <w:rsid w:val="00D16E24"/>
    <w:rsid w:val="00D17D83"/>
    <w:rsid w:val="00D2181C"/>
    <w:rsid w:val="00D21D87"/>
    <w:rsid w:val="00D2325C"/>
    <w:rsid w:val="00D23BF6"/>
    <w:rsid w:val="00D246AB"/>
    <w:rsid w:val="00D26314"/>
    <w:rsid w:val="00D3143E"/>
    <w:rsid w:val="00D320D9"/>
    <w:rsid w:val="00D32D9D"/>
    <w:rsid w:val="00D33DDE"/>
    <w:rsid w:val="00D3647A"/>
    <w:rsid w:val="00D42573"/>
    <w:rsid w:val="00D4453D"/>
    <w:rsid w:val="00D4785C"/>
    <w:rsid w:val="00D50847"/>
    <w:rsid w:val="00D53B25"/>
    <w:rsid w:val="00D558A8"/>
    <w:rsid w:val="00D62D18"/>
    <w:rsid w:val="00D657AA"/>
    <w:rsid w:val="00D658D2"/>
    <w:rsid w:val="00D71810"/>
    <w:rsid w:val="00D727AA"/>
    <w:rsid w:val="00D74E5E"/>
    <w:rsid w:val="00D75373"/>
    <w:rsid w:val="00D76406"/>
    <w:rsid w:val="00D810DD"/>
    <w:rsid w:val="00D81574"/>
    <w:rsid w:val="00D82E33"/>
    <w:rsid w:val="00D84134"/>
    <w:rsid w:val="00D861C4"/>
    <w:rsid w:val="00D866B9"/>
    <w:rsid w:val="00D9318D"/>
    <w:rsid w:val="00D93451"/>
    <w:rsid w:val="00D94149"/>
    <w:rsid w:val="00DA02E6"/>
    <w:rsid w:val="00DA10A4"/>
    <w:rsid w:val="00DA1434"/>
    <w:rsid w:val="00DA162F"/>
    <w:rsid w:val="00DA1BD7"/>
    <w:rsid w:val="00DA3DA3"/>
    <w:rsid w:val="00DA3E5F"/>
    <w:rsid w:val="00DA54B0"/>
    <w:rsid w:val="00DA6223"/>
    <w:rsid w:val="00DB0151"/>
    <w:rsid w:val="00DB1ED0"/>
    <w:rsid w:val="00DB3D21"/>
    <w:rsid w:val="00DB49D3"/>
    <w:rsid w:val="00DB6F6B"/>
    <w:rsid w:val="00DC3BFC"/>
    <w:rsid w:val="00DC697C"/>
    <w:rsid w:val="00DD0944"/>
    <w:rsid w:val="00DD470A"/>
    <w:rsid w:val="00DD4CDB"/>
    <w:rsid w:val="00DD6D7B"/>
    <w:rsid w:val="00DD7ADF"/>
    <w:rsid w:val="00DD7E7A"/>
    <w:rsid w:val="00DE05B6"/>
    <w:rsid w:val="00DE1321"/>
    <w:rsid w:val="00DE63C4"/>
    <w:rsid w:val="00DE6D02"/>
    <w:rsid w:val="00DE7562"/>
    <w:rsid w:val="00DF15F2"/>
    <w:rsid w:val="00DF1AD3"/>
    <w:rsid w:val="00DF5DDC"/>
    <w:rsid w:val="00E02009"/>
    <w:rsid w:val="00E0471B"/>
    <w:rsid w:val="00E05218"/>
    <w:rsid w:val="00E05974"/>
    <w:rsid w:val="00E0712E"/>
    <w:rsid w:val="00E07316"/>
    <w:rsid w:val="00E07BA1"/>
    <w:rsid w:val="00E127B5"/>
    <w:rsid w:val="00E14CC4"/>
    <w:rsid w:val="00E15777"/>
    <w:rsid w:val="00E15A4E"/>
    <w:rsid w:val="00E15BAB"/>
    <w:rsid w:val="00E17C09"/>
    <w:rsid w:val="00E2147A"/>
    <w:rsid w:val="00E2254A"/>
    <w:rsid w:val="00E239DA"/>
    <w:rsid w:val="00E27F21"/>
    <w:rsid w:val="00E30708"/>
    <w:rsid w:val="00E3144B"/>
    <w:rsid w:val="00E3265F"/>
    <w:rsid w:val="00E3461F"/>
    <w:rsid w:val="00E37F81"/>
    <w:rsid w:val="00E45D63"/>
    <w:rsid w:val="00E462CF"/>
    <w:rsid w:val="00E46A08"/>
    <w:rsid w:val="00E50B55"/>
    <w:rsid w:val="00E53DD8"/>
    <w:rsid w:val="00E55CD5"/>
    <w:rsid w:val="00E5656B"/>
    <w:rsid w:val="00E62D65"/>
    <w:rsid w:val="00E63B5F"/>
    <w:rsid w:val="00E63C66"/>
    <w:rsid w:val="00E67A45"/>
    <w:rsid w:val="00E67D22"/>
    <w:rsid w:val="00E719F2"/>
    <w:rsid w:val="00E74424"/>
    <w:rsid w:val="00E76D1D"/>
    <w:rsid w:val="00E8086C"/>
    <w:rsid w:val="00E808DB"/>
    <w:rsid w:val="00E80F00"/>
    <w:rsid w:val="00E824AD"/>
    <w:rsid w:val="00E8268B"/>
    <w:rsid w:val="00E8384A"/>
    <w:rsid w:val="00E84B23"/>
    <w:rsid w:val="00E85571"/>
    <w:rsid w:val="00E85984"/>
    <w:rsid w:val="00E86B30"/>
    <w:rsid w:val="00E87AA9"/>
    <w:rsid w:val="00E906F5"/>
    <w:rsid w:val="00E918EB"/>
    <w:rsid w:val="00E919EF"/>
    <w:rsid w:val="00E92ED5"/>
    <w:rsid w:val="00E93507"/>
    <w:rsid w:val="00E94931"/>
    <w:rsid w:val="00E95370"/>
    <w:rsid w:val="00E9587C"/>
    <w:rsid w:val="00E95BBD"/>
    <w:rsid w:val="00E97FE5"/>
    <w:rsid w:val="00EA3535"/>
    <w:rsid w:val="00EA36D8"/>
    <w:rsid w:val="00EA4277"/>
    <w:rsid w:val="00EA4DE6"/>
    <w:rsid w:val="00EA54F8"/>
    <w:rsid w:val="00EA6855"/>
    <w:rsid w:val="00EB0284"/>
    <w:rsid w:val="00EB1156"/>
    <w:rsid w:val="00EB2B35"/>
    <w:rsid w:val="00EB5A1F"/>
    <w:rsid w:val="00EC0CE4"/>
    <w:rsid w:val="00EC1988"/>
    <w:rsid w:val="00EC218E"/>
    <w:rsid w:val="00EC223A"/>
    <w:rsid w:val="00EC38D3"/>
    <w:rsid w:val="00EC38F0"/>
    <w:rsid w:val="00EC3CEF"/>
    <w:rsid w:val="00EC48C4"/>
    <w:rsid w:val="00EC6417"/>
    <w:rsid w:val="00EC646E"/>
    <w:rsid w:val="00EC6CCB"/>
    <w:rsid w:val="00ED11CF"/>
    <w:rsid w:val="00ED271F"/>
    <w:rsid w:val="00ED3F88"/>
    <w:rsid w:val="00ED79C7"/>
    <w:rsid w:val="00EE1E6D"/>
    <w:rsid w:val="00EE3AF8"/>
    <w:rsid w:val="00EE6E2C"/>
    <w:rsid w:val="00EF1394"/>
    <w:rsid w:val="00EF1741"/>
    <w:rsid w:val="00EF41A0"/>
    <w:rsid w:val="00EF7020"/>
    <w:rsid w:val="00EF7A73"/>
    <w:rsid w:val="00EF7F7B"/>
    <w:rsid w:val="00F002B7"/>
    <w:rsid w:val="00F0119C"/>
    <w:rsid w:val="00F04101"/>
    <w:rsid w:val="00F04D87"/>
    <w:rsid w:val="00F07545"/>
    <w:rsid w:val="00F07927"/>
    <w:rsid w:val="00F102DE"/>
    <w:rsid w:val="00F104BB"/>
    <w:rsid w:val="00F13507"/>
    <w:rsid w:val="00F147CB"/>
    <w:rsid w:val="00F17975"/>
    <w:rsid w:val="00F212EF"/>
    <w:rsid w:val="00F25E8A"/>
    <w:rsid w:val="00F26492"/>
    <w:rsid w:val="00F31077"/>
    <w:rsid w:val="00F31104"/>
    <w:rsid w:val="00F33A8F"/>
    <w:rsid w:val="00F34F7E"/>
    <w:rsid w:val="00F35CB9"/>
    <w:rsid w:val="00F40439"/>
    <w:rsid w:val="00F40EFA"/>
    <w:rsid w:val="00F41311"/>
    <w:rsid w:val="00F4231F"/>
    <w:rsid w:val="00F463F1"/>
    <w:rsid w:val="00F46530"/>
    <w:rsid w:val="00F46B33"/>
    <w:rsid w:val="00F470DA"/>
    <w:rsid w:val="00F4717C"/>
    <w:rsid w:val="00F51837"/>
    <w:rsid w:val="00F5197B"/>
    <w:rsid w:val="00F51FF5"/>
    <w:rsid w:val="00F53F79"/>
    <w:rsid w:val="00F550D4"/>
    <w:rsid w:val="00F620EA"/>
    <w:rsid w:val="00F63F9C"/>
    <w:rsid w:val="00F64360"/>
    <w:rsid w:val="00F65398"/>
    <w:rsid w:val="00F66189"/>
    <w:rsid w:val="00F66401"/>
    <w:rsid w:val="00F674DC"/>
    <w:rsid w:val="00F7140C"/>
    <w:rsid w:val="00F7227D"/>
    <w:rsid w:val="00F75862"/>
    <w:rsid w:val="00F7636A"/>
    <w:rsid w:val="00F83081"/>
    <w:rsid w:val="00F83E75"/>
    <w:rsid w:val="00F842D5"/>
    <w:rsid w:val="00F85978"/>
    <w:rsid w:val="00F85D35"/>
    <w:rsid w:val="00F86429"/>
    <w:rsid w:val="00F90F44"/>
    <w:rsid w:val="00F913DF"/>
    <w:rsid w:val="00F93599"/>
    <w:rsid w:val="00F93F02"/>
    <w:rsid w:val="00F966FB"/>
    <w:rsid w:val="00F97A2E"/>
    <w:rsid w:val="00FA11DC"/>
    <w:rsid w:val="00FA2EA5"/>
    <w:rsid w:val="00FA576B"/>
    <w:rsid w:val="00FA6B61"/>
    <w:rsid w:val="00FA7909"/>
    <w:rsid w:val="00FB0E07"/>
    <w:rsid w:val="00FB155C"/>
    <w:rsid w:val="00FB1B2E"/>
    <w:rsid w:val="00FB1F75"/>
    <w:rsid w:val="00FB2092"/>
    <w:rsid w:val="00FB2995"/>
    <w:rsid w:val="00FB2FBE"/>
    <w:rsid w:val="00FB3056"/>
    <w:rsid w:val="00FB3E92"/>
    <w:rsid w:val="00FC027C"/>
    <w:rsid w:val="00FC02B2"/>
    <w:rsid w:val="00FC0EEB"/>
    <w:rsid w:val="00FC1A4D"/>
    <w:rsid w:val="00FC2219"/>
    <w:rsid w:val="00FC7B8C"/>
    <w:rsid w:val="00FD4A32"/>
    <w:rsid w:val="00FD5CD3"/>
    <w:rsid w:val="00FD6832"/>
    <w:rsid w:val="00FE4C4A"/>
    <w:rsid w:val="00FE57C4"/>
    <w:rsid w:val="00FF15D0"/>
    <w:rsid w:val="00FF15EF"/>
    <w:rsid w:val="00FF1B28"/>
    <w:rsid w:val="00FF4D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A3ECCC"/>
  <w15:docId w15:val="{94A780C3-1403-4D05-B3ED-EDB189DB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E24"/>
    <w:pPr>
      <w:overflowPunct w:val="0"/>
      <w:autoSpaceDE w:val="0"/>
      <w:autoSpaceDN w:val="0"/>
      <w:adjustRightInd w:val="0"/>
      <w:textAlignment w:val="baseline"/>
    </w:pPr>
  </w:style>
  <w:style w:type="paragraph" w:styleId="Heading1">
    <w:name w:val="heading 1"/>
    <w:basedOn w:val="ACMAHeading1"/>
    <w:next w:val="ACMABodyText"/>
    <w:qFormat/>
    <w:rsid w:val="0084122D"/>
    <w:pPr>
      <w:outlineLvl w:val="0"/>
    </w:pPr>
    <w:rPr>
      <w:rFonts w:cs="Arial"/>
      <w:bCs/>
    </w:rPr>
  </w:style>
  <w:style w:type="paragraph" w:styleId="Heading5">
    <w:name w:val="heading 5"/>
    <w:basedOn w:val="Normal"/>
    <w:next w:val="Normal"/>
    <w:qFormat/>
    <w:rsid w:val="00D16E2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link w:val="ACMABodyTextChar"/>
    <w:qFormat/>
    <w:rsid w:val="0084122D"/>
    <w:pPr>
      <w:suppressAutoHyphens/>
      <w:spacing w:before="80" w:after="120" w:line="280" w:lineRule="atLeast"/>
    </w:pPr>
    <w:rPr>
      <w:snapToGrid w:val="0"/>
      <w:sz w:val="24"/>
      <w:lang w:eastAsia="en-US"/>
    </w:rPr>
  </w:style>
  <w:style w:type="paragraph" w:customStyle="1" w:styleId="ACMABulletLevel1">
    <w:name w:val="ACMA Bullet Level 1"/>
    <w:rsid w:val="0084122D"/>
    <w:pPr>
      <w:numPr>
        <w:numId w:val="1"/>
      </w:numPr>
      <w:spacing w:after="120"/>
    </w:pPr>
    <w:rPr>
      <w:sz w:val="24"/>
      <w:lang w:eastAsia="en-US"/>
    </w:rPr>
  </w:style>
  <w:style w:type="paragraph" w:customStyle="1" w:styleId="ACMABulletLevel2">
    <w:name w:val="ACMA Bullet Level 2"/>
    <w:rsid w:val="0084122D"/>
    <w:pPr>
      <w:numPr>
        <w:numId w:val="2"/>
      </w:numPr>
      <w:spacing w:after="120"/>
    </w:pPr>
    <w:rPr>
      <w:sz w:val="24"/>
      <w:lang w:eastAsia="en-US"/>
    </w:rPr>
  </w:style>
  <w:style w:type="paragraph" w:customStyle="1" w:styleId="ACMAChapterHeading">
    <w:name w:val="ACMA Chapter Heading"/>
    <w:next w:val="ACMABodyText"/>
    <w:rsid w:val="0084122D"/>
    <w:pPr>
      <w:keepNext/>
      <w:suppressAutoHyphens/>
      <w:spacing w:before="2160" w:after="480"/>
      <w:outlineLvl w:val="0"/>
    </w:pPr>
    <w:rPr>
      <w:sz w:val="56"/>
      <w:szCs w:val="56"/>
      <w:lang w:eastAsia="en-US"/>
    </w:rPr>
  </w:style>
  <w:style w:type="paragraph" w:customStyle="1" w:styleId="ACMAConclusion">
    <w:name w:val="ACMA Conclusion"/>
    <w:rsid w:val="0084122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013498"/>
    <w:pPr>
      <w:spacing w:before="2160" w:after="480"/>
    </w:pPr>
    <w:rPr>
      <w:sz w:val="56"/>
      <w:szCs w:val="56"/>
      <w:lang w:eastAsia="en-US"/>
    </w:rPr>
  </w:style>
  <w:style w:type="paragraph" w:customStyle="1" w:styleId="ACMAFooterEven">
    <w:name w:val="ACMA Footer (Even)"/>
    <w:rsid w:val="0084122D"/>
    <w:pPr>
      <w:pBdr>
        <w:top w:val="single" w:sz="2" w:space="4" w:color="auto"/>
      </w:pBdr>
      <w:tabs>
        <w:tab w:val="right" w:pos="8959"/>
      </w:tabs>
    </w:pPr>
    <w:rPr>
      <w:lang w:eastAsia="en-US"/>
    </w:rPr>
  </w:style>
  <w:style w:type="paragraph" w:customStyle="1" w:styleId="ACMAFooterOdd">
    <w:name w:val="ACMA Footer (Odd)"/>
    <w:rsid w:val="0084122D"/>
    <w:pPr>
      <w:pBdr>
        <w:top w:val="single" w:sz="2" w:space="4" w:color="auto"/>
      </w:pBdr>
      <w:tabs>
        <w:tab w:val="right" w:pos="8959"/>
      </w:tabs>
    </w:pPr>
    <w:rPr>
      <w:lang w:eastAsia="en-US"/>
    </w:rPr>
  </w:style>
  <w:style w:type="paragraph" w:customStyle="1" w:styleId="ACMAFootnote">
    <w:name w:val="ACMA Footnote"/>
    <w:rsid w:val="0084122D"/>
    <w:pPr>
      <w:ind w:left="144" w:hanging="144"/>
    </w:pPr>
    <w:rPr>
      <w:sz w:val="16"/>
      <w:lang w:eastAsia="en-US"/>
    </w:rPr>
  </w:style>
  <w:style w:type="paragraph" w:customStyle="1" w:styleId="ACMAHeaderEven">
    <w:name w:val="ACMA Header (Even)"/>
    <w:rsid w:val="00013498"/>
    <w:rPr>
      <w:i/>
      <w:lang w:eastAsia="en-US"/>
    </w:rPr>
  </w:style>
  <w:style w:type="paragraph" w:customStyle="1" w:styleId="ACMAHeaderOdd">
    <w:name w:val="ACMA Header (Odd)"/>
    <w:rsid w:val="00013498"/>
    <w:pPr>
      <w:jc w:val="right"/>
    </w:pPr>
    <w:rPr>
      <w:i/>
      <w:lang w:eastAsia="en-US"/>
    </w:rPr>
  </w:style>
  <w:style w:type="paragraph" w:customStyle="1" w:styleId="ACMAHeading1">
    <w:name w:val="ACMA Heading 1"/>
    <w:next w:val="ACMABodyText"/>
    <w:rsid w:val="00013498"/>
    <w:pPr>
      <w:keepNext/>
      <w:suppressAutoHyphens/>
      <w:spacing w:before="320"/>
      <w:outlineLvl w:val="1"/>
    </w:pPr>
    <w:rPr>
      <w:rFonts w:ascii="Arial" w:hAnsi="Arial"/>
      <w:b/>
      <w:sz w:val="32"/>
      <w:szCs w:val="32"/>
      <w:lang w:eastAsia="en-US"/>
    </w:rPr>
  </w:style>
  <w:style w:type="paragraph" w:customStyle="1" w:styleId="ACMAHeading2">
    <w:name w:val="ACMA Heading 2"/>
    <w:next w:val="ACMABodyText"/>
    <w:rsid w:val="00013498"/>
    <w:pPr>
      <w:keepNext/>
      <w:suppressAutoHyphens/>
      <w:spacing w:before="240"/>
      <w:outlineLvl w:val="2"/>
    </w:pPr>
    <w:rPr>
      <w:rFonts w:ascii="Arial" w:hAnsi="Arial"/>
      <w:b/>
      <w:caps/>
      <w:sz w:val="26"/>
      <w:szCs w:val="26"/>
      <w:lang w:eastAsia="en-US"/>
    </w:rPr>
  </w:style>
  <w:style w:type="paragraph" w:customStyle="1" w:styleId="ACMAHeading3">
    <w:name w:val="ACMA Heading 3"/>
    <w:next w:val="ACMABodyText"/>
    <w:uiPriority w:val="99"/>
    <w:rsid w:val="00013498"/>
    <w:pPr>
      <w:keepNext/>
      <w:suppressAutoHyphens/>
      <w:spacing w:before="240"/>
      <w:outlineLvl w:val="3"/>
    </w:pPr>
    <w:rPr>
      <w:rFonts w:ascii="Arial" w:hAnsi="Arial"/>
      <w:b/>
      <w:sz w:val="24"/>
      <w:lang w:eastAsia="en-US"/>
    </w:rPr>
  </w:style>
  <w:style w:type="paragraph" w:customStyle="1" w:styleId="ACMAHeading4">
    <w:name w:val="ACMA Heading 4"/>
    <w:next w:val="ACMABodyText"/>
    <w:rsid w:val="0084122D"/>
    <w:pPr>
      <w:keepNext/>
      <w:suppressAutoHyphens/>
      <w:spacing w:before="80"/>
      <w:outlineLvl w:val="4"/>
    </w:pPr>
    <w:rPr>
      <w:rFonts w:ascii="Arial" w:hAnsi="Arial"/>
      <w:b/>
      <w:i/>
      <w:lang w:eastAsia="en-US"/>
    </w:rPr>
  </w:style>
  <w:style w:type="paragraph" w:customStyle="1" w:styleId="ACMAletteredlist">
    <w:name w:val="ACMA lettered list"/>
    <w:rsid w:val="0084122D"/>
    <w:pPr>
      <w:numPr>
        <w:numId w:val="3"/>
      </w:numPr>
      <w:spacing w:before="20" w:after="20"/>
    </w:pPr>
    <w:rPr>
      <w:sz w:val="24"/>
      <w:lang w:eastAsia="en-US"/>
    </w:rPr>
  </w:style>
  <w:style w:type="paragraph" w:customStyle="1" w:styleId="ACMANumberedList">
    <w:name w:val="ACMA Numbered List"/>
    <w:rsid w:val="0084122D"/>
    <w:pPr>
      <w:numPr>
        <w:numId w:val="4"/>
      </w:numPr>
      <w:spacing w:before="20" w:after="20"/>
    </w:pPr>
    <w:rPr>
      <w:sz w:val="24"/>
      <w:lang w:eastAsia="en-US"/>
    </w:rPr>
  </w:style>
  <w:style w:type="paragraph" w:customStyle="1" w:styleId="ACMAQuote">
    <w:name w:val="ACMA Quote"/>
    <w:rsid w:val="0084122D"/>
    <w:pPr>
      <w:spacing w:line="240" w:lineRule="atLeast"/>
      <w:ind w:left="562" w:right="562"/>
    </w:pPr>
    <w:rPr>
      <w:sz w:val="22"/>
      <w:lang w:eastAsia="en-US"/>
    </w:rPr>
  </w:style>
  <w:style w:type="paragraph" w:customStyle="1" w:styleId="ACMAReportDate">
    <w:name w:val="ACMA Report Date"/>
    <w:rsid w:val="0084122D"/>
    <w:rPr>
      <w:snapToGrid w:val="0"/>
      <w:lang w:eastAsia="en-US"/>
    </w:rPr>
  </w:style>
  <w:style w:type="paragraph" w:customStyle="1" w:styleId="ACMAReportImprint">
    <w:name w:val="ACMA Report Imprint"/>
    <w:rsid w:val="0084122D"/>
    <w:pPr>
      <w:spacing w:after="80"/>
    </w:pPr>
    <w:rPr>
      <w:rFonts w:cs="Arial"/>
      <w:lang w:eastAsia="en-US"/>
    </w:rPr>
  </w:style>
  <w:style w:type="paragraph" w:customStyle="1" w:styleId="ACMAReportImprintLast">
    <w:name w:val="ACMA Report Imprint Last"/>
    <w:basedOn w:val="ACMAReportImprint"/>
    <w:rsid w:val="0084122D"/>
    <w:pPr>
      <w:spacing w:before="480" w:after="420"/>
    </w:pPr>
  </w:style>
  <w:style w:type="paragraph" w:customStyle="1" w:styleId="ACMAReportSubtitle">
    <w:name w:val="ACMA Report Subtitle"/>
    <w:rsid w:val="0084122D"/>
    <w:pPr>
      <w:spacing w:before="1440"/>
    </w:pPr>
    <w:rPr>
      <w:sz w:val="36"/>
      <w:lang w:eastAsia="en-US"/>
    </w:rPr>
  </w:style>
  <w:style w:type="paragraph" w:customStyle="1" w:styleId="ACMAReportTitle">
    <w:name w:val="ACMA Report Title"/>
    <w:rsid w:val="0084122D"/>
    <w:pPr>
      <w:spacing w:before="1980"/>
    </w:pPr>
    <w:rPr>
      <w:sz w:val="80"/>
      <w:lang w:eastAsia="en-US"/>
    </w:rPr>
  </w:style>
  <w:style w:type="paragraph" w:customStyle="1" w:styleId="ACMATableBullet">
    <w:name w:val="ACMA Table Bullet"/>
    <w:rsid w:val="0084122D"/>
    <w:pPr>
      <w:numPr>
        <w:numId w:val="5"/>
      </w:numPr>
      <w:spacing w:before="40" w:after="40"/>
    </w:pPr>
    <w:rPr>
      <w:rFonts w:ascii="Arial" w:hAnsi="Arial"/>
      <w:lang w:eastAsia="en-US"/>
    </w:rPr>
  </w:style>
  <w:style w:type="paragraph" w:customStyle="1" w:styleId="ACMATableCaption">
    <w:name w:val="ACMA Table Caption"/>
    <w:rsid w:val="0084122D"/>
    <w:pPr>
      <w:spacing w:after="120"/>
    </w:pPr>
    <w:rPr>
      <w:rFonts w:ascii="Arial" w:hAnsi="Arial"/>
      <w:lang w:eastAsia="en-US"/>
    </w:rPr>
  </w:style>
  <w:style w:type="paragraph" w:customStyle="1" w:styleId="ACMATableHeading">
    <w:name w:val="ACMA Table Heading"/>
    <w:rsid w:val="0084122D"/>
    <w:pPr>
      <w:spacing w:before="40" w:after="40"/>
    </w:pPr>
    <w:rPr>
      <w:rFonts w:ascii="Arial" w:hAnsi="Arial"/>
      <w:b/>
      <w:lang w:eastAsia="en-US"/>
    </w:rPr>
  </w:style>
  <w:style w:type="paragraph" w:customStyle="1" w:styleId="ACMATableNumber">
    <w:name w:val="ACMA Table Number"/>
    <w:rsid w:val="0084122D"/>
    <w:pPr>
      <w:spacing w:before="160"/>
    </w:pPr>
    <w:rPr>
      <w:rFonts w:ascii="Arial" w:hAnsi="Arial"/>
      <w:b/>
      <w:lang w:eastAsia="en-US"/>
    </w:rPr>
  </w:style>
  <w:style w:type="paragraph" w:customStyle="1" w:styleId="ACMATableText">
    <w:name w:val="ACMA Table Text"/>
    <w:rsid w:val="0084122D"/>
    <w:pPr>
      <w:spacing w:before="40" w:after="40"/>
    </w:pPr>
    <w:rPr>
      <w:rFonts w:ascii="Arial" w:hAnsi="Arial"/>
      <w:lang w:eastAsia="en-US"/>
    </w:rPr>
  </w:style>
  <w:style w:type="paragraph" w:styleId="Footer">
    <w:name w:val="footer"/>
    <w:basedOn w:val="Normal"/>
    <w:rsid w:val="0084122D"/>
    <w:pPr>
      <w:tabs>
        <w:tab w:val="center" w:pos="4320"/>
        <w:tab w:val="right" w:pos="8640"/>
      </w:tabs>
    </w:pPr>
  </w:style>
  <w:style w:type="character" w:styleId="FootnoteReference">
    <w:name w:val="footnote reference"/>
    <w:basedOn w:val="DefaultParagraphFont"/>
    <w:semiHidden/>
    <w:rsid w:val="0084122D"/>
    <w:rPr>
      <w:vertAlign w:val="superscript"/>
    </w:rPr>
  </w:style>
  <w:style w:type="paragraph" w:styleId="FootnoteText">
    <w:name w:val="footnote text"/>
    <w:aliases w:val="ACMA Footnote Text"/>
    <w:rsid w:val="0084122D"/>
    <w:pPr>
      <w:tabs>
        <w:tab w:val="left" w:pos="284"/>
      </w:tabs>
      <w:ind w:left="288" w:hanging="288"/>
    </w:pPr>
    <w:rPr>
      <w:lang w:eastAsia="en-US"/>
    </w:rPr>
  </w:style>
  <w:style w:type="character" w:styleId="Hyperlink">
    <w:name w:val="Hyperlink"/>
    <w:basedOn w:val="DefaultParagraphFont"/>
    <w:rsid w:val="0084122D"/>
    <w:rPr>
      <w:color w:val="0000FF"/>
      <w:u w:val="single"/>
    </w:rPr>
  </w:style>
  <w:style w:type="paragraph" w:customStyle="1" w:styleId="LegislationLvl1">
    <w:name w:val="Legislation Lvl 1"/>
    <w:rsid w:val="0084122D"/>
    <w:pPr>
      <w:numPr>
        <w:numId w:val="9"/>
      </w:numPr>
    </w:pPr>
    <w:rPr>
      <w:bCs/>
      <w:sz w:val="22"/>
      <w:lang w:eastAsia="en-US"/>
    </w:rPr>
  </w:style>
  <w:style w:type="paragraph" w:customStyle="1" w:styleId="LegislationLvl2">
    <w:name w:val="Legislation Lvl 2"/>
    <w:rsid w:val="0084122D"/>
    <w:pPr>
      <w:numPr>
        <w:ilvl w:val="1"/>
        <w:numId w:val="9"/>
      </w:numPr>
    </w:pPr>
    <w:rPr>
      <w:sz w:val="22"/>
      <w:lang w:eastAsia="en-US"/>
    </w:rPr>
  </w:style>
  <w:style w:type="paragraph" w:customStyle="1" w:styleId="LegislationLvl3">
    <w:name w:val="Legislation Lvl 3"/>
    <w:rsid w:val="0084122D"/>
    <w:pPr>
      <w:numPr>
        <w:ilvl w:val="2"/>
        <w:numId w:val="9"/>
      </w:numPr>
    </w:pPr>
    <w:rPr>
      <w:sz w:val="22"/>
      <w:lang w:eastAsia="en-US"/>
    </w:rPr>
  </w:style>
  <w:style w:type="paragraph" w:customStyle="1" w:styleId="LegislationLvl4">
    <w:name w:val="Legislation Lvl 4"/>
    <w:rsid w:val="0084122D"/>
    <w:pPr>
      <w:numPr>
        <w:ilvl w:val="3"/>
        <w:numId w:val="9"/>
      </w:numPr>
    </w:pPr>
    <w:rPr>
      <w:sz w:val="22"/>
      <w:lang w:eastAsia="en-US"/>
    </w:rPr>
  </w:style>
  <w:style w:type="character" w:styleId="PageNumber">
    <w:name w:val="page number"/>
    <w:basedOn w:val="DefaultParagraphFont"/>
    <w:rsid w:val="0084122D"/>
    <w:rPr>
      <w:rFonts w:ascii="Times New Roman" w:hAnsi="Times New Roman"/>
      <w:sz w:val="20"/>
      <w:szCs w:val="20"/>
    </w:rPr>
  </w:style>
  <w:style w:type="paragraph" w:customStyle="1" w:styleId="Pre-NumberedLegisLvl1">
    <w:name w:val="Pre-Numbered Legis Lvl 1"/>
    <w:rsid w:val="0084122D"/>
    <w:pPr>
      <w:ind w:left="850" w:hanging="493"/>
    </w:pPr>
    <w:rPr>
      <w:sz w:val="22"/>
      <w:lang w:eastAsia="en-US"/>
    </w:rPr>
  </w:style>
  <w:style w:type="paragraph" w:customStyle="1" w:styleId="Pre-NumberedLegisLvl2">
    <w:name w:val="Pre-Numbered Legis Lvl 2"/>
    <w:rsid w:val="0084122D"/>
    <w:pPr>
      <w:ind w:left="1367" w:hanging="516"/>
    </w:pPr>
    <w:rPr>
      <w:sz w:val="22"/>
      <w:lang w:eastAsia="en-US"/>
    </w:rPr>
  </w:style>
  <w:style w:type="paragraph" w:customStyle="1" w:styleId="Pre-NumberedLegisLvl3">
    <w:name w:val="Pre-Numbered Legis Lvl 3"/>
    <w:rsid w:val="0084122D"/>
    <w:pPr>
      <w:ind w:left="1985" w:hanging="567"/>
    </w:pPr>
    <w:rPr>
      <w:sz w:val="22"/>
      <w:lang w:eastAsia="en-US"/>
    </w:rPr>
  </w:style>
  <w:style w:type="paragraph" w:customStyle="1" w:styleId="Pre-NumberedLegisLvl4">
    <w:name w:val="Pre-Numbered Legis Lvl 4"/>
    <w:rsid w:val="0084122D"/>
    <w:pPr>
      <w:ind w:left="2721" w:hanging="680"/>
    </w:pPr>
    <w:rPr>
      <w:sz w:val="22"/>
      <w:lang w:eastAsia="en-US"/>
    </w:rPr>
  </w:style>
  <w:style w:type="table" w:styleId="TableGrid">
    <w:name w:val="Table Grid"/>
    <w:basedOn w:val="TableNormal"/>
    <w:rsid w:val="0084122D"/>
    <w:pPr>
      <w:spacing w:before="80" w:after="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ACMA 1"/>
    <w:rsid w:val="0084122D"/>
    <w:pPr>
      <w:spacing w:before="360"/>
    </w:pPr>
    <w:rPr>
      <w:rFonts w:ascii="Arial" w:hAnsi="Arial"/>
      <w:b/>
      <w:bCs/>
      <w:caps/>
      <w:szCs w:val="28"/>
      <w:lang w:eastAsia="en-US"/>
    </w:rPr>
  </w:style>
  <w:style w:type="paragraph" w:styleId="TOC2">
    <w:name w:val="toc 2"/>
    <w:aliases w:val="ACMA 2"/>
    <w:rsid w:val="0084122D"/>
    <w:pPr>
      <w:spacing w:before="240"/>
    </w:pPr>
    <w:rPr>
      <w:bCs/>
      <w:sz w:val="22"/>
      <w:szCs w:val="24"/>
      <w:lang w:eastAsia="en-US"/>
    </w:rPr>
  </w:style>
  <w:style w:type="paragraph" w:styleId="TOC3">
    <w:name w:val="toc 3"/>
    <w:aliases w:val="ACMA 3"/>
    <w:rsid w:val="0084122D"/>
    <w:pPr>
      <w:ind w:left="198"/>
    </w:pPr>
    <w:rPr>
      <w:sz w:val="22"/>
      <w:szCs w:val="24"/>
      <w:lang w:eastAsia="en-US"/>
    </w:rPr>
  </w:style>
  <w:style w:type="character" w:styleId="Emphasis">
    <w:name w:val="Emphasis"/>
    <w:basedOn w:val="DefaultParagraphFont"/>
    <w:qFormat/>
    <w:rsid w:val="00D16E24"/>
    <w:rPr>
      <w:i/>
    </w:rPr>
  </w:style>
  <w:style w:type="paragraph" w:styleId="BodyText">
    <w:name w:val="Body Text"/>
    <w:basedOn w:val="Normal"/>
    <w:link w:val="BodyTextChar"/>
    <w:rsid w:val="00D16E24"/>
    <w:pPr>
      <w:spacing w:after="120"/>
    </w:pPr>
    <w:rPr>
      <w:sz w:val="24"/>
    </w:rPr>
  </w:style>
  <w:style w:type="paragraph" w:customStyle="1" w:styleId="indenta">
    <w:name w:val="indent(a)"/>
    <w:aliases w:val="a"/>
    <w:basedOn w:val="Normal"/>
    <w:rsid w:val="00D16E24"/>
    <w:pPr>
      <w:tabs>
        <w:tab w:val="right" w:pos="1531"/>
      </w:tabs>
      <w:overflowPunct/>
      <w:autoSpaceDE/>
      <w:autoSpaceDN/>
      <w:adjustRightInd/>
      <w:spacing w:before="40" w:line="260" w:lineRule="atLeast"/>
      <w:ind w:left="1644" w:hanging="1644"/>
      <w:textAlignment w:val="auto"/>
    </w:pPr>
    <w:rPr>
      <w:rFonts w:ascii="Times" w:hAnsi="Times"/>
      <w:sz w:val="22"/>
      <w:lang w:eastAsia="en-US"/>
    </w:rPr>
  </w:style>
  <w:style w:type="paragraph" w:customStyle="1" w:styleId="RGPara">
    <w:name w:val="RGPara"/>
    <w:aliases w:val="Readers Guide Para"/>
    <w:basedOn w:val="Normal"/>
    <w:rsid w:val="00D16E24"/>
    <w:pPr>
      <w:overflowPunct/>
      <w:autoSpaceDE/>
      <w:autoSpaceDN/>
      <w:adjustRightInd/>
      <w:spacing w:before="120" w:line="260" w:lineRule="exact"/>
      <w:jc w:val="both"/>
      <w:textAlignment w:val="auto"/>
    </w:pPr>
    <w:rPr>
      <w:rFonts w:ascii="Times" w:hAnsi="Times"/>
      <w:sz w:val="24"/>
      <w:lang w:eastAsia="en-US"/>
    </w:rPr>
  </w:style>
  <w:style w:type="paragraph" w:styleId="BalloonText">
    <w:name w:val="Balloon Text"/>
    <w:basedOn w:val="Normal"/>
    <w:semiHidden/>
    <w:rsid w:val="0003746E"/>
    <w:rPr>
      <w:rFonts w:ascii="Tahoma" w:hAnsi="Tahoma" w:cs="Tahoma"/>
      <w:sz w:val="16"/>
      <w:szCs w:val="16"/>
    </w:rPr>
  </w:style>
  <w:style w:type="character" w:styleId="CommentReference">
    <w:name w:val="annotation reference"/>
    <w:basedOn w:val="DefaultParagraphFont"/>
    <w:uiPriority w:val="99"/>
    <w:semiHidden/>
    <w:rsid w:val="00AF5D62"/>
    <w:rPr>
      <w:sz w:val="16"/>
      <w:szCs w:val="16"/>
    </w:rPr>
  </w:style>
  <w:style w:type="paragraph" w:styleId="CommentText">
    <w:name w:val="annotation text"/>
    <w:basedOn w:val="Normal"/>
    <w:link w:val="CommentTextChar"/>
    <w:uiPriority w:val="99"/>
    <w:semiHidden/>
    <w:rsid w:val="00AF5D62"/>
  </w:style>
  <w:style w:type="paragraph" w:styleId="CommentSubject">
    <w:name w:val="annotation subject"/>
    <w:basedOn w:val="CommentText"/>
    <w:next w:val="CommentText"/>
    <w:semiHidden/>
    <w:rsid w:val="00AF5D62"/>
    <w:rPr>
      <w:b/>
      <w:bCs/>
    </w:rPr>
  </w:style>
  <w:style w:type="paragraph" w:styleId="ListParagraph">
    <w:name w:val="List Paragraph"/>
    <w:basedOn w:val="Normal"/>
    <w:uiPriority w:val="34"/>
    <w:qFormat/>
    <w:rsid w:val="00FB1F75"/>
    <w:pPr>
      <w:overflowPunct/>
      <w:autoSpaceDE/>
      <w:autoSpaceDN/>
      <w:adjustRightInd/>
      <w:ind w:left="720"/>
      <w:contextualSpacing/>
      <w:textAlignment w:val="auto"/>
    </w:pPr>
    <w:rPr>
      <w:rFonts w:ascii="Arial" w:hAnsi="Arial"/>
      <w:lang w:eastAsia="en-US" w:bidi="he-IL"/>
    </w:rPr>
  </w:style>
  <w:style w:type="character" w:customStyle="1" w:styleId="ACMABodyTextChar">
    <w:name w:val="ACMA Body Text Char"/>
    <w:basedOn w:val="DefaultParagraphFont"/>
    <w:link w:val="ACMABodyText"/>
    <w:rsid w:val="00DA1434"/>
    <w:rPr>
      <w:snapToGrid w:val="0"/>
      <w:sz w:val="24"/>
      <w:lang w:val="en-AU" w:eastAsia="en-US" w:bidi="ar-SA"/>
    </w:rPr>
  </w:style>
  <w:style w:type="character" w:customStyle="1" w:styleId="CommentTextChar">
    <w:name w:val="Comment Text Char"/>
    <w:basedOn w:val="DefaultParagraphFont"/>
    <w:link w:val="CommentText"/>
    <w:uiPriority w:val="99"/>
    <w:semiHidden/>
    <w:rsid w:val="00EC223A"/>
  </w:style>
  <w:style w:type="character" w:customStyle="1" w:styleId="BodyTextChar">
    <w:name w:val="Body Text Char"/>
    <w:basedOn w:val="DefaultParagraphFont"/>
    <w:link w:val="BodyText"/>
    <w:rsid w:val="003D105C"/>
    <w:rPr>
      <w:sz w:val="24"/>
    </w:rPr>
  </w:style>
  <w:style w:type="paragraph" w:styleId="Revision">
    <w:name w:val="Revision"/>
    <w:hidden/>
    <w:uiPriority w:val="99"/>
    <w:semiHidden/>
    <w:rsid w:val="00D4785C"/>
  </w:style>
  <w:style w:type="paragraph" w:styleId="Header">
    <w:name w:val="header"/>
    <w:basedOn w:val="Normal"/>
    <w:link w:val="HeaderChar"/>
    <w:unhideWhenUsed/>
    <w:rsid w:val="001F4D7A"/>
    <w:pPr>
      <w:tabs>
        <w:tab w:val="center" w:pos="4513"/>
        <w:tab w:val="right" w:pos="9026"/>
      </w:tabs>
    </w:pPr>
  </w:style>
  <w:style w:type="character" w:customStyle="1" w:styleId="HeaderChar">
    <w:name w:val="Header Char"/>
    <w:basedOn w:val="DefaultParagraphFont"/>
    <w:link w:val="Header"/>
    <w:rsid w:val="001F4D7A"/>
  </w:style>
  <w:style w:type="character" w:styleId="FollowedHyperlink">
    <w:name w:val="FollowedHyperlink"/>
    <w:basedOn w:val="DefaultParagraphFont"/>
    <w:semiHidden/>
    <w:unhideWhenUsed/>
    <w:rsid w:val="00C76278"/>
    <w:rPr>
      <w:color w:val="800080" w:themeColor="followedHyperlink"/>
      <w:u w:val="single"/>
    </w:rPr>
  </w:style>
  <w:style w:type="character" w:styleId="UnresolvedMention">
    <w:name w:val="Unresolved Mention"/>
    <w:basedOn w:val="DefaultParagraphFont"/>
    <w:uiPriority w:val="99"/>
    <w:semiHidden/>
    <w:unhideWhenUsed/>
    <w:rsid w:val="00470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92142">
      <w:bodyDiv w:val="1"/>
      <w:marLeft w:val="0"/>
      <w:marRight w:val="0"/>
      <w:marTop w:val="0"/>
      <w:marBottom w:val="0"/>
      <w:divBdr>
        <w:top w:val="none" w:sz="0" w:space="0" w:color="auto"/>
        <w:left w:val="none" w:sz="0" w:space="0" w:color="auto"/>
        <w:bottom w:val="none" w:sz="0" w:space="0" w:color="auto"/>
        <w:right w:val="none" w:sz="0" w:space="0" w:color="auto"/>
      </w:divBdr>
    </w:div>
    <w:div w:id="1459571022">
      <w:bodyDiv w:val="1"/>
      <w:marLeft w:val="0"/>
      <w:marRight w:val="0"/>
      <w:marTop w:val="0"/>
      <w:marBottom w:val="0"/>
      <w:divBdr>
        <w:top w:val="none" w:sz="0" w:space="0" w:color="auto"/>
        <w:left w:val="none" w:sz="0" w:space="0" w:color="auto"/>
        <w:bottom w:val="none" w:sz="0" w:space="0" w:color="auto"/>
        <w:right w:val="none" w:sz="0" w:space="0" w:color="auto"/>
      </w:divBdr>
    </w:div>
    <w:div w:id="1664580840">
      <w:bodyDiv w:val="1"/>
      <w:marLeft w:val="0"/>
      <w:marRight w:val="0"/>
      <w:marTop w:val="0"/>
      <w:marBottom w:val="0"/>
      <w:divBdr>
        <w:top w:val="none" w:sz="0" w:space="0" w:color="auto"/>
        <w:left w:val="none" w:sz="0" w:space="0" w:color="auto"/>
        <w:bottom w:val="none" w:sz="0" w:space="0" w:color="auto"/>
        <w:right w:val="none" w:sz="0" w:space="0" w:color="auto"/>
      </w:divBdr>
      <w:divsChild>
        <w:div w:id="1442872701">
          <w:marLeft w:val="0"/>
          <w:marRight w:val="0"/>
          <w:marTop w:val="0"/>
          <w:marBottom w:val="0"/>
          <w:divBdr>
            <w:top w:val="none" w:sz="0" w:space="0" w:color="auto"/>
            <w:left w:val="none" w:sz="0" w:space="0" w:color="auto"/>
            <w:bottom w:val="none" w:sz="0" w:space="0" w:color="auto"/>
            <w:right w:val="none" w:sz="0" w:space="0" w:color="auto"/>
          </w:divBdr>
          <w:divsChild>
            <w:div w:id="236744067">
              <w:marLeft w:val="0"/>
              <w:marRight w:val="0"/>
              <w:marTop w:val="0"/>
              <w:marBottom w:val="0"/>
              <w:divBdr>
                <w:top w:val="none" w:sz="0" w:space="0" w:color="auto"/>
                <w:left w:val="none" w:sz="0" w:space="0" w:color="auto"/>
                <w:bottom w:val="none" w:sz="0" w:space="0" w:color="auto"/>
                <w:right w:val="none" w:sz="0" w:space="0" w:color="auto"/>
              </w:divBdr>
              <w:divsChild>
                <w:div w:id="424228858">
                  <w:marLeft w:val="0"/>
                  <w:marRight w:val="0"/>
                  <w:marTop w:val="0"/>
                  <w:marBottom w:val="0"/>
                  <w:divBdr>
                    <w:top w:val="none" w:sz="0" w:space="0" w:color="auto"/>
                    <w:left w:val="none" w:sz="0" w:space="0" w:color="auto"/>
                    <w:bottom w:val="none" w:sz="0" w:space="0" w:color="auto"/>
                    <w:right w:val="none" w:sz="0" w:space="0" w:color="auto"/>
                  </w:divBdr>
                  <w:divsChild>
                    <w:div w:id="1261986844">
                      <w:marLeft w:val="-225"/>
                      <w:marRight w:val="-225"/>
                      <w:marTop w:val="0"/>
                      <w:marBottom w:val="0"/>
                      <w:divBdr>
                        <w:top w:val="none" w:sz="0" w:space="0" w:color="auto"/>
                        <w:left w:val="none" w:sz="0" w:space="0" w:color="auto"/>
                        <w:bottom w:val="none" w:sz="0" w:space="0" w:color="auto"/>
                        <w:right w:val="none" w:sz="0" w:space="0" w:color="auto"/>
                      </w:divBdr>
                      <w:divsChild>
                        <w:div w:id="1030759211">
                          <w:marLeft w:val="-225"/>
                          <w:marRight w:val="-225"/>
                          <w:marTop w:val="0"/>
                          <w:marBottom w:val="0"/>
                          <w:divBdr>
                            <w:top w:val="none" w:sz="0" w:space="0" w:color="auto"/>
                            <w:left w:val="none" w:sz="0" w:space="0" w:color="auto"/>
                            <w:bottom w:val="none" w:sz="0" w:space="0" w:color="auto"/>
                            <w:right w:val="none" w:sz="0" w:space="0" w:color="auto"/>
                          </w:divBdr>
                          <w:divsChild>
                            <w:div w:id="1353410275">
                              <w:marLeft w:val="0"/>
                              <w:marRight w:val="0"/>
                              <w:marTop w:val="0"/>
                              <w:marBottom w:val="0"/>
                              <w:divBdr>
                                <w:top w:val="none" w:sz="0" w:space="0" w:color="auto"/>
                                <w:left w:val="none" w:sz="0" w:space="0" w:color="auto"/>
                                <w:bottom w:val="none" w:sz="0" w:space="0" w:color="auto"/>
                                <w:right w:val="none" w:sz="0" w:space="0" w:color="auto"/>
                              </w:divBdr>
                              <w:divsChild>
                                <w:div w:id="1294098431">
                                  <w:marLeft w:val="0"/>
                                  <w:marRight w:val="0"/>
                                  <w:marTop w:val="0"/>
                                  <w:marBottom w:val="0"/>
                                  <w:divBdr>
                                    <w:top w:val="none" w:sz="0" w:space="0" w:color="auto"/>
                                    <w:left w:val="none" w:sz="0" w:space="0" w:color="auto"/>
                                    <w:bottom w:val="none" w:sz="0" w:space="0" w:color="auto"/>
                                    <w:right w:val="none" w:sz="0" w:space="0" w:color="auto"/>
                                  </w:divBdr>
                                  <w:divsChild>
                                    <w:div w:id="1619413740">
                                      <w:marLeft w:val="-225"/>
                                      <w:marRight w:val="-225"/>
                                      <w:marTop w:val="0"/>
                                      <w:marBottom w:val="0"/>
                                      <w:divBdr>
                                        <w:top w:val="none" w:sz="0" w:space="0" w:color="auto"/>
                                        <w:left w:val="none" w:sz="0" w:space="0" w:color="auto"/>
                                        <w:bottom w:val="none" w:sz="0" w:space="0" w:color="auto"/>
                                        <w:right w:val="none" w:sz="0" w:space="0" w:color="auto"/>
                                      </w:divBdr>
                                      <w:divsChild>
                                        <w:div w:id="1186141668">
                                          <w:marLeft w:val="0"/>
                                          <w:marRight w:val="0"/>
                                          <w:marTop w:val="0"/>
                                          <w:marBottom w:val="0"/>
                                          <w:divBdr>
                                            <w:top w:val="none" w:sz="0" w:space="0" w:color="auto"/>
                                            <w:left w:val="none" w:sz="0" w:space="0" w:color="auto"/>
                                            <w:bottom w:val="none" w:sz="0" w:space="0" w:color="auto"/>
                                            <w:right w:val="none" w:sz="0" w:space="0" w:color="auto"/>
                                          </w:divBdr>
                                          <w:divsChild>
                                            <w:div w:id="12314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4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ma.gov.au/theACMA/class-licensing-updates-supporting-5g-and-other-technology-innov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si.org" TargetMode="External"/><Relationship Id="rId5" Type="http://schemas.openxmlformats.org/officeDocument/2006/relationships/numbering" Target="numbering.xml"/><Relationship Id="rId15" Type="http://schemas.openxmlformats.org/officeDocument/2006/relationships/hyperlink" Target="https://www.acma.gov.au/theACMA/class-licensing-updates-supporting-5g-and-other-technology-innov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18G01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5A5086EF26D4CA4BE251424758475" ma:contentTypeVersion="10" ma:contentTypeDescription="Create a new document." ma:contentTypeScope="" ma:versionID="0b4b8faca86455d1c3e1d41cabf0f5c3">
  <xsd:schema xmlns:xsd="http://www.w3.org/2001/XMLSchema" xmlns:xs="http://www.w3.org/2001/XMLSchema" xmlns:p="http://schemas.microsoft.com/office/2006/metadata/properties" xmlns:ns3="ffcaacd4-51b0-487d-9500-5676dac395a7" xmlns:ns4="fe763861-97b4-4142-9b42-ef40e7c6d928" targetNamespace="http://schemas.microsoft.com/office/2006/metadata/properties" ma:root="true" ma:fieldsID="a0a5a716d33a9fbdb302fe0968d2cf29" ns3:_="" ns4:_="">
    <xsd:import namespace="ffcaacd4-51b0-487d-9500-5676dac395a7"/>
    <xsd:import namespace="fe763861-97b4-4142-9b42-ef40e7c6d9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acd4-51b0-487d-9500-5676dac3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63861-97b4-4142-9b42-ef40e7c6d9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3AF40-6E13-4105-8AA8-69DE37467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acd4-51b0-487d-9500-5676dac395a7"/>
    <ds:schemaRef ds:uri="fe763861-97b4-4142-9b42-ef40e7c6d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7E9CD-D0A3-4CE8-B51C-FC3574193E2F}">
  <ds:schemaRefs>
    <ds:schemaRef ds:uri="http://purl.org/dc/elements/1.1/"/>
    <ds:schemaRef ds:uri="http://schemas.openxmlformats.org/package/2006/metadata/core-properties"/>
    <ds:schemaRef ds:uri="http://purl.org/dc/dcmitype/"/>
    <ds:schemaRef ds:uri="http://schemas.microsoft.com/office/infopath/2007/PartnerControls"/>
    <ds:schemaRef ds:uri="ffcaacd4-51b0-487d-9500-5676dac395a7"/>
    <ds:schemaRef ds:uri="http://schemas.microsoft.com/office/2006/metadata/properties"/>
    <ds:schemaRef ds:uri="http://schemas.microsoft.com/office/2006/documentManagement/types"/>
    <ds:schemaRef ds:uri="fe763861-97b4-4142-9b42-ef40e7c6d928"/>
    <ds:schemaRef ds:uri="http://www.w3.org/XML/1998/namespace"/>
    <ds:schemaRef ds:uri="http://purl.org/dc/terms/"/>
  </ds:schemaRefs>
</ds:datastoreItem>
</file>

<file path=customXml/itemProps3.xml><?xml version="1.0" encoding="utf-8"?>
<ds:datastoreItem xmlns:ds="http://schemas.openxmlformats.org/officeDocument/2006/customXml" ds:itemID="{19BA4CEB-3376-41B7-9CC6-6A7673B8C824}">
  <ds:schemaRefs>
    <ds:schemaRef ds:uri="http://schemas.microsoft.com/sharepoint/v3/contenttype/forms"/>
  </ds:schemaRefs>
</ds:datastoreItem>
</file>

<file path=customXml/itemProps4.xml><?xml version="1.0" encoding="utf-8"?>
<ds:datastoreItem xmlns:ds="http://schemas.openxmlformats.org/officeDocument/2006/customXml" ds:itemID="{3DB8164C-E8B3-431B-881F-EB56DFB7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3289</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Communications Media Authority</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dveitch</dc:creator>
  <cp:lastModifiedBy>Patrick Belton</cp:lastModifiedBy>
  <cp:revision>10</cp:revision>
  <cp:lastPrinted>2019-07-19T04:23:00Z</cp:lastPrinted>
  <dcterms:created xsi:type="dcterms:W3CDTF">2019-08-15T04:46:00Z</dcterms:created>
  <dcterms:modified xsi:type="dcterms:W3CDTF">2019-08-15T04:56:00Z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535346f8-b74a-44e8-9844-3da150944f07</vt:lpwstr>
  </property>
  <property fmtid="{D5CDD505-2E9C-101B-9397-08002B2CF9AE}" pid="3" name="ContentTypeId">
    <vt:lpwstr>0x0101008555A5086EF26D4CA4BE251424758475</vt:lpwstr>
  </property>
</Properties>
</file>