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f5548df07374f76"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29" w:rsidRPr="00E85296" w:rsidRDefault="001A6529" w:rsidP="00E85296">
      <w:pPr>
        <w:spacing w:before="40" w:after="40"/>
        <w:jc w:val="center"/>
        <w:rPr>
          <w:rFonts w:cs="Arial"/>
          <w:b/>
          <w:color w:val="000000"/>
          <w:sz w:val="24"/>
          <w:szCs w:val="24"/>
          <w:u w:val="single"/>
        </w:rPr>
      </w:pPr>
      <w:r w:rsidRPr="00E85296">
        <w:rPr>
          <w:rFonts w:cs="Arial"/>
          <w:b/>
          <w:color w:val="000000"/>
          <w:sz w:val="24"/>
          <w:szCs w:val="24"/>
          <w:u w:val="single"/>
        </w:rPr>
        <w:t>EXPLANATORY STATEMENT</w:t>
      </w:r>
    </w:p>
    <w:p w:rsidR="001A6529" w:rsidRPr="00E85296" w:rsidRDefault="001A6529" w:rsidP="00E85296">
      <w:pPr>
        <w:spacing w:before="40" w:after="40"/>
        <w:rPr>
          <w:rFonts w:cs="Arial"/>
          <w:color w:val="000000"/>
          <w:sz w:val="24"/>
          <w:szCs w:val="24"/>
        </w:rPr>
      </w:pPr>
    </w:p>
    <w:p w:rsidR="001A6529" w:rsidRPr="00E85296" w:rsidRDefault="00BA1CA8" w:rsidP="00E85296">
      <w:pPr>
        <w:spacing w:before="40" w:after="40"/>
        <w:jc w:val="center"/>
        <w:rPr>
          <w:rFonts w:cs="Arial"/>
          <w:i/>
          <w:color w:val="A6A6A6"/>
          <w:sz w:val="24"/>
          <w:szCs w:val="24"/>
        </w:rPr>
      </w:pPr>
      <w:r w:rsidRPr="00BA1CA8">
        <w:rPr>
          <w:rFonts w:cs="Arial"/>
          <w:b/>
          <w:i/>
          <w:sz w:val="24"/>
          <w:szCs w:val="24"/>
        </w:rPr>
        <w:t>Education Services for Overseas Students (</w:t>
      </w:r>
      <w:r w:rsidR="006115AA">
        <w:rPr>
          <w:rFonts w:cs="Arial"/>
          <w:b/>
          <w:i/>
          <w:sz w:val="24"/>
          <w:szCs w:val="24"/>
        </w:rPr>
        <w:t xml:space="preserve">ASQA </w:t>
      </w:r>
      <w:r w:rsidRPr="00BA1CA8">
        <w:rPr>
          <w:rFonts w:cs="Arial"/>
          <w:b/>
          <w:i/>
          <w:sz w:val="24"/>
          <w:szCs w:val="24"/>
        </w:rPr>
        <w:t xml:space="preserve">Registration Renewal Application Period) </w:t>
      </w:r>
      <w:r w:rsidR="00E17C21">
        <w:rPr>
          <w:rFonts w:cs="Arial"/>
          <w:b/>
          <w:i/>
          <w:sz w:val="24"/>
          <w:szCs w:val="24"/>
        </w:rPr>
        <w:t>Determination</w:t>
      </w:r>
      <w:r w:rsidR="00E17C21" w:rsidRPr="00BA1CA8">
        <w:rPr>
          <w:rFonts w:cs="Arial"/>
          <w:b/>
          <w:i/>
          <w:sz w:val="24"/>
          <w:szCs w:val="24"/>
        </w:rPr>
        <w:t xml:space="preserve"> </w:t>
      </w:r>
      <w:r w:rsidRPr="00BA1CA8">
        <w:rPr>
          <w:rFonts w:cs="Arial"/>
          <w:b/>
          <w:i/>
          <w:sz w:val="24"/>
          <w:szCs w:val="24"/>
        </w:rPr>
        <w:t>201</w:t>
      </w:r>
      <w:r w:rsidR="001D5F45">
        <w:rPr>
          <w:rFonts w:cs="Arial"/>
          <w:b/>
          <w:i/>
          <w:sz w:val="24"/>
          <w:szCs w:val="24"/>
        </w:rPr>
        <w:t>9</w:t>
      </w:r>
    </w:p>
    <w:p w:rsidR="001A6529" w:rsidRPr="00E85296" w:rsidRDefault="001A6529" w:rsidP="00E85296">
      <w:pPr>
        <w:spacing w:before="40" w:after="40"/>
        <w:rPr>
          <w:rFonts w:cs="Arial"/>
          <w:color w:val="000000"/>
          <w:sz w:val="24"/>
          <w:szCs w:val="24"/>
        </w:rPr>
      </w:pPr>
    </w:p>
    <w:p w:rsidR="001A6529" w:rsidRPr="00E85296" w:rsidRDefault="001A6529" w:rsidP="00E85296">
      <w:pPr>
        <w:spacing w:before="40" w:after="40"/>
        <w:rPr>
          <w:rFonts w:cs="Arial"/>
          <w:color w:val="000000"/>
          <w:sz w:val="24"/>
          <w:szCs w:val="24"/>
          <w:u w:val="single"/>
        </w:rPr>
      </w:pPr>
      <w:r w:rsidRPr="00E85296">
        <w:rPr>
          <w:rFonts w:cs="Arial"/>
          <w:color w:val="000000"/>
          <w:sz w:val="24"/>
          <w:szCs w:val="24"/>
          <w:u w:val="single"/>
        </w:rPr>
        <w:t xml:space="preserve">Issued by the authority of the </w:t>
      </w:r>
      <w:r w:rsidR="006115AA">
        <w:rPr>
          <w:rFonts w:cs="Arial"/>
          <w:color w:val="000000"/>
          <w:sz w:val="24"/>
          <w:szCs w:val="24"/>
          <w:u w:val="single"/>
        </w:rPr>
        <w:t>Australian Skills Quality Authority</w:t>
      </w:r>
      <w:r w:rsidR="0041479B" w:rsidRPr="00E85296">
        <w:rPr>
          <w:rFonts w:cs="Arial"/>
          <w:color w:val="000000"/>
          <w:sz w:val="24"/>
          <w:szCs w:val="24"/>
          <w:u w:val="single"/>
        </w:rPr>
        <w:t xml:space="preserve"> (</w:t>
      </w:r>
      <w:r w:rsidR="006115AA">
        <w:rPr>
          <w:rFonts w:cs="Arial"/>
          <w:color w:val="000000"/>
          <w:sz w:val="24"/>
          <w:szCs w:val="24"/>
          <w:u w:val="single"/>
        </w:rPr>
        <w:t>ASQA</w:t>
      </w:r>
      <w:r w:rsidR="0041479B" w:rsidRPr="00E85296">
        <w:rPr>
          <w:rFonts w:cs="Arial"/>
          <w:color w:val="000000"/>
          <w:sz w:val="24"/>
          <w:szCs w:val="24"/>
          <w:u w:val="single"/>
        </w:rPr>
        <w:t>)</w:t>
      </w:r>
    </w:p>
    <w:p w:rsidR="001A6529" w:rsidRPr="00E85296" w:rsidRDefault="001A6529" w:rsidP="00E85296">
      <w:pPr>
        <w:spacing w:before="40" w:after="40"/>
        <w:rPr>
          <w:rFonts w:cs="Arial"/>
          <w:color w:val="000000"/>
          <w:sz w:val="24"/>
          <w:szCs w:val="24"/>
        </w:rPr>
      </w:pPr>
    </w:p>
    <w:p w:rsidR="001A6529" w:rsidRPr="00E85296" w:rsidRDefault="001A6529" w:rsidP="00E85296">
      <w:pPr>
        <w:spacing w:before="40" w:after="40"/>
        <w:rPr>
          <w:rFonts w:cs="Arial"/>
          <w:color w:val="000000"/>
          <w:sz w:val="24"/>
          <w:szCs w:val="24"/>
        </w:rPr>
      </w:pPr>
    </w:p>
    <w:p w:rsidR="001A6529" w:rsidRPr="00E85296" w:rsidRDefault="001A6529" w:rsidP="00BA1CA8">
      <w:pPr>
        <w:spacing w:before="40" w:after="40"/>
        <w:ind w:left="2160" w:hanging="2160"/>
        <w:rPr>
          <w:rFonts w:cs="Arial"/>
          <w:i/>
          <w:sz w:val="24"/>
          <w:szCs w:val="24"/>
        </w:rPr>
      </w:pPr>
      <w:r w:rsidRPr="00E85296">
        <w:rPr>
          <w:rFonts w:cs="Arial"/>
          <w:b/>
          <w:color w:val="000000"/>
          <w:sz w:val="24"/>
          <w:szCs w:val="24"/>
          <w:u w:val="single"/>
        </w:rPr>
        <w:t>Subject:</w:t>
      </w:r>
      <w:r w:rsidRPr="00E85296">
        <w:rPr>
          <w:rFonts w:cs="Arial"/>
          <w:color w:val="000000"/>
          <w:sz w:val="24"/>
          <w:szCs w:val="24"/>
        </w:rPr>
        <w:t xml:space="preserve"> </w:t>
      </w:r>
      <w:r w:rsidRPr="00E85296">
        <w:rPr>
          <w:rFonts w:cs="Arial"/>
          <w:color w:val="000000"/>
          <w:sz w:val="24"/>
          <w:szCs w:val="24"/>
        </w:rPr>
        <w:tab/>
      </w:r>
      <w:r w:rsidR="00BA1CA8" w:rsidRPr="00BA1CA8">
        <w:rPr>
          <w:rFonts w:cs="Arial"/>
          <w:i/>
          <w:sz w:val="24"/>
          <w:szCs w:val="24"/>
        </w:rPr>
        <w:t>Education Services for Overseas Students (</w:t>
      </w:r>
      <w:r w:rsidR="006115AA">
        <w:rPr>
          <w:rFonts w:cs="Arial"/>
          <w:i/>
          <w:sz w:val="24"/>
          <w:szCs w:val="24"/>
        </w:rPr>
        <w:t xml:space="preserve">ASQA </w:t>
      </w:r>
      <w:r w:rsidR="00BA1CA8" w:rsidRPr="00BA1CA8">
        <w:rPr>
          <w:rFonts w:cs="Arial"/>
          <w:i/>
          <w:sz w:val="24"/>
          <w:szCs w:val="24"/>
        </w:rPr>
        <w:t xml:space="preserve">Registration Renewal Application Period) </w:t>
      </w:r>
      <w:r w:rsidR="00CD254E">
        <w:rPr>
          <w:rFonts w:cs="Arial"/>
          <w:i/>
          <w:sz w:val="24"/>
          <w:szCs w:val="24"/>
        </w:rPr>
        <w:t>Determination</w:t>
      </w:r>
      <w:r w:rsidR="00BA1CA8" w:rsidRPr="00BA1CA8">
        <w:rPr>
          <w:rFonts w:cs="Arial"/>
          <w:i/>
          <w:sz w:val="24"/>
          <w:szCs w:val="24"/>
        </w:rPr>
        <w:t xml:space="preserve"> 201</w:t>
      </w:r>
      <w:r w:rsidR="001D5F45">
        <w:rPr>
          <w:rFonts w:cs="Arial"/>
          <w:i/>
          <w:sz w:val="24"/>
          <w:szCs w:val="24"/>
        </w:rPr>
        <w:t>9</w:t>
      </w:r>
    </w:p>
    <w:p w:rsidR="001A6529" w:rsidRPr="00E85296" w:rsidRDefault="001A6529" w:rsidP="00E85296">
      <w:pPr>
        <w:spacing w:before="40" w:after="40"/>
        <w:rPr>
          <w:rFonts w:cs="Arial"/>
          <w:b/>
          <w:color w:val="000000"/>
          <w:sz w:val="24"/>
          <w:szCs w:val="24"/>
          <w:u w:val="single"/>
        </w:rPr>
      </w:pPr>
    </w:p>
    <w:p w:rsidR="001A6529" w:rsidRPr="00E85296" w:rsidRDefault="001A6529" w:rsidP="00E85296">
      <w:pPr>
        <w:spacing w:before="40" w:after="40"/>
        <w:rPr>
          <w:rFonts w:cs="Arial"/>
          <w:b/>
          <w:color w:val="000000"/>
          <w:sz w:val="24"/>
          <w:szCs w:val="24"/>
          <w:u w:val="single"/>
        </w:rPr>
      </w:pPr>
      <w:r w:rsidRPr="00E85296">
        <w:rPr>
          <w:rFonts w:cs="Arial"/>
          <w:b/>
          <w:color w:val="000000"/>
          <w:sz w:val="24"/>
          <w:szCs w:val="24"/>
          <w:u w:val="single"/>
        </w:rPr>
        <w:t>Authority</w:t>
      </w:r>
    </w:p>
    <w:p w:rsidR="001A6529" w:rsidRPr="00E85296" w:rsidRDefault="001A6529" w:rsidP="00BA1CA8">
      <w:pPr>
        <w:spacing w:before="40" w:after="40"/>
        <w:jc w:val="right"/>
        <w:rPr>
          <w:rFonts w:cs="Arial"/>
          <w:b/>
          <w:color w:val="000000"/>
          <w:sz w:val="24"/>
          <w:szCs w:val="24"/>
          <w:u w:val="single"/>
        </w:rPr>
      </w:pPr>
    </w:p>
    <w:p w:rsidR="00F403F9" w:rsidRPr="00255F3D" w:rsidRDefault="00392AE1" w:rsidP="00E85296">
      <w:pPr>
        <w:spacing w:before="40" w:after="40"/>
        <w:rPr>
          <w:rFonts w:cs="Arial"/>
          <w:color w:val="000000"/>
          <w:sz w:val="24"/>
          <w:szCs w:val="24"/>
        </w:rPr>
      </w:pPr>
      <w:r w:rsidRPr="00255F3D">
        <w:rPr>
          <w:rFonts w:cs="Arial"/>
          <w:color w:val="000000"/>
          <w:sz w:val="24"/>
          <w:szCs w:val="24"/>
        </w:rPr>
        <w:t xml:space="preserve">Section </w:t>
      </w:r>
      <w:r w:rsidR="00BA1CA8" w:rsidRPr="00255F3D">
        <w:rPr>
          <w:rFonts w:cs="Arial"/>
          <w:color w:val="000000"/>
          <w:sz w:val="24"/>
          <w:szCs w:val="24"/>
        </w:rPr>
        <w:t>10D(</w:t>
      </w:r>
      <w:r w:rsidR="00C21B78" w:rsidRPr="00255F3D">
        <w:rPr>
          <w:rFonts w:cs="Arial"/>
          <w:color w:val="000000"/>
          <w:sz w:val="24"/>
          <w:szCs w:val="24"/>
        </w:rPr>
        <w:t>3</w:t>
      </w:r>
      <w:r w:rsidR="00BA1CA8" w:rsidRPr="00255F3D">
        <w:rPr>
          <w:rFonts w:cs="Arial"/>
          <w:color w:val="000000"/>
          <w:sz w:val="24"/>
          <w:szCs w:val="24"/>
        </w:rPr>
        <w:t>)</w:t>
      </w:r>
      <w:r w:rsidRPr="00255F3D">
        <w:rPr>
          <w:rFonts w:cs="Arial"/>
          <w:color w:val="000000"/>
          <w:sz w:val="24"/>
          <w:szCs w:val="24"/>
        </w:rPr>
        <w:t xml:space="preserve"> </w:t>
      </w:r>
      <w:r w:rsidR="001A6529" w:rsidRPr="00255F3D">
        <w:rPr>
          <w:rFonts w:cs="Arial"/>
          <w:color w:val="000000"/>
          <w:sz w:val="24"/>
          <w:szCs w:val="24"/>
        </w:rPr>
        <w:t xml:space="preserve">of the </w:t>
      </w:r>
      <w:r w:rsidR="00BA1CA8" w:rsidRPr="00255F3D">
        <w:rPr>
          <w:rFonts w:cs="Arial"/>
          <w:i/>
          <w:sz w:val="24"/>
          <w:szCs w:val="24"/>
        </w:rPr>
        <w:t>Education Services for Overseas Students Act 2000</w:t>
      </w:r>
      <w:r w:rsidR="00F30121" w:rsidRPr="00255F3D">
        <w:rPr>
          <w:rFonts w:cs="Arial"/>
          <w:sz w:val="24"/>
          <w:szCs w:val="24"/>
        </w:rPr>
        <w:t xml:space="preserve"> </w:t>
      </w:r>
      <w:r w:rsidR="001A6529" w:rsidRPr="00255F3D">
        <w:rPr>
          <w:rFonts w:cs="Arial"/>
          <w:color w:val="000000"/>
          <w:sz w:val="24"/>
          <w:szCs w:val="24"/>
        </w:rPr>
        <w:t>(</w:t>
      </w:r>
      <w:r w:rsidR="00C21B78" w:rsidRPr="00255F3D">
        <w:rPr>
          <w:rFonts w:cs="Arial"/>
          <w:color w:val="000000"/>
          <w:sz w:val="24"/>
          <w:szCs w:val="24"/>
        </w:rPr>
        <w:t>ESOS</w:t>
      </w:r>
      <w:r w:rsidR="000664FE" w:rsidRPr="00255F3D">
        <w:rPr>
          <w:rFonts w:cs="Arial"/>
          <w:color w:val="000000"/>
          <w:sz w:val="24"/>
          <w:szCs w:val="24"/>
        </w:rPr>
        <w:t xml:space="preserve"> Act</w:t>
      </w:r>
      <w:r w:rsidR="001A6529" w:rsidRPr="00255F3D">
        <w:rPr>
          <w:rFonts w:cs="Arial"/>
          <w:color w:val="000000"/>
          <w:sz w:val="24"/>
          <w:szCs w:val="24"/>
        </w:rPr>
        <w:t xml:space="preserve">) allows </w:t>
      </w:r>
      <w:r w:rsidR="0097245E" w:rsidRPr="00255F3D">
        <w:rPr>
          <w:rFonts w:cs="Arial"/>
          <w:color w:val="000000"/>
          <w:sz w:val="24"/>
          <w:szCs w:val="24"/>
        </w:rPr>
        <w:t>an ESOS agency for a registered provider</w:t>
      </w:r>
      <w:r w:rsidR="006115AA" w:rsidRPr="00255F3D">
        <w:rPr>
          <w:rFonts w:cs="Arial"/>
          <w:color w:val="000000"/>
          <w:sz w:val="24"/>
          <w:szCs w:val="24"/>
        </w:rPr>
        <w:t xml:space="preserve"> </w:t>
      </w:r>
      <w:r w:rsidR="001A6529" w:rsidRPr="00255F3D">
        <w:rPr>
          <w:rFonts w:cs="Arial"/>
          <w:color w:val="000000"/>
          <w:sz w:val="24"/>
          <w:szCs w:val="24"/>
        </w:rPr>
        <w:t>to</w:t>
      </w:r>
      <w:r w:rsidRPr="00255F3D">
        <w:rPr>
          <w:rFonts w:cs="Arial"/>
          <w:color w:val="000000"/>
          <w:sz w:val="24"/>
          <w:szCs w:val="24"/>
        </w:rPr>
        <w:t xml:space="preserve"> </w:t>
      </w:r>
      <w:r w:rsidR="00BA1CA8" w:rsidRPr="00255F3D">
        <w:rPr>
          <w:rFonts w:cs="Arial"/>
          <w:color w:val="000000"/>
          <w:sz w:val="24"/>
          <w:szCs w:val="24"/>
        </w:rPr>
        <w:t>determine</w:t>
      </w:r>
      <w:r w:rsidR="001A6529" w:rsidRPr="00255F3D">
        <w:rPr>
          <w:rFonts w:cs="Arial"/>
          <w:color w:val="000000"/>
          <w:sz w:val="24"/>
          <w:szCs w:val="24"/>
        </w:rPr>
        <w:t xml:space="preserve">, by legislative </w:t>
      </w:r>
      <w:r w:rsidR="00F403F9" w:rsidRPr="00255F3D">
        <w:rPr>
          <w:rFonts w:cs="Arial"/>
          <w:color w:val="000000"/>
          <w:sz w:val="24"/>
          <w:szCs w:val="24"/>
        </w:rPr>
        <w:t>instrument,</w:t>
      </w:r>
      <w:r w:rsidRPr="00255F3D">
        <w:rPr>
          <w:rFonts w:cs="Arial"/>
          <w:color w:val="000000"/>
          <w:sz w:val="24"/>
          <w:szCs w:val="24"/>
        </w:rPr>
        <w:t xml:space="preserve"> </w:t>
      </w:r>
      <w:r w:rsidR="00BA1CA8" w:rsidRPr="00255F3D">
        <w:rPr>
          <w:sz w:val="24"/>
          <w:szCs w:val="24"/>
        </w:rPr>
        <w:t xml:space="preserve">the period within which applications </w:t>
      </w:r>
      <w:r w:rsidR="001907D9" w:rsidRPr="00255F3D">
        <w:rPr>
          <w:sz w:val="24"/>
          <w:szCs w:val="24"/>
        </w:rPr>
        <w:t xml:space="preserve">to renew registration </w:t>
      </w:r>
      <w:r w:rsidR="00BA1CA8" w:rsidRPr="00255F3D">
        <w:rPr>
          <w:sz w:val="24"/>
          <w:szCs w:val="24"/>
        </w:rPr>
        <w:t xml:space="preserve">under </w:t>
      </w:r>
      <w:r w:rsidR="001907D9" w:rsidRPr="00255F3D">
        <w:rPr>
          <w:sz w:val="24"/>
          <w:szCs w:val="24"/>
        </w:rPr>
        <w:t>s</w:t>
      </w:r>
      <w:r w:rsidR="00BA1CA8" w:rsidRPr="00255F3D">
        <w:rPr>
          <w:sz w:val="24"/>
          <w:szCs w:val="24"/>
        </w:rPr>
        <w:t xml:space="preserve">ection 10D </w:t>
      </w:r>
      <w:r w:rsidR="00BC3E98">
        <w:rPr>
          <w:sz w:val="24"/>
          <w:szCs w:val="24"/>
        </w:rPr>
        <w:t xml:space="preserve">of the ESOS Act </w:t>
      </w:r>
      <w:r w:rsidR="00BA1CA8" w:rsidRPr="00255F3D">
        <w:rPr>
          <w:sz w:val="24"/>
          <w:szCs w:val="24"/>
        </w:rPr>
        <w:t>must be made</w:t>
      </w:r>
      <w:r w:rsidR="00F403F9" w:rsidRPr="00255F3D">
        <w:rPr>
          <w:rFonts w:cs="Arial"/>
          <w:color w:val="000000"/>
          <w:sz w:val="24"/>
          <w:szCs w:val="24"/>
        </w:rPr>
        <w:t>.</w:t>
      </w:r>
    </w:p>
    <w:p w:rsidR="0097245E" w:rsidRPr="00255F3D" w:rsidRDefault="0097245E" w:rsidP="00E85296">
      <w:pPr>
        <w:spacing w:before="40" w:after="40"/>
        <w:rPr>
          <w:rFonts w:cs="Arial"/>
          <w:color w:val="000000"/>
          <w:sz w:val="24"/>
          <w:szCs w:val="24"/>
        </w:rPr>
      </w:pPr>
    </w:p>
    <w:p w:rsidR="0097245E" w:rsidRPr="00255F3D" w:rsidRDefault="0097245E" w:rsidP="0097245E">
      <w:pPr>
        <w:rPr>
          <w:sz w:val="24"/>
          <w:szCs w:val="24"/>
        </w:rPr>
      </w:pPr>
      <w:r w:rsidRPr="00255F3D">
        <w:rPr>
          <w:sz w:val="24"/>
          <w:szCs w:val="24"/>
        </w:rPr>
        <w:t xml:space="preserve">Section 6C of the ESOS Act prescribes that the </w:t>
      </w:r>
      <w:r w:rsidR="00BC3E98">
        <w:rPr>
          <w:sz w:val="24"/>
          <w:szCs w:val="24"/>
        </w:rPr>
        <w:t>N</w:t>
      </w:r>
      <w:r w:rsidRPr="00255F3D">
        <w:rPr>
          <w:sz w:val="24"/>
          <w:szCs w:val="24"/>
        </w:rPr>
        <w:t xml:space="preserve">ational VET </w:t>
      </w:r>
      <w:r w:rsidR="00BC3E98">
        <w:rPr>
          <w:sz w:val="24"/>
          <w:szCs w:val="24"/>
        </w:rPr>
        <w:t>R</w:t>
      </w:r>
      <w:r w:rsidRPr="00255F3D">
        <w:rPr>
          <w:sz w:val="24"/>
          <w:szCs w:val="24"/>
        </w:rPr>
        <w:t xml:space="preserve">egulator is </w:t>
      </w:r>
      <w:r w:rsidR="001907D9" w:rsidRPr="00255F3D">
        <w:rPr>
          <w:sz w:val="24"/>
          <w:szCs w:val="24"/>
        </w:rPr>
        <w:t xml:space="preserve">the </w:t>
      </w:r>
      <w:r w:rsidRPr="00255F3D">
        <w:rPr>
          <w:sz w:val="24"/>
          <w:szCs w:val="24"/>
        </w:rPr>
        <w:t xml:space="preserve">ESOS agency for a provider </w:t>
      </w:r>
      <w:r w:rsidR="00BC3E98">
        <w:rPr>
          <w:sz w:val="24"/>
          <w:szCs w:val="24"/>
        </w:rPr>
        <w:t xml:space="preserve">or registered provider </w:t>
      </w:r>
      <w:r w:rsidRPr="00255F3D">
        <w:rPr>
          <w:sz w:val="24"/>
          <w:szCs w:val="24"/>
        </w:rPr>
        <w:t xml:space="preserve">to the extent that </w:t>
      </w:r>
      <w:r w:rsidR="00BC3E98">
        <w:rPr>
          <w:sz w:val="24"/>
          <w:szCs w:val="24"/>
        </w:rPr>
        <w:t>a provider or registered provider</w:t>
      </w:r>
      <w:r w:rsidRPr="00255F3D">
        <w:rPr>
          <w:sz w:val="24"/>
          <w:szCs w:val="24"/>
        </w:rPr>
        <w:t xml:space="preserve"> is a registered VET provider.</w:t>
      </w:r>
      <w:r w:rsidR="0080166D" w:rsidRPr="00255F3D">
        <w:rPr>
          <w:sz w:val="24"/>
          <w:szCs w:val="24"/>
        </w:rPr>
        <w:t xml:space="preserve"> </w:t>
      </w:r>
      <w:r w:rsidRPr="00255F3D">
        <w:rPr>
          <w:sz w:val="24"/>
          <w:szCs w:val="24"/>
        </w:rPr>
        <w:t xml:space="preserve">Section 6 of the </w:t>
      </w:r>
      <w:r w:rsidRPr="00255F3D">
        <w:rPr>
          <w:i/>
          <w:sz w:val="24"/>
          <w:szCs w:val="24"/>
        </w:rPr>
        <w:t>Education Services for Overseas Students (ESOS Agency-ELICOS and Foundation Programs) Determination 2016</w:t>
      </w:r>
      <w:r w:rsidRPr="00255F3D">
        <w:rPr>
          <w:sz w:val="24"/>
          <w:szCs w:val="24"/>
        </w:rPr>
        <w:t xml:space="preserve"> prescribes that the </w:t>
      </w:r>
      <w:r w:rsidR="005B7C7B">
        <w:rPr>
          <w:sz w:val="24"/>
          <w:szCs w:val="24"/>
        </w:rPr>
        <w:t>N</w:t>
      </w:r>
      <w:r w:rsidRPr="00255F3D">
        <w:rPr>
          <w:sz w:val="24"/>
          <w:szCs w:val="24"/>
        </w:rPr>
        <w:t xml:space="preserve">ational VET </w:t>
      </w:r>
      <w:r w:rsidR="005B7C7B">
        <w:rPr>
          <w:sz w:val="24"/>
          <w:szCs w:val="24"/>
        </w:rPr>
        <w:t>R</w:t>
      </w:r>
      <w:r w:rsidRPr="00255F3D">
        <w:rPr>
          <w:sz w:val="24"/>
          <w:szCs w:val="24"/>
        </w:rPr>
        <w:t xml:space="preserve">egulator is </w:t>
      </w:r>
      <w:r w:rsidR="0080166D" w:rsidRPr="00255F3D">
        <w:rPr>
          <w:sz w:val="24"/>
          <w:szCs w:val="24"/>
        </w:rPr>
        <w:t xml:space="preserve">also </w:t>
      </w:r>
      <w:r w:rsidR="001907D9" w:rsidRPr="00255F3D">
        <w:rPr>
          <w:sz w:val="24"/>
          <w:szCs w:val="24"/>
        </w:rPr>
        <w:t xml:space="preserve">the </w:t>
      </w:r>
      <w:r w:rsidRPr="00255F3D">
        <w:rPr>
          <w:sz w:val="24"/>
          <w:szCs w:val="24"/>
        </w:rPr>
        <w:t>ESOS agency for</w:t>
      </w:r>
      <w:r w:rsidR="0080166D" w:rsidRPr="00255F3D">
        <w:rPr>
          <w:sz w:val="24"/>
          <w:szCs w:val="24"/>
        </w:rPr>
        <w:t xml:space="preserve"> specified providers that provide English Language Intensive Courses for Overseas Students (ELICOS)</w:t>
      </w:r>
      <w:r w:rsidR="00256D29">
        <w:rPr>
          <w:sz w:val="24"/>
          <w:szCs w:val="24"/>
        </w:rPr>
        <w:t>.</w:t>
      </w:r>
    </w:p>
    <w:p w:rsidR="0097245E" w:rsidRPr="00255F3D" w:rsidRDefault="0097245E" w:rsidP="0097245E">
      <w:pPr>
        <w:rPr>
          <w:sz w:val="24"/>
          <w:szCs w:val="24"/>
        </w:rPr>
      </w:pPr>
    </w:p>
    <w:p w:rsidR="0097245E" w:rsidRPr="00255F3D" w:rsidRDefault="001907D9" w:rsidP="0097245E">
      <w:pPr>
        <w:rPr>
          <w:sz w:val="24"/>
          <w:szCs w:val="24"/>
        </w:rPr>
      </w:pPr>
      <w:r w:rsidRPr="00255F3D">
        <w:rPr>
          <w:sz w:val="24"/>
          <w:szCs w:val="24"/>
        </w:rPr>
        <w:t xml:space="preserve">Section 5 of the ESOS Act defines the National VET Regulator as having the same meaning as in the </w:t>
      </w:r>
      <w:r w:rsidRPr="00255F3D">
        <w:rPr>
          <w:i/>
          <w:sz w:val="24"/>
          <w:szCs w:val="24"/>
        </w:rPr>
        <w:t>National Vocational Education and Training Regulator Act 2011</w:t>
      </w:r>
      <w:r w:rsidRPr="00255F3D">
        <w:rPr>
          <w:sz w:val="24"/>
          <w:szCs w:val="24"/>
        </w:rPr>
        <w:t xml:space="preserve"> (the NVR Act). </w:t>
      </w:r>
      <w:r w:rsidR="0097245E" w:rsidRPr="00255F3D">
        <w:rPr>
          <w:sz w:val="24"/>
          <w:szCs w:val="24"/>
        </w:rPr>
        <w:t xml:space="preserve">ASQA is established as the national VET regulator under Part 7 of the NVR Act and Part 4 of the </w:t>
      </w:r>
      <w:r w:rsidR="0097245E" w:rsidRPr="00255F3D">
        <w:rPr>
          <w:i/>
          <w:sz w:val="24"/>
          <w:szCs w:val="24"/>
        </w:rPr>
        <w:t>National Vocational Education and Training Regulator Regulations 2011</w:t>
      </w:r>
      <w:r w:rsidR="0097245E" w:rsidRPr="00255F3D">
        <w:rPr>
          <w:sz w:val="24"/>
          <w:szCs w:val="24"/>
        </w:rPr>
        <w:t xml:space="preserve"> (NVR Regs).</w:t>
      </w:r>
    </w:p>
    <w:p w:rsidR="0097245E" w:rsidRPr="00255F3D" w:rsidRDefault="0097245E" w:rsidP="0097245E">
      <w:pPr>
        <w:rPr>
          <w:sz w:val="24"/>
          <w:szCs w:val="24"/>
        </w:rPr>
      </w:pPr>
    </w:p>
    <w:p w:rsidR="0097245E" w:rsidRPr="00255F3D" w:rsidRDefault="0097245E" w:rsidP="0097245E">
      <w:pPr>
        <w:rPr>
          <w:sz w:val="24"/>
          <w:szCs w:val="24"/>
        </w:rPr>
      </w:pPr>
      <w:r w:rsidRPr="00255F3D">
        <w:rPr>
          <w:sz w:val="24"/>
          <w:szCs w:val="24"/>
        </w:rPr>
        <w:t>Section 157(1) of the NVR Act prescribes the functions of ASQA, including:</w:t>
      </w:r>
    </w:p>
    <w:p w:rsidR="0097245E" w:rsidRPr="00255F3D" w:rsidRDefault="0097245E" w:rsidP="0097245E">
      <w:pPr>
        <w:rPr>
          <w:sz w:val="24"/>
          <w:szCs w:val="24"/>
        </w:rPr>
      </w:pPr>
      <w:r w:rsidRPr="00255F3D">
        <w:rPr>
          <w:sz w:val="24"/>
          <w:szCs w:val="24"/>
        </w:rPr>
        <w:t xml:space="preserve">(q) such other functions </w:t>
      </w:r>
      <w:r w:rsidR="001907D9" w:rsidRPr="00255F3D">
        <w:rPr>
          <w:sz w:val="24"/>
          <w:szCs w:val="24"/>
        </w:rPr>
        <w:t xml:space="preserve">as </w:t>
      </w:r>
      <w:r w:rsidRPr="00255F3D">
        <w:rPr>
          <w:sz w:val="24"/>
          <w:szCs w:val="24"/>
        </w:rPr>
        <w:t>are conferred on the Regulator by or under:</w:t>
      </w:r>
    </w:p>
    <w:p w:rsidR="0097245E" w:rsidRPr="00255F3D" w:rsidRDefault="0097245E" w:rsidP="0097245E">
      <w:pPr>
        <w:rPr>
          <w:sz w:val="24"/>
          <w:szCs w:val="24"/>
        </w:rPr>
      </w:pPr>
      <w:r w:rsidRPr="00255F3D">
        <w:rPr>
          <w:sz w:val="24"/>
          <w:szCs w:val="24"/>
        </w:rPr>
        <w:tab/>
        <w:t xml:space="preserve">(ii) </w:t>
      </w:r>
      <w:r w:rsidRPr="00255F3D">
        <w:rPr>
          <w:sz w:val="24"/>
          <w:szCs w:val="24"/>
        </w:rPr>
        <w:tab/>
        <w:t xml:space="preserve">the </w:t>
      </w:r>
      <w:r w:rsidRPr="00255F3D">
        <w:rPr>
          <w:i/>
          <w:sz w:val="24"/>
          <w:szCs w:val="24"/>
        </w:rPr>
        <w:t>Education Services for Overseas Students Act 2000</w:t>
      </w:r>
      <w:r w:rsidRPr="00255F3D">
        <w:rPr>
          <w:sz w:val="24"/>
          <w:szCs w:val="24"/>
        </w:rPr>
        <w:t xml:space="preserve"> or any other law </w:t>
      </w:r>
      <w:r w:rsidRPr="00255F3D">
        <w:rPr>
          <w:sz w:val="24"/>
          <w:szCs w:val="24"/>
        </w:rPr>
        <w:tab/>
      </w:r>
      <w:r w:rsidRPr="00255F3D">
        <w:rPr>
          <w:sz w:val="24"/>
          <w:szCs w:val="24"/>
        </w:rPr>
        <w:tab/>
        <w:t>of the Commonwealth</w:t>
      </w:r>
    </w:p>
    <w:p w:rsidR="0097245E" w:rsidRPr="00255F3D" w:rsidRDefault="0097245E" w:rsidP="0097245E">
      <w:pPr>
        <w:rPr>
          <w:sz w:val="24"/>
          <w:szCs w:val="24"/>
        </w:rPr>
      </w:pPr>
    </w:p>
    <w:p w:rsidR="00E77F84" w:rsidRDefault="00E77F84" w:rsidP="00E77F84">
      <w:pPr>
        <w:spacing w:before="40" w:after="40"/>
        <w:rPr>
          <w:rFonts w:cs="Arial"/>
          <w:color w:val="000000"/>
          <w:sz w:val="24"/>
          <w:szCs w:val="24"/>
        </w:rPr>
      </w:pPr>
      <w:r>
        <w:rPr>
          <w:rFonts w:cs="Arial"/>
          <w:color w:val="000000"/>
          <w:sz w:val="24"/>
          <w:szCs w:val="24"/>
        </w:rPr>
        <w:t xml:space="preserve">ASQA applies fees payable for lodgement and assessment of application for registration, including renewal of registration, under the ESOS Act in accordance with the </w:t>
      </w:r>
      <w:r w:rsidRPr="00E77F84">
        <w:rPr>
          <w:rFonts w:cs="Arial"/>
          <w:i/>
          <w:color w:val="000000"/>
          <w:sz w:val="24"/>
          <w:szCs w:val="24"/>
        </w:rPr>
        <w:t>Australian Skills Quality Authority Instrument Fixing Fees No. 1 of 2013</w:t>
      </w:r>
      <w:r>
        <w:rPr>
          <w:rFonts w:cs="Arial"/>
          <w:color w:val="000000"/>
          <w:sz w:val="24"/>
          <w:szCs w:val="24"/>
        </w:rPr>
        <w:t>.</w:t>
      </w:r>
    </w:p>
    <w:p w:rsidR="0097245E" w:rsidRDefault="0097245E" w:rsidP="00E85296">
      <w:pPr>
        <w:spacing w:before="40" w:after="40"/>
        <w:rPr>
          <w:rFonts w:cs="Arial"/>
          <w:color w:val="000000"/>
          <w:sz w:val="24"/>
          <w:szCs w:val="24"/>
        </w:rPr>
      </w:pPr>
    </w:p>
    <w:p w:rsidR="00CA07E1" w:rsidRDefault="001A6529" w:rsidP="00CA07E1">
      <w:pPr>
        <w:spacing w:before="40" w:after="40"/>
        <w:rPr>
          <w:rFonts w:cs="Arial"/>
          <w:b/>
          <w:sz w:val="24"/>
          <w:szCs w:val="24"/>
          <w:u w:val="single"/>
        </w:rPr>
      </w:pPr>
      <w:r w:rsidRPr="00E85296">
        <w:rPr>
          <w:rFonts w:cs="Arial"/>
          <w:b/>
          <w:color w:val="000000"/>
          <w:sz w:val="24"/>
          <w:szCs w:val="24"/>
          <w:u w:val="single"/>
        </w:rPr>
        <w:t xml:space="preserve">Purpose </w:t>
      </w:r>
    </w:p>
    <w:p w:rsidR="001A6529" w:rsidRPr="00F403F9" w:rsidRDefault="001A6529" w:rsidP="00E85296">
      <w:pPr>
        <w:spacing w:before="40" w:after="40"/>
        <w:rPr>
          <w:rFonts w:cs="Arial"/>
          <w:color w:val="000000"/>
          <w:sz w:val="24"/>
          <w:szCs w:val="24"/>
          <w:u w:val="single"/>
        </w:rPr>
      </w:pPr>
    </w:p>
    <w:p w:rsidR="005B59DB" w:rsidRDefault="008A30D7" w:rsidP="00C21B78">
      <w:pPr>
        <w:pStyle w:val="IH"/>
        <w:spacing w:before="0"/>
        <w:ind w:left="0" w:firstLine="0"/>
        <w:rPr>
          <w:rFonts w:cs="Arial"/>
          <w:b w:val="0"/>
        </w:rPr>
      </w:pPr>
      <w:r w:rsidRPr="00F403F9">
        <w:rPr>
          <w:rFonts w:cs="Arial"/>
          <w:b w:val="0"/>
          <w:color w:val="000000"/>
        </w:rPr>
        <w:t>The purpose of the instrument is to</w:t>
      </w:r>
      <w:r w:rsidRPr="00F403F9">
        <w:rPr>
          <w:rFonts w:eastAsia="Calibri" w:cs="Arial"/>
          <w:b w:val="0"/>
          <w:color w:val="000000"/>
        </w:rPr>
        <w:t xml:space="preserve"> </w:t>
      </w:r>
      <w:r w:rsidRPr="00F403F9">
        <w:rPr>
          <w:rFonts w:cs="Arial"/>
          <w:b w:val="0"/>
        </w:rPr>
        <w:t xml:space="preserve">set out the </w:t>
      </w:r>
      <w:r w:rsidR="00BA1CA8">
        <w:rPr>
          <w:rFonts w:cs="Arial"/>
          <w:b w:val="0"/>
        </w:rPr>
        <w:t xml:space="preserve">period within which applications under Section 10D of the </w:t>
      </w:r>
      <w:r w:rsidR="00C21B78">
        <w:rPr>
          <w:rFonts w:cs="Arial"/>
          <w:b w:val="0"/>
        </w:rPr>
        <w:t xml:space="preserve">ESOS </w:t>
      </w:r>
      <w:r w:rsidR="00BA1CA8">
        <w:rPr>
          <w:rFonts w:cs="Arial"/>
          <w:b w:val="0"/>
        </w:rPr>
        <w:t>Act must be made</w:t>
      </w:r>
      <w:r w:rsidR="005B59DB">
        <w:rPr>
          <w:rFonts w:cs="Arial"/>
          <w:b w:val="0"/>
        </w:rPr>
        <w:t>.</w:t>
      </w:r>
    </w:p>
    <w:p w:rsidR="005B59DB" w:rsidRDefault="005B59DB" w:rsidP="00C21B78">
      <w:pPr>
        <w:pStyle w:val="IH"/>
        <w:spacing w:before="0"/>
        <w:ind w:left="0" w:firstLine="0"/>
        <w:rPr>
          <w:rFonts w:cs="Arial"/>
          <w:b w:val="0"/>
        </w:rPr>
      </w:pPr>
    </w:p>
    <w:p w:rsidR="00CB75DA" w:rsidRDefault="002D16DC" w:rsidP="005B7C7B">
      <w:pPr>
        <w:rPr>
          <w:sz w:val="24"/>
          <w:szCs w:val="24"/>
        </w:rPr>
      </w:pPr>
      <w:r w:rsidRPr="00917F66">
        <w:rPr>
          <w:sz w:val="24"/>
          <w:szCs w:val="24"/>
        </w:rPr>
        <w:t xml:space="preserve">Under section </w:t>
      </w:r>
      <w:r w:rsidR="00BA1CA8">
        <w:rPr>
          <w:sz w:val="24"/>
          <w:szCs w:val="24"/>
        </w:rPr>
        <w:t>10D</w:t>
      </w:r>
      <w:r w:rsidR="005B59DB">
        <w:rPr>
          <w:sz w:val="24"/>
          <w:szCs w:val="24"/>
        </w:rPr>
        <w:t xml:space="preserve"> of the </w:t>
      </w:r>
      <w:r w:rsidR="00C21B78">
        <w:rPr>
          <w:sz w:val="24"/>
          <w:szCs w:val="24"/>
        </w:rPr>
        <w:t xml:space="preserve">ESOS </w:t>
      </w:r>
      <w:r w:rsidR="005B59DB">
        <w:rPr>
          <w:sz w:val="24"/>
          <w:szCs w:val="24"/>
        </w:rPr>
        <w:t>Act</w:t>
      </w:r>
      <w:r w:rsidR="00DA5B41">
        <w:rPr>
          <w:sz w:val="24"/>
          <w:szCs w:val="24"/>
        </w:rPr>
        <w:t>,</w:t>
      </w:r>
      <w:r w:rsidRPr="00917F66">
        <w:rPr>
          <w:sz w:val="24"/>
          <w:szCs w:val="24"/>
        </w:rPr>
        <w:t xml:space="preserve"> </w:t>
      </w:r>
      <w:r w:rsidR="00BA1CA8">
        <w:rPr>
          <w:sz w:val="24"/>
          <w:szCs w:val="24"/>
        </w:rPr>
        <w:t>a</w:t>
      </w:r>
      <w:r w:rsidR="00BA1CA8" w:rsidRPr="00BA1CA8">
        <w:rPr>
          <w:sz w:val="24"/>
          <w:szCs w:val="24"/>
        </w:rPr>
        <w:t xml:space="preserve"> registered provider may apply to </w:t>
      </w:r>
      <w:r w:rsidR="006115AA">
        <w:rPr>
          <w:sz w:val="24"/>
          <w:szCs w:val="24"/>
        </w:rPr>
        <w:t xml:space="preserve">ASQA </w:t>
      </w:r>
      <w:r w:rsidR="00BA1CA8">
        <w:rPr>
          <w:sz w:val="24"/>
          <w:szCs w:val="24"/>
        </w:rPr>
        <w:t xml:space="preserve">to </w:t>
      </w:r>
      <w:r w:rsidR="00BA1CA8" w:rsidRPr="00BA1CA8">
        <w:rPr>
          <w:sz w:val="24"/>
          <w:szCs w:val="24"/>
        </w:rPr>
        <w:t xml:space="preserve">renew the provider’s registration to provide a course or courses at a location or locations to overseas students. </w:t>
      </w:r>
      <w:r w:rsidR="005B59DB">
        <w:rPr>
          <w:sz w:val="24"/>
          <w:szCs w:val="24"/>
        </w:rPr>
        <w:t xml:space="preserve">Where </w:t>
      </w:r>
      <w:r w:rsidR="006115AA">
        <w:rPr>
          <w:sz w:val="24"/>
          <w:szCs w:val="24"/>
        </w:rPr>
        <w:t xml:space="preserve">ASQA </w:t>
      </w:r>
      <w:r w:rsidR="005B59DB">
        <w:rPr>
          <w:sz w:val="24"/>
          <w:szCs w:val="24"/>
        </w:rPr>
        <w:t xml:space="preserve">is </w:t>
      </w:r>
      <w:r w:rsidR="005B59DB" w:rsidRPr="00BA1CA8">
        <w:rPr>
          <w:sz w:val="24"/>
          <w:szCs w:val="24"/>
        </w:rPr>
        <w:t>the ESOS agency for the register</w:t>
      </w:r>
      <w:r w:rsidR="005B59DB">
        <w:rPr>
          <w:sz w:val="24"/>
          <w:szCs w:val="24"/>
        </w:rPr>
        <w:t>ed</w:t>
      </w:r>
      <w:r w:rsidR="005B59DB" w:rsidRPr="00BA1CA8">
        <w:rPr>
          <w:sz w:val="24"/>
          <w:szCs w:val="24"/>
        </w:rPr>
        <w:t xml:space="preserve"> provider</w:t>
      </w:r>
      <w:r w:rsidR="005B59DB">
        <w:rPr>
          <w:sz w:val="24"/>
          <w:szCs w:val="24"/>
        </w:rPr>
        <w:t>, t</w:t>
      </w:r>
      <w:r w:rsidR="00BA1CA8">
        <w:rPr>
          <w:sz w:val="24"/>
          <w:szCs w:val="24"/>
        </w:rPr>
        <w:t xml:space="preserve">he </w:t>
      </w:r>
      <w:r w:rsidR="00BA1CA8" w:rsidRPr="00BA1CA8">
        <w:rPr>
          <w:sz w:val="24"/>
          <w:szCs w:val="24"/>
        </w:rPr>
        <w:t>application must be</w:t>
      </w:r>
      <w:r w:rsidR="00BA1CA8">
        <w:rPr>
          <w:sz w:val="24"/>
          <w:szCs w:val="24"/>
        </w:rPr>
        <w:t xml:space="preserve"> </w:t>
      </w:r>
      <w:r w:rsidR="00BA1CA8" w:rsidRPr="00BA1CA8">
        <w:rPr>
          <w:sz w:val="24"/>
          <w:szCs w:val="24"/>
        </w:rPr>
        <w:t xml:space="preserve">made to </w:t>
      </w:r>
      <w:r w:rsidR="006115AA">
        <w:rPr>
          <w:sz w:val="24"/>
          <w:szCs w:val="24"/>
        </w:rPr>
        <w:t>ASQA</w:t>
      </w:r>
      <w:r w:rsidR="00C21B78">
        <w:rPr>
          <w:sz w:val="24"/>
          <w:szCs w:val="24"/>
        </w:rPr>
        <w:t xml:space="preserve"> </w:t>
      </w:r>
      <w:r w:rsidR="00BA1CA8" w:rsidRPr="00BA1CA8">
        <w:rPr>
          <w:sz w:val="24"/>
          <w:szCs w:val="24"/>
        </w:rPr>
        <w:t xml:space="preserve">within the period determined </w:t>
      </w:r>
      <w:r w:rsidR="006656E2">
        <w:rPr>
          <w:sz w:val="24"/>
          <w:szCs w:val="24"/>
        </w:rPr>
        <w:t>in this legislative instrument pursuant to</w:t>
      </w:r>
      <w:r w:rsidR="00BA1CA8" w:rsidRPr="00BA1CA8">
        <w:rPr>
          <w:sz w:val="24"/>
          <w:szCs w:val="24"/>
        </w:rPr>
        <w:t xml:space="preserve"> subsection </w:t>
      </w:r>
      <w:r w:rsidR="004A563C">
        <w:rPr>
          <w:sz w:val="24"/>
          <w:szCs w:val="24"/>
        </w:rPr>
        <w:t>10D</w:t>
      </w:r>
      <w:r w:rsidR="00BA1CA8" w:rsidRPr="00BA1CA8">
        <w:rPr>
          <w:sz w:val="24"/>
          <w:szCs w:val="24"/>
        </w:rPr>
        <w:t>(3)</w:t>
      </w:r>
      <w:r w:rsidR="005B7C7B">
        <w:rPr>
          <w:sz w:val="24"/>
          <w:szCs w:val="24"/>
        </w:rPr>
        <w:t xml:space="preserve"> and in the form approved, in writing, by ASQA </w:t>
      </w:r>
      <w:r w:rsidR="005B7C7B">
        <w:rPr>
          <w:sz w:val="24"/>
          <w:szCs w:val="24"/>
        </w:rPr>
        <w:lastRenderedPageBreak/>
        <w:t>pursuant to subsection 11A (2)(a).</w:t>
      </w:r>
      <w:r w:rsidR="00E77F84">
        <w:rPr>
          <w:sz w:val="24"/>
          <w:szCs w:val="24"/>
        </w:rPr>
        <w:t xml:space="preserve"> The </w:t>
      </w:r>
      <w:r w:rsidR="00260FB0">
        <w:rPr>
          <w:sz w:val="24"/>
          <w:szCs w:val="24"/>
        </w:rPr>
        <w:t xml:space="preserve">renewal </w:t>
      </w:r>
      <w:r w:rsidR="00E77F84">
        <w:rPr>
          <w:sz w:val="24"/>
          <w:szCs w:val="24"/>
        </w:rPr>
        <w:t>application</w:t>
      </w:r>
      <w:r w:rsidR="00260FB0">
        <w:rPr>
          <w:sz w:val="24"/>
          <w:szCs w:val="24"/>
        </w:rPr>
        <w:t xml:space="preserve"> will be subject to lodgement and assessment fees that must be paid.</w:t>
      </w:r>
    </w:p>
    <w:p w:rsidR="00C21B78" w:rsidRDefault="00C21B78" w:rsidP="002D16DC">
      <w:pPr>
        <w:rPr>
          <w:sz w:val="24"/>
          <w:szCs w:val="24"/>
        </w:rPr>
      </w:pPr>
    </w:p>
    <w:p w:rsidR="00025508" w:rsidRDefault="001A6529" w:rsidP="00E85296">
      <w:pPr>
        <w:spacing w:before="40" w:after="40"/>
        <w:rPr>
          <w:rFonts w:cs="Arial"/>
          <w:b/>
          <w:color w:val="000000"/>
          <w:sz w:val="24"/>
          <w:szCs w:val="24"/>
          <w:u w:val="single"/>
        </w:rPr>
      </w:pPr>
      <w:r w:rsidRPr="00E85296">
        <w:rPr>
          <w:rFonts w:cs="Arial"/>
          <w:b/>
          <w:color w:val="000000"/>
          <w:sz w:val="24"/>
          <w:szCs w:val="24"/>
          <w:u w:val="single"/>
        </w:rPr>
        <w:t>Consultation</w:t>
      </w:r>
    </w:p>
    <w:p w:rsidR="007C130D" w:rsidRPr="00DD78AC" w:rsidRDefault="007C130D" w:rsidP="00E85296">
      <w:pPr>
        <w:spacing w:before="40" w:after="40"/>
        <w:rPr>
          <w:rFonts w:cs="Arial"/>
          <w:sz w:val="24"/>
          <w:szCs w:val="24"/>
        </w:rPr>
      </w:pPr>
    </w:p>
    <w:p w:rsidR="00940781" w:rsidRDefault="00255F3D" w:rsidP="00D44364">
      <w:pPr>
        <w:spacing w:before="40" w:after="40"/>
        <w:rPr>
          <w:rFonts w:cs="Arial"/>
          <w:color w:val="000000"/>
          <w:sz w:val="24"/>
          <w:szCs w:val="24"/>
        </w:rPr>
      </w:pPr>
      <w:r>
        <w:rPr>
          <w:rFonts w:cs="Arial"/>
          <w:color w:val="000000"/>
          <w:sz w:val="24"/>
          <w:szCs w:val="24"/>
        </w:rPr>
        <w:t xml:space="preserve">On </w:t>
      </w:r>
      <w:r w:rsidR="00940781">
        <w:rPr>
          <w:rFonts w:cs="Arial"/>
          <w:color w:val="000000"/>
          <w:sz w:val="24"/>
          <w:szCs w:val="24"/>
        </w:rPr>
        <w:t>15</w:t>
      </w:r>
      <w:r>
        <w:rPr>
          <w:rFonts w:cs="Arial"/>
          <w:color w:val="000000"/>
          <w:sz w:val="24"/>
          <w:szCs w:val="24"/>
        </w:rPr>
        <w:t xml:space="preserve"> February 2019, ASQA wrote to peak sector organisations to advise that ASQA was accepting submissions on the Education Services for Overseas Students (ASQA Registration Renewal application Period) Determination 2019. ASQA also published details on how to make a submission to ASQA on the ASQA website, with a statement that ASQA would </w:t>
      </w:r>
      <w:r w:rsidR="00940781">
        <w:rPr>
          <w:rFonts w:cs="Arial"/>
          <w:color w:val="000000"/>
          <w:sz w:val="24"/>
          <w:szCs w:val="24"/>
        </w:rPr>
        <w:t>accept submissions on the d</w:t>
      </w:r>
      <w:bookmarkStart w:id="0" w:name="_GoBack"/>
      <w:bookmarkEnd w:id="0"/>
      <w:r w:rsidR="00940781">
        <w:rPr>
          <w:rFonts w:cs="Arial"/>
          <w:color w:val="000000"/>
          <w:sz w:val="24"/>
          <w:szCs w:val="24"/>
        </w:rPr>
        <w:t xml:space="preserve">raft Determination until 1 March 2019. </w:t>
      </w:r>
    </w:p>
    <w:p w:rsidR="00940781" w:rsidRDefault="00940781" w:rsidP="00D44364">
      <w:pPr>
        <w:spacing w:before="40" w:after="40"/>
        <w:rPr>
          <w:rFonts w:cs="Arial"/>
          <w:color w:val="000000"/>
          <w:sz w:val="24"/>
          <w:szCs w:val="24"/>
        </w:rPr>
      </w:pPr>
    </w:p>
    <w:p w:rsidR="00CD254E" w:rsidRDefault="00940781" w:rsidP="00D44364">
      <w:pPr>
        <w:spacing w:before="40" w:after="40"/>
        <w:rPr>
          <w:rFonts w:cs="Arial"/>
          <w:color w:val="000000"/>
          <w:sz w:val="24"/>
          <w:szCs w:val="24"/>
        </w:rPr>
      </w:pPr>
      <w:r>
        <w:rPr>
          <w:rFonts w:cs="Arial"/>
          <w:color w:val="000000"/>
          <w:sz w:val="24"/>
          <w:szCs w:val="24"/>
        </w:rPr>
        <w:t xml:space="preserve">ASQA received two submissions during the consultation period, both of which endorsed the draft Determination. ASQA has had regard to providers’ feedback and procedural fairness for all providers. </w:t>
      </w:r>
      <w:r w:rsidR="00DF5266">
        <w:rPr>
          <w:rFonts w:cs="Arial"/>
          <w:color w:val="000000"/>
          <w:sz w:val="24"/>
          <w:szCs w:val="24"/>
        </w:rPr>
        <w:t xml:space="preserve"> </w:t>
      </w:r>
    </w:p>
    <w:p w:rsidR="006656E2" w:rsidRDefault="006656E2" w:rsidP="00E85296">
      <w:pPr>
        <w:spacing w:before="40" w:after="40"/>
        <w:rPr>
          <w:rFonts w:cs="Arial"/>
          <w:b/>
          <w:color w:val="000000"/>
          <w:sz w:val="24"/>
          <w:szCs w:val="24"/>
          <w:u w:val="single"/>
        </w:rPr>
      </w:pPr>
    </w:p>
    <w:p w:rsidR="00256D29" w:rsidRDefault="00256D29" w:rsidP="00E85296">
      <w:pPr>
        <w:spacing w:before="40" w:after="40"/>
        <w:rPr>
          <w:rFonts w:cs="Arial"/>
          <w:bCs/>
          <w:color w:val="000000"/>
          <w:sz w:val="24"/>
          <w:szCs w:val="24"/>
        </w:rPr>
      </w:pPr>
    </w:p>
    <w:p w:rsidR="00256D29" w:rsidRDefault="00256D29" w:rsidP="00256D29">
      <w:pPr>
        <w:spacing w:before="40" w:after="40"/>
        <w:rPr>
          <w:rFonts w:cs="Arial"/>
          <w:b/>
          <w:color w:val="000000"/>
          <w:sz w:val="24"/>
          <w:szCs w:val="24"/>
          <w:u w:val="single"/>
        </w:rPr>
      </w:pPr>
      <w:r>
        <w:rPr>
          <w:rFonts w:cs="Arial"/>
          <w:b/>
          <w:color w:val="000000"/>
          <w:sz w:val="24"/>
          <w:szCs w:val="24"/>
          <w:u w:val="single"/>
        </w:rPr>
        <w:t>Explanation of provisions</w:t>
      </w:r>
    </w:p>
    <w:p w:rsidR="00256D29" w:rsidRDefault="00256D29" w:rsidP="00256D29">
      <w:pPr>
        <w:spacing w:before="40" w:after="40"/>
        <w:rPr>
          <w:rFonts w:cs="Arial"/>
          <w:bCs/>
          <w:color w:val="000000"/>
          <w:sz w:val="24"/>
          <w:szCs w:val="24"/>
        </w:rPr>
      </w:pPr>
    </w:p>
    <w:p w:rsidR="00256D29" w:rsidRPr="00256D29" w:rsidRDefault="00256D29" w:rsidP="00256D29">
      <w:pPr>
        <w:spacing w:before="40" w:after="40"/>
        <w:rPr>
          <w:rFonts w:cs="Arial"/>
          <w:bCs/>
          <w:i/>
          <w:color w:val="000000"/>
          <w:sz w:val="24"/>
          <w:szCs w:val="24"/>
        </w:rPr>
      </w:pPr>
      <w:r w:rsidRPr="00256D29">
        <w:rPr>
          <w:rFonts w:cs="Arial"/>
          <w:bCs/>
          <w:i/>
          <w:color w:val="000000"/>
          <w:sz w:val="24"/>
          <w:szCs w:val="24"/>
        </w:rPr>
        <w:t>Section 1</w:t>
      </w:r>
      <w:r w:rsidR="00A52E51">
        <w:rPr>
          <w:rFonts w:cs="Arial"/>
          <w:bCs/>
          <w:i/>
          <w:color w:val="000000"/>
          <w:sz w:val="24"/>
          <w:szCs w:val="24"/>
        </w:rPr>
        <w:t>- Name</w:t>
      </w:r>
    </w:p>
    <w:p w:rsidR="00256D29" w:rsidRDefault="00256D29" w:rsidP="00256D29">
      <w:pPr>
        <w:spacing w:before="40" w:after="40"/>
        <w:rPr>
          <w:rFonts w:cs="Arial"/>
          <w:bCs/>
          <w:color w:val="000000"/>
          <w:sz w:val="24"/>
          <w:szCs w:val="24"/>
        </w:rPr>
      </w:pPr>
      <w:r>
        <w:rPr>
          <w:rFonts w:cs="Arial"/>
          <w:bCs/>
          <w:color w:val="000000"/>
          <w:sz w:val="24"/>
          <w:szCs w:val="24"/>
        </w:rPr>
        <w:t>Section 1 provides the name of the instrument.</w:t>
      </w:r>
    </w:p>
    <w:p w:rsidR="00256D29" w:rsidRDefault="00256D29" w:rsidP="00256D29">
      <w:pPr>
        <w:spacing w:before="40" w:after="40"/>
        <w:rPr>
          <w:rFonts w:cs="Arial"/>
          <w:bCs/>
          <w:color w:val="000000"/>
          <w:sz w:val="24"/>
          <w:szCs w:val="24"/>
        </w:rPr>
      </w:pPr>
    </w:p>
    <w:p w:rsidR="00256D29" w:rsidRPr="00256D29" w:rsidRDefault="00256D29" w:rsidP="00256D29">
      <w:pPr>
        <w:spacing w:before="40" w:after="40"/>
        <w:rPr>
          <w:rFonts w:cs="Arial"/>
          <w:bCs/>
          <w:i/>
          <w:color w:val="000000"/>
          <w:sz w:val="24"/>
          <w:szCs w:val="24"/>
        </w:rPr>
      </w:pPr>
      <w:r w:rsidRPr="00256D29">
        <w:rPr>
          <w:rFonts w:cs="Arial"/>
          <w:bCs/>
          <w:i/>
          <w:color w:val="000000"/>
          <w:sz w:val="24"/>
          <w:szCs w:val="24"/>
        </w:rPr>
        <w:t xml:space="preserve">Section </w:t>
      </w:r>
      <w:r>
        <w:rPr>
          <w:rFonts w:cs="Arial"/>
          <w:bCs/>
          <w:i/>
          <w:color w:val="000000"/>
          <w:sz w:val="24"/>
          <w:szCs w:val="24"/>
        </w:rPr>
        <w:t>2</w:t>
      </w:r>
      <w:r w:rsidR="00A52E51">
        <w:rPr>
          <w:rFonts w:cs="Arial"/>
          <w:bCs/>
          <w:i/>
          <w:color w:val="000000"/>
          <w:sz w:val="24"/>
          <w:szCs w:val="24"/>
        </w:rPr>
        <w:t xml:space="preserve"> - Commencement</w:t>
      </w:r>
    </w:p>
    <w:p w:rsidR="00256D29" w:rsidRDefault="00256D29" w:rsidP="00256D29">
      <w:pPr>
        <w:spacing w:before="40" w:after="40"/>
        <w:rPr>
          <w:rFonts w:cs="Arial"/>
          <w:bCs/>
          <w:color w:val="000000"/>
          <w:sz w:val="24"/>
          <w:szCs w:val="24"/>
        </w:rPr>
      </w:pPr>
      <w:r>
        <w:rPr>
          <w:rFonts w:cs="Arial"/>
          <w:bCs/>
          <w:color w:val="000000"/>
          <w:sz w:val="24"/>
          <w:szCs w:val="24"/>
        </w:rPr>
        <w:t xml:space="preserve">Section 2 sets out the commencement date of the Instrument, which is the day after registration. </w:t>
      </w:r>
    </w:p>
    <w:p w:rsidR="00256D29" w:rsidRDefault="00256D29" w:rsidP="00256D29">
      <w:pPr>
        <w:spacing w:before="40" w:after="40"/>
        <w:rPr>
          <w:rFonts w:cs="Arial"/>
          <w:bCs/>
          <w:color w:val="000000"/>
          <w:sz w:val="24"/>
          <w:szCs w:val="24"/>
        </w:rPr>
      </w:pPr>
    </w:p>
    <w:p w:rsidR="00256D29" w:rsidRPr="00256D29" w:rsidRDefault="00256D29" w:rsidP="00256D29">
      <w:pPr>
        <w:spacing w:before="40" w:after="40"/>
        <w:rPr>
          <w:rFonts w:cs="Arial"/>
          <w:bCs/>
          <w:i/>
          <w:color w:val="000000"/>
          <w:sz w:val="24"/>
          <w:szCs w:val="24"/>
        </w:rPr>
      </w:pPr>
      <w:r w:rsidRPr="00256D29">
        <w:rPr>
          <w:rFonts w:cs="Arial"/>
          <w:bCs/>
          <w:i/>
          <w:color w:val="000000"/>
          <w:sz w:val="24"/>
          <w:szCs w:val="24"/>
        </w:rPr>
        <w:t xml:space="preserve">Section </w:t>
      </w:r>
      <w:r>
        <w:rPr>
          <w:rFonts w:cs="Arial"/>
          <w:bCs/>
          <w:i/>
          <w:color w:val="000000"/>
          <w:sz w:val="24"/>
          <w:szCs w:val="24"/>
        </w:rPr>
        <w:t>3</w:t>
      </w:r>
      <w:r w:rsidR="00A52E51">
        <w:rPr>
          <w:rFonts w:cs="Arial"/>
          <w:bCs/>
          <w:i/>
          <w:color w:val="000000"/>
          <w:sz w:val="24"/>
          <w:szCs w:val="24"/>
        </w:rPr>
        <w:t xml:space="preserve"> - Authority</w:t>
      </w:r>
    </w:p>
    <w:p w:rsidR="00256D29" w:rsidRDefault="00256D29" w:rsidP="00256D29">
      <w:pPr>
        <w:spacing w:before="40" w:after="40"/>
        <w:rPr>
          <w:rFonts w:cs="Arial"/>
          <w:bCs/>
          <w:color w:val="000000"/>
          <w:sz w:val="24"/>
          <w:szCs w:val="24"/>
        </w:rPr>
      </w:pPr>
      <w:r>
        <w:rPr>
          <w:rFonts w:cs="Arial"/>
          <w:bCs/>
          <w:color w:val="000000"/>
          <w:sz w:val="24"/>
          <w:szCs w:val="24"/>
        </w:rPr>
        <w:t>Section 3 sets out the legal authority to make the Instrument.</w:t>
      </w:r>
    </w:p>
    <w:p w:rsidR="00256D29" w:rsidRDefault="00256D29" w:rsidP="00256D29">
      <w:pPr>
        <w:spacing w:before="40" w:after="40"/>
        <w:rPr>
          <w:rFonts w:cs="Arial"/>
          <w:bCs/>
          <w:color w:val="000000"/>
          <w:sz w:val="24"/>
          <w:szCs w:val="24"/>
        </w:rPr>
      </w:pPr>
    </w:p>
    <w:p w:rsidR="00256D29" w:rsidRPr="00256D29" w:rsidRDefault="00256D29" w:rsidP="00256D29">
      <w:pPr>
        <w:spacing w:before="40" w:after="40"/>
        <w:rPr>
          <w:rFonts w:cs="Arial"/>
          <w:bCs/>
          <w:i/>
          <w:color w:val="000000"/>
          <w:sz w:val="24"/>
          <w:szCs w:val="24"/>
        </w:rPr>
      </w:pPr>
      <w:r w:rsidRPr="00256D29">
        <w:rPr>
          <w:rFonts w:cs="Arial"/>
          <w:bCs/>
          <w:i/>
          <w:color w:val="000000"/>
          <w:sz w:val="24"/>
          <w:szCs w:val="24"/>
        </w:rPr>
        <w:t xml:space="preserve">Section </w:t>
      </w:r>
      <w:r>
        <w:rPr>
          <w:rFonts w:cs="Arial"/>
          <w:bCs/>
          <w:i/>
          <w:color w:val="000000"/>
          <w:sz w:val="24"/>
          <w:szCs w:val="24"/>
        </w:rPr>
        <w:t>4</w:t>
      </w:r>
      <w:r w:rsidR="00A52E51">
        <w:rPr>
          <w:rFonts w:cs="Arial"/>
          <w:bCs/>
          <w:i/>
          <w:color w:val="000000"/>
          <w:sz w:val="24"/>
          <w:szCs w:val="24"/>
        </w:rPr>
        <w:t xml:space="preserve"> - Definitions</w:t>
      </w:r>
    </w:p>
    <w:p w:rsidR="00256D29" w:rsidRDefault="00256D29" w:rsidP="00256D29">
      <w:pPr>
        <w:spacing w:before="40" w:after="40"/>
        <w:rPr>
          <w:rFonts w:cs="Arial"/>
          <w:bCs/>
          <w:color w:val="000000"/>
          <w:sz w:val="24"/>
          <w:szCs w:val="24"/>
        </w:rPr>
      </w:pPr>
      <w:r>
        <w:rPr>
          <w:rFonts w:cs="Arial"/>
          <w:bCs/>
          <w:color w:val="000000"/>
          <w:sz w:val="24"/>
          <w:szCs w:val="24"/>
        </w:rPr>
        <w:t>Section 4 provides definition for terms used in the Instrument.</w:t>
      </w:r>
    </w:p>
    <w:p w:rsidR="00256D29" w:rsidRDefault="00256D29" w:rsidP="00256D29">
      <w:pPr>
        <w:spacing w:before="40" w:after="40"/>
        <w:rPr>
          <w:rFonts w:cs="Arial"/>
          <w:bCs/>
          <w:color w:val="000000"/>
          <w:sz w:val="24"/>
          <w:szCs w:val="24"/>
        </w:rPr>
      </w:pPr>
    </w:p>
    <w:p w:rsidR="00256D29" w:rsidRPr="00256D29" w:rsidRDefault="00256D29" w:rsidP="00256D29">
      <w:pPr>
        <w:spacing w:before="40" w:after="40"/>
        <w:rPr>
          <w:rFonts w:cs="Arial"/>
          <w:bCs/>
          <w:i/>
          <w:color w:val="000000"/>
          <w:sz w:val="24"/>
          <w:szCs w:val="24"/>
        </w:rPr>
      </w:pPr>
      <w:r w:rsidRPr="00256D29">
        <w:rPr>
          <w:rFonts w:cs="Arial"/>
          <w:bCs/>
          <w:i/>
          <w:color w:val="000000"/>
          <w:sz w:val="24"/>
          <w:szCs w:val="24"/>
        </w:rPr>
        <w:t xml:space="preserve">Section </w:t>
      </w:r>
      <w:r>
        <w:rPr>
          <w:rFonts w:cs="Arial"/>
          <w:bCs/>
          <w:i/>
          <w:color w:val="000000"/>
          <w:sz w:val="24"/>
          <w:szCs w:val="24"/>
        </w:rPr>
        <w:t>5</w:t>
      </w:r>
      <w:r w:rsidR="00A52E51">
        <w:rPr>
          <w:rFonts w:cs="Arial"/>
          <w:bCs/>
          <w:i/>
          <w:color w:val="000000"/>
          <w:sz w:val="24"/>
          <w:szCs w:val="24"/>
        </w:rPr>
        <w:t>- Periods within which renewal of registration must be made</w:t>
      </w:r>
    </w:p>
    <w:p w:rsidR="00256D29" w:rsidRDefault="00256D29" w:rsidP="00256D29">
      <w:pPr>
        <w:spacing w:before="40" w:after="40"/>
        <w:rPr>
          <w:rFonts w:cs="Arial"/>
          <w:bCs/>
          <w:color w:val="000000"/>
          <w:sz w:val="24"/>
          <w:szCs w:val="24"/>
        </w:rPr>
      </w:pPr>
      <w:r>
        <w:rPr>
          <w:rFonts w:cs="Arial"/>
          <w:bCs/>
          <w:color w:val="000000"/>
          <w:sz w:val="24"/>
          <w:szCs w:val="24"/>
        </w:rPr>
        <w:t xml:space="preserve">Section 5 details the period within which a registered provider must </w:t>
      </w:r>
      <w:r w:rsidR="00FE5354">
        <w:rPr>
          <w:rFonts w:cs="Arial"/>
          <w:bCs/>
          <w:color w:val="000000"/>
          <w:sz w:val="24"/>
          <w:szCs w:val="24"/>
        </w:rPr>
        <w:t xml:space="preserve">make a </w:t>
      </w:r>
      <w:r>
        <w:rPr>
          <w:rFonts w:cs="Arial"/>
          <w:bCs/>
          <w:color w:val="000000"/>
          <w:sz w:val="24"/>
          <w:szCs w:val="24"/>
        </w:rPr>
        <w:t>renewal of registration</w:t>
      </w:r>
      <w:r w:rsidR="00FE5354">
        <w:rPr>
          <w:rFonts w:cs="Arial"/>
          <w:bCs/>
          <w:color w:val="000000"/>
          <w:sz w:val="24"/>
          <w:szCs w:val="24"/>
        </w:rPr>
        <w:t xml:space="preserve"> application</w:t>
      </w:r>
      <w:r>
        <w:rPr>
          <w:rFonts w:cs="Arial"/>
          <w:bCs/>
          <w:color w:val="000000"/>
          <w:sz w:val="24"/>
          <w:szCs w:val="24"/>
        </w:rPr>
        <w:t>.</w:t>
      </w:r>
    </w:p>
    <w:p w:rsidR="00256D29" w:rsidRDefault="00256D29" w:rsidP="00256D29">
      <w:pPr>
        <w:spacing w:before="40" w:after="40"/>
        <w:rPr>
          <w:rFonts w:cs="Arial"/>
          <w:bCs/>
          <w:color w:val="000000"/>
          <w:sz w:val="24"/>
          <w:szCs w:val="24"/>
        </w:rPr>
      </w:pPr>
    </w:p>
    <w:p w:rsidR="00256D29" w:rsidRDefault="00256D29" w:rsidP="00256D29">
      <w:pPr>
        <w:spacing w:before="40" w:after="40"/>
        <w:rPr>
          <w:rFonts w:cs="Arial"/>
          <w:bCs/>
          <w:color w:val="000000"/>
          <w:sz w:val="24"/>
          <w:szCs w:val="24"/>
        </w:rPr>
      </w:pPr>
    </w:p>
    <w:p w:rsidR="00256D29" w:rsidRDefault="00256D29" w:rsidP="00E85296">
      <w:pPr>
        <w:spacing w:before="40" w:after="40"/>
        <w:rPr>
          <w:rFonts w:cs="Arial"/>
          <w:bCs/>
          <w:color w:val="000000"/>
          <w:sz w:val="24"/>
          <w:szCs w:val="24"/>
        </w:rPr>
      </w:pPr>
    </w:p>
    <w:p w:rsidR="00940781" w:rsidRDefault="00940781">
      <w:pPr>
        <w:rPr>
          <w:rFonts w:ascii="Times New Roman" w:hAnsi="Times New Roman"/>
          <w:b/>
          <w:sz w:val="28"/>
          <w:szCs w:val="28"/>
        </w:rPr>
      </w:pPr>
      <w:r>
        <w:rPr>
          <w:rFonts w:ascii="Times New Roman" w:hAnsi="Times New Roman"/>
          <w:b/>
          <w:sz w:val="28"/>
          <w:szCs w:val="28"/>
        </w:rPr>
        <w:br w:type="page"/>
      </w:r>
    </w:p>
    <w:p w:rsidR="00C039E9" w:rsidRPr="00E4135E" w:rsidRDefault="00C039E9" w:rsidP="00C039E9">
      <w:pPr>
        <w:spacing w:before="360" w:after="120"/>
        <w:jc w:val="center"/>
        <w:rPr>
          <w:rFonts w:ascii="Times New Roman" w:hAnsi="Times New Roman"/>
          <w:b/>
          <w:sz w:val="28"/>
          <w:szCs w:val="28"/>
        </w:rPr>
      </w:pPr>
      <w:r w:rsidRPr="00E4135E">
        <w:rPr>
          <w:rFonts w:ascii="Times New Roman" w:hAnsi="Times New Roman"/>
          <w:b/>
          <w:sz w:val="28"/>
          <w:szCs w:val="28"/>
        </w:rPr>
        <w:lastRenderedPageBreak/>
        <w:t>Statement of Compatibility with Human Rights</w:t>
      </w:r>
    </w:p>
    <w:p w:rsidR="00C039E9" w:rsidRPr="00E4135E" w:rsidRDefault="00C039E9" w:rsidP="00C039E9">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C039E9" w:rsidRPr="00E4135E" w:rsidRDefault="00C039E9" w:rsidP="00C039E9">
      <w:pPr>
        <w:spacing w:before="120" w:after="120"/>
        <w:jc w:val="center"/>
        <w:rPr>
          <w:rFonts w:ascii="Times New Roman" w:hAnsi="Times New Roman"/>
          <w:sz w:val="24"/>
          <w:szCs w:val="24"/>
        </w:rPr>
      </w:pPr>
    </w:p>
    <w:p w:rsidR="00C039E9" w:rsidRDefault="004A563C" w:rsidP="00C039E9">
      <w:pPr>
        <w:spacing w:before="120" w:after="120"/>
        <w:jc w:val="center"/>
        <w:rPr>
          <w:rFonts w:ascii="Times New Roman" w:hAnsi="Times New Roman"/>
          <w:b/>
          <w:sz w:val="24"/>
          <w:szCs w:val="24"/>
        </w:rPr>
      </w:pPr>
      <w:r w:rsidRPr="004A563C">
        <w:rPr>
          <w:rFonts w:ascii="Times New Roman" w:hAnsi="Times New Roman"/>
          <w:b/>
          <w:sz w:val="24"/>
          <w:szCs w:val="24"/>
        </w:rPr>
        <w:t>Education Services for Overseas Students (</w:t>
      </w:r>
      <w:r w:rsidR="006115AA">
        <w:rPr>
          <w:rFonts w:ascii="Times New Roman" w:hAnsi="Times New Roman"/>
          <w:b/>
          <w:sz w:val="24"/>
          <w:szCs w:val="24"/>
        </w:rPr>
        <w:t xml:space="preserve">ASQA </w:t>
      </w:r>
      <w:r w:rsidRPr="004A563C">
        <w:rPr>
          <w:rFonts w:ascii="Times New Roman" w:hAnsi="Times New Roman"/>
          <w:b/>
          <w:sz w:val="24"/>
          <w:szCs w:val="24"/>
        </w:rPr>
        <w:t>Registration Renewal Application Period)</w:t>
      </w:r>
      <w:r w:rsidR="00F34385">
        <w:rPr>
          <w:rFonts w:ascii="Times New Roman" w:hAnsi="Times New Roman"/>
          <w:b/>
          <w:sz w:val="24"/>
          <w:szCs w:val="24"/>
        </w:rPr>
        <w:t xml:space="preserve"> Determination</w:t>
      </w:r>
      <w:r w:rsidRPr="004A563C">
        <w:rPr>
          <w:rFonts w:ascii="Times New Roman" w:hAnsi="Times New Roman"/>
          <w:b/>
          <w:sz w:val="24"/>
          <w:szCs w:val="24"/>
        </w:rPr>
        <w:t xml:space="preserve"> 201</w:t>
      </w:r>
      <w:r w:rsidR="00C5380B">
        <w:rPr>
          <w:rFonts w:ascii="Times New Roman" w:hAnsi="Times New Roman"/>
          <w:b/>
          <w:sz w:val="24"/>
          <w:szCs w:val="24"/>
        </w:rPr>
        <w:t>9</w:t>
      </w:r>
    </w:p>
    <w:p w:rsidR="004A563C" w:rsidRPr="00E4135E" w:rsidRDefault="004A563C" w:rsidP="00C039E9">
      <w:pPr>
        <w:spacing w:before="120" w:after="120"/>
        <w:jc w:val="center"/>
        <w:rPr>
          <w:rFonts w:ascii="Times New Roman" w:hAnsi="Times New Roman"/>
          <w:sz w:val="24"/>
          <w:szCs w:val="24"/>
        </w:rPr>
      </w:pPr>
    </w:p>
    <w:p w:rsidR="00C039E9" w:rsidRPr="00E4135E" w:rsidRDefault="00C039E9" w:rsidP="00DE5F73">
      <w:pPr>
        <w:spacing w:before="120" w:after="120"/>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C039E9" w:rsidRPr="00E4135E" w:rsidRDefault="00C039E9" w:rsidP="00C039E9">
      <w:pPr>
        <w:spacing w:before="120" w:after="120"/>
        <w:jc w:val="center"/>
        <w:rPr>
          <w:rFonts w:ascii="Times New Roman" w:hAnsi="Times New Roman"/>
          <w:sz w:val="24"/>
          <w:szCs w:val="24"/>
        </w:rPr>
      </w:pPr>
    </w:p>
    <w:p w:rsidR="00C039E9" w:rsidRPr="00E4135E" w:rsidRDefault="00C039E9" w:rsidP="00C039E9">
      <w:pPr>
        <w:spacing w:before="120" w:after="120"/>
        <w:jc w:val="both"/>
        <w:rPr>
          <w:rFonts w:ascii="Times New Roman" w:hAnsi="Times New Roman"/>
          <w:b/>
          <w:sz w:val="24"/>
          <w:szCs w:val="24"/>
        </w:rPr>
      </w:pPr>
      <w:r>
        <w:rPr>
          <w:rFonts w:ascii="Times New Roman" w:hAnsi="Times New Roman"/>
          <w:b/>
          <w:sz w:val="24"/>
          <w:szCs w:val="24"/>
        </w:rPr>
        <w:t xml:space="preserve">Overview of the </w:t>
      </w:r>
      <w:r w:rsidRPr="00E4135E">
        <w:rPr>
          <w:rFonts w:ascii="Times New Roman" w:hAnsi="Times New Roman"/>
          <w:b/>
          <w:sz w:val="24"/>
          <w:szCs w:val="24"/>
        </w:rPr>
        <w:t>Legislative Instrument</w:t>
      </w:r>
    </w:p>
    <w:p w:rsidR="00DE5F73" w:rsidRDefault="00C039E9" w:rsidP="00C039E9">
      <w:pPr>
        <w:pStyle w:val="IH"/>
        <w:spacing w:before="0" w:after="120"/>
        <w:ind w:left="0" w:firstLine="0"/>
        <w:rPr>
          <w:rFonts w:ascii="Times New Roman" w:hAnsi="Times New Roman"/>
          <w:b w:val="0"/>
        </w:rPr>
      </w:pPr>
      <w:r w:rsidRPr="00C039E9">
        <w:rPr>
          <w:rFonts w:ascii="Times New Roman" w:hAnsi="Times New Roman"/>
          <w:b w:val="0"/>
          <w:color w:val="000000"/>
        </w:rPr>
        <w:t>The purpose of the instrument is to</w:t>
      </w:r>
      <w:r w:rsidRPr="00C039E9">
        <w:rPr>
          <w:rFonts w:ascii="Times New Roman" w:eastAsia="Calibri" w:hAnsi="Times New Roman"/>
          <w:b w:val="0"/>
          <w:color w:val="000000"/>
        </w:rPr>
        <w:t xml:space="preserve"> </w:t>
      </w:r>
      <w:r w:rsidRPr="00C039E9">
        <w:rPr>
          <w:rFonts w:ascii="Times New Roman" w:hAnsi="Times New Roman"/>
          <w:b w:val="0"/>
        </w:rPr>
        <w:t xml:space="preserve">set out the </w:t>
      </w:r>
      <w:r w:rsidR="004A563C">
        <w:rPr>
          <w:rFonts w:ascii="Times New Roman" w:hAnsi="Times New Roman"/>
          <w:b w:val="0"/>
        </w:rPr>
        <w:t xml:space="preserve">period within which applications must be made for </w:t>
      </w:r>
      <w:r w:rsidR="00DE5F73">
        <w:rPr>
          <w:rFonts w:ascii="Times New Roman" w:hAnsi="Times New Roman"/>
          <w:b w:val="0"/>
        </w:rPr>
        <w:t xml:space="preserve">the purposes of </w:t>
      </w:r>
      <w:r w:rsidR="004A563C">
        <w:rPr>
          <w:rFonts w:ascii="Times New Roman" w:hAnsi="Times New Roman"/>
          <w:b w:val="0"/>
        </w:rPr>
        <w:t xml:space="preserve">Section 10D of the </w:t>
      </w:r>
      <w:r w:rsidR="00DE5F73" w:rsidRPr="00DE5F73">
        <w:rPr>
          <w:rFonts w:ascii="Times New Roman" w:hAnsi="Times New Roman"/>
          <w:b w:val="0"/>
          <w:i/>
        </w:rPr>
        <w:t>Education Services for Overseas Students Act 2000</w:t>
      </w:r>
      <w:r w:rsidR="004A563C">
        <w:rPr>
          <w:rFonts w:ascii="Times New Roman" w:hAnsi="Times New Roman"/>
          <w:b w:val="0"/>
        </w:rPr>
        <w:t xml:space="preserve">. </w:t>
      </w:r>
      <w:r w:rsidR="00DE5F73">
        <w:rPr>
          <w:rFonts w:ascii="Times New Roman" w:hAnsi="Times New Roman"/>
          <w:b w:val="0"/>
        </w:rPr>
        <w:t>These applications are applications for renewal of registration of providers on the Commonwealth Register of Institutions and Courses for Overseas Students.</w:t>
      </w:r>
    </w:p>
    <w:p w:rsidR="00C039E9" w:rsidRPr="00C039E9" w:rsidRDefault="00C039E9" w:rsidP="00C039E9">
      <w:pPr>
        <w:spacing w:after="120"/>
        <w:rPr>
          <w:rFonts w:ascii="Times New Roman" w:hAnsi="Times New Roman"/>
          <w:sz w:val="24"/>
          <w:szCs w:val="24"/>
        </w:rPr>
      </w:pPr>
    </w:p>
    <w:p w:rsidR="00C039E9" w:rsidRPr="00E4135E" w:rsidRDefault="00C039E9" w:rsidP="00C039E9">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7370A3" w:rsidRPr="007370A3" w:rsidRDefault="007370A3" w:rsidP="0097245E">
      <w:pPr>
        <w:spacing w:before="120"/>
        <w:rPr>
          <w:rFonts w:ascii="Times New Roman" w:hAnsi="Times New Roman"/>
          <w:sz w:val="24"/>
          <w:szCs w:val="24"/>
        </w:rPr>
      </w:pPr>
      <w:r w:rsidRPr="007370A3">
        <w:rPr>
          <w:rFonts w:ascii="Times New Roman" w:hAnsi="Times New Roman"/>
          <w:sz w:val="24"/>
          <w:szCs w:val="24"/>
        </w:rPr>
        <w:t>The Instrument engages the right to education, contained in Article 13 of the International Covenant on Economic, Social, and Cultur</w:t>
      </w:r>
      <w:r>
        <w:rPr>
          <w:rFonts w:ascii="Times New Roman" w:hAnsi="Times New Roman"/>
          <w:sz w:val="24"/>
          <w:szCs w:val="24"/>
        </w:rPr>
        <w:t>al Rights. In particular, this i</w:t>
      </w:r>
      <w:r w:rsidRPr="007370A3">
        <w:rPr>
          <w:rFonts w:ascii="Times New Roman" w:hAnsi="Times New Roman"/>
          <w:sz w:val="24"/>
          <w:szCs w:val="24"/>
        </w:rPr>
        <w:t>nstrument has an effect on the</w:t>
      </w:r>
      <w:r>
        <w:rPr>
          <w:rFonts w:ascii="Times New Roman" w:hAnsi="Times New Roman"/>
          <w:sz w:val="24"/>
          <w:szCs w:val="24"/>
        </w:rPr>
        <w:t xml:space="preserve"> provision of education services by higher education providers</w:t>
      </w:r>
      <w:r w:rsidRPr="007370A3">
        <w:rPr>
          <w:rFonts w:ascii="Times New Roman" w:hAnsi="Times New Roman"/>
          <w:sz w:val="24"/>
          <w:szCs w:val="24"/>
        </w:rPr>
        <w:t>.</w:t>
      </w:r>
    </w:p>
    <w:p w:rsidR="007370A3" w:rsidRPr="007370A3" w:rsidRDefault="007370A3" w:rsidP="0097245E">
      <w:pPr>
        <w:rPr>
          <w:rFonts w:ascii="Times New Roman" w:hAnsi="Times New Roman"/>
          <w:sz w:val="24"/>
          <w:szCs w:val="24"/>
        </w:rPr>
      </w:pPr>
    </w:p>
    <w:p w:rsidR="00C039E9" w:rsidRDefault="007370A3" w:rsidP="0097245E">
      <w:pPr>
        <w:spacing w:after="120"/>
        <w:rPr>
          <w:rFonts w:ascii="Times New Roman" w:hAnsi="Times New Roman"/>
          <w:sz w:val="24"/>
          <w:szCs w:val="24"/>
        </w:rPr>
      </w:pPr>
      <w:r w:rsidRPr="007370A3">
        <w:rPr>
          <w:rFonts w:ascii="Times New Roman" w:hAnsi="Times New Roman"/>
          <w:sz w:val="24"/>
          <w:szCs w:val="24"/>
        </w:rPr>
        <w:t>To the extent that the right to education is engaged, this right is promoted by the Legislative Instrument</w:t>
      </w:r>
      <w:r w:rsidR="00FE5354">
        <w:rPr>
          <w:rFonts w:ascii="Times New Roman" w:hAnsi="Times New Roman"/>
          <w:sz w:val="24"/>
          <w:szCs w:val="24"/>
        </w:rPr>
        <w:t xml:space="preserve"> as it ensures seamless continuity of education through periods of renewal</w:t>
      </w:r>
      <w:r w:rsidRPr="007370A3">
        <w:rPr>
          <w:rFonts w:ascii="Times New Roman" w:hAnsi="Times New Roman"/>
          <w:sz w:val="24"/>
          <w:szCs w:val="24"/>
        </w:rPr>
        <w:t>.</w:t>
      </w:r>
    </w:p>
    <w:p w:rsidR="007370A3" w:rsidRPr="00E4135E" w:rsidRDefault="007370A3" w:rsidP="007370A3">
      <w:pPr>
        <w:spacing w:before="120" w:after="120"/>
        <w:rPr>
          <w:rFonts w:ascii="Times New Roman" w:hAnsi="Times New Roman"/>
          <w:sz w:val="24"/>
          <w:szCs w:val="24"/>
        </w:rPr>
      </w:pPr>
    </w:p>
    <w:p w:rsidR="00C039E9" w:rsidRPr="00E4135E" w:rsidRDefault="00C039E9" w:rsidP="00C039E9">
      <w:pPr>
        <w:spacing w:before="120" w:after="120"/>
        <w:rPr>
          <w:rFonts w:ascii="Times New Roman" w:hAnsi="Times New Roman"/>
          <w:b/>
          <w:sz w:val="24"/>
          <w:szCs w:val="24"/>
        </w:rPr>
      </w:pPr>
      <w:r w:rsidRPr="00E4135E">
        <w:rPr>
          <w:rFonts w:ascii="Times New Roman" w:hAnsi="Times New Roman"/>
          <w:b/>
          <w:sz w:val="24"/>
          <w:szCs w:val="24"/>
        </w:rPr>
        <w:t>Conclusion</w:t>
      </w:r>
    </w:p>
    <w:p w:rsidR="00CC38B6" w:rsidRDefault="007370A3" w:rsidP="00C039E9">
      <w:pPr>
        <w:spacing w:before="120" w:after="120"/>
        <w:rPr>
          <w:rFonts w:ascii="Times New Roman" w:hAnsi="Times New Roman"/>
          <w:sz w:val="24"/>
          <w:szCs w:val="24"/>
        </w:rPr>
      </w:pPr>
      <w:r w:rsidRPr="007370A3">
        <w:rPr>
          <w:rFonts w:ascii="Times New Roman" w:hAnsi="Times New Roman"/>
          <w:sz w:val="24"/>
          <w:szCs w:val="24"/>
        </w:rPr>
        <w:t>This Instrument is compatible with human rights because it advances</w:t>
      </w:r>
      <w:r>
        <w:rPr>
          <w:rFonts w:ascii="Times New Roman" w:hAnsi="Times New Roman"/>
          <w:sz w:val="24"/>
          <w:szCs w:val="24"/>
        </w:rPr>
        <w:t xml:space="preserve"> the protection of human rights</w:t>
      </w:r>
      <w:r w:rsidR="00C039E9" w:rsidRPr="00E4135E">
        <w:rPr>
          <w:rFonts w:ascii="Times New Roman" w:hAnsi="Times New Roman"/>
          <w:sz w:val="24"/>
          <w:szCs w:val="24"/>
        </w:rPr>
        <w:t>.</w:t>
      </w:r>
    </w:p>
    <w:p w:rsidR="00CC38B6" w:rsidRDefault="00CC38B6" w:rsidP="00C039E9">
      <w:pPr>
        <w:spacing w:before="120" w:after="120"/>
        <w:rPr>
          <w:rFonts w:ascii="Times New Roman" w:hAnsi="Times New Roman"/>
          <w:sz w:val="24"/>
          <w:szCs w:val="24"/>
        </w:rPr>
        <w:sectPr w:rsidR="00CC38B6" w:rsidSect="0062745F">
          <w:footerReference w:type="even" r:id="rId8"/>
          <w:footerReference w:type="default" r:id="rId9"/>
          <w:pgSz w:w="11906" w:h="16838" w:code="9"/>
          <w:pgMar w:top="1134" w:right="1134" w:bottom="709" w:left="1418" w:header="567" w:footer="567" w:gutter="0"/>
          <w:cols w:space="720"/>
          <w:docGrid w:linePitch="272"/>
        </w:sectPr>
      </w:pPr>
    </w:p>
    <w:p w:rsidR="00CC38B6" w:rsidRDefault="00CC38B6" w:rsidP="00CC38B6">
      <w:pPr>
        <w:rPr>
          <w:rFonts w:ascii="Times New Roman" w:hAnsi="Times New Roman"/>
          <w:sz w:val="24"/>
          <w:szCs w:val="24"/>
        </w:rPr>
      </w:pPr>
    </w:p>
    <w:p w:rsidR="006E1E33" w:rsidRDefault="006E1E33" w:rsidP="00CC38B6">
      <w:pPr>
        <w:rPr>
          <w:rFonts w:ascii="Times New Roman" w:hAnsi="Times New Roman"/>
          <w:sz w:val="24"/>
          <w:szCs w:val="24"/>
        </w:rPr>
      </w:pPr>
    </w:p>
    <w:p w:rsidR="00CC38B6" w:rsidRPr="00132354" w:rsidRDefault="00CC38B6" w:rsidP="00CC38B6">
      <w:pPr>
        <w:rPr>
          <w:rFonts w:ascii="Times New Roman" w:hAnsi="Times New Roman"/>
          <w:sz w:val="24"/>
          <w:szCs w:val="24"/>
        </w:rPr>
      </w:pPr>
      <w:r w:rsidRPr="00132354">
        <w:rPr>
          <w:rFonts w:ascii="Times New Roman" w:hAnsi="Times New Roman"/>
          <w:sz w:val="24"/>
          <w:szCs w:val="24"/>
        </w:rPr>
        <w:t>_______________________</w:t>
      </w:r>
      <w:r w:rsidRPr="00132354">
        <w:rPr>
          <w:rFonts w:ascii="Times New Roman" w:hAnsi="Times New Roman"/>
          <w:sz w:val="24"/>
          <w:szCs w:val="24"/>
        </w:rPr>
        <w:tab/>
      </w:r>
      <w:r w:rsidRPr="00132354">
        <w:rPr>
          <w:rFonts w:ascii="Times New Roman" w:hAnsi="Times New Roman"/>
          <w:sz w:val="24"/>
          <w:szCs w:val="24"/>
        </w:rPr>
        <w:tab/>
      </w:r>
    </w:p>
    <w:p w:rsidR="00CC38B6" w:rsidRPr="00132354" w:rsidRDefault="006115AA" w:rsidP="00CC38B6">
      <w:pPr>
        <w:rPr>
          <w:rFonts w:ascii="Times New Roman" w:hAnsi="Times New Roman"/>
          <w:sz w:val="24"/>
          <w:szCs w:val="24"/>
        </w:rPr>
      </w:pPr>
      <w:r>
        <w:rPr>
          <w:rFonts w:ascii="Times New Roman" w:hAnsi="Times New Roman"/>
          <w:sz w:val="24"/>
          <w:szCs w:val="24"/>
        </w:rPr>
        <w:t>Mark Paterson</w:t>
      </w:r>
      <w:r w:rsidR="00CC38B6" w:rsidRPr="00132354">
        <w:rPr>
          <w:rFonts w:ascii="Times New Roman" w:hAnsi="Times New Roman"/>
          <w:sz w:val="24"/>
          <w:szCs w:val="24"/>
        </w:rPr>
        <w:tab/>
        <w:t>AO</w:t>
      </w:r>
    </w:p>
    <w:p w:rsidR="00CC38B6" w:rsidRDefault="00CC38B6" w:rsidP="00CC38B6">
      <w:pPr>
        <w:rPr>
          <w:rFonts w:ascii="Times New Roman" w:hAnsi="Times New Roman"/>
          <w:sz w:val="24"/>
          <w:szCs w:val="24"/>
        </w:rPr>
      </w:pPr>
      <w:r w:rsidRPr="00132354">
        <w:rPr>
          <w:rFonts w:ascii="Times New Roman" w:hAnsi="Times New Roman"/>
          <w:sz w:val="24"/>
          <w:szCs w:val="24"/>
        </w:rPr>
        <w:t>Chief Commissioner</w:t>
      </w:r>
    </w:p>
    <w:p w:rsidR="006115AA" w:rsidRPr="00132354" w:rsidRDefault="006115AA" w:rsidP="00CC38B6">
      <w:pPr>
        <w:rPr>
          <w:rFonts w:ascii="Times New Roman" w:hAnsi="Times New Roman"/>
          <w:sz w:val="24"/>
          <w:szCs w:val="24"/>
        </w:rPr>
      </w:pPr>
      <w:r>
        <w:rPr>
          <w:rFonts w:ascii="Times New Roman" w:hAnsi="Times New Roman"/>
          <w:sz w:val="24"/>
          <w:szCs w:val="24"/>
        </w:rPr>
        <w:t>Australian Skills Quality Authority</w:t>
      </w:r>
    </w:p>
    <w:p w:rsidR="00DE5F73" w:rsidRDefault="00DE5F73" w:rsidP="00CC38B6">
      <w:pPr>
        <w:rPr>
          <w:rFonts w:ascii="Times New Roman" w:hAnsi="Times New Roman"/>
          <w:sz w:val="24"/>
          <w:szCs w:val="24"/>
        </w:rPr>
      </w:pPr>
    </w:p>
    <w:p w:rsidR="00DE10EB" w:rsidRDefault="00DE10EB" w:rsidP="00CC38B6">
      <w:pPr>
        <w:rPr>
          <w:rFonts w:ascii="Times New Roman" w:hAnsi="Times New Roman"/>
          <w:sz w:val="24"/>
          <w:szCs w:val="24"/>
        </w:rPr>
      </w:pPr>
    </w:p>
    <w:p w:rsidR="00C039E9" w:rsidRPr="00E85296" w:rsidRDefault="00C039E9" w:rsidP="00410D69">
      <w:pPr>
        <w:spacing w:before="120" w:after="120"/>
        <w:jc w:val="center"/>
        <w:rPr>
          <w:rFonts w:cs="Arial"/>
          <w:sz w:val="24"/>
          <w:szCs w:val="24"/>
        </w:rPr>
      </w:pPr>
    </w:p>
    <w:sectPr w:rsidR="00C039E9" w:rsidRPr="00E85296" w:rsidSect="00410D69">
      <w:type w:val="continuous"/>
      <w:pgSz w:w="11906" w:h="16838" w:code="9"/>
      <w:pgMar w:top="1134" w:right="1134" w:bottom="709" w:left="1418" w:header="567" w:footer="567"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67" w:rsidRDefault="00BF2C67" w:rsidP="00BA0899">
      <w:r>
        <w:separator/>
      </w:r>
    </w:p>
  </w:endnote>
  <w:endnote w:type="continuationSeparator" w:id="0">
    <w:p w:rsidR="00BF2C67" w:rsidRDefault="00BF2C67" w:rsidP="00BA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11" w:rsidRDefault="00ED0F11" w:rsidP="00846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F11" w:rsidRDefault="00ED0F11" w:rsidP="00846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11" w:rsidRPr="00E12AEC" w:rsidRDefault="00ED0F11" w:rsidP="008463CB">
    <w:pPr>
      <w:pStyle w:val="Footer"/>
      <w:framePr w:wrap="around" w:vAnchor="text" w:hAnchor="margin" w:xAlign="right" w:y="1"/>
      <w:rPr>
        <w:rStyle w:val="PageNumber"/>
        <w:rFonts w:ascii="Times New Roman" w:hAnsi="Times New Roman"/>
      </w:rPr>
    </w:pPr>
    <w:r w:rsidRPr="00E12AEC">
      <w:rPr>
        <w:rStyle w:val="PageNumber"/>
        <w:rFonts w:ascii="Times New Roman" w:hAnsi="Times New Roman"/>
      </w:rPr>
      <w:fldChar w:fldCharType="begin"/>
    </w:r>
    <w:r w:rsidRPr="00E12AEC">
      <w:rPr>
        <w:rStyle w:val="PageNumber"/>
        <w:rFonts w:ascii="Times New Roman" w:hAnsi="Times New Roman"/>
      </w:rPr>
      <w:instrText xml:space="preserve">PAGE  </w:instrText>
    </w:r>
    <w:r w:rsidRPr="00E12AEC">
      <w:rPr>
        <w:rStyle w:val="PageNumber"/>
        <w:rFonts w:ascii="Times New Roman" w:hAnsi="Times New Roman"/>
      </w:rPr>
      <w:fldChar w:fldCharType="separate"/>
    </w:r>
    <w:r w:rsidR="001857D5">
      <w:rPr>
        <w:rStyle w:val="PageNumber"/>
        <w:rFonts w:ascii="Times New Roman" w:hAnsi="Times New Roman"/>
        <w:noProof/>
      </w:rPr>
      <w:t>2</w:t>
    </w:r>
    <w:r w:rsidRPr="00E12AEC">
      <w:rPr>
        <w:rStyle w:val="PageNumber"/>
        <w:rFonts w:ascii="Times New Roman" w:hAnsi="Times New Roman"/>
      </w:rPr>
      <w:fldChar w:fldCharType="end"/>
    </w:r>
  </w:p>
  <w:p w:rsidR="00ED0F11" w:rsidRDefault="00ED0F11" w:rsidP="008463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67" w:rsidRDefault="00BF2C67" w:rsidP="00BA0899">
      <w:r>
        <w:separator/>
      </w:r>
    </w:p>
  </w:footnote>
  <w:footnote w:type="continuationSeparator" w:id="0">
    <w:p w:rsidR="00BF2C67" w:rsidRDefault="00BF2C67" w:rsidP="00BA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731"/>
    <w:multiLevelType w:val="hybridMultilevel"/>
    <w:tmpl w:val="87B4A8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727D13"/>
    <w:multiLevelType w:val="hybridMultilevel"/>
    <w:tmpl w:val="F63050AA"/>
    <w:lvl w:ilvl="0" w:tplc="7E8AD99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4394F"/>
    <w:multiLevelType w:val="hybridMultilevel"/>
    <w:tmpl w:val="80A48F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A7A95"/>
    <w:multiLevelType w:val="hybridMultilevel"/>
    <w:tmpl w:val="0E9CE4A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04B6B"/>
    <w:multiLevelType w:val="hybridMultilevel"/>
    <w:tmpl w:val="244C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7C71D0"/>
    <w:multiLevelType w:val="hybridMultilevel"/>
    <w:tmpl w:val="1E8C6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EE1048"/>
    <w:multiLevelType w:val="hybridMultilevel"/>
    <w:tmpl w:val="9FE0E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A345C1"/>
    <w:multiLevelType w:val="hybridMultilevel"/>
    <w:tmpl w:val="9FE81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0F0717"/>
    <w:multiLevelType w:val="hybridMultilevel"/>
    <w:tmpl w:val="268C5100"/>
    <w:lvl w:ilvl="0" w:tplc="7D6AB12C">
      <w:start w:val="1"/>
      <w:numFmt w:val="lowerLetter"/>
      <w:lvlText w:val="(%1)"/>
      <w:lvlJc w:val="left"/>
      <w:pPr>
        <w:ind w:left="720" w:hanging="360"/>
      </w:pPr>
      <w:rPr>
        <w:rFonts w:hint="default"/>
      </w:rPr>
    </w:lvl>
    <w:lvl w:ilvl="1" w:tplc="E8DAA87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C400D0"/>
    <w:multiLevelType w:val="hybridMultilevel"/>
    <w:tmpl w:val="9790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F60230"/>
    <w:multiLevelType w:val="hybridMultilevel"/>
    <w:tmpl w:val="0D167CA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BD1F96"/>
    <w:multiLevelType w:val="hybridMultilevel"/>
    <w:tmpl w:val="C73A75CC"/>
    <w:lvl w:ilvl="0" w:tplc="8AAA3596">
      <w:start w:val="1"/>
      <w:numFmt w:val="decimal"/>
      <w:pStyle w:val="41"/>
      <w:lvlText w:val="4.%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6C792038"/>
    <w:multiLevelType w:val="hybridMultilevel"/>
    <w:tmpl w:val="69427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2"/>
  </w:num>
  <w:num w:numId="4">
    <w:abstractNumId w:val="6"/>
  </w:num>
  <w:num w:numId="5">
    <w:abstractNumId w:val="4"/>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29"/>
    <w:rsid w:val="000004DD"/>
    <w:rsid w:val="00002997"/>
    <w:rsid w:val="000069B2"/>
    <w:rsid w:val="000069C4"/>
    <w:rsid w:val="000103CB"/>
    <w:rsid w:val="00010FFA"/>
    <w:rsid w:val="00014524"/>
    <w:rsid w:val="00014704"/>
    <w:rsid w:val="00015D30"/>
    <w:rsid w:val="0002308D"/>
    <w:rsid w:val="00025508"/>
    <w:rsid w:val="000259B6"/>
    <w:rsid w:val="00025D85"/>
    <w:rsid w:val="00027C86"/>
    <w:rsid w:val="0003158F"/>
    <w:rsid w:val="000318AF"/>
    <w:rsid w:val="00036404"/>
    <w:rsid w:val="00042156"/>
    <w:rsid w:val="00044216"/>
    <w:rsid w:val="00045249"/>
    <w:rsid w:val="00051130"/>
    <w:rsid w:val="0005378B"/>
    <w:rsid w:val="0006476D"/>
    <w:rsid w:val="000664FE"/>
    <w:rsid w:val="000712F3"/>
    <w:rsid w:val="00072A59"/>
    <w:rsid w:val="00073D09"/>
    <w:rsid w:val="00075DF6"/>
    <w:rsid w:val="0007763A"/>
    <w:rsid w:val="00082B5C"/>
    <w:rsid w:val="00083AE5"/>
    <w:rsid w:val="0008773A"/>
    <w:rsid w:val="00090C23"/>
    <w:rsid w:val="00091E1A"/>
    <w:rsid w:val="00093D56"/>
    <w:rsid w:val="00093E37"/>
    <w:rsid w:val="000977AB"/>
    <w:rsid w:val="000A19B4"/>
    <w:rsid w:val="000B0398"/>
    <w:rsid w:val="000B0FB3"/>
    <w:rsid w:val="000B2857"/>
    <w:rsid w:val="000B2EA7"/>
    <w:rsid w:val="000B398E"/>
    <w:rsid w:val="000C4431"/>
    <w:rsid w:val="000D13F5"/>
    <w:rsid w:val="000D2925"/>
    <w:rsid w:val="000E1263"/>
    <w:rsid w:val="000E1AB4"/>
    <w:rsid w:val="000E5AD2"/>
    <w:rsid w:val="000E5FCA"/>
    <w:rsid w:val="000F032B"/>
    <w:rsid w:val="000F6643"/>
    <w:rsid w:val="000F7713"/>
    <w:rsid w:val="00102B2D"/>
    <w:rsid w:val="001031E6"/>
    <w:rsid w:val="00103224"/>
    <w:rsid w:val="00103AFD"/>
    <w:rsid w:val="00103F01"/>
    <w:rsid w:val="0011072F"/>
    <w:rsid w:val="001119D1"/>
    <w:rsid w:val="00114A94"/>
    <w:rsid w:val="0011701D"/>
    <w:rsid w:val="00117472"/>
    <w:rsid w:val="00122D7C"/>
    <w:rsid w:val="00125D84"/>
    <w:rsid w:val="0012702B"/>
    <w:rsid w:val="00134829"/>
    <w:rsid w:val="001349FF"/>
    <w:rsid w:val="001355D8"/>
    <w:rsid w:val="00141943"/>
    <w:rsid w:val="00143924"/>
    <w:rsid w:val="0015597D"/>
    <w:rsid w:val="00155D78"/>
    <w:rsid w:val="00156467"/>
    <w:rsid w:val="00156D5A"/>
    <w:rsid w:val="001623D1"/>
    <w:rsid w:val="00173BF4"/>
    <w:rsid w:val="00175536"/>
    <w:rsid w:val="001771F4"/>
    <w:rsid w:val="001775C7"/>
    <w:rsid w:val="001812A2"/>
    <w:rsid w:val="00183D67"/>
    <w:rsid w:val="00184328"/>
    <w:rsid w:val="001857D5"/>
    <w:rsid w:val="001907D9"/>
    <w:rsid w:val="00190F2F"/>
    <w:rsid w:val="001949D6"/>
    <w:rsid w:val="00194A5D"/>
    <w:rsid w:val="001968AF"/>
    <w:rsid w:val="00196CFD"/>
    <w:rsid w:val="001A0A79"/>
    <w:rsid w:val="001A1093"/>
    <w:rsid w:val="001A1B7B"/>
    <w:rsid w:val="001A4118"/>
    <w:rsid w:val="001A438A"/>
    <w:rsid w:val="001A4492"/>
    <w:rsid w:val="001A5185"/>
    <w:rsid w:val="001A6529"/>
    <w:rsid w:val="001B01C3"/>
    <w:rsid w:val="001B4165"/>
    <w:rsid w:val="001B7A1B"/>
    <w:rsid w:val="001B7C53"/>
    <w:rsid w:val="001C73FD"/>
    <w:rsid w:val="001C7E36"/>
    <w:rsid w:val="001D5535"/>
    <w:rsid w:val="001D5F45"/>
    <w:rsid w:val="001D66A9"/>
    <w:rsid w:val="001E1038"/>
    <w:rsid w:val="001E619F"/>
    <w:rsid w:val="001E6979"/>
    <w:rsid w:val="001E7E14"/>
    <w:rsid w:val="001F0132"/>
    <w:rsid w:val="001F0C99"/>
    <w:rsid w:val="001F22DE"/>
    <w:rsid w:val="001F7B94"/>
    <w:rsid w:val="0020405C"/>
    <w:rsid w:val="00205BC4"/>
    <w:rsid w:val="00210259"/>
    <w:rsid w:val="0021216C"/>
    <w:rsid w:val="00212DD6"/>
    <w:rsid w:val="00213506"/>
    <w:rsid w:val="00213D10"/>
    <w:rsid w:val="00214638"/>
    <w:rsid w:val="00217435"/>
    <w:rsid w:val="002262E3"/>
    <w:rsid w:val="00232A5F"/>
    <w:rsid w:val="0023396B"/>
    <w:rsid w:val="00236934"/>
    <w:rsid w:val="00241119"/>
    <w:rsid w:val="0024184A"/>
    <w:rsid w:val="00245A6A"/>
    <w:rsid w:val="00246D4C"/>
    <w:rsid w:val="00247657"/>
    <w:rsid w:val="00250827"/>
    <w:rsid w:val="00252C53"/>
    <w:rsid w:val="00255C7E"/>
    <w:rsid w:val="00255F3D"/>
    <w:rsid w:val="00256D29"/>
    <w:rsid w:val="00260FB0"/>
    <w:rsid w:val="00264240"/>
    <w:rsid w:val="0026586F"/>
    <w:rsid w:val="00276F2A"/>
    <w:rsid w:val="002852DA"/>
    <w:rsid w:val="00287D6F"/>
    <w:rsid w:val="00290480"/>
    <w:rsid w:val="00291FCF"/>
    <w:rsid w:val="00293152"/>
    <w:rsid w:val="00293C2F"/>
    <w:rsid w:val="00295973"/>
    <w:rsid w:val="002972BE"/>
    <w:rsid w:val="002A3D7D"/>
    <w:rsid w:val="002A5754"/>
    <w:rsid w:val="002A7601"/>
    <w:rsid w:val="002B0742"/>
    <w:rsid w:val="002B0A69"/>
    <w:rsid w:val="002B3164"/>
    <w:rsid w:val="002B43F7"/>
    <w:rsid w:val="002C4A28"/>
    <w:rsid w:val="002C4CC9"/>
    <w:rsid w:val="002C7724"/>
    <w:rsid w:val="002D16DC"/>
    <w:rsid w:val="002D4C0B"/>
    <w:rsid w:val="002D5D85"/>
    <w:rsid w:val="002D7504"/>
    <w:rsid w:val="002D75BF"/>
    <w:rsid w:val="002F1E91"/>
    <w:rsid w:val="002F2837"/>
    <w:rsid w:val="002F4E82"/>
    <w:rsid w:val="003008BD"/>
    <w:rsid w:val="00300D1C"/>
    <w:rsid w:val="003023AF"/>
    <w:rsid w:val="00302522"/>
    <w:rsid w:val="003028E4"/>
    <w:rsid w:val="00304FE0"/>
    <w:rsid w:val="003051FF"/>
    <w:rsid w:val="0031026D"/>
    <w:rsid w:val="003108D5"/>
    <w:rsid w:val="00310E05"/>
    <w:rsid w:val="00312A21"/>
    <w:rsid w:val="00312BF1"/>
    <w:rsid w:val="0031443F"/>
    <w:rsid w:val="003146C7"/>
    <w:rsid w:val="00316144"/>
    <w:rsid w:val="00316CEF"/>
    <w:rsid w:val="00317D5B"/>
    <w:rsid w:val="00320F1A"/>
    <w:rsid w:val="00321A59"/>
    <w:rsid w:val="003221DB"/>
    <w:rsid w:val="003226E3"/>
    <w:rsid w:val="003234C3"/>
    <w:rsid w:val="0032411A"/>
    <w:rsid w:val="00325933"/>
    <w:rsid w:val="0033529C"/>
    <w:rsid w:val="00335641"/>
    <w:rsid w:val="00340301"/>
    <w:rsid w:val="00340DF6"/>
    <w:rsid w:val="00352FCA"/>
    <w:rsid w:val="00361860"/>
    <w:rsid w:val="00364050"/>
    <w:rsid w:val="00364AC3"/>
    <w:rsid w:val="00366813"/>
    <w:rsid w:val="003755DF"/>
    <w:rsid w:val="00376086"/>
    <w:rsid w:val="003816B6"/>
    <w:rsid w:val="00382B44"/>
    <w:rsid w:val="00385201"/>
    <w:rsid w:val="00387B53"/>
    <w:rsid w:val="003915EA"/>
    <w:rsid w:val="003925E6"/>
    <w:rsid w:val="00392AE1"/>
    <w:rsid w:val="00392BFA"/>
    <w:rsid w:val="0039789C"/>
    <w:rsid w:val="003A1A37"/>
    <w:rsid w:val="003A1D4A"/>
    <w:rsid w:val="003B71E9"/>
    <w:rsid w:val="003C4857"/>
    <w:rsid w:val="003C7C66"/>
    <w:rsid w:val="003D3FCA"/>
    <w:rsid w:val="003D4F02"/>
    <w:rsid w:val="003E04DE"/>
    <w:rsid w:val="003E11DE"/>
    <w:rsid w:val="003E30B9"/>
    <w:rsid w:val="003E5A41"/>
    <w:rsid w:val="003F1A05"/>
    <w:rsid w:val="003F5773"/>
    <w:rsid w:val="003F6A43"/>
    <w:rsid w:val="003F6DBB"/>
    <w:rsid w:val="003F7075"/>
    <w:rsid w:val="003F7135"/>
    <w:rsid w:val="004033AA"/>
    <w:rsid w:val="004069DC"/>
    <w:rsid w:val="00410D69"/>
    <w:rsid w:val="004125CC"/>
    <w:rsid w:val="0041479B"/>
    <w:rsid w:val="00415512"/>
    <w:rsid w:val="00415BBA"/>
    <w:rsid w:val="00417FE0"/>
    <w:rsid w:val="00420205"/>
    <w:rsid w:val="0042060F"/>
    <w:rsid w:val="004208BA"/>
    <w:rsid w:val="00422B59"/>
    <w:rsid w:val="00424819"/>
    <w:rsid w:val="00427D5D"/>
    <w:rsid w:val="00427D77"/>
    <w:rsid w:val="00430C71"/>
    <w:rsid w:val="0043306F"/>
    <w:rsid w:val="00440C9A"/>
    <w:rsid w:val="00441828"/>
    <w:rsid w:val="00441ED1"/>
    <w:rsid w:val="0044347D"/>
    <w:rsid w:val="00443AC4"/>
    <w:rsid w:val="0044431B"/>
    <w:rsid w:val="00461066"/>
    <w:rsid w:val="00461793"/>
    <w:rsid w:val="00462F6C"/>
    <w:rsid w:val="004731D3"/>
    <w:rsid w:val="00490018"/>
    <w:rsid w:val="00491482"/>
    <w:rsid w:val="004915A5"/>
    <w:rsid w:val="00493AE9"/>
    <w:rsid w:val="0049440F"/>
    <w:rsid w:val="004A1AAB"/>
    <w:rsid w:val="004A22EF"/>
    <w:rsid w:val="004A3089"/>
    <w:rsid w:val="004A563C"/>
    <w:rsid w:val="004A7090"/>
    <w:rsid w:val="004B1EEF"/>
    <w:rsid w:val="004B28E6"/>
    <w:rsid w:val="004B4502"/>
    <w:rsid w:val="004C17B8"/>
    <w:rsid w:val="004C1A1C"/>
    <w:rsid w:val="004C5152"/>
    <w:rsid w:val="004C796A"/>
    <w:rsid w:val="004D039B"/>
    <w:rsid w:val="004E4743"/>
    <w:rsid w:val="004F3AC5"/>
    <w:rsid w:val="004F4704"/>
    <w:rsid w:val="00503690"/>
    <w:rsid w:val="00505B82"/>
    <w:rsid w:val="00506049"/>
    <w:rsid w:val="005076C1"/>
    <w:rsid w:val="00517658"/>
    <w:rsid w:val="005176DF"/>
    <w:rsid w:val="0052219E"/>
    <w:rsid w:val="00530CB3"/>
    <w:rsid w:val="00534C78"/>
    <w:rsid w:val="005352C2"/>
    <w:rsid w:val="005412B6"/>
    <w:rsid w:val="005454B4"/>
    <w:rsid w:val="00546A91"/>
    <w:rsid w:val="00550F4A"/>
    <w:rsid w:val="00557082"/>
    <w:rsid w:val="005603E6"/>
    <w:rsid w:val="00566270"/>
    <w:rsid w:val="00571400"/>
    <w:rsid w:val="00574CAA"/>
    <w:rsid w:val="00575ACA"/>
    <w:rsid w:val="005764D6"/>
    <w:rsid w:val="0057652A"/>
    <w:rsid w:val="0057745E"/>
    <w:rsid w:val="005809BC"/>
    <w:rsid w:val="00581FF5"/>
    <w:rsid w:val="0058300A"/>
    <w:rsid w:val="00586CC7"/>
    <w:rsid w:val="005872BC"/>
    <w:rsid w:val="005915EC"/>
    <w:rsid w:val="00592094"/>
    <w:rsid w:val="00595786"/>
    <w:rsid w:val="005A0879"/>
    <w:rsid w:val="005A117C"/>
    <w:rsid w:val="005A3429"/>
    <w:rsid w:val="005A48AF"/>
    <w:rsid w:val="005A48ED"/>
    <w:rsid w:val="005B0410"/>
    <w:rsid w:val="005B59DB"/>
    <w:rsid w:val="005B7C7B"/>
    <w:rsid w:val="005C07D1"/>
    <w:rsid w:val="005C3223"/>
    <w:rsid w:val="005C598C"/>
    <w:rsid w:val="005C5DF7"/>
    <w:rsid w:val="005D2C22"/>
    <w:rsid w:val="005D40E9"/>
    <w:rsid w:val="005D469A"/>
    <w:rsid w:val="005D6E74"/>
    <w:rsid w:val="005E2A15"/>
    <w:rsid w:val="005E4C33"/>
    <w:rsid w:val="005F296A"/>
    <w:rsid w:val="005F385F"/>
    <w:rsid w:val="005F4989"/>
    <w:rsid w:val="005F5617"/>
    <w:rsid w:val="005F65DC"/>
    <w:rsid w:val="005F7872"/>
    <w:rsid w:val="00600D76"/>
    <w:rsid w:val="006066CC"/>
    <w:rsid w:val="00607AC8"/>
    <w:rsid w:val="006115AA"/>
    <w:rsid w:val="00612C19"/>
    <w:rsid w:val="006176B9"/>
    <w:rsid w:val="006179BB"/>
    <w:rsid w:val="00623554"/>
    <w:rsid w:val="00627387"/>
    <w:rsid w:val="0062745F"/>
    <w:rsid w:val="00627EE1"/>
    <w:rsid w:val="006304AE"/>
    <w:rsid w:val="00632308"/>
    <w:rsid w:val="0063402C"/>
    <w:rsid w:val="00640A9B"/>
    <w:rsid w:val="00641784"/>
    <w:rsid w:val="00645406"/>
    <w:rsid w:val="00646D05"/>
    <w:rsid w:val="00650BCC"/>
    <w:rsid w:val="0065101D"/>
    <w:rsid w:val="00651163"/>
    <w:rsid w:val="00655D7D"/>
    <w:rsid w:val="006575E7"/>
    <w:rsid w:val="00657E91"/>
    <w:rsid w:val="006616F2"/>
    <w:rsid w:val="00663DE9"/>
    <w:rsid w:val="006642E7"/>
    <w:rsid w:val="006656E2"/>
    <w:rsid w:val="00670E96"/>
    <w:rsid w:val="006733AA"/>
    <w:rsid w:val="006767CD"/>
    <w:rsid w:val="00676E45"/>
    <w:rsid w:val="00677698"/>
    <w:rsid w:val="00681498"/>
    <w:rsid w:val="006828AE"/>
    <w:rsid w:val="00686BFF"/>
    <w:rsid w:val="00691D36"/>
    <w:rsid w:val="006A0E9E"/>
    <w:rsid w:val="006B0445"/>
    <w:rsid w:val="006B19AB"/>
    <w:rsid w:val="006C0F90"/>
    <w:rsid w:val="006C11FA"/>
    <w:rsid w:val="006C3E9B"/>
    <w:rsid w:val="006D059A"/>
    <w:rsid w:val="006D0923"/>
    <w:rsid w:val="006D1FC2"/>
    <w:rsid w:val="006E1E33"/>
    <w:rsid w:val="006E3D45"/>
    <w:rsid w:val="006E3EA5"/>
    <w:rsid w:val="006E43D6"/>
    <w:rsid w:val="006E69AD"/>
    <w:rsid w:val="006E6C03"/>
    <w:rsid w:val="006F0F3A"/>
    <w:rsid w:val="006F3CC3"/>
    <w:rsid w:val="006F647D"/>
    <w:rsid w:val="0070568D"/>
    <w:rsid w:val="0070743F"/>
    <w:rsid w:val="00712F87"/>
    <w:rsid w:val="007133AB"/>
    <w:rsid w:val="00715CFA"/>
    <w:rsid w:val="00720FFE"/>
    <w:rsid w:val="0072584C"/>
    <w:rsid w:val="00725B6F"/>
    <w:rsid w:val="00725DDE"/>
    <w:rsid w:val="00730D01"/>
    <w:rsid w:val="00731520"/>
    <w:rsid w:val="00731EDA"/>
    <w:rsid w:val="007323F3"/>
    <w:rsid w:val="00734425"/>
    <w:rsid w:val="00734776"/>
    <w:rsid w:val="007369C2"/>
    <w:rsid w:val="007370A3"/>
    <w:rsid w:val="007441C3"/>
    <w:rsid w:val="007448CC"/>
    <w:rsid w:val="00745885"/>
    <w:rsid w:val="00751EC6"/>
    <w:rsid w:val="00753681"/>
    <w:rsid w:val="00754DBD"/>
    <w:rsid w:val="007562A5"/>
    <w:rsid w:val="007617B0"/>
    <w:rsid w:val="00761A2E"/>
    <w:rsid w:val="007626B1"/>
    <w:rsid w:val="007648AD"/>
    <w:rsid w:val="00771633"/>
    <w:rsid w:val="0077370B"/>
    <w:rsid w:val="00774375"/>
    <w:rsid w:val="007746AC"/>
    <w:rsid w:val="00774996"/>
    <w:rsid w:val="00776C16"/>
    <w:rsid w:val="0077742E"/>
    <w:rsid w:val="00786919"/>
    <w:rsid w:val="007904FE"/>
    <w:rsid w:val="0079670A"/>
    <w:rsid w:val="007A0682"/>
    <w:rsid w:val="007A1BD9"/>
    <w:rsid w:val="007B37D1"/>
    <w:rsid w:val="007C130D"/>
    <w:rsid w:val="007C3F94"/>
    <w:rsid w:val="007C4D7E"/>
    <w:rsid w:val="007C7B3C"/>
    <w:rsid w:val="007D0F32"/>
    <w:rsid w:val="007D230E"/>
    <w:rsid w:val="007D4917"/>
    <w:rsid w:val="007D66B7"/>
    <w:rsid w:val="007E2363"/>
    <w:rsid w:val="007E57F9"/>
    <w:rsid w:val="007F00B9"/>
    <w:rsid w:val="007F2193"/>
    <w:rsid w:val="007F24E3"/>
    <w:rsid w:val="007F2996"/>
    <w:rsid w:val="007F4C12"/>
    <w:rsid w:val="007F6F03"/>
    <w:rsid w:val="0080122C"/>
    <w:rsid w:val="0080166D"/>
    <w:rsid w:val="00803428"/>
    <w:rsid w:val="00806D4A"/>
    <w:rsid w:val="0081051B"/>
    <w:rsid w:val="00810F76"/>
    <w:rsid w:val="00811936"/>
    <w:rsid w:val="008119D5"/>
    <w:rsid w:val="00815705"/>
    <w:rsid w:val="00816DD5"/>
    <w:rsid w:val="008173A2"/>
    <w:rsid w:val="00820F20"/>
    <w:rsid w:val="00823B9E"/>
    <w:rsid w:val="008260E3"/>
    <w:rsid w:val="008262EB"/>
    <w:rsid w:val="0082728C"/>
    <w:rsid w:val="0083373E"/>
    <w:rsid w:val="0083515E"/>
    <w:rsid w:val="00844A85"/>
    <w:rsid w:val="008463CB"/>
    <w:rsid w:val="0085292F"/>
    <w:rsid w:val="00857CCF"/>
    <w:rsid w:val="00857E12"/>
    <w:rsid w:val="0086058F"/>
    <w:rsid w:val="008619ED"/>
    <w:rsid w:val="00862B21"/>
    <w:rsid w:val="008632EA"/>
    <w:rsid w:val="00870982"/>
    <w:rsid w:val="00872CB9"/>
    <w:rsid w:val="00875B7D"/>
    <w:rsid w:val="00876554"/>
    <w:rsid w:val="00877388"/>
    <w:rsid w:val="00882023"/>
    <w:rsid w:val="00882F35"/>
    <w:rsid w:val="008836EE"/>
    <w:rsid w:val="00885CDC"/>
    <w:rsid w:val="008910E9"/>
    <w:rsid w:val="008919CF"/>
    <w:rsid w:val="00891C63"/>
    <w:rsid w:val="00895236"/>
    <w:rsid w:val="00895AD0"/>
    <w:rsid w:val="00895FCB"/>
    <w:rsid w:val="008A0FB3"/>
    <w:rsid w:val="008A21E7"/>
    <w:rsid w:val="008A30D7"/>
    <w:rsid w:val="008A68D6"/>
    <w:rsid w:val="008A6E90"/>
    <w:rsid w:val="008A7BCF"/>
    <w:rsid w:val="008B1111"/>
    <w:rsid w:val="008B4456"/>
    <w:rsid w:val="008B6764"/>
    <w:rsid w:val="008B6E17"/>
    <w:rsid w:val="008B7CBC"/>
    <w:rsid w:val="008C193C"/>
    <w:rsid w:val="008C598B"/>
    <w:rsid w:val="008D0107"/>
    <w:rsid w:val="008D4AA0"/>
    <w:rsid w:val="008E44CE"/>
    <w:rsid w:val="008E67A8"/>
    <w:rsid w:val="008F1FFD"/>
    <w:rsid w:val="008F62BC"/>
    <w:rsid w:val="009007E6"/>
    <w:rsid w:val="00901F93"/>
    <w:rsid w:val="0090395E"/>
    <w:rsid w:val="00903982"/>
    <w:rsid w:val="00904A4B"/>
    <w:rsid w:val="00911229"/>
    <w:rsid w:val="00912D06"/>
    <w:rsid w:val="0091603C"/>
    <w:rsid w:val="00916CCA"/>
    <w:rsid w:val="00917800"/>
    <w:rsid w:val="00917A77"/>
    <w:rsid w:val="00917F66"/>
    <w:rsid w:val="00921253"/>
    <w:rsid w:val="0092364B"/>
    <w:rsid w:val="0092377A"/>
    <w:rsid w:val="0092436E"/>
    <w:rsid w:val="00940781"/>
    <w:rsid w:val="00942BE7"/>
    <w:rsid w:val="00945DFA"/>
    <w:rsid w:val="0094660E"/>
    <w:rsid w:val="00957B3F"/>
    <w:rsid w:val="00957BC5"/>
    <w:rsid w:val="00964587"/>
    <w:rsid w:val="0097245E"/>
    <w:rsid w:val="009724E3"/>
    <w:rsid w:val="00973190"/>
    <w:rsid w:val="00983B70"/>
    <w:rsid w:val="009A473D"/>
    <w:rsid w:val="009A7B5D"/>
    <w:rsid w:val="009A7D68"/>
    <w:rsid w:val="009B7745"/>
    <w:rsid w:val="009B7933"/>
    <w:rsid w:val="009D7A1F"/>
    <w:rsid w:val="009E4859"/>
    <w:rsid w:val="009E790B"/>
    <w:rsid w:val="009E7CD1"/>
    <w:rsid w:val="009F15D3"/>
    <w:rsid w:val="009F4D7A"/>
    <w:rsid w:val="009F6B8E"/>
    <w:rsid w:val="00A0112B"/>
    <w:rsid w:val="00A020C7"/>
    <w:rsid w:val="00A0518B"/>
    <w:rsid w:val="00A06D9C"/>
    <w:rsid w:val="00A079AC"/>
    <w:rsid w:val="00A1332D"/>
    <w:rsid w:val="00A16D60"/>
    <w:rsid w:val="00A17D58"/>
    <w:rsid w:val="00A20F32"/>
    <w:rsid w:val="00A22272"/>
    <w:rsid w:val="00A22801"/>
    <w:rsid w:val="00A22989"/>
    <w:rsid w:val="00A3123B"/>
    <w:rsid w:val="00A3619B"/>
    <w:rsid w:val="00A46E9B"/>
    <w:rsid w:val="00A51C05"/>
    <w:rsid w:val="00A52E51"/>
    <w:rsid w:val="00A5581A"/>
    <w:rsid w:val="00A61E2F"/>
    <w:rsid w:val="00A61FA8"/>
    <w:rsid w:val="00A62380"/>
    <w:rsid w:val="00A630D9"/>
    <w:rsid w:val="00A668B3"/>
    <w:rsid w:val="00A706F7"/>
    <w:rsid w:val="00A72078"/>
    <w:rsid w:val="00A733BE"/>
    <w:rsid w:val="00A76CFF"/>
    <w:rsid w:val="00A7726D"/>
    <w:rsid w:val="00A821DB"/>
    <w:rsid w:val="00A91659"/>
    <w:rsid w:val="00A91A6B"/>
    <w:rsid w:val="00A93279"/>
    <w:rsid w:val="00A951B0"/>
    <w:rsid w:val="00A96C03"/>
    <w:rsid w:val="00AA5DAC"/>
    <w:rsid w:val="00AB7A30"/>
    <w:rsid w:val="00AC236F"/>
    <w:rsid w:val="00AC2A99"/>
    <w:rsid w:val="00AC4127"/>
    <w:rsid w:val="00AC4BF6"/>
    <w:rsid w:val="00AC5A89"/>
    <w:rsid w:val="00AC6498"/>
    <w:rsid w:val="00AD0FC5"/>
    <w:rsid w:val="00AD5DF6"/>
    <w:rsid w:val="00AD74BF"/>
    <w:rsid w:val="00AD7EF2"/>
    <w:rsid w:val="00AE289E"/>
    <w:rsid w:val="00AE4863"/>
    <w:rsid w:val="00AF184B"/>
    <w:rsid w:val="00AF2610"/>
    <w:rsid w:val="00AF49E1"/>
    <w:rsid w:val="00AF7A69"/>
    <w:rsid w:val="00B03435"/>
    <w:rsid w:val="00B03F57"/>
    <w:rsid w:val="00B04800"/>
    <w:rsid w:val="00B053FC"/>
    <w:rsid w:val="00B06BC3"/>
    <w:rsid w:val="00B10C99"/>
    <w:rsid w:val="00B1208F"/>
    <w:rsid w:val="00B1392D"/>
    <w:rsid w:val="00B141C2"/>
    <w:rsid w:val="00B175BA"/>
    <w:rsid w:val="00B2064C"/>
    <w:rsid w:val="00B21A41"/>
    <w:rsid w:val="00B23516"/>
    <w:rsid w:val="00B247CC"/>
    <w:rsid w:val="00B31558"/>
    <w:rsid w:val="00B33D22"/>
    <w:rsid w:val="00B37FEA"/>
    <w:rsid w:val="00B40C6B"/>
    <w:rsid w:val="00B4183D"/>
    <w:rsid w:val="00B42912"/>
    <w:rsid w:val="00B50449"/>
    <w:rsid w:val="00B514FB"/>
    <w:rsid w:val="00B545C6"/>
    <w:rsid w:val="00B630AB"/>
    <w:rsid w:val="00B65CA1"/>
    <w:rsid w:val="00B72461"/>
    <w:rsid w:val="00B76F5C"/>
    <w:rsid w:val="00B77656"/>
    <w:rsid w:val="00B77D30"/>
    <w:rsid w:val="00B8604D"/>
    <w:rsid w:val="00B87578"/>
    <w:rsid w:val="00BA05A8"/>
    <w:rsid w:val="00BA0626"/>
    <w:rsid w:val="00BA0899"/>
    <w:rsid w:val="00BA1CA8"/>
    <w:rsid w:val="00BA4136"/>
    <w:rsid w:val="00BA51CE"/>
    <w:rsid w:val="00BB1347"/>
    <w:rsid w:val="00BB2755"/>
    <w:rsid w:val="00BB678A"/>
    <w:rsid w:val="00BC2A74"/>
    <w:rsid w:val="00BC2B37"/>
    <w:rsid w:val="00BC3E98"/>
    <w:rsid w:val="00BC490C"/>
    <w:rsid w:val="00BD06F0"/>
    <w:rsid w:val="00BD2923"/>
    <w:rsid w:val="00BD5578"/>
    <w:rsid w:val="00BD5C3A"/>
    <w:rsid w:val="00BD7A44"/>
    <w:rsid w:val="00BE22C6"/>
    <w:rsid w:val="00BE7191"/>
    <w:rsid w:val="00BF280D"/>
    <w:rsid w:val="00BF2C67"/>
    <w:rsid w:val="00BF3D31"/>
    <w:rsid w:val="00BF4210"/>
    <w:rsid w:val="00BF4E52"/>
    <w:rsid w:val="00BF5D8B"/>
    <w:rsid w:val="00C01B85"/>
    <w:rsid w:val="00C039E9"/>
    <w:rsid w:val="00C041D5"/>
    <w:rsid w:val="00C058A3"/>
    <w:rsid w:val="00C0756B"/>
    <w:rsid w:val="00C111F3"/>
    <w:rsid w:val="00C1276B"/>
    <w:rsid w:val="00C12ACB"/>
    <w:rsid w:val="00C16396"/>
    <w:rsid w:val="00C21B78"/>
    <w:rsid w:val="00C23410"/>
    <w:rsid w:val="00C339AA"/>
    <w:rsid w:val="00C355AB"/>
    <w:rsid w:val="00C40273"/>
    <w:rsid w:val="00C43386"/>
    <w:rsid w:val="00C43797"/>
    <w:rsid w:val="00C43A3D"/>
    <w:rsid w:val="00C464AA"/>
    <w:rsid w:val="00C467D0"/>
    <w:rsid w:val="00C46CF0"/>
    <w:rsid w:val="00C5263A"/>
    <w:rsid w:val="00C5380B"/>
    <w:rsid w:val="00C546AA"/>
    <w:rsid w:val="00C547E0"/>
    <w:rsid w:val="00C55E1B"/>
    <w:rsid w:val="00C5770E"/>
    <w:rsid w:val="00C57FFA"/>
    <w:rsid w:val="00C603DE"/>
    <w:rsid w:val="00C62A62"/>
    <w:rsid w:val="00C6581E"/>
    <w:rsid w:val="00C66654"/>
    <w:rsid w:val="00C74E43"/>
    <w:rsid w:val="00C751AB"/>
    <w:rsid w:val="00C80AA2"/>
    <w:rsid w:val="00C84089"/>
    <w:rsid w:val="00C84514"/>
    <w:rsid w:val="00C870AB"/>
    <w:rsid w:val="00C94162"/>
    <w:rsid w:val="00CA0260"/>
    <w:rsid w:val="00CA07E1"/>
    <w:rsid w:val="00CA63FE"/>
    <w:rsid w:val="00CB1AEC"/>
    <w:rsid w:val="00CB32B4"/>
    <w:rsid w:val="00CB4CAE"/>
    <w:rsid w:val="00CB531F"/>
    <w:rsid w:val="00CB75DA"/>
    <w:rsid w:val="00CB7E6A"/>
    <w:rsid w:val="00CC0A07"/>
    <w:rsid w:val="00CC15A4"/>
    <w:rsid w:val="00CC2CCA"/>
    <w:rsid w:val="00CC38B6"/>
    <w:rsid w:val="00CC52C3"/>
    <w:rsid w:val="00CD0B96"/>
    <w:rsid w:val="00CD17E8"/>
    <w:rsid w:val="00CD254E"/>
    <w:rsid w:val="00CD255C"/>
    <w:rsid w:val="00CD3B3A"/>
    <w:rsid w:val="00CD5BBC"/>
    <w:rsid w:val="00CD7793"/>
    <w:rsid w:val="00CE266E"/>
    <w:rsid w:val="00CE51EB"/>
    <w:rsid w:val="00CE5897"/>
    <w:rsid w:val="00CE58A1"/>
    <w:rsid w:val="00CF3584"/>
    <w:rsid w:val="00CF7250"/>
    <w:rsid w:val="00D0145F"/>
    <w:rsid w:val="00D053BD"/>
    <w:rsid w:val="00D05A31"/>
    <w:rsid w:val="00D07B54"/>
    <w:rsid w:val="00D15A4B"/>
    <w:rsid w:val="00D166F6"/>
    <w:rsid w:val="00D2284D"/>
    <w:rsid w:val="00D254F2"/>
    <w:rsid w:val="00D30A99"/>
    <w:rsid w:val="00D3605E"/>
    <w:rsid w:val="00D36564"/>
    <w:rsid w:val="00D44364"/>
    <w:rsid w:val="00D45DD4"/>
    <w:rsid w:val="00D51539"/>
    <w:rsid w:val="00D54794"/>
    <w:rsid w:val="00D56A5C"/>
    <w:rsid w:val="00D60E4F"/>
    <w:rsid w:val="00D613BB"/>
    <w:rsid w:val="00D61C71"/>
    <w:rsid w:val="00D62C7A"/>
    <w:rsid w:val="00D63787"/>
    <w:rsid w:val="00D65AE2"/>
    <w:rsid w:val="00D668AF"/>
    <w:rsid w:val="00D67BE8"/>
    <w:rsid w:val="00D74F1A"/>
    <w:rsid w:val="00D77A06"/>
    <w:rsid w:val="00D83A3B"/>
    <w:rsid w:val="00D83DC7"/>
    <w:rsid w:val="00D8660A"/>
    <w:rsid w:val="00D92937"/>
    <w:rsid w:val="00D933B7"/>
    <w:rsid w:val="00DA0A4B"/>
    <w:rsid w:val="00DA11C6"/>
    <w:rsid w:val="00DA1A7C"/>
    <w:rsid w:val="00DA5B41"/>
    <w:rsid w:val="00DA6DFA"/>
    <w:rsid w:val="00DB2919"/>
    <w:rsid w:val="00DB33E4"/>
    <w:rsid w:val="00DB4F5C"/>
    <w:rsid w:val="00DC2D83"/>
    <w:rsid w:val="00DC65CE"/>
    <w:rsid w:val="00DD01C3"/>
    <w:rsid w:val="00DD1173"/>
    <w:rsid w:val="00DD17C4"/>
    <w:rsid w:val="00DD6C06"/>
    <w:rsid w:val="00DD78AC"/>
    <w:rsid w:val="00DE10EB"/>
    <w:rsid w:val="00DE1997"/>
    <w:rsid w:val="00DE36B5"/>
    <w:rsid w:val="00DE422B"/>
    <w:rsid w:val="00DE5F73"/>
    <w:rsid w:val="00DE7448"/>
    <w:rsid w:val="00DF0951"/>
    <w:rsid w:val="00DF5266"/>
    <w:rsid w:val="00E00411"/>
    <w:rsid w:val="00E00575"/>
    <w:rsid w:val="00E02C45"/>
    <w:rsid w:val="00E055C5"/>
    <w:rsid w:val="00E06134"/>
    <w:rsid w:val="00E066B8"/>
    <w:rsid w:val="00E07128"/>
    <w:rsid w:val="00E0777E"/>
    <w:rsid w:val="00E07885"/>
    <w:rsid w:val="00E127F6"/>
    <w:rsid w:val="00E13220"/>
    <w:rsid w:val="00E17C21"/>
    <w:rsid w:val="00E23ABE"/>
    <w:rsid w:val="00E24C96"/>
    <w:rsid w:val="00E32A95"/>
    <w:rsid w:val="00E32D31"/>
    <w:rsid w:val="00E348EF"/>
    <w:rsid w:val="00E37722"/>
    <w:rsid w:val="00E41FA1"/>
    <w:rsid w:val="00E420DB"/>
    <w:rsid w:val="00E4315C"/>
    <w:rsid w:val="00E444BB"/>
    <w:rsid w:val="00E47539"/>
    <w:rsid w:val="00E502FB"/>
    <w:rsid w:val="00E52CCF"/>
    <w:rsid w:val="00E53EA3"/>
    <w:rsid w:val="00E550EE"/>
    <w:rsid w:val="00E60D35"/>
    <w:rsid w:val="00E70808"/>
    <w:rsid w:val="00E70C98"/>
    <w:rsid w:val="00E71838"/>
    <w:rsid w:val="00E756EF"/>
    <w:rsid w:val="00E77F84"/>
    <w:rsid w:val="00E808A0"/>
    <w:rsid w:val="00E81FFF"/>
    <w:rsid w:val="00E82975"/>
    <w:rsid w:val="00E82979"/>
    <w:rsid w:val="00E837EA"/>
    <w:rsid w:val="00E85296"/>
    <w:rsid w:val="00E9511C"/>
    <w:rsid w:val="00E96054"/>
    <w:rsid w:val="00EA533B"/>
    <w:rsid w:val="00EB55B6"/>
    <w:rsid w:val="00ED0F11"/>
    <w:rsid w:val="00ED2F94"/>
    <w:rsid w:val="00EE4AB9"/>
    <w:rsid w:val="00EF2E6D"/>
    <w:rsid w:val="00EF660E"/>
    <w:rsid w:val="00F04DBB"/>
    <w:rsid w:val="00F10075"/>
    <w:rsid w:val="00F1415F"/>
    <w:rsid w:val="00F215EF"/>
    <w:rsid w:val="00F272E0"/>
    <w:rsid w:val="00F30121"/>
    <w:rsid w:val="00F32747"/>
    <w:rsid w:val="00F330EC"/>
    <w:rsid w:val="00F34385"/>
    <w:rsid w:val="00F34759"/>
    <w:rsid w:val="00F34C7D"/>
    <w:rsid w:val="00F35869"/>
    <w:rsid w:val="00F35C12"/>
    <w:rsid w:val="00F4036E"/>
    <w:rsid w:val="00F403F9"/>
    <w:rsid w:val="00F445C5"/>
    <w:rsid w:val="00F45D84"/>
    <w:rsid w:val="00F50B04"/>
    <w:rsid w:val="00F5527B"/>
    <w:rsid w:val="00F626DE"/>
    <w:rsid w:val="00F652EA"/>
    <w:rsid w:val="00F70487"/>
    <w:rsid w:val="00F71963"/>
    <w:rsid w:val="00F71FEE"/>
    <w:rsid w:val="00F7287C"/>
    <w:rsid w:val="00F76B20"/>
    <w:rsid w:val="00F815A8"/>
    <w:rsid w:val="00F821C6"/>
    <w:rsid w:val="00F84A6F"/>
    <w:rsid w:val="00F84EBC"/>
    <w:rsid w:val="00F9102D"/>
    <w:rsid w:val="00F94FAC"/>
    <w:rsid w:val="00F95BE0"/>
    <w:rsid w:val="00FA23F9"/>
    <w:rsid w:val="00FA29D7"/>
    <w:rsid w:val="00FA31E8"/>
    <w:rsid w:val="00FA3858"/>
    <w:rsid w:val="00FA5150"/>
    <w:rsid w:val="00FA624F"/>
    <w:rsid w:val="00FA7810"/>
    <w:rsid w:val="00FB05E2"/>
    <w:rsid w:val="00FB4E2A"/>
    <w:rsid w:val="00FB7C44"/>
    <w:rsid w:val="00FC7545"/>
    <w:rsid w:val="00FE0B8C"/>
    <w:rsid w:val="00FE124B"/>
    <w:rsid w:val="00FE5354"/>
    <w:rsid w:val="00FE6D7C"/>
    <w:rsid w:val="00FF3A68"/>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3C554-0F01-440A-9A80-EDC8E7A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29"/>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rsid w:val="00745885"/>
    <w:tblPr>
      <w:jc w:val="center"/>
    </w:tblPr>
    <w:trPr>
      <w:jc w:val="center"/>
    </w:trPr>
    <w:tcPr>
      <w:shd w:val="pct30" w:color="008080" w:fill="FFFFFF"/>
      <w:vAlign w:val="center"/>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rsid w:val="007458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rsid w:val="001A6529"/>
    <w:pPr>
      <w:tabs>
        <w:tab w:val="center" w:pos="4153"/>
        <w:tab w:val="right" w:pos="8306"/>
      </w:tabs>
    </w:pPr>
  </w:style>
  <w:style w:type="character" w:customStyle="1" w:styleId="FooterChar">
    <w:name w:val="Footer Char"/>
    <w:link w:val="Footer"/>
    <w:rsid w:val="001A6529"/>
    <w:rPr>
      <w:rFonts w:ascii="Arial" w:hAnsi="Arial"/>
      <w:sz w:val="22"/>
      <w:lang w:eastAsia="en-US"/>
    </w:rPr>
  </w:style>
  <w:style w:type="character" w:styleId="PageNumber">
    <w:name w:val="page number"/>
    <w:basedOn w:val="DefaultParagraphFont"/>
    <w:rsid w:val="001A6529"/>
  </w:style>
  <w:style w:type="character" w:styleId="CommentReference">
    <w:name w:val="annotation reference"/>
    <w:rsid w:val="00025D85"/>
    <w:rPr>
      <w:sz w:val="16"/>
      <w:szCs w:val="16"/>
    </w:rPr>
  </w:style>
  <w:style w:type="paragraph" w:styleId="CommentText">
    <w:name w:val="annotation text"/>
    <w:basedOn w:val="Normal"/>
    <w:link w:val="CommentTextChar"/>
    <w:rsid w:val="00025D85"/>
    <w:rPr>
      <w:sz w:val="20"/>
    </w:rPr>
  </w:style>
  <w:style w:type="character" w:customStyle="1" w:styleId="CommentTextChar">
    <w:name w:val="Comment Text Char"/>
    <w:link w:val="CommentText"/>
    <w:rsid w:val="00025D85"/>
    <w:rPr>
      <w:rFonts w:ascii="Arial" w:hAnsi="Arial"/>
      <w:lang w:eastAsia="en-US"/>
    </w:rPr>
  </w:style>
  <w:style w:type="paragraph" w:styleId="CommentSubject">
    <w:name w:val="annotation subject"/>
    <w:basedOn w:val="CommentText"/>
    <w:next w:val="CommentText"/>
    <w:link w:val="CommentSubjectChar"/>
    <w:rsid w:val="00025D85"/>
    <w:rPr>
      <w:b/>
      <w:bCs/>
    </w:rPr>
  </w:style>
  <w:style w:type="character" w:customStyle="1" w:styleId="CommentSubjectChar">
    <w:name w:val="Comment Subject Char"/>
    <w:link w:val="CommentSubject"/>
    <w:rsid w:val="00025D85"/>
    <w:rPr>
      <w:rFonts w:ascii="Arial" w:hAnsi="Arial"/>
      <w:b/>
      <w:bCs/>
      <w:lang w:eastAsia="en-US"/>
    </w:rPr>
  </w:style>
  <w:style w:type="paragraph" w:styleId="BalloonText">
    <w:name w:val="Balloon Text"/>
    <w:basedOn w:val="Normal"/>
    <w:link w:val="BalloonTextChar"/>
    <w:rsid w:val="00025D85"/>
    <w:rPr>
      <w:rFonts w:ascii="Tahoma" w:hAnsi="Tahoma" w:cs="Tahoma"/>
      <w:sz w:val="16"/>
      <w:szCs w:val="16"/>
    </w:rPr>
  </w:style>
  <w:style w:type="character" w:customStyle="1" w:styleId="BalloonTextChar">
    <w:name w:val="Balloon Text Char"/>
    <w:link w:val="BalloonText"/>
    <w:rsid w:val="00025D85"/>
    <w:rPr>
      <w:rFonts w:ascii="Tahoma" w:hAnsi="Tahoma" w:cs="Tahoma"/>
      <w:sz w:val="16"/>
      <w:szCs w:val="16"/>
      <w:lang w:eastAsia="en-US"/>
    </w:rPr>
  </w:style>
  <w:style w:type="paragraph" w:styleId="ListParagraph">
    <w:name w:val="List Paragraph"/>
    <w:basedOn w:val="Normal"/>
    <w:uiPriority w:val="34"/>
    <w:qFormat/>
    <w:rsid w:val="001A1093"/>
    <w:pPr>
      <w:ind w:left="720"/>
      <w:contextualSpacing/>
    </w:pPr>
    <w:rPr>
      <w:rFonts w:ascii="Times New Roman" w:hAnsi="Times New Roman"/>
      <w:sz w:val="24"/>
      <w:szCs w:val="24"/>
      <w:lang w:eastAsia="en-AU"/>
    </w:rPr>
  </w:style>
  <w:style w:type="character" w:customStyle="1" w:styleId="st1">
    <w:name w:val="st1"/>
    <w:rsid w:val="00156467"/>
  </w:style>
  <w:style w:type="paragraph" w:customStyle="1" w:styleId="IH">
    <w:name w:val="IH"/>
    <w:aliases w:val="Interpretation heading"/>
    <w:basedOn w:val="Normal"/>
    <w:next w:val="Normal"/>
    <w:uiPriority w:val="99"/>
    <w:rsid w:val="00C039E9"/>
    <w:pPr>
      <w:keepNext/>
      <w:spacing w:before="480"/>
      <w:ind w:left="964" w:hanging="964"/>
    </w:pPr>
    <w:rPr>
      <w:b/>
      <w:sz w:val="24"/>
      <w:szCs w:val="24"/>
    </w:rPr>
  </w:style>
  <w:style w:type="character" w:styleId="Hyperlink">
    <w:name w:val="Hyperlink"/>
    <w:rsid w:val="00300D1C"/>
    <w:rPr>
      <w:color w:val="0000FF"/>
      <w:u w:val="single"/>
    </w:rPr>
  </w:style>
  <w:style w:type="paragraph" w:customStyle="1" w:styleId="41">
    <w:name w:val="4.1"/>
    <w:basedOn w:val="Normal"/>
    <w:qFormat/>
    <w:rsid w:val="005D40E9"/>
    <w:pPr>
      <w:numPr>
        <w:numId w:val="13"/>
      </w:numPr>
      <w:tabs>
        <w:tab w:val="left" w:pos="851"/>
      </w:tabs>
      <w:ind w:left="828" w:hanging="471"/>
    </w:pPr>
    <w:rPr>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8095">
      <w:bodyDiv w:val="1"/>
      <w:marLeft w:val="0"/>
      <w:marRight w:val="0"/>
      <w:marTop w:val="0"/>
      <w:marBottom w:val="0"/>
      <w:divBdr>
        <w:top w:val="none" w:sz="0" w:space="0" w:color="auto"/>
        <w:left w:val="none" w:sz="0" w:space="0" w:color="auto"/>
        <w:bottom w:val="none" w:sz="0" w:space="0" w:color="auto"/>
        <w:right w:val="none" w:sz="0" w:space="0" w:color="auto"/>
      </w:divBdr>
      <w:divsChild>
        <w:div w:id="1440492557">
          <w:marLeft w:val="0"/>
          <w:marRight w:val="0"/>
          <w:marTop w:val="0"/>
          <w:marBottom w:val="0"/>
          <w:divBdr>
            <w:top w:val="none" w:sz="0" w:space="0" w:color="auto"/>
            <w:left w:val="none" w:sz="0" w:space="0" w:color="auto"/>
            <w:bottom w:val="none" w:sz="0" w:space="0" w:color="auto"/>
            <w:right w:val="none" w:sz="0" w:space="0" w:color="auto"/>
          </w:divBdr>
          <w:divsChild>
            <w:div w:id="1887252832">
              <w:marLeft w:val="0"/>
              <w:marRight w:val="0"/>
              <w:marTop w:val="0"/>
              <w:marBottom w:val="0"/>
              <w:divBdr>
                <w:top w:val="none" w:sz="0" w:space="0" w:color="auto"/>
                <w:left w:val="none" w:sz="0" w:space="0" w:color="auto"/>
                <w:bottom w:val="none" w:sz="0" w:space="0" w:color="auto"/>
                <w:right w:val="none" w:sz="0" w:space="0" w:color="auto"/>
              </w:divBdr>
              <w:divsChild>
                <w:div w:id="642080397">
                  <w:marLeft w:val="0"/>
                  <w:marRight w:val="0"/>
                  <w:marTop w:val="0"/>
                  <w:marBottom w:val="0"/>
                  <w:divBdr>
                    <w:top w:val="none" w:sz="0" w:space="0" w:color="auto"/>
                    <w:left w:val="none" w:sz="0" w:space="0" w:color="auto"/>
                    <w:bottom w:val="none" w:sz="0" w:space="0" w:color="auto"/>
                    <w:right w:val="none" w:sz="0" w:space="0" w:color="auto"/>
                  </w:divBdr>
                  <w:divsChild>
                    <w:div w:id="740103647">
                      <w:marLeft w:val="0"/>
                      <w:marRight w:val="0"/>
                      <w:marTop w:val="0"/>
                      <w:marBottom w:val="0"/>
                      <w:divBdr>
                        <w:top w:val="none" w:sz="0" w:space="0" w:color="auto"/>
                        <w:left w:val="none" w:sz="0" w:space="0" w:color="auto"/>
                        <w:bottom w:val="none" w:sz="0" w:space="0" w:color="auto"/>
                        <w:right w:val="none" w:sz="0" w:space="0" w:color="auto"/>
                      </w:divBdr>
                      <w:divsChild>
                        <w:div w:id="978534185">
                          <w:marLeft w:val="0"/>
                          <w:marRight w:val="0"/>
                          <w:marTop w:val="0"/>
                          <w:marBottom w:val="0"/>
                          <w:divBdr>
                            <w:top w:val="single" w:sz="4" w:space="0" w:color="828282"/>
                            <w:left w:val="single" w:sz="4" w:space="0" w:color="828282"/>
                            <w:bottom w:val="single" w:sz="4" w:space="0" w:color="828282"/>
                            <w:right w:val="single" w:sz="4" w:space="0" w:color="828282"/>
                          </w:divBdr>
                          <w:divsChild>
                            <w:div w:id="1604654747">
                              <w:marLeft w:val="0"/>
                              <w:marRight w:val="0"/>
                              <w:marTop w:val="0"/>
                              <w:marBottom w:val="0"/>
                              <w:divBdr>
                                <w:top w:val="none" w:sz="0" w:space="0" w:color="auto"/>
                                <w:left w:val="none" w:sz="0" w:space="0" w:color="auto"/>
                                <w:bottom w:val="none" w:sz="0" w:space="0" w:color="auto"/>
                                <w:right w:val="none" w:sz="0" w:space="0" w:color="auto"/>
                              </w:divBdr>
                              <w:divsChild>
                                <w:div w:id="355690729">
                                  <w:marLeft w:val="0"/>
                                  <w:marRight w:val="0"/>
                                  <w:marTop w:val="0"/>
                                  <w:marBottom w:val="0"/>
                                  <w:divBdr>
                                    <w:top w:val="none" w:sz="0" w:space="0" w:color="auto"/>
                                    <w:left w:val="none" w:sz="0" w:space="0" w:color="auto"/>
                                    <w:bottom w:val="none" w:sz="0" w:space="0" w:color="auto"/>
                                    <w:right w:val="none" w:sz="0" w:space="0" w:color="auto"/>
                                  </w:divBdr>
                                  <w:divsChild>
                                    <w:div w:id="1150900137">
                                      <w:marLeft w:val="0"/>
                                      <w:marRight w:val="0"/>
                                      <w:marTop w:val="0"/>
                                      <w:marBottom w:val="0"/>
                                      <w:divBdr>
                                        <w:top w:val="none" w:sz="0" w:space="0" w:color="auto"/>
                                        <w:left w:val="none" w:sz="0" w:space="0" w:color="auto"/>
                                        <w:bottom w:val="none" w:sz="0" w:space="0" w:color="auto"/>
                                        <w:right w:val="none" w:sz="0" w:space="0" w:color="auto"/>
                                      </w:divBdr>
                                      <w:divsChild>
                                        <w:div w:id="1206059223">
                                          <w:marLeft w:val="0"/>
                                          <w:marRight w:val="0"/>
                                          <w:marTop w:val="0"/>
                                          <w:marBottom w:val="0"/>
                                          <w:divBdr>
                                            <w:top w:val="none" w:sz="0" w:space="0" w:color="auto"/>
                                            <w:left w:val="none" w:sz="0" w:space="0" w:color="auto"/>
                                            <w:bottom w:val="none" w:sz="0" w:space="0" w:color="auto"/>
                                            <w:right w:val="none" w:sz="0" w:space="0" w:color="auto"/>
                                          </w:divBdr>
                                          <w:divsChild>
                                            <w:div w:id="1311516450">
                                              <w:marLeft w:val="0"/>
                                              <w:marRight w:val="0"/>
                                              <w:marTop w:val="0"/>
                                              <w:marBottom w:val="0"/>
                                              <w:divBdr>
                                                <w:top w:val="none" w:sz="0" w:space="0" w:color="auto"/>
                                                <w:left w:val="none" w:sz="0" w:space="0" w:color="auto"/>
                                                <w:bottom w:val="none" w:sz="0" w:space="0" w:color="auto"/>
                                                <w:right w:val="none" w:sz="0" w:space="0" w:color="auto"/>
                                              </w:divBdr>
                                              <w:divsChild>
                                                <w:div w:id="6248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719992">
      <w:bodyDiv w:val="1"/>
      <w:marLeft w:val="0"/>
      <w:marRight w:val="0"/>
      <w:marTop w:val="0"/>
      <w:marBottom w:val="0"/>
      <w:divBdr>
        <w:top w:val="none" w:sz="0" w:space="0" w:color="auto"/>
        <w:left w:val="none" w:sz="0" w:space="0" w:color="auto"/>
        <w:bottom w:val="none" w:sz="0" w:space="0" w:color="auto"/>
        <w:right w:val="none" w:sz="0" w:space="0" w:color="auto"/>
      </w:divBdr>
    </w:div>
    <w:div w:id="862984851">
      <w:bodyDiv w:val="1"/>
      <w:marLeft w:val="0"/>
      <w:marRight w:val="0"/>
      <w:marTop w:val="0"/>
      <w:marBottom w:val="0"/>
      <w:divBdr>
        <w:top w:val="none" w:sz="0" w:space="0" w:color="auto"/>
        <w:left w:val="none" w:sz="0" w:space="0" w:color="auto"/>
        <w:bottom w:val="none" w:sz="0" w:space="0" w:color="auto"/>
        <w:right w:val="none" w:sz="0" w:space="0" w:color="auto"/>
      </w:divBdr>
    </w:div>
    <w:div w:id="1050377665">
      <w:bodyDiv w:val="1"/>
      <w:marLeft w:val="0"/>
      <w:marRight w:val="0"/>
      <w:marTop w:val="0"/>
      <w:marBottom w:val="0"/>
      <w:divBdr>
        <w:top w:val="none" w:sz="0" w:space="0" w:color="auto"/>
        <w:left w:val="none" w:sz="0" w:space="0" w:color="auto"/>
        <w:bottom w:val="none" w:sz="0" w:space="0" w:color="auto"/>
        <w:right w:val="none" w:sz="0" w:space="0" w:color="auto"/>
      </w:divBdr>
    </w:div>
    <w:div w:id="13465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2.xml" Id="R8cfb08a6998941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DD8C3B5D349746ACA8633941FF0DC2A2" version="1.0.0">
  <systemFields>
    <field name="Objective-Id">
      <value order="0">A3248020</value>
    </field>
    <field name="Objective-Title">
      <value order="0">ASQA instrument Explanatory Statement</value>
    </field>
    <field name="Objective-Description">
      <value order="0"/>
    </field>
    <field name="Objective-CreationStamp">
      <value order="0">2019-07-16T05:54:07Z</value>
    </field>
    <field name="Objective-IsApproved">
      <value order="0">false</value>
    </field>
    <field name="Objective-IsPublished">
      <value order="0">true</value>
    </field>
    <field name="Objective-DatePublished">
      <value order="0">2019-07-16T05:56:38Z</value>
    </field>
    <field name="Objective-ModificationStamp">
      <value order="0">2019-07-16T05:56:38Z</value>
    </field>
    <field name="Objective-Owner">
      <value order="0">WEIN,Alicia</value>
    </field>
    <field name="Objective-Path">
      <value order="0">Objective Global Folder:Strategic Management:Governance Policy &amp; Quality:GPQ Iinitiatives / Projects:2019 - Education Services for Overseas Students (ASQA Registration Renewal Application Period) Determination 2019:LI lodged to Federal Register of Legislation</value>
    </field>
    <field name="Objective-Parent">
      <value order="0">LI lodged to Federal Register of Legislation</value>
    </field>
    <field name="Objective-State">
      <value order="0">Published</value>
    </field>
    <field name="Objective-VersionId">
      <value order="0">vA3663765</value>
    </field>
    <field name="Objective-Version">
      <value order="0">1.0</value>
    </field>
    <field name="Objective-VersionNumber">
      <value order="0">1</value>
    </field>
    <field name="Objective-VersionComment">
      <value order="0"/>
    </field>
    <field name="Objective-FileNumber">
      <value order="0">qA199208</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4F49-9745-47C5-AE59-7994BA96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Riordan</dc:creator>
  <cp:keywords/>
  <cp:lastModifiedBy>CHRISTIANS,Sandra</cp:lastModifiedBy>
  <cp:revision>2</cp:revision>
  <cp:lastPrinted>2013-05-03T05:45:00Z</cp:lastPrinted>
  <dcterms:created xsi:type="dcterms:W3CDTF">2019-07-16T01:27:00Z</dcterms:created>
  <dcterms:modified xsi:type="dcterms:W3CDTF">2019-07-16T01:27:00Z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A3248020</vt:lpwstr>
  </property>
  <property fmtid="{D5CDD505-2E9C-101B-9397-08002B2CF9AE}" pid="4" name="Objective-Title">
    <vt:lpwstr>ASQA instrument Explanatory Statement</vt:lpwstr>
  </property>
  <property fmtid="{D5CDD505-2E9C-101B-9397-08002B2CF9AE}" pid="5" name="Objective-Description">
    <vt:lpwstr/>
  </property>
  <property fmtid="{D5CDD505-2E9C-101B-9397-08002B2CF9AE}" pid="6" name="Objective-CreationStamp">
    <vt:filetime>2019-07-16T05:54:07Z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2019-07-16T05:56:38Z</vt:filetime>
  </property>
  <property fmtid="{D5CDD505-2E9C-101B-9397-08002B2CF9AE}" pid="10" name="Objective-ModificationStamp">
    <vt:filetime>2019-07-16T05:56:38Z</vt:filetime>
  </property>
  <property fmtid="{D5CDD505-2E9C-101B-9397-08002B2CF9AE}" pid="11" name="Objective-Owner">
    <vt:lpwstr>WEIN,Alicia</vt:lpwstr>
  </property>
  <property fmtid="{D5CDD505-2E9C-101B-9397-08002B2CF9AE}" pid="12" name="Objective-Path">
    <vt:lpwstr>Objective Global Folder:Strategic Management:Governance Policy &amp; Quality:GPQ Iinitiatives / Projects:2019 - Education Services for Overseas Students (ASQA Registration Renewal Application Period) Determination 2019:LI lodged to Federal Register of Legislation</vt:lpwstr>
  </property>
  <property fmtid="{D5CDD505-2E9C-101B-9397-08002B2CF9AE}" pid="13" name="Objective-Parent">
    <vt:lpwstr>LI lodged to Federal Register of Legislation</vt:lpwstr>
  </property>
  <property fmtid="{D5CDD505-2E9C-101B-9397-08002B2CF9AE}" pid="14" name="Objective-State">
    <vt:lpwstr>Published</vt:lpwstr>
  </property>
  <property fmtid="{D5CDD505-2E9C-101B-9397-08002B2CF9AE}" pid="15" name="Objective-VersionId">
    <vt:lpwstr>vA3663765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qA199208</vt:lpwstr>
  </property>
  <property fmtid="{D5CDD505-2E9C-101B-9397-08002B2CF9AE}" pid="20" name="Objective-Classification">
    <vt:lpwstr>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ies>
</file>