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F792E" w14:textId="47A21266" w:rsidR="00CD02C8" w:rsidRDefault="00CD02C8" w:rsidP="00CD02C8">
      <w:pPr>
        <w:tabs>
          <w:tab w:val="left" w:pos="993"/>
        </w:tabs>
      </w:pPr>
      <w:bookmarkStart w:id="0" w:name="_GoBack"/>
      <w:bookmarkEnd w:id="0"/>
    </w:p>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00292B" w14:paraId="190DD77C" w14:textId="77777777" w:rsidTr="00A22E0D">
        <w:tc>
          <w:tcPr>
            <w:tcW w:w="4661" w:type="dxa"/>
          </w:tcPr>
          <w:p w14:paraId="3AD345B4" w14:textId="230B1E20" w:rsidR="00090A6F" w:rsidRPr="0000292B" w:rsidRDefault="00364B30">
            <w:pPr>
              <w:pStyle w:val="CoverStandard"/>
            </w:pPr>
            <w:r>
              <w:t>AASB</w:t>
            </w:r>
            <w:r w:rsidR="00831497">
              <w:t xml:space="preserve"> Standard</w:t>
            </w:r>
          </w:p>
        </w:tc>
        <w:tc>
          <w:tcPr>
            <w:tcW w:w="4661" w:type="dxa"/>
          </w:tcPr>
          <w:p w14:paraId="5625EB92" w14:textId="3DCA968D" w:rsidR="00090A6F" w:rsidRPr="0000292B" w:rsidRDefault="00831497">
            <w:pPr>
              <w:pStyle w:val="CoverNumber"/>
            </w:pPr>
            <w:r>
              <w:t>AASB</w:t>
            </w:r>
            <w:r w:rsidR="00090A6F" w:rsidRPr="0000292B">
              <w:t xml:space="preserve"> </w:t>
            </w:r>
            <w:bookmarkStart w:id="1" w:name="DocNo"/>
            <w:r w:rsidR="00B2123A">
              <w:t>2019</w:t>
            </w:r>
            <w:r w:rsidR="003A66C5">
              <w:t>-</w:t>
            </w:r>
            <w:r w:rsidR="001000FF">
              <w:t>1</w:t>
            </w:r>
            <w:bookmarkEnd w:id="1"/>
          </w:p>
          <w:p w14:paraId="07CB306F" w14:textId="397FD785" w:rsidR="00090A6F" w:rsidRPr="0000292B" w:rsidRDefault="003418F0" w:rsidP="003418F0">
            <w:pPr>
              <w:pStyle w:val="CoverDate"/>
            </w:pPr>
            <w:bookmarkStart w:id="2" w:name="DocDate"/>
            <w:r>
              <w:t>May 2019</w:t>
            </w:r>
            <w:bookmarkEnd w:id="2"/>
          </w:p>
        </w:tc>
      </w:tr>
    </w:tbl>
    <w:bookmarkStart w:id="3" w:name="DocTitle" w:displacedByCustomXml="next"/>
    <w:sdt>
      <w:sdtPr>
        <w:id w:val="-1680572713"/>
        <w:lock w:val="contentLocked"/>
        <w:placeholder>
          <w:docPart w:val="DefaultPlaceholder_1081868574"/>
        </w:placeholder>
        <w:group/>
      </w:sdtPr>
      <w:sdtEndPr/>
      <w:sdtContent>
        <w:p w14:paraId="43107CA0" w14:textId="77777777" w:rsidR="00090A6F" w:rsidRPr="0000292B" w:rsidRDefault="003A66C5" w:rsidP="00CC7813">
          <w:pPr>
            <w:pStyle w:val="CoverTitle"/>
            <w:jc w:val="left"/>
          </w:pPr>
          <w:r>
            <w:t>Amendments to Australian Accounting Standards – References to the Conceptual Framework</w:t>
          </w:r>
        </w:p>
        <w:bookmarkEnd w:id="3" w:displacedByCustomXml="next"/>
      </w:sdtContent>
    </w:sdt>
    <w:p w14:paraId="6A89D206" w14:textId="77777777" w:rsidR="00737714" w:rsidRPr="0000292B" w:rsidRDefault="00737714" w:rsidP="00737714"/>
    <w:p w14:paraId="444B3075" w14:textId="77777777" w:rsidR="00090A6F" w:rsidRPr="0000292B" w:rsidRDefault="008B643A">
      <w:pPr>
        <w:sectPr w:rsidR="00090A6F" w:rsidRPr="0000292B" w:rsidSect="00D74C6A">
          <w:headerReference w:type="default" r:id="rId14"/>
          <w:pgSz w:w="11907" w:h="16840" w:code="9"/>
          <w:pgMar w:top="1418" w:right="1418" w:bottom="1418" w:left="1418" w:header="709" w:footer="709" w:gutter="0"/>
          <w:paperSrc w:first="7" w:other="7"/>
          <w:cols w:space="720"/>
        </w:sectPr>
      </w:pPr>
      <w:r>
        <w:rPr>
          <w:noProof/>
          <w:lang w:eastAsia="en-AU"/>
        </w:rPr>
        <w:drawing>
          <wp:anchor distT="0" distB="0" distL="114300" distR="114300" simplePos="0" relativeHeight="251658240" behindDoc="0" locked="1" layoutInCell="1" allowOverlap="1" wp14:anchorId="5EB148B2" wp14:editId="523EC222">
            <wp:simplePos x="0" y="0"/>
            <wp:positionH relativeFrom="margin">
              <wp:posOffset>0</wp:posOffset>
            </wp:positionH>
            <wp:positionV relativeFrom="margin">
              <wp:align>bottom</wp:align>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ED126" w14:textId="7BABF1E4" w:rsidR="00737714" w:rsidRPr="0000292B" w:rsidRDefault="00737714" w:rsidP="00F13C5A">
      <w:pPr>
        <w:pStyle w:val="Heading1"/>
      </w:pPr>
      <w:r w:rsidRPr="0000292B">
        <w:lastRenderedPageBreak/>
        <w:t xml:space="preserve">Obtaining a </w:t>
      </w:r>
      <w:r w:rsidR="005655CE">
        <w:t>c</w:t>
      </w:r>
      <w:r w:rsidRPr="0000292B">
        <w:t xml:space="preserve">opy of this </w:t>
      </w:r>
      <w:r w:rsidR="00C5022C">
        <w:t>Accounting Standard</w:t>
      </w:r>
    </w:p>
    <w:p w14:paraId="68FA4DB5" w14:textId="77777777" w:rsidR="00737714" w:rsidRPr="0000292B" w:rsidRDefault="00737714" w:rsidP="00895809">
      <w:pPr>
        <w:spacing w:after="200"/>
      </w:pPr>
      <w:r w:rsidRPr="0000292B">
        <w:t xml:space="preserve">This </w:t>
      </w:r>
      <w:r w:rsidR="00C5022C">
        <w:t>Standard</w:t>
      </w:r>
      <w:r w:rsidRPr="0000292B">
        <w:t xml:space="preserve"> is available o</w:t>
      </w:r>
      <w:r w:rsidR="00923261">
        <w:t>n the AASB website: www.aasb.gov</w:t>
      </w:r>
      <w:r w:rsidRPr="0000292B">
        <w:t>.au.</w:t>
      </w:r>
    </w:p>
    <w:p w14:paraId="65840DB7" w14:textId="77777777" w:rsidR="00895809" w:rsidRPr="0000292B" w:rsidRDefault="00895809" w:rsidP="00895809">
      <w:r w:rsidRPr="0000292B">
        <w:t>Australian Accounting Standards Board</w:t>
      </w:r>
    </w:p>
    <w:p w14:paraId="160F1414" w14:textId="77777777" w:rsidR="00895809" w:rsidRPr="0000292B" w:rsidRDefault="00895809" w:rsidP="00895809">
      <w:r>
        <w:t>PO Box 204</w:t>
      </w:r>
    </w:p>
    <w:p w14:paraId="5B81FAA3" w14:textId="77777777" w:rsidR="00895809" w:rsidRPr="0000292B" w:rsidRDefault="00895809" w:rsidP="00895809">
      <w:r>
        <w:t>Collins Street West</w:t>
      </w:r>
    </w:p>
    <w:p w14:paraId="247921F9" w14:textId="77777777" w:rsidR="00895809" w:rsidRPr="0000292B" w:rsidRDefault="00895809" w:rsidP="00895809">
      <w:r>
        <w:t>Victoria   8007</w:t>
      </w:r>
    </w:p>
    <w:p w14:paraId="5619105E" w14:textId="77777777" w:rsidR="00895809" w:rsidRDefault="00895809" w:rsidP="00895809">
      <w:pPr>
        <w:pStyle w:val="CoverContact"/>
        <w:spacing w:after="200"/>
      </w:pPr>
      <w:r w:rsidRPr="0000292B">
        <w:t>AUSTRALIA</w:t>
      </w:r>
    </w:p>
    <w:p w14:paraId="1A95C7DC" w14:textId="77777777" w:rsidR="00737714" w:rsidRDefault="00BF0190" w:rsidP="00B82F15">
      <w:pPr>
        <w:pStyle w:val="CoverContact"/>
      </w:pPr>
      <w:r>
        <w:t>Phone:</w:t>
      </w:r>
      <w:r>
        <w:tab/>
        <w:t>(03) 9617 7600</w:t>
      </w:r>
    </w:p>
    <w:p w14:paraId="7F20F100" w14:textId="77777777" w:rsidR="00E96D45" w:rsidRDefault="00DB00CD" w:rsidP="00DB00CD">
      <w:pPr>
        <w:pStyle w:val="CoverContact"/>
      </w:pPr>
      <w:r>
        <w:t>E-mail:</w:t>
      </w:r>
      <w:r>
        <w:tab/>
      </w:r>
      <w:r w:rsidR="00BF0190">
        <w:t>standard</w:t>
      </w:r>
      <w:r>
        <w:t>@aasb.gov</w:t>
      </w:r>
      <w:r w:rsidRPr="00C5022C">
        <w:t>.au</w:t>
      </w:r>
    </w:p>
    <w:p w14:paraId="2DCA820A" w14:textId="77777777" w:rsidR="00E96D45" w:rsidRPr="00E96D45" w:rsidRDefault="00DB00CD" w:rsidP="00DB00CD">
      <w:pPr>
        <w:pStyle w:val="CoverContact"/>
        <w:spacing w:after="240"/>
      </w:pPr>
      <w:r>
        <w:t>Website:</w:t>
      </w:r>
      <w:r>
        <w:tab/>
        <w:t>www.aasb.gov.au</w:t>
      </w:r>
    </w:p>
    <w:p w14:paraId="4CEB88FB" w14:textId="77777777" w:rsidR="00090A6F" w:rsidRPr="0000292B" w:rsidRDefault="00090A6F" w:rsidP="00F13C5A">
      <w:pPr>
        <w:pStyle w:val="Heading1"/>
      </w:pPr>
      <w:r w:rsidRPr="0000292B">
        <w:t xml:space="preserve">Other </w:t>
      </w:r>
      <w:r w:rsidR="005655CE" w:rsidRPr="0000292B">
        <w:t>enquiries</w:t>
      </w:r>
    </w:p>
    <w:p w14:paraId="02F2ECBD" w14:textId="77777777" w:rsidR="00090A6F" w:rsidRPr="0000292B" w:rsidRDefault="00090A6F" w:rsidP="00B82F15">
      <w:pPr>
        <w:pStyle w:val="CoverContact"/>
      </w:pPr>
      <w:r w:rsidRPr="0000292B">
        <w:t>Phone:</w:t>
      </w:r>
      <w:r w:rsidRPr="0000292B">
        <w:tab/>
        <w:t xml:space="preserve">(03) </w:t>
      </w:r>
      <w:r w:rsidRPr="00B82F15">
        <w:t>9617</w:t>
      </w:r>
      <w:r w:rsidRPr="0000292B">
        <w:t xml:space="preserve"> 7600</w:t>
      </w:r>
    </w:p>
    <w:p w14:paraId="3C70C32F" w14:textId="77777777" w:rsidR="00090A6F" w:rsidRPr="0000292B" w:rsidRDefault="00923261">
      <w:pPr>
        <w:pStyle w:val="CoverContact"/>
      </w:pPr>
      <w:r>
        <w:t>E-mail:</w:t>
      </w:r>
      <w:r>
        <w:tab/>
        <w:t>standard@aasb.gov</w:t>
      </w:r>
      <w:r w:rsidR="00090A6F" w:rsidRPr="0000292B">
        <w:t>.au</w:t>
      </w:r>
    </w:p>
    <w:p w14:paraId="4CFCC894" w14:textId="77777777" w:rsidR="003A66C5" w:rsidRDefault="003A66C5" w:rsidP="00876B1E">
      <w:pPr>
        <w:pStyle w:val="NoNumPlain1"/>
        <w:spacing w:before="6120"/>
      </w:pPr>
      <w:bookmarkStart w:id="4" w:name="CopyrightText"/>
      <w:r>
        <w:t>COPYRIGHT</w:t>
      </w:r>
    </w:p>
    <w:p w14:paraId="18A7B2D4" w14:textId="26BD0B22" w:rsidR="003A66C5" w:rsidRDefault="003A66C5" w:rsidP="00276BC5">
      <w:pPr>
        <w:pStyle w:val="NoNumPlain1"/>
      </w:pPr>
      <w:r>
        <w:t>© Com</w:t>
      </w:r>
      <w:bookmarkStart w:id="5" w:name="CopyrightIFRS"/>
      <w:bookmarkEnd w:id="5"/>
      <w:r>
        <w:t>monwealth of Australia</w:t>
      </w:r>
      <w:r w:rsidR="001830AE">
        <w:t xml:space="preserve"> 2019</w:t>
      </w:r>
    </w:p>
    <w:p w14:paraId="7484396B" w14:textId="77777777" w:rsidR="003A66C5" w:rsidRPr="00DE4E67" w:rsidRDefault="003A66C5" w:rsidP="00276BC5">
      <w:pPr>
        <w:pStyle w:val="NoNumPlain1"/>
      </w:pPr>
      <w:r w:rsidRPr="00DE4E67">
        <w:t xml:space="preserve">This AASB Standard contains </w:t>
      </w:r>
      <w:r>
        <w:t>IFRS</w:t>
      </w:r>
      <w:r w:rsidRPr="00DE4E67">
        <w:t xml:space="preserve"> Foundation copyright material.  Reproduction within Australia in unaltered form (retaining this notice) is permitted for personal and non</w:t>
      </w:r>
      <w:r>
        <w:t>-</w:t>
      </w:r>
      <w:r w:rsidRPr="00DE4E67">
        <w:t xml:space="preserve">commercial use subject to the inclusion of an acknowledgment of the source.  Requests and enquiries concerning reproduction and rights for commercial purposes within Australia should be addressed to The </w:t>
      </w:r>
      <w:r w:rsidR="00FC15E7">
        <w:t xml:space="preserve">National </w:t>
      </w:r>
      <w:r w:rsidRPr="00DE4E67">
        <w:t xml:space="preserve">Director, Australian Accounting Standards Board, </w:t>
      </w:r>
      <w:r>
        <w:t>PO Box </w:t>
      </w:r>
      <w:r w:rsidRPr="00DE4E67">
        <w:t>204, Collins Street West, Victoria 8007.</w:t>
      </w:r>
    </w:p>
    <w:p w14:paraId="0F9BA5E0" w14:textId="77777777" w:rsidR="003A66C5" w:rsidRPr="00DE4E67" w:rsidRDefault="003A66C5" w:rsidP="00895809">
      <w:pPr>
        <w:spacing w:after="200"/>
      </w:pPr>
      <w:r w:rsidRPr="00DE4E67">
        <w:t>All existing rights in this material are reserved outside Australia.</w:t>
      </w:r>
      <w:r>
        <w:t xml:space="preserve">  </w:t>
      </w: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4"/>
    <w:p w14:paraId="61373A58" w14:textId="77777777" w:rsidR="007455F0" w:rsidRPr="0000292B" w:rsidRDefault="006D4700" w:rsidP="006D4700">
      <w:r>
        <w:t xml:space="preserve">ISSN </w:t>
      </w:r>
      <w:bookmarkStart w:id="6" w:name="ISSN"/>
      <w:r w:rsidR="003A66C5">
        <w:t>1036-4803</w:t>
      </w:r>
      <w:bookmarkEnd w:id="6"/>
    </w:p>
    <w:p w14:paraId="1EC6361C" w14:textId="77777777" w:rsidR="00090A6F" w:rsidRPr="0000292B" w:rsidRDefault="00090A6F">
      <w:pPr>
        <w:sectPr w:rsidR="00090A6F" w:rsidRPr="0000292B" w:rsidSect="00F87FEE">
          <w:footerReference w:type="default" r:id="rId16"/>
          <w:pgSz w:w="11907" w:h="16840" w:code="9"/>
          <w:pgMar w:top="1418" w:right="1418" w:bottom="1418" w:left="1418" w:header="709" w:footer="709" w:gutter="0"/>
          <w:paperSrc w:first="7" w:other="7"/>
          <w:pgNumType w:start="2"/>
          <w:cols w:space="720"/>
        </w:sectPr>
      </w:pPr>
    </w:p>
    <w:p w14:paraId="3516987B" w14:textId="6446F390" w:rsidR="00090A6F" w:rsidRPr="0000292B" w:rsidRDefault="005655CE">
      <w:pPr>
        <w:pStyle w:val="Heading1"/>
      </w:pPr>
      <w:r w:rsidRPr="0000292B">
        <w:lastRenderedPageBreak/>
        <w:t>Contents</w:t>
      </w:r>
    </w:p>
    <w:p w14:paraId="3EE46506" w14:textId="77777777" w:rsidR="00090A6F" w:rsidRPr="0000292B" w:rsidRDefault="006F77D2" w:rsidP="00A33130">
      <w:pPr>
        <w:pStyle w:val="ContentsCapsPlain"/>
        <w:spacing w:before="400"/>
      </w:pPr>
      <w:r w:rsidRPr="0000292B">
        <w:t>PREFACE</w:t>
      </w:r>
    </w:p>
    <w:p w14:paraId="5B0475D0" w14:textId="77777777" w:rsidR="00090A6F" w:rsidRPr="0000292B" w:rsidRDefault="006F77D2">
      <w:pPr>
        <w:pStyle w:val="ContentsCapsBold"/>
      </w:pPr>
      <w:r w:rsidRPr="0000292B">
        <w:t>ACCOUNTING STANDARD</w:t>
      </w:r>
    </w:p>
    <w:p w14:paraId="55289636" w14:textId="1B5D8B6D" w:rsidR="00090A6F" w:rsidRDefault="00090A6F" w:rsidP="00FC15E7">
      <w:pPr>
        <w:pStyle w:val="ContentsCapsBold"/>
        <w:rPr>
          <w:i/>
          <w:iCs/>
        </w:rPr>
      </w:pPr>
      <w:r w:rsidRPr="0000292B">
        <w:t xml:space="preserve">AASB </w:t>
      </w:r>
      <w:r w:rsidR="009C2479" w:rsidRPr="00BC0D5D">
        <w:rPr>
          <w:iCs/>
        </w:rPr>
        <w:fldChar w:fldCharType="begin"/>
      </w:r>
      <w:r w:rsidR="009C2479" w:rsidRPr="00BC0D5D">
        <w:rPr>
          <w:iCs/>
        </w:rPr>
        <w:instrText xml:space="preserve"> REF </w:instrText>
      </w:r>
      <w:r w:rsidR="009C2479">
        <w:rPr>
          <w:iCs/>
        </w:rPr>
        <w:instrText>Doc</w:instrText>
      </w:r>
      <w:r w:rsidR="009C2479" w:rsidRPr="00BC0D5D">
        <w:rPr>
          <w:iCs/>
        </w:rPr>
        <w:instrText xml:space="preserve">No \* charformat </w:instrText>
      </w:r>
      <w:r w:rsidR="009C2479" w:rsidRPr="00BC0D5D">
        <w:rPr>
          <w:iCs/>
        </w:rPr>
        <w:fldChar w:fldCharType="separate"/>
      </w:r>
      <w:r w:rsidR="00790224" w:rsidRPr="00790224">
        <w:rPr>
          <w:iCs/>
        </w:rPr>
        <w:t>2019-1</w:t>
      </w:r>
      <w:r w:rsidR="009C2479"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3A66C5" w:rsidRPr="003A66C5">
        <w:rPr>
          <w:i/>
        </w:rPr>
        <w:t>A</w:t>
      </w:r>
      <w:r w:rsidR="00FC15E7">
        <w:rPr>
          <w:i/>
        </w:rPr>
        <w:t xml:space="preserve">MENDMENTS TO AUSTRALIAN ACCOUNTING STANDARDS </w:t>
      </w:r>
      <w:r w:rsidR="00FC15E7" w:rsidRPr="003A66C5">
        <w:rPr>
          <w:i/>
        </w:rPr>
        <w:t>–</w:t>
      </w:r>
      <w:r w:rsidR="00FC15E7">
        <w:rPr>
          <w:i/>
        </w:rPr>
        <w:t xml:space="preserve"> REFERENCES TO THE CONCEPTUAL FRAMEWORK</w:t>
      </w:r>
      <w:r w:rsidR="003A66C5" w:rsidRPr="003A66C5">
        <w:rPr>
          <w:i/>
        </w:rPr>
        <w:t xml:space="preserve"> </w:t>
      </w:r>
      <w:r w:rsidR="00CC1DF4" w:rsidRPr="00CC1DF4">
        <w:rPr>
          <w:i/>
        </w:rPr>
        <w:fldChar w:fldCharType="end"/>
      </w:r>
    </w:p>
    <w:p w14:paraId="111773CE" w14:textId="77777777" w:rsidR="002B7803" w:rsidRPr="002B7803" w:rsidRDefault="002B7803" w:rsidP="002B7803"/>
    <w:p w14:paraId="4BC265AD" w14:textId="77777777" w:rsidR="00090A6F" w:rsidRPr="0000292B" w:rsidRDefault="00E46988">
      <w:pPr>
        <w:pStyle w:val="ContentsParaHead"/>
      </w:pPr>
      <w:r>
        <w:t xml:space="preserve">from </w:t>
      </w:r>
      <w:r w:rsidR="008B3594">
        <w:t>page</w:t>
      </w:r>
    </w:p>
    <w:p w14:paraId="7BC36E64" w14:textId="5F0F0BFD" w:rsidR="00090A6F" w:rsidRPr="00A33130" w:rsidRDefault="00A33130">
      <w:pPr>
        <w:pStyle w:val="ContentsLevel1"/>
        <w:rPr>
          <w:b/>
        </w:rPr>
      </w:pPr>
      <w:bookmarkStart w:id="7" w:name="TOCRange"/>
      <w:r w:rsidRPr="00A33130">
        <w:rPr>
          <w:b/>
        </w:rPr>
        <w:t>OBJECTIVE</w:t>
      </w:r>
      <w:r w:rsidRPr="00A33130">
        <w:rPr>
          <w:b/>
        </w:rPr>
        <w:tab/>
        <w:t>6</w:t>
      </w:r>
    </w:p>
    <w:p w14:paraId="136EFCA6" w14:textId="666DD197" w:rsidR="00090A6F" w:rsidRPr="00A33130" w:rsidRDefault="00A33130">
      <w:pPr>
        <w:pStyle w:val="ContentsLevel1"/>
        <w:rPr>
          <w:b/>
        </w:rPr>
      </w:pPr>
      <w:r w:rsidRPr="00A33130">
        <w:rPr>
          <w:b/>
        </w:rPr>
        <w:t>APPLICATION</w:t>
      </w:r>
      <w:r w:rsidRPr="00A33130">
        <w:rPr>
          <w:b/>
        </w:rPr>
        <w:tab/>
        <w:t>7</w:t>
      </w:r>
    </w:p>
    <w:p w14:paraId="23DF2BC5" w14:textId="32BBAECF" w:rsidR="003A66C5" w:rsidRPr="00A33130" w:rsidRDefault="00A33130" w:rsidP="003A66C5">
      <w:pPr>
        <w:pStyle w:val="ContentsLevel1"/>
        <w:rPr>
          <w:b/>
        </w:rPr>
      </w:pPr>
      <w:r w:rsidRPr="00A33130">
        <w:rPr>
          <w:b/>
        </w:rPr>
        <w:t xml:space="preserve">AMENDMENTS TO THE </w:t>
      </w:r>
      <w:r w:rsidRPr="00A33130">
        <w:rPr>
          <w:b/>
          <w:i/>
        </w:rPr>
        <w:t xml:space="preserve">FRAMEWORK FOR THE PREPARATION AND PRESENTATION </w:t>
      </w:r>
      <w:r>
        <w:rPr>
          <w:b/>
          <w:i/>
        </w:rPr>
        <w:br/>
      </w:r>
      <w:r w:rsidRPr="00A33130">
        <w:rPr>
          <w:b/>
          <w:i/>
        </w:rPr>
        <w:t>OF FINANCIAL STATEMENTS</w:t>
      </w:r>
      <w:r w:rsidRPr="00A33130">
        <w:rPr>
          <w:b/>
        </w:rPr>
        <w:tab/>
        <w:t>8</w:t>
      </w:r>
    </w:p>
    <w:p w14:paraId="439EF8A3" w14:textId="6C98E588" w:rsidR="003A66C5" w:rsidRPr="00A33130" w:rsidRDefault="00A33130" w:rsidP="003A66C5">
      <w:pPr>
        <w:pStyle w:val="ContentsLevel1"/>
        <w:rPr>
          <w:b/>
        </w:rPr>
      </w:pPr>
      <w:r w:rsidRPr="00A33130">
        <w:rPr>
          <w:b/>
        </w:rPr>
        <w:t>AMENDMENTS TO STATEMENT OF ACCOUNTING CONCEPTS SAC 1</w:t>
      </w:r>
      <w:r w:rsidRPr="00A33130">
        <w:rPr>
          <w:b/>
        </w:rPr>
        <w:tab/>
        <w:t>8</w:t>
      </w:r>
    </w:p>
    <w:p w14:paraId="44B55769" w14:textId="3269074B" w:rsidR="003A66C5" w:rsidRPr="00A33130" w:rsidRDefault="00A33130" w:rsidP="003A66C5">
      <w:pPr>
        <w:pStyle w:val="ContentsLevel1"/>
        <w:rPr>
          <w:b/>
        </w:rPr>
      </w:pPr>
      <w:r>
        <w:rPr>
          <w:b/>
        </w:rPr>
        <w:t>AMENDMENTS TO AASB 2</w:t>
      </w:r>
      <w:r w:rsidRPr="00A33130">
        <w:rPr>
          <w:b/>
        </w:rPr>
        <w:tab/>
        <w:t>8</w:t>
      </w:r>
    </w:p>
    <w:p w14:paraId="7BE73AF2" w14:textId="5B4115AB" w:rsidR="003A66C5" w:rsidRPr="00A33130" w:rsidRDefault="00A33130" w:rsidP="003A66C5">
      <w:pPr>
        <w:pStyle w:val="ContentsLevel1"/>
        <w:rPr>
          <w:b/>
        </w:rPr>
      </w:pPr>
      <w:r>
        <w:rPr>
          <w:b/>
        </w:rPr>
        <w:t>AMENDMENTS TO AASB 3</w:t>
      </w:r>
      <w:r w:rsidRPr="00A33130">
        <w:rPr>
          <w:b/>
        </w:rPr>
        <w:tab/>
        <w:t>9</w:t>
      </w:r>
    </w:p>
    <w:p w14:paraId="70CD5404" w14:textId="0B37FDFF" w:rsidR="003A66C5" w:rsidRPr="00A33130" w:rsidRDefault="00A33130" w:rsidP="003A66C5">
      <w:pPr>
        <w:pStyle w:val="ContentsLevel1"/>
        <w:rPr>
          <w:b/>
        </w:rPr>
      </w:pPr>
      <w:r>
        <w:rPr>
          <w:b/>
        </w:rPr>
        <w:t>AMENDMENTS TO AASB 6</w:t>
      </w:r>
      <w:r w:rsidRPr="00A33130">
        <w:rPr>
          <w:b/>
        </w:rPr>
        <w:tab/>
        <w:t>10</w:t>
      </w:r>
    </w:p>
    <w:p w14:paraId="101D1245" w14:textId="714A6561" w:rsidR="003A66C5" w:rsidRPr="00A33130" w:rsidRDefault="00A33130" w:rsidP="003A66C5">
      <w:pPr>
        <w:pStyle w:val="ContentsLevel1"/>
        <w:rPr>
          <w:b/>
        </w:rPr>
      </w:pPr>
      <w:r>
        <w:rPr>
          <w:b/>
        </w:rPr>
        <w:t>AMENDMENTS TO AASB 7</w:t>
      </w:r>
      <w:r w:rsidRPr="00A33130">
        <w:rPr>
          <w:b/>
        </w:rPr>
        <w:tab/>
        <w:t>10</w:t>
      </w:r>
    </w:p>
    <w:p w14:paraId="46529B6F" w14:textId="418FE33D" w:rsidR="003A66C5" w:rsidRPr="00A33130" w:rsidRDefault="00A33130" w:rsidP="003A66C5">
      <w:pPr>
        <w:pStyle w:val="ContentsLevel1"/>
        <w:rPr>
          <w:b/>
        </w:rPr>
      </w:pPr>
      <w:r w:rsidRPr="00A33130">
        <w:rPr>
          <w:b/>
        </w:rPr>
        <w:t>AMENDMENTS TO AASB 8</w:t>
      </w:r>
      <w:r w:rsidRPr="00A33130">
        <w:rPr>
          <w:b/>
        </w:rPr>
        <w:tab/>
        <w:t>11</w:t>
      </w:r>
    </w:p>
    <w:p w14:paraId="6A21DE45" w14:textId="75A6199C" w:rsidR="003A66C5" w:rsidRPr="00A33130" w:rsidRDefault="00A33130" w:rsidP="003A66C5">
      <w:pPr>
        <w:pStyle w:val="ContentsLevel1"/>
        <w:rPr>
          <w:b/>
        </w:rPr>
      </w:pPr>
      <w:r w:rsidRPr="00A33130">
        <w:rPr>
          <w:b/>
        </w:rPr>
        <w:t>AMENDMENTS TO AASB 9</w:t>
      </w:r>
      <w:r w:rsidRPr="00A33130">
        <w:rPr>
          <w:b/>
        </w:rPr>
        <w:tab/>
        <w:t>11</w:t>
      </w:r>
    </w:p>
    <w:p w14:paraId="3058DAF4" w14:textId="15E63D11" w:rsidR="003A66C5" w:rsidRPr="00A33130" w:rsidRDefault="00A33130" w:rsidP="003A66C5">
      <w:pPr>
        <w:pStyle w:val="ContentsLevel1"/>
        <w:rPr>
          <w:b/>
        </w:rPr>
      </w:pPr>
      <w:r w:rsidRPr="00A33130">
        <w:rPr>
          <w:b/>
        </w:rPr>
        <w:t>AMENDMENTS TO AASB 10</w:t>
      </w:r>
      <w:r w:rsidRPr="00A33130">
        <w:rPr>
          <w:b/>
        </w:rPr>
        <w:tab/>
        <w:t>11</w:t>
      </w:r>
    </w:p>
    <w:p w14:paraId="5BD48CF8" w14:textId="6E872EE5" w:rsidR="003A66C5" w:rsidRPr="00A33130" w:rsidRDefault="00A33130" w:rsidP="003A66C5">
      <w:pPr>
        <w:pStyle w:val="ContentsLevel1"/>
        <w:rPr>
          <w:b/>
        </w:rPr>
      </w:pPr>
      <w:r w:rsidRPr="00A33130">
        <w:rPr>
          <w:b/>
        </w:rPr>
        <w:t>AMENDMENTS TO AASB 12</w:t>
      </w:r>
      <w:r w:rsidRPr="00A33130">
        <w:rPr>
          <w:b/>
        </w:rPr>
        <w:tab/>
        <w:t>12</w:t>
      </w:r>
    </w:p>
    <w:p w14:paraId="0430E721" w14:textId="4B493E27" w:rsidR="003A66C5" w:rsidRPr="00A33130" w:rsidRDefault="00A33130" w:rsidP="003A66C5">
      <w:pPr>
        <w:pStyle w:val="ContentsLevel1"/>
        <w:rPr>
          <w:b/>
        </w:rPr>
      </w:pPr>
      <w:r w:rsidRPr="00A33130">
        <w:rPr>
          <w:b/>
        </w:rPr>
        <w:t>AMENDMENTS TO AASB 14</w:t>
      </w:r>
      <w:r w:rsidRPr="00A33130">
        <w:rPr>
          <w:b/>
        </w:rPr>
        <w:tab/>
        <w:t>12</w:t>
      </w:r>
    </w:p>
    <w:p w14:paraId="631F9914" w14:textId="3AD6CF6B" w:rsidR="003A66C5" w:rsidRPr="00A33130" w:rsidRDefault="00A33130" w:rsidP="003A66C5">
      <w:pPr>
        <w:pStyle w:val="ContentsLevel1"/>
        <w:rPr>
          <w:b/>
        </w:rPr>
      </w:pPr>
      <w:r w:rsidRPr="00A33130">
        <w:rPr>
          <w:b/>
        </w:rPr>
        <w:t>AMENDMENTS TO AASB 17</w:t>
      </w:r>
      <w:r w:rsidRPr="00A33130">
        <w:rPr>
          <w:b/>
        </w:rPr>
        <w:tab/>
        <w:t>13</w:t>
      </w:r>
    </w:p>
    <w:p w14:paraId="4E408807" w14:textId="5D981E90" w:rsidR="003A66C5" w:rsidRPr="00A33130" w:rsidRDefault="00A33130" w:rsidP="003A66C5">
      <w:pPr>
        <w:pStyle w:val="ContentsLevel1"/>
        <w:rPr>
          <w:b/>
        </w:rPr>
      </w:pPr>
      <w:r w:rsidRPr="00A33130">
        <w:rPr>
          <w:b/>
        </w:rPr>
        <w:t>AMENDMENTS TO AASB 101</w:t>
      </w:r>
      <w:r w:rsidRPr="00A33130">
        <w:rPr>
          <w:b/>
        </w:rPr>
        <w:tab/>
        <w:t>14</w:t>
      </w:r>
    </w:p>
    <w:p w14:paraId="1CAF66BC" w14:textId="54CEA8A3" w:rsidR="003A66C5" w:rsidRPr="00A33130" w:rsidRDefault="00A33130" w:rsidP="003A66C5">
      <w:pPr>
        <w:pStyle w:val="ContentsLevel1"/>
        <w:rPr>
          <w:b/>
        </w:rPr>
      </w:pPr>
      <w:r w:rsidRPr="00A33130">
        <w:rPr>
          <w:b/>
        </w:rPr>
        <w:t>AMENDMENTS TO AASB 108</w:t>
      </w:r>
      <w:r w:rsidRPr="00A33130">
        <w:rPr>
          <w:b/>
        </w:rPr>
        <w:tab/>
        <w:t>18</w:t>
      </w:r>
    </w:p>
    <w:p w14:paraId="10050D3F" w14:textId="2EB30955" w:rsidR="00A009E4" w:rsidRPr="00A33130" w:rsidRDefault="00A33130" w:rsidP="003A66C5">
      <w:pPr>
        <w:pStyle w:val="ContentsLevel1"/>
        <w:rPr>
          <w:b/>
        </w:rPr>
      </w:pPr>
      <w:r w:rsidRPr="00A33130">
        <w:rPr>
          <w:b/>
        </w:rPr>
        <w:t>AMENDMENTS TO AASB 110</w:t>
      </w:r>
      <w:r w:rsidRPr="00A33130">
        <w:rPr>
          <w:b/>
        </w:rPr>
        <w:tab/>
        <w:t>19</w:t>
      </w:r>
    </w:p>
    <w:p w14:paraId="2CD9E049" w14:textId="1B1818C7" w:rsidR="003A66C5" w:rsidRPr="00A33130" w:rsidRDefault="00A33130" w:rsidP="003A66C5">
      <w:pPr>
        <w:pStyle w:val="ContentsLevel1"/>
        <w:rPr>
          <w:b/>
        </w:rPr>
      </w:pPr>
      <w:r w:rsidRPr="00A33130">
        <w:rPr>
          <w:b/>
        </w:rPr>
        <w:t>AMENDMENTS TO AASB 112</w:t>
      </w:r>
      <w:r w:rsidRPr="00A33130">
        <w:rPr>
          <w:b/>
        </w:rPr>
        <w:tab/>
        <w:t>19</w:t>
      </w:r>
    </w:p>
    <w:p w14:paraId="3D7E256A" w14:textId="22054A83" w:rsidR="003A66C5" w:rsidRPr="00A33130" w:rsidRDefault="00A33130" w:rsidP="003A66C5">
      <w:pPr>
        <w:pStyle w:val="ContentsLevel1"/>
        <w:rPr>
          <w:b/>
        </w:rPr>
      </w:pPr>
      <w:r w:rsidRPr="00A33130">
        <w:rPr>
          <w:b/>
        </w:rPr>
        <w:t>AMENDMENTS TO AASB 116</w:t>
      </w:r>
      <w:r w:rsidRPr="00A33130">
        <w:rPr>
          <w:b/>
        </w:rPr>
        <w:tab/>
      </w:r>
      <w:r w:rsidR="00334547">
        <w:rPr>
          <w:b/>
        </w:rPr>
        <w:t>19</w:t>
      </w:r>
    </w:p>
    <w:p w14:paraId="2B6E25A1" w14:textId="2BBB95E1" w:rsidR="003A66C5" w:rsidRPr="00A33130" w:rsidRDefault="00A33130" w:rsidP="003A66C5">
      <w:pPr>
        <w:pStyle w:val="ContentsLevel1"/>
        <w:rPr>
          <w:b/>
        </w:rPr>
      </w:pPr>
      <w:r w:rsidRPr="00A33130">
        <w:rPr>
          <w:b/>
        </w:rPr>
        <w:t>AMENDMENTS TO AASB 119</w:t>
      </w:r>
      <w:r w:rsidRPr="00A33130">
        <w:rPr>
          <w:b/>
        </w:rPr>
        <w:tab/>
        <w:t>20</w:t>
      </w:r>
    </w:p>
    <w:p w14:paraId="3BA66E53" w14:textId="188AD38E" w:rsidR="003A66C5" w:rsidRPr="00A33130" w:rsidRDefault="00A33130" w:rsidP="003A66C5">
      <w:pPr>
        <w:pStyle w:val="ContentsLevel1"/>
        <w:rPr>
          <w:b/>
        </w:rPr>
      </w:pPr>
      <w:r w:rsidRPr="00A33130">
        <w:rPr>
          <w:b/>
        </w:rPr>
        <w:t>AMENDMENTS TO AASB 121</w:t>
      </w:r>
      <w:r w:rsidRPr="00A33130">
        <w:rPr>
          <w:b/>
        </w:rPr>
        <w:tab/>
        <w:t>20</w:t>
      </w:r>
    </w:p>
    <w:p w14:paraId="7AE34203" w14:textId="551AD54D" w:rsidR="003A66C5" w:rsidRPr="00A33130" w:rsidRDefault="00A33130" w:rsidP="003A66C5">
      <w:pPr>
        <w:pStyle w:val="ContentsLevel1"/>
        <w:rPr>
          <w:b/>
        </w:rPr>
      </w:pPr>
      <w:r w:rsidRPr="00A33130">
        <w:rPr>
          <w:b/>
        </w:rPr>
        <w:t>AMENDMENTS TO AASB 124</w:t>
      </w:r>
      <w:r w:rsidRPr="00A33130">
        <w:rPr>
          <w:b/>
        </w:rPr>
        <w:tab/>
        <w:t>20</w:t>
      </w:r>
    </w:p>
    <w:p w14:paraId="7B686173" w14:textId="113EF470" w:rsidR="003A66C5" w:rsidRPr="00A33130" w:rsidRDefault="00A33130" w:rsidP="003A66C5">
      <w:pPr>
        <w:pStyle w:val="ContentsLevel1"/>
        <w:rPr>
          <w:b/>
        </w:rPr>
      </w:pPr>
      <w:r w:rsidRPr="00A33130">
        <w:rPr>
          <w:b/>
        </w:rPr>
        <w:t>AMENDMENTS TO AASB 128</w:t>
      </w:r>
      <w:r w:rsidRPr="00A33130">
        <w:rPr>
          <w:b/>
        </w:rPr>
        <w:tab/>
        <w:t>21</w:t>
      </w:r>
    </w:p>
    <w:p w14:paraId="6E6F7C6D" w14:textId="077AB2EA" w:rsidR="003A66C5" w:rsidRPr="00A33130" w:rsidRDefault="00A33130" w:rsidP="003A66C5">
      <w:pPr>
        <w:pStyle w:val="ContentsLevel1"/>
        <w:rPr>
          <w:b/>
        </w:rPr>
      </w:pPr>
      <w:r w:rsidRPr="00A33130">
        <w:rPr>
          <w:b/>
        </w:rPr>
        <w:t>AMENDMENTS TO AASB 132</w:t>
      </w:r>
      <w:r w:rsidRPr="00A33130">
        <w:rPr>
          <w:b/>
        </w:rPr>
        <w:tab/>
        <w:t>21</w:t>
      </w:r>
    </w:p>
    <w:p w14:paraId="460540FB" w14:textId="6C728865" w:rsidR="003A66C5" w:rsidRPr="00A33130" w:rsidRDefault="00A33130" w:rsidP="003A66C5">
      <w:pPr>
        <w:pStyle w:val="ContentsLevel1"/>
        <w:rPr>
          <w:b/>
        </w:rPr>
      </w:pPr>
      <w:r w:rsidRPr="00A33130">
        <w:rPr>
          <w:b/>
        </w:rPr>
        <w:t>AMENDMENTS TO AASB 133</w:t>
      </w:r>
      <w:r w:rsidRPr="00A33130">
        <w:rPr>
          <w:b/>
        </w:rPr>
        <w:tab/>
        <w:t>21</w:t>
      </w:r>
    </w:p>
    <w:p w14:paraId="529ABFDD" w14:textId="0EA662D2" w:rsidR="003A66C5" w:rsidRPr="00A33130" w:rsidRDefault="00A33130" w:rsidP="003A66C5">
      <w:pPr>
        <w:pStyle w:val="ContentsLevel1"/>
        <w:rPr>
          <w:b/>
        </w:rPr>
      </w:pPr>
      <w:r w:rsidRPr="00A33130">
        <w:rPr>
          <w:b/>
        </w:rPr>
        <w:t>AMENDMENTS TO AASB 134</w:t>
      </w:r>
      <w:r w:rsidRPr="00A33130">
        <w:rPr>
          <w:b/>
        </w:rPr>
        <w:tab/>
        <w:t>22</w:t>
      </w:r>
    </w:p>
    <w:p w14:paraId="15BF6398" w14:textId="700819B8" w:rsidR="003A66C5" w:rsidRPr="00A33130" w:rsidRDefault="00A33130" w:rsidP="003A66C5">
      <w:pPr>
        <w:pStyle w:val="ContentsLevel1"/>
        <w:rPr>
          <w:b/>
        </w:rPr>
      </w:pPr>
      <w:r w:rsidRPr="00A33130">
        <w:rPr>
          <w:b/>
        </w:rPr>
        <w:t>AMENDMENTS TO AASB 137</w:t>
      </w:r>
      <w:r w:rsidRPr="00A33130">
        <w:rPr>
          <w:b/>
        </w:rPr>
        <w:tab/>
        <w:t>23</w:t>
      </w:r>
    </w:p>
    <w:p w14:paraId="6A5C7DAE" w14:textId="40083711" w:rsidR="003A66C5" w:rsidRPr="00A33130" w:rsidRDefault="00A33130" w:rsidP="003A66C5">
      <w:pPr>
        <w:pStyle w:val="ContentsLevel1"/>
        <w:rPr>
          <w:b/>
        </w:rPr>
      </w:pPr>
      <w:r w:rsidRPr="00A33130">
        <w:rPr>
          <w:b/>
        </w:rPr>
        <w:t>AMENDMENTS TO AASB 138</w:t>
      </w:r>
      <w:r w:rsidRPr="00A33130">
        <w:rPr>
          <w:b/>
        </w:rPr>
        <w:tab/>
      </w:r>
      <w:r w:rsidR="00334547">
        <w:rPr>
          <w:b/>
        </w:rPr>
        <w:t>23</w:t>
      </w:r>
    </w:p>
    <w:p w14:paraId="794E76A4" w14:textId="33B79E1B" w:rsidR="003A66C5" w:rsidRPr="00A33130" w:rsidRDefault="00A33130" w:rsidP="003A66C5">
      <w:pPr>
        <w:pStyle w:val="ContentsLevel1"/>
        <w:rPr>
          <w:b/>
        </w:rPr>
      </w:pPr>
      <w:r w:rsidRPr="00A33130">
        <w:rPr>
          <w:b/>
        </w:rPr>
        <w:t>AMENDMENTS TO AASB 139</w:t>
      </w:r>
      <w:r w:rsidRPr="00A33130">
        <w:rPr>
          <w:b/>
        </w:rPr>
        <w:tab/>
        <w:t>24</w:t>
      </w:r>
    </w:p>
    <w:p w14:paraId="522A6A23" w14:textId="368BB2E1" w:rsidR="003A66C5" w:rsidRPr="00A33130" w:rsidRDefault="00A33130" w:rsidP="003A66C5">
      <w:pPr>
        <w:pStyle w:val="ContentsLevel1"/>
        <w:rPr>
          <w:b/>
        </w:rPr>
      </w:pPr>
      <w:r w:rsidRPr="00A33130">
        <w:rPr>
          <w:b/>
        </w:rPr>
        <w:t>AMENDMENTS TO AASB 140</w:t>
      </w:r>
      <w:r w:rsidRPr="00A33130">
        <w:rPr>
          <w:b/>
        </w:rPr>
        <w:tab/>
        <w:t>24</w:t>
      </w:r>
    </w:p>
    <w:p w14:paraId="4036A498" w14:textId="46FA8615" w:rsidR="003A66C5" w:rsidRPr="00A33130" w:rsidRDefault="00A33130" w:rsidP="003A66C5">
      <w:pPr>
        <w:pStyle w:val="ContentsLevel1"/>
        <w:rPr>
          <w:b/>
        </w:rPr>
      </w:pPr>
      <w:r w:rsidRPr="00A33130">
        <w:rPr>
          <w:b/>
        </w:rPr>
        <w:t>AMENDMENTS TO AASB 1023</w:t>
      </w:r>
      <w:r w:rsidRPr="00A33130">
        <w:rPr>
          <w:b/>
        </w:rPr>
        <w:tab/>
      </w:r>
      <w:r w:rsidR="00A725F9" w:rsidRPr="00A33130">
        <w:rPr>
          <w:b/>
        </w:rPr>
        <w:t>2</w:t>
      </w:r>
      <w:r w:rsidR="00A725F9">
        <w:rPr>
          <w:b/>
        </w:rPr>
        <w:t>4</w:t>
      </w:r>
    </w:p>
    <w:p w14:paraId="0B5539EF" w14:textId="109CEC21" w:rsidR="003A66C5" w:rsidRPr="00A33130" w:rsidRDefault="00A33130" w:rsidP="003A66C5">
      <w:pPr>
        <w:pStyle w:val="ContentsLevel1"/>
        <w:rPr>
          <w:b/>
        </w:rPr>
      </w:pPr>
      <w:r w:rsidRPr="00A33130">
        <w:rPr>
          <w:b/>
        </w:rPr>
        <w:t>AMENDMENTS TO AASB 1038</w:t>
      </w:r>
      <w:r w:rsidRPr="00A33130">
        <w:rPr>
          <w:b/>
        </w:rPr>
        <w:tab/>
        <w:t>25</w:t>
      </w:r>
    </w:p>
    <w:p w14:paraId="5F9C29B7" w14:textId="163558DA" w:rsidR="003A66C5" w:rsidRPr="00A33130" w:rsidRDefault="00A33130" w:rsidP="003A66C5">
      <w:pPr>
        <w:pStyle w:val="ContentsLevel1"/>
        <w:rPr>
          <w:b/>
        </w:rPr>
      </w:pPr>
      <w:r w:rsidRPr="00A33130">
        <w:rPr>
          <w:b/>
        </w:rPr>
        <w:t>AMENDMENTS TO AASB 1048</w:t>
      </w:r>
      <w:r w:rsidRPr="00A33130">
        <w:rPr>
          <w:b/>
        </w:rPr>
        <w:tab/>
      </w:r>
      <w:r w:rsidR="00334547">
        <w:rPr>
          <w:b/>
        </w:rPr>
        <w:t>25</w:t>
      </w:r>
    </w:p>
    <w:p w14:paraId="04F92B8C" w14:textId="765BDA26" w:rsidR="003A66C5" w:rsidRPr="00A33130" w:rsidRDefault="00A33130" w:rsidP="003A66C5">
      <w:pPr>
        <w:pStyle w:val="ContentsLevel1"/>
        <w:rPr>
          <w:b/>
        </w:rPr>
      </w:pPr>
      <w:r w:rsidRPr="00A33130">
        <w:rPr>
          <w:b/>
        </w:rPr>
        <w:t>AMENDMENTS TO AASB 1053</w:t>
      </w:r>
      <w:r w:rsidRPr="00A33130">
        <w:rPr>
          <w:b/>
        </w:rPr>
        <w:tab/>
        <w:t>27</w:t>
      </w:r>
    </w:p>
    <w:p w14:paraId="66085A12" w14:textId="13B0FD39" w:rsidR="003A66C5" w:rsidRPr="00A33130" w:rsidRDefault="00A33130" w:rsidP="003A66C5">
      <w:pPr>
        <w:pStyle w:val="ContentsLevel1"/>
        <w:rPr>
          <w:b/>
        </w:rPr>
      </w:pPr>
      <w:r w:rsidRPr="00A33130">
        <w:rPr>
          <w:b/>
        </w:rPr>
        <w:t>AMENDMENTS TO AASB 1054</w:t>
      </w:r>
      <w:r w:rsidRPr="00A33130">
        <w:rPr>
          <w:b/>
        </w:rPr>
        <w:tab/>
        <w:t>28</w:t>
      </w:r>
    </w:p>
    <w:p w14:paraId="697457ED" w14:textId="055C7986" w:rsidR="003A66C5" w:rsidRPr="00A33130" w:rsidRDefault="00A33130" w:rsidP="003A66C5">
      <w:pPr>
        <w:pStyle w:val="ContentsLevel1"/>
        <w:rPr>
          <w:b/>
        </w:rPr>
      </w:pPr>
      <w:r w:rsidRPr="00A33130">
        <w:rPr>
          <w:b/>
        </w:rPr>
        <w:t>AMENDM</w:t>
      </w:r>
      <w:r w:rsidR="00001B26">
        <w:rPr>
          <w:b/>
        </w:rPr>
        <w:t>ENTS TO AASB 1055</w:t>
      </w:r>
      <w:r w:rsidR="00001B26">
        <w:rPr>
          <w:b/>
        </w:rPr>
        <w:tab/>
        <w:t>28</w:t>
      </w:r>
    </w:p>
    <w:p w14:paraId="2F5E14D0" w14:textId="07C7F0F5" w:rsidR="003A66C5" w:rsidRPr="00A33130" w:rsidRDefault="00A33130" w:rsidP="003A66C5">
      <w:pPr>
        <w:pStyle w:val="ContentsLevel1"/>
        <w:rPr>
          <w:b/>
        </w:rPr>
      </w:pPr>
      <w:r w:rsidRPr="00A33130">
        <w:rPr>
          <w:b/>
        </w:rPr>
        <w:t>AMENDMENTS TO AASB 1056</w:t>
      </w:r>
      <w:r w:rsidRPr="00A33130">
        <w:rPr>
          <w:b/>
        </w:rPr>
        <w:tab/>
        <w:t>29</w:t>
      </w:r>
    </w:p>
    <w:p w14:paraId="475130C0" w14:textId="046672CA" w:rsidR="003A66C5" w:rsidRPr="00A33130" w:rsidRDefault="00A33130" w:rsidP="003A66C5">
      <w:pPr>
        <w:pStyle w:val="ContentsLevel1"/>
        <w:rPr>
          <w:b/>
        </w:rPr>
      </w:pPr>
      <w:r w:rsidRPr="00A33130">
        <w:rPr>
          <w:b/>
        </w:rPr>
        <w:t>AMENDMENTS TO AASB 1057</w:t>
      </w:r>
      <w:r w:rsidRPr="00A33130">
        <w:rPr>
          <w:b/>
        </w:rPr>
        <w:tab/>
        <w:t>30</w:t>
      </w:r>
    </w:p>
    <w:p w14:paraId="10C810A4" w14:textId="13F6B603" w:rsidR="003A66C5" w:rsidRPr="00A33130" w:rsidRDefault="00A33130" w:rsidP="003A66C5">
      <w:pPr>
        <w:pStyle w:val="ContentsLevel1"/>
        <w:rPr>
          <w:b/>
        </w:rPr>
      </w:pPr>
      <w:r w:rsidRPr="00A33130">
        <w:rPr>
          <w:b/>
        </w:rPr>
        <w:t>AMENDMENTS TO INTERPRETATION 12</w:t>
      </w:r>
      <w:r w:rsidRPr="00A33130">
        <w:rPr>
          <w:b/>
        </w:rPr>
        <w:tab/>
      </w:r>
      <w:r w:rsidR="00A725F9">
        <w:rPr>
          <w:b/>
        </w:rPr>
        <w:t>33</w:t>
      </w:r>
    </w:p>
    <w:p w14:paraId="663323B7" w14:textId="27667533" w:rsidR="003A66C5" w:rsidRPr="00A33130" w:rsidRDefault="00A33130" w:rsidP="003A66C5">
      <w:pPr>
        <w:pStyle w:val="ContentsLevel1"/>
        <w:rPr>
          <w:b/>
        </w:rPr>
      </w:pPr>
      <w:r w:rsidRPr="00A33130">
        <w:rPr>
          <w:b/>
        </w:rPr>
        <w:t>AMENDMENTS TO INTERPRETATION 16</w:t>
      </w:r>
      <w:r w:rsidRPr="00A33130">
        <w:rPr>
          <w:b/>
        </w:rPr>
        <w:tab/>
        <w:t>33</w:t>
      </w:r>
    </w:p>
    <w:p w14:paraId="52EE0FE7" w14:textId="179E5639" w:rsidR="003A66C5" w:rsidRPr="00A33130" w:rsidRDefault="00A33130" w:rsidP="00D904B4">
      <w:pPr>
        <w:pStyle w:val="ContentsLevel1"/>
        <w:rPr>
          <w:b/>
        </w:rPr>
      </w:pPr>
      <w:r w:rsidRPr="00A33130">
        <w:rPr>
          <w:b/>
        </w:rPr>
        <w:lastRenderedPageBreak/>
        <w:t>AMENDMENTS TO INTERPRETATION 19</w:t>
      </w:r>
      <w:r w:rsidRPr="00A33130">
        <w:rPr>
          <w:b/>
        </w:rPr>
        <w:tab/>
      </w:r>
      <w:r w:rsidR="00334547">
        <w:rPr>
          <w:b/>
        </w:rPr>
        <w:t>33</w:t>
      </w:r>
    </w:p>
    <w:p w14:paraId="11E4E464" w14:textId="305E96EF" w:rsidR="003A66C5" w:rsidRPr="00A33130" w:rsidRDefault="00A33130" w:rsidP="003A66C5">
      <w:pPr>
        <w:pStyle w:val="ContentsLevel1"/>
        <w:rPr>
          <w:b/>
        </w:rPr>
      </w:pPr>
      <w:r w:rsidRPr="00A33130">
        <w:rPr>
          <w:b/>
        </w:rPr>
        <w:t>AMENDMENTS TO INTERPRETATION 20</w:t>
      </w:r>
      <w:r w:rsidRPr="00A33130">
        <w:rPr>
          <w:b/>
        </w:rPr>
        <w:tab/>
      </w:r>
      <w:r w:rsidR="00334547">
        <w:rPr>
          <w:b/>
        </w:rPr>
        <w:t>33</w:t>
      </w:r>
    </w:p>
    <w:p w14:paraId="151A9125" w14:textId="03681623" w:rsidR="003A66C5" w:rsidRPr="00A33130" w:rsidRDefault="00A33130" w:rsidP="00D904B4">
      <w:pPr>
        <w:pStyle w:val="ContentsLevel1"/>
        <w:rPr>
          <w:b/>
        </w:rPr>
      </w:pPr>
      <w:r w:rsidRPr="00A33130">
        <w:rPr>
          <w:b/>
        </w:rPr>
        <w:t>AMENDMENTS TO INTERPRETATION 22</w:t>
      </w:r>
      <w:r w:rsidRPr="00A33130">
        <w:rPr>
          <w:b/>
        </w:rPr>
        <w:tab/>
      </w:r>
      <w:r w:rsidR="00A725F9">
        <w:rPr>
          <w:b/>
        </w:rPr>
        <w:t>34</w:t>
      </w:r>
    </w:p>
    <w:p w14:paraId="373EF07D" w14:textId="4A89E9EC" w:rsidR="003A66C5" w:rsidRPr="00A33130" w:rsidRDefault="00A33130" w:rsidP="003A66C5">
      <w:pPr>
        <w:pStyle w:val="ContentsLevel1"/>
        <w:rPr>
          <w:b/>
        </w:rPr>
      </w:pPr>
      <w:r w:rsidRPr="00A33130">
        <w:rPr>
          <w:b/>
        </w:rPr>
        <w:t>AMENDMENTS TO INTERPRETATION 132</w:t>
      </w:r>
      <w:r w:rsidRPr="00A33130">
        <w:rPr>
          <w:b/>
        </w:rPr>
        <w:tab/>
        <w:t>34</w:t>
      </w:r>
    </w:p>
    <w:p w14:paraId="049CC028" w14:textId="01082C50" w:rsidR="003A66C5" w:rsidRPr="00A33130" w:rsidRDefault="00A33130" w:rsidP="003A66C5">
      <w:pPr>
        <w:pStyle w:val="ContentsLevel1"/>
        <w:rPr>
          <w:b/>
        </w:rPr>
      </w:pPr>
      <w:r w:rsidRPr="00A33130">
        <w:rPr>
          <w:b/>
        </w:rPr>
        <w:t>AMENDMENTS TO INTERPRETATION 1003</w:t>
      </w:r>
      <w:r w:rsidRPr="00A33130">
        <w:rPr>
          <w:b/>
        </w:rPr>
        <w:tab/>
        <w:t>35</w:t>
      </w:r>
    </w:p>
    <w:p w14:paraId="0C8482B8" w14:textId="3A12A3C7" w:rsidR="003A66C5" w:rsidRPr="00A33130" w:rsidRDefault="00A33130" w:rsidP="003A66C5">
      <w:pPr>
        <w:pStyle w:val="ContentsLevel1"/>
        <w:rPr>
          <w:b/>
        </w:rPr>
      </w:pPr>
      <w:r w:rsidRPr="00A33130">
        <w:rPr>
          <w:b/>
        </w:rPr>
        <w:t>AMENDMENTS TO INTERPRETATION 1019</w:t>
      </w:r>
      <w:r w:rsidRPr="00A33130">
        <w:rPr>
          <w:b/>
        </w:rPr>
        <w:tab/>
      </w:r>
      <w:r w:rsidR="00656C09">
        <w:rPr>
          <w:b/>
        </w:rPr>
        <w:t>35</w:t>
      </w:r>
    </w:p>
    <w:p w14:paraId="52978B8F" w14:textId="04336747" w:rsidR="003A66C5" w:rsidRPr="00A33130" w:rsidRDefault="00A33130" w:rsidP="003A66C5">
      <w:pPr>
        <w:pStyle w:val="ContentsLevel1"/>
        <w:rPr>
          <w:b/>
        </w:rPr>
      </w:pPr>
      <w:r w:rsidRPr="00A33130">
        <w:rPr>
          <w:b/>
        </w:rPr>
        <w:t>AMENDMENTS TO INTERPRETATION 1031</w:t>
      </w:r>
      <w:r w:rsidRPr="00A33130">
        <w:rPr>
          <w:b/>
        </w:rPr>
        <w:tab/>
        <w:t>36</w:t>
      </w:r>
    </w:p>
    <w:p w14:paraId="1AD1C811" w14:textId="636E8E6E" w:rsidR="003A66C5" w:rsidRPr="00A33130" w:rsidRDefault="00A33130" w:rsidP="003A66C5">
      <w:pPr>
        <w:pStyle w:val="ContentsLevel1"/>
        <w:rPr>
          <w:b/>
        </w:rPr>
      </w:pPr>
      <w:r w:rsidRPr="00A33130">
        <w:rPr>
          <w:b/>
        </w:rPr>
        <w:t>AMENDMENTS TO INTERPRETATION 1038</w:t>
      </w:r>
      <w:r w:rsidRPr="00A33130">
        <w:rPr>
          <w:b/>
        </w:rPr>
        <w:tab/>
        <w:t>37</w:t>
      </w:r>
    </w:p>
    <w:p w14:paraId="7CF4E2DA" w14:textId="37D11A94" w:rsidR="003A66C5" w:rsidRPr="00A33130" w:rsidRDefault="00A33130" w:rsidP="003A66C5">
      <w:pPr>
        <w:pStyle w:val="ContentsLevel1"/>
        <w:rPr>
          <w:b/>
        </w:rPr>
      </w:pPr>
      <w:r w:rsidRPr="00A33130">
        <w:rPr>
          <w:b/>
        </w:rPr>
        <w:t>AMENDMENTS TO INTERPRETATION 1047</w:t>
      </w:r>
      <w:r w:rsidRPr="00A33130">
        <w:rPr>
          <w:b/>
        </w:rPr>
        <w:tab/>
      </w:r>
      <w:r w:rsidR="00334547">
        <w:rPr>
          <w:b/>
        </w:rPr>
        <w:t>37</w:t>
      </w:r>
    </w:p>
    <w:p w14:paraId="59AFCB9E" w14:textId="7D13D136" w:rsidR="003A66C5" w:rsidRPr="00A33130" w:rsidRDefault="00A33130" w:rsidP="003A66C5">
      <w:pPr>
        <w:pStyle w:val="ContentsLevel1"/>
        <w:rPr>
          <w:b/>
        </w:rPr>
      </w:pPr>
      <w:r w:rsidRPr="00A33130">
        <w:rPr>
          <w:b/>
        </w:rPr>
        <w:t>AMENDMENTS TO INTERPRETATION 1052</w:t>
      </w:r>
      <w:r w:rsidRPr="00A33130">
        <w:rPr>
          <w:b/>
        </w:rPr>
        <w:tab/>
        <w:t>38</w:t>
      </w:r>
    </w:p>
    <w:p w14:paraId="48234124" w14:textId="6BD89559" w:rsidR="003A66C5" w:rsidRPr="00A33130" w:rsidRDefault="00A33130" w:rsidP="003A66C5">
      <w:pPr>
        <w:pStyle w:val="ContentsLevel1"/>
        <w:rPr>
          <w:b/>
        </w:rPr>
      </w:pPr>
      <w:r w:rsidRPr="00A33130">
        <w:rPr>
          <w:b/>
        </w:rPr>
        <w:t>AMENDMENTS TO AASB PRACTICE STATEMENT 2</w:t>
      </w:r>
      <w:r w:rsidRPr="00A33130">
        <w:rPr>
          <w:b/>
        </w:rPr>
        <w:tab/>
      </w:r>
      <w:r w:rsidR="001A2AB9">
        <w:rPr>
          <w:b/>
        </w:rPr>
        <w:t>38</w:t>
      </w:r>
    </w:p>
    <w:p w14:paraId="5E9D8F34" w14:textId="02890C65" w:rsidR="00352ADF" w:rsidRPr="00A33130" w:rsidRDefault="00A33130" w:rsidP="003A66C5">
      <w:pPr>
        <w:pStyle w:val="ContentsLevel1"/>
        <w:rPr>
          <w:b/>
        </w:rPr>
      </w:pPr>
      <w:r w:rsidRPr="00A33130">
        <w:rPr>
          <w:b/>
        </w:rPr>
        <w:t xml:space="preserve">COMMENCEMENT </w:t>
      </w:r>
      <w:r w:rsidR="00A13649">
        <w:rPr>
          <w:b/>
        </w:rPr>
        <w:t>OF THE LEGISLATIVE INSTRUMENT</w:t>
      </w:r>
      <w:r w:rsidR="00A13649">
        <w:rPr>
          <w:b/>
        </w:rPr>
        <w:tab/>
        <w:t>51</w:t>
      </w:r>
    </w:p>
    <w:p w14:paraId="3D42A3B7" w14:textId="77777777" w:rsidR="00A7196A" w:rsidRDefault="00A7196A" w:rsidP="003A66C5">
      <w:pPr>
        <w:pStyle w:val="ContentsLevel1"/>
        <w:rPr>
          <w:b/>
        </w:rPr>
      </w:pPr>
    </w:p>
    <w:p w14:paraId="575F55DE" w14:textId="43FEE35A" w:rsidR="00AD589A" w:rsidRPr="00A33130" w:rsidRDefault="00A33130" w:rsidP="003A66C5">
      <w:pPr>
        <w:pStyle w:val="ContentsLevel1"/>
        <w:rPr>
          <w:b/>
        </w:rPr>
      </w:pPr>
      <w:r>
        <w:rPr>
          <w:b/>
        </w:rPr>
        <w:t>APPENDIX</w:t>
      </w:r>
    </w:p>
    <w:p w14:paraId="461A441A" w14:textId="345399D7" w:rsidR="00C462B0" w:rsidRPr="00A33130" w:rsidRDefault="00A7196A" w:rsidP="003A66C5">
      <w:pPr>
        <w:pStyle w:val="ContentsLevel1"/>
        <w:rPr>
          <w:b/>
        </w:rPr>
      </w:pPr>
      <w:r w:rsidRPr="00A33130">
        <w:rPr>
          <w:b/>
        </w:rPr>
        <w:t xml:space="preserve">Early application </w:t>
      </w:r>
      <w:r w:rsidR="00A13649">
        <w:rPr>
          <w:b/>
        </w:rPr>
        <w:tab/>
        <w:t>52</w:t>
      </w:r>
    </w:p>
    <w:p w14:paraId="0B86ECA1" w14:textId="77777777" w:rsidR="004B6616" w:rsidRPr="00A33130" w:rsidRDefault="004B6616" w:rsidP="003A66C5">
      <w:pPr>
        <w:pStyle w:val="ContentsLevel1"/>
        <w:rPr>
          <w:b/>
        </w:rPr>
      </w:pPr>
    </w:p>
    <w:p w14:paraId="52309B34" w14:textId="68F4F402" w:rsidR="004B6616" w:rsidRPr="00A33130" w:rsidRDefault="00A33130" w:rsidP="003A66C5">
      <w:pPr>
        <w:pStyle w:val="ContentsLevel1"/>
        <w:rPr>
          <w:b/>
        </w:rPr>
      </w:pPr>
      <w:r w:rsidRPr="00A33130">
        <w:rPr>
          <w:b/>
        </w:rPr>
        <w:t>BASIS FOR CONCLUSIONS</w:t>
      </w:r>
    </w:p>
    <w:p w14:paraId="2DBEF501" w14:textId="17207615" w:rsidR="00090A6F" w:rsidRPr="0000292B" w:rsidRDefault="00090A6F">
      <w:bookmarkStart w:id="8" w:name="ContentsMarker"/>
      <w:bookmarkEnd w:id="8"/>
    </w:p>
    <w:bookmarkEnd w:id="7"/>
    <w:p w14:paraId="11C9FC69" w14:textId="4D4D40CC" w:rsidR="00090A6F" w:rsidRPr="0000292B" w:rsidRDefault="00090A6F">
      <w:pPr>
        <w:pStyle w:val="ContentsBox"/>
      </w:pPr>
      <w:r w:rsidRPr="0000292B">
        <w:t xml:space="preserve">Australian Accounting Standard AASB </w:t>
      </w:r>
      <w:r w:rsidR="00BC0D5D" w:rsidRPr="00BC0D5D">
        <w:rPr>
          <w:iCs/>
        </w:rPr>
        <w:fldChar w:fldCharType="begin"/>
      </w:r>
      <w:r w:rsidR="00BC0D5D" w:rsidRPr="00BC0D5D">
        <w:rPr>
          <w:iCs/>
        </w:rPr>
        <w:instrText xml:space="preserve"> REF </w:instrText>
      </w:r>
      <w:r w:rsidR="009C2479">
        <w:rPr>
          <w:iCs/>
        </w:rPr>
        <w:instrText>Doc</w:instrText>
      </w:r>
      <w:r w:rsidR="00BC0D5D" w:rsidRPr="00BC0D5D">
        <w:rPr>
          <w:iCs/>
        </w:rPr>
        <w:instrText xml:space="preserve">No \* charformat </w:instrText>
      </w:r>
      <w:r w:rsidR="00BC0D5D" w:rsidRPr="00BC0D5D">
        <w:rPr>
          <w:iCs/>
        </w:rPr>
        <w:fldChar w:fldCharType="separate"/>
      </w:r>
      <w:r w:rsidR="00790224" w:rsidRPr="00790224">
        <w:rPr>
          <w:iCs/>
        </w:rPr>
        <w:t>2019-1</w:t>
      </w:r>
      <w:r w:rsidR="00BC0D5D" w:rsidRPr="00BC0D5D">
        <w:rPr>
          <w:iCs/>
        </w:rPr>
        <w:fldChar w:fldCharType="end"/>
      </w:r>
      <w:r w:rsidRPr="0000292B">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3A66C5" w:rsidRPr="003A66C5">
        <w:rPr>
          <w:i/>
        </w:rPr>
        <w:t>Amendments to Australian Accounting Standards – References to the Conceptual Framework</w:t>
      </w:r>
      <w:r w:rsidR="00CC1DF4" w:rsidRPr="00CC1DF4">
        <w:rPr>
          <w:i/>
        </w:rPr>
        <w:fldChar w:fldCharType="end"/>
      </w:r>
      <w:r w:rsidRPr="0000292B">
        <w:rPr>
          <w:i/>
          <w:iCs/>
        </w:rPr>
        <w:t xml:space="preserve"> </w:t>
      </w:r>
      <w:r w:rsidRPr="0000292B">
        <w:t xml:space="preserve">is set out </w:t>
      </w:r>
      <w:r w:rsidR="008B3826">
        <w:t>on</w:t>
      </w:r>
      <w:r w:rsidRPr="0000292B">
        <w:t xml:space="preserve"> </w:t>
      </w:r>
      <w:r w:rsidR="008B3826">
        <w:t>pages</w:t>
      </w:r>
      <w:r w:rsidR="002256E9">
        <w:t xml:space="preserve"> </w:t>
      </w:r>
      <w:r w:rsidR="0003609B">
        <w:t>6</w:t>
      </w:r>
      <w:r w:rsidR="002256E9">
        <w:t xml:space="preserve"> </w:t>
      </w:r>
      <w:r w:rsidR="0068345C">
        <w:t>–</w:t>
      </w:r>
      <w:r w:rsidR="0003609B">
        <w:t xml:space="preserve"> 5</w:t>
      </w:r>
      <w:r w:rsidR="00A13649">
        <w:t>3</w:t>
      </w:r>
      <w:r w:rsidRPr="0000292B">
        <w:t xml:space="preserve">. </w:t>
      </w:r>
      <w:r w:rsidR="002256E9">
        <w:t xml:space="preserve"> </w:t>
      </w:r>
      <w:r w:rsidRPr="0000292B">
        <w:t xml:space="preserve">All the </w:t>
      </w:r>
      <w:r w:rsidR="0068345C">
        <w:t>paragraphs</w:t>
      </w:r>
      <w:r w:rsidR="002256E9">
        <w:t xml:space="preserve"> </w:t>
      </w:r>
      <w:r w:rsidR="009C2479">
        <w:t>have equal authority.</w:t>
      </w:r>
    </w:p>
    <w:p w14:paraId="0CE501D8" w14:textId="77777777" w:rsidR="00090A6F" w:rsidRPr="0000292B" w:rsidRDefault="00090A6F">
      <w:pPr>
        <w:pStyle w:val="ContentsBox"/>
        <w:pBdr>
          <w:top w:val="none" w:sz="0" w:space="0" w:color="auto"/>
          <w:left w:val="none" w:sz="0" w:space="0" w:color="auto"/>
          <w:bottom w:val="none" w:sz="0" w:space="0" w:color="auto"/>
          <w:right w:val="none" w:sz="0" w:space="0" w:color="auto"/>
        </w:pBdr>
      </w:pPr>
    </w:p>
    <w:p w14:paraId="488469B3" w14:textId="77777777" w:rsidR="00090A6F" w:rsidRPr="0000292B" w:rsidRDefault="00090A6F">
      <w:pPr>
        <w:sectPr w:rsidR="00090A6F" w:rsidRPr="0000292B" w:rsidSect="00D74C6A">
          <w:footerReference w:type="default" r:id="rId17"/>
          <w:pgSz w:w="11907" w:h="16840" w:code="9"/>
          <w:pgMar w:top="1418" w:right="1418" w:bottom="1418" w:left="1418" w:header="709" w:footer="709" w:gutter="0"/>
          <w:paperSrc w:first="7" w:other="7"/>
          <w:cols w:space="720"/>
        </w:sectPr>
      </w:pPr>
    </w:p>
    <w:p w14:paraId="1AD7D4A4" w14:textId="77777777" w:rsidR="00090A6F" w:rsidRPr="0000292B" w:rsidRDefault="00090A6F">
      <w:pPr>
        <w:pStyle w:val="Heading1"/>
      </w:pPr>
      <w:r w:rsidRPr="0000292B">
        <w:lastRenderedPageBreak/>
        <w:t>Preface</w:t>
      </w:r>
    </w:p>
    <w:p w14:paraId="65055E89" w14:textId="080E7AAB" w:rsidR="000F64CC" w:rsidRPr="0000292B" w:rsidRDefault="00CA61C5">
      <w:pPr>
        <w:pStyle w:val="Heading2"/>
      </w:pPr>
      <w:r>
        <w:t xml:space="preserve">Standards amended by AASB </w:t>
      </w:r>
      <w:r>
        <w:fldChar w:fldCharType="begin"/>
      </w:r>
      <w:r>
        <w:instrText xml:space="preserve"> REF DocNo \* charformat</w:instrText>
      </w:r>
      <w:r>
        <w:fldChar w:fldCharType="separate"/>
      </w:r>
      <w:r w:rsidR="00790224">
        <w:t>2019-1</w:t>
      </w:r>
      <w:r>
        <w:fldChar w:fldCharType="end"/>
      </w:r>
    </w:p>
    <w:p w14:paraId="1A088823" w14:textId="02A65F30" w:rsidR="00413C36" w:rsidRDefault="00413C36" w:rsidP="00413C36">
      <w:pPr>
        <w:pStyle w:val="NoNumPlain1"/>
      </w:pPr>
      <w:r>
        <w:t>This Standard makes amendments to the Australian Accounting Standards, I</w:t>
      </w:r>
      <w:r w:rsidRPr="00DD1997">
        <w:t>nterpretations</w:t>
      </w:r>
      <w:r>
        <w:t xml:space="preserve"> </w:t>
      </w:r>
      <w:r w:rsidR="00FC15E7">
        <w:t xml:space="preserve">and other pronouncements </w:t>
      </w:r>
      <w:r>
        <w:t xml:space="preserve">listed </w:t>
      </w:r>
      <w:r w:rsidR="00FC15E7">
        <w:t xml:space="preserve">on pages </w:t>
      </w:r>
      <w:r w:rsidR="00FC15E7">
        <w:fldChar w:fldCharType="begin"/>
      </w:r>
      <w:r w:rsidR="00FC15E7">
        <w:instrText xml:space="preserve"> PAGEREF _Ref528608690 \h </w:instrText>
      </w:r>
      <w:r w:rsidR="00FC15E7">
        <w:fldChar w:fldCharType="separate"/>
      </w:r>
      <w:r w:rsidR="00790224">
        <w:rPr>
          <w:noProof/>
        </w:rPr>
        <w:t>6</w:t>
      </w:r>
      <w:r w:rsidR="00FC15E7">
        <w:fldChar w:fldCharType="end"/>
      </w:r>
      <w:r w:rsidR="00FC15E7">
        <w:t xml:space="preserve"> to </w:t>
      </w:r>
      <w:r w:rsidR="00FC15E7">
        <w:fldChar w:fldCharType="begin"/>
      </w:r>
      <w:r w:rsidR="00FC15E7">
        <w:instrText xml:space="preserve"> PAGEREF _Ref528608700 \h </w:instrText>
      </w:r>
      <w:r w:rsidR="00FC15E7">
        <w:fldChar w:fldCharType="separate"/>
      </w:r>
      <w:r w:rsidR="00790224">
        <w:rPr>
          <w:noProof/>
        </w:rPr>
        <w:t>7</w:t>
      </w:r>
      <w:r w:rsidR="00FC15E7">
        <w:fldChar w:fldCharType="end"/>
      </w:r>
      <w:r w:rsidR="002256E9">
        <w:t xml:space="preserve"> </w:t>
      </w:r>
      <w:r>
        <w:t>of the Standard.</w:t>
      </w:r>
    </w:p>
    <w:p w14:paraId="545B5C70" w14:textId="77777777" w:rsidR="008A16EB" w:rsidRDefault="00413C36" w:rsidP="00413C36">
      <w:pPr>
        <w:pStyle w:val="NoNumPlain1"/>
      </w:pPr>
      <w:r>
        <w:t xml:space="preserve">These amendments arise from the issuance of </w:t>
      </w:r>
      <w:bookmarkStart w:id="9" w:name="ArisingTitle"/>
      <w:r w:rsidRPr="00DD1997">
        <w:t>the</w:t>
      </w:r>
      <w:r w:rsidRPr="003A66C5">
        <w:rPr>
          <w:i/>
        </w:rPr>
        <w:t xml:space="preserve"> Conceptual Framework</w:t>
      </w:r>
      <w:bookmarkEnd w:id="9"/>
      <w:r>
        <w:rPr>
          <w:i/>
        </w:rPr>
        <w:t xml:space="preserve"> for Financial Reporting</w:t>
      </w:r>
      <w:r>
        <w:t xml:space="preserve"> </w:t>
      </w:r>
      <w:r w:rsidR="00962B89">
        <w:t xml:space="preserve">and the International Financial Reporting Standard </w:t>
      </w:r>
      <w:r w:rsidR="00962B89" w:rsidRPr="00962B89">
        <w:rPr>
          <w:i/>
        </w:rPr>
        <w:t>Amendments to References to the Conceptual Framework in IFRS Standards</w:t>
      </w:r>
      <w:r w:rsidR="00962B89">
        <w:t xml:space="preserve"> </w:t>
      </w:r>
      <w:r>
        <w:t>by the International Accounting Standards Board (IASB) in March 2018.</w:t>
      </w:r>
    </w:p>
    <w:p w14:paraId="4FF61798" w14:textId="77777777" w:rsidR="00090A6F" w:rsidRDefault="00F22AF2" w:rsidP="00F22AF2">
      <w:pPr>
        <w:pStyle w:val="Heading2"/>
      </w:pPr>
      <w:r>
        <w:t>Main features of this Standard</w:t>
      </w:r>
    </w:p>
    <w:p w14:paraId="2EF3F311" w14:textId="77777777" w:rsidR="00F22AF2" w:rsidRDefault="00F22AF2" w:rsidP="00F22AF2">
      <w:pPr>
        <w:pStyle w:val="Heading2Indent1"/>
      </w:pPr>
      <w:r>
        <w:t>Main requirements</w:t>
      </w:r>
    </w:p>
    <w:p w14:paraId="5FC0ACA3" w14:textId="77777777" w:rsidR="00413C36" w:rsidRDefault="00413C36" w:rsidP="00413C36">
      <w:pPr>
        <w:pStyle w:val="NoNumPlain1"/>
      </w:pPr>
      <w:r>
        <w:t xml:space="preserve">This Standard </w:t>
      </w:r>
      <w:r w:rsidRPr="00D22884">
        <w:t>sets out amendments to</w:t>
      </w:r>
      <w:r>
        <w:t xml:space="preserve"> Australian Accounting </w:t>
      </w:r>
      <w:r w:rsidRPr="00D22884">
        <w:t>Standards</w:t>
      </w:r>
      <w:r>
        <w:t>, Interpretations</w:t>
      </w:r>
      <w:r w:rsidRPr="00D22884">
        <w:t xml:space="preserve"> </w:t>
      </w:r>
      <w:r w:rsidR="000D0B17">
        <w:t xml:space="preserve">and other pronouncements </w:t>
      </w:r>
      <w:r w:rsidRPr="00D22884">
        <w:t>to reflect the issu</w:t>
      </w:r>
      <w:r w:rsidR="002E03F5">
        <w:t>anc</w:t>
      </w:r>
      <w:r w:rsidRPr="00D22884">
        <w:t xml:space="preserve">e of the </w:t>
      </w:r>
      <w:r w:rsidRPr="00D22884">
        <w:rPr>
          <w:i/>
        </w:rPr>
        <w:t>Conceptual Framework for Financial Reporting</w:t>
      </w:r>
      <w:r>
        <w:t xml:space="preserve"> (</w:t>
      </w:r>
      <w:r>
        <w:rPr>
          <w:i/>
        </w:rPr>
        <w:t>Conceptual Framework</w:t>
      </w:r>
      <w:r w:rsidRPr="00D22884">
        <w:t>)</w:t>
      </w:r>
      <w:r w:rsidR="002E03F5">
        <w:t xml:space="preserve"> by the AASB</w:t>
      </w:r>
      <w:r w:rsidRPr="00D22884">
        <w:t>.</w:t>
      </w:r>
    </w:p>
    <w:p w14:paraId="7DABE4C5" w14:textId="25A40042" w:rsidR="00A71227" w:rsidRDefault="000D13B8" w:rsidP="00413C36">
      <w:pPr>
        <w:pStyle w:val="NoNumPlain1"/>
      </w:pPr>
      <w:r>
        <w:t xml:space="preserve">The </w:t>
      </w:r>
      <w:r w:rsidR="00AE799F">
        <w:t xml:space="preserve">application of the </w:t>
      </w:r>
      <w:r w:rsidR="00AE799F" w:rsidRPr="000D13B8">
        <w:rPr>
          <w:i/>
        </w:rPr>
        <w:t>Conceptual Framework</w:t>
      </w:r>
      <w:r w:rsidR="00AE799F">
        <w:t xml:space="preserve"> </w:t>
      </w:r>
      <w:r>
        <w:t xml:space="preserve">is at present limited </w:t>
      </w:r>
      <w:r w:rsidR="00A71227">
        <w:t>to:</w:t>
      </w:r>
    </w:p>
    <w:p w14:paraId="46744790" w14:textId="7C2FF983" w:rsidR="00A71227" w:rsidRPr="00B743EA" w:rsidRDefault="00A71227" w:rsidP="00A7196A">
      <w:pPr>
        <w:pStyle w:val="NumPlainA"/>
      </w:pPr>
      <w:r w:rsidRPr="00B743EA">
        <w:t>for-profit private sector entities that have public accountability and are required by legislation to comply with Australian Accounting Standards; and</w:t>
      </w:r>
    </w:p>
    <w:p w14:paraId="75EA2BA9" w14:textId="7DD9EFCB" w:rsidR="00A71227" w:rsidRPr="00B743EA" w:rsidRDefault="005D50DF" w:rsidP="00A7196A">
      <w:pPr>
        <w:pStyle w:val="NumPlainA"/>
      </w:pPr>
      <w:r>
        <w:t xml:space="preserve">other </w:t>
      </w:r>
      <w:r w:rsidR="00A71227" w:rsidRPr="00B743EA">
        <w:t xml:space="preserve">for-profit entities that voluntarily </w:t>
      </w:r>
      <w:r>
        <w:t xml:space="preserve">elect </w:t>
      </w:r>
      <w:r w:rsidR="00A71227" w:rsidRPr="00B743EA">
        <w:t xml:space="preserve">to </w:t>
      </w:r>
      <w:r>
        <w:t xml:space="preserve">apply the </w:t>
      </w:r>
      <w:r w:rsidRPr="005D50DF">
        <w:rPr>
          <w:i/>
        </w:rPr>
        <w:t>Conceptual Framework</w:t>
      </w:r>
      <w:r w:rsidR="000D13B8">
        <w:rPr>
          <w:i/>
        </w:rPr>
        <w:t>,</w:t>
      </w:r>
      <w:r>
        <w:t xml:space="preserve"> </w:t>
      </w:r>
      <w:r w:rsidR="000D13B8">
        <w:t xml:space="preserve">which would permit compliance </w:t>
      </w:r>
      <w:r>
        <w:t xml:space="preserve">with </w:t>
      </w:r>
      <w:r w:rsidR="00AE799F" w:rsidRPr="00B743EA">
        <w:t xml:space="preserve">Australian Accounting Standards </w:t>
      </w:r>
      <w:r>
        <w:t xml:space="preserve">(Tier 1) </w:t>
      </w:r>
      <w:r w:rsidR="00AE799F" w:rsidRPr="00B743EA">
        <w:t xml:space="preserve">and </w:t>
      </w:r>
      <w:r w:rsidR="00A71227" w:rsidRPr="00B743EA">
        <w:t>International Financial Rep</w:t>
      </w:r>
      <w:r w:rsidR="00AE799F" w:rsidRPr="00B743EA">
        <w:t>orting Standards (IFRS</w:t>
      </w:r>
      <w:r w:rsidR="00BF36CE">
        <w:t xml:space="preserve"> Standards</w:t>
      </w:r>
      <w:r w:rsidR="00AE799F" w:rsidRPr="00B743EA">
        <w:t>).</w:t>
      </w:r>
      <w:r w:rsidR="00A71227" w:rsidRPr="00B743EA">
        <w:t xml:space="preserve"> </w:t>
      </w:r>
    </w:p>
    <w:p w14:paraId="3399F61F" w14:textId="7479AA3A" w:rsidR="00AE799F" w:rsidRDefault="00AE799F" w:rsidP="00413C36">
      <w:pPr>
        <w:pStyle w:val="NoNumPlain1"/>
      </w:pPr>
      <w:r>
        <w:t xml:space="preserve">This Standard makes amendments to Australian Accounting </w:t>
      </w:r>
      <w:r w:rsidRPr="00D22884">
        <w:t>Standards</w:t>
      </w:r>
      <w:r>
        <w:t>, Interpretations</w:t>
      </w:r>
      <w:r w:rsidRPr="00D22884">
        <w:t xml:space="preserve"> </w:t>
      </w:r>
      <w:r>
        <w:t xml:space="preserve">and other pronouncements to permit other entities to continue using the </w:t>
      </w:r>
      <w:r w:rsidRPr="00D22884">
        <w:rPr>
          <w:i/>
        </w:rPr>
        <w:t>Framework for the Preparation and Presentation of Financial Statements</w:t>
      </w:r>
      <w:r w:rsidRPr="00D22884">
        <w:t xml:space="preserve"> adopted by the </w:t>
      </w:r>
      <w:r>
        <w:t>AASB</w:t>
      </w:r>
      <w:r w:rsidRPr="00D22884">
        <w:t xml:space="preserve"> in 200</w:t>
      </w:r>
      <w:r>
        <w:t>4</w:t>
      </w:r>
      <w:r w:rsidRPr="00D22884">
        <w:t xml:space="preserve"> (</w:t>
      </w:r>
      <w:r w:rsidRPr="002E03F5">
        <w:rPr>
          <w:i/>
        </w:rPr>
        <w:t>Framework</w:t>
      </w:r>
      <w:r w:rsidRPr="00D22884">
        <w:t>)</w:t>
      </w:r>
      <w:r>
        <w:t xml:space="preserve"> and </w:t>
      </w:r>
      <w:r w:rsidRPr="00636941">
        <w:t xml:space="preserve">Statement of Accounting Concepts SAC 1 </w:t>
      </w:r>
      <w:r w:rsidRPr="00636941">
        <w:rPr>
          <w:i/>
        </w:rPr>
        <w:t>Definition of the Reporting Entity</w:t>
      </w:r>
      <w:r>
        <w:rPr>
          <w:i/>
        </w:rPr>
        <w:t xml:space="preserve"> </w:t>
      </w:r>
      <w:r>
        <w:t xml:space="preserve">to determine </w:t>
      </w:r>
      <w:r w:rsidR="001B297B">
        <w:t xml:space="preserve">whether </w:t>
      </w:r>
      <w:r>
        <w:t>they are a reporting entity that needs to prepare general purpose financial statements that comply with Australian Accounting Standards</w:t>
      </w:r>
      <w:r w:rsidRPr="00D22884">
        <w:t>.</w:t>
      </w:r>
    </w:p>
    <w:p w14:paraId="3483C354" w14:textId="5E8963B5" w:rsidR="00D22884" w:rsidRDefault="00413C36" w:rsidP="00413C36">
      <w:pPr>
        <w:pStyle w:val="NoNumPlain1"/>
      </w:pPr>
      <w:r>
        <w:t>Some Australian Accounting Standards, Interpreta</w:t>
      </w:r>
      <w:r w:rsidRPr="00D22884">
        <w:t>t</w:t>
      </w:r>
      <w:r>
        <w:t>ions</w:t>
      </w:r>
      <w:r w:rsidR="002256E9">
        <w:t xml:space="preserve"> and other pronouncements </w:t>
      </w:r>
      <w:r w:rsidRPr="00D22884">
        <w:t>contain</w:t>
      </w:r>
      <w:r>
        <w:t xml:space="preserve"> </w:t>
      </w:r>
      <w:r w:rsidRPr="00D22884">
        <w:t xml:space="preserve">references to, or quotations from, the </w:t>
      </w:r>
      <w:r w:rsidRPr="00D22884">
        <w:rPr>
          <w:i/>
        </w:rPr>
        <w:t>Framework</w:t>
      </w:r>
      <w:r w:rsidRPr="00D22884">
        <w:t xml:space="preserve">. </w:t>
      </w:r>
      <w:r>
        <w:t xml:space="preserve"> This Standard </w:t>
      </w:r>
      <w:r w:rsidRPr="00D22884">
        <w:t xml:space="preserve">updates some of those references and quotations so that they refer to the </w:t>
      </w:r>
      <w:r w:rsidRPr="00D22884">
        <w:rPr>
          <w:i/>
        </w:rPr>
        <w:t>Conceptual Framework</w:t>
      </w:r>
      <w:r w:rsidRPr="00D22884">
        <w:t xml:space="preserve">, and makes other amendments to clarify which </w:t>
      </w:r>
      <w:r w:rsidR="002E03F5">
        <w:t xml:space="preserve">version of the </w:t>
      </w:r>
      <w:r w:rsidRPr="00D22884">
        <w:t>conceptual framework is referred to in particular</w:t>
      </w:r>
      <w:r w:rsidR="007E7213">
        <w:t xml:space="preserve"> pronouncements</w:t>
      </w:r>
      <w:r w:rsidRPr="00D22884">
        <w:t>.</w:t>
      </w:r>
    </w:p>
    <w:p w14:paraId="3DE92C9B" w14:textId="16026B59" w:rsidR="00636941" w:rsidRPr="00636941" w:rsidRDefault="00636941" w:rsidP="00413C36">
      <w:pPr>
        <w:pStyle w:val="NoNumPlain1"/>
      </w:pPr>
      <w:r w:rsidRPr="00636941">
        <w:t xml:space="preserve">If an entity is required to apply the </w:t>
      </w:r>
      <w:r w:rsidRPr="00636941">
        <w:rPr>
          <w:i/>
        </w:rPr>
        <w:t>Conceptual Framework</w:t>
      </w:r>
      <w:r w:rsidRPr="00636941">
        <w:t xml:space="preserve">, it cannot identify as a non-reporting entity </w:t>
      </w:r>
      <w:r w:rsidR="002E03F5">
        <w:t>under</w:t>
      </w:r>
      <w:r w:rsidRPr="00636941">
        <w:t xml:space="preserve"> SAC 1.  </w:t>
      </w:r>
      <w:r w:rsidR="000D0B17">
        <w:t>The entity</w:t>
      </w:r>
      <w:r w:rsidRPr="00636941">
        <w:t xml:space="preserve"> will therefore need to prepare </w:t>
      </w:r>
      <w:r w:rsidR="002E03F5" w:rsidRPr="00636941">
        <w:t>general purpose financial statements</w:t>
      </w:r>
      <w:r w:rsidR="002E03F5">
        <w:t xml:space="preserve"> that comply with Australian Accounting Standards.</w:t>
      </w:r>
    </w:p>
    <w:p w14:paraId="35610DE7" w14:textId="77777777" w:rsidR="00F22AF2" w:rsidRDefault="00F22AF2" w:rsidP="00D22884">
      <w:pPr>
        <w:pStyle w:val="Heading2Indent1"/>
      </w:pPr>
      <w:r>
        <w:t>Application date</w:t>
      </w:r>
    </w:p>
    <w:p w14:paraId="675F175B" w14:textId="77777777" w:rsidR="00F22AF2" w:rsidRPr="00F22AF2" w:rsidRDefault="00B16904" w:rsidP="00F22AF2">
      <w:pPr>
        <w:pStyle w:val="NoNumPlain1"/>
      </w:pPr>
      <w:r>
        <w:t xml:space="preserve">This Standard applies to annual periods </w:t>
      </w:r>
      <w:bookmarkStart w:id="10" w:name="ApplyText"/>
      <w:r>
        <w:t>beginning</w:t>
      </w:r>
      <w:bookmarkEnd w:id="10"/>
      <w:r>
        <w:t xml:space="preserve"> on or after</w:t>
      </w:r>
      <w:r w:rsidR="00867FB0">
        <w:t xml:space="preserve"> </w:t>
      </w:r>
      <w:bookmarkStart w:id="11" w:name="ApplyDate"/>
      <w:r w:rsidR="003A66C5">
        <w:t>1 January 2020</w:t>
      </w:r>
      <w:bookmarkEnd w:id="11"/>
      <w:r>
        <w:t>.  Earlier application is permitted.</w:t>
      </w:r>
    </w:p>
    <w:p w14:paraId="460FDFFD" w14:textId="77777777" w:rsidR="00F22AF2" w:rsidRPr="0000292B" w:rsidRDefault="00F22AF2"/>
    <w:p w14:paraId="6A10D642" w14:textId="77777777" w:rsidR="00090A6F" w:rsidRPr="0000292B" w:rsidRDefault="00090A6F">
      <w:pPr>
        <w:sectPr w:rsidR="00090A6F" w:rsidRPr="0000292B" w:rsidSect="00D74C6A">
          <w:footerReference w:type="default" r:id="rId18"/>
          <w:pgSz w:w="11907" w:h="16840" w:code="9"/>
          <w:pgMar w:top="1418" w:right="1418" w:bottom="1418" w:left="1418" w:header="709" w:footer="709" w:gutter="0"/>
          <w:paperSrc w:first="7" w:other="7"/>
          <w:cols w:space="720"/>
        </w:sectPr>
      </w:pPr>
    </w:p>
    <w:p w14:paraId="22F88AA7" w14:textId="5B57B8D0" w:rsidR="001662B8" w:rsidRPr="0000292B" w:rsidRDefault="00F13C5A" w:rsidP="001662B8">
      <w:pPr>
        <w:pStyle w:val="Heading1"/>
      </w:pPr>
      <w:r w:rsidRPr="0000292B">
        <w:t xml:space="preserve">Accounting Standard </w:t>
      </w:r>
      <w:r w:rsidR="001662B8" w:rsidRPr="0000292B">
        <w:t xml:space="preserve">AASB </w:t>
      </w:r>
      <w:r w:rsidR="001662B8" w:rsidRPr="00BC0D5D">
        <w:rPr>
          <w:iCs/>
        </w:rPr>
        <w:fldChar w:fldCharType="begin"/>
      </w:r>
      <w:r w:rsidR="001662B8" w:rsidRPr="00BC0D5D">
        <w:rPr>
          <w:iCs/>
        </w:rPr>
        <w:instrText xml:space="preserve"> REF </w:instrText>
      </w:r>
      <w:r w:rsidR="001662B8">
        <w:rPr>
          <w:iCs/>
        </w:rPr>
        <w:instrText>Doc</w:instrText>
      </w:r>
      <w:r w:rsidR="001662B8" w:rsidRPr="00BC0D5D">
        <w:rPr>
          <w:iCs/>
        </w:rPr>
        <w:instrText xml:space="preserve">No \* charformat </w:instrText>
      </w:r>
      <w:r w:rsidR="001662B8" w:rsidRPr="00BC0D5D">
        <w:rPr>
          <w:iCs/>
        </w:rPr>
        <w:fldChar w:fldCharType="separate"/>
      </w:r>
      <w:r w:rsidR="00790224" w:rsidRPr="00790224">
        <w:rPr>
          <w:iCs/>
        </w:rPr>
        <w:t>2019-1</w:t>
      </w:r>
      <w:r w:rsidR="001662B8" w:rsidRPr="00BC0D5D">
        <w:rPr>
          <w:iCs/>
        </w:rPr>
        <w:fldChar w:fldCharType="end"/>
      </w:r>
    </w:p>
    <w:p w14:paraId="33EBF8FE" w14:textId="100000F5" w:rsidR="001662B8" w:rsidRDefault="001662B8" w:rsidP="003E1900">
      <w:pPr>
        <w:pStyle w:val="NoNumPlain1"/>
      </w:pPr>
      <w:r>
        <w:t>The Australian Accounting Standards Board makes Accounting Standard AASB </w:t>
      </w:r>
      <w:r w:rsidR="00790224">
        <w:fldChar w:fldCharType="begin"/>
      </w:r>
      <w:r w:rsidR="00790224">
        <w:instrText xml:space="preserve"> REF DocNo  \* charformat </w:instrText>
      </w:r>
      <w:r w:rsidR="00790224">
        <w:fldChar w:fldCharType="separate"/>
      </w:r>
      <w:r w:rsidR="00790224">
        <w:t>2019-1</w:t>
      </w:r>
      <w:r w:rsidR="00790224">
        <w:fldChar w:fldCharType="end"/>
      </w:r>
      <w:r>
        <w:t xml:space="preserve"> </w:t>
      </w:r>
      <w:r w:rsidR="00CC1DF4" w:rsidRPr="00CC1DF4">
        <w:rPr>
          <w:i/>
        </w:rPr>
        <w:fldChar w:fldCharType="begin" w:fldLock="1"/>
      </w:r>
      <w:r w:rsidR="00CC1DF4" w:rsidRPr="00CC1DF4">
        <w:rPr>
          <w:i/>
        </w:rPr>
        <w:instrText xml:space="preserve"> REF DocTitle \* charformat </w:instrText>
      </w:r>
      <w:r w:rsidR="00CC1DF4" w:rsidRPr="00CC1DF4">
        <w:rPr>
          <w:i/>
        </w:rPr>
        <w:fldChar w:fldCharType="separate"/>
      </w:r>
      <w:r w:rsidR="003A66C5" w:rsidRPr="003A66C5">
        <w:rPr>
          <w:i/>
        </w:rPr>
        <w:t>Amendments to Australian Accounting Standards – References to the Conceptual Framework</w:t>
      </w:r>
      <w:r w:rsidR="00CC1DF4" w:rsidRPr="00CC1DF4">
        <w:rPr>
          <w:i/>
        </w:rPr>
        <w:fldChar w:fldCharType="end"/>
      </w:r>
      <w:bookmarkStart w:id="12" w:name="CorpsAct"/>
      <w:r w:rsidR="002B7803">
        <w:rPr>
          <w:i/>
          <w:iCs/>
        </w:rPr>
        <w:t xml:space="preserve"> </w:t>
      </w:r>
      <w:r>
        <w:t xml:space="preserve">under section 334 of the </w:t>
      </w:r>
      <w:r>
        <w:rPr>
          <w:i/>
          <w:iCs/>
        </w:rPr>
        <w:t>Corporations Act 2001</w:t>
      </w:r>
      <w:bookmarkEnd w:id="12"/>
      <w:r>
        <w:t>.</w:t>
      </w:r>
    </w:p>
    <w:tbl>
      <w:tblPr>
        <w:tblW w:w="9322" w:type="dxa"/>
        <w:tblInd w:w="-113"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961"/>
      </w:tblGrid>
      <w:tr w:rsidR="00C03C7B" w14:paraId="42090E8A" w14:textId="77777777" w:rsidTr="006D3CFA">
        <w:tc>
          <w:tcPr>
            <w:tcW w:w="4361" w:type="dxa"/>
          </w:tcPr>
          <w:p w14:paraId="7EBBF752" w14:textId="77777777" w:rsidR="00C03C7B" w:rsidRDefault="00C03C7B" w:rsidP="0048155F"/>
        </w:tc>
        <w:tc>
          <w:tcPr>
            <w:tcW w:w="4961" w:type="dxa"/>
          </w:tcPr>
          <w:p w14:paraId="0C0BF6D5" w14:textId="77777777" w:rsidR="00C03C7B" w:rsidRDefault="008F3EBA" w:rsidP="0048155F">
            <w:pPr>
              <w:jc w:val="right"/>
            </w:pPr>
            <w:r>
              <w:t>Kris Peach</w:t>
            </w:r>
          </w:p>
        </w:tc>
      </w:tr>
      <w:tr w:rsidR="00C03C7B" w14:paraId="5CC033CE" w14:textId="77777777" w:rsidTr="006D3CFA">
        <w:tc>
          <w:tcPr>
            <w:tcW w:w="4361" w:type="dxa"/>
          </w:tcPr>
          <w:p w14:paraId="707F90B5" w14:textId="25E2D414" w:rsidR="00C03C7B" w:rsidRDefault="00C03C7B" w:rsidP="00976E48">
            <w:r>
              <w:t xml:space="preserve">Dated </w:t>
            </w:r>
            <w:bookmarkStart w:id="13" w:name="DateSigned"/>
            <w:r w:rsidR="00976E48">
              <w:t>21 May 2019</w:t>
            </w:r>
            <w:bookmarkEnd w:id="13"/>
          </w:p>
        </w:tc>
        <w:tc>
          <w:tcPr>
            <w:tcW w:w="4961" w:type="dxa"/>
          </w:tcPr>
          <w:p w14:paraId="68DF6204" w14:textId="77777777" w:rsidR="00C03C7B" w:rsidRDefault="00C03C7B" w:rsidP="0048155F">
            <w:pPr>
              <w:jc w:val="right"/>
            </w:pPr>
            <w:r>
              <w:t>Chair – AASB</w:t>
            </w:r>
          </w:p>
        </w:tc>
      </w:tr>
    </w:tbl>
    <w:p w14:paraId="54904572" w14:textId="3E4472CE" w:rsidR="00090A6F" w:rsidRPr="0000292B" w:rsidRDefault="00F13C5A" w:rsidP="00867FB0">
      <w:pPr>
        <w:pStyle w:val="Heading1"/>
        <w:spacing w:after="0"/>
      </w:pPr>
      <w:r w:rsidRPr="0000292B">
        <w:t xml:space="preserve">Accounting Standard </w:t>
      </w:r>
      <w:r w:rsidR="00090A6F" w:rsidRPr="0000292B">
        <w:t xml:space="preserve">AASB </w:t>
      </w:r>
      <w:r w:rsidR="00BC0D5D" w:rsidRPr="00BC0D5D">
        <w:rPr>
          <w:iCs/>
        </w:rPr>
        <w:fldChar w:fldCharType="begin"/>
      </w:r>
      <w:r w:rsidR="00BC0D5D" w:rsidRPr="00BC0D5D">
        <w:rPr>
          <w:iCs/>
        </w:rPr>
        <w:instrText xml:space="preserve"> REF </w:instrText>
      </w:r>
      <w:r w:rsidR="001662B8">
        <w:rPr>
          <w:iCs/>
        </w:rPr>
        <w:instrText>Doc</w:instrText>
      </w:r>
      <w:r w:rsidR="00BC0D5D" w:rsidRPr="00BC0D5D">
        <w:rPr>
          <w:iCs/>
        </w:rPr>
        <w:instrText xml:space="preserve">No \* charformat </w:instrText>
      </w:r>
      <w:r w:rsidR="00BC0D5D" w:rsidRPr="00BC0D5D">
        <w:rPr>
          <w:iCs/>
        </w:rPr>
        <w:fldChar w:fldCharType="separate"/>
      </w:r>
      <w:r w:rsidR="00790224" w:rsidRPr="00790224">
        <w:rPr>
          <w:iCs/>
        </w:rPr>
        <w:t>2019-1</w:t>
      </w:r>
      <w:r w:rsidR="00BC0D5D" w:rsidRPr="00BC0D5D">
        <w:rPr>
          <w:iCs/>
        </w:rPr>
        <w:fldChar w:fldCharType="end"/>
      </w:r>
    </w:p>
    <w:p w14:paraId="3DC4F790" w14:textId="77777777" w:rsidR="00090A6F" w:rsidRDefault="00CC1DF4" w:rsidP="003E1900">
      <w:pPr>
        <w:pStyle w:val="Heading1Italic"/>
        <w:spacing w:before="0"/>
      </w:pPr>
      <w:r>
        <w:fldChar w:fldCharType="begin" w:fldLock="1"/>
      </w:r>
      <w:r>
        <w:instrText xml:space="preserve"> REF DocTitle \* charformat</w:instrText>
      </w:r>
      <w:r>
        <w:fldChar w:fldCharType="separate"/>
      </w:r>
      <w:r w:rsidR="003A66C5">
        <w:t>Amendments to Australian Accounting Standards – References to the Conceptual Framework</w:t>
      </w:r>
      <w:r>
        <w:fldChar w:fldCharType="end"/>
      </w:r>
    </w:p>
    <w:p w14:paraId="485A1E49" w14:textId="77777777" w:rsidR="00090A6F" w:rsidRPr="0000292B" w:rsidRDefault="00090A6F" w:rsidP="00FC30DA">
      <w:pPr>
        <w:pStyle w:val="Heading2"/>
      </w:pPr>
      <w:bookmarkStart w:id="14" w:name="TOCStart"/>
      <w:bookmarkStart w:id="15" w:name="_Ref528575778"/>
      <w:bookmarkEnd w:id="14"/>
      <w:r w:rsidRPr="0000292B">
        <w:t>Objective</w:t>
      </w:r>
      <w:bookmarkEnd w:id="15"/>
    </w:p>
    <w:p w14:paraId="4448C198" w14:textId="77777777" w:rsidR="00090A6F" w:rsidRDefault="00867FB0" w:rsidP="006F77D2">
      <w:pPr>
        <w:pStyle w:val="NoNumPlain1"/>
      </w:pPr>
      <w:bookmarkStart w:id="16" w:name="_Ref528608690"/>
      <w:r>
        <w:t>This</w:t>
      </w:r>
      <w:r w:rsidR="001662B8">
        <w:t xml:space="preserve"> Standard </w:t>
      </w:r>
      <w:r>
        <w:t>amends</w:t>
      </w:r>
      <w:r w:rsidR="001662B8">
        <w:t>:</w:t>
      </w:r>
      <w:bookmarkEnd w:id="16"/>
    </w:p>
    <w:p w14:paraId="3637AD5A" w14:textId="1A1CD851" w:rsidR="003A66C5" w:rsidRDefault="007E7213" w:rsidP="00443B60">
      <w:pPr>
        <w:pStyle w:val="NumPlain2"/>
        <w:ind w:left="782" w:hanging="782"/>
      </w:pPr>
      <w:r w:rsidRPr="007E7213">
        <w:t>the</w:t>
      </w:r>
      <w:r>
        <w:rPr>
          <w:i/>
        </w:rPr>
        <w:t xml:space="preserve"> </w:t>
      </w:r>
      <w:r w:rsidR="003A66C5" w:rsidRPr="003A66C5">
        <w:rPr>
          <w:i/>
        </w:rPr>
        <w:t>Framework for the Preparation and Presentation of Financial Statements</w:t>
      </w:r>
      <w:r w:rsidR="001830AE">
        <w:rPr>
          <w:i/>
        </w:rPr>
        <w:t xml:space="preserve"> </w:t>
      </w:r>
      <w:r w:rsidR="001830AE">
        <w:t>(July 2004)</w:t>
      </w:r>
      <w:r w:rsidR="003A66C5">
        <w:t>;</w:t>
      </w:r>
    </w:p>
    <w:p w14:paraId="110213F7" w14:textId="4D04574F" w:rsidR="003A66C5" w:rsidRDefault="003A66C5" w:rsidP="00443B60">
      <w:pPr>
        <w:pStyle w:val="NumPlain2"/>
        <w:ind w:left="782" w:hanging="782"/>
      </w:pPr>
      <w:r>
        <w:t xml:space="preserve">Statement of Accounting Concepts SAC 1 </w:t>
      </w:r>
      <w:r w:rsidRPr="003A66C5">
        <w:rPr>
          <w:i/>
        </w:rPr>
        <w:t>Definition of the Reporting Entity</w:t>
      </w:r>
      <w:r w:rsidR="001830AE">
        <w:rPr>
          <w:i/>
        </w:rPr>
        <w:t xml:space="preserve"> </w:t>
      </w:r>
      <w:r w:rsidR="001830AE">
        <w:t>(August 1990)</w:t>
      </w:r>
      <w:r>
        <w:t>;</w:t>
      </w:r>
    </w:p>
    <w:p w14:paraId="17C49C09" w14:textId="55276490" w:rsidR="003A66C5" w:rsidRDefault="006F77D2" w:rsidP="00443B60">
      <w:pPr>
        <w:pStyle w:val="NumPlain2"/>
        <w:ind w:left="782" w:hanging="782"/>
      </w:pPr>
      <w:r>
        <w:t>AASB 2</w:t>
      </w:r>
      <w:r w:rsidR="003A66C5">
        <w:t xml:space="preserve"> </w:t>
      </w:r>
      <w:r w:rsidR="003A66C5" w:rsidRPr="003A66C5">
        <w:rPr>
          <w:i/>
        </w:rPr>
        <w:t>Share-based Payment</w:t>
      </w:r>
      <w:r w:rsidR="001830AE">
        <w:rPr>
          <w:i/>
        </w:rPr>
        <w:t xml:space="preserve"> </w:t>
      </w:r>
      <w:r w:rsidR="001830AE">
        <w:t>(July 2015)</w:t>
      </w:r>
      <w:r w:rsidR="003A66C5">
        <w:t>;</w:t>
      </w:r>
    </w:p>
    <w:p w14:paraId="6CA2CCAC" w14:textId="20A158B8" w:rsidR="003A66C5" w:rsidRDefault="006F77D2" w:rsidP="00443B60">
      <w:pPr>
        <w:pStyle w:val="NumPlain2"/>
        <w:ind w:left="782" w:hanging="782"/>
      </w:pPr>
      <w:r>
        <w:t xml:space="preserve">AASB 3 </w:t>
      </w:r>
      <w:r w:rsidR="003A66C5" w:rsidRPr="003A66C5">
        <w:rPr>
          <w:i/>
        </w:rPr>
        <w:t>Business Combinations</w:t>
      </w:r>
      <w:r w:rsidR="001830AE">
        <w:rPr>
          <w:i/>
        </w:rPr>
        <w:t xml:space="preserve"> </w:t>
      </w:r>
      <w:r w:rsidR="001830AE">
        <w:t>(August 2015)</w:t>
      </w:r>
      <w:r w:rsidR="003A66C5">
        <w:t>;</w:t>
      </w:r>
    </w:p>
    <w:p w14:paraId="3C92E6A9" w14:textId="2315D111" w:rsidR="003A66C5" w:rsidRDefault="006F77D2" w:rsidP="00443B60">
      <w:pPr>
        <w:pStyle w:val="NumPlain2"/>
        <w:ind w:left="782" w:hanging="782"/>
      </w:pPr>
      <w:r>
        <w:t>AASB 6</w:t>
      </w:r>
      <w:r w:rsidR="003A66C5">
        <w:t xml:space="preserve"> </w:t>
      </w:r>
      <w:r w:rsidR="003A66C5" w:rsidRPr="003A66C5">
        <w:rPr>
          <w:i/>
        </w:rPr>
        <w:t>Exploration for and Evaluation of Mineral Resources</w:t>
      </w:r>
      <w:r w:rsidR="001830AE">
        <w:rPr>
          <w:i/>
        </w:rPr>
        <w:t xml:space="preserve"> </w:t>
      </w:r>
      <w:r w:rsidR="001830AE">
        <w:t>(August 2015)</w:t>
      </w:r>
      <w:r w:rsidR="003A66C5">
        <w:t>;</w:t>
      </w:r>
    </w:p>
    <w:p w14:paraId="6AA7A4C1" w14:textId="69582C6D" w:rsidR="003A66C5" w:rsidRDefault="006F77D2" w:rsidP="00443B60">
      <w:pPr>
        <w:pStyle w:val="NumPlain2"/>
        <w:ind w:left="782" w:hanging="782"/>
      </w:pPr>
      <w:r>
        <w:t>AASB 7</w:t>
      </w:r>
      <w:r w:rsidR="003A66C5">
        <w:t xml:space="preserve"> </w:t>
      </w:r>
      <w:r w:rsidR="003A66C5" w:rsidRPr="003A66C5">
        <w:rPr>
          <w:i/>
        </w:rPr>
        <w:t>Financial Instruments: Disclosures</w:t>
      </w:r>
      <w:r w:rsidR="00235F3B">
        <w:rPr>
          <w:i/>
        </w:rPr>
        <w:t xml:space="preserve"> </w:t>
      </w:r>
      <w:r w:rsidR="00235F3B">
        <w:t>(August 2015)</w:t>
      </w:r>
      <w:r w:rsidR="003A66C5">
        <w:t>;</w:t>
      </w:r>
    </w:p>
    <w:p w14:paraId="3C686544" w14:textId="0E200F70" w:rsidR="003A66C5" w:rsidRDefault="003A66C5" w:rsidP="00443B60">
      <w:pPr>
        <w:pStyle w:val="NumPlain2"/>
        <w:ind w:left="782" w:hanging="782"/>
      </w:pPr>
      <w:r>
        <w:t xml:space="preserve">AASB 8 </w:t>
      </w:r>
      <w:r w:rsidRPr="003A66C5">
        <w:rPr>
          <w:i/>
        </w:rPr>
        <w:t>Operating Segment</w:t>
      </w:r>
      <w:r w:rsidR="00AD589A">
        <w:rPr>
          <w:i/>
        </w:rPr>
        <w:t>s</w:t>
      </w:r>
      <w:r w:rsidR="00235F3B">
        <w:rPr>
          <w:i/>
        </w:rPr>
        <w:t xml:space="preserve"> </w:t>
      </w:r>
      <w:r w:rsidR="00235F3B">
        <w:t>(August 2015)</w:t>
      </w:r>
      <w:r>
        <w:t>;</w:t>
      </w:r>
    </w:p>
    <w:p w14:paraId="0C01C3CA" w14:textId="7EFCEB7D" w:rsidR="003A66C5" w:rsidRDefault="003A66C5" w:rsidP="00443B60">
      <w:pPr>
        <w:pStyle w:val="NumPlain2"/>
        <w:ind w:left="782" w:hanging="782"/>
      </w:pPr>
      <w:r>
        <w:t xml:space="preserve">AASB 9 </w:t>
      </w:r>
      <w:r w:rsidRPr="003A66C5">
        <w:rPr>
          <w:i/>
        </w:rPr>
        <w:t>Financial Instruments</w:t>
      </w:r>
      <w:r w:rsidR="00235F3B">
        <w:t xml:space="preserve"> (December 2014)</w:t>
      </w:r>
      <w:r>
        <w:t>;</w:t>
      </w:r>
    </w:p>
    <w:p w14:paraId="3AC0C6F1" w14:textId="47E31644" w:rsidR="003A66C5" w:rsidRDefault="003A66C5" w:rsidP="00443B60">
      <w:pPr>
        <w:pStyle w:val="NumPlain2"/>
        <w:ind w:left="782" w:hanging="782"/>
      </w:pPr>
      <w:r>
        <w:t xml:space="preserve">AASB 10 </w:t>
      </w:r>
      <w:r w:rsidRPr="003A66C5">
        <w:rPr>
          <w:i/>
        </w:rPr>
        <w:t>Consolidated Financial Statements</w:t>
      </w:r>
      <w:r w:rsidR="00235F3B">
        <w:t xml:space="preserve"> (July 2015)</w:t>
      </w:r>
      <w:r>
        <w:t>;</w:t>
      </w:r>
    </w:p>
    <w:p w14:paraId="109CEBFD" w14:textId="6DDA1248" w:rsidR="003A66C5" w:rsidRDefault="003A66C5" w:rsidP="00443B60">
      <w:pPr>
        <w:pStyle w:val="NumPlain2"/>
        <w:ind w:left="782" w:hanging="782"/>
      </w:pPr>
      <w:r>
        <w:t xml:space="preserve">AASB 12 </w:t>
      </w:r>
      <w:r w:rsidRPr="003A66C5">
        <w:rPr>
          <w:i/>
        </w:rPr>
        <w:t>Disclosure of Interests in Other Entities</w:t>
      </w:r>
      <w:r w:rsidR="00235F3B">
        <w:t xml:space="preserve"> (August 2015)</w:t>
      </w:r>
      <w:r>
        <w:t>;</w:t>
      </w:r>
    </w:p>
    <w:p w14:paraId="6F15F39E" w14:textId="24CAA6CC" w:rsidR="003A66C5" w:rsidRDefault="003A66C5" w:rsidP="00443B60">
      <w:pPr>
        <w:pStyle w:val="NumPlain2"/>
        <w:ind w:left="782" w:hanging="782"/>
      </w:pPr>
      <w:r>
        <w:t xml:space="preserve">AASB 14 </w:t>
      </w:r>
      <w:r w:rsidRPr="003A66C5">
        <w:rPr>
          <w:i/>
        </w:rPr>
        <w:t>Regulatory Deferral Accounts</w:t>
      </w:r>
      <w:r w:rsidR="00235F3B">
        <w:t xml:space="preserve"> (June 2014)</w:t>
      </w:r>
      <w:r>
        <w:t>;</w:t>
      </w:r>
    </w:p>
    <w:p w14:paraId="382FE2C5" w14:textId="45529326" w:rsidR="003A66C5" w:rsidRDefault="003A66C5" w:rsidP="00443B60">
      <w:pPr>
        <w:pStyle w:val="NumPlain2"/>
        <w:ind w:left="782" w:hanging="782"/>
      </w:pPr>
      <w:r>
        <w:t xml:space="preserve">AASB 17 </w:t>
      </w:r>
      <w:r w:rsidRPr="003A66C5">
        <w:rPr>
          <w:i/>
        </w:rPr>
        <w:t>Insurance Contracts</w:t>
      </w:r>
      <w:r w:rsidR="00235F3B">
        <w:t xml:space="preserve"> (July 2017)</w:t>
      </w:r>
      <w:r>
        <w:t>;</w:t>
      </w:r>
    </w:p>
    <w:p w14:paraId="201B6879" w14:textId="41CF61E6" w:rsidR="003A66C5" w:rsidRDefault="003A66C5" w:rsidP="00443B60">
      <w:pPr>
        <w:pStyle w:val="NumPlain2"/>
        <w:ind w:left="782" w:hanging="782"/>
      </w:pPr>
      <w:r>
        <w:t xml:space="preserve">AASB 101 </w:t>
      </w:r>
      <w:r w:rsidRPr="003A66C5">
        <w:rPr>
          <w:i/>
        </w:rPr>
        <w:t>Presentation of Financial Statements</w:t>
      </w:r>
      <w:r w:rsidR="00235F3B">
        <w:t xml:space="preserve"> (July 2015)</w:t>
      </w:r>
      <w:r>
        <w:t>;</w:t>
      </w:r>
    </w:p>
    <w:p w14:paraId="5683B9AE" w14:textId="27DF1D90" w:rsidR="003A66C5" w:rsidRDefault="003A66C5" w:rsidP="00443B60">
      <w:pPr>
        <w:pStyle w:val="NumPlain2"/>
        <w:ind w:left="782" w:hanging="782"/>
      </w:pPr>
      <w:r>
        <w:t xml:space="preserve">AASB 108 </w:t>
      </w:r>
      <w:r w:rsidRPr="003A66C5">
        <w:rPr>
          <w:i/>
        </w:rPr>
        <w:t>Accounting Policies, Changes in Accounting Estimates and Errors</w:t>
      </w:r>
      <w:r w:rsidR="00235F3B">
        <w:t xml:space="preserve"> (August 2015)</w:t>
      </w:r>
      <w:r>
        <w:t>;</w:t>
      </w:r>
    </w:p>
    <w:p w14:paraId="16772C3E" w14:textId="38C7EFA6" w:rsidR="00A009E4" w:rsidRDefault="00A009E4" w:rsidP="00443B60">
      <w:pPr>
        <w:pStyle w:val="NumPlain2"/>
        <w:ind w:left="782" w:hanging="782"/>
      </w:pPr>
      <w:r>
        <w:t xml:space="preserve">AASB 110 </w:t>
      </w:r>
      <w:r>
        <w:rPr>
          <w:i/>
        </w:rPr>
        <w:t>Events after the Reporting Period</w:t>
      </w:r>
      <w:r w:rsidR="00940A2E">
        <w:t xml:space="preserve"> (August 2015)</w:t>
      </w:r>
      <w:r w:rsidR="007E7213">
        <w:t>;</w:t>
      </w:r>
    </w:p>
    <w:p w14:paraId="74E90CCE" w14:textId="1032D440" w:rsidR="003A66C5" w:rsidRDefault="003A66C5" w:rsidP="00443B60">
      <w:pPr>
        <w:pStyle w:val="NumPlain2"/>
        <w:ind w:left="782" w:hanging="782"/>
      </w:pPr>
      <w:r>
        <w:t xml:space="preserve">AASB 112 </w:t>
      </w:r>
      <w:r w:rsidRPr="003A66C5">
        <w:rPr>
          <w:i/>
        </w:rPr>
        <w:t>Income Taxes</w:t>
      </w:r>
      <w:r w:rsidR="00940A2E">
        <w:t xml:space="preserve"> (August 2015)</w:t>
      </w:r>
      <w:r>
        <w:t>;</w:t>
      </w:r>
    </w:p>
    <w:p w14:paraId="2B9D2336" w14:textId="2BC3E614" w:rsidR="003A66C5" w:rsidRDefault="003A66C5" w:rsidP="00443B60">
      <w:pPr>
        <w:pStyle w:val="NumPlain2"/>
        <w:ind w:left="782" w:hanging="782"/>
      </w:pPr>
      <w:r>
        <w:t xml:space="preserve">AASB 116 </w:t>
      </w:r>
      <w:r w:rsidRPr="003A66C5">
        <w:rPr>
          <w:i/>
        </w:rPr>
        <w:t>Property, Plant and Equipment</w:t>
      </w:r>
      <w:r w:rsidR="00940A2E">
        <w:t xml:space="preserve"> (August 2015)</w:t>
      </w:r>
      <w:r>
        <w:t>;</w:t>
      </w:r>
    </w:p>
    <w:p w14:paraId="465CA981" w14:textId="61C5E70E" w:rsidR="003A66C5" w:rsidRDefault="003A66C5" w:rsidP="00443B60">
      <w:pPr>
        <w:pStyle w:val="NumPlain2"/>
        <w:ind w:left="782" w:hanging="782"/>
      </w:pPr>
      <w:r>
        <w:t xml:space="preserve">AASB 119 </w:t>
      </w:r>
      <w:r w:rsidRPr="003A66C5">
        <w:rPr>
          <w:i/>
        </w:rPr>
        <w:t>Employee Benefits</w:t>
      </w:r>
      <w:r w:rsidR="00940A2E">
        <w:t xml:space="preserve"> (August 2015)</w:t>
      </w:r>
      <w:r>
        <w:t>;</w:t>
      </w:r>
    </w:p>
    <w:p w14:paraId="6BDFA05D" w14:textId="651AC95B" w:rsidR="003A66C5" w:rsidRDefault="003A66C5" w:rsidP="00443B60">
      <w:pPr>
        <w:pStyle w:val="NumPlain2"/>
        <w:ind w:left="782" w:hanging="782"/>
      </w:pPr>
      <w:r>
        <w:t xml:space="preserve">AASB 121 </w:t>
      </w:r>
      <w:r w:rsidRPr="003A66C5">
        <w:rPr>
          <w:i/>
        </w:rPr>
        <w:t>The Effects of Changes in Foreign Exchange Rates</w:t>
      </w:r>
      <w:r w:rsidR="00940A2E">
        <w:t xml:space="preserve"> (August 2015)</w:t>
      </w:r>
      <w:r>
        <w:t>;</w:t>
      </w:r>
    </w:p>
    <w:p w14:paraId="7D17FC34" w14:textId="05382B5D" w:rsidR="003A66C5" w:rsidRDefault="003A66C5" w:rsidP="00443B60">
      <w:pPr>
        <w:pStyle w:val="NumPlain2"/>
        <w:ind w:left="782" w:hanging="782"/>
      </w:pPr>
      <w:r>
        <w:t xml:space="preserve">AASB 124 </w:t>
      </w:r>
      <w:r w:rsidRPr="003A66C5">
        <w:rPr>
          <w:i/>
        </w:rPr>
        <w:t>Related Party Disclosures</w:t>
      </w:r>
      <w:r w:rsidR="00940A2E">
        <w:t xml:space="preserve"> (July 2015)</w:t>
      </w:r>
      <w:r>
        <w:t>;</w:t>
      </w:r>
    </w:p>
    <w:p w14:paraId="1C3350CD" w14:textId="0B7BD0C9" w:rsidR="003A66C5" w:rsidRDefault="003A66C5" w:rsidP="00443B60">
      <w:pPr>
        <w:pStyle w:val="NumPlain2"/>
        <w:ind w:left="782" w:hanging="782"/>
      </w:pPr>
      <w:r>
        <w:t xml:space="preserve">AASB 128 </w:t>
      </w:r>
      <w:r w:rsidRPr="003A66C5">
        <w:rPr>
          <w:i/>
        </w:rPr>
        <w:t>Investments in Associates and Joint Ventures</w:t>
      </w:r>
      <w:r w:rsidR="00940A2E">
        <w:t xml:space="preserve"> (August 2015)</w:t>
      </w:r>
      <w:r>
        <w:t>;</w:t>
      </w:r>
    </w:p>
    <w:p w14:paraId="77AF9053" w14:textId="72EB04EF" w:rsidR="003A66C5" w:rsidRDefault="003A66C5" w:rsidP="00443B60">
      <w:pPr>
        <w:pStyle w:val="NumPlain2"/>
        <w:ind w:left="782" w:hanging="782"/>
      </w:pPr>
      <w:r>
        <w:t xml:space="preserve">AASB 132 </w:t>
      </w:r>
      <w:r w:rsidRPr="003A66C5">
        <w:rPr>
          <w:i/>
        </w:rPr>
        <w:t>Financial Instruments: Presentation</w:t>
      </w:r>
      <w:r w:rsidR="00940A2E">
        <w:t xml:space="preserve"> (August 2015)</w:t>
      </w:r>
      <w:r>
        <w:t>;</w:t>
      </w:r>
    </w:p>
    <w:p w14:paraId="2540C7C6" w14:textId="71306765" w:rsidR="003A66C5" w:rsidRDefault="003A66C5" w:rsidP="00443B60">
      <w:pPr>
        <w:pStyle w:val="NumPlain2"/>
        <w:ind w:left="782" w:hanging="782"/>
      </w:pPr>
      <w:r>
        <w:t xml:space="preserve">AASB 133 </w:t>
      </w:r>
      <w:r w:rsidRPr="003A66C5">
        <w:rPr>
          <w:i/>
        </w:rPr>
        <w:t>Earnings per Share</w:t>
      </w:r>
      <w:r w:rsidR="00940A2E">
        <w:t xml:space="preserve"> (August 2015)</w:t>
      </w:r>
      <w:r>
        <w:t>;</w:t>
      </w:r>
    </w:p>
    <w:p w14:paraId="413CC814" w14:textId="15EF76F9" w:rsidR="003A66C5" w:rsidRDefault="003A66C5" w:rsidP="00443B60">
      <w:pPr>
        <w:pStyle w:val="NumPlain2"/>
        <w:ind w:left="782" w:hanging="782"/>
      </w:pPr>
      <w:r>
        <w:t xml:space="preserve">AASB 134 </w:t>
      </w:r>
      <w:r w:rsidRPr="003A66C5">
        <w:rPr>
          <w:i/>
        </w:rPr>
        <w:t>Interim Financial Reporting</w:t>
      </w:r>
      <w:r w:rsidR="00940A2E">
        <w:t xml:space="preserve"> (August 2015)</w:t>
      </w:r>
      <w:r>
        <w:t>;</w:t>
      </w:r>
    </w:p>
    <w:p w14:paraId="53D4763D" w14:textId="76DDF4C2" w:rsidR="003A66C5" w:rsidRDefault="003A66C5" w:rsidP="00443B60">
      <w:pPr>
        <w:pStyle w:val="NumPlain2"/>
        <w:ind w:left="782" w:hanging="782"/>
      </w:pPr>
      <w:r>
        <w:t xml:space="preserve">AASB 137 </w:t>
      </w:r>
      <w:r w:rsidRPr="003A66C5">
        <w:rPr>
          <w:i/>
        </w:rPr>
        <w:t>Provisions, Contingent Liabilities and Contingent Assets</w:t>
      </w:r>
      <w:r w:rsidR="00940A2E">
        <w:t xml:space="preserve"> (August 2015)</w:t>
      </w:r>
      <w:r>
        <w:t>;</w:t>
      </w:r>
    </w:p>
    <w:p w14:paraId="18C8ED3C" w14:textId="75EE5E18" w:rsidR="003A66C5" w:rsidRDefault="003A66C5" w:rsidP="00443B60">
      <w:pPr>
        <w:pStyle w:val="NumPlain2"/>
        <w:ind w:left="782" w:hanging="782"/>
      </w:pPr>
      <w:r>
        <w:t xml:space="preserve">AASB 138 </w:t>
      </w:r>
      <w:r w:rsidRPr="003A66C5">
        <w:rPr>
          <w:i/>
        </w:rPr>
        <w:t>Intangible Assets</w:t>
      </w:r>
      <w:r w:rsidR="00940A2E">
        <w:t xml:space="preserve"> (August 2015)</w:t>
      </w:r>
      <w:r>
        <w:t>;</w:t>
      </w:r>
    </w:p>
    <w:p w14:paraId="6F41DFED" w14:textId="1C6954A7" w:rsidR="003A66C5" w:rsidRDefault="003A66C5" w:rsidP="00443B60">
      <w:pPr>
        <w:pStyle w:val="NumPlain2"/>
        <w:ind w:left="782" w:hanging="782"/>
      </w:pPr>
      <w:r>
        <w:t xml:space="preserve">AASB 139 </w:t>
      </w:r>
      <w:r w:rsidRPr="003A66C5">
        <w:rPr>
          <w:i/>
        </w:rPr>
        <w:t>Financial Instruments: Recognition and Measurement</w:t>
      </w:r>
      <w:r w:rsidR="00940A2E">
        <w:t xml:space="preserve"> (August 2015)</w:t>
      </w:r>
      <w:r>
        <w:t>;</w:t>
      </w:r>
    </w:p>
    <w:p w14:paraId="4D386BBA" w14:textId="528C5B69" w:rsidR="003A66C5" w:rsidRDefault="003A66C5" w:rsidP="00443B60">
      <w:pPr>
        <w:pStyle w:val="NumPlain2"/>
        <w:ind w:left="782" w:hanging="782"/>
      </w:pPr>
      <w:r>
        <w:t xml:space="preserve">AASB 140 </w:t>
      </w:r>
      <w:r w:rsidRPr="003A66C5">
        <w:rPr>
          <w:i/>
        </w:rPr>
        <w:t>Investment Property</w:t>
      </w:r>
      <w:r w:rsidR="00940A2E">
        <w:t xml:space="preserve"> (August 2015)</w:t>
      </w:r>
      <w:r>
        <w:t>;</w:t>
      </w:r>
    </w:p>
    <w:p w14:paraId="08899651" w14:textId="07238893" w:rsidR="003A66C5" w:rsidRDefault="003A66C5" w:rsidP="00443B60">
      <w:pPr>
        <w:pStyle w:val="NumPlain2"/>
        <w:ind w:left="782" w:hanging="782"/>
      </w:pPr>
      <w:r>
        <w:t xml:space="preserve">AASB 1023 </w:t>
      </w:r>
      <w:r w:rsidRPr="003A66C5">
        <w:rPr>
          <w:i/>
        </w:rPr>
        <w:t>General Insurance Contracts</w:t>
      </w:r>
      <w:r w:rsidR="00940A2E">
        <w:t xml:space="preserve"> (July 2004)</w:t>
      </w:r>
      <w:r>
        <w:t>;</w:t>
      </w:r>
    </w:p>
    <w:p w14:paraId="21584971" w14:textId="793B3442" w:rsidR="003A66C5" w:rsidRDefault="003A66C5" w:rsidP="00443B60">
      <w:pPr>
        <w:pStyle w:val="NumPlain2"/>
        <w:ind w:left="782" w:hanging="782"/>
      </w:pPr>
      <w:r>
        <w:t xml:space="preserve">AASB 1038 </w:t>
      </w:r>
      <w:r w:rsidRPr="003A66C5">
        <w:rPr>
          <w:i/>
        </w:rPr>
        <w:t>Life Insurance Contracts</w:t>
      </w:r>
      <w:r w:rsidR="00940A2E">
        <w:t xml:space="preserve"> (July 2004)</w:t>
      </w:r>
      <w:r>
        <w:t>;</w:t>
      </w:r>
    </w:p>
    <w:p w14:paraId="53062760" w14:textId="08B20352" w:rsidR="003A66C5" w:rsidRDefault="003A66C5" w:rsidP="00443B60">
      <w:pPr>
        <w:pStyle w:val="NumPlain2"/>
        <w:ind w:left="782" w:hanging="782"/>
      </w:pPr>
      <w:r>
        <w:t xml:space="preserve">AASB 1048 </w:t>
      </w:r>
      <w:r w:rsidRPr="003A66C5">
        <w:rPr>
          <w:i/>
        </w:rPr>
        <w:t>Interpretation of Standards</w:t>
      </w:r>
      <w:r w:rsidR="00940A2E">
        <w:t xml:space="preserve"> (December 20</w:t>
      </w:r>
      <w:r w:rsidR="00C63BC8">
        <w:t>17)</w:t>
      </w:r>
      <w:r>
        <w:t>;</w:t>
      </w:r>
    </w:p>
    <w:p w14:paraId="2E2177FA" w14:textId="279730A6" w:rsidR="003A66C5" w:rsidRDefault="003A66C5" w:rsidP="00443B60">
      <w:pPr>
        <w:pStyle w:val="NumPlain2"/>
        <w:ind w:left="782" w:hanging="782"/>
      </w:pPr>
      <w:r>
        <w:t xml:space="preserve">AASB 1053 </w:t>
      </w:r>
      <w:r w:rsidR="00284EE9" w:rsidRPr="00284EE9">
        <w:rPr>
          <w:i/>
        </w:rPr>
        <w:t>Application of Tiers of Australian Accounting Standards</w:t>
      </w:r>
      <w:r w:rsidR="00940A2E">
        <w:t xml:space="preserve"> (June </w:t>
      </w:r>
      <w:r w:rsidR="00C63BC8">
        <w:t>2010)</w:t>
      </w:r>
      <w:r>
        <w:t>;</w:t>
      </w:r>
    </w:p>
    <w:p w14:paraId="55046D16" w14:textId="153162FF" w:rsidR="003A66C5" w:rsidRDefault="003A66C5" w:rsidP="00443B60">
      <w:pPr>
        <w:pStyle w:val="NumPlain2"/>
        <w:ind w:left="782" w:hanging="782"/>
      </w:pPr>
      <w:r>
        <w:t xml:space="preserve">AASB 1054 </w:t>
      </w:r>
      <w:r w:rsidRPr="003A66C5">
        <w:rPr>
          <w:i/>
        </w:rPr>
        <w:t>Australian Additional Disclosures</w:t>
      </w:r>
      <w:r w:rsidR="00C63BC8">
        <w:t xml:space="preserve"> (May 2011)</w:t>
      </w:r>
      <w:r>
        <w:t>;</w:t>
      </w:r>
    </w:p>
    <w:p w14:paraId="25D9D8D5" w14:textId="43A2903D" w:rsidR="003A66C5" w:rsidRDefault="003A66C5" w:rsidP="00443B60">
      <w:pPr>
        <w:pStyle w:val="NumPlain2"/>
        <w:ind w:left="782" w:hanging="782"/>
      </w:pPr>
      <w:r>
        <w:t xml:space="preserve">AASB 1055 </w:t>
      </w:r>
      <w:r w:rsidRPr="003A66C5">
        <w:rPr>
          <w:i/>
        </w:rPr>
        <w:t>Budgetary Reporting</w:t>
      </w:r>
      <w:r w:rsidR="00C63BC8">
        <w:t xml:space="preserve"> (March 2013)</w:t>
      </w:r>
      <w:r>
        <w:t>;</w:t>
      </w:r>
    </w:p>
    <w:p w14:paraId="3160362D" w14:textId="46EA4E11" w:rsidR="003A66C5" w:rsidRDefault="003A66C5" w:rsidP="00443B60">
      <w:pPr>
        <w:pStyle w:val="NumPlain2"/>
        <w:ind w:left="782" w:hanging="782"/>
      </w:pPr>
      <w:r>
        <w:t xml:space="preserve">AASB 1056 </w:t>
      </w:r>
      <w:r w:rsidRPr="003A66C5">
        <w:rPr>
          <w:i/>
        </w:rPr>
        <w:t>Superannuation Entities</w:t>
      </w:r>
      <w:r w:rsidR="00C63BC8">
        <w:t xml:space="preserve"> (June 2014)</w:t>
      </w:r>
      <w:r>
        <w:t>;</w:t>
      </w:r>
    </w:p>
    <w:p w14:paraId="530B2B2C" w14:textId="12B8C9C0" w:rsidR="003A66C5" w:rsidRDefault="003A66C5" w:rsidP="00443B60">
      <w:pPr>
        <w:pStyle w:val="NumPlain2"/>
        <w:ind w:left="782" w:hanging="782"/>
      </w:pPr>
      <w:r>
        <w:t xml:space="preserve">AASB 1057 </w:t>
      </w:r>
      <w:r w:rsidRPr="003A66C5">
        <w:rPr>
          <w:i/>
        </w:rPr>
        <w:t>Application of Australian Accounting Standards</w:t>
      </w:r>
      <w:r w:rsidR="00C63BC8">
        <w:t xml:space="preserve"> (July 2015)</w:t>
      </w:r>
      <w:r>
        <w:t>;</w:t>
      </w:r>
    </w:p>
    <w:p w14:paraId="6E84141E" w14:textId="3A37EA7B" w:rsidR="003A66C5" w:rsidRDefault="003A66C5" w:rsidP="00443B60">
      <w:pPr>
        <w:pStyle w:val="NumPlain2"/>
        <w:ind w:left="782" w:hanging="782"/>
      </w:pPr>
      <w:r>
        <w:t xml:space="preserve">Interpretation 12 </w:t>
      </w:r>
      <w:r w:rsidRPr="003A66C5">
        <w:rPr>
          <w:i/>
        </w:rPr>
        <w:t>Service Concession Arrangements</w:t>
      </w:r>
      <w:r w:rsidR="00C63BC8">
        <w:t xml:space="preserve"> (August 2015)</w:t>
      </w:r>
      <w:r>
        <w:t>;</w:t>
      </w:r>
    </w:p>
    <w:p w14:paraId="5C04BAA2" w14:textId="2CFC522F" w:rsidR="003A66C5" w:rsidRDefault="003A66C5" w:rsidP="00443B60">
      <w:pPr>
        <w:pStyle w:val="NumPlain2"/>
        <w:ind w:left="782" w:hanging="782"/>
      </w:pPr>
      <w:r>
        <w:t xml:space="preserve">Interpretation 16 </w:t>
      </w:r>
      <w:r w:rsidRPr="003A66C5">
        <w:rPr>
          <w:i/>
        </w:rPr>
        <w:t>Hedges of a Net Investment in a Foreign Operation</w:t>
      </w:r>
      <w:r w:rsidR="00C63BC8">
        <w:t xml:space="preserve"> (August 2015)</w:t>
      </w:r>
      <w:r>
        <w:t>;</w:t>
      </w:r>
    </w:p>
    <w:p w14:paraId="3C78BCE2" w14:textId="290890CF" w:rsidR="003A66C5" w:rsidRDefault="007E7213" w:rsidP="00443B60">
      <w:pPr>
        <w:pStyle w:val="NumPlain2"/>
        <w:ind w:left="782" w:hanging="782"/>
      </w:pPr>
      <w:r>
        <w:t xml:space="preserve">Interpretation 19 </w:t>
      </w:r>
      <w:r w:rsidR="003A66C5" w:rsidRPr="003A66C5">
        <w:rPr>
          <w:i/>
        </w:rPr>
        <w:t>Extinguishing Financial Liabilities with Equity Instruments</w:t>
      </w:r>
      <w:r w:rsidR="00C63BC8">
        <w:t xml:space="preserve"> (August 2015)</w:t>
      </w:r>
      <w:r w:rsidR="003A66C5">
        <w:t>;</w:t>
      </w:r>
    </w:p>
    <w:p w14:paraId="7EF2F061" w14:textId="74E27E2B" w:rsidR="003A66C5" w:rsidRDefault="007E7213" w:rsidP="00443B60">
      <w:pPr>
        <w:pStyle w:val="NumPlain2"/>
        <w:ind w:left="782" w:hanging="782"/>
      </w:pPr>
      <w:r>
        <w:t xml:space="preserve">Interpretation 20 </w:t>
      </w:r>
      <w:r w:rsidR="003A66C5" w:rsidRPr="003A66C5">
        <w:rPr>
          <w:i/>
        </w:rPr>
        <w:t>Stripping Costs in the Production Phase of a Surface Mine</w:t>
      </w:r>
      <w:r w:rsidR="00C63BC8">
        <w:t xml:space="preserve"> (August 2015)</w:t>
      </w:r>
      <w:r w:rsidR="003A66C5">
        <w:t>;</w:t>
      </w:r>
    </w:p>
    <w:p w14:paraId="48FCC7FA" w14:textId="4FD54E51" w:rsidR="003A66C5" w:rsidRDefault="007E7213" w:rsidP="00443B60">
      <w:pPr>
        <w:pStyle w:val="NumPlain2"/>
        <w:ind w:left="782" w:hanging="782"/>
      </w:pPr>
      <w:r>
        <w:t xml:space="preserve">Interpretation 22 </w:t>
      </w:r>
      <w:r w:rsidR="003A66C5" w:rsidRPr="003A66C5">
        <w:rPr>
          <w:i/>
        </w:rPr>
        <w:t>Foreign Currency Transactions and Advance Consideration</w:t>
      </w:r>
      <w:r w:rsidR="00C63BC8">
        <w:t xml:space="preserve"> (February 2017)</w:t>
      </w:r>
      <w:r w:rsidR="003A66C5">
        <w:t>;</w:t>
      </w:r>
    </w:p>
    <w:p w14:paraId="24909CB6" w14:textId="04C8FDDE" w:rsidR="003A66C5" w:rsidRDefault="007E7213" w:rsidP="00443B60">
      <w:pPr>
        <w:pStyle w:val="NumPlain2"/>
        <w:ind w:left="782" w:hanging="782"/>
      </w:pPr>
      <w:r>
        <w:t xml:space="preserve">Interpretation 132 </w:t>
      </w:r>
      <w:r w:rsidR="003A66C5" w:rsidRPr="003A66C5">
        <w:rPr>
          <w:i/>
        </w:rPr>
        <w:t>Intangible Assets—Web Site Costs</w:t>
      </w:r>
      <w:r w:rsidR="00C63BC8">
        <w:t xml:space="preserve"> (August 2015)</w:t>
      </w:r>
      <w:r w:rsidR="003A66C5">
        <w:t>;</w:t>
      </w:r>
    </w:p>
    <w:p w14:paraId="5AD8B241" w14:textId="37A1DDFA" w:rsidR="003A66C5" w:rsidRDefault="007E7213" w:rsidP="00443B60">
      <w:pPr>
        <w:pStyle w:val="NumPlain2"/>
        <w:ind w:left="782" w:hanging="782"/>
      </w:pPr>
      <w:r>
        <w:t xml:space="preserve">Interpretation 1003 </w:t>
      </w:r>
      <w:r w:rsidR="003A66C5" w:rsidRPr="003A66C5">
        <w:rPr>
          <w:i/>
        </w:rPr>
        <w:t>Australian Petroleum Resource Rent Tax</w:t>
      </w:r>
      <w:r w:rsidR="00C63BC8">
        <w:t xml:space="preserve"> (November 2007)</w:t>
      </w:r>
      <w:r w:rsidR="003A66C5">
        <w:t>;</w:t>
      </w:r>
    </w:p>
    <w:p w14:paraId="463B5409" w14:textId="02763DA3" w:rsidR="003A66C5" w:rsidRDefault="007E7213" w:rsidP="00443B60">
      <w:pPr>
        <w:pStyle w:val="NumPlain2"/>
        <w:ind w:left="782" w:hanging="782"/>
      </w:pPr>
      <w:r>
        <w:t xml:space="preserve">Interpretation 1019 </w:t>
      </w:r>
      <w:r w:rsidR="003A66C5" w:rsidRPr="003A66C5">
        <w:rPr>
          <w:i/>
        </w:rPr>
        <w:t>The Superannuation Contributions Surcharge</w:t>
      </w:r>
      <w:r w:rsidR="00C63BC8">
        <w:t xml:space="preserve"> (September 2004)</w:t>
      </w:r>
      <w:r w:rsidR="003A66C5">
        <w:t>;</w:t>
      </w:r>
    </w:p>
    <w:p w14:paraId="6D13B0BD" w14:textId="348E1C25" w:rsidR="003A66C5" w:rsidRDefault="007E7213" w:rsidP="00443B60">
      <w:pPr>
        <w:pStyle w:val="NumPlain2"/>
        <w:ind w:left="782" w:hanging="782"/>
      </w:pPr>
      <w:r>
        <w:t xml:space="preserve">Interpretation 1031 </w:t>
      </w:r>
      <w:r w:rsidR="003A66C5" w:rsidRPr="003A66C5">
        <w:rPr>
          <w:i/>
        </w:rPr>
        <w:t>Accounting for the Goods and Services Tax (GST)</w:t>
      </w:r>
      <w:r w:rsidR="00C63BC8">
        <w:t xml:space="preserve"> (July 2004)</w:t>
      </w:r>
      <w:r w:rsidR="003A66C5">
        <w:t>;</w:t>
      </w:r>
    </w:p>
    <w:p w14:paraId="277029D7" w14:textId="59C5C904" w:rsidR="003A66C5" w:rsidRDefault="003A66C5" w:rsidP="00443B60">
      <w:pPr>
        <w:pStyle w:val="NumPlain2"/>
        <w:ind w:left="782" w:hanging="782"/>
      </w:pPr>
      <w:r>
        <w:t>Int</w:t>
      </w:r>
      <w:r w:rsidR="007E7213">
        <w:t xml:space="preserve">erpretation 1038 </w:t>
      </w:r>
      <w:r w:rsidRPr="003A66C5">
        <w:rPr>
          <w:i/>
        </w:rPr>
        <w:t>Contributions by Owners Made to Wholly-Owned Public Sector Entities</w:t>
      </w:r>
      <w:r w:rsidR="00AD589A">
        <w:t xml:space="preserve"> </w:t>
      </w:r>
      <w:r w:rsidR="00C63BC8">
        <w:t>(December 20</w:t>
      </w:r>
      <w:r w:rsidR="003C5448">
        <w:t>0</w:t>
      </w:r>
      <w:r w:rsidR="00C63BC8">
        <w:t>7)</w:t>
      </w:r>
      <w:r>
        <w:t>;</w:t>
      </w:r>
    </w:p>
    <w:p w14:paraId="1501D53B" w14:textId="0C337031" w:rsidR="003A66C5" w:rsidRDefault="007E7213" w:rsidP="00443B60">
      <w:pPr>
        <w:pStyle w:val="NumPlain2"/>
        <w:ind w:left="782" w:hanging="782"/>
      </w:pPr>
      <w:r>
        <w:t xml:space="preserve">Interpretation 1047 </w:t>
      </w:r>
      <w:r w:rsidR="003A66C5" w:rsidRPr="003A66C5">
        <w:rPr>
          <w:i/>
        </w:rPr>
        <w:t>Professional Indemnity Claims Liabilities in Medical Defence Organisations</w:t>
      </w:r>
      <w:r w:rsidR="00C63BC8">
        <w:rPr>
          <w:i/>
        </w:rPr>
        <w:t xml:space="preserve"> </w:t>
      </w:r>
      <w:r w:rsidR="00C63BC8">
        <w:t>(December 2014)</w:t>
      </w:r>
      <w:r w:rsidR="003A66C5">
        <w:t>;</w:t>
      </w:r>
    </w:p>
    <w:p w14:paraId="025DEDC9" w14:textId="54E63096" w:rsidR="003A66C5" w:rsidRDefault="003A66C5" w:rsidP="00443B60">
      <w:pPr>
        <w:pStyle w:val="NumPlain2"/>
        <w:ind w:left="782" w:hanging="782"/>
      </w:pPr>
      <w:r>
        <w:t xml:space="preserve">Interpretation 1052 </w:t>
      </w:r>
      <w:r w:rsidRPr="003A66C5">
        <w:rPr>
          <w:i/>
        </w:rPr>
        <w:t>Tax Consolidation Accounting</w:t>
      </w:r>
      <w:r w:rsidR="00C63BC8">
        <w:t xml:space="preserve"> (June 2015)</w:t>
      </w:r>
      <w:r>
        <w:t>;</w:t>
      </w:r>
      <w:r w:rsidR="0083016D">
        <w:t xml:space="preserve"> </w:t>
      </w:r>
      <w:r>
        <w:t>and</w:t>
      </w:r>
    </w:p>
    <w:p w14:paraId="6877F815" w14:textId="70900FA3" w:rsidR="003A66C5" w:rsidRDefault="003A66C5" w:rsidP="00443B60">
      <w:pPr>
        <w:pStyle w:val="NumPlain2"/>
        <w:ind w:left="782" w:hanging="782"/>
      </w:pPr>
      <w:bookmarkStart w:id="17" w:name="_Ref528608700"/>
      <w:r>
        <w:t xml:space="preserve">AASB Practice Statement 2 </w:t>
      </w:r>
      <w:r w:rsidRPr="003A66C5">
        <w:rPr>
          <w:i/>
        </w:rPr>
        <w:t>Making Materiality Judgements</w:t>
      </w:r>
      <w:r w:rsidR="00C63BC8">
        <w:t xml:space="preserve"> (December 2017)</w:t>
      </w:r>
      <w:r>
        <w:t>;</w:t>
      </w:r>
      <w:bookmarkEnd w:id="17"/>
    </w:p>
    <w:p w14:paraId="5D752315" w14:textId="77777777" w:rsidR="001662B8" w:rsidRPr="0000292B" w:rsidRDefault="001662B8" w:rsidP="00135E40">
      <w:pPr>
        <w:pStyle w:val="NoNumPlain1"/>
      </w:pPr>
      <w:r>
        <w:t>a</w:t>
      </w:r>
      <w:bookmarkStart w:id="18" w:name="StndObj"/>
      <w:bookmarkEnd w:id="18"/>
      <w:r>
        <w:t>s a consequence of the issuance of</w:t>
      </w:r>
      <w:r w:rsidR="00867FB0">
        <w:t xml:space="preserve"> </w:t>
      </w:r>
      <w:r w:rsidR="00DD1997">
        <w:t xml:space="preserve">the </w:t>
      </w:r>
      <w:r w:rsidR="00DD1997">
        <w:rPr>
          <w:i/>
        </w:rPr>
        <w:t>Conceptual Framework for Financial Reporting</w:t>
      </w:r>
      <w:r>
        <w:t xml:space="preserve"> </w:t>
      </w:r>
      <w:r w:rsidR="00135E40">
        <w:t xml:space="preserve">and the International Financial Reporting Standard </w:t>
      </w:r>
      <w:r w:rsidR="00135E40" w:rsidRPr="00962B89">
        <w:rPr>
          <w:i/>
        </w:rPr>
        <w:t>Amendments to References to the Conceptual Framework in IFRS Standards</w:t>
      </w:r>
      <w:r w:rsidR="00135E40">
        <w:t xml:space="preserve"> </w:t>
      </w:r>
      <w:r w:rsidR="005D0DF1">
        <w:t>by the International Accounting Standards Board (IASB) in March 2018</w:t>
      </w:r>
      <w:r>
        <w:t>.</w:t>
      </w:r>
    </w:p>
    <w:p w14:paraId="71CFCB38" w14:textId="77777777" w:rsidR="00090A6F" w:rsidRPr="0000292B" w:rsidRDefault="00090A6F">
      <w:pPr>
        <w:pStyle w:val="Heading2"/>
      </w:pPr>
      <w:r w:rsidRPr="0000292B">
        <w:t>Application</w:t>
      </w:r>
    </w:p>
    <w:p w14:paraId="4BB42771" w14:textId="77777777" w:rsidR="005A6AC7" w:rsidRPr="00E46988" w:rsidRDefault="005A6AC7" w:rsidP="001E0F3B">
      <w:pPr>
        <w:pStyle w:val="NoNumPlain1"/>
      </w:pPr>
      <w:r>
        <w:t xml:space="preserve">The amendments set out in this Standard apply to entities and financial statements in accordance with the application of the other Standards and Interpretations set out in AASB 1057 </w:t>
      </w:r>
      <w:r>
        <w:rPr>
          <w:i/>
        </w:rPr>
        <w:t>Application of Australian Accounting Standards</w:t>
      </w:r>
      <w:r w:rsidRPr="005A6AC7">
        <w:t xml:space="preserve"> (as amended)</w:t>
      </w:r>
      <w:r>
        <w:rPr>
          <w:i/>
        </w:rPr>
        <w:t>.</w:t>
      </w:r>
    </w:p>
    <w:p w14:paraId="5959FCE1" w14:textId="77777777" w:rsidR="00090A6F" w:rsidRPr="00027E8B" w:rsidRDefault="00090A6F" w:rsidP="001E0F3B">
      <w:pPr>
        <w:pStyle w:val="NoNumPlain1"/>
      </w:pPr>
      <w:r w:rsidRPr="00027E8B">
        <w:t xml:space="preserve">This Standard applies to annual periods </w:t>
      </w:r>
      <w:r w:rsidR="005A6AC7">
        <w:fldChar w:fldCharType="begin" w:fldLock="1"/>
      </w:r>
      <w:r w:rsidR="005A6AC7">
        <w:instrText xml:space="preserve"> REF ApplyText \* charformat</w:instrText>
      </w:r>
      <w:r w:rsidR="002E3E23">
        <w:instrText xml:space="preserve"> \* MERGEFORMAT </w:instrText>
      </w:r>
      <w:r w:rsidR="005A6AC7">
        <w:fldChar w:fldCharType="separate"/>
      </w:r>
      <w:r w:rsidR="003A66C5">
        <w:t>beginning</w:t>
      </w:r>
      <w:r w:rsidR="005A6AC7">
        <w:fldChar w:fldCharType="end"/>
      </w:r>
      <w:r w:rsidRPr="00027E8B">
        <w:t xml:space="preserve"> on or after </w:t>
      </w:r>
      <w:r w:rsidR="005A6AC7">
        <w:fldChar w:fldCharType="begin" w:fldLock="1"/>
      </w:r>
      <w:r w:rsidR="005A6AC7">
        <w:instrText xml:space="preserve"> REF ApplyDate \* charformat</w:instrText>
      </w:r>
      <w:r w:rsidR="002E3E23">
        <w:instrText xml:space="preserve"> \* MERGEFORMAT </w:instrText>
      </w:r>
      <w:r w:rsidR="005A6AC7">
        <w:fldChar w:fldCharType="separate"/>
      </w:r>
      <w:r w:rsidR="003A66C5">
        <w:t>1 January 2020</w:t>
      </w:r>
      <w:r w:rsidR="005A6AC7">
        <w:fldChar w:fldCharType="end"/>
      </w:r>
      <w:r w:rsidRPr="00027E8B">
        <w:t>.</w:t>
      </w:r>
    </w:p>
    <w:p w14:paraId="6C4733FA" w14:textId="77777777" w:rsidR="00090A6F" w:rsidRPr="0000292B" w:rsidRDefault="00090A6F" w:rsidP="001E0F3B">
      <w:pPr>
        <w:pStyle w:val="NoNumPlain1"/>
      </w:pPr>
      <w:bookmarkStart w:id="19" w:name="EarlyYesPara"/>
      <w:r w:rsidRPr="0000292B">
        <w:t xml:space="preserve">This Standard may be applied to annual periods </w:t>
      </w:r>
      <w:bookmarkStart w:id="20" w:name="EarlyText"/>
      <w:r w:rsidR="00E839DA" w:rsidRPr="0000292B">
        <w:t>beginning</w:t>
      </w:r>
      <w:bookmarkEnd w:id="20"/>
      <w:r w:rsidRPr="0000292B">
        <w:t xml:space="preserve"> </w:t>
      </w:r>
      <w:r w:rsidR="0078116B" w:rsidRPr="0000292B">
        <w:t xml:space="preserve">before </w:t>
      </w:r>
      <w:r w:rsidR="00413C36">
        <w:fldChar w:fldCharType="begin" w:fldLock="1"/>
      </w:r>
      <w:r w:rsidR="00413C36">
        <w:instrText xml:space="preserve"> REF ApplyDate  \* charformat  </w:instrText>
      </w:r>
      <w:r w:rsidR="002E3E23">
        <w:instrText xml:space="preserve"> \* MERGEFORMAT </w:instrText>
      </w:r>
      <w:r w:rsidR="00413C36">
        <w:fldChar w:fldCharType="separate"/>
      </w:r>
      <w:r w:rsidR="003A66C5">
        <w:t>1 January 2020</w:t>
      </w:r>
      <w:r w:rsidR="00413C36">
        <w:fldChar w:fldCharType="end"/>
      </w:r>
      <w:r w:rsidRPr="0000292B">
        <w:t xml:space="preserve">.  When an entity applies this Standard to </w:t>
      </w:r>
      <w:r w:rsidR="00590051">
        <w:t xml:space="preserve">such </w:t>
      </w:r>
      <w:r w:rsidRPr="0000292B">
        <w:t>an annual period</w:t>
      </w:r>
      <w:r w:rsidR="00590051">
        <w:t>,</w:t>
      </w:r>
      <w:r w:rsidRPr="0000292B">
        <w:t xml:space="preserve"> it shall disclose that fact.</w:t>
      </w:r>
    </w:p>
    <w:bookmarkEnd w:id="19"/>
    <w:p w14:paraId="02A201C6" w14:textId="77777777" w:rsidR="00090A6F" w:rsidRDefault="0048155F" w:rsidP="001E0F3B">
      <w:pPr>
        <w:pStyle w:val="NoNumPlain1"/>
      </w:pPr>
      <w:r>
        <w:t>This Standard uses underlining, striking out and other typographical material to identify some of the amendments to a</w:t>
      </w:r>
      <w:r w:rsidR="00843E46">
        <w:t xml:space="preserve"> pronouncement</w:t>
      </w:r>
      <w:r>
        <w:t>, in order to make the amendments more understandable.  However, the amendments made by this Standard do not include that underlining, striking out or</w:t>
      </w:r>
      <w:r w:rsidR="003B6633">
        <w:t xml:space="preserve"> other typographical material</w:t>
      </w:r>
      <w:r w:rsidR="002E3E23">
        <w:t>.  Amended paragraphs are shown with deleted text struck through and new text underlined</w:t>
      </w:r>
      <w:r w:rsidR="003B6633">
        <w:t>.</w:t>
      </w:r>
      <w:r w:rsidR="00254B16">
        <w:t xml:space="preserve">  Ellipses (…) are used to help provide the context within which amendments are made and also to indicate text that is not amended.</w:t>
      </w:r>
    </w:p>
    <w:p w14:paraId="1C2AB776" w14:textId="77777777" w:rsidR="002E03F5" w:rsidRDefault="002E03F5" w:rsidP="002E3E23">
      <w:pPr>
        <w:pStyle w:val="NumBold1"/>
        <w:numPr>
          <w:ilvl w:val="0"/>
          <w:numId w:val="0"/>
        </w:numPr>
        <w:jc w:val="left"/>
      </w:pPr>
      <w:r>
        <w:br w:type="page"/>
      </w:r>
    </w:p>
    <w:p w14:paraId="2BEC0CC0" w14:textId="77777777" w:rsidR="003A66C5" w:rsidRDefault="003A66C5" w:rsidP="006D3CFA">
      <w:pPr>
        <w:pStyle w:val="Heading2"/>
      </w:pPr>
      <w:r>
        <w:t xml:space="preserve">Amendments to </w:t>
      </w:r>
      <w:r w:rsidR="00DA2F37">
        <w:t xml:space="preserve">the </w:t>
      </w:r>
      <w:r w:rsidRPr="00135E40">
        <w:rPr>
          <w:i/>
        </w:rPr>
        <w:t>Framework</w:t>
      </w:r>
      <w:r w:rsidR="000D10F9" w:rsidRPr="00135E40">
        <w:rPr>
          <w:i/>
        </w:rPr>
        <w:t xml:space="preserve"> for </w:t>
      </w:r>
      <w:r w:rsidR="00DA2F37" w:rsidRPr="00135E40">
        <w:rPr>
          <w:i/>
        </w:rPr>
        <w:t xml:space="preserve">the Preparation and Presentation of Financial </w:t>
      </w:r>
      <w:r w:rsidR="008008F3" w:rsidRPr="00135E40">
        <w:rPr>
          <w:i/>
        </w:rPr>
        <w:t>Statements</w:t>
      </w:r>
    </w:p>
    <w:p w14:paraId="19B1F48C" w14:textId="77777777" w:rsidR="000D10F9" w:rsidRPr="000D10F9" w:rsidRDefault="000D10F9" w:rsidP="00882926">
      <w:pPr>
        <w:pBdr>
          <w:top w:val="single" w:sz="4" w:space="1" w:color="auto"/>
          <w:left w:val="single" w:sz="4" w:space="4" w:color="auto"/>
          <w:bottom w:val="single" w:sz="4" w:space="1" w:color="auto"/>
          <w:right w:val="single" w:sz="4" w:space="4" w:color="auto"/>
        </w:pBdr>
        <w:autoSpaceDE w:val="0"/>
        <w:autoSpaceDN w:val="0"/>
        <w:adjustRightInd w:val="0"/>
        <w:jc w:val="left"/>
        <w:rPr>
          <w:szCs w:val="19"/>
        </w:rPr>
      </w:pPr>
      <w:r w:rsidRPr="0067049C">
        <w:rPr>
          <w:szCs w:val="19"/>
        </w:rPr>
        <w:t>Paragraph</w:t>
      </w:r>
      <w:r w:rsidR="006849FE" w:rsidRPr="0067049C">
        <w:rPr>
          <w:szCs w:val="19"/>
        </w:rPr>
        <w:t xml:space="preserve">s </w:t>
      </w:r>
      <w:r w:rsidRPr="0067049C">
        <w:rPr>
          <w:szCs w:val="19"/>
        </w:rPr>
        <w:t xml:space="preserve">Aus1.2A </w:t>
      </w:r>
      <w:r w:rsidR="006849FE" w:rsidRPr="0067049C">
        <w:rPr>
          <w:szCs w:val="19"/>
        </w:rPr>
        <w:t xml:space="preserve">and Aus1.2B are </w:t>
      </w:r>
      <w:r w:rsidRPr="0067049C">
        <w:rPr>
          <w:szCs w:val="19"/>
        </w:rPr>
        <w:t>added.</w:t>
      </w:r>
    </w:p>
    <w:p w14:paraId="5AFF6DAF" w14:textId="77777777" w:rsidR="000D10F9" w:rsidRPr="00DB2618" w:rsidRDefault="000D10F9" w:rsidP="006E19B0">
      <w:pPr>
        <w:pStyle w:val="Heading1"/>
        <w:spacing w:before="240"/>
        <w:rPr>
          <w:rFonts w:ascii="Times New Roman" w:hAnsi="Times New Roman" w:cs="Times New Roman"/>
        </w:rPr>
      </w:pPr>
      <w:r w:rsidRPr="00DB2618">
        <w:rPr>
          <w:rFonts w:ascii="Times New Roman" w:hAnsi="Times New Roman" w:cs="Times New Roman"/>
        </w:rPr>
        <w:t>Application</w:t>
      </w:r>
    </w:p>
    <w:p w14:paraId="141FAFB7" w14:textId="77777777" w:rsidR="000D10F9" w:rsidRPr="000D10F9" w:rsidRDefault="000D10F9" w:rsidP="00882926">
      <w:pPr>
        <w:jc w:val="left"/>
        <w:rPr>
          <w:szCs w:val="19"/>
        </w:rPr>
      </w:pPr>
      <w:r w:rsidRPr="000D10F9">
        <w:rPr>
          <w:szCs w:val="19"/>
        </w:rPr>
        <w:t>…</w:t>
      </w:r>
    </w:p>
    <w:p w14:paraId="2E2D614A" w14:textId="77777777" w:rsidR="000D10F9" w:rsidRPr="006805FC" w:rsidRDefault="000D10F9" w:rsidP="006805FC">
      <w:pPr>
        <w:pStyle w:val="IASBNormalnpara"/>
        <w:rPr>
          <w:u w:val="single"/>
        </w:rPr>
      </w:pPr>
      <w:r w:rsidRPr="006805FC">
        <w:rPr>
          <w:u w:val="single"/>
        </w:rPr>
        <w:t>Aus1.2</w:t>
      </w:r>
      <w:r w:rsidR="002E3E23" w:rsidRPr="006805FC">
        <w:rPr>
          <w:u w:val="single"/>
        </w:rPr>
        <w:t>A</w:t>
      </w:r>
      <w:r w:rsidRPr="006805FC">
        <w:rPr>
          <w:u w:val="single"/>
        </w:rPr>
        <w:tab/>
        <w:t xml:space="preserve">This </w:t>
      </w:r>
      <w:r w:rsidRPr="006805FC">
        <w:rPr>
          <w:i/>
          <w:u w:val="single"/>
        </w:rPr>
        <w:t>Framework</w:t>
      </w:r>
      <w:r w:rsidRPr="006805FC">
        <w:rPr>
          <w:u w:val="single"/>
        </w:rPr>
        <w:t xml:space="preserve"> </w:t>
      </w:r>
      <w:r w:rsidR="002E3E23" w:rsidRPr="006805FC">
        <w:rPr>
          <w:u w:val="single"/>
        </w:rPr>
        <w:t xml:space="preserve">does not apply in relation to reporting </w:t>
      </w:r>
      <w:r w:rsidRPr="006805FC">
        <w:rPr>
          <w:u w:val="single"/>
        </w:rPr>
        <w:t>periods beginning on or after 1 January</w:t>
      </w:r>
      <w:r w:rsidR="00135E40" w:rsidRPr="006805FC">
        <w:rPr>
          <w:u w:val="single"/>
        </w:rPr>
        <w:t xml:space="preserve"> </w:t>
      </w:r>
      <w:r w:rsidR="002E3E23" w:rsidRPr="006805FC">
        <w:rPr>
          <w:u w:val="single"/>
        </w:rPr>
        <w:t>2020 to</w:t>
      </w:r>
      <w:r w:rsidRPr="006805FC">
        <w:rPr>
          <w:u w:val="single"/>
        </w:rPr>
        <w:t>:</w:t>
      </w:r>
    </w:p>
    <w:p w14:paraId="1DFA3298" w14:textId="4796193E" w:rsidR="000D10F9" w:rsidRPr="006805FC" w:rsidRDefault="006805FC" w:rsidP="006805FC">
      <w:pPr>
        <w:pStyle w:val="IASBNormalnparaL1"/>
        <w:rPr>
          <w:u w:val="single"/>
        </w:rPr>
      </w:pPr>
      <w:r w:rsidRPr="006805FC">
        <w:rPr>
          <w:u w:val="single"/>
        </w:rPr>
        <w:t>(a)</w:t>
      </w:r>
      <w:r w:rsidRPr="006805FC">
        <w:rPr>
          <w:u w:val="single"/>
        </w:rPr>
        <w:tab/>
      </w:r>
      <w:r w:rsidR="000D10F9" w:rsidRPr="006805FC">
        <w:rPr>
          <w:u w:val="single"/>
        </w:rPr>
        <w:t>for-profit private sector entities that have public accountability</w:t>
      </w:r>
      <w:r w:rsidR="00B743EA" w:rsidRPr="006805FC">
        <w:rPr>
          <w:u w:val="single"/>
        </w:rPr>
        <w:t>*</w:t>
      </w:r>
      <w:r w:rsidR="000D10F9" w:rsidRPr="006805FC">
        <w:rPr>
          <w:u w:val="single"/>
        </w:rPr>
        <w:t xml:space="preserve"> </w:t>
      </w:r>
      <w:r w:rsidR="00CA1DD7" w:rsidRPr="006805FC">
        <w:rPr>
          <w:u w:val="single"/>
        </w:rPr>
        <w:t>and</w:t>
      </w:r>
      <w:r w:rsidR="000D10F9" w:rsidRPr="006805FC">
        <w:rPr>
          <w:u w:val="single"/>
        </w:rPr>
        <w:t xml:space="preserve"> are required by legislation to comply with Australian Accounting Standards; and </w:t>
      </w:r>
    </w:p>
    <w:p w14:paraId="2273BB7A" w14:textId="0262D814" w:rsidR="000D10F9" w:rsidRPr="006805FC" w:rsidRDefault="006805FC" w:rsidP="006805FC">
      <w:pPr>
        <w:pStyle w:val="IASBNormalnparaL1"/>
        <w:rPr>
          <w:u w:val="single"/>
        </w:rPr>
      </w:pPr>
      <w:r w:rsidRPr="006805FC">
        <w:rPr>
          <w:u w:val="single"/>
        </w:rPr>
        <w:t>(b)</w:t>
      </w:r>
      <w:r w:rsidRPr="006805FC">
        <w:rPr>
          <w:u w:val="single"/>
        </w:rPr>
        <w:tab/>
      </w:r>
      <w:r w:rsidR="000D10F9" w:rsidRPr="006805FC">
        <w:rPr>
          <w:u w:val="single"/>
        </w:rPr>
        <w:t xml:space="preserve">other for-profit entities that elect to apply the </w:t>
      </w:r>
      <w:r w:rsidR="000D10F9" w:rsidRPr="006805FC">
        <w:rPr>
          <w:i/>
          <w:u w:val="single"/>
        </w:rPr>
        <w:t>Conceptual Framework for Financial Reporting</w:t>
      </w:r>
      <w:r w:rsidR="000D10F9" w:rsidRPr="006805FC">
        <w:rPr>
          <w:u w:val="single"/>
        </w:rPr>
        <w:t xml:space="preserve"> and the consequential amendments to other pronouncements set out in AASB </w:t>
      </w:r>
      <w:r w:rsidR="00043A3E">
        <w:rPr>
          <w:u w:val="single"/>
        </w:rPr>
        <w:t>2019-1</w:t>
      </w:r>
      <w:r w:rsidR="000D10F9" w:rsidRPr="006805FC">
        <w:rPr>
          <w:u w:val="single"/>
        </w:rPr>
        <w:t xml:space="preserve"> </w:t>
      </w:r>
      <w:r w:rsidR="000D10F9" w:rsidRPr="006805FC">
        <w:rPr>
          <w:i/>
          <w:u w:val="single"/>
        </w:rPr>
        <w:t>Amendments to Australian Accounting Standards – References to the Conceptual Framework</w:t>
      </w:r>
      <w:r w:rsidR="003C5448" w:rsidRPr="006805FC">
        <w:rPr>
          <w:u w:val="single"/>
        </w:rPr>
        <w:t>;</w:t>
      </w:r>
    </w:p>
    <w:p w14:paraId="4CEBEB05" w14:textId="77777777" w:rsidR="008535F4" w:rsidRPr="006805FC" w:rsidRDefault="008535F4" w:rsidP="006805FC">
      <w:pPr>
        <w:pStyle w:val="IASBNormalnparaL1"/>
        <w:rPr>
          <w:szCs w:val="19"/>
          <w:u w:val="single"/>
        </w:rPr>
      </w:pPr>
      <w:r w:rsidRPr="006805FC">
        <w:rPr>
          <w:u w:val="single"/>
        </w:rPr>
        <w:t xml:space="preserve">except as </w:t>
      </w:r>
      <w:r w:rsidR="0084451A" w:rsidRPr="006805FC">
        <w:rPr>
          <w:u w:val="single"/>
        </w:rPr>
        <w:t xml:space="preserve">otherwise </w:t>
      </w:r>
      <w:r w:rsidRPr="006805FC">
        <w:rPr>
          <w:u w:val="single"/>
        </w:rPr>
        <w:t>required by Australian Accounting Standards</w:t>
      </w:r>
      <w:r w:rsidR="00F9270A" w:rsidRPr="006805FC">
        <w:rPr>
          <w:u w:val="single"/>
        </w:rPr>
        <w:t>.</w:t>
      </w:r>
      <w:r w:rsidRPr="006805FC">
        <w:rPr>
          <w:u w:val="single"/>
        </w:rPr>
        <w:t xml:space="preserve"> </w:t>
      </w:r>
    </w:p>
    <w:p w14:paraId="7930DC82" w14:textId="77777777" w:rsidR="006805FC" w:rsidRPr="00544275" w:rsidRDefault="006805FC" w:rsidP="00544275">
      <w:pPr>
        <w:pStyle w:val="IASBNormalnparaL1"/>
        <w:ind w:left="1491" w:hanging="709"/>
        <w:rPr>
          <w:sz w:val="16"/>
          <w:szCs w:val="16"/>
        </w:rPr>
      </w:pPr>
      <w:r w:rsidRPr="00544275">
        <w:rPr>
          <w:sz w:val="16"/>
          <w:szCs w:val="16"/>
          <w:u w:val="single"/>
        </w:rPr>
        <w:t>*</w:t>
      </w:r>
      <w:r w:rsidRPr="00544275">
        <w:rPr>
          <w:sz w:val="16"/>
          <w:szCs w:val="16"/>
        </w:rPr>
        <w:t xml:space="preserve"> </w:t>
      </w:r>
      <w:r w:rsidRPr="00544275">
        <w:rPr>
          <w:sz w:val="16"/>
          <w:szCs w:val="16"/>
        </w:rPr>
        <w:tab/>
      </w:r>
      <w:r w:rsidRPr="00544275">
        <w:rPr>
          <w:sz w:val="16"/>
          <w:szCs w:val="16"/>
          <w:u w:val="single"/>
        </w:rPr>
        <w:t xml:space="preserve">The term ‘public accountability’ is defined in AASB 1053 </w:t>
      </w:r>
      <w:r w:rsidRPr="00544275">
        <w:rPr>
          <w:i/>
          <w:sz w:val="16"/>
          <w:szCs w:val="16"/>
          <w:u w:val="single"/>
        </w:rPr>
        <w:t>Application of Tiers of Australian Accounting Standards</w:t>
      </w:r>
      <w:r w:rsidRPr="00544275">
        <w:rPr>
          <w:sz w:val="16"/>
          <w:szCs w:val="16"/>
          <w:u w:val="single"/>
        </w:rPr>
        <w:t>.</w:t>
      </w:r>
    </w:p>
    <w:p w14:paraId="5C6FC0B7" w14:textId="5EB93D5C" w:rsidR="000D10F9" w:rsidRPr="00544275" w:rsidRDefault="000D10F9" w:rsidP="006805FC">
      <w:pPr>
        <w:pStyle w:val="IASBNormalnpara"/>
        <w:rPr>
          <w:u w:val="single"/>
        </w:rPr>
      </w:pPr>
      <w:r w:rsidRPr="00544275">
        <w:rPr>
          <w:u w:val="single"/>
        </w:rPr>
        <w:t>Aus1.2</w:t>
      </w:r>
      <w:r w:rsidR="002E3E23" w:rsidRPr="00544275">
        <w:rPr>
          <w:u w:val="single"/>
        </w:rPr>
        <w:t>B</w:t>
      </w:r>
      <w:r w:rsidRPr="00544275">
        <w:rPr>
          <w:u w:val="single"/>
        </w:rPr>
        <w:tab/>
      </w:r>
      <w:r w:rsidR="002E3E23" w:rsidRPr="00544275">
        <w:rPr>
          <w:u w:val="single"/>
        </w:rPr>
        <w:t>If</w:t>
      </w:r>
      <w:r w:rsidRPr="00544275">
        <w:rPr>
          <w:u w:val="single"/>
        </w:rPr>
        <w:t xml:space="preserve"> an entity identified in paragraph Aus1.2</w:t>
      </w:r>
      <w:r w:rsidR="002E3E23" w:rsidRPr="00544275">
        <w:rPr>
          <w:u w:val="single"/>
        </w:rPr>
        <w:t>A</w:t>
      </w:r>
      <w:r w:rsidR="0007575B" w:rsidRPr="00544275">
        <w:rPr>
          <w:u w:val="single"/>
        </w:rPr>
        <w:t xml:space="preserve"> elects to</w:t>
      </w:r>
      <w:r w:rsidRPr="00544275">
        <w:rPr>
          <w:u w:val="single"/>
        </w:rPr>
        <w:t xml:space="preserve"> </w:t>
      </w:r>
      <w:r w:rsidR="003C5448" w:rsidRPr="00544275">
        <w:rPr>
          <w:u w:val="single"/>
        </w:rPr>
        <w:t>apply</w:t>
      </w:r>
      <w:r w:rsidR="003C5448" w:rsidRPr="00544275" w:rsidDel="0007575B">
        <w:rPr>
          <w:u w:val="single"/>
        </w:rPr>
        <w:t xml:space="preserve"> </w:t>
      </w:r>
      <w:r w:rsidRPr="00544275">
        <w:rPr>
          <w:u w:val="single"/>
        </w:rPr>
        <w:t xml:space="preserve">the </w:t>
      </w:r>
      <w:r w:rsidRPr="00544275">
        <w:rPr>
          <w:i/>
          <w:u w:val="single"/>
        </w:rPr>
        <w:t>Conceptual Framework for Financial Reporting</w:t>
      </w:r>
      <w:r w:rsidRPr="00544275">
        <w:rPr>
          <w:u w:val="single"/>
        </w:rPr>
        <w:t xml:space="preserve"> to an annual reporting period beginning before 1 January 2020</w:t>
      </w:r>
      <w:r w:rsidR="002E3E23" w:rsidRPr="00544275">
        <w:rPr>
          <w:u w:val="single"/>
        </w:rPr>
        <w:t>, the entity</w:t>
      </w:r>
      <w:r w:rsidRPr="00544275">
        <w:rPr>
          <w:u w:val="single"/>
        </w:rPr>
        <w:t xml:space="preserve"> shall not apply this </w:t>
      </w:r>
      <w:r w:rsidRPr="00544275">
        <w:rPr>
          <w:i/>
          <w:u w:val="single"/>
        </w:rPr>
        <w:t>Framework</w:t>
      </w:r>
      <w:r w:rsidR="002E3E23" w:rsidRPr="00544275">
        <w:rPr>
          <w:i/>
          <w:u w:val="single"/>
        </w:rPr>
        <w:t xml:space="preserve"> </w:t>
      </w:r>
      <w:r w:rsidR="002E3E23" w:rsidRPr="00544275">
        <w:rPr>
          <w:u w:val="single"/>
        </w:rPr>
        <w:t>to that period</w:t>
      </w:r>
      <w:r w:rsidR="00437C30" w:rsidRPr="00544275">
        <w:rPr>
          <w:u w:val="single"/>
        </w:rPr>
        <w:t xml:space="preserve">, </w:t>
      </w:r>
      <w:r w:rsidR="008535F4" w:rsidRPr="00544275">
        <w:rPr>
          <w:u w:val="single"/>
        </w:rPr>
        <w:t xml:space="preserve">except as </w:t>
      </w:r>
      <w:r w:rsidR="0084451A" w:rsidRPr="00544275">
        <w:rPr>
          <w:u w:val="single"/>
        </w:rPr>
        <w:t xml:space="preserve">otherwise </w:t>
      </w:r>
      <w:r w:rsidR="00437C30" w:rsidRPr="00544275">
        <w:rPr>
          <w:u w:val="single"/>
        </w:rPr>
        <w:t>required by Australian Accounting Standard</w:t>
      </w:r>
      <w:r w:rsidR="008535F4" w:rsidRPr="00544275">
        <w:rPr>
          <w:u w:val="single"/>
        </w:rPr>
        <w:t>s</w:t>
      </w:r>
      <w:r w:rsidR="00437C30" w:rsidRPr="00544275">
        <w:rPr>
          <w:u w:val="single"/>
        </w:rPr>
        <w:t>.</w:t>
      </w:r>
    </w:p>
    <w:p w14:paraId="46412231" w14:textId="77777777" w:rsidR="003A66C5" w:rsidRDefault="003A66C5" w:rsidP="00C87FAF">
      <w:pPr>
        <w:pStyle w:val="Heading2"/>
        <w:jc w:val="both"/>
      </w:pPr>
      <w:r>
        <w:t>Amendments to Statement of Accounting Concepts SAC 1</w:t>
      </w:r>
    </w:p>
    <w:p w14:paraId="4BC9995A" w14:textId="77777777" w:rsidR="000D10F9" w:rsidRPr="000D10F9" w:rsidRDefault="000D10F9"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0D10F9">
        <w:rPr>
          <w:szCs w:val="19"/>
        </w:rPr>
        <w:t>Paragraphs 2A and 2B are added.</w:t>
      </w:r>
    </w:p>
    <w:p w14:paraId="100CEC96" w14:textId="77777777" w:rsidR="00DB2618" w:rsidRDefault="00DB2618" w:rsidP="00C87FAF">
      <w:pPr>
        <w:autoSpaceDE w:val="0"/>
        <w:autoSpaceDN w:val="0"/>
        <w:adjustRightInd w:val="0"/>
        <w:rPr>
          <w:szCs w:val="19"/>
        </w:rPr>
      </w:pPr>
    </w:p>
    <w:p w14:paraId="5ADCF6A1" w14:textId="77777777" w:rsidR="000D10F9" w:rsidRPr="00DB2618" w:rsidRDefault="00DB2618" w:rsidP="00C87FAF">
      <w:pPr>
        <w:autoSpaceDE w:val="0"/>
        <w:autoSpaceDN w:val="0"/>
        <w:adjustRightInd w:val="0"/>
        <w:spacing w:after="100"/>
        <w:rPr>
          <w:i/>
          <w:szCs w:val="19"/>
          <w:u w:val="single"/>
        </w:rPr>
      </w:pPr>
      <w:r>
        <w:rPr>
          <w:i/>
          <w:szCs w:val="19"/>
          <w:u w:val="single"/>
        </w:rPr>
        <w:t>Application and Operative Date</w:t>
      </w:r>
    </w:p>
    <w:p w14:paraId="69EE6AE8" w14:textId="77777777" w:rsidR="000D10F9" w:rsidRPr="000D10F9" w:rsidRDefault="000D10F9" w:rsidP="00C87FAF">
      <w:pPr>
        <w:autoSpaceDE w:val="0"/>
        <w:autoSpaceDN w:val="0"/>
        <w:adjustRightInd w:val="0"/>
        <w:rPr>
          <w:szCs w:val="19"/>
        </w:rPr>
      </w:pPr>
      <w:r w:rsidRPr="000D10F9">
        <w:rPr>
          <w:szCs w:val="19"/>
        </w:rPr>
        <w:t xml:space="preserve">… </w:t>
      </w:r>
    </w:p>
    <w:p w14:paraId="58107FB6" w14:textId="77777777" w:rsidR="000D10F9" w:rsidRPr="00137756" w:rsidRDefault="000D10F9" w:rsidP="00544275">
      <w:pPr>
        <w:pStyle w:val="IASBNormalnpara"/>
        <w:rPr>
          <w:u w:val="single"/>
        </w:rPr>
      </w:pPr>
      <w:r w:rsidRPr="00137756">
        <w:rPr>
          <w:u w:val="single"/>
        </w:rPr>
        <w:t>2A</w:t>
      </w:r>
      <w:r w:rsidRPr="00137756">
        <w:rPr>
          <w:u w:val="single"/>
        </w:rPr>
        <w:tab/>
        <w:t>This Statement does not apply in relation to reporting periods beginning on or after 1 January 2020 to:</w:t>
      </w:r>
    </w:p>
    <w:p w14:paraId="0C00479B" w14:textId="6477069C" w:rsidR="000D10F9" w:rsidRPr="00137756" w:rsidRDefault="00544275" w:rsidP="00544275">
      <w:pPr>
        <w:pStyle w:val="IASBNormalnparaL1"/>
        <w:rPr>
          <w:u w:val="single"/>
        </w:rPr>
      </w:pPr>
      <w:r w:rsidRPr="00137756">
        <w:rPr>
          <w:u w:val="single"/>
        </w:rPr>
        <w:t>(a)</w:t>
      </w:r>
      <w:r w:rsidRPr="00137756">
        <w:rPr>
          <w:u w:val="single"/>
        </w:rPr>
        <w:tab/>
      </w:r>
      <w:r w:rsidR="000D10F9" w:rsidRPr="00137756">
        <w:rPr>
          <w:u w:val="single"/>
        </w:rPr>
        <w:t xml:space="preserve">for-profit </w:t>
      </w:r>
      <w:r w:rsidR="00B317FD" w:rsidRPr="00137756">
        <w:rPr>
          <w:u w:val="single"/>
        </w:rPr>
        <w:t xml:space="preserve">private sector </w:t>
      </w:r>
      <w:r w:rsidR="000D10F9" w:rsidRPr="00137756">
        <w:rPr>
          <w:u w:val="single"/>
        </w:rPr>
        <w:t>entities that have public accountability</w:t>
      </w:r>
      <w:r w:rsidR="00B743EA" w:rsidRPr="00137756">
        <w:rPr>
          <w:u w:val="single"/>
        </w:rPr>
        <w:t>*</w:t>
      </w:r>
      <w:r w:rsidR="000D10F9" w:rsidRPr="00137756">
        <w:rPr>
          <w:u w:val="single"/>
        </w:rPr>
        <w:t xml:space="preserve"> </w:t>
      </w:r>
      <w:r w:rsidR="00CA1DD7" w:rsidRPr="00137756">
        <w:rPr>
          <w:u w:val="single"/>
        </w:rPr>
        <w:t>and</w:t>
      </w:r>
      <w:r w:rsidR="000D10F9" w:rsidRPr="00137756">
        <w:rPr>
          <w:u w:val="single"/>
        </w:rPr>
        <w:t xml:space="preserve"> are required by legislation to comply with Australian Accounting Standards; and </w:t>
      </w:r>
    </w:p>
    <w:p w14:paraId="01C7BAA9" w14:textId="4290CCE6" w:rsidR="000D10F9" w:rsidRPr="00137756" w:rsidRDefault="00544275" w:rsidP="00544275">
      <w:pPr>
        <w:pStyle w:val="IASBNormalnparaL1"/>
        <w:rPr>
          <w:u w:val="single"/>
        </w:rPr>
      </w:pPr>
      <w:r w:rsidRPr="00137756">
        <w:rPr>
          <w:u w:val="single"/>
        </w:rPr>
        <w:t>(b)</w:t>
      </w:r>
      <w:r w:rsidRPr="00137756">
        <w:rPr>
          <w:u w:val="single"/>
        </w:rPr>
        <w:tab/>
      </w:r>
      <w:r w:rsidR="000D10F9" w:rsidRPr="00137756">
        <w:rPr>
          <w:u w:val="single"/>
        </w:rPr>
        <w:t xml:space="preserve">other for-profit entities that elect to apply the </w:t>
      </w:r>
      <w:r w:rsidR="000D10F9" w:rsidRPr="00137756">
        <w:rPr>
          <w:i/>
          <w:iCs/>
          <w:u w:val="single"/>
        </w:rPr>
        <w:t xml:space="preserve">Conceptual Framework for Financial Reporting </w:t>
      </w:r>
      <w:r w:rsidR="000D10F9" w:rsidRPr="00137756">
        <w:rPr>
          <w:u w:val="single"/>
        </w:rPr>
        <w:t>and the consequential amendments to other pronouncements set out in AASB </w:t>
      </w:r>
      <w:r w:rsidR="00043A3E">
        <w:rPr>
          <w:u w:val="single"/>
        </w:rPr>
        <w:t>2019-1</w:t>
      </w:r>
      <w:r w:rsidR="000D10F9" w:rsidRPr="00137756">
        <w:rPr>
          <w:u w:val="single"/>
        </w:rPr>
        <w:t xml:space="preserve"> </w:t>
      </w:r>
      <w:r w:rsidR="000D10F9" w:rsidRPr="00137756">
        <w:rPr>
          <w:i/>
          <w:iCs/>
          <w:u w:val="single"/>
        </w:rPr>
        <w:t>Amendments to Australian Accounting Standards – References to the Conceptual Framework</w:t>
      </w:r>
      <w:r w:rsidR="000D10F9" w:rsidRPr="00137756">
        <w:rPr>
          <w:u w:val="single"/>
        </w:rPr>
        <w:t>.</w:t>
      </w:r>
    </w:p>
    <w:p w14:paraId="169617E2" w14:textId="77777777" w:rsidR="00544275" w:rsidRPr="00137756" w:rsidRDefault="00544275" w:rsidP="00544275">
      <w:pPr>
        <w:pStyle w:val="IASBNormalnparaL1"/>
        <w:ind w:left="1491" w:hanging="709"/>
        <w:rPr>
          <w:sz w:val="16"/>
          <w:szCs w:val="16"/>
          <w:u w:val="single"/>
        </w:rPr>
      </w:pPr>
      <w:r w:rsidRPr="00137756">
        <w:rPr>
          <w:sz w:val="16"/>
          <w:szCs w:val="16"/>
          <w:u w:val="single"/>
        </w:rPr>
        <w:t xml:space="preserve">* </w:t>
      </w:r>
      <w:r w:rsidRPr="00137756">
        <w:rPr>
          <w:sz w:val="16"/>
          <w:szCs w:val="16"/>
        </w:rPr>
        <w:tab/>
      </w:r>
      <w:r w:rsidRPr="00137756">
        <w:rPr>
          <w:sz w:val="16"/>
          <w:szCs w:val="16"/>
          <w:u w:val="single"/>
        </w:rPr>
        <w:t xml:space="preserve">The term ‘public accountability’ is defined in AASB 1053 </w:t>
      </w:r>
      <w:r w:rsidRPr="00137756">
        <w:rPr>
          <w:i/>
          <w:sz w:val="16"/>
          <w:szCs w:val="16"/>
          <w:u w:val="single"/>
        </w:rPr>
        <w:t>Application of Tiers of Australian Accounting Standards</w:t>
      </w:r>
      <w:r w:rsidRPr="00137756">
        <w:rPr>
          <w:sz w:val="16"/>
          <w:szCs w:val="16"/>
          <w:u w:val="single"/>
        </w:rPr>
        <w:t>.</w:t>
      </w:r>
    </w:p>
    <w:p w14:paraId="3EE85EF6" w14:textId="0373DAF3" w:rsidR="003A66C5" w:rsidRPr="00137756" w:rsidRDefault="000D10F9" w:rsidP="00544275">
      <w:pPr>
        <w:pStyle w:val="IASBNormalnpara"/>
        <w:rPr>
          <w:u w:val="single"/>
        </w:rPr>
      </w:pPr>
      <w:r w:rsidRPr="00137756">
        <w:rPr>
          <w:u w:val="single"/>
        </w:rPr>
        <w:t>2B</w:t>
      </w:r>
      <w:r w:rsidRPr="00137756">
        <w:rPr>
          <w:u w:val="single"/>
        </w:rPr>
        <w:tab/>
      </w:r>
      <w:r w:rsidR="002E3E23" w:rsidRPr="00137756">
        <w:rPr>
          <w:u w:val="single"/>
        </w:rPr>
        <w:t xml:space="preserve">If </w:t>
      </w:r>
      <w:r w:rsidRPr="00137756">
        <w:rPr>
          <w:u w:val="single"/>
        </w:rPr>
        <w:t xml:space="preserve">an entity identified in paragraph 2A </w:t>
      </w:r>
      <w:r w:rsidR="0007575B" w:rsidRPr="00137756">
        <w:rPr>
          <w:u w:val="single"/>
        </w:rPr>
        <w:t xml:space="preserve">elects to </w:t>
      </w:r>
      <w:r w:rsidR="003C5448" w:rsidRPr="00137756">
        <w:rPr>
          <w:u w:val="single"/>
        </w:rPr>
        <w:t>apply</w:t>
      </w:r>
      <w:r w:rsidR="003C5448" w:rsidRPr="00137756" w:rsidDel="0007575B">
        <w:rPr>
          <w:u w:val="single"/>
        </w:rPr>
        <w:t xml:space="preserve"> </w:t>
      </w:r>
      <w:r w:rsidRPr="00137756">
        <w:rPr>
          <w:u w:val="single"/>
        </w:rPr>
        <w:t xml:space="preserve">the </w:t>
      </w:r>
      <w:r w:rsidRPr="00137756">
        <w:rPr>
          <w:i/>
          <w:u w:val="single"/>
        </w:rPr>
        <w:t>Conceptual Framework for Financial Reporting</w:t>
      </w:r>
      <w:r w:rsidRPr="00137756">
        <w:rPr>
          <w:u w:val="single"/>
        </w:rPr>
        <w:t xml:space="preserve"> to an annual reporting period beginning before 1 January 2020, </w:t>
      </w:r>
      <w:r w:rsidR="002E3E23" w:rsidRPr="00137756">
        <w:rPr>
          <w:u w:val="single"/>
        </w:rPr>
        <w:t>the entity</w:t>
      </w:r>
      <w:r w:rsidRPr="00137756">
        <w:rPr>
          <w:u w:val="single"/>
        </w:rPr>
        <w:t xml:space="preserve"> shall not apply this Statement</w:t>
      </w:r>
      <w:r w:rsidR="002E3E23" w:rsidRPr="00137756">
        <w:rPr>
          <w:u w:val="single"/>
        </w:rPr>
        <w:t xml:space="preserve"> to that period</w:t>
      </w:r>
      <w:r w:rsidRPr="00137756">
        <w:rPr>
          <w:u w:val="single"/>
        </w:rPr>
        <w:t>.</w:t>
      </w:r>
    </w:p>
    <w:p w14:paraId="738FCB98" w14:textId="77777777" w:rsidR="003A66C5" w:rsidRDefault="004C4BAD" w:rsidP="00C87FAF">
      <w:pPr>
        <w:pStyle w:val="Heading2"/>
        <w:jc w:val="both"/>
      </w:pPr>
      <w:r>
        <w:t>Amendments to AASB 2</w:t>
      </w:r>
    </w:p>
    <w:p w14:paraId="6E828A51" w14:textId="77777777" w:rsidR="00AB0CA0" w:rsidRPr="00AB0CA0" w:rsidRDefault="00AB0CA0"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AB0CA0">
        <w:rPr>
          <w:szCs w:val="19"/>
        </w:rPr>
        <w:t xml:space="preserve">Paragraphs AusCF1 and 63E </w:t>
      </w:r>
      <w:r w:rsidR="00950949">
        <w:rPr>
          <w:szCs w:val="19"/>
        </w:rPr>
        <w:t>are</w:t>
      </w:r>
      <w:r w:rsidRPr="00AB0CA0">
        <w:rPr>
          <w:szCs w:val="19"/>
        </w:rPr>
        <w:t xml:space="preserve"> added.</w:t>
      </w:r>
    </w:p>
    <w:p w14:paraId="21012842" w14:textId="77777777" w:rsidR="00AB0CA0" w:rsidRPr="004C4BAD" w:rsidRDefault="00AB0CA0" w:rsidP="00C87FAF">
      <w:pPr>
        <w:pBdr>
          <w:bottom w:val="single" w:sz="4" w:space="1" w:color="auto"/>
        </w:pBdr>
        <w:autoSpaceDE w:val="0"/>
        <w:autoSpaceDN w:val="0"/>
        <w:adjustRightInd w:val="0"/>
        <w:spacing w:before="240"/>
        <w:rPr>
          <w:rFonts w:ascii="Arial" w:hAnsi="Arial" w:cs="Arial"/>
          <w:b/>
          <w:iCs/>
          <w:sz w:val="26"/>
          <w:szCs w:val="28"/>
        </w:rPr>
      </w:pPr>
      <w:r w:rsidRPr="004C4BAD">
        <w:rPr>
          <w:rFonts w:ascii="Arial" w:hAnsi="Arial" w:cs="Arial"/>
          <w:b/>
          <w:iCs/>
          <w:sz w:val="26"/>
          <w:szCs w:val="28"/>
        </w:rPr>
        <w:t>Objective</w:t>
      </w:r>
    </w:p>
    <w:p w14:paraId="447235EE" w14:textId="77777777" w:rsidR="00AB0CA0" w:rsidRDefault="00AB0CA0" w:rsidP="00C87FAF">
      <w:pPr>
        <w:autoSpaceDE w:val="0"/>
        <w:autoSpaceDN w:val="0"/>
        <w:adjustRightInd w:val="0"/>
        <w:spacing w:before="100"/>
        <w:rPr>
          <w:szCs w:val="19"/>
        </w:rPr>
      </w:pPr>
      <w:r w:rsidRPr="00AB0CA0">
        <w:rPr>
          <w:szCs w:val="19"/>
        </w:rPr>
        <w:t>…</w:t>
      </w:r>
    </w:p>
    <w:p w14:paraId="4AB7FA27" w14:textId="77777777" w:rsidR="00AB0CA0" w:rsidRPr="006C1034" w:rsidRDefault="00AB0CA0" w:rsidP="006C1034">
      <w:pPr>
        <w:pStyle w:val="IASBNormalnpara"/>
        <w:rPr>
          <w:u w:val="single"/>
        </w:rPr>
      </w:pPr>
      <w:r w:rsidRPr="006C1034">
        <w:rPr>
          <w:u w:val="single"/>
        </w:rPr>
        <w:t>AusCF1</w:t>
      </w:r>
      <w:r w:rsidRPr="006C1034">
        <w:rPr>
          <w:u w:val="single"/>
        </w:rPr>
        <w:tab/>
        <w:t>AusCF paragraphs and footnotes included in this Standard apply only to:</w:t>
      </w:r>
    </w:p>
    <w:p w14:paraId="0F0475C6" w14:textId="77777777" w:rsidR="00AB0CA0" w:rsidRPr="0067049C" w:rsidRDefault="00AB0CA0" w:rsidP="009D64EF">
      <w:pPr>
        <w:pStyle w:val="ListParagraph"/>
        <w:numPr>
          <w:ilvl w:val="0"/>
          <w:numId w:val="42"/>
        </w:numPr>
        <w:autoSpaceDE w:val="0"/>
        <w:autoSpaceDN w:val="0"/>
        <w:adjustRightInd w:val="0"/>
        <w:spacing w:before="100"/>
        <w:ind w:left="1564" w:hanging="782"/>
        <w:jc w:val="both"/>
        <w:rPr>
          <w:sz w:val="19"/>
          <w:szCs w:val="19"/>
          <w:u w:val="single"/>
        </w:rPr>
      </w:pPr>
      <w:r w:rsidRPr="0067049C">
        <w:rPr>
          <w:sz w:val="19"/>
          <w:szCs w:val="19"/>
          <w:u w:val="single"/>
        </w:rPr>
        <w:t xml:space="preserve">not-for-profit entities; and </w:t>
      </w:r>
    </w:p>
    <w:p w14:paraId="3926EAF9" w14:textId="77777777" w:rsidR="00AB0CA0" w:rsidRPr="0067049C" w:rsidRDefault="00AB0CA0" w:rsidP="009D64EF">
      <w:pPr>
        <w:pStyle w:val="ListParagraph"/>
        <w:numPr>
          <w:ilvl w:val="0"/>
          <w:numId w:val="42"/>
        </w:numPr>
        <w:autoSpaceDE w:val="0"/>
        <w:autoSpaceDN w:val="0"/>
        <w:adjustRightInd w:val="0"/>
        <w:spacing w:before="100"/>
        <w:ind w:left="1564" w:hanging="782"/>
        <w:jc w:val="both"/>
        <w:rPr>
          <w:sz w:val="19"/>
          <w:szCs w:val="19"/>
          <w:u w:val="single"/>
        </w:rPr>
      </w:pPr>
      <w:r w:rsidRPr="0067049C">
        <w:rPr>
          <w:sz w:val="19"/>
          <w:szCs w:val="19"/>
          <w:u w:val="single"/>
        </w:rPr>
        <w:t xml:space="preserve">for-profit entities that are not applying the </w:t>
      </w:r>
      <w:r w:rsidRPr="0067049C">
        <w:rPr>
          <w:i/>
          <w:sz w:val="19"/>
          <w:szCs w:val="19"/>
          <w:u w:val="single"/>
        </w:rPr>
        <w:t>Conceptual Framework for Financial Reporting</w:t>
      </w:r>
      <w:r w:rsidR="00D80D13">
        <w:rPr>
          <w:sz w:val="19"/>
          <w:szCs w:val="19"/>
          <w:u w:val="single"/>
        </w:rPr>
        <w:t xml:space="preserve"> (as identified in AASB 1048 </w:t>
      </w:r>
      <w:r w:rsidR="00D80D13" w:rsidRPr="00D80D13">
        <w:rPr>
          <w:i/>
          <w:sz w:val="19"/>
          <w:szCs w:val="19"/>
          <w:u w:val="single"/>
        </w:rPr>
        <w:t>Interpretation of Standards</w:t>
      </w:r>
      <w:r w:rsidR="00D80D13">
        <w:rPr>
          <w:sz w:val="19"/>
          <w:szCs w:val="19"/>
          <w:u w:val="single"/>
        </w:rPr>
        <w:t>)</w:t>
      </w:r>
      <w:r w:rsidRPr="0067049C">
        <w:rPr>
          <w:sz w:val="19"/>
          <w:szCs w:val="19"/>
          <w:u w:val="single"/>
        </w:rPr>
        <w:t xml:space="preserve">.  </w:t>
      </w:r>
    </w:p>
    <w:p w14:paraId="25111538" w14:textId="60667CB1" w:rsidR="00AB0CA0" w:rsidRPr="009D64EF" w:rsidRDefault="00AB0CA0" w:rsidP="009D64EF">
      <w:pPr>
        <w:pStyle w:val="IASBNormalL1P"/>
        <w:rPr>
          <w:u w:val="single"/>
        </w:rPr>
      </w:pPr>
      <w:r w:rsidRPr="009D64EF">
        <w:rPr>
          <w:u w:val="single"/>
        </w:rPr>
        <w:t xml:space="preserve">Such entities are referred to as ‘AusCF entities’.  For AusCF entities, the term ‘reporting entity’ is defined in </w:t>
      </w:r>
      <w:r w:rsidR="008D0843" w:rsidRPr="009D64EF">
        <w:rPr>
          <w:u w:val="single"/>
        </w:rPr>
        <w:t>AASB</w:t>
      </w:r>
      <w:r w:rsidR="00B2123A" w:rsidRPr="009D64EF">
        <w:rPr>
          <w:u w:val="single"/>
        </w:rPr>
        <w:t> </w:t>
      </w:r>
      <w:r w:rsidR="008D0843" w:rsidRPr="009D64EF">
        <w:rPr>
          <w:u w:val="single"/>
        </w:rPr>
        <w:t xml:space="preserve">1057 </w:t>
      </w:r>
      <w:r w:rsidR="008D0843" w:rsidRPr="009D64EF">
        <w:rPr>
          <w:i/>
          <w:u w:val="single"/>
        </w:rPr>
        <w:t>Application of Australian Accounting Standards</w:t>
      </w:r>
      <w:r w:rsidRPr="009D64EF">
        <w:rPr>
          <w:u w:val="single"/>
        </w:rPr>
        <w:t xml:space="preserve"> and Statement of Accounting Concepts SAC 1 </w:t>
      </w:r>
      <w:r w:rsidRPr="009D64EF">
        <w:rPr>
          <w:i/>
          <w:u w:val="single"/>
        </w:rPr>
        <w:t>Definition of the Reporting Entity</w:t>
      </w:r>
      <w:r w:rsidRPr="009D64EF">
        <w:rPr>
          <w:u w:val="single"/>
        </w:rPr>
        <w:t xml:space="preserve"> also applies.  For-profit entities applying the </w:t>
      </w:r>
      <w:r w:rsidRPr="009D64EF">
        <w:rPr>
          <w:i/>
          <w:u w:val="single"/>
        </w:rPr>
        <w:t>Conceptual Framework for Financial Reporting</w:t>
      </w:r>
      <w:r w:rsidRPr="009D64EF">
        <w:rPr>
          <w:u w:val="single"/>
        </w:rPr>
        <w:t xml:space="preserve"> </w:t>
      </w:r>
      <w:r w:rsidR="00C77A6A" w:rsidRPr="009D64EF">
        <w:rPr>
          <w:u w:val="single"/>
        </w:rPr>
        <w:t xml:space="preserve">(as set out in paragraph Aus1.1 of the </w:t>
      </w:r>
      <w:r w:rsidR="00C77A6A" w:rsidRPr="009D64EF">
        <w:rPr>
          <w:i/>
          <w:u w:val="single"/>
        </w:rPr>
        <w:t>Conceptual Framework</w:t>
      </w:r>
      <w:r w:rsidR="00C77A6A" w:rsidRPr="009D64EF">
        <w:rPr>
          <w:u w:val="single"/>
        </w:rPr>
        <w:t xml:space="preserve">) </w:t>
      </w:r>
      <w:r w:rsidRPr="009D64EF">
        <w:rPr>
          <w:u w:val="single"/>
        </w:rPr>
        <w:t>shall not apply AusCF paragraphs or footnotes.</w:t>
      </w:r>
    </w:p>
    <w:p w14:paraId="1B67D91E" w14:textId="77777777" w:rsidR="00AB0CA0" w:rsidRPr="00AB0CA0" w:rsidRDefault="00AB0CA0" w:rsidP="00F1299F">
      <w:pPr>
        <w:pBdr>
          <w:bottom w:val="single" w:sz="4" w:space="1" w:color="auto"/>
        </w:pBdr>
        <w:autoSpaceDE w:val="0"/>
        <w:autoSpaceDN w:val="0"/>
        <w:adjustRightInd w:val="0"/>
        <w:spacing w:before="240"/>
        <w:rPr>
          <w:b/>
          <w:bCs/>
          <w:szCs w:val="19"/>
        </w:rPr>
      </w:pPr>
      <w:r w:rsidRPr="00F1299F">
        <w:rPr>
          <w:rFonts w:ascii="Arial" w:hAnsi="Arial" w:cs="Arial"/>
          <w:b/>
          <w:iCs/>
          <w:sz w:val="26"/>
          <w:szCs w:val="28"/>
        </w:rPr>
        <w:t>Effective</w:t>
      </w:r>
      <w:r w:rsidRPr="00AB0CA0">
        <w:rPr>
          <w:b/>
          <w:bCs/>
          <w:szCs w:val="19"/>
        </w:rPr>
        <w:t xml:space="preserve"> </w:t>
      </w:r>
      <w:r w:rsidRPr="00F1299F">
        <w:rPr>
          <w:rFonts w:ascii="Arial" w:hAnsi="Arial" w:cs="Arial"/>
          <w:b/>
          <w:iCs/>
          <w:sz w:val="26"/>
          <w:szCs w:val="28"/>
        </w:rPr>
        <w:t>date</w:t>
      </w:r>
    </w:p>
    <w:p w14:paraId="7A010A38" w14:textId="77777777" w:rsidR="00AB0CA0" w:rsidRDefault="00AB0CA0" w:rsidP="00C87FAF">
      <w:pPr>
        <w:autoSpaceDE w:val="0"/>
        <w:autoSpaceDN w:val="0"/>
        <w:adjustRightInd w:val="0"/>
        <w:spacing w:before="100"/>
        <w:rPr>
          <w:szCs w:val="19"/>
        </w:rPr>
      </w:pPr>
      <w:r w:rsidRPr="00AB0CA0">
        <w:rPr>
          <w:szCs w:val="19"/>
        </w:rPr>
        <w:t>...</w:t>
      </w:r>
    </w:p>
    <w:p w14:paraId="2228EF19" w14:textId="79802972" w:rsidR="00AB0CA0" w:rsidRPr="00AB0CA0" w:rsidRDefault="00AB0CA0" w:rsidP="009D64EF">
      <w:pPr>
        <w:pStyle w:val="IASBNormalnpara"/>
        <w:rPr>
          <w:szCs w:val="19"/>
        </w:rPr>
      </w:pPr>
      <w:r w:rsidRPr="00AB0CA0">
        <w:rPr>
          <w:szCs w:val="19"/>
          <w:u w:val="single"/>
        </w:rPr>
        <w:t>63E</w:t>
      </w:r>
      <w:r w:rsidRPr="00AB0CA0">
        <w:rPr>
          <w:szCs w:val="19"/>
        </w:rPr>
        <w:tab/>
      </w:r>
      <w:r w:rsidRPr="00AB0CA0">
        <w:rPr>
          <w:szCs w:val="19"/>
          <w:u w:val="single"/>
        </w:rPr>
        <w:t>AASB </w:t>
      </w:r>
      <w:r w:rsidR="00043A3E">
        <w:rPr>
          <w:szCs w:val="19"/>
          <w:u w:val="single"/>
        </w:rPr>
        <w:t>2019-1</w:t>
      </w:r>
      <w:r w:rsidRPr="00AB0CA0">
        <w:rPr>
          <w:szCs w:val="19"/>
          <w:u w:val="single"/>
        </w:rPr>
        <w:t xml:space="preserve"> </w:t>
      </w:r>
      <w:r w:rsidRPr="00AB0CA0">
        <w:rPr>
          <w:i/>
          <w:iCs/>
          <w:szCs w:val="19"/>
          <w:u w:val="single"/>
        </w:rPr>
        <w:t xml:space="preserve">Amendments to Australian Accounting Standards – References to the Conceptual </w:t>
      </w:r>
      <w:r w:rsidRPr="001108A7">
        <w:rPr>
          <w:i/>
          <w:u w:val="single"/>
        </w:rPr>
        <w:t>Framework</w:t>
      </w:r>
      <w:r w:rsidRPr="00AB0CA0">
        <w:rPr>
          <w:szCs w:val="19"/>
          <w:u w:val="single"/>
        </w:rPr>
        <w:t xml:space="preserve">, issued in </w:t>
      </w:r>
      <w:r w:rsidRPr="0067049C">
        <w:rPr>
          <w:szCs w:val="19"/>
          <w:u w:val="single"/>
        </w:rPr>
        <w:t>201</w:t>
      </w:r>
      <w:r w:rsidR="00443B60">
        <w:rPr>
          <w:szCs w:val="19"/>
          <w:u w:val="single"/>
        </w:rPr>
        <w:t>9</w:t>
      </w:r>
      <w:r w:rsidRPr="00AB0CA0">
        <w:rPr>
          <w:szCs w:val="19"/>
          <w:u w:val="single"/>
        </w:rPr>
        <w:t xml:space="preserve">, </w:t>
      </w:r>
      <w:r>
        <w:rPr>
          <w:szCs w:val="19"/>
          <w:u w:val="single"/>
        </w:rPr>
        <w:t xml:space="preserve">added paragraph AusCF1 and </w:t>
      </w:r>
      <w:r w:rsidRPr="00AB0CA0">
        <w:rPr>
          <w:szCs w:val="19"/>
          <w:u w:val="single"/>
        </w:rPr>
        <w:t>amended the footnote to the definition of an equity instrument in Appendix A</w:t>
      </w:r>
      <w:r w:rsidR="00403EB9" w:rsidRPr="00AB0CA0">
        <w:rPr>
          <w:szCs w:val="19"/>
          <w:u w:val="single"/>
        </w:rPr>
        <w:t xml:space="preserve">.  </w:t>
      </w:r>
      <w:r w:rsidRPr="00AB0CA0">
        <w:rPr>
          <w:szCs w:val="19"/>
          <w:u w:val="single"/>
        </w:rPr>
        <w:t xml:space="preserve">An entity shall apply </w:t>
      </w:r>
      <w:r w:rsidR="006849FE" w:rsidRPr="0067049C">
        <w:rPr>
          <w:szCs w:val="19"/>
          <w:u w:val="single"/>
        </w:rPr>
        <w:t>the amendments</w:t>
      </w:r>
      <w:r w:rsidRPr="00AB0CA0">
        <w:rPr>
          <w:szCs w:val="19"/>
          <w:u w:val="single"/>
        </w:rPr>
        <w:t xml:space="preserve"> for annual periods beginning on or after 1 January 2020</w:t>
      </w:r>
      <w:r w:rsidR="00403EB9" w:rsidRPr="00AB0CA0">
        <w:rPr>
          <w:szCs w:val="19"/>
          <w:u w:val="single"/>
        </w:rPr>
        <w:t xml:space="preserve">.  </w:t>
      </w:r>
      <w:r w:rsidRPr="00AB0CA0">
        <w:rPr>
          <w:szCs w:val="19"/>
          <w:u w:val="single"/>
        </w:rPr>
        <w:t>Earlier application is permitted if at the same time an entity also applies all other amendments made by AASB </w:t>
      </w:r>
      <w:r w:rsidR="00043A3E">
        <w:rPr>
          <w:szCs w:val="19"/>
          <w:u w:val="single"/>
        </w:rPr>
        <w:t>2019-1</w:t>
      </w:r>
      <w:r w:rsidR="00403EB9" w:rsidRPr="00AB0CA0">
        <w:rPr>
          <w:szCs w:val="19"/>
          <w:u w:val="single"/>
        </w:rPr>
        <w:t xml:space="preserve">.  </w:t>
      </w:r>
      <w:r w:rsidRPr="00AB0CA0">
        <w:rPr>
          <w:szCs w:val="19"/>
          <w:u w:val="single"/>
        </w:rPr>
        <w:t xml:space="preserve">An entity shall apply the </w:t>
      </w:r>
      <w:r w:rsidRPr="0067049C">
        <w:rPr>
          <w:szCs w:val="19"/>
          <w:u w:val="single"/>
        </w:rPr>
        <w:t>amendment</w:t>
      </w:r>
      <w:r w:rsidR="006849FE" w:rsidRPr="0067049C">
        <w:rPr>
          <w:szCs w:val="19"/>
          <w:u w:val="single"/>
        </w:rPr>
        <w:t>s</w:t>
      </w:r>
      <w:r w:rsidRPr="00AB0CA0">
        <w:rPr>
          <w:szCs w:val="19"/>
          <w:u w:val="single"/>
        </w:rPr>
        <w:t xml:space="preserve"> to AASB 2 retrospectively, subject to</w:t>
      </w:r>
      <w:r w:rsidR="00400E73">
        <w:rPr>
          <w:szCs w:val="19"/>
          <w:u w:val="single"/>
        </w:rPr>
        <w:t xml:space="preserve"> (in the case of the amendment to Appendix A)</w:t>
      </w:r>
      <w:r w:rsidRPr="00AB0CA0">
        <w:rPr>
          <w:szCs w:val="19"/>
          <w:u w:val="single"/>
        </w:rPr>
        <w:t xml:space="preserve"> the transitional provisions in paragraphs 53–59 of this Standard, in accordance with AASB 108 </w:t>
      </w:r>
      <w:r w:rsidRPr="00AB0CA0">
        <w:rPr>
          <w:i/>
          <w:iCs/>
          <w:szCs w:val="19"/>
          <w:u w:val="single"/>
        </w:rPr>
        <w:t>Accounting Policies, Changes in Accounting Estimates and Errors</w:t>
      </w:r>
      <w:r w:rsidR="00403EB9" w:rsidRPr="00AB0CA0">
        <w:rPr>
          <w:szCs w:val="19"/>
          <w:u w:val="single"/>
        </w:rPr>
        <w:t xml:space="preserve">.  </w:t>
      </w:r>
      <w:r w:rsidRPr="00AB0CA0">
        <w:rPr>
          <w:szCs w:val="19"/>
          <w:u w:val="single"/>
        </w:rPr>
        <w:t xml:space="preserve">However, if an entity determines that retrospective application would be impracticable or would involve undue cost or effort, it shall apply the </w:t>
      </w:r>
      <w:r w:rsidRPr="0067049C">
        <w:rPr>
          <w:szCs w:val="19"/>
          <w:u w:val="single"/>
        </w:rPr>
        <w:t>amendment</w:t>
      </w:r>
      <w:r w:rsidR="006849FE" w:rsidRPr="0067049C">
        <w:rPr>
          <w:szCs w:val="19"/>
          <w:u w:val="single"/>
        </w:rPr>
        <w:t>s</w:t>
      </w:r>
      <w:r w:rsidRPr="00AB0CA0">
        <w:rPr>
          <w:szCs w:val="19"/>
          <w:u w:val="single"/>
        </w:rPr>
        <w:t xml:space="preserve"> to AASB 2 by reference to paragraphs 23–28, 50–53 and 54F of AASB 108.</w:t>
      </w:r>
    </w:p>
    <w:p w14:paraId="1769482F" w14:textId="77777777" w:rsidR="00AB0CA0" w:rsidRPr="00AB0CA0" w:rsidRDefault="00AB0CA0" w:rsidP="00C87FAF">
      <w:pPr>
        <w:autoSpaceDE w:val="0"/>
        <w:autoSpaceDN w:val="0"/>
        <w:adjustRightInd w:val="0"/>
        <w:rPr>
          <w:szCs w:val="19"/>
        </w:rPr>
      </w:pPr>
    </w:p>
    <w:p w14:paraId="3D02EC18" w14:textId="77777777" w:rsidR="00AB0CA0" w:rsidRPr="00AB0CA0" w:rsidRDefault="00AB0CA0"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AB0CA0">
        <w:rPr>
          <w:szCs w:val="19"/>
        </w:rPr>
        <w:t>In Appendix A, the footnote to the definition of an equity instrument is amended and an AusCF footnote is added.</w:t>
      </w:r>
    </w:p>
    <w:p w14:paraId="34283753" w14:textId="77777777" w:rsidR="00AB0CA0" w:rsidRPr="00AB0CA0" w:rsidRDefault="00AB0CA0" w:rsidP="00C87FAF">
      <w:pPr>
        <w:autoSpaceDE w:val="0"/>
        <w:autoSpaceDN w:val="0"/>
        <w:adjustRightInd w:val="0"/>
        <w:rPr>
          <w:szCs w:val="19"/>
        </w:rPr>
      </w:pPr>
    </w:p>
    <w:p w14:paraId="05DF467E" w14:textId="6E9C7DA8" w:rsidR="00AB0CA0" w:rsidRPr="00AB0CA0" w:rsidRDefault="00AB0CA0" w:rsidP="009D64EF">
      <w:pPr>
        <w:pStyle w:val="IASBNormalnparaL1"/>
        <w:ind w:left="1491" w:hanging="709"/>
        <w:rPr>
          <w:sz w:val="16"/>
          <w:szCs w:val="16"/>
        </w:rPr>
      </w:pPr>
      <w:r w:rsidRPr="00AB0CA0">
        <w:rPr>
          <w:sz w:val="16"/>
          <w:szCs w:val="16"/>
        </w:rPr>
        <w:t xml:space="preserve">5 </w:t>
      </w:r>
      <w:r w:rsidRPr="00AB0CA0">
        <w:rPr>
          <w:sz w:val="16"/>
          <w:szCs w:val="16"/>
        </w:rPr>
        <w:tab/>
        <w:t xml:space="preserve">The </w:t>
      </w:r>
      <w:r w:rsidRPr="00AB0CA0">
        <w:rPr>
          <w:i/>
          <w:iCs/>
          <w:strike/>
          <w:sz w:val="16"/>
          <w:szCs w:val="16"/>
        </w:rPr>
        <w:t>Framework for the Preparation and Presentation of Financial Statements</w:t>
      </w:r>
      <w:r w:rsidR="00C45376">
        <w:rPr>
          <w:i/>
          <w:iCs/>
          <w:strike/>
          <w:sz w:val="16"/>
          <w:szCs w:val="16"/>
        </w:rPr>
        <w:t xml:space="preserve"> </w:t>
      </w:r>
      <w:r w:rsidRPr="00AB0CA0">
        <w:rPr>
          <w:i/>
          <w:iCs/>
          <w:sz w:val="16"/>
          <w:szCs w:val="16"/>
          <w:u w:val="single"/>
        </w:rPr>
        <w:t>Conceptual Framework</w:t>
      </w:r>
      <w:r>
        <w:rPr>
          <w:i/>
          <w:iCs/>
          <w:sz w:val="16"/>
          <w:szCs w:val="16"/>
          <w:u w:val="single"/>
        </w:rPr>
        <w:t xml:space="preserve"> for Financial </w:t>
      </w:r>
      <w:r w:rsidRPr="009D64EF">
        <w:rPr>
          <w:sz w:val="16"/>
          <w:szCs w:val="16"/>
          <w:u w:val="single"/>
        </w:rPr>
        <w:t>Reporting</w:t>
      </w:r>
      <w:r w:rsidRPr="00AB0CA0">
        <w:rPr>
          <w:i/>
          <w:iCs/>
          <w:sz w:val="16"/>
          <w:szCs w:val="16"/>
          <w:u w:val="single"/>
        </w:rPr>
        <w:t xml:space="preserve"> </w:t>
      </w:r>
      <w:r w:rsidRPr="00AB0CA0">
        <w:rPr>
          <w:sz w:val="16"/>
          <w:szCs w:val="16"/>
          <w:u w:val="single"/>
        </w:rPr>
        <w:t xml:space="preserve">issued in </w:t>
      </w:r>
      <w:r w:rsidRPr="0067049C">
        <w:rPr>
          <w:sz w:val="16"/>
          <w:szCs w:val="16"/>
          <w:u w:val="single"/>
        </w:rPr>
        <w:t>201</w:t>
      </w:r>
      <w:r w:rsidR="00443B60">
        <w:rPr>
          <w:sz w:val="16"/>
          <w:szCs w:val="16"/>
          <w:u w:val="single"/>
        </w:rPr>
        <w:t>9</w:t>
      </w:r>
      <w:r w:rsidRPr="00AB0CA0">
        <w:rPr>
          <w:sz w:val="16"/>
          <w:szCs w:val="16"/>
        </w:rPr>
        <w:t xml:space="preserve"> defines a liability as a present obligation of the entity </w:t>
      </w:r>
      <w:r w:rsidRPr="00AB0CA0">
        <w:rPr>
          <w:strike/>
          <w:sz w:val="16"/>
          <w:szCs w:val="16"/>
        </w:rPr>
        <w:t>arising from</w:t>
      </w:r>
      <w:r w:rsidR="00C45376">
        <w:rPr>
          <w:strike/>
          <w:sz w:val="16"/>
          <w:szCs w:val="16"/>
        </w:rPr>
        <w:t xml:space="preserve"> </w:t>
      </w:r>
      <w:r w:rsidRPr="00AB0CA0">
        <w:rPr>
          <w:sz w:val="16"/>
          <w:szCs w:val="16"/>
          <w:u w:val="single"/>
        </w:rPr>
        <w:t xml:space="preserve">to transfer an economic resource as a </w:t>
      </w:r>
      <w:r w:rsidRPr="00DC0117">
        <w:rPr>
          <w:sz w:val="16"/>
          <w:szCs w:val="16"/>
          <w:u w:val="single"/>
        </w:rPr>
        <w:t>result of</w:t>
      </w:r>
      <w:r w:rsidRPr="00AB0CA0">
        <w:rPr>
          <w:sz w:val="16"/>
          <w:szCs w:val="16"/>
        </w:rPr>
        <w:t xml:space="preserve"> past events</w:t>
      </w:r>
      <w:r w:rsidRPr="00AB0CA0">
        <w:rPr>
          <w:strike/>
          <w:sz w:val="16"/>
          <w:szCs w:val="16"/>
        </w:rPr>
        <w:t>, the settlement of which is expected to result in an outflow from the entity of resources</w:t>
      </w:r>
      <w:r w:rsidR="00633996">
        <w:rPr>
          <w:strike/>
          <w:sz w:val="16"/>
          <w:szCs w:val="16"/>
        </w:rPr>
        <w:t xml:space="preserve"> embodying economic benefits (ie</w:t>
      </w:r>
      <w:r w:rsidRPr="00AB0CA0">
        <w:rPr>
          <w:strike/>
          <w:sz w:val="16"/>
          <w:szCs w:val="16"/>
        </w:rPr>
        <w:t xml:space="preserve"> an outflow of cash or other assets of the entity)</w:t>
      </w:r>
      <w:r w:rsidRPr="00AB0CA0">
        <w:rPr>
          <w:sz w:val="16"/>
          <w:szCs w:val="16"/>
        </w:rPr>
        <w:t xml:space="preserve">. </w:t>
      </w:r>
    </w:p>
    <w:p w14:paraId="61A0135B" w14:textId="77777777" w:rsidR="003A66C5" w:rsidRPr="00AB0CA0" w:rsidRDefault="00AB0CA0" w:rsidP="009D64EF">
      <w:pPr>
        <w:pStyle w:val="IASBNormalnparaL1"/>
        <w:ind w:left="1491" w:hanging="709"/>
        <w:rPr>
          <w:sz w:val="16"/>
          <w:szCs w:val="16"/>
          <w:u w:val="single"/>
        </w:rPr>
      </w:pPr>
      <w:r w:rsidRPr="00AB0CA0">
        <w:rPr>
          <w:sz w:val="16"/>
          <w:szCs w:val="16"/>
          <w:u w:val="single"/>
        </w:rPr>
        <w:t>AusCF5</w:t>
      </w:r>
      <w:r w:rsidRPr="00BB026C">
        <w:rPr>
          <w:sz w:val="16"/>
          <w:szCs w:val="16"/>
        </w:rPr>
        <w:tab/>
      </w:r>
      <w:r w:rsidRPr="00AB0CA0">
        <w:rPr>
          <w:sz w:val="16"/>
          <w:szCs w:val="16"/>
          <w:u w:val="single"/>
        </w:rPr>
        <w:t xml:space="preserve">Notwithstanding footnote 5, in respect of AusCF entities, the </w:t>
      </w:r>
      <w:r w:rsidRPr="00AB0CA0">
        <w:rPr>
          <w:i/>
          <w:iCs/>
          <w:sz w:val="16"/>
          <w:szCs w:val="16"/>
          <w:u w:val="single"/>
        </w:rPr>
        <w:t xml:space="preserve">Framework for the Preparation and Presentation of Financial Statements </w:t>
      </w:r>
      <w:r w:rsidRPr="00AB0CA0">
        <w:rPr>
          <w:sz w:val="16"/>
          <w:szCs w:val="16"/>
          <w:u w:val="single"/>
        </w:rPr>
        <w:t>defines a liability as a present obligation of the entity arising from past events, the settlement of which is expected to result in an outflow from the entity of resources</w:t>
      </w:r>
      <w:r w:rsidR="00633996">
        <w:rPr>
          <w:sz w:val="16"/>
          <w:szCs w:val="16"/>
          <w:u w:val="single"/>
        </w:rPr>
        <w:t xml:space="preserve"> embodying economic benefits (ie</w:t>
      </w:r>
      <w:r w:rsidRPr="00AB0CA0">
        <w:rPr>
          <w:sz w:val="16"/>
          <w:szCs w:val="16"/>
          <w:u w:val="single"/>
        </w:rPr>
        <w:t xml:space="preserve"> an outflow of cash or other assets of the entity).</w:t>
      </w:r>
    </w:p>
    <w:p w14:paraId="5513841E" w14:textId="77777777" w:rsidR="003A66C5" w:rsidRDefault="00633996" w:rsidP="00C87FAF">
      <w:pPr>
        <w:pStyle w:val="Heading2"/>
        <w:jc w:val="both"/>
      </w:pPr>
      <w:r>
        <w:t>Amendments to AASB 3</w:t>
      </w:r>
    </w:p>
    <w:p w14:paraId="68C0489D" w14:textId="77777777" w:rsidR="00AB0CA0" w:rsidRPr="00AB0CA0" w:rsidRDefault="00AB0CA0"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AB0CA0">
        <w:rPr>
          <w:szCs w:val="19"/>
        </w:rPr>
        <w:t xml:space="preserve">Paragraph AusCF1 </w:t>
      </w:r>
      <w:r>
        <w:rPr>
          <w:szCs w:val="19"/>
        </w:rPr>
        <w:t xml:space="preserve">is </w:t>
      </w:r>
      <w:r w:rsidRPr="00AB0CA0">
        <w:rPr>
          <w:szCs w:val="19"/>
        </w:rPr>
        <w:t xml:space="preserve">added. </w:t>
      </w:r>
      <w:r w:rsidR="004C4BAD">
        <w:rPr>
          <w:szCs w:val="19"/>
        </w:rPr>
        <w:t xml:space="preserve"> </w:t>
      </w:r>
      <w:r w:rsidRPr="00AB0CA0">
        <w:rPr>
          <w:szCs w:val="19"/>
        </w:rPr>
        <w:t xml:space="preserve">In paragraph 11, the footnote to </w:t>
      </w:r>
      <w:r>
        <w:rPr>
          <w:szCs w:val="19"/>
        </w:rPr>
        <w:t xml:space="preserve">the </w:t>
      </w:r>
      <w:r w:rsidRPr="00AB0CA0">
        <w:rPr>
          <w:i/>
          <w:szCs w:val="19"/>
        </w:rPr>
        <w:t>Framework for the Preparation and Presentation of Financial Statements</w:t>
      </w:r>
      <w:r w:rsidRPr="00AB0CA0">
        <w:rPr>
          <w:szCs w:val="19"/>
        </w:rPr>
        <w:t xml:space="preserve"> is amended</w:t>
      </w:r>
      <w:r>
        <w:rPr>
          <w:szCs w:val="19"/>
        </w:rPr>
        <w:t xml:space="preserve"> and footnote AusCF1 is added</w:t>
      </w:r>
      <w:r w:rsidRPr="00AB0CA0">
        <w:rPr>
          <w:szCs w:val="19"/>
        </w:rPr>
        <w:t>.</w:t>
      </w:r>
    </w:p>
    <w:p w14:paraId="33AEA772" w14:textId="77777777" w:rsidR="00AB0CA0" w:rsidRPr="004C4BAD" w:rsidRDefault="00AB0CA0" w:rsidP="00C87FAF">
      <w:pPr>
        <w:pBdr>
          <w:bottom w:val="single" w:sz="4" w:space="1" w:color="auto"/>
        </w:pBdr>
        <w:autoSpaceDE w:val="0"/>
        <w:autoSpaceDN w:val="0"/>
        <w:adjustRightInd w:val="0"/>
        <w:spacing w:before="240"/>
        <w:rPr>
          <w:rFonts w:ascii="Arial" w:hAnsi="Arial" w:cs="Arial"/>
          <w:b/>
          <w:iCs/>
          <w:sz w:val="26"/>
          <w:szCs w:val="28"/>
        </w:rPr>
      </w:pPr>
      <w:r w:rsidRPr="004C4BAD">
        <w:rPr>
          <w:rFonts w:ascii="Arial" w:hAnsi="Arial" w:cs="Arial"/>
          <w:b/>
          <w:iCs/>
          <w:sz w:val="26"/>
          <w:szCs w:val="28"/>
        </w:rPr>
        <w:t>Objective</w:t>
      </w:r>
    </w:p>
    <w:p w14:paraId="4E5A9648" w14:textId="77777777" w:rsidR="00AB0CA0" w:rsidRDefault="00AB0CA0" w:rsidP="00C87FAF">
      <w:pPr>
        <w:autoSpaceDE w:val="0"/>
        <w:autoSpaceDN w:val="0"/>
        <w:adjustRightInd w:val="0"/>
        <w:spacing w:before="100"/>
        <w:rPr>
          <w:szCs w:val="19"/>
        </w:rPr>
      </w:pPr>
      <w:r w:rsidRPr="00AB0CA0">
        <w:rPr>
          <w:szCs w:val="19"/>
        </w:rPr>
        <w:t>…</w:t>
      </w:r>
    </w:p>
    <w:p w14:paraId="45C4BAB4" w14:textId="77777777" w:rsidR="00FE115A" w:rsidRPr="0067049C" w:rsidRDefault="00FE115A" w:rsidP="00165F54">
      <w:pPr>
        <w:pStyle w:val="IASBNormalnpara"/>
        <w:rPr>
          <w:szCs w:val="19"/>
          <w:u w:val="single"/>
        </w:rPr>
      </w:pPr>
      <w:r w:rsidRPr="0067049C">
        <w:rPr>
          <w:szCs w:val="19"/>
          <w:u w:val="single"/>
        </w:rPr>
        <w:t>AusCF1</w:t>
      </w:r>
      <w:r w:rsidRPr="0067049C">
        <w:rPr>
          <w:szCs w:val="19"/>
        </w:rPr>
        <w:tab/>
      </w:r>
      <w:r w:rsidRPr="0067049C">
        <w:rPr>
          <w:szCs w:val="19"/>
          <w:u w:val="single"/>
        </w:rPr>
        <w:t xml:space="preserve">AusCF </w:t>
      </w:r>
      <w:r w:rsidRPr="00165F54">
        <w:rPr>
          <w:u w:val="single"/>
        </w:rPr>
        <w:t>paragraphs</w:t>
      </w:r>
      <w:r w:rsidRPr="0067049C">
        <w:rPr>
          <w:szCs w:val="19"/>
          <w:u w:val="single"/>
        </w:rPr>
        <w:t xml:space="preserve"> and footnotes included in this Standard apply only to:</w:t>
      </w:r>
    </w:p>
    <w:p w14:paraId="273B6C20" w14:textId="7D391453" w:rsidR="00FE115A" w:rsidRPr="00165F54" w:rsidRDefault="00FE115A" w:rsidP="001108A7">
      <w:pPr>
        <w:pStyle w:val="IASBNormalnparaL1"/>
        <w:numPr>
          <w:ilvl w:val="4"/>
          <w:numId w:val="1"/>
        </w:numPr>
        <w:ind w:left="1564" w:hanging="782"/>
        <w:rPr>
          <w:u w:val="single"/>
        </w:rPr>
      </w:pPr>
      <w:r w:rsidRPr="00165F54">
        <w:rPr>
          <w:u w:val="single"/>
        </w:rPr>
        <w:t xml:space="preserve">not-for-profit entities; and </w:t>
      </w:r>
    </w:p>
    <w:p w14:paraId="2DAFCE35" w14:textId="1C646F2F" w:rsidR="00FE115A" w:rsidRPr="00165F54" w:rsidRDefault="00FE115A" w:rsidP="001108A7">
      <w:pPr>
        <w:pStyle w:val="IASBNormalnparaL1"/>
        <w:numPr>
          <w:ilvl w:val="4"/>
          <w:numId w:val="1"/>
        </w:numPr>
        <w:ind w:left="1564" w:hanging="782"/>
        <w:rPr>
          <w:u w:val="single"/>
        </w:rPr>
      </w:pPr>
      <w:r w:rsidRPr="00165F54">
        <w:rPr>
          <w:u w:val="single"/>
        </w:rPr>
        <w:t xml:space="preserve">for-profit entities that are not applying the </w:t>
      </w:r>
      <w:r w:rsidRPr="001108A7">
        <w:rPr>
          <w:i/>
          <w:u w:val="single"/>
        </w:rPr>
        <w:t>Conceptual Framework for Financial Reporting</w:t>
      </w:r>
      <w:r w:rsidR="00443B60" w:rsidRPr="00165F54">
        <w:rPr>
          <w:i/>
          <w:u w:val="single"/>
        </w:rPr>
        <w:t xml:space="preserve"> </w:t>
      </w:r>
      <w:r w:rsidR="00443B60" w:rsidRPr="00165F54">
        <w:rPr>
          <w:u w:val="single"/>
        </w:rPr>
        <w:t>(as identified in AASB 1048</w:t>
      </w:r>
      <w:r w:rsidR="00443B60" w:rsidRPr="00165F54">
        <w:rPr>
          <w:i/>
          <w:u w:val="single"/>
        </w:rPr>
        <w:t xml:space="preserve"> Interpretation of Standards</w:t>
      </w:r>
      <w:r w:rsidR="00443B60" w:rsidRPr="00165F54">
        <w:rPr>
          <w:u w:val="single"/>
        </w:rPr>
        <w:t>)</w:t>
      </w:r>
      <w:r w:rsidRPr="00165F54">
        <w:rPr>
          <w:u w:val="single"/>
        </w:rPr>
        <w:t xml:space="preserve">.  </w:t>
      </w:r>
    </w:p>
    <w:p w14:paraId="4C86A523" w14:textId="56CA8910" w:rsidR="00FE115A" w:rsidRPr="0067049C" w:rsidRDefault="00193364" w:rsidP="00165F54">
      <w:pPr>
        <w:pStyle w:val="IASBNormalL1P"/>
        <w:rPr>
          <w:szCs w:val="19"/>
          <w:u w:val="single"/>
        </w:rPr>
      </w:pPr>
      <w:r w:rsidRPr="0067049C">
        <w:rPr>
          <w:szCs w:val="19"/>
          <w:u w:val="single"/>
        </w:rPr>
        <w:t>Such entities are referred to as ‘AusCF entities’.  For AusCF entities</w:t>
      </w:r>
      <w:r w:rsidR="00FE115A" w:rsidRPr="0067049C">
        <w:rPr>
          <w:szCs w:val="19"/>
          <w:u w:val="single"/>
        </w:rPr>
        <w:t xml:space="preserve">, the term ‘reporting entity’ is defined in </w:t>
      </w:r>
      <w:r w:rsidR="008D0843">
        <w:rPr>
          <w:szCs w:val="19"/>
          <w:u w:val="single"/>
        </w:rPr>
        <w:t>AASB</w:t>
      </w:r>
      <w:r w:rsidR="00B2123A">
        <w:rPr>
          <w:szCs w:val="19"/>
          <w:u w:val="single"/>
        </w:rPr>
        <w:t> </w:t>
      </w:r>
      <w:r w:rsidR="008D0843" w:rsidRPr="001108A7">
        <w:rPr>
          <w:u w:val="single"/>
        </w:rPr>
        <w:t>1057</w:t>
      </w:r>
      <w:r w:rsidR="008D0843" w:rsidRPr="001108A7">
        <w:rPr>
          <w:szCs w:val="19"/>
          <w:u w:val="single"/>
        </w:rPr>
        <w:t xml:space="preserve"> </w:t>
      </w:r>
      <w:r w:rsidR="008D0843" w:rsidRPr="008D0843">
        <w:rPr>
          <w:i/>
          <w:szCs w:val="19"/>
          <w:u w:val="single"/>
        </w:rPr>
        <w:t>Application of Australian Accounting Standards</w:t>
      </w:r>
      <w:r w:rsidR="00BB026C" w:rsidRPr="0067049C">
        <w:rPr>
          <w:szCs w:val="19"/>
          <w:u w:val="single"/>
        </w:rPr>
        <w:t xml:space="preserve"> </w:t>
      </w:r>
      <w:r w:rsidR="00FE115A" w:rsidRPr="0067049C">
        <w:rPr>
          <w:szCs w:val="19"/>
          <w:u w:val="single"/>
        </w:rPr>
        <w:t xml:space="preserve">and Statement of Accounting Concepts SAC 1 </w:t>
      </w:r>
      <w:r w:rsidR="00FE115A" w:rsidRPr="0067049C">
        <w:rPr>
          <w:i/>
          <w:szCs w:val="19"/>
          <w:u w:val="single"/>
        </w:rPr>
        <w:t>Definition of the Reporting Entity</w:t>
      </w:r>
      <w:r w:rsidR="00FE115A" w:rsidRPr="0067049C">
        <w:rPr>
          <w:szCs w:val="19"/>
          <w:u w:val="single"/>
        </w:rPr>
        <w:t xml:space="preserve"> also applies.  For-profit entities applying the </w:t>
      </w:r>
      <w:r w:rsidR="00FE115A" w:rsidRPr="0067049C">
        <w:rPr>
          <w:i/>
          <w:szCs w:val="19"/>
          <w:u w:val="single"/>
        </w:rPr>
        <w:t>Conceptual Framework for Financial Reporting</w:t>
      </w:r>
      <w:r w:rsidR="00FE115A"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00FE115A" w:rsidRPr="0067049C">
        <w:rPr>
          <w:szCs w:val="19"/>
          <w:u w:val="single"/>
        </w:rPr>
        <w:t>shall not apply AusCF paragraphs or footnotes.</w:t>
      </w:r>
    </w:p>
    <w:p w14:paraId="647A2068" w14:textId="77777777" w:rsidR="00AB0CA0" w:rsidRPr="00633996" w:rsidRDefault="00AB0CA0" w:rsidP="007E2A2E">
      <w:pPr>
        <w:autoSpaceDE w:val="0"/>
        <w:autoSpaceDN w:val="0"/>
        <w:adjustRightInd w:val="0"/>
        <w:spacing w:before="100"/>
        <w:rPr>
          <w:szCs w:val="19"/>
        </w:rPr>
      </w:pPr>
      <w:r w:rsidRPr="00633996">
        <w:rPr>
          <w:szCs w:val="19"/>
        </w:rPr>
        <w:t>…</w:t>
      </w:r>
    </w:p>
    <w:p w14:paraId="3C3A16D0" w14:textId="77777777" w:rsidR="00AB0CA0" w:rsidRPr="00165F54" w:rsidRDefault="00AB0CA0" w:rsidP="00165F54">
      <w:pPr>
        <w:pStyle w:val="IASBNormalnparaL1"/>
        <w:rPr>
          <w:i/>
        </w:rPr>
      </w:pPr>
      <w:r w:rsidRPr="00165F54">
        <w:rPr>
          <w:i/>
        </w:rPr>
        <w:t>Recognition conditions</w:t>
      </w:r>
    </w:p>
    <w:p w14:paraId="19FBE938" w14:textId="621DD085" w:rsidR="00AB0CA0" w:rsidRPr="00AB0CA0" w:rsidRDefault="004C4BAD" w:rsidP="007E2A2E">
      <w:pPr>
        <w:pStyle w:val="IASBNormalnpara"/>
        <w:rPr>
          <w:szCs w:val="19"/>
        </w:rPr>
      </w:pPr>
      <w:r>
        <w:rPr>
          <w:szCs w:val="19"/>
        </w:rPr>
        <w:t>11</w:t>
      </w:r>
      <w:r w:rsidR="00AB0CA0" w:rsidRPr="00AB0CA0">
        <w:rPr>
          <w:szCs w:val="19"/>
        </w:rPr>
        <w:tab/>
        <w:t xml:space="preserve">To qualify for recognition as part of applying the acquisition method, the identifiable assets acquired and liabilities assumed must meet the definitions of assets and liabilities in the </w:t>
      </w:r>
      <w:r w:rsidR="00AB0CA0" w:rsidRPr="00AB0CA0">
        <w:rPr>
          <w:i/>
          <w:iCs/>
          <w:szCs w:val="19"/>
        </w:rPr>
        <w:t>Framework for the Preparation and Presentation of Financial Statements</w:t>
      </w:r>
      <w:r w:rsidR="00AB0CA0" w:rsidRPr="00AB0CA0">
        <w:rPr>
          <w:szCs w:val="19"/>
          <w:vertAlign w:val="superscript"/>
        </w:rPr>
        <w:t>1</w:t>
      </w:r>
      <w:r w:rsidR="00AB0CA0" w:rsidRPr="003E17E5">
        <w:rPr>
          <w:szCs w:val="19"/>
          <w:u w:val="single"/>
          <w:vertAlign w:val="superscript"/>
        </w:rPr>
        <w:t xml:space="preserve">, </w:t>
      </w:r>
      <w:r w:rsidR="00AB0CA0" w:rsidRPr="0067049C">
        <w:rPr>
          <w:szCs w:val="19"/>
          <w:u w:val="single"/>
          <w:vertAlign w:val="superscript"/>
        </w:rPr>
        <w:t>AusCF1</w:t>
      </w:r>
      <w:r w:rsidR="00AB0CA0" w:rsidRPr="00AB0CA0">
        <w:rPr>
          <w:szCs w:val="19"/>
        </w:rPr>
        <w:t xml:space="preserve"> at the acquisition date</w:t>
      </w:r>
      <w:r w:rsidR="00403EB9" w:rsidRPr="00AB0CA0">
        <w:rPr>
          <w:szCs w:val="19"/>
        </w:rPr>
        <w:t xml:space="preserve">.  </w:t>
      </w:r>
      <w:r w:rsidR="00AB0CA0" w:rsidRPr="00AB0CA0">
        <w:rPr>
          <w:szCs w:val="19"/>
        </w:rPr>
        <w:t>For example, costs the acquirer expects but is not obliged to incur in the future to effect its plan to exit an activity of an acquiree or to terminate the employment of or relocate an acquiree’s employees are not liabilities at the acquisition date</w:t>
      </w:r>
      <w:r w:rsidR="00403EB9" w:rsidRPr="00AB0CA0">
        <w:rPr>
          <w:szCs w:val="19"/>
        </w:rPr>
        <w:t xml:space="preserve">.  </w:t>
      </w:r>
      <w:r w:rsidR="00AB0CA0" w:rsidRPr="00AB0CA0">
        <w:rPr>
          <w:szCs w:val="19"/>
        </w:rPr>
        <w:t>Therefore, the acquirer does not recognise those costs as part of applying the acquisition method</w:t>
      </w:r>
      <w:r w:rsidR="00403EB9" w:rsidRPr="00AB0CA0">
        <w:rPr>
          <w:szCs w:val="19"/>
        </w:rPr>
        <w:t xml:space="preserve">.  </w:t>
      </w:r>
      <w:r w:rsidR="00AB0CA0" w:rsidRPr="00AB0CA0">
        <w:rPr>
          <w:szCs w:val="19"/>
        </w:rPr>
        <w:t xml:space="preserve">Instead, the acquirer recognises those costs in its post-combination financial statements in accordance with other Australian Accounting Standards. </w:t>
      </w:r>
    </w:p>
    <w:p w14:paraId="4FB4CBEE" w14:textId="77777777" w:rsidR="00AB0CA0" w:rsidRPr="00AB0CA0" w:rsidRDefault="004C4BAD" w:rsidP="007E2A2E">
      <w:pPr>
        <w:pStyle w:val="IASBNormalnparaL1"/>
        <w:ind w:left="1491" w:hanging="709"/>
        <w:rPr>
          <w:sz w:val="16"/>
          <w:szCs w:val="16"/>
        </w:rPr>
      </w:pPr>
      <w:r>
        <w:rPr>
          <w:sz w:val="16"/>
          <w:szCs w:val="16"/>
        </w:rPr>
        <w:t>1</w:t>
      </w:r>
      <w:r w:rsidR="00AB0CA0" w:rsidRPr="00AB0CA0">
        <w:rPr>
          <w:sz w:val="16"/>
          <w:szCs w:val="16"/>
        </w:rPr>
        <w:tab/>
      </w:r>
      <w:r w:rsidR="00AB0CA0" w:rsidRPr="00AB0CA0">
        <w:rPr>
          <w:strike/>
          <w:sz w:val="16"/>
          <w:szCs w:val="16"/>
        </w:rPr>
        <w:t xml:space="preserve">In December 2013 the AASB amended the </w:t>
      </w:r>
      <w:r w:rsidR="00AB0CA0" w:rsidRPr="00AB0CA0">
        <w:rPr>
          <w:i/>
          <w:iCs/>
          <w:strike/>
          <w:sz w:val="16"/>
          <w:szCs w:val="16"/>
        </w:rPr>
        <w:t>Framework for the Preparation and Presentation of Financial Statements</w:t>
      </w:r>
      <w:r w:rsidR="00403EB9" w:rsidRPr="00AB0CA0">
        <w:rPr>
          <w:strike/>
          <w:sz w:val="16"/>
          <w:szCs w:val="16"/>
        </w:rPr>
        <w:t xml:space="preserve">.  </w:t>
      </w:r>
      <w:r w:rsidR="00AB0CA0" w:rsidRPr="00AB0CA0">
        <w:rPr>
          <w:sz w:val="16"/>
          <w:szCs w:val="16"/>
          <w:u w:val="single"/>
        </w:rPr>
        <w:t xml:space="preserve">For this Standard, acquirers are required to apply the definitions of an asset and a liability and supporting guidance in the </w:t>
      </w:r>
      <w:r w:rsidR="00AB0CA0" w:rsidRPr="00AB0CA0">
        <w:rPr>
          <w:i/>
          <w:sz w:val="16"/>
          <w:szCs w:val="16"/>
          <w:u w:val="single"/>
        </w:rPr>
        <w:t>Framework for the Preparation and Presentation of Financial Statements</w:t>
      </w:r>
      <w:r w:rsidR="00AB0CA0" w:rsidRPr="00AB0CA0">
        <w:rPr>
          <w:sz w:val="16"/>
          <w:szCs w:val="16"/>
          <w:u w:val="single"/>
        </w:rPr>
        <w:t xml:space="preserve"> adopted by the </w:t>
      </w:r>
      <w:r w:rsidR="00AB0CA0" w:rsidRPr="0067049C">
        <w:rPr>
          <w:sz w:val="16"/>
          <w:szCs w:val="16"/>
          <w:u w:val="single"/>
        </w:rPr>
        <w:t>AASB</w:t>
      </w:r>
      <w:r w:rsidR="00AB0CA0" w:rsidRPr="00AB0CA0">
        <w:rPr>
          <w:sz w:val="16"/>
          <w:szCs w:val="16"/>
          <w:u w:val="single"/>
        </w:rPr>
        <w:t xml:space="preserve"> in </w:t>
      </w:r>
      <w:r w:rsidR="00AB0CA0" w:rsidRPr="0067049C">
        <w:rPr>
          <w:sz w:val="16"/>
          <w:szCs w:val="16"/>
          <w:u w:val="single"/>
        </w:rPr>
        <w:t>2004</w:t>
      </w:r>
      <w:r w:rsidR="00AB0CA0" w:rsidRPr="00AB0CA0">
        <w:rPr>
          <w:sz w:val="16"/>
          <w:szCs w:val="16"/>
          <w:u w:val="single"/>
        </w:rPr>
        <w:t xml:space="preserve"> rather than the </w:t>
      </w:r>
      <w:r w:rsidR="00AB0CA0" w:rsidRPr="00AB0CA0">
        <w:rPr>
          <w:i/>
          <w:sz w:val="16"/>
          <w:szCs w:val="16"/>
          <w:u w:val="single"/>
        </w:rPr>
        <w:t>Conceptual Framework for Financial Reporting</w:t>
      </w:r>
      <w:r w:rsidR="00AB0CA0" w:rsidRPr="00AB0CA0">
        <w:rPr>
          <w:sz w:val="16"/>
          <w:szCs w:val="16"/>
          <w:u w:val="single"/>
        </w:rPr>
        <w:t xml:space="preserve"> issued in</w:t>
      </w:r>
      <w:r w:rsidR="00AB0CA0" w:rsidRPr="007E2A2E">
        <w:rPr>
          <w:sz w:val="16"/>
          <w:szCs w:val="16"/>
          <w:u w:val="single"/>
        </w:rPr>
        <w:t xml:space="preserve"> </w:t>
      </w:r>
      <w:r w:rsidR="00443B60" w:rsidRPr="007E2A2E">
        <w:rPr>
          <w:sz w:val="16"/>
          <w:szCs w:val="16"/>
          <w:u w:val="single"/>
        </w:rPr>
        <w:t>2019</w:t>
      </w:r>
      <w:r w:rsidR="00AB0CA0" w:rsidRPr="007E2A2E">
        <w:rPr>
          <w:sz w:val="16"/>
          <w:szCs w:val="16"/>
          <w:u w:val="single"/>
        </w:rPr>
        <w:t>.</w:t>
      </w:r>
    </w:p>
    <w:p w14:paraId="6600464C" w14:textId="77777777" w:rsidR="00AB0CA0" w:rsidRPr="00AB0CA0" w:rsidRDefault="00AB0CA0" w:rsidP="007E2A2E">
      <w:pPr>
        <w:pStyle w:val="IASBNormalnparaL1"/>
        <w:ind w:left="1491" w:hanging="709"/>
        <w:rPr>
          <w:sz w:val="16"/>
          <w:szCs w:val="16"/>
          <w:u w:val="single"/>
        </w:rPr>
      </w:pPr>
      <w:r w:rsidRPr="00AB0CA0">
        <w:rPr>
          <w:sz w:val="16"/>
          <w:szCs w:val="16"/>
          <w:u w:val="single"/>
        </w:rPr>
        <w:t>AusCF1</w:t>
      </w:r>
      <w:r w:rsidRPr="00AB0CA0">
        <w:rPr>
          <w:sz w:val="16"/>
          <w:szCs w:val="16"/>
        </w:rPr>
        <w:tab/>
      </w:r>
      <w:r w:rsidRPr="00AB0CA0">
        <w:rPr>
          <w:sz w:val="16"/>
          <w:szCs w:val="16"/>
          <w:u w:val="single"/>
        </w:rPr>
        <w:t xml:space="preserve">Notwithstanding footnote 1, in respect of </w:t>
      </w:r>
      <w:r>
        <w:rPr>
          <w:sz w:val="16"/>
          <w:szCs w:val="16"/>
          <w:u w:val="single"/>
        </w:rPr>
        <w:t>Aus</w:t>
      </w:r>
      <w:r w:rsidRPr="00AB0CA0">
        <w:rPr>
          <w:sz w:val="16"/>
          <w:szCs w:val="16"/>
          <w:u w:val="single"/>
        </w:rPr>
        <w:t xml:space="preserve">CF entities, in December 2013 the AASB amended the </w:t>
      </w:r>
      <w:r w:rsidRPr="00AB0CA0">
        <w:rPr>
          <w:i/>
          <w:iCs/>
          <w:sz w:val="16"/>
          <w:szCs w:val="16"/>
          <w:u w:val="single"/>
        </w:rPr>
        <w:t>Framework for the Preparation and Presentation of Financial Statements</w:t>
      </w:r>
      <w:r w:rsidRPr="00AB0CA0">
        <w:rPr>
          <w:sz w:val="16"/>
          <w:szCs w:val="16"/>
          <w:u w:val="single"/>
        </w:rPr>
        <w:t>.</w:t>
      </w:r>
    </w:p>
    <w:p w14:paraId="3395AD79" w14:textId="77777777" w:rsidR="003A66C5" w:rsidRDefault="004C4BAD" w:rsidP="00C87FAF">
      <w:pPr>
        <w:pStyle w:val="Heading2"/>
        <w:jc w:val="both"/>
      </w:pPr>
      <w:r>
        <w:t>Amendments to AASB 6</w:t>
      </w:r>
    </w:p>
    <w:p w14:paraId="102CC8F6" w14:textId="77777777" w:rsidR="00F86309" w:rsidRPr="00F86309" w:rsidRDefault="00F86309"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F86309">
        <w:rPr>
          <w:szCs w:val="19"/>
        </w:rPr>
        <w:t xml:space="preserve">Paragraph 10 is amended and paragraphs AusCF1, AusCF10 and 26A are added. </w:t>
      </w:r>
    </w:p>
    <w:p w14:paraId="21263C38" w14:textId="77777777" w:rsidR="00F86309" w:rsidRPr="004C4BAD" w:rsidRDefault="00F86309" w:rsidP="00C87FAF">
      <w:pPr>
        <w:pBdr>
          <w:bottom w:val="single" w:sz="4" w:space="1" w:color="auto"/>
        </w:pBdr>
        <w:autoSpaceDE w:val="0"/>
        <w:autoSpaceDN w:val="0"/>
        <w:adjustRightInd w:val="0"/>
        <w:spacing w:before="240"/>
        <w:rPr>
          <w:rFonts w:ascii="Arial" w:hAnsi="Arial" w:cs="Arial"/>
          <w:b/>
          <w:iCs/>
          <w:sz w:val="26"/>
          <w:szCs w:val="28"/>
        </w:rPr>
      </w:pPr>
      <w:r w:rsidRPr="004C4BAD">
        <w:rPr>
          <w:rFonts w:ascii="Arial" w:hAnsi="Arial" w:cs="Arial"/>
          <w:b/>
          <w:iCs/>
          <w:sz w:val="26"/>
          <w:szCs w:val="28"/>
        </w:rPr>
        <w:t>Objective</w:t>
      </w:r>
    </w:p>
    <w:p w14:paraId="52E0E252" w14:textId="77777777" w:rsidR="00F86309" w:rsidRDefault="00F86309" w:rsidP="00C87FAF">
      <w:pPr>
        <w:autoSpaceDE w:val="0"/>
        <w:autoSpaceDN w:val="0"/>
        <w:adjustRightInd w:val="0"/>
        <w:spacing w:before="100"/>
        <w:rPr>
          <w:szCs w:val="19"/>
        </w:rPr>
      </w:pPr>
      <w:r w:rsidRPr="00F86309">
        <w:rPr>
          <w:szCs w:val="19"/>
        </w:rPr>
        <w:t>…</w:t>
      </w:r>
    </w:p>
    <w:p w14:paraId="66C730F1" w14:textId="77636D48" w:rsidR="00FE115A" w:rsidRPr="0067049C" w:rsidRDefault="00FE115A" w:rsidP="007E2A2E">
      <w:pPr>
        <w:pStyle w:val="IASBNormalnpara"/>
        <w:rPr>
          <w:szCs w:val="19"/>
          <w:u w:val="single"/>
        </w:rPr>
      </w:pPr>
      <w:r w:rsidRPr="0067049C">
        <w:rPr>
          <w:szCs w:val="19"/>
          <w:u w:val="single"/>
        </w:rPr>
        <w:t>AusCF1</w:t>
      </w:r>
      <w:r w:rsidRPr="0067049C">
        <w:rPr>
          <w:szCs w:val="19"/>
        </w:rPr>
        <w:tab/>
      </w:r>
      <w:r w:rsidRPr="0067049C">
        <w:rPr>
          <w:szCs w:val="19"/>
          <w:u w:val="single"/>
        </w:rPr>
        <w:t xml:space="preserve">AusCF </w:t>
      </w:r>
      <w:r w:rsidRPr="007E2A2E">
        <w:rPr>
          <w:u w:val="single"/>
        </w:rPr>
        <w:t>paragraphs</w:t>
      </w:r>
      <w:r w:rsidRPr="0067049C">
        <w:rPr>
          <w:szCs w:val="19"/>
          <w:u w:val="single"/>
        </w:rPr>
        <w:t xml:space="preserve"> included in this Standard apply only to:</w:t>
      </w:r>
    </w:p>
    <w:p w14:paraId="02AD7AA7" w14:textId="3D657985" w:rsidR="00FE115A" w:rsidRPr="007E2A2E" w:rsidRDefault="007E2A2E" w:rsidP="007E2A2E">
      <w:pPr>
        <w:pStyle w:val="IASBNormalnparaL1"/>
        <w:rPr>
          <w:u w:val="single"/>
        </w:rPr>
      </w:pPr>
      <w:r>
        <w:rPr>
          <w:szCs w:val="19"/>
          <w:u w:val="single"/>
        </w:rPr>
        <w:t>(a)</w:t>
      </w:r>
      <w:r>
        <w:rPr>
          <w:szCs w:val="19"/>
          <w:u w:val="single"/>
        </w:rPr>
        <w:tab/>
      </w:r>
      <w:r w:rsidR="00FE115A" w:rsidRPr="007E2A2E">
        <w:rPr>
          <w:szCs w:val="19"/>
          <w:u w:val="single"/>
        </w:rPr>
        <w:t>not-for-</w:t>
      </w:r>
      <w:r w:rsidR="00FE115A" w:rsidRPr="007E2A2E">
        <w:rPr>
          <w:u w:val="single"/>
        </w:rPr>
        <w:t xml:space="preserve">profit entities; and </w:t>
      </w:r>
    </w:p>
    <w:p w14:paraId="5446F7C3" w14:textId="52916CC0" w:rsidR="00FE115A" w:rsidRPr="007E2A2E" w:rsidRDefault="007E2A2E" w:rsidP="007E2A2E">
      <w:pPr>
        <w:pStyle w:val="IASBNormalnparaL1"/>
        <w:rPr>
          <w:szCs w:val="19"/>
          <w:u w:val="single"/>
        </w:rPr>
      </w:pPr>
      <w:r w:rsidRPr="007E2A2E">
        <w:rPr>
          <w:u w:val="single"/>
        </w:rPr>
        <w:t>(b</w:t>
      </w:r>
      <w:r>
        <w:rPr>
          <w:u w:val="single"/>
        </w:rPr>
        <w:t>)</w:t>
      </w:r>
      <w:r>
        <w:rPr>
          <w:u w:val="single"/>
        </w:rPr>
        <w:tab/>
      </w:r>
      <w:r w:rsidR="00FE115A" w:rsidRPr="007E2A2E">
        <w:rPr>
          <w:u w:val="single"/>
        </w:rPr>
        <w:t>for-profit ent</w:t>
      </w:r>
      <w:r w:rsidR="00FE115A" w:rsidRPr="007E2A2E">
        <w:rPr>
          <w:szCs w:val="19"/>
          <w:u w:val="single"/>
        </w:rPr>
        <w:t xml:space="preserve">ities that are not applying the </w:t>
      </w:r>
      <w:r w:rsidR="00FE115A" w:rsidRPr="007E2A2E">
        <w:rPr>
          <w:i/>
          <w:szCs w:val="19"/>
          <w:u w:val="single"/>
        </w:rPr>
        <w:t>Conceptual Framework for Financial Reporting</w:t>
      </w:r>
      <w:r w:rsidR="00443B60" w:rsidRPr="007E2A2E">
        <w:rPr>
          <w:i/>
          <w:szCs w:val="19"/>
          <w:u w:val="single"/>
        </w:rPr>
        <w:t xml:space="preserve"> </w:t>
      </w:r>
      <w:r w:rsidR="00443B60" w:rsidRPr="007E2A2E">
        <w:rPr>
          <w:szCs w:val="19"/>
          <w:u w:val="single"/>
        </w:rPr>
        <w:t>(as identified in AASB 1048</w:t>
      </w:r>
      <w:r w:rsidR="00443B60" w:rsidRPr="007E2A2E">
        <w:rPr>
          <w:i/>
          <w:szCs w:val="19"/>
          <w:u w:val="single"/>
        </w:rPr>
        <w:t xml:space="preserve"> Interpretation of Standards</w:t>
      </w:r>
      <w:r w:rsidR="00443B60" w:rsidRPr="007E2A2E">
        <w:rPr>
          <w:szCs w:val="19"/>
          <w:u w:val="single"/>
        </w:rPr>
        <w:t>)</w:t>
      </w:r>
      <w:r w:rsidR="00FE115A" w:rsidRPr="007E2A2E">
        <w:rPr>
          <w:szCs w:val="19"/>
          <w:u w:val="single"/>
        </w:rPr>
        <w:t xml:space="preserve">.  </w:t>
      </w:r>
    </w:p>
    <w:p w14:paraId="419BDC4B" w14:textId="11757341" w:rsidR="00FE115A" w:rsidRPr="0067049C" w:rsidRDefault="00193364" w:rsidP="00E06069">
      <w:pPr>
        <w:pStyle w:val="IASBNormalL1P"/>
        <w:rPr>
          <w:szCs w:val="19"/>
          <w:u w:val="single"/>
        </w:rPr>
      </w:pPr>
      <w:r w:rsidRPr="0067049C">
        <w:rPr>
          <w:szCs w:val="19"/>
          <w:u w:val="single"/>
        </w:rPr>
        <w:t>Such entities are referred to as ‘AusCF entities’.  For AusCF entities</w:t>
      </w:r>
      <w:r w:rsidR="00FE115A" w:rsidRPr="0067049C">
        <w:rPr>
          <w:szCs w:val="19"/>
          <w:u w:val="single"/>
        </w:rPr>
        <w:t xml:space="preserve">,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00BB026C" w:rsidRPr="0067049C">
        <w:rPr>
          <w:szCs w:val="19"/>
          <w:u w:val="single"/>
        </w:rPr>
        <w:t xml:space="preserve"> </w:t>
      </w:r>
      <w:r w:rsidR="00FE115A" w:rsidRPr="0067049C">
        <w:rPr>
          <w:szCs w:val="19"/>
          <w:u w:val="single"/>
        </w:rPr>
        <w:t xml:space="preserve">and Statement of Accounting Concepts SAC 1 </w:t>
      </w:r>
      <w:r w:rsidR="00FE115A" w:rsidRPr="0067049C">
        <w:rPr>
          <w:i/>
          <w:szCs w:val="19"/>
          <w:u w:val="single"/>
        </w:rPr>
        <w:t>Definition of the Reporting Entity</w:t>
      </w:r>
      <w:r w:rsidR="00FE115A" w:rsidRPr="0067049C">
        <w:rPr>
          <w:szCs w:val="19"/>
          <w:u w:val="single"/>
        </w:rPr>
        <w:t xml:space="preserve"> also applies.  For-profit entities applying the </w:t>
      </w:r>
      <w:r w:rsidR="00FE115A" w:rsidRPr="0067049C">
        <w:rPr>
          <w:i/>
          <w:szCs w:val="19"/>
          <w:u w:val="single"/>
        </w:rPr>
        <w:t>Conceptual Framework for Financial Reporting</w:t>
      </w:r>
      <w:r w:rsidR="00FE115A"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00FE115A" w:rsidRPr="0067049C">
        <w:rPr>
          <w:szCs w:val="19"/>
          <w:u w:val="single"/>
        </w:rPr>
        <w:t>shall not apply AusCF paragraphs.</w:t>
      </w:r>
    </w:p>
    <w:p w14:paraId="135EFBAC" w14:textId="77777777" w:rsidR="00F86309" w:rsidRDefault="00F86309" w:rsidP="00C87FAF">
      <w:pPr>
        <w:autoSpaceDE w:val="0"/>
        <w:autoSpaceDN w:val="0"/>
        <w:adjustRightInd w:val="0"/>
        <w:rPr>
          <w:szCs w:val="19"/>
        </w:rPr>
      </w:pPr>
      <w:r w:rsidRPr="00F86309">
        <w:rPr>
          <w:szCs w:val="19"/>
        </w:rPr>
        <w:t>…</w:t>
      </w:r>
    </w:p>
    <w:p w14:paraId="46E443F9" w14:textId="77777777" w:rsidR="00F86309" w:rsidRPr="00E06069" w:rsidRDefault="00F86309" w:rsidP="00E06069">
      <w:pPr>
        <w:pStyle w:val="IASBNormalL1P"/>
        <w:rPr>
          <w:b/>
          <w:bCs/>
          <w:szCs w:val="19"/>
        </w:rPr>
      </w:pPr>
      <w:r w:rsidRPr="00E06069">
        <w:rPr>
          <w:b/>
          <w:szCs w:val="19"/>
        </w:rPr>
        <w:t>Elements</w:t>
      </w:r>
      <w:r w:rsidRPr="00E06069">
        <w:rPr>
          <w:b/>
          <w:bCs/>
          <w:szCs w:val="19"/>
        </w:rPr>
        <w:t xml:space="preserve"> of cost of exploration and evaluation assets</w:t>
      </w:r>
    </w:p>
    <w:p w14:paraId="3E1076F5" w14:textId="77777777" w:rsidR="00F86309" w:rsidRDefault="00633996" w:rsidP="00C87FAF">
      <w:pPr>
        <w:autoSpaceDE w:val="0"/>
        <w:autoSpaceDN w:val="0"/>
        <w:adjustRightInd w:val="0"/>
        <w:rPr>
          <w:szCs w:val="19"/>
        </w:rPr>
      </w:pPr>
      <w:r>
        <w:rPr>
          <w:szCs w:val="19"/>
        </w:rPr>
        <w:t>…</w:t>
      </w:r>
    </w:p>
    <w:p w14:paraId="41FE18A2" w14:textId="77777777" w:rsidR="00F86309" w:rsidRDefault="004C4BAD" w:rsidP="00E06069">
      <w:pPr>
        <w:pStyle w:val="IASBNormalnpara"/>
        <w:rPr>
          <w:szCs w:val="19"/>
        </w:rPr>
      </w:pPr>
      <w:r>
        <w:rPr>
          <w:szCs w:val="19"/>
        </w:rPr>
        <w:t>10</w:t>
      </w:r>
      <w:r w:rsidR="00F86309" w:rsidRPr="00F86309">
        <w:rPr>
          <w:szCs w:val="19"/>
        </w:rPr>
        <w:tab/>
        <w:t xml:space="preserve">Expenditures related to the development of mineral resources shall not be recognised as exploration and evaluation </w:t>
      </w:r>
      <w:r w:rsidR="00F86309" w:rsidRPr="00E06069">
        <w:rPr>
          <w:szCs w:val="19"/>
          <w:u w:val="single"/>
        </w:rPr>
        <w:t>assets</w:t>
      </w:r>
      <w:r w:rsidR="00403EB9" w:rsidRPr="00F86309">
        <w:rPr>
          <w:szCs w:val="19"/>
        </w:rPr>
        <w:t xml:space="preserve">.  </w:t>
      </w:r>
      <w:r w:rsidR="00F86309" w:rsidRPr="00F86309">
        <w:rPr>
          <w:szCs w:val="19"/>
        </w:rPr>
        <w:t xml:space="preserve">The </w:t>
      </w:r>
      <w:r w:rsidR="00F86309" w:rsidRPr="00F86309">
        <w:rPr>
          <w:i/>
          <w:strike/>
          <w:szCs w:val="19"/>
        </w:rPr>
        <w:t>Framework for the Preparation and Presentation of Financial Statements</w:t>
      </w:r>
      <w:r w:rsidR="00C03A05">
        <w:rPr>
          <w:i/>
          <w:strike/>
          <w:szCs w:val="19"/>
        </w:rPr>
        <w:t xml:space="preserve"> </w:t>
      </w:r>
      <w:r w:rsidR="00F86309" w:rsidRPr="00F86309">
        <w:rPr>
          <w:i/>
          <w:szCs w:val="19"/>
          <w:u w:val="single"/>
        </w:rPr>
        <w:t>Conceptual Framework for Financial Reporting</w:t>
      </w:r>
      <w:r w:rsidR="00F86309" w:rsidRPr="00F86309">
        <w:rPr>
          <w:szCs w:val="19"/>
        </w:rPr>
        <w:t xml:space="preserve"> (as identified in AASB 1048 </w:t>
      </w:r>
      <w:r w:rsidR="00F86309" w:rsidRPr="00F86309">
        <w:rPr>
          <w:i/>
          <w:szCs w:val="19"/>
        </w:rPr>
        <w:t>Interpretation of Standards</w:t>
      </w:r>
      <w:r w:rsidR="00F86309" w:rsidRPr="00F86309">
        <w:rPr>
          <w:szCs w:val="19"/>
        </w:rPr>
        <w:t>)</w:t>
      </w:r>
      <w:r w:rsidR="00F86309" w:rsidRPr="00F86309">
        <w:rPr>
          <w:i/>
          <w:szCs w:val="19"/>
        </w:rPr>
        <w:t xml:space="preserve"> </w:t>
      </w:r>
      <w:r w:rsidR="00F86309" w:rsidRPr="00F86309">
        <w:rPr>
          <w:szCs w:val="19"/>
        </w:rPr>
        <w:t xml:space="preserve">and AASB 138 </w:t>
      </w:r>
      <w:r w:rsidR="00F86309" w:rsidRPr="00F86309">
        <w:rPr>
          <w:i/>
          <w:szCs w:val="19"/>
        </w:rPr>
        <w:t>Intangible Assets</w:t>
      </w:r>
      <w:r w:rsidR="00F86309" w:rsidRPr="00F86309">
        <w:rPr>
          <w:szCs w:val="19"/>
        </w:rPr>
        <w:t xml:space="preserve"> provide guidance on the recognition of assets arising from development.</w:t>
      </w:r>
    </w:p>
    <w:p w14:paraId="4C9F58D3" w14:textId="77777777" w:rsidR="00F86309" w:rsidRPr="00F86309" w:rsidRDefault="00F86309" w:rsidP="00E06069">
      <w:pPr>
        <w:pStyle w:val="IASBNormalnpara"/>
        <w:rPr>
          <w:szCs w:val="19"/>
        </w:rPr>
      </w:pPr>
      <w:r w:rsidRPr="00F86309">
        <w:rPr>
          <w:szCs w:val="19"/>
          <w:u w:val="single"/>
        </w:rPr>
        <w:t>AusCF10</w:t>
      </w:r>
      <w:r w:rsidRPr="00F86309">
        <w:rPr>
          <w:szCs w:val="19"/>
        </w:rPr>
        <w:t xml:space="preserve"> </w:t>
      </w:r>
      <w:r w:rsidRPr="00F86309">
        <w:rPr>
          <w:szCs w:val="19"/>
        </w:rPr>
        <w:tab/>
      </w:r>
      <w:r w:rsidRPr="00F86309">
        <w:rPr>
          <w:szCs w:val="19"/>
          <w:u w:val="single"/>
        </w:rPr>
        <w:t>Notwithstanding paragraph 10, in respect of AusCF entities, expenditures related to the development of mineral resources shall not be recognised as exploration and evaluation assets</w:t>
      </w:r>
      <w:r w:rsidR="00403EB9" w:rsidRPr="00F86309">
        <w:rPr>
          <w:szCs w:val="19"/>
          <w:u w:val="single"/>
        </w:rPr>
        <w:t xml:space="preserve">.  </w:t>
      </w:r>
      <w:r w:rsidRPr="00F86309">
        <w:rPr>
          <w:szCs w:val="19"/>
          <w:u w:val="single"/>
        </w:rPr>
        <w:t xml:space="preserve">The </w:t>
      </w:r>
      <w:r w:rsidRPr="00F86309">
        <w:rPr>
          <w:i/>
          <w:szCs w:val="19"/>
          <w:u w:val="single"/>
        </w:rPr>
        <w:t>Framework for the Preparation and Presentation of Financial Statements</w:t>
      </w:r>
      <w:r w:rsidRPr="00F86309">
        <w:rPr>
          <w:szCs w:val="19"/>
          <w:u w:val="single"/>
        </w:rPr>
        <w:t xml:space="preserve"> (as identified in AASB 1048 </w:t>
      </w:r>
      <w:r w:rsidRPr="00F86309">
        <w:rPr>
          <w:i/>
          <w:szCs w:val="19"/>
          <w:u w:val="single"/>
        </w:rPr>
        <w:t>Interpretation of Standards</w:t>
      </w:r>
      <w:r w:rsidRPr="00F86309">
        <w:rPr>
          <w:szCs w:val="19"/>
          <w:u w:val="single"/>
        </w:rPr>
        <w:t>)</w:t>
      </w:r>
      <w:r w:rsidRPr="00F86309">
        <w:rPr>
          <w:i/>
          <w:szCs w:val="19"/>
          <w:u w:val="single"/>
        </w:rPr>
        <w:t xml:space="preserve"> </w:t>
      </w:r>
      <w:r w:rsidRPr="00F86309">
        <w:rPr>
          <w:szCs w:val="19"/>
          <w:u w:val="single"/>
        </w:rPr>
        <w:t xml:space="preserve">and AASB 138 </w:t>
      </w:r>
      <w:r w:rsidRPr="00F86309">
        <w:rPr>
          <w:i/>
          <w:szCs w:val="19"/>
          <w:u w:val="single"/>
        </w:rPr>
        <w:t>Intangible Assets</w:t>
      </w:r>
      <w:r w:rsidRPr="00F86309">
        <w:rPr>
          <w:szCs w:val="19"/>
          <w:u w:val="single"/>
        </w:rPr>
        <w:t xml:space="preserve"> provide guidance on the recognition of assets arising from development.</w:t>
      </w:r>
    </w:p>
    <w:p w14:paraId="181F6747" w14:textId="77777777" w:rsidR="00F86309" w:rsidRDefault="00633996" w:rsidP="00E06069">
      <w:pPr>
        <w:autoSpaceDE w:val="0"/>
        <w:autoSpaceDN w:val="0"/>
        <w:adjustRightInd w:val="0"/>
        <w:spacing w:before="100"/>
        <w:rPr>
          <w:szCs w:val="19"/>
        </w:rPr>
      </w:pPr>
      <w:r>
        <w:rPr>
          <w:szCs w:val="19"/>
        </w:rPr>
        <w:t>…</w:t>
      </w:r>
    </w:p>
    <w:p w14:paraId="64BE0540" w14:textId="77777777" w:rsidR="00F86309" w:rsidRPr="00F1299F" w:rsidRDefault="00F86309" w:rsidP="00F1299F">
      <w:pPr>
        <w:pBdr>
          <w:bottom w:val="single" w:sz="4" w:space="1" w:color="auto"/>
        </w:pBdr>
        <w:autoSpaceDE w:val="0"/>
        <w:autoSpaceDN w:val="0"/>
        <w:adjustRightInd w:val="0"/>
        <w:spacing w:before="240"/>
        <w:rPr>
          <w:rFonts w:ascii="Arial" w:hAnsi="Arial" w:cs="Arial"/>
          <w:b/>
          <w:iCs/>
          <w:sz w:val="26"/>
          <w:szCs w:val="28"/>
        </w:rPr>
      </w:pPr>
      <w:r w:rsidRPr="00F1299F">
        <w:rPr>
          <w:rFonts w:ascii="Arial" w:hAnsi="Arial" w:cs="Arial"/>
          <w:b/>
          <w:iCs/>
          <w:sz w:val="26"/>
          <w:szCs w:val="28"/>
        </w:rPr>
        <w:t>Effective date</w:t>
      </w:r>
    </w:p>
    <w:p w14:paraId="68DC551E" w14:textId="77777777" w:rsidR="00F86309" w:rsidRDefault="00633996" w:rsidP="00C87FAF">
      <w:pPr>
        <w:autoSpaceDE w:val="0"/>
        <w:autoSpaceDN w:val="0"/>
        <w:adjustRightInd w:val="0"/>
        <w:spacing w:before="100"/>
        <w:rPr>
          <w:szCs w:val="19"/>
        </w:rPr>
      </w:pPr>
      <w:r>
        <w:rPr>
          <w:szCs w:val="19"/>
        </w:rPr>
        <w:t>…</w:t>
      </w:r>
    </w:p>
    <w:p w14:paraId="73957C28" w14:textId="606EEA5B" w:rsidR="00F86309" w:rsidRPr="00F86309" w:rsidRDefault="00F86309" w:rsidP="00E06069">
      <w:pPr>
        <w:pStyle w:val="IASBNormalnpara"/>
        <w:rPr>
          <w:szCs w:val="19"/>
        </w:rPr>
      </w:pPr>
      <w:r w:rsidRPr="00F86309">
        <w:rPr>
          <w:szCs w:val="19"/>
          <w:u w:val="single"/>
        </w:rPr>
        <w:t>26A</w:t>
      </w:r>
      <w:r w:rsidRPr="00F86309">
        <w:rPr>
          <w:szCs w:val="19"/>
        </w:rPr>
        <w:tab/>
      </w:r>
      <w:r w:rsidRPr="00F86309">
        <w:rPr>
          <w:szCs w:val="19"/>
          <w:u w:val="single"/>
        </w:rPr>
        <w:t>AASB </w:t>
      </w:r>
      <w:r w:rsidR="00043A3E">
        <w:rPr>
          <w:szCs w:val="19"/>
          <w:u w:val="single"/>
        </w:rPr>
        <w:t>2019-1</w:t>
      </w:r>
      <w:r w:rsidRPr="00F86309">
        <w:rPr>
          <w:szCs w:val="19"/>
          <w:u w:val="single"/>
        </w:rPr>
        <w:t xml:space="preserve"> </w:t>
      </w:r>
      <w:r w:rsidRPr="00F86309">
        <w:rPr>
          <w:i/>
          <w:iCs/>
          <w:szCs w:val="19"/>
          <w:u w:val="single"/>
        </w:rPr>
        <w:t>Amendments to Australian Accounting Standards – References to the Conceptual Framework</w:t>
      </w:r>
      <w:r w:rsidRPr="00F86309">
        <w:rPr>
          <w:iCs/>
          <w:szCs w:val="19"/>
          <w:u w:val="single"/>
        </w:rPr>
        <w:t>,</w:t>
      </w:r>
      <w:r w:rsidRPr="00F86309">
        <w:rPr>
          <w:szCs w:val="19"/>
          <w:u w:val="single"/>
        </w:rPr>
        <w:t xml:space="preserve"> issued in </w:t>
      </w:r>
      <w:r w:rsidR="00443B60">
        <w:rPr>
          <w:szCs w:val="19"/>
          <w:u w:val="single"/>
        </w:rPr>
        <w:t>2019</w:t>
      </w:r>
      <w:r>
        <w:rPr>
          <w:szCs w:val="19"/>
          <w:u w:val="single"/>
        </w:rPr>
        <w:t>,</w:t>
      </w:r>
      <w:r w:rsidRPr="00F86309">
        <w:rPr>
          <w:szCs w:val="19"/>
          <w:u w:val="single"/>
        </w:rPr>
        <w:t xml:space="preserve"> </w:t>
      </w:r>
      <w:r w:rsidR="0049458C">
        <w:rPr>
          <w:szCs w:val="19"/>
          <w:u w:val="single"/>
        </w:rPr>
        <w:t xml:space="preserve">added </w:t>
      </w:r>
      <w:r w:rsidR="006849FE" w:rsidRPr="0067049C">
        <w:rPr>
          <w:szCs w:val="19"/>
          <w:u w:val="single"/>
        </w:rPr>
        <w:t xml:space="preserve">AusCF </w:t>
      </w:r>
      <w:r w:rsidR="0049458C" w:rsidRPr="0067049C">
        <w:rPr>
          <w:szCs w:val="19"/>
          <w:u w:val="single"/>
        </w:rPr>
        <w:t>paragraph</w:t>
      </w:r>
      <w:r w:rsidR="006849FE" w:rsidRPr="0067049C">
        <w:rPr>
          <w:szCs w:val="19"/>
          <w:u w:val="single"/>
        </w:rPr>
        <w:t>s</w:t>
      </w:r>
      <w:r w:rsidR="0049458C" w:rsidRPr="0067049C">
        <w:rPr>
          <w:szCs w:val="19"/>
          <w:u w:val="single"/>
        </w:rPr>
        <w:t xml:space="preserve"> </w:t>
      </w:r>
      <w:r w:rsidR="0049458C">
        <w:rPr>
          <w:szCs w:val="19"/>
          <w:u w:val="single"/>
        </w:rPr>
        <w:t xml:space="preserve">and </w:t>
      </w:r>
      <w:r w:rsidRPr="00F86309">
        <w:rPr>
          <w:szCs w:val="19"/>
          <w:u w:val="single"/>
        </w:rPr>
        <w:t>amended paragraph 10</w:t>
      </w:r>
      <w:r w:rsidR="00403EB9" w:rsidRPr="00F86309">
        <w:rPr>
          <w:szCs w:val="19"/>
          <w:u w:val="single"/>
        </w:rPr>
        <w:t xml:space="preserve">.  </w:t>
      </w:r>
      <w:r w:rsidRPr="00F86309">
        <w:rPr>
          <w:szCs w:val="19"/>
          <w:u w:val="single"/>
        </w:rPr>
        <w:t xml:space="preserve">An entity shall apply </w:t>
      </w:r>
      <w:r w:rsidRPr="0067049C">
        <w:rPr>
          <w:szCs w:val="19"/>
          <w:u w:val="single"/>
        </w:rPr>
        <w:t>th</w:t>
      </w:r>
      <w:r w:rsidR="006849FE" w:rsidRPr="0067049C">
        <w:rPr>
          <w:szCs w:val="19"/>
          <w:u w:val="single"/>
        </w:rPr>
        <w:t>e</w:t>
      </w:r>
      <w:r w:rsidRPr="0067049C">
        <w:rPr>
          <w:szCs w:val="19"/>
          <w:u w:val="single"/>
        </w:rPr>
        <w:t xml:space="preserve"> amendment</w:t>
      </w:r>
      <w:r w:rsidR="006849FE" w:rsidRPr="0067049C">
        <w:rPr>
          <w:szCs w:val="19"/>
          <w:u w:val="single"/>
        </w:rPr>
        <w:t>s</w:t>
      </w:r>
      <w:r w:rsidRPr="0067049C">
        <w:rPr>
          <w:szCs w:val="19"/>
          <w:u w:val="single"/>
        </w:rPr>
        <w:t xml:space="preserve"> </w:t>
      </w:r>
      <w:r w:rsidRPr="00F86309">
        <w:rPr>
          <w:szCs w:val="19"/>
          <w:u w:val="single"/>
        </w:rPr>
        <w:t>for annual periods beginning on or after 1 January 2020</w:t>
      </w:r>
      <w:r w:rsidR="00403EB9" w:rsidRPr="00F86309">
        <w:rPr>
          <w:szCs w:val="19"/>
          <w:u w:val="single"/>
        </w:rPr>
        <w:t xml:space="preserve">.  </w:t>
      </w:r>
      <w:r w:rsidRPr="00F86309">
        <w:rPr>
          <w:szCs w:val="19"/>
          <w:u w:val="single"/>
        </w:rPr>
        <w:t>Earlier application is permitted if at the same time an entity also applies all other amendments made by AASB </w:t>
      </w:r>
      <w:r w:rsidR="00043A3E">
        <w:rPr>
          <w:szCs w:val="19"/>
          <w:u w:val="single"/>
        </w:rPr>
        <w:t>2019-1</w:t>
      </w:r>
      <w:r w:rsidR="00403EB9" w:rsidRPr="0067049C">
        <w:rPr>
          <w:szCs w:val="19"/>
          <w:u w:val="single"/>
        </w:rPr>
        <w:t xml:space="preserve">.  </w:t>
      </w:r>
      <w:r w:rsidRPr="00F86309">
        <w:rPr>
          <w:szCs w:val="19"/>
          <w:u w:val="single"/>
        </w:rPr>
        <w:t xml:space="preserve">An entity shall apply the </w:t>
      </w:r>
      <w:r w:rsidRPr="0067049C">
        <w:rPr>
          <w:szCs w:val="19"/>
          <w:u w:val="single"/>
        </w:rPr>
        <w:t>amendment</w:t>
      </w:r>
      <w:r w:rsidR="006849FE" w:rsidRPr="0067049C">
        <w:rPr>
          <w:szCs w:val="19"/>
          <w:u w:val="single"/>
        </w:rPr>
        <w:t>s</w:t>
      </w:r>
      <w:r w:rsidRPr="00F86309">
        <w:rPr>
          <w:szCs w:val="19"/>
          <w:u w:val="single"/>
        </w:rPr>
        <w:t xml:space="preserve"> to AASB 6 retrospectively in accordance with AASB 108 </w:t>
      </w:r>
      <w:r w:rsidRPr="00F86309">
        <w:rPr>
          <w:i/>
          <w:iCs/>
          <w:szCs w:val="19"/>
          <w:u w:val="single"/>
        </w:rPr>
        <w:t>Accounting Policies, Changes in Accounting Estimates and Errors</w:t>
      </w:r>
      <w:r w:rsidR="00403EB9" w:rsidRPr="00F86309">
        <w:rPr>
          <w:szCs w:val="19"/>
          <w:u w:val="single"/>
        </w:rPr>
        <w:t xml:space="preserve">.  </w:t>
      </w:r>
      <w:r w:rsidRPr="00F86309">
        <w:rPr>
          <w:szCs w:val="19"/>
          <w:u w:val="single"/>
        </w:rPr>
        <w:t xml:space="preserve">However, if an entity determines that retrospective application would be impracticable or would involve undue cost or effort, it shall apply the </w:t>
      </w:r>
      <w:r w:rsidRPr="0067049C">
        <w:rPr>
          <w:szCs w:val="19"/>
          <w:u w:val="single"/>
        </w:rPr>
        <w:t>amendment</w:t>
      </w:r>
      <w:r w:rsidR="006849FE" w:rsidRPr="0067049C">
        <w:rPr>
          <w:szCs w:val="19"/>
          <w:u w:val="single"/>
        </w:rPr>
        <w:t>s</w:t>
      </w:r>
      <w:r w:rsidRPr="00F86309">
        <w:rPr>
          <w:szCs w:val="19"/>
          <w:u w:val="single"/>
        </w:rPr>
        <w:t xml:space="preserve"> to AASB 6 by reference to paragraphs 23–28, 50–53 and 54F of AASB 108.</w:t>
      </w:r>
    </w:p>
    <w:p w14:paraId="48C9118D" w14:textId="77777777" w:rsidR="003A66C5" w:rsidRDefault="00633996" w:rsidP="00C87FAF">
      <w:pPr>
        <w:pStyle w:val="Heading2"/>
        <w:jc w:val="both"/>
      </w:pPr>
      <w:r>
        <w:t>Amendments to AASB 7</w:t>
      </w:r>
    </w:p>
    <w:p w14:paraId="64B33459" w14:textId="77777777" w:rsidR="000D10F9" w:rsidRPr="000D10F9" w:rsidRDefault="000D10F9" w:rsidP="00C87FAF">
      <w:pPr>
        <w:pBdr>
          <w:top w:val="single" w:sz="4" w:space="1" w:color="auto"/>
          <w:left w:val="single" w:sz="4" w:space="4" w:color="auto"/>
          <w:bottom w:val="single" w:sz="4" w:space="1" w:color="auto"/>
          <w:right w:val="single" w:sz="4" w:space="4" w:color="auto"/>
        </w:pBdr>
        <w:autoSpaceDE w:val="0"/>
        <w:autoSpaceDN w:val="0"/>
        <w:adjustRightInd w:val="0"/>
        <w:ind w:left="720" w:hanging="720"/>
        <w:rPr>
          <w:szCs w:val="19"/>
        </w:rPr>
      </w:pPr>
      <w:r w:rsidRPr="000D10F9">
        <w:rPr>
          <w:szCs w:val="19"/>
        </w:rPr>
        <w:t xml:space="preserve">Paragraph </w:t>
      </w:r>
      <w:r>
        <w:rPr>
          <w:szCs w:val="19"/>
        </w:rPr>
        <w:t>Aus</w:t>
      </w:r>
      <w:r w:rsidRPr="000D10F9">
        <w:rPr>
          <w:szCs w:val="19"/>
        </w:rPr>
        <w:t>CF1 is added.</w:t>
      </w:r>
    </w:p>
    <w:p w14:paraId="49EC2A46" w14:textId="77777777" w:rsidR="000D10F9" w:rsidRPr="000D10F9" w:rsidRDefault="000D10F9" w:rsidP="00C87FAF">
      <w:pPr>
        <w:pStyle w:val="Heading2"/>
        <w:spacing w:before="240"/>
        <w:jc w:val="both"/>
      </w:pPr>
      <w:r w:rsidRPr="000D10F9">
        <w:t>Objective</w:t>
      </w:r>
    </w:p>
    <w:p w14:paraId="041EA782" w14:textId="77777777" w:rsidR="000D10F9" w:rsidRPr="000D10F9" w:rsidRDefault="000D10F9" w:rsidP="00C87FAF">
      <w:pPr>
        <w:autoSpaceDE w:val="0"/>
        <w:autoSpaceDN w:val="0"/>
        <w:adjustRightInd w:val="0"/>
        <w:rPr>
          <w:szCs w:val="19"/>
        </w:rPr>
      </w:pPr>
      <w:r w:rsidRPr="000D10F9">
        <w:rPr>
          <w:szCs w:val="19"/>
        </w:rPr>
        <w:t>…</w:t>
      </w:r>
    </w:p>
    <w:p w14:paraId="34C06C47" w14:textId="77777777" w:rsidR="00284EE9" w:rsidRPr="0067049C" w:rsidRDefault="00284EE9" w:rsidP="001448BB">
      <w:pPr>
        <w:pStyle w:val="IASBNormalnpara"/>
        <w:keepNext/>
        <w:rPr>
          <w:szCs w:val="19"/>
          <w:u w:val="single"/>
        </w:rPr>
      </w:pPr>
      <w:r w:rsidRPr="0067049C">
        <w:rPr>
          <w:szCs w:val="19"/>
          <w:u w:val="single"/>
        </w:rPr>
        <w:t>AusCF1</w:t>
      </w:r>
      <w:r w:rsidRPr="0067049C">
        <w:rPr>
          <w:szCs w:val="19"/>
        </w:rPr>
        <w:tab/>
      </w:r>
      <w:r w:rsidRPr="0067049C">
        <w:rPr>
          <w:szCs w:val="19"/>
          <w:u w:val="single"/>
        </w:rPr>
        <w:t>AusCF entities are:</w:t>
      </w:r>
    </w:p>
    <w:p w14:paraId="5506A879" w14:textId="416BED20" w:rsidR="00284EE9" w:rsidRPr="0067049C" w:rsidRDefault="00E06069" w:rsidP="00E06069">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7B7A0B23" w14:textId="6474AD74" w:rsidR="00284EE9" w:rsidRPr="0067049C" w:rsidRDefault="00E06069" w:rsidP="00E06069">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284EE9" w:rsidRPr="0067049C">
        <w:rPr>
          <w:szCs w:val="19"/>
          <w:u w:val="single"/>
        </w:rPr>
        <w:t>.</w:t>
      </w:r>
    </w:p>
    <w:p w14:paraId="140A2E1C" w14:textId="7BB497B3" w:rsidR="00284EE9" w:rsidRPr="00E5549F" w:rsidRDefault="00284EE9" w:rsidP="00E06069">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E5549F" w:rsidRPr="0067049C">
        <w:rPr>
          <w:szCs w:val="19"/>
          <w:u w:val="single"/>
        </w:rPr>
        <w:t xml:space="preserve">  For-profit entities applying the </w:t>
      </w:r>
      <w:r w:rsidR="00E5549F" w:rsidRPr="0067049C">
        <w:rPr>
          <w:i/>
          <w:szCs w:val="19"/>
          <w:u w:val="single"/>
        </w:rPr>
        <w:t>Conceptual Framework for Financial Reporting</w:t>
      </w:r>
      <w:r w:rsidR="00E5549F">
        <w:rPr>
          <w:szCs w:val="19"/>
          <w:u w:val="single"/>
        </w:rPr>
        <w:t xml:space="preserve"> are set out in paragraph Aus1.1 of the </w:t>
      </w:r>
      <w:r w:rsidR="00E5549F" w:rsidRPr="00E5549F">
        <w:rPr>
          <w:i/>
          <w:szCs w:val="19"/>
          <w:u w:val="single"/>
        </w:rPr>
        <w:t>Conceptual Framework</w:t>
      </w:r>
      <w:r w:rsidR="00E5549F">
        <w:rPr>
          <w:szCs w:val="19"/>
          <w:u w:val="single"/>
        </w:rPr>
        <w:t>.</w:t>
      </w:r>
    </w:p>
    <w:p w14:paraId="6597AD54" w14:textId="77777777" w:rsidR="003A66C5" w:rsidRDefault="003A66C5" w:rsidP="00C87FAF">
      <w:pPr>
        <w:pStyle w:val="Heading2"/>
        <w:jc w:val="both"/>
      </w:pPr>
      <w:r>
        <w:t>Amendments to AASB 8</w:t>
      </w:r>
    </w:p>
    <w:p w14:paraId="06E16276" w14:textId="77777777" w:rsidR="000D10F9" w:rsidRPr="000D10F9" w:rsidRDefault="000D10F9" w:rsidP="00C87FAF">
      <w:pPr>
        <w:pBdr>
          <w:top w:val="single" w:sz="4" w:space="1" w:color="auto"/>
          <w:left w:val="single" w:sz="4" w:space="4" w:color="auto"/>
          <w:bottom w:val="single" w:sz="4" w:space="1" w:color="auto"/>
          <w:right w:val="single" w:sz="4" w:space="4" w:color="auto"/>
        </w:pBdr>
        <w:autoSpaceDE w:val="0"/>
        <w:autoSpaceDN w:val="0"/>
        <w:adjustRightInd w:val="0"/>
        <w:ind w:left="720" w:hanging="720"/>
        <w:rPr>
          <w:szCs w:val="19"/>
        </w:rPr>
      </w:pPr>
      <w:r w:rsidRPr="000D10F9">
        <w:rPr>
          <w:szCs w:val="19"/>
        </w:rPr>
        <w:t xml:space="preserve">Paragraph </w:t>
      </w:r>
      <w:r>
        <w:rPr>
          <w:szCs w:val="19"/>
        </w:rPr>
        <w:t>Aus</w:t>
      </w:r>
      <w:r w:rsidRPr="000D10F9">
        <w:rPr>
          <w:szCs w:val="19"/>
        </w:rPr>
        <w:t>CF1 is added.</w:t>
      </w:r>
    </w:p>
    <w:p w14:paraId="0F8AEE69" w14:textId="77777777" w:rsidR="000D10F9" w:rsidRPr="000D10F9" w:rsidRDefault="000D10F9" w:rsidP="00C87FAF">
      <w:pPr>
        <w:pStyle w:val="Heading2"/>
        <w:spacing w:before="240"/>
        <w:jc w:val="both"/>
      </w:pPr>
      <w:r w:rsidRPr="000D10F9">
        <w:t>Core principle</w:t>
      </w:r>
    </w:p>
    <w:p w14:paraId="5FE8E5B2" w14:textId="77777777" w:rsidR="000D10F9" w:rsidRPr="000D10F9" w:rsidRDefault="000D10F9" w:rsidP="00C87FAF">
      <w:pPr>
        <w:autoSpaceDE w:val="0"/>
        <w:autoSpaceDN w:val="0"/>
        <w:adjustRightInd w:val="0"/>
        <w:rPr>
          <w:szCs w:val="19"/>
        </w:rPr>
      </w:pPr>
      <w:r w:rsidRPr="000D10F9">
        <w:rPr>
          <w:szCs w:val="19"/>
        </w:rPr>
        <w:t>…</w:t>
      </w:r>
    </w:p>
    <w:p w14:paraId="701EA39A" w14:textId="77777777" w:rsidR="00284EE9" w:rsidRPr="0067049C" w:rsidRDefault="00284EE9" w:rsidP="000B1F7B">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62773FE8" w14:textId="21D15668" w:rsidR="00284EE9" w:rsidRPr="0067049C" w:rsidRDefault="000B1F7B" w:rsidP="000B1F7B">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13DB95F4" w14:textId="02D7C79F" w:rsidR="00284EE9" w:rsidRPr="0067049C" w:rsidRDefault="000B1F7B" w:rsidP="000B1F7B">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284EE9" w:rsidRPr="0067049C">
        <w:rPr>
          <w:szCs w:val="19"/>
          <w:u w:val="single"/>
        </w:rPr>
        <w:t>.</w:t>
      </w:r>
    </w:p>
    <w:p w14:paraId="6A146FFB" w14:textId="3A12B688" w:rsidR="00284EE9" w:rsidRDefault="00284EE9" w:rsidP="000B1F7B">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2D18CED2" w14:textId="77777777" w:rsidR="003A66C5" w:rsidRDefault="003A66C5" w:rsidP="00C87FAF">
      <w:pPr>
        <w:pStyle w:val="Heading2"/>
        <w:jc w:val="both"/>
      </w:pPr>
      <w:r>
        <w:t>Amendments to AASB 9</w:t>
      </w:r>
    </w:p>
    <w:p w14:paraId="2BC31194" w14:textId="77777777" w:rsidR="00EF3350" w:rsidRPr="00EF3350" w:rsidRDefault="00EF3350"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EF3350">
        <w:rPr>
          <w:bCs/>
          <w:szCs w:val="19"/>
        </w:rPr>
        <w:t xml:space="preserve">Paragraph AusCF1 is added and </w:t>
      </w:r>
      <w:r>
        <w:rPr>
          <w:bCs/>
          <w:szCs w:val="19"/>
        </w:rPr>
        <w:t>p</w:t>
      </w:r>
      <w:r w:rsidRPr="00EF3350">
        <w:rPr>
          <w:bCs/>
          <w:szCs w:val="19"/>
        </w:rPr>
        <w:t xml:space="preserve">aragraph Aus1.1 is </w:t>
      </w:r>
      <w:r>
        <w:rPr>
          <w:bCs/>
          <w:szCs w:val="19"/>
        </w:rPr>
        <w:t>deleted</w:t>
      </w:r>
      <w:r w:rsidRPr="00EF3350">
        <w:rPr>
          <w:bCs/>
          <w:szCs w:val="19"/>
        </w:rPr>
        <w:t>.</w:t>
      </w:r>
      <w:r w:rsidR="004E59DA">
        <w:rPr>
          <w:bCs/>
          <w:szCs w:val="19"/>
        </w:rPr>
        <w:t xml:space="preserve">  </w:t>
      </w:r>
      <w:r w:rsidR="004E59DA" w:rsidRPr="0067049C">
        <w:rPr>
          <w:bCs/>
          <w:szCs w:val="19"/>
        </w:rPr>
        <w:t xml:space="preserve">(The application of AASB </w:t>
      </w:r>
      <w:r w:rsidR="004E59DA">
        <w:rPr>
          <w:bCs/>
          <w:szCs w:val="19"/>
        </w:rPr>
        <w:t>9</w:t>
      </w:r>
      <w:r w:rsidR="004E59DA" w:rsidRPr="0067049C">
        <w:rPr>
          <w:bCs/>
          <w:szCs w:val="19"/>
        </w:rPr>
        <w:t xml:space="preserve"> to entities and financial statements is set out in AASB 1057 </w:t>
      </w:r>
      <w:r w:rsidR="004E59DA" w:rsidRPr="0067049C">
        <w:rPr>
          <w:bCs/>
          <w:i/>
          <w:szCs w:val="19"/>
        </w:rPr>
        <w:t>Application of Australian Accounting Standards</w:t>
      </w:r>
      <w:r w:rsidR="004E59DA" w:rsidRPr="0067049C">
        <w:rPr>
          <w:bCs/>
          <w:szCs w:val="19"/>
        </w:rPr>
        <w:t>.)</w:t>
      </w:r>
    </w:p>
    <w:p w14:paraId="3383EAB2" w14:textId="77777777" w:rsidR="00EF3350" w:rsidRPr="0057486B" w:rsidRDefault="00EF3350" w:rsidP="00F1299F">
      <w:pPr>
        <w:autoSpaceDE w:val="0"/>
        <w:autoSpaceDN w:val="0"/>
        <w:adjustRightInd w:val="0"/>
        <w:spacing w:before="240"/>
        <w:rPr>
          <w:b/>
          <w:sz w:val="24"/>
          <w:szCs w:val="24"/>
        </w:rPr>
      </w:pPr>
      <w:r w:rsidRPr="0057486B">
        <w:rPr>
          <w:b/>
          <w:sz w:val="24"/>
          <w:szCs w:val="24"/>
        </w:rPr>
        <w:t>Chapter 1 Objective and application</w:t>
      </w:r>
    </w:p>
    <w:p w14:paraId="66CF7F36" w14:textId="77777777" w:rsidR="00EF3350" w:rsidRDefault="00EF3350" w:rsidP="00C87FAF">
      <w:pPr>
        <w:autoSpaceDE w:val="0"/>
        <w:autoSpaceDN w:val="0"/>
        <w:adjustRightInd w:val="0"/>
        <w:spacing w:before="100"/>
        <w:rPr>
          <w:bCs/>
          <w:szCs w:val="19"/>
        </w:rPr>
      </w:pPr>
      <w:r w:rsidRPr="00EF3350">
        <w:rPr>
          <w:bCs/>
          <w:szCs w:val="19"/>
        </w:rPr>
        <w:t>…</w:t>
      </w:r>
    </w:p>
    <w:p w14:paraId="39B1ACB8" w14:textId="77777777" w:rsidR="00284EE9" w:rsidRPr="0067049C" w:rsidRDefault="00284EE9" w:rsidP="000B1F7B">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703BD4F9" w14:textId="1418CD12" w:rsidR="00284EE9" w:rsidRPr="0067049C" w:rsidRDefault="000B1F7B" w:rsidP="000B1F7B">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42665542" w14:textId="22D60E38" w:rsidR="00284EE9" w:rsidRPr="0067049C" w:rsidRDefault="000B1F7B" w:rsidP="000B1F7B">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F6239B">
        <w:rPr>
          <w:szCs w:val="19"/>
          <w:u w:val="single"/>
        </w:rPr>
        <w:t xml:space="preserve"> </w:t>
      </w:r>
      <w:r w:rsidR="00F6239B" w:rsidRPr="00F20ED1">
        <w:rPr>
          <w:szCs w:val="19"/>
          <w:u w:val="single"/>
        </w:rPr>
        <w:t>(as identified in AASB 1048</w:t>
      </w:r>
      <w:r w:rsidR="00F6239B" w:rsidRPr="00F20ED1">
        <w:rPr>
          <w:i/>
          <w:szCs w:val="19"/>
          <w:u w:val="single"/>
        </w:rPr>
        <w:t xml:space="preserve"> Interpretation of Standards</w:t>
      </w:r>
      <w:r w:rsidR="00F6239B" w:rsidRPr="00F20ED1">
        <w:rPr>
          <w:szCs w:val="19"/>
          <w:u w:val="single"/>
        </w:rPr>
        <w:t>)</w:t>
      </w:r>
      <w:r w:rsidR="00284EE9" w:rsidRPr="0067049C">
        <w:rPr>
          <w:szCs w:val="19"/>
          <w:u w:val="single"/>
        </w:rPr>
        <w:t>.</w:t>
      </w:r>
    </w:p>
    <w:p w14:paraId="6AE1A81B" w14:textId="01737711" w:rsidR="00284EE9" w:rsidRDefault="00284EE9" w:rsidP="000B1F7B">
      <w:pPr>
        <w:pStyle w:val="IASBNormalL1P"/>
        <w:rPr>
          <w:szCs w:val="19"/>
          <w:u w:val="single"/>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 xml:space="preserve">Application of Australian Accounting </w:t>
      </w:r>
      <w:r w:rsidR="008D0843" w:rsidRPr="000B1F7B">
        <w:rPr>
          <w:szCs w:val="19"/>
          <w:u w:val="single"/>
        </w:rPr>
        <w:t>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6DFAF98F" w14:textId="77777777" w:rsidR="00EF3350" w:rsidRPr="00EF3350" w:rsidRDefault="00886015" w:rsidP="000B1F7B">
      <w:pPr>
        <w:pStyle w:val="IASBNormalnpara"/>
        <w:rPr>
          <w:strike/>
          <w:szCs w:val="19"/>
        </w:rPr>
      </w:pPr>
      <w:r>
        <w:rPr>
          <w:szCs w:val="19"/>
        </w:rPr>
        <w:t>Aus1.1</w:t>
      </w:r>
      <w:r w:rsidR="00EF3350" w:rsidRPr="00EF3350">
        <w:rPr>
          <w:szCs w:val="19"/>
        </w:rPr>
        <w:tab/>
      </w:r>
      <w:r w:rsidR="00EF3350" w:rsidRPr="00EF3350">
        <w:rPr>
          <w:szCs w:val="19"/>
          <w:u w:val="single"/>
        </w:rPr>
        <w:t>[Deleted by the AASB]</w:t>
      </w:r>
      <w:r w:rsidR="00EF3350" w:rsidRPr="00C43909">
        <w:rPr>
          <w:szCs w:val="19"/>
        </w:rPr>
        <w:t xml:space="preserve"> </w:t>
      </w:r>
      <w:r w:rsidR="00EF3350" w:rsidRPr="00EF3350">
        <w:rPr>
          <w:strike/>
          <w:szCs w:val="19"/>
        </w:rPr>
        <w:t>This Standard applies to:</w:t>
      </w:r>
    </w:p>
    <w:p w14:paraId="5044D690" w14:textId="5F4DF00E" w:rsidR="00EF3350" w:rsidRPr="00EF3350" w:rsidRDefault="000B1F7B" w:rsidP="000B1F7B">
      <w:pPr>
        <w:pStyle w:val="IASBNormalnparaL1"/>
        <w:rPr>
          <w:strike/>
          <w:szCs w:val="19"/>
        </w:rPr>
      </w:pPr>
      <w:r>
        <w:rPr>
          <w:strike/>
          <w:szCs w:val="19"/>
        </w:rPr>
        <w:t>(a)</w:t>
      </w:r>
      <w:r>
        <w:rPr>
          <w:strike/>
          <w:szCs w:val="19"/>
        </w:rPr>
        <w:tab/>
      </w:r>
      <w:r w:rsidR="00EF3350" w:rsidRPr="00EF3350">
        <w:rPr>
          <w:strike/>
          <w:szCs w:val="19"/>
        </w:rPr>
        <w:t>each entity that is required to prepare financial reports in accordance with Part 2M.3 of the Corporations Act and that is a reporting entity;</w:t>
      </w:r>
    </w:p>
    <w:p w14:paraId="7BE836A3" w14:textId="333C1F59" w:rsidR="00EF3350" w:rsidRPr="00EF3350" w:rsidRDefault="000B1F7B" w:rsidP="000B1F7B">
      <w:pPr>
        <w:pStyle w:val="IASBNormalnparaL1"/>
        <w:rPr>
          <w:strike/>
          <w:szCs w:val="19"/>
        </w:rPr>
      </w:pPr>
      <w:r>
        <w:rPr>
          <w:strike/>
          <w:szCs w:val="19"/>
        </w:rPr>
        <w:t>(b)</w:t>
      </w:r>
      <w:r>
        <w:rPr>
          <w:strike/>
          <w:szCs w:val="19"/>
        </w:rPr>
        <w:tab/>
      </w:r>
      <w:r w:rsidR="00EF3350" w:rsidRPr="00EF3350">
        <w:rPr>
          <w:strike/>
          <w:szCs w:val="19"/>
        </w:rPr>
        <w:t>general purpose financial statements of each other reporting entity; and</w:t>
      </w:r>
    </w:p>
    <w:p w14:paraId="168513BD" w14:textId="0D3637BF" w:rsidR="00EF3350" w:rsidRPr="00EF3350" w:rsidRDefault="000B1F7B" w:rsidP="000B1F7B">
      <w:pPr>
        <w:pStyle w:val="IASBNormalnparaL1"/>
        <w:rPr>
          <w:strike/>
          <w:szCs w:val="19"/>
        </w:rPr>
      </w:pPr>
      <w:r>
        <w:rPr>
          <w:strike/>
          <w:szCs w:val="19"/>
        </w:rPr>
        <w:t>(c)</w:t>
      </w:r>
      <w:r>
        <w:rPr>
          <w:strike/>
          <w:szCs w:val="19"/>
        </w:rPr>
        <w:tab/>
      </w:r>
      <w:r w:rsidR="00EF3350" w:rsidRPr="00EF3350">
        <w:rPr>
          <w:strike/>
          <w:szCs w:val="19"/>
        </w:rPr>
        <w:t>financial statements that are, or are held out to be, general purpose financial statements.</w:t>
      </w:r>
    </w:p>
    <w:p w14:paraId="0A52EB57" w14:textId="77777777" w:rsidR="003A66C5" w:rsidRDefault="003A66C5" w:rsidP="00C87FAF">
      <w:pPr>
        <w:pStyle w:val="Heading2"/>
        <w:jc w:val="both"/>
      </w:pPr>
      <w:r>
        <w:t>Amendments to AASB 10</w:t>
      </w:r>
    </w:p>
    <w:p w14:paraId="2A1B2C7E" w14:textId="77777777" w:rsidR="000D10F9" w:rsidRPr="000D10F9" w:rsidRDefault="000D10F9"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0D10F9">
        <w:rPr>
          <w:bCs/>
          <w:szCs w:val="19"/>
        </w:rPr>
        <w:t>Paragraph</w:t>
      </w:r>
      <w:r w:rsidR="00E412AF">
        <w:rPr>
          <w:bCs/>
          <w:szCs w:val="19"/>
        </w:rPr>
        <w:t>s</w:t>
      </w:r>
      <w:r w:rsidRPr="000D10F9">
        <w:rPr>
          <w:bCs/>
          <w:szCs w:val="19"/>
        </w:rPr>
        <w:t xml:space="preserve"> AusCF1 </w:t>
      </w:r>
      <w:r w:rsidR="00E412AF">
        <w:rPr>
          <w:bCs/>
          <w:szCs w:val="19"/>
        </w:rPr>
        <w:t xml:space="preserve">and AusCFAus4.2 are </w:t>
      </w:r>
      <w:r w:rsidRPr="000D10F9">
        <w:rPr>
          <w:bCs/>
          <w:szCs w:val="19"/>
        </w:rPr>
        <w:t>added.</w:t>
      </w:r>
      <w:r w:rsidR="00E412AF">
        <w:rPr>
          <w:bCs/>
          <w:szCs w:val="19"/>
        </w:rPr>
        <w:t xml:space="preserve">  Paragraph Aus4.2 is amended.</w:t>
      </w:r>
    </w:p>
    <w:p w14:paraId="6F86A6FA" w14:textId="77777777" w:rsidR="000D10F9" w:rsidRPr="00646FA0" w:rsidRDefault="000D10F9" w:rsidP="00C87FAF">
      <w:pPr>
        <w:pStyle w:val="Heading2"/>
        <w:spacing w:before="240"/>
        <w:jc w:val="both"/>
      </w:pPr>
      <w:r w:rsidRPr="00646FA0">
        <w:t>Objective</w:t>
      </w:r>
    </w:p>
    <w:p w14:paraId="4A3CCC6A" w14:textId="6703F54F" w:rsidR="000D10F9" w:rsidRPr="000D10F9" w:rsidRDefault="000B1F7B" w:rsidP="000B1F7B">
      <w:pPr>
        <w:autoSpaceDE w:val="0"/>
        <w:autoSpaceDN w:val="0"/>
        <w:adjustRightInd w:val="0"/>
        <w:spacing w:before="100"/>
        <w:rPr>
          <w:szCs w:val="19"/>
        </w:rPr>
      </w:pPr>
      <w:r>
        <w:rPr>
          <w:szCs w:val="19"/>
        </w:rPr>
        <w:t>…</w:t>
      </w:r>
    </w:p>
    <w:p w14:paraId="197AECA8" w14:textId="3C64678E" w:rsidR="00FE115A" w:rsidRPr="0067049C" w:rsidRDefault="00FE115A" w:rsidP="000B1F7B">
      <w:pPr>
        <w:pStyle w:val="IASBNormalnpara"/>
        <w:rPr>
          <w:szCs w:val="19"/>
          <w:u w:val="single"/>
        </w:rPr>
      </w:pPr>
      <w:r w:rsidRPr="0067049C">
        <w:rPr>
          <w:szCs w:val="19"/>
          <w:u w:val="single"/>
        </w:rPr>
        <w:t>AusCF1</w:t>
      </w:r>
      <w:r w:rsidRPr="0067049C">
        <w:rPr>
          <w:szCs w:val="19"/>
        </w:rPr>
        <w:tab/>
      </w:r>
      <w:r w:rsidRPr="0067049C">
        <w:rPr>
          <w:szCs w:val="19"/>
          <w:u w:val="single"/>
        </w:rPr>
        <w:t>AusCF paragraphs included in this Standard apply only to:</w:t>
      </w:r>
    </w:p>
    <w:p w14:paraId="1BD59CF6" w14:textId="5CAB42CB" w:rsidR="00FE115A" w:rsidRPr="0067049C" w:rsidRDefault="00A603FA" w:rsidP="00A603FA">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6CF3381F" w14:textId="00C0E62F" w:rsidR="00FE115A" w:rsidRPr="0067049C" w:rsidRDefault="00A603FA" w:rsidP="00A603FA">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FE115A" w:rsidRPr="0067049C">
        <w:rPr>
          <w:szCs w:val="19"/>
          <w:u w:val="single"/>
        </w:rPr>
        <w:t xml:space="preserve">.  </w:t>
      </w:r>
    </w:p>
    <w:p w14:paraId="49BCE44A" w14:textId="0279F53C" w:rsidR="00FE115A" w:rsidRPr="0067049C" w:rsidRDefault="00FE115A" w:rsidP="00A603FA">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Pr="0067049C">
        <w:rPr>
          <w:szCs w:val="19"/>
          <w:u w:val="single"/>
        </w:rPr>
        <w:t>shall not apply AusCF paragraphs.</w:t>
      </w:r>
    </w:p>
    <w:p w14:paraId="6E8EBB6E" w14:textId="77777777" w:rsidR="00E412AF" w:rsidRPr="00E412AF" w:rsidRDefault="00E412AF" w:rsidP="00C87FAF">
      <w:pPr>
        <w:autoSpaceDE w:val="0"/>
        <w:autoSpaceDN w:val="0"/>
        <w:adjustRightInd w:val="0"/>
        <w:rPr>
          <w:szCs w:val="19"/>
        </w:rPr>
      </w:pPr>
      <w:r w:rsidRPr="00E412AF">
        <w:rPr>
          <w:szCs w:val="19"/>
        </w:rPr>
        <w:t>…</w:t>
      </w:r>
    </w:p>
    <w:p w14:paraId="74B94EEA" w14:textId="77777777" w:rsidR="00646FA0" w:rsidRPr="00646FA0" w:rsidRDefault="00646FA0" w:rsidP="00C87FAF">
      <w:pPr>
        <w:pStyle w:val="Heading2"/>
        <w:spacing w:before="240"/>
        <w:jc w:val="both"/>
      </w:pPr>
      <w:r w:rsidRPr="00646FA0">
        <w:t>Scope</w:t>
      </w:r>
    </w:p>
    <w:p w14:paraId="04154CD7" w14:textId="77777777" w:rsidR="00E412AF" w:rsidRPr="00646FA0" w:rsidRDefault="00646FA0" w:rsidP="00C87FAF">
      <w:pPr>
        <w:autoSpaceDE w:val="0"/>
        <w:autoSpaceDN w:val="0"/>
        <w:adjustRightInd w:val="0"/>
        <w:rPr>
          <w:szCs w:val="19"/>
        </w:rPr>
      </w:pPr>
      <w:r w:rsidRPr="00646FA0">
        <w:rPr>
          <w:szCs w:val="19"/>
        </w:rPr>
        <w:t>…</w:t>
      </w:r>
    </w:p>
    <w:p w14:paraId="4650BAA1" w14:textId="77777777" w:rsidR="00E412AF" w:rsidRDefault="00886015" w:rsidP="00E06359">
      <w:pPr>
        <w:pStyle w:val="IASBNormalnpara"/>
        <w:rPr>
          <w:szCs w:val="19"/>
        </w:rPr>
      </w:pPr>
      <w:r>
        <w:rPr>
          <w:szCs w:val="19"/>
        </w:rPr>
        <w:t>Aus4.2</w:t>
      </w:r>
      <w:r w:rsidR="00E412AF" w:rsidRPr="00E412AF">
        <w:rPr>
          <w:szCs w:val="19"/>
        </w:rPr>
        <w:tab/>
        <w:t xml:space="preserve">Notwithstanding paragraphs 4(a) and Aus4.1, the ultimate Australian parent shall present consolidated financial statements that consolidate its investments in subsidiaries in accordance with this Standard when </w:t>
      </w:r>
      <w:r w:rsidR="00E412AF" w:rsidRPr="00E412AF">
        <w:rPr>
          <w:strike/>
          <w:szCs w:val="19"/>
        </w:rPr>
        <w:t>either the parent or the group is a reporting entity</w:t>
      </w:r>
      <w:r w:rsidR="00E412AF" w:rsidRPr="0067049C">
        <w:rPr>
          <w:strike/>
          <w:szCs w:val="19"/>
        </w:rPr>
        <w:t xml:space="preserve"> </w:t>
      </w:r>
      <w:r w:rsidR="00E412AF" w:rsidRPr="00E412AF">
        <w:rPr>
          <w:strike/>
          <w:szCs w:val="19"/>
        </w:rPr>
        <w:t>or both the parent and the group are reporting entities</w:t>
      </w:r>
      <w:r w:rsidR="004E59DA" w:rsidRPr="0067049C">
        <w:rPr>
          <w:szCs w:val="19"/>
          <w:u w:val="single"/>
        </w:rPr>
        <w:t xml:space="preserve"> </w:t>
      </w:r>
      <w:r w:rsidR="004E59DA">
        <w:rPr>
          <w:szCs w:val="19"/>
          <w:u w:val="single"/>
        </w:rPr>
        <w:t xml:space="preserve">the </w:t>
      </w:r>
      <w:r w:rsidR="003D64C8">
        <w:rPr>
          <w:szCs w:val="19"/>
          <w:u w:val="single"/>
        </w:rPr>
        <w:t xml:space="preserve">ultimate Australian </w:t>
      </w:r>
      <w:r w:rsidR="004E59DA">
        <w:rPr>
          <w:szCs w:val="19"/>
          <w:u w:val="single"/>
        </w:rPr>
        <w:t xml:space="preserve">parent </w:t>
      </w:r>
      <w:r w:rsidR="004E59DA" w:rsidRPr="0067049C">
        <w:rPr>
          <w:szCs w:val="19"/>
          <w:u w:val="single"/>
        </w:rPr>
        <w:t xml:space="preserve">is required </w:t>
      </w:r>
      <w:r w:rsidR="004E59DA">
        <w:rPr>
          <w:szCs w:val="19"/>
          <w:u w:val="single"/>
        </w:rPr>
        <w:t xml:space="preserve">by legislation </w:t>
      </w:r>
      <w:r w:rsidR="004E59DA" w:rsidRPr="0067049C">
        <w:rPr>
          <w:szCs w:val="19"/>
          <w:u w:val="single"/>
        </w:rPr>
        <w:t xml:space="preserve">to </w:t>
      </w:r>
      <w:r w:rsidR="003D64C8">
        <w:rPr>
          <w:szCs w:val="19"/>
          <w:u w:val="single"/>
        </w:rPr>
        <w:t>comply with Australian Accounting Standards</w:t>
      </w:r>
      <w:r w:rsidR="00E412AF" w:rsidRPr="00E412AF">
        <w:rPr>
          <w:szCs w:val="19"/>
        </w:rPr>
        <w:t>, except if the ultimate Australian parent is required, in accordance with paragraph 31 of this Standard, to measure all of its subsidiaries at fair value through profit or loss.</w:t>
      </w:r>
    </w:p>
    <w:p w14:paraId="0A387A1B" w14:textId="213C0DBC" w:rsidR="00E412AF" w:rsidRPr="00E412AF" w:rsidRDefault="00E412AF" w:rsidP="00E06359">
      <w:pPr>
        <w:pStyle w:val="IASBNormalnpara"/>
        <w:rPr>
          <w:szCs w:val="19"/>
        </w:rPr>
      </w:pPr>
      <w:r w:rsidRPr="00E412AF">
        <w:rPr>
          <w:szCs w:val="19"/>
          <w:u w:val="single"/>
        </w:rPr>
        <w:t>AusCFAus4.2</w:t>
      </w:r>
      <w:r w:rsidRPr="00E412AF">
        <w:rPr>
          <w:szCs w:val="19"/>
        </w:rPr>
        <w:tab/>
      </w:r>
      <w:r w:rsidRPr="00E412AF">
        <w:rPr>
          <w:szCs w:val="19"/>
          <w:u w:val="single"/>
        </w:rPr>
        <w:t xml:space="preserve">Notwithstanding paragraphs 4(a), Aus4.1 and Aus4.2, </w:t>
      </w:r>
      <w:r w:rsidR="00E71C53">
        <w:rPr>
          <w:szCs w:val="19"/>
          <w:u w:val="single"/>
        </w:rPr>
        <w:t xml:space="preserve">in respect of AusCF entities, </w:t>
      </w:r>
      <w:r w:rsidRPr="00E412AF">
        <w:rPr>
          <w:szCs w:val="19"/>
          <w:u w:val="single"/>
        </w:rPr>
        <w:t>the ultimate Australian parent shall present consolidated financial statements that consolidate its investments in subsidiaries in accordance with this Standard when either the parent or the group is a reporting entity or both the parent and the group are reporting entities, except if the ultimate Australian parent is required, in accordance with paragraph 31 of this Standard, to measure all of its subsidiaries at fair value through profit or loss.</w:t>
      </w:r>
    </w:p>
    <w:p w14:paraId="33B1024D" w14:textId="77777777" w:rsidR="003A66C5" w:rsidRDefault="003A66C5" w:rsidP="00C87FAF">
      <w:pPr>
        <w:pStyle w:val="Heading2"/>
        <w:jc w:val="both"/>
      </w:pPr>
      <w:r>
        <w:t>Amendments to AASB 12</w:t>
      </w:r>
    </w:p>
    <w:p w14:paraId="28B2090F"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51124A0F" w14:textId="77777777" w:rsidR="004043A1" w:rsidRPr="004043A1" w:rsidRDefault="004043A1" w:rsidP="00C87FAF">
      <w:pPr>
        <w:pStyle w:val="Heading2"/>
        <w:spacing w:before="240"/>
        <w:jc w:val="both"/>
      </w:pPr>
      <w:r w:rsidRPr="004043A1">
        <w:t>Objective</w:t>
      </w:r>
    </w:p>
    <w:p w14:paraId="45AFF179" w14:textId="77777777" w:rsidR="004043A1" w:rsidRPr="004043A1" w:rsidRDefault="004043A1" w:rsidP="00C87FAF">
      <w:pPr>
        <w:autoSpaceDE w:val="0"/>
        <w:autoSpaceDN w:val="0"/>
        <w:adjustRightInd w:val="0"/>
        <w:rPr>
          <w:szCs w:val="19"/>
        </w:rPr>
      </w:pPr>
      <w:r w:rsidRPr="004043A1">
        <w:rPr>
          <w:szCs w:val="19"/>
        </w:rPr>
        <w:t>…</w:t>
      </w:r>
    </w:p>
    <w:p w14:paraId="79B44C4C" w14:textId="77777777" w:rsidR="00284EE9" w:rsidRPr="0067049C" w:rsidRDefault="00284EE9" w:rsidP="00E06359">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14DFE97C" w14:textId="58FBFFB8" w:rsidR="00284EE9" w:rsidRPr="0067049C" w:rsidRDefault="00E06359" w:rsidP="00E06359">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6D0D06D9" w14:textId="50BC480A" w:rsidR="00284EE9" w:rsidRPr="0067049C" w:rsidRDefault="00E06359" w:rsidP="00E06359">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284EE9" w:rsidRPr="0067049C">
        <w:rPr>
          <w:szCs w:val="19"/>
          <w:u w:val="single"/>
        </w:rPr>
        <w:t>.</w:t>
      </w:r>
    </w:p>
    <w:p w14:paraId="27CC93A4" w14:textId="45AB878A" w:rsidR="00284EE9" w:rsidRDefault="00284EE9" w:rsidP="00E06359">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6E48C820" w14:textId="77777777" w:rsidR="003A66C5" w:rsidRDefault="003A66C5" w:rsidP="00C87FAF">
      <w:pPr>
        <w:pStyle w:val="Heading2"/>
        <w:jc w:val="both"/>
      </w:pPr>
      <w:r>
        <w:t>Amendments to AASB 14</w:t>
      </w:r>
    </w:p>
    <w:p w14:paraId="793273C0" w14:textId="77777777" w:rsidR="00882926" w:rsidRPr="00882926" w:rsidRDefault="00882926"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882926">
        <w:rPr>
          <w:bCs/>
          <w:szCs w:val="19"/>
        </w:rPr>
        <w:t xml:space="preserve">Paragraph AusCF1 is added. </w:t>
      </w:r>
      <w:r w:rsidR="00705122">
        <w:rPr>
          <w:bCs/>
          <w:szCs w:val="19"/>
        </w:rPr>
        <w:t xml:space="preserve"> </w:t>
      </w:r>
      <w:r w:rsidRPr="00882926">
        <w:rPr>
          <w:bCs/>
          <w:szCs w:val="19"/>
        </w:rPr>
        <w:t xml:space="preserve">Paragraph Aus4.1 is </w:t>
      </w:r>
      <w:r>
        <w:rPr>
          <w:bCs/>
          <w:szCs w:val="19"/>
        </w:rPr>
        <w:t>deleted</w:t>
      </w:r>
      <w:r w:rsidR="004E59DA">
        <w:rPr>
          <w:bCs/>
          <w:szCs w:val="19"/>
        </w:rPr>
        <w:t>.</w:t>
      </w:r>
      <w:r w:rsidR="006849FE" w:rsidRPr="0067049C">
        <w:rPr>
          <w:bCs/>
          <w:szCs w:val="19"/>
        </w:rPr>
        <w:t xml:space="preserve">  (The application of AASB 14 to entities and financial statements is set out in AASB 1057 </w:t>
      </w:r>
      <w:r w:rsidR="006849FE" w:rsidRPr="0067049C">
        <w:rPr>
          <w:bCs/>
          <w:i/>
          <w:szCs w:val="19"/>
        </w:rPr>
        <w:t>Application of Australian Accounting Standards</w:t>
      </w:r>
      <w:r w:rsidRPr="0067049C">
        <w:rPr>
          <w:bCs/>
          <w:szCs w:val="19"/>
        </w:rPr>
        <w:t>.</w:t>
      </w:r>
      <w:r w:rsidR="006849FE" w:rsidRPr="0067049C">
        <w:rPr>
          <w:bCs/>
          <w:szCs w:val="19"/>
        </w:rPr>
        <w:t xml:space="preserve">) </w:t>
      </w:r>
      <w:r w:rsidRPr="00882926">
        <w:rPr>
          <w:bCs/>
          <w:szCs w:val="19"/>
        </w:rPr>
        <w:t xml:space="preserve"> The footnote to the first occurrence of ‘reliable’ in paragraph 13 is amended and a new footnote is also added</w:t>
      </w:r>
      <w:r w:rsidRPr="00882926">
        <w:rPr>
          <w:szCs w:val="19"/>
        </w:rPr>
        <w:t>.</w:t>
      </w:r>
    </w:p>
    <w:p w14:paraId="1F8F7DF8" w14:textId="77777777" w:rsidR="00882926" w:rsidRPr="00882926" w:rsidRDefault="00882926" w:rsidP="00C87FAF">
      <w:pPr>
        <w:autoSpaceDE w:val="0"/>
        <w:autoSpaceDN w:val="0"/>
        <w:adjustRightInd w:val="0"/>
        <w:ind w:left="705"/>
        <w:rPr>
          <w:b/>
          <w:bCs/>
          <w:szCs w:val="19"/>
        </w:rPr>
      </w:pPr>
    </w:p>
    <w:p w14:paraId="5EE05840" w14:textId="77777777" w:rsidR="00882926" w:rsidRPr="00886015" w:rsidRDefault="00882926" w:rsidP="00C43909">
      <w:pPr>
        <w:keepNext/>
        <w:autoSpaceDE w:val="0"/>
        <w:autoSpaceDN w:val="0"/>
        <w:adjustRightInd w:val="0"/>
        <w:rPr>
          <w:b/>
          <w:bCs/>
          <w:sz w:val="26"/>
          <w:szCs w:val="26"/>
        </w:rPr>
      </w:pPr>
      <w:r w:rsidRPr="00886015">
        <w:rPr>
          <w:b/>
          <w:bCs/>
          <w:sz w:val="26"/>
          <w:szCs w:val="26"/>
        </w:rPr>
        <w:t>Objective</w:t>
      </w:r>
    </w:p>
    <w:p w14:paraId="5FA68230" w14:textId="77777777" w:rsidR="00882926" w:rsidRDefault="00882926" w:rsidP="00C87FAF">
      <w:pPr>
        <w:autoSpaceDE w:val="0"/>
        <w:autoSpaceDN w:val="0"/>
        <w:adjustRightInd w:val="0"/>
        <w:spacing w:before="100"/>
        <w:rPr>
          <w:szCs w:val="19"/>
        </w:rPr>
      </w:pPr>
      <w:r w:rsidRPr="00882926">
        <w:rPr>
          <w:szCs w:val="19"/>
        </w:rPr>
        <w:t>…</w:t>
      </w:r>
    </w:p>
    <w:p w14:paraId="74609C4D" w14:textId="77777777" w:rsidR="00FE115A" w:rsidRPr="0067049C" w:rsidRDefault="00FE115A" w:rsidP="00E06359">
      <w:pPr>
        <w:pStyle w:val="IASBNormalnpara"/>
        <w:rPr>
          <w:szCs w:val="19"/>
          <w:u w:val="single"/>
        </w:rPr>
      </w:pPr>
      <w:r w:rsidRPr="0067049C">
        <w:rPr>
          <w:szCs w:val="19"/>
          <w:u w:val="single"/>
        </w:rPr>
        <w:t>AusCF1</w:t>
      </w:r>
      <w:r w:rsidRPr="0067049C">
        <w:rPr>
          <w:szCs w:val="19"/>
        </w:rPr>
        <w:tab/>
      </w:r>
      <w:r w:rsidRPr="0067049C">
        <w:rPr>
          <w:szCs w:val="19"/>
          <w:u w:val="single"/>
        </w:rPr>
        <w:t>AusCF paragraphs and footnotes included in this Standard apply only to:</w:t>
      </w:r>
    </w:p>
    <w:p w14:paraId="395934FA" w14:textId="2BCD3DF8" w:rsidR="00FE115A" w:rsidRPr="0067049C" w:rsidRDefault="00E06359" w:rsidP="00E06359">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2E52302A" w14:textId="0A18AA94" w:rsidR="00FE115A" w:rsidRPr="0067049C" w:rsidRDefault="00E06359" w:rsidP="00E06359">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FE115A" w:rsidRPr="0067049C">
        <w:rPr>
          <w:szCs w:val="19"/>
          <w:u w:val="single"/>
        </w:rPr>
        <w:t xml:space="preserve">.  </w:t>
      </w:r>
    </w:p>
    <w:p w14:paraId="220E90D4" w14:textId="1BC1A922" w:rsidR="00FE115A" w:rsidRDefault="00FE115A" w:rsidP="00E06359">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Pr="0067049C">
        <w:rPr>
          <w:szCs w:val="19"/>
          <w:u w:val="single"/>
        </w:rPr>
        <w:t>shall not apply AusCF paragraphs or footnotes.</w:t>
      </w:r>
    </w:p>
    <w:p w14:paraId="4AADD7F9" w14:textId="77777777" w:rsidR="001448BB" w:rsidRDefault="001448BB" w:rsidP="001448BB">
      <w:pPr>
        <w:autoSpaceDE w:val="0"/>
        <w:autoSpaceDN w:val="0"/>
        <w:adjustRightInd w:val="0"/>
        <w:spacing w:before="100"/>
        <w:rPr>
          <w:szCs w:val="19"/>
        </w:rPr>
      </w:pPr>
      <w:r w:rsidRPr="00882926">
        <w:rPr>
          <w:szCs w:val="19"/>
        </w:rPr>
        <w:t>…</w:t>
      </w:r>
    </w:p>
    <w:p w14:paraId="04547EBD" w14:textId="77777777" w:rsidR="00882926" w:rsidRPr="00886015" w:rsidRDefault="00886015" w:rsidP="007820F4">
      <w:pPr>
        <w:autoSpaceDE w:val="0"/>
        <w:autoSpaceDN w:val="0"/>
        <w:adjustRightInd w:val="0"/>
        <w:spacing w:before="100"/>
        <w:rPr>
          <w:b/>
          <w:bCs/>
          <w:sz w:val="26"/>
          <w:szCs w:val="26"/>
        </w:rPr>
      </w:pPr>
      <w:r>
        <w:rPr>
          <w:b/>
          <w:bCs/>
          <w:sz w:val="26"/>
          <w:szCs w:val="26"/>
        </w:rPr>
        <w:t>Application</w:t>
      </w:r>
    </w:p>
    <w:p w14:paraId="5A092313" w14:textId="69EDC239" w:rsidR="00882926" w:rsidRPr="00882926" w:rsidRDefault="00882926" w:rsidP="00E06359">
      <w:pPr>
        <w:pStyle w:val="IASBNormalnpara"/>
        <w:rPr>
          <w:strike/>
          <w:szCs w:val="19"/>
        </w:rPr>
      </w:pPr>
      <w:r w:rsidRPr="00882926">
        <w:rPr>
          <w:szCs w:val="19"/>
        </w:rPr>
        <w:t xml:space="preserve">Aus4.1 </w:t>
      </w:r>
      <w:r w:rsidRPr="00882926">
        <w:rPr>
          <w:szCs w:val="19"/>
        </w:rPr>
        <w:tab/>
      </w:r>
      <w:r w:rsidRPr="00882926">
        <w:rPr>
          <w:szCs w:val="19"/>
          <w:u w:val="single"/>
        </w:rPr>
        <w:t>[Deleted by the AASB]</w:t>
      </w:r>
      <w:r w:rsidR="00C43909">
        <w:rPr>
          <w:szCs w:val="19"/>
        </w:rPr>
        <w:t xml:space="preserve"> </w:t>
      </w:r>
      <w:r w:rsidRPr="00882926">
        <w:rPr>
          <w:strike/>
          <w:szCs w:val="19"/>
        </w:rPr>
        <w:t xml:space="preserve">This Standard applies to: </w:t>
      </w:r>
    </w:p>
    <w:p w14:paraId="2B93737C" w14:textId="32BF4A56" w:rsidR="00882926" w:rsidRPr="00882926" w:rsidRDefault="00E06359" w:rsidP="00E06359">
      <w:pPr>
        <w:pStyle w:val="IASBNormalnparaL1"/>
        <w:rPr>
          <w:strike/>
          <w:szCs w:val="19"/>
        </w:rPr>
      </w:pPr>
      <w:r>
        <w:rPr>
          <w:strike/>
          <w:szCs w:val="19"/>
        </w:rPr>
        <w:t>(a)</w:t>
      </w:r>
      <w:r>
        <w:rPr>
          <w:strike/>
          <w:szCs w:val="19"/>
        </w:rPr>
        <w:tab/>
      </w:r>
      <w:r w:rsidR="00882926" w:rsidRPr="00882926">
        <w:rPr>
          <w:strike/>
          <w:szCs w:val="19"/>
        </w:rPr>
        <w:t xml:space="preserve">each entity that is required to prepare financial reports in accordance with Part 2M.3 of the Corporations Act and that is a reporting entity; </w:t>
      </w:r>
    </w:p>
    <w:p w14:paraId="52C21EE2" w14:textId="29D2B4A5" w:rsidR="00882926" w:rsidRPr="00882926" w:rsidRDefault="00E06359" w:rsidP="00E06359">
      <w:pPr>
        <w:pStyle w:val="IASBNormalnparaL1"/>
        <w:rPr>
          <w:strike/>
          <w:szCs w:val="19"/>
        </w:rPr>
      </w:pPr>
      <w:r>
        <w:rPr>
          <w:strike/>
          <w:szCs w:val="19"/>
        </w:rPr>
        <w:t>(b)</w:t>
      </w:r>
      <w:r>
        <w:rPr>
          <w:strike/>
          <w:szCs w:val="19"/>
        </w:rPr>
        <w:tab/>
      </w:r>
      <w:r w:rsidR="00882926" w:rsidRPr="00882926">
        <w:rPr>
          <w:strike/>
          <w:szCs w:val="19"/>
        </w:rPr>
        <w:t xml:space="preserve">general purpose financial statements of each other reporting entity; and </w:t>
      </w:r>
    </w:p>
    <w:p w14:paraId="7C279ED6" w14:textId="054247A1" w:rsidR="00882926" w:rsidRPr="00882926" w:rsidRDefault="00E06359" w:rsidP="00E06359">
      <w:pPr>
        <w:pStyle w:val="IASBNormalnparaL1"/>
        <w:rPr>
          <w:strike/>
          <w:szCs w:val="19"/>
        </w:rPr>
      </w:pPr>
      <w:r>
        <w:rPr>
          <w:strike/>
          <w:szCs w:val="19"/>
        </w:rPr>
        <w:t>(c)</w:t>
      </w:r>
      <w:r>
        <w:rPr>
          <w:strike/>
          <w:szCs w:val="19"/>
        </w:rPr>
        <w:tab/>
      </w:r>
      <w:r w:rsidR="00882926" w:rsidRPr="00882926">
        <w:rPr>
          <w:strike/>
          <w:szCs w:val="19"/>
        </w:rPr>
        <w:t>financial statements that are, or are held out to be, general purpose financial statements.</w:t>
      </w:r>
    </w:p>
    <w:p w14:paraId="170576AC" w14:textId="77777777" w:rsidR="00882926" w:rsidRDefault="00882926" w:rsidP="00C87FAF">
      <w:pPr>
        <w:autoSpaceDE w:val="0"/>
        <w:autoSpaceDN w:val="0"/>
        <w:adjustRightInd w:val="0"/>
        <w:rPr>
          <w:bCs/>
          <w:szCs w:val="19"/>
        </w:rPr>
      </w:pPr>
      <w:r w:rsidRPr="00882926">
        <w:rPr>
          <w:bCs/>
          <w:szCs w:val="19"/>
        </w:rPr>
        <w:t>…</w:t>
      </w:r>
    </w:p>
    <w:p w14:paraId="57941B7B" w14:textId="77777777" w:rsidR="00882926" w:rsidRPr="00882926" w:rsidRDefault="00882926" w:rsidP="00E06359">
      <w:pPr>
        <w:pStyle w:val="IASBNormalnpara"/>
        <w:rPr>
          <w:szCs w:val="19"/>
        </w:rPr>
      </w:pPr>
      <w:r w:rsidRPr="00882926">
        <w:rPr>
          <w:szCs w:val="19"/>
        </w:rPr>
        <w:t>13</w:t>
      </w:r>
      <w:r w:rsidRPr="00882926">
        <w:rPr>
          <w:szCs w:val="19"/>
        </w:rPr>
        <w:tab/>
        <w:t>An entity shall not change its accounting policies</w:t>
      </w:r>
      <w:r>
        <w:rPr>
          <w:szCs w:val="19"/>
        </w:rPr>
        <w:t xml:space="preserve"> </w:t>
      </w:r>
      <w:r w:rsidR="00F20ED1" w:rsidRPr="00F20ED1">
        <w:rPr>
          <w:szCs w:val="19"/>
        </w:rPr>
        <w:t>in order to start to recognise regulatory deferral account balances</w:t>
      </w:r>
      <w:r w:rsidR="00403EB9" w:rsidRPr="00F20ED1">
        <w:rPr>
          <w:szCs w:val="19"/>
        </w:rPr>
        <w:t xml:space="preserve">.  </w:t>
      </w:r>
      <w:r w:rsidR="00F20ED1" w:rsidRPr="00F20ED1">
        <w:rPr>
          <w:szCs w:val="19"/>
        </w:rPr>
        <w:t>An entity may only change its accounting policies for the recognition, measurement, impairment and derecognition of regulatory</w:t>
      </w:r>
      <w:r w:rsidR="00F20ED1">
        <w:rPr>
          <w:szCs w:val="19"/>
        </w:rPr>
        <w:t xml:space="preserve"> deferral account balances if</w:t>
      </w:r>
      <w:r w:rsidR="00886015">
        <w:rPr>
          <w:szCs w:val="19"/>
        </w:rPr>
        <w:t xml:space="preserve"> the change makes the financial statements more relevant to the</w:t>
      </w:r>
      <w:r w:rsidRPr="00882926">
        <w:rPr>
          <w:szCs w:val="19"/>
        </w:rPr>
        <w:t xml:space="preserve"> economic decision-making needs of users and no less reliable</w:t>
      </w:r>
      <w:r w:rsidRPr="00882926">
        <w:rPr>
          <w:szCs w:val="19"/>
          <w:vertAlign w:val="superscript"/>
        </w:rPr>
        <w:t>1</w:t>
      </w:r>
      <w:r w:rsidRPr="00C03A05">
        <w:rPr>
          <w:szCs w:val="19"/>
          <w:u w:val="single"/>
          <w:vertAlign w:val="superscript"/>
        </w:rPr>
        <w:t>, AusCF1</w:t>
      </w:r>
      <w:r w:rsidRPr="00882926">
        <w:rPr>
          <w:szCs w:val="19"/>
        </w:rPr>
        <w:t xml:space="preserve">, or more reliable and no less relevant </w:t>
      </w:r>
      <w:r w:rsidR="00886015">
        <w:rPr>
          <w:szCs w:val="19"/>
        </w:rPr>
        <w:t>to those needs</w:t>
      </w:r>
      <w:r w:rsidR="00403EB9">
        <w:rPr>
          <w:szCs w:val="19"/>
        </w:rPr>
        <w:t xml:space="preserve">.  </w:t>
      </w:r>
      <w:r w:rsidR="00886015">
        <w:rPr>
          <w:szCs w:val="19"/>
        </w:rPr>
        <w:t>An entity shall judge relevance and reliability using the criteria in</w:t>
      </w:r>
      <w:r>
        <w:rPr>
          <w:szCs w:val="19"/>
        </w:rPr>
        <w:t xml:space="preserve"> </w:t>
      </w:r>
      <w:r w:rsidRPr="00882926">
        <w:rPr>
          <w:szCs w:val="19"/>
        </w:rPr>
        <w:t>paragraph 10 of AASB 108.</w:t>
      </w:r>
    </w:p>
    <w:p w14:paraId="5C37EC66" w14:textId="77777777" w:rsidR="00882926" w:rsidRPr="00882926" w:rsidRDefault="00882926" w:rsidP="00B268A8">
      <w:pPr>
        <w:pStyle w:val="IASBNormalnparaL1"/>
        <w:ind w:left="1491" w:hanging="709"/>
        <w:rPr>
          <w:sz w:val="16"/>
          <w:szCs w:val="16"/>
        </w:rPr>
      </w:pPr>
      <w:r w:rsidRPr="00882926">
        <w:rPr>
          <w:sz w:val="16"/>
          <w:szCs w:val="16"/>
        </w:rPr>
        <w:t>1</w:t>
      </w:r>
      <w:r w:rsidRPr="00882926">
        <w:rPr>
          <w:sz w:val="16"/>
          <w:szCs w:val="16"/>
        </w:rPr>
        <w:tab/>
        <w:t xml:space="preserve">In </w:t>
      </w:r>
      <w:r w:rsidRPr="00882926">
        <w:rPr>
          <w:strike/>
          <w:sz w:val="16"/>
          <w:szCs w:val="16"/>
        </w:rPr>
        <w:t>December</w:t>
      </w:r>
      <w:r w:rsidRPr="00BB026C">
        <w:rPr>
          <w:strike/>
          <w:sz w:val="16"/>
          <w:szCs w:val="16"/>
        </w:rPr>
        <w:t xml:space="preserve"> </w:t>
      </w:r>
      <w:r w:rsidRPr="00882926">
        <w:rPr>
          <w:sz w:val="16"/>
          <w:szCs w:val="16"/>
        </w:rPr>
        <w:t xml:space="preserve">2013, the AASB amended the </w:t>
      </w:r>
      <w:r w:rsidRPr="00882926">
        <w:rPr>
          <w:i/>
          <w:iCs/>
          <w:sz w:val="16"/>
          <w:szCs w:val="16"/>
        </w:rPr>
        <w:t xml:space="preserve">Framework for the Preparation and Presentation of Financial Statements </w:t>
      </w:r>
      <w:r w:rsidRPr="00882926">
        <w:rPr>
          <w:iCs/>
          <w:sz w:val="16"/>
          <w:szCs w:val="16"/>
        </w:rPr>
        <w:t>(as identified in AASB 1048</w:t>
      </w:r>
      <w:r w:rsidRPr="00882926">
        <w:rPr>
          <w:i/>
          <w:iCs/>
          <w:sz w:val="16"/>
          <w:szCs w:val="16"/>
        </w:rPr>
        <w:t xml:space="preserve"> Interpretation of Standards</w:t>
      </w:r>
      <w:r w:rsidRPr="00882926">
        <w:rPr>
          <w:iCs/>
          <w:sz w:val="16"/>
          <w:szCs w:val="16"/>
        </w:rPr>
        <w:t>)</w:t>
      </w:r>
      <w:r w:rsidR="0068345C" w:rsidRPr="00BB026C">
        <w:rPr>
          <w:iCs/>
          <w:sz w:val="16"/>
          <w:szCs w:val="16"/>
          <w:u w:val="single"/>
        </w:rPr>
        <w:t xml:space="preserve"> </w:t>
      </w:r>
      <w:r w:rsidR="0068345C" w:rsidRPr="0068345C">
        <w:rPr>
          <w:iCs/>
          <w:sz w:val="16"/>
          <w:szCs w:val="16"/>
          <w:u w:val="single"/>
        </w:rPr>
        <w:t xml:space="preserve">(the </w:t>
      </w:r>
      <w:r w:rsidR="0068345C" w:rsidRPr="0068345C">
        <w:rPr>
          <w:i/>
          <w:iCs/>
          <w:sz w:val="16"/>
          <w:szCs w:val="16"/>
          <w:u w:val="single"/>
        </w:rPr>
        <w:t>Framework</w:t>
      </w:r>
      <w:r w:rsidR="0068345C" w:rsidRPr="0068345C">
        <w:rPr>
          <w:iCs/>
          <w:sz w:val="16"/>
          <w:szCs w:val="16"/>
          <w:u w:val="single"/>
        </w:rPr>
        <w:t>)</w:t>
      </w:r>
      <w:r w:rsidR="00403EB9" w:rsidRPr="00882926">
        <w:rPr>
          <w:i/>
          <w:iCs/>
          <w:sz w:val="16"/>
          <w:szCs w:val="16"/>
        </w:rPr>
        <w:t xml:space="preserve">.  </w:t>
      </w:r>
      <w:r w:rsidRPr="00882926">
        <w:rPr>
          <w:sz w:val="16"/>
          <w:szCs w:val="16"/>
        </w:rPr>
        <w:t>The term “faithful representation”</w:t>
      </w:r>
      <w:r w:rsidRPr="00882926">
        <w:rPr>
          <w:sz w:val="16"/>
          <w:szCs w:val="16"/>
          <w:u w:val="single"/>
        </w:rPr>
        <w:t xml:space="preserve">, which was used in the </w:t>
      </w:r>
      <w:r w:rsidRPr="00882926">
        <w:rPr>
          <w:i/>
          <w:iCs/>
          <w:sz w:val="16"/>
          <w:szCs w:val="16"/>
          <w:u w:val="single"/>
        </w:rPr>
        <w:t xml:space="preserve">Framework </w:t>
      </w:r>
      <w:r w:rsidR="00A33854">
        <w:rPr>
          <w:sz w:val="16"/>
          <w:szCs w:val="16"/>
          <w:u w:val="single"/>
        </w:rPr>
        <w:t xml:space="preserve">from </w:t>
      </w:r>
      <w:r w:rsidRPr="0068345C">
        <w:rPr>
          <w:sz w:val="16"/>
          <w:szCs w:val="16"/>
          <w:u w:val="single"/>
        </w:rPr>
        <w:t>201</w:t>
      </w:r>
      <w:r w:rsidR="00A33854" w:rsidRPr="0068345C">
        <w:rPr>
          <w:sz w:val="16"/>
          <w:szCs w:val="16"/>
          <w:u w:val="single"/>
        </w:rPr>
        <w:t>3</w:t>
      </w:r>
      <w:r w:rsidRPr="00882926">
        <w:rPr>
          <w:sz w:val="16"/>
          <w:szCs w:val="16"/>
          <w:u w:val="single"/>
        </w:rPr>
        <w:t xml:space="preserve"> and is also used in the </w:t>
      </w:r>
      <w:r w:rsidRPr="00882926">
        <w:rPr>
          <w:i/>
          <w:iCs/>
          <w:sz w:val="16"/>
          <w:szCs w:val="16"/>
          <w:u w:val="single"/>
        </w:rPr>
        <w:t>Conceptual Framework</w:t>
      </w:r>
      <w:r w:rsidR="00A33854">
        <w:rPr>
          <w:i/>
          <w:iCs/>
          <w:sz w:val="16"/>
          <w:szCs w:val="16"/>
          <w:u w:val="single"/>
        </w:rPr>
        <w:t xml:space="preserve"> for Financial Reporting</w:t>
      </w:r>
      <w:r w:rsidRPr="00882926">
        <w:rPr>
          <w:i/>
          <w:iCs/>
          <w:sz w:val="16"/>
          <w:szCs w:val="16"/>
          <w:u w:val="single"/>
        </w:rPr>
        <w:t xml:space="preserve"> </w:t>
      </w:r>
      <w:r w:rsidRPr="00882926">
        <w:rPr>
          <w:sz w:val="16"/>
          <w:szCs w:val="16"/>
          <w:u w:val="single"/>
        </w:rPr>
        <w:t xml:space="preserve">issued in </w:t>
      </w:r>
      <w:r w:rsidR="00443B60">
        <w:rPr>
          <w:sz w:val="16"/>
          <w:szCs w:val="16"/>
          <w:u w:val="single"/>
        </w:rPr>
        <w:t>2019</w:t>
      </w:r>
      <w:r w:rsidRPr="00882926">
        <w:rPr>
          <w:sz w:val="16"/>
          <w:szCs w:val="16"/>
          <w:u w:val="single"/>
        </w:rPr>
        <w:t>,</w:t>
      </w:r>
      <w:r w:rsidRPr="00882926">
        <w:rPr>
          <w:sz w:val="16"/>
          <w:szCs w:val="16"/>
        </w:rPr>
        <w:t xml:space="preserve"> encompasses the main characteristics that the</w:t>
      </w:r>
      <w:r w:rsidRPr="00BB026C">
        <w:rPr>
          <w:strike/>
          <w:sz w:val="16"/>
          <w:szCs w:val="16"/>
        </w:rPr>
        <w:t xml:space="preserve"> </w:t>
      </w:r>
      <w:r w:rsidRPr="0068345C">
        <w:rPr>
          <w:strike/>
          <w:sz w:val="16"/>
          <w:szCs w:val="16"/>
        </w:rPr>
        <w:t>previous version of the</w:t>
      </w:r>
      <w:r w:rsidRPr="00882926">
        <w:rPr>
          <w:sz w:val="16"/>
          <w:szCs w:val="16"/>
        </w:rPr>
        <w:t xml:space="preserve"> </w:t>
      </w:r>
      <w:r w:rsidRPr="00882926">
        <w:rPr>
          <w:i/>
          <w:iCs/>
          <w:sz w:val="16"/>
          <w:szCs w:val="16"/>
        </w:rPr>
        <w:t xml:space="preserve">Framework </w:t>
      </w:r>
      <w:r w:rsidRPr="00882926">
        <w:rPr>
          <w:sz w:val="16"/>
          <w:szCs w:val="16"/>
        </w:rPr>
        <w:t>called “reliability”</w:t>
      </w:r>
      <w:r w:rsidR="00403EB9" w:rsidRPr="00882926">
        <w:rPr>
          <w:sz w:val="16"/>
          <w:szCs w:val="16"/>
        </w:rPr>
        <w:t xml:space="preserve">.  </w:t>
      </w:r>
      <w:r w:rsidRPr="00882926">
        <w:rPr>
          <w:sz w:val="16"/>
          <w:szCs w:val="16"/>
        </w:rPr>
        <w:t>The requirement in paragraph 13 of this Standard is based on the requirements of AASB 108, which retains the term “reliable”.</w:t>
      </w:r>
    </w:p>
    <w:p w14:paraId="6874F55F" w14:textId="77777777" w:rsidR="00882926" w:rsidRPr="00882926" w:rsidRDefault="00882926" w:rsidP="00B268A8">
      <w:pPr>
        <w:pStyle w:val="IASBNormalnparaL1"/>
        <w:ind w:left="1491" w:hanging="709"/>
        <w:rPr>
          <w:sz w:val="16"/>
          <w:szCs w:val="16"/>
          <w:u w:val="single"/>
        </w:rPr>
      </w:pPr>
      <w:r w:rsidRPr="00882926">
        <w:rPr>
          <w:sz w:val="16"/>
          <w:szCs w:val="16"/>
          <w:u w:val="single"/>
        </w:rPr>
        <w:t>AusCF1</w:t>
      </w:r>
      <w:r w:rsidRPr="00882926">
        <w:rPr>
          <w:sz w:val="16"/>
          <w:szCs w:val="16"/>
        </w:rPr>
        <w:tab/>
      </w:r>
      <w:r w:rsidRPr="00882926">
        <w:rPr>
          <w:sz w:val="16"/>
          <w:szCs w:val="16"/>
          <w:u w:val="single"/>
        </w:rPr>
        <w:t xml:space="preserve">Notwithstanding footnote 1, in respect of AusCF entities, in December 2013, the AASB amended the </w:t>
      </w:r>
      <w:r w:rsidRPr="00882926">
        <w:rPr>
          <w:i/>
          <w:iCs/>
          <w:sz w:val="16"/>
          <w:szCs w:val="16"/>
          <w:u w:val="single"/>
        </w:rPr>
        <w:t xml:space="preserve">Framework for the Preparation and Presentation of Financial Statements </w:t>
      </w:r>
      <w:r w:rsidRPr="00882926">
        <w:rPr>
          <w:iCs/>
          <w:sz w:val="16"/>
          <w:szCs w:val="16"/>
          <w:u w:val="single"/>
        </w:rPr>
        <w:t>(as identified in AASB 1048</w:t>
      </w:r>
      <w:r w:rsidRPr="00882926">
        <w:rPr>
          <w:i/>
          <w:iCs/>
          <w:sz w:val="16"/>
          <w:szCs w:val="16"/>
          <w:u w:val="single"/>
        </w:rPr>
        <w:t xml:space="preserve"> Interpretation of Standards</w:t>
      </w:r>
      <w:r w:rsidRPr="00882926">
        <w:rPr>
          <w:iCs/>
          <w:sz w:val="16"/>
          <w:szCs w:val="16"/>
          <w:u w:val="single"/>
        </w:rPr>
        <w:t>)</w:t>
      </w:r>
      <w:r w:rsidR="00403EB9" w:rsidRPr="00882926">
        <w:rPr>
          <w:i/>
          <w:iCs/>
          <w:sz w:val="16"/>
          <w:szCs w:val="16"/>
          <w:u w:val="single"/>
        </w:rPr>
        <w:t xml:space="preserve">.  </w:t>
      </w:r>
      <w:r w:rsidRPr="00882926">
        <w:rPr>
          <w:sz w:val="16"/>
          <w:szCs w:val="16"/>
          <w:u w:val="single"/>
        </w:rPr>
        <w:t xml:space="preserve">The term “faithful representation” encompasses the main characteristics that the previous version of the </w:t>
      </w:r>
      <w:r w:rsidRPr="00E71C53">
        <w:rPr>
          <w:i/>
          <w:iCs/>
          <w:sz w:val="16"/>
          <w:szCs w:val="16"/>
          <w:u w:val="single"/>
        </w:rPr>
        <w:t>Framework</w:t>
      </w:r>
      <w:r w:rsidRPr="00882926">
        <w:rPr>
          <w:i/>
          <w:iCs/>
          <w:sz w:val="16"/>
          <w:szCs w:val="16"/>
          <w:u w:val="single"/>
        </w:rPr>
        <w:t xml:space="preserve"> </w:t>
      </w:r>
      <w:r w:rsidRPr="00882926">
        <w:rPr>
          <w:sz w:val="16"/>
          <w:szCs w:val="16"/>
          <w:u w:val="single"/>
        </w:rPr>
        <w:t>called “reliability”</w:t>
      </w:r>
      <w:r w:rsidR="00403EB9" w:rsidRPr="00882926">
        <w:rPr>
          <w:sz w:val="16"/>
          <w:szCs w:val="16"/>
          <w:u w:val="single"/>
        </w:rPr>
        <w:t xml:space="preserve">.  </w:t>
      </w:r>
      <w:r w:rsidRPr="00882926">
        <w:rPr>
          <w:sz w:val="16"/>
          <w:szCs w:val="16"/>
          <w:u w:val="single"/>
        </w:rPr>
        <w:t>The requirement in paragraph 13 of this Standard is based on the requirements of AASB 108, which retains the term “reliable”.</w:t>
      </w:r>
    </w:p>
    <w:p w14:paraId="69F62210" w14:textId="77777777" w:rsidR="003A66C5" w:rsidRDefault="003A66C5" w:rsidP="00C87FAF">
      <w:pPr>
        <w:pStyle w:val="Heading2"/>
        <w:jc w:val="both"/>
      </w:pPr>
      <w:r>
        <w:t>Amendments to AASB 17</w:t>
      </w:r>
    </w:p>
    <w:p w14:paraId="2285B6E0"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7EC57AE6" w14:textId="77777777" w:rsidR="004043A1" w:rsidRPr="004043A1" w:rsidRDefault="004043A1" w:rsidP="00C87FAF">
      <w:pPr>
        <w:pStyle w:val="Heading2"/>
        <w:spacing w:before="240"/>
        <w:jc w:val="both"/>
      </w:pPr>
      <w:r w:rsidRPr="004043A1">
        <w:t>Objective</w:t>
      </w:r>
    </w:p>
    <w:p w14:paraId="7908CD5A" w14:textId="77777777" w:rsidR="004043A1" w:rsidRPr="004043A1" w:rsidRDefault="004043A1" w:rsidP="00C87FAF">
      <w:pPr>
        <w:autoSpaceDE w:val="0"/>
        <w:autoSpaceDN w:val="0"/>
        <w:adjustRightInd w:val="0"/>
        <w:rPr>
          <w:szCs w:val="19"/>
        </w:rPr>
      </w:pPr>
      <w:r w:rsidRPr="004043A1">
        <w:rPr>
          <w:szCs w:val="19"/>
        </w:rPr>
        <w:t>…</w:t>
      </w:r>
    </w:p>
    <w:p w14:paraId="59A3EAE4" w14:textId="77777777" w:rsidR="00685330" w:rsidRPr="0067049C" w:rsidRDefault="00685330" w:rsidP="00B268A8">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00770FE3" w14:textId="6D6E733A" w:rsidR="00685330" w:rsidRPr="0067049C" w:rsidRDefault="00B268A8" w:rsidP="00B268A8">
      <w:pPr>
        <w:pStyle w:val="IASBNormalnparaL1"/>
        <w:rPr>
          <w:szCs w:val="19"/>
          <w:u w:val="single"/>
        </w:rPr>
      </w:pPr>
      <w:r>
        <w:rPr>
          <w:szCs w:val="19"/>
          <w:u w:val="single"/>
        </w:rPr>
        <w:t>(a)</w:t>
      </w:r>
      <w:r>
        <w:rPr>
          <w:szCs w:val="19"/>
          <w:u w:val="single"/>
        </w:rPr>
        <w:tab/>
      </w:r>
      <w:r w:rsidR="00685330" w:rsidRPr="0067049C">
        <w:rPr>
          <w:szCs w:val="19"/>
          <w:u w:val="single"/>
        </w:rPr>
        <w:t xml:space="preserve">not-for-profit entities; and </w:t>
      </w:r>
    </w:p>
    <w:p w14:paraId="72A92FE2" w14:textId="0102537F" w:rsidR="00685330" w:rsidRPr="0067049C" w:rsidRDefault="00B268A8" w:rsidP="00B268A8">
      <w:pPr>
        <w:pStyle w:val="IASBNormalnparaL1"/>
        <w:rPr>
          <w:szCs w:val="19"/>
          <w:u w:val="single"/>
        </w:rPr>
      </w:pPr>
      <w:r>
        <w:rPr>
          <w:szCs w:val="19"/>
          <w:u w:val="single"/>
        </w:rPr>
        <w:t>(b)</w:t>
      </w:r>
      <w:r>
        <w:rPr>
          <w:szCs w:val="19"/>
          <w:u w:val="single"/>
        </w:rPr>
        <w:tab/>
      </w:r>
      <w:r w:rsidR="00685330" w:rsidRPr="0067049C">
        <w:rPr>
          <w:szCs w:val="19"/>
          <w:u w:val="single"/>
        </w:rPr>
        <w:t xml:space="preserve">for-profit entities that are not applying the </w:t>
      </w:r>
      <w:r w:rsidR="00685330"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685330" w:rsidRPr="0067049C">
        <w:rPr>
          <w:szCs w:val="19"/>
          <w:u w:val="single"/>
        </w:rPr>
        <w:t>.</w:t>
      </w:r>
    </w:p>
    <w:p w14:paraId="5F9EE8B0" w14:textId="607B9418" w:rsidR="00685330" w:rsidRDefault="00685330" w:rsidP="00B268A8">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04509141" w14:textId="77777777" w:rsidR="00A5356A" w:rsidRPr="001448BB" w:rsidRDefault="00A5356A">
      <w:pPr>
        <w:jc w:val="left"/>
        <w:rPr>
          <w:rFonts w:ascii="Arial" w:hAnsi="Arial" w:cs="Arial"/>
          <w:iCs/>
          <w:szCs w:val="19"/>
        </w:rPr>
      </w:pPr>
      <w:r w:rsidRPr="001448BB">
        <w:rPr>
          <w:szCs w:val="19"/>
        </w:rPr>
        <w:br w:type="page"/>
      </w:r>
    </w:p>
    <w:p w14:paraId="6E51896B" w14:textId="0636EDE1" w:rsidR="003A66C5" w:rsidRDefault="003A66C5" w:rsidP="00C87FAF">
      <w:pPr>
        <w:pStyle w:val="Heading2"/>
        <w:jc w:val="both"/>
      </w:pPr>
      <w:r>
        <w:t>Amendments to AASB 101</w:t>
      </w:r>
    </w:p>
    <w:p w14:paraId="472A8DF8" w14:textId="4CD446CF" w:rsidR="00413C36" w:rsidRPr="00413C36" w:rsidRDefault="00413C36" w:rsidP="00C87FAF">
      <w:pPr>
        <w:pBdr>
          <w:top w:val="single" w:sz="4" w:space="1" w:color="auto"/>
          <w:left w:val="single" w:sz="4" w:space="4" w:color="auto"/>
          <w:bottom w:val="single" w:sz="4" w:space="1" w:color="auto"/>
          <w:right w:val="single" w:sz="4" w:space="4" w:color="auto"/>
        </w:pBdr>
        <w:autoSpaceDE w:val="0"/>
        <w:autoSpaceDN w:val="0"/>
        <w:adjustRightInd w:val="0"/>
        <w:rPr>
          <w:sz w:val="20"/>
        </w:rPr>
      </w:pPr>
      <w:r w:rsidRPr="00413C36">
        <w:rPr>
          <w:sz w:val="20"/>
        </w:rPr>
        <w:t xml:space="preserve">Paragraphs 15, </w:t>
      </w:r>
      <w:r w:rsidR="00C44614">
        <w:rPr>
          <w:sz w:val="20"/>
        </w:rPr>
        <w:t>19–</w:t>
      </w:r>
      <w:r w:rsidRPr="00413C36">
        <w:rPr>
          <w:sz w:val="20"/>
        </w:rPr>
        <w:t>20, 23</w:t>
      </w:r>
      <w:r w:rsidR="00C44614">
        <w:rPr>
          <w:sz w:val="20"/>
        </w:rPr>
        <w:t>–</w:t>
      </w:r>
      <w:r w:rsidRPr="00413C36">
        <w:rPr>
          <w:sz w:val="20"/>
        </w:rPr>
        <w:t>24, 28, 89</w:t>
      </w:r>
      <w:r w:rsidR="00C44614">
        <w:rPr>
          <w:sz w:val="20"/>
        </w:rPr>
        <w:t>,</w:t>
      </w:r>
      <w:r w:rsidRPr="00413C36">
        <w:rPr>
          <w:sz w:val="20"/>
        </w:rPr>
        <w:t xml:space="preserve"> Aus7.2 in Appendix A </w:t>
      </w:r>
      <w:r w:rsidR="00C44614">
        <w:rPr>
          <w:sz w:val="20"/>
        </w:rPr>
        <w:t xml:space="preserve">and RDR15.1 in Appendix B </w:t>
      </w:r>
      <w:r w:rsidRPr="00413C36">
        <w:rPr>
          <w:sz w:val="20"/>
        </w:rPr>
        <w:t xml:space="preserve">are amended. </w:t>
      </w:r>
      <w:r w:rsidR="00705122">
        <w:rPr>
          <w:sz w:val="20"/>
        </w:rPr>
        <w:t xml:space="preserve"> </w:t>
      </w:r>
      <w:r w:rsidR="00E5549F">
        <w:rPr>
          <w:sz w:val="20"/>
        </w:rPr>
        <w:t>Paragraph</w:t>
      </w:r>
      <w:r w:rsidR="00116149">
        <w:rPr>
          <w:sz w:val="20"/>
        </w:rPr>
        <w:t xml:space="preserve">s </w:t>
      </w:r>
      <w:r w:rsidR="00E5549F">
        <w:rPr>
          <w:sz w:val="20"/>
        </w:rPr>
        <w:t xml:space="preserve">Aus136.1 </w:t>
      </w:r>
      <w:r w:rsidR="00116149">
        <w:rPr>
          <w:sz w:val="20"/>
        </w:rPr>
        <w:t xml:space="preserve">and Aus136.2 are </w:t>
      </w:r>
      <w:r w:rsidR="00E5549F">
        <w:rPr>
          <w:sz w:val="20"/>
        </w:rPr>
        <w:t xml:space="preserve">deleted.  </w:t>
      </w:r>
      <w:r w:rsidRPr="00413C36">
        <w:rPr>
          <w:sz w:val="20"/>
        </w:rPr>
        <w:t>Paragraphs AusCF1, AusCF15,</w:t>
      </w:r>
      <w:r w:rsidR="004F4772">
        <w:rPr>
          <w:sz w:val="20"/>
        </w:rPr>
        <w:t xml:space="preserve"> </w:t>
      </w:r>
      <w:r w:rsidRPr="00413C36">
        <w:rPr>
          <w:sz w:val="20"/>
        </w:rPr>
        <w:t>AusCF19–AusCF20, AusCF23–AusCF24, AusCF28, AusCF89</w:t>
      </w:r>
      <w:r w:rsidR="00E5549F">
        <w:rPr>
          <w:sz w:val="20"/>
        </w:rPr>
        <w:t>, AusCFAus136.1</w:t>
      </w:r>
      <w:r w:rsidR="00116149">
        <w:rPr>
          <w:sz w:val="20"/>
        </w:rPr>
        <w:t>, AusCFAus136.2</w:t>
      </w:r>
      <w:r w:rsidRPr="00413C36">
        <w:rPr>
          <w:sz w:val="20"/>
        </w:rPr>
        <w:t xml:space="preserve"> and 139S</w:t>
      </w:r>
      <w:r w:rsidR="00BB026C">
        <w:rPr>
          <w:sz w:val="20"/>
        </w:rPr>
        <w:t xml:space="preserve"> and </w:t>
      </w:r>
      <w:r w:rsidR="00307E65">
        <w:rPr>
          <w:sz w:val="20"/>
        </w:rPr>
        <w:t xml:space="preserve">paragraph </w:t>
      </w:r>
      <w:r w:rsidR="00BB026C">
        <w:rPr>
          <w:sz w:val="20"/>
        </w:rPr>
        <w:t>AusCFRDR15.1 in Appendix</w:t>
      </w:r>
      <w:r w:rsidR="00307E65">
        <w:rPr>
          <w:sz w:val="20"/>
        </w:rPr>
        <w:t xml:space="preserve"> B</w:t>
      </w:r>
      <w:r w:rsidRPr="00413C36">
        <w:rPr>
          <w:sz w:val="20"/>
        </w:rPr>
        <w:t xml:space="preserve"> are added</w:t>
      </w:r>
      <w:r w:rsidR="00712406">
        <w:rPr>
          <w:sz w:val="20"/>
        </w:rPr>
        <w:t xml:space="preserve">.  </w:t>
      </w:r>
      <w:r w:rsidR="008D1914">
        <w:rPr>
          <w:sz w:val="20"/>
        </w:rPr>
        <w:t>Three</w:t>
      </w:r>
      <w:r w:rsidR="008D1914" w:rsidRPr="00413C36">
        <w:rPr>
          <w:sz w:val="20"/>
        </w:rPr>
        <w:t xml:space="preserve"> </w:t>
      </w:r>
      <w:r w:rsidRPr="00413C36">
        <w:rPr>
          <w:sz w:val="20"/>
        </w:rPr>
        <w:t>footnotes are deleted – the footnote to the second sentence in paragraph 15, to paragraph 28 and to ‘</w:t>
      </w:r>
      <w:r w:rsidRPr="00413C36">
        <w:rPr>
          <w:i/>
          <w:sz w:val="20"/>
        </w:rPr>
        <w:t>Framework’s</w:t>
      </w:r>
      <w:r w:rsidRPr="00413C36">
        <w:rPr>
          <w:sz w:val="20"/>
        </w:rPr>
        <w:t>’ in paragraph 89.</w:t>
      </w:r>
    </w:p>
    <w:p w14:paraId="4695312B" w14:textId="77777777" w:rsidR="00413C36" w:rsidRPr="00413C36" w:rsidRDefault="00413C36" w:rsidP="00C87FAF">
      <w:pPr>
        <w:pStyle w:val="Heading2"/>
        <w:spacing w:before="240"/>
        <w:jc w:val="both"/>
      </w:pPr>
      <w:r w:rsidRPr="00413C36">
        <w:t>Objective</w:t>
      </w:r>
    </w:p>
    <w:p w14:paraId="648C22CC" w14:textId="77777777" w:rsidR="00413C36" w:rsidRDefault="00413C36" w:rsidP="00C87FAF">
      <w:pPr>
        <w:autoSpaceDE w:val="0"/>
        <w:autoSpaceDN w:val="0"/>
        <w:adjustRightInd w:val="0"/>
        <w:rPr>
          <w:sz w:val="20"/>
        </w:rPr>
      </w:pPr>
      <w:r w:rsidRPr="00413C36">
        <w:rPr>
          <w:sz w:val="20"/>
        </w:rPr>
        <w:t>…</w:t>
      </w:r>
    </w:p>
    <w:p w14:paraId="35E1F46F" w14:textId="77777777" w:rsidR="00FE115A" w:rsidRPr="0067049C" w:rsidRDefault="00FE115A" w:rsidP="00B268A8">
      <w:pPr>
        <w:pStyle w:val="IASBNormalnpara"/>
        <w:rPr>
          <w:szCs w:val="19"/>
          <w:u w:val="single"/>
        </w:rPr>
      </w:pPr>
      <w:r w:rsidRPr="0067049C">
        <w:rPr>
          <w:szCs w:val="19"/>
          <w:u w:val="single"/>
        </w:rPr>
        <w:t>AusCF1</w:t>
      </w:r>
      <w:r w:rsidRPr="0067049C">
        <w:rPr>
          <w:szCs w:val="19"/>
        </w:rPr>
        <w:tab/>
      </w:r>
      <w:r w:rsidRPr="0067049C">
        <w:rPr>
          <w:szCs w:val="19"/>
          <w:u w:val="single"/>
        </w:rPr>
        <w:t>AusCF paragraphs and footnotes included in this Standard apply only to:</w:t>
      </w:r>
    </w:p>
    <w:p w14:paraId="386B21F6" w14:textId="411CB4A0" w:rsidR="00FE115A" w:rsidRPr="0067049C" w:rsidRDefault="00B268A8" w:rsidP="00B268A8">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0102B9D4" w14:textId="5C1B4EC3" w:rsidR="00FE115A" w:rsidRPr="0067049C" w:rsidRDefault="00B268A8" w:rsidP="00B268A8">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FE115A" w:rsidRPr="0067049C">
        <w:rPr>
          <w:szCs w:val="19"/>
          <w:u w:val="single"/>
        </w:rPr>
        <w:t xml:space="preserve">.  </w:t>
      </w:r>
    </w:p>
    <w:p w14:paraId="609FBD3A" w14:textId="6F8248E1" w:rsidR="00FE115A" w:rsidRPr="0067049C" w:rsidRDefault="00FE115A" w:rsidP="00B268A8">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Pr="0067049C">
        <w:rPr>
          <w:szCs w:val="19"/>
          <w:u w:val="single"/>
        </w:rPr>
        <w:t>shall not apply AusCF paragraphs or footnotes.</w:t>
      </w:r>
    </w:p>
    <w:p w14:paraId="6B2B3149" w14:textId="77777777" w:rsidR="00413C36" w:rsidRDefault="00705122" w:rsidP="00B268A8">
      <w:pPr>
        <w:autoSpaceDE w:val="0"/>
        <w:autoSpaceDN w:val="0"/>
        <w:adjustRightInd w:val="0"/>
        <w:spacing w:before="100"/>
        <w:ind w:left="720" w:hanging="720"/>
        <w:rPr>
          <w:szCs w:val="19"/>
        </w:rPr>
      </w:pPr>
      <w:r>
        <w:rPr>
          <w:szCs w:val="19"/>
        </w:rPr>
        <w:t>…</w:t>
      </w:r>
    </w:p>
    <w:p w14:paraId="730EB34E" w14:textId="77777777" w:rsidR="00033D9F" w:rsidRPr="00033D9F" w:rsidRDefault="00033D9F" w:rsidP="00B268A8">
      <w:pPr>
        <w:pStyle w:val="Heading1"/>
        <w:spacing w:before="100" w:after="0"/>
        <w:ind w:left="782"/>
        <w:jc w:val="both"/>
        <w:rPr>
          <w:sz w:val="22"/>
          <w:szCs w:val="22"/>
        </w:rPr>
      </w:pPr>
      <w:r>
        <w:rPr>
          <w:sz w:val="22"/>
          <w:szCs w:val="22"/>
        </w:rPr>
        <w:t>Fair presentation and compliance with Standards</w:t>
      </w:r>
    </w:p>
    <w:p w14:paraId="58449966" w14:textId="56F7864A" w:rsidR="00413C36" w:rsidRPr="0049458C" w:rsidRDefault="00413C36" w:rsidP="00B268A8">
      <w:pPr>
        <w:pStyle w:val="IASBNormalnpara"/>
        <w:rPr>
          <w:b/>
          <w:szCs w:val="19"/>
        </w:rPr>
      </w:pPr>
      <w:r w:rsidRPr="0049458C">
        <w:rPr>
          <w:b/>
          <w:szCs w:val="19"/>
        </w:rPr>
        <w:t>15</w:t>
      </w:r>
      <w:r w:rsidRPr="0049458C">
        <w:rPr>
          <w:b/>
          <w:szCs w:val="19"/>
        </w:rPr>
        <w:tab/>
        <w:t>Financial statements shall present fairly the financial position, financial performance and cash flows of an entity</w:t>
      </w:r>
      <w:r w:rsidR="00403EB9" w:rsidRPr="0049458C">
        <w:rPr>
          <w:b/>
          <w:szCs w:val="19"/>
        </w:rPr>
        <w:t xml:space="preserve">.  </w:t>
      </w:r>
      <w:r w:rsidRPr="0049458C">
        <w:rPr>
          <w:b/>
          <w:szCs w:val="19"/>
        </w:rPr>
        <w:t xml:space="preserve">Fair presentation requires the faithful representation of the effects of transactions, other events and conditions in accordance with the definitions and recognition criteria for assets, liabilities, income and expenses set out in the </w:t>
      </w:r>
      <w:r w:rsidRPr="0049458C">
        <w:rPr>
          <w:b/>
          <w:i/>
          <w:strike/>
          <w:szCs w:val="19"/>
        </w:rPr>
        <w:t>Framework</w:t>
      </w:r>
      <w:r w:rsidR="005C4A2A">
        <w:rPr>
          <w:b/>
          <w:i/>
          <w:strike/>
          <w:szCs w:val="19"/>
        </w:rPr>
        <w:t xml:space="preserve"> </w:t>
      </w:r>
      <w:r w:rsidRPr="0049458C">
        <w:rPr>
          <w:b/>
          <w:i/>
          <w:szCs w:val="19"/>
          <w:u w:val="single"/>
        </w:rPr>
        <w:t>Conceptual Framework for Financial Reporting</w:t>
      </w:r>
      <w:r w:rsidR="00E70D38" w:rsidRPr="00E70D38">
        <w:rPr>
          <w:b/>
          <w:i/>
          <w:szCs w:val="19"/>
          <w:u w:val="single"/>
        </w:rPr>
        <w:t xml:space="preserve"> </w:t>
      </w:r>
      <w:r w:rsidR="00E70D38" w:rsidRPr="00E70D38">
        <w:rPr>
          <w:b/>
          <w:szCs w:val="19"/>
          <w:u w:val="single"/>
        </w:rPr>
        <w:t>(</w:t>
      </w:r>
      <w:r w:rsidR="00E70D38" w:rsidRPr="00E70D38">
        <w:rPr>
          <w:b/>
          <w:i/>
          <w:szCs w:val="19"/>
          <w:u w:val="single"/>
        </w:rPr>
        <w:t>Conceptual Framework</w:t>
      </w:r>
      <w:r w:rsidR="00E70D38" w:rsidRPr="00E70D38">
        <w:rPr>
          <w:b/>
          <w:szCs w:val="19"/>
          <w:u w:val="single"/>
        </w:rPr>
        <w:t>)</w:t>
      </w:r>
      <w:r w:rsidRPr="0049458C">
        <w:rPr>
          <w:b/>
          <w:szCs w:val="19"/>
        </w:rPr>
        <w:t>.</w:t>
      </w:r>
      <w:r w:rsidRPr="0049458C">
        <w:rPr>
          <w:b/>
          <w:strike/>
          <w:szCs w:val="19"/>
          <w:vertAlign w:val="superscript"/>
        </w:rPr>
        <w:t>3</w:t>
      </w:r>
      <w:r w:rsidRPr="0049458C">
        <w:rPr>
          <w:b/>
          <w:szCs w:val="19"/>
        </w:rPr>
        <w:t xml:space="preserve"> The application of Australian Accounting Standards, with additional disclosure when necessary, is presumed to result in financial statements that achieve a fair presentation.</w:t>
      </w:r>
    </w:p>
    <w:p w14:paraId="3E441B55" w14:textId="77777777" w:rsidR="00413C36" w:rsidRPr="0049458C" w:rsidRDefault="00413C36" w:rsidP="00B268A8">
      <w:pPr>
        <w:pStyle w:val="IASBNormalnparaL1"/>
        <w:ind w:left="1491" w:hanging="709"/>
        <w:rPr>
          <w:strike/>
          <w:sz w:val="16"/>
          <w:szCs w:val="16"/>
        </w:rPr>
      </w:pPr>
      <w:r w:rsidRPr="0049458C">
        <w:rPr>
          <w:strike/>
          <w:sz w:val="16"/>
          <w:szCs w:val="16"/>
        </w:rPr>
        <w:t>3</w:t>
      </w:r>
      <w:r w:rsidRPr="00BB026C">
        <w:rPr>
          <w:sz w:val="16"/>
          <w:szCs w:val="16"/>
        </w:rPr>
        <w:tab/>
      </w:r>
      <w:r w:rsidRPr="0049458C">
        <w:rPr>
          <w:strike/>
          <w:sz w:val="16"/>
          <w:szCs w:val="16"/>
        </w:rPr>
        <w:t xml:space="preserve">Paragraphs 15–24 contain references to the objective of financial statements set out in the </w:t>
      </w:r>
      <w:r w:rsidRPr="0049458C">
        <w:rPr>
          <w:i/>
          <w:strike/>
          <w:sz w:val="16"/>
          <w:szCs w:val="16"/>
        </w:rPr>
        <w:t>Framework for the Preparation and Presentation of Financial Statements</w:t>
      </w:r>
      <w:r w:rsidRPr="0049458C">
        <w:rPr>
          <w:strike/>
          <w:sz w:val="16"/>
          <w:szCs w:val="16"/>
        </w:rPr>
        <w:t xml:space="preserve"> (as identified in AASB 1048)</w:t>
      </w:r>
      <w:r w:rsidR="00403EB9" w:rsidRPr="0049458C">
        <w:rPr>
          <w:strike/>
          <w:sz w:val="16"/>
          <w:szCs w:val="16"/>
        </w:rPr>
        <w:t xml:space="preserve">.  </w:t>
      </w:r>
      <w:r w:rsidRPr="0049458C">
        <w:rPr>
          <w:strike/>
          <w:sz w:val="16"/>
          <w:szCs w:val="16"/>
        </w:rPr>
        <w:t xml:space="preserve">In December 2013 the AASB amended the </w:t>
      </w:r>
      <w:r w:rsidRPr="0049458C">
        <w:rPr>
          <w:i/>
          <w:strike/>
          <w:sz w:val="16"/>
          <w:szCs w:val="16"/>
        </w:rPr>
        <w:t>Framework</w:t>
      </w:r>
      <w:r w:rsidRPr="0049458C">
        <w:rPr>
          <w:strike/>
          <w:sz w:val="16"/>
          <w:szCs w:val="16"/>
        </w:rPr>
        <w:t xml:space="preserve">, and thereby replaced the objective of financial statements with the objective of general purpose financial reporting: see Chapter 1 of the </w:t>
      </w:r>
      <w:r w:rsidRPr="0049458C">
        <w:rPr>
          <w:i/>
          <w:strike/>
          <w:sz w:val="16"/>
          <w:szCs w:val="16"/>
        </w:rPr>
        <w:t>Framework</w:t>
      </w:r>
      <w:r w:rsidRPr="0049458C">
        <w:rPr>
          <w:strike/>
          <w:sz w:val="16"/>
          <w:szCs w:val="16"/>
        </w:rPr>
        <w:t>.</w:t>
      </w:r>
    </w:p>
    <w:p w14:paraId="11E36137" w14:textId="1425DB4A" w:rsidR="00413C36" w:rsidRPr="0049458C" w:rsidRDefault="00413C36" w:rsidP="00B268A8">
      <w:pPr>
        <w:pStyle w:val="IASBNormalnpara"/>
        <w:rPr>
          <w:b/>
          <w:szCs w:val="19"/>
          <w:u w:val="single"/>
        </w:rPr>
      </w:pPr>
      <w:r w:rsidRPr="0049458C">
        <w:rPr>
          <w:b/>
          <w:szCs w:val="19"/>
          <w:u w:val="single"/>
        </w:rPr>
        <w:t>AusCF15</w:t>
      </w:r>
      <w:r w:rsidRPr="0049458C">
        <w:rPr>
          <w:b/>
          <w:szCs w:val="19"/>
        </w:rPr>
        <w:tab/>
      </w:r>
      <w:r w:rsidR="00B268A8">
        <w:rPr>
          <w:b/>
          <w:szCs w:val="19"/>
        </w:rPr>
        <w:tab/>
      </w:r>
      <w:r w:rsidRPr="0049458C">
        <w:rPr>
          <w:b/>
          <w:szCs w:val="19"/>
          <w:u w:val="single"/>
        </w:rPr>
        <w:t>Notwithstanding paragraph 15, in respect of AusCF entities, financial statements shall present fairly the financial position, financial performance and cash flows of an entity</w:t>
      </w:r>
      <w:r w:rsidR="00403EB9" w:rsidRPr="0049458C">
        <w:rPr>
          <w:b/>
          <w:szCs w:val="19"/>
          <w:u w:val="single"/>
        </w:rPr>
        <w:t xml:space="preserve">.  </w:t>
      </w:r>
      <w:r w:rsidRPr="0049458C">
        <w:rPr>
          <w:b/>
          <w:szCs w:val="19"/>
          <w:u w:val="single"/>
        </w:rPr>
        <w:t xml:space="preserve">Fair presentation requires the faithful representation of the effects of transactions, other events and conditions in accordance with the definitions and recognition criteria for assets, liabilities, income and expenses set out in the </w:t>
      </w:r>
      <w:r w:rsidRPr="00E71C53">
        <w:rPr>
          <w:b/>
          <w:szCs w:val="19"/>
          <w:u w:val="single"/>
        </w:rPr>
        <w:t>Framewor</w:t>
      </w:r>
      <w:r w:rsidR="00E71C53" w:rsidRPr="00E71C53">
        <w:rPr>
          <w:b/>
          <w:szCs w:val="19"/>
          <w:u w:val="single"/>
        </w:rPr>
        <w:t>k</w:t>
      </w:r>
      <w:r w:rsidR="00E71C53">
        <w:rPr>
          <w:b/>
          <w:szCs w:val="19"/>
          <w:u w:val="single"/>
        </w:rPr>
        <w:t>.</w:t>
      </w:r>
      <w:r w:rsidRPr="00E71C53">
        <w:rPr>
          <w:b/>
          <w:szCs w:val="19"/>
          <w:u w:val="single"/>
          <w:vertAlign w:val="superscript"/>
        </w:rPr>
        <w:t>AusCF3</w:t>
      </w:r>
      <w:r w:rsidR="00403EB9" w:rsidRPr="0049458C">
        <w:rPr>
          <w:b/>
          <w:szCs w:val="19"/>
          <w:u w:val="single"/>
        </w:rPr>
        <w:t xml:space="preserve">  </w:t>
      </w:r>
      <w:r w:rsidRPr="0049458C">
        <w:rPr>
          <w:b/>
          <w:szCs w:val="19"/>
          <w:u w:val="single"/>
        </w:rPr>
        <w:t>The application of Australian Accounting Standards, with additional disclosure when necessary, is presumed to result in financial statements that achieve a fair presentation.</w:t>
      </w:r>
    </w:p>
    <w:p w14:paraId="57592807" w14:textId="7432D42D" w:rsidR="00413C36" w:rsidRPr="0049458C" w:rsidRDefault="00413C36" w:rsidP="00B268A8">
      <w:pPr>
        <w:pStyle w:val="IASBNormalnparaL1"/>
        <w:ind w:left="1491" w:hanging="709"/>
        <w:rPr>
          <w:sz w:val="16"/>
          <w:szCs w:val="16"/>
          <w:u w:val="single"/>
        </w:rPr>
      </w:pPr>
      <w:r w:rsidRPr="0049458C">
        <w:rPr>
          <w:sz w:val="16"/>
          <w:szCs w:val="16"/>
          <w:u w:val="single"/>
        </w:rPr>
        <w:t>AusCF3</w:t>
      </w:r>
      <w:r w:rsidRPr="0049458C">
        <w:rPr>
          <w:sz w:val="16"/>
          <w:szCs w:val="16"/>
        </w:rPr>
        <w:tab/>
      </w:r>
      <w:r w:rsidRPr="0049458C">
        <w:rPr>
          <w:sz w:val="16"/>
          <w:szCs w:val="16"/>
          <w:u w:val="single"/>
        </w:rPr>
        <w:t xml:space="preserve">Paragraphs </w:t>
      </w:r>
      <w:r w:rsidR="003C5448">
        <w:rPr>
          <w:sz w:val="16"/>
          <w:szCs w:val="16"/>
          <w:u w:val="single"/>
        </w:rPr>
        <w:t>AusCF</w:t>
      </w:r>
      <w:r w:rsidR="00116149">
        <w:rPr>
          <w:sz w:val="16"/>
          <w:szCs w:val="16"/>
          <w:u w:val="single"/>
        </w:rPr>
        <w:t>15-AusCF24</w:t>
      </w:r>
      <w:r w:rsidRPr="0049458C">
        <w:rPr>
          <w:sz w:val="16"/>
          <w:szCs w:val="16"/>
          <w:u w:val="single"/>
        </w:rPr>
        <w:t xml:space="preserve"> contain references to the objective of financial statements set out in the </w:t>
      </w:r>
      <w:r w:rsidRPr="0049458C">
        <w:rPr>
          <w:i/>
          <w:sz w:val="16"/>
          <w:szCs w:val="16"/>
          <w:u w:val="single"/>
        </w:rPr>
        <w:t>Framework for the Preparation and Presentation of Financial Statements</w:t>
      </w:r>
      <w:r w:rsidRPr="0049458C">
        <w:rPr>
          <w:sz w:val="16"/>
          <w:szCs w:val="16"/>
          <w:u w:val="single"/>
        </w:rPr>
        <w:t xml:space="preserve"> (as identified in AASB 1048)</w:t>
      </w:r>
      <w:r w:rsidR="00403EB9" w:rsidRPr="0049458C">
        <w:rPr>
          <w:sz w:val="16"/>
          <w:szCs w:val="16"/>
          <w:u w:val="single"/>
        </w:rPr>
        <w:t xml:space="preserve">.  </w:t>
      </w:r>
      <w:r w:rsidRPr="0049458C">
        <w:rPr>
          <w:sz w:val="16"/>
          <w:szCs w:val="16"/>
          <w:u w:val="single"/>
        </w:rPr>
        <w:t xml:space="preserve">In December 2013 the AASB amended the </w:t>
      </w:r>
      <w:r w:rsidRPr="0049458C">
        <w:rPr>
          <w:i/>
          <w:sz w:val="16"/>
          <w:szCs w:val="16"/>
          <w:u w:val="single"/>
        </w:rPr>
        <w:t>Framework</w:t>
      </w:r>
      <w:r w:rsidRPr="0049458C">
        <w:rPr>
          <w:sz w:val="16"/>
          <w:szCs w:val="16"/>
          <w:u w:val="single"/>
        </w:rPr>
        <w:t xml:space="preserve">, and thereby replaced the objective of financial statements with the objective of general purpose financial reporting: see Chapter 1 of the </w:t>
      </w:r>
      <w:r w:rsidRPr="0049458C">
        <w:rPr>
          <w:i/>
          <w:sz w:val="16"/>
          <w:szCs w:val="16"/>
          <w:u w:val="single"/>
        </w:rPr>
        <w:t>Framework</w:t>
      </w:r>
      <w:r w:rsidRPr="0049458C">
        <w:rPr>
          <w:sz w:val="16"/>
          <w:szCs w:val="16"/>
          <w:u w:val="single"/>
        </w:rPr>
        <w:t>.</w:t>
      </w:r>
    </w:p>
    <w:p w14:paraId="126176DA" w14:textId="77777777" w:rsidR="00413C36" w:rsidRPr="0049458C" w:rsidRDefault="00413C36" w:rsidP="00C87FAF">
      <w:pPr>
        <w:autoSpaceDE w:val="0"/>
        <w:autoSpaceDN w:val="0"/>
        <w:adjustRightInd w:val="0"/>
        <w:ind w:left="709" w:hanging="709"/>
        <w:rPr>
          <w:szCs w:val="19"/>
        </w:rPr>
      </w:pPr>
      <w:r w:rsidRPr="0049458C">
        <w:rPr>
          <w:szCs w:val="19"/>
        </w:rPr>
        <w:t>…</w:t>
      </w:r>
    </w:p>
    <w:p w14:paraId="25054F77" w14:textId="77777777" w:rsidR="00413C36" w:rsidRPr="0049458C" w:rsidRDefault="00413C36" w:rsidP="00B268A8">
      <w:pPr>
        <w:pStyle w:val="IASBNormalnpara"/>
        <w:rPr>
          <w:b/>
          <w:szCs w:val="19"/>
        </w:rPr>
      </w:pPr>
      <w:r w:rsidRPr="0049458C">
        <w:rPr>
          <w:b/>
          <w:szCs w:val="19"/>
        </w:rPr>
        <w:t>19</w:t>
      </w:r>
      <w:r w:rsidRPr="0049458C">
        <w:rPr>
          <w:b/>
          <w:szCs w:val="19"/>
        </w:rPr>
        <w:tab/>
        <w:t xml:space="preserve">In the extremely rare circumstances in which management concludes that compliance with a requirement in an Australian Accounting Standard would be so misleading that it would conflict with the objective of financial statements set out in the </w:t>
      </w:r>
      <w:r w:rsidRPr="0049458C">
        <w:rPr>
          <w:b/>
          <w:i/>
          <w:strike/>
          <w:szCs w:val="19"/>
        </w:rPr>
        <w:t>Framework</w:t>
      </w:r>
      <w:r w:rsidR="005C4A2A">
        <w:rPr>
          <w:b/>
          <w:i/>
          <w:strike/>
          <w:szCs w:val="19"/>
        </w:rPr>
        <w:t xml:space="preserve"> </w:t>
      </w:r>
      <w:r w:rsidRPr="0049458C">
        <w:rPr>
          <w:b/>
          <w:i/>
          <w:szCs w:val="19"/>
          <w:u w:val="single"/>
        </w:rPr>
        <w:t>Conceptual Framework</w:t>
      </w:r>
      <w:r w:rsidRPr="0049458C">
        <w:rPr>
          <w:b/>
          <w:szCs w:val="19"/>
        </w:rPr>
        <w:t>, the entity shall depart from that requirement in the manner set out in paragraph 20 if the relevant regulatory framework requires, or otherwise does not prohibit, such a departure.</w:t>
      </w:r>
    </w:p>
    <w:p w14:paraId="6F87EB66" w14:textId="5DF836A5" w:rsidR="00413C36" w:rsidRPr="0049458C" w:rsidRDefault="00413C36" w:rsidP="00B268A8">
      <w:pPr>
        <w:pStyle w:val="IASBNormalnpara"/>
        <w:rPr>
          <w:b/>
          <w:szCs w:val="19"/>
          <w:u w:val="single"/>
        </w:rPr>
      </w:pPr>
      <w:r w:rsidRPr="0049458C">
        <w:rPr>
          <w:b/>
          <w:szCs w:val="19"/>
          <w:u w:val="single"/>
        </w:rPr>
        <w:t>AusCF19</w:t>
      </w:r>
      <w:r w:rsidRPr="0049458C">
        <w:rPr>
          <w:b/>
          <w:szCs w:val="19"/>
        </w:rPr>
        <w:tab/>
      </w:r>
      <w:r w:rsidR="00B268A8">
        <w:rPr>
          <w:b/>
          <w:szCs w:val="19"/>
        </w:rPr>
        <w:tab/>
      </w:r>
      <w:r w:rsidRPr="0049458C">
        <w:rPr>
          <w:b/>
          <w:szCs w:val="19"/>
          <w:u w:val="single"/>
        </w:rPr>
        <w:t xml:space="preserve">Notwithstanding paragraph 19, in respect of AusCF entities, in the extremely rare circumstances in which management concludes that compliance with a requirement in an Australian Accounting Standard would be so misleading that it would conflict with the objective of financial statements set out in the </w:t>
      </w:r>
      <w:r w:rsidRPr="0049458C">
        <w:rPr>
          <w:b/>
          <w:i/>
          <w:szCs w:val="19"/>
          <w:u w:val="single"/>
        </w:rPr>
        <w:t>Framework</w:t>
      </w:r>
      <w:r w:rsidRPr="0049458C">
        <w:rPr>
          <w:b/>
          <w:szCs w:val="19"/>
          <w:u w:val="single"/>
        </w:rPr>
        <w:t xml:space="preserve">, the entity shall depart from that requirement in the manner set out in paragraph </w:t>
      </w:r>
      <w:r w:rsidR="000030C7">
        <w:rPr>
          <w:b/>
          <w:szCs w:val="19"/>
          <w:u w:val="single"/>
        </w:rPr>
        <w:t>AusCF</w:t>
      </w:r>
      <w:r w:rsidRPr="0049458C">
        <w:rPr>
          <w:b/>
          <w:szCs w:val="19"/>
          <w:u w:val="single"/>
        </w:rPr>
        <w:t>20 if the relevant regulatory framework requires, or otherwise does not prohibit, such a departure.</w:t>
      </w:r>
    </w:p>
    <w:p w14:paraId="66194158" w14:textId="77777777" w:rsidR="00413C36" w:rsidRPr="0049458C" w:rsidRDefault="00413C36" w:rsidP="002223AA">
      <w:pPr>
        <w:pStyle w:val="IASBNormalnpara"/>
        <w:rPr>
          <w:b/>
          <w:szCs w:val="19"/>
        </w:rPr>
      </w:pPr>
      <w:r w:rsidRPr="0049458C">
        <w:rPr>
          <w:b/>
          <w:szCs w:val="19"/>
        </w:rPr>
        <w:t>20</w:t>
      </w:r>
      <w:r w:rsidRPr="0049458C">
        <w:rPr>
          <w:b/>
          <w:szCs w:val="19"/>
        </w:rPr>
        <w:tab/>
        <w:t>When an entity departs from a requirement of an Australian Accounting Standard in accordance with paragraph 19, it shall disclose:</w:t>
      </w:r>
    </w:p>
    <w:p w14:paraId="71ECADA0" w14:textId="5DCF732E" w:rsidR="00413C36" w:rsidRPr="0049458C" w:rsidRDefault="002223AA" w:rsidP="002223AA">
      <w:pPr>
        <w:pStyle w:val="IASBNormalnparaL1"/>
        <w:rPr>
          <w:b/>
          <w:szCs w:val="19"/>
        </w:rPr>
      </w:pPr>
      <w:r>
        <w:rPr>
          <w:b/>
          <w:szCs w:val="19"/>
        </w:rPr>
        <w:t>(a)</w:t>
      </w:r>
      <w:r>
        <w:rPr>
          <w:b/>
          <w:szCs w:val="19"/>
        </w:rPr>
        <w:tab/>
      </w:r>
      <w:r w:rsidR="00413C36" w:rsidRPr="0049458C">
        <w:rPr>
          <w:b/>
          <w:szCs w:val="19"/>
        </w:rPr>
        <w:t>that management has concluded that the financial statements present fairly the entity’s financial position, financial performance and cash flows;</w:t>
      </w:r>
    </w:p>
    <w:p w14:paraId="1FCDB91B" w14:textId="275CD0CC" w:rsidR="00413C36" w:rsidRPr="0049458C" w:rsidRDefault="002223AA" w:rsidP="002223AA">
      <w:pPr>
        <w:pStyle w:val="IASBNormalnparaL1"/>
        <w:rPr>
          <w:b/>
          <w:szCs w:val="19"/>
        </w:rPr>
      </w:pPr>
      <w:r>
        <w:rPr>
          <w:b/>
          <w:szCs w:val="19"/>
        </w:rPr>
        <w:t>(b)</w:t>
      </w:r>
      <w:r>
        <w:rPr>
          <w:b/>
          <w:szCs w:val="19"/>
        </w:rPr>
        <w:tab/>
      </w:r>
      <w:r w:rsidR="00413C36" w:rsidRPr="0049458C">
        <w:rPr>
          <w:b/>
          <w:szCs w:val="19"/>
        </w:rPr>
        <w:t>that it has complied with applicable Australian Accounting Standards, except that it has departed from a particular requirement to achieve a fair presentation;</w:t>
      </w:r>
    </w:p>
    <w:p w14:paraId="3242FC87" w14:textId="7CCD59DF" w:rsidR="00413C36" w:rsidRPr="0049458C" w:rsidRDefault="002223AA" w:rsidP="002223AA">
      <w:pPr>
        <w:pStyle w:val="IASBNormalnparaL1"/>
        <w:rPr>
          <w:b/>
          <w:szCs w:val="19"/>
        </w:rPr>
      </w:pPr>
      <w:r>
        <w:rPr>
          <w:b/>
          <w:szCs w:val="19"/>
        </w:rPr>
        <w:t>(c)</w:t>
      </w:r>
      <w:r>
        <w:rPr>
          <w:b/>
          <w:szCs w:val="19"/>
        </w:rPr>
        <w:tab/>
      </w:r>
      <w:r w:rsidR="00413C36" w:rsidRPr="0049458C">
        <w:rPr>
          <w:b/>
          <w:szCs w:val="19"/>
        </w:rPr>
        <w:t xml:space="preserve">the title of the Australian Accounting Standard from which the entity has departed, the nature of the departure, including the treatment that the Australian Accounting Standard would require, the reason why that treatment would be so misleading in the circumstances that it would conflict with the objective of financial statements set out in the </w:t>
      </w:r>
      <w:r w:rsidR="00413C36" w:rsidRPr="0049458C">
        <w:rPr>
          <w:b/>
          <w:i/>
          <w:strike/>
          <w:szCs w:val="19"/>
        </w:rPr>
        <w:t>Framework</w:t>
      </w:r>
      <w:r w:rsidR="005C4A2A">
        <w:rPr>
          <w:b/>
          <w:i/>
          <w:strike/>
          <w:szCs w:val="19"/>
        </w:rPr>
        <w:t xml:space="preserve"> </w:t>
      </w:r>
      <w:r w:rsidR="00413C36" w:rsidRPr="0049458C">
        <w:rPr>
          <w:b/>
          <w:i/>
          <w:szCs w:val="19"/>
          <w:u w:val="single"/>
        </w:rPr>
        <w:t>Conceptual Framework</w:t>
      </w:r>
      <w:r w:rsidR="00413C36" w:rsidRPr="0049458C">
        <w:rPr>
          <w:b/>
          <w:szCs w:val="19"/>
        </w:rPr>
        <w:t>, and the treatment adopted; and</w:t>
      </w:r>
    </w:p>
    <w:p w14:paraId="4EDE97F7" w14:textId="0570A0EA" w:rsidR="00413C36" w:rsidRPr="0049458C" w:rsidRDefault="002223AA" w:rsidP="002223AA">
      <w:pPr>
        <w:pStyle w:val="IASBNormalnparaL1"/>
        <w:rPr>
          <w:b/>
          <w:szCs w:val="19"/>
        </w:rPr>
      </w:pPr>
      <w:r>
        <w:rPr>
          <w:b/>
          <w:szCs w:val="19"/>
        </w:rPr>
        <w:t>(d)</w:t>
      </w:r>
      <w:r>
        <w:rPr>
          <w:b/>
          <w:szCs w:val="19"/>
        </w:rPr>
        <w:tab/>
      </w:r>
      <w:r w:rsidR="00413C36" w:rsidRPr="0049458C">
        <w:rPr>
          <w:b/>
          <w:szCs w:val="19"/>
        </w:rPr>
        <w:t>for each period presented, the financial effect of the departure on each item in the financial statements that would have been reported in complying with the requirement.</w:t>
      </w:r>
    </w:p>
    <w:p w14:paraId="4F4A7F54" w14:textId="6D54B746" w:rsidR="00413C36" w:rsidRPr="0049458C" w:rsidRDefault="00413C36" w:rsidP="002223AA">
      <w:pPr>
        <w:pStyle w:val="IASBNormalnpara"/>
        <w:rPr>
          <w:b/>
          <w:szCs w:val="19"/>
          <w:u w:val="single"/>
        </w:rPr>
      </w:pPr>
      <w:r w:rsidRPr="0049458C">
        <w:rPr>
          <w:b/>
          <w:szCs w:val="19"/>
          <w:u w:val="single"/>
        </w:rPr>
        <w:t>AusCF20</w:t>
      </w:r>
      <w:r w:rsidRPr="0049458C">
        <w:rPr>
          <w:b/>
          <w:szCs w:val="19"/>
        </w:rPr>
        <w:tab/>
      </w:r>
      <w:r w:rsidR="002223AA">
        <w:rPr>
          <w:b/>
          <w:szCs w:val="19"/>
        </w:rPr>
        <w:tab/>
      </w:r>
      <w:r w:rsidRPr="0049458C">
        <w:rPr>
          <w:b/>
          <w:szCs w:val="19"/>
          <w:u w:val="single"/>
        </w:rPr>
        <w:t xml:space="preserve">Notwithstanding paragraph 20, in respect of AusCF entities, when an entity departs from a requirement of an Australian Accounting Standard in accordance with paragraph </w:t>
      </w:r>
      <w:r w:rsidR="000030C7">
        <w:rPr>
          <w:b/>
          <w:szCs w:val="19"/>
          <w:u w:val="single"/>
        </w:rPr>
        <w:t>AusCF</w:t>
      </w:r>
      <w:r w:rsidRPr="0049458C">
        <w:rPr>
          <w:b/>
          <w:szCs w:val="19"/>
          <w:u w:val="single"/>
        </w:rPr>
        <w:t>19, it shall disclose:</w:t>
      </w:r>
    </w:p>
    <w:p w14:paraId="7803A7E2" w14:textId="3ED2061F" w:rsidR="00413C36" w:rsidRPr="0049458C" w:rsidRDefault="002223AA" w:rsidP="002223AA">
      <w:pPr>
        <w:pStyle w:val="IASBNormalnparaL1"/>
        <w:rPr>
          <w:b/>
          <w:szCs w:val="19"/>
          <w:u w:val="single"/>
        </w:rPr>
      </w:pPr>
      <w:r>
        <w:rPr>
          <w:b/>
          <w:szCs w:val="19"/>
          <w:u w:val="single"/>
        </w:rPr>
        <w:t>(a)</w:t>
      </w:r>
      <w:r>
        <w:rPr>
          <w:b/>
          <w:szCs w:val="19"/>
          <w:u w:val="single"/>
        </w:rPr>
        <w:tab/>
      </w:r>
      <w:r w:rsidR="00413C36" w:rsidRPr="0049458C">
        <w:rPr>
          <w:b/>
          <w:szCs w:val="19"/>
          <w:u w:val="single"/>
        </w:rPr>
        <w:t>that management has concluded that the financial statements present fairly the entity’s financial position, financial performance and cash flows;</w:t>
      </w:r>
    </w:p>
    <w:p w14:paraId="3F4C784C" w14:textId="78F24432" w:rsidR="00413C36" w:rsidRPr="0049458C" w:rsidRDefault="002223AA" w:rsidP="002223AA">
      <w:pPr>
        <w:pStyle w:val="IASBNormalnparaL1"/>
        <w:rPr>
          <w:b/>
          <w:szCs w:val="19"/>
          <w:u w:val="single"/>
        </w:rPr>
      </w:pPr>
      <w:r>
        <w:rPr>
          <w:b/>
          <w:szCs w:val="19"/>
          <w:u w:val="single"/>
        </w:rPr>
        <w:t>(b)</w:t>
      </w:r>
      <w:r>
        <w:rPr>
          <w:b/>
          <w:szCs w:val="19"/>
          <w:u w:val="single"/>
        </w:rPr>
        <w:tab/>
      </w:r>
      <w:r w:rsidR="00413C36" w:rsidRPr="0049458C">
        <w:rPr>
          <w:b/>
          <w:szCs w:val="19"/>
          <w:u w:val="single"/>
        </w:rPr>
        <w:t>that it has complied with applicable Australian Accounting Standards, except that it has departed from a particular requirement to achieve a fair presentation;</w:t>
      </w:r>
    </w:p>
    <w:p w14:paraId="73AFC45D" w14:textId="51FA1EE6" w:rsidR="00413C36" w:rsidRPr="0049458C" w:rsidRDefault="002223AA" w:rsidP="002223AA">
      <w:pPr>
        <w:pStyle w:val="IASBNormalnparaL1"/>
        <w:rPr>
          <w:b/>
          <w:szCs w:val="19"/>
          <w:u w:val="single"/>
        </w:rPr>
      </w:pPr>
      <w:r>
        <w:rPr>
          <w:b/>
          <w:szCs w:val="19"/>
          <w:u w:val="single"/>
        </w:rPr>
        <w:t>(c)</w:t>
      </w:r>
      <w:r>
        <w:rPr>
          <w:b/>
          <w:szCs w:val="19"/>
          <w:u w:val="single"/>
        </w:rPr>
        <w:tab/>
      </w:r>
      <w:r w:rsidR="00413C36" w:rsidRPr="0049458C">
        <w:rPr>
          <w:b/>
          <w:szCs w:val="19"/>
          <w:u w:val="single"/>
        </w:rPr>
        <w:t xml:space="preserve">the title of the Australian Accounting Standard from which the entity has departed, the nature of the departure, including the treatment that the Australian Accounting Standard would require, the reason why that treatment would be so misleading in the circumstances that it would conflict with the objective of financial statements set out in the </w:t>
      </w:r>
      <w:r w:rsidR="00413C36" w:rsidRPr="0049458C">
        <w:rPr>
          <w:b/>
          <w:i/>
          <w:szCs w:val="19"/>
          <w:u w:val="single"/>
        </w:rPr>
        <w:t>Framework</w:t>
      </w:r>
      <w:r w:rsidR="00413C36" w:rsidRPr="0049458C">
        <w:rPr>
          <w:b/>
          <w:szCs w:val="19"/>
          <w:u w:val="single"/>
        </w:rPr>
        <w:t>, and the treatment adopted; and</w:t>
      </w:r>
    </w:p>
    <w:p w14:paraId="390D0BF0" w14:textId="15814AB6" w:rsidR="00413C36" w:rsidRPr="0049458C" w:rsidRDefault="002223AA" w:rsidP="002223AA">
      <w:pPr>
        <w:pStyle w:val="IASBNormalnparaL1"/>
        <w:rPr>
          <w:b/>
          <w:szCs w:val="19"/>
          <w:u w:val="single"/>
        </w:rPr>
      </w:pPr>
      <w:r>
        <w:rPr>
          <w:b/>
          <w:szCs w:val="19"/>
          <w:u w:val="single"/>
        </w:rPr>
        <w:t>(d)</w:t>
      </w:r>
      <w:r>
        <w:rPr>
          <w:b/>
          <w:szCs w:val="19"/>
          <w:u w:val="single"/>
        </w:rPr>
        <w:tab/>
      </w:r>
      <w:r w:rsidR="00413C36" w:rsidRPr="0049458C">
        <w:rPr>
          <w:b/>
          <w:szCs w:val="19"/>
          <w:u w:val="single"/>
        </w:rPr>
        <w:t>for each period presented, the financial effect of the departure on each item in the financial statements that would have been reported in complying with the requirement.</w:t>
      </w:r>
    </w:p>
    <w:p w14:paraId="448FBC3F" w14:textId="77777777" w:rsidR="00413C36" w:rsidRPr="0049458C" w:rsidRDefault="00413C36" w:rsidP="00C87FAF">
      <w:pPr>
        <w:autoSpaceDE w:val="0"/>
        <w:autoSpaceDN w:val="0"/>
        <w:adjustRightInd w:val="0"/>
        <w:spacing w:before="100"/>
        <w:ind w:left="709" w:hanging="709"/>
        <w:rPr>
          <w:szCs w:val="19"/>
        </w:rPr>
      </w:pPr>
      <w:r w:rsidRPr="0049458C">
        <w:rPr>
          <w:szCs w:val="19"/>
        </w:rPr>
        <w:t>…</w:t>
      </w:r>
    </w:p>
    <w:p w14:paraId="76EFDA3B" w14:textId="77777777" w:rsidR="00413C36" w:rsidRPr="0049458C" w:rsidRDefault="00413C36" w:rsidP="002223AA">
      <w:pPr>
        <w:pStyle w:val="IASBNormalnpara"/>
        <w:rPr>
          <w:b/>
          <w:szCs w:val="19"/>
        </w:rPr>
      </w:pPr>
      <w:r w:rsidRPr="0049458C">
        <w:rPr>
          <w:b/>
          <w:szCs w:val="19"/>
        </w:rPr>
        <w:t>23</w:t>
      </w:r>
      <w:r w:rsidRPr="0049458C">
        <w:rPr>
          <w:b/>
          <w:szCs w:val="19"/>
        </w:rPr>
        <w:tab/>
        <w:t xml:space="preserve">In the extremely rare circumstances in which management concludes that compliance with a requirement in an Australian Accounting Standard would be so misleading that it would conflict with the objective of financial statements set out in the </w:t>
      </w:r>
      <w:r w:rsidRPr="0049458C">
        <w:rPr>
          <w:b/>
          <w:i/>
          <w:strike/>
          <w:szCs w:val="19"/>
        </w:rPr>
        <w:t>Framework</w:t>
      </w:r>
      <w:r w:rsidR="005C4A2A">
        <w:rPr>
          <w:b/>
          <w:i/>
          <w:strike/>
          <w:szCs w:val="19"/>
        </w:rPr>
        <w:t xml:space="preserve"> </w:t>
      </w:r>
      <w:r w:rsidRPr="0049458C">
        <w:rPr>
          <w:b/>
          <w:i/>
          <w:szCs w:val="19"/>
          <w:u w:val="single"/>
        </w:rPr>
        <w:t>Conceptual Framework</w:t>
      </w:r>
      <w:r w:rsidRPr="0049458C">
        <w:rPr>
          <w:b/>
          <w:szCs w:val="19"/>
        </w:rPr>
        <w:t>, but the relevant regulatory framework prohibits departure from the requirement, the entity shall, to the maximum extent possible, reduce the perceived misleading aspects of compliance by disclosing:</w:t>
      </w:r>
    </w:p>
    <w:p w14:paraId="6A940E34" w14:textId="2E7E6F17" w:rsidR="00413C36" w:rsidRPr="0049458C" w:rsidRDefault="002223AA" w:rsidP="002223AA">
      <w:pPr>
        <w:pStyle w:val="IASBNormalnparaL1"/>
        <w:rPr>
          <w:b/>
          <w:szCs w:val="19"/>
        </w:rPr>
      </w:pPr>
      <w:r>
        <w:rPr>
          <w:b/>
          <w:szCs w:val="19"/>
        </w:rPr>
        <w:t>(a)</w:t>
      </w:r>
      <w:r>
        <w:rPr>
          <w:b/>
          <w:szCs w:val="19"/>
        </w:rPr>
        <w:tab/>
      </w:r>
      <w:r w:rsidR="00413C36" w:rsidRPr="0049458C">
        <w:rPr>
          <w:b/>
          <w:szCs w:val="19"/>
        </w:rPr>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00413C36" w:rsidRPr="0049458C">
        <w:rPr>
          <w:b/>
          <w:i/>
          <w:strike/>
          <w:szCs w:val="19"/>
        </w:rPr>
        <w:t>Framework</w:t>
      </w:r>
      <w:r w:rsidR="005C4A2A">
        <w:rPr>
          <w:b/>
          <w:i/>
          <w:strike/>
          <w:szCs w:val="19"/>
        </w:rPr>
        <w:t xml:space="preserve"> </w:t>
      </w:r>
      <w:r w:rsidR="00413C36" w:rsidRPr="0049458C">
        <w:rPr>
          <w:b/>
          <w:i/>
          <w:szCs w:val="19"/>
          <w:u w:val="single"/>
        </w:rPr>
        <w:t>Conceptual Framework</w:t>
      </w:r>
      <w:r w:rsidR="00413C36" w:rsidRPr="0049458C">
        <w:rPr>
          <w:b/>
          <w:szCs w:val="19"/>
        </w:rPr>
        <w:t>; and</w:t>
      </w:r>
    </w:p>
    <w:p w14:paraId="4CF1DBFF" w14:textId="5D2C225A" w:rsidR="00413C36" w:rsidRPr="0049458C" w:rsidRDefault="002223AA" w:rsidP="002223AA">
      <w:pPr>
        <w:pStyle w:val="IASBNormalnparaL1"/>
        <w:rPr>
          <w:b/>
          <w:szCs w:val="19"/>
        </w:rPr>
      </w:pPr>
      <w:r>
        <w:rPr>
          <w:b/>
          <w:szCs w:val="19"/>
        </w:rPr>
        <w:t>(b)</w:t>
      </w:r>
      <w:r>
        <w:rPr>
          <w:b/>
          <w:szCs w:val="19"/>
        </w:rPr>
        <w:tab/>
      </w:r>
      <w:r w:rsidR="00413C36" w:rsidRPr="0049458C">
        <w:rPr>
          <w:b/>
          <w:szCs w:val="19"/>
        </w:rPr>
        <w:t>for each period presented, the adjustments to each item in the financial statements that management has concluded would be necessary to achieve a fair presentation.</w:t>
      </w:r>
    </w:p>
    <w:p w14:paraId="7120E026" w14:textId="638E54E0" w:rsidR="00413C36" w:rsidRPr="0049458C" w:rsidRDefault="00413C36" w:rsidP="002223AA">
      <w:pPr>
        <w:pStyle w:val="IASBNormalnpara"/>
        <w:rPr>
          <w:b/>
          <w:szCs w:val="19"/>
          <w:u w:val="single"/>
        </w:rPr>
      </w:pPr>
      <w:r w:rsidRPr="0049458C">
        <w:rPr>
          <w:b/>
          <w:szCs w:val="19"/>
          <w:u w:val="single"/>
        </w:rPr>
        <w:t>AusCF23</w:t>
      </w:r>
      <w:r w:rsidRPr="0049458C">
        <w:rPr>
          <w:b/>
          <w:szCs w:val="19"/>
        </w:rPr>
        <w:tab/>
      </w:r>
      <w:r w:rsidR="002223AA">
        <w:rPr>
          <w:b/>
          <w:szCs w:val="19"/>
        </w:rPr>
        <w:tab/>
      </w:r>
      <w:r w:rsidRPr="0049458C">
        <w:rPr>
          <w:b/>
          <w:szCs w:val="19"/>
          <w:u w:val="single"/>
        </w:rPr>
        <w:t xml:space="preserve">Notwithstanding paragraph 23, in respect of AusCF entities, in the extremely rare circumstances in which management concludes that compliance with a requirement in an Australian Accounting Standard would be so misleading that it would conflict with the objective of financial statements set out in the </w:t>
      </w:r>
      <w:r w:rsidRPr="0049458C">
        <w:rPr>
          <w:b/>
          <w:i/>
          <w:szCs w:val="19"/>
          <w:u w:val="single"/>
        </w:rPr>
        <w:t>Framework</w:t>
      </w:r>
      <w:r w:rsidRPr="0049458C">
        <w:rPr>
          <w:b/>
          <w:szCs w:val="19"/>
          <w:u w:val="single"/>
        </w:rPr>
        <w:t>, but the relevant regulatory framework prohibits departure from the requirement, the entity shall, to the maximum extent possible, reduce the perceived misleading aspects of compliance by disclosing:</w:t>
      </w:r>
    </w:p>
    <w:p w14:paraId="1544135C" w14:textId="72161A91" w:rsidR="00413C36" w:rsidRPr="0049458C" w:rsidRDefault="002223AA" w:rsidP="002223AA">
      <w:pPr>
        <w:pStyle w:val="IASBNormalnparaL1"/>
        <w:rPr>
          <w:b/>
          <w:szCs w:val="19"/>
          <w:u w:val="single"/>
        </w:rPr>
      </w:pPr>
      <w:r>
        <w:rPr>
          <w:b/>
          <w:szCs w:val="19"/>
          <w:u w:val="single"/>
        </w:rPr>
        <w:t>(a)</w:t>
      </w:r>
      <w:r>
        <w:rPr>
          <w:b/>
          <w:szCs w:val="19"/>
          <w:u w:val="single"/>
        </w:rPr>
        <w:tab/>
      </w:r>
      <w:r w:rsidR="00413C36" w:rsidRPr="0049458C">
        <w:rPr>
          <w:b/>
          <w:szCs w:val="19"/>
          <w:u w:val="single"/>
        </w:rPr>
        <w:t xml:space="preserve">the title of the Australian Accounting Standard in question, the nature of the requirement, and the reason why management has concluded that complying with that requirement is so misleading in the circumstances that it conflicts with the objective of financial statements set out in the </w:t>
      </w:r>
      <w:r w:rsidR="00413C36" w:rsidRPr="0049458C">
        <w:rPr>
          <w:b/>
          <w:i/>
          <w:szCs w:val="19"/>
          <w:u w:val="single"/>
        </w:rPr>
        <w:t>Framework</w:t>
      </w:r>
      <w:r w:rsidR="00413C36" w:rsidRPr="0049458C">
        <w:rPr>
          <w:b/>
          <w:szCs w:val="19"/>
          <w:u w:val="single"/>
        </w:rPr>
        <w:t>; and</w:t>
      </w:r>
    </w:p>
    <w:p w14:paraId="6FA76625" w14:textId="68A513FA" w:rsidR="00413C36" w:rsidRPr="0049458C" w:rsidRDefault="002223AA" w:rsidP="002223AA">
      <w:pPr>
        <w:pStyle w:val="IASBNormalnparaL1"/>
        <w:rPr>
          <w:b/>
          <w:szCs w:val="19"/>
          <w:u w:val="single"/>
        </w:rPr>
      </w:pPr>
      <w:r>
        <w:rPr>
          <w:b/>
          <w:szCs w:val="19"/>
          <w:u w:val="single"/>
        </w:rPr>
        <w:t>(b)</w:t>
      </w:r>
      <w:r>
        <w:rPr>
          <w:b/>
          <w:szCs w:val="19"/>
          <w:u w:val="single"/>
        </w:rPr>
        <w:tab/>
      </w:r>
      <w:r w:rsidR="00413C36" w:rsidRPr="0049458C">
        <w:rPr>
          <w:b/>
          <w:szCs w:val="19"/>
          <w:u w:val="single"/>
        </w:rPr>
        <w:t>for each period presented, the adjustments to each item in the financial statements that management has concluded would be necessary to achieve a fair presentation.</w:t>
      </w:r>
    </w:p>
    <w:p w14:paraId="07DD332F" w14:textId="77777777" w:rsidR="00413C36" w:rsidRPr="0049458C" w:rsidRDefault="00413C36" w:rsidP="002223AA">
      <w:pPr>
        <w:pStyle w:val="IASBNormalnpara"/>
        <w:rPr>
          <w:szCs w:val="19"/>
        </w:rPr>
      </w:pPr>
      <w:r w:rsidRPr="0049458C">
        <w:rPr>
          <w:szCs w:val="19"/>
        </w:rPr>
        <w:t>24</w:t>
      </w:r>
      <w:r w:rsidRPr="0049458C">
        <w:rPr>
          <w:szCs w:val="19"/>
        </w:rPr>
        <w:tab/>
        <w:t>For the purpose of paragraphs 19–23, an item of information would conflict with the objective of financial statements when it does not represent faithfully the transactions, other events and conditions that it either purports to represent or could reasonably be expected to represent and, consequently, it would be likely to influence economic decisions made by users of financial statements</w:t>
      </w:r>
      <w:r w:rsidR="00403EB9" w:rsidRPr="0049458C">
        <w:rPr>
          <w:szCs w:val="19"/>
        </w:rPr>
        <w:t xml:space="preserve">.  </w:t>
      </w:r>
      <w:r w:rsidRPr="0049458C">
        <w:rPr>
          <w:szCs w:val="19"/>
        </w:rPr>
        <w:t xml:space="preserve">When assessing whether complying with a specific requirement in an Australian Accounting Standard would be so misleading that it would conflict with the objective of financial statements set out in the </w:t>
      </w:r>
      <w:r w:rsidRPr="0049458C">
        <w:rPr>
          <w:i/>
          <w:strike/>
          <w:szCs w:val="19"/>
        </w:rPr>
        <w:t>Framework</w:t>
      </w:r>
      <w:r w:rsidR="005C4A2A">
        <w:rPr>
          <w:i/>
          <w:strike/>
          <w:szCs w:val="19"/>
        </w:rPr>
        <w:t xml:space="preserve"> </w:t>
      </w:r>
      <w:r w:rsidRPr="0049458C">
        <w:rPr>
          <w:i/>
          <w:szCs w:val="19"/>
          <w:u w:val="single"/>
        </w:rPr>
        <w:t>Conceptual Framework</w:t>
      </w:r>
      <w:r w:rsidRPr="0049458C">
        <w:rPr>
          <w:szCs w:val="19"/>
        </w:rPr>
        <w:t>, management considers:</w:t>
      </w:r>
    </w:p>
    <w:p w14:paraId="4C01452D" w14:textId="1C6CBF2B" w:rsidR="00413C36" w:rsidRPr="0049458C" w:rsidRDefault="002223AA" w:rsidP="002223AA">
      <w:pPr>
        <w:pStyle w:val="IASBNormalnparaL1"/>
        <w:rPr>
          <w:szCs w:val="19"/>
        </w:rPr>
      </w:pPr>
      <w:r>
        <w:rPr>
          <w:szCs w:val="19"/>
        </w:rPr>
        <w:t>(a)</w:t>
      </w:r>
      <w:r>
        <w:rPr>
          <w:szCs w:val="19"/>
        </w:rPr>
        <w:tab/>
      </w:r>
      <w:r w:rsidR="00413C36" w:rsidRPr="0049458C">
        <w:rPr>
          <w:szCs w:val="19"/>
        </w:rPr>
        <w:t>why the objective of financial statements is not achieved in the particular circumstances; and</w:t>
      </w:r>
    </w:p>
    <w:p w14:paraId="67C7A48A" w14:textId="144B6B79" w:rsidR="00413C36" w:rsidRPr="0049458C" w:rsidRDefault="002223AA" w:rsidP="002223AA">
      <w:pPr>
        <w:pStyle w:val="IASBNormalnparaL1"/>
        <w:rPr>
          <w:szCs w:val="19"/>
        </w:rPr>
      </w:pPr>
      <w:r>
        <w:rPr>
          <w:szCs w:val="19"/>
        </w:rPr>
        <w:t>(b)</w:t>
      </w:r>
      <w:r>
        <w:rPr>
          <w:szCs w:val="19"/>
        </w:rPr>
        <w:tab/>
      </w:r>
      <w:r w:rsidR="00413C36" w:rsidRPr="0049458C">
        <w:rPr>
          <w:szCs w:val="19"/>
        </w:rPr>
        <w:t>how the entity’s circumstances differ from those of other entities that comply with the requirement</w:t>
      </w:r>
      <w:r w:rsidR="00403EB9" w:rsidRPr="0049458C">
        <w:rPr>
          <w:szCs w:val="19"/>
        </w:rPr>
        <w:t xml:space="preserve">.  </w:t>
      </w:r>
      <w:r w:rsidR="00413C36" w:rsidRPr="0049458C">
        <w:rPr>
          <w:szCs w:val="19"/>
        </w:rPr>
        <w:t xml:space="preserve">If other entities in similar circumstances comply with the requirement, there is a rebuttable presumption that the entity’s compliance with the requirement would not be so misleading that it would conflict with the objective of financial statements set out in the </w:t>
      </w:r>
      <w:r w:rsidR="00413C36" w:rsidRPr="0049458C">
        <w:rPr>
          <w:i/>
          <w:strike/>
          <w:szCs w:val="19"/>
        </w:rPr>
        <w:t>Framework</w:t>
      </w:r>
      <w:r w:rsidR="005C4A2A">
        <w:rPr>
          <w:i/>
          <w:strike/>
          <w:szCs w:val="19"/>
        </w:rPr>
        <w:t xml:space="preserve"> </w:t>
      </w:r>
      <w:r w:rsidR="00413C36" w:rsidRPr="0049458C">
        <w:rPr>
          <w:i/>
          <w:szCs w:val="19"/>
          <w:u w:val="single"/>
        </w:rPr>
        <w:t>Conceptual Framework</w:t>
      </w:r>
      <w:r w:rsidR="00413C36" w:rsidRPr="0049458C">
        <w:rPr>
          <w:szCs w:val="19"/>
        </w:rPr>
        <w:t>.</w:t>
      </w:r>
    </w:p>
    <w:p w14:paraId="2F432E57" w14:textId="52EF9BD5" w:rsidR="00413C36" w:rsidRPr="0049458C" w:rsidRDefault="00413C36" w:rsidP="002223AA">
      <w:pPr>
        <w:pStyle w:val="IASBNormalnpara"/>
        <w:rPr>
          <w:szCs w:val="19"/>
          <w:u w:val="single"/>
        </w:rPr>
      </w:pPr>
      <w:r w:rsidRPr="0049458C">
        <w:rPr>
          <w:szCs w:val="19"/>
          <w:u w:val="single"/>
        </w:rPr>
        <w:t>AusCF24</w:t>
      </w:r>
      <w:r w:rsidRPr="0049458C">
        <w:rPr>
          <w:szCs w:val="19"/>
        </w:rPr>
        <w:tab/>
      </w:r>
      <w:r w:rsidR="002223AA">
        <w:rPr>
          <w:szCs w:val="19"/>
        </w:rPr>
        <w:tab/>
      </w:r>
      <w:r w:rsidRPr="0049458C">
        <w:rPr>
          <w:szCs w:val="19"/>
          <w:u w:val="single"/>
        </w:rPr>
        <w:t xml:space="preserve">Notwithstanding paragraph 24, in respect of AusCF entities, for the purpose of paragraphs </w:t>
      </w:r>
      <w:r w:rsidR="00E71C53">
        <w:rPr>
          <w:szCs w:val="19"/>
          <w:u w:val="single"/>
        </w:rPr>
        <w:t>AusCF</w:t>
      </w:r>
      <w:r w:rsidRPr="0049458C">
        <w:rPr>
          <w:szCs w:val="19"/>
          <w:u w:val="single"/>
        </w:rPr>
        <w:t>19–</w:t>
      </w:r>
      <w:r w:rsidR="00E71C53">
        <w:rPr>
          <w:szCs w:val="19"/>
          <w:u w:val="single"/>
        </w:rPr>
        <w:t>AusCF</w:t>
      </w:r>
      <w:r w:rsidRPr="0049458C">
        <w:rPr>
          <w:szCs w:val="19"/>
          <w:u w:val="single"/>
        </w:rPr>
        <w:t>23, an item of information would conflict with the objective of financial statements when it does not represent faithfully the transactions, other events and conditions that it either purports to represent or could reasonably be expected to represent and, consequently, it would be likely to influence economic decisions made by users of financial statements</w:t>
      </w:r>
      <w:r w:rsidR="00403EB9" w:rsidRPr="0049458C">
        <w:rPr>
          <w:szCs w:val="19"/>
          <w:u w:val="single"/>
        </w:rPr>
        <w:t xml:space="preserve">.  </w:t>
      </w:r>
      <w:r w:rsidRPr="0049458C">
        <w:rPr>
          <w:szCs w:val="19"/>
          <w:u w:val="single"/>
        </w:rPr>
        <w:t xml:space="preserve">When assessing whether complying with a specific requirement in an Australian Accounting Standard would be so misleading that it would conflict with the objective of financial statements set out in the </w:t>
      </w:r>
      <w:r w:rsidRPr="0049458C">
        <w:rPr>
          <w:i/>
          <w:szCs w:val="19"/>
          <w:u w:val="single"/>
        </w:rPr>
        <w:t>Framework</w:t>
      </w:r>
      <w:r w:rsidRPr="0049458C">
        <w:rPr>
          <w:szCs w:val="19"/>
          <w:u w:val="single"/>
        </w:rPr>
        <w:t>, management considers:</w:t>
      </w:r>
    </w:p>
    <w:p w14:paraId="3F559D0B" w14:textId="3A0C4BC9" w:rsidR="00413C36" w:rsidRPr="0049458C" w:rsidRDefault="002223AA" w:rsidP="002223AA">
      <w:pPr>
        <w:pStyle w:val="IASBNormalnparaL1"/>
        <w:rPr>
          <w:szCs w:val="19"/>
          <w:u w:val="single"/>
        </w:rPr>
      </w:pPr>
      <w:r>
        <w:rPr>
          <w:szCs w:val="19"/>
          <w:u w:val="single"/>
        </w:rPr>
        <w:t>(a)</w:t>
      </w:r>
      <w:r>
        <w:rPr>
          <w:szCs w:val="19"/>
          <w:u w:val="single"/>
        </w:rPr>
        <w:tab/>
      </w:r>
      <w:r w:rsidR="00413C36" w:rsidRPr="0049458C">
        <w:rPr>
          <w:szCs w:val="19"/>
          <w:u w:val="single"/>
        </w:rPr>
        <w:t>why the objective of financial statements is not achieved in the particular circumstances; and</w:t>
      </w:r>
    </w:p>
    <w:p w14:paraId="527675E1" w14:textId="175A9242" w:rsidR="00413C36" w:rsidRPr="0049458C" w:rsidRDefault="002223AA" w:rsidP="002223AA">
      <w:pPr>
        <w:pStyle w:val="IASBNormalnparaL1"/>
        <w:rPr>
          <w:szCs w:val="19"/>
          <w:u w:val="single"/>
        </w:rPr>
      </w:pPr>
      <w:r>
        <w:rPr>
          <w:szCs w:val="19"/>
          <w:u w:val="single"/>
        </w:rPr>
        <w:t>(b)</w:t>
      </w:r>
      <w:r>
        <w:rPr>
          <w:szCs w:val="19"/>
          <w:u w:val="single"/>
        </w:rPr>
        <w:tab/>
      </w:r>
      <w:r w:rsidR="00413C36" w:rsidRPr="0049458C">
        <w:rPr>
          <w:szCs w:val="19"/>
          <w:u w:val="single"/>
        </w:rPr>
        <w:t>how the entity’s circumstances differ from those of other entities that comply with the requirement</w:t>
      </w:r>
      <w:r w:rsidR="00403EB9" w:rsidRPr="0049458C">
        <w:rPr>
          <w:szCs w:val="19"/>
          <w:u w:val="single"/>
        </w:rPr>
        <w:t xml:space="preserve">.  </w:t>
      </w:r>
      <w:r w:rsidR="00413C36" w:rsidRPr="0049458C">
        <w:rPr>
          <w:szCs w:val="19"/>
          <w:u w:val="single"/>
        </w:rPr>
        <w:t xml:space="preserve">If other entities in similar circumstances comply with the requirement, there is a rebuttable presumption that the entity’s compliance with the requirement would not be so misleading that it would conflict with the objective of financial statements set out in the </w:t>
      </w:r>
      <w:r w:rsidR="00413C36" w:rsidRPr="0049458C">
        <w:rPr>
          <w:i/>
          <w:szCs w:val="19"/>
          <w:u w:val="single"/>
        </w:rPr>
        <w:t>Framework</w:t>
      </w:r>
      <w:r w:rsidR="00413C36" w:rsidRPr="0049458C">
        <w:rPr>
          <w:szCs w:val="19"/>
          <w:u w:val="single"/>
        </w:rPr>
        <w:t>.</w:t>
      </w:r>
    </w:p>
    <w:p w14:paraId="25950C23" w14:textId="77777777" w:rsidR="00413C36" w:rsidRPr="0049458C" w:rsidRDefault="00413C36" w:rsidP="00C87FAF">
      <w:pPr>
        <w:autoSpaceDE w:val="0"/>
        <w:autoSpaceDN w:val="0"/>
        <w:adjustRightInd w:val="0"/>
        <w:spacing w:before="100"/>
        <w:ind w:left="708" w:hanging="708"/>
        <w:rPr>
          <w:szCs w:val="19"/>
        </w:rPr>
      </w:pPr>
      <w:r w:rsidRPr="0049458C">
        <w:rPr>
          <w:szCs w:val="19"/>
        </w:rPr>
        <w:t>…</w:t>
      </w:r>
    </w:p>
    <w:p w14:paraId="61FF548F" w14:textId="77777777" w:rsidR="00413C36" w:rsidRPr="00033D9F" w:rsidRDefault="00413C36" w:rsidP="002223AA">
      <w:pPr>
        <w:pStyle w:val="Heading1"/>
        <w:spacing w:before="100" w:after="0"/>
        <w:ind w:left="782"/>
        <w:jc w:val="both"/>
        <w:rPr>
          <w:sz w:val="22"/>
          <w:szCs w:val="22"/>
        </w:rPr>
      </w:pPr>
      <w:r w:rsidRPr="00033D9F">
        <w:rPr>
          <w:sz w:val="22"/>
          <w:szCs w:val="22"/>
        </w:rPr>
        <w:t>Accrual basis of accounting</w:t>
      </w:r>
    </w:p>
    <w:p w14:paraId="1B5BD47C" w14:textId="77777777" w:rsidR="00413C36" w:rsidRPr="0049458C" w:rsidRDefault="00413C36" w:rsidP="00C87FAF">
      <w:pPr>
        <w:autoSpaceDE w:val="0"/>
        <w:autoSpaceDN w:val="0"/>
        <w:adjustRightInd w:val="0"/>
        <w:ind w:left="708" w:hanging="708"/>
        <w:rPr>
          <w:szCs w:val="19"/>
        </w:rPr>
      </w:pPr>
      <w:r w:rsidRPr="0049458C">
        <w:rPr>
          <w:szCs w:val="19"/>
        </w:rPr>
        <w:t>…</w:t>
      </w:r>
    </w:p>
    <w:p w14:paraId="0BF9ABCC" w14:textId="77777777" w:rsidR="00413C36" w:rsidRPr="0049458C" w:rsidRDefault="00413C36" w:rsidP="002223AA">
      <w:pPr>
        <w:pStyle w:val="IASBNormalnpara"/>
        <w:rPr>
          <w:szCs w:val="19"/>
          <w:vertAlign w:val="superscript"/>
        </w:rPr>
      </w:pPr>
      <w:r w:rsidRPr="0049458C">
        <w:rPr>
          <w:szCs w:val="19"/>
        </w:rPr>
        <w:t>28</w:t>
      </w:r>
      <w:r w:rsidRPr="0049458C">
        <w:rPr>
          <w:szCs w:val="19"/>
        </w:rPr>
        <w:tab/>
        <w:t xml:space="preserve">When the accrual basis of accounting is used, an entity recognises items as assets, liabilities, equity, income and expenses (the elements of financial statements) when they satisfy the definitions and recognition criteria for those elements in the </w:t>
      </w:r>
      <w:r w:rsidRPr="0049458C">
        <w:rPr>
          <w:i/>
          <w:strike/>
          <w:szCs w:val="19"/>
        </w:rPr>
        <w:t>Framework</w:t>
      </w:r>
      <w:r w:rsidR="00C44614">
        <w:rPr>
          <w:i/>
          <w:strike/>
          <w:szCs w:val="19"/>
        </w:rPr>
        <w:t xml:space="preserve"> </w:t>
      </w:r>
      <w:r w:rsidRPr="0049458C">
        <w:rPr>
          <w:i/>
          <w:szCs w:val="19"/>
          <w:u w:val="single"/>
        </w:rPr>
        <w:t>Conceptual Framework</w:t>
      </w:r>
      <w:r w:rsidRPr="0049458C">
        <w:rPr>
          <w:szCs w:val="19"/>
        </w:rPr>
        <w:t>.</w:t>
      </w:r>
      <w:r w:rsidRPr="0049458C">
        <w:rPr>
          <w:strike/>
          <w:szCs w:val="19"/>
          <w:vertAlign w:val="superscript"/>
        </w:rPr>
        <w:t>4</w:t>
      </w:r>
    </w:p>
    <w:p w14:paraId="34658B6B" w14:textId="77777777" w:rsidR="00413C36" w:rsidRPr="0049458C" w:rsidRDefault="00413C36" w:rsidP="002223AA">
      <w:pPr>
        <w:pStyle w:val="IASBNormalnparaL1"/>
        <w:ind w:left="1491" w:hanging="709"/>
        <w:rPr>
          <w:strike/>
          <w:sz w:val="16"/>
          <w:szCs w:val="16"/>
        </w:rPr>
      </w:pPr>
      <w:r w:rsidRPr="005C4A2A">
        <w:rPr>
          <w:strike/>
          <w:sz w:val="16"/>
          <w:szCs w:val="16"/>
        </w:rPr>
        <w:t>4</w:t>
      </w:r>
      <w:r w:rsidRPr="00BB026C">
        <w:rPr>
          <w:sz w:val="16"/>
          <w:szCs w:val="16"/>
        </w:rPr>
        <w:tab/>
      </w:r>
      <w:r w:rsidRPr="0049458C">
        <w:rPr>
          <w:strike/>
          <w:sz w:val="16"/>
          <w:szCs w:val="16"/>
        </w:rPr>
        <w:t xml:space="preserve">The </w:t>
      </w:r>
      <w:r w:rsidRPr="0049458C">
        <w:rPr>
          <w:i/>
          <w:strike/>
          <w:sz w:val="16"/>
          <w:szCs w:val="16"/>
        </w:rPr>
        <w:t>Framework for the Preparation and Presentation of Financial Statements</w:t>
      </w:r>
      <w:r w:rsidRPr="0049458C">
        <w:rPr>
          <w:strike/>
          <w:sz w:val="16"/>
          <w:szCs w:val="16"/>
        </w:rPr>
        <w:t xml:space="preserve"> was amended by the AASB in December 2013.</w:t>
      </w:r>
    </w:p>
    <w:p w14:paraId="0AB720E5" w14:textId="5E1A0C63" w:rsidR="00413C36" w:rsidRPr="0049458C" w:rsidRDefault="00413C36" w:rsidP="00D67CD0">
      <w:pPr>
        <w:pStyle w:val="IASBNormalnpara"/>
        <w:rPr>
          <w:szCs w:val="19"/>
          <w:u w:val="single"/>
        </w:rPr>
      </w:pPr>
      <w:r w:rsidRPr="0049458C">
        <w:rPr>
          <w:szCs w:val="19"/>
          <w:u w:val="single"/>
        </w:rPr>
        <w:t>AusCF28</w:t>
      </w:r>
      <w:r w:rsidRPr="0049458C">
        <w:rPr>
          <w:szCs w:val="19"/>
        </w:rPr>
        <w:tab/>
      </w:r>
      <w:r w:rsidR="00D67CD0">
        <w:rPr>
          <w:szCs w:val="19"/>
        </w:rPr>
        <w:tab/>
      </w:r>
      <w:r w:rsidRPr="0049458C">
        <w:rPr>
          <w:szCs w:val="19"/>
          <w:u w:val="single"/>
        </w:rPr>
        <w:t xml:space="preserve">Notwithstanding paragraph 28, in respect of AusCF entities, when the accrual basis of accounting is used, an entity recognises items as assets, liabilities, equity, income and expenses (the elements of financial statements) when they satisfy the definitions and recognition criteria for those elements in the </w:t>
      </w:r>
      <w:r w:rsidRPr="0049458C">
        <w:rPr>
          <w:i/>
          <w:szCs w:val="19"/>
          <w:u w:val="single"/>
        </w:rPr>
        <w:t>Framework</w:t>
      </w:r>
      <w:r w:rsidRPr="0049458C">
        <w:rPr>
          <w:szCs w:val="19"/>
          <w:u w:val="single"/>
        </w:rPr>
        <w:t>.</w:t>
      </w:r>
      <w:r w:rsidR="00BB026C" w:rsidRPr="00D67CD0">
        <w:rPr>
          <w:szCs w:val="19"/>
          <w:u w:val="single"/>
          <w:vertAlign w:val="superscript"/>
        </w:rPr>
        <w:t>AusCF4</w:t>
      </w:r>
    </w:p>
    <w:p w14:paraId="700A7F02" w14:textId="77777777" w:rsidR="00413C36" w:rsidRPr="0049458C" w:rsidRDefault="00413C36" w:rsidP="00D67CD0">
      <w:pPr>
        <w:pStyle w:val="IASBNormalnparaL1"/>
        <w:ind w:left="1491" w:hanging="709"/>
        <w:rPr>
          <w:sz w:val="16"/>
          <w:szCs w:val="16"/>
          <w:u w:val="single"/>
        </w:rPr>
      </w:pPr>
      <w:r w:rsidRPr="0049458C">
        <w:rPr>
          <w:sz w:val="16"/>
          <w:szCs w:val="16"/>
          <w:u w:val="single"/>
        </w:rPr>
        <w:t>AusCF4</w:t>
      </w:r>
      <w:r w:rsidRPr="0049458C">
        <w:rPr>
          <w:sz w:val="16"/>
          <w:szCs w:val="16"/>
        </w:rPr>
        <w:tab/>
      </w:r>
      <w:r w:rsidRPr="0049458C">
        <w:rPr>
          <w:sz w:val="16"/>
          <w:szCs w:val="16"/>
          <w:u w:val="single"/>
        </w:rPr>
        <w:t xml:space="preserve">The </w:t>
      </w:r>
      <w:r w:rsidRPr="0049458C">
        <w:rPr>
          <w:i/>
          <w:sz w:val="16"/>
          <w:szCs w:val="16"/>
          <w:u w:val="single"/>
        </w:rPr>
        <w:t>Framework for the Preparation and Presentation of Financial Statements</w:t>
      </w:r>
      <w:r w:rsidRPr="0049458C">
        <w:rPr>
          <w:sz w:val="16"/>
          <w:szCs w:val="16"/>
          <w:u w:val="single"/>
        </w:rPr>
        <w:t xml:space="preserve"> was amended by the AASB in December 2013.</w:t>
      </w:r>
    </w:p>
    <w:p w14:paraId="5DB76D74" w14:textId="77777777" w:rsidR="00413C36" w:rsidRPr="0049458C" w:rsidRDefault="00413C36" w:rsidP="00C87FAF">
      <w:pPr>
        <w:autoSpaceDE w:val="0"/>
        <w:autoSpaceDN w:val="0"/>
        <w:adjustRightInd w:val="0"/>
        <w:ind w:left="708" w:hanging="708"/>
        <w:rPr>
          <w:szCs w:val="19"/>
        </w:rPr>
      </w:pPr>
      <w:r w:rsidRPr="0049458C">
        <w:rPr>
          <w:szCs w:val="19"/>
        </w:rPr>
        <w:t>…</w:t>
      </w:r>
    </w:p>
    <w:p w14:paraId="60EEF38C" w14:textId="77777777" w:rsidR="00413C36" w:rsidRPr="00033D9F" w:rsidRDefault="00413C36" w:rsidP="00D67CD0">
      <w:pPr>
        <w:pStyle w:val="Heading1"/>
        <w:spacing w:before="100" w:after="0"/>
        <w:ind w:left="782"/>
        <w:jc w:val="both"/>
        <w:rPr>
          <w:sz w:val="22"/>
          <w:szCs w:val="22"/>
        </w:rPr>
      </w:pPr>
      <w:r w:rsidRPr="00033D9F">
        <w:rPr>
          <w:sz w:val="22"/>
          <w:szCs w:val="22"/>
        </w:rPr>
        <w:t>Profit or loss for the period</w:t>
      </w:r>
    </w:p>
    <w:p w14:paraId="4A023E17" w14:textId="77777777" w:rsidR="00413C36" w:rsidRPr="0049458C" w:rsidRDefault="00413C36" w:rsidP="00C87FAF">
      <w:pPr>
        <w:autoSpaceDE w:val="0"/>
        <w:autoSpaceDN w:val="0"/>
        <w:adjustRightInd w:val="0"/>
        <w:ind w:left="708" w:hanging="708"/>
        <w:rPr>
          <w:szCs w:val="19"/>
        </w:rPr>
      </w:pPr>
      <w:r w:rsidRPr="0049458C">
        <w:rPr>
          <w:szCs w:val="19"/>
        </w:rPr>
        <w:t>…</w:t>
      </w:r>
    </w:p>
    <w:p w14:paraId="61BC4F3B" w14:textId="77777777" w:rsidR="00413C36" w:rsidRPr="0049458C" w:rsidRDefault="00413C36" w:rsidP="00D67CD0">
      <w:pPr>
        <w:pStyle w:val="IASBNormalnpara"/>
        <w:rPr>
          <w:szCs w:val="19"/>
        </w:rPr>
      </w:pPr>
      <w:r w:rsidRPr="0049458C">
        <w:rPr>
          <w:szCs w:val="19"/>
        </w:rPr>
        <w:t>89</w:t>
      </w:r>
      <w:r w:rsidRPr="0049458C">
        <w:rPr>
          <w:szCs w:val="19"/>
        </w:rPr>
        <w:tab/>
        <w:t>Some Australian Accounting Standards specify circumstances when an entity recognises particular items outside profit or loss in the current period</w:t>
      </w:r>
      <w:r w:rsidR="00403EB9" w:rsidRPr="0049458C">
        <w:rPr>
          <w:szCs w:val="19"/>
        </w:rPr>
        <w:t xml:space="preserve">.  </w:t>
      </w:r>
      <w:r w:rsidRPr="0049458C">
        <w:rPr>
          <w:szCs w:val="19"/>
        </w:rPr>
        <w:t>AASB 108 specifies two such circumstances: the correction of errors and the effect of changes in accounting policies</w:t>
      </w:r>
      <w:r w:rsidR="00403EB9" w:rsidRPr="0049458C">
        <w:rPr>
          <w:szCs w:val="19"/>
        </w:rPr>
        <w:t xml:space="preserve">.  </w:t>
      </w:r>
      <w:r w:rsidRPr="0049458C">
        <w:rPr>
          <w:szCs w:val="19"/>
        </w:rPr>
        <w:t xml:space="preserve">Other Australian Accounting Standards require or permit components of other comprehensive income that meet the </w:t>
      </w:r>
      <w:r w:rsidRPr="0049458C">
        <w:rPr>
          <w:i/>
          <w:strike/>
          <w:szCs w:val="19"/>
        </w:rPr>
        <w:t>Framework’s</w:t>
      </w:r>
      <w:r w:rsidRPr="0049458C">
        <w:rPr>
          <w:strike/>
          <w:szCs w:val="19"/>
          <w:vertAlign w:val="superscript"/>
        </w:rPr>
        <w:t>5</w:t>
      </w:r>
      <w:r w:rsidR="00C44614">
        <w:rPr>
          <w:strike/>
          <w:szCs w:val="19"/>
          <w:vertAlign w:val="superscript"/>
        </w:rPr>
        <w:t xml:space="preserve"> </w:t>
      </w:r>
      <w:r w:rsidRPr="0049458C">
        <w:rPr>
          <w:i/>
          <w:szCs w:val="19"/>
          <w:u w:val="single"/>
        </w:rPr>
        <w:t>Conceptual Framework</w:t>
      </w:r>
      <w:r w:rsidR="00BB026C" w:rsidRPr="00037DBD">
        <w:rPr>
          <w:i/>
          <w:szCs w:val="19"/>
          <w:u w:val="single"/>
        </w:rPr>
        <w:t>’s</w:t>
      </w:r>
      <w:r w:rsidRPr="0049458C">
        <w:rPr>
          <w:szCs w:val="19"/>
        </w:rPr>
        <w:t xml:space="preserve"> definition of income or expense to be excluded from profit or loss (see paragraph 7).</w:t>
      </w:r>
    </w:p>
    <w:p w14:paraId="5F741734" w14:textId="77777777" w:rsidR="00413C36" w:rsidRPr="0049458C" w:rsidRDefault="00413C36" w:rsidP="00D67CD0">
      <w:pPr>
        <w:pStyle w:val="IASBNormalnparaL1"/>
        <w:ind w:left="1491" w:hanging="709"/>
        <w:rPr>
          <w:strike/>
          <w:sz w:val="16"/>
          <w:szCs w:val="16"/>
        </w:rPr>
      </w:pPr>
      <w:r w:rsidRPr="00C44614">
        <w:rPr>
          <w:strike/>
          <w:sz w:val="16"/>
          <w:szCs w:val="16"/>
        </w:rPr>
        <w:t>5</w:t>
      </w:r>
      <w:r w:rsidRPr="00BB026C">
        <w:rPr>
          <w:sz w:val="16"/>
          <w:szCs w:val="16"/>
        </w:rPr>
        <w:tab/>
      </w:r>
      <w:r w:rsidRPr="00C44614">
        <w:rPr>
          <w:strike/>
          <w:sz w:val="16"/>
          <w:szCs w:val="16"/>
        </w:rPr>
        <w:t>The</w:t>
      </w:r>
      <w:r w:rsidRPr="0049458C">
        <w:rPr>
          <w:strike/>
          <w:sz w:val="16"/>
          <w:szCs w:val="16"/>
        </w:rPr>
        <w:t xml:space="preserve"> </w:t>
      </w:r>
      <w:r w:rsidRPr="0049458C">
        <w:rPr>
          <w:i/>
          <w:strike/>
          <w:sz w:val="16"/>
          <w:szCs w:val="16"/>
        </w:rPr>
        <w:t>Framework for the Preparation and Presentation of Financial Statements</w:t>
      </w:r>
      <w:r w:rsidRPr="0049458C">
        <w:rPr>
          <w:strike/>
          <w:sz w:val="16"/>
          <w:szCs w:val="16"/>
        </w:rPr>
        <w:t xml:space="preserve"> was amended by the AASB in December 2013.</w:t>
      </w:r>
    </w:p>
    <w:p w14:paraId="52BCB39F" w14:textId="2A5C5A00" w:rsidR="00413C36" w:rsidRPr="0049458C" w:rsidRDefault="00413C36" w:rsidP="00D67CD0">
      <w:pPr>
        <w:pStyle w:val="IASBNormalnpara"/>
        <w:rPr>
          <w:szCs w:val="19"/>
          <w:u w:val="single"/>
        </w:rPr>
      </w:pPr>
      <w:r w:rsidRPr="0049458C">
        <w:rPr>
          <w:szCs w:val="19"/>
          <w:u w:val="single"/>
        </w:rPr>
        <w:t>AusCF89</w:t>
      </w:r>
      <w:r w:rsidRPr="0049458C">
        <w:rPr>
          <w:szCs w:val="19"/>
        </w:rPr>
        <w:tab/>
      </w:r>
      <w:r w:rsidR="00D67CD0">
        <w:rPr>
          <w:szCs w:val="19"/>
        </w:rPr>
        <w:tab/>
      </w:r>
      <w:r w:rsidRPr="0049458C">
        <w:rPr>
          <w:szCs w:val="19"/>
          <w:u w:val="single"/>
        </w:rPr>
        <w:t>Notwithstanding paragraph 89, in respect of AusCF entities, some Australian Accounting Standards specify circumstances when an entity recognises particular items outside profit or loss in the current period</w:t>
      </w:r>
      <w:r w:rsidR="00403EB9" w:rsidRPr="0049458C">
        <w:rPr>
          <w:szCs w:val="19"/>
          <w:u w:val="single"/>
        </w:rPr>
        <w:t xml:space="preserve">.  </w:t>
      </w:r>
      <w:r w:rsidRPr="0049458C">
        <w:rPr>
          <w:szCs w:val="19"/>
          <w:u w:val="single"/>
        </w:rPr>
        <w:t>AASB 108 specifies two such circumstances: the correction of errors and the effect of changes in accounting policies</w:t>
      </w:r>
      <w:r w:rsidR="00403EB9" w:rsidRPr="0049458C">
        <w:rPr>
          <w:szCs w:val="19"/>
          <w:u w:val="single"/>
        </w:rPr>
        <w:t xml:space="preserve">.  </w:t>
      </w:r>
      <w:r w:rsidRPr="0049458C">
        <w:rPr>
          <w:szCs w:val="19"/>
          <w:u w:val="single"/>
        </w:rPr>
        <w:t xml:space="preserve">Other Australian Accounting Standards require or permit components of other comprehensive income that meet the </w:t>
      </w:r>
      <w:r w:rsidRPr="0049458C">
        <w:rPr>
          <w:i/>
          <w:szCs w:val="19"/>
          <w:u w:val="single"/>
        </w:rPr>
        <w:t>Framework’s</w:t>
      </w:r>
      <w:r w:rsidRPr="0049458C">
        <w:rPr>
          <w:szCs w:val="19"/>
          <w:u w:val="single"/>
          <w:vertAlign w:val="superscript"/>
        </w:rPr>
        <w:t>AusCF5</w:t>
      </w:r>
      <w:r w:rsidRPr="0049458C">
        <w:rPr>
          <w:szCs w:val="19"/>
          <w:u w:val="single"/>
        </w:rPr>
        <w:t xml:space="preserve"> definition of income or expense to be excluded from profit or loss (see paragraph 7).</w:t>
      </w:r>
    </w:p>
    <w:p w14:paraId="3D883D34" w14:textId="77777777" w:rsidR="00413C36" w:rsidRPr="0049458C" w:rsidRDefault="00413C36" w:rsidP="00D67CD0">
      <w:pPr>
        <w:pStyle w:val="IASBNormalnparaL1"/>
        <w:ind w:left="1491" w:hanging="709"/>
        <w:rPr>
          <w:sz w:val="16"/>
          <w:szCs w:val="16"/>
          <w:u w:val="single"/>
        </w:rPr>
      </w:pPr>
      <w:r w:rsidRPr="0049458C">
        <w:rPr>
          <w:sz w:val="16"/>
          <w:szCs w:val="16"/>
          <w:u w:val="single"/>
        </w:rPr>
        <w:t>AusCF5</w:t>
      </w:r>
      <w:r w:rsidRPr="0049458C">
        <w:rPr>
          <w:sz w:val="16"/>
          <w:szCs w:val="16"/>
        </w:rPr>
        <w:tab/>
      </w:r>
      <w:r w:rsidRPr="0049458C">
        <w:rPr>
          <w:sz w:val="16"/>
          <w:szCs w:val="16"/>
          <w:u w:val="single"/>
        </w:rPr>
        <w:t xml:space="preserve">The </w:t>
      </w:r>
      <w:r w:rsidRPr="0049458C">
        <w:rPr>
          <w:i/>
          <w:sz w:val="16"/>
          <w:szCs w:val="16"/>
          <w:u w:val="single"/>
        </w:rPr>
        <w:t>Framework for the Preparation and Presentation of Financial Statements</w:t>
      </w:r>
      <w:r w:rsidRPr="0049458C">
        <w:rPr>
          <w:sz w:val="16"/>
          <w:szCs w:val="16"/>
          <w:u w:val="single"/>
        </w:rPr>
        <w:t xml:space="preserve"> was amended by the AASB in December 2013.</w:t>
      </w:r>
    </w:p>
    <w:p w14:paraId="2EA0C14B" w14:textId="77777777" w:rsidR="00413C36" w:rsidRDefault="00413C36" w:rsidP="00C87FAF">
      <w:pPr>
        <w:autoSpaceDE w:val="0"/>
        <w:autoSpaceDN w:val="0"/>
        <w:adjustRightInd w:val="0"/>
        <w:ind w:left="708" w:hanging="708"/>
        <w:rPr>
          <w:szCs w:val="19"/>
        </w:rPr>
      </w:pPr>
      <w:r w:rsidRPr="0049458C">
        <w:rPr>
          <w:szCs w:val="19"/>
        </w:rPr>
        <w:t>…</w:t>
      </w:r>
    </w:p>
    <w:p w14:paraId="68242612" w14:textId="77777777" w:rsidR="00712406" w:rsidRDefault="00712406" w:rsidP="00D67CD0">
      <w:pPr>
        <w:pStyle w:val="Heading1"/>
        <w:spacing w:before="100" w:after="0"/>
        <w:ind w:left="782"/>
        <w:jc w:val="both"/>
        <w:rPr>
          <w:sz w:val="22"/>
          <w:szCs w:val="22"/>
        </w:rPr>
      </w:pPr>
      <w:r w:rsidRPr="00712406">
        <w:rPr>
          <w:sz w:val="22"/>
          <w:szCs w:val="22"/>
        </w:rPr>
        <w:t>Capital</w:t>
      </w:r>
    </w:p>
    <w:p w14:paraId="4DD579D9" w14:textId="77777777" w:rsidR="00B12289" w:rsidRDefault="00B12289" w:rsidP="00C87FAF">
      <w:r>
        <w:t>…</w:t>
      </w:r>
    </w:p>
    <w:p w14:paraId="4A50BCA9" w14:textId="5BFF011D" w:rsidR="00637A9C" w:rsidRDefault="00637A9C" w:rsidP="00D67CD0">
      <w:pPr>
        <w:pStyle w:val="IASBNormalnpara"/>
        <w:rPr>
          <w:strike/>
          <w:szCs w:val="19"/>
        </w:rPr>
      </w:pPr>
      <w:r w:rsidRPr="00637A9C">
        <w:rPr>
          <w:szCs w:val="19"/>
        </w:rPr>
        <w:t>Aus136.1</w:t>
      </w:r>
      <w:r w:rsidRPr="00637A9C">
        <w:rPr>
          <w:szCs w:val="19"/>
        </w:rPr>
        <w:tab/>
      </w:r>
      <w:r w:rsidRPr="00EF3350">
        <w:rPr>
          <w:szCs w:val="19"/>
          <w:u w:val="single"/>
        </w:rPr>
        <w:t>[Deleted by the AASB]</w:t>
      </w:r>
      <w:r w:rsidR="00C43909">
        <w:rPr>
          <w:szCs w:val="19"/>
        </w:rPr>
        <w:t xml:space="preserve"> </w:t>
      </w:r>
      <w:r w:rsidRPr="00637A9C">
        <w:rPr>
          <w:strike/>
          <w:szCs w:val="19"/>
        </w:rPr>
        <w:t>An entity that is required to prepare financial reports in accordance with Part 2M.3 of the Corporations Act and that is not a reporting entity need not present the disclosures required by paragraphs 134–136.</w:t>
      </w:r>
    </w:p>
    <w:p w14:paraId="4F0ECAF7" w14:textId="5D02A6AD" w:rsidR="000030C7" w:rsidRDefault="000030C7" w:rsidP="00D67CD0">
      <w:pPr>
        <w:pStyle w:val="IASBNormalnpara"/>
        <w:rPr>
          <w:szCs w:val="19"/>
          <w:u w:val="single"/>
        </w:rPr>
      </w:pPr>
      <w:r w:rsidRPr="00637A9C">
        <w:rPr>
          <w:szCs w:val="19"/>
          <w:u w:val="single"/>
        </w:rPr>
        <w:t>AusCFAus136.1</w:t>
      </w:r>
      <w:r w:rsidRPr="00637A9C">
        <w:rPr>
          <w:szCs w:val="19"/>
        </w:rPr>
        <w:t xml:space="preserve"> </w:t>
      </w:r>
      <w:r w:rsidRPr="00637A9C">
        <w:rPr>
          <w:szCs w:val="19"/>
        </w:rPr>
        <w:tab/>
      </w:r>
      <w:r w:rsidRPr="001108A7">
        <w:rPr>
          <w:szCs w:val="19"/>
          <w:u w:val="single"/>
        </w:rPr>
        <w:t>In respect of AusCF entities, an</w:t>
      </w:r>
      <w:r w:rsidRPr="00637A9C">
        <w:rPr>
          <w:szCs w:val="19"/>
          <w:u w:val="single"/>
        </w:rPr>
        <w:t xml:space="preserve"> entity that is required to prepare financial reports in accordance with Part 2M.3 of the Corporations Act and that is not a reporting entity need not present the disclosures required by paragraphs 134–136.</w:t>
      </w:r>
    </w:p>
    <w:p w14:paraId="54EE2503" w14:textId="77777777" w:rsidR="000030C7" w:rsidRDefault="000030C7" w:rsidP="00C87FAF">
      <w:pPr>
        <w:autoSpaceDE w:val="0"/>
        <w:autoSpaceDN w:val="0"/>
        <w:adjustRightInd w:val="0"/>
        <w:ind w:left="1418" w:hanging="1418"/>
        <w:rPr>
          <w:strike/>
          <w:szCs w:val="19"/>
        </w:rPr>
      </w:pPr>
    </w:p>
    <w:p w14:paraId="22CAF602" w14:textId="60DA8D0D" w:rsidR="007D3459" w:rsidRPr="00637A9C" w:rsidRDefault="007D3459" w:rsidP="00D67CD0">
      <w:pPr>
        <w:pStyle w:val="IASBNormalnpara"/>
      </w:pPr>
      <w:r>
        <w:rPr>
          <w:szCs w:val="19"/>
        </w:rPr>
        <w:t>Aus136.2</w:t>
      </w:r>
      <w:r w:rsidRPr="00637A9C">
        <w:rPr>
          <w:szCs w:val="19"/>
        </w:rPr>
        <w:tab/>
      </w:r>
      <w:r w:rsidRPr="00EF3350">
        <w:rPr>
          <w:szCs w:val="19"/>
          <w:u w:val="single"/>
        </w:rPr>
        <w:t>[Deleted by the AASB]</w:t>
      </w:r>
      <w:r w:rsidRPr="00C43909">
        <w:rPr>
          <w:szCs w:val="19"/>
        </w:rPr>
        <w:t xml:space="preserve"> </w:t>
      </w:r>
      <w:r>
        <w:rPr>
          <w:strike/>
          <w:szCs w:val="19"/>
        </w:rPr>
        <w:t>Notwithstanding paragraph Aus136.1, a not-for-profit-entity need not present the disclosures required by paragraphs 134-136.</w:t>
      </w:r>
    </w:p>
    <w:p w14:paraId="61EB8144" w14:textId="77777777" w:rsidR="007D3459" w:rsidRPr="00637A9C" w:rsidRDefault="007D3459" w:rsidP="00C87FAF">
      <w:pPr>
        <w:autoSpaceDE w:val="0"/>
        <w:autoSpaceDN w:val="0"/>
        <w:adjustRightInd w:val="0"/>
        <w:ind w:left="1418" w:hanging="1418"/>
      </w:pPr>
    </w:p>
    <w:p w14:paraId="13B3CB92" w14:textId="0623CFC2" w:rsidR="007D3459" w:rsidRPr="00637A9C" w:rsidRDefault="007D3459" w:rsidP="00D67CD0">
      <w:pPr>
        <w:pStyle w:val="IASBNormalnpara"/>
        <w:rPr>
          <w:szCs w:val="19"/>
          <w:u w:val="single"/>
        </w:rPr>
      </w:pPr>
      <w:r>
        <w:rPr>
          <w:szCs w:val="19"/>
          <w:u w:val="single"/>
        </w:rPr>
        <w:t>AusCFAus136.2</w:t>
      </w:r>
      <w:r w:rsidRPr="00637A9C">
        <w:rPr>
          <w:szCs w:val="19"/>
        </w:rPr>
        <w:t xml:space="preserve"> </w:t>
      </w:r>
      <w:r w:rsidRPr="00637A9C">
        <w:rPr>
          <w:szCs w:val="19"/>
        </w:rPr>
        <w:tab/>
      </w:r>
      <w:r>
        <w:rPr>
          <w:szCs w:val="19"/>
          <w:u w:val="single"/>
        </w:rPr>
        <w:t xml:space="preserve">Notwithstanding paragraph AusCFAus136.1, </w:t>
      </w:r>
      <w:r w:rsidR="000030C7">
        <w:rPr>
          <w:szCs w:val="19"/>
          <w:u w:val="single"/>
        </w:rPr>
        <w:t xml:space="preserve">in respect of AusCF entities, </w:t>
      </w:r>
      <w:r>
        <w:rPr>
          <w:szCs w:val="19"/>
          <w:u w:val="single"/>
        </w:rPr>
        <w:t>a not-for-profit entity need not present the disclos</w:t>
      </w:r>
      <w:r w:rsidR="00C66FBD">
        <w:rPr>
          <w:szCs w:val="19"/>
          <w:u w:val="single"/>
        </w:rPr>
        <w:t>ures required by paragraphs 134 –</w:t>
      </w:r>
      <w:r>
        <w:rPr>
          <w:szCs w:val="19"/>
          <w:u w:val="single"/>
        </w:rPr>
        <w:t>136.</w:t>
      </w:r>
    </w:p>
    <w:p w14:paraId="7D1A5CA7" w14:textId="77777777" w:rsidR="00B12289" w:rsidRPr="0049458C" w:rsidRDefault="00B12289" w:rsidP="00C87FAF">
      <w:pPr>
        <w:autoSpaceDE w:val="0"/>
        <w:autoSpaceDN w:val="0"/>
        <w:adjustRightInd w:val="0"/>
        <w:ind w:left="708" w:hanging="708"/>
        <w:rPr>
          <w:szCs w:val="19"/>
        </w:rPr>
      </w:pPr>
      <w:r>
        <w:rPr>
          <w:szCs w:val="19"/>
        </w:rPr>
        <w:t>…</w:t>
      </w:r>
    </w:p>
    <w:p w14:paraId="776175DD" w14:textId="77777777" w:rsidR="00033D9F" w:rsidRPr="00413C36" w:rsidRDefault="00033D9F" w:rsidP="00C87FAF">
      <w:pPr>
        <w:pStyle w:val="Heading2"/>
        <w:spacing w:before="240"/>
        <w:jc w:val="both"/>
      </w:pPr>
      <w:r>
        <w:t>Transition and effective date</w:t>
      </w:r>
    </w:p>
    <w:p w14:paraId="70F3A195" w14:textId="77777777" w:rsidR="00033D9F" w:rsidRDefault="00033D9F" w:rsidP="00D67CD0">
      <w:pPr>
        <w:autoSpaceDE w:val="0"/>
        <w:autoSpaceDN w:val="0"/>
        <w:adjustRightInd w:val="0"/>
        <w:spacing w:before="100"/>
        <w:rPr>
          <w:sz w:val="20"/>
        </w:rPr>
      </w:pPr>
      <w:r w:rsidRPr="00413C36">
        <w:rPr>
          <w:sz w:val="20"/>
        </w:rPr>
        <w:t>…</w:t>
      </w:r>
    </w:p>
    <w:p w14:paraId="60D583E7" w14:textId="4C7434AC" w:rsidR="00413C36" w:rsidRPr="0049458C" w:rsidRDefault="00413C36" w:rsidP="00D67CD0">
      <w:pPr>
        <w:pStyle w:val="IASBNormalnpara"/>
        <w:rPr>
          <w:b/>
          <w:bCs/>
          <w:szCs w:val="19"/>
          <w:u w:val="single"/>
        </w:rPr>
      </w:pPr>
      <w:r w:rsidRPr="0049458C">
        <w:rPr>
          <w:szCs w:val="19"/>
          <w:u w:val="single"/>
        </w:rPr>
        <w:t>139S</w:t>
      </w:r>
      <w:r w:rsidRPr="0049458C">
        <w:rPr>
          <w:szCs w:val="19"/>
        </w:rPr>
        <w:tab/>
      </w:r>
      <w:r w:rsidRPr="0049458C">
        <w:rPr>
          <w:szCs w:val="19"/>
          <w:u w:val="single"/>
        </w:rPr>
        <w:t>AASB </w:t>
      </w:r>
      <w:r w:rsidR="00043A3E">
        <w:rPr>
          <w:szCs w:val="19"/>
          <w:u w:val="single"/>
        </w:rPr>
        <w:t>2019-1</w:t>
      </w:r>
      <w:r w:rsidRPr="0049458C">
        <w:rPr>
          <w:szCs w:val="19"/>
          <w:u w:val="single"/>
        </w:rPr>
        <w:t xml:space="preserve"> </w:t>
      </w:r>
      <w:r w:rsidRPr="0049458C">
        <w:rPr>
          <w:i/>
          <w:iCs/>
          <w:szCs w:val="19"/>
          <w:u w:val="single"/>
        </w:rPr>
        <w:t>Amendments to Australian Accounting Standards – References to the Conceptual Framework</w:t>
      </w:r>
      <w:r w:rsidRPr="0049458C">
        <w:rPr>
          <w:szCs w:val="19"/>
          <w:u w:val="single"/>
        </w:rPr>
        <w:t xml:space="preserve">, issued in </w:t>
      </w:r>
      <w:r w:rsidR="00443B60">
        <w:rPr>
          <w:szCs w:val="19"/>
          <w:u w:val="single"/>
        </w:rPr>
        <w:t>2019</w:t>
      </w:r>
      <w:r w:rsidRPr="0049458C">
        <w:rPr>
          <w:szCs w:val="19"/>
          <w:u w:val="single"/>
        </w:rPr>
        <w:t xml:space="preserve">, </w:t>
      </w:r>
      <w:r w:rsidR="0049458C" w:rsidRPr="0049458C">
        <w:rPr>
          <w:szCs w:val="19"/>
          <w:u w:val="single"/>
        </w:rPr>
        <w:t>added AusCF paragraphs</w:t>
      </w:r>
      <w:r w:rsidR="00B82924">
        <w:rPr>
          <w:szCs w:val="19"/>
          <w:u w:val="single"/>
        </w:rPr>
        <w:t>,</w:t>
      </w:r>
      <w:r w:rsidR="0049458C" w:rsidRPr="0049458C">
        <w:rPr>
          <w:szCs w:val="19"/>
          <w:u w:val="single"/>
        </w:rPr>
        <w:t xml:space="preserve"> </w:t>
      </w:r>
      <w:r w:rsidRPr="0049458C">
        <w:rPr>
          <w:szCs w:val="19"/>
          <w:u w:val="single"/>
        </w:rPr>
        <w:t>amended paragraphs 15, 19–20, 23–24, 28</w:t>
      </w:r>
      <w:r w:rsidR="00C44614">
        <w:rPr>
          <w:szCs w:val="19"/>
          <w:u w:val="single"/>
        </w:rPr>
        <w:t>,</w:t>
      </w:r>
      <w:r w:rsidRPr="0049458C">
        <w:rPr>
          <w:szCs w:val="19"/>
          <w:u w:val="single"/>
        </w:rPr>
        <w:t xml:space="preserve"> 89</w:t>
      </w:r>
      <w:r w:rsidR="00C44614">
        <w:rPr>
          <w:szCs w:val="19"/>
          <w:u w:val="single"/>
        </w:rPr>
        <w:t>, Aus7.2 and RDR15.1</w:t>
      </w:r>
      <w:r w:rsidR="00B82924">
        <w:rPr>
          <w:szCs w:val="19"/>
          <w:u w:val="single"/>
        </w:rPr>
        <w:t>, and deleted paragraph</w:t>
      </w:r>
      <w:r w:rsidR="00C66FBD">
        <w:rPr>
          <w:szCs w:val="19"/>
          <w:u w:val="single"/>
        </w:rPr>
        <w:t>s</w:t>
      </w:r>
      <w:r w:rsidR="00B82924">
        <w:rPr>
          <w:szCs w:val="19"/>
          <w:u w:val="single"/>
        </w:rPr>
        <w:t xml:space="preserve"> Aus136.1</w:t>
      </w:r>
      <w:r w:rsidR="00C66FBD">
        <w:rPr>
          <w:szCs w:val="19"/>
          <w:u w:val="single"/>
        </w:rPr>
        <w:t xml:space="preserve"> and Aus136.2</w:t>
      </w:r>
      <w:r w:rsidR="00403EB9" w:rsidRPr="0049458C">
        <w:rPr>
          <w:szCs w:val="19"/>
          <w:u w:val="single"/>
        </w:rPr>
        <w:t xml:space="preserve">.  </w:t>
      </w:r>
      <w:r w:rsidRPr="0049458C">
        <w:rPr>
          <w:szCs w:val="19"/>
          <w:u w:val="single"/>
        </w:rPr>
        <w:t>An entity shall apply those amendments for annual periods beginning on or after 1 January 2020</w:t>
      </w:r>
      <w:r w:rsidR="00403EB9" w:rsidRPr="0049458C">
        <w:rPr>
          <w:szCs w:val="19"/>
          <w:u w:val="single"/>
        </w:rPr>
        <w:t xml:space="preserve">.  </w:t>
      </w:r>
      <w:r w:rsidRPr="0049458C">
        <w:rPr>
          <w:szCs w:val="19"/>
          <w:u w:val="single"/>
        </w:rPr>
        <w:t>Earlier application is permitted if at the same time an entity also applies all other amendments made by AASB </w:t>
      </w:r>
      <w:r w:rsidR="00043A3E">
        <w:rPr>
          <w:szCs w:val="19"/>
          <w:u w:val="single"/>
        </w:rPr>
        <w:t>2019-1</w:t>
      </w:r>
      <w:r w:rsidR="00403EB9" w:rsidRPr="0049458C">
        <w:rPr>
          <w:szCs w:val="19"/>
          <w:u w:val="single"/>
        </w:rPr>
        <w:t xml:space="preserve">.  </w:t>
      </w:r>
      <w:r w:rsidRPr="0049458C">
        <w:rPr>
          <w:szCs w:val="19"/>
          <w:u w:val="single"/>
        </w:rPr>
        <w:t xml:space="preserve">An entity shall apply the amendments to AASB 101 retrospectively in accordance with AASB 108 </w:t>
      </w:r>
      <w:r w:rsidRPr="0049458C">
        <w:rPr>
          <w:i/>
          <w:iCs/>
          <w:szCs w:val="19"/>
          <w:u w:val="single"/>
        </w:rPr>
        <w:t>Accounting Policies, Changes in Accounting Estimates and Errors</w:t>
      </w:r>
      <w:r w:rsidR="00403EB9" w:rsidRPr="0049458C">
        <w:rPr>
          <w:szCs w:val="19"/>
          <w:u w:val="single"/>
        </w:rPr>
        <w:t xml:space="preserve">.  </w:t>
      </w:r>
      <w:r w:rsidRPr="0049458C">
        <w:rPr>
          <w:szCs w:val="19"/>
          <w:u w:val="single"/>
        </w:rPr>
        <w:t>However, if an entity determines that retrospective application would be impracticable or would involve undue cost or effort, it shall apply the amendments to AASB 101 by reference to paragraphs 23–28, 50–53 and 54F of AASB 108.</w:t>
      </w:r>
    </w:p>
    <w:p w14:paraId="7A32107A" w14:textId="77777777" w:rsidR="00413C36" w:rsidRPr="0049458C" w:rsidRDefault="00413C36" w:rsidP="00C87FAF">
      <w:pPr>
        <w:rPr>
          <w:szCs w:val="19"/>
        </w:rPr>
      </w:pPr>
      <w:r w:rsidRPr="0049458C">
        <w:rPr>
          <w:szCs w:val="19"/>
        </w:rPr>
        <w:t>…</w:t>
      </w:r>
    </w:p>
    <w:p w14:paraId="6DAF172C" w14:textId="77777777" w:rsidR="00413C36" w:rsidRPr="00413C36" w:rsidRDefault="00413C36" w:rsidP="00C87FAF">
      <w:pPr>
        <w:pStyle w:val="Heading1"/>
        <w:contextualSpacing/>
        <w:jc w:val="both"/>
      </w:pPr>
      <w:r w:rsidRPr="00413C36">
        <w:t>Appendix A</w:t>
      </w:r>
    </w:p>
    <w:p w14:paraId="7118E0C0" w14:textId="77777777" w:rsidR="00413C36" w:rsidRPr="00413C36" w:rsidRDefault="00413C36" w:rsidP="00C87FAF">
      <w:pPr>
        <w:pStyle w:val="Heading1"/>
        <w:spacing w:after="120"/>
        <w:contextualSpacing/>
        <w:jc w:val="both"/>
      </w:pPr>
      <w:r w:rsidRPr="00413C36">
        <w:t>Australian defined terms</w:t>
      </w:r>
    </w:p>
    <w:p w14:paraId="627329FF" w14:textId="77777777" w:rsidR="00413C36" w:rsidRPr="0049458C" w:rsidRDefault="00413C36" w:rsidP="00C87FAF">
      <w:pPr>
        <w:autoSpaceDE w:val="0"/>
        <w:autoSpaceDN w:val="0"/>
        <w:adjustRightInd w:val="0"/>
        <w:rPr>
          <w:bCs/>
          <w:szCs w:val="19"/>
        </w:rPr>
      </w:pPr>
      <w:r w:rsidRPr="0049458C">
        <w:rPr>
          <w:bCs/>
          <w:szCs w:val="19"/>
        </w:rPr>
        <w:t>…</w:t>
      </w:r>
    </w:p>
    <w:p w14:paraId="7D2BB36A" w14:textId="77777777" w:rsidR="00413C36" w:rsidRPr="0049458C" w:rsidRDefault="00413C36" w:rsidP="00D67CD0">
      <w:pPr>
        <w:pStyle w:val="IASBNormalnpara"/>
        <w:rPr>
          <w:b/>
          <w:szCs w:val="19"/>
        </w:rPr>
      </w:pPr>
      <w:r w:rsidRPr="0049458C">
        <w:rPr>
          <w:b/>
          <w:szCs w:val="19"/>
        </w:rPr>
        <w:t xml:space="preserve">Aus7.2 </w:t>
      </w:r>
      <w:r w:rsidRPr="0049458C">
        <w:rPr>
          <w:b/>
          <w:szCs w:val="19"/>
        </w:rPr>
        <w:tab/>
        <w:t xml:space="preserve">In respect of public sector entities, </w:t>
      </w:r>
      <w:r w:rsidRPr="00845209">
        <w:rPr>
          <w:b/>
          <w:i/>
          <w:szCs w:val="19"/>
        </w:rPr>
        <w:t>local governments</w:t>
      </w:r>
      <w:r w:rsidRPr="0049458C">
        <w:rPr>
          <w:b/>
          <w:szCs w:val="19"/>
        </w:rPr>
        <w:t xml:space="preserve">, </w:t>
      </w:r>
      <w:r w:rsidRPr="00845209">
        <w:rPr>
          <w:b/>
          <w:i/>
          <w:szCs w:val="19"/>
        </w:rPr>
        <w:t>governments</w:t>
      </w:r>
      <w:r w:rsidRPr="0049458C">
        <w:rPr>
          <w:b/>
          <w:szCs w:val="19"/>
        </w:rPr>
        <w:t xml:space="preserve"> and most, if not all, </w:t>
      </w:r>
      <w:r w:rsidRPr="00845209">
        <w:rPr>
          <w:b/>
          <w:i/>
          <w:szCs w:val="19"/>
        </w:rPr>
        <w:t>government departments</w:t>
      </w:r>
      <w:r w:rsidRPr="0049458C">
        <w:rPr>
          <w:b/>
          <w:szCs w:val="19"/>
        </w:rPr>
        <w:t xml:space="preserve"> are reporting entities</w:t>
      </w:r>
      <w:r w:rsidRPr="00845209">
        <w:rPr>
          <w:b/>
          <w:szCs w:val="19"/>
        </w:rPr>
        <w:t>:</w:t>
      </w:r>
    </w:p>
    <w:p w14:paraId="108EEE36" w14:textId="77777777" w:rsidR="00413C36" w:rsidRPr="0049458C" w:rsidRDefault="00413C36" w:rsidP="00D67CD0">
      <w:pPr>
        <w:autoSpaceDE w:val="0"/>
        <w:autoSpaceDN w:val="0"/>
        <w:adjustRightInd w:val="0"/>
        <w:spacing w:before="100"/>
        <w:ind w:left="782"/>
        <w:rPr>
          <w:b/>
          <w:szCs w:val="19"/>
        </w:rPr>
      </w:pPr>
      <w:r w:rsidRPr="0049458C">
        <w:rPr>
          <w:b/>
          <w:i/>
          <w:strike/>
          <w:szCs w:val="19"/>
        </w:rPr>
        <w:t>reporting</w:t>
      </w:r>
      <w:r w:rsidRPr="0049458C">
        <w:rPr>
          <w:b/>
          <w:strike/>
          <w:szCs w:val="19"/>
        </w:rPr>
        <w:t xml:space="preserve"> </w:t>
      </w:r>
      <w:r w:rsidRPr="0049458C">
        <w:rPr>
          <w:b/>
          <w:i/>
          <w:strike/>
          <w:szCs w:val="19"/>
        </w:rPr>
        <w:t>entity</w:t>
      </w:r>
      <w:r w:rsidRPr="0049458C">
        <w:rPr>
          <w:b/>
          <w:strike/>
          <w:szCs w:val="19"/>
        </w:rPr>
        <w:t xml:space="preserve"> means an entity in respect of which it is reasonable to expect the existence of users who rely on the entity’s general purpose financial statement for information that will be useful to them for making and evaluating decisions about the allocation of resources</w:t>
      </w:r>
      <w:r w:rsidR="00403EB9" w:rsidRPr="0049458C">
        <w:rPr>
          <w:b/>
          <w:strike/>
          <w:szCs w:val="19"/>
        </w:rPr>
        <w:t xml:space="preserve">.  </w:t>
      </w:r>
      <w:r w:rsidRPr="0049458C">
        <w:rPr>
          <w:b/>
          <w:strike/>
          <w:szCs w:val="19"/>
        </w:rPr>
        <w:t xml:space="preserve">A reporting entity can be a single entity or a group comprising a parent and all of its </w:t>
      </w:r>
      <w:r w:rsidRPr="00C44614">
        <w:rPr>
          <w:b/>
          <w:strike/>
          <w:szCs w:val="19"/>
        </w:rPr>
        <w:t>subsidiaries.</w:t>
      </w:r>
    </w:p>
    <w:p w14:paraId="5655351A" w14:textId="77777777" w:rsidR="00413C36" w:rsidRPr="0049458C" w:rsidRDefault="00413C36" w:rsidP="00C87FAF">
      <w:pPr>
        <w:autoSpaceDE w:val="0"/>
        <w:autoSpaceDN w:val="0"/>
        <w:adjustRightInd w:val="0"/>
        <w:ind w:left="993"/>
        <w:rPr>
          <w:b/>
          <w:szCs w:val="19"/>
        </w:rPr>
      </w:pPr>
    </w:p>
    <w:p w14:paraId="1DE31C16" w14:textId="77777777" w:rsidR="00413C36" w:rsidRDefault="00413C36" w:rsidP="00D67CD0">
      <w:pPr>
        <w:autoSpaceDE w:val="0"/>
        <w:autoSpaceDN w:val="0"/>
        <w:adjustRightInd w:val="0"/>
        <w:spacing w:before="100"/>
        <w:ind w:left="782"/>
        <w:rPr>
          <w:b/>
          <w:szCs w:val="19"/>
        </w:rPr>
      </w:pPr>
      <w:r w:rsidRPr="0049458C">
        <w:rPr>
          <w:b/>
          <w:i/>
          <w:szCs w:val="19"/>
        </w:rPr>
        <w:t>government</w:t>
      </w:r>
      <w:r w:rsidRPr="0049458C">
        <w:rPr>
          <w:b/>
          <w:szCs w:val="19"/>
        </w:rPr>
        <w:t xml:space="preserve"> means …</w:t>
      </w:r>
    </w:p>
    <w:p w14:paraId="2CB93237" w14:textId="77777777" w:rsidR="004F4772" w:rsidRPr="00413C36" w:rsidRDefault="004F4772" w:rsidP="00C87FAF">
      <w:pPr>
        <w:pStyle w:val="Heading1"/>
        <w:contextualSpacing/>
        <w:jc w:val="both"/>
      </w:pPr>
      <w:r w:rsidRPr="00413C36">
        <w:t xml:space="preserve">Appendix </w:t>
      </w:r>
      <w:r>
        <w:t>B</w:t>
      </w:r>
    </w:p>
    <w:p w14:paraId="57C820A0" w14:textId="77777777" w:rsidR="004F4772" w:rsidRPr="00413C36" w:rsidRDefault="004F4772" w:rsidP="00C87FAF">
      <w:pPr>
        <w:pStyle w:val="Heading1"/>
        <w:spacing w:after="120"/>
        <w:contextualSpacing/>
        <w:jc w:val="both"/>
      </w:pPr>
      <w:r w:rsidRPr="004F4772">
        <w:t>Australian reduced disclosure requirements</w:t>
      </w:r>
    </w:p>
    <w:p w14:paraId="33988041" w14:textId="77777777" w:rsidR="004F4772" w:rsidRDefault="004F4772" w:rsidP="00C87FAF">
      <w:pPr>
        <w:autoSpaceDE w:val="0"/>
        <w:autoSpaceDN w:val="0"/>
        <w:adjustRightInd w:val="0"/>
        <w:rPr>
          <w:szCs w:val="19"/>
        </w:rPr>
      </w:pPr>
      <w:r w:rsidRPr="004F4772">
        <w:rPr>
          <w:szCs w:val="19"/>
        </w:rPr>
        <w:t>…</w:t>
      </w:r>
    </w:p>
    <w:p w14:paraId="6389CAE0" w14:textId="77777777" w:rsidR="004F4772" w:rsidRPr="0049458C" w:rsidRDefault="004F4772" w:rsidP="00D67CD0">
      <w:pPr>
        <w:pStyle w:val="IASBNormalnpara"/>
        <w:rPr>
          <w:b/>
          <w:szCs w:val="19"/>
        </w:rPr>
      </w:pPr>
      <w:r w:rsidRPr="004F4772">
        <w:rPr>
          <w:b/>
          <w:szCs w:val="19"/>
        </w:rPr>
        <w:t xml:space="preserve">RDR15.1 </w:t>
      </w:r>
      <w:r>
        <w:rPr>
          <w:b/>
          <w:szCs w:val="19"/>
        </w:rPr>
        <w:tab/>
      </w:r>
      <w:r w:rsidRPr="004F4772">
        <w:rPr>
          <w:b/>
          <w:szCs w:val="19"/>
        </w:rPr>
        <w:t>Financial statements shall present fairly the financial position, financial performance and cash flows of an entity applying Australian Accounting Standards – Reduced Disclosure Requirements</w:t>
      </w:r>
      <w:r w:rsidR="00403EB9" w:rsidRPr="004F4772">
        <w:rPr>
          <w:b/>
          <w:szCs w:val="19"/>
        </w:rPr>
        <w:t xml:space="preserve">.  </w:t>
      </w:r>
      <w:r w:rsidRPr="004F4772">
        <w:rPr>
          <w:b/>
          <w:szCs w:val="19"/>
        </w:rPr>
        <w:t xml:space="preserve">Fair presentation requires the faithful representation of the effects of transactions, other events and conditions in accordance with the definitions and recognition criteria for assets, liabilities, income and expenses set out in the </w:t>
      </w:r>
      <w:r w:rsidRPr="004F4772">
        <w:rPr>
          <w:b/>
          <w:i/>
          <w:szCs w:val="19"/>
          <w:u w:val="single"/>
        </w:rPr>
        <w:t>Conceptual</w:t>
      </w:r>
      <w:r>
        <w:rPr>
          <w:b/>
          <w:szCs w:val="19"/>
          <w:u w:val="single"/>
        </w:rPr>
        <w:t xml:space="preserve"> </w:t>
      </w:r>
      <w:r w:rsidRPr="004F4772">
        <w:rPr>
          <w:b/>
          <w:i/>
          <w:szCs w:val="19"/>
        </w:rPr>
        <w:t>Framework</w:t>
      </w:r>
      <w:r w:rsidR="00403EB9" w:rsidRPr="004F4772">
        <w:rPr>
          <w:b/>
          <w:szCs w:val="19"/>
        </w:rPr>
        <w:t xml:space="preserve">.  </w:t>
      </w:r>
      <w:r w:rsidRPr="004F4772">
        <w:rPr>
          <w:b/>
          <w:szCs w:val="19"/>
        </w:rPr>
        <w:t>The application of Australian Accounting Standards – Reduced Disclosure Requirements, with additional disclosure when necessary, is presumed to result in financial statements that achieve a fair presentation.</w:t>
      </w:r>
    </w:p>
    <w:p w14:paraId="77E034BC" w14:textId="49C11D14" w:rsidR="004F4772" w:rsidRPr="0049458C" w:rsidRDefault="004F4772" w:rsidP="00D67CD0">
      <w:pPr>
        <w:pStyle w:val="IASBNormalnpara"/>
        <w:rPr>
          <w:b/>
          <w:szCs w:val="19"/>
        </w:rPr>
      </w:pPr>
      <w:r w:rsidRPr="004F4772">
        <w:rPr>
          <w:b/>
          <w:szCs w:val="19"/>
          <w:u w:val="single"/>
        </w:rPr>
        <w:t>AusCFRDR15.1</w:t>
      </w:r>
      <w:r w:rsidRPr="004F4772">
        <w:rPr>
          <w:b/>
          <w:szCs w:val="19"/>
        </w:rPr>
        <w:t xml:space="preserve"> </w:t>
      </w:r>
      <w:r>
        <w:rPr>
          <w:b/>
          <w:szCs w:val="19"/>
        </w:rPr>
        <w:tab/>
      </w:r>
      <w:r w:rsidR="009C5917" w:rsidRPr="009C5917">
        <w:rPr>
          <w:b/>
          <w:szCs w:val="19"/>
          <w:u w:val="single"/>
        </w:rPr>
        <w:t xml:space="preserve">Notwithstanding paragraph </w:t>
      </w:r>
      <w:r w:rsidR="009C5917" w:rsidRPr="009C5917">
        <w:rPr>
          <w:b/>
          <w:u w:val="single"/>
        </w:rPr>
        <w:t>RDR15.1, in respect of AusCF entities,</w:t>
      </w:r>
      <w:r w:rsidR="009C5917" w:rsidRPr="009C5917">
        <w:rPr>
          <w:u w:val="single"/>
        </w:rPr>
        <w:t xml:space="preserve"> </w:t>
      </w:r>
      <w:r w:rsidR="009C5917">
        <w:rPr>
          <w:b/>
          <w:szCs w:val="19"/>
          <w:u w:val="single"/>
        </w:rPr>
        <w:t>f</w:t>
      </w:r>
      <w:r w:rsidRPr="004F4772">
        <w:rPr>
          <w:b/>
          <w:szCs w:val="19"/>
          <w:u w:val="single"/>
        </w:rPr>
        <w:t>inancial statements shall present fairly the financial position, financial performance and cash flows of an entity applying Australian Accounting Standards – Reduced Disclosure Requirements</w:t>
      </w:r>
      <w:r w:rsidR="00403EB9" w:rsidRPr="004F4772">
        <w:rPr>
          <w:b/>
          <w:szCs w:val="19"/>
          <w:u w:val="single"/>
        </w:rPr>
        <w:t xml:space="preserve">.  </w:t>
      </w:r>
      <w:r w:rsidRPr="004F4772">
        <w:rPr>
          <w:b/>
          <w:szCs w:val="19"/>
          <w:u w:val="single"/>
        </w:rPr>
        <w:t xml:space="preserve">Fair presentation requires the faithful representation of the effects of transactions, other events and conditions in accordance with the definitions and recognition criteria for assets, liabilities, income and expenses set out in the </w:t>
      </w:r>
      <w:r w:rsidRPr="004F4772">
        <w:rPr>
          <w:b/>
          <w:i/>
          <w:szCs w:val="19"/>
          <w:u w:val="single"/>
        </w:rPr>
        <w:t>Framework</w:t>
      </w:r>
      <w:r w:rsidR="00403EB9" w:rsidRPr="004F4772">
        <w:rPr>
          <w:b/>
          <w:szCs w:val="19"/>
          <w:u w:val="single"/>
        </w:rPr>
        <w:t xml:space="preserve">.  </w:t>
      </w:r>
      <w:r w:rsidRPr="004F4772">
        <w:rPr>
          <w:b/>
          <w:szCs w:val="19"/>
          <w:u w:val="single"/>
        </w:rPr>
        <w:t>The application of Australian Accounting Standards – Reduced Disclosure Requirements, with additional disclosure when necessary, is presumed to result in financial statements that achieve a fair presentation.</w:t>
      </w:r>
    </w:p>
    <w:p w14:paraId="6F53FB38" w14:textId="77777777" w:rsidR="003A66C5" w:rsidRDefault="003A66C5" w:rsidP="00C87FAF">
      <w:pPr>
        <w:pStyle w:val="Heading2"/>
        <w:jc w:val="both"/>
      </w:pPr>
      <w:r>
        <w:t>Amendments to AASB 108</w:t>
      </w:r>
    </w:p>
    <w:p w14:paraId="03D974FB" w14:textId="77777777" w:rsidR="0049458C" w:rsidRPr="0049458C" w:rsidRDefault="0049458C" w:rsidP="00C87FAF">
      <w:pPr>
        <w:pBdr>
          <w:top w:val="single" w:sz="4" w:space="1" w:color="auto"/>
          <w:left w:val="single" w:sz="4" w:space="4" w:color="auto"/>
          <w:bottom w:val="single" w:sz="4" w:space="1" w:color="auto"/>
          <w:right w:val="single" w:sz="4" w:space="4" w:color="auto"/>
        </w:pBdr>
        <w:autoSpaceDE w:val="0"/>
        <w:autoSpaceDN w:val="0"/>
        <w:adjustRightInd w:val="0"/>
        <w:rPr>
          <w:sz w:val="20"/>
        </w:rPr>
      </w:pPr>
      <w:r w:rsidRPr="0049458C">
        <w:rPr>
          <w:sz w:val="20"/>
        </w:rPr>
        <w:t xml:space="preserve">Paragraphs AusCF1, AusCF11 and 54F–54G are added. </w:t>
      </w:r>
      <w:r w:rsidR="00B82924">
        <w:rPr>
          <w:sz w:val="20"/>
        </w:rPr>
        <w:t xml:space="preserve"> </w:t>
      </w:r>
      <w:r w:rsidRPr="0049458C">
        <w:rPr>
          <w:sz w:val="20"/>
        </w:rPr>
        <w:t xml:space="preserve">Paragraph 11(b) </w:t>
      </w:r>
      <w:r w:rsidR="007455D2">
        <w:rPr>
          <w:sz w:val="20"/>
        </w:rPr>
        <w:t xml:space="preserve">is </w:t>
      </w:r>
      <w:r w:rsidRPr="0049458C">
        <w:rPr>
          <w:sz w:val="20"/>
        </w:rPr>
        <w:t xml:space="preserve">amended. </w:t>
      </w:r>
      <w:r w:rsidR="00845209">
        <w:rPr>
          <w:sz w:val="20"/>
        </w:rPr>
        <w:t xml:space="preserve"> </w:t>
      </w:r>
      <w:r w:rsidRPr="0049458C">
        <w:rPr>
          <w:sz w:val="20"/>
        </w:rPr>
        <w:t xml:space="preserve">The footnote to paragraph 11(b) is amended. </w:t>
      </w:r>
      <w:r w:rsidR="00845209">
        <w:rPr>
          <w:sz w:val="20"/>
        </w:rPr>
        <w:t xml:space="preserve"> </w:t>
      </w:r>
      <w:r w:rsidRPr="0049458C">
        <w:rPr>
          <w:sz w:val="20"/>
        </w:rPr>
        <w:t>The heading immediately before paragraph 54 is amended.</w:t>
      </w:r>
    </w:p>
    <w:p w14:paraId="4869685F" w14:textId="77777777" w:rsidR="0049458C" w:rsidRPr="0049458C" w:rsidRDefault="0049458C" w:rsidP="00C87FAF">
      <w:pPr>
        <w:pStyle w:val="Heading2"/>
        <w:spacing w:before="240"/>
        <w:jc w:val="both"/>
      </w:pPr>
      <w:r w:rsidRPr="0049458C">
        <w:t>Objective</w:t>
      </w:r>
    </w:p>
    <w:p w14:paraId="0ED5DE47" w14:textId="77777777" w:rsidR="0049458C" w:rsidRDefault="0049458C" w:rsidP="00C87FAF">
      <w:pPr>
        <w:autoSpaceDE w:val="0"/>
        <w:autoSpaceDN w:val="0"/>
        <w:adjustRightInd w:val="0"/>
        <w:rPr>
          <w:szCs w:val="19"/>
        </w:rPr>
      </w:pPr>
      <w:r w:rsidRPr="00AA4F63">
        <w:rPr>
          <w:szCs w:val="19"/>
        </w:rPr>
        <w:t>…</w:t>
      </w:r>
    </w:p>
    <w:p w14:paraId="19C829A6" w14:textId="77777777" w:rsidR="00FE115A" w:rsidRPr="0067049C" w:rsidRDefault="00FE115A" w:rsidP="008D3210">
      <w:pPr>
        <w:pStyle w:val="IASBNormalnpara"/>
        <w:rPr>
          <w:szCs w:val="19"/>
          <w:u w:val="single"/>
        </w:rPr>
      </w:pPr>
      <w:r w:rsidRPr="0067049C">
        <w:rPr>
          <w:szCs w:val="19"/>
          <w:u w:val="single"/>
        </w:rPr>
        <w:t>AusCF1</w:t>
      </w:r>
      <w:r w:rsidRPr="0067049C">
        <w:rPr>
          <w:szCs w:val="19"/>
        </w:rPr>
        <w:tab/>
      </w:r>
      <w:r w:rsidRPr="0067049C">
        <w:rPr>
          <w:szCs w:val="19"/>
          <w:u w:val="single"/>
        </w:rPr>
        <w:t>AusCF paragraphs and footnotes included in this Standard apply only to:</w:t>
      </w:r>
    </w:p>
    <w:p w14:paraId="2EF29328" w14:textId="456F004C" w:rsidR="00FE115A" w:rsidRPr="0067049C" w:rsidRDefault="008D3210" w:rsidP="008D3210">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2B0434CF" w14:textId="10D78BA2" w:rsidR="00FE115A" w:rsidRPr="0067049C" w:rsidRDefault="008D3210" w:rsidP="008D3210">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F20ED1">
        <w:rPr>
          <w:i/>
          <w:szCs w:val="19"/>
          <w:u w:val="single"/>
        </w:rPr>
        <w:t xml:space="preserve"> </w:t>
      </w:r>
      <w:r w:rsidR="00F20ED1" w:rsidRPr="00F20ED1">
        <w:rPr>
          <w:szCs w:val="19"/>
          <w:u w:val="single"/>
        </w:rPr>
        <w:t>(as identified in AASB 1048</w:t>
      </w:r>
      <w:r w:rsidR="00F20ED1" w:rsidRPr="00F20ED1">
        <w:rPr>
          <w:i/>
          <w:szCs w:val="19"/>
          <w:u w:val="single"/>
        </w:rPr>
        <w:t xml:space="preserve"> Interpretation of Standards</w:t>
      </w:r>
      <w:r w:rsidR="00F20ED1" w:rsidRPr="00F20ED1">
        <w:rPr>
          <w:szCs w:val="19"/>
          <w:u w:val="single"/>
        </w:rPr>
        <w:t>)</w:t>
      </w:r>
      <w:r w:rsidR="00501127">
        <w:rPr>
          <w:szCs w:val="19"/>
          <w:u w:val="single"/>
        </w:rPr>
        <w:t>.</w:t>
      </w:r>
    </w:p>
    <w:p w14:paraId="5B6AA36B" w14:textId="10856721" w:rsidR="00FE115A" w:rsidRPr="0067049C" w:rsidRDefault="00FE115A" w:rsidP="008D3210">
      <w:pPr>
        <w:pStyle w:val="IASBNormalL1P"/>
        <w:rPr>
          <w:szCs w:val="19"/>
          <w:u w:val="single"/>
        </w:rPr>
      </w:pPr>
      <w:r w:rsidRPr="0067049C">
        <w:rPr>
          <w:szCs w:val="19"/>
          <w:u w:val="single"/>
        </w:rPr>
        <w:t xml:space="preserve">Such entities are referred to as ‘AusCF entities’.  </w:t>
      </w:r>
      <w:r w:rsidR="00284EE9" w:rsidRPr="0067049C">
        <w:rPr>
          <w:szCs w:val="19"/>
          <w:u w:val="single"/>
        </w:rPr>
        <w:t>For AusCF entities, the term ‘repor</w:t>
      </w:r>
      <w:r w:rsidR="00D91655">
        <w:rPr>
          <w:szCs w:val="19"/>
          <w:u w:val="single"/>
        </w:rPr>
        <w:t xml:space="preserve">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51628C">
        <w:rPr>
          <w:szCs w:val="19"/>
          <w:u w:val="single"/>
        </w:rPr>
        <w:t xml:space="preserve">(as set out in paragraph Aus1.1 of the </w:t>
      </w:r>
      <w:r w:rsidR="0051628C" w:rsidRPr="00C77A6A">
        <w:rPr>
          <w:i/>
          <w:szCs w:val="19"/>
          <w:u w:val="single"/>
        </w:rPr>
        <w:t>Conceptual Framework</w:t>
      </w:r>
      <w:r w:rsidR="0051628C">
        <w:rPr>
          <w:szCs w:val="19"/>
          <w:u w:val="single"/>
        </w:rPr>
        <w:t xml:space="preserve">) </w:t>
      </w:r>
      <w:r w:rsidRPr="0067049C">
        <w:rPr>
          <w:szCs w:val="19"/>
          <w:u w:val="single"/>
        </w:rPr>
        <w:t>shall not apply AusCF paragraphs or footnotes.</w:t>
      </w:r>
    </w:p>
    <w:p w14:paraId="250C1EE2" w14:textId="77777777" w:rsidR="0049458C" w:rsidRDefault="0049458C" w:rsidP="00C87FAF">
      <w:pPr>
        <w:autoSpaceDE w:val="0"/>
        <w:autoSpaceDN w:val="0"/>
        <w:adjustRightInd w:val="0"/>
        <w:rPr>
          <w:bCs/>
          <w:szCs w:val="19"/>
        </w:rPr>
      </w:pPr>
      <w:r w:rsidRPr="00AA4F63">
        <w:rPr>
          <w:bCs/>
          <w:szCs w:val="19"/>
        </w:rPr>
        <w:t>…</w:t>
      </w:r>
    </w:p>
    <w:p w14:paraId="5D0983DD" w14:textId="77777777" w:rsidR="0049458C" w:rsidRPr="00501127" w:rsidRDefault="0049458C" w:rsidP="008D3210">
      <w:pPr>
        <w:pStyle w:val="Heading1"/>
        <w:spacing w:before="100" w:after="0"/>
        <w:ind w:left="782"/>
        <w:jc w:val="both"/>
        <w:rPr>
          <w:sz w:val="22"/>
          <w:szCs w:val="22"/>
        </w:rPr>
      </w:pPr>
      <w:r w:rsidRPr="00501127">
        <w:rPr>
          <w:sz w:val="22"/>
          <w:szCs w:val="22"/>
        </w:rPr>
        <w:t>Selection and application of accounting policies</w:t>
      </w:r>
    </w:p>
    <w:p w14:paraId="5114A53A" w14:textId="77777777" w:rsidR="0049458C" w:rsidRDefault="0049458C" w:rsidP="00C87FAF">
      <w:pPr>
        <w:autoSpaceDE w:val="0"/>
        <w:autoSpaceDN w:val="0"/>
        <w:adjustRightInd w:val="0"/>
        <w:ind w:left="11" w:hanging="11"/>
        <w:rPr>
          <w:szCs w:val="19"/>
        </w:rPr>
      </w:pPr>
      <w:r w:rsidRPr="00AA4F63">
        <w:rPr>
          <w:szCs w:val="19"/>
        </w:rPr>
        <w:t>…</w:t>
      </w:r>
    </w:p>
    <w:p w14:paraId="28A792BF" w14:textId="77777777" w:rsidR="0049458C" w:rsidRPr="00AA4F63" w:rsidRDefault="0049458C" w:rsidP="008D3210">
      <w:pPr>
        <w:pStyle w:val="IASBNormalnpara"/>
        <w:rPr>
          <w:szCs w:val="19"/>
        </w:rPr>
      </w:pPr>
      <w:r w:rsidRPr="00AA4F63">
        <w:rPr>
          <w:szCs w:val="19"/>
        </w:rPr>
        <w:t xml:space="preserve">11 </w:t>
      </w:r>
      <w:r w:rsidRPr="00AA4F63">
        <w:rPr>
          <w:szCs w:val="19"/>
        </w:rPr>
        <w:tab/>
        <w:t xml:space="preserve">In making the judgement described in paragraph 10, management shall refer to, and consider the applicability of, the following sources in descending order: </w:t>
      </w:r>
    </w:p>
    <w:p w14:paraId="3FB5730B" w14:textId="31797F90" w:rsidR="0049458C" w:rsidRPr="00AA4F63" w:rsidRDefault="008D3210" w:rsidP="008D3210">
      <w:pPr>
        <w:pStyle w:val="IASBNormalnparaL1"/>
        <w:rPr>
          <w:szCs w:val="19"/>
        </w:rPr>
      </w:pPr>
      <w:r>
        <w:rPr>
          <w:szCs w:val="19"/>
        </w:rPr>
        <w:t>(a)</w:t>
      </w:r>
      <w:r>
        <w:rPr>
          <w:szCs w:val="19"/>
        </w:rPr>
        <w:tab/>
      </w:r>
      <w:r w:rsidR="0049458C" w:rsidRPr="00AA4F63">
        <w:rPr>
          <w:szCs w:val="19"/>
        </w:rPr>
        <w:t xml:space="preserve">the requirements in Australian Accounting Standards dealing with similar and related issues; and </w:t>
      </w:r>
    </w:p>
    <w:p w14:paraId="2F0B35AE" w14:textId="525035F4" w:rsidR="0049458C" w:rsidRPr="00AA4F63" w:rsidRDefault="008D3210" w:rsidP="008D3210">
      <w:pPr>
        <w:pStyle w:val="IASBNormalnparaL1"/>
        <w:rPr>
          <w:szCs w:val="19"/>
        </w:rPr>
      </w:pPr>
      <w:r>
        <w:rPr>
          <w:szCs w:val="19"/>
        </w:rPr>
        <w:t>(b)</w:t>
      </w:r>
      <w:r>
        <w:rPr>
          <w:szCs w:val="19"/>
        </w:rPr>
        <w:tab/>
      </w:r>
      <w:r w:rsidR="0049458C" w:rsidRPr="00AA4F63">
        <w:rPr>
          <w:szCs w:val="19"/>
        </w:rPr>
        <w:t xml:space="preserve">the definitions, recognition criteria and measurement concepts for assets, liabilities, income and expenses in the </w:t>
      </w:r>
      <w:r w:rsidR="0049458C" w:rsidRPr="00AA4F63">
        <w:rPr>
          <w:strike/>
          <w:szCs w:val="19"/>
        </w:rPr>
        <w:t>Framework</w:t>
      </w:r>
      <w:r w:rsidR="00501127">
        <w:rPr>
          <w:strike/>
          <w:szCs w:val="19"/>
        </w:rPr>
        <w:t xml:space="preserve"> </w:t>
      </w:r>
      <w:r w:rsidR="0049458C" w:rsidRPr="00AA4F63">
        <w:rPr>
          <w:i/>
          <w:szCs w:val="19"/>
          <w:u w:val="single"/>
        </w:rPr>
        <w:t xml:space="preserve">Conceptual Framework for Financial Reporting </w:t>
      </w:r>
      <w:r w:rsidR="0049458C" w:rsidRPr="00501127">
        <w:rPr>
          <w:szCs w:val="19"/>
          <w:u w:val="single"/>
        </w:rPr>
        <w:t>(</w:t>
      </w:r>
      <w:r w:rsidR="0049458C" w:rsidRPr="00AA4F63">
        <w:rPr>
          <w:i/>
          <w:szCs w:val="19"/>
          <w:u w:val="single"/>
        </w:rPr>
        <w:t>Conceptual Framework</w:t>
      </w:r>
      <w:r w:rsidR="0049458C" w:rsidRPr="00AA4F63">
        <w:rPr>
          <w:szCs w:val="19"/>
          <w:u w:val="single"/>
        </w:rPr>
        <w:t xml:space="preserve">) (as identified in AASB 1048 </w:t>
      </w:r>
      <w:r w:rsidR="0049458C" w:rsidRPr="00AA4F63">
        <w:rPr>
          <w:i/>
          <w:szCs w:val="19"/>
          <w:u w:val="single"/>
        </w:rPr>
        <w:t>Interpretation of Standards</w:t>
      </w:r>
      <w:r w:rsidR="0049458C" w:rsidRPr="00AA4F63">
        <w:rPr>
          <w:szCs w:val="19"/>
          <w:u w:val="single"/>
        </w:rPr>
        <w:t>)</w:t>
      </w:r>
      <w:r w:rsidR="0049458C" w:rsidRPr="00AA4F63">
        <w:rPr>
          <w:szCs w:val="19"/>
        </w:rPr>
        <w:t>.</w:t>
      </w:r>
      <w:r w:rsidR="0049458C" w:rsidRPr="00AA4F63">
        <w:rPr>
          <w:szCs w:val="19"/>
          <w:vertAlign w:val="superscript"/>
        </w:rPr>
        <w:t>3</w:t>
      </w:r>
    </w:p>
    <w:p w14:paraId="7BA86FEF" w14:textId="77777777" w:rsidR="0049458C" w:rsidRPr="00AA4F63" w:rsidRDefault="0049458C" w:rsidP="008D3210">
      <w:pPr>
        <w:pStyle w:val="IASBNormalnparaL1"/>
        <w:ind w:left="1491" w:hanging="709"/>
        <w:rPr>
          <w:sz w:val="16"/>
          <w:szCs w:val="16"/>
        </w:rPr>
      </w:pPr>
      <w:r w:rsidRPr="00AA4F63">
        <w:rPr>
          <w:sz w:val="16"/>
          <w:szCs w:val="16"/>
        </w:rPr>
        <w:t xml:space="preserve">3 </w:t>
      </w:r>
      <w:r w:rsidRPr="00AA4F63">
        <w:rPr>
          <w:sz w:val="16"/>
          <w:szCs w:val="16"/>
        </w:rPr>
        <w:tab/>
      </w:r>
      <w:r w:rsidRPr="00AA4F63">
        <w:rPr>
          <w:strike/>
          <w:sz w:val="16"/>
          <w:szCs w:val="16"/>
        </w:rPr>
        <w:t xml:space="preserve">In December 2013 the AASB amended the </w:t>
      </w:r>
      <w:r w:rsidRPr="00AA4F63">
        <w:rPr>
          <w:i/>
          <w:strike/>
          <w:sz w:val="16"/>
          <w:szCs w:val="16"/>
        </w:rPr>
        <w:t>Framework for the Preparation and Presentation of Financial Statements</w:t>
      </w:r>
      <w:r w:rsidR="00501127">
        <w:rPr>
          <w:i/>
          <w:strike/>
          <w:sz w:val="16"/>
          <w:szCs w:val="16"/>
        </w:rPr>
        <w:t xml:space="preserve"> </w:t>
      </w:r>
      <w:r w:rsidRPr="00AA4F63">
        <w:rPr>
          <w:sz w:val="16"/>
          <w:szCs w:val="16"/>
          <w:u w:val="single"/>
        </w:rPr>
        <w:t>Paragraph 54G explains how this requirement is amended for regulatory account balances</w:t>
      </w:r>
      <w:r w:rsidRPr="00AA4F63">
        <w:rPr>
          <w:sz w:val="16"/>
          <w:szCs w:val="16"/>
        </w:rPr>
        <w:t>.</w:t>
      </w:r>
    </w:p>
    <w:p w14:paraId="79E895FB" w14:textId="77777777" w:rsidR="0049458C" w:rsidRPr="00AA4F63" w:rsidRDefault="0049458C" w:rsidP="008D3210">
      <w:pPr>
        <w:pStyle w:val="IASBNormalnpara"/>
        <w:rPr>
          <w:szCs w:val="19"/>
          <w:u w:val="single"/>
        </w:rPr>
      </w:pPr>
      <w:r w:rsidRPr="00AA4F63">
        <w:rPr>
          <w:szCs w:val="19"/>
          <w:u w:val="single"/>
        </w:rPr>
        <w:t>AusCF11</w:t>
      </w:r>
      <w:r w:rsidRPr="00AA4F63">
        <w:rPr>
          <w:szCs w:val="19"/>
        </w:rPr>
        <w:t xml:space="preserve"> </w:t>
      </w:r>
      <w:r w:rsidRPr="00AA4F63">
        <w:rPr>
          <w:szCs w:val="19"/>
        </w:rPr>
        <w:tab/>
      </w:r>
      <w:r w:rsidRPr="00AA4F63">
        <w:rPr>
          <w:szCs w:val="19"/>
          <w:u w:val="single"/>
        </w:rPr>
        <w:t xml:space="preserve">Notwithstanding paragraph 11, in respect of AusCF entities, in making the judgement described in paragraph 10, management shall refer to, and consider the applicability of, the following sources in descending order: </w:t>
      </w:r>
    </w:p>
    <w:p w14:paraId="6ACEB76A" w14:textId="051F4168" w:rsidR="0049458C" w:rsidRPr="00AA4F63" w:rsidRDefault="008D4244" w:rsidP="008D4244">
      <w:pPr>
        <w:pStyle w:val="IASBNormalnparaL1"/>
        <w:rPr>
          <w:szCs w:val="19"/>
          <w:u w:val="single"/>
        </w:rPr>
      </w:pPr>
      <w:r>
        <w:rPr>
          <w:szCs w:val="19"/>
          <w:u w:val="single"/>
        </w:rPr>
        <w:t>(a)</w:t>
      </w:r>
      <w:r>
        <w:rPr>
          <w:szCs w:val="19"/>
          <w:u w:val="single"/>
        </w:rPr>
        <w:tab/>
      </w:r>
      <w:r w:rsidR="0049458C" w:rsidRPr="00AA4F63">
        <w:rPr>
          <w:szCs w:val="19"/>
          <w:u w:val="single"/>
        </w:rPr>
        <w:t xml:space="preserve">the requirements in Australian Accounting Standards dealing with similar and related issues; and </w:t>
      </w:r>
    </w:p>
    <w:p w14:paraId="175F59D1" w14:textId="7B0E7BC1" w:rsidR="0049458C" w:rsidRPr="00AA4F63" w:rsidRDefault="008D4244" w:rsidP="008D4244">
      <w:pPr>
        <w:pStyle w:val="IASBNormalnparaL1"/>
        <w:rPr>
          <w:szCs w:val="19"/>
        </w:rPr>
      </w:pPr>
      <w:r>
        <w:rPr>
          <w:szCs w:val="19"/>
          <w:u w:val="single"/>
        </w:rPr>
        <w:t>(b)</w:t>
      </w:r>
      <w:r>
        <w:rPr>
          <w:szCs w:val="19"/>
          <w:u w:val="single"/>
        </w:rPr>
        <w:tab/>
      </w:r>
      <w:r w:rsidR="0049458C" w:rsidRPr="00AA4F63">
        <w:rPr>
          <w:szCs w:val="19"/>
          <w:u w:val="single"/>
        </w:rPr>
        <w:t xml:space="preserve">the definitions, recognition criteria and measurement concepts for assets, liabilities, income and expenses in the </w:t>
      </w:r>
      <w:r w:rsidR="0049458C" w:rsidRPr="005A45AC">
        <w:rPr>
          <w:i/>
          <w:szCs w:val="19"/>
          <w:u w:val="single"/>
        </w:rPr>
        <w:t>Framework</w:t>
      </w:r>
      <w:r w:rsidR="0049458C" w:rsidRPr="00A54628">
        <w:rPr>
          <w:szCs w:val="19"/>
          <w:u w:val="single"/>
          <w:vertAlign w:val="superscript"/>
        </w:rPr>
        <w:t>AusCF3</w:t>
      </w:r>
      <w:r w:rsidR="0049458C" w:rsidRPr="00AA4F63">
        <w:rPr>
          <w:szCs w:val="19"/>
          <w:u w:val="single"/>
        </w:rPr>
        <w:t>.</w:t>
      </w:r>
    </w:p>
    <w:p w14:paraId="2A63DC55" w14:textId="77777777" w:rsidR="0049458C" w:rsidRPr="00AA4F63" w:rsidRDefault="0049458C" w:rsidP="008D4244">
      <w:pPr>
        <w:pStyle w:val="IASBNormalnparaL1"/>
        <w:ind w:left="1491" w:hanging="709"/>
        <w:rPr>
          <w:sz w:val="16"/>
          <w:szCs w:val="16"/>
        </w:rPr>
      </w:pPr>
      <w:r w:rsidRPr="00AA4F63">
        <w:rPr>
          <w:sz w:val="16"/>
          <w:szCs w:val="16"/>
          <w:u w:val="single"/>
        </w:rPr>
        <w:t>AusCF3</w:t>
      </w:r>
      <w:r w:rsidRPr="00AA4F63">
        <w:rPr>
          <w:sz w:val="16"/>
          <w:szCs w:val="16"/>
        </w:rPr>
        <w:t xml:space="preserve"> </w:t>
      </w:r>
      <w:r w:rsidRPr="00AA4F63">
        <w:rPr>
          <w:sz w:val="16"/>
          <w:szCs w:val="16"/>
        </w:rPr>
        <w:tab/>
      </w:r>
      <w:r w:rsidRPr="00AA4F63">
        <w:rPr>
          <w:sz w:val="16"/>
          <w:szCs w:val="16"/>
          <w:u w:val="single"/>
        </w:rPr>
        <w:t xml:space="preserve">In December 2013 the AASB amended the </w:t>
      </w:r>
      <w:r w:rsidRPr="00AA4F63">
        <w:rPr>
          <w:i/>
          <w:sz w:val="16"/>
          <w:szCs w:val="16"/>
          <w:u w:val="single"/>
        </w:rPr>
        <w:t xml:space="preserve">Framework for the Preparation and Presentation of Financial </w:t>
      </w:r>
      <w:r w:rsidRPr="00A54628">
        <w:rPr>
          <w:i/>
          <w:sz w:val="16"/>
          <w:szCs w:val="16"/>
          <w:u w:val="single"/>
        </w:rPr>
        <w:t>Statements</w:t>
      </w:r>
      <w:r w:rsidR="00A54628" w:rsidRPr="00A54628">
        <w:rPr>
          <w:sz w:val="16"/>
          <w:szCs w:val="16"/>
          <w:u w:val="single"/>
        </w:rPr>
        <w:t xml:space="preserve"> (as identified in AASB 1048 </w:t>
      </w:r>
      <w:r w:rsidR="00A54628" w:rsidRPr="00A54628">
        <w:rPr>
          <w:i/>
          <w:sz w:val="16"/>
          <w:szCs w:val="16"/>
          <w:u w:val="single"/>
        </w:rPr>
        <w:t>Interpretation of Standards</w:t>
      </w:r>
      <w:r w:rsidR="00A54628" w:rsidRPr="00A54628">
        <w:rPr>
          <w:sz w:val="16"/>
          <w:szCs w:val="16"/>
          <w:u w:val="single"/>
        </w:rPr>
        <w:t>)</w:t>
      </w:r>
      <w:r w:rsidRPr="00A54628">
        <w:rPr>
          <w:sz w:val="16"/>
          <w:szCs w:val="16"/>
          <w:u w:val="single"/>
        </w:rPr>
        <w:t>.</w:t>
      </w:r>
    </w:p>
    <w:p w14:paraId="54085F80" w14:textId="77777777" w:rsidR="0049458C" w:rsidRPr="00AA4F63" w:rsidRDefault="0049458C" w:rsidP="00C87FAF">
      <w:pPr>
        <w:pStyle w:val="Heading2"/>
        <w:spacing w:before="240"/>
        <w:jc w:val="both"/>
      </w:pPr>
      <w:r w:rsidRPr="00AA4F63">
        <w:t xml:space="preserve">Effective date </w:t>
      </w:r>
      <w:r w:rsidRPr="00AA4F63">
        <w:rPr>
          <w:u w:val="single"/>
        </w:rPr>
        <w:t>and transition</w:t>
      </w:r>
    </w:p>
    <w:p w14:paraId="60449B4C" w14:textId="77777777" w:rsidR="0049458C" w:rsidRDefault="0049458C" w:rsidP="00C87FAF">
      <w:pPr>
        <w:ind w:left="11" w:hanging="11"/>
        <w:rPr>
          <w:szCs w:val="19"/>
        </w:rPr>
      </w:pPr>
      <w:r w:rsidRPr="00AA4F63">
        <w:rPr>
          <w:szCs w:val="19"/>
        </w:rPr>
        <w:t>...</w:t>
      </w:r>
    </w:p>
    <w:p w14:paraId="700449E4" w14:textId="33DE85F5" w:rsidR="0049458C" w:rsidRPr="00AA4F63" w:rsidRDefault="0049458C" w:rsidP="008D4244">
      <w:pPr>
        <w:pStyle w:val="IASBNormalnpara"/>
        <w:rPr>
          <w:szCs w:val="19"/>
          <w:u w:val="single"/>
        </w:rPr>
      </w:pPr>
      <w:r w:rsidRPr="00AA4F63">
        <w:rPr>
          <w:szCs w:val="19"/>
          <w:u w:val="single"/>
        </w:rPr>
        <w:t>54F</w:t>
      </w:r>
      <w:r w:rsidRPr="00AA4F63">
        <w:rPr>
          <w:szCs w:val="19"/>
        </w:rPr>
        <w:tab/>
      </w:r>
      <w:r w:rsidRPr="00AA4F63">
        <w:rPr>
          <w:szCs w:val="19"/>
          <w:u w:val="single"/>
        </w:rPr>
        <w:t>AASB </w:t>
      </w:r>
      <w:r w:rsidR="00043A3E">
        <w:rPr>
          <w:szCs w:val="19"/>
          <w:u w:val="single"/>
        </w:rPr>
        <w:t>2019-1</w:t>
      </w:r>
      <w:r w:rsidRPr="00AA4F63">
        <w:rPr>
          <w:szCs w:val="19"/>
          <w:u w:val="single"/>
        </w:rPr>
        <w:t xml:space="preserve"> </w:t>
      </w:r>
      <w:r w:rsidRPr="00AA4F63">
        <w:rPr>
          <w:i/>
          <w:iCs/>
          <w:szCs w:val="19"/>
          <w:u w:val="single"/>
        </w:rPr>
        <w:t>Amendments to Australian Accounting Standards – References to the Conceptual Framework</w:t>
      </w:r>
      <w:r w:rsidRPr="00AA4F63">
        <w:rPr>
          <w:szCs w:val="19"/>
          <w:u w:val="single"/>
        </w:rPr>
        <w:t xml:space="preserve">, issued in </w:t>
      </w:r>
      <w:r w:rsidR="00443B60">
        <w:rPr>
          <w:szCs w:val="19"/>
          <w:u w:val="single"/>
        </w:rPr>
        <w:t>2019</w:t>
      </w:r>
      <w:r w:rsidRPr="00AA4F63">
        <w:rPr>
          <w:szCs w:val="19"/>
          <w:u w:val="single"/>
        </w:rPr>
        <w:t xml:space="preserve">, added </w:t>
      </w:r>
      <w:r w:rsidR="00AA4F63">
        <w:rPr>
          <w:szCs w:val="19"/>
          <w:u w:val="single"/>
        </w:rPr>
        <w:t xml:space="preserve">AusCF paragraphs and amended </w:t>
      </w:r>
      <w:r w:rsidRPr="00AA4F63">
        <w:rPr>
          <w:szCs w:val="19"/>
          <w:u w:val="single"/>
        </w:rPr>
        <w:t>paragraph 11</w:t>
      </w:r>
      <w:r w:rsidR="00AA4F63">
        <w:rPr>
          <w:szCs w:val="19"/>
          <w:u w:val="single"/>
        </w:rPr>
        <w:t>(b)</w:t>
      </w:r>
      <w:r w:rsidR="00403EB9" w:rsidRPr="00AA4F63">
        <w:rPr>
          <w:szCs w:val="19"/>
          <w:u w:val="single"/>
        </w:rPr>
        <w:t xml:space="preserve">.  </w:t>
      </w:r>
      <w:r w:rsidRPr="00AA4F63">
        <w:rPr>
          <w:szCs w:val="19"/>
          <w:u w:val="single"/>
        </w:rPr>
        <w:t>An entity shall apply those amendments for annual periods beginning on or after 1 January 2020</w:t>
      </w:r>
      <w:r w:rsidR="00403EB9" w:rsidRPr="00AA4F63">
        <w:rPr>
          <w:szCs w:val="19"/>
          <w:u w:val="single"/>
        </w:rPr>
        <w:t xml:space="preserve">.  </w:t>
      </w:r>
      <w:r w:rsidRPr="00AA4F63">
        <w:rPr>
          <w:szCs w:val="19"/>
          <w:u w:val="single"/>
        </w:rPr>
        <w:t>Earlier application is permitted if at the same time an entity also applies all other amendments made by AASB </w:t>
      </w:r>
      <w:r w:rsidR="00043A3E">
        <w:rPr>
          <w:szCs w:val="19"/>
          <w:u w:val="single"/>
        </w:rPr>
        <w:t>2019-1</w:t>
      </w:r>
      <w:r w:rsidR="00403EB9" w:rsidRPr="00AA4F63">
        <w:rPr>
          <w:szCs w:val="19"/>
          <w:u w:val="single"/>
        </w:rPr>
        <w:t xml:space="preserve">.  </w:t>
      </w:r>
      <w:r w:rsidRPr="00AA4F63">
        <w:rPr>
          <w:szCs w:val="19"/>
          <w:u w:val="single"/>
        </w:rPr>
        <w:t>An entity shall apply paragraph 11 retrospectively in accordance with this Standard</w:t>
      </w:r>
      <w:r w:rsidR="00403EB9" w:rsidRPr="00AA4F63">
        <w:rPr>
          <w:szCs w:val="19"/>
          <w:u w:val="single"/>
        </w:rPr>
        <w:t xml:space="preserve">.  </w:t>
      </w:r>
      <w:r w:rsidRPr="00AA4F63">
        <w:rPr>
          <w:szCs w:val="19"/>
          <w:u w:val="single"/>
        </w:rPr>
        <w:t>However, if an entity determines that retrospective application would be impracticable or would involve undue cost or effort, it shall apply paragraph 11 by reference to paragraphs 23–28 of this Standard</w:t>
      </w:r>
      <w:r w:rsidR="00403EB9" w:rsidRPr="00AA4F63">
        <w:rPr>
          <w:szCs w:val="19"/>
          <w:u w:val="single"/>
        </w:rPr>
        <w:t xml:space="preserve">.  </w:t>
      </w:r>
      <w:r w:rsidRPr="00AA4F63">
        <w:rPr>
          <w:szCs w:val="19"/>
          <w:u w:val="single"/>
        </w:rPr>
        <w:t>If retrospective application of any amendment in AASB </w:t>
      </w:r>
      <w:r w:rsidR="00043A3E">
        <w:rPr>
          <w:szCs w:val="19"/>
          <w:u w:val="single"/>
        </w:rPr>
        <w:t>2019-1</w:t>
      </w:r>
      <w:r w:rsidRPr="00AA4F63">
        <w:rPr>
          <w:szCs w:val="19"/>
          <w:u w:val="single"/>
        </w:rPr>
        <w:t xml:space="preserve"> would involve undue cost or effort, an entity shall, in applying paragraphs 23–28 of this Standard, read any reference except in the last sentence of paragraph 27 to ‘is impracticable’ as ‘involves undue cost or effort’ and any reference to ‘practicable’ as ‘possible without undue cost or effort’.</w:t>
      </w:r>
    </w:p>
    <w:p w14:paraId="0E8D4366" w14:textId="7AC5E403" w:rsidR="0049458C" w:rsidRPr="00AA4F63" w:rsidRDefault="0049458C" w:rsidP="008D4244">
      <w:pPr>
        <w:pStyle w:val="IASBNormalnpara"/>
        <w:rPr>
          <w:szCs w:val="19"/>
          <w:u w:val="single"/>
        </w:rPr>
      </w:pPr>
      <w:r w:rsidRPr="00AA4F63">
        <w:rPr>
          <w:szCs w:val="19"/>
          <w:u w:val="single"/>
        </w:rPr>
        <w:t>54G</w:t>
      </w:r>
      <w:r w:rsidRPr="00AA4F63">
        <w:rPr>
          <w:szCs w:val="19"/>
        </w:rPr>
        <w:tab/>
      </w:r>
      <w:r w:rsidR="00DA30CA">
        <w:rPr>
          <w:szCs w:val="19"/>
          <w:u w:val="single"/>
        </w:rPr>
        <w:t>I</w:t>
      </w:r>
      <w:r w:rsidR="00403EB9" w:rsidRPr="00AA4F63">
        <w:rPr>
          <w:szCs w:val="19"/>
          <w:u w:val="single"/>
        </w:rPr>
        <w:t>f</w:t>
      </w:r>
      <w:r w:rsidRPr="00AA4F63">
        <w:rPr>
          <w:szCs w:val="19"/>
          <w:u w:val="single"/>
        </w:rPr>
        <w:t xml:space="preserve"> an entity does not apply AASB 14 </w:t>
      </w:r>
      <w:r w:rsidRPr="00AA4F63">
        <w:rPr>
          <w:i/>
          <w:szCs w:val="19"/>
          <w:u w:val="single"/>
        </w:rPr>
        <w:t>Regulatory Deferral Accounts</w:t>
      </w:r>
      <w:r w:rsidRPr="00AA4F63">
        <w:rPr>
          <w:szCs w:val="19"/>
          <w:u w:val="single"/>
        </w:rPr>
        <w:t xml:space="preserve">, the entity shall, in applying paragraph 11(b) to regulatory account balances, continue to refer to, and consider the applicability of, the definitions, recognition criteria, and measurement concepts in the </w:t>
      </w:r>
      <w:r w:rsidRPr="00AA4F63">
        <w:rPr>
          <w:i/>
          <w:szCs w:val="19"/>
          <w:u w:val="single"/>
        </w:rPr>
        <w:t>Framework for the Preparation and Presentation of Financial Statements</w:t>
      </w:r>
      <w:r w:rsidRPr="00AA4F63">
        <w:rPr>
          <w:szCs w:val="19"/>
          <w:u w:val="single"/>
          <w:vertAlign w:val="superscript"/>
        </w:rPr>
        <w:t>4</w:t>
      </w:r>
      <w:r w:rsidRPr="00AA4F63">
        <w:rPr>
          <w:szCs w:val="19"/>
          <w:u w:val="single"/>
        </w:rPr>
        <w:t xml:space="preserve"> instead of those in the </w:t>
      </w:r>
      <w:r w:rsidRPr="00AA4F63">
        <w:rPr>
          <w:i/>
          <w:szCs w:val="19"/>
          <w:u w:val="single"/>
        </w:rPr>
        <w:t>Conceptual Framework</w:t>
      </w:r>
      <w:r w:rsidR="00403EB9" w:rsidRPr="00AA4F63">
        <w:rPr>
          <w:szCs w:val="19"/>
          <w:u w:val="single"/>
        </w:rPr>
        <w:t xml:space="preserve">.  </w:t>
      </w:r>
      <w:r w:rsidRPr="00AA4F63">
        <w:rPr>
          <w:szCs w:val="19"/>
          <w:u w:val="single"/>
        </w:rPr>
        <w:t>A regulatory account balance is the balance of any expense (or income) account that is not recognised as an asset or a liability in accordance with other applicable Australian Accounting Standards but is included, or is expected to be included, by the rate regulator in establishing the rate(s) that can be charged to customers</w:t>
      </w:r>
      <w:r w:rsidR="00403EB9" w:rsidRPr="00AA4F63">
        <w:rPr>
          <w:szCs w:val="19"/>
          <w:u w:val="single"/>
        </w:rPr>
        <w:t xml:space="preserve">.  </w:t>
      </w:r>
      <w:r w:rsidRPr="00AA4F63">
        <w:rPr>
          <w:szCs w:val="19"/>
          <w:u w:val="single"/>
        </w:rPr>
        <w:t>A rate regulator is an authorised body that is empowered by statute or regulation to establish the rate or a range of rates that bind an entity</w:t>
      </w:r>
      <w:r w:rsidR="00403EB9" w:rsidRPr="00AA4F63">
        <w:rPr>
          <w:szCs w:val="19"/>
          <w:u w:val="single"/>
        </w:rPr>
        <w:t xml:space="preserve">.  </w:t>
      </w:r>
      <w:r w:rsidRPr="00AA4F63">
        <w:rPr>
          <w:szCs w:val="19"/>
          <w:u w:val="single"/>
        </w:rPr>
        <w:t>The rate regulator may be a third-party body or a related party of the entity, including the entity’s own governing board, if that body is required by statute or regulation to set rates both in the interest of the customers and to ensure the overall financial viability of the entity.</w:t>
      </w:r>
    </w:p>
    <w:p w14:paraId="527B7E67" w14:textId="77777777" w:rsidR="0049458C" w:rsidRPr="00AA4F63" w:rsidRDefault="0049458C" w:rsidP="008D4244">
      <w:pPr>
        <w:pStyle w:val="IASBNormalnparaL1"/>
        <w:ind w:left="1491" w:hanging="709"/>
        <w:rPr>
          <w:sz w:val="16"/>
          <w:szCs w:val="16"/>
          <w:u w:val="single"/>
        </w:rPr>
      </w:pPr>
      <w:r w:rsidRPr="00AA4F63">
        <w:rPr>
          <w:sz w:val="16"/>
          <w:szCs w:val="16"/>
          <w:u w:val="single"/>
        </w:rPr>
        <w:t>4</w:t>
      </w:r>
      <w:r w:rsidRPr="00AA4F63">
        <w:rPr>
          <w:sz w:val="16"/>
          <w:szCs w:val="16"/>
        </w:rPr>
        <w:t xml:space="preserve"> </w:t>
      </w:r>
      <w:r w:rsidRPr="00AA4F63">
        <w:rPr>
          <w:sz w:val="16"/>
          <w:szCs w:val="16"/>
        </w:rPr>
        <w:tab/>
      </w:r>
      <w:r w:rsidRPr="00AA4F63">
        <w:rPr>
          <w:sz w:val="16"/>
          <w:szCs w:val="16"/>
          <w:u w:val="single"/>
        </w:rPr>
        <w:t xml:space="preserve">The reference is to the </w:t>
      </w:r>
      <w:r w:rsidRPr="00AA4F63">
        <w:rPr>
          <w:i/>
          <w:sz w:val="16"/>
          <w:szCs w:val="16"/>
          <w:u w:val="single"/>
        </w:rPr>
        <w:t>Framework for the Preparation and Presentation of Financial Statements</w:t>
      </w:r>
      <w:r w:rsidRPr="00AA4F63">
        <w:rPr>
          <w:sz w:val="16"/>
          <w:szCs w:val="16"/>
          <w:u w:val="single"/>
        </w:rPr>
        <w:t xml:space="preserve"> adopted by the AASB in </w:t>
      </w:r>
      <w:r w:rsidRPr="0067049C">
        <w:rPr>
          <w:sz w:val="16"/>
          <w:szCs w:val="16"/>
          <w:u w:val="single"/>
        </w:rPr>
        <w:t>200</w:t>
      </w:r>
      <w:r w:rsidR="00C44135">
        <w:rPr>
          <w:sz w:val="16"/>
          <w:szCs w:val="16"/>
          <w:u w:val="single"/>
        </w:rPr>
        <w:t>4</w:t>
      </w:r>
      <w:r w:rsidRPr="00AA4F63">
        <w:rPr>
          <w:sz w:val="16"/>
          <w:szCs w:val="16"/>
          <w:u w:val="single"/>
        </w:rPr>
        <w:t>.</w:t>
      </w:r>
    </w:p>
    <w:p w14:paraId="66AD0F41" w14:textId="77777777" w:rsidR="00A009E4" w:rsidRDefault="00A009E4" w:rsidP="00C87FAF">
      <w:pPr>
        <w:pStyle w:val="Heading2"/>
        <w:jc w:val="both"/>
      </w:pPr>
      <w:r>
        <w:t>Amendments to AASB 110</w:t>
      </w:r>
    </w:p>
    <w:p w14:paraId="182F28A7" w14:textId="77777777" w:rsidR="00A009E4" w:rsidRPr="004043A1" w:rsidRDefault="00A009E4"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643741B1" w14:textId="77777777" w:rsidR="00A009E4" w:rsidRPr="004043A1" w:rsidRDefault="00A009E4" w:rsidP="008E5DDE">
      <w:pPr>
        <w:pStyle w:val="Heading2"/>
        <w:spacing w:before="240"/>
        <w:jc w:val="both"/>
      </w:pPr>
      <w:r>
        <w:t>Objective</w:t>
      </w:r>
    </w:p>
    <w:p w14:paraId="36E017E4" w14:textId="77777777" w:rsidR="00A009E4" w:rsidRPr="004043A1" w:rsidRDefault="00A009E4" w:rsidP="00C87FAF">
      <w:pPr>
        <w:autoSpaceDE w:val="0"/>
        <w:autoSpaceDN w:val="0"/>
        <w:adjustRightInd w:val="0"/>
        <w:rPr>
          <w:szCs w:val="19"/>
        </w:rPr>
      </w:pPr>
      <w:r w:rsidRPr="004043A1">
        <w:rPr>
          <w:szCs w:val="19"/>
        </w:rPr>
        <w:t>…</w:t>
      </w:r>
    </w:p>
    <w:p w14:paraId="23A38D1C" w14:textId="77777777" w:rsidR="00A009E4" w:rsidRPr="0067049C" w:rsidRDefault="00A009E4" w:rsidP="008D4244">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546925B1" w14:textId="41C20E84" w:rsidR="00A009E4" w:rsidRPr="0067049C" w:rsidRDefault="008D4244" w:rsidP="008D4244">
      <w:pPr>
        <w:pStyle w:val="IASBNormalnparaL1"/>
        <w:rPr>
          <w:szCs w:val="19"/>
          <w:u w:val="single"/>
        </w:rPr>
      </w:pPr>
      <w:r>
        <w:rPr>
          <w:szCs w:val="19"/>
          <w:u w:val="single"/>
        </w:rPr>
        <w:t>(a)</w:t>
      </w:r>
      <w:r>
        <w:rPr>
          <w:szCs w:val="19"/>
          <w:u w:val="single"/>
        </w:rPr>
        <w:tab/>
      </w:r>
      <w:r w:rsidR="00A009E4" w:rsidRPr="0067049C">
        <w:rPr>
          <w:szCs w:val="19"/>
          <w:u w:val="single"/>
        </w:rPr>
        <w:t xml:space="preserve">not-for-profit entities; and </w:t>
      </w:r>
    </w:p>
    <w:p w14:paraId="60D7CBD1" w14:textId="6545C3A0" w:rsidR="00A009E4" w:rsidRPr="0067049C" w:rsidRDefault="008D4244" w:rsidP="008D4244">
      <w:pPr>
        <w:pStyle w:val="IASBNormalnparaL1"/>
        <w:rPr>
          <w:szCs w:val="19"/>
          <w:u w:val="single"/>
        </w:rPr>
      </w:pPr>
      <w:r>
        <w:rPr>
          <w:szCs w:val="19"/>
          <w:u w:val="single"/>
        </w:rPr>
        <w:t>(b)</w:t>
      </w:r>
      <w:r>
        <w:rPr>
          <w:szCs w:val="19"/>
          <w:u w:val="single"/>
        </w:rPr>
        <w:tab/>
      </w:r>
      <w:r w:rsidR="00A009E4" w:rsidRPr="0067049C">
        <w:rPr>
          <w:szCs w:val="19"/>
          <w:u w:val="single"/>
        </w:rPr>
        <w:t xml:space="preserve">for-profit entities that are not applying the </w:t>
      </w:r>
      <w:r w:rsidR="00A009E4"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A009E4" w:rsidRPr="0067049C">
        <w:rPr>
          <w:szCs w:val="19"/>
          <w:u w:val="single"/>
        </w:rPr>
        <w:t>.</w:t>
      </w:r>
    </w:p>
    <w:p w14:paraId="51B30CEE" w14:textId="7FED55A6" w:rsidR="00A009E4" w:rsidRPr="005A45AC" w:rsidRDefault="00A009E4" w:rsidP="008D4244">
      <w:pPr>
        <w:pStyle w:val="IASBNormalL1P"/>
        <w:rPr>
          <w:szCs w:val="19"/>
          <w:u w:val="single"/>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DD424A">
        <w:rPr>
          <w:i/>
          <w:szCs w:val="19"/>
          <w:u w:val="single"/>
        </w:rPr>
        <w:t>Definition of the Reporting Entity</w:t>
      </w:r>
      <w:r w:rsidRPr="00D37743">
        <w:rPr>
          <w:szCs w:val="19"/>
          <w:u w:val="single"/>
        </w:rPr>
        <w:t xml:space="preserve"> also applies</w:t>
      </w:r>
      <w:r w:rsidRPr="005A45AC">
        <w:rPr>
          <w:i/>
          <w:szCs w:val="19"/>
          <w:u w:val="single"/>
        </w:rPr>
        <w:t>.</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5D03F7E7" w14:textId="77777777" w:rsidR="003A66C5" w:rsidRDefault="003A66C5" w:rsidP="00C87FAF">
      <w:pPr>
        <w:pStyle w:val="Heading2"/>
        <w:jc w:val="both"/>
      </w:pPr>
      <w:r>
        <w:t>Amendments to AASB 112</w:t>
      </w:r>
    </w:p>
    <w:p w14:paraId="7C4A32E7"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458FCDE4" w14:textId="77777777" w:rsidR="004043A1" w:rsidRPr="004043A1" w:rsidRDefault="004043A1" w:rsidP="008E5DDE">
      <w:pPr>
        <w:pStyle w:val="Heading2"/>
        <w:spacing w:before="240"/>
        <w:jc w:val="both"/>
      </w:pPr>
      <w:r w:rsidRPr="004043A1">
        <w:t>Scope</w:t>
      </w:r>
    </w:p>
    <w:p w14:paraId="38DA74FA" w14:textId="77777777" w:rsidR="004043A1" w:rsidRPr="004043A1" w:rsidRDefault="004043A1" w:rsidP="00C87FAF">
      <w:pPr>
        <w:autoSpaceDE w:val="0"/>
        <w:autoSpaceDN w:val="0"/>
        <w:adjustRightInd w:val="0"/>
        <w:rPr>
          <w:szCs w:val="19"/>
        </w:rPr>
      </w:pPr>
      <w:r w:rsidRPr="004043A1">
        <w:rPr>
          <w:szCs w:val="19"/>
        </w:rPr>
        <w:t>…</w:t>
      </w:r>
    </w:p>
    <w:p w14:paraId="69D57BD1" w14:textId="77777777" w:rsidR="00284EE9" w:rsidRPr="0067049C" w:rsidRDefault="00284EE9" w:rsidP="008D4244">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3DFBF06B" w14:textId="4F5FECFB" w:rsidR="00284EE9" w:rsidRPr="0067049C" w:rsidRDefault="008D4244" w:rsidP="008D4244">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05431D81" w14:textId="58BCCCDC" w:rsidR="00284EE9" w:rsidRPr="0067049C" w:rsidRDefault="008D4244" w:rsidP="008D4244">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7ACF8F2A" w14:textId="4EFBC7F3" w:rsidR="00284EE9" w:rsidRDefault="00284EE9" w:rsidP="008D4244">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07B42C08" w14:textId="77777777" w:rsidR="003A66C5" w:rsidRDefault="003A66C5" w:rsidP="00C87FAF">
      <w:pPr>
        <w:pStyle w:val="Heading2"/>
        <w:jc w:val="both"/>
      </w:pPr>
      <w:r>
        <w:t>Amendments to AASB 116</w:t>
      </w:r>
    </w:p>
    <w:p w14:paraId="2609E66E" w14:textId="77777777" w:rsidR="004043A1" w:rsidRPr="004043A1" w:rsidRDefault="004043A1" w:rsidP="00C87FAF">
      <w:pPr>
        <w:pBdr>
          <w:top w:val="single" w:sz="4" w:space="1" w:color="auto"/>
          <w:left w:val="single" w:sz="4" w:space="4" w:color="auto"/>
          <w:bottom w:val="single" w:sz="4" w:space="1" w:color="auto"/>
          <w:right w:val="single" w:sz="4" w:space="4" w:color="auto"/>
        </w:pBdr>
        <w:tabs>
          <w:tab w:val="left" w:pos="5046"/>
        </w:tabs>
        <w:autoSpaceDE w:val="0"/>
        <w:autoSpaceDN w:val="0"/>
        <w:adjustRightInd w:val="0"/>
        <w:rPr>
          <w:bCs/>
          <w:szCs w:val="19"/>
        </w:rPr>
      </w:pPr>
      <w:r w:rsidRPr="004043A1">
        <w:rPr>
          <w:bCs/>
          <w:szCs w:val="19"/>
        </w:rPr>
        <w:t>Paragraph AusCF1 is added.</w:t>
      </w:r>
    </w:p>
    <w:p w14:paraId="64D9D44A" w14:textId="77777777" w:rsidR="004043A1" w:rsidRPr="004043A1" w:rsidRDefault="004043A1" w:rsidP="00C87FAF">
      <w:pPr>
        <w:pStyle w:val="Heading2"/>
        <w:spacing w:before="240"/>
        <w:jc w:val="both"/>
      </w:pPr>
      <w:r w:rsidRPr="004043A1">
        <w:t>Objective</w:t>
      </w:r>
    </w:p>
    <w:p w14:paraId="13B1FBEB" w14:textId="77777777" w:rsidR="004043A1" w:rsidRPr="004043A1" w:rsidRDefault="004043A1" w:rsidP="00C87FAF">
      <w:pPr>
        <w:autoSpaceDE w:val="0"/>
        <w:autoSpaceDN w:val="0"/>
        <w:adjustRightInd w:val="0"/>
        <w:rPr>
          <w:szCs w:val="19"/>
        </w:rPr>
      </w:pPr>
      <w:r w:rsidRPr="004043A1">
        <w:rPr>
          <w:szCs w:val="19"/>
        </w:rPr>
        <w:t>…</w:t>
      </w:r>
    </w:p>
    <w:p w14:paraId="3BA8FCA2" w14:textId="77777777" w:rsidR="00284EE9" w:rsidRPr="0067049C" w:rsidRDefault="00284EE9" w:rsidP="008D4244">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5CF09EAD" w14:textId="44DC21C5" w:rsidR="00284EE9" w:rsidRPr="0067049C" w:rsidRDefault="008D4244" w:rsidP="008D4244">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16044C29" w14:textId="79092033" w:rsidR="00284EE9" w:rsidRPr="0067049C" w:rsidRDefault="008D4244" w:rsidP="008D4244">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3DEA774B" w14:textId="2C329EDA" w:rsidR="00284EE9" w:rsidRDefault="00284EE9" w:rsidP="008D4244">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66EF4D23" w14:textId="77777777" w:rsidR="003A66C5" w:rsidRDefault="003A66C5" w:rsidP="00C87FAF">
      <w:pPr>
        <w:pStyle w:val="Heading2"/>
        <w:jc w:val="both"/>
      </w:pPr>
      <w:r>
        <w:t>Amendments to AASB 119</w:t>
      </w:r>
    </w:p>
    <w:p w14:paraId="056F3034"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1598F15E" w14:textId="77777777" w:rsidR="004043A1" w:rsidRPr="004043A1" w:rsidRDefault="004043A1" w:rsidP="00C87FAF">
      <w:pPr>
        <w:pStyle w:val="Heading2"/>
        <w:spacing w:before="240"/>
        <w:jc w:val="both"/>
      </w:pPr>
      <w:r w:rsidRPr="004043A1">
        <w:t>Objective</w:t>
      </w:r>
    </w:p>
    <w:p w14:paraId="277058A6" w14:textId="77777777" w:rsidR="004043A1" w:rsidRPr="004043A1" w:rsidRDefault="004043A1" w:rsidP="00C87FAF">
      <w:pPr>
        <w:autoSpaceDE w:val="0"/>
        <w:autoSpaceDN w:val="0"/>
        <w:adjustRightInd w:val="0"/>
        <w:rPr>
          <w:szCs w:val="19"/>
        </w:rPr>
      </w:pPr>
      <w:r w:rsidRPr="004043A1">
        <w:rPr>
          <w:szCs w:val="19"/>
        </w:rPr>
        <w:t>…</w:t>
      </w:r>
    </w:p>
    <w:p w14:paraId="1FC9DB8D" w14:textId="77777777" w:rsidR="00284EE9" w:rsidRPr="0067049C" w:rsidRDefault="00284EE9" w:rsidP="008D4244">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1DF86234" w14:textId="433F0A88" w:rsidR="00284EE9" w:rsidRPr="0067049C" w:rsidRDefault="008D4244" w:rsidP="008D4244">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5CDC1E49" w14:textId="72383AA8" w:rsidR="00284EE9" w:rsidRPr="0067049C" w:rsidRDefault="008D4244" w:rsidP="008D4244">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0382B59C" w14:textId="2D04E86A" w:rsidR="00284EE9" w:rsidRDefault="00284EE9" w:rsidP="008D4244">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487DC20A" w14:textId="77777777" w:rsidR="003A66C5" w:rsidRDefault="003A66C5" w:rsidP="00C87FAF">
      <w:pPr>
        <w:pStyle w:val="Heading2"/>
        <w:jc w:val="both"/>
      </w:pPr>
      <w:r>
        <w:t>Amendments to AASB 121</w:t>
      </w:r>
    </w:p>
    <w:p w14:paraId="1B89E575"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14347B98" w14:textId="77777777" w:rsidR="004043A1" w:rsidRPr="004043A1" w:rsidRDefault="004043A1" w:rsidP="00C87FAF">
      <w:pPr>
        <w:pStyle w:val="Heading2"/>
        <w:spacing w:before="240"/>
        <w:jc w:val="both"/>
      </w:pPr>
      <w:r w:rsidRPr="004043A1">
        <w:t>Objective</w:t>
      </w:r>
    </w:p>
    <w:p w14:paraId="3C7631A3" w14:textId="77777777" w:rsidR="004043A1" w:rsidRPr="004043A1" w:rsidRDefault="004043A1" w:rsidP="00C87FAF">
      <w:pPr>
        <w:autoSpaceDE w:val="0"/>
        <w:autoSpaceDN w:val="0"/>
        <w:adjustRightInd w:val="0"/>
        <w:rPr>
          <w:szCs w:val="19"/>
        </w:rPr>
      </w:pPr>
      <w:r w:rsidRPr="004043A1">
        <w:rPr>
          <w:szCs w:val="19"/>
        </w:rPr>
        <w:t>…</w:t>
      </w:r>
    </w:p>
    <w:p w14:paraId="4A598C0B" w14:textId="77777777" w:rsidR="00284EE9" w:rsidRPr="0067049C" w:rsidRDefault="00284EE9" w:rsidP="008D4244">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685E5191" w14:textId="43006161" w:rsidR="00284EE9" w:rsidRPr="0067049C" w:rsidRDefault="008D4244" w:rsidP="008D4244">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056C2423" w14:textId="71014BB5" w:rsidR="00284EE9" w:rsidRPr="0067049C" w:rsidRDefault="00D4731F" w:rsidP="00D4731F">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20B2FAE1" w14:textId="3054EE78" w:rsidR="00284EE9" w:rsidRDefault="00284EE9" w:rsidP="00D4731F">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0D4F4B01" w14:textId="77777777" w:rsidR="003A66C5" w:rsidRDefault="003A66C5" w:rsidP="00C87FAF">
      <w:pPr>
        <w:pStyle w:val="Heading2"/>
        <w:jc w:val="both"/>
      </w:pPr>
      <w:r>
        <w:t>Amendments to AASB 124</w:t>
      </w:r>
    </w:p>
    <w:p w14:paraId="35FD20DB"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4AE253F0" w14:textId="77777777" w:rsidR="004043A1" w:rsidRPr="004043A1" w:rsidRDefault="004043A1" w:rsidP="00C87FAF">
      <w:pPr>
        <w:pStyle w:val="Heading2"/>
        <w:spacing w:before="240"/>
        <w:jc w:val="both"/>
      </w:pPr>
      <w:r w:rsidRPr="004043A1">
        <w:t>Objective</w:t>
      </w:r>
    </w:p>
    <w:p w14:paraId="67BB0AFB" w14:textId="77777777" w:rsidR="004043A1" w:rsidRPr="004043A1" w:rsidRDefault="004043A1" w:rsidP="00C87FAF">
      <w:pPr>
        <w:autoSpaceDE w:val="0"/>
        <w:autoSpaceDN w:val="0"/>
        <w:adjustRightInd w:val="0"/>
        <w:rPr>
          <w:szCs w:val="19"/>
        </w:rPr>
      </w:pPr>
      <w:r w:rsidRPr="004043A1">
        <w:rPr>
          <w:szCs w:val="19"/>
        </w:rPr>
        <w:t>…</w:t>
      </w:r>
    </w:p>
    <w:p w14:paraId="7C8E1BB4" w14:textId="77777777" w:rsidR="00284EE9" w:rsidRPr="0067049C" w:rsidRDefault="00284EE9" w:rsidP="00C43187">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72C9CF09" w14:textId="621CD184" w:rsidR="00284EE9" w:rsidRPr="0067049C" w:rsidRDefault="00C43187" w:rsidP="00C43187">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431875D8" w14:textId="136CD848" w:rsidR="00284EE9" w:rsidRPr="0067049C" w:rsidRDefault="00C43187" w:rsidP="00C43187">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1C6DB6C3" w14:textId="454D41C4" w:rsidR="00284EE9" w:rsidRDefault="00284EE9" w:rsidP="00C43187">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380921C5" w14:textId="77777777" w:rsidR="003A66C5" w:rsidRDefault="003A66C5" w:rsidP="00C87FAF">
      <w:pPr>
        <w:pStyle w:val="Heading2"/>
        <w:jc w:val="both"/>
      </w:pPr>
      <w:r>
        <w:t>Amendments to AASB 128</w:t>
      </w:r>
    </w:p>
    <w:p w14:paraId="51614E9E"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1D11EB40" w14:textId="77777777" w:rsidR="004043A1" w:rsidRPr="004043A1" w:rsidRDefault="004043A1" w:rsidP="00C87FAF">
      <w:pPr>
        <w:pStyle w:val="Heading2"/>
        <w:spacing w:before="240"/>
        <w:jc w:val="both"/>
      </w:pPr>
      <w:r w:rsidRPr="004043A1">
        <w:t>Objective</w:t>
      </w:r>
    </w:p>
    <w:p w14:paraId="537AC6A6" w14:textId="77777777" w:rsidR="004043A1" w:rsidRPr="004043A1" w:rsidRDefault="004043A1" w:rsidP="00C87FAF">
      <w:pPr>
        <w:autoSpaceDE w:val="0"/>
        <w:autoSpaceDN w:val="0"/>
        <w:adjustRightInd w:val="0"/>
        <w:rPr>
          <w:szCs w:val="19"/>
        </w:rPr>
      </w:pPr>
      <w:r w:rsidRPr="004043A1">
        <w:rPr>
          <w:szCs w:val="19"/>
        </w:rPr>
        <w:t>…</w:t>
      </w:r>
    </w:p>
    <w:p w14:paraId="7A63CBB5" w14:textId="77777777" w:rsidR="00284EE9" w:rsidRPr="0067049C" w:rsidRDefault="00284EE9" w:rsidP="00C43187">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618ACA80" w14:textId="3CF16AC8" w:rsidR="00284EE9" w:rsidRPr="0067049C" w:rsidRDefault="00C43187" w:rsidP="00C43187">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24877222" w14:textId="4416025E" w:rsidR="00284EE9" w:rsidRPr="0067049C" w:rsidRDefault="00C43187" w:rsidP="00C43187">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284EE9" w:rsidRPr="0067049C">
        <w:rPr>
          <w:szCs w:val="19"/>
          <w:u w:val="single"/>
        </w:rPr>
        <w:t>.</w:t>
      </w:r>
    </w:p>
    <w:p w14:paraId="7B324FD3" w14:textId="3FE0E3AE" w:rsidR="00284EE9" w:rsidRDefault="00284EE9" w:rsidP="00C43187">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542D4ACF" w14:textId="77777777" w:rsidR="003A66C5" w:rsidRDefault="003A66C5" w:rsidP="00C87FAF">
      <w:pPr>
        <w:pStyle w:val="Heading2"/>
        <w:jc w:val="both"/>
      </w:pPr>
      <w:r>
        <w:t>Amendments to AASB 132</w:t>
      </w:r>
    </w:p>
    <w:p w14:paraId="689BDC76"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3E657EF9" w14:textId="77777777" w:rsidR="004043A1" w:rsidRPr="004043A1" w:rsidRDefault="004043A1" w:rsidP="00C87FAF">
      <w:pPr>
        <w:pStyle w:val="Heading2"/>
        <w:spacing w:before="240"/>
        <w:jc w:val="both"/>
      </w:pPr>
      <w:r w:rsidRPr="004043A1">
        <w:t>Objective</w:t>
      </w:r>
    </w:p>
    <w:p w14:paraId="56C4E3B5" w14:textId="77777777" w:rsidR="004043A1" w:rsidRPr="004043A1" w:rsidRDefault="004043A1" w:rsidP="00C87FAF">
      <w:pPr>
        <w:autoSpaceDE w:val="0"/>
        <w:autoSpaceDN w:val="0"/>
        <w:adjustRightInd w:val="0"/>
        <w:rPr>
          <w:szCs w:val="19"/>
        </w:rPr>
      </w:pPr>
      <w:r w:rsidRPr="004043A1">
        <w:rPr>
          <w:szCs w:val="19"/>
        </w:rPr>
        <w:t>…</w:t>
      </w:r>
    </w:p>
    <w:p w14:paraId="425BD6EA" w14:textId="77777777" w:rsidR="00284EE9" w:rsidRPr="008D0843" w:rsidRDefault="00284EE9" w:rsidP="00C43187">
      <w:pPr>
        <w:pStyle w:val="IASBNormalnpara"/>
        <w:rPr>
          <w:szCs w:val="19"/>
          <w:u w:val="single"/>
        </w:rPr>
      </w:pPr>
      <w:r w:rsidRPr="008D0843">
        <w:rPr>
          <w:szCs w:val="19"/>
          <w:u w:val="single"/>
        </w:rPr>
        <w:t>AusCF1</w:t>
      </w:r>
      <w:r w:rsidRPr="008D0843">
        <w:rPr>
          <w:szCs w:val="19"/>
        </w:rPr>
        <w:tab/>
      </w:r>
      <w:r w:rsidRPr="008D0843">
        <w:rPr>
          <w:szCs w:val="19"/>
          <w:u w:val="single"/>
        </w:rPr>
        <w:t>AusCF entities are:</w:t>
      </w:r>
    </w:p>
    <w:p w14:paraId="5850AB05" w14:textId="7333395D" w:rsidR="00284EE9" w:rsidRPr="008D0843" w:rsidRDefault="00C43187" w:rsidP="00C43187">
      <w:pPr>
        <w:pStyle w:val="IASBNormalnparaL1"/>
        <w:rPr>
          <w:szCs w:val="19"/>
          <w:u w:val="single"/>
        </w:rPr>
      </w:pPr>
      <w:r>
        <w:rPr>
          <w:szCs w:val="19"/>
          <w:u w:val="single"/>
        </w:rPr>
        <w:t>(a)</w:t>
      </w:r>
      <w:r>
        <w:rPr>
          <w:szCs w:val="19"/>
          <w:u w:val="single"/>
        </w:rPr>
        <w:tab/>
      </w:r>
      <w:r w:rsidR="00284EE9" w:rsidRPr="008D0843">
        <w:rPr>
          <w:szCs w:val="19"/>
          <w:u w:val="single"/>
        </w:rPr>
        <w:t xml:space="preserve">not-for-profit entities; and </w:t>
      </w:r>
    </w:p>
    <w:p w14:paraId="29BDBAC1" w14:textId="4585E408" w:rsidR="00284EE9" w:rsidRPr="008D0843" w:rsidRDefault="00C43187" w:rsidP="00C43187">
      <w:pPr>
        <w:pStyle w:val="IASBNormalnparaL1"/>
        <w:rPr>
          <w:szCs w:val="19"/>
          <w:u w:val="single"/>
        </w:rPr>
      </w:pPr>
      <w:r>
        <w:rPr>
          <w:szCs w:val="19"/>
          <w:u w:val="single"/>
        </w:rPr>
        <w:t>(b)</w:t>
      </w:r>
      <w:r>
        <w:rPr>
          <w:szCs w:val="19"/>
          <w:u w:val="single"/>
        </w:rPr>
        <w:tab/>
      </w:r>
      <w:r w:rsidR="00284EE9" w:rsidRPr="008D0843">
        <w:rPr>
          <w:szCs w:val="19"/>
          <w:u w:val="single"/>
        </w:rPr>
        <w:t xml:space="preserve">for-profit entities that are not applying the </w:t>
      </w:r>
      <w:r w:rsidR="00284EE9" w:rsidRPr="00A74EED">
        <w:rPr>
          <w:i/>
          <w:szCs w:val="19"/>
          <w:u w:val="single"/>
        </w:rPr>
        <w:t>Conceptual Framework for Financial Reporting</w:t>
      </w:r>
      <w:r w:rsidR="005A45AC" w:rsidRPr="008D0843">
        <w:rPr>
          <w:szCs w:val="19"/>
          <w:u w:val="single"/>
        </w:rPr>
        <w:t xml:space="preserve"> (as identified in AASB 1048 </w:t>
      </w:r>
      <w:r w:rsidR="005A45AC" w:rsidRPr="008D0843">
        <w:rPr>
          <w:i/>
          <w:szCs w:val="19"/>
          <w:u w:val="single"/>
        </w:rPr>
        <w:t>Interpretation of Standards</w:t>
      </w:r>
      <w:r w:rsidR="005A45AC" w:rsidRPr="008D0843">
        <w:rPr>
          <w:szCs w:val="19"/>
          <w:u w:val="single"/>
        </w:rPr>
        <w:t>)</w:t>
      </w:r>
      <w:r w:rsidR="00284EE9" w:rsidRPr="008D0843">
        <w:rPr>
          <w:szCs w:val="19"/>
          <w:u w:val="single"/>
        </w:rPr>
        <w:t>.</w:t>
      </w:r>
    </w:p>
    <w:p w14:paraId="6EB25314" w14:textId="318B5E22" w:rsidR="00284EE9" w:rsidRPr="005A45AC" w:rsidRDefault="00284EE9" w:rsidP="00C43187">
      <w:pPr>
        <w:pStyle w:val="IASBNormalL1P"/>
        <w:rPr>
          <w:i/>
          <w:szCs w:val="19"/>
        </w:rPr>
      </w:pPr>
      <w:r w:rsidRPr="008D0843">
        <w:rPr>
          <w:szCs w:val="19"/>
          <w:u w:val="single"/>
        </w:rPr>
        <w:t xml:space="preserve">For AusCF entities, the term ‘reporting entity’ is defined in </w:t>
      </w:r>
      <w:r w:rsidR="008D0843" w:rsidRPr="008D0843">
        <w:rPr>
          <w:szCs w:val="19"/>
          <w:u w:val="single"/>
        </w:rPr>
        <w:t>AASB</w:t>
      </w:r>
      <w:r w:rsidR="00B2123A">
        <w:rPr>
          <w:szCs w:val="19"/>
          <w:u w:val="single"/>
        </w:rPr>
        <w:t> </w:t>
      </w:r>
      <w:r w:rsidR="008D0843" w:rsidRPr="008D0843">
        <w:rPr>
          <w:szCs w:val="19"/>
          <w:u w:val="single"/>
        </w:rPr>
        <w:t xml:space="preserve">1057 </w:t>
      </w:r>
      <w:r w:rsidR="008D0843" w:rsidRPr="008D0843">
        <w:rPr>
          <w:i/>
          <w:szCs w:val="19"/>
          <w:u w:val="single"/>
        </w:rPr>
        <w:t>Application of Australian Accounting Standards</w:t>
      </w:r>
      <w:r w:rsidRPr="008D0843">
        <w:rPr>
          <w:szCs w:val="19"/>
          <w:u w:val="single"/>
        </w:rPr>
        <w:t xml:space="preserve"> and Statement of Accounting Concepts SAC 1 </w:t>
      </w:r>
      <w:r w:rsidRPr="00A74EED">
        <w:rPr>
          <w:i/>
          <w:szCs w:val="19"/>
          <w:u w:val="single"/>
        </w:rPr>
        <w:t>Definition of the Reporting Entity</w:t>
      </w:r>
      <w:r w:rsidRPr="008D0843">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4A2A25B8" w14:textId="3C99DC78" w:rsidR="003A66C5" w:rsidRDefault="003A66C5" w:rsidP="00C87FAF">
      <w:pPr>
        <w:pStyle w:val="Heading2"/>
        <w:jc w:val="both"/>
      </w:pPr>
      <w:r>
        <w:t>Amendments to AASB 133</w:t>
      </w:r>
    </w:p>
    <w:p w14:paraId="4DF5DCA2"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6C1E160E" w14:textId="77777777" w:rsidR="004043A1" w:rsidRPr="004043A1" w:rsidRDefault="004043A1" w:rsidP="00C87FAF">
      <w:pPr>
        <w:pStyle w:val="Heading2"/>
        <w:spacing w:before="240"/>
        <w:jc w:val="both"/>
      </w:pPr>
      <w:r w:rsidRPr="004043A1">
        <w:t>Objective</w:t>
      </w:r>
    </w:p>
    <w:p w14:paraId="594103CE" w14:textId="77777777" w:rsidR="004043A1" w:rsidRPr="004043A1" w:rsidRDefault="004043A1" w:rsidP="00C87FAF">
      <w:pPr>
        <w:autoSpaceDE w:val="0"/>
        <w:autoSpaceDN w:val="0"/>
        <w:adjustRightInd w:val="0"/>
        <w:rPr>
          <w:szCs w:val="19"/>
        </w:rPr>
      </w:pPr>
      <w:r w:rsidRPr="004043A1">
        <w:rPr>
          <w:szCs w:val="19"/>
        </w:rPr>
        <w:t>…</w:t>
      </w:r>
    </w:p>
    <w:p w14:paraId="4AD6CC46" w14:textId="77777777" w:rsidR="00284EE9" w:rsidRPr="008D0843" w:rsidRDefault="00284EE9" w:rsidP="00C43187">
      <w:pPr>
        <w:pStyle w:val="IASBNormalnpara"/>
        <w:rPr>
          <w:szCs w:val="19"/>
          <w:u w:val="single"/>
        </w:rPr>
      </w:pPr>
      <w:r w:rsidRPr="008D0843">
        <w:rPr>
          <w:szCs w:val="19"/>
          <w:u w:val="single"/>
        </w:rPr>
        <w:t>AusCF1</w:t>
      </w:r>
      <w:r w:rsidRPr="008D0843">
        <w:rPr>
          <w:szCs w:val="19"/>
        </w:rPr>
        <w:tab/>
      </w:r>
      <w:r w:rsidRPr="008D0843">
        <w:rPr>
          <w:szCs w:val="19"/>
          <w:u w:val="single"/>
        </w:rPr>
        <w:t>AusCF entities are:</w:t>
      </w:r>
    </w:p>
    <w:p w14:paraId="2D677538" w14:textId="3E093F55" w:rsidR="00284EE9" w:rsidRPr="008D0843" w:rsidRDefault="00C43187" w:rsidP="00C43187">
      <w:pPr>
        <w:pStyle w:val="IASBNormalnparaL1"/>
        <w:rPr>
          <w:szCs w:val="19"/>
          <w:u w:val="single"/>
        </w:rPr>
      </w:pPr>
      <w:r>
        <w:rPr>
          <w:szCs w:val="19"/>
          <w:u w:val="single"/>
        </w:rPr>
        <w:t>(a)</w:t>
      </w:r>
      <w:r>
        <w:rPr>
          <w:szCs w:val="19"/>
          <w:u w:val="single"/>
        </w:rPr>
        <w:tab/>
      </w:r>
      <w:r w:rsidR="00284EE9" w:rsidRPr="008D0843">
        <w:rPr>
          <w:szCs w:val="19"/>
          <w:u w:val="single"/>
        </w:rPr>
        <w:t xml:space="preserve">not-for-profit entities; and </w:t>
      </w:r>
    </w:p>
    <w:p w14:paraId="7508AC5F" w14:textId="04D6AF6B" w:rsidR="00284EE9" w:rsidRPr="008D0843" w:rsidRDefault="00C43187" w:rsidP="00C43187">
      <w:pPr>
        <w:pStyle w:val="IASBNormalnparaL1"/>
        <w:rPr>
          <w:szCs w:val="19"/>
          <w:u w:val="single"/>
        </w:rPr>
      </w:pPr>
      <w:r>
        <w:rPr>
          <w:szCs w:val="19"/>
          <w:u w:val="single"/>
        </w:rPr>
        <w:t>(b)</w:t>
      </w:r>
      <w:r>
        <w:rPr>
          <w:szCs w:val="19"/>
          <w:u w:val="single"/>
        </w:rPr>
        <w:tab/>
      </w:r>
      <w:r w:rsidR="00284EE9" w:rsidRPr="008D0843">
        <w:rPr>
          <w:szCs w:val="19"/>
          <w:u w:val="single"/>
        </w:rPr>
        <w:t xml:space="preserve">for-profit entities that are not applying the </w:t>
      </w:r>
      <w:r w:rsidR="00284EE9" w:rsidRPr="00A74EED">
        <w:rPr>
          <w:i/>
          <w:szCs w:val="19"/>
          <w:u w:val="single"/>
        </w:rPr>
        <w:t>Conceptual Framework for Financial Reporting</w:t>
      </w:r>
      <w:r w:rsidR="005A45AC" w:rsidRPr="008D0843">
        <w:rPr>
          <w:szCs w:val="19"/>
          <w:u w:val="single"/>
        </w:rPr>
        <w:t xml:space="preserve"> (as identified in AASB 1048 </w:t>
      </w:r>
      <w:r w:rsidR="005A45AC" w:rsidRPr="008D0843">
        <w:rPr>
          <w:i/>
          <w:szCs w:val="19"/>
          <w:u w:val="single"/>
        </w:rPr>
        <w:t>Interpretation of Standards</w:t>
      </w:r>
      <w:r w:rsidR="005A45AC" w:rsidRPr="008D0843">
        <w:rPr>
          <w:szCs w:val="19"/>
          <w:u w:val="single"/>
        </w:rPr>
        <w:t>)</w:t>
      </w:r>
      <w:r w:rsidR="00284EE9" w:rsidRPr="008D0843">
        <w:rPr>
          <w:szCs w:val="19"/>
          <w:u w:val="single"/>
        </w:rPr>
        <w:t>.</w:t>
      </w:r>
    </w:p>
    <w:p w14:paraId="68C9C034" w14:textId="4AA7029C" w:rsidR="00284EE9" w:rsidRPr="008D0843" w:rsidRDefault="00284EE9" w:rsidP="00C43187">
      <w:pPr>
        <w:pStyle w:val="IASBNormalL1P"/>
        <w:rPr>
          <w:szCs w:val="19"/>
        </w:rPr>
      </w:pPr>
      <w:r w:rsidRPr="008D0843">
        <w:rPr>
          <w:szCs w:val="19"/>
          <w:u w:val="single"/>
        </w:rPr>
        <w:t xml:space="preserve">For AusCF entities, the term ‘reporting entity’ is defined in </w:t>
      </w:r>
      <w:r w:rsidR="008D0843" w:rsidRPr="008D0843">
        <w:rPr>
          <w:szCs w:val="19"/>
          <w:u w:val="single"/>
        </w:rPr>
        <w:t>AASB</w:t>
      </w:r>
      <w:r w:rsidR="00B2123A">
        <w:rPr>
          <w:szCs w:val="19"/>
          <w:u w:val="single"/>
        </w:rPr>
        <w:t> </w:t>
      </w:r>
      <w:r w:rsidR="008D0843" w:rsidRPr="008D0843">
        <w:rPr>
          <w:szCs w:val="19"/>
          <w:u w:val="single"/>
        </w:rPr>
        <w:t xml:space="preserve">1057 </w:t>
      </w:r>
      <w:r w:rsidR="008D0843" w:rsidRPr="008D0843">
        <w:rPr>
          <w:i/>
          <w:szCs w:val="19"/>
          <w:u w:val="single"/>
        </w:rPr>
        <w:t>Application of Australian Accounting Standards</w:t>
      </w:r>
      <w:r w:rsidRPr="008D0843">
        <w:rPr>
          <w:szCs w:val="19"/>
          <w:u w:val="single"/>
        </w:rPr>
        <w:t xml:space="preserve"> and Statement of Accounting Concepts SAC 1 </w:t>
      </w:r>
      <w:r w:rsidRPr="00A74EED">
        <w:rPr>
          <w:i/>
          <w:szCs w:val="19"/>
          <w:u w:val="single"/>
        </w:rPr>
        <w:t>Definition of the Reporting Entity</w:t>
      </w:r>
      <w:r w:rsidRPr="008D0843">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1EDF894C" w14:textId="77777777" w:rsidR="003A66C5" w:rsidRDefault="003A66C5" w:rsidP="00C87FAF">
      <w:pPr>
        <w:pStyle w:val="Heading2"/>
        <w:jc w:val="both"/>
      </w:pPr>
      <w:r>
        <w:t>Amendments to AASB 134</w:t>
      </w:r>
    </w:p>
    <w:p w14:paraId="00A2EC80" w14:textId="1F1663CB" w:rsidR="00FE115A" w:rsidRPr="00FE115A" w:rsidRDefault="00FE115A"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FE115A">
        <w:rPr>
          <w:szCs w:val="19"/>
        </w:rPr>
        <w:t xml:space="preserve">Paragraphs AusCF1, AusCF31, AusCF33 and 58 are added. </w:t>
      </w:r>
      <w:r w:rsidR="00D91655">
        <w:rPr>
          <w:szCs w:val="19"/>
        </w:rPr>
        <w:t xml:space="preserve"> </w:t>
      </w:r>
      <w:r w:rsidRPr="00FE115A">
        <w:rPr>
          <w:szCs w:val="19"/>
        </w:rPr>
        <w:t xml:space="preserve">Paragraphs 31 and 33 are amended. </w:t>
      </w:r>
      <w:r w:rsidR="00D91655">
        <w:rPr>
          <w:szCs w:val="19"/>
        </w:rPr>
        <w:t xml:space="preserve"> </w:t>
      </w:r>
      <w:r w:rsidR="00A037F1" w:rsidRPr="00FE115A">
        <w:rPr>
          <w:szCs w:val="19"/>
        </w:rPr>
        <w:t>A footn</w:t>
      </w:r>
      <w:r w:rsidR="00A037F1">
        <w:rPr>
          <w:szCs w:val="19"/>
        </w:rPr>
        <w:t xml:space="preserve">ote </w:t>
      </w:r>
      <w:r w:rsidR="00D91655">
        <w:rPr>
          <w:szCs w:val="19"/>
        </w:rPr>
        <w:t xml:space="preserve">is added </w:t>
      </w:r>
      <w:r w:rsidR="00A037F1">
        <w:rPr>
          <w:szCs w:val="19"/>
        </w:rPr>
        <w:t>to paragraph B23</w:t>
      </w:r>
      <w:r w:rsidR="00400E73">
        <w:rPr>
          <w:szCs w:val="19"/>
        </w:rPr>
        <w:t xml:space="preserve"> in the illustrative examples accompanying AASB 134</w:t>
      </w:r>
      <w:r w:rsidR="00A037F1">
        <w:rPr>
          <w:szCs w:val="19"/>
        </w:rPr>
        <w:t>.</w:t>
      </w:r>
    </w:p>
    <w:p w14:paraId="05578D58" w14:textId="77777777" w:rsidR="00FE115A" w:rsidRPr="00FE115A" w:rsidRDefault="00FE115A" w:rsidP="00C87FAF">
      <w:pPr>
        <w:pStyle w:val="Heading2"/>
        <w:spacing w:before="240"/>
        <w:jc w:val="both"/>
      </w:pPr>
      <w:r w:rsidRPr="00FE115A">
        <w:t>Scope</w:t>
      </w:r>
    </w:p>
    <w:p w14:paraId="0AD62E35" w14:textId="77777777" w:rsidR="00FE115A" w:rsidRDefault="00FE115A" w:rsidP="00C87FAF">
      <w:pPr>
        <w:autoSpaceDE w:val="0"/>
        <w:autoSpaceDN w:val="0"/>
        <w:adjustRightInd w:val="0"/>
        <w:rPr>
          <w:szCs w:val="19"/>
        </w:rPr>
      </w:pPr>
      <w:r w:rsidRPr="00FE115A">
        <w:rPr>
          <w:szCs w:val="19"/>
        </w:rPr>
        <w:t>…</w:t>
      </w:r>
    </w:p>
    <w:p w14:paraId="76E822A1" w14:textId="77777777" w:rsidR="00FE115A" w:rsidRPr="0067049C" w:rsidRDefault="00FE115A" w:rsidP="00C43187">
      <w:pPr>
        <w:pStyle w:val="IASBNormalnpara"/>
        <w:rPr>
          <w:szCs w:val="19"/>
          <w:u w:val="single"/>
        </w:rPr>
      </w:pPr>
      <w:r w:rsidRPr="0067049C">
        <w:rPr>
          <w:szCs w:val="19"/>
          <w:u w:val="single"/>
        </w:rPr>
        <w:t>AusCF1</w:t>
      </w:r>
      <w:r w:rsidRPr="0067049C">
        <w:rPr>
          <w:szCs w:val="19"/>
        </w:rPr>
        <w:tab/>
      </w:r>
      <w:r w:rsidRPr="0067049C">
        <w:rPr>
          <w:szCs w:val="19"/>
          <w:u w:val="single"/>
        </w:rPr>
        <w:t>AusCF paragraphs and footnotes included in this Standard apply only to:</w:t>
      </w:r>
    </w:p>
    <w:p w14:paraId="42855F7E" w14:textId="26996ABA" w:rsidR="00FE115A" w:rsidRPr="0067049C" w:rsidRDefault="00C43187" w:rsidP="00C43187">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11AD38EC" w14:textId="5B338302" w:rsidR="00FE115A" w:rsidRPr="0067049C" w:rsidRDefault="00C43187" w:rsidP="00C43187">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5A45AC">
        <w:rPr>
          <w:i/>
          <w:szCs w:val="19"/>
          <w:u w:val="single"/>
        </w:rPr>
        <w:t xml:space="preserve"> </w:t>
      </w:r>
      <w:r w:rsidR="005A45AC" w:rsidRPr="00F20ED1">
        <w:rPr>
          <w:szCs w:val="19"/>
          <w:u w:val="single"/>
        </w:rPr>
        <w:t>(as identified in AASB 1048</w:t>
      </w:r>
      <w:r w:rsidR="005A45AC" w:rsidRPr="00F20ED1">
        <w:rPr>
          <w:i/>
          <w:szCs w:val="19"/>
          <w:u w:val="single"/>
        </w:rPr>
        <w:t xml:space="preserve"> Interpretation of Standards</w:t>
      </w:r>
      <w:r w:rsidR="005A45AC" w:rsidRPr="00F20ED1">
        <w:rPr>
          <w:szCs w:val="19"/>
          <w:u w:val="single"/>
        </w:rPr>
        <w:t>)</w:t>
      </w:r>
      <w:r w:rsidR="00FE115A" w:rsidRPr="0067049C">
        <w:rPr>
          <w:szCs w:val="19"/>
          <w:u w:val="single"/>
        </w:rPr>
        <w:t xml:space="preserve">.  </w:t>
      </w:r>
    </w:p>
    <w:p w14:paraId="3D6D6889" w14:textId="68D20ED0" w:rsidR="00FE115A" w:rsidRDefault="00FE115A" w:rsidP="00C43187">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403EB9">
        <w:rPr>
          <w:szCs w:val="19"/>
          <w:u w:val="single"/>
        </w:rPr>
        <w:t> 1057</w:t>
      </w:r>
      <w:r w:rsidR="008D0843">
        <w:rPr>
          <w:szCs w:val="19"/>
          <w:u w:val="single"/>
        </w:rPr>
        <w:t xml:space="preserve">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 or footnotes.</w:t>
      </w:r>
    </w:p>
    <w:p w14:paraId="09115660" w14:textId="77777777" w:rsidR="00053739" w:rsidRDefault="00053739" w:rsidP="00053739">
      <w:pPr>
        <w:autoSpaceDE w:val="0"/>
        <w:autoSpaceDN w:val="0"/>
        <w:adjustRightInd w:val="0"/>
        <w:spacing w:before="100"/>
        <w:ind w:left="11" w:hanging="11"/>
        <w:rPr>
          <w:bCs/>
          <w:szCs w:val="19"/>
        </w:rPr>
      </w:pPr>
      <w:r w:rsidRPr="00FE115A">
        <w:rPr>
          <w:bCs/>
          <w:szCs w:val="19"/>
        </w:rPr>
        <w:t>…</w:t>
      </w:r>
    </w:p>
    <w:p w14:paraId="29502F74" w14:textId="77777777" w:rsidR="00FE115A" w:rsidRPr="00FE115A" w:rsidRDefault="00FE115A" w:rsidP="00053739">
      <w:pPr>
        <w:pStyle w:val="Heading1"/>
        <w:spacing w:before="100" w:after="100"/>
        <w:ind w:left="782"/>
        <w:jc w:val="both"/>
      </w:pPr>
      <w:r w:rsidRPr="00FE115A">
        <w:t>Same accounting policies as annual</w:t>
      </w:r>
    </w:p>
    <w:p w14:paraId="04394D43" w14:textId="77777777" w:rsidR="00FE115A" w:rsidRDefault="00FE115A" w:rsidP="00053739">
      <w:pPr>
        <w:autoSpaceDE w:val="0"/>
        <w:autoSpaceDN w:val="0"/>
        <w:adjustRightInd w:val="0"/>
        <w:spacing w:before="100"/>
        <w:ind w:left="11" w:hanging="11"/>
        <w:rPr>
          <w:bCs/>
          <w:szCs w:val="19"/>
        </w:rPr>
      </w:pPr>
      <w:r w:rsidRPr="00FE115A">
        <w:rPr>
          <w:bCs/>
          <w:szCs w:val="19"/>
        </w:rPr>
        <w:t>…</w:t>
      </w:r>
    </w:p>
    <w:p w14:paraId="62145B76" w14:textId="77777777" w:rsidR="00FE115A" w:rsidRPr="00FE115A" w:rsidRDefault="00FE115A" w:rsidP="00053739">
      <w:pPr>
        <w:pStyle w:val="IASBNormalnpara"/>
        <w:rPr>
          <w:b/>
          <w:szCs w:val="19"/>
        </w:rPr>
      </w:pPr>
      <w:r w:rsidRPr="00FE115A">
        <w:rPr>
          <w:szCs w:val="19"/>
        </w:rPr>
        <w:t xml:space="preserve">31 </w:t>
      </w:r>
      <w:r w:rsidRPr="00FE115A">
        <w:rPr>
          <w:szCs w:val="19"/>
        </w:rPr>
        <w:tab/>
        <w:t xml:space="preserve">Under the </w:t>
      </w:r>
      <w:r w:rsidRPr="00FE115A">
        <w:rPr>
          <w:i/>
          <w:iCs/>
          <w:strike/>
          <w:szCs w:val="19"/>
        </w:rPr>
        <w:t xml:space="preserve">Framework for the Preparation and Presentation of Financial Statements </w:t>
      </w:r>
      <w:r w:rsidRPr="00FE115A">
        <w:rPr>
          <w:strike/>
          <w:szCs w:val="19"/>
        </w:rPr>
        <w:t xml:space="preserve">(the </w:t>
      </w:r>
      <w:r w:rsidRPr="00FE115A">
        <w:rPr>
          <w:i/>
          <w:iCs/>
          <w:strike/>
          <w:szCs w:val="19"/>
        </w:rPr>
        <w:t>Framework</w:t>
      </w:r>
      <w:r w:rsidRPr="00FE115A">
        <w:rPr>
          <w:strike/>
          <w:szCs w:val="19"/>
        </w:rPr>
        <w:t>)</w:t>
      </w:r>
      <w:r w:rsidR="00A037F1">
        <w:rPr>
          <w:strike/>
          <w:szCs w:val="19"/>
        </w:rPr>
        <w:t xml:space="preserve"> </w:t>
      </w:r>
      <w:r w:rsidRPr="00FE115A">
        <w:rPr>
          <w:i/>
          <w:iCs/>
          <w:szCs w:val="19"/>
          <w:u w:val="single"/>
        </w:rPr>
        <w:t xml:space="preserve">Conceptual Framework for Financial Reporting </w:t>
      </w:r>
      <w:r w:rsidRPr="00FE115A">
        <w:rPr>
          <w:szCs w:val="19"/>
          <w:u w:val="single"/>
        </w:rPr>
        <w:t>(</w:t>
      </w:r>
      <w:r w:rsidRPr="00FE115A">
        <w:rPr>
          <w:i/>
          <w:iCs/>
          <w:szCs w:val="19"/>
          <w:u w:val="single"/>
        </w:rPr>
        <w:t>Conceptual Framework</w:t>
      </w:r>
      <w:r w:rsidRPr="00FE115A">
        <w:rPr>
          <w:szCs w:val="19"/>
          <w:u w:val="single"/>
        </w:rPr>
        <w:t>)</w:t>
      </w:r>
      <w:r w:rsidRPr="00FE115A">
        <w:rPr>
          <w:szCs w:val="19"/>
        </w:rPr>
        <w:t xml:space="preserve"> (as identified in AASB 1048 </w:t>
      </w:r>
      <w:r w:rsidRPr="00FE115A">
        <w:rPr>
          <w:i/>
          <w:szCs w:val="19"/>
        </w:rPr>
        <w:t>Interpretation of Standards</w:t>
      </w:r>
      <w:r w:rsidRPr="00FE115A">
        <w:rPr>
          <w:szCs w:val="19"/>
        </w:rPr>
        <w:t>),</w:t>
      </w:r>
      <w:r w:rsidRPr="00FE115A">
        <w:rPr>
          <w:strike/>
          <w:szCs w:val="19"/>
          <w:vertAlign w:val="superscript"/>
        </w:rPr>
        <w:t>3</w:t>
      </w:r>
      <w:r w:rsidRPr="00FE115A">
        <w:rPr>
          <w:szCs w:val="19"/>
        </w:rPr>
        <w:t xml:space="preserve"> recognition is the </w:t>
      </w:r>
      <w:r w:rsidRPr="00FE115A">
        <w:rPr>
          <w:strike/>
          <w:szCs w:val="19"/>
        </w:rPr>
        <w:t>‘</w:t>
      </w:r>
      <w:r w:rsidRPr="00FE115A">
        <w:rPr>
          <w:szCs w:val="19"/>
        </w:rPr>
        <w:t>process of</w:t>
      </w:r>
      <w:r w:rsidRPr="00BB026C">
        <w:rPr>
          <w:strike/>
          <w:szCs w:val="19"/>
        </w:rPr>
        <w:t xml:space="preserve"> </w:t>
      </w:r>
      <w:r w:rsidRPr="00FE115A">
        <w:rPr>
          <w:strike/>
          <w:szCs w:val="19"/>
        </w:rPr>
        <w:t>incorporating in the balance sheet or income statement</w:t>
      </w:r>
      <w:r w:rsidRPr="00FE115A">
        <w:rPr>
          <w:szCs w:val="19"/>
        </w:rPr>
        <w:t xml:space="preserve"> </w:t>
      </w:r>
      <w:r w:rsidRPr="00FE115A">
        <w:rPr>
          <w:szCs w:val="19"/>
          <w:u w:val="single"/>
        </w:rPr>
        <w:t>capturing, for inclusion in the statement of financial position or the statement(s) of financial performance,</w:t>
      </w:r>
      <w:r w:rsidRPr="00FE115A">
        <w:rPr>
          <w:szCs w:val="19"/>
        </w:rPr>
        <w:t xml:space="preserve"> an item that meets the definition of </w:t>
      </w:r>
      <w:r w:rsidRPr="00FE115A">
        <w:rPr>
          <w:strike/>
          <w:szCs w:val="19"/>
        </w:rPr>
        <w:t>an element</w:t>
      </w:r>
      <w:r w:rsidR="004801B6">
        <w:rPr>
          <w:strike/>
          <w:szCs w:val="19"/>
        </w:rPr>
        <w:t xml:space="preserve"> </w:t>
      </w:r>
      <w:r w:rsidRPr="00FE115A">
        <w:rPr>
          <w:szCs w:val="19"/>
          <w:u w:val="single"/>
        </w:rPr>
        <w:t>one of the elements of the financial statements</w:t>
      </w:r>
      <w:r w:rsidRPr="00FE115A">
        <w:rPr>
          <w:strike/>
          <w:szCs w:val="19"/>
        </w:rPr>
        <w:t xml:space="preserve"> and satisfies the criteria for recognition’</w:t>
      </w:r>
      <w:r w:rsidRPr="00FE115A">
        <w:rPr>
          <w:szCs w:val="19"/>
        </w:rPr>
        <w:t>. The definitions of assets, liabilities, income, and expenses are fundamental to recognition, at the end of both annual and interim financial reporting periods.</w:t>
      </w:r>
    </w:p>
    <w:p w14:paraId="6E516D20" w14:textId="77777777" w:rsidR="00FE115A" w:rsidRPr="00553AC7" w:rsidRDefault="00FE115A" w:rsidP="00C43187">
      <w:pPr>
        <w:pStyle w:val="IASBNormalnparaL1"/>
        <w:ind w:left="1491" w:hanging="709"/>
        <w:rPr>
          <w:strike/>
          <w:sz w:val="16"/>
          <w:szCs w:val="16"/>
        </w:rPr>
      </w:pPr>
      <w:r w:rsidRPr="00553AC7">
        <w:rPr>
          <w:strike/>
          <w:sz w:val="16"/>
          <w:szCs w:val="16"/>
        </w:rPr>
        <w:t>3</w:t>
      </w:r>
      <w:r w:rsidRPr="00553AC7">
        <w:rPr>
          <w:sz w:val="16"/>
          <w:szCs w:val="16"/>
        </w:rPr>
        <w:tab/>
      </w:r>
      <w:r w:rsidRPr="00553AC7">
        <w:rPr>
          <w:strike/>
          <w:sz w:val="16"/>
          <w:szCs w:val="16"/>
        </w:rPr>
        <w:t xml:space="preserve">In December 2013 the AASB amended the </w:t>
      </w:r>
      <w:r w:rsidRPr="00553AC7">
        <w:rPr>
          <w:i/>
          <w:strike/>
          <w:sz w:val="16"/>
          <w:szCs w:val="16"/>
        </w:rPr>
        <w:t>Framework for the Preparation and Presentation of Financial Statements</w:t>
      </w:r>
      <w:r w:rsidRPr="00553AC7">
        <w:rPr>
          <w:strike/>
          <w:sz w:val="16"/>
          <w:szCs w:val="16"/>
        </w:rPr>
        <w:t>.</w:t>
      </w:r>
    </w:p>
    <w:p w14:paraId="23216B48" w14:textId="77777777" w:rsidR="00FE115A" w:rsidRPr="00FE115A" w:rsidRDefault="00FE115A" w:rsidP="00C43187">
      <w:pPr>
        <w:pStyle w:val="IASBNormalnpara"/>
        <w:rPr>
          <w:b/>
          <w:szCs w:val="19"/>
          <w:u w:val="single"/>
        </w:rPr>
      </w:pPr>
      <w:r w:rsidRPr="00FE115A">
        <w:rPr>
          <w:szCs w:val="19"/>
          <w:u w:val="single"/>
        </w:rPr>
        <w:t>AusCF31</w:t>
      </w:r>
      <w:r w:rsidRPr="00FE115A">
        <w:rPr>
          <w:szCs w:val="19"/>
        </w:rPr>
        <w:t xml:space="preserve"> </w:t>
      </w:r>
      <w:r w:rsidRPr="00FE115A">
        <w:rPr>
          <w:szCs w:val="19"/>
        </w:rPr>
        <w:tab/>
      </w:r>
      <w:r w:rsidRPr="00FE115A">
        <w:rPr>
          <w:szCs w:val="19"/>
          <w:u w:val="single"/>
        </w:rPr>
        <w:t xml:space="preserve">Notwithstanding paragraph 31, in respect of AusCF entities, under the </w:t>
      </w:r>
      <w:r w:rsidRPr="00FE115A">
        <w:rPr>
          <w:i/>
          <w:iCs/>
          <w:szCs w:val="19"/>
          <w:u w:val="single"/>
        </w:rPr>
        <w:t xml:space="preserve">Framework for the Preparation and Presentation of Financial Statements </w:t>
      </w:r>
      <w:r w:rsidRPr="00FE115A">
        <w:rPr>
          <w:szCs w:val="19"/>
          <w:u w:val="single"/>
        </w:rPr>
        <w:t xml:space="preserve">(the </w:t>
      </w:r>
      <w:r w:rsidRPr="00FE115A">
        <w:rPr>
          <w:i/>
          <w:iCs/>
          <w:szCs w:val="19"/>
          <w:u w:val="single"/>
        </w:rPr>
        <w:t>Framework</w:t>
      </w:r>
      <w:r w:rsidRPr="00FE115A">
        <w:rPr>
          <w:szCs w:val="19"/>
          <w:u w:val="single"/>
        </w:rPr>
        <w:t xml:space="preserve">) (as identified in AASB 1048 </w:t>
      </w:r>
      <w:r w:rsidRPr="00FE115A">
        <w:rPr>
          <w:i/>
          <w:szCs w:val="19"/>
          <w:u w:val="single"/>
        </w:rPr>
        <w:t>Interpretation of Standards</w:t>
      </w:r>
      <w:r w:rsidRPr="00FE115A">
        <w:rPr>
          <w:szCs w:val="19"/>
          <w:u w:val="single"/>
        </w:rPr>
        <w:t>)</w:t>
      </w:r>
      <w:r w:rsidRPr="00FE115A">
        <w:rPr>
          <w:szCs w:val="19"/>
          <w:u w:val="single"/>
          <w:vertAlign w:val="superscript"/>
        </w:rPr>
        <w:t>AusCF3</w:t>
      </w:r>
      <w:r w:rsidRPr="00FE115A">
        <w:rPr>
          <w:szCs w:val="19"/>
          <w:u w:val="single"/>
        </w:rPr>
        <w:t>, recognition is the ‘process of incorporating in the ba</w:t>
      </w:r>
      <w:r w:rsidR="000D3060">
        <w:rPr>
          <w:szCs w:val="19"/>
          <w:u w:val="single"/>
        </w:rPr>
        <w:t>lance sheet or income statement</w:t>
      </w:r>
      <w:r w:rsidRPr="00FE115A">
        <w:rPr>
          <w:szCs w:val="19"/>
          <w:u w:val="single"/>
        </w:rPr>
        <w:t xml:space="preserve"> an item that meets the definition of an element and satisfies the criteria for recognition’</w:t>
      </w:r>
      <w:r w:rsidR="00403EB9" w:rsidRPr="00FE115A">
        <w:rPr>
          <w:szCs w:val="19"/>
          <w:u w:val="single"/>
        </w:rPr>
        <w:t xml:space="preserve">.  </w:t>
      </w:r>
      <w:r w:rsidRPr="00FE115A">
        <w:rPr>
          <w:szCs w:val="19"/>
          <w:u w:val="single"/>
        </w:rPr>
        <w:t>The definitions of assets, liabilities, income, and expenses are fundamental to recognition, at the end of both annual and interim financial reporting periods.</w:t>
      </w:r>
    </w:p>
    <w:p w14:paraId="08E9FCD3" w14:textId="77777777" w:rsidR="00FE115A" w:rsidRPr="00553AC7" w:rsidRDefault="00FE115A" w:rsidP="00C43187">
      <w:pPr>
        <w:pStyle w:val="IASBNormalnparaL1"/>
        <w:ind w:left="1491" w:hanging="709"/>
        <w:rPr>
          <w:sz w:val="16"/>
          <w:szCs w:val="16"/>
          <w:u w:val="single"/>
        </w:rPr>
      </w:pPr>
      <w:r w:rsidRPr="00553AC7">
        <w:rPr>
          <w:sz w:val="16"/>
          <w:szCs w:val="16"/>
          <w:u w:val="single"/>
        </w:rPr>
        <w:t>AusCF3</w:t>
      </w:r>
      <w:r w:rsidRPr="00553AC7">
        <w:rPr>
          <w:sz w:val="16"/>
          <w:szCs w:val="16"/>
        </w:rPr>
        <w:tab/>
      </w:r>
      <w:r w:rsidRPr="00553AC7">
        <w:rPr>
          <w:sz w:val="16"/>
          <w:szCs w:val="16"/>
          <w:u w:val="single"/>
        </w:rPr>
        <w:t xml:space="preserve">In December 2013 the AASB amended the </w:t>
      </w:r>
      <w:r w:rsidRPr="00553AC7">
        <w:rPr>
          <w:i/>
          <w:sz w:val="16"/>
          <w:szCs w:val="16"/>
          <w:u w:val="single"/>
        </w:rPr>
        <w:t>Framework for the Preparation and Presentation of Financial Statements</w:t>
      </w:r>
      <w:r w:rsidRPr="00553AC7">
        <w:rPr>
          <w:sz w:val="16"/>
          <w:szCs w:val="16"/>
          <w:u w:val="single"/>
        </w:rPr>
        <w:t>.</w:t>
      </w:r>
    </w:p>
    <w:p w14:paraId="1394DE81" w14:textId="77777777" w:rsidR="00FE115A" w:rsidRDefault="00FE115A" w:rsidP="00053739">
      <w:pPr>
        <w:autoSpaceDE w:val="0"/>
        <w:autoSpaceDN w:val="0"/>
        <w:adjustRightInd w:val="0"/>
        <w:spacing w:before="100"/>
        <w:ind w:left="11" w:hanging="11"/>
        <w:rPr>
          <w:szCs w:val="19"/>
        </w:rPr>
      </w:pPr>
      <w:r w:rsidRPr="00FE115A">
        <w:rPr>
          <w:szCs w:val="19"/>
        </w:rPr>
        <w:t>…</w:t>
      </w:r>
    </w:p>
    <w:p w14:paraId="24B4633D" w14:textId="3AD40680" w:rsidR="00FE115A" w:rsidRPr="00FE115A" w:rsidRDefault="00FE115A" w:rsidP="00C43187">
      <w:pPr>
        <w:pStyle w:val="IASBNormalnpara"/>
        <w:rPr>
          <w:strike/>
          <w:szCs w:val="19"/>
        </w:rPr>
      </w:pPr>
      <w:r w:rsidRPr="00FE115A">
        <w:rPr>
          <w:szCs w:val="19"/>
        </w:rPr>
        <w:t xml:space="preserve">33 </w:t>
      </w:r>
      <w:r w:rsidRPr="00FE115A">
        <w:rPr>
          <w:szCs w:val="19"/>
        </w:rPr>
        <w:tab/>
        <w:t>An essential characteristic of income (revenue) and expenses is that the related inflows and outflows of assets and liabilities have already taken place</w:t>
      </w:r>
      <w:r w:rsidR="00403EB9" w:rsidRPr="00FE115A">
        <w:rPr>
          <w:szCs w:val="19"/>
        </w:rPr>
        <w:t xml:space="preserve">.  </w:t>
      </w:r>
      <w:r w:rsidRPr="00FE115A">
        <w:rPr>
          <w:szCs w:val="19"/>
        </w:rPr>
        <w:t>If those inflows or outflows have taken place, the related revenue and expense are recognised; otherwise they are not recognised</w:t>
      </w:r>
      <w:r w:rsidR="00403EB9" w:rsidRPr="00FE115A">
        <w:rPr>
          <w:szCs w:val="19"/>
        </w:rPr>
        <w:t xml:space="preserve">.  </w:t>
      </w:r>
      <w:r w:rsidRPr="00FE115A">
        <w:rPr>
          <w:strike/>
          <w:szCs w:val="19"/>
        </w:rPr>
        <w:t xml:space="preserve">The </w:t>
      </w:r>
      <w:r w:rsidRPr="00FE115A">
        <w:rPr>
          <w:i/>
          <w:iCs/>
          <w:strike/>
          <w:szCs w:val="19"/>
        </w:rPr>
        <w:t xml:space="preserve">Framework </w:t>
      </w:r>
      <w:r w:rsidRPr="00FE115A">
        <w:rPr>
          <w:strike/>
          <w:szCs w:val="19"/>
        </w:rPr>
        <w:t>says that ‘expenses are recognised in the income statement when a decrease in future economic benefits related to a decrease in an asset or an increase of a liability has arisen that can be measured reliably… [</w:t>
      </w:r>
      <w:r w:rsidRPr="00FE115A">
        <w:rPr>
          <w:szCs w:val="19"/>
        </w:rPr>
        <w:t>The</w:t>
      </w:r>
      <w:r w:rsidRPr="00FE115A">
        <w:rPr>
          <w:strike/>
          <w:szCs w:val="19"/>
        </w:rPr>
        <w:t xml:space="preserve">] </w:t>
      </w:r>
      <w:r w:rsidRPr="00FE115A">
        <w:rPr>
          <w:i/>
          <w:iCs/>
          <w:strike/>
          <w:szCs w:val="19"/>
        </w:rPr>
        <w:t>Framework</w:t>
      </w:r>
      <w:r w:rsidR="00C45376">
        <w:rPr>
          <w:i/>
          <w:iCs/>
          <w:strike/>
          <w:szCs w:val="19"/>
        </w:rPr>
        <w:t xml:space="preserve"> </w:t>
      </w:r>
      <w:r w:rsidRPr="00FE115A">
        <w:rPr>
          <w:i/>
          <w:iCs/>
          <w:szCs w:val="19"/>
          <w:u w:val="single"/>
        </w:rPr>
        <w:t>Conceptual Framework</w:t>
      </w:r>
      <w:r w:rsidRPr="00FE115A">
        <w:rPr>
          <w:i/>
          <w:iCs/>
          <w:szCs w:val="19"/>
        </w:rPr>
        <w:t xml:space="preserve"> </w:t>
      </w:r>
      <w:r w:rsidRPr="00FE115A">
        <w:rPr>
          <w:szCs w:val="19"/>
        </w:rPr>
        <w:t xml:space="preserve">does not allow the recognition of items in the </w:t>
      </w:r>
      <w:r w:rsidRPr="00FE115A">
        <w:rPr>
          <w:strike/>
          <w:szCs w:val="19"/>
        </w:rPr>
        <w:t>balance sheet</w:t>
      </w:r>
      <w:r w:rsidR="00C45376">
        <w:rPr>
          <w:strike/>
          <w:szCs w:val="19"/>
        </w:rPr>
        <w:t xml:space="preserve"> </w:t>
      </w:r>
      <w:r w:rsidRPr="00FE115A">
        <w:rPr>
          <w:szCs w:val="19"/>
          <w:u w:val="single"/>
        </w:rPr>
        <w:t>statement of financial position</w:t>
      </w:r>
      <w:r w:rsidRPr="00FE115A">
        <w:rPr>
          <w:szCs w:val="19"/>
        </w:rPr>
        <w:t xml:space="preserve"> which do not meet the definition of assets or liabilities.</w:t>
      </w:r>
      <w:r w:rsidRPr="00FE115A">
        <w:rPr>
          <w:strike/>
          <w:szCs w:val="19"/>
        </w:rPr>
        <w:t>’</w:t>
      </w:r>
    </w:p>
    <w:p w14:paraId="1001237D" w14:textId="77777777" w:rsidR="00FE115A" w:rsidRPr="00FE115A" w:rsidRDefault="00FE115A" w:rsidP="00C43187">
      <w:pPr>
        <w:pStyle w:val="IASBNormalnpara"/>
        <w:rPr>
          <w:strike/>
          <w:szCs w:val="19"/>
          <w:u w:val="single"/>
        </w:rPr>
      </w:pPr>
      <w:r w:rsidRPr="00FE115A">
        <w:rPr>
          <w:szCs w:val="19"/>
          <w:u w:val="single"/>
        </w:rPr>
        <w:t>AusCF33</w:t>
      </w:r>
      <w:r w:rsidRPr="00FE115A">
        <w:rPr>
          <w:szCs w:val="19"/>
        </w:rPr>
        <w:t xml:space="preserve"> </w:t>
      </w:r>
      <w:r w:rsidRPr="00FE115A">
        <w:rPr>
          <w:szCs w:val="19"/>
        </w:rPr>
        <w:tab/>
      </w:r>
      <w:r w:rsidRPr="00FE115A">
        <w:rPr>
          <w:szCs w:val="19"/>
          <w:u w:val="single"/>
        </w:rPr>
        <w:t>Notwithstanding paragraph 33, in respect of AusCF entities, an essential characteristic of income (revenue) and expenses is that the related inflows and outflows of assets and liabilities have already taken place</w:t>
      </w:r>
      <w:r w:rsidR="00403EB9" w:rsidRPr="00FE115A">
        <w:rPr>
          <w:szCs w:val="19"/>
          <w:u w:val="single"/>
        </w:rPr>
        <w:t xml:space="preserve">.  </w:t>
      </w:r>
      <w:r w:rsidRPr="00FE115A">
        <w:rPr>
          <w:szCs w:val="19"/>
          <w:u w:val="single"/>
        </w:rPr>
        <w:t>If those inflows or outflows have taken place, the related revenue and expense are recognised; otherwise they are not recognised</w:t>
      </w:r>
      <w:r w:rsidR="00403EB9" w:rsidRPr="00FE115A">
        <w:rPr>
          <w:szCs w:val="19"/>
          <w:u w:val="single"/>
        </w:rPr>
        <w:t xml:space="preserve">.  </w:t>
      </w:r>
      <w:r w:rsidRPr="00FE115A">
        <w:rPr>
          <w:szCs w:val="19"/>
          <w:u w:val="single"/>
        </w:rPr>
        <w:t xml:space="preserve">The </w:t>
      </w:r>
      <w:r w:rsidRPr="00FE115A">
        <w:rPr>
          <w:i/>
          <w:iCs/>
          <w:szCs w:val="19"/>
          <w:u w:val="single"/>
        </w:rPr>
        <w:t xml:space="preserve">Framework </w:t>
      </w:r>
      <w:r w:rsidRPr="00FE115A">
        <w:rPr>
          <w:szCs w:val="19"/>
          <w:u w:val="single"/>
        </w:rPr>
        <w:t xml:space="preserve">says that ‘expenses are recognised in the income statement when a decrease in future economic benefits related to a decrease in an asset or an increase of a liability has arisen that can be measured reliably… [The] </w:t>
      </w:r>
      <w:r w:rsidRPr="00FE115A">
        <w:rPr>
          <w:i/>
          <w:iCs/>
          <w:szCs w:val="19"/>
          <w:u w:val="single"/>
        </w:rPr>
        <w:t xml:space="preserve">Framework </w:t>
      </w:r>
      <w:r w:rsidRPr="00FE115A">
        <w:rPr>
          <w:szCs w:val="19"/>
          <w:u w:val="single"/>
        </w:rPr>
        <w:t>does not allow the recognition of items in the balance sheet which do not meet the definition of assets or liabilities.’</w:t>
      </w:r>
    </w:p>
    <w:p w14:paraId="16BB2417" w14:textId="77777777" w:rsidR="00FE115A" w:rsidRPr="00FE115A" w:rsidRDefault="00FE115A" w:rsidP="00053739">
      <w:pPr>
        <w:autoSpaceDE w:val="0"/>
        <w:autoSpaceDN w:val="0"/>
        <w:adjustRightInd w:val="0"/>
        <w:spacing w:before="100"/>
        <w:ind w:left="11" w:hanging="11"/>
        <w:rPr>
          <w:szCs w:val="19"/>
        </w:rPr>
      </w:pPr>
      <w:r w:rsidRPr="00FE115A">
        <w:rPr>
          <w:szCs w:val="19"/>
        </w:rPr>
        <w:t>…</w:t>
      </w:r>
    </w:p>
    <w:p w14:paraId="24644A3E" w14:textId="77777777" w:rsidR="00FE115A" w:rsidRPr="00FE115A" w:rsidRDefault="00FE115A" w:rsidP="00C87FAF">
      <w:pPr>
        <w:pStyle w:val="Heading2"/>
        <w:spacing w:before="240"/>
        <w:jc w:val="both"/>
      </w:pPr>
      <w:r w:rsidRPr="00FE115A">
        <w:t>Effective date</w:t>
      </w:r>
    </w:p>
    <w:p w14:paraId="3680F5BB" w14:textId="77777777" w:rsidR="00FE115A" w:rsidRDefault="00FE115A" w:rsidP="00C87FAF">
      <w:pPr>
        <w:autoSpaceDE w:val="0"/>
        <w:autoSpaceDN w:val="0"/>
        <w:adjustRightInd w:val="0"/>
        <w:ind w:left="11" w:hanging="11"/>
        <w:rPr>
          <w:szCs w:val="19"/>
        </w:rPr>
      </w:pPr>
      <w:r w:rsidRPr="00FE115A">
        <w:rPr>
          <w:szCs w:val="19"/>
        </w:rPr>
        <w:t>…</w:t>
      </w:r>
    </w:p>
    <w:p w14:paraId="5228612A" w14:textId="485E2871" w:rsidR="00FE115A" w:rsidRPr="00FE115A" w:rsidRDefault="00FE115A" w:rsidP="00C43187">
      <w:pPr>
        <w:pStyle w:val="IASBNormalnpara"/>
        <w:rPr>
          <w:szCs w:val="19"/>
        </w:rPr>
      </w:pPr>
      <w:r w:rsidRPr="00FE115A">
        <w:rPr>
          <w:szCs w:val="19"/>
          <w:u w:val="single"/>
        </w:rPr>
        <w:t>58</w:t>
      </w:r>
      <w:r w:rsidRPr="00FE115A">
        <w:rPr>
          <w:szCs w:val="19"/>
        </w:rPr>
        <w:t xml:space="preserve"> </w:t>
      </w:r>
      <w:r w:rsidRPr="00FE115A">
        <w:rPr>
          <w:szCs w:val="19"/>
        </w:rPr>
        <w:tab/>
      </w:r>
      <w:r w:rsidRPr="00FE115A">
        <w:rPr>
          <w:szCs w:val="19"/>
          <w:u w:val="single"/>
        </w:rPr>
        <w:t>AASB </w:t>
      </w:r>
      <w:r w:rsidR="00043A3E">
        <w:rPr>
          <w:szCs w:val="19"/>
          <w:u w:val="single"/>
        </w:rPr>
        <w:t>2019-1</w:t>
      </w:r>
      <w:r w:rsidRPr="00FE115A">
        <w:rPr>
          <w:szCs w:val="19"/>
          <w:u w:val="single"/>
        </w:rPr>
        <w:t xml:space="preserve"> </w:t>
      </w:r>
      <w:r w:rsidRPr="00FE115A">
        <w:rPr>
          <w:i/>
          <w:iCs/>
          <w:szCs w:val="19"/>
          <w:u w:val="single"/>
        </w:rPr>
        <w:t>Amendments to Australian Accounting Standards – References to the Conceptual Framework</w:t>
      </w:r>
      <w:r w:rsidRPr="00FE115A">
        <w:rPr>
          <w:szCs w:val="19"/>
          <w:u w:val="single"/>
        </w:rPr>
        <w:t xml:space="preserve">, issued in </w:t>
      </w:r>
      <w:r w:rsidR="00443B60">
        <w:rPr>
          <w:szCs w:val="19"/>
          <w:u w:val="single"/>
        </w:rPr>
        <w:t>2019</w:t>
      </w:r>
      <w:r w:rsidRPr="00FE115A">
        <w:rPr>
          <w:szCs w:val="19"/>
          <w:u w:val="single"/>
        </w:rPr>
        <w:t xml:space="preserve">, </w:t>
      </w:r>
      <w:r w:rsidR="00553AC7">
        <w:rPr>
          <w:szCs w:val="19"/>
          <w:u w:val="single"/>
        </w:rPr>
        <w:t xml:space="preserve">added AusCF paragraphs and </w:t>
      </w:r>
      <w:r w:rsidRPr="00FE115A">
        <w:rPr>
          <w:szCs w:val="19"/>
          <w:u w:val="single"/>
        </w:rPr>
        <w:t>amended paragraphs 31</w:t>
      </w:r>
      <w:r w:rsidR="00D91655">
        <w:rPr>
          <w:szCs w:val="19"/>
          <w:u w:val="single"/>
        </w:rPr>
        <w:t>,</w:t>
      </w:r>
      <w:r w:rsidRPr="00FE115A">
        <w:rPr>
          <w:szCs w:val="19"/>
          <w:u w:val="single"/>
        </w:rPr>
        <w:t xml:space="preserve"> 33</w:t>
      </w:r>
      <w:r w:rsidR="00D91655">
        <w:rPr>
          <w:szCs w:val="19"/>
          <w:u w:val="single"/>
        </w:rPr>
        <w:t xml:space="preserve"> and B23</w:t>
      </w:r>
      <w:r w:rsidR="00403EB9" w:rsidRPr="00FE115A">
        <w:rPr>
          <w:szCs w:val="19"/>
          <w:u w:val="single"/>
        </w:rPr>
        <w:t xml:space="preserve">.  </w:t>
      </w:r>
      <w:r w:rsidRPr="00FE115A">
        <w:rPr>
          <w:szCs w:val="19"/>
          <w:u w:val="single"/>
        </w:rPr>
        <w:t>An entity shall apply those amendments for annual periods beginning on or after 1 January 2020</w:t>
      </w:r>
      <w:r w:rsidR="00403EB9" w:rsidRPr="00FE115A">
        <w:rPr>
          <w:szCs w:val="19"/>
          <w:u w:val="single"/>
        </w:rPr>
        <w:t xml:space="preserve">.  </w:t>
      </w:r>
      <w:r w:rsidRPr="00FE115A">
        <w:rPr>
          <w:szCs w:val="19"/>
          <w:u w:val="single"/>
        </w:rPr>
        <w:t>Earlier application is permitted if at the same time an entity also applies all other amendments made by AASB </w:t>
      </w:r>
      <w:r w:rsidR="00043A3E">
        <w:rPr>
          <w:szCs w:val="19"/>
          <w:u w:val="single"/>
        </w:rPr>
        <w:t>2019-1</w:t>
      </w:r>
      <w:r w:rsidR="00403EB9" w:rsidRPr="00FE115A">
        <w:rPr>
          <w:szCs w:val="19"/>
          <w:u w:val="single"/>
        </w:rPr>
        <w:t xml:space="preserve">.  </w:t>
      </w:r>
      <w:r w:rsidRPr="00FE115A">
        <w:rPr>
          <w:szCs w:val="19"/>
          <w:u w:val="single"/>
        </w:rPr>
        <w:t xml:space="preserve">An entity shall apply the amendments to AASB 134 retrospectively in accordance with AASB 108 </w:t>
      </w:r>
      <w:r w:rsidRPr="00FE115A">
        <w:rPr>
          <w:i/>
          <w:iCs/>
          <w:szCs w:val="19"/>
          <w:u w:val="single"/>
        </w:rPr>
        <w:t>Accounting Policies, Changes in Accounting Estimates and Errors</w:t>
      </w:r>
      <w:r w:rsidR="00403EB9" w:rsidRPr="00FE115A">
        <w:rPr>
          <w:szCs w:val="19"/>
          <w:u w:val="single"/>
        </w:rPr>
        <w:t xml:space="preserve">.  </w:t>
      </w:r>
      <w:r w:rsidRPr="00FE115A">
        <w:rPr>
          <w:szCs w:val="19"/>
          <w:u w:val="single"/>
        </w:rPr>
        <w:t>However, if an entity determines that retrospective application would be impracticable or would involve undue cost or effort, it shall apply the amendments to AASB 134 by reference to paragraphs 43–45 of this Standard and paragraphs 23–28, 50–53 and 54F of AASB 108.</w:t>
      </w:r>
    </w:p>
    <w:p w14:paraId="7BDF27B4" w14:textId="77777777" w:rsidR="00FE115A" w:rsidRDefault="00FE115A" w:rsidP="00C87FAF">
      <w:pPr>
        <w:autoSpaceDE w:val="0"/>
        <w:autoSpaceDN w:val="0"/>
        <w:adjustRightInd w:val="0"/>
        <w:ind w:left="720" w:hanging="720"/>
        <w:rPr>
          <w:szCs w:val="19"/>
        </w:rPr>
      </w:pPr>
      <w:r w:rsidRPr="00FE115A">
        <w:rPr>
          <w:szCs w:val="19"/>
        </w:rPr>
        <w:t>…</w:t>
      </w:r>
    </w:p>
    <w:p w14:paraId="3B031FF3" w14:textId="77777777" w:rsidR="00FE115A" w:rsidRPr="000D3060" w:rsidRDefault="00FE115A" w:rsidP="00C43187">
      <w:pPr>
        <w:pStyle w:val="Heading1"/>
        <w:spacing w:before="120"/>
        <w:ind w:left="782"/>
        <w:jc w:val="both"/>
        <w:rPr>
          <w:sz w:val="22"/>
          <w:szCs w:val="22"/>
        </w:rPr>
      </w:pPr>
      <w:r w:rsidRPr="000D3060">
        <w:rPr>
          <w:sz w:val="22"/>
          <w:szCs w:val="22"/>
        </w:rPr>
        <w:t>Contractual or anticipated purchase price changes</w:t>
      </w:r>
    </w:p>
    <w:p w14:paraId="01ED74FD" w14:textId="77777777" w:rsidR="00FE115A" w:rsidRPr="00FE115A" w:rsidRDefault="00FE115A" w:rsidP="00C43187">
      <w:pPr>
        <w:pStyle w:val="IASBNormalnpara"/>
        <w:rPr>
          <w:szCs w:val="19"/>
        </w:rPr>
      </w:pPr>
      <w:r w:rsidRPr="00FE115A">
        <w:rPr>
          <w:szCs w:val="19"/>
        </w:rPr>
        <w:t>B23</w:t>
      </w:r>
      <w:r w:rsidRPr="00FE115A">
        <w:rPr>
          <w:szCs w:val="19"/>
        </w:rPr>
        <w:tab/>
        <w:t>Volume rebates or discounts and other contractual changes in the prices of raw materials, labour, or other purchased goods and services are anticipated in interim periods, by both the payer and the recipient, if it is probable that they have been earned or will take effect</w:t>
      </w:r>
      <w:r w:rsidR="00403EB9" w:rsidRPr="00FE115A">
        <w:rPr>
          <w:szCs w:val="19"/>
        </w:rPr>
        <w:t xml:space="preserve">.  </w:t>
      </w:r>
      <w:r w:rsidRPr="00FE115A">
        <w:rPr>
          <w:szCs w:val="19"/>
        </w:rPr>
        <w:t xml:space="preserve">Thus, contractual rebates and discounts are anticipated but discretionary rebates and discounts are not anticipated because the resulting asset or liability would not satisfy the conditions in the </w:t>
      </w:r>
      <w:r w:rsidRPr="00FE115A">
        <w:rPr>
          <w:i/>
          <w:szCs w:val="19"/>
        </w:rPr>
        <w:t>Framework</w:t>
      </w:r>
      <w:r w:rsidRPr="00130FCF">
        <w:rPr>
          <w:szCs w:val="19"/>
          <w:u w:val="single"/>
          <w:vertAlign w:val="superscript"/>
        </w:rPr>
        <w:t>4</w:t>
      </w:r>
      <w:r w:rsidRPr="00130FCF">
        <w:rPr>
          <w:szCs w:val="19"/>
        </w:rPr>
        <w:t xml:space="preserve"> </w:t>
      </w:r>
      <w:r w:rsidRPr="00FE115A">
        <w:rPr>
          <w:szCs w:val="19"/>
        </w:rPr>
        <w:t>that an asset must be a resource controlled by the entity as a result of a past event and that a liability must be a present obligation whose settlement is expected to result in an outflow of resources.</w:t>
      </w:r>
    </w:p>
    <w:p w14:paraId="5CE6AFE4" w14:textId="77777777" w:rsidR="00FE115A" w:rsidRPr="00553AC7" w:rsidRDefault="00FE115A" w:rsidP="00C43187">
      <w:pPr>
        <w:pStyle w:val="IASBNormalnparaL1"/>
        <w:ind w:left="1491" w:hanging="709"/>
        <w:rPr>
          <w:sz w:val="16"/>
          <w:szCs w:val="16"/>
          <w:u w:val="single"/>
        </w:rPr>
      </w:pPr>
      <w:r w:rsidRPr="00553AC7">
        <w:rPr>
          <w:sz w:val="16"/>
          <w:szCs w:val="16"/>
          <w:u w:val="single"/>
        </w:rPr>
        <w:t>4</w:t>
      </w:r>
      <w:r w:rsidRPr="00BB026C">
        <w:rPr>
          <w:sz w:val="16"/>
          <w:szCs w:val="16"/>
        </w:rPr>
        <w:tab/>
      </w:r>
      <w:r w:rsidRPr="00553AC7">
        <w:rPr>
          <w:sz w:val="16"/>
          <w:szCs w:val="16"/>
          <w:u w:val="single"/>
        </w:rPr>
        <w:t xml:space="preserve">The reference to the </w:t>
      </w:r>
      <w:r w:rsidRPr="00553AC7">
        <w:rPr>
          <w:i/>
          <w:sz w:val="16"/>
          <w:szCs w:val="16"/>
          <w:u w:val="single"/>
        </w:rPr>
        <w:t>Framework</w:t>
      </w:r>
      <w:r w:rsidRPr="00553AC7">
        <w:rPr>
          <w:sz w:val="16"/>
          <w:szCs w:val="16"/>
          <w:u w:val="single"/>
        </w:rPr>
        <w:t xml:space="preserve"> is to the </w:t>
      </w:r>
      <w:r w:rsidRPr="00553AC7">
        <w:rPr>
          <w:i/>
          <w:sz w:val="16"/>
          <w:szCs w:val="16"/>
          <w:u w:val="single"/>
        </w:rPr>
        <w:t xml:space="preserve">Framework for </w:t>
      </w:r>
      <w:r w:rsidR="00A037F1">
        <w:rPr>
          <w:i/>
          <w:sz w:val="16"/>
          <w:szCs w:val="16"/>
          <w:u w:val="single"/>
        </w:rPr>
        <w:t xml:space="preserve">the Preparation and Presentation of </w:t>
      </w:r>
      <w:r w:rsidRPr="00553AC7">
        <w:rPr>
          <w:i/>
          <w:sz w:val="16"/>
          <w:szCs w:val="16"/>
          <w:u w:val="single"/>
        </w:rPr>
        <w:t xml:space="preserve">Financial </w:t>
      </w:r>
      <w:r w:rsidR="00A037F1">
        <w:rPr>
          <w:i/>
          <w:sz w:val="16"/>
          <w:szCs w:val="16"/>
          <w:u w:val="single"/>
        </w:rPr>
        <w:t>Statements</w:t>
      </w:r>
      <w:r w:rsidR="00BB026C" w:rsidRPr="005A45AC">
        <w:rPr>
          <w:sz w:val="16"/>
          <w:szCs w:val="16"/>
          <w:u w:val="single"/>
        </w:rPr>
        <w:t xml:space="preserve"> adopted</w:t>
      </w:r>
      <w:r w:rsidR="00BB026C">
        <w:rPr>
          <w:sz w:val="16"/>
          <w:szCs w:val="16"/>
          <w:u w:val="single"/>
        </w:rPr>
        <w:t xml:space="preserve"> by the AASB in 2004</w:t>
      </w:r>
      <w:r w:rsidRPr="00553AC7">
        <w:rPr>
          <w:sz w:val="16"/>
          <w:szCs w:val="16"/>
          <w:u w:val="single"/>
        </w:rPr>
        <w:t>.</w:t>
      </w:r>
    </w:p>
    <w:p w14:paraId="18F6951F" w14:textId="77777777" w:rsidR="003A66C5" w:rsidRDefault="003A66C5" w:rsidP="00C87FAF">
      <w:pPr>
        <w:pStyle w:val="Heading2"/>
        <w:jc w:val="both"/>
      </w:pPr>
      <w:r>
        <w:t>Amendments to AASB 137</w:t>
      </w:r>
    </w:p>
    <w:p w14:paraId="46C39131" w14:textId="77777777" w:rsidR="00A009E4" w:rsidRPr="004043A1" w:rsidRDefault="00A009E4"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Pr>
          <w:szCs w:val="19"/>
        </w:rPr>
        <w:t>Paragraph AusCF1 is added and a</w:t>
      </w:r>
      <w:r w:rsidR="00F93B63" w:rsidRPr="00F93B63">
        <w:rPr>
          <w:szCs w:val="19"/>
        </w:rPr>
        <w:t xml:space="preserve"> footnote is added to the definition of a liability in paragraph 10.</w:t>
      </w:r>
    </w:p>
    <w:p w14:paraId="57A5D0DA" w14:textId="77777777" w:rsidR="00A009E4" w:rsidRPr="00DD424A" w:rsidRDefault="00A009E4" w:rsidP="008E5DDE">
      <w:pPr>
        <w:pStyle w:val="Heading2"/>
        <w:spacing w:before="240"/>
        <w:jc w:val="both"/>
      </w:pPr>
      <w:r w:rsidRPr="004043A1">
        <w:t>Scope</w:t>
      </w:r>
    </w:p>
    <w:p w14:paraId="0F4A230D" w14:textId="77777777" w:rsidR="00A009E4" w:rsidRPr="0067049C" w:rsidRDefault="00A009E4" w:rsidP="00874790">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2A2F53C2" w14:textId="662492B3" w:rsidR="00A009E4" w:rsidRPr="0067049C" w:rsidRDefault="00874790" w:rsidP="00874790">
      <w:pPr>
        <w:pStyle w:val="IASBNormalnparaL1"/>
        <w:rPr>
          <w:szCs w:val="19"/>
          <w:u w:val="single"/>
        </w:rPr>
      </w:pPr>
      <w:r>
        <w:rPr>
          <w:szCs w:val="19"/>
          <w:u w:val="single"/>
        </w:rPr>
        <w:t>(a)</w:t>
      </w:r>
      <w:r>
        <w:rPr>
          <w:szCs w:val="19"/>
          <w:u w:val="single"/>
        </w:rPr>
        <w:tab/>
      </w:r>
      <w:r w:rsidR="00A009E4" w:rsidRPr="0067049C">
        <w:rPr>
          <w:szCs w:val="19"/>
          <w:u w:val="single"/>
        </w:rPr>
        <w:t xml:space="preserve">not-for-profit entities; and </w:t>
      </w:r>
    </w:p>
    <w:p w14:paraId="74AD0F7E" w14:textId="342F2559" w:rsidR="00A009E4" w:rsidRPr="0067049C" w:rsidRDefault="00874790" w:rsidP="00874790">
      <w:pPr>
        <w:pStyle w:val="IASBNormalnparaL1"/>
        <w:rPr>
          <w:szCs w:val="19"/>
          <w:u w:val="single"/>
        </w:rPr>
      </w:pPr>
      <w:r>
        <w:rPr>
          <w:szCs w:val="19"/>
          <w:u w:val="single"/>
        </w:rPr>
        <w:t>(b)</w:t>
      </w:r>
      <w:r>
        <w:rPr>
          <w:szCs w:val="19"/>
          <w:u w:val="single"/>
        </w:rPr>
        <w:tab/>
      </w:r>
      <w:r w:rsidR="00A009E4" w:rsidRPr="0067049C">
        <w:rPr>
          <w:szCs w:val="19"/>
          <w:u w:val="single"/>
        </w:rPr>
        <w:t xml:space="preserve">for-profit entities that are not applying the </w:t>
      </w:r>
      <w:r w:rsidR="00A009E4"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A009E4" w:rsidRPr="0067049C">
        <w:rPr>
          <w:szCs w:val="19"/>
          <w:u w:val="single"/>
        </w:rPr>
        <w:t>.</w:t>
      </w:r>
    </w:p>
    <w:p w14:paraId="2E3842B2" w14:textId="041C06B9" w:rsidR="00A009E4" w:rsidRDefault="00A009E4" w:rsidP="00874790">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1A7B15">
        <w:rPr>
          <w:i/>
          <w:szCs w:val="19"/>
          <w:u w:val="single"/>
        </w:rPr>
        <w:t>Definition of the Reporting Entity</w:t>
      </w:r>
      <w:r w:rsidRPr="00304710">
        <w:rPr>
          <w:szCs w:val="19"/>
          <w:u w:val="single"/>
        </w:rPr>
        <w:t xml:space="preserve"> also applies</w:t>
      </w:r>
      <w:r w:rsidRPr="001A7B15">
        <w:rPr>
          <w:i/>
          <w:szCs w:val="19"/>
          <w:u w:val="single"/>
        </w:rPr>
        <w:t>.</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6437C9B6" w14:textId="77777777" w:rsidR="00A009E4" w:rsidRDefault="00A009E4" w:rsidP="00053739">
      <w:pPr>
        <w:autoSpaceDE w:val="0"/>
        <w:autoSpaceDN w:val="0"/>
        <w:adjustRightInd w:val="0"/>
        <w:spacing w:before="100"/>
        <w:ind w:left="720" w:hanging="720"/>
        <w:rPr>
          <w:szCs w:val="19"/>
        </w:rPr>
      </w:pPr>
      <w:r>
        <w:rPr>
          <w:szCs w:val="19"/>
        </w:rPr>
        <w:t>…</w:t>
      </w:r>
    </w:p>
    <w:p w14:paraId="4B422CE6" w14:textId="77777777" w:rsidR="00256641" w:rsidRPr="00DD424A" w:rsidRDefault="00256641" w:rsidP="008E5DDE">
      <w:pPr>
        <w:pStyle w:val="Heading2"/>
        <w:spacing w:before="240"/>
        <w:jc w:val="both"/>
      </w:pPr>
      <w:r>
        <w:t>Definitions</w:t>
      </w:r>
    </w:p>
    <w:p w14:paraId="44C14EF8" w14:textId="77777777" w:rsidR="00256641" w:rsidRDefault="00256641" w:rsidP="00C87FAF">
      <w:pPr>
        <w:autoSpaceDE w:val="0"/>
        <w:autoSpaceDN w:val="0"/>
        <w:adjustRightInd w:val="0"/>
        <w:ind w:left="720" w:hanging="720"/>
        <w:rPr>
          <w:szCs w:val="19"/>
        </w:rPr>
      </w:pPr>
      <w:r>
        <w:rPr>
          <w:szCs w:val="19"/>
        </w:rPr>
        <w:t>…</w:t>
      </w:r>
    </w:p>
    <w:p w14:paraId="46FF4AA6" w14:textId="77777777" w:rsidR="00256641" w:rsidRDefault="00256641" w:rsidP="00874790">
      <w:pPr>
        <w:autoSpaceDE w:val="0"/>
        <w:autoSpaceDN w:val="0"/>
        <w:adjustRightInd w:val="0"/>
        <w:ind w:left="782"/>
        <w:rPr>
          <w:szCs w:val="19"/>
        </w:rPr>
      </w:pPr>
      <w:r w:rsidRPr="00256641">
        <w:rPr>
          <w:szCs w:val="19"/>
        </w:rPr>
        <w:t xml:space="preserve">A </w:t>
      </w:r>
      <w:r w:rsidRPr="00256641">
        <w:rPr>
          <w:i/>
          <w:szCs w:val="19"/>
        </w:rPr>
        <w:t>liability</w:t>
      </w:r>
      <w:r w:rsidRPr="00256641">
        <w:rPr>
          <w:szCs w:val="19"/>
        </w:rPr>
        <w:t xml:space="preserve"> is a present obligation of the entity arising from past events, the settlement of which is expected to result in an outflow from the entity of resources embodying economic benefits</w:t>
      </w:r>
      <w:r w:rsidR="00DB378A">
        <w:rPr>
          <w:szCs w:val="19"/>
        </w:rPr>
        <w:t>.</w:t>
      </w:r>
      <w:r w:rsidRPr="00DB378A">
        <w:rPr>
          <w:szCs w:val="19"/>
          <w:u w:val="single"/>
        </w:rPr>
        <w:t>*</w:t>
      </w:r>
    </w:p>
    <w:p w14:paraId="7DEC3AD4" w14:textId="77777777" w:rsidR="00F93B63" w:rsidRPr="00F93B63" w:rsidRDefault="00F93B63" w:rsidP="00874790">
      <w:pPr>
        <w:pStyle w:val="IASBNormalnparaL1"/>
        <w:ind w:left="1491" w:hanging="709"/>
        <w:rPr>
          <w:sz w:val="16"/>
          <w:szCs w:val="16"/>
        </w:rPr>
      </w:pPr>
      <w:r w:rsidRPr="00A7321D">
        <w:rPr>
          <w:szCs w:val="19"/>
          <w:u w:val="single"/>
        </w:rPr>
        <w:t>*</w:t>
      </w:r>
      <w:r w:rsidRPr="00A7321D">
        <w:rPr>
          <w:szCs w:val="19"/>
        </w:rPr>
        <w:t xml:space="preserve"> </w:t>
      </w:r>
      <w:r w:rsidRPr="00F93B63">
        <w:rPr>
          <w:sz w:val="16"/>
          <w:szCs w:val="16"/>
        </w:rPr>
        <w:tab/>
      </w:r>
      <w:r w:rsidRPr="00F93B63">
        <w:rPr>
          <w:sz w:val="16"/>
          <w:szCs w:val="16"/>
          <w:u w:val="single"/>
        </w:rPr>
        <w:t xml:space="preserve">The definition of a liability in this Standard was not revised following the revision of the definition of a liability in the </w:t>
      </w:r>
      <w:r w:rsidRPr="00F93B63">
        <w:rPr>
          <w:i/>
          <w:sz w:val="16"/>
          <w:szCs w:val="16"/>
          <w:u w:val="single"/>
        </w:rPr>
        <w:t>Conceptual Framework for Financial Reporting</w:t>
      </w:r>
      <w:r w:rsidRPr="00F93B63">
        <w:rPr>
          <w:sz w:val="16"/>
          <w:szCs w:val="16"/>
          <w:u w:val="single"/>
        </w:rPr>
        <w:t xml:space="preserve"> (as identified in AASB 1048 </w:t>
      </w:r>
      <w:r w:rsidRPr="00F93B63">
        <w:rPr>
          <w:i/>
          <w:sz w:val="16"/>
          <w:szCs w:val="16"/>
          <w:u w:val="single"/>
        </w:rPr>
        <w:t>Interpretation of Standards</w:t>
      </w:r>
      <w:r w:rsidRPr="00F93B63">
        <w:rPr>
          <w:sz w:val="16"/>
          <w:szCs w:val="16"/>
          <w:u w:val="single"/>
        </w:rPr>
        <w:t xml:space="preserve">) issued in </w:t>
      </w:r>
      <w:r w:rsidR="00443B60">
        <w:rPr>
          <w:sz w:val="16"/>
          <w:szCs w:val="16"/>
          <w:u w:val="single"/>
        </w:rPr>
        <w:t>2019</w:t>
      </w:r>
      <w:r w:rsidRPr="0067049C">
        <w:rPr>
          <w:sz w:val="16"/>
          <w:szCs w:val="16"/>
          <w:u w:val="single"/>
        </w:rPr>
        <w:t>.</w:t>
      </w:r>
    </w:p>
    <w:p w14:paraId="6A99CBE7" w14:textId="77777777" w:rsidR="003A66C5" w:rsidRDefault="003A66C5" w:rsidP="00C87FAF">
      <w:pPr>
        <w:pStyle w:val="Heading2"/>
        <w:jc w:val="both"/>
      </w:pPr>
      <w:r>
        <w:t>Amendments to AASB 138</w:t>
      </w:r>
    </w:p>
    <w:p w14:paraId="2930448C" w14:textId="77777777" w:rsidR="00F93B63" w:rsidRPr="00F93B63" w:rsidRDefault="00F93B63"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F93B63">
        <w:rPr>
          <w:szCs w:val="19"/>
        </w:rPr>
        <w:t>A footnote is added to the definition of an asset in paragraph 8.</w:t>
      </w:r>
    </w:p>
    <w:p w14:paraId="3BC26A5A" w14:textId="77777777" w:rsidR="00256641" w:rsidRPr="00DD424A" w:rsidRDefault="00256641" w:rsidP="008E5DDE">
      <w:pPr>
        <w:pStyle w:val="Heading2"/>
        <w:spacing w:before="240"/>
        <w:jc w:val="both"/>
      </w:pPr>
      <w:r>
        <w:t>Definitions</w:t>
      </w:r>
    </w:p>
    <w:p w14:paraId="2C76E114" w14:textId="77777777" w:rsidR="00256641" w:rsidRDefault="00256641" w:rsidP="00C87FAF">
      <w:pPr>
        <w:autoSpaceDE w:val="0"/>
        <w:autoSpaceDN w:val="0"/>
        <w:adjustRightInd w:val="0"/>
        <w:ind w:left="720" w:hanging="720"/>
        <w:rPr>
          <w:szCs w:val="19"/>
        </w:rPr>
      </w:pPr>
      <w:r>
        <w:rPr>
          <w:szCs w:val="19"/>
        </w:rPr>
        <w:t>…</w:t>
      </w:r>
    </w:p>
    <w:p w14:paraId="67A582B2" w14:textId="77777777" w:rsidR="00256641" w:rsidRPr="00256641" w:rsidRDefault="00256641" w:rsidP="00053739">
      <w:pPr>
        <w:keepNext/>
        <w:autoSpaceDE w:val="0"/>
        <w:autoSpaceDN w:val="0"/>
        <w:adjustRightInd w:val="0"/>
        <w:ind w:left="782"/>
        <w:rPr>
          <w:szCs w:val="19"/>
        </w:rPr>
      </w:pPr>
      <w:r w:rsidRPr="00256641">
        <w:rPr>
          <w:szCs w:val="19"/>
        </w:rPr>
        <w:t xml:space="preserve">An </w:t>
      </w:r>
      <w:r w:rsidRPr="00256641">
        <w:rPr>
          <w:i/>
          <w:szCs w:val="19"/>
        </w:rPr>
        <w:t>asset</w:t>
      </w:r>
      <w:r w:rsidRPr="00256641">
        <w:rPr>
          <w:szCs w:val="19"/>
        </w:rPr>
        <w:t xml:space="preserve"> is a resource:</w:t>
      </w:r>
    </w:p>
    <w:p w14:paraId="5393DCFA" w14:textId="24DFB59A" w:rsidR="00256641" w:rsidRPr="008E5DDE" w:rsidRDefault="008E5DDE" w:rsidP="008E5DDE">
      <w:pPr>
        <w:pStyle w:val="IASBNormalnparaL1"/>
        <w:rPr>
          <w:szCs w:val="19"/>
        </w:rPr>
      </w:pPr>
      <w:r>
        <w:rPr>
          <w:szCs w:val="19"/>
        </w:rPr>
        <w:t>(a)</w:t>
      </w:r>
      <w:r>
        <w:rPr>
          <w:szCs w:val="19"/>
        </w:rPr>
        <w:tab/>
      </w:r>
      <w:r w:rsidR="00256641" w:rsidRPr="008E5DDE">
        <w:rPr>
          <w:szCs w:val="19"/>
        </w:rPr>
        <w:t>controlled by an entity as a result of past events; and</w:t>
      </w:r>
    </w:p>
    <w:p w14:paraId="6A913564" w14:textId="72F70ED6" w:rsidR="00256641" w:rsidRDefault="008E5DDE" w:rsidP="008E5DDE">
      <w:pPr>
        <w:pStyle w:val="IASBNormalnparaL1"/>
        <w:rPr>
          <w:szCs w:val="19"/>
        </w:rPr>
      </w:pPr>
      <w:r>
        <w:rPr>
          <w:szCs w:val="19"/>
        </w:rPr>
        <w:t>(b)</w:t>
      </w:r>
      <w:r w:rsidRPr="008E5DDE">
        <w:rPr>
          <w:szCs w:val="19"/>
        </w:rPr>
        <w:tab/>
      </w:r>
      <w:r w:rsidR="00256641" w:rsidRPr="008E5DDE">
        <w:rPr>
          <w:szCs w:val="19"/>
        </w:rPr>
        <w:t>from which</w:t>
      </w:r>
      <w:r w:rsidR="00256641" w:rsidRPr="00256641">
        <w:rPr>
          <w:szCs w:val="19"/>
        </w:rPr>
        <w:t xml:space="preserve"> future economic benefits are expected to flow to the entity</w:t>
      </w:r>
      <w:r w:rsidR="00DB378A" w:rsidRPr="00DB378A">
        <w:rPr>
          <w:szCs w:val="19"/>
        </w:rPr>
        <w:t>.</w:t>
      </w:r>
      <w:r w:rsidR="00256641" w:rsidRPr="00DB378A">
        <w:rPr>
          <w:szCs w:val="19"/>
          <w:u w:val="single"/>
        </w:rPr>
        <w:t>*</w:t>
      </w:r>
    </w:p>
    <w:p w14:paraId="020ED32D" w14:textId="77777777" w:rsidR="00F93B63" w:rsidRPr="00F93B63" w:rsidRDefault="00F93B63" w:rsidP="00874790">
      <w:pPr>
        <w:pStyle w:val="IASBNormalnparaL1"/>
        <w:ind w:left="1491" w:hanging="709"/>
        <w:rPr>
          <w:sz w:val="16"/>
          <w:szCs w:val="16"/>
        </w:rPr>
      </w:pPr>
      <w:r w:rsidRPr="00A7321D">
        <w:rPr>
          <w:szCs w:val="19"/>
          <w:u w:val="single"/>
        </w:rPr>
        <w:t>*</w:t>
      </w:r>
      <w:r w:rsidRPr="00F93B63">
        <w:rPr>
          <w:sz w:val="16"/>
          <w:szCs w:val="16"/>
        </w:rPr>
        <w:t xml:space="preserve"> </w:t>
      </w:r>
      <w:r w:rsidRPr="00F93B63">
        <w:rPr>
          <w:sz w:val="16"/>
          <w:szCs w:val="16"/>
        </w:rPr>
        <w:tab/>
      </w:r>
      <w:r w:rsidRPr="00F93B63">
        <w:rPr>
          <w:sz w:val="16"/>
          <w:szCs w:val="16"/>
          <w:u w:val="single"/>
        </w:rPr>
        <w:t xml:space="preserve">The definition of an asset in this Standard was not revised following the revision of the definition of an asset in the </w:t>
      </w:r>
      <w:r w:rsidRPr="00F93B63">
        <w:rPr>
          <w:i/>
          <w:sz w:val="16"/>
          <w:szCs w:val="16"/>
          <w:u w:val="single"/>
        </w:rPr>
        <w:t>Conceptual Framework for Financial Reporting</w:t>
      </w:r>
      <w:r w:rsidRPr="00F93B63">
        <w:rPr>
          <w:sz w:val="16"/>
          <w:szCs w:val="16"/>
          <w:u w:val="single"/>
        </w:rPr>
        <w:t xml:space="preserve"> (as identified in AASB 1048 </w:t>
      </w:r>
      <w:r w:rsidRPr="00F93B63">
        <w:rPr>
          <w:i/>
          <w:sz w:val="16"/>
          <w:szCs w:val="16"/>
          <w:u w:val="single"/>
        </w:rPr>
        <w:t>Interpretation of Standards</w:t>
      </w:r>
      <w:r w:rsidRPr="00F93B63">
        <w:rPr>
          <w:sz w:val="16"/>
          <w:szCs w:val="16"/>
          <w:u w:val="single"/>
        </w:rPr>
        <w:t xml:space="preserve">) issued in </w:t>
      </w:r>
      <w:r w:rsidR="00443B60">
        <w:rPr>
          <w:sz w:val="16"/>
          <w:szCs w:val="16"/>
          <w:u w:val="single"/>
        </w:rPr>
        <w:t>2019</w:t>
      </w:r>
      <w:r w:rsidRPr="0067049C">
        <w:rPr>
          <w:sz w:val="16"/>
          <w:szCs w:val="16"/>
          <w:u w:val="single"/>
        </w:rPr>
        <w:t>.</w:t>
      </w:r>
    </w:p>
    <w:p w14:paraId="0DC80F3C" w14:textId="77777777" w:rsidR="003A66C5" w:rsidRDefault="003A66C5" w:rsidP="00C87FAF">
      <w:pPr>
        <w:pStyle w:val="Heading2"/>
        <w:jc w:val="both"/>
      </w:pPr>
      <w:r>
        <w:t>Amendments to AASB 139</w:t>
      </w:r>
    </w:p>
    <w:p w14:paraId="4EFD38E1"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637BF68A" w14:textId="77777777" w:rsidR="004043A1" w:rsidRPr="004043A1" w:rsidRDefault="004043A1" w:rsidP="00C87FAF">
      <w:pPr>
        <w:autoSpaceDE w:val="0"/>
        <w:autoSpaceDN w:val="0"/>
        <w:adjustRightInd w:val="0"/>
        <w:rPr>
          <w:b/>
          <w:bCs/>
          <w:szCs w:val="19"/>
        </w:rPr>
      </w:pPr>
    </w:p>
    <w:p w14:paraId="25ADEE11" w14:textId="77777777" w:rsidR="00284EE9" w:rsidRPr="0067049C" w:rsidRDefault="00284EE9" w:rsidP="00874790">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1C92C52A" w14:textId="77BE4336" w:rsidR="00284EE9" w:rsidRPr="0067049C" w:rsidRDefault="00874790" w:rsidP="00874790">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45A29E92" w14:textId="08A9B31C" w:rsidR="00284EE9" w:rsidRPr="0067049C" w:rsidRDefault="00874790" w:rsidP="00874790">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284EE9" w:rsidRPr="0067049C">
        <w:rPr>
          <w:szCs w:val="19"/>
          <w:u w:val="single"/>
        </w:rPr>
        <w:t>.</w:t>
      </w:r>
    </w:p>
    <w:p w14:paraId="0AAA175E" w14:textId="423A97D6" w:rsidR="00284EE9" w:rsidRDefault="00284EE9" w:rsidP="00874790">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3A4F19D6" w14:textId="77777777" w:rsidR="003A66C5" w:rsidRDefault="003A66C5" w:rsidP="00C87FAF">
      <w:pPr>
        <w:pStyle w:val="Heading2"/>
        <w:jc w:val="both"/>
      </w:pPr>
      <w:r>
        <w:t>Amendments to AASB 140</w:t>
      </w:r>
    </w:p>
    <w:p w14:paraId="079EF26C"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 AusCF1 is added.</w:t>
      </w:r>
    </w:p>
    <w:p w14:paraId="77C6DE3E" w14:textId="77777777" w:rsidR="004043A1" w:rsidRPr="004043A1" w:rsidRDefault="004043A1" w:rsidP="00C87FAF">
      <w:pPr>
        <w:pStyle w:val="Heading2"/>
        <w:spacing w:before="240"/>
        <w:jc w:val="both"/>
      </w:pPr>
      <w:r w:rsidRPr="004043A1">
        <w:t>Objective</w:t>
      </w:r>
    </w:p>
    <w:p w14:paraId="2348D587" w14:textId="77777777" w:rsidR="004043A1" w:rsidRPr="004043A1" w:rsidRDefault="004043A1" w:rsidP="00C87FAF">
      <w:pPr>
        <w:autoSpaceDE w:val="0"/>
        <w:autoSpaceDN w:val="0"/>
        <w:adjustRightInd w:val="0"/>
        <w:rPr>
          <w:szCs w:val="19"/>
        </w:rPr>
      </w:pPr>
      <w:r w:rsidRPr="004043A1">
        <w:rPr>
          <w:szCs w:val="19"/>
        </w:rPr>
        <w:t>…</w:t>
      </w:r>
    </w:p>
    <w:p w14:paraId="42C0BA9A" w14:textId="77777777" w:rsidR="00284EE9" w:rsidRPr="0067049C" w:rsidRDefault="00284EE9" w:rsidP="00874790">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76C385A0" w14:textId="231C9120" w:rsidR="00284EE9" w:rsidRPr="0067049C" w:rsidRDefault="00874790" w:rsidP="00874790">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45EA499B" w14:textId="538C5A9B" w:rsidR="00284EE9" w:rsidRPr="0067049C" w:rsidRDefault="00874790" w:rsidP="00874790">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284EE9" w:rsidRPr="0067049C">
        <w:rPr>
          <w:szCs w:val="19"/>
          <w:u w:val="single"/>
        </w:rPr>
        <w:t>.</w:t>
      </w:r>
    </w:p>
    <w:p w14:paraId="48168A29" w14:textId="5CDFC229" w:rsidR="00284EE9" w:rsidRDefault="00284EE9" w:rsidP="00874790">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23BF3258" w14:textId="77777777" w:rsidR="003A66C5" w:rsidRDefault="003A66C5" w:rsidP="00C87FAF">
      <w:pPr>
        <w:pStyle w:val="Heading2"/>
        <w:jc w:val="both"/>
      </w:pPr>
      <w:r>
        <w:t>Amendments to AASB 1023</w:t>
      </w:r>
    </w:p>
    <w:p w14:paraId="78FB1F93"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Paragraphs AusCF1 and AusCF17.6.4 are added.  Paragraph 17.6.4 is amended.</w:t>
      </w:r>
    </w:p>
    <w:p w14:paraId="54F740CA" w14:textId="77777777" w:rsidR="004043A1" w:rsidRPr="00864580" w:rsidRDefault="004043A1" w:rsidP="00B10E18">
      <w:pPr>
        <w:pStyle w:val="Heading1"/>
        <w:spacing w:before="240"/>
        <w:ind w:left="782" w:hanging="782"/>
        <w:jc w:val="both"/>
        <w:rPr>
          <w:rFonts w:ascii="Times New Roman" w:hAnsi="Times New Roman" w:cs="Times New Roman"/>
        </w:rPr>
      </w:pPr>
      <w:r w:rsidRPr="00864580">
        <w:rPr>
          <w:rFonts w:ascii="Times New Roman" w:hAnsi="Times New Roman" w:cs="Times New Roman"/>
        </w:rPr>
        <w:t>1</w:t>
      </w:r>
      <w:r w:rsidRPr="00864580">
        <w:rPr>
          <w:rFonts w:ascii="Times New Roman" w:hAnsi="Times New Roman" w:cs="Times New Roman"/>
        </w:rPr>
        <w:tab/>
        <w:t>Application</w:t>
      </w:r>
    </w:p>
    <w:p w14:paraId="2C7D5EEC" w14:textId="77777777" w:rsidR="004043A1" w:rsidRPr="004043A1" w:rsidRDefault="004043A1" w:rsidP="00C87FAF">
      <w:pPr>
        <w:autoSpaceDE w:val="0"/>
        <w:autoSpaceDN w:val="0"/>
        <w:adjustRightInd w:val="0"/>
        <w:rPr>
          <w:szCs w:val="19"/>
        </w:rPr>
      </w:pPr>
      <w:r w:rsidRPr="004043A1">
        <w:rPr>
          <w:szCs w:val="19"/>
        </w:rPr>
        <w:t>…</w:t>
      </w:r>
    </w:p>
    <w:p w14:paraId="42FEBE11" w14:textId="3017B6BE" w:rsidR="00FE115A" w:rsidRPr="0067049C" w:rsidRDefault="00FE115A" w:rsidP="00874790">
      <w:pPr>
        <w:pStyle w:val="IASBNormalnpara"/>
        <w:rPr>
          <w:szCs w:val="19"/>
          <w:u w:val="single"/>
        </w:rPr>
      </w:pPr>
      <w:r w:rsidRPr="0067049C">
        <w:rPr>
          <w:szCs w:val="19"/>
          <w:u w:val="single"/>
        </w:rPr>
        <w:t>AusCF1</w:t>
      </w:r>
      <w:r w:rsidRPr="0067049C">
        <w:rPr>
          <w:szCs w:val="19"/>
        </w:rPr>
        <w:tab/>
      </w:r>
      <w:r w:rsidRPr="0067049C">
        <w:rPr>
          <w:szCs w:val="19"/>
          <w:u w:val="single"/>
        </w:rPr>
        <w:t>AusCF paragraphs included in this Standard apply only to:</w:t>
      </w:r>
    </w:p>
    <w:p w14:paraId="41CE5EE7" w14:textId="38B1F485" w:rsidR="00FE115A" w:rsidRPr="0067049C" w:rsidRDefault="00874790" w:rsidP="00874790">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251B9DC2" w14:textId="092127E0" w:rsidR="00FE115A" w:rsidRPr="0067049C" w:rsidRDefault="00874790" w:rsidP="00874790">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FE115A" w:rsidRPr="0067049C">
        <w:rPr>
          <w:szCs w:val="19"/>
          <w:u w:val="single"/>
        </w:rPr>
        <w:t xml:space="preserve">.  </w:t>
      </w:r>
    </w:p>
    <w:p w14:paraId="2F7FED26" w14:textId="5AA73BB6" w:rsidR="00FE115A" w:rsidRPr="0067049C" w:rsidRDefault="00FE115A" w:rsidP="00874790">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w:t>
      </w:r>
    </w:p>
    <w:p w14:paraId="59B9A431" w14:textId="77777777" w:rsidR="00C4364F" w:rsidRPr="004043A1" w:rsidRDefault="00C4364F" w:rsidP="00C87FAF">
      <w:pPr>
        <w:autoSpaceDE w:val="0"/>
        <w:autoSpaceDN w:val="0"/>
        <w:adjustRightInd w:val="0"/>
        <w:rPr>
          <w:szCs w:val="19"/>
        </w:rPr>
      </w:pPr>
      <w:r w:rsidRPr="004043A1">
        <w:rPr>
          <w:szCs w:val="19"/>
        </w:rPr>
        <w:t>…</w:t>
      </w:r>
    </w:p>
    <w:p w14:paraId="51992814" w14:textId="77777777" w:rsidR="004043A1" w:rsidRPr="00B10E18" w:rsidRDefault="004043A1" w:rsidP="00B10E18">
      <w:pPr>
        <w:keepNext/>
        <w:autoSpaceDE w:val="0"/>
        <w:autoSpaceDN w:val="0"/>
        <w:adjustRightInd w:val="0"/>
        <w:spacing w:before="100"/>
        <w:ind w:left="1916" w:hanging="1134"/>
        <w:rPr>
          <w:b/>
          <w:bCs/>
          <w:sz w:val="22"/>
          <w:szCs w:val="22"/>
        </w:rPr>
      </w:pPr>
      <w:r w:rsidRPr="00B10E18">
        <w:rPr>
          <w:b/>
          <w:bCs/>
          <w:sz w:val="22"/>
          <w:szCs w:val="22"/>
        </w:rPr>
        <w:t>Insurance Contracts – Explanation of Recognised Amounts</w:t>
      </w:r>
    </w:p>
    <w:p w14:paraId="7BA3799A" w14:textId="77777777" w:rsidR="004043A1" w:rsidRPr="004043A1" w:rsidRDefault="004043A1" w:rsidP="00C87FAF">
      <w:pPr>
        <w:autoSpaceDE w:val="0"/>
        <w:autoSpaceDN w:val="0"/>
        <w:adjustRightInd w:val="0"/>
        <w:spacing w:before="100"/>
        <w:ind w:left="720" w:hanging="720"/>
        <w:rPr>
          <w:szCs w:val="19"/>
        </w:rPr>
      </w:pPr>
      <w:r w:rsidRPr="004043A1">
        <w:rPr>
          <w:szCs w:val="19"/>
        </w:rPr>
        <w:t>…</w:t>
      </w:r>
    </w:p>
    <w:p w14:paraId="5DE2FC65" w14:textId="77777777" w:rsidR="004043A1" w:rsidRDefault="004043A1" w:rsidP="00874790">
      <w:pPr>
        <w:pStyle w:val="IASBNormalnpara"/>
        <w:rPr>
          <w:szCs w:val="19"/>
        </w:rPr>
      </w:pPr>
      <w:r w:rsidRPr="004043A1">
        <w:rPr>
          <w:szCs w:val="19"/>
        </w:rPr>
        <w:t>17.6.4</w:t>
      </w:r>
      <w:r w:rsidRPr="004043A1">
        <w:rPr>
          <w:szCs w:val="19"/>
        </w:rPr>
        <w:tab/>
        <w:t>When an insurer is presenting the disclosures required by paragraphs 17.6.1(c) and 17.6.1(d) the insurer determines the level and extent of disclosure that is appropriate having regard to its circumstances and the qualitative characteristics of financial statements under the</w:t>
      </w:r>
      <w:r w:rsidRPr="004043A1">
        <w:rPr>
          <w:i/>
          <w:szCs w:val="19"/>
          <w:u w:val="single"/>
        </w:rPr>
        <w:t xml:space="preserve"> Conceptual Framework for Financial Reporting</w:t>
      </w:r>
      <w:r w:rsidR="003B2735">
        <w:rPr>
          <w:i/>
          <w:szCs w:val="19"/>
          <w:u w:val="single"/>
        </w:rPr>
        <w:t xml:space="preserve"> </w:t>
      </w:r>
      <w:r w:rsidRPr="004043A1">
        <w:rPr>
          <w:i/>
          <w:iCs/>
          <w:strike/>
          <w:szCs w:val="19"/>
        </w:rPr>
        <w:t>Framework for the Preparation and Presentation of Financial Statements</w:t>
      </w:r>
      <w:r w:rsidRPr="003B2735">
        <w:rPr>
          <w:i/>
          <w:iCs/>
          <w:strike/>
          <w:szCs w:val="19"/>
        </w:rPr>
        <w:t xml:space="preserve"> </w:t>
      </w:r>
      <w:r w:rsidRPr="004043A1">
        <w:rPr>
          <w:szCs w:val="19"/>
        </w:rPr>
        <w:t xml:space="preserve">(as identified in AASB 1048 </w:t>
      </w:r>
      <w:r w:rsidRPr="004043A1">
        <w:rPr>
          <w:i/>
          <w:iCs/>
          <w:szCs w:val="19"/>
        </w:rPr>
        <w:t>Interpretation of Standards</w:t>
      </w:r>
      <w:r w:rsidRPr="004043A1">
        <w:rPr>
          <w:szCs w:val="19"/>
        </w:rPr>
        <w:t>).</w:t>
      </w:r>
    </w:p>
    <w:p w14:paraId="6B61F64A" w14:textId="77777777" w:rsidR="004043A1" w:rsidRPr="004043A1" w:rsidRDefault="004043A1" w:rsidP="00874790">
      <w:pPr>
        <w:pStyle w:val="IASBNormalnpara"/>
        <w:rPr>
          <w:szCs w:val="19"/>
        </w:rPr>
      </w:pPr>
      <w:r w:rsidRPr="004043A1">
        <w:rPr>
          <w:szCs w:val="19"/>
          <w:u w:val="single"/>
        </w:rPr>
        <w:t>AusCF17.6.4</w:t>
      </w:r>
      <w:r w:rsidRPr="004043A1">
        <w:rPr>
          <w:szCs w:val="19"/>
        </w:rPr>
        <w:tab/>
      </w:r>
      <w:r w:rsidR="00AA33CA" w:rsidRPr="00AA4F63">
        <w:rPr>
          <w:szCs w:val="19"/>
          <w:u w:val="single"/>
        </w:rPr>
        <w:t xml:space="preserve">Notwithstanding paragraph </w:t>
      </w:r>
      <w:r w:rsidR="00AA33CA">
        <w:rPr>
          <w:szCs w:val="19"/>
          <w:u w:val="single"/>
        </w:rPr>
        <w:t>17.</w:t>
      </w:r>
      <w:r w:rsidR="00AA33CA" w:rsidRPr="00AA4F63">
        <w:rPr>
          <w:szCs w:val="19"/>
          <w:u w:val="single"/>
        </w:rPr>
        <w:t>6</w:t>
      </w:r>
      <w:r w:rsidR="00AA33CA">
        <w:rPr>
          <w:szCs w:val="19"/>
          <w:u w:val="single"/>
        </w:rPr>
        <w:t>.4</w:t>
      </w:r>
      <w:r w:rsidR="00AA33CA" w:rsidRPr="00AA4F63">
        <w:rPr>
          <w:szCs w:val="19"/>
          <w:u w:val="single"/>
        </w:rPr>
        <w:t xml:space="preserve">, in respect of AusCF entities, </w:t>
      </w:r>
      <w:r w:rsidR="00AA33CA" w:rsidRPr="004043A1">
        <w:rPr>
          <w:szCs w:val="19"/>
          <w:u w:val="single"/>
        </w:rPr>
        <w:t xml:space="preserve">when </w:t>
      </w:r>
      <w:r w:rsidRPr="004043A1">
        <w:rPr>
          <w:szCs w:val="19"/>
          <w:u w:val="single"/>
        </w:rPr>
        <w:t xml:space="preserve">an insurer is presenting the disclosures required by paragraphs 17.6.1(c) and 17.6.1(d) the insurer determines the level and extent of disclosure that is appropriate having regard to its circumstances and the qualitative characteristics of financial statements under the </w:t>
      </w:r>
      <w:r w:rsidRPr="004043A1">
        <w:rPr>
          <w:i/>
          <w:iCs/>
          <w:szCs w:val="19"/>
          <w:u w:val="single"/>
        </w:rPr>
        <w:t xml:space="preserve">Framework for the Preparation and Presentation of Financial Statements </w:t>
      </w:r>
      <w:r w:rsidRPr="004043A1">
        <w:rPr>
          <w:szCs w:val="19"/>
          <w:u w:val="single"/>
        </w:rPr>
        <w:t xml:space="preserve">(as identified in AASB 1048 </w:t>
      </w:r>
      <w:r w:rsidRPr="004043A1">
        <w:rPr>
          <w:i/>
          <w:iCs/>
          <w:szCs w:val="19"/>
          <w:u w:val="single"/>
        </w:rPr>
        <w:t>Interpretation of Standards</w:t>
      </w:r>
      <w:r w:rsidRPr="004043A1">
        <w:rPr>
          <w:szCs w:val="19"/>
          <w:u w:val="single"/>
        </w:rPr>
        <w:t>).</w:t>
      </w:r>
    </w:p>
    <w:p w14:paraId="2832759D" w14:textId="77777777" w:rsidR="003A66C5" w:rsidRDefault="003A66C5" w:rsidP="00C87FAF">
      <w:pPr>
        <w:pStyle w:val="Heading2"/>
        <w:jc w:val="both"/>
      </w:pPr>
      <w:r>
        <w:t>Amendments to AASB 1038</w:t>
      </w:r>
    </w:p>
    <w:p w14:paraId="32D6BDE9"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Paragraphs AusCF1 and AusCF14.1.7 are added.  Paragraph 14.1.7 is amended.</w:t>
      </w:r>
    </w:p>
    <w:p w14:paraId="73405E1F" w14:textId="77777777" w:rsidR="00864580" w:rsidRPr="00864580" w:rsidRDefault="00864580" w:rsidP="00B10E18">
      <w:pPr>
        <w:pStyle w:val="Heading1"/>
        <w:spacing w:before="240"/>
        <w:ind w:left="782" w:hanging="782"/>
        <w:jc w:val="both"/>
        <w:rPr>
          <w:rFonts w:ascii="Times New Roman" w:hAnsi="Times New Roman" w:cs="Times New Roman"/>
        </w:rPr>
      </w:pPr>
      <w:r w:rsidRPr="00864580">
        <w:rPr>
          <w:rFonts w:ascii="Times New Roman" w:hAnsi="Times New Roman" w:cs="Times New Roman"/>
        </w:rPr>
        <w:t>1</w:t>
      </w:r>
      <w:r w:rsidRPr="00864580">
        <w:rPr>
          <w:rFonts w:ascii="Times New Roman" w:hAnsi="Times New Roman" w:cs="Times New Roman"/>
        </w:rPr>
        <w:tab/>
        <w:t>Application</w:t>
      </w:r>
    </w:p>
    <w:p w14:paraId="0767BA3C" w14:textId="77777777" w:rsidR="004043A1" w:rsidRPr="004043A1" w:rsidRDefault="004043A1" w:rsidP="00C87FAF">
      <w:pPr>
        <w:autoSpaceDE w:val="0"/>
        <w:autoSpaceDN w:val="0"/>
        <w:adjustRightInd w:val="0"/>
        <w:rPr>
          <w:szCs w:val="19"/>
        </w:rPr>
      </w:pPr>
      <w:r w:rsidRPr="004043A1">
        <w:rPr>
          <w:szCs w:val="19"/>
        </w:rPr>
        <w:t>…</w:t>
      </w:r>
    </w:p>
    <w:p w14:paraId="5512E553" w14:textId="72E58AEC" w:rsidR="00FE115A" w:rsidRPr="0067049C" w:rsidRDefault="00FE115A" w:rsidP="00874790">
      <w:pPr>
        <w:pStyle w:val="IASBNormalnpara"/>
        <w:rPr>
          <w:szCs w:val="19"/>
          <w:u w:val="single"/>
        </w:rPr>
      </w:pPr>
      <w:r w:rsidRPr="0067049C">
        <w:rPr>
          <w:szCs w:val="19"/>
          <w:u w:val="single"/>
        </w:rPr>
        <w:t>AusCF1</w:t>
      </w:r>
      <w:r w:rsidRPr="0067049C">
        <w:rPr>
          <w:szCs w:val="19"/>
        </w:rPr>
        <w:tab/>
      </w:r>
      <w:r w:rsidRPr="0067049C">
        <w:rPr>
          <w:szCs w:val="19"/>
          <w:u w:val="single"/>
        </w:rPr>
        <w:t>AusCF paragraphs included in this Standard apply only to:</w:t>
      </w:r>
    </w:p>
    <w:p w14:paraId="50F4882E" w14:textId="56E74442" w:rsidR="00FE115A" w:rsidRPr="0067049C" w:rsidRDefault="00874790" w:rsidP="00874790">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50191D2F" w14:textId="1BB55C2B" w:rsidR="00FE115A" w:rsidRPr="0067049C" w:rsidRDefault="00874790" w:rsidP="00874790">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FE115A" w:rsidRPr="0067049C">
        <w:rPr>
          <w:szCs w:val="19"/>
          <w:u w:val="single"/>
        </w:rPr>
        <w:t xml:space="preserve">.  </w:t>
      </w:r>
    </w:p>
    <w:p w14:paraId="6E81710F" w14:textId="5CAAA176" w:rsidR="00FE115A" w:rsidRPr="0067049C" w:rsidRDefault="00FE115A" w:rsidP="00874790">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w:t>
      </w:r>
    </w:p>
    <w:p w14:paraId="76DB363F" w14:textId="77777777" w:rsidR="0071465E" w:rsidRPr="004043A1" w:rsidRDefault="0071465E" w:rsidP="00C87FAF">
      <w:pPr>
        <w:autoSpaceDE w:val="0"/>
        <w:autoSpaceDN w:val="0"/>
        <w:adjustRightInd w:val="0"/>
        <w:rPr>
          <w:szCs w:val="19"/>
        </w:rPr>
      </w:pPr>
      <w:r w:rsidRPr="004043A1">
        <w:rPr>
          <w:szCs w:val="19"/>
        </w:rPr>
        <w:t>…</w:t>
      </w:r>
    </w:p>
    <w:p w14:paraId="52BCFB02" w14:textId="77777777" w:rsidR="00256641" w:rsidRPr="00C3433E" w:rsidRDefault="00256641" w:rsidP="00B10E18">
      <w:pPr>
        <w:pStyle w:val="Heading1"/>
        <w:spacing w:before="240"/>
        <w:ind w:left="782" w:hanging="782"/>
        <w:jc w:val="both"/>
        <w:rPr>
          <w:rFonts w:ascii="Times New Roman" w:hAnsi="Times New Roman" w:cs="Times New Roman"/>
        </w:rPr>
      </w:pPr>
      <w:r w:rsidRPr="00C3433E">
        <w:rPr>
          <w:rFonts w:ascii="Times New Roman" w:hAnsi="Times New Roman" w:cs="Times New Roman"/>
        </w:rPr>
        <w:t xml:space="preserve">14 </w:t>
      </w:r>
      <w:r w:rsidRPr="00C3433E">
        <w:rPr>
          <w:rFonts w:ascii="Times New Roman" w:hAnsi="Times New Roman" w:cs="Times New Roman"/>
        </w:rPr>
        <w:tab/>
        <w:t>Life Insurance Contracts Disclosure – Explanation of Recognised Amounts</w:t>
      </w:r>
    </w:p>
    <w:p w14:paraId="36F659C3" w14:textId="77777777" w:rsidR="00256641" w:rsidRDefault="00256641" w:rsidP="00C87FAF">
      <w:pPr>
        <w:autoSpaceDE w:val="0"/>
        <w:autoSpaceDN w:val="0"/>
        <w:adjustRightInd w:val="0"/>
        <w:rPr>
          <w:szCs w:val="19"/>
        </w:rPr>
      </w:pPr>
      <w:r>
        <w:rPr>
          <w:szCs w:val="19"/>
        </w:rPr>
        <w:t>…</w:t>
      </w:r>
    </w:p>
    <w:p w14:paraId="25FFF29A" w14:textId="77777777" w:rsidR="004043A1" w:rsidRPr="004043A1" w:rsidRDefault="004043A1" w:rsidP="00874790">
      <w:pPr>
        <w:pStyle w:val="IASBNormalnpara"/>
        <w:rPr>
          <w:szCs w:val="19"/>
        </w:rPr>
      </w:pPr>
      <w:r w:rsidRPr="004043A1">
        <w:rPr>
          <w:szCs w:val="19"/>
        </w:rPr>
        <w:t>14.1.7</w:t>
      </w:r>
      <w:r w:rsidRPr="004043A1">
        <w:rPr>
          <w:szCs w:val="19"/>
        </w:rPr>
        <w:tab/>
        <w:t>When a life insurer is presenting the disclosures required by paragraphs 14.1.1(c) and 14.1.1(d) the insurer determines the level and extent of disclosure that is appropriate having regard to its circumstances and the qualitative characteristics of financial statements under the</w:t>
      </w:r>
      <w:r w:rsidRPr="004043A1">
        <w:rPr>
          <w:i/>
          <w:szCs w:val="19"/>
          <w:u w:val="single"/>
        </w:rPr>
        <w:t xml:space="preserve"> Conceptual Framework for Financial Reporting</w:t>
      </w:r>
      <w:r w:rsidR="003B2735">
        <w:rPr>
          <w:i/>
          <w:szCs w:val="19"/>
          <w:u w:val="single"/>
        </w:rPr>
        <w:t xml:space="preserve"> </w:t>
      </w:r>
      <w:r w:rsidRPr="004043A1">
        <w:rPr>
          <w:i/>
          <w:iCs/>
          <w:strike/>
          <w:szCs w:val="19"/>
        </w:rPr>
        <w:t>Framework for the Preparation and Presentation of Financial Statement</w:t>
      </w:r>
      <w:r w:rsidRPr="003B2735">
        <w:rPr>
          <w:i/>
          <w:iCs/>
          <w:strike/>
          <w:szCs w:val="19"/>
        </w:rPr>
        <w:t xml:space="preserve">s </w:t>
      </w:r>
      <w:r w:rsidRPr="004043A1">
        <w:rPr>
          <w:szCs w:val="19"/>
        </w:rPr>
        <w:t xml:space="preserve">(as identified in AASB 1048 </w:t>
      </w:r>
      <w:r w:rsidRPr="004043A1">
        <w:rPr>
          <w:i/>
          <w:iCs/>
          <w:szCs w:val="19"/>
        </w:rPr>
        <w:t>Interpretation of Standards</w:t>
      </w:r>
      <w:r w:rsidRPr="004043A1">
        <w:rPr>
          <w:szCs w:val="19"/>
        </w:rPr>
        <w:t>).</w:t>
      </w:r>
    </w:p>
    <w:p w14:paraId="21AC9DBE" w14:textId="77777777" w:rsidR="004043A1" w:rsidRPr="004043A1" w:rsidRDefault="004043A1" w:rsidP="00874790">
      <w:pPr>
        <w:pStyle w:val="IASBNormalnpara"/>
        <w:rPr>
          <w:szCs w:val="19"/>
        </w:rPr>
      </w:pPr>
      <w:r w:rsidRPr="004043A1">
        <w:rPr>
          <w:szCs w:val="19"/>
          <w:u w:val="single"/>
        </w:rPr>
        <w:t>AusCF14.1.7</w:t>
      </w:r>
      <w:r w:rsidRPr="004043A1">
        <w:rPr>
          <w:szCs w:val="19"/>
        </w:rPr>
        <w:tab/>
      </w:r>
      <w:r w:rsidR="00AA33CA" w:rsidRPr="00AA4F63">
        <w:rPr>
          <w:szCs w:val="19"/>
          <w:u w:val="single"/>
        </w:rPr>
        <w:t xml:space="preserve">Notwithstanding paragraph </w:t>
      </w:r>
      <w:r w:rsidR="00AA33CA">
        <w:rPr>
          <w:szCs w:val="19"/>
          <w:u w:val="single"/>
        </w:rPr>
        <w:t>14.1.7</w:t>
      </w:r>
      <w:r w:rsidR="00AA33CA" w:rsidRPr="00AA4F63">
        <w:rPr>
          <w:szCs w:val="19"/>
          <w:u w:val="single"/>
        </w:rPr>
        <w:t xml:space="preserve">, in respect of AusCF entities, </w:t>
      </w:r>
      <w:r w:rsidR="00AA33CA" w:rsidRPr="004043A1">
        <w:rPr>
          <w:szCs w:val="19"/>
          <w:u w:val="single"/>
        </w:rPr>
        <w:t xml:space="preserve">when </w:t>
      </w:r>
      <w:r w:rsidRPr="004043A1">
        <w:rPr>
          <w:szCs w:val="19"/>
          <w:u w:val="single"/>
        </w:rPr>
        <w:t xml:space="preserve">a life insurer is presenting the disclosures required by paragraphs 14.1.1(c) and 14.1.1(d) the insurer determines the level and extent of disclosure that is appropriate having regard to its circumstances and the qualitative characteristics of financial statements under the </w:t>
      </w:r>
      <w:r w:rsidRPr="004043A1">
        <w:rPr>
          <w:i/>
          <w:iCs/>
          <w:szCs w:val="19"/>
          <w:u w:val="single"/>
        </w:rPr>
        <w:t xml:space="preserve">Framework for the Preparation and Presentation of Financial Statements </w:t>
      </w:r>
      <w:r w:rsidRPr="004043A1">
        <w:rPr>
          <w:szCs w:val="19"/>
          <w:u w:val="single"/>
        </w:rPr>
        <w:t xml:space="preserve">(as identified in AASB 1048 </w:t>
      </w:r>
      <w:r w:rsidRPr="004043A1">
        <w:rPr>
          <w:i/>
          <w:iCs/>
          <w:szCs w:val="19"/>
          <w:u w:val="single"/>
        </w:rPr>
        <w:t>Interpretation of Standards</w:t>
      </w:r>
      <w:r w:rsidRPr="004043A1">
        <w:rPr>
          <w:szCs w:val="19"/>
          <w:u w:val="single"/>
        </w:rPr>
        <w:t>).</w:t>
      </w:r>
    </w:p>
    <w:p w14:paraId="762C4B00" w14:textId="77777777" w:rsidR="003A66C5" w:rsidRDefault="003A66C5" w:rsidP="00C87FAF">
      <w:pPr>
        <w:pStyle w:val="Heading2"/>
        <w:jc w:val="both"/>
      </w:pPr>
      <w:r>
        <w:t>Amendments to AASB 1048</w:t>
      </w:r>
    </w:p>
    <w:p w14:paraId="1C463C0F" w14:textId="77777777" w:rsidR="004043A1" w:rsidRPr="004043A1" w:rsidRDefault="00DA2F37" w:rsidP="00C87FAF">
      <w:pPr>
        <w:pBdr>
          <w:top w:val="single" w:sz="4" w:space="1" w:color="auto"/>
          <w:left w:val="single" w:sz="4" w:space="4" w:color="auto"/>
          <w:bottom w:val="single" w:sz="4" w:space="1" w:color="auto"/>
          <w:right w:val="single" w:sz="4" w:space="4" w:color="auto"/>
        </w:pBdr>
        <w:rPr>
          <w:szCs w:val="19"/>
        </w:rPr>
      </w:pPr>
      <w:r>
        <w:rPr>
          <w:szCs w:val="19"/>
        </w:rPr>
        <w:t>Paragraphs AusCF1</w:t>
      </w:r>
      <w:r w:rsidR="00220B16">
        <w:rPr>
          <w:szCs w:val="19"/>
        </w:rPr>
        <w:t>, AusCF10 and AusCF11</w:t>
      </w:r>
      <w:r>
        <w:rPr>
          <w:szCs w:val="19"/>
        </w:rPr>
        <w:t xml:space="preserve"> are added.  Paragraph</w:t>
      </w:r>
      <w:r w:rsidR="00220B16">
        <w:rPr>
          <w:szCs w:val="19"/>
        </w:rPr>
        <w:t>s</w:t>
      </w:r>
      <w:r w:rsidR="004043A1" w:rsidRPr="004043A1">
        <w:rPr>
          <w:szCs w:val="19"/>
        </w:rPr>
        <w:t xml:space="preserve"> 1</w:t>
      </w:r>
      <w:r w:rsidR="00220B16">
        <w:rPr>
          <w:szCs w:val="19"/>
        </w:rPr>
        <w:t>, 10 and 11</w:t>
      </w:r>
      <w:r w:rsidR="004043A1" w:rsidRPr="004043A1">
        <w:rPr>
          <w:szCs w:val="19"/>
        </w:rPr>
        <w:t xml:space="preserve"> are amended.</w:t>
      </w:r>
    </w:p>
    <w:p w14:paraId="4D7AC512" w14:textId="77777777" w:rsidR="004043A1" w:rsidRPr="00DA2F37" w:rsidRDefault="004043A1" w:rsidP="001A2AB9">
      <w:pPr>
        <w:pStyle w:val="Heading3"/>
        <w:spacing w:before="240"/>
        <w:rPr>
          <w:szCs w:val="19"/>
          <w:highlight w:val="cyan"/>
        </w:rPr>
      </w:pPr>
      <w:r w:rsidRPr="0067049C">
        <w:t>Objective</w:t>
      </w:r>
    </w:p>
    <w:p w14:paraId="79E71129" w14:textId="77777777" w:rsidR="004043A1" w:rsidRPr="0067049C" w:rsidRDefault="003B2735" w:rsidP="00874790">
      <w:pPr>
        <w:pStyle w:val="IASBNormalnpara"/>
        <w:rPr>
          <w:szCs w:val="19"/>
        </w:rPr>
      </w:pPr>
      <w:r>
        <w:rPr>
          <w:szCs w:val="19"/>
        </w:rPr>
        <w:t>1</w:t>
      </w:r>
      <w:r w:rsidR="004043A1" w:rsidRPr="0067049C">
        <w:rPr>
          <w:szCs w:val="19"/>
        </w:rPr>
        <w:tab/>
        <w:t xml:space="preserve">The objective of this Standard is to provide an up-to-date listing of Australian Interpretations and to ensure the effectiveness of references in Australian Accounting Standards to Australian Interpretations and to the </w:t>
      </w:r>
      <w:r w:rsidR="004043A1" w:rsidRPr="0067049C">
        <w:rPr>
          <w:i/>
          <w:szCs w:val="19"/>
        </w:rPr>
        <w:t>Framework for the Preparation and Presentation of Financial Statements</w:t>
      </w:r>
      <w:r w:rsidR="004043A1" w:rsidRPr="0067049C">
        <w:rPr>
          <w:szCs w:val="19"/>
        </w:rPr>
        <w:t xml:space="preserve"> (</w:t>
      </w:r>
      <w:r w:rsidR="004043A1" w:rsidRPr="0067049C">
        <w:rPr>
          <w:i/>
          <w:szCs w:val="19"/>
        </w:rPr>
        <w:t>Framework</w:t>
      </w:r>
      <w:r w:rsidR="004043A1" w:rsidRPr="0067049C">
        <w:rPr>
          <w:szCs w:val="19"/>
        </w:rPr>
        <w:t>)</w:t>
      </w:r>
      <w:r w:rsidR="004043A1" w:rsidRPr="0067049C">
        <w:rPr>
          <w:szCs w:val="19"/>
          <w:u w:val="single"/>
        </w:rPr>
        <w:t xml:space="preserve"> and the </w:t>
      </w:r>
      <w:r w:rsidR="004043A1" w:rsidRPr="0067049C">
        <w:rPr>
          <w:i/>
          <w:szCs w:val="19"/>
          <w:u w:val="single"/>
        </w:rPr>
        <w:t>Conceptual Framework for Financial Reporting</w:t>
      </w:r>
      <w:r w:rsidR="004043A1" w:rsidRPr="0067049C">
        <w:rPr>
          <w:szCs w:val="19"/>
          <w:u w:val="single"/>
        </w:rPr>
        <w:t xml:space="preserve"> (</w:t>
      </w:r>
      <w:r w:rsidR="004043A1" w:rsidRPr="0067049C">
        <w:rPr>
          <w:i/>
          <w:szCs w:val="19"/>
          <w:u w:val="single"/>
        </w:rPr>
        <w:t>Conceptual Framework</w:t>
      </w:r>
      <w:r w:rsidR="004043A1" w:rsidRPr="0067049C">
        <w:rPr>
          <w:szCs w:val="19"/>
          <w:u w:val="single"/>
        </w:rPr>
        <w:t>)</w:t>
      </w:r>
      <w:r w:rsidR="00403EB9" w:rsidRPr="0067049C">
        <w:rPr>
          <w:szCs w:val="19"/>
        </w:rPr>
        <w:t xml:space="preserve">.  </w:t>
      </w:r>
      <w:r w:rsidR="004043A1" w:rsidRPr="0067049C">
        <w:rPr>
          <w:szCs w:val="19"/>
        </w:rPr>
        <w:t>AASB and UIG Interpretations are referred to collectively in this Standard as Australian Interpretations.</w:t>
      </w:r>
    </w:p>
    <w:p w14:paraId="4684CEEE" w14:textId="6B0F85DB" w:rsidR="00FE115A" w:rsidRPr="0067049C" w:rsidRDefault="00FE115A" w:rsidP="00874790">
      <w:pPr>
        <w:pStyle w:val="IASBNormalnpara"/>
        <w:rPr>
          <w:szCs w:val="19"/>
          <w:u w:val="single"/>
        </w:rPr>
      </w:pPr>
      <w:r w:rsidRPr="0067049C">
        <w:rPr>
          <w:szCs w:val="19"/>
          <w:u w:val="single"/>
        </w:rPr>
        <w:t>AusCF1</w:t>
      </w:r>
      <w:r w:rsidRPr="0067049C">
        <w:rPr>
          <w:szCs w:val="19"/>
        </w:rPr>
        <w:tab/>
      </w:r>
      <w:r w:rsidRPr="0067049C">
        <w:rPr>
          <w:szCs w:val="19"/>
          <w:u w:val="single"/>
        </w:rPr>
        <w:t>AusCF paragraphs included in this Standard apply only to:</w:t>
      </w:r>
    </w:p>
    <w:p w14:paraId="70036550" w14:textId="425D572A" w:rsidR="00FE115A" w:rsidRPr="0067049C" w:rsidRDefault="00874790" w:rsidP="00874790">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4D529AA2" w14:textId="5398B991" w:rsidR="00FE115A" w:rsidRPr="0067049C" w:rsidRDefault="00874790" w:rsidP="00874790">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256641">
        <w:rPr>
          <w:i/>
          <w:szCs w:val="19"/>
          <w:u w:val="single"/>
        </w:rPr>
        <w:t xml:space="preserve"> </w:t>
      </w:r>
      <w:r w:rsidR="00256641" w:rsidRPr="00F20ED1">
        <w:rPr>
          <w:szCs w:val="19"/>
          <w:u w:val="single"/>
        </w:rPr>
        <w:t xml:space="preserve">(as identified in </w:t>
      </w:r>
      <w:r w:rsidR="00256641">
        <w:rPr>
          <w:szCs w:val="19"/>
          <w:u w:val="single"/>
        </w:rPr>
        <w:t>this Standard</w:t>
      </w:r>
      <w:r w:rsidR="00256641" w:rsidRPr="00F20ED1">
        <w:rPr>
          <w:szCs w:val="19"/>
          <w:u w:val="single"/>
        </w:rPr>
        <w:t>)</w:t>
      </w:r>
      <w:r w:rsidR="00FE115A" w:rsidRPr="0067049C">
        <w:rPr>
          <w:szCs w:val="19"/>
          <w:u w:val="single"/>
        </w:rPr>
        <w:t xml:space="preserve">.  </w:t>
      </w:r>
    </w:p>
    <w:p w14:paraId="75031A55" w14:textId="19011EBC" w:rsidR="00FE115A" w:rsidRPr="0067049C" w:rsidRDefault="00FE115A" w:rsidP="00874790">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w:t>
      </w:r>
    </w:p>
    <w:p w14:paraId="131614C9" w14:textId="77777777" w:rsidR="00DA2F37" w:rsidRPr="00DA2F37" w:rsidRDefault="00DA2F37" w:rsidP="00C87FAF">
      <w:pPr>
        <w:ind w:left="720" w:hanging="720"/>
        <w:rPr>
          <w:szCs w:val="19"/>
        </w:rPr>
      </w:pPr>
      <w:r w:rsidRPr="00DA2F37">
        <w:rPr>
          <w:szCs w:val="19"/>
        </w:rPr>
        <w:t>…</w:t>
      </w:r>
    </w:p>
    <w:p w14:paraId="512817B2" w14:textId="77777777" w:rsidR="00DA2F37" w:rsidRPr="00DA2F37" w:rsidRDefault="0017042C" w:rsidP="00C87FAF">
      <w:pPr>
        <w:pStyle w:val="Heading2"/>
        <w:spacing w:before="240"/>
        <w:jc w:val="both"/>
      </w:pPr>
      <w:r>
        <w:t>Conceptual framework</w:t>
      </w:r>
    </w:p>
    <w:p w14:paraId="0A21D5BE" w14:textId="77777777" w:rsidR="00DA2F37" w:rsidRPr="00DA2F37" w:rsidRDefault="00DA2F37" w:rsidP="00874790">
      <w:pPr>
        <w:pStyle w:val="IASBNormalnpara"/>
        <w:rPr>
          <w:b/>
          <w:bCs/>
          <w:szCs w:val="19"/>
        </w:rPr>
      </w:pPr>
      <w:r w:rsidRPr="003B2735">
        <w:rPr>
          <w:b/>
          <w:bCs/>
          <w:szCs w:val="19"/>
        </w:rPr>
        <w:t>1</w:t>
      </w:r>
      <w:r w:rsidR="00F03A42" w:rsidRPr="003B2735">
        <w:rPr>
          <w:b/>
          <w:bCs/>
          <w:szCs w:val="19"/>
        </w:rPr>
        <w:t>0</w:t>
      </w:r>
      <w:r w:rsidRPr="00DA2F37">
        <w:rPr>
          <w:b/>
          <w:bCs/>
          <w:szCs w:val="19"/>
        </w:rPr>
        <w:tab/>
      </w:r>
      <w:r w:rsidRPr="0067049C">
        <w:rPr>
          <w:b/>
          <w:szCs w:val="19"/>
        </w:rPr>
        <w:t xml:space="preserve">Each reference to </w:t>
      </w:r>
      <w:r w:rsidR="003B2735">
        <w:rPr>
          <w:b/>
          <w:szCs w:val="19"/>
        </w:rPr>
        <w:t xml:space="preserve">the </w:t>
      </w:r>
      <w:r w:rsidR="007962DB" w:rsidRPr="0067049C">
        <w:rPr>
          <w:b/>
          <w:bCs/>
          <w:i/>
          <w:strike/>
          <w:szCs w:val="19"/>
        </w:rPr>
        <w:t>Framework for the Preparation and Presentation of Financial Statements</w:t>
      </w:r>
      <w:r w:rsidR="003B2735">
        <w:rPr>
          <w:b/>
          <w:bCs/>
          <w:i/>
          <w:strike/>
          <w:szCs w:val="19"/>
        </w:rPr>
        <w:t xml:space="preserve"> </w:t>
      </w:r>
      <w:r w:rsidR="00CA1DD7" w:rsidRPr="0067049C">
        <w:rPr>
          <w:b/>
          <w:bCs/>
          <w:i/>
          <w:szCs w:val="19"/>
          <w:u w:val="single"/>
        </w:rPr>
        <w:t>Conceptual</w:t>
      </w:r>
      <w:r w:rsidRPr="00BB71D3">
        <w:rPr>
          <w:b/>
          <w:bCs/>
          <w:i/>
          <w:szCs w:val="19"/>
          <w:u w:val="single"/>
        </w:rPr>
        <w:t xml:space="preserve"> Framework for Financial Reporting</w:t>
      </w:r>
      <w:r w:rsidRPr="0067049C">
        <w:rPr>
          <w:b/>
          <w:i/>
          <w:szCs w:val="19"/>
        </w:rPr>
        <w:t xml:space="preserve"> </w:t>
      </w:r>
      <w:r w:rsidRPr="0067049C">
        <w:rPr>
          <w:b/>
          <w:szCs w:val="19"/>
        </w:rPr>
        <w:t xml:space="preserve">(or </w:t>
      </w:r>
      <w:r w:rsidRPr="00BB71D3">
        <w:rPr>
          <w:b/>
          <w:bCs/>
          <w:i/>
          <w:szCs w:val="19"/>
          <w:u w:val="single"/>
        </w:rPr>
        <w:t>Conceptual</w:t>
      </w:r>
      <w:r w:rsidRPr="0067049C">
        <w:rPr>
          <w:b/>
          <w:szCs w:val="19"/>
          <w:u w:val="single"/>
        </w:rPr>
        <w:t xml:space="preserve"> </w:t>
      </w:r>
      <w:r w:rsidRPr="0067049C">
        <w:rPr>
          <w:b/>
          <w:i/>
          <w:szCs w:val="19"/>
        </w:rPr>
        <w:t>Framework</w:t>
      </w:r>
      <w:r w:rsidRPr="0067049C">
        <w:rPr>
          <w:b/>
          <w:szCs w:val="19"/>
        </w:rPr>
        <w:t xml:space="preserve">) in other Australian Accounting Standards (including Interpretations) is taken to be a reference to the relevant pronouncement listed in Table </w:t>
      </w:r>
      <w:r w:rsidR="00F03A42" w:rsidRPr="0067049C">
        <w:rPr>
          <w:b/>
          <w:szCs w:val="19"/>
        </w:rPr>
        <w:t>3</w:t>
      </w:r>
      <w:r w:rsidRPr="0067049C">
        <w:rPr>
          <w:b/>
          <w:szCs w:val="19"/>
        </w:rPr>
        <w:t xml:space="preserve"> below</w:t>
      </w:r>
      <w:r w:rsidR="00403EB9" w:rsidRPr="0067049C">
        <w:rPr>
          <w:b/>
          <w:szCs w:val="19"/>
        </w:rPr>
        <w:t xml:space="preserve">.  </w:t>
      </w:r>
      <w:r w:rsidR="007962DB" w:rsidRPr="0067049C">
        <w:rPr>
          <w:b/>
          <w:szCs w:val="19"/>
        </w:rPr>
        <w:t>Each row in Table 3 is to be treated as a separate provision of this Standard</w:t>
      </w:r>
      <w:r w:rsidR="007962DB" w:rsidRPr="00BB71D3">
        <w:rPr>
          <w:b/>
          <w:bCs/>
          <w:szCs w:val="19"/>
        </w:rPr>
        <w:t>.</w:t>
      </w:r>
    </w:p>
    <w:p w14:paraId="4F1197D7" w14:textId="77777777" w:rsidR="00DA2F37" w:rsidRPr="00DA2F37" w:rsidRDefault="00DA2F37" w:rsidP="00C87FAF">
      <w:pPr>
        <w:pStyle w:val="Default"/>
        <w:jc w:val="both"/>
        <w:rPr>
          <w:b/>
          <w:bCs/>
          <w:color w:val="auto"/>
          <w:sz w:val="19"/>
          <w:szCs w:val="19"/>
        </w:rPr>
      </w:pPr>
    </w:p>
    <w:p w14:paraId="70FAE752" w14:textId="77777777" w:rsidR="00DA2F37" w:rsidRPr="00DA2F37" w:rsidRDefault="00DA2F37" w:rsidP="00C87FAF">
      <w:pPr>
        <w:pStyle w:val="Default"/>
        <w:jc w:val="both"/>
        <w:rPr>
          <w:color w:val="auto"/>
          <w:sz w:val="19"/>
          <w:szCs w:val="19"/>
        </w:rPr>
      </w:pPr>
      <w:r w:rsidRPr="00DA2F37">
        <w:rPr>
          <w:b/>
          <w:bCs/>
          <w:i/>
          <w:iCs/>
          <w:color w:val="auto"/>
          <w:sz w:val="19"/>
          <w:szCs w:val="19"/>
        </w:rPr>
        <w:t xml:space="preserve">Table </w:t>
      </w:r>
      <w:r w:rsidR="00F03A42">
        <w:rPr>
          <w:b/>
          <w:bCs/>
          <w:i/>
          <w:iCs/>
          <w:color w:val="auto"/>
          <w:sz w:val="19"/>
          <w:szCs w:val="19"/>
        </w:rPr>
        <w:t>3</w:t>
      </w:r>
      <w:r w:rsidRPr="00DA2F37">
        <w:rPr>
          <w:b/>
          <w:bCs/>
          <w:i/>
          <w:iCs/>
          <w:color w:val="auto"/>
          <w:sz w:val="19"/>
          <w:szCs w:val="19"/>
        </w:rPr>
        <w:t>: Australian conceptual framework pronouncements</w:t>
      </w:r>
    </w:p>
    <w:tbl>
      <w:tblPr>
        <w:tblW w:w="9263" w:type="dxa"/>
        <w:tblInd w:w="-108" w:type="dxa"/>
        <w:tblBorders>
          <w:top w:val="nil"/>
          <w:left w:val="nil"/>
          <w:bottom w:val="nil"/>
          <w:right w:val="nil"/>
        </w:tblBorders>
        <w:tblLayout w:type="fixed"/>
        <w:tblCellMar>
          <w:top w:w="108" w:type="dxa"/>
          <w:bottom w:w="108" w:type="dxa"/>
        </w:tblCellMar>
        <w:tblLook w:val="0000" w:firstRow="0" w:lastRow="0" w:firstColumn="0" w:lastColumn="0" w:noHBand="0" w:noVBand="0"/>
        <w:tblCaption w:val="1048 Table 4"/>
        <w:tblDescription w:val="1048 Table 4"/>
      </w:tblPr>
      <w:tblGrid>
        <w:gridCol w:w="2730"/>
        <w:gridCol w:w="4324"/>
        <w:gridCol w:w="2209"/>
      </w:tblGrid>
      <w:tr w:rsidR="00DA2F37" w:rsidRPr="00DA2F37" w14:paraId="07837F02" w14:textId="77777777" w:rsidTr="008008F3">
        <w:trPr>
          <w:trHeight w:val="339"/>
        </w:trPr>
        <w:tc>
          <w:tcPr>
            <w:tcW w:w="2730" w:type="dxa"/>
            <w:tcBorders>
              <w:top w:val="double" w:sz="4" w:space="0" w:color="auto"/>
              <w:bottom w:val="double" w:sz="4" w:space="0" w:color="auto"/>
              <w:right w:val="single" w:sz="4" w:space="0" w:color="auto"/>
            </w:tcBorders>
          </w:tcPr>
          <w:p w14:paraId="64893B49" w14:textId="77777777" w:rsidR="00DA2F37" w:rsidRPr="00DA2F37" w:rsidRDefault="00DA2F37" w:rsidP="00C87FAF">
            <w:pPr>
              <w:pStyle w:val="Default"/>
              <w:jc w:val="both"/>
              <w:rPr>
                <w:color w:val="auto"/>
                <w:sz w:val="19"/>
                <w:szCs w:val="19"/>
              </w:rPr>
            </w:pPr>
            <w:r w:rsidRPr="00DA2F37">
              <w:rPr>
                <w:b/>
                <w:bCs/>
                <w:color w:val="auto"/>
                <w:sz w:val="19"/>
                <w:szCs w:val="19"/>
              </w:rPr>
              <w:t xml:space="preserve">Issue Date </w:t>
            </w:r>
          </w:p>
        </w:tc>
        <w:tc>
          <w:tcPr>
            <w:tcW w:w="4324" w:type="dxa"/>
            <w:tcBorders>
              <w:top w:val="double" w:sz="4" w:space="0" w:color="auto"/>
              <w:left w:val="single" w:sz="4" w:space="0" w:color="auto"/>
              <w:bottom w:val="double" w:sz="4" w:space="0" w:color="auto"/>
              <w:right w:val="single" w:sz="4" w:space="0" w:color="auto"/>
            </w:tcBorders>
          </w:tcPr>
          <w:p w14:paraId="7FB43B27" w14:textId="77777777" w:rsidR="00DA2F37" w:rsidRPr="00DA2F37" w:rsidRDefault="00DA2F37" w:rsidP="00C87FAF">
            <w:pPr>
              <w:pStyle w:val="Default"/>
              <w:jc w:val="both"/>
              <w:rPr>
                <w:color w:val="auto"/>
                <w:sz w:val="19"/>
                <w:szCs w:val="19"/>
              </w:rPr>
            </w:pPr>
            <w:r w:rsidRPr="00DA2F37">
              <w:rPr>
                <w:b/>
                <w:bCs/>
                <w:color w:val="auto"/>
                <w:sz w:val="19"/>
                <w:szCs w:val="19"/>
              </w:rPr>
              <w:t xml:space="preserve">Title </w:t>
            </w:r>
          </w:p>
        </w:tc>
        <w:tc>
          <w:tcPr>
            <w:tcW w:w="2209" w:type="dxa"/>
            <w:tcBorders>
              <w:top w:val="double" w:sz="4" w:space="0" w:color="auto"/>
              <w:left w:val="single" w:sz="4" w:space="0" w:color="auto"/>
              <w:bottom w:val="double" w:sz="4" w:space="0" w:color="auto"/>
            </w:tcBorders>
          </w:tcPr>
          <w:p w14:paraId="404E4CFD" w14:textId="77777777" w:rsidR="00DA2F37" w:rsidRPr="00DA2F37" w:rsidRDefault="00DA2F37" w:rsidP="00C87FAF">
            <w:pPr>
              <w:pStyle w:val="Default"/>
              <w:jc w:val="both"/>
              <w:rPr>
                <w:color w:val="auto"/>
                <w:sz w:val="19"/>
                <w:szCs w:val="19"/>
              </w:rPr>
            </w:pPr>
            <w:r w:rsidRPr="00DA2F37">
              <w:rPr>
                <w:b/>
                <w:bCs/>
                <w:color w:val="auto"/>
                <w:sz w:val="19"/>
                <w:szCs w:val="19"/>
              </w:rPr>
              <w:t xml:space="preserve">Application Date </w:t>
            </w:r>
          </w:p>
          <w:p w14:paraId="16EC6FA3" w14:textId="77777777" w:rsidR="00DA2F37" w:rsidRPr="00DA2F37" w:rsidRDefault="00DA2F37" w:rsidP="00C87FAF">
            <w:pPr>
              <w:pStyle w:val="Default"/>
              <w:jc w:val="both"/>
              <w:rPr>
                <w:color w:val="auto"/>
                <w:sz w:val="19"/>
                <w:szCs w:val="19"/>
              </w:rPr>
            </w:pPr>
            <w:r w:rsidRPr="00DA2F37">
              <w:rPr>
                <w:color w:val="auto"/>
                <w:sz w:val="19"/>
                <w:szCs w:val="19"/>
              </w:rPr>
              <w:t xml:space="preserve">(annual reporting periods) </w:t>
            </w:r>
          </w:p>
        </w:tc>
      </w:tr>
      <w:tr w:rsidR="00294B3E" w:rsidRPr="00DA2F37" w14:paraId="75DB7BED" w14:textId="77777777" w:rsidTr="00CC7813">
        <w:trPr>
          <w:trHeight w:val="229"/>
        </w:trPr>
        <w:tc>
          <w:tcPr>
            <w:tcW w:w="2730" w:type="dxa"/>
            <w:tcBorders>
              <w:top w:val="single" w:sz="4" w:space="0" w:color="auto"/>
              <w:bottom w:val="single" w:sz="4" w:space="0" w:color="auto"/>
              <w:right w:val="single" w:sz="4" w:space="0" w:color="auto"/>
            </w:tcBorders>
          </w:tcPr>
          <w:p w14:paraId="5AAC2B71" w14:textId="77777777" w:rsidR="00294B3E" w:rsidRPr="00DA2F37" w:rsidRDefault="00294B3E" w:rsidP="00C87FAF">
            <w:pPr>
              <w:pStyle w:val="Default"/>
              <w:jc w:val="both"/>
              <w:rPr>
                <w:color w:val="auto"/>
                <w:sz w:val="19"/>
                <w:szCs w:val="19"/>
                <w:u w:val="single"/>
              </w:rPr>
            </w:pPr>
            <w:r w:rsidRPr="0067049C">
              <w:rPr>
                <w:color w:val="auto"/>
                <w:sz w:val="19"/>
                <w:szCs w:val="19"/>
                <w:u w:val="single"/>
              </w:rPr>
              <w:t xml:space="preserve">[Month </w:t>
            </w:r>
            <w:r w:rsidR="00443B60" w:rsidRPr="00C964CF">
              <w:rPr>
                <w:color w:val="auto"/>
                <w:sz w:val="19"/>
                <w:szCs w:val="19"/>
                <w:u w:val="single"/>
              </w:rPr>
              <w:t>2019</w:t>
            </w:r>
            <w:r w:rsidRPr="00DA2F37">
              <w:rPr>
                <w:color w:val="auto"/>
                <w:sz w:val="19"/>
                <w:szCs w:val="19"/>
                <w:u w:val="single"/>
              </w:rPr>
              <w:t>]</w:t>
            </w:r>
          </w:p>
        </w:tc>
        <w:tc>
          <w:tcPr>
            <w:tcW w:w="4324" w:type="dxa"/>
            <w:tcBorders>
              <w:top w:val="single" w:sz="4" w:space="0" w:color="auto"/>
              <w:left w:val="single" w:sz="4" w:space="0" w:color="auto"/>
              <w:bottom w:val="single" w:sz="4" w:space="0" w:color="auto"/>
              <w:right w:val="single" w:sz="4" w:space="0" w:color="auto"/>
            </w:tcBorders>
          </w:tcPr>
          <w:p w14:paraId="1A0B8557" w14:textId="77777777" w:rsidR="00294B3E" w:rsidRPr="00DA2F37" w:rsidRDefault="00294B3E" w:rsidP="00C87FAF">
            <w:pPr>
              <w:pStyle w:val="Default"/>
              <w:jc w:val="both"/>
              <w:rPr>
                <w:color w:val="auto"/>
                <w:sz w:val="19"/>
                <w:szCs w:val="19"/>
                <w:u w:val="single"/>
              </w:rPr>
            </w:pPr>
            <w:r w:rsidRPr="00DA2F37">
              <w:rPr>
                <w:color w:val="auto"/>
                <w:sz w:val="19"/>
                <w:szCs w:val="19"/>
                <w:u w:val="single"/>
              </w:rPr>
              <w:t>Conceptual Framework for Financial Reporting (or Conceptual Framework)</w:t>
            </w:r>
          </w:p>
          <w:p w14:paraId="470714AD" w14:textId="77777777" w:rsidR="00294B3E" w:rsidRPr="00DA2F37" w:rsidRDefault="00294B3E" w:rsidP="00C87FAF">
            <w:pPr>
              <w:pStyle w:val="Default"/>
              <w:jc w:val="both"/>
              <w:rPr>
                <w:color w:val="auto"/>
                <w:sz w:val="19"/>
                <w:szCs w:val="19"/>
                <w:u w:val="single"/>
              </w:rPr>
            </w:pPr>
            <w:r w:rsidRPr="0017042C">
              <w:rPr>
                <w:i/>
                <w:color w:val="auto"/>
                <w:sz w:val="19"/>
                <w:szCs w:val="19"/>
                <w:u w:val="single"/>
              </w:rPr>
              <w:t>Note</w:t>
            </w:r>
            <w:r w:rsidRPr="00DA2F37">
              <w:rPr>
                <w:color w:val="auto"/>
                <w:sz w:val="19"/>
                <w:szCs w:val="19"/>
                <w:u w:val="single"/>
              </w:rPr>
              <w:t xml:space="preserve"> – this pronouncement is applicable only to for-profit </w:t>
            </w:r>
            <w:r w:rsidRPr="0067049C">
              <w:rPr>
                <w:color w:val="auto"/>
                <w:sz w:val="19"/>
                <w:szCs w:val="19"/>
                <w:u w:val="single"/>
              </w:rPr>
              <w:t>private sector</w:t>
            </w:r>
            <w:r>
              <w:rPr>
                <w:color w:val="auto"/>
                <w:sz w:val="19"/>
                <w:szCs w:val="19"/>
                <w:u w:val="single"/>
              </w:rPr>
              <w:t xml:space="preserve"> </w:t>
            </w:r>
            <w:r w:rsidRPr="00DA2F37">
              <w:rPr>
                <w:color w:val="auto"/>
                <w:sz w:val="19"/>
                <w:szCs w:val="19"/>
                <w:u w:val="single"/>
              </w:rPr>
              <w:t>entities that have public accountability</w:t>
            </w:r>
            <w:r w:rsidR="00A53B60">
              <w:rPr>
                <w:color w:val="auto"/>
                <w:sz w:val="19"/>
                <w:szCs w:val="19"/>
                <w:u w:val="single"/>
              </w:rPr>
              <w:t xml:space="preserve"> and</w:t>
            </w:r>
            <w:r w:rsidRPr="00DA2F37">
              <w:rPr>
                <w:color w:val="auto"/>
                <w:sz w:val="19"/>
                <w:szCs w:val="19"/>
                <w:u w:val="single"/>
              </w:rPr>
              <w:t xml:space="preserve"> are required </w:t>
            </w:r>
            <w:r>
              <w:rPr>
                <w:color w:val="auto"/>
                <w:sz w:val="19"/>
                <w:szCs w:val="19"/>
                <w:u w:val="single"/>
              </w:rPr>
              <w:t xml:space="preserve">by legislation </w:t>
            </w:r>
            <w:r w:rsidRPr="00DA2F37">
              <w:rPr>
                <w:color w:val="auto"/>
                <w:sz w:val="19"/>
                <w:szCs w:val="19"/>
                <w:u w:val="single"/>
              </w:rPr>
              <w:t xml:space="preserve">to comply with Australian Accounting Standards and other for-profit entities that elect to apply this Framework </w:t>
            </w:r>
          </w:p>
        </w:tc>
        <w:tc>
          <w:tcPr>
            <w:tcW w:w="2209" w:type="dxa"/>
            <w:tcBorders>
              <w:top w:val="single" w:sz="4" w:space="0" w:color="auto"/>
              <w:left w:val="single" w:sz="4" w:space="0" w:color="auto"/>
              <w:bottom w:val="single" w:sz="4" w:space="0" w:color="auto"/>
            </w:tcBorders>
          </w:tcPr>
          <w:p w14:paraId="75B101EB" w14:textId="77777777" w:rsidR="00294B3E" w:rsidRPr="00DA2F37" w:rsidRDefault="00294B3E" w:rsidP="00C87FAF">
            <w:pPr>
              <w:pStyle w:val="Default"/>
              <w:jc w:val="both"/>
              <w:rPr>
                <w:color w:val="auto"/>
                <w:sz w:val="19"/>
                <w:szCs w:val="19"/>
                <w:u w:val="single"/>
              </w:rPr>
            </w:pPr>
            <w:r w:rsidRPr="00DA2F37">
              <w:rPr>
                <w:color w:val="auto"/>
                <w:sz w:val="19"/>
                <w:szCs w:val="19"/>
                <w:u w:val="single"/>
              </w:rPr>
              <w:t xml:space="preserve">(beginning) </w:t>
            </w:r>
          </w:p>
          <w:p w14:paraId="22A382BE" w14:textId="77777777" w:rsidR="00294B3E" w:rsidRPr="00DA2F37" w:rsidRDefault="00294B3E" w:rsidP="00C87FAF">
            <w:pPr>
              <w:pStyle w:val="Default"/>
              <w:jc w:val="both"/>
              <w:rPr>
                <w:color w:val="auto"/>
                <w:sz w:val="19"/>
                <w:szCs w:val="19"/>
                <w:u w:val="single"/>
              </w:rPr>
            </w:pPr>
            <w:r w:rsidRPr="00DA2F37">
              <w:rPr>
                <w:color w:val="auto"/>
                <w:sz w:val="19"/>
                <w:szCs w:val="19"/>
                <w:u w:val="single"/>
              </w:rPr>
              <w:t>1 January 2020</w:t>
            </w:r>
          </w:p>
        </w:tc>
      </w:tr>
      <w:tr w:rsidR="007962DB" w:rsidRPr="007962DB" w14:paraId="535A3004" w14:textId="77777777" w:rsidTr="000D0B17">
        <w:trPr>
          <w:trHeight w:val="229"/>
        </w:trPr>
        <w:tc>
          <w:tcPr>
            <w:tcW w:w="2730" w:type="dxa"/>
            <w:tcBorders>
              <w:top w:val="single" w:sz="4" w:space="0" w:color="auto"/>
              <w:bottom w:val="single" w:sz="4" w:space="0" w:color="auto"/>
              <w:right w:val="single" w:sz="4" w:space="0" w:color="auto"/>
            </w:tcBorders>
          </w:tcPr>
          <w:p w14:paraId="002E2930" w14:textId="77777777" w:rsidR="007962DB" w:rsidRPr="00BB71D3" w:rsidRDefault="007962DB" w:rsidP="00C87FAF">
            <w:pPr>
              <w:pStyle w:val="Default"/>
              <w:jc w:val="both"/>
              <w:rPr>
                <w:strike/>
                <w:color w:val="auto"/>
                <w:sz w:val="19"/>
                <w:szCs w:val="19"/>
                <w:u w:val="single"/>
              </w:rPr>
            </w:pPr>
            <w:r w:rsidRPr="00BB71D3">
              <w:rPr>
                <w:strike/>
                <w:color w:val="auto"/>
                <w:sz w:val="19"/>
                <w:szCs w:val="19"/>
                <w:u w:val="single"/>
              </w:rPr>
              <w:t>June 2014</w:t>
            </w:r>
          </w:p>
          <w:p w14:paraId="05EED41B" w14:textId="77777777" w:rsidR="007962DB" w:rsidRPr="00BB71D3" w:rsidRDefault="007962DB" w:rsidP="00C87FAF">
            <w:pPr>
              <w:pStyle w:val="Default"/>
              <w:jc w:val="both"/>
              <w:rPr>
                <w:strike/>
                <w:color w:val="auto"/>
                <w:sz w:val="19"/>
                <w:szCs w:val="19"/>
                <w:u w:val="single"/>
              </w:rPr>
            </w:pPr>
            <w:r w:rsidRPr="00BB71D3">
              <w:rPr>
                <w:strike/>
                <w:color w:val="auto"/>
                <w:sz w:val="19"/>
                <w:szCs w:val="19"/>
                <w:u w:val="single"/>
              </w:rPr>
              <w:t>[as amended to]</w:t>
            </w:r>
          </w:p>
        </w:tc>
        <w:tc>
          <w:tcPr>
            <w:tcW w:w="4324" w:type="dxa"/>
            <w:tcBorders>
              <w:top w:val="single" w:sz="4" w:space="0" w:color="auto"/>
              <w:left w:val="single" w:sz="4" w:space="0" w:color="auto"/>
              <w:bottom w:val="single" w:sz="4" w:space="0" w:color="auto"/>
              <w:right w:val="single" w:sz="4" w:space="0" w:color="auto"/>
            </w:tcBorders>
          </w:tcPr>
          <w:p w14:paraId="364BD618" w14:textId="77777777" w:rsidR="007962DB" w:rsidRPr="00BB71D3" w:rsidRDefault="007962DB" w:rsidP="00C87FAF">
            <w:pPr>
              <w:pStyle w:val="Default"/>
              <w:jc w:val="both"/>
              <w:rPr>
                <w:strike/>
                <w:color w:val="auto"/>
                <w:sz w:val="19"/>
                <w:szCs w:val="19"/>
                <w:u w:val="single"/>
              </w:rPr>
            </w:pPr>
            <w:r w:rsidRPr="00BB71D3">
              <w:rPr>
                <w:strike/>
                <w:color w:val="auto"/>
                <w:sz w:val="19"/>
                <w:szCs w:val="19"/>
                <w:u w:val="single"/>
              </w:rPr>
              <w:t>Framework for the Preparation and Presentation of Financial Statements (or Framework)</w:t>
            </w:r>
          </w:p>
        </w:tc>
        <w:tc>
          <w:tcPr>
            <w:tcW w:w="2209" w:type="dxa"/>
            <w:tcBorders>
              <w:top w:val="single" w:sz="4" w:space="0" w:color="auto"/>
              <w:left w:val="single" w:sz="4" w:space="0" w:color="auto"/>
              <w:bottom w:val="single" w:sz="4" w:space="0" w:color="auto"/>
            </w:tcBorders>
          </w:tcPr>
          <w:p w14:paraId="1661271B" w14:textId="77777777" w:rsidR="007962DB" w:rsidRPr="00BB71D3" w:rsidRDefault="007962DB" w:rsidP="00C87FAF">
            <w:pPr>
              <w:pStyle w:val="Default"/>
              <w:jc w:val="both"/>
              <w:rPr>
                <w:strike/>
                <w:color w:val="auto"/>
                <w:sz w:val="19"/>
                <w:szCs w:val="19"/>
                <w:u w:val="single"/>
              </w:rPr>
            </w:pPr>
            <w:r w:rsidRPr="00BB71D3">
              <w:rPr>
                <w:strike/>
                <w:color w:val="auto"/>
                <w:sz w:val="19"/>
                <w:szCs w:val="19"/>
                <w:u w:val="single"/>
              </w:rPr>
              <w:t xml:space="preserve">(beginning) </w:t>
            </w:r>
          </w:p>
          <w:p w14:paraId="2825F5FA" w14:textId="77777777" w:rsidR="007962DB" w:rsidRPr="00BB71D3" w:rsidRDefault="007962DB" w:rsidP="00C87FAF">
            <w:pPr>
              <w:pStyle w:val="Default"/>
              <w:jc w:val="both"/>
              <w:rPr>
                <w:strike/>
                <w:color w:val="auto"/>
                <w:sz w:val="19"/>
                <w:szCs w:val="19"/>
                <w:u w:val="single"/>
              </w:rPr>
            </w:pPr>
            <w:r w:rsidRPr="00BB71D3">
              <w:rPr>
                <w:strike/>
                <w:color w:val="auto"/>
                <w:sz w:val="19"/>
                <w:szCs w:val="19"/>
                <w:u w:val="single"/>
              </w:rPr>
              <w:t>1 July 20</w:t>
            </w:r>
            <w:r w:rsidR="0017042C">
              <w:rPr>
                <w:strike/>
                <w:color w:val="auto"/>
                <w:sz w:val="19"/>
                <w:szCs w:val="19"/>
                <w:u w:val="single"/>
              </w:rPr>
              <w:t>1</w:t>
            </w:r>
            <w:r w:rsidRPr="00BB71D3">
              <w:rPr>
                <w:strike/>
                <w:color w:val="auto"/>
                <w:sz w:val="19"/>
                <w:szCs w:val="19"/>
                <w:u w:val="single"/>
              </w:rPr>
              <w:t>4</w:t>
            </w:r>
          </w:p>
        </w:tc>
      </w:tr>
    </w:tbl>
    <w:p w14:paraId="45F0EC22" w14:textId="77777777" w:rsidR="00F03A42" w:rsidRDefault="00F03A42" w:rsidP="00C87FAF">
      <w:pPr>
        <w:pStyle w:val="Default"/>
        <w:ind w:left="993" w:hanging="993"/>
        <w:jc w:val="both"/>
        <w:rPr>
          <w:b/>
          <w:bCs/>
          <w:color w:val="auto"/>
          <w:sz w:val="19"/>
          <w:szCs w:val="19"/>
        </w:rPr>
      </w:pPr>
    </w:p>
    <w:p w14:paraId="469FB6A8" w14:textId="77777777" w:rsidR="00F03A42" w:rsidRPr="00BB71D3" w:rsidRDefault="00F03A42" w:rsidP="00874790">
      <w:pPr>
        <w:pStyle w:val="IASBNormalnpara"/>
        <w:rPr>
          <w:b/>
          <w:bCs/>
          <w:szCs w:val="19"/>
          <w:u w:val="single"/>
        </w:rPr>
      </w:pPr>
      <w:r w:rsidRPr="00BB71D3">
        <w:rPr>
          <w:b/>
          <w:bCs/>
          <w:szCs w:val="19"/>
          <w:u w:val="single"/>
        </w:rPr>
        <w:t>AusCF10</w:t>
      </w:r>
      <w:r w:rsidRPr="007962DB">
        <w:rPr>
          <w:b/>
          <w:bCs/>
          <w:szCs w:val="19"/>
        </w:rPr>
        <w:tab/>
      </w:r>
      <w:r w:rsidR="00AA33CA" w:rsidRPr="00AA33CA">
        <w:rPr>
          <w:b/>
          <w:szCs w:val="19"/>
          <w:u w:val="single"/>
        </w:rPr>
        <w:t xml:space="preserve">Notwithstanding paragraph </w:t>
      </w:r>
      <w:r w:rsidR="00AA33CA">
        <w:rPr>
          <w:b/>
          <w:szCs w:val="19"/>
          <w:u w:val="single"/>
        </w:rPr>
        <w:t>10</w:t>
      </w:r>
      <w:r w:rsidR="00AA33CA" w:rsidRPr="00AA33CA">
        <w:rPr>
          <w:b/>
          <w:szCs w:val="19"/>
          <w:u w:val="single"/>
        </w:rPr>
        <w:t xml:space="preserve">, in respect of AusCF entities, </w:t>
      </w:r>
      <w:r w:rsidR="00AA33CA" w:rsidRPr="00AA33CA">
        <w:rPr>
          <w:b/>
          <w:bCs/>
          <w:szCs w:val="19"/>
          <w:u w:val="single"/>
        </w:rPr>
        <w:t>e</w:t>
      </w:r>
      <w:r w:rsidR="00AA33CA" w:rsidRPr="00BB71D3">
        <w:rPr>
          <w:b/>
          <w:bCs/>
          <w:szCs w:val="19"/>
          <w:u w:val="single"/>
        </w:rPr>
        <w:t xml:space="preserve">ach </w:t>
      </w:r>
      <w:r w:rsidRPr="00BB71D3">
        <w:rPr>
          <w:b/>
          <w:bCs/>
          <w:szCs w:val="19"/>
          <w:u w:val="single"/>
        </w:rPr>
        <w:t xml:space="preserve">reference to </w:t>
      </w:r>
      <w:r w:rsidR="0017042C">
        <w:rPr>
          <w:b/>
          <w:bCs/>
          <w:szCs w:val="19"/>
          <w:u w:val="single"/>
        </w:rPr>
        <w:t xml:space="preserve">the </w:t>
      </w:r>
      <w:r w:rsidRPr="00BB71D3">
        <w:rPr>
          <w:b/>
          <w:bCs/>
          <w:i/>
          <w:szCs w:val="19"/>
          <w:u w:val="single"/>
        </w:rPr>
        <w:t xml:space="preserve">Framework for the Preparation and Presentation of Financial Statements </w:t>
      </w:r>
      <w:r w:rsidRPr="00BB71D3">
        <w:rPr>
          <w:b/>
          <w:bCs/>
          <w:szCs w:val="19"/>
          <w:u w:val="single"/>
        </w:rPr>
        <w:t xml:space="preserve">(or </w:t>
      </w:r>
      <w:r w:rsidRPr="00BB71D3">
        <w:rPr>
          <w:b/>
          <w:bCs/>
          <w:i/>
          <w:szCs w:val="19"/>
          <w:u w:val="single"/>
        </w:rPr>
        <w:t>Framework</w:t>
      </w:r>
      <w:r w:rsidRPr="00BB71D3">
        <w:rPr>
          <w:b/>
          <w:bCs/>
          <w:szCs w:val="19"/>
          <w:u w:val="single"/>
        </w:rPr>
        <w:t>) in other Australian Accounting Standards (including Interpretations) is taken to be a reference to the relevant pronouncement listed in Table 3 below</w:t>
      </w:r>
      <w:r w:rsidR="00403EB9" w:rsidRPr="00BB71D3">
        <w:rPr>
          <w:b/>
          <w:bCs/>
          <w:szCs w:val="19"/>
          <w:u w:val="single"/>
        </w:rPr>
        <w:t xml:space="preserve">.  </w:t>
      </w:r>
      <w:r w:rsidRPr="00BB71D3">
        <w:rPr>
          <w:b/>
          <w:bCs/>
          <w:szCs w:val="19"/>
          <w:u w:val="single"/>
        </w:rPr>
        <w:t>Each row in Table 3 is to be treated as a separate provision of this Standard.</w:t>
      </w:r>
    </w:p>
    <w:p w14:paraId="782F30DB" w14:textId="77777777" w:rsidR="00F03A42" w:rsidRPr="00DA2F37" w:rsidRDefault="00F03A42" w:rsidP="00C87FAF">
      <w:pPr>
        <w:pStyle w:val="Default"/>
        <w:jc w:val="both"/>
        <w:rPr>
          <w:b/>
          <w:bCs/>
          <w:color w:val="auto"/>
          <w:sz w:val="19"/>
          <w:szCs w:val="19"/>
        </w:rPr>
      </w:pPr>
    </w:p>
    <w:p w14:paraId="45723BFE" w14:textId="77777777" w:rsidR="00F03A42" w:rsidRPr="00BB71D3" w:rsidRDefault="00F03A42" w:rsidP="00C87FAF">
      <w:pPr>
        <w:pStyle w:val="Default"/>
        <w:keepNext/>
        <w:jc w:val="both"/>
        <w:rPr>
          <w:color w:val="auto"/>
          <w:sz w:val="19"/>
          <w:szCs w:val="19"/>
          <w:u w:val="single"/>
        </w:rPr>
      </w:pPr>
      <w:r w:rsidRPr="00BB71D3">
        <w:rPr>
          <w:b/>
          <w:bCs/>
          <w:i/>
          <w:iCs/>
          <w:color w:val="auto"/>
          <w:sz w:val="19"/>
          <w:szCs w:val="19"/>
          <w:u w:val="single"/>
        </w:rPr>
        <w:t>Table 3: Australian conceptual framework pronouncements</w:t>
      </w:r>
    </w:p>
    <w:tbl>
      <w:tblPr>
        <w:tblW w:w="9263" w:type="dxa"/>
        <w:tblInd w:w="-108" w:type="dxa"/>
        <w:tblBorders>
          <w:top w:val="nil"/>
          <w:left w:val="nil"/>
          <w:bottom w:val="nil"/>
          <w:right w:val="nil"/>
        </w:tblBorders>
        <w:tblLayout w:type="fixed"/>
        <w:tblCellMar>
          <w:top w:w="108" w:type="dxa"/>
          <w:bottom w:w="108" w:type="dxa"/>
        </w:tblCellMar>
        <w:tblLook w:val="0000" w:firstRow="0" w:lastRow="0" w:firstColumn="0" w:lastColumn="0" w:noHBand="0" w:noVBand="0"/>
        <w:tblCaption w:val="1048 Table 4"/>
        <w:tblDescription w:val="1048 Table 4"/>
      </w:tblPr>
      <w:tblGrid>
        <w:gridCol w:w="2730"/>
        <w:gridCol w:w="4324"/>
        <w:gridCol w:w="2209"/>
      </w:tblGrid>
      <w:tr w:rsidR="00F03A42" w:rsidRPr="007962DB" w14:paraId="0C7A7959" w14:textId="77777777" w:rsidTr="000D0B17">
        <w:trPr>
          <w:trHeight w:val="339"/>
        </w:trPr>
        <w:tc>
          <w:tcPr>
            <w:tcW w:w="2730" w:type="dxa"/>
            <w:tcBorders>
              <w:top w:val="double" w:sz="4" w:space="0" w:color="auto"/>
              <w:bottom w:val="double" w:sz="4" w:space="0" w:color="auto"/>
              <w:right w:val="single" w:sz="4" w:space="0" w:color="auto"/>
            </w:tcBorders>
          </w:tcPr>
          <w:p w14:paraId="4A74519F" w14:textId="77777777" w:rsidR="00F03A42" w:rsidRPr="00BB71D3" w:rsidRDefault="00F03A42" w:rsidP="00C87FAF">
            <w:pPr>
              <w:pStyle w:val="Default"/>
              <w:jc w:val="both"/>
              <w:rPr>
                <w:color w:val="auto"/>
                <w:sz w:val="19"/>
                <w:szCs w:val="19"/>
                <w:u w:val="single"/>
              </w:rPr>
            </w:pPr>
            <w:r w:rsidRPr="00BB71D3">
              <w:rPr>
                <w:b/>
                <w:bCs/>
                <w:color w:val="auto"/>
                <w:sz w:val="19"/>
                <w:szCs w:val="19"/>
                <w:u w:val="single"/>
              </w:rPr>
              <w:t xml:space="preserve">Issue Date </w:t>
            </w:r>
          </w:p>
        </w:tc>
        <w:tc>
          <w:tcPr>
            <w:tcW w:w="4324" w:type="dxa"/>
            <w:tcBorders>
              <w:top w:val="double" w:sz="4" w:space="0" w:color="auto"/>
              <w:left w:val="single" w:sz="4" w:space="0" w:color="auto"/>
              <w:bottom w:val="double" w:sz="4" w:space="0" w:color="auto"/>
              <w:right w:val="single" w:sz="4" w:space="0" w:color="auto"/>
            </w:tcBorders>
          </w:tcPr>
          <w:p w14:paraId="6B6C0C23" w14:textId="77777777" w:rsidR="00F03A42" w:rsidRPr="00BB71D3" w:rsidRDefault="00F03A42" w:rsidP="00C87FAF">
            <w:pPr>
              <w:pStyle w:val="Default"/>
              <w:jc w:val="both"/>
              <w:rPr>
                <w:color w:val="auto"/>
                <w:sz w:val="19"/>
                <w:szCs w:val="19"/>
                <w:u w:val="single"/>
              </w:rPr>
            </w:pPr>
            <w:r w:rsidRPr="00BB71D3">
              <w:rPr>
                <w:b/>
                <w:bCs/>
                <w:color w:val="auto"/>
                <w:sz w:val="19"/>
                <w:szCs w:val="19"/>
                <w:u w:val="single"/>
              </w:rPr>
              <w:t xml:space="preserve">Title </w:t>
            </w:r>
          </w:p>
        </w:tc>
        <w:tc>
          <w:tcPr>
            <w:tcW w:w="2209" w:type="dxa"/>
            <w:tcBorders>
              <w:top w:val="double" w:sz="4" w:space="0" w:color="auto"/>
              <w:left w:val="single" w:sz="4" w:space="0" w:color="auto"/>
              <w:bottom w:val="double" w:sz="4" w:space="0" w:color="auto"/>
            </w:tcBorders>
          </w:tcPr>
          <w:p w14:paraId="2B1A9094" w14:textId="77777777" w:rsidR="00F03A42" w:rsidRPr="00BB71D3" w:rsidRDefault="00F03A42" w:rsidP="00C87FAF">
            <w:pPr>
              <w:pStyle w:val="Default"/>
              <w:jc w:val="both"/>
              <w:rPr>
                <w:color w:val="auto"/>
                <w:sz w:val="19"/>
                <w:szCs w:val="19"/>
                <w:u w:val="single"/>
              </w:rPr>
            </w:pPr>
            <w:r w:rsidRPr="00BB71D3">
              <w:rPr>
                <w:b/>
                <w:bCs/>
                <w:color w:val="auto"/>
                <w:sz w:val="19"/>
                <w:szCs w:val="19"/>
                <w:u w:val="single"/>
              </w:rPr>
              <w:t xml:space="preserve">Application Date </w:t>
            </w:r>
          </w:p>
          <w:p w14:paraId="35294CF7" w14:textId="77777777" w:rsidR="00F03A42" w:rsidRPr="00BB71D3" w:rsidRDefault="00F03A42" w:rsidP="00C87FAF">
            <w:pPr>
              <w:pStyle w:val="Default"/>
              <w:jc w:val="both"/>
              <w:rPr>
                <w:color w:val="auto"/>
                <w:sz w:val="19"/>
                <w:szCs w:val="19"/>
                <w:u w:val="single"/>
              </w:rPr>
            </w:pPr>
            <w:r w:rsidRPr="00BB71D3">
              <w:rPr>
                <w:color w:val="auto"/>
                <w:sz w:val="19"/>
                <w:szCs w:val="19"/>
                <w:u w:val="single"/>
              </w:rPr>
              <w:t xml:space="preserve">(annual reporting periods) </w:t>
            </w:r>
          </w:p>
        </w:tc>
      </w:tr>
      <w:tr w:rsidR="00F03A42" w:rsidRPr="00DA2F37" w14:paraId="762B4709" w14:textId="77777777" w:rsidTr="000D0B17">
        <w:trPr>
          <w:trHeight w:val="229"/>
        </w:trPr>
        <w:tc>
          <w:tcPr>
            <w:tcW w:w="2730" w:type="dxa"/>
            <w:tcBorders>
              <w:top w:val="single" w:sz="4" w:space="0" w:color="auto"/>
              <w:bottom w:val="single" w:sz="4" w:space="0" w:color="auto"/>
              <w:right w:val="single" w:sz="4" w:space="0" w:color="auto"/>
            </w:tcBorders>
          </w:tcPr>
          <w:p w14:paraId="518E0819" w14:textId="77777777" w:rsidR="00F03A42" w:rsidRPr="00F03A42" w:rsidRDefault="00F03A42" w:rsidP="00C87FAF">
            <w:pPr>
              <w:pStyle w:val="Default"/>
              <w:jc w:val="both"/>
              <w:rPr>
                <w:color w:val="auto"/>
                <w:sz w:val="19"/>
                <w:szCs w:val="19"/>
                <w:u w:val="single"/>
              </w:rPr>
            </w:pPr>
            <w:r w:rsidRPr="00F03A42">
              <w:rPr>
                <w:color w:val="auto"/>
                <w:sz w:val="19"/>
                <w:szCs w:val="19"/>
                <w:u w:val="single"/>
              </w:rPr>
              <w:t>June 2014</w:t>
            </w:r>
          </w:p>
          <w:p w14:paraId="50D98CD5" w14:textId="77777777" w:rsidR="00F03A42" w:rsidRPr="00DA2F37" w:rsidRDefault="00F03A42" w:rsidP="00C87FAF">
            <w:pPr>
              <w:pStyle w:val="Default"/>
              <w:jc w:val="both"/>
              <w:rPr>
                <w:color w:val="auto"/>
                <w:sz w:val="19"/>
                <w:szCs w:val="19"/>
                <w:u w:val="single"/>
              </w:rPr>
            </w:pPr>
            <w:r w:rsidRPr="00F03A42">
              <w:rPr>
                <w:color w:val="auto"/>
                <w:sz w:val="19"/>
                <w:szCs w:val="19"/>
                <w:u w:val="single"/>
              </w:rPr>
              <w:t>[as amended to]</w:t>
            </w:r>
          </w:p>
        </w:tc>
        <w:tc>
          <w:tcPr>
            <w:tcW w:w="4324" w:type="dxa"/>
            <w:tcBorders>
              <w:top w:val="single" w:sz="4" w:space="0" w:color="auto"/>
              <w:left w:val="single" w:sz="4" w:space="0" w:color="auto"/>
              <w:bottom w:val="single" w:sz="4" w:space="0" w:color="auto"/>
              <w:right w:val="single" w:sz="4" w:space="0" w:color="auto"/>
            </w:tcBorders>
          </w:tcPr>
          <w:p w14:paraId="44FCBAD8" w14:textId="77777777" w:rsidR="00F03A42" w:rsidRPr="00DA2F37" w:rsidRDefault="00F03A42" w:rsidP="00C87FAF">
            <w:pPr>
              <w:pStyle w:val="Default"/>
              <w:jc w:val="both"/>
              <w:rPr>
                <w:color w:val="auto"/>
                <w:sz w:val="19"/>
                <w:szCs w:val="19"/>
                <w:u w:val="single"/>
              </w:rPr>
            </w:pPr>
            <w:r w:rsidRPr="00F03A42">
              <w:rPr>
                <w:color w:val="auto"/>
                <w:sz w:val="19"/>
                <w:szCs w:val="19"/>
                <w:u w:val="single"/>
              </w:rPr>
              <w:t>Framework for the Preparation and Presentation of Financial Statements (or Framework)</w:t>
            </w:r>
          </w:p>
        </w:tc>
        <w:tc>
          <w:tcPr>
            <w:tcW w:w="2209" w:type="dxa"/>
            <w:tcBorders>
              <w:top w:val="single" w:sz="4" w:space="0" w:color="auto"/>
              <w:left w:val="single" w:sz="4" w:space="0" w:color="auto"/>
              <w:bottom w:val="single" w:sz="4" w:space="0" w:color="auto"/>
            </w:tcBorders>
          </w:tcPr>
          <w:p w14:paraId="2E98C6CA" w14:textId="77777777" w:rsidR="00F03A42" w:rsidRPr="00DA2F37" w:rsidRDefault="00F03A42" w:rsidP="00C87FAF">
            <w:pPr>
              <w:pStyle w:val="Default"/>
              <w:jc w:val="both"/>
              <w:rPr>
                <w:color w:val="auto"/>
                <w:sz w:val="19"/>
                <w:szCs w:val="19"/>
                <w:u w:val="single"/>
              </w:rPr>
            </w:pPr>
            <w:r w:rsidRPr="00DA2F37">
              <w:rPr>
                <w:color w:val="auto"/>
                <w:sz w:val="19"/>
                <w:szCs w:val="19"/>
                <w:u w:val="single"/>
              </w:rPr>
              <w:t xml:space="preserve">(beginning) </w:t>
            </w:r>
          </w:p>
          <w:p w14:paraId="360EF073" w14:textId="77777777" w:rsidR="00F03A42" w:rsidRPr="00DA2F37" w:rsidRDefault="00F03A42" w:rsidP="00C87FAF">
            <w:pPr>
              <w:pStyle w:val="Default"/>
              <w:jc w:val="both"/>
              <w:rPr>
                <w:color w:val="auto"/>
                <w:sz w:val="19"/>
                <w:szCs w:val="19"/>
                <w:u w:val="single"/>
              </w:rPr>
            </w:pPr>
            <w:r w:rsidRPr="00DA2F37">
              <w:rPr>
                <w:color w:val="auto"/>
                <w:sz w:val="19"/>
                <w:szCs w:val="19"/>
                <w:u w:val="single"/>
              </w:rPr>
              <w:t>1 J</w:t>
            </w:r>
            <w:r>
              <w:rPr>
                <w:color w:val="auto"/>
                <w:sz w:val="19"/>
                <w:szCs w:val="19"/>
                <w:u w:val="single"/>
              </w:rPr>
              <w:t>uly 20</w:t>
            </w:r>
            <w:r w:rsidR="0017042C">
              <w:rPr>
                <w:color w:val="auto"/>
                <w:sz w:val="19"/>
                <w:szCs w:val="19"/>
                <w:u w:val="single"/>
              </w:rPr>
              <w:t>1</w:t>
            </w:r>
            <w:r>
              <w:rPr>
                <w:color w:val="auto"/>
                <w:sz w:val="19"/>
                <w:szCs w:val="19"/>
                <w:u w:val="single"/>
              </w:rPr>
              <w:t>4</w:t>
            </w:r>
          </w:p>
        </w:tc>
      </w:tr>
    </w:tbl>
    <w:p w14:paraId="75512D9C" w14:textId="77777777" w:rsidR="00F03A42" w:rsidRPr="0067049C" w:rsidRDefault="00F03A42" w:rsidP="00C87FAF">
      <w:pPr>
        <w:pStyle w:val="Default"/>
        <w:ind w:left="993" w:hanging="993"/>
        <w:jc w:val="both"/>
        <w:rPr>
          <w:color w:val="auto"/>
          <w:sz w:val="19"/>
          <w:szCs w:val="19"/>
          <w:u w:val="single"/>
        </w:rPr>
      </w:pPr>
    </w:p>
    <w:p w14:paraId="464FB7ED" w14:textId="77777777" w:rsidR="00F03A42" w:rsidRDefault="00F03A42" w:rsidP="00DF53EA">
      <w:pPr>
        <w:pStyle w:val="IASBNormalnpara"/>
        <w:rPr>
          <w:b/>
          <w:bCs/>
          <w:szCs w:val="19"/>
          <w:u w:val="single"/>
        </w:rPr>
      </w:pPr>
      <w:r w:rsidRPr="0017042C">
        <w:rPr>
          <w:b/>
          <w:bCs/>
          <w:szCs w:val="19"/>
        </w:rPr>
        <w:t>11</w:t>
      </w:r>
      <w:r w:rsidRPr="00BB71D3">
        <w:rPr>
          <w:b/>
          <w:bCs/>
          <w:szCs w:val="19"/>
        </w:rPr>
        <w:tab/>
      </w:r>
      <w:r w:rsidRPr="0067049C">
        <w:rPr>
          <w:b/>
          <w:szCs w:val="19"/>
        </w:rPr>
        <w:t>This Standard updates references to the</w:t>
      </w:r>
      <w:r w:rsidRPr="0087625A">
        <w:rPr>
          <w:b/>
          <w:szCs w:val="19"/>
          <w:u w:val="single"/>
        </w:rPr>
        <w:t xml:space="preserve"> </w:t>
      </w:r>
      <w:r>
        <w:rPr>
          <w:b/>
          <w:bCs/>
          <w:i/>
          <w:szCs w:val="19"/>
          <w:u w:val="single"/>
        </w:rPr>
        <w:t>Conceptual</w:t>
      </w:r>
      <w:r w:rsidRPr="0067049C">
        <w:rPr>
          <w:b/>
          <w:szCs w:val="19"/>
          <w:u w:val="single"/>
        </w:rPr>
        <w:t xml:space="preserve"> </w:t>
      </w:r>
      <w:r w:rsidRPr="0067049C">
        <w:rPr>
          <w:b/>
          <w:i/>
          <w:szCs w:val="19"/>
        </w:rPr>
        <w:t>Framework</w:t>
      </w:r>
      <w:r w:rsidRPr="0067049C">
        <w:rPr>
          <w:b/>
          <w:szCs w:val="19"/>
        </w:rPr>
        <w:t xml:space="preserve"> in Australian Accounting Standards (including Interpretations) to the relevant amended version of the </w:t>
      </w:r>
      <w:r>
        <w:rPr>
          <w:b/>
          <w:bCs/>
          <w:i/>
          <w:szCs w:val="19"/>
          <w:u w:val="single"/>
        </w:rPr>
        <w:t>Conceptual</w:t>
      </w:r>
      <w:r w:rsidRPr="0067049C">
        <w:rPr>
          <w:b/>
          <w:szCs w:val="19"/>
          <w:u w:val="single"/>
        </w:rPr>
        <w:t xml:space="preserve"> </w:t>
      </w:r>
      <w:r w:rsidRPr="0067049C">
        <w:rPr>
          <w:b/>
          <w:i/>
          <w:szCs w:val="19"/>
        </w:rPr>
        <w:t>Framework</w:t>
      </w:r>
      <w:r w:rsidR="00403EB9" w:rsidRPr="0067049C">
        <w:rPr>
          <w:b/>
          <w:szCs w:val="19"/>
        </w:rPr>
        <w:t xml:space="preserve">.  </w:t>
      </w:r>
      <w:r w:rsidRPr="0067049C">
        <w:rPr>
          <w:b/>
          <w:szCs w:val="19"/>
        </w:rPr>
        <w:t>The principal application date listed in each row of Table 3 is a reference to annual reporting periods beginning or ending (as indicated) on or after the date specified</w:t>
      </w:r>
      <w:r w:rsidR="00403EB9" w:rsidRPr="0067049C">
        <w:rPr>
          <w:b/>
          <w:szCs w:val="19"/>
        </w:rPr>
        <w:t xml:space="preserve">.  </w:t>
      </w:r>
      <w:r w:rsidRPr="0067049C">
        <w:rPr>
          <w:b/>
          <w:szCs w:val="19"/>
        </w:rPr>
        <w:t xml:space="preserve">An entity may elect to apply an amended version of the pronouncement to annual reporting periods in advance of that stated in Table 3, subject to any early application </w:t>
      </w:r>
      <w:r w:rsidR="007962DB" w:rsidRPr="0067049C">
        <w:rPr>
          <w:b/>
          <w:bCs/>
          <w:szCs w:val="19"/>
        </w:rPr>
        <w:t>paragraphs.</w:t>
      </w:r>
    </w:p>
    <w:p w14:paraId="41A3FC76" w14:textId="77777777" w:rsidR="00F03A42" w:rsidRPr="0067049C" w:rsidRDefault="00F03A42" w:rsidP="00DF53EA">
      <w:pPr>
        <w:pStyle w:val="IASBNormalnpara"/>
        <w:rPr>
          <w:szCs w:val="19"/>
          <w:u w:val="single"/>
        </w:rPr>
      </w:pPr>
      <w:r>
        <w:rPr>
          <w:b/>
          <w:bCs/>
          <w:szCs w:val="19"/>
          <w:u w:val="single"/>
        </w:rPr>
        <w:t>AusCF11</w:t>
      </w:r>
      <w:r w:rsidRPr="00BB71D3">
        <w:rPr>
          <w:b/>
          <w:bCs/>
          <w:szCs w:val="19"/>
        </w:rPr>
        <w:tab/>
      </w:r>
      <w:r w:rsidR="00AA33CA" w:rsidRPr="00AA33CA">
        <w:rPr>
          <w:b/>
          <w:szCs w:val="19"/>
          <w:u w:val="single"/>
        </w:rPr>
        <w:t xml:space="preserve">Notwithstanding paragraph </w:t>
      </w:r>
      <w:r w:rsidR="00AA33CA">
        <w:rPr>
          <w:b/>
          <w:szCs w:val="19"/>
          <w:u w:val="single"/>
        </w:rPr>
        <w:t>11</w:t>
      </w:r>
      <w:r w:rsidR="00AA33CA" w:rsidRPr="00AA33CA">
        <w:rPr>
          <w:b/>
          <w:szCs w:val="19"/>
          <w:u w:val="single"/>
        </w:rPr>
        <w:t xml:space="preserve">, in respect of AusCF entities, </w:t>
      </w:r>
      <w:r w:rsidR="00AA33CA" w:rsidRPr="00BB71D3">
        <w:rPr>
          <w:b/>
          <w:bCs/>
          <w:szCs w:val="19"/>
          <w:u w:val="single"/>
        </w:rPr>
        <w:t xml:space="preserve">this </w:t>
      </w:r>
      <w:r w:rsidRPr="00BB71D3">
        <w:rPr>
          <w:b/>
          <w:bCs/>
          <w:szCs w:val="19"/>
          <w:u w:val="single"/>
        </w:rPr>
        <w:t xml:space="preserve">Standard updates references to the </w:t>
      </w:r>
      <w:r w:rsidRPr="00BB71D3">
        <w:rPr>
          <w:b/>
          <w:bCs/>
          <w:i/>
          <w:szCs w:val="19"/>
          <w:u w:val="single"/>
        </w:rPr>
        <w:t>Framework</w:t>
      </w:r>
      <w:r w:rsidRPr="00BB71D3">
        <w:rPr>
          <w:b/>
          <w:bCs/>
          <w:szCs w:val="19"/>
          <w:u w:val="single"/>
        </w:rPr>
        <w:t xml:space="preserve"> in Australian Accounting Standards (including Interpretations) to the relevant amended version of the </w:t>
      </w:r>
      <w:r w:rsidRPr="00BB71D3">
        <w:rPr>
          <w:b/>
          <w:bCs/>
          <w:i/>
          <w:szCs w:val="19"/>
          <w:u w:val="single"/>
        </w:rPr>
        <w:t>Framework</w:t>
      </w:r>
      <w:r w:rsidR="00403EB9" w:rsidRPr="00BB71D3">
        <w:rPr>
          <w:b/>
          <w:bCs/>
          <w:szCs w:val="19"/>
          <w:u w:val="single"/>
        </w:rPr>
        <w:t xml:space="preserve">.  </w:t>
      </w:r>
      <w:r w:rsidRPr="00BB71D3">
        <w:rPr>
          <w:b/>
          <w:bCs/>
          <w:szCs w:val="19"/>
          <w:u w:val="single"/>
        </w:rPr>
        <w:t>The principal application date listed in each row of Table 3 is a reference to annual reporting periods beginning or ending (as indicated) on or after the date specified</w:t>
      </w:r>
      <w:r w:rsidR="00403EB9" w:rsidRPr="00BB71D3">
        <w:rPr>
          <w:b/>
          <w:bCs/>
          <w:szCs w:val="19"/>
          <w:u w:val="single"/>
        </w:rPr>
        <w:t xml:space="preserve">.  </w:t>
      </w:r>
      <w:r w:rsidRPr="00BB71D3">
        <w:rPr>
          <w:b/>
          <w:bCs/>
          <w:szCs w:val="19"/>
          <w:u w:val="single"/>
        </w:rPr>
        <w:t>An entity may elect to apply an amended version of the pronouncement to annual reporting periods in advance of that stated in Table 3, subject to any early application paragraphs.</w:t>
      </w:r>
    </w:p>
    <w:p w14:paraId="4B192198" w14:textId="77777777" w:rsidR="003A66C5" w:rsidRDefault="003A66C5" w:rsidP="00C87FAF">
      <w:pPr>
        <w:pStyle w:val="Heading2"/>
        <w:jc w:val="both"/>
      </w:pPr>
      <w:r>
        <w:t>Amendments to AASB 1053</w:t>
      </w:r>
    </w:p>
    <w:p w14:paraId="1E2A9F2F" w14:textId="77777777" w:rsidR="004043A1" w:rsidRPr="004043A1"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4043A1">
        <w:rPr>
          <w:szCs w:val="19"/>
        </w:rPr>
        <w:t xml:space="preserve">Paragraph AusCF1 is added. </w:t>
      </w:r>
      <w:r w:rsidR="0017042C">
        <w:rPr>
          <w:szCs w:val="19"/>
        </w:rPr>
        <w:t xml:space="preserve"> </w:t>
      </w:r>
      <w:r w:rsidRPr="004043A1">
        <w:rPr>
          <w:szCs w:val="19"/>
        </w:rPr>
        <w:t xml:space="preserve">Paragraphs 2, 9 and 11 and Appendix A are amended. </w:t>
      </w:r>
      <w:r w:rsidR="0017042C">
        <w:rPr>
          <w:szCs w:val="19"/>
        </w:rPr>
        <w:t xml:space="preserve"> </w:t>
      </w:r>
      <w:r w:rsidRPr="004043A1">
        <w:rPr>
          <w:szCs w:val="19"/>
        </w:rPr>
        <w:t>Paragraphs B3 and B4 are added in Appendix B.</w:t>
      </w:r>
    </w:p>
    <w:p w14:paraId="6429952E" w14:textId="77777777" w:rsidR="004043A1" w:rsidRPr="00864580" w:rsidRDefault="004043A1" w:rsidP="00C87FAF">
      <w:pPr>
        <w:pStyle w:val="Heading1"/>
        <w:spacing w:before="240"/>
        <w:jc w:val="both"/>
        <w:rPr>
          <w:rFonts w:ascii="Times New Roman" w:hAnsi="Times New Roman" w:cs="Times New Roman"/>
        </w:rPr>
      </w:pPr>
      <w:r w:rsidRPr="00864580">
        <w:rPr>
          <w:rFonts w:ascii="Times New Roman" w:hAnsi="Times New Roman" w:cs="Times New Roman"/>
        </w:rPr>
        <w:t>Objective</w:t>
      </w:r>
    </w:p>
    <w:p w14:paraId="2A4CEE03" w14:textId="77777777" w:rsidR="004043A1" w:rsidRPr="004043A1" w:rsidRDefault="004043A1" w:rsidP="00C87FAF">
      <w:pPr>
        <w:autoSpaceDE w:val="0"/>
        <w:autoSpaceDN w:val="0"/>
        <w:adjustRightInd w:val="0"/>
        <w:rPr>
          <w:szCs w:val="19"/>
        </w:rPr>
      </w:pPr>
      <w:r w:rsidRPr="004043A1">
        <w:rPr>
          <w:szCs w:val="19"/>
        </w:rPr>
        <w:t>…</w:t>
      </w:r>
    </w:p>
    <w:p w14:paraId="7B84007A" w14:textId="77777777" w:rsidR="00CA1DD7" w:rsidRPr="0067049C" w:rsidRDefault="00CA1DD7" w:rsidP="00DF53EA">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1213387E" w14:textId="21935F39" w:rsidR="00FE115A" w:rsidRPr="0067049C" w:rsidRDefault="00DF53EA" w:rsidP="00DF53EA">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066AEA1B" w14:textId="2EBB2207" w:rsidR="00FE115A" w:rsidRPr="0067049C" w:rsidRDefault="00DF53EA" w:rsidP="00DF53EA">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FE115A" w:rsidRPr="0067049C">
        <w:rPr>
          <w:szCs w:val="19"/>
          <w:u w:val="single"/>
        </w:rPr>
        <w:t>.</w:t>
      </w:r>
    </w:p>
    <w:p w14:paraId="4EA3C75A" w14:textId="0F287B6F" w:rsidR="00CA1DD7" w:rsidRPr="0067049C" w:rsidRDefault="00CA1DD7" w:rsidP="00DF53EA">
      <w:pPr>
        <w:pStyle w:val="IASBNormalL1P"/>
        <w:rPr>
          <w:szCs w:val="19"/>
        </w:rPr>
      </w:pPr>
      <w:r w:rsidRPr="0067049C">
        <w:rPr>
          <w:szCs w:val="19"/>
          <w:u w:val="single"/>
        </w:rPr>
        <w:t xml:space="preserve">For AusCF entities, the term ‘reporting entity’ is defined in </w:t>
      </w:r>
      <w:r w:rsidR="00615972">
        <w:rPr>
          <w:szCs w:val="19"/>
          <w:u w:val="single"/>
        </w:rPr>
        <w:t>AASB</w:t>
      </w:r>
      <w:r w:rsidR="00B2123A">
        <w:rPr>
          <w:szCs w:val="19"/>
          <w:u w:val="single"/>
        </w:rPr>
        <w:t> </w:t>
      </w:r>
      <w:r w:rsidR="00615972">
        <w:rPr>
          <w:szCs w:val="19"/>
          <w:u w:val="single"/>
        </w:rPr>
        <w:t xml:space="preserve">1057 </w:t>
      </w:r>
      <w:r w:rsidR="00615972"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7C23B4B6" w14:textId="77777777" w:rsidR="004043A1" w:rsidRPr="00864580" w:rsidRDefault="004043A1" w:rsidP="00C87FAF">
      <w:pPr>
        <w:pStyle w:val="Heading1"/>
        <w:spacing w:before="240"/>
        <w:jc w:val="both"/>
        <w:rPr>
          <w:rFonts w:ascii="Times New Roman" w:hAnsi="Times New Roman" w:cs="Times New Roman"/>
        </w:rPr>
      </w:pPr>
      <w:r w:rsidRPr="00864580">
        <w:rPr>
          <w:rFonts w:ascii="Times New Roman" w:hAnsi="Times New Roman" w:cs="Times New Roman"/>
        </w:rPr>
        <w:t>Application</w:t>
      </w:r>
    </w:p>
    <w:p w14:paraId="00D8B557" w14:textId="77777777" w:rsidR="004043A1" w:rsidRPr="004043A1" w:rsidRDefault="00C40A5B" w:rsidP="00DF53EA">
      <w:pPr>
        <w:pStyle w:val="IASBNormalnpara"/>
        <w:rPr>
          <w:b/>
          <w:bCs/>
          <w:szCs w:val="19"/>
        </w:rPr>
      </w:pPr>
      <w:r>
        <w:rPr>
          <w:b/>
          <w:bCs/>
          <w:szCs w:val="19"/>
        </w:rPr>
        <w:t>2</w:t>
      </w:r>
      <w:r w:rsidR="004043A1" w:rsidRPr="004043A1">
        <w:rPr>
          <w:b/>
          <w:bCs/>
          <w:szCs w:val="19"/>
        </w:rPr>
        <w:tab/>
        <w:t>This Standard applies to</w:t>
      </w:r>
      <w:r w:rsidR="004043A1" w:rsidRPr="004043A1">
        <w:rPr>
          <w:b/>
          <w:bCs/>
          <w:szCs w:val="19"/>
          <w:vertAlign w:val="superscript"/>
        </w:rPr>
        <w:t>1</w:t>
      </w:r>
      <w:r w:rsidR="004043A1" w:rsidRPr="004043A1">
        <w:rPr>
          <w:b/>
          <w:bCs/>
          <w:szCs w:val="19"/>
        </w:rPr>
        <w:t>:</w:t>
      </w:r>
    </w:p>
    <w:p w14:paraId="14B16A9A" w14:textId="16F5FCF1" w:rsidR="004043A1" w:rsidRPr="004043A1" w:rsidRDefault="00DF53EA" w:rsidP="00DF53EA">
      <w:pPr>
        <w:pStyle w:val="IASBNormalnparaL1"/>
        <w:rPr>
          <w:b/>
          <w:bCs/>
          <w:szCs w:val="19"/>
        </w:rPr>
      </w:pPr>
      <w:r>
        <w:rPr>
          <w:b/>
          <w:bCs/>
          <w:szCs w:val="19"/>
        </w:rPr>
        <w:t>(a)</w:t>
      </w:r>
      <w:r>
        <w:rPr>
          <w:b/>
          <w:bCs/>
          <w:szCs w:val="19"/>
        </w:rPr>
        <w:tab/>
      </w:r>
      <w:r w:rsidR="004043A1" w:rsidRPr="004043A1">
        <w:rPr>
          <w:b/>
          <w:bCs/>
          <w:szCs w:val="19"/>
        </w:rPr>
        <w:t>each entity that is required to prepare financial reports in accordance with Part 2M.3 of the Corporations Act;</w:t>
      </w:r>
    </w:p>
    <w:p w14:paraId="75535EEC" w14:textId="44E2A730" w:rsidR="004043A1" w:rsidRPr="004043A1" w:rsidRDefault="00DF53EA" w:rsidP="00DF53EA">
      <w:pPr>
        <w:pStyle w:val="IASBNormalnparaL1"/>
        <w:rPr>
          <w:b/>
          <w:bCs/>
          <w:szCs w:val="19"/>
        </w:rPr>
      </w:pPr>
      <w:r w:rsidRPr="00DF53EA">
        <w:rPr>
          <w:b/>
          <w:bCs/>
          <w:szCs w:val="19"/>
        </w:rPr>
        <w:t>(b)</w:t>
      </w:r>
      <w:r>
        <w:rPr>
          <w:b/>
          <w:bCs/>
          <w:szCs w:val="19"/>
        </w:rPr>
        <w:tab/>
      </w:r>
      <w:r w:rsidR="004043A1" w:rsidRPr="004043A1">
        <w:rPr>
          <w:b/>
          <w:bCs/>
          <w:i/>
          <w:szCs w:val="19"/>
        </w:rPr>
        <w:t>general purpose financial statements</w:t>
      </w:r>
      <w:r w:rsidR="004043A1" w:rsidRPr="004043A1">
        <w:rPr>
          <w:b/>
          <w:bCs/>
          <w:szCs w:val="19"/>
        </w:rPr>
        <w:t xml:space="preserve"> of each </w:t>
      </w:r>
      <w:r w:rsidR="004043A1" w:rsidRPr="004043A1">
        <w:rPr>
          <w:b/>
          <w:bCs/>
          <w:i/>
          <w:szCs w:val="19"/>
        </w:rPr>
        <w:t>reporting</w:t>
      </w:r>
      <w:r w:rsidR="004043A1" w:rsidRPr="004043A1">
        <w:rPr>
          <w:b/>
          <w:bCs/>
          <w:szCs w:val="19"/>
        </w:rPr>
        <w:t xml:space="preserve"> </w:t>
      </w:r>
      <w:r w:rsidR="004043A1" w:rsidRPr="004043A1">
        <w:rPr>
          <w:b/>
          <w:bCs/>
          <w:i/>
          <w:szCs w:val="19"/>
        </w:rPr>
        <w:t>entity</w:t>
      </w:r>
      <w:r w:rsidR="004043A1" w:rsidRPr="004043A1">
        <w:rPr>
          <w:b/>
          <w:bCs/>
          <w:szCs w:val="19"/>
        </w:rPr>
        <w:t>;</w:t>
      </w:r>
    </w:p>
    <w:p w14:paraId="1A6D8C4B" w14:textId="59BF31B0" w:rsidR="004043A1" w:rsidRPr="004043A1" w:rsidRDefault="00DF53EA" w:rsidP="00DF53EA">
      <w:pPr>
        <w:pStyle w:val="IASBNormalnparaL1"/>
        <w:rPr>
          <w:b/>
          <w:bCs/>
          <w:szCs w:val="19"/>
        </w:rPr>
      </w:pPr>
      <w:r>
        <w:rPr>
          <w:b/>
          <w:bCs/>
          <w:szCs w:val="19"/>
        </w:rPr>
        <w:t>(c)</w:t>
      </w:r>
      <w:r>
        <w:rPr>
          <w:b/>
          <w:bCs/>
          <w:szCs w:val="19"/>
        </w:rPr>
        <w:tab/>
      </w:r>
      <w:r w:rsidR="004043A1" w:rsidRPr="004043A1">
        <w:rPr>
          <w:b/>
          <w:bCs/>
          <w:szCs w:val="19"/>
        </w:rPr>
        <w:t>financial statements that are, or are held out to be, general purpose financial statements;</w:t>
      </w:r>
      <w:r w:rsidR="004043A1" w:rsidRPr="0087625A">
        <w:rPr>
          <w:b/>
          <w:bCs/>
          <w:strike/>
          <w:szCs w:val="19"/>
        </w:rPr>
        <w:t xml:space="preserve"> </w:t>
      </w:r>
      <w:r w:rsidR="004043A1" w:rsidRPr="004043A1">
        <w:rPr>
          <w:b/>
          <w:bCs/>
          <w:strike/>
          <w:szCs w:val="19"/>
        </w:rPr>
        <w:t>and</w:t>
      </w:r>
    </w:p>
    <w:p w14:paraId="77ABE18C" w14:textId="7091EF5E" w:rsidR="004043A1" w:rsidRPr="004043A1" w:rsidRDefault="00DF53EA" w:rsidP="00DF53EA">
      <w:pPr>
        <w:pStyle w:val="IASBNormalnparaL1"/>
        <w:rPr>
          <w:b/>
          <w:bCs/>
          <w:szCs w:val="19"/>
        </w:rPr>
      </w:pPr>
      <w:r>
        <w:rPr>
          <w:b/>
          <w:bCs/>
          <w:szCs w:val="19"/>
        </w:rPr>
        <w:t>(d)</w:t>
      </w:r>
      <w:r>
        <w:rPr>
          <w:b/>
          <w:bCs/>
          <w:szCs w:val="19"/>
        </w:rPr>
        <w:tab/>
      </w:r>
      <w:r w:rsidR="004043A1" w:rsidRPr="004043A1">
        <w:rPr>
          <w:b/>
          <w:bCs/>
          <w:szCs w:val="19"/>
        </w:rPr>
        <w:t xml:space="preserve">financial statements of General Government Sectors (GGSs) prepared in accordance with AASB 1049 </w:t>
      </w:r>
      <w:r w:rsidR="004043A1" w:rsidRPr="004043A1">
        <w:rPr>
          <w:b/>
          <w:bCs/>
          <w:i/>
          <w:szCs w:val="19"/>
        </w:rPr>
        <w:t>Whole of Government and General Government Sector Financial Reporting</w:t>
      </w:r>
      <w:r w:rsidR="004043A1" w:rsidRPr="004043A1">
        <w:rPr>
          <w:b/>
          <w:bCs/>
          <w:szCs w:val="19"/>
          <w:u w:val="single"/>
        </w:rPr>
        <w:t>; and</w:t>
      </w:r>
    </w:p>
    <w:p w14:paraId="17F8C2EE" w14:textId="00A60104" w:rsidR="004043A1" w:rsidRPr="004043A1" w:rsidRDefault="00DF53EA" w:rsidP="00DF53EA">
      <w:pPr>
        <w:pStyle w:val="IASBNormalnparaL1"/>
        <w:rPr>
          <w:b/>
          <w:bCs/>
          <w:szCs w:val="19"/>
          <w:u w:val="single"/>
        </w:rPr>
      </w:pPr>
      <w:r>
        <w:rPr>
          <w:b/>
          <w:bCs/>
          <w:szCs w:val="19"/>
          <w:u w:val="single"/>
        </w:rPr>
        <w:t>(e)</w:t>
      </w:r>
      <w:r>
        <w:rPr>
          <w:b/>
          <w:bCs/>
          <w:szCs w:val="19"/>
          <w:u w:val="single"/>
        </w:rPr>
        <w:tab/>
      </w:r>
      <w:r w:rsidR="004043A1" w:rsidRPr="004043A1">
        <w:rPr>
          <w:b/>
          <w:bCs/>
          <w:szCs w:val="19"/>
          <w:u w:val="single"/>
        </w:rPr>
        <w:t xml:space="preserve">for-profit </w:t>
      </w:r>
      <w:r w:rsidR="00B317FD" w:rsidRPr="0067049C">
        <w:rPr>
          <w:b/>
          <w:szCs w:val="19"/>
          <w:u w:val="single"/>
        </w:rPr>
        <w:t>private sector</w:t>
      </w:r>
      <w:r w:rsidR="00B317FD">
        <w:rPr>
          <w:b/>
          <w:bCs/>
          <w:szCs w:val="19"/>
          <w:u w:val="single"/>
        </w:rPr>
        <w:t xml:space="preserve"> </w:t>
      </w:r>
      <w:r w:rsidR="004043A1" w:rsidRPr="004043A1">
        <w:rPr>
          <w:b/>
          <w:bCs/>
          <w:szCs w:val="19"/>
          <w:u w:val="single"/>
        </w:rPr>
        <w:t xml:space="preserve">entities that have public accountability </w:t>
      </w:r>
      <w:r w:rsidR="00CA1DD7" w:rsidRPr="0067049C">
        <w:rPr>
          <w:b/>
          <w:bCs/>
          <w:szCs w:val="19"/>
          <w:u w:val="single"/>
        </w:rPr>
        <w:t>and</w:t>
      </w:r>
      <w:r w:rsidR="004043A1" w:rsidRPr="004043A1">
        <w:rPr>
          <w:b/>
          <w:bCs/>
          <w:szCs w:val="19"/>
          <w:u w:val="single"/>
        </w:rPr>
        <w:t xml:space="preserve"> are required </w:t>
      </w:r>
      <w:r w:rsidR="004043A1" w:rsidRPr="0067049C">
        <w:rPr>
          <w:b/>
          <w:szCs w:val="19"/>
          <w:u w:val="single"/>
        </w:rPr>
        <w:t>by legislation</w:t>
      </w:r>
      <w:r w:rsidR="004043A1" w:rsidRPr="004043A1">
        <w:rPr>
          <w:b/>
          <w:bCs/>
          <w:szCs w:val="19"/>
          <w:u w:val="single"/>
        </w:rPr>
        <w:t xml:space="preserve"> to comply with Australian Accounting Standards</w:t>
      </w:r>
      <w:r w:rsidR="004043A1" w:rsidRPr="004043A1">
        <w:rPr>
          <w:b/>
          <w:bCs/>
          <w:szCs w:val="19"/>
        </w:rPr>
        <w:t>.</w:t>
      </w:r>
    </w:p>
    <w:p w14:paraId="3D5ADCBC" w14:textId="77777777" w:rsidR="004043A1" w:rsidRPr="004043A1" w:rsidRDefault="004043A1" w:rsidP="00C87FAF">
      <w:pPr>
        <w:autoSpaceDE w:val="0"/>
        <w:autoSpaceDN w:val="0"/>
        <w:adjustRightInd w:val="0"/>
        <w:spacing w:before="100"/>
        <w:ind w:left="720" w:hanging="720"/>
        <w:rPr>
          <w:szCs w:val="19"/>
        </w:rPr>
      </w:pPr>
      <w:r w:rsidRPr="004043A1">
        <w:rPr>
          <w:szCs w:val="19"/>
        </w:rPr>
        <w:t>…</w:t>
      </w:r>
    </w:p>
    <w:p w14:paraId="61D2DB95" w14:textId="77777777" w:rsidR="004043A1" w:rsidRPr="00864580" w:rsidRDefault="004043A1" w:rsidP="00C87FAF">
      <w:pPr>
        <w:pStyle w:val="Heading1"/>
        <w:spacing w:before="240"/>
        <w:jc w:val="both"/>
        <w:rPr>
          <w:rFonts w:ascii="Times New Roman" w:hAnsi="Times New Roman" w:cs="Times New Roman"/>
        </w:rPr>
      </w:pPr>
      <w:r w:rsidRPr="00864580">
        <w:rPr>
          <w:rFonts w:ascii="Times New Roman" w:hAnsi="Times New Roman" w:cs="Times New Roman"/>
        </w:rPr>
        <w:t>Tiers of Reporting Requirements</w:t>
      </w:r>
    </w:p>
    <w:p w14:paraId="713EC150" w14:textId="77777777" w:rsidR="004043A1" w:rsidRPr="004043A1" w:rsidRDefault="004043A1" w:rsidP="00C87FAF">
      <w:pPr>
        <w:autoSpaceDE w:val="0"/>
        <w:autoSpaceDN w:val="0"/>
        <w:adjustRightInd w:val="0"/>
        <w:ind w:left="720" w:hanging="720"/>
        <w:rPr>
          <w:szCs w:val="19"/>
        </w:rPr>
      </w:pPr>
      <w:r w:rsidRPr="004043A1">
        <w:rPr>
          <w:szCs w:val="19"/>
        </w:rPr>
        <w:t>…</w:t>
      </w:r>
    </w:p>
    <w:p w14:paraId="62960140" w14:textId="77777777" w:rsidR="004043A1" w:rsidRPr="004043A1" w:rsidRDefault="00C40A5B" w:rsidP="00DF53EA">
      <w:pPr>
        <w:pStyle w:val="IASBNormalnpara"/>
        <w:rPr>
          <w:bCs/>
          <w:szCs w:val="19"/>
        </w:rPr>
      </w:pPr>
      <w:r>
        <w:rPr>
          <w:bCs/>
          <w:szCs w:val="19"/>
        </w:rPr>
        <w:t>9</w:t>
      </w:r>
      <w:r w:rsidR="004043A1" w:rsidRPr="004043A1">
        <w:rPr>
          <w:bCs/>
          <w:szCs w:val="19"/>
        </w:rPr>
        <w:tab/>
        <w:t>Tier 2 comprises the recognition and measurement requirements of Tier 1</w:t>
      </w:r>
      <w:r w:rsidR="004043A1" w:rsidRPr="004043A1">
        <w:rPr>
          <w:bCs/>
          <w:szCs w:val="19"/>
          <w:u w:val="single"/>
        </w:rPr>
        <w:t xml:space="preserve"> (including consolidation and the equity method of accounting)</w:t>
      </w:r>
      <w:r w:rsidR="004043A1" w:rsidRPr="004043A1">
        <w:rPr>
          <w:bCs/>
          <w:szCs w:val="19"/>
        </w:rPr>
        <w:t xml:space="preserve"> but substantially reduced disclosure requirements</w:t>
      </w:r>
      <w:r w:rsidR="00403EB9" w:rsidRPr="004043A1">
        <w:rPr>
          <w:bCs/>
          <w:szCs w:val="19"/>
        </w:rPr>
        <w:t xml:space="preserve">.  </w:t>
      </w:r>
      <w:r w:rsidR="004043A1" w:rsidRPr="004043A1">
        <w:rPr>
          <w:bCs/>
          <w:szCs w:val="19"/>
        </w:rPr>
        <w:t>Except for the presentation of a third statement of financial position under Tier 1</w:t>
      </w:r>
      <w:r w:rsidR="004043A1" w:rsidRPr="004043A1">
        <w:rPr>
          <w:bCs/>
          <w:szCs w:val="19"/>
          <w:vertAlign w:val="superscript"/>
        </w:rPr>
        <w:t>2</w:t>
      </w:r>
      <w:r w:rsidR="004043A1" w:rsidRPr="004043A1">
        <w:rPr>
          <w:bCs/>
          <w:szCs w:val="19"/>
        </w:rPr>
        <w:t>, the presentation requirements under Tier 1 and Tier 2 are the same.</w:t>
      </w:r>
    </w:p>
    <w:p w14:paraId="2FBAD835" w14:textId="77777777" w:rsidR="004043A1" w:rsidRPr="004043A1" w:rsidRDefault="004043A1" w:rsidP="00C87FAF">
      <w:pPr>
        <w:autoSpaceDE w:val="0"/>
        <w:autoSpaceDN w:val="0"/>
        <w:adjustRightInd w:val="0"/>
        <w:ind w:left="720" w:hanging="720"/>
        <w:rPr>
          <w:szCs w:val="19"/>
        </w:rPr>
      </w:pPr>
      <w:r w:rsidRPr="004043A1">
        <w:rPr>
          <w:szCs w:val="19"/>
        </w:rPr>
        <w:t>…</w:t>
      </w:r>
    </w:p>
    <w:p w14:paraId="2E052892" w14:textId="77777777" w:rsidR="004043A1" w:rsidRPr="0067049C" w:rsidRDefault="004043A1" w:rsidP="00DF53EA">
      <w:pPr>
        <w:pStyle w:val="IASBNormalnpara"/>
        <w:rPr>
          <w:b/>
          <w:szCs w:val="19"/>
        </w:rPr>
      </w:pPr>
      <w:r w:rsidRPr="0067049C">
        <w:rPr>
          <w:szCs w:val="19"/>
        </w:rPr>
        <w:t>11</w:t>
      </w:r>
      <w:r w:rsidRPr="0067049C">
        <w:rPr>
          <w:szCs w:val="19"/>
        </w:rPr>
        <w:tab/>
      </w:r>
      <w:r w:rsidRPr="0067049C">
        <w:rPr>
          <w:b/>
          <w:strike/>
          <w:szCs w:val="19"/>
        </w:rPr>
        <w:t>Tier 1 reporting requirements shall apply to the general purpose financial statements of the following types of entities</w:t>
      </w:r>
      <w:r w:rsidR="00C40A5B">
        <w:rPr>
          <w:b/>
          <w:strike/>
          <w:szCs w:val="19"/>
        </w:rPr>
        <w:t xml:space="preserve"> </w:t>
      </w:r>
      <w:r w:rsidRPr="0067049C">
        <w:rPr>
          <w:b/>
          <w:szCs w:val="19"/>
          <w:u w:val="single"/>
        </w:rPr>
        <w:t>The following types of entities shall prepare general purpose financial statements that comply with Tier 1 reporting requirements</w:t>
      </w:r>
      <w:r w:rsidRPr="0067049C">
        <w:rPr>
          <w:b/>
          <w:szCs w:val="19"/>
        </w:rPr>
        <w:t>:</w:t>
      </w:r>
    </w:p>
    <w:p w14:paraId="16F22F2D" w14:textId="27D1BCAF" w:rsidR="004043A1" w:rsidRPr="0067049C" w:rsidRDefault="00DF53EA" w:rsidP="00DF53EA">
      <w:pPr>
        <w:pStyle w:val="IASBNormalnparaL1"/>
        <w:rPr>
          <w:b/>
          <w:szCs w:val="19"/>
        </w:rPr>
      </w:pPr>
      <w:r>
        <w:rPr>
          <w:b/>
          <w:szCs w:val="19"/>
        </w:rPr>
        <w:t>(a)</w:t>
      </w:r>
      <w:r>
        <w:rPr>
          <w:b/>
          <w:szCs w:val="19"/>
        </w:rPr>
        <w:tab/>
      </w:r>
      <w:r w:rsidR="004043A1" w:rsidRPr="0067049C">
        <w:rPr>
          <w:b/>
          <w:szCs w:val="19"/>
        </w:rPr>
        <w:t>for-profit private sector entities that have public accountability</w:t>
      </w:r>
      <w:r w:rsidR="004043A1" w:rsidRPr="0067049C">
        <w:rPr>
          <w:b/>
          <w:szCs w:val="19"/>
          <w:u w:val="single"/>
        </w:rPr>
        <w:t xml:space="preserve"> and are required by legislation to comply with Australian Accounting Standards</w:t>
      </w:r>
      <w:r w:rsidR="004043A1" w:rsidRPr="0067049C">
        <w:rPr>
          <w:b/>
          <w:szCs w:val="19"/>
        </w:rPr>
        <w:t>; and</w:t>
      </w:r>
    </w:p>
    <w:p w14:paraId="6408856C" w14:textId="474CCD01" w:rsidR="004043A1" w:rsidRPr="0067049C" w:rsidRDefault="00DF53EA" w:rsidP="00DF53EA">
      <w:pPr>
        <w:pStyle w:val="IASBNormalnparaL1"/>
        <w:rPr>
          <w:b/>
          <w:szCs w:val="19"/>
        </w:rPr>
      </w:pPr>
      <w:r>
        <w:rPr>
          <w:b/>
          <w:szCs w:val="19"/>
        </w:rPr>
        <w:t>(b)</w:t>
      </w:r>
      <w:r>
        <w:rPr>
          <w:b/>
          <w:szCs w:val="19"/>
        </w:rPr>
        <w:tab/>
      </w:r>
      <w:r w:rsidR="004043A1" w:rsidRPr="0067049C">
        <w:rPr>
          <w:b/>
          <w:szCs w:val="19"/>
        </w:rPr>
        <w:t>the Australian Government and State, Territory and Local Governments.</w:t>
      </w:r>
    </w:p>
    <w:p w14:paraId="35F3634A" w14:textId="77777777" w:rsidR="006A3D3A" w:rsidRPr="004043A1" w:rsidRDefault="006A3D3A" w:rsidP="00C87FAF">
      <w:pPr>
        <w:autoSpaceDE w:val="0"/>
        <w:autoSpaceDN w:val="0"/>
        <w:adjustRightInd w:val="0"/>
        <w:spacing w:before="120"/>
        <w:ind w:left="720" w:hanging="720"/>
        <w:rPr>
          <w:szCs w:val="19"/>
        </w:rPr>
      </w:pPr>
      <w:r w:rsidRPr="004043A1">
        <w:rPr>
          <w:szCs w:val="19"/>
        </w:rPr>
        <w:t>…</w:t>
      </w:r>
    </w:p>
    <w:p w14:paraId="5534ECAB" w14:textId="77777777" w:rsidR="00864580" w:rsidRPr="00864580" w:rsidRDefault="00864580" w:rsidP="00C87FAF">
      <w:pPr>
        <w:pStyle w:val="Heading1"/>
        <w:spacing w:before="240" w:after="0"/>
        <w:jc w:val="both"/>
        <w:rPr>
          <w:rFonts w:ascii="Times New Roman" w:hAnsi="Times New Roman" w:cs="Times New Roman"/>
        </w:rPr>
      </w:pPr>
      <w:r w:rsidRPr="00864580">
        <w:rPr>
          <w:rFonts w:ascii="Times New Roman" w:hAnsi="Times New Roman" w:cs="Times New Roman"/>
        </w:rPr>
        <w:t xml:space="preserve">APPENDIX </w:t>
      </w:r>
      <w:r w:rsidR="004043A1" w:rsidRPr="00864580">
        <w:rPr>
          <w:rFonts w:ascii="Times New Roman" w:hAnsi="Times New Roman" w:cs="Times New Roman"/>
        </w:rPr>
        <w:t>A</w:t>
      </w:r>
    </w:p>
    <w:p w14:paraId="6A682D57" w14:textId="77777777" w:rsidR="004043A1" w:rsidRPr="00864580" w:rsidRDefault="00864580" w:rsidP="00C87FAF">
      <w:pPr>
        <w:pStyle w:val="Heading1"/>
        <w:spacing w:before="0" w:after="0"/>
        <w:jc w:val="both"/>
        <w:rPr>
          <w:rFonts w:ascii="Times New Roman" w:hAnsi="Times New Roman" w:cs="Times New Roman"/>
        </w:rPr>
      </w:pPr>
      <w:r w:rsidRPr="00864580">
        <w:rPr>
          <w:rFonts w:ascii="Times New Roman" w:hAnsi="Times New Roman" w:cs="Times New Roman"/>
        </w:rPr>
        <w:t>DEFINED TERMS</w:t>
      </w:r>
    </w:p>
    <w:p w14:paraId="39A05EEA" w14:textId="77777777" w:rsidR="004043A1" w:rsidRPr="004043A1" w:rsidRDefault="004043A1" w:rsidP="00C87FAF">
      <w:pPr>
        <w:autoSpaceDE w:val="0"/>
        <w:autoSpaceDN w:val="0"/>
        <w:adjustRightInd w:val="0"/>
        <w:spacing w:before="120"/>
        <w:ind w:left="720" w:hanging="720"/>
        <w:rPr>
          <w:szCs w:val="19"/>
        </w:rPr>
      </w:pPr>
      <w:r w:rsidRPr="004043A1">
        <w:rPr>
          <w:szCs w:val="19"/>
        </w:rPr>
        <w:t>…</w:t>
      </w:r>
    </w:p>
    <w:p w14:paraId="5AD87216" w14:textId="77777777" w:rsidR="004043A1" w:rsidRPr="004043A1" w:rsidRDefault="004043A1" w:rsidP="00AE63B4">
      <w:pPr>
        <w:pStyle w:val="IASBNormalnparaL1"/>
        <w:rPr>
          <w:bCs/>
          <w:strike/>
          <w:szCs w:val="19"/>
        </w:rPr>
      </w:pPr>
      <w:r w:rsidRPr="004043A1">
        <w:rPr>
          <w:b/>
          <w:bCs/>
          <w:i/>
          <w:szCs w:val="19"/>
        </w:rPr>
        <w:t>Public accountability</w:t>
      </w:r>
      <w:r w:rsidRPr="0087625A">
        <w:rPr>
          <w:bCs/>
          <w:strike/>
          <w:szCs w:val="19"/>
        </w:rPr>
        <w:t xml:space="preserve"> </w:t>
      </w:r>
      <w:r w:rsidRPr="004043A1">
        <w:rPr>
          <w:bCs/>
          <w:strike/>
          <w:szCs w:val="19"/>
        </w:rPr>
        <w:t>means accountability to those existing and potential resource providers and others external to the entity who make economic decisions but are not in a position to demand reports tailored to meet their particular information needs.</w:t>
      </w:r>
    </w:p>
    <w:p w14:paraId="3C9D971A" w14:textId="77777777" w:rsidR="004043A1" w:rsidRPr="004043A1" w:rsidRDefault="004043A1" w:rsidP="00001B26">
      <w:pPr>
        <w:pStyle w:val="IASBNormalnparaL2"/>
      </w:pPr>
      <w:r w:rsidRPr="004043A1">
        <w:rPr>
          <w:strike/>
        </w:rPr>
        <w:t>A for-profit private sector</w:t>
      </w:r>
      <w:r w:rsidRPr="004043A1">
        <w:rPr>
          <w:u w:val="single"/>
        </w:rPr>
        <w:t xml:space="preserve"> – an</w:t>
      </w:r>
      <w:r w:rsidRPr="004043A1">
        <w:t xml:space="preserve"> entity has public accountability if:</w:t>
      </w:r>
    </w:p>
    <w:p w14:paraId="04BA8383" w14:textId="07A5F221" w:rsidR="004043A1" w:rsidRPr="004043A1" w:rsidRDefault="00DF53EA" w:rsidP="00001B26">
      <w:pPr>
        <w:pStyle w:val="IASBNormalnparaL2"/>
      </w:pPr>
      <w:r>
        <w:t>(a)</w:t>
      </w:r>
      <w:r>
        <w:tab/>
      </w:r>
      <w:r w:rsidR="004043A1" w:rsidRPr="004043A1">
        <w:t>its debt or equity instruments are traded in a public market or it is in the process of issuing such instruments for trading in a public market (a domestic or foreign stock exchange or an over-the-counter market, including local and regional markets); or</w:t>
      </w:r>
    </w:p>
    <w:p w14:paraId="0253DB83" w14:textId="0C3C8EA0" w:rsidR="004043A1" w:rsidRPr="004043A1" w:rsidRDefault="00DF53EA" w:rsidP="00001B26">
      <w:pPr>
        <w:pStyle w:val="IASBNormalnparaL2"/>
      </w:pPr>
      <w:r>
        <w:t>(b)</w:t>
      </w:r>
      <w:r>
        <w:tab/>
      </w:r>
      <w:r w:rsidR="004043A1" w:rsidRPr="004043A1">
        <w:t>it holds assets in a fiduciary capacity for a broad group of outsiders as one of its primary businesses</w:t>
      </w:r>
      <w:r w:rsidR="00403EB9" w:rsidRPr="004043A1">
        <w:t xml:space="preserve">.  </w:t>
      </w:r>
      <w:r w:rsidR="004043A1" w:rsidRPr="00001B26">
        <w:rPr>
          <w:strike/>
        </w:rPr>
        <w:t>This is typically the case for banks, credit unions, insurance companies, securities brokers/dealers, mutual funds and investment banks.</w:t>
      </w:r>
    </w:p>
    <w:p w14:paraId="61E70963" w14:textId="77777777" w:rsidR="004043A1" w:rsidRPr="008D0843" w:rsidRDefault="004043A1" w:rsidP="00AE63B4">
      <w:pPr>
        <w:pStyle w:val="IASBNormalnparaL1"/>
        <w:rPr>
          <w:bCs/>
          <w:strike/>
          <w:szCs w:val="19"/>
        </w:rPr>
      </w:pPr>
      <w:r w:rsidRPr="008D0843">
        <w:rPr>
          <w:b/>
          <w:bCs/>
          <w:i/>
          <w:strike/>
          <w:szCs w:val="19"/>
        </w:rPr>
        <w:t>Reporting entity</w:t>
      </w:r>
      <w:r w:rsidRPr="008D0843">
        <w:rPr>
          <w:bCs/>
          <w:strike/>
          <w:szCs w:val="19"/>
        </w:rPr>
        <w:t xml:space="preserve"> means an entity in respect of which it is reasonable to expect the existence of users who rely on the entity’s general purpose financial statements for information that will be useful to them for making and evaluating decisions about the allocation of resources</w:t>
      </w:r>
      <w:r w:rsidR="00403EB9" w:rsidRPr="008D0843">
        <w:rPr>
          <w:bCs/>
          <w:strike/>
          <w:szCs w:val="19"/>
        </w:rPr>
        <w:t xml:space="preserve">.  </w:t>
      </w:r>
      <w:r w:rsidRPr="008D0843">
        <w:rPr>
          <w:bCs/>
          <w:strike/>
          <w:szCs w:val="19"/>
        </w:rPr>
        <w:t>A reporting entity can be a single entity or a group comprising a parent and all of its subsidiaries.</w:t>
      </w:r>
    </w:p>
    <w:p w14:paraId="775FFA1F" w14:textId="77777777" w:rsidR="004043A1" w:rsidRPr="00864580" w:rsidRDefault="00864580" w:rsidP="00C87FAF">
      <w:pPr>
        <w:pStyle w:val="Heading1"/>
        <w:spacing w:before="240" w:after="0"/>
        <w:jc w:val="both"/>
        <w:rPr>
          <w:rFonts w:ascii="Times New Roman" w:hAnsi="Times New Roman" w:cs="Times New Roman"/>
        </w:rPr>
      </w:pPr>
      <w:r>
        <w:rPr>
          <w:rFonts w:ascii="Times New Roman" w:hAnsi="Times New Roman" w:cs="Times New Roman"/>
        </w:rPr>
        <w:t xml:space="preserve">APPENDIX </w:t>
      </w:r>
      <w:r w:rsidR="004043A1" w:rsidRPr="00864580">
        <w:rPr>
          <w:rFonts w:ascii="Times New Roman" w:hAnsi="Times New Roman" w:cs="Times New Roman"/>
        </w:rPr>
        <w:t>B</w:t>
      </w:r>
    </w:p>
    <w:p w14:paraId="380B6B54" w14:textId="77777777" w:rsidR="004043A1" w:rsidRPr="00864580" w:rsidRDefault="00864580" w:rsidP="00C87FAF">
      <w:pPr>
        <w:pStyle w:val="Heading1"/>
        <w:spacing w:before="0" w:after="0"/>
        <w:jc w:val="both"/>
        <w:rPr>
          <w:rFonts w:ascii="Times New Roman" w:hAnsi="Times New Roman" w:cs="Times New Roman"/>
        </w:rPr>
      </w:pPr>
      <w:r>
        <w:rPr>
          <w:rFonts w:ascii="Times New Roman" w:hAnsi="Times New Roman" w:cs="Times New Roman"/>
        </w:rPr>
        <w:t>PUBLIC ACCOUNTABILITY</w:t>
      </w:r>
    </w:p>
    <w:p w14:paraId="292136EE" w14:textId="77777777" w:rsidR="004043A1" w:rsidRPr="004043A1" w:rsidRDefault="004043A1" w:rsidP="00C87FAF">
      <w:pPr>
        <w:pStyle w:val="Default"/>
        <w:spacing w:before="120"/>
        <w:ind w:left="992" w:hanging="992"/>
        <w:jc w:val="both"/>
        <w:rPr>
          <w:bCs/>
          <w:color w:val="auto"/>
          <w:sz w:val="19"/>
          <w:szCs w:val="19"/>
        </w:rPr>
      </w:pPr>
      <w:r w:rsidRPr="004043A1">
        <w:rPr>
          <w:bCs/>
          <w:color w:val="auto"/>
          <w:sz w:val="19"/>
          <w:szCs w:val="19"/>
        </w:rPr>
        <w:t>…</w:t>
      </w:r>
    </w:p>
    <w:p w14:paraId="46CC31F7" w14:textId="77777777" w:rsidR="004043A1" w:rsidRDefault="004043A1" w:rsidP="00DF53EA">
      <w:pPr>
        <w:pStyle w:val="IASBNormalnpara"/>
        <w:rPr>
          <w:bCs/>
          <w:szCs w:val="19"/>
          <w:u w:val="single"/>
        </w:rPr>
      </w:pPr>
      <w:r w:rsidRPr="004043A1">
        <w:rPr>
          <w:bCs/>
          <w:szCs w:val="19"/>
          <w:u w:val="single"/>
        </w:rPr>
        <w:t>B3</w:t>
      </w:r>
      <w:r w:rsidRPr="004043A1">
        <w:rPr>
          <w:bCs/>
          <w:szCs w:val="19"/>
        </w:rPr>
        <w:t xml:space="preserve"> </w:t>
      </w:r>
      <w:r w:rsidRPr="004043A1">
        <w:rPr>
          <w:bCs/>
          <w:szCs w:val="19"/>
        </w:rPr>
        <w:tab/>
      </w:r>
      <w:r w:rsidRPr="004043A1">
        <w:rPr>
          <w:bCs/>
          <w:szCs w:val="19"/>
          <w:u w:val="single"/>
        </w:rPr>
        <w:t>Some entities may also hold assets in a fiduciary capacity for a broad group of outsiders because they hold and manage financial resources entrusted to them by clients, customers or members not involved in the management of the entity</w:t>
      </w:r>
      <w:r w:rsidR="00403EB9" w:rsidRPr="004043A1">
        <w:rPr>
          <w:bCs/>
          <w:szCs w:val="19"/>
          <w:u w:val="single"/>
        </w:rPr>
        <w:t xml:space="preserve">.  </w:t>
      </w:r>
      <w:r w:rsidRPr="004043A1">
        <w:rPr>
          <w:bCs/>
          <w:szCs w:val="19"/>
          <w:u w:val="single"/>
        </w:rPr>
        <w:t>However, if they do so for reasons incidental to a primary business (as, for example, may be the case for travel or real estate agents, schools, charitable organisations, co-operative enterprises requiring a nominal membership deposit and sellers that receive payment in advance of delivery of the goods or services such as utility companies), that does not make them publicly accountable.</w:t>
      </w:r>
    </w:p>
    <w:p w14:paraId="4B845292" w14:textId="77777777" w:rsidR="004043A1" w:rsidRPr="0067049C" w:rsidRDefault="004043A1" w:rsidP="00DF53EA">
      <w:pPr>
        <w:pStyle w:val="IASBNormalnpara"/>
        <w:rPr>
          <w:szCs w:val="19"/>
          <w:u w:val="single"/>
        </w:rPr>
      </w:pPr>
      <w:r w:rsidRPr="004043A1">
        <w:rPr>
          <w:bCs/>
          <w:szCs w:val="19"/>
          <w:u w:val="single"/>
        </w:rPr>
        <w:t>B4</w:t>
      </w:r>
      <w:r w:rsidRPr="004043A1">
        <w:rPr>
          <w:bCs/>
          <w:szCs w:val="19"/>
        </w:rPr>
        <w:t xml:space="preserve"> </w:t>
      </w:r>
      <w:r w:rsidRPr="004043A1">
        <w:rPr>
          <w:bCs/>
          <w:szCs w:val="19"/>
        </w:rPr>
        <w:tab/>
      </w:r>
      <w:r w:rsidRPr="004043A1">
        <w:rPr>
          <w:bCs/>
          <w:szCs w:val="19"/>
          <w:u w:val="single"/>
        </w:rPr>
        <w:t>Examples of entities that hold assets in a fiduciary capacity for a broad group of outsiders as one of its primary businesses are most likely to include banks, credit unions, insurance companies,</w:t>
      </w:r>
      <w:r w:rsidRPr="0067049C">
        <w:rPr>
          <w:szCs w:val="19"/>
          <w:u w:val="single"/>
        </w:rPr>
        <w:t xml:space="preserve"> securities brokers/dealers, mutual funds and investment banks.</w:t>
      </w:r>
    </w:p>
    <w:p w14:paraId="2E6076A5" w14:textId="77777777" w:rsidR="003A66C5" w:rsidRDefault="003A66C5" w:rsidP="00C87FAF">
      <w:pPr>
        <w:pStyle w:val="Heading2"/>
        <w:jc w:val="both"/>
      </w:pPr>
      <w:r>
        <w:t>Amendments to AASB 1054</w:t>
      </w:r>
    </w:p>
    <w:p w14:paraId="45B455FB" w14:textId="77777777" w:rsidR="004043A1" w:rsidRPr="005D4D36" w:rsidRDefault="004043A1"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4043A1">
        <w:rPr>
          <w:bCs/>
          <w:szCs w:val="19"/>
        </w:rPr>
        <w:t xml:space="preserve">Paragraph </w:t>
      </w:r>
      <w:r w:rsidR="00D75941">
        <w:rPr>
          <w:bCs/>
          <w:szCs w:val="19"/>
        </w:rPr>
        <w:t>2 is deleted</w:t>
      </w:r>
      <w:r w:rsidRPr="004043A1">
        <w:rPr>
          <w:bCs/>
          <w:szCs w:val="19"/>
        </w:rPr>
        <w:t>.</w:t>
      </w:r>
      <w:r w:rsidR="00D75941">
        <w:rPr>
          <w:bCs/>
          <w:szCs w:val="19"/>
        </w:rPr>
        <w:t xml:space="preserve">  (The application of AASB 1054 to entities and financial statements is set out in AASB</w:t>
      </w:r>
      <w:r w:rsidR="00B2123A">
        <w:rPr>
          <w:bCs/>
          <w:szCs w:val="19"/>
        </w:rPr>
        <w:t> </w:t>
      </w:r>
      <w:r w:rsidR="00D75941" w:rsidRPr="00332BFC">
        <w:rPr>
          <w:bCs/>
          <w:szCs w:val="19"/>
        </w:rPr>
        <w:t>1057</w:t>
      </w:r>
      <w:r w:rsidR="00D75941" w:rsidRPr="00BB71D3">
        <w:rPr>
          <w:bCs/>
          <w:i/>
          <w:szCs w:val="19"/>
        </w:rPr>
        <w:t xml:space="preserve"> Application of Australian Accounting Standards</w:t>
      </w:r>
      <w:r w:rsidR="00D75941">
        <w:rPr>
          <w:bCs/>
          <w:szCs w:val="19"/>
        </w:rPr>
        <w:t>.)</w:t>
      </w:r>
    </w:p>
    <w:p w14:paraId="3253674F" w14:textId="77777777" w:rsidR="004043A1" w:rsidRPr="00864580" w:rsidRDefault="009C1D61" w:rsidP="00001B26">
      <w:pPr>
        <w:pStyle w:val="Heading1"/>
        <w:spacing w:before="240"/>
        <w:jc w:val="both"/>
        <w:rPr>
          <w:rFonts w:ascii="Times New Roman" w:hAnsi="Times New Roman" w:cs="Times New Roman"/>
        </w:rPr>
      </w:pPr>
      <w:r>
        <w:rPr>
          <w:rFonts w:ascii="Times New Roman" w:hAnsi="Times New Roman" w:cs="Times New Roman"/>
        </w:rPr>
        <w:t>Application</w:t>
      </w:r>
    </w:p>
    <w:p w14:paraId="44AF1578" w14:textId="13191657" w:rsidR="009C1D61" w:rsidRPr="00BB71D3" w:rsidRDefault="009C1D61" w:rsidP="00DD1016">
      <w:pPr>
        <w:pStyle w:val="IASBNormalnpara"/>
        <w:rPr>
          <w:strike/>
          <w:szCs w:val="19"/>
        </w:rPr>
      </w:pPr>
      <w:r w:rsidRPr="00BB71D3">
        <w:rPr>
          <w:szCs w:val="19"/>
        </w:rPr>
        <w:t>2</w:t>
      </w:r>
      <w:r w:rsidR="00FE115A" w:rsidRPr="00BB71D3">
        <w:rPr>
          <w:szCs w:val="19"/>
        </w:rPr>
        <w:tab/>
      </w:r>
      <w:r w:rsidRPr="00BB71D3">
        <w:rPr>
          <w:szCs w:val="19"/>
          <w:u w:val="single"/>
        </w:rPr>
        <w:t>[Deleted by the AASB]</w:t>
      </w:r>
      <w:r w:rsidR="00C43909" w:rsidRPr="00C43909">
        <w:rPr>
          <w:szCs w:val="19"/>
        </w:rPr>
        <w:t xml:space="preserve"> </w:t>
      </w:r>
      <w:r w:rsidRPr="00BB71D3">
        <w:rPr>
          <w:strike/>
          <w:szCs w:val="19"/>
        </w:rPr>
        <w:t>This Standard applies to:</w:t>
      </w:r>
    </w:p>
    <w:p w14:paraId="0BD77949" w14:textId="73F21680" w:rsidR="009C1D61" w:rsidRPr="00BB71D3" w:rsidRDefault="00DD1016" w:rsidP="00DD1016">
      <w:pPr>
        <w:pStyle w:val="IASBNormalnparaL1"/>
        <w:rPr>
          <w:strike/>
          <w:szCs w:val="19"/>
        </w:rPr>
      </w:pPr>
      <w:r>
        <w:rPr>
          <w:strike/>
          <w:szCs w:val="19"/>
        </w:rPr>
        <w:t>(a)</w:t>
      </w:r>
      <w:r>
        <w:rPr>
          <w:strike/>
          <w:szCs w:val="19"/>
        </w:rPr>
        <w:tab/>
      </w:r>
      <w:r w:rsidR="009C1D61" w:rsidRPr="00BB71D3">
        <w:rPr>
          <w:strike/>
          <w:szCs w:val="19"/>
        </w:rPr>
        <w:t>each entity that is required to prepare financial reports in accordance with Part 2M.3 of the Corporations Act;</w:t>
      </w:r>
    </w:p>
    <w:p w14:paraId="64548D14" w14:textId="05314E32" w:rsidR="009C1D61" w:rsidRPr="00BB71D3" w:rsidRDefault="00DD1016" w:rsidP="00DD1016">
      <w:pPr>
        <w:pStyle w:val="IASBNormalnparaL1"/>
        <w:rPr>
          <w:strike/>
          <w:szCs w:val="19"/>
        </w:rPr>
      </w:pPr>
      <w:r>
        <w:rPr>
          <w:strike/>
          <w:szCs w:val="19"/>
        </w:rPr>
        <w:t>(b)</w:t>
      </w:r>
      <w:r>
        <w:rPr>
          <w:strike/>
          <w:szCs w:val="19"/>
        </w:rPr>
        <w:tab/>
      </w:r>
      <w:r w:rsidR="009C1D61" w:rsidRPr="00BB71D3">
        <w:rPr>
          <w:strike/>
          <w:szCs w:val="19"/>
        </w:rPr>
        <w:t>general purpose financial statements of each reporting entity; and</w:t>
      </w:r>
    </w:p>
    <w:p w14:paraId="1AB534E0" w14:textId="235B3EC3" w:rsidR="00FE115A" w:rsidRPr="00AA33CA" w:rsidRDefault="00DD1016" w:rsidP="00DD1016">
      <w:pPr>
        <w:pStyle w:val="IASBNormalnparaL1"/>
        <w:rPr>
          <w:strike/>
          <w:szCs w:val="19"/>
          <w:u w:val="single"/>
        </w:rPr>
      </w:pPr>
      <w:r>
        <w:rPr>
          <w:strike/>
          <w:szCs w:val="19"/>
        </w:rPr>
        <w:t>(c)</w:t>
      </w:r>
      <w:r>
        <w:rPr>
          <w:strike/>
          <w:szCs w:val="19"/>
        </w:rPr>
        <w:tab/>
      </w:r>
      <w:r w:rsidR="009C1D61" w:rsidRPr="00AA33CA">
        <w:rPr>
          <w:strike/>
          <w:szCs w:val="19"/>
        </w:rPr>
        <w:t>financial statements that are, or are held out to be, general purpose financial statements.</w:t>
      </w:r>
    </w:p>
    <w:p w14:paraId="34BA2B79" w14:textId="77777777" w:rsidR="003A66C5" w:rsidRDefault="003A66C5" w:rsidP="00C87FAF">
      <w:pPr>
        <w:pStyle w:val="Heading2"/>
        <w:jc w:val="both"/>
      </w:pPr>
      <w:r>
        <w:t>Amendments to AASB 1055</w:t>
      </w:r>
    </w:p>
    <w:p w14:paraId="6522A057" w14:textId="77777777" w:rsidR="00F74AE3" w:rsidRPr="00F74AE3" w:rsidRDefault="00F74AE3"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F74AE3">
        <w:rPr>
          <w:bCs/>
          <w:szCs w:val="19"/>
        </w:rPr>
        <w:t xml:space="preserve">Paragraph </w:t>
      </w:r>
      <w:r w:rsidR="005D4D36">
        <w:rPr>
          <w:bCs/>
          <w:szCs w:val="19"/>
        </w:rPr>
        <w:t>2 is deleted</w:t>
      </w:r>
      <w:r w:rsidRPr="00F74AE3">
        <w:rPr>
          <w:bCs/>
          <w:szCs w:val="19"/>
        </w:rPr>
        <w:t>.</w:t>
      </w:r>
      <w:r w:rsidR="005D4D36">
        <w:rPr>
          <w:bCs/>
          <w:szCs w:val="19"/>
        </w:rPr>
        <w:t xml:space="preserve">  (The application of AASB 105</w:t>
      </w:r>
      <w:r w:rsidR="002F442C">
        <w:rPr>
          <w:bCs/>
          <w:szCs w:val="19"/>
        </w:rPr>
        <w:t>5</w:t>
      </w:r>
      <w:r w:rsidR="005D4D36">
        <w:rPr>
          <w:bCs/>
          <w:szCs w:val="19"/>
        </w:rPr>
        <w:t xml:space="preserve"> to entities and financial statements is set out in AASB</w:t>
      </w:r>
      <w:r w:rsidR="00B2123A">
        <w:rPr>
          <w:bCs/>
          <w:szCs w:val="19"/>
        </w:rPr>
        <w:t> </w:t>
      </w:r>
      <w:r w:rsidR="005D4D36" w:rsidRPr="00332BFC">
        <w:rPr>
          <w:bCs/>
          <w:szCs w:val="19"/>
        </w:rPr>
        <w:t>1057</w:t>
      </w:r>
      <w:r w:rsidR="005D4D36" w:rsidRPr="00564CD5">
        <w:rPr>
          <w:bCs/>
          <w:i/>
          <w:szCs w:val="19"/>
        </w:rPr>
        <w:t xml:space="preserve"> Application of Australian Accounting Standards</w:t>
      </w:r>
      <w:r w:rsidR="005D4D36">
        <w:rPr>
          <w:bCs/>
          <w:szCs w:val="19"/>
        </w:rPr>
        <w:t>.)</w:t>
      </w:r>
    </w:p>
    <w:p w14:paraId="7C6E0C35" w14:textId="77777777" w:rsidR="00F74AE3" w:rsidRPr="00864580" w:rsidRDefault="005D4D36" w:rsidP="00001B26">
      <w:pPr>
        <w:pStyle w:val="Heading1"/>
        <w:spacing w:before="240"/>
        <w:jc w:val="both"/>
        <w:rPr>
          <w:rFonts w:ascii="Times New Roman" w:hAnsi="Times New Roman" w:cs="Times New Roman"/>
        </w:rPr>
      </w:pPr>
      <w:r>
        <w:rPr>
          <w:rFonts w:ascii="Times New Roman" w:hAnsi="Times New Roman" w:cs="Times New Roman"/>
        </w:rPr>
        <w:t>Application and Scope</w:t>
      </w:r>
    </w:p>
    <w:p w14:paraId="24D74EF5" w14:textId="447AD0F6" w:rsidR="005D4D36" w:rsidRPr="00BB71D3" w:rsidRDefault="005D4D36" w:rsidP="00DD1016">
      <w:pPr>
        <w:pStyle w:val="IASBNormalnpara"/>
        <w:rPr>
          <w:szCs w:val="19"/>
        </w:rPr>
      </w:pPr>
      <w:r>
        <w:rPr>
          <w:szCs w:val="19"/>
        </w:rPr>
        <w:t>2</w:t>
      </w:r>
      <w:r>
        <w:rPr>
          <w:szCs w:val="19"/>
        </w:rPr>
        <w:tab/>
      </w:r>
      <w:r w:rsidRPr="00BB71D3">
        <w:rPr>
          <w:szCs w:val="19"/>
          <w:u w:val="single"/>
        </w:rPr>
        <w:t>[Deleted by the AASB]</w:t>
      </w:r>
      <w:r w:rsidR="00C43909">
        <w:rPr>
          <w:szCs w:val="19"/>
        </w:rPr>
        <w:t xml:space="preserve"> </w:t>
      </w:r>
      <w:r w:rsidRPr="00BB71D3">
        <w:rPr>
          <w:strike/>
          <w:szCs w:val="19"/>
        </w:rPr>
        <w:t>This Standard applies to:</w:t>
      </w:r>
    </w:p>
    <w:p w14:paraId="72FCD0A9" w14:textId="5BA022D5" w:rsidR="005D4D36" w:rsidRPr="00BB71D3" w:rsidRDefault="00DD1016" w:rsidP="00DD1016">
      <w:pPr>
        <w:pStyle w:val="IASBNormalnparaL1"/>
        <w:rPr>
          <w:strike/>
          <w:szCs w:val="19"/>
        </w:rPr>
      </w:pPr>
      <w:r>
        <w:rPr>
          <w:strike/>
          <w:szCs w:val="19"/>
        </w:rPr>
        <w:t>(a)</w:t>
      </w:r>
      <w:r>
        <w:rPr>
          <w:strike/>
          <w:szCs w:val="19"/>
        </w:rPr>
        <w:tab/>
      </w:r>
      <w:r w:rsidR="005D4D36" w:rsidRPr="00BB71D3">
        <w:rPr>
          <w:strike/>
          <w:szCs w:val="19"/>
        </w:rPr>
        <w:t xml:space="preserve">whole of government general purpose financial statements of each government; </w:t>
      </w:r>
    </w:p>
    <w:p w14:paraId="67DDE46B" w14:textId="1DD6BA6E" w:rsidR="005D4D36" w:rsidRPr="00BB71D3" w:rsidRDefault="00DD1016" w:rsidP="00DD1016">
      <w:pPr>
        <w:pStyle w:val="IASBNormalnparaL1"/>
        <w:rPr>
          <w:strike/>
          <w:szCs w:val="19"/>
        </w:rPr>
      </w:pPr>
      <w:r>
        <w:rPr>
          <w:strike/>
          <w:szCs w:val="19"/>
        </w:rPr>
        <w:t>(b)</w:t>
      </w:r>
      <w:r>
        <w:rPr>
          <w:strike/>
          <w:szCs w:val="19"/>
        </w:rPr>
        <w:tab/>
      </w:r>
      <w:r w:rsidR="005D4D36" w:rsidRPr="00BB71D3">
        <w:rPr>
          <w:strike/>
          <w:szCs w:val="19"/>
        </w:rPr>
        <w:t xml:space="preserve">financial statements of each government’s GGS; </w:t>
      </w:r>
    </w:p>
    <w:p w14:paraId="4690D4FB" w14:textId="56DB6E4A" w:rsidR="005D4D36" w:rsidRPr="00BB71D3" w:rsidRDefault="00DD1016" w:rsidP="00DD1016">
      <w:pPr>
        <w:pStyle w:val="IASBNormalnparaL1"/>
        <w:rPr>
          <w:strike/>
          <w:szCs w:val="19"/>
        </w:rPr>
      </w:pPr>
      <w:r>
        <w:rPr>
          <w:strike/>
          <w:szCs w:val="19"/>
        </w:rPr>
        <w:t>(c)</w:t>
      </w:r>
      <w:r>
        <w:rPr>
          <w:strike/>
          <w:szCs w:val="19"/>
        </w:rPr>
        <w:tab/>
      </w:r>
      <w:r w:rsidR="005D4D36" w:rsidRPr="00BB71D3">
        <w:rPr>
          <w:strike/>
          <w:szCs w:val="19"/>
        </w:rPr>
        <w:t xml:space="preserve">general purpose financial statements of each not-for-profit reporting entity within the GGS; and </w:t>
      </w:r>
    </w:p>
    <w:p w14:paraId="3D47818B" w14:textId="26261CE9" w:rsidR="00FE115A" w:rsidRPr="00BB71D3" w:rsidRDefault="00DD1016" w:rsidP="00DD1016">
      <w:pPr>
        <w:pStyle w:val="IASBNormalnparaL1"/>
        <w:rPr>
          <w:strike/>
          <w:szCs w:val="19"/>
        </w:rPr>
      </w:pPr>
      <w:r>
        <w:rPr>
          <w:strike/>
          <w:szCs w:val="19"/>
        </w:rPr>
        <w:t>(d)</w:t>
      </w:r>
      <w:r>
        <w:rPr>
          <w:strike/>
          <w:szCs w:val="19"/>
        </w:rPr>
        <w:tab/>
      </w:r>
      <w:r w:rsidR="005D4D36" w:rsidRPr="00BB71D3">
        <w:rPr>
          <w:strike/>
          <w:szCs w:val="19"/>
        </w:rPr>
        <w:t>financial statements of each not-for-profit entity within the GGS that are, or are held out to be, general purpose financial statements.</w:t>
      </w:r>
    </w:p>
    <w:p w14:paraId="7B417B99" w14:textId="77777777" w:rsidR="003A66C5" w:rsidRDefault="003A66C5" w:rsidP="00C87FAF">
      <w:pPr>
        <w:pStyle w:val="Heading2"/>
        <w:jc w:val="both"/>
      </w:pPr>
      <w:r>
        <w:t>Amendments to AASB 1056</w:t>
      </w:r>
    </w:p>
    <w:p w14:paraId="1A2F8F13" w14:textId="77777777" w:rsidR="00F74AE3" w:rsidRPr="00F74AE3" w:rsidRDefault="00F74AE3"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F74AE3">
        <w:rPr>
          <w:bCs/>
          <w:szCs w:val="19"/>
        </w:rPr>
        <w:t>Paragraphs AusCF1, AusCF18 and AusCFAG28 are added.</w:t>
      </w:r>
      <w:r w:rsidR="00DA2F37">
        <w:rPr>
          <w:bCs/>
          <w:szCs w:val="19"/>
        </w:rPr>
        <w:t xml:space="preserve">  Par</w:t>
      </w:r>
      <w:r w:rsidR="00AA33CA">
        <w:rPr>
          <w:bCs/>
          <w:szCs w:val="19"/>
        </w:rPr>
        <w:t>agraphs 18 and AG28 are amended.</w:t>
      </w:r>
    </w:p>
    <w:p w14:paraId="2D90945C" w14:textId="77777777" w:rsidR="00F74AE3" w:rsidRPr="00864580" w:rsidRDefault="00F74AE3" w:rsidP="00C87FAF">
      <w:pPr>
        <w:pStyle w:val="Heading1"/>
        <w:spacing w:before="240"/>
        <w:jc w:val="both"/>
        <w:rPr>
          <w:rFonts w:ascii="Times New Roman" w:hAnsi="Times New Roman" w:cs="Times New Roman"/>
        </w:rPr>
      </w:pPr>
      <w:r w:rsidRPr="00864580">
        <w:rPr>
          <w:rFonts w:ascii="Times New Roman" w:hAnsi="Times New Roman" w:cs="Times New Roman"/>
        </w:rPr>
        <w:t>Objective</w:t>
      </w:r>
    </w:p>
    <w:p w14:paraId="1E9859B4" w14:textId="77777777" w:rsidR="00F74AE3" w:rsidRPr="00F74AE3" w:rsidRDefault="00F74AE3" w:rsidP="00C87FAF">
      <w:pPr>
        <w:autoSpaceDE w:val="0"/>
        <w:autoSpaceDN w:val="0"/>
        <w:adjustRightInd w:val="0"/>
        <w:rPr>
          <w:szCs w:val="19"/>
        </w:rPr>
      </w:pPr>
      <w:r w:rsidRPr="00F74AE3">
        <w:rPr>
          <w:szCs w:val="19"/>
        </w:rPr>
        <w:t>…</w:t>
      </w:r>
    </w:p>
    <w:p w14:paraId="41EE3945" w14:textId="4D8F01CB" w:rsidR="00FE115A" w:rsidRPr="0067049C" w:rsidRDefault="00FE115A" w:rsidP="00DD1016">
      <w:pPr>
        <w:pStyle w:val="IASBNormalnpara"/>
        <w:rPr>
          <w:szCs w:val="19"/>
          <w:u w:val="single"/>
        </w:rPr>
      </w:pPr>
      <w:r w:rsidRPr="0067049C">
        <w:rPr>
          <w:szCs w:val="19"/>
          <w:u w:val="single"/>
        </w:rPr>
        <w:t>AusCF1</w:t>
      </w:r>
      <w:r w:rsidRPr="0067049C">
        <w:rPr>
          <w:szCs w:val="19"/>
        </w:rPr>
        <w:tab/>
      </w:r>
      <w:r w:rsidRPr="0067049C">
        <w:rPr>
          <w:szCs w:val="19"/>
          <w:u w:val="single"/>
        </w:rPr>
        <w:t>AusCF paragraphs included in this Standard apply only to:</w:t>
      </w:r>
    </w:p>
    <w:p w14:paraId="6B17E335" w14:textId="1BE0BA24" w:rsidR="00FE115A" w:rsidRPr="0067049C" w:rsidRDefault="00DD1016" w:rsidP="00DD1016">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0E744B9D" w14:textId="7D2DA268" w:rsidR="00FE115A" w:rsidRPr="0067049C" w:rsidRDefault="00DD1016" w:rsidP="00DD1016">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FE115A" w:rsidRPr="0067049C">
        <w:rPr>
          <w:szCs w:val="19"/>
          <w:u w:val="single"/>
        </w:rPr>
        <w:t xml:space="preserve">.  </w:t>
      </w:r>
    </w:p>
    <w:p w14:paraId="1E85741E" w14:textId="5B04D73B" w:rsidR="00FE115A" w:rsidRPr="0067049C" w:rsidRDefault="00FE115A" w:rsidP="00DD1016">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w:t>
      </w:r>
    </w:p>
    <w:p w14:paraId="00C47194" w14:textId="77777777" w:rsidR="00F74AE3" w:rsidRPr="0067049C" w:rsidRDefault="00F74AE3" w:rsidP="00C87FAF">
      <w:pPr>
        <w:pStyle w:val="Default"/>
        <w:jc w:val="both"/>
        <w:rPr>
          <w:color w:val="auto"/>
          <w:sz w:val="19"/>
          <w:szCs w:val="19"/>
        </w:rPr>
      </w:pPr>
      <w:r w:rsidRPr="0067049C">
        <w:rPr>
          <w:color w:val="auto"/>
          <w:sz w:val="19"/>
          <w:szCs w:val="19"/>
        </w:rPr>
        <w:t>…</w:t>
      </w:r>
    </w:p>
    <w:p w14:paraId="0B45E39B" w14:textId="77777777" w:rsidR="00F74AE3" w:rsidRPr="00D80C39" w:rsidRDefault="00F74AE3" w:rsidP="00C87FAF">
      <w:pPr>
        <w:pStyle w:val="Heading1"/>
        <w:spacing w:before="240" w:after="0"/>
        <w:jc w:val="both"/>
        <w:rPr>
          <w:rFonts w:ascii="Times New Roman" w:hAnsi="Times New Roman" w:cs="Times New Roman"/>
        </w:rPr>
      </w:pPr>
      <w:r w:rsidRPr="00D80C39">
        <w:rPr>
          <w:rFonts w:ascii="Times New Roman" w:hAnsi="Times New Roman" w:cs="Times New Roman"/>
        </w:rPr>
        <w:t>Employer-sponsor receivables</w:t>
      </w:r>
    </w:p>
    <w:p w14:paraId="13396490" w14:textId="77777777" w:rsidR="00F74AE3" w:rsidRPr="00D80C39" w:rsidRDefault="00F74AE3" w:rsidP="00C87FAF">
      <w:pPr>
        <w:pStyle w:val="Heading1"/>
        <w:spacing w:before="240"/>
        <w:jc w:val="both"/>
        <w:rPr>
          <w:rFonts w:ascii="Times New Roman" w:hAnsi="Times New Roman" w:cs="Times New Roman"/>
          <w:sz w:val="24"/>
        </w:rPr>
      </w:pPr>
      <w:r w:rsidRPr="00D80C39">
        <w:rPr>
          <w:rFonts w:ascii="Times New Roman" w:hAnsi="Times New Roman" w:cs="Times New Roman"/>
          <w:sz w:val="24"/>
        </w:rPr>
        <w:t>Recognition</w:t>
      </w:r>
    </w:p>
    <w:p w14:paraId="1BD3B095" w14:textId="77777777" w:rsidR="00234868" w:rsidRPr="0067049C" w:rsidRDefault="00332BFC" w:rsidP="00DD1016">
      <w:pPr>
        <w:pStyle w:val="IASBNormalnpara"/>
        <w:rPr>
          <w:b/>
          <w:szCs w:val="19"/>
        </w:rPr>
      </w:pPr>
      <w:r>
        <w:rPr>
          <w:b/>
          <w:szCs w:val="19"/>
        </w:rPr>
        <w:t>18</w:t>
      </w:r>
      <w:r w:rsidR="00234868" w:rsidRPr="0067049C">
        <w:rPr>
          <w:b/>
          <w:szCs w:val="19"/>
        </w:rPr>
        <w:tab/>
        <w:t xml:space="preserve">An asset relating to an employer-sponsor receivable shall be recognised to the extent there is a difference between a defined benefit member liability and the fair value of assets available to meet that liability that meets the definition and recognition criteria for an asset in the </w:t>
      </w:r>
      <w:r w:rsidR="00234868" w:rsidRPr="0067049C">
        <w:rPr>
          <w:b/>
          <w:i/>
          <w:strike/>
          <w:szCs w:val="19"/>
        </w:rPr>
        <w:t>Framework for the Preparation and Presentation of Financial Statements</w:t>
      </w:r>
      <w:r>
        <w:rPr>
          <w:b/>
          <w:i/>
          <w:strike/>
          <w:szCs w:val="19"/>
        </w:rPr>
        <w:t xml:space="preserve"> </w:t>
      </w:r>
      <w:r w:rsidR="00234868" w:rsidRPr="0067049C">
        <w:rPr>
          <w:b/>
          <w:i/>
          <w:szCs w:val="19"/>
          <w:u w:val="single"/>
        </w:rPr>
        <w:t>Conceptual Framework for Financial Reporting</w:t>
      </w:r>
      <w:r w:rsidR="006A3D3A">
        <w:rPr>
          <w:b/>
          <w:szCs w:val="19"/>
          <w:u w:val="single"/>
        </w:rPr>
        <w:t xml:space="preserve"> (as identified in AASB 1048 </w:t>
      </w:r>
      <w:r w:rsidR="006A3D3A" w:rsidRPr="006A3D3A">
        <w:rPr>
          <w:b/>
          <w:i/>
          <w:szCs w:val="19"/>
          <w:u w:val="single"/>
        </w:rPr>
        <w:t>Interpretation of Standards</w:t>
      </w:r>
      <w:r w:rsidR="006A3D3A">
        <w:rPr>
          <w:b/>
          <w:szCs w:val="19"/>
          <w:u w:val="single"/>
        </w:rPr>
        <w:t>)</w:t>
      </w:r>
      <w:r w:rsidR="00234868" w:rsidRPr="0067049C">
        <w:rPr>
          <w:b/>
          <w:szCs w:val="19"/>
        </w:rPr>
        <w:t xml:space="preserve">. </w:t>
      </w:r>
    </w:p>
    <w:p w14:paraId="2007C923" w14:textId="77777777" w:rsidR="00F74AE3" w:rsidRPr="0067049C" w:rsidRDefault="00F74AE3" w:rsidP="00DD1016">
      <w:pPr>
        <w:pStyle w:val="IASBNormalnpara"/>
        <w:rPr>
          <w:szCs w:val="19"/>
        </w:rPr>
      </w:pPr>
      <w:r w:rsidRPr="0067049C">
        <w:rPr>
          <w:b/>
          <w:szCs w:val="19"/>
          <w:u w:val="single"/>
        </w:rPr>
        <w:t>AusCF18</w:t>
      </w:r>
      <w:r w:rsidRPr="0067049C">
        <w:rPr>
          <w:b/>
          <w:szCs w:val="19"/>
        </w:rPr>
        <w:tab/>
      </w:r>
      <w:r w:rsidR="00AA33CA" w:rsidRPr="00AA33CA">
        <w:rPr>
          <w:b/>
          <w:szCs w:val="19"/>
          <w:u w:val="single"/>
        </w:rPr>
        <w:t xml:space="preserve">Notwithstanding paragraph </w:t>
      </w:r>
      <w:r w:rsidR="00AA33CA">
        <w:rPr>
          <w:b/>
          <w:szCs w:val="19"/>
          <w:u w:val="single"/>
        </w:rPr>
        <w:t>18</w:t>
      </w:r>
      <w:r w:rsidR="00AA33CA" w:rsidRPr="00AA33CA">
        <w:rPr>
          <w:b/>
          <w:szCs w:val="19"/>
          <w:u w:val="single"/>
        </w:rPr>
        <w:t xml:space="preserve">, in respect of AusCF entities, </w:t>
      </w:r>
      <w:r w:rsidR="00AA33CA" w:rsidRPr="0067049C">
        <w:rPr>
          <w:b/>
          <w:szCs w:val="19"/>
          <w:u w:val="single"/>
        </w:rPr>
        <w:t xml:space="preserve">an </w:t>
      </w:r>
      <w:r w:rsidRPr="0067049C">
        <w:rPr>
          <w:b/>
          <w:szCs w:val="19"/>
          <w:u w:val="single"/>
        </w:rPr>
        <w:t xml:space="preserve">asset relating to an employer-sponsor receivable shall be recognised to the extent there is a difference between a defined benefit member liability and the fair value of assets available to meet that liability that meets the definition and recognition criteria for an asset in the </w:t>
      </w:r>
      <w:r w:rsidRPr="0067049C">
        <w:rPr>
          <w:b/>
          <w:i/>
          <w:szCs w:val="19"/>
          <w:u w:val="single"/>
        </w:rPr>
        <w:t xml:space="preserve">Framework for </w:t>
      </w:r>
      <w:r w:rsidR="00234868" w:rsidRPr="0067049C">
        <w:rPr>
          <w:b/>
          <w:i/>
          <w:szCs w:val="19"/>
          <w:u w:val="single"/>
        </w:rPr>
        <w:t xml:space="preserve">the Preparation and Presentation of </w:t>
      </w:r>
      <w:r w:rsidRPr="0067049C">
        <w:rPr>
          <w:b/>
          <w:i/>
          <w:szCs w:val="19"/>
          <w:u w:val="single"/>
        </w:rPr>
        <w:t xml:space="preserve">Financial </w:t>
      </w:r>
      <w:r w:rsidR="00234868" w:rsidRPr="0067049C">
        <w:rPr>
          <w:b/>
          <w:i/>
          <w:szCs w:val="19"/>
          <w:u w:val="single"/>
        </w:rPr>
        <w:t>Statements</w:t>
      </w:r>
      <w:r w:rsidR="006A3D3A">
        <w:rPr>
          <w:b/>
          <w:szCs w:val="19"/>
          <w:u w:val="single"/>
        </w:rPr>
        <w:t xml:space="preserve"> (as identified in AASB 1048 </w:t>
      </w:r>
      <w:r w:rsidR="006A3D3A" w:rsidRPr="006A3D3A">
        <w:rPr>
          <w:b/>
          <w:i/>
          <w:szCs w:val="19"/>
          <w:u w:val="single"/>
        </w:rPr>
        <w:t>Interpretation of Standards</w:t>
      </w:r>
      <w:r w:rsidR="006A3D3A">
        <w:rPr>
          <w:b/>
          <w:szCs w:val="19"/>
          <w:u w:val="single"/>
        </w:rPr>
        <w:t>)</w:t>
      </w:r>
      <w:r w:rsidRPr="0067049C">
        <w:rPr>
          <w:b/>
          <w:szCs w:val="19"/>
          <w:u w:val="single"/>
        </w:rPr>
        <w:t>.</w:t>
      </w:r>
      <w:r w:rsidRPr="0067049C">
        <w:rPr>
          <w:b/>
          <w:szCs w:val="19"/>
        </w:rPr>
        <w:t xml:space="preserve"> </w:t>
      </w:r>
    </w:p>
    <w:p w14:paraId="65BC06D0" w14:textId="77777777" w:rsidR="00F74AE3" w:rsidRPr="0067049C" w:rsidRDefault="00F74AE3" w:rsidP="00C87FAF">
      <w:pPr>
        <w:pStyle w:val="Default"/>
        <w:jc w:val="both"/>
        <w:rPr>
          <w:color w:val="auto"/>
          <w:sz w:val="19"/>
          <w:szCs w:val="19"/>
        </w:rPr>
      </w:pPr>
      <w:r w:rsidRPr="0067049C">
        <w:rPr>
          <w:color w:val="auto"/>
          <w:sz w:val="19"/>
          <w:szCs w:val="19"/>
        </w:rPr>
        <w:t>…</w:t>
      </w:r>
    </w:p>
    <w:p w14:paraId="795E3981" w14:textId="77777777" w:rsidR="00F74AE3" w:rsidRPr="00D80C39" w:rsidRDefault="00F74AE3" w:rsidP="00C87FAF">
      <w:pPr>
        <w:pStyle w:val="Heading1"/>
        <w:spacing w:before="240" w:after="0"/>
        <w:jc w:val="both"/>
        <w:rPr>
          <w:rFonts w:ascii="Times New Roman" w:hAnsi="Times New Roman" w:cs="Times New Roman"/>
        </w:rPr>
      </w:pPr>
      <w:r w:rsidRPr="00D80C39">
        <w:rPr>
          <w:rFonts w:ascii="Times New Roman" w:hAnsi="Times New Roman" w:cs="Times New Roman"/>
        </w:rPr>
        <w:t>Employer-sponsor Receivables (Paragraphs 18 and 19)</w:t>
      </w:r>
    </w:p>
    <w:p w14:paraId="2ED10D97" w14:textId="77777777" w:rsidR="00F74AE3" w:rsidRPr="0067049C" w:rsidRDefault="00F74AE3" w:rsidP="00C87FAF">
      <w:pPr>
        <w:pStyle w:val="Default"/>
        <w:keepNext/>
        <w:autoSpaceDE/>
        <w:autoSpaceDN/>
        <w:adjustRightInd/>
        <w:spacing w:before="120" w:after="200"/>
        <w:jc w:val="both"/>
        <w:outlineLvl w:val="0"/>
        <w:rPr>
          <w:color w:val="auto"/>
          <w:sz w:val="19"/>
          <w:szCs w:val="19"/>
        </w:rPr>
      </w:pPr>
      <w:r w:rsidRPr="0067049C">
        <w:rPr>
          <w:color w:val="auto"/>
          <w:sz w:val="19"/>
          <w:szCs w:val="19"/>
        </w:rPr>
        <w:t>…</w:t>
      </w:r>
    </w:p>
    <w:p w14:paraId="250319EC" w14:textId="77777777" w:rsidR="008008F3" w:rsidRPr="0067049C" w:rsidRDefault="00332BFC" w:rsidP="00DD1016">
      <w:pPr>
        <w:pStyle w:val="IASBNormalnpara"/>
        <w:rPr>
          <w:szCs w:val="19"/>
        </w:rPr>
      </w:pPr>
      <w:r>
        <w:rPr>
          <w:szCs w:val="19"/>
        </w:rPr>
        <w:t>AG28</w:t>
      </w:r>
      <w:r w:rsidR="008008F3" w:rsidRPr="0067049C">
        <w:rPr>
          <w:szCs w:val="19"/>
        </w:rPr>
        <w:tab/>
        <w:t xml:space="preserve">A receivable meeting the definition and recognition criteria for an asset in the </w:t>
      </w:r>
      <w:r w:rsidR="008008F3" w:rsidRPr="0067049C">
        <w:rPr>
          <w:i/>
          <w:strike/>
          <w:szCs w:val="19"/>
        </w:rPr>
        <w:t>Framework for the Preparation and Presentation of Financial Statements</w:t>
      </w:r>
      <w:r>
        <w:rPr>
          <w:i/>
          <w:strike/>
          <w:szCs w:val="19"/>
        </w:rPr>
        <w:t xml:space="preserve"> </w:t>
      </w:r>
      <w:r w:rsidR="008008F3" w:rsidRPr="0067049C">
        <w:rPr>
          <w:i/>
          <w:szCs w:val="19"/>
          <w:u w:val="single"/>
        </w:rPr>
        <w:t>Conceptual Framework for Financial Reporting</w:t>
      </w:r>
      <w:r w:rsidR="008008F3" w:rsidRPr="0067049C">
        <w:rPr>
          <w:szCs w:val="19"/>
        </w:rPr>
        <w:t xml:space="preserve"> would be measured at its intrinsic value</w:t>
      </w:r>
      <w:r w:rsidR="00403EB9" w:rsidRPr="0067049C">
        <w:rPr>
          <w:szCs w:val="19"/>
        </w:rPr>
        <w:t xml:space="preserve">.  </w:t>
      </w:r>
      <w:r w:rsidR="008008F3" w:rsidRPr="0067049C">
        <w:rPr>
          <w:szCs w:val="19"/>
        </w:rPr>
        <w:t xml:space="preserve">That is, the difference between the defined benefit member liabilities and the amount of the other recognised assets held to meet those liabilities, unless the amount of the receivable is capped in some manner. </w:t>
      </w:r>
    </w:p>
    <w:p w14:paraId="1FB2433F" w14:textId="77777777" w:rsidR="00F74AE3" w:rsidRPr="0067049C" w:rsidRDefault="00F74AE3" w:rsidP="00DD1016">
      <w:pPr>
        <w:pStyle w:val="IASBNormalnpara"/>
        <w:rPr>
          <w:szCs w:val="19"/>
        </w:rPr>
      </w:pPr>
      <w:r w:rsidRPr="0067049C">
        <w:rPr>
          <w:szCs w:val="19"/>
          <w:u w:val="single"/>
        </w:rPr>
        <w:t>AusCFAG28</w:t>
      </w:r>
      <w:r w:rsidRPr="0067049C">
        <w:rPr>
          <w:szCs w:val="19"/>
        </w:rPr>
        <w:tab/>
      </w:r>
      <w:r w:rsidR="00AA33CA" w:rsidRPr="00AA33CA">
        <w:rPr>
          <w:szCs w:val="19"/>
          <w:u w:val="single"/>
        </w:rPr>
        <w:t>Notwithstanding paragraph AG28, in respect of AusCF entities, a</w:t>
      </w:r>
      <w:r w:rsidR="00AA33CA" w:rsidRPr="0067049C">
        <w:rPr>
          <w:szCs w:val="19"/>
          <w:u w:val="single"/>
        </w:rPr>
        <w:t xml:space="preserve"> </w:t>
      </w:r>
      <w:r w:rsidRPr="0067049C">
        <w:rPr>
          <w:szCs w:val="19"/>
          <w:u w:val="single"/>
        </w:rPr>
        <w:t xml:space="preserve">receivable meeting the definition and recognition criteria for an asset in the </w:t>
      </w:r>
      <w:r w:rsidR="008008F3" w:rsidRPr="0067049C">
        <w:rPr>
          <w:i/>
          <w:szCs w:val="19"/>
          <w:u w:val="single"/>
        </w:rPr>
        <w:t>Framework for the Preparation and Presentation of Financial Statements</w:t>
      </w:r>
      <w:r w:rsidRPr="0067049C">
        <w:rPr>
          <w:i/>
          <w:szCs w:val="19"/>
          <w:u w:val="single"/>
        </w:rPr>
        <w:t xml:space="preserve"> </w:t>
      </w:r>
      <w:r w:rsidRPr="0067049C">
        <w:rPr>
          <w:szCs w:val="19"/>
          <w:u w:val="single"/>
        </w:rPr>
        <w:t>would be measured at its intrinsic value</w:t>
      </w:r>
      <w:r w:rsidR="00403EB9" w:rsidRPr="0067049C">
        <w:rPr>
          <w:szCs w:val="19"/>
          <w:u w:val="single"/>
        </w:rPr>
        <w:t xml:space="preserve">.  </w:t>
      </w:r>
      <w:r w:rsidRPr="0067049C">
        <w:rPr>
          <w:szCs w:val="19"/>
          <w:u w:val="single"/>
        </w:rPr>
        <w:t>That is, the difference between the defined benefit member liabilities and the amount of the other recognised assets held to meet those liabilities, unless the amount of the receivable is capped in some manner.</w:t>
      </w:r>
      <w:r w:rsidRPr="0067049C">
        <w:rPr>
          <w:szCs w:val="19"/>
        </w:rPr>
        <w:t xml:space="preserve"> </w:t>
      </w:r>
    </w:p>
    <w:p w14:paraId="14CA8855" w14:textId="77777777" w:rsidR="003A66C5" w:rsidRDefault="003A66C5" w:rsidP="00C87FAF">
      <w:pPr>
        <w:pStyle w:val="Heading2"/>
        <w:jc w:val="both"/>
      </w:pPr>
      <w:r>
        <w:t>Amendments to AASB 1057</w:t>
      </w:r>
    </w:p>
    <w:p w14:paraId="38DCD116" w14:textId="3417F59F" w:rsidR="00F74AE3" w:rsidRPr="00F74AE3" w:rsidRDefault="00F74AE3"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F74AE3">
        <w:rPr>
          <w:szCs w:val="19"/>
        </w:rPr>
        <w:t xml:space="preserve">Paragraph AusCF1 is added. </w:t>
      </w:r>
      <w:r w:rsidR="001129D7">
        <w:rPr>
          <w:szCs w:val="19"/>
        </w:rPr>
        <w:t xml:space="preserve"> </w:t>
      </w:r>
      <w:r w:rsidRPr="00F74AE3">
        <w:rPr>
          <w:szCs w:val="19"/>
        </w:rPr>
        <w:t>Pa</w:t>
      </w:r>
      <w:r w:rsidR="001129D7">
        <w:rPr>
          <w:szCs w:val="19"/>
        </w:rPr>
        <w:t xml:space="preserve">ragraphs </w:t>
      </w:r>
      <w:r w:rsidR="007D30DA">
        <w:rPr>
          <w:szCs w:val="19"/>
        </w:rPr>
        <w:t xml:space="preserve">1, </w:t>
      </w:r>
      <w:r w:rsidR="001129D7">
        <w:rPr>
          <w:szCs w:val="19"/>
        </w:rPr>
        <w:t>2, 5–9, 12, 18, 20, 22–</w:t>
      </w:r>
      <w:r w:rsidRPr="00F74AE3">
        <w:rPr>
          <w:szCs w:val="19"/>
        </w:rPr>
        <w:t>24 and 26 and the Appendix are amended.</w:t>
      </w:r>
    </w:p>
    <w:p w14:paraId="0A4E1947" w14:textId="77777777" w:rsidR="00F74AE3" w:rsidRPr="00F74AE3" w:rsidRDefault="00F74AE3" w:rsidP="00C87FAF">
      <w:pPr>
        <w:pStyle w:val="Heading2"/>
        <w:spacing w:before="240"/>
        <w:jc w:val="both"/>
      </w:pPr>
      <w:r w:rsidRPr="00F74AE3">
        <w:t>Objective</w:t>
      </w:r>
    </w:p>
    <w:p w14:paraId="4D7B381A" w14:textId="1495E4FA" w:rsidR="00B743EA" w:rsidRPr="00B743EA" w:rsidRDefault="00001B26" w:rsidP="00DD1016">
      <w:pPr>
        <w:pStyle w:val="IASBNormalnpara"/>
        <w:rPr>
          <w:szCs w:val="19"/>
        </w:rPr>
      </w:pPr>
      <w:r>
        <w:rPr>
          <w:szCs w:val="19"/>
        </w:rPr>
        <w:t>1</w:t>
      </w:r>
      <w:r w:rsidR="00B743EA">
        <w:rPr>
          <w:szCs w:val="19"/>
        </w:rPr>
        <w:tab/>
      </w:r>
      <w:r w:rsidR="00B743EA" w:rsidRPr="00B743EA">
        <w:rPr>
          <w:szCs w:val="19"/>
        </w:rPr>
        <w:t xml:space="preserve">The objective of this Standard is to specify the types of entities and financial statements to which Australian Accounting Standards (including Interpretations) apply. </w:t>
      </w:r>
      <w:r w:rsidR="00B743EA">
        <w:rPr>
          <w:szCs w:val="19"/>
        </w:rPr>
        <w:t xml:space="preserve"> </w:t>
      </w:r>
      <w:r w:rsidR="00620A8E" w:rsidRPr="00B743EA">
        <w:rPr>
          <w:szCs w:val="19"/>
          <w:u w:val="single"/>
        </w:rPr>
        <w:t>The term ‘Australian Accounting Standards’ refers to accounting standards (including Interpretations) made by the AASB.</w:t>
      </w:r>
      <w:r w:rsidR="00620A8E">
        <w:rPr>
          <w:szCs w:val="19"/>
          <w:u w:val="single"/>
        </w:rPr>
        <w:t xml:space="preserve">  </w:t>
      </w:r>
      <w:r w:rsidR="00B743EA" w:rsidRPr="00B743EA">
        <w:rPr>
          <w:szCs w:val="19"/>
        </w:rPr>
        <w:t xml:space="preserve">Each reference to an Interpretation refers to that Interpretation as identified in AASB 1048 </w:t>
      </w:r>
      <w:r w:rsidR="00B743EA" w:rsidRPr="00C353B0">
        <w:rPr>
          <w:i/>
          <w:szCs w:val="19"/>
        </w:rPr>
        <w:t>Interpretation of Standards</w:t>
      </w:r>
      <w:r w:rsidR="00B743EA" w:rsidRPr="00B743EA">
        <w:rPr>
          <w:szCs w:val="19"/>
        </w:rPr>
        <w:t>.</w:t>
      </w:r>
    </w:p>
    <w:p w14:paraId="259BF346" w14:textId="77777777" w:rsidR="00284EE9" w:rsidRPr="0067049C" w:rsidRDefault="00284EE9" w:rsidP="00DD1016">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6AD09B32" w14:textId="0B1BC432" w:rsidR="00284EE9" w:rsidRPr="0067049C" w:rsidRDefault="00DD1016" w:rsidP="00DD1016">
      <w:pPr>
        <w:pStyle w:val="IASBNormalnparaL1"/>
        <w:rPr>
          <w:szCs w:val="19"/>
          <w:u w:val="single"/>
        </w:rPr>
      </w:pPr>
      <w:r>
        <w:rPr>
          <w:szCs w:val="19"/>
          <w:u w:val="single"/>
        </w:rPr>
        <w:t>(a)</w:t>
      </w:r>
      <w:r>
        <w:rPr>
          <w:szCs w:val="19"/>
          <w:u w:val="single"/>
        </w:rPr>
        <w:tab/>
      </w:r>
      <w:r w:rsidR="00284EE9" w:rsidRPr="0067049C">
        <w:rPr>
          <w:szCs w:val="19"/>
          <w:u w:val="single"/>
        </w:rPr>
        <w:t xml:space="preserve">not-for-profit entities; and </w:t>
      </w:r>
    </w:p>
    <w:p w14:paraId="5FDEB40A" w14:textId="3F04013D" w:rsidR="00284EE9" w:rsidRPr="0067049C" w:rsidRDefault="00DD1016" w:rsidP="00DD1016">
      <w:pPr>
        <w:pStyle w:val="IASBNormalnparaL1"/>
        <w:rPr>
          <w:szCs w:val="19"/>
          <w:u w:val="single"/>
        </w:rPr>
      </w:pPr>
      <w:r>
        <w:rPr>
          <w:szCs w:val="19"/>
          <w:u w:val="single"/>
        </w:rPr>
        <w:t>(b)</w:t>
      </w:r>
      <w:r>
        <w:rPr>
          <w:szCs w:val="19"/>
          <w:u w:val="single"/>
        </w:rPr>
        <w:tab/>
      </w:r>
      <w:r w:rsidR="00284EE9" w:rsidRPr="0067049C">
        <w:rPr>
          <w:szCs w:val="19"/>
          <w:u w:val="single"/>
        </w:rPr>
        <w:t xml:space="preserve">for-profit entities that are not applying the </w:t>
      </w:r>
      <w:r w:rsidR="00284EE9" w:rsidRPr="0067049C">
        <w:rPr>
          <w:i/>
          <w:szCs w:val="19"/>
          <w:u w:val="single"/>
        </w:rPr>
        <w:t>Conceptual Framework for Financial Reporting</w:t>
      </w:r>
      <w:r w:rsidR="00256641">
        <w:rPr>
          <w:i/>
          <w:szCs w:val="19"/>
          <w:u w:val="single"/>
        </w:rPr>
        <w:t xml:space="preserve"> </w:t>
      </w:r>
      <w:r w:rsidR="00256641" w:rsidRPr="00F20ED1">
        <w:rPr>
          <w:szCs w:val="19"/>
          <w:u w:val="single"/>
        </w:rPr>
        <w:t>(as identified in AASB 1048</w:t>
      </w:r>
      <w:r w:rsidR="00256641" w:rsidRPr="00F20ED1">
        <w:rPr>
          <w:i/>
          <w:szCs w:val="19"/>
          <w:u w:val="single"/>
        </w:rPr>
        <w:t xml:space="preserve"> Interpretation of Standards</w:t>
      </w:r>
      <w:r w:rsidR="00256641" w:rsidRPr="00F20ED1">
        <w:rPr>
          <w:szCs w:val="19"/>
          <w:u w:val="single"/>
        </w:rPr>
        <w:t>)</w:t>
      </w:r>
      <w:r w:rsidR="00284EE9" w:rsidRPr="0067049C">
        <w:rPr>
          <w:szCs w:val="19"/>
          <w:u w:val="single"/>
        </w:rPr>
        <w:t>.</w:t>
      </w:r>
    </w:p>
    <w:p w14:paraId="7DADCC9B" w14:textId="1F141151" w:rsidR="00284EE9" w:rsidRDefault="00284EE9" w:rsidP="00DD1016">
      <w:pPr>
        <w:pStyle w:val="IASBNormalL1P"/>
        <w:rPr>
          <w:szCs w:val="19"/>
        </w:rPr>
      </w:pPr>
      <w:r w:rsidRPr="0067049C">
        <w:rPr>
          <w:szCs w:val="19"/>
          <w:u w:val="single"/>
        </w:rPr>
        <w:t xml:space="preserve">For AusCF entities, the term ‘reporting entity’ is defined in </w:t>
      </w:r>
      <w:r w:rsidR="00CA1DD7" w:rsidRPr="0067049C">
        <w:rPr>
          <w:szCs w:val="19"/>
          <w:u w:val="single"/>
        </w:rPr>
        <w:t>this Standard</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0F8F4282" w14:textId="77777777" w:rsidR="00F74AE3" w:rsidRPr="00F74AE3" w:rsidRDefault="00F74AE3" w:rsidP="00C87FAF">
      <w:pPr>
        <w:pStyle w:val="Heading2"/>
        <w:spacing w:before="240"/>
        <w:jc w:val="both"/>
      </w:pPr>
      <w:r w:rsidRPr="00F74AE3">
        <w:t>Application of this Standard</w:t>
      </w:r>
    </w:p>
    <w:p w14:paraId="05F733CC" w14:textId="77777777" w:rsidR="00F74AE3" w:rsidRPr="00F74AE3" w:rsidRDefault="00F74AE3" w:rsidP="000C3D45">
      <w:pPr>
        <w:pStyle w:val="IASBNormalnpara"/>
        <w:rPr>
          <w:b/>
          <w:bCs/>
          <w:szCs w:val="19"/>
        </w:rPr>
      </w:pPr>
      <w:r w:rsidRPr="00F74AE3">
        <w:rPr>
          <w:b/>
          <w:bCs/>
          <w:szCs w:val="19"/>
        </w:rPr>
        <w:t xml:space="preserve">2 </w:t>
      </w:r>
      <w:r w:rsidRPr="00F74AE3">
        <w:rPr>
          <w:b/>
          <w:bCs/>
          <w:szCs w:val="19"/>
        </w:rPr>
        <w:tab/>
        <w:t>This Standard applies to:</w:t>
      </w:r>
    </w:p>
    <w:p w14:paraId="778ABFEB" w14:textId="342A3A14" w:rsidR="00F74AE3" w:rsidRPr="00F74AE3" w:rsidRDefault="000C3D45" w:rsidP="000C3D45">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w:t>
      </w:r>
    </w:p>
    <w:p w14:paraId="20F19E06" w14:textId="1C34A157" w:rsidR="00F74AE3" w:rsidRPr="00F74AE3" w:rsidRDefault="000C3D45" w:rsidP="000C3D45">
      <w:pPr>
        <w:pStyle w:val="IASBNormalnparaL1"/>
        <w:rPr>
          <w:b/>
          <w:bCs/>
          <w:szCs w:val="19"/>
        </w:rPr>
      </w:pPr>
      <w:r w:rsidRPr="000C3D45">
        <w:rPr>
          <w:b/>
          <w:bCs/>
          <w:szCs w:val="19"/>
        </w:rPr>
        <w:t>(b)</w:t>
      </w:r>
      <w:r>
        <w:rPr>
          <w:b/>
          <w:bCs/>
          <w:szCs w:val="19"/>
        </w:rPr>
        <w:tab/>
      </w:r>
      <w:r w:rsidR="00F74AE3" w:rsidRPr="00F74AE3">
        <w:rPr>
          <w:b/>
          <w:bCs/>
          <w:i/>
          <w:szCs w:val="19"/>
        </w:rPr>
        <w:t>general purpose financial statements</w:t>
      </w:r>
      <w:r w:rsidR="00F74AE3" w:rsidRPr="00F74AE3">
        <w:rPr>
          <w:b/>
          <w:bCs/>
          <w:szCs w:val="19"/>
        </w:rPr>
        <w:t xml:space="preserve"> of each </w:t>
      </w:r>
      <w:r w:rsidR="00F74AE3" w:rsidRPr="00F74AE3">
        <w:rPr>
          <w:b/>
          <w:bCs/>
          <w:i/>
          <w:szCs w:val="19"/>
        </w:rPr>
        <w:t>reporting</w:t>
      </w:r>
      <w:r w:rsidR="00F74AE3" w:rsidRPr="00F74AE3">
        <w:rPr>
          <w:b/>
          <w:bCs/>
          <w:szCs w:val="19"/>
        </w:rPr>
        <w:t xml:space="preserve"> </w:t>
      </w:r>
      <w:r w:rsidR="00F74AE3" w:rsidRPr="00F74AE3">
        <w:rPr>
          <w:b/>
          <w:bCs/>
          <w:i/>
          <w:szCs w:val="19"/>
        </w:rPr>
        <w:t>entity</w:t>
      </w:r>
      <w:r w:rsidR="00F74AE3" w:rsidRPr="00F74AE3">
        <w:rPr>
          <w:b/>
          <w:bCs/>
          <w:szCs w:val="19"/>
        </w:rPr>
        <w:t>;</w:t>
      </w:r>
    </w:p>
    <w:p w14:paraId="70480533" w14:textId="1E791F6A" w:rsidR="00F74AE3" w:rsidRPr="00F74AE3" w:rsidRDefault="000C3D45" w:rsidP="000C3D45">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F74AE3">
        <w:rPr>
          <w:b/>
          <w:bCs/>
          <w:strike/>
          <w:szCs w:val="19"/>
        </w:rPr>
        <w:t xml:space="preserve"> and</w:t>
      </w:r>
    </w:p>
    <w:p w14:paraId="15FC5823" w14:textId="4B4D5BEB" w:rsidR="00F74AE3" w:rsidRPr="00F74AE3" w:rsidRDefault="000C3D45" w:rsidP="000C3D45">
      <w:pPr>
        <w:pStyle w:val="IASBNormalnparaL1"/>
        <w:rPr>
          <w:b/>
          <w:bCs/>
          <w:szCs w:val="19"/>
          <w:u w:val="single"/>
        </w:rPr>
      </w:pPr>
      <w:r>
        <w:rPr>
          <w:b/>
          <w:bCs/>
          <w:szCs w:val="19"/>
        </w:rPr>
        <w:t>(d)</w:t>
      </w:r>
      <w:r>
        <w:rPr>
          <w:b/>
          <w:bCs/>
          <w:szCs w:val="19"/>
        </w:rPr>
        <w:tab/>
      </w:r>
      <w:r w:rsidR="00F74AE3" w:rsidRPr="00F74AE3">
        <w:rPr>
          <w:b/>
          <w:bCs/>
          <w:szCs w:val="19"/>
        </w:rPr>
        <w:t xml:space="preserve">financial statements of General Government Sectors (GGSs) prepared in accordance with AASB 1049 </w:t>
      </w:r>
      <w:r w:rsidR="00F74AE3" w:rsidRPr="00F74AE3">
        <w:rPr>
          <w:b/>
          <w:bCs/>
          <w:i/>
          <w:szCs w:val="19"/>
        </w:rPr>
        <w:t>Whole of Government and General Government Sector Financial Reporting</w:t>
      </w:r>
      <w:r w:rsidR="00F74AE3" w:rsidRPr="00F74AE3">
        <w:rPr>
          <w:b/>
          <w:bCs/>
          <w:szCs w:val="19"/>
          <w:u w:val="single"/>
        </w:rPr>
        <w:t>; and</w:t>
      </w:r>
    </w:p>
    <w:p w14:paraId="0CCDEBB1" w14:textId="456D6888" w:rsidR="00F74AE3" w:rsidRPr="00F74AE3" w:rsidRDefault="000C3D45" w:rsidP="000C3D45">
      <w:pPr>
        <w:pStyle w:val="IASBNormalnparaL1"/>
        <w:rPr>
          <w:b/>
          <w:bCs/>
          <w:szCs w:val="19"/>
          <w:u w:val="single"/>
        </w:rPr>
      </w:pPr>
      <w:r>
        <w:rPr>
          <w:b/>
          <w:bCs/>
          <w:szCs w:val="19"/>
          <w:u w:val="single"/>
        </w:rPr>
        <w:t>(e)</w:t>
      </w:r>
      <w:r>
        <w:rPr>
          <w:b/>
          <w:bCs/>
          <w:szCs w:val="19"/>
          <w:u w:val="single"/>
        </w:rPr>
        <w:tab/>
      </w:r>
      <w:r w:rsidR="00F74AE3" w:rsidRPr="00B317FD">
        <w:rPr>
          <w:b/>
          <w:bCs/>
          <w:szCs w:val="19"/>
          <w:u w:val="single"/>
        </w:rPr>
        <w:t xml:space="preserve">for-profit </w:t>
      </w:r>
      <w:r w:rsidR="00B317FD" w:rsidRPr="0067049C">
        <w:rPr>
          <w:b/>
          <w:szCs w:val="19"/>
          <w:u w:val="single"/>
        </w:rPr>
        <w:t>private sector</w:t>
      </w:r>
      <w:r w:rsidR="00B317FD">
        <w:rPr>
          <w:b/>
          <w:bCs/>
          <w:szCs w:val="19"/>
          <w:u w:val="single"/>
        </w:rPr>
        <w:t xml:space="preserve"> </w:t>
      </w:r>
      <w:r w:rsidR="00F74AE3" w:rsidRPr="00B317FD">
        <w:rPr>
          <w:b/>
          <w:bCs/>
          <w:szCs w:val="19"/>
          <w:u w:val="single"/>
        </w:rPr>
        <w:t xml:space="preserve">entities that have public accountability </w:t>
      </w:r>
      <w:r w:rsidR="00CA1DD7" w:rsidRPr="0067049C">
        <w:rPr>
          <w:b/>
          <w:bCs/>
          <w:szCs w:val="19"/>
          <w:u w:val="single"/>
        </w:rPr>
        <w:t>and</w:t>
      </w:r>
      <w:r w:rsidR="00F74AE3" w:rsidRPr="00B317FD">
        <w:rPr>
          <w:b/>
          <w:bCs/>
          <w:szCs w:val="19"/>
          <w:u w:val="single"/>
        </w:rPr>
        <w:t xml:space="preserve"> are required </w:t>
      </w:r>
      <w:r w:rsidR="00F74AE3" w:rsidRPr="0067049C">
        <w:rPr>
          <w:b/>
          <w:szCs w:val="19"/>
          <w:u w:val="single"/>
        </w:rPr>
        <w:t>by legislation</w:t>
      </w:r>
      <w:r w:rsidR="00F74AE3" w:rsidRPr="00F74AE3">
        <w:rPr>
          <w:b/>
          <w:bCs/>
          <w:szCs w:val="19"/>
          <w:u w:val="single"/>
        </w:rPr>
        <w:t xml:space="preserve"> to comply with Australian Accounting Standards.</w:t>
      </w:r>
    </w:p>
    <w:p w14:paraId="52D7A8E3"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3676E029" w14:textId="77777777" w:rsidR="00F74AE3" w:rsidRPr="00F74AE3" w:rsidRDefault="00F74AE3" w:rsidP="00C87FAF">
      <w:pPr>
        <w:pStyle w:val="Heading2"/>
        <w:spacing w:before="240"/>
        <w:jc w:val="both"/>
      </w:pPr>
      <w:r w:rsidRPr="00F74AE3">
        <w:t>Application of Australian Accounting Standards</w:t>
      </w:r>
    </w:p>
    <w:p w14:paraId="09825A9E" w14:textId="77777777" w:rsidR="00F74AE3" w:rsidRPr="00F74AE3" w:rsidRDefault="00F74AE3" w:rsidP="000C3D45">
      <w:pPr>
        <w:pStyle w:val="IASBNormalnpara"/>
        <w:rPr>
          <w:b/>
          <w:bCs/>
          <w:szCs w:val="19"/>
        </w:rPr>
      </w:pPr>
      <w:r w:rsidRPr="00F74AE3">
        <w:rPr>
          <w:b/>
          <w:bCs/>
          <w:szCs w:val="19"/>
        </w:rPr>
        <w:t xml:space="preserve">5 </w:t>
      </w:r>
      <w:r w:rsidRPr="00F74AE3">
        <w:rPr>
          <w:b/>
          <w:bCs/>
          <w:szCs w:val="19"/>
        </w:rPr>
        <w:tab/>
        <w:t>Unless specified otherwise in paragraphs 6-21, Australian Accounting Standards apply to:</w:t>
      </w:r>
    </w:p>
    <w:p w14:paraId="68DB0B14" w14:textId="4A005DD7" w:rsidR="00F74AE3" w:rsidRPr="00F74AE3" w:rsidRDefault="000C3D45" w:rsidP="000C3D45">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 and that is a reporting entity;</w:t>
      </w:r>
    </w:p>
    <w:p w14:paraId="3644FA7F" w14:textId="0B1CE656" w:rsidR="00F74AE3" w:rsidRPr="00F74AE3" w:rsidRDefault="000C3D45" w:rsidP="000C3D45">
      <w:pPr>
        <w:pStyle w:val="IASBNormalnparaL1"/>
        <w:rPr>
          <w:b/>
          <w:bCs/>
          <w:szCs w:val="19"/>
        </w:rPr>
      </w:pPr>
      <w:r>
        <w:rPr>
          <w:b/>
          <w:bCs/>
          <w:szCs w:val="19"/>
        </w:rPr>
        <w:t>(b)</w:t>
      </w:r>
      <w:r>
        <w:rPr>
          <w:b/>
          <w:bCs/>
          <w:szCs w:val="19"/>
        </w:rPr>
        <w:tab/>
      </w:r>
      <w:r w:rsidR="00F74AE3" w:rsidRPr="00F74AE3">
        <w:rPr>
          <w:b/>
          <w:bCs/>
          <w:szCs w:val="19"/>
        </w:rPr>
        <w:t>general purpose financial statements of each other reporting entity;</w:t>
      </w:r>
      <w:r w:rsidR="00F74AE3" w:rsidRPr="000C3D45">
        <w:rPr>
          <w:b/>
          <w:bCs/>
          <w:szCs w:val="19"/>
        </w:rPr>
        <w:t xml:space="preserve"> </w:t>
      </w:r>
      <w:r w:rsidR="00F74AE3" w:rsidRPr="000C3D45">
        <w:rPr>
          <w:b/>
          <w:bCs/>
          <w:strike/>
          <w:szCs w:val="19"/>
        </w:rPr>
        <w:t>and</w:t>
      </w:r>
    </w:p>
    <w:p w14:paraId="0F4ABA20" w14:textId="599E1FA5" w:rsidR="00F74AE3" w:rsidRPr="00F74AE3" w:rsidRDefault="000C3D45" w:rsidP="000C3D45">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0C3D45">
        <w:rPr>
          <w:b/>
          <w:bCs/>
          <w:szCs w:val="19"/>
        </w:rPr>
        <w:t xml:space="preserve">; </w:t>
      </w:r>
      <w:r w:rsidR="00F74AE3" w:rsidRPr="000C3D45">
        <w:rPr>
          <w:b/>
          <w:bCs/>
          <w:szCs w:val="19"/>
          <w:u w:val="single"/>
        </w:rPr>
        <w:t>and</w:t>
      </w:r>
    </w:p>
    <w:p w14:paraId="40D304E3" w14:textId="2230D55C" w:rsidR="00F74AE3" w:rsidRPr="000C3D45" w:rsidRDefault="000C3D45" w:rsidP="000C3D45">
      <w:pPr>
        <w:pStyle w:val="IASBNormalnparaL1"/>
        <w:rPr>
          <w:b/>
          <w:bCs/>
          <w:szCs w:val="19"/>
          <w:u w:val="single"/>
        </w:rPr>
      </w:pPr>
      <w:r w:rsidRPr="000C3D45">
        <w:rPr>
          <w:b/>
          <w:bCs/>
          <w:szCs w:val="19"/>
          <w:u w:val="single"/>
        </w:rPr>
        <w:t>(d)</w:t>
      </w:r>
      <w:r w:rsidRPr="000C3D45">
        <w:rPr>
          <w:b/>
          <w:bCs/>
          <w:szCs w:val="19"/>
          <w:u w:val="single"/>
        </w:rPr>
        <w:tab/>
      </w:r>
      <w:r w:rsidR="00F74AE3" w:rsidRPr="000C3D45">
        <w:rPr>
          <w:b/>
          <w:bCs/>
          <w:szCs w:val="19"/>
          <w:u w:val="single"/>
        </w:rPr>
        <w:t xml:space="preserve">for-profit </w:t>
      </w:r>
      <w:r w:rsidR="00B317FD" w:rsidRPr="000C3D45">
        <w:rPr>
          <w:b/>
          <w:bCs/>
          <w:szCs w:val="19"/>
          <w:u w:val="single"/>
        </w:rPr>
        <w:t xml:space="preserve">private sector </w:t>
      </w:r>
      <w:r w:rsidR="00F74AE3" w:rsidRPr="000C3D45">
        <w:rPr>
          <w:b/>
          <w:bCs/>
          <w:szCs w:val="19"/>
          <w:u w:val="single"/>
        </w:rPr>
        <w:t xml:space="preserve">entities that have public accountability </w:t>
      </w:r>
      <w:r w:rsidR="00CA1DD7" w:rsidRPr="000C3D45">
        <w:rPr>
          <w:b/>
          <w:bCs/>
          <w:szCs w:val="19"/>
          <w:u w:val="single"/>
        </w:rPr>
        <w:t>and</w:t>
      </w:r>
      <w:r w:rsidR="00F74AE3" w:rsidRPr="000C3D45">
        <w:rPr>
          <w:b/>
          <w:bCs/>
          <w:szCs w:val="19"/>
          <w:u w:val="single"/>
        </w:rPr>
        <w:t xml:space="preserve"> are required by legislation to comply with Australian Accounting Standards.</w:t>
      </w:r>
    </w:p>
    <w:p w14:paraId="1CBDC01D" w14:textId="77777777" w:rsidR="00F74AE3" w:rsidRPr="00F74AE3" w:rsidRDefault="00F74AE3" w:rsidP="00AA1E7C">
      <w:pPr>
        <w:pStyle w:val="IASBNormalnpara"/>
        <w:rPr>
          <w:b/>
          <w:bCs/>
          <w:szCs w:val="19"/>
        </w:rPr>
      </w:pPr>
      <w:r w:rsidRPr="00F74AE3">
        <w:rPr>
          <w:b/>
          <w:bCs/>
          <w:szCs w:val="19"/>
        </w:rPr>
        <w:t xml:space="preserve">6 </w:t>
      </w:r>
      <w:r w:rsidRPr="00F74AE3">
        <w:rPr>
          <w:b/>
          <w:bCs/>
          <w:szCs w:val="19"/>
        </w:rPr>
        <w:tab/>
        <w:t xml:space="preserve">AASB 8 </w:t>
      </w:r>
      <w:r w:rsidRPr="00F74AE3">
        <w:rPr>
          <w:b/>
          <w:bCs/>
          <w:i/>
          <w:szCs w:val="19"/>
        </w:rPr>
        <w:t>Operating</w:t>
      </w:r>
      <w:r w:rsidRPr="00F74AE3">
        <w:rPr>
          <w:b/>
          <w:bCs/>
          <w:szCs w:val="19"/>
        </w:rPr>
        <w:t xml:space="preserve"> </w:t>
      </w:r>
      <w:r w:rsidRPr="00F74AE3">
        <w:rPr>
          <w:b/>
          <w:bCs/>
          <w:i/>
          <w:szCs w:val="19"/>
        </w:rPr>
        <w:t>Segments</w:t>
      </w:r>
      <w:r w:rsidRPr="00F74AE3">
        <w:rPr>
          <w:b/>
          <w:bCs/>
          <w:szCs w:val="19"/>
        </w:rPr>
        <w:t xml:space="preserve"> applies to:</w:t>
      </w:r>
    </w:p>
    <w:p w14:paraId="367FD035" w14:textId="0B26DF7A" w:rsidR="00F74AE3" w:rsidRPr="00F74AE3" w:rsidRDefault="00AA1E7C" w:rsidP="00AA1E7C">
      <w:pPr>
        <w:pStyle w:val="IASBNormalnparaL1"/>
        <w:rPr>
          <w:b/>
          <w:bCs/>
          <w:szCs w:val="19"/>
        </w:rPr>
      </w:pPr>
      <w:r>
        <w:rPr>
          <w:b/>
          <w:bCs/>
          <w:szCs w:val="19"/>
        </w:rPr>
        <w:t>(a)</w:t>
      </w:r>
      <w:r>
        <w:rPr>
          <w:b/>
          <w:bCs/>
          <w:szCs w:val="19"/>
        </w:rPr>
        <w:tab/>
      </w:r>
      <w:r w:rsidR="00F74AE3" w:rsidRPr="00F74AE3">
        <w:rPr>
          <w:b/>
          <w:bCs/>
          <w:szCs w:val="19"/>
        </w:rPr>
        <w:t>each for-profit entity that is required to prepare financial reports in accordance with Part 2M.3 of the Corporations Act and that is a reporting entity;</w:t>
      </w:r>
    </w:p>
    <w:p w14:paraId="60635985" w14:textId="645E0E5C" w:rsidR="00F74AE3" w:rsidRPr="00F74AE3" w:rsidRDefault="00AA1E7C" w:rsidP="00AA1E7C">
      <w:pPr>
        <w:pStyle w:val="IASBNormalnparaL1"/>
        <w:rPr>
          <w:b/>
          <w:bCs/>
          <w:szCs w:val="19"/>
        </w:rPr>
      </w:pPr>
      <w:r>
        <w:rPr>
          <w:b/>
          <w:bCs/>
          <w:szCs w:val="19"/>
        </w:rPr>
        <w:t>(b)</w:t>
      </w:r>
      <w:r>
        <w:rPr>
          <w:b/>
          <w:bCs/>
          <w:szCs w:val="19"/>
        </w:rPr>
        <w:tab/>
      </w:r>
      <w:r w:rsidR="00F74AE3" w:rsidRPr="00F74AE3">
        <w:rPr>
          <w:b/>
          <w:bCs/>
          <w:szCs w:val="19"/>
        </w:rPr>
        <w:t>general purpose financial statements of each other for-profit reporting entity;</w:t>
      </w:r>
      <w:r w:rsidR="00F74AE3" w:rsidRPr="00F74AE3">
        <w:rPr>
          <w:b/>
          <w:bCs/>
          <w:strike/>
          <w:szCs w:val="19"/>
        </w:rPr>
        <w:t xml:space="preserve"> and</w:t>
      </w:r>
    </w:p>
    <w:p w14:paraId="5E6E1C1B" w14:textId="559B67D4" w:rsidR="00F74AE3" w:rsidRPr="00F74AE3" w:rsidRDefault="00AA1E7C" w:rsidP="00AA1E7C">
      <w:pPr>
        <w:pStyle w:val="IASBNormalnparaL1"/>
        <w:rPr>
          <w:b/>
          <w:bCs/>
          <w:szCs w:val="19"/>
        </w:rPr>
      </w:pPr>
      <w:r>
        <w:rPr>
          <w:b/>
          <w:bCs/>
          <w:szCs w:val="19"/>
        </w:rPr>
        <w:t>(c)</w:t>
      </w:r>
      <w:r>
        <w:rPr>
          <w:b/>
          <w:bCs/>
          <w:szCs w:val="19"/>
        </w:rPr>
        <w:tab/>
      </w:r>
      <w:r w:rsidR="00F74AE3" w:rsidRPr="00F74AE3">
        <w:rPr>
          <w:b/>
          <w:bCs/>
          <w:szCs w:val="19"/>
        </w:rPr>
        <w:t>financial statements of a for-profit entity that are, or are held out to be, general purpose financial statements</w:t>
      </w:r>
      <w:r w:rsidR="00F74AE3" w:rsidRPr="00F74AE3">
        <w:rPr>
          <w:b/>
          <w:bCs/>
          <w:szCs w:val="19"/>
          <w:u w:val="single"/>
        </w:rPr>
        <w:t>; and</w:t>
      </w:r>
    </w:p>
    <w:p w14:paraId="41391B04" w14:textId="5744491E" w:rsidR="00F74AE3" w:rsidRPr="00F74AE3" w:rsidRDefault="00AA1E7C" w:rsidP="00AA1E7C">
      <w:pPr>
        <w:pStyle w:val="IASBNormalnparaL1"/>
        <w:rPr>
          <w:b/>
          <w:bCs/>
          <w:szCs w:val="19"/>
          <w:u w:val="single"/>
        </w:rPr>
      </w:pPr>
      <w:r>
        <w:rPr>
          <w:b/>
          <w:bCs/>
          <w:szCs w:val="19"/>
          <w:u w:val="single"/>
        </w:rPr>
        <w:t>(d)</w:t>
      </w:r>
      <w:r>
        <w:rPr>
          <w:b/>
          <w:bCs/>
          <w:szCs w:val="19"/>
          <w:u w:val="single"/>
        </w:rPr>
        <w:tab/>
      </w:r>
      <w:r w:rsidR="00F74AE3" w:rsidRPr="00F74AE3">
        <w:rPr>
          <w:b/>
          <w:bCs/>
          <w:szCs w:val="19"/>
          <w:u w:val="single"/>
        </w:rPr>
        <w:t xml:space="preserve">for-profit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 xml:space="preserve">entities that have public accountability </w:t>
      </w:r>
      <w:r w:rsidR="00CA1DD7" w:rsidRPr="0067049C">
        <w:rPr>
          <w:b/>
          <w:bCs/>
          <w:szCs w:val="19"/>
          <w:u w:val="single"/>
        </w:rPr>
        <w:t>and</w:t>
      </w:r>
      <w:r w:rsidR="00F74AE3" w:rsidRPr="00F74AE3">
        <w:rPr>
          <w:b/>
          <w:bCs/>
          <w:szCs w:val="19"/>
          <w:u w:val="single"/>
        </w:rPr>
        <w:t xml:space="preserve"> are required </w:t>
      </w:r>
      <w:r w:rsidR="00F74AE3" w:rsidRPr="0067049C">
        <w:rPr>
          <w:b/>
          <w:szCs w:val="19"/>
          <w:u w:val="single"/>
        </w:rPr>
        <w:t>by legislation</w:t>
      </w:r>
      <w:r w:rsidR="00F74AE3" w:rsidRPr="00F74AE3">
        <w:rPr>
          <w:b/>
          <w:bCs/>
          <w:szCs w:val="19"/>
          <w:u w:val="single"/>
        </w:rPr>
        <w:t xml:space="preserve"> to comply with Australian Accounting Standards.</w:t>
      </w:r>
    </w:p>
    <w:p w14:paraId="6EE6AA8A" w14:textId="77777777" w:rsidR="00F74AE3" w:rsidRPr="00F74AE3" w:rsidRDefault="00F74AE3" w:rsidP="00081E8F">
      <w:pPr>
        <w:pStyle w:val="IASBNormalnpara"/>
        <w:rPr>
          <w:b/>
          <w:bCs/>
          <w:szCs w:val="19"/>
        </w:rPr>
      </w:pPr>
      <w:r w:rsidRPr="00F74AE3">
        <w:rPr>
          <w:b/>
          <w:bCs/>
          <w:szCs w:val="19"/>
        </w:rPr>
        <w:t xml:space="preserve">7 </w:t>
      </w:r>
      <w:r w:rsidRPr="00F74AE3">
        <w:rPr>
          <w:b/>
          <w:bCs/>
          <w:szCs w:val="19"/>
        </w:rPr>
        <w:tab/>
        <w:t>AASB 101</w:t>
      </w:r>
      <w:r w:rsidRPr="00F74AE3">
        <w:rPr>
          <w:b/>
          <w:bCs/>
          <w:i/>
          <w:szCs w:val="19"/>
        </w:rPr>
        <w:t xml:space="preserve"> Presentation of Financial Statements</w:t>
      </w:r>
      <w:r w:rsidRPr="00F74AE3">
        <w:rPr>
          <w:b/>
          <w:bCs/>
          <w:szCs w:val="19"/>
        </w:rPr>
        <w:t xml:space="preserve">, AASB 107 </w:t>
      </w:r>
      <w:r w:rsidRPr="00F74AE3">
        <w:rPr>
          <w:b/>
          <w:bCs/>
          <w:i/>
          <w:szCs w:val="19"/>
        </w:rPr>
        <w:t>Statement of Cash Flows</w:t>
      </w:r>
      <w:r w:rsidRPr="00F74AE3">
        <w:rPr>
          <w:b/>
          <w:bCs/>
          <w:szCs w:val="19"/>
        </w:rPr>
        <w:t xml:space="preserve">, AASB 108 </w:t>
      </w:r>
      <w:r w:rsidRPr="00F74AE3">
        <w:rPr>
          <w:b/>
          <w:bCs/>
          <w:i/>
          <w:szCs w:val="19"/>
        </w:rPr>
        <w:t>Accounting Policies, Changes in Accounting Estimates and Errors</w:t>
      </w:r>
      <w:r w:rsidRPr="00F74AE3">
        <w:rPr>
          <w:b/>
          <w:bCs/>
          <w:szCs w:val="19"/>
        </w:rPr>
        <w:t xml:space="preserve">, AASB 1048 </w:t>
      </w:r>
      <w:r w:rsidRPr="00F74AE3">
        <w:rPr>
          <w:b/>
          <w:bCs/>
          <w:i/>
          <w:szCs w:val="19"/>
        </w:rPr>
        <w:t>Interpretation of Standards</w:t>
      </w:r>
      <w:r w:rsidRPr="00F74AE3">
        <w:rPr>
          <w:b/>
          <w:bCs/>
          <w:szCs w:val="19"/>
        </w:rPr>
        <w:t xml:space="preserve"> and AASB 1054 </w:t>
      </w:r>
      <w:r w:rsidRPr="00F74AE3">
        <w:rPr>
          <w:b/>
          <w:bCs/>
          <w:i/>
          <w:szCs w:val="19"/>
        </w:rPr>
        <w:t>Australian Additional Disclosures</w:t>
      </w:r>
      <w:r w:rsidRPr="00F74AE3">
        <w:rPr>
          <w:b/>
          <w:bCs/>
          <w:szCs w:val="19"/>
        </w:rPr>
        <w:t xml:space="preserve"> apply to:</w:t>
      </w:r>
    </w:p>
    <w:p w14:paraId="22296D31" w14:textId="6A27E093" w:rsidR="00F74AE3" w:rsidRPr="00F74AE3" w:rsidRDefault="00081E8F" w:rsidP="00081E8F">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w:t>
      </w:r>
    </w:p>
    <w:p w14:paraId="2A4EAA6C" w14:textId="30A64B5F" w:rsidR="00F74AE3" w:rsidRPr="00F74AE3" w:rsidRDefault="00081E8F" w:rsidP="00081E8F">
      <w:pPr>
        <w:pStyle w:val="IASBNormalnparaL1"/>
        <w:rPr>
          <w:b/>
          <w:bCs/>
          <w:szCs w:val="19"/>
        </w:rPr>
      </w:pPr>
      <w:r>
        <w:rPr>
          <w:b/>
          <w:bCs/>
          <w:szCs w:val="19"/>
        </w:rPr>
        <w:t>(b)</w:t>
      </w:r>
      <w:r>
        <w:rPr>
          <w:b/>
          <w:bCs/>
          <w:szCs w:val="19"/>
        </w:rPr>
        <w:tab/>
      </w:r>
      <w:r w:rsidR="00F74AE3" w:rsidRPr="00F74AE3">
        <w:rPr>
          <w:b/>
          <w:bCs/>
          <w:szCs w:val="19"/>
        </w:rPr>
        <w:t>general purpose financial statements of each reporting entity;</w:t>
      </w:r>
      <w:r w:rsidR="00F74AE3" w:rsidRPr="00F74AE3">
        <w:rPr>
          <w:b/>
          <w:bCs/>
          <w:strike/>
          <w:szCs w:val="19"/>
        </w:rPr>
        <w:t xml:space="preserve"> and</w:t>
      </w:r>
    </w:p>
    <w:p w14:paraId="26ECBEDD" w14:textId="7B890302" w:rsidR="00F74AE3" w:rsidRPr="00F74AE3" w:rsidRDefault="00081E8F" w:rsidP="00081E8F">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F74AE3">
        <w:rPr>
          <w:b/>
          <w:bCs/>
          <w:szCs w:val="19"/>
          <w:u w:val="single"/>
        </w:rPr>
        <w:t>; and</w:t>
      </w:r>
    </w:p>
    <w:p w14:paraId="6362DEA7" w14:textId="1A710B54" w:rsidR="00F74AE3" w:rsidRPr="00F74AE3" w:rsidRDefault="00081E8F" w:rsidP="00081E8F">
      <w:pPr>
        <w:pStyle w:val="IASBNormalnparaL1"/>
        <w:rPr>
          <w:b/>
          <w:bCs/>
          <w:szCs w:val="19"/>
        </w:rPr>
      </w:pPr>
      <w:r>
        <w:rPr>
          <w:b/>
          <w:bCs/>
          <w:szCs w:val="19"/>
          <w:u w:val="single"/>
        </w:rPr>
        <w:t>(d)</w:t>
      </w:r>
      <w:r>
        <w:rPr>
          <w:b/>
          <w:bCs/>
          <w:szCs w:val="19"/>
          <w:u w:val="single"/>
        </w:rPr>
        <w:tab/>
      </w:r>
      <w:r w:rsidR="00F74AE3" w:rsidRPr="00F74AE3">
        <w:rPr>
          <w:b/>
          <w:bCs/>
          <w:szCs w:val="19"/>
          <w:u w:val="single"/>
        </w:rPr>
        <w:t xml:space="preserve">for-profit </w:t>
      </w:r>
      <w:r w:rsidR="00B317FD" w:rsidRPr="0067049C">
        <w:rPr>
          <w:b/>
          <w:szCs w:val="19"/>
          <w:u w:val="single"/>
        </w:rPr>
        <w:t>private sector</w:t>
      </w:r>
      <w:r w:rsidR="00B317FD">
        <w:rPr>
          <w:b/>
          <w:bCs/>
          <w:szCs w:val="19"/>
          <w:u w:val="single"/>
        </w:rPr>
        <w:t xml:space="preserve"> </w:t>
      </w:r>
      <w:r w:rsidR="00F74AE3" w:rsidRPr="00F74AE3">
        <w:rPr>
          <w:b/>
          <w:bCs/>
          <w:szCs w:val="19"/>
          <w:u w:val="single"/>
        </w:rPr>
        <w:t xml:space="preserve">entities that have public accountability </w:t>
      </w:r>
      <w:r w:rsidR="00CA1DD7" w:rsidRPr="0067049C">
        <w:rPr>
          <w:b/>
          <w:bCs/>
          <w:szCs w:val="19"/>
          <w:u w:val="single"/>
        </w:rPr>
        <w:t>and</w:t>
      </w:r>
      <w:r w:rsidR="00F74AE3" w:rsidRPr="00F74AE3">
        <w:rPr>
          <w:b/>
          <w:bCs/>
          <w:szCs w:val="19"/>
          <w:u w:val="single"/>
        </w:rPr>
        <w:t xml:space="preserve"> are 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4285F9EC" w14:textId="77777777" w:rsidR="00F74AE3" w:rsidRPr="00F74AE3" w:rsidRDefault="00F74AE3" w:rsidP="001932E7">
      <w:pPr>
        <w:pStyle w:val="IASBNormalnpara"/>
        <w:rPr>
          <w:b/>
          <w:bCs/>
          <w:szCs w:val="19"/>
        </w:rPr>
      </w:pPr>
      <w:r w:rsidRPr="00F74AE3">
        <w:rPr>
          <w:b/>
          <w:bCs/>
          <w:szCs w:val="19"/>
        </w:rPr>
        <w:t xml:space="preserve">8 </w:t>
      </w:r>
      <w:r w:rsidRPr="00F74AE3">
        <w:rPr>
          <w:b/>
          <w:bCs/>
          <w:szCs w:val="19"/>
        </w:rPr>
        <w:tab/>
        <w:t xml:space="preserve">AASB 120 </w:t>
      </w:r>
      <w:r w:rsidRPr="00F74AE3">
        <w:rPr>
          <w:b/>
          <w:bCs/>
          <w:i/>
          <w:szCs w:val="19"/>
        </w:rPr>
        <w:t>Accounting for Government Grants and Disclosure of Government Assistance</w:t>
      </w:r>
      <w:r w:rsidRPr="00F74AE3">
        <w:rPr>
          <w:b/>
          <w:bCs/>
          <w:szCs w:val="19"/>
        </w:rPr>
        <w:t xml:space="preserve"> applies to:</w:t>
      </w:r>
    </w:p>
    <w:p w14:paraId="28D19D11" w14:textId="0852557D"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for-profit entity that is required to prepare financial reports in accordance with Part 2M.3 of the Corporations Act and that is a reporting entity;</w:t>
      </w:r>
    </w:p>
    <w:p w14:paraId="0C834FD9" w14:textId="449C4A74"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general purpose financial statements of each other for-profit reporting entity;</w:t>
      </w:r>
      <w:r w:rsidR="00F74AE3" w:rsidRPr="00F74AE3">
        <w:rPr>
          <w:b/>
          <w:bCs/>
          <w:strike/>
          <w:szCs w:val="19"/>
        </w:rPr>
        <w:t xml:space="preserve"> and</w:t>
      </w:r>
    </w:p>
    <w:p w14:paraId="249AF3ED" w14:textId="620FE2CE" w:rsidR="00F74AE3" w:rsidRPr="00F74AE3" w:rsidRDefault="001932E7" w:rsidP="001932E7">
      <w:pPr>
        <w:pStyle w:val="IASBNormalnparaL1"/>
        <w:rPr>
          <w:b/>
          <w:bCs/>
          <w:szCs w:val="19"/>
        </w:rPr>
      </w:pPr>
      <w:r>
        <w:rPr>
          <w:b/>
          <w:bCs/>
          <w:szCs w:val="19"/>
        </w:rPr>
        <w:t>(c)</w:t>
      </w:r>
      <w:r>
        <w:rPr>
          <w:b/>
          <w:bCs/>
          <w:szCs w:val="19"/>
        </w:rPr>
        <w:tab/>
      </w:r>
      <w:r w:rsidR="00F74AE3" w:rsidRPr="00F74AE3">
        <w:rPr>
          <w:b/>
          <w:bCs/>
          <w:szCs w:val="19"/>
        </w:rPr>
        <w:t>financial statements of a for-profit entity that are, or are held out to be, general purpose financial statements</w:t>
      </w:r>
      <w:r w:rsidR="00F74AE3" w:rsidRPr="00F74AE3">
        <w:rPr>
          <w:b/>
          <w:bCs/>
          <w:szCs w:val="19"/>
          <w:u w:val="single"/>
        </w:rPr>
        <w:t>; and</w:t>
      </w:r>
    </w:p>
    <w:p w14:paraId="678C987F" w14:textId="09F87D4C" w:rsidR="00F74AE3" w:rsidRPr="00F74AE3" w:rsidRDefault="001932E7" w:rsidP="001932E7">
      <w:pPr>
        <w:pStyle w:val="IASBNormalnparaL1"/>
        <w:rPr>
          <w:b/>
          <w:bCs/>
          <w:szCs w:val="19"/>
        </w:rPr>
      </w:pPr>
      <w:r>
        <w:rPr>
          <w:b/>
          <w:bCs/>
          <w:szCs w:val="19"/>
          <w:u w:val="single"/>
        </w:rPr>
        <w:t>(d)</w:t>
      </w:r>
      <w:r>
        <w:rPr>
          <w:b/>
          <w:bCs/>
          <w:szCs w:val="19"/>
          <w:u w:val="single"/>
        </w:rPr>
        <w:tab/>
      </w:r>
      <w:r w:rsidR="00F74AE3" w:rsidRPr="00F74AE3">
        <w:rPr>
          <w:b/>
          <w:bCs/>
          <w:szCs w:val="19"/>
          <w:u w:val="single"/>
        </w:rPr>
        <w:t xml:space="preserve">for-profit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 xml:space="preserve">entities that have public accountability </w:t>
      </w:r>
      <w:r w:rsidR="00CA1DD7" w:rsidRPr="0067049C">
        <w:rPr>
          <w:b/>
          <w:bCs/>
          <w:szCs w:val="19"/>
          <w:u w:val="single"/>
        </w:rPr>
        <w:t>and</w:t>
      </w:r>
      <w:r w:rsidR="00F74AE3" w:rsidRPr="00F74AE3">
        <w:rPr>
          <w:b/>
          <w:bCs/>
          <w:szCs w:val="19"/>
          <w:u w:val="single"/>
        </w:rPr>
        <w:t xml:space="preserve"> are 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366E9376" w14:textId="77777777" w:rsidR="00F74AE3" w:rsidRPr="00F74AE3" w:rsidRDefault="00F74AE3" w:rsidP="001932E7">
      <w:pPr>
        <w:pStyle w:val="IASBNormalnpara"/>
        <w:rPr>
          <w:b/>
          <w:bCs/>
          <w:szCs w:val="19"/>
        </w:rPr>
      </w:pPr>
      <w:r w:rsidRPr="00F74AE3">
        <w:rPr>
          <w:b/>
          <w:bCs/>
          <w:szCs w:val="19"/>
        </w:rPr>
        <w:t xml:space="preserve">9 </w:t>
      </w:r>
      <w:r w:rsidRPr="00F74AE3">
        <w:rPr>
          <w:b/>
          <w:bCs/>
          <w:szCs w:val="19"/>
        </w:rPr>
        <w:tab/>
        <w:t xml:space="preserve">AASB 133 </w:t>
      </w:r>
      <w:r w:rsidRPr="00F74AE3">
        <w:rPr>
          <w:b/>
          <w:bCs/>
          <w:i/>
          <w:szCs w:val="19"/>
        </w:rPr>
        <w:t>Earnings per Share</w:t>
      </w:r>
      <w:r w:rsidRPr="00F74AE3">
        <w:rPr>
          <w:b/>
          <w:bCs/>
          <w:szCs w:val="19"/>
        </w:rPr>
        <w:t xml:space="preserve"> applies to</w:t>
      </w:r>
      <w:r w:rsidRPr="00F74AE3">
        <w:rPr>
          <w:b/>
          <w:bCs/>
          <w:szCs w:val="19"/>
          <w:u w:val="single"/>
        </w:rPr>
        <w:t>:</w:t>
      </w:r>
    </w:p>
    <w:p w14:paraId="4B1BF2A1" w14:textId="51F77999"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 and that is a reporting entity or discloses earnings per share</w:t>
      </w:r>
      <w:r w:rsidR="00F74AE3" w:rsidRPr="00F74AE3">
        <w:rPr>
          <w:b/>
          <w:bCs/>
          <w:szCs w:val="19"/>
          <w:u w:val="single"/>
        </w:rPr>
        <w:t>; and</w:t>
      </w:r>
    </w:p>
    <w:p w14:paraId="0A37DF63" w14:textId="3D1C0B0F" w:rsidR="00F74AE3" w:rsidRPr="00F74AE3" w:rsidRDefault="001932E7" w:rsidP="001932E7">
      <w:pPr>
        <w:pStyle w:val="IASBNormalnparaL1"/>
        <w:rPr>
          <w:b/>
          <w:bCs/>
          <w:szCs w:val="19"/>
        </w:rPr>
      </w:pPr>
      <w:r>
        <w:rPr>
          <w:b/>
          <w:bCs/>
          <w:szCs w:val="19"/>
          <w:u w:val="single"/>
        </w:rPr>
        <w:t>(b)</w:t>
      </w:r>
      <w:r>
        <w:rPr>
          <w:b/>
          <w:bCs/>
          <w:szCs w:val="19"/>
          <w:u w:val="single"/>
        </w:rPr>
        <w:tab/>
      </w:r>
      <w:r w:rsidR="00F74AE3" w:rsidRPr="00F74AE3">
        <w:rPr>
          <w:b/>
          <w:bCs/>
          <w:szCs w:val="19"/>
          <w:u w:val="single"/>
        </w:rPr>
        <w:t xml:space="preserve">for-profit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entities that have public accountability and are required to prepare financial reports in accordance with Part 2M.3 of the Corporations Act or disclose earnings per share</w:t>
      </w:r>
      <w:r w:rsidR="00F74AE3" w:rsidRPr="00F74AE3">
        <w:rPr>
          <w:b/>
          <w:bCs/>
          <w:szCs w:val="19"/>
        </w:rPr>
        <w:t>.</w:t>
      </w:r>
    </w:p>
    <w:p w14:paraId="1C8184BA"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7B35A3DB" w14:textId="77777777" w:rsidR="00F74AE3" w:rsidRPr="00F74AE3" w:rsidRDefault="00F74AE3" w:rsidP="001932E7">
      <w:pPr>
        <w:pStyle w:val="IASBNormalnpara"/>
        <w:rPr>
          <w:b/>
          <w:bCs/>
          <w:szCs w:val="19"/>
        </w:rPr>
      </w:pPr>
      <w:r w:rsidRPr="00F74AE3">
        <w:rPr>
          <w:b/>
          <w:bCs/>
          <w:szCs w:val="19"/>
        </w:rPr>
        <w:t xml:space="preserve">12 </w:t>
      </w:r>
      <w:r w:rsidRPr="00F74AE3">
        <w:rPr>
          <w:b/>
          <w:bCs/>
          <w:szCs w:val="19"/>
        </w:rPr>
        <w:tab/>
        <w:t xml:space="preserve">AASB 1038 </w:t>
      </w:r>
      <w:r w:rsidRPr="00F74AE3">
        <w:rPr>
          <w:b/>
          <w:bCs/>
          <w:i/>
          <w:szCs w:val="19"/>
        </w:rPr>
        <w:t>Life Insurance Contracts</w:t>
      </w:r>
      <w:r w:rsidRPr="00F74AE3">
        <w:rPr>
          <w:b/>
          <w:bCs/>
          <w:szCs w:val="19"/>
        </w:rPr>
        <w:t xml:space="preserve"> applies to:</w:t>
      </w:r>
    </w:p>
    <w:p w14:paraId="53DBFCEC" w14:textId="139082A1"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a life insurer; or</w:t>
      </w:r>
    </w:p>
    <w:p w14:paraId="3982C705" w14:textId="29F00BF1"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the parent in a group that includes a life insurer;</w:t>
      </w:r>
    </w:p>
    <w:p w14:paraId="6919EA1F" w14:textId="77777777" w:rsidR="00F74AE3" w:rsidRPr="00F74AE3" w:rsidRDefault="00F74AE3" w:rsidP="001932E7">
      <w:pPr>
        <w:pStyle w:val="IASBNormalnparaL1"/>
        <w:rPr>
          <w:b/>
          <w:bCs/>
          <w:szCs w:val="19"/>
        </w:rPr>
      </w:pPr>
      <w:r w:rsidRPr="00F74AE3">
        <w:rPr>
          <w:b/>
          <w:bCs/>
          <w:szCs w:val="19"/>
        </w:rPr>
        <w:t>when the entity:</w:t>
      </w:r>
    </w:p>
    <w:p w14:paraId="2237A944" w14:textId="56990528" w:rsidR="00F74AE3" w:rsidRPr="00F74AE3" w:rsidRDefault="001932E7" w:rsidP="001932E7">
      <w:pPr>
        <w:pStyle w:val="IASBNormalnparaL1"/>
        <w:rPr>
          <w:b/>
          <w:bCs/>
          <w:szCs w:val="19"/>
        </w:rPr>
      </w:pPr>
      <w:r>
        <w:rPr>
          <w:b/>
          <w:bCs/>
          <w:szCs w:val="19"/>
        </w:rPr>
        <w:t>(c)</w:t>
      </w:r>
      <w:r>
        <w:rPr>
          <w:b/>
          <w:bCs/>
          <w:szCs w:val="19"/>
        </w:rPr>
        <w:tab/>
      </w:r>
      <w:r w:rsidR="00F74AE3" w:rsidRPr="00F74AE3">
        <w:rPr>
          <w:b/>
          <w:bCs/>
          <w:szCs w:val="19"/>
        </w:rPr>
        <w:t>is a reporting entity that is required to prepare financial reports in accordance with Part 2M.3 of the Corporations Act;</w:t>
      </w:r>
    </w:p>
    <w:p w14:paraId="4C654ECC" w14:textId="5BBDBB5C" w:rsidR="00F74AE3" w:rsidRPr="00F74AE3" w:rsidRDefault="001932E7" w:rsidP="001932E7">
      <w:pPr>
        <w:pStyle w:val="IASBNormalnparaL1"/>
        <w:rPr>
          <w:b/>
          <w:bCs/>
          <w:szCs w:val="19"/>
        </w:rPr>
      </w:pPr>
      <w:r>
        <w:rPr>
          <w:b/>
          <w:bCs/>
          <w:szCs w:val="19"/>
        </w:rPr>
        <w:t>(d)</w:t>
      </w:r>
      <w:r>
        <w:rPr>
          <w:b/>
          <w:bCs/>
          <w:szCs w:val="19"/>
        </w:rPr>
        <w:tab/>
      </w:r>
      <w:r w:rsidR="00F74AE3" w:rsidRPr="00F74AE3">
        <w:rPr>
          <w:b/>
          <w:bCs/>
          <w:szCs w:val="19"/>
        </w:rPr>
        <w:t>is an other reporting entity and prepares general purpose financial statements;</w:t>
      </w:r>
      <w:r w:rsidR="00F74AE3" w:rsidRPr="00F74AE3">
        <w:rPr>
          <w:b/>
          <w:bCs/>
          <w:strike/>
          <w:szCs w:val="19"/>
        </w:rPr>
        <w:t xml:space="preserve"> or</w:t>
      </w:r>
    </w:p>
    <w:p w14:paraId="658CD1AE" w14:textId="555A6AB3" w:rsidR="00F74AE3" w:rsidRPr="00F74AE3" w:rsidRDefault="001932E7" w:rsidP="001932E7">
      <w:pPr>
        <w:pStyle w:val="IASBNormalnparaL1"/>
        <w:rPr>
          <w:b/>
          <w:bCs/>
          <w:szCs w:val="19"/>
        </w:rPr>
      </w:pPr>
      <w:r>
        <w:rPr>
          <w:b/>
          <w:bCs/>
          <w:szCs w:val="19"/>
        </w:rPr>
        <w:t>(e)</w:t>
      </w:r>
      <w:r>
        <w:rPr>
          <w:b/>
          <w:bCs/>
          <w:szCs w:val="19"/>
        </w:rPr>
        <w:tab/>
      </w:r>
      <w:r w:rsidR="00F74AE3" w:rsidRPr="00F74AE3">
        <w:rPr>
          <w:b/>
          <w:bCs/>
          <w:szCs w:val="19"/>
        </w:rPr>
        <w:t>prepares financial statements that are, or are held out to be, general purpose financial statements</w:t>
      </w:r>
      <w:r w:rsidR="00F74AE3" w:rsidRPr="00F74AE3">
        <w:rPr>
          <w:b/>
          <w:bCs/>
          <w:szCs w:val="19"/>
          <w:u w:val="single"/>
        </w:rPr>
        <w:t>; or</w:t>
      </w:r>
    </w:p>
    <w:p w14:paraId="6654FDCA" w14:textId="6D54CAC0" w:rsidR="00F74AE3" w:rsidRPr="00F74AE3" w:rsidRDefault="001932E7" w:rsidP="001932E7">
      <w:pPr>
        <w:pStyle w:val="IASBNormalnparaL1"/>
        <w:rPr>
          <w:b/>
          <w:bCs/>
          <w:szCs w:val="19"/>
        </w:rPr>
      </w:pPr>
      <w:r>
        <w:rPr>
          <w:b/>
          <w:bCs/>
          <w:szCs w:val="19"/>
          <w:u w:val="single"/>
        </w:rPr>
        <w:t>(f)</w:t>
      </w:r>
      <w:r>
        <w:rPr>
          <w:b/>
          <w:bCs/>
          <w:szCs w:val="19"/>
          <w:u w:val="single"/>
        </w:rPr>
        <w:tab/>
      </w:r>
      <w:r w:rsidR="00F74AE3" w:rsidRPr="00F74AE3">
        <w:rPr>
          <w:b/>
          <w:bCs/>
          <w:szCs w:val="19"/>
          <w:u w:val="single"/>
        </w:rPr>
        <w:t xml:space="preserve">is a for-profit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 xml:space="preserve">entity that has public accountability </w:t>
      </w:r>
      <w:r w:rsidR="00804BE3">
        <w:rPr>
          <w:b/>
          <w:bCs/>
          <w:szCs w:val="19"/>
          <w:u w:val="single"/>
        </w:rPr>
        <w:t>and</w:t>
      </w:r>
      <w:r w:rsidR="00F74AE3" w:rsidRPr="00F74AE3">
        <w:rPr>
          <w:b/>
          <w:bCs/>
          <w:szCs w:val="19"/>
          <w:u w:val="single"/>
        </w:rPr>
        <w:t xml:space="preserve"> is required </w:t>
      </w:r>
      <w:r w:rsidR="00F74AE3" w:rsidRPr="0067049C">
        <w:rPr>
          <w:b/>
          <w:szCs w:val="19"/>
          <w:u w:val="single"/>
        </w:rPr>
        <w:t>by legis</w:t>
      </w:r>
      <w:r w:rsidR="00F74AE3" w:rsidRPr="001932E7">
        <w:rPr>
          <w:b/>
          <w:bCs/>
          <w:szCs w:val="19"/>
        </w:rPr>
        <w:t xml:space="preserve">lation </w:t>
      </w:r>
      <w:r w:rsidR="00F74AE3" w:rsidRPr="00F74AE3">
        <w:rPr>
          <w:b/>
          <w:bCs/>
          <w:szCs w:val="19"/>
          <w:u w:val="single"/>
        </w:rPr>
        <w:t>to comply with Australian Accounting Standards</w:t>
      </w:r>
      <w:r w:rsidR="00F74AE3" w:rsidRPr="00F74AE3">
        <w:rPr>
          <w:b/>
          <w:bCs/>
          <w:szCs w:val="19"/>
        </w:rPr>
        <w:t>.</w:t>
      </w:r>
    </w:p>
    <w:p w14:paraId="659918B4"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1A181694" w14:textId="77777777" w:rsidR="00F74AE3" w:rsidRPr="00F74AE3" w:rsidRDefault="00F74AE3" w:rsidP="001932E7">
      <w:pPr>
        <w:pStyle w:val="IASBNormalnpara"/>
        <w:rPr>
          <w:b/>
          <w:bCs/>
          <w:szCs w:val="19"/>
        </w:rPr>
      </w:pPr>
      <w:r w:rsidRPr="00F74AE3">
        <w:rPr>
          <w:b/>
          <w:bCs/>
          <w:szCs w:val="19"/>
        </w:rPr>
        <w:t xml:space="preserve">18 </w:t>
      </w:r>
      <w:r w:rsidRPr="00F74AE3">
        <w:rPr>
          <w:b/>
          <w:bCs/>
          <w:szCs w:val="19"/>
        </w:rPr>
        <w:tab/>
        <w:t xml:space="preserve">AASB 1053 </w:t>
      </w:r>
      <w:r w:rsidR="00284EE9" w:rsidRPr="00284EE9">
        <w:rPr>
          <w:b/>
          <w:bCs/>
          <w:i/>
          <w:szCs w:val="19"/>
        </w:rPr>
        <w:t>Application of Tiers of Australian Accounting Standards</w:t>
      </w:r>
      <w:r w:rsidRPr="00F74AE3">
        <w:rPr>
          <w:b/>
          <w:bCs/>
          <w:szCs w:val="19"/>
        </w:rPr>
        <w:t xml:space="preserve"> applies to:</w:t>
      </w:r>
    </w:p>
    <w:p w14:paraId="2926D953" w14:textId="6ADBBA95"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w:t>
      </w:r>
    </w:p>
    <w:p w14:paraId="526C0969" w14:textId="1F500E3F"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general purpose financial statements of each reporting entity;</w:t>
      </w:r>
    </w:p>
    <w:p w14:paraId="15B1ED32" w14:textId="3D678C24" w:rsidR="00F74AE3" w:rsidRPr="00F74AE3" w:rsidRDefault="001932E7" w:rsidP="001932E7">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F74AE3">
        <w:rPr>
          <w:b/>
          <w:bCs/>
          <w:strike/>
          <w:szCs w:val="19"/>
        </w:rPr>
        <w:t xml:space="preserve"> and</w:t>
      </w:r>
    </w:p>
    <w:p w14:paraId="65E547CA" w14:textId="5B837416" w:rsidR="00F74AE3" w:rsidRPr="00F74AE3" w:rsidRDefault="001932E7" w:rsidP="001932E7">
      <w:pPr>
        <w:pStyle w:val="IASBNormalnparaL1"/>
        <w:rPr>
          <w:b/>
          <w:bCs/>
          <w:szCs w:val="19"/>
        </w:rPr>
      </w:pPr>
      <w:r>
        <w:rPr>
          <w:b/>
          <w:bCs/>
          <w:szCs w:val="19"/>
        </w:rPr>
        <w:t>(d)</w:t>
      </w:r>
      <w:r>
        <w:rPr>
          <w:b/>
          <w:bCs/>
          <w:szCs w:val="19"/>
        </w:rPr>
        <w:tab/>
      </w:r>
      <w:r w:rsidR="00F74AE3" w:rsidRPr="00F74AE3">
        <w:rPr>
          <w:b/>
          <w:bCs/>
          <w:szCs w:val="19"/>
        </w:rPr>
        <w:t>financial statements of GGSs prepared in accordance with AASB 1049</w:t>
      </w:r>
      <w:r w:rsidR="00F74AE3" w:rsidRPr="00F74AE3">
        <w:rPr>
          <w:b/>
          <w:bCs/>
          <w:szCs w:val="19"/>
          <w:u w:val="single"/>
        </w:rPr>
        <w:t>; and</w:t>
      </w:r>
    </w:p>
    <w:p w14:paraId="28000C2B" w14:textId="0C3EE232" w:rsidR="00F74AE3" w:rsidRPr="00F74AE3" w:rsidRDefault="001932E7" w:rsidP="001932E7">
      <w:pPr>
        <w:pStyle w:val="IASBNormalnparaL1"/>
        <w:rPr>
          <w:b/>
          <w:bCs/>
          <w:szCs w:val="19"/>
        </w:rPr>
      </w:pPr>
      <w:r>
        <w:rPr>
          <w:b/>
          <w:bCs/>
          <w:szCs w:val="19"/>
          <w:u w:val="single"/>
        </w:rPr>
        <w:t>(e)</w:t>
      </w:r>
      <w:r>
        <w:rPr>
          <w:b/>
          <w:bCs/>
          <w:szCs w:val="19"/>
          <w:u w:val="single"/>
        </w:rPr>
        <w:tab/>
        <w:t>f</w:t>
      </w:r>
      <w:r w:rsidR="00F74AE3" w:rsidRPr="00F74AE3">
        <w:rPr>
          <w:b/>
          <w:bCs/>
          <w:szCs w:val="19"/>
          <w:u w:val="single"/>
        </w:rPr>
        <w:t>or-profit</w:t>
      </w:r>
      <w:r w:rsidR="00B317FD">
        <w:rPr>
          <w:b/>
          <w:bCs/>
          <w:szCs w:val="19"/>
          <w:u w:val="single"/>
        </w:rPr>
        <w:t xml:space="preserve"> </w:t>
      </w:r>
      <w:r w:rsidR="00B317FD" w:rsidRPr="0067049C">
        <w:rPr>
          <w:b/>
          <w:szCs w:val="19"/>
          <w:u w:val="single"/>
        </w:rPr>
        <w:t>private sector</w:t>
      </w:r>
      <w:r w:rsidR="00F74AE3" w:rsidRPr="00F74AE3">
        <w:rPr>
          <w:b/>
          <w:bCs/>
          <w:szCs w:val="19"/>
          <w:u w:val="single"/>
        </w:rPr>
        <w:t xml:space="preserve"> entities that have public accountability </w:t>
      </w:r>
      <w:r w:rsidR="00CA1DD7" w:rsidRPr="0067049C">
        <w:rPr>
          <w:b/>
          <w:bCs/>
          <w:szCs w:val="19"/>
          <w:u w:val="single"/>
        </w:rPr>
        <w:t>and</w:t>
      </w:r>
      <w:r w:rsidR="00F74AE3" w:rsidRPr="00F74AE3">
        <w:rPr>
          <w:b/>
          <w:bCs/>
          <w:szCs w:val="19"/>
          <w:u w:val="single"/>
        </w:rPr>
        <w:t xml:space="preserve"> are 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24DF83CC" w14:textId="77777777" w:rsidR="00F74AE3" w:rsidRPr="00F74AE3" w:rsidRDefault="006E19B0" w:rsidP="00C87FAF">
      <w:pPr>
        <w:pStyle w:val="Default"/>
        <w:ind w:left="993" w:hanging="993"/>
        <w:jc w:val="both"/>
        <w:rPr>
          <w:bCs/>
          <w:color w:val="auto"/>
          <w:sz w:val="19"/>
          <w:szCs w:val="19"/>
        </w:rPr>
      </w:pPr>
      <w:r>
        <w:rPr>
          <w:bCs/>
          <w:color w:val="auto"/>
          <w:sz w:val="19"/>
          <w:szCs w:val="19"/>
        </w:rPr>
        <w:t>…</w:t>
      </w:r>
    </w:p>
    <w:p w14:paraId="1C2E4292" w14:textId="77777777" w:rsidR="00F74AE3" w:rsidRPr="00F74AE3" w:rsidRDefault="00F74AE3" w:rsidP="001932E7">
      <w:pPr>
        <w:pStyle w:val="IASBNormalnpara"/>
        <w:rPr>
          <w:b/>
          <w:bCs/>
          <w:szCs w:val="19"/>
        </w:rPr>
      </w:pPr>
      <w:r w:rsidRPr="00F74AE3">
        <w:rPr>
          <w:b/>
          <w:bCs/>
          <w:szCs w:val="19"/>
        </w:rPr>
        <w:t xml:space="preserve">20 </w:t>
      </w:r>
      <w:r w:rsidRPr="00F74AE3">
        <w:rPr>
          <w:b/>
          <w:bCs/>
          <w:szCs w:val="19"/>
        </w:rPr>
        <w:tab/>
        <w:t xml:space="preserve">AASB 1056 </w:t>
      </w:r>
      <w:r w:rsidRPr="00F74AE3">
        <w:rPr>
          <w:b/>
          <w:bCs/>
          <w:i/>
          <w:szCs w:val="19"/>
        </w:rPr>
        <w:t>Superannuation Entities</w:t>
      </w:r>
      <w:r w:rsidRPr="00F74AE3">
        <w:rPr>
          <w:b/>
          <w:bCs/>
          <w:szCs w:val="19"/>
        </w:rPr>
        <w:t xml:space="preserve"> applies to:</w:t>
      </w:r>
    </w:p>
    <w:p w14:paraId="35BC9064" w14:textId="01406611"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general purpose financial statements of each superannuation entity that is a reporting entity;</w:t>
      </w:r>
      <w:r w:rsidR="00F74AE3" w:rsidRPr="00F74AE3">
        <w:rPr>
          <w:b/>
          <w:bCs/>
          <w:strike/>
          <w:szCs w:val="19"/>
        </w:rPr>
        <w:t xml:space="preserve"> and</w:t>
      </w:r>
    </w:p>
    <w:p w14:paraId="1DFC0C65" w14:textId="59FCCB36"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financial statements of a superannuation entity that are held out to be general purpose financial statements</w:t>
      </w:r>
      <w:r w:rsidR="00F74AE3" w:rsidRPr="00F74AE3">
        <w:rPr>
          <w:b/>
          <w:bCs/>
          <w:szCs w:val="19"/>
          <w:u w:val="single"/>
        </w:rPr>
        <w:t>; and</w:t>
      </w:r>
    </w:p>
    <w:p w14:paraId="69743DC7" w14:textId="1DA0E32E" w:rsidR="00F74AE3" w:rsidRPr="00F74AE3" w:rsidRDefault="001932E7" w:rsidP="001932E7">
      <w:pPr>
        <w:pStyle w:val="IASBNormalnparaL1"/>
        <w:rPr>
          <w:b/>
          <w:bCs/>
          <w:szCs w:val="19"/>
        </w:rPr>
      </w:pPr>
      <w:r>
        <w:rPr>
          <w:b/>
          <w:bCs/>
          <w:szCs w:val="19"/>
          <w:u w:val="single"/>
        </w:rPr>
        <w:t>(c)</w:t>
      </w:r>
      <w:r>
        <w:rPr>
          <w:b/>
          <w:bCs/>
          <w:szCs w:val="19"/>
          <w:u w:val="single"/>
        </w:rPr>
        <w:tab/>
      </w:r>
      <w:r w:rsidR="00F74AE3" w:rsidRPr="00F74AE3">
        <w:rPr>
          <w:b/>
          <w:bCs/>
          <w:szCs w:val="19"/>
          <w:u w:val="single"/>
        </w:rPr>
        <w:t>for-profit superannuation entit</w:t>
      </w:r>
      <w:r w:rsidR="00296A39">
        <w:rPr>
          <w:b/>
          <w:bCs/>
          <w:szCs w:val="19"/>
          <w:u w:val="single"/>
        </w:rPr>
        <w:t>ies</w:t>
      </w:r>
      <w:r w:rsidR="00F74AE3" w:rsidRPr="00F74AE3">
        <w:rPr>
          <w:b/>
          <w:bCs/>
          <w:szCs w:val="19"/>
          <w:u w:val="single"/>
        </w:rPr>
        <w:t xml:space="preserve"> that ha</w:t>
      </w:r>
      <w:r w:rsidR="00296A39">
        <w:rPr>
          <w:b/>
          <w:bCs/>
          <w:szCs w:val="19"/>
          <w:u w:val="single"/>
        </w:rPr>
        <w:t>ve</w:t>
      </w:r>
      <w:r w:rsidR="00F74AE3" w:rsidRPr="00F74AE3">
        <w:rPr>
          <w:b/>
          <w:bCs/>
          <w:szCs w:val="19"/>
          <w:u w:val="single"/>
        </w:rPr>
        <w:t xml:space="preserve"> public accountability </w:t>
      </w:r>
      <w:r w:rsidR="00AA33CA">
        <w:rPr>
          <w:b/>
          <w:bCs/>
          <w:szCs w:val="19"/>
          <w:u w:val="single"/>
        </w:rPr>
        <w:t>and</w:t>
      </w:r>
      <w:r w:rsidR="00F74AE3" w:rsidRPr="00F74AE3">
        <w:rPr>
          <w:b/>
          <w:bCs/>
          <w:szCs w:val="19"/>
          <w:u w:val="single"/>
        </w:rPr>
        <w:t xml:space="preserve"> </w:t>
      </w:r>
      <w:r w:rsidR="00296A39">
        <w:rPr>
          <w:b/>
          <w:bCs/>
          <w:szCs w:val="19"/>
          <w:u w:val="single"/>
        </w:rPr>
        <w:t xml:space="preserve">are </w:t>
      </w:r>
      <w:r w:rsidR="00F74AE3" w:rsidRPr="00F74AE3">
        <w:rPr>
          <w:b/>
          <w:bCs/>
          <w:szCs w:val="19"/>
          <w:u w:val="single"/>
        </w:rPr>
        <w:t xml:space="preserve">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2B72F940" w14:textId="77777777" w:rsidR="00F74AE3" w:rsidRPr="00F74AE3" w:rsidRDefault="006E19B0" w:rsidP="00C87FAF">
      <w:pPr>
        <w:pStyle w:val="Default"/>
        <w:ind w:left="993" w:hanging="993"/>
        <w:jc w:val="both"/>
        <w:rPr>
          <w:bCs/>
          <w:color w:val="auto"/>
          <w:sz w:val="19"/>
          <w:szCs w:val="19"/>
        </w:rPr>
      </w:pPr>
      <w:r>
        <w:rPr>
          <w:bCs/>
          <w:color w:val="auto"/>
          <w:sz w:val="19"/>
          <w:szCs w:val="19"/>
        </w:rPr>
        <w:t>…</w:t>
      </w:r>
    </w:p>
    <w:p w14:paraId="74D0CCAF" w14:textId="77777777" w:rsidR="00F74AE3" w:rsidRPr="00F74AE3" w:rsidRDefault="00F74AE3" w:rsidP="00C87FAF">
      <w:pPr>
        <w:pStyle w:val="Heading2"/>
        <w:spacing w:before="240"/>
        <w:jc w:val="both"/>
      </w:pPr>
      <w:r w:rsidRPr="00F74AE3">
        <w:t>Application of Australian Interpretations</w:t>
      </w:r>
    </w:p>
    <w:p w14:paraId="09495DDF" w14:textId="77777777" w:rsidR="00F74AE3" w:rsidRPr="00F74AE3" w:rsidRDefault="00F74AE3" w:rsidP="001932E7">
      <w:pPr>
        <w:pStyle w:val="IASBNormalnpara"/>
        <w:rPr>
          <w:b/>
          <w:bCs/>
          <w:szCs w:val="19"/>
        </w:rPr>
      </w:pPr>
      <w:r w:rsidRPr="00F74AE3">
        <w:rPr>
          <w:b/>
          <w:bCs/>
          <w:szCs w:val="19"/>
        </w:rPr>
        <w:t xml:space="preserve">22 </w:t>
      </w:r>
      <w:r w:rsidRPr="00F74AE3">
        <w:rPr>
          <w:b/>
          <w:bCs/>
          <w:szCs w:val="19"/>
        </w:rPr>
        <w:tab/>
        <w:t>Unless specified otherwise in paragraphs 23–26, Interpretations apply to:</w:t>
      </w:r>
    </w:p>
    <w:p w14:paraId="5EA2F712" w14:textId="73C25AE0"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 and that is a reporting entity;</w:t>
      </w:r>
    </w:p>
    <w:p w14:paraId="2CED5D2F" w14:textId="7588772A"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general purpose financial statements of each other reporting entity;</w:t>
      </w:r>
      <w:r w:rsidR="00F74AE3" w:rsidRPr="00F74AE3">
        <w:rPr>
          <w:b/>
          <w:bCs/>
          <w:strike/>
          <w:szCs w:val="19"/>
        </w:rPr>
        <w:t xml:space="preserve"> and</w:t>
      </w:r>
    </w:p>
    <w:p w14:paraId="291CA047" w14:textId="52DA86C8" w:rsidR="00F74AE3" w:rsidRPr="00F74AE3" w:rsidRDefault="001932E7" w:rsidP="001932E7">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F74AE3">
        <w:rPr>
          <w:b/>
          <w:bCs/>
          <w:szCs w:val="19"/>
          <w:u w:val="single"/>
        </w:rPr>
        <w:t>; and</w:t>
      </w:r>
    </w:p>
    <w:p w14:paraId="4A3D9337" w14:textId="217C4F36" w:rsidR="00F74AE3" w:rsidRPr="00F74AE3" w:rsidRDefault="001932E7" w:rsidP="001932E7">
      <w:pPr>
        <w:pStyle w:val="IASBNormalnparaL1"/>
        <w:rPr>
          <w:b/>
          <w:bCs/>
          <w:szCs w:val="19"/>
        </w:rPr>
      </w:pPr>
      <w:r>
        <w:rPr>
          <w:b/>
          <w:bCs/>
          <w:szCs w:val="19"/>
        </w:rPr>
        <w:t>(d)</w:t>
      </w:r>
      <w:r>
        <w:rPr>
          <w:b/>
          <w:bCs/>
          <w:szCs w:val="19"/>
        </w:rPr>
        <w:tab/>
      </w:r>
      <w:r w:rsidR="00F74AE3" w:rsidRPr="001932E7">
        <w:rPr>
          <w:b/>
          <w:bCs/>
          <w:szCs w:val="19"/>
        </w:rPr>
        <w:t>for</w:t>
      </w:r>
      <w:r w:rsidR="00F74AE3" w:rsidRPr="00F74AE3">
        <w:rPr>
          <w:b/>
          <w:bCs/>
          <w:szCs w:val="19"/>
          <w:u w:val="single"/>
        </w:rPr>
        <w:t xml:space="preserve">-profit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entit</w:t>
      </w:r>
      <w:r w:rsidR="00296A39">
        <w:rPr>
          <w:b/>
          <w:bCs/>
          <w:szCs w:val="19"/>
          <w:u w:val="single"/>
        </w:rPr>
        <w:t>ies</w:t>
      </w:r>
      <w:r w:rsidR="00F74AE3" w:rsidRPr="00F74AE3">
        <w:rPr>
          <w:b/>
          <w:bCs/>
          <w:szCs w:val="19"/>
          <w:u w:val="single"/>
        </w:rPr>
        <w:t xml:space="preserve"> that ha</w:t>
      </w:r>
      <w:r w:rsidR="00296A39">
        <w:rPr>
          <w:b/>
          <w:bCs/>
          <w:szCs w:val="19"/>
          <w:u w:val="single"/>
        </w:rPr>
        <w:t>ve</w:t>
      </w:r>
      <w:r w:rsidR="00F74AE3" w:rsidRPr="00F74AE3">
        <w:rPr>
          <w:b/>
          <w:bCs/>
          <w:szCs w:val="19"/>
          <w:u w:val="single"/>
        </w:rPr>
        <w:t xml:space="preserve"> public accountability </w:t>
      </w:r>
      <w:r w:rsidR="00804BE3">
        <w:rPr>
          <w:b/>
          <w:bCs/>
          <w:szCs w:val="19"/>
          <w:u w:val="single"/>
        </w:rPr>
        <w:t>and</w:t>
      </w:r>
      <w:r w:rsidR="00F74AE3" w:rsidRPr="00F74AE3">
        <w:rPr>
          <w:b/>
          <w:bCs/>
          <w:szCs w:val="19"/>
          <w:u w:val="single"/>
        </w:rPr>
        <w:t xml:space="preserve"> </w:t>
      </w:r>
      <w:r w:rsidR="00296A39">
        <w:rPr>
          <w:b/>
          <w:bCs/>
          <w:szCs w:val="19"/>
          <w:u w:val="single"/>
        </w:rPr>
        <w:t xml:space="preserve">are </w:t>
      </w:r>
      <w:r w:rsidR="00F74AE3" w:rsidRPr="00F74AE3">
        <w:rPr>
          <w:b/>
          <w:bCs/>
          <w:szCs w:val="19"/>
          <w:u w:val="single"/>
        </w:rPr>
        <w:t xml:space="preserve">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03386C45" w14:textId="77777777" w:rsidR="00F74AE3" w:rsidRPr="00F74AE3" w:rsidRDefault="00F74AE3" w:rsidP="001932E7">
      <w:pPr>
        <w:pStyle w:val="IASBNormalnpara"/>
        <w:rPr>
          <w:b/>
          <w:bCs/>
          <w:szCs w:val="19"/>
        </w:rPr>
      </w:pPr>
      <w:r w:rsidRPr="00F74AE3">
        <w:rPr>
          <w:b/>
          <w:bCs/>
          <w:szCs w:val="19"/>
        </w:rPr>
        <w:t xml:space="preserve">23 </w:t>
      </w:r>
      <w:r w:rsidRPr="00F74AE3">
        <w:rPr>
          <w:b/>
          <w:bCs/>
          <w:szCs w:val="19"/>
        </w:rPr>
        <w:tab/>
        <w:t xml:space="preserve">Interpretation 110 </w:t>
      </w:r>
      <w:r w:rsidRPr="00F74AE3">
        <w:rPr>
          <w:b/>
          <w:bCs/>
          <w:i/>
          <w:szCs w:val="19"/>
        </w:rPr>
        <w:t>Government Assistance – No Specific Relation to Operating Activities</w:t>
      </w:r>
      <w:r w:rsidRPr="00F74AE3">
        <w:rPr>
          <w:b/>
          <w:bCs/>
          <w:szCs w:val="19"/>
        </w:rPr>
        <w:t xml:space="preserve"> applies to:</w:t>
      </w:r>
    </w:p>
    <w:p w14:paraId="269E5395" w14:textId="7ED96BB7"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for-profit entity that is required to prepare financial reports in accordance with Part 2M.3 of the Corporations Act and that is a reporting entity;</w:t>
      </w:r>
    </w:p>
    <w:p w14:paraId="22F93DAB" w14:textId="1D15E0BE"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general purpose financial statements of each other for-profit reporting entity;</w:t>
      </w:r>
      <w:r w:rsidR="00F74AE3" w:rsidRPr="00F74AE3">
        <w:rPr>
          <w:b/>
          <w:bCs/>
          <w:strike/>
          <w:szCs w:val="19"/>
        </w:rPr>
        <w:t xml:space="preserve"> and</w:t>
      </w:r>
    </w:p>
    <w:p w14:paraId="4EBF9EFD" w14:textId="02E056C6" w:rsidR="00F74AE3" w:rsidRPr="00F74AE3" w:rsidRDefault="001932E7" w:rsidP="001932E7">
      <w:pPr>
        <w:pStyle w:val="IASBNormalnparaL1"/>
        <w:rPr>
          <w:b/>
          <w:bCs/>
          <w:szCs w:val="19"/>
        </w:rPr>
      </w:pPr>
      <w:r>
        <w:rPr>
          <w:b/>
          <w:bCs/>
          <w:szCs w:val="19"/>
        </w:rPr>
        <w:t>(c)</w:t>
      </w:r>
      <w:r>
        <w:rPr>
          <w:b/>
          <w:bCs/>
          <w:szCs w:val="19"/>
        </w:rPr>
        <w:tab/>
      </w:r>
      <w:r w:rsidR="00F74AE3" w:rsidRPr="00F74AE3">
        <w:rPr>
          <w:b/>
          <w:bCs/>
          <w:szCs w:val="19"/>
        </w:rPr>
        <w:t>financial statements of a for-profit entity that are, or are held out to be, general purpose financial statements</w:t>
      </w:r>
      <w:r w:rsidR="00F74AE3" w:rsidRPr="00F74AE3">
        <w:rPr>
          <w:b/>
          <w:bCs/>
          <w:szCs w:val="19"/>
          <w:u w:val="single"/>
        </w:rPr>
        <w:t>; and</w:t>
      </w:r>
    </w:p>
    <w:p w14:paraId="28432FE5" w14:textId="3BA32EE2" w:rsidR="00F74AE3" w:rsidRPr="00F74AE3" w:rsidRDefault="001932E7" w:rsidP="001932E7">
      <w:pPr>
        <w:pStyle w:val="IASBNormalnparaL1"/>
        <w:rPr>
          <w:b/>
          <w:bCs/>
          <w:szCs w:val="19"/>
        </w:rPr>
      </w:pPr>
      <w:r>
        <w:rPr>
          <w:b/>
          <w:bCs/>
          <w:szCs w:val="19"/>
          <w:u w:val="single"/>
        </w:rPr>
        <w:t>(d)</w:t>
      </w:r>
      <w:r>
        <w:rPr>
          <w:b/>
          <w:bCs/>
          <w:szCs w:val="19"/>
          <w:u w:val="single"/>
        </w:rPr>
        <w:tab/>
      </w:r>
      <w:r w:rsidR="00F74AE3" w:rsidRPr="00F74AE3">
        <w:rPr>
          <w:b/>
          <w:bCs/>
          <w:szCs w:val="19"/>
          <w:u w:val="single"/>
        </w:rPr>
        <w:t>for-profit</w:t>
      </w:r>
      <w:r w:rsidR="00B317FD">
        <w:rPr>
          <w:b/>
          <w:bCs/>
          <w:szCs w:val="19"/>
          <w:u w:val="single"/>
        </w:rPr>
        <w:t xml:space="preserve"> </w:t>
      </w:r>
      <w:r w:rsidR="00B317FD" w:rsidRPr="0067049C">
        <w:rPr>
          <w:b/>
          <w:szCs w:val="19"/>
          <w:u w:val="single"/>
        </w:rPr>
        <w:t>private sector</w:t>
      </w:r>
      <w:r w:rsidR="00F74AE3" w:rsidRPr="00F74AE3">
        <w:rPr>
          <w:b/>
          <w:bCs/>
          <w:szCs w:val="19"/>
          <w:u w:val="single"/>
        </w:rPr>
        <w:t xml:space="preserve"> entit</w:t>
      </w:r>
      <w:r w:rsidR="00296A39">
        <w:rPr>
          <w:b/>
          <w:bCs/>
          <w:szCs w:val="19"/>
          <w:u w:val="single"/>
        </w:rPr>
        <w:t>ies</w:t>
      </w:r>
      <w:r w:rsidR="00F74AE3" w:rsidRPr="00F74AE3">
        <w:rPr>
          <w:b/>
          <w:bCs/>
          <w:szCs w:val="19"/>
          <w:u w:val="single"/>
        </w:rPr>
        <w:t xml:space="preserve"> that ha</w:t>
      </w:r>
      <w:r w:rsidR="00296A39">
        <w:rPr>
          <w:b/>
          <w:bCs/>
          <w:szCs w:val="19"/>
          <w:u w:val="single"/>
        </w:rPr>
        <w:t>ve</w:t>
      </w:r>
      <w:r w:rsidR="00F74AE3" w:rsidRPr="00F74AE3">
        <w:rPr>
          <w:b/>
          <w:bCs/>
          <w:szCs w:val="19"/>
          <w:u w:val="single"/>
        </w:rPr>
        <w:t xml:space="preserve"> public accountability </w:t>
      </w:r>
      <w:r w:rsidR="00804BE3">
        <w:rPr>
          <w:b/>
          <w:bCs/>
          <w:szCs w:val="19"/>
          <w:u w:val="single"/>
        </w:rPr>
        <w:t>and</w:t>
      </w:r>
      <w:r w:rsidR="00F74AE3" w:rsidRPr="00F74AE3">
        <w:rPr>
          <w:b/>
          <w:bCs/>
          <w:szCs w:val="19"/>
          <w:u w:val="single"/>
        </w:rPr>
        <w:t xml:space="preserve"> </w:t>
      </w:r>
      <w:r w:rsidR="00296A39">
        <w:rPr>
          <w:b/>
          <w:bCs/>
          <w:szCs w:val="19"/>
          <w:u w:val="single"/>
        </w:rPr>
        <w:t xml:space="preserve">are </w:t>
      </w:r>
      <w:r w:rsidR="00F74AE3" w:rsidRPr="00F74AE3">
        <w:rPr>
          <w:b/>
          <w:bCs/>
          <w:szCs w:val="19"/>
          <w:u w:val="single"/>
        </w:rPr>
        <w:t xml:space="preserve">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4130FFA9" w14:textId="77777777" w:rsidR="00F74AE3" w:rsidRPr="00F74AE3" w:rsidRDefault="00F74AE3" w:rsidP="001932E7">
      <w:pPr>
        <w:pStyle w:val="IASBNormalnpara"/>
        <w:rPr>
          <w:b/>
          <w:bCs/>
          <w:szCs w:val="19"/>
        </w:rPr>
      </w:pPr>
      <w:r w:rsidRPr="00F74AE3">
        <w:rPr>
          <w:b/>
          <w:bCs/>
          <w:szCs w:val="19"/>
        </w:rPr>
        <w:t xml:space="preserve">24 </w:t>
      </w:r>
      <w:r w:rsidRPr="00F74AE3">
        <w:rPr>
          <w:b/>
          <w:bCs/>
          <w:szCs w:val="19"/>
        </w:rPr>
        <w:tab/>
        <w:t xml:space="preserve">Interpretation 1019 </w:t>
      </w:r>
      <w:r w:rsidRPr="00F74AE3">
        <w:rPr>
          <w:b/>
          <w:bCs/>
          <w:i/>
          <w:szCs w:val="19"/>
        </w:rPr>
        <w:t>The Superannuation Contributions Surcharge</w:t>
      </w:r>
      <w:r w:rsidRPr="00F74AE3">
        <w:rPr>
          <w:b/>
          <w:bCs/>
          <w:szCs w:val="19"/>
        </w:rPr>
        <w:t xml:space="preserve"> applies to:</w:t>
      </w:r>
    </w:p>
    <w:p w14:paraId="0FCCBCFB" w14:textId="73382314" w:rsidR="00F74AE3" w:rsidRPr="00F74AE3" w:rsidRDefault="001932E7" w:rsidP="001932E7">
      <w:pPr>
        <w:pStyle w:val="IASBNormalnparaL1"/>
        <w:rPr>
          <w:b/>
          <w:bCs/>
          <w:szCs w:val="19"/>
        </w:rPr>
      </w:pPr>
      <w:r>
        <w:rPr>
          <w:b/>
          <w:bCs/>
          <w:szCs w:val="19"/>
        </w:rPr>
        <w:t>(a)</w:t>
      </w:r>
      <w:r>
        <w:rPr>
          <w:b/>
          <w:bCs/>
          <w:szCs w:val="19"/>
        </w:rPr>
        <w:tab/>
      </w:r>
      <w:r w:rsidR="00F74AE3" w:rsidRPr="00F74AE3">
        <w:rPr>
          <w:b/>
          <w:bCs/>
          <w:szCs w:val="19"/>
        </w:rPr>
        <w:t>each superannuation plan that is required to prepare financial reports in accordance with Part 2M.3 of the Corporations Act and that is a reporting entity;</w:t>
      </w:r>
    </w:p>
    <w:p w14:paraId="3C7AA0B5" w14:textId="286BDF83" w:rsidR="00F74AE3" w:rsidRPr="00F74AE3" w:rsidRDefault="001932E7" w:rsidP="001932E7">
      <w:pPr>
        <w:pStyle w:val="IASBNormalnparaL1"/>
        <w:rPr>
          <w:b/>
          <w:bCs/>
          <w:szCs w:val="19"/>
        </w:rPr>
      </w:pPr>
      <w:r>
        <w:rPr>
          <w:b/>
          <w:bCs/>
          <w:szCs w:val="19"/>
        </w:rPr>
        <w:t>(b)</w:t>
      </w:r>
      <w:r>
        <w:rPr>
          <w:b/>
          <w:bCs/>
          <w:szCs w:val="19"/>
        </w:rPr>
        <w:tab/>
      </w:r>
      <w:r w:rsidR="00F74AE3" w:rsidRPr="00F74AE3">
        <w:rPr>
          <w:b/>
          <w:bCs/>
          <w:szCs w:val="19"/>
        </w:rPr>
        <w:t>general purpose financial statements of each other superannuation plan that is a reporting entity;</w:t>
      </w:r>
      <w:r w:rsidR="00F74AE3" w:rsidRPr="00F74AE3">
        <w:rPr>
          <w:b/>
          <w:bCs/>
          <w:strike/>
          <w:szCs w:val="19"/>
        </w:rPr>
        <w:t xml:space="preserve"> and</w:t>
      </w:r>
    </w:p>
    <w:p w14:paraId="47740A15" w14:textId="37003A4E" w:rsidR="00F74AE3" w:rsidRPr="00F74AE3" w:rsidRDefault="009E67C8" w:rsidP="009E67C8">
      <w:pPr>
        <w:pStyle w:val="IASBNormalnparaL1"/>
        <w:rPr>
          <w:b/>
          <w:bCs/>
          <w:szCs w:val="19"/>
        </w:rPr>
      </w:pPr>
      <w:r>
        <w:rPr>
          <w:b/>
          <w:bCs/>
          <w:szCs w:val="19"/>
        </w:rPr>
        <w:t>(c)</w:t>
      </w:r>
      <w:r>
        <w:rPr>
          <w:b/>
          <w:bCs/>
          <w:szCs w:val="19"/>
        </w:rPr>
        <w:tab/>
      </w:r>
      <w:r w:rsidR="00F74AE3" w:rsidRPr="00F74AE3">
        <w:rPr>
          <w:b/>
          <w:bCs/>
          <w:szCs w:val="19"/>
        </w:rPr>
        <w:t>financial statements of a superannuation plan that are, or are held out to be, general purpose financial statements</w:t>
      </w:r>
      <w:r w:rsidR="00F74AE3" w:rsidRPr="00F74AE3">
        <w:rPr>
          <w:b/>
          <w:bCs/>
          <w:szCs w:val="19"/>
          <w:u w:val="single"/>
        </w:rPr>
        <w:t>; and</w:t>
      </w:r>
    </w:p>
    <w:p w14:paraId="49B3A8A9" w14:textId="351A9865" w:rsidR="00F74AE3" w:rsidRPr="00F74AE3" w:rsidRDefault="009E67C8" w:rsidP="009E67C8">
      <w:pPr>
        <w:pStyle w:val="IASBNormalnparaL1"/>
        <w:rPr>
          <w:b/>
          <w:bCs/>
          <w:szCs w:val="19"/>
        </w:rPr>
      </w:pPr>
      <w:r>
        <w:rPr>
          <w:b/>
          <w:bCs/>
          <w:szCs w:val="19"/>
          <w:u w:val="single"/>
        </w:rPr>
        <w:t>(d)</w:t>
      </w:r>
      <w:r>
        <w:rPr>
          <w:b/>
          <w:bCs/>
          <w:szCs w:val="19"/>
          <w:u w:val="single"/>
        </w:rPr>
        <w:tab/>
      </w:r>
      <w:r w:rsidR="00F74AE3" w:rsidRPr="00F74AE3">
        <w:rPr>
          <w:b/>
          <w:bCs/>
          <w:szCs w:val="19"/>
          <w:u w:val="single"/>
        </w:rPr>
        <w:t>for-profit superannuation plan</w:t>
      </w:r>
      <w:r w:rsidR="00296A39">
        <w:rPr>
          <w:b/>
          <w:bCs/>
          <w:szCs w:val="19"/>
          <w:u w:val="single"/>
        </w:rPr>
        <w:t>s</w:t>
      </w:r>
      <w:r w:rsidR="00F74AE3" w:rsidRPr="00F74AE3">
        <w:rPr>
          <w:b/>
          <w:bCs/>
          <w:szCs w:val="19"/>
          <w:u w:val="single"/>
        </w:rPr>
        <w:t xml:space="preserve"> that ha</w:t>
      </w:r>
      <w:r w:rsidR="00296A39">
        <w:rPr>
          <w:b/>
          <w:bCs/>
          <w:szCs w:val="19"/>
          <w:u w:val="single"/>
        </w:rPr>
        <w:t>ve</w:t>
      </w:r>
      <w:r w:rsidR="00F74AE3" w:rsidRPr="00F74AE3">
        <w:rPr>
          <w:b/>
          <w:bCs/>
          <w:szCs w:val="19"/>
          <w:u w:val="single"/>
        </w:rPr>
        <w:t xml:space="preserve"> public accountability </w:t>
      </w:r>
      <w:r w:rsidR="00804BE3">
        <w:rPr>
          <w:b/>
          <w:bCs/>
          <w:szCs w:val="19"/>
          <w:u w:val="single"/>
        </w:rPr>
        <w:t>and</w:t>
      </w:r>
      <w:r w:rsidR="00F74AE3" w:rsidRPr="00F74AE3">
        <w:rPr>
          <w:b/>
          <w:bCs/>
          <w:szCs w:val="19"/>
          <w:u w:val="single"/>
        </w:rPr>
        <w:t xml:space="preserve"> </w:t>
      </w:r>
      <w:r w:rsidR="00296A39">
        <w:rPr>
          <w:b/>
          <w:bCs/>
          <w:szCs w:val="19"/>
          <w:u w:val="single"/>
        </w:rPr>
        <w:t xml:space="preserve">are </w:t>
      </w:r>
      <w:r w:rsidR="00F74AE3" w:rsidRPr="00F74AE3">
        <w:rPr>
          <w:b/>
          <w:bCs/>
          <w:szCs w:val="19"/>
          <w:u w:val="single"/>
        </w:rPr>
        <w:t xml:space="preserve">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0C5A3DDB"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0F5B366A" w14:textId="77777777" w:rsidR="00F74AE3" w:rsidRPr="00F74AE3" w:rsidRDefault="00F74AE3" w:rsidP="009E67C8">
      <w:pPr>
        <w:pStyle w:val="IASBNormalnpara"/>
        <w:rPr>
          <w:b/>
          <w:bCs/>
          <w:szCs w:val="19"/>
        </w:rPr>
      </w:pPr>
      <w:r w:rsidRPr="00F74AE3">
        <w:rPr>
          <w:b/>
          <w:bCs/>
          <w:szCs w:val="19"/>
        </w:rPr>
        <w:t xml:space="preserve">26 </w:t>
      </w:r>
      <w:r w:rsidRPr="00F74AE3">
        <w:rPr>
          <w:b/>
          <w:bCs/>
          <w:szCs w:val="19"/>
        </w:rPr>
        <w:tab/>
        <w:t xml:space="preserve">Interpretation 1047 </w:t>
      </w:r>
      <w:r w:rsidRPr="00F74AE3">
        <w:rPr>
          <w:b/>
          <w:bCs/>
          <w:i/>
          <w:szCs w:val="19"/>
        </w:rPr>
        <w:t xml:space="preserve">Professional Indemnity Claims Liabilities in Medical Defence Organisations </w:t>
      </w:r>
      <w:r w:rsidRPr="00F74AE3">
        <w:rPr>
          <w:b/>
          <w:bCs/>
          <w:szCs w:val="19"/>
        </w:rPr>
        <w:t>applies to entities that are or include medical defence organisations as follows:</w:t>
      </w:r>
    </w:p>
    <w:p w14:paraId="39432D17" w14:textId="49DD98CA" w:rsidR="00F74AE3" w:rsidRPr="00F74AE3" w:rsidRDefault="009E67C8" w:rsidP="009E67C8">
      <w:pPr>
        <w:pStyle w:val="IASBNormalnparaL1"/>
        <w:rPr>
          <w:b/>
          <w:bCs/>
          <w:szCs w:val="19"/>
        </w:rPr>
      </w:pPr>
      <w:r>
        <w:rPr>
          <w:b/>
          <w:bCs/>
          <w:szCs w:val="19"/>
        </w:rPr>
        <w:t>(a)</w:t>
      </w:r>
      <w:r>
        <w:rPr>
          <w:b/>
          <w:bCs/>
          <w:szCs w:val="19"/>
        </w:rPr>
        <w:tab/>
      </w:r>
      <w:r w:rsidR="00F74AE3" w:rsidRPr="00F74AE3">
        <w:rPr>
          <w:b/>
          <w:bCs/>
          <w:szCs w:val="19"/>
        </w:rPr>
        <w:t>each entity that is required to prepare financial reports in accordance with Part 2M.3 of the Corporations Act and that is a reporting entity;</w:t>
      </w:r>
    </w:p>
    <w:p w14:paraId="6125A81D" w14:textId="026AACC5" w:rsidR="00F74AE3" w:rsidRPr="00F74AE3" w:rsidRDefault="009E67C8" w:rsidP="009E67C8">
      <w:pPr>
        <w:pStyle w:val="IASBNormalnparaL1"/>
        <w:rPr>
          <w:b/>
          <w:bCs/>
          <w:szCs w:val="19"/>
        </w:rPr>
      </w:pPr>
      <w:r>
        <w:rPr>
          <w:b/>
          <w:bCs/>
          <w:szCs w:val="19"/>
        </w:rPr>
        <w:t>(b)</w:t>
      </w:r>
      <w:r>
        <w:rPr>
          <w:b/>
          <w:bCs/>
          <w:szCs w:val="19"/>
        </w:rPr>
        <w:tab/>
      </w:r>
      <w:r w:rsidR="00F74AE3" w:rsidRPr="00F74AE3">
        <w:rPr>
          <w:b/>
          <w:bCs/>
          <w:szCs w:val="19"/>
        </w:rPr>
        <w:t>general purpose financial statements of each other reporting entity;</w:t>
      </w:r>
      <w:r w:rsidR="00F74AE3" w:rsidRPr="00F74AE3">
        <w:rPr>
          <w:b/>
          <w:bCs/>
          <w:strike/>
          <w:szCs w:val="19"/>
        </w:rPr>
        <w:t xml:space="preserve"> and</w:t>
      </w:r>
    </w:p>
    <w:p w14:paraId="7CAF5BCA" w14:textId="67F0FC1B" w:rsidR="00F74AE3" w:rsidRPr="00F74AE3" w:rsidRDefault="009E67C8" w:rsidP="009E67C8">
      <w:pPr>
        <w:pStyle w:val="IASBNormalnparaL1"/>
        <w:rPr>
          <w:b/>
          <w:bCs/>
          <w:szCs w:val="19"/>
        </w:rPr>
      </w:pPr>
      <w:r>
        <w:rPr>
          <w:b/>
          <w:bCs/>
          <w:szCs w:val="19"/>
        </w:rPr>
        <w:t>(c)</w:t>
      </w:r>
      <w:r>
        <w:rPr>
          <w:b/>
          <w:bCs/>
          <w:szCs w:val="19"/>
        </w:rPr>
        <w:tab/>
      </w:r>
      <w:r w:rsidR="00F74AE3" w:rsidRPr="00F74AE3">
        <w:rPr>
          <w:b/>
          <w:bCs/>
          <w:szCs w:val="19"/>
        </w:rPr>
        <w:t>financial statements that are, or are held out to be, general purpose financial statements</w:t>
      </w:r>
      <w:r w:rsidR="00F74AE3" w:rsidRPr="00F74AE3">
        <w:rPr>
          <w:b/>
          <w:bCs/>
          <w:szCs w:val="19"/>
          <w:u w:val="single"/>
        </w:rPr>
        <w:t>; and</w:t>
      </w:r>
    </w:p>
    <w:p w14:paraId="6E614CDD" w14:textId="1D1A6EA3" w:rsidR="00F74AE3" w:rsidRPr="00F74AE3" w:rsidRDefault="009E67C8" w:rsidP="009E67C8">
      <w:pPr>
        <w:pStyle w:val="IASBNormalnparaL1"/>
        <w:rPr>
          <w:b/>
          <w:bCs/>
          <w:szCs w:val="19"/>
        </w:rPr>
      </w:pPr>
      <w:r>
        <w:rPr>
          <w:b/>
          <w:bCs/>
          <w:szCs w:val="19"/>
          <w:u w:val="single"/>
        </w:rPr>
        <w:t>(d)</w:t>
      </w:r>
      <w:r>
        <w:rPr>
          <w:b/>
          <w:bCs/>
          <w:szCs w:val="19"/>
          <w:u w:val="single"/>
        </w:rPr>
        <w:tab/>
      </w:r>
      <w:r w:rsidR="00F74AE3" w:rsidRPr="00F74AE3">
        <w:rPr>
          <w:b/>
          <w:bCs/>
          <w:szCs w:val="19"/>
          <w:u w:val="single"/>
        </w:rPr>
        <w:t xml:space="preserve">for-profit </w:t>
      </w:r>
      <w:r w:rsidR="00B317FD" w:rsidRPr="0067049C">
        <w:rPr>
          <w:b/>
          <w:szCs w:val="19"/>
          <w:u w:val="single"/>
        </w:rPr>
        <w:t>private sector</w:t>
      </w:r>
      <w:r w:rsidR="00B317FD" w:rsidRPr="00F74AE3">
        <w:rPr>
          <w:b/>
          <w:bCs/>
          <w:szCs w:val="19"/>
          <w:u w:val="single"/>
        </w:rPr>
        <w:t xml:space="preserve"> </w:t>
      </w:r>
      <w:r w:rsidR="00F74AE3" w:rsidRPr="00F74AE3">
        <w:rPr>
          <w:b/>
          <w:bCs/>
          <w:szCs w:val="19"/>
          <w:u w:val="single"/>
        </w:rPr>
        <w:t>entit</w:t>
      </w:r>
      <w:r w:rsidR="00296A39">
        <w:rPr>
          <w:b/>
          <w:bCs/>
          <w:szCs w:val="19"/>
          <w:u w:val="single"/>
        </w:rPr>
        <w:t>ies</w:t>
      </w:r>
      <w:r w:rsidR="00F74AE3" w:rsidRPr="00F74AE3">
        <w:rPr>
          <w:b/>
          <w:bCs/>
          <w:szCs w:val="19"/>
          <w:u w:val="single"/>
        </w:rPr>
        <w:t xml:space="preserve"> that ha</w:t>
      </w:r>
      <w:r w:rsidR="00296A39">
        <w:rPr>
          <w:b/>
          <w:bCs/>
          <w:szCs w:val="19"/>
          <w:u w:val="single"/>
        </w:rPr>
        <w:t>ve</w:t>
      </w:r>
      <w:r w:rsidR="00F74AE3" w:rsidRPr="00F74AE3">
        <w:rPr>
          <w:b/>
          <w:bCs/>
          <w:szCs w:val="19"/>
          <w:u w:val="single"/>
        </w:rPr>
        <w:t xml:space="preserve"> public accountability </w:t>
      </w:r>
      <w:r w:rsidR="00804BE3">
        <w:rPr>
          <w:b/>
          <w:bCs/>
          <w:szCs w:val="19"/>
          <w:u w:val="single"/>
        </w:rPr>
        <w:t>and</w:t>
      </w:r>
      <w:r w:rsidR="00F74AE3" w:rsidRPr="00F74AE3">
        <w:rPr>
          <w:b/>
          <w:bCs/>
          <w:szCs w:val="19"/>
          <w:u w:val="single"/>
        </w:rPr>
        <w:t xml:space="preserve"> </w:t>
      </w:r>
      <w:r w:rsidR="00296A39">
        <w:rPr>
          <w:b/>
          <w:bCs/>
          <w:szCs w:val="19"/>
          <w:u w:val="single"/>
        </w:rPr>
        <w:t xml:space="preserve">are </w:t>
      </w:r>
      <w:r w:rsidR="00F74AE3" w:rsidRPr="00F74AE3">
        <w:rPr>
          <w:b/>
          <w:bCs/>
          <w:szCs w:val="19"/>
          <w:u w:val="single"/>
        </w:rPr>
        <w:t xml:space="preserve">required </w:t>
      </w:r>
      <w:r w:rsidR="00F74AE3" w:rsidRPr="0067049C">
        <w:rPr>
          <w:b/>
          <w:szCs w:val="19"/>
          <w:u w:val="single"/>
        </w:rPr>
        <w:t>by legislation</w:t>
      </w:r>
      <w:r w:rsidR="00F74AE3" w:rsidRPr="00F74AE3">
        <w:rPr>
          <w:b/>
          <w:bCs/>
          <w:szCs w:val="19"/>
          <w:u w:val="single"/>
        </w:rPr>
        <w:t xml:space="preserve"> to comply with Australian Accounting Standards</w:t>
      </w:r>
      <w:r w:rsidR="00F74AE3" w:rsidRPr="00F74AE3">
        <w:rPr>
          <w:b/>
          <w:bCs/>
          <w:szCs w:val="19"/>
        </w:rPr>
        <w:t>.</w:t>
      </w:r>
    </w:p>
    <w:p w14:paraId="25CEBD7D"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074819FD" w14:textId="77777777" w:rsidR="00554EE4" w:rsidRDefault="00554EE4" w:rsidP="00C87FAF">
      <w:pPr>
        <w:pStyle w:val="Heading1"/>
        <w:spacing w:before="240"/>
        <w:contextualSpacing/>
        <w:jc w:val="both"/>
      </w:pPr>
      <w:r>
        <w:t>Appendix</w:t>
      </w:r>
    </w:p>
    <w:p w14:paraId="7419AD83" w14:textId="77777777" w:rsidR="00F74AE3" w:rsidRPr="00F74AE3" w:rsidRDefault="00F74AE3" w:rsidP="00C87FAF">
      <w:pPr>
        <w:pStyle w:val="Heading1"/>
        <w:spacing w:before="0"/>
        <w:jc w:val="both"/>
      </w:pPr>
      <w:r w:rsidRPr="00F74AE3">
        <w:t>Defined terms</w:t>
      </w:r>
    </w:p>
    <w:p w14:paraId="18227A0C" w14:textId="77777777" w:rsidR="00F74AE3" w:rsidRPr="00F74AE3" w:rsidRDefault="00F74AE3" w:rsidP="00C87FAF">
      <w:pPr>
        <w:pStyle w:val="Default"/>
        <w:ind w:left="993" w:hanging="993"/>
        <w:jc w:val="both"/>
        <w:rPr>
          <w:bCs/>
          <w:color w:val="auto"/>
          <w:sz w:val="19"/>
          <w:szCs w:val="19"/>
        </w:rPr>
      </w:pPr>
      <w:r w:rsidRPr="00F74AE3">
        <w:rPr>
          <w:bCs/>
          <w:color w:val="auto"/>
          <w:sz w:val="19"/>
          <w:szCs w:val="19"/>
        </w:rPr>
        <w:t>…</w:t>
      </w:r>
    </w:p>
    <w:p w14:paraId="0346923B" w14:textId="77777777" w:rsidR="00F74AE3" w:rsidRPr="00F74AE3" w:rsidRDefault="00F74AE3" w:rsidP="009E67C8">
      <w:pPr>
        <w:pStyle w:val="IASBNormalnparaL1"/>
        <w:rPr>
          <w:b/>
          <w:bCs/>
          <w:szCs w:val="19"/>
        </w:rPr>
      </w:pPr>
      <w:r w:rsidRPr="00F74AE3">
        <w:rPr>
          <w:b/>
          <w:bCs/>
          <w:szCs w:val="19"/>
        </w:rPr>
        <w:t>reporting entity</w:t>
      </w:r>
    </w:p>
    <w:p w14:paraId="4564816E" w14:textId="77777777" w:rsidR="00F74AE3" w:rsidRPr="00F74AE3" w:rsidRDefault="00F74AE3" w:rsidP="009E67C8">
      <w:pPr>
        <w:pStyle w:val="IASBNormalnparaL1"/>
        <w:ind w:left="782" w:firstLine="0"/>
        <w:rPr>
          <w:bCs/>
          <w:szCs w:val="19"/>
        </w:rPr>
      </w:pPr>
      <w:r w:rsidRPr="00F74AE3">
        <w:rPr>
          <w:bCs/>
          <w:szCs w:val="19"/>
        </w:rPr>
        <w:t>An entity in respect of which it is reasonable to expect the existence of users who rely on the entity’s general purpose financial statements for information that will be useful to them for making and evaluating decisions about the allocation of resources</w:t>
      </w:r>
      <w:r w:rsidR="009F1F15" w:rsidRPr="00F74AE3">
        <w:rPr>
          <w:bCs/>
          <w:szCs w:val="19"/>
        </w:rPr>
        <w:t xml:space="preserve">.  </w:t>
      </w:r>
      <w:r w:rsidRPr="00F74AE3">
        <w:rPr>
          <w:bCs/>
          <w:szCs w:val="19"/>
        </w:rPr>
        <w:t>A reporting entity can be a single entity or a group comprising a parent and all of its subsidiaries.</w:t>
      </w:r>
    </w:p>
    <w:p w14:paraId="3BC621F2" w14:textId="15A750AE" w:rsidR="00F74AE3" w:rsidRPr="00F74AE3" w:rsidRDefault="00F74AE3" w:rsidP="009E67C8">
      <w:pPr>
        <w:pStyle w:val="IASBNormalnparaL1"/>
        <w:ind w:left="782" w:firstLine="0"/>
        <w:rPr>
          <w:bCs/>
          <w:szCs w:val="19"/>
          <w:u w:val="single"/>
        </w:rPr>
      </w:pPr>
      <w:r w:rsidRPr="00F74AE3">
        <w:rPr>
          <w:bCs/>
          <w:szCs w:val="19"/>
          <w:u w:val="single"/>
        </w:rPr>
        <w:t>Th</w:t>
      </w:r>
      <w:r w:rsidR="00E71C53">
        <w:rPr>
          <w:bCs/>
          <w:szCs w:val="19"/>
          <w:u w:val="single"/>
        </w:rPr>
        <w:t>is</w:t>
      </w:r>
      <w:r w:rsidRPr="00F74AE3">
        <w:rPr>
          <w:bCs/>
          <w:szCs w:val="19"/>
          <w:u w:val="single"/>
        </w:rPr>
        <w:t xml:space="preserve"> reporting entity definition is not relevant to:</w:t>
      </w:r>
    </w:p>
    <w:p w14:paraId="3B11083F" w14:textId="6997C653" w:rsidR="00F74AE3" w:rsidRPr="00F74AE3" w:rsidRDefault="009E67C8" w:rsidP="009E67C8">
      <w:pPr>
        <w:pStyle w:val="IASBNormalnparaL1"/>
        <w:rPr>
          <w:bCs/>
          <w:szCs w:val="19"/>
          <w:u w:val="single"/>
        </w:rPr>
      </w:pPr>
      <w:r>
        <w:rPr>
          <w:bCs/>
          <w:szCs w:val="19"/>
          <w:u w:val="single"/>
        </w:rPr>
        <w:t>(a)</w:t>
      </w:r>
      <w:r>
        <w:rPr>
          <w:bCs/>
          <w:szCs w:val="19"/>
          <w:u w:val="single"/>
        </w:rPr>
        <w:tab/>
      </w:r>
      <w:r w:rsidR="00F74AE3" w:rsidRPr="00F74AE3">
        <w:rPr>
          <w:bCs/>
          <w:szCs w:val="19"/>
          <w:u w:val="single"/>
        </w:rPr>
        <w:t xml:space="preserve">for-profit </w:t>
      </w:r>
      <w:r w:rsidR="00B317FD" w:rsidRPr="0067049C">
        <w:rPr>
          <w:szCs w:val="19"/>
          <w:u w:val="single"/>
        </w:rPr>
        <w:t>private sector</w:t>
      </w:r>
      <w:r w:rsidR="00B317FD">
        <w:rPr>
          <w:bCs/>
          <w:szCs w:val="19"/>
          <w:u w:val="single"/>
        </w:rPr>
        <w:t xml:space="preserve"> </w:t>
      </w:r>
      <w:r w:rsidR="00F74AE3" w:rsidRPr="00F74AE3">
        <w:rPr>
          <w:bCs/>
          <w:szCs w:val="19"/>
          <w:u w:val="single"/>
        </w:rPr>
        <w:t xml:space="preserve">entities that have public accountability </w:t>
      </w:r>
      <w:r w:rsidR="00CA1DD7" w:rsidRPr="0067049C">
        <w:rPr>
          <w:bCs/>
          <w:szCs w:val="19"/>
          <w:u w:val="single"/>
        </w:rPr>
        <w:t>and</w:t>
      </w:r>
      <w:r w:rsidR="00F74AE3" w:rsidRPr="00F74AE3">
        <w:rPr>
          <w:bCs/>
          <w:szCs w:val="19"/>
          <w:u w:val="single"/>
        </w:rPr>
        <w:t xml:space="preserve"> are required </w:t>
      </w:r>
      <w:r w:rsidR="00F74AE3" w:rsidRPr="0067049C">
        <w:rPr>
          <w:szCs w:val="19"/>
          <w:u w:val="single"/>
        </w:rPr>
        <w:t>by legislation</w:t>
      </w:r>
      <w:r w:rsidR="00F74AE3" w:rsidRPr="00F74AE3">
        <w:rPr>
          <w:bCs/>
          <w:szCs w:val="19"/>
          <w:u w:val="single"/>
        </w:rPr>
        <w:t xml:space="preserve"> to comply with Australian Accounting Standards; and</w:t>
      </w:r>
    </w:p>
    <w:p w14:paraId="17762FBB" w14:textId="7268A8BE" w:rsidR="00F74AE3" w:rsidRPr="0067049C" w:rsidRDefault="009E67C8" w:rsidP="009E67C8">
      <w:pPr>
        <w:pStyle w:val="IASBNormalnparaL1"/>
        <w:rPr>
          <w:szCs w:val="19"/>
          <w:u w:val="single"/>
        </w:rPr>
      </w:pPr>
      <w:r>
        <w:rPr>
          <w:bCs/>
          <w:szCs w:val="19"/>
          <w:u w:val="single"/>
        </w:rPr>
        <w:t>(b)</w:t>
      </w:r>
      <w:r>
        <w:rPr>
          <w:bCs/>
          <w:szCs w:val="19"/>
          <w:u w:val="single"/>
        </w:rPr>
        <w:tab/>
      </w:r>
      <w:r w:rsidR="00F74AE3" w:rsidRPr="00F74AE3">
        <w:rPr>
          <w:bCs/>
          <w:szCs w:val="19"/>
          <w:u w:val="single"/>
        </w:rPr>
        <w:t xml:space="preserve">other for-profit entities that elect to apply the </w:t>
      </w:r>
      <w:r w:rsidR="00F74AE3" w:rsidRPr="00F74AE3">
        <w:rPr>
          <w:bCs/>
          <w:i/>
          <w:szCs w:val="19"/>
          <w:u w:val="single"/>
        </w:rPr>
        <w:t>Conceptual Framework for Financial Reporting</w:t>
      </w:r>
      <w:r w:rsidR="00F74AE3" w:rsidRPr="00F74AE3">
        <w:rPr>
          <w:bCs/>
          <w:szCs w:val="19"/>
          <w:u w:val="single"/>
        </w:rPr>
        <w:t xml:space="preserve"> and the consequential amendments to other pronouncements set out in AASB </w:t>
      </w:r>
      <w:r w:rsidR="00043A3E">
        <w:rPr>
          <w:bCs/>
          <w:szCs w:val="19"/>
          <w:u w:val="single"/>
        </w:rPr>
        <w:t>2019-1</w:t>
      </w:r>
      <w:r w:rsidR="00F74AE3" w:rsidRPr="0067049C">
        <w:rPr>
          <w:szCs w:val="19"/>
          <w:u w:val="single"/>
        </w:rPr>
        <w:t xml:space="preserve"> </w:t>
      </w:r>
      <w:r w:rsidR="00F74AE3" w:rsidRPr="0067049C">
        <w:rPr>
          <w:i/>
          <w:szCs w:val="19"/>
          <w:u w:val="single"/>
        </w:rPr>
        <w:t>Amendments to Australian Accounting Standards – References to the Conceptual Framework</w:t>
      </w:r>
      <w:r w:rsidR="00F74AE3" w:rsidRPr="0067049C">
        <w:rPr>
          <w:szCs w:val="19"/>
          <w:u w:val="single"/>
        </w:rPr>
        <w:t>.</w:t>
      </w:r>
    </w:p>
    <w:p w14:paraId="2C11E06B" w14:textId="77777777" w:rsidR="003A66C5" w:rsidRDefault="003A66C5" w:rsidP="00C87FAF">
      <w:pPr>
        <w:pStyle w:val="Heading2"/>
        <w:jc w:val="both"/>
      </w:pPr>
      <w:r>
        <w:t>Amendments to Interpretation 12</w:t>
      </w:r>
    </w:p>
    <w:p w14:paraId="44DB2749" w14:textId="77777777" w:rsidR="00C44135" w:rsidRPr="00C44135" w:rsidRDefault="00615972"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In the References section, </w:t>
      </w:r>
      <w:r w:rsidRPr="00F74AE3">
        <w:rPr>
          <w:szCs w:val="19"/>
        </w:rPr>
        <w:t xml:space="preserve">the </w:t>
      </w:r>
      <w:r>
        <w:rPr>
          <w:szCs w:val="19"/>
        </w:rPr>
        <w:t xml:space="preserve">reference </w:t>
      </w:r>
      <w:r w:rsidRPr="00F74AE3">
        <w:rPr>
          <w:szCs w:val="19"/>
        </w:rPr>
        <w:t xml:space="preserve">to </w:t>
      </w:r>
      <w:r>
        <w:rPr>
          <w:szCs w:val="19"/>
        </w:rPr>
        <w:t xml:space="preserve">the </w:t>
      </w:r>
      <w:r w:rsidRPr="00F74AE3">
        <w:rPr>
          <w:i/>
          <w:szCs w:val="19"/>
        </w:rPr>
        <w:t>Framework for the Preparation and Presentation of Financial Statements</w:t>
      </w:r>
      <w:r w:rsidRPr="00F74AE3">
        <w:rPr>
          <w:szCs w:val="19"/>
        </w:rPr>
        <w:t xml:space="preserve"> </w:t>
      </w:r>
      <w:r>
        <w:rPr>
          <w:szCs w:val="19"/>
        </w:rPr>
        <w:t xml:space="preserve">and its footnote are </w:t>
      </w:r>
      <w:r w:rsidRPr="00F74AE3">
        <w:rPr>
          <w:szCs w:val="19"/>
        </w:rPr>
        <w:t>amended.</w:t>
      </w:r>
    </w:p>
    <w:p w14:paraId="267F0120" w14:textId="77777777" w:rsidR="00CB5FB3" w:rsidRPr="00F74AE3" w:rsidRDefault="00CB5FB3" w:rsidP="00C87FAF">
      <w:pPr>
        <w:pStyle w:val="Heading2"/>
        <w:spacing w:before="240"/>
        <w:jc w:val="both"/>
      </w:pPr>
      <w:r>
        <w:t>References</w:t>
      </w:r>
    </w:p>
    <w:p w14:paraId="715AE7C9" w14:textId="77777777" w:rsidR="00615972" w:rsidRPr="00957768" w:rsidRDefault="00615972" w:rsidP="009E67C8">
      <w:pPr>
        <w:pStyle w:val="ListParagraph"/>
        <w:numPr>
          <w:ilvl w:val="0"/>
          <w:numId w:val="101"/>
        </w:numPr>
        <w:autoSpaceDE w:val="0"/>
        <w:autoSpaceDN w:val="0"/>
        <w:adjustRightInd w:val="0"/>
        <w:spacing w:before="100"/>
        <w:ind w:left="782" w:hanging="782"/>
        <w:jc w:val="both"/>
        <w:rPr>
          <w:sz w:val="19"/>
          <w:szCs w:val="19"/>
        </w:rPr>
      </w:pPr>
      <w:r w:rsidRPr="00957768">
        <w:rPr>
          <w:i/>
          <w:iCs/>
          <w:sz w:val="19"/>
          <w:szCs w:val="19"/>
        </w:rPr>
        <w:t>Framework for the Preparation and Presentation of Financial Statements</w:t>
      </w:r>
      <w:r w:rsidRPr="00957768">
        <w:rPr>
          <w:i/>
          <w:iCs/>
          <w:strike/>
          <w:sz w:val="19"/>
          <w:szCs w:val="19"/>
        </w:rPr>
        <w:t xml:space="preserve"> </w:t>
      </w:r>
      <w:r w:rsidRPr="00957768">
        <w:rPr>
          <w:strike/>
          <w:sz w:val="19"/>
          <w:szCs w:val="19"/>
        </w:rPr>
        <w:t xml:space="preserve">(as identified in AASB 1048 </w:t>
      </w:r>
      <w:r w:rsidRPr="00957768">
        <w:rPr>
          <w:i/>
          <w:iCs/>
          <w:strike/>
          <w:sz w:val="19"/>
          <w:szCs w:val="19"/>
        </w:rPr>
        <w:t>Interpretation of Standards</w:t>
      </w:r>
      <w:r w:rsidRPr="00957768">
        <w:rPr>
          <w:strike/>
          <w:sz w:val="19"/>
          <w:szCs w:val="19"/>
        </w:rPr>
        <w:t>)</w:t>
      </w:r>
      <w:r w:rsidR="00957768" w:rsidRPr="00467462">
        <w:rPr>
          <w:sz w:val="19"/>
          <w:szCs w:val="19"/>
          <w:vertAlign w:val="superscript"/>
        </w:rPr>
        <w:t>1</w:t>
      </w:r>
    </w:p>
    <w:p w14:paraId="56F91661" w14:textId="77777777" w:rsidR="00C44135" w:rsidRPr="00C44135" w:rsidRDefault="00C44135" w:rsidP="009E67C8">
      <w:pPr>
        <w:pStyle w:val="ListParagraph"/>
        <w:autoSpaceDE w:val="0"/>
        <w:autoSpaceDN w:val="0"/>
        <w:adjustRightInd w:val="0"/>
        <w:spacing w:before="100"/>
        <w:ind w:left="1564" w:hanging="782"/>
        <w:jc w:val="both"/>
        <w:rPr>
          <w:sz w:val="16"/>
          <w:szCs w:val="16"/>
          <w:u w:val="single"/>
        </w:rPr>
      </w:pPr>
      <w:r w:rsidRPr="00C44135">
        <w:rPr>
          <w:sz w:val="16"/>
          <w:szCs w:val="16"/>
        </w:rPr>
        <w:t xml:space="preserve">1 </w:t>
      </w:r>
      <w:r w:rsidRPr="00C44135">
        <w:rPr>
          <w:sz w:val="16"/>
          <w:szCs w:val="16"/>
        </w:rPr>
        <w:tab/>
      </w:r>
      <w:r w:rsidRPr="00C44135">
        <w:rPr>
          <w:strike/>
          <w:sz w:val="16"/>
          <w:szCs w:val="16"/>
        </w:rPr>
        <w:t xml:space="preserve">In December 2013 the AASB amended the </w:t>
      </w:r>
      <w:r w:rsidRPr="00C44135">
        <w:rPr>
          <w:i/>
          <w:strike/>
          <w:sz w:val="16"/>
          <w:szCs w:val="16"/>
        </w:rPr>
        <w:t>Framework for the Preparation and Presentation of Financial Statements</w:t>
      </w:r>
      <w:r w:rsidR="009F1F15" w:rsidRPr="00C44135">
        <w:rPr>
          <w:strike/>
          <w:sz w:val="16"/>
          <w:szCs w:val="16"/>
        </w:rPr>
        <w:t xml:space="preserve">.  </w:t>
      </w:r>
      <w:r w:rsidRPr="00C44135">
        <w:rPr>
          <w:sz w:val="16"/>
          <w:szCs w:val="16"/>
          <w:u w:val="single"/>
        </w:rPr>
        <w:t xml:space="preserve">The reference is to the </w:t>
      </w:r>
      <w:r w:rsidRPr="00C44135">
        <w:rPr>
          <w:i/>
          <w:sz w:val="16"/>
          <w:szCs w:val="16"/>
          <w:u w:val="single"/>
        </w:rPr>
        <w:t>Framework for the Preparation and Presentation of Financial Statements</w:t>
      </w:r>
      <w:r w:rsidRPr="00C44135">
        <w:rPr>
          <w:sz w:val="16"/>
          <w:szCs w:val="16"/>
          <w:u w:val="single"/>
        </w:rPr>
        <w:t xml:space="preserve"> adopted by the AASB in </w:t>
      </w:r>
      <w:r w:rsidRPr="0067049C">
        <w:rPr>
          <w:sz w:val="16"/>
          <w:szCs w:val="16"/>
          <w:u w:val="single"/>
        </w:rPr>
        <w:t>200</w:t>
      </w:r>
      <w:r>
        <w:rPr>
          <w:sz w:val="16"/>
          <w:szCs w:val="16"/>
          <w:u w:val="single"/>
        </w:rPr>
        <w:t>4</w:t>
      </w:r>
      <w:r w:rsidRPr="00C44135">
        <w:rPr>
          <w:sz w:val="16"/>
          <w:szCs w:val="16"/>
          <w:u w:val="single"/>
        </w:rPr>
        <w:t xml:space="preserve"> and in effect when th</w:t>
      </w:r>
      <w:r w:rsidR="00AA33CA">
        <w:rPr>
          <w:sz w:val="16"/>
          <w:szCs w:val="16"/>
          <w:u w:val="single"/>
        </w:rPr>
        <w:t>e Interpretation was developed.</w:t>
      </w:r>
    </w:p>
    <w:p w14:paraId="2CDC777B" w14:textId="77777777" w:rsidR="003A66C5" w:rsidRPr="00554EE4" w:rsidRDefault="003A66C5" w:rsidP="00C87FAF">
      <w:pPr>
        <w:pStyle w:val="Heading2"/>
        <w:jc w:val="both"/>
      </w:pPr>
      <w:r w:rsidRPr="00554EE4">
        <w:t>Amendments to Interpretation 16</w:t>
      </w:r>
    </w:p>
    <w:p w14:paraId="20E08745" w14:textId="77777777" w:rsidR="00F74AE3" w:rsidRPr="00F74AE3" w:rsidRDefault="00F74AE3"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F74AE3">
        <w:rPr>
          <w:bCs/>
          <w:szCs w:val="19"/>
        </w:rPr>
        <w:t>Paragraph AusCF1 is added.</w:t>
      </w:r>
    </w:p>
    <w:p w14:paraId="60B236E2" w14:textId="77777777" w:rsidR="00F74AE3" w:rsidRPr="00F74AE3" w:rsidRDefault="00F74AE3" w:rsidP="00C87FAF">
      <w:pPr>
        <w:pStyle w:val="Heading2"/>
        <w:spacing w:before="240"/>
        <w:jc w:val="both"/>
      </w:pPr>
      <w:r w:rsidRPr="00F74AE3">
        <w:t>Background</w:t>
      </w:r>
    </w:p>
    <w:p w14:paraId="2FF06D9F" w14:textId="77777777" w:rsidR="00CA1DD7" w:rsidRPr="0067049C" w:rsidRDefault="00CA1DD7" w:rsidP="009E67C8">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35AA275B" w14:textId="047A3248" w:rsidR="00FE115A" w:rsidRPr="0067049C" w:rsidRDefault="009E67C8" w:rsidP="009E67C8">
      <w:pPr>
        <w:pStyle w:val="IASBNormalnparaL1"/>
        <w:rPr>
          <w:szCs w:val="19"/>
          <w:u w:val="single"/>
        </w:rPr>
      </w:pPr>
      <w:r>
        <w:rPr>
          <w:szCs w:val="19"/>
          <w:u w:val="single"/>
        </w:rPr>
        <w:t>(a)</w:t>
      </w:r>
      <w:r>
        <w:rPr>
          <w:szCs w:val="19"/>
          <w:u w:val="single"/>
        </w:rPr>
        <w:tab/>
      </w:r>
      <w:r w:rsidR="00FE115A" w:rsidRPr="0067049C">
        <w:rPr>
          <w:szCs w:val="19"/>
          <w:u w:val="single"/>
        </w:rPr>
        <w:t xml:space="preserve">not-for-profit entities; and </w:t>
      </w:r>
    </w:p>
    <w:p w14:paraId="5BB4A98B" w14:textId="1626A474" w:rsidR="00FE115A" w:rsidRPr="0067049C" w:rsidRDefault="009E67C8" w:rsidP="009E67C8">
      <w:pPr>
        <w:pStyle w:val="IASBNormalnparaL1"/>
        <w:rPr>
          <w:szCs w:val="19"/>
          <w:u w:val="single"/>
        </w:rPr>
      </w:pPr>
      <w:r>
        <w:rPr>
          <w:szCs w:val="19"/>
          <w:u w:val="single"/>
        </w:rPr>
        <w:t>(b)</w:t>
      </w:r>
      <w:r>
        <w:rPr>
          <w:szCs w:val="19"/>
          <w:u w:val="single"/>
        </w:rPr>
        <w:tab/>
      </w:r>
      <w:r w:rsidR="00FE115A" w:rsidRPr="0067049C">
        <w:rPr>
          <w:szCs w:val="19"/>
          <w:u w:val="single"/>
        </w:rPr>
        <w:t xml:space="preserve">for-profit entities that are not applying the </w:t>
      </w:r>
      <w:r w:rsidR="00FE115A" w:rsidRPr="0067049C">
        <w:rPr>
          <w:i/>
          <w:szCs w:val="19"/>
          <w:u w:val="single"/>
        </w:rPr>
        <w:t>Conceptual Framework for Financial Reporting</w:t>
      </w:r>
      <w:r w:rsidR="00F72BCF">
        <w:rPr>
          <w:i/>
          <w:szCs w:val="19"/>
          <w:u w:val="single"/>
        </w:rPr>
        <w:t xml:space="preserve"> </w:t>
      </w:r>
      <w:r w:rsidR="00F72BCF" w:rsidRPr="00F20ED1">
        <w:rPr>
          <w:szCs w:val="19"/>
          <w:u w:val="single"/>
        </w:rPr>
        <w:t>(as identified in AASB 1048</w:t>
      </w:r>
      <w:r w:rsidR="00F72BCF" w:rsidRPr="00F20ED1">
        <w:rPr>
          <w:i/>
          <w:szCs w:val="19"/>
          <w:u w:val="single"/>
        </w:rPr>
        <w:t xml:space="preserve"> Interpretation of Standards</w:t>
      </w:r>
      <w:r w:rsidR="00F72BCF" w:rsidRPr="00F20ED1">
        <w:rPr>
          <w:szCs w:val="19"/>
          <w:u w:val="single"/>
        </w:rPr>
        <w:t>)</w:t>
      </w:r>
      <w:r w:rsidR="00FE115A" w:rsidRPr="0067049C">
        <w:rPr>
          <w:szCs w:val="19"/>
          <w:u w:val="single"/>
        </w:rPr>
        <w:t>.</w:t>
      </w:r>
    </w:p>
    <w:p w14:paraId="3CD93162" w14:textId="5FE9088C" w:rsidR="00CA1DD7" w:rsidRPr="0067049C" w:rsidRDefault="00CA1DD7" w:rsidP="009E67C8">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7348480D" w14:textId="77777777" w:rsidR="003A66C5" w:rsidRDefault="006146E5" w:rsidP="00C87FAF">
      <w:pPr>
        <w:pStyle w:val="Heading2"/>
        <w:jc w:val="both"/>
      </w:pPr>
      <w:r>
        <w:t>Amendments to Interpretation 19</w:t>
      </w:r>
    </w:p>
    <w:p w14:paraId="3701178E" w14:textId="77777777" w:rsidR="00F74AE3" w:rsidRPr="008008F3" w:rsidRDefault="00957768"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Pr>
          <w:szCs w:val="19"/>
        </w:rPr>
        <w:t xml:space="preserve">In the References section, </w:t>
      </w:r>
      <w:r w:rsidRPr="00F74AE3">
        <w:rPr>
          <w:szCs w:val="19"/>
        </w:rPr>
        <w:t xml:space="preserve">the </w:t>
      </w:r>
      <w:r>
        <w:rPr>
          <w:szCs w:val="19"/>
        </w:rPr>
        <w:t xml:space="preserve">reference </w:t>
      </w:r>
      <w:r w:rsidRPr="00F74AE3">
        <w:rPr>
          <w:szCs w:val="19"/>
        </w:rPr>
        <w:t xml:space="preserve">to </w:t>
      </w:r>
      <w:r>
        <w:rPr>
          <w:szCs w:val="19"/>
        </w:rPr>
        <w:t xml:space="preserve">the </w:t>
      </w:r>
      <w:r w:rsidRPr="00F74AE3">
        <w:rPr>
          <w:i/>
          <w:szCs w:val="19"/>
        </w:rPr>
        <w:t>Framework for the Preparation and Presentation of Financial Statements</w:t>
      </w:r>
      <w:r w:rsidRPr="00F74AE3">
        <w:rPr>
          <w:szCs w:val="19"/>
        </w:rPr>
        <w:t xml:space="preserve"> </w:t>
      </w:r>
      <w:r>
        <w:rPr>
          <w:szCs w:val="19"/>
        </w:rPr>
        <w:t xml:space="preserve">and its footnote are </w:t>
      </w:r>
      <w:r w:rsidRPr="00F74AE3">
        <w:rPr>
          <w:szCs w:val="19"/>
        </w:rPr>
        <w:t>amended.</w:t>
      </w:r>
    </w:p>
    <w:p w14:paraId="3FF16DBD" w14:textId="77777777" w:rsidR="00CB5FB3" w:rsidRPr="00CB5FB3" w:rsidRDefault="00CB5FB3" w:rsidP="00C87FAF">
      <w:pPr>
        <w:pStyle w:val="Heading2"/>
        <w:spacing w:before="240"/>
        <w:jc w:val="both"/>
      </w:pPr>
      <w:r>
        <w:t>References</w:t>
      </w:r>
    </w:p>
    <w:p w14:paraId="2C0BCC9E" w14:textId="77777777" w:rsidR="00957768" w:rsidRPr="00957768" w:rsidRDefault="00957768" w:rsidP="009E67C8">
      <w:pPr>
        <w:pStyle w:val="ListParagraph"/>
        <w:numPr>
          <w:ilvl w:val="0"/>
          <w:numId w:val="101"/>
        </w:numPr>
        <w:autoSpaceDE w:val="0"/>
        <w:autoSpaceDN w:val="0"/>
        <w:adjustRightInd w:val="0"/>
        <w:spacing w:before="100"/>
        <w:ind w:left="782" w:hanging="782"/>
        <w:jc w:val="both"/>
        <w:rPr>
          <w:sz w:val="19"/>
          <w:szCs w:val="19"/>
        </w:rPr>
      </w:pPr>
      <w:r w:rsidRPr="00957768">
        <w:rPr>
          <w:i/>
          <w:iCs/>
          <w:sz w:val="19"/>
          <w:szCs w:val="19"/>
        </w:rPr>
        <w:t>Framework for the Preparation and Presentation of Financial Statements</w:t>
      </w:r>
      <w:r w:rsidRPr="00957768">
        <w:rPr>
          <w:i/>
          <w:iCs/>
          <w:strike/>
          <w:sz w:val="19"/>
          <w:szCs w:val="19"/>
        </w:rPr>
        <w:t xml:space="preserve"> </w:t>
      </w:r>
      <w:r w:rsidRPr="00957768">
        <w:rPr>
          <w:strike/>
          <w:sz w:val="19"/>
          <w:szCs w:val="19"/>
        </w:rPr>
        <w:t xml:space="preserve">(as identified in AASB 1048 </w:t>
      </w:r>
      <w:r w:rsidRPr="00957768">
        <w:rPr>
          <w:i/>
          <w:iCs/>
          <w:strike/>
          <w:sz w:val="19"/>
          <w:szCs w:val="19"/>
        </w:rPr>
        <w:t>Interpretation of Standards</w:t>
      </w:r>
      <w:r w:rsidRPr="00957768">
        <w:rPr>
          <w:strike/>
          <w:sz w:val="19"/>
          <w:szCs w:val="19"/>
        </w:rPr>
        <w:t>)</w:t>
      </w:r>
      <w:r w:rsidRPr="00467462">
        <w:rPr>
          <w:sz w:val="19"/>
          <w:szCs w:val="19"/>
          <w:vertAlign w:val="superscript"/>
        </w:rPr>
        <w:t>1</w:t>
      </w:r>
    </w:p>
    <w:p w14:paraId="628369FC" w14:textId="77777777" w:rsidR="008008F3" w:rsidRPr="008008F3" w:rsidRDefault="008008F3" w:rsidP="009E67C8">
      <w:pPr>
        <w:pStyle w:val="ListParagraph"/>
        <w:autoSpaceDE w:val="0"/>
        <w:autoSpaceDN w:val="0"/>
        <w:adjustRightInd w:val="0"/>
        <w:spacing w:before="100"/>
        <w:ind w:left="1564" w:hanging="782"/>
        <w:jc w:val="both"/>
        <w:rPr>
          <w:sz w:val="16"/>
        </w:rPr>
      </w:pPr>
      <w:r w:rsidRPr="008008F3">
        <w:rPr>
          <w:sz w:val="16"/>
        </w:rPr>
        <w:t>1</w:t>
      </w:r>
      <w:r w:rsidRPr="008008F3">
        <w:rPr>
          <w:sz w:val="16"/>
        </w:rPr>
        <w:tab/>
      </w:r>
      <w:r w:rsidRPr="008008F3">
        <w:rPr>
          <w:strike/>
          <w:sz w:val="16"/>
        </w:rPr>
        <w:t xml:space="preserve">In December 2013 the AASB amended the </w:t>
      </w:r>
      <w:r w:rsidRPr="008008F3">
        <w:rPr>
          <w:i/>
          <w:strike/>
          <w:sz w:val="16"/>
        </w:rPr>
        <w:t>Framework for the Preparation and Presentation of Financial Statements</w:t>
      </w:r>
      <w:r w:rsidR="009F1F15" w:rsidRPr="008008F3">
        <w:rPr>
          <w:strike/>
          <w:sz w:val="16"/>
        </w:rPr>
        <w:t xml:space="preserve">.  </w:t>
      </w:r>
      <w:r w:rsidRPr="008008F3">
        <w:rPr>
          <w:sz w:val="16"/>
          <w:u w:val="single"/>
        </w:rPr>
        <w:t xml:space="preserve">The reference is to the </w:t>
      </w:r>
      <w:r w:rsidRPr="008008F3">
        <w:rPr>
          <w:i/>
          <w:sz w:val="16"/>
          <w:u w:val="single"/>
        </w:rPr>
        <w:t>Framework for the Preparation and Presentation of Financial Statements</w:t>
      </w:r>
      <w:r w:rsidRPr="008008F3">
        <w:rPr>
          <w:sz w:val="16"/>
          <w:u w:val="single"/>
        </w:rPr>
        <w:t xml:space="preserve"> adopted by the AASB in </w:t>
      </w:r>
      <w:r w:rsidRPr="0067049C">
        <w:rPr>
          <w:sz w:val="16"/>
          <w:u w:val="single"/>
        </w:rPr>
        <w:t>200</w:t>
      </w:r>
      <w:r w:rsidR="000863D1">
        <w:rPr>
          <w:sz w:val="16"/>
          <w:u w:val="single"/>
        </w:rPr>
        <w:t>4</w:t>
      </w:r>
      <w:r w:rsidRPr="008008F3">
        <w:rPr>
          <w:sz w:val="16"/>
          <w:u w:val="single"/>
        </w:rPr>
        <w:t xml:space="preserve"> and in effect when the Interpretation was developed. </w:t>
      </w:r>
    </w:p>
    <w:p w14:paraId="6685DA5C" w14:textId="72B20C50" w:rsidR="003A66C5" w:rsidRDefault="003A66C5" w:rsidP="00C87FAF">
      <w:pPr>
        <w:pStyle w:val="Heading2"/>
        <w:jc w:val="both"/>
      </w:pPr>
      <w:r>
        <w:t>Amendments to In</w:t>
      </w:r>
      <w:r w:rsidR="006146E5">
        <w:t>terpretation 20</w:t>
      </w:r>
    </w:p>
    <w:p w14:paraId="3816F841" w14:textId="63C1D077" w:rsidR="00F93B63" w:rsidRPr="00F93B63" w:rsidRDefault="00CB5FB3"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In the References section, </w:t>
      </w:r>
      <w:r w:rsidRPr="00F74AE3">
        <w:rPr>
          <w:szCs w:val="19"/>
        </w:rPr>
        <w:t xml:space="preserve">the </w:t>
      </w:r>
      <w:r>
        <w:rPr>
          <w:szCs w:val="19"/>
        </w:rPr>
        <w:t xml:space="preserve">reference </w:t>
      </w:r>
      <w:r w:rsidRPr="00F74AE3">
        <w:rPr>
          <w:szCs w:val="19"/>
        </w:rPr>
        <w:t xml:space="preserve">to </w:t>
      </w:r>
      <w:r>
        <w:rPr>
          <w:szCs w:val="19"/>
        </w:rPr>
        <w:t xml:space="preserve">the </w:t>
      </w:r>
      <w:r w:rsidRPr="00F74AE3">
        <w:rPr>
          <w:i/>
          <w:szCs w:val="19"/>
        </w:rPr>
        <w:t>Framework for the Preparation and Presentation of Financial Statements</w:t>
      </w:r>
      <w:r w:rsidRPr="00F74AE3">
        <w:rPr>
          <w:szCs w:val="19"/>
        </w:rPr>
        <w:t xml:space="preserve"> </w:t>
      </w:r>
      <w:r w:rsidR="00400E73">
        <w:rPr>
          <w:szCs w:val="19"/>
        </w:rPr>
        <w:t>is</w:t>
      </w:r>
      <w:r>
        <w:rPr>
          <w:szCs w:val="19"/>
        </w:rPr>
        <w:t xml:space="preserve"> </w:t>
      </w:r>
      <w:r w:rsidRPr="00F74AE3">
        <w:rPr>
          <w:szCs w:val="19"/>
        </w:rPr>
        <w:t>amended</w:t>
      </w:r>
      <w:r w:rsidR="00400E73">
        <w:rPr>
          <w:szCs w:val="19"/>
        </w:rPr>
        <w:t xml:space="preserve"> and a footnote added</w:t>
      </w:r>
      <w:r w:rsidRPr="00F74AE3">
        <w:rPr>
          <w:szCs w:val="19"/>
        </w:rPr>
        <w:t>.</w:t>
      </w:r>
    </w:p>
    <w:p w14:paraId="643EA09D" w14:textId="77777777" w:rsidR="00CB5FB3" w:rsidRPr="00CB5FB3" w:rsidRDefault="00CB5FB3" w:rsidP="00C87FAF">
      <w:pPr>
        <w:pStyle w:val="Heading2"/>
        <w:spacing w:before="240"/>
        <w:jc w:val="both"/>
      </w:pPr>
      <w:r>
        <w:t>References</w:t>
      </w:r>
    </w:p>
    <w:p w14:paraId="51A4A06B" w14:textId="77777777" w:rsidR="00957768" w:rsidRPr="00957768" w:rsidRDefault="00957768" w:rsidP="009E67C8">
      <w:pPr>
        <w:pStyle w:val="ListParagraph"/>
        <w:numPr>
          <w:ilvl w:val="0"/>
          <w:numId w:val="101"/>
        </w:numPr>
        <w:autoSpaceDE w:val="0"/>
        <w:autoSpaceDN w:val="0"/>
        <w:adjustRightInd w:val="0"/>
        <w:spacing w:before="100"/>
        <w:ind w:left="782" w:hanging="782"/>
        <w:jc w:val="both"/>
        <w:rPr>
          <w:sz w:val="19"/>
          <w:szCs w:val="19"/>
        </w:rPr>
      </w:pPr>
      <w:r w:rsidRPr="00957768">
        <w:rPr>
          <w:i/>
          <w:iCs/>
          <w:sz w:val="19"/>
          <w:szCs w:val="19"/>
        </w:rPr>
        <w:t>Framework for the Preparation and Presentation of Financial Statements</w:t>
      </w:r>
      <w:r w:rsidRPr="00957768">
        <w:rPr>
          <w:i/>
          <w:iCs/>
          <w:strike/>
          <w:sz w:val="19"/>
          <w:szCs w:val="19"/>
        </w:rPr>
        <w:t xml:space="preserve"> </w:t>
      </w:r>
      <w:r w:rsidRPr="00957768">
        <w:rPr>
          <w:strike/>
          <w:sz w:val="19"/>
          <w:szCs w:val="19"/>
        </w:rPr>
        <w:t xml:space="preserve">(as identified in AASB 1048 </w:t>
      </w:r>
      <w:r w:rsidRPr="00957768">
        <w:rPr>
          <w:i/>
          <w:iCs/>
          <w:strike/>
          <w:sz w:val="19"/>
          <w:szCs w:val="19"/>
        </w:rPr>
        <w:t>Interpretation of Standards</w:t>
      </w:r>
      <w:r w:rsidRPr="00957768">
        <w:rPr>
          <w:strike/>
          <w:sz w:val="19"/>
          <w:szCs w:val="19"/>
        </w:rPr>
        <w:t>)</w:t>
      </w:r>
      <w:r w:rsidRPr="00E71C53">
        <w:rPr>
          <w:sz w:val="19"/>
          <w:szCs w:val="19"/>
          <w:u w:val="single"/>
          <w:vertAlign w:val="superscript"/>
        </w:rPr>
        <w:t>1</w:t>
      </w:r>
    </w:p>
    <w:p w14:paraId="440F40B8" w14:textId="77777777" w:rsidR="00F93B63" w:rsidRPr="00F93B63" w:rsidRDefault="00F93B63" w:rsidP="009E67C8">
      <w:pPr>
        <w:pStyle w:val="ListParagraph"/>
        <w:autoSpaceDE w:val="0"/>
        <w:autoSpaceDN w:val="0"/>
        <w:adjustRightInd w:val="0"/>
        <w:spacing w:before="100"/>
        <w:ind w:left="1564" w:hanging="782"/>
        <w:jc w:val="both"/>
        <w:rPr>
          <w:sz w:val="16"/>
          <w:szCs w:val="16"/>
          <w:u w:val="single"/>
        </w:rPr>
      </w:pPr>
      <w:r w:rsidRPr="00F93B63">
        <w:rPr>
          <w:sz w:val="16"/>
          <w:szCs w:val="16"/>
          <w:u w:val="single"/>
        </w:rPr>
        <w:t>1</w:t>
      </w:r>
      <w:r w:rsidRPr="00F93B63">
        <w:rPr>
          <w:sz w:val="16"/>
          <w:szCs w:val="16"/>
        </w:rPr>
        <w:tab/>
      </w:r>
      <w:r w:rsidRPr="00F93B63">
        <w:rPr>
          <w:sz w:val="16"/>
          <w:szCs w:val="16"/>
          <w:u w:val="single"/>
        </w:rPr>
        <w:t xml:space="preserve">The reference is to the </w:t>
      </w:r>
      <w:r w:rsidRPr="00F93B63">
        <w:rPr>
          <w:i/>
          <w:sz w:val="16"/>
          <w:szCs w:val="16"/>
          <w:u w:val="single"/>
        </w:rPr>
        <w:t>Framework for the Preparation and Presentation of Financial Statements</w:t>
      </w:r>
      <w:r w:rsidRPr="00F93B63">
        <w:rPr>
          <w:sz w:val="16"/>
          <w:szCs w:val="16"/>
          <w:u w:val="single"/>
        </w:rPr>
        <w:t xml:space="preserve"> </w:t>
      </w:r>
      <w:r w:rsidR="006146E5" w:rsidRPr="008008F3">
        <w:rPr>
          <w:sz w:val="16"/>
          <w:u w:val="single"/>
        </w:rPr>
        <w:t xml:space="preserve">adopted by the AASB in </w:t>
      </w:r>
      <w:r w:rsidR="006146E5" w:rsidRPr="0067049C">
        <w:rPr>
          <w:sz w:val="16"/>
          <w:u w:val="single"/>
        </w:rPr>
        <w:t>200</w:t>
      </w:r>
      <w:r w:rsidR="006146E5">
        <w:rPr>
          <w:sz w:val="16"/>
          <w:u w:val="single"/>
        </w:rPr>
        <w:t>4</w:t>
      </w:r>
      <w:r w:rsidR="006146E5" w:rsidRPr="008008F3">
        <w:rPr>
          <w:sz w:val="16"/>
          <w:u w:val="single"/>
        </w:rPr>
        <w:t xml:space="preserve"> </w:t>
      </w:r>
      <w:r w:rsidRPr="00F93B63">
        <w:rPr>
          <w:sz w:val="16"/>
          <w:szCs w:val="16"/>
          <w:u w:val="single"/>
        </w:rPr>
        <w:t xml:space="preserve">and in effect when the Interpretation was developed. </w:t>
      </w:r>
    </w:p>
    <w:p w14:paraId="1832A558" w14:textId="77777777" w:rsidR="003A66C5" w:rsidRDefault="006146E5" w:rsidP="00C87FAF">
      <w:pPr>
        <w:pStyle w:val="Heading2"/>
        <w:jc w:val="both"/>
      </w:pPr>
      <w:r>
        <w:t>Amendments to Interpretation 22</w:t>
      </w:r>
    </w:p>
    <w:p w14:paraId="69FDD3EB" w14:textId="226EC7B7" w:rsidR="00F93B63" w:rsidRPr="00F93B63" w:rsidRDefault="00CB5FB3"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In the References section, </w:t>
      </w:r>
      <w:r w:rsidRPr="00F74AE3">
        <w:rPr>
          <w:szCs w:val="19"/>
        </w:rPr>
        <w:t xml:space="preserve">the </w:t>
      </w:r>
      <w:r>
        <w:rPr>
          <w:szCs w:val="19"/>
        </w:rPr>
        <w:t xml:space="preserve">reference </w:t>
      </w:r>
      <w:r w:rsidRPr="00F74AE3">
        <w:rPr>
          <w:szCs w:val="19"/>
        </w:rPr>
        <w:t xml:space="preserve">to </w:t>
      </w:r>
      <w:r>
        <w:rPr>
          <w:szCs w:val="19"/>
        </w:rPr>
        <w:t xml:space="preserve">the </w:t>
      </w:r>
      <w:r w:rsidRPr="00F74AE3">
        <w:rPr>
          <w:i/>
          <w:szCs w:val="19"/>
        </w:rPr>
        <w:t>Framework for the Preparation and Presentation of Financial Statements</w:t>
      </w:r>
      <w:r w:rsidRPr="00F74AE3">
        <w:rPr>
          <w:szCs w:val="19"/>
        </w:rPr>
        <w:t xml:space="preserve"> </w:t>
      </w:r>
      <w:r w:rsidR="003C5448">
        <w:rPr>
          <w:szCs w:val="19"/>
        </w:rPr>
        <w:t>is</w:t>
      </w:r>
      <w:r>
        <w:rPr>
          <w:szCs w:val="19"/>
        </w:rPr>
        <w:t xml:space="preserve"> </w:t>
      </w:r>
      <w:r w:rsidRPr="00F74AE3">
        <w:rPr>
          <w:szCs w:val="19"/>
        </w:rPr>
        <w:t>amended</w:t>
      </w:r>
      <w:r w:rsidR="00400E73">
        <w:rPr>
          <w:szCs w:val="19"/>
        </w:rPr>
        <w:t xml:space="preserve"> and a footnote added</w:t>
      </w:r>
      <w:r w:rsidRPr="00F74AE3">
        <w:rPr>
          <w:szCs w:val="19"/>
        </w:rPr>
        <w:t>.</w:t>
      </w:r>
    </w:p>
    <w:p w14:paraId="49B7CBFE" w14:textId="77777777" w:rsidR="00CB5FB3" w:rsidRPr="00CB5FB3" w:rsidRDefault="00CB5FB3" w:rsidP="00C87FAF">
      <w:pPr>
        <w:pStyle w:val="Heading2"/>
        <w:spacing w:before="240"/>
        <w:jc w:val="both"/>
      </w:pPr>
      <w:r>
        <w:t>References</w:t>
      </w:r>
    </w:p>
    <w:p w14:paraId="2B199F26" w14:textId="4ECEECA4" w:rsidR="00957768" w:rsidRPr="00957768" w:rsidRDefault="00957768" w:rsidP="009E67C8">
      <w:pPr>
        <w:pStyle w:val="ListParagraph"/>
        <w:numPr>
          <w:ilvl w:val="0"/>
          <w:numId w:val="101"/>
        </w:numPr>
        <w:autoSpaceDE w:val="0"/>
        <w:autoSpaceDN w:val="0"/>
        <w:adjustRightInd w:val="0"/>
        <w:spacing w:before="100"/>
        <w:ind w:left="782" w:hanging="782"/>
        <w:jc w:val="both"/>
        <w:rPr>
          <w:sz w:val="19"/>
          <w:szCs w:val="19"/>
        </w:rPr>
      </w:pPr>
      <w:r w:rsidRPr="00957768">
        <w:rPr>
          <w:i/>
          <w:iCs/>
          <w:sz w:val="19"/>
          <w:szCs w:val="19"/>
        </w:rPr>
        <w:t>Framework for the Preparation and Presentation of Financial Statements</w:t>
      </w:r>
      <w:r w:rsidRPr="00957768">
        <w:rPr>
          <w:i/>
          <w:iCs/>
          <w:strike/>
          <w:sz w:val="19"/>
          <w:szCs w:val="19"/>
        </w:rPr>
        <w:t xml:space="preserve"> </w:t>
      </w:r>
      <w:r w:rsidRPr="00957768">
        <w:rPr>
          <w:strike/>
          <w:sz w:val="19"/>
          <w:szCs w:val="19"/>
        </w:rPr>
        <w:t xml:space="preserve">(as identified in AASB 1048 </w:t>
      </w:r>
      <w:r w:rsidRPr="00957768">
        <w:rPr>
          <w:i/>
          <w:iCs/>
          <w:strike/>
          <w:sz w:val="19"/>
          <w:szCs w:val="19"/>
        </w:rPr>
        <w:t>Interpretation of Standards</w:t>
      </w:r>
      <w:r w:rsidRPr="00957768">
        <w:rPr>
          <w:strike/>
          <w:sz w:val="19"/>
          <w:szCs w:val="19"/>
        </w:rPr>
        <w:t>)</w:t>
      </w:r>
      <w:r w:rsidR="00E71C53">
        <w:rPr>
          <w:sz w:val="19"/>
          <w:szCs w:val="19"/>
          <w:u w:val="single"/>
          <w:vertAlign w:val="superscript"/>
        </w:rPr>
        <w:t>*</w:t>
      </w:r>
    </w:p>
    <w:p w14:paraId="11E2BA30" w14:textId="77777777" w:rsidR="00F93B63" w:rsidRPr="00F93B63" w:rsidRDefault="00F93B63" w:rsidP="009E67C8">
      <w:pPr>
        <w:pStyle w:val="ListParagraph"/>
        <w:autoSpaceDE w:val="0"/>
        <w:autoSpaceDN w:val="0"/>
        <w:adjustRightInd w:val="0"/>
        <w:spacing w:before="100"/>
        <w:ind w:left="1564" w:hanging="782"/>
        <w:jc w:val="both"/>
        <w:rPr>
          <w:sz w:val="16"/>
        </w:rPr>
      </w:pPr>
      <w:r w:rsidRPr="00F93B63">
        <w:rPr>
          <w:sz w:val="16"/>
          <w:u w:val="single"/>
        </w:rPr>
        <w:t>*</w:t>
      </w:r>
      <w:r w:rsidRPr="00F93B63">
        <w:rPr>
          <w:sz w:val="16"/>
        </w:rPr>
        <w:t xml:space="preserve"> </w:t>
      </w:r>
      <w:r w:rsidRPr="00F93B63">
        <w:rPr>
          <w:sz w:val="16"/>
        </w:rPr>
        <w:tab/>
      </w:r>
      <w:r w:rsidRPr="00F93B63">
        <w:rPr>
          <w:sz w:val="16"/>
          <w:u w:val="single"/>
        </w:rPr>
        <w:t xml:space="preserve">The reference is to the </w:t>
      </w:r>
      <w:r w:rsidRPr="00F93B63">
        <w:rPr>
          <w:i/>
          <w:sz w:val="16"/>
          <w:u w:val="single"/>
        </w:rPr>
        <w:t>Framework for the Preparation and Presentation of Financial Statements</w:t>
      </w:r>
      <w:r w:rsidRPr="00F93B63">
        <w:rPr>
          <w:sz w:val="16"/>
          <w:u w:val="single"/>
        </w:rPr>
        <w:t xml:space="preserve"> </w:t>
      </w:r>
      <w:r w:rsidR="006146E5" w:rsidRPr="008008F3">
        <w:rPr>
          <w:sz w:val="16"/>
          <w:u w:val="single"/>
        </w:rPr>
        <w:t xml:space="preserve">adopted by the AASB in </w:t>
      </w:r>
      <w:r w:rsidR="006146E5" w:rsidRPr="0067049C">
        <w:rPr>
          <w:sz w:val="16"/>
          <w:u w:val="single"/>
        </w:rPr>
        <w:t>200</w:t>
      </w:r>
      <w:r w:rsidR="006146E5">
        <w:rPr>
          <w:sz w:val="16"/>
          <w:u w:val="single"/>
        </w:rPr>
        <w:t>4</w:t>
      </w:r>
      <w:r w:rsidR="006146E5" w:rsidRPr="008008F3">
        <w:rPr>
          <w:sz w:val="16"/>
          <w:u w:val="single"/>
        </w:rPr>
        <w:t xml:space="preserve"> </w:t>
      </w:r>
      <w:r w:rsidRPr="00F93B63">
        <w:rPr>
          <w:sz w:val="16"/>
          <w:u w:val="single"/>
        </w:rPr>
        <w:t xml:space="preserve">and in effect when the Interpretation was developed. </w:t>
      </w:r>
    </w:p>
    <w:p w14:paraId="420D8633" w14:textId="5B8590C5" w:rsidR="003A66C5" w:rsidRDefault="003A66C5" w:rsidP="00C87FAF">
      <w:pPr>
        <w:pStyle w:val="Heading2"/>
        <w:jc w:val="both"/>
      </w:pPr>
      <w:r>
        <w:t>A</w:t>
      </w:r>
      <w:r w:rsidR="00A7321D">
        <w:t>mendments to Interpretation 132</w:t>
      </w:r>
    </w:p>
    <w:p w14:paraId="1BE2264D" w14:textId="77777777" w:rsidR="00F93B63" w:rsidRPr="00F93B63" w:rsidRDefault="00F93B63" w:rsidP="00C87FAF">
      <w:pPr>
        <w:keepNext/>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F93B63">
        <w:rPr>
          <w:szCs w:val="19"/>
        </w:rPr>
        <w:t xml:space="preserve">Paragraph 5 is amended and the footnote to the </w:t>
      </w:r>
      <w:r w:rsidRPr="00F93B63">
        <w:rPr>
          <w:i/>
          <w:iCs/>
          <w:szCs w:val="19"/>
        </w:rPr>
        <w:t>Framework</w:t>
      </w:r>
      <w:r w:rsidRPr="00F93B63">
        <w:rPr>
          <w:szCs w:val="19"/>
        </w:rPr>
        <w:t xml:space="preserve"> in paragraph 5 is deleted. </w:t>
      </w:r>
      <w:r w:rsidR="00A310E4">
        <w:rPr>
          <w:szCs w:val="19"/>
        </w:rPr>
        <w:t xml:space="preserve"> </w:t>
      </w:r>
      <w:r w:rsidRPr="00F93B63">
        <w:rPr>
          <w:szCs w:val="19"/>
        </w:rPr>
        <w:t>Paragraph</w:t>
      </w:r>
      <w:r w:rsidR="0087625A">
        <w:rPr>
          <w:szCs w:val="19"/>
        </w:rPr>
        <w:t>s AusCF1 and</w:t>
      </w:r>
      <w:r w:rsidRPr="00F93B63">
        <w:rPr>
          <w:szCs w:val="19"/>
        </w:rPr>
        <w:t xml:space="preserve"> AusCF5 </w:t>
      </w:r>
      <w:r w:rsidR="0087625A">
        <w:rPr>
          <w:szCs w:val="19"/>
        </w:rPr>
        <w:t>are</w:t>
      </w:r>
      <w:r w:rsidR="0087625A" w:rsidRPr="00F93B63">
        <w:rPr>
          <w:szCs w:val="19"/>
        </w:rPr>
        <w:t xml:space="preserve"> </w:t>
      </w:r>
      <w:r w:rsidRPr="00F93B63">
        <w:rPr>
          <w:szCs w:val="19"/>
        </w:rPr>
        <w:t xml:space="preserve">added. </w:t>
      </w:r>
      <w:r w:rsidR="00A310E4">
        <w:rPr>
          <w:szCs w:val="19"/>
        </w:rPr>
        <w:t xml:space="preserve"> </w:t>
      </w:r>
      <w:r w:rsidRPr="00F93B63">
        <w:rPr>
          <w:szCs w:val="19"/>
        </w:rPr>
        <w:t>A new paragraph is also added at the end of the section under the heading ‘Effective date’.</w:t>
      </w:r>
    </w:p>
    <w:p w14:paraId="4DE40E4C" w14:textId="77777777" w:rsidR="00F93B63" w:rsidRPr="00F93B63" w:rsidRDefault="00F93B63" w:rsidP="00C87FAF">
      <w:pPr>
        <w:pStyle w:val="Heading2"/>
        <w:spacing w:before="240"/>
        <w:jc w:val="both"/>
      </w:pPr>
      <w:r w:rsidRPr="00F93B63">
        <w:t>Issue</w:t>
      </w:r>
    </w:p>
    <w:p w14:paraId="41054789" w14:textId="77777777" w:rsidR="00C44135" w:rsidRPr="0067049C" w:rsidRDefault="00C44135" w:rsidP="009E67C8">
      <w:pPr>
        <w:pStyle w:val="IASBNormalnpara"/>
        <w:rPr>
          <w:szCs w:val="19"/>
          <w:u w:val="single"/>
        </w:rPr>
      </w:pPr>
      <w:r w:rsidRPr="0067049C">
        <w:rPr>
          <w:szCs w:val="19"/>
          <w:u w:val="single"/>
        </w:rPr>
        <w:t>AusCF1</w:t>
      </w:r>
      <w:r w:rsidRPr="0067049C">
        <w:rPr>
          <w:szCs w:val="19"/>
        </w:rPr>
        <w:tab/>
      </w:r>
      <w:r w:rsidRPr="0067049C">
        <w:rPr>
          <w:szCs w:val="19"/>
          <w:u w:val="single"/>
        </w:rPr>
        <w:t>AusCF paragraphs and footnotes included in this Standard apply only to:</w:t>
      </w:r>
    </w:p>
    <w:p w14:paraId="02962904" w14:textId="5C506190" w:rsidR="00C44135" w:rsidRPr="0067049C" w:rsidRDefault="009E67C8" w:rsidP="009E67C8">
      <w:pPr>
        <w:pStyle w:val="IASBNormalnparaL1"/>
        <w:rPr>
          <w:szCs w:val="19"/>
          <w:u w:val="single"/>
        </w:rPr>
      </w:pPr>
      <w:r>
        <w:rPr>
          <w:szCs w:val="19"/>
          <w:u w:val="single"/>
        </w:rPr>
        <w:t>(a)</w:t>
      </w:r>
      <w:r>
        <w:rPr>
          <w:szCs w:val="19"/>
          <w:u w:val="single"/>
        </w:rPr>
        <w:tab/>
      </w:r>
      <w:r w:rsidR="00C44135" w:rsidRPr="0067049C">
        <w:rPr>
          <w:szCs w:val="19"/>
          <w:u w:val="single"/>
        </w:rPr>
        <w:t xml:space="preserve">not-for-profit entities; and </w:t>
      </w:r>
    </w:p>
    <w:p w14:paraId="55B0348D" w14:textId="44D57CFE" w:rsidR="00C44135" w:rsidRPr="0067049C" w:rsidRDefault="009E67C8" w:rsidP="009E67C8">
      <w:pPr>
        <w:pStyle w:val="IASBNormalnparaL1"/>
        <w:rPr>
          <w:szCs w:val="19"/>
          <w:u w:val="single"/>
        </w:rPr>
      </w:pPr>
      <w:r>
        <w:rPr>
          <w:szCs w:val="19"/>
          <w:u w:val="single"/>
        </w:rPr>
        <w:t>(b)</w:t>
      </w:r>
      <w:r>
        <w:rPr>
          <w:szCs w:val="19"/>
          <w:u w:val="single"/>
        </w:rPr>
        <w:tab/>
      </w:r>
      <w:r w:rsidR="00C44135" w:rsidRPr="0067049C">
        <w:rPr>
          <w:szCs w:val="19"/>
          <w:u w:val="single"/>
        </w:rPr>
        <w:t xml:space="preserve">for-profit entities that are not applying the </w:t>
      </w:r>
      <w:r w:rsidR="00C44135" w:rsidRPr="0067049C">
        <w:rPr>
          <w:i/>
          <w:szCs w:val="19"/>
          <w:u w:val="single"/>
        </w:rPr>
        <w:t>Conceptual Framework for Financial Reporting</w:t>
      </w:r>
      <w:r w:rsidR="00F72BCF">
        <w:rPr>
          <w:i/>
          <w:szCs w:val="19"/>
          <w:u w:val="single"/>
        </w:rPr>
        <w:t xml:space="preserve"> </w:t>
      </w:r>
      <w:r w:rsidR="00F72BCF" w:rsidRPr="00F20ED1">
        <w:rPr>
          <w:szCs w:val="19"/>
          <w:u w:val="single"/>
        </w:rPr>
        <w:t>(as identified in AASB 1048</w:t>
      </w:r>
      <w:r w:rsidR="00F72BCF" w:rsidRPr="00F20ED1">
        <w:rPr>
          <w:i/>
          <w:szCs w:val="19"/>
          <w:u w:val="single"/>
        </w:rPr>
        <w:t xml:space="preserve"> Interpretation of Standards</w:t>
      </w:r>
      <w:r w:rsidR="00F72BCF" w:rsidRPr="00F20ED1">
        <w:rPr>
          <w:szCs w:val="19"/>
          <w:u w:val="single"/>
        </w:rPr>
        <w:t>)</w:t>
      </w:r>
      <w:r w:rsidR="009F1F15" w:rsidRPr="0067049C">
        <w:rPr>
          <w:szCs w:val="19"/>
          <w:u w:val="single"/>
        </w:rPr>
        <w:t>.</w:t>
      </w:r>
      <w:r w:rsidR="00C44135" w:rsidRPr="0067049C">
        <w:rPr>
          <w:szCs w:val="19"/>
          <w:u w:val="single"/>
        </w:rPr>
        <w:t xml:space="preserve">  </w:t>
      </w:r>
    </w:p>
    <w:p w14:paraId="63DCE49B" w14:textId="39AB5A83" w:rsidR="00C44135" w:rsidRPr="0067049C" w:rsidRDefault="00C44135" w:rsidP="009E67C8">
      <w:pPr>
        <w:pStyle w:val="IASBNormalL1P"/>
        <w:rPr>
          <w:szCs w:val="19"/>
          <w:u w:val="single"/>
        </w:rPr>
      </w:pPr>
      <w:r w:rsidRPr="0067049C">
        <w:rPr>
          <w:szCs w:val="19"/>
          <w:u w:val="single"/>
        </w:rPr>
        <w:t xml:space="preserve">Such entities are referred to as ‘AusCF entities’.  </w:t>
      </w:r>
      <w:r w:rsidR="00284EE9"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 or footnotes.</w:t>
      </w:r>
    </w:p>
    <w:p w14:paraId="2C3B07EB" w14:textId="77777777" w:rsidR="00F93B63" w:rsidRDefault="00C44135" w:rsidP="00656C09">
      <w:pPr>
        <w:autoSpaceDE w:val="0"/>
        <w:autoSpaceDN w:val="0"/>
        <w:adjustRightInd w:val="0"/>
        <w:ind w:left="720" w:hanging="720"/>
        <w:rPr>
          <w:szCs w:val="19"/>
        </w:rPr>
      </w:pPr>
      <w:r>
        <w:rPr>
          <w:szCs w:val="19"/>
        </w:rPr>
        <w:t>…</w:t>
      </w:r>
    </w:p>
    <w:p w14:paraId="2472425A" w14:textId="77777777" w:rsidR="00F93B63" w:rsidRPr="00F93B63" w:rsidRDefault="00F93B63" w:rsidP="007E03F3">
      <w:pPr>
        <w:pStyle w:val="IASBNormalnpara"/>
        <w:rPr>
          <w:szCs w:val="19"/>
        </w:rPr>
      </w:pPr>
      <w:r w:rsidRPr="00F93B63">
        <w:rPr>
          <w:szCs w:val="19"/>
        </w:rPr>
        <w:t xml:space="preserve">5 </w:t>
      </w:r>
      <w:r w:rsidRPr="00F93B63">
        <w:rPr>
          <w:szCs w:val="19"/>
        </w:rPr>
        <w:tab/>
        <w:t>This Interpretation does not apply to expenditure on purchasing, developing, and operating hardware (eg web servers, staging servers, production servers and Internet connections) of a web site</w:t>
      </w:r>
      <w:r w:rsidR="009F1F15" w:rsidRPr="00F93B63">
        <w:rPr>
          <w:szCs w:val="19"/>
        </w:rPr>
        <w:t xml:space="preserve">.  </w:t>
      </w:r>
      <w:r w:rsidRPr="00F93B63">
        <w:rPr>
          <w:szCs w:val="19"/>
        </w:rPr>
        <w:t>Such expenditure is accounted for under AASB 116</w:t>
      </w:r>
      <w:r w:rsidR="009F1F15" w:rsidRPr="00F93B63">
        <w:rPr>
          <w:szCs w:val="19"/>
        </w:rPr>
        <w:t xml:space="preserve">.  </w:t>
      </w:r>
      <w:r w:rsidRPr="00F93B63">
        <w:rPr>
          <w:szCs w:val="19"/>
        </w:rPr>
        <w:t xml:space="preserve">Additionally, when an entity incurs expenditure on an Internet service provider hosting the entity’s web site, the expenditure is recognised as an expense under AASB 101.88 and the </w:t>
      </w:r>
      <w:r w:rsidRPr="00F93B63">
        <w:rPr>
          <w:i/>
          <w:iCs/>
          <w:strike/>
          <w:szCs w:val="19"/>
        </w:rPr>
        <w:t>Framework for the Preparation and Presentation of Financial Statements</w:t>
      </w:r>
      <w:r w:rsidR="00AA33CA">
        <w:rPr>
          <w:i/>
          <w:iCs/>
          <w:strike/>
          <w:szCs w:val="19"/>
        </w:rPr>
        <w:t xml:space="preserve"> </w:t>
      </w:r>
      <w:r w:rsidRPr="00F93B63">
        <w:rPr>
          <w:i/>
          <w:iCs/>
          <w:szCs w:val="19"/>
          <w:u w:val="single"/>
        </w:rPr>
        <w:t>Conceptual Framework for Financial Reporting</w:t>
      </w:r>
      <w:r w:rsidRPr="00F93B63">
        <w:rPr>
          <w:i/>
          <w:iCs/>
          <w:szCs w:val="19"/>
        </w:rPr>
        <w:t xml:space="preserve"> </w:t>
      </w:r>
      <w:r w:rsidRPr="00F93B63">
        <w:rPr>
          <w:iCs/>
          <w:szCs w:val="19"/>
        </w:rPr>
        <w:t xml:space="preserve">(as identified in AASB 1048 </w:t>
      </w:r>
      <w:r w:rsidRPr="00F93B63">
        <w:rPr>
          <w:i/>
          <w:iCs/>
          <w:szCs w:val="19"/>
        </w:rPr>
        <w:t>Interpretation of Standards</w:t>
      </w:r>
      <w:r w:rsidRPr="00F93B63">
        <w:rPr>
          <w:iCs/>
          <w:szCs w:val="19"/>
        </w:rPr>
        <w:t>)</w:t>
      </w:r>
      <w:r w:rsidRPr="00F93B63">
        <w:rPr>
          <w:strike/>
          <w:szCs w:val="19"/>
          <w:vertAlign w:val="superscript"/>
        </w:rPr>
        <w:t>1</w:t>
      </w:r>
      <w:r w:rsidRPr="00F93B63">
        <w:rPr>
          <w:i/>
          <w:iCs/>
          <w:szCs w:val="19"/>
        </w:rPr>
        <w:t xml:space="preserve"> </w:t>
      </w:r>
      <w:r w:rsidRPr="00F93B63">
        <w:rPr>
          <w:szCs w:val="19"/>
        </w:rPr>
        <w:t>when the services are received.</w:t>
      </w:r>
    </w:p>
    <w:p w14:paraId="11FAB40D" w14:textId="77777777" w:rsidR="00F93B63" w:rsidRPr="00F93B63" w:rsidRDefault="00F93B63" w:rsidP="007E03F3">
      <w:pPr>
        <w:pStyle w:val="IASBNormalnparaL1"/>
        <w:ind w:left="1491" w:hanging="709"/>
        <w:rPr>
          <w:strike/>
          <w:sz w:val="16"/>
          <w:szCs w:val="16"/>
        </w:rPr>
      </w:pPr>
      <w:r w:rsidRPr="00AA33CA">
        <w:rPr>
          <w:strike/>
          <w:sz w:val="16"/>
          <w:szCs w:val="16"/>
        </w:rPr>
        <w:t>1</w:t>
      </w:r>
      <w:r w:rsidRPr="0087625A">
        <w:rPr>
          <w:sz w:val="16"/>
          <w:szCs w:val="16"/>
        </w:rPr>
        <w:t xml:space="preserve"> </w:t>
      </w:r>
      <w:r w:rsidRPr="0087625A">
        <w:rPr>
          <w:sz w:val="16"/>
          <w:szCs w:val="16"/>
        </w:rPr>
        <w:tab/>
      </w:r>
      <w:r w:rsidRPr="00AA33CA">
        <w:rPr>
          <w:strike/>
          <w:sz w:val="16"/>
          <w:szCs w:val="16"/>
        </w:rPr>
        <w:t>In December</w:t>
      </w:r>
      <w:r w:rsidRPr="00F93B63">
        <w:rPr>
          <w:strike/>
          <w:sz w:val="16"/>
          <w:szCs w:val="16"/>
        </w:rPr>
        <w:t xml:space="preserve"> 2013 the AASB amended the </w:t>
      </w:r>
      <w:r w:rsidRPr="00F93B63">
        <w:rPr>
          <w:i/>
          <w:strike/>
          <w:sz w:val="16"/>
          <w:szCs w:val="16"/>
        </w:rPr>
        <w:t>Framework for the Preparation and Presentation of Financial Statements</w:t>
      </w:r>
      <w:r w:rsidRPr="00F93B63">
        <w:rPr>
          <w:strike/>
          <w:sz w:val="16"/>
          <w:szCs w:val="16"/>
        </w:rPr>
        <w:t>.</w:t>
      </w:r>
    </w:p>
    <w:p w14:paraId="1B9B25A7" w14:textId="77777777" w:rsidR="00F93B63" w:rsidRPr="00F93B63" w:rsidRDefault="00F93B63" w:rsidP="007E03F3">
      <w:pPr>
        <w:pStyle w:val="IASBNormalnpara"/>
        <w:rPr>
          <w:szCs w:val="19"/>
          <w:u w:val="single"/>
        </w:rPr>
      </w:pPr>
      <w:r w:rsidRPr="00F93B63">
        <w:rPr>
          <w:szCs w:val="19"/>
          <w:u w:val="single"/>
        </w:rPr>
        <w:t>AusCF5</w:t>
      </w:r>
      <w:r w:rsidRPr="00F93B63">
        <w:rPr>
          <w:szCs w:val="19"/>
        </w:rPr>
        <w:tab/>
      </w:r>
      <w:r w:rsidR="00093EF0" w:rsidRPr="00093EF0">
        <w:rPr>
          <w:szCs w:val="19"/>
          <w:u w:val="single"/>
        </w:rPr>
        <w:t xml:space="preserve">Notwithstanding paragraph </w:t>
      </w:r>
      <w:r w:rsidR="00093EF0">
        <w:rPr>
          <w:szCs w:val="19"/>
          <w:u w:val="single"/>
        </w:rPr>
        <w:t>5</w:t>
      </w:r>
      <w:r w:rsidR="00093EF0" w:rsidRPr="00093EF0">
        <w:rPr>
          <w:szCs w:val="19"/>
          <w:u w:val="single"/>
        </w:rPr>
        <w:t>, in respect of AusCF entities, this</w:t>
      </w:r>
      <w:r w:rsidR="00093EF0" w:rsidRPr="00F93B63">
        <w:rPr>
          <w:szCs w:val="19"/>
          <w:u w:val="single"/>
        </w:rPr>
        <w:t xml:space="preserve"> </w:t>
      </w:r>
      <w:r w:rsidRPr="00F93B63">
        <w:rPr>
          <w:szCs w:val="19"/>
          <w:u w:val="single"/>
        </w:rPr>
        <w:t>Interpretation does not apply to expenditure on purchasing, developing, and operating hardware (eg web servers, staging servers, production servers and Internet connections) of a web site</w:t>
      </w:r>
      <w:r w:rsidR="009F1F15" w:rsidRPr="00F93B63">
        <w:rPr>
          <w:szCs w:val="19"/>
          <w:u w:val="single"/>
        </w:rPr>
        <w:t xml:space="preserve">.  </w:t>
      </w:r>
      <w:r w:rsidRPr="00F93B63">
        <w:rPr>
          <w:szCs w:val="19"/>
          <w:u w:val="single"/>
        </w:rPr>
        <w:t>Such expenditure is accounted for under AASB 116</w:t>
      </w:r>
      <w:r w:rsidR="009F1F15" w:rsidRPr="00F93B63">
        <w:rPr>
          <w:szCs w:val="19"/>
          <w:u w:val="single"/>
        </w:rPr>
        <w:t xml:space="preserve">.  </w:t>
      </w:r>
      <w:r w:rsidRPr="00F93B63">
        <w:rPr>
          <w:szCs w:val="19"/>
          <w:u w:val="single"/>
        </w:rPr>
        <w:t xml:space="preserve">Additionally, when an entity incurs expenditure on an Internet service provider hosting the entity’s web site, the expenditure is recognised as an expense under AASB 101.88 and the </w:t>
      </w:r>
      <w:r w:rsidRPr="00F93B63">
        <w:rPr>
          <w:i/>
          <w:iCs/>
          <w:szCs w:val="19"/>
          <w:u w:val="single"/>
        </w:rPr>
        <w:t xml:space="preserve">Framework for the Preparation and Presentation of Financial Statements </w:t>
      </w:r>
      <w:r w:rsidRPr="00F93B63">
        <w:rPr>
          <w:iCs/>
          <w:szCs w:val="19"/>
          <w:u w:val="single"/>
        </w:rPr>
        <w:t xml:space="preserve">(as identified in AASB 1048 </w:t>
      </w:r>
      <w:r w:rsidRPr="00F93B63">
        <w:rPr>
          <w:i/>
          <w:iCs/>
          <w:szCs w:val="19"/>
          <w:u w:val="single"/>
        </w:rPr>
        <w:t>Interpretation of Standards</w:t>
      </w:r>
      <w:r w:rsidRPr="00F93B63">
        <w:rPr>
          <w:iCs/>
          <w:szCs w:val="19"/>
          <w:u w:val="single"/>
        </w:rPr>
        <w:t>)</w:t>
      </w:r>
      <w:r w:rsidRPr="00F93B63">
        <w:rPr>
          <w:iCs/>
          <w:szCs w:val="19"/>
          <w:u w:val="single"/>
          <w:vertAlign w:val="superscript"/>
        </w:rPr>
        <w:t>AusCF</w:t>
      </w:r>
      <w:r w:rsidRPr="00F93B63">
        <w:rPr>
          <w:szCs w:val="19"/>
          <w:u w:val="single"/>
          <w:vertAlign w:val="superscript"/>
        </w:rPr>
        <w:t>1</w:t>
      </w:r>
      <w:r w:rsidRPr="00F93B63">
        <w:rPr>
          <w:i/>
          <w:iCs/>
          <w:szCs w:val="19"/>
          <w:u w:val="single"/>
        </w:rPr>
        <w:t xml:space="preserve"> </w:t>
      </w:r>
      <w:r w:rsidRPr="00F93B63">
        <w:rPr>
          <w:szCs w:val="19"/>
          <w:u w:val="single"/>
        </w:rPr>
        <w:t>when the services are received.</w:t>
      </w:r>
    </w:p>
    <w:p w14:paraId="646FB182" w14:textId="77777777" w:rsidR="00F93B63" w:rsidRPr="00F93B63" w:rsidRDefault="00F93B63" w:rsidP="007E03F3">
      <w:pPr>
        <w:pStyle w:val="IASBNormalnparaL1"/>
        <w:ind w:left="1491" w:hanging="709"/>
        <w:rPr>
          <w:sz w:val="16"/>
          <w:szCs w:val="16"/>
          <w:u w:val="single"/>
        </w:rPr>
      </w:pPr>
      <w:r w:rsidRPr="00F93B63">
        <w:rPr>
          <w:sz w:val="16"/>
          <w:szCs w:val="16"/>
          <w:u w:val="single"/>
        </w:rPr>
        <w:t>AusCF1</w:t>
      </w:r>
      <w:r w:rsidRPr="00F93B63">
        <w:rPr>
          <w:sz w:val="16"/>
          <w:szCs w:val="16"/>
        </w:rPr>
        <w:t xml:space="preserve"> </w:t>
      </w:r>
      <w:r w:rsidRPr="00F93B63">
        <w:rPr>
          <w:sz w:val="16"/>
          <w:szCs w:val="16"/>
        </w:rPr>
        <w:tab/>
      </w:r>
      <w:r w:rsidRPr="00F93B63">
        <w:rPr>
          <w:sz w:val="16"/>
          <w:szCs w:val="16"/>
          <w:u w:val="single"/>
        </w:rPr>
        <w:t xml:space="preserve">In December 2013 the AASB amended the </w:t>
      </w:r>
      <w:r w:rsidRPr="00F93B63">
        <w:rPr>
          <w:i/>
          <w:sz w:val="16"/>
          <w:szCs w:val="16"/>
          <w:u w:val="single"/>
        </w:rPr>
        <w:t>Framework for the Preparation and Presentation of Financial Statements</w:t>
      </w:r>
      <w:r w:rsidRPr="00F93B63">
        <w:rPr>
          <w:sz w:val="16"/>
          <w:szCs w:val="16"/>
          <w:u w:val="single"/>
        </w:rPr>
        <w:t>.</w:t>
      </w:r>
    </w:p>
    <w:p w14:paraId="2BF9A8F6" w14:textId="77777777" w:rsidR="00F93B63" w:rsidRPr="00F93B63" w:rsidRDefault="00F93B63" w:rsidP="00C87FAF">
      <w:pPr>
        <w:autoSpaceDE w:val="0"/>
        <w:autoSpaceDN w:val="0"/>
        <w:adjustRightInd w:val="0"/>
        <w:ind w:left="11" w:hanging="11"/>
        <w:rPr>
          <w:szCs w:val="19"/>
        </w:rPr>
      </w:pPr>
      <w:r w:rsidRPr="00F93B63">
        <w:rPr>
          <w:szCs w:val="19"/>
        </w:rPr>
        <w:t>…</w:t>
      </w:r>
    </w:p>
    <w:p w14:paraId="23D3ABF4" w14:textId="77777777" w:rsidR="00F93B63" w:rsidRPr="00F93B63" w:rsidRDefault="00F93B63" w:rsidP="00C87FAF">
      <w:pPr>
        <w:pStyle w:val="Heading2"/>
        <w:spacing w:before="240"/>
        <w:jc w:val="both"/>
      </w:pPr>
      <w:r w:rsidRPr="00F93B63">
        <w:t>Effective date</w:t>
      </w:r>
    </w:p>
    <w:p w14:paraId="0A78672B" w14:textId="77777777" w:rsidR="00F93B63" w:rsidRPr="00F93B63" w:rsidRDefault="00F93B63" w:rsidP="00C87FAF">
      <w:pPr>
        <w:autoSpaceDE w:val="0"/>
        <w:autoSpaceDN w:val="0"/>
        <w:adjustRightInd w:val="0"/>
        <w:rPr>
          <w:szCs w:val="19"/>
        </w:rPr>
      </w:pPr>
      <w:r w:rsidRPr="00F93B63">
        <w:rPr>
          <w:szCs w:val="19"/>
        </w:rPr>
        <w:t>…</w:t>
      </w:r>
    </w:p>
    <w:p w14:paraId="3BC3DB86" w14:textId="1BD45CF5" w:rsidR="00F93B63" w:rsidRPr="00F93B63" w:rsidRDefault="00F93B63" w:rsidP="007E03F3">
      <w:pPr>
        <w:pStyle w:val="IASBNormalnpara"/>
        <w:ind w:firstLine="0"/>
        <w:rPr>
          <w:szCs w:val="19"/>
        </w:rPr>
      </w:pPr>
      <w:r w:rsidRPr="00F93B63">
        <w:rPr>
          <w:szCs w:val="19"/>
          <w:u w:val="single"/>
        </w:rPr>
        <w:t>AASB </w:t>
      </w:r>
      <w:r w:rsidR="00043A3E">
        <w:rPr>
          <w:szCs w:val="19"/>
          <w:u w:val="single"/>
        </w:rPr>
        <w:t>2019-1</w:t>
      </w:r>
      <w:r w:rsidRPr="00F93B63">
        <w:rPr>
          <w:szCs w:val="19"/>
          <w:u w:val="single"/>
        </w:rPr>
        <w:t xml:space="preserve"> </w:t>
      </w:r>
      <w:r w:rsidRPr="00F93B63">
        <w:rPr>
          <w:i/>
          <w:iCs/>
          <w:szCs w:val="19"/>
          <w:u w:val="single"/>
        </w:rPr>
        <w:t>Amendments to Australian Accounting Standards – References to the Conceptual Framework</w:t>
      </w:r>
      <w:r w:rsidRPr="00F93B63">
        <w:rPr>
          <w:szCs w:val="19"/>
          <w:u w:val="single"/>
        </w:rPr>
        <w:t xml:space="preserve">, issued in </w:t>
      </w:r>
      <w:r w:rsidR="00443B60">
        <w:rPr>
          <w:szCs w:val="19"/>
          <w:u w:val="single"/>
        </w:rPr>
        <w:t>2019</w:t>
      </w:r>
      <w:r w:rsidRPr="00F93B63">
        <w:rPr>
          <w:szCs w:val="19"/>
          <w:u w:val="single"/>
        </w:rPr>
        <w:t xml:space="preserve">, </w:t>
      </w:r>
      <w:r w:rsidR="00A310E4">
        <w:rPr>
          <w:szCs w:val="19"/>
          <w:u w:val="single"/>
        </w:rPr>
        <w:t xml:space="preserve">added </w:t>
      </w:r>
      <w:r w:rsidR="00093EF0">
        <w:rPr>
          <w:szCs w:val="19"/>
          <w:u w:val="single"/>
        </w:rPr>
        <w:t xml:space="preserve">AusCF </w:t>
      </w:r>
      <w:r w:rsidR="00A310E4">
        <w:rPr>
          <w:szCs w:val="19"/>
          <w:u w:val="single"/>
        </w:rPr>
        <w:t>paragraph</w:t>
      </w:r>
      <w:r w:rsidR="00093EF0">
        <w:rPr>
          <w:szCs w:val="19"/>
          <w:u w:val="single"/>
        </w:rPr>
        <w:t xml:space="preserve">s </w:t>
      </w:r>
      <w:r w:rsidR="00AD03C4">
        <w:rPr>
          <w:szCs w:val="19"/>
          <w:u w:val="single"/>
        </w:rPr>
        <w:t xml:space="preserve">and </w:t>
      </w:r>
      <w:r w:rsidRPr="00F93B63">
        <w:rPr>
          <w:szCs w:val="19"/>
          <w:u w:val="single"/>
        </w:rPr>
        <w:t>amended paragra</w:t>
      </w:r>
      <w:r w:rsidR="00A310E4">
        <w:rPr>
          <w:szCs w:val="19"/>
          <w:u w:val="single"/>
        </w:rPr>
        <w:t>ph 5</w:t>
      </w:r>
      <w:r w:rsidR="009F1F15">
        <w:rPr>
          <w:szCs w:val="19"/>
          <w:u w:val="single"/>
        </w:rPr>
        <w:t xml:space="preserve">.  </w:t>
      </w:r>
      <w:r w:rsidR="00A310E4">
        <w:rPr>
          <w:szCs w:val="19"/>
          <w:u w:val="single"/>
        </w:rPr>
        <w:t>An entity shall apply the</w:t>
      </w:r>
      <w:r w:rsidRPr="00F93B63">
        <w:rPr>
          <w:szCs w:val="19"/>
          <w:u w:val="single"/>
        </w:rPr>
        <w:t xml:space="preserve"> amendment</w:t>
      </w:r>
      <w:r w:rsidR="00A310E4">
        <w:rPr>
          <w:szCs w:val="19"/>
          <w:u w:val="single"/>
        </w:rPr>
        <w:t>s</w:t>
      </w:r>
      <w:r w:rsidRPr="00F93B63">
        <w:rPr>
          <w:szCs w:val="19"/>
          <w:u w:val="single"/>
        </w:rPr>
        <w:t xml:space="preserve"> for annual periods beginning on or after 1 January 2020</w:t>
      </w:r>
      <w:r w:rsidR="009F1F15" w:rsidRPr="00F93B63">
        <w:rPr>
          <w:szCs w:val="19"/>
          <w:u w:val="single"/>
        </w:rPr>
        <w:t xml:space="preserve">.  </w:t>
      </w:r>
      <w:r w:rsidRPr="00F93B63">
        <w:rPr>
          <w:szCs w:val="19"/>
          <w:u w:val="single"/>
        </w:rPr>
        <w:t>Earlier application is permitted if at the same time an entity also applies all other amendments made by AASB </w:t>
      </w:r>
      <w:r w:rsidR="00043A3E">
        <w:rPr>
          <w:szCs w:val="19"/>
          <w:u w:val="single"/>
        </w:rPr>
        <w:t>2019-1</w:t>
      </w:r>
      <w:r w:rsidR="009F1F15" w:rsidRPr="00F93B63">
        <w:rPr>
          <w:szCs w:val="19"/>
          <w:u w:val="single"/>
        </w:rPr>
        <w:t xml:space="preserve">.  </w:t>
      </w:r>
      <w:r w:rsidRPr="00F93B63">
        <w:rPr>
          <w:szCs w:val="19"/>
          <w:u w:val="single"/>
        </w:rPr>
        <w:t>An entity shall apply the amendment</w:t>
      </w:r>
      <w:r w:rsidR="00A310E4">
        <w:rPr>
          <w:szCs w:val="19"/>
          <w:u w:val="single"/>
        </w:rPr>
        <w:t>s</w:t>
      </w:r>
      <w:r w:rsidRPr="00F93B63">
        <w:rPr>
          <w:szCs w:val="19"/>
          <w:u w:val="single"/>
        </w:rPr>
        <w:t xml:space="preserve"> to Interpretation 132 retrospectively in accordance with AASB 108 </w:t>
      </w:r>
      <w:r w:rsidRPr="00F93B63">
        <w:rPr>
          <w:i/>
          <w:iCs/>
          <w:szCs w:val="19"/>
          <w:u w:val="single"/>
        </w:rPr>
        <w:t>Accounting Policies, Changes in Accounting Estimates and Errors</w:t>
      </w:r>
      <w:r w:rsidR="009F1F15" w:rsidRPr="00F93B63">
        <w:rPr>
          <w:szCs w:val="19"/>
          <w:u w:val="single"/>
        </w:rPr>
        <w:t xml:space="preserve">.  </w:t>
      </w:r>
      <w:r w:rsidRPr="00F93B63">
        <w:rPr>
          <w:szCs w:val="19"/>
          <w:u w:val="single"/>
        </w:rPr>
        <w:t>However, if an entity determines that retrospective application would be impracticable or would involve undue cost or effort, it shall apply the amendment</w:t>
      </w:r>
      <w:r w:rsidR="00A310E4">
        <w:rPr>
          <w:szCs w:val="19"/>
          <w:u w:val="single"/>
        </w:rPr>
        <w:t>s</w:t>
      </w:r>
      <w:r w:rsidRPr="00F93B63">
        <w:rPr>
          <w:szCs w:val="19"/>
          <w:u w:val="single"/>
        </w:rPr>
        <w:t xml:space="preserve"> to Interpretation 132 by reference to paragraphs 23–28, 50–53 and 54F of AASB 108.</w:t>
      </w:r>
    </w:p>
    <w:p w14:paraId="63C98622" w14:textId="77777777" w:rsidR="003A66C5" w:rsidRDefault="003A66C5" w:rsidP="00C87FAF">
      <w:pPr>
        <w:pStyle w:val="Heading2"/>
        <w:jc w:val="both"/>
      </w:pPr>
      <w:r>
        <w:t>Amendm</w:t>
      </w:r>
      <w:r w:rsidR="00A310E4">
        <w:t>ents to Interpretation 1003</w:t>
      </w:r>
    </w:p>
    <w:p w14:paraId="452BBA1E" w14:textId="26246B67" w:rsidR="00F74AE3" w:rsidRPr="00F74AE3" w:rsidRDefault="00F74AE3" w:rsidP="00C87FAF">
      <w:pPr>
        <w:keepNext/>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F74AE3">
        <w:rPr>
          <w:bCs/>
          <w:szCs w:val="19"/>
        </w:rPr>
        <w:t>Paragraph AusCF1 is added.</w:t>
      </w:r>
      <w:r w:rsidR="0090311B">
        <w:rPr>
          <w:bCs/>
          <w:szCs w:val="19"/>
        </w:rPr>
        <w:t xml:space="preserve">  </w:t>
      </w:r>
      <w:r w:rsidR="0090311B">
        <w:rPr>
          <w:szCs w:val="19"/>
        </w:rPr>
        <w:t xml:space="preserve">Paragraph 10 is deleted.  </w:t>
      </w:r>
      <w:r w:rsidR="0090311B">
        <w:rPr>
          <w:bCs/>
          <w:szCs w:val="19"/>
        </w:rPr>
        <w:t xml:space="preserve">(The application of Interpretation 1003 to entities and financial statements is set out in AASB </w:t>
      </w:r>
      <w:r w:rsidR="0090311B" w:rsidRPr="00C07486">
        <w:rPr>
          <w:bCs/>
          <w:szCs w:val="19"/>
        </w:rPr>
        <w:t>1057</w:t>
      </w:r>
      <w:r w:rsidR="0090311B" w:rsidRPr="00564CD5">
        <w:rPr>
          <w:bCs/>
          <w:i/>
          <w:szCs w:val="19"/>
        </w:rPr>
        <w:t xml:space="preserve"> Application of Australian Accounting Standards</w:t>
      </w:r>
      <w:r w:rsidR="0090311B">
        <w:rPr>
          <w:bCs/>
          <w:szCs w:val="19"/>
        </w:rPr>
        <w:t>.)</w:t>
      </w:r>
    </w:p>
    <w:p w14:paraId="398FDCBA" w14:textId="77777777" w:rsidR="00F74AE3" w:rsidRPr="00554EE4" w:rsidRDefault="00F74AE3" w:rsidP="00C87FAF">
      <w:pPr>
        <w:pStyle w:val="Heading1"/>
        <w:spacing w:before="240"/>
        <w:jc w:val="both"/>
        <w:rPr>
          <w:rFonts w:ascii="Times New Roman" w:hAnsi="Times New Roman" w:cs="Times New Roman"/>
          <w:szCs w:val="26"/>
        </w:rPr>
      </w:pPr>
      <w:r w:rsidRPr="00554EE4">
        <w:rPr>
          <w:rFonts w:ascii="Times New Roman" w:hAnsi="Times New Roman" w:cs="Times New Roman"/>
          <w:szCs w:val="26"/>
        </w:rPr>
        <w:t>BACKGROUND</w:t>
      </w:r>
    </w:p>
    <w:p w14:paraId="5F139E84" w14:textId="77777777" w:rsidR="00685330" w:rsidRPr="0067049C" w:rsidRDefault="00685330" w:rsidP="007E03F3">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0EB50AB8" w14:textId="6EDA812C" w:rsidR="00685330" w:rsidRPr="0067049C" w:rsidRDefault="007E03F3" w:rsidP="007E03F3">
      <w:pPr>
        <w:pStyle w:val="IASBNormalnparaL1"/>
        <w:rPr>
          <w:szCs w:val="19"/>
          <w:u w:val="single"/>
        </w:rPr>
      </w:pPr>
      <w:r>
        <w:rPr>
          <w:szCs w:val="19"/>
          <w:u w:val="single"/>
        </w:rPr>
        <w:t>(a)</w:t>
      </w:r>
      <w:r>
        <w:rPr>
          <w:szCs w:val="19"/>
          <w:u w:val="single"/>
        </w:rPr>
        <w:tab/>
      </w:r>
      <w:r w:rsidR="00685330" w:rsidRPr="0067049C">
        <w:rPr>
          <w:szCs w:val="19"/>
          <w:u w:val="single"/>
        </w:rPr>
        <w:t xml:space="preserve">not-for-profit entities; and </w:t>
      </w:r>
    </w:p>
    <w:p w14:paraId="5268E360" w14:textId="6D638A1F" w:rsidR="00685330" w:rsidRPr="0067049C" w:rsidRDefault="007E03F3" w:rsidP="007E03F3">
      <w:pPr>
        <w:pStyle w:val="IASBNormalnparaL1"/>
        <w:rPr>
          <w:szCs w:val="19"/>
          <w:u w:val="single"/>
        </w:rPr>
      </w:pPr>
      <w:r>
        <w:rPr>
          <w:szCs w:val="19"/>
          <w:u w:val="single"/>
        </w:rPr>
        <w:t>(b)</w:t>
      </w:r>
      <w:r>
        <w:rPr>
          <w:szCs w:val="19"/>
          <w:u w:val="single"/>
        </w:rPr>
        <w:tab/>
      </w:r>
      <w:r w:rsidR="00685330" w:rsidRPr="0067049C">
        <w:rPr>
          <w:szCs w:val="19"/>
          <w:u w:val="single"/>
        </w:rPr>
        <w:t xml:space="preserve">for-profit entities that are not applying the </w:t>
      </w:r>
      <w:r w:rsidR="00685330" w:rsidRPr="0067049C">
        <w:rPr>
          <w:i/>
          <w:szCs w:val="19"/>
          <w:u w:val="single"/>
        </w:rPr>
        <w:t>Conceptual Framework for Financial Reporting</w:t>
      </w:r>
      <w:r w:rsidR="00F72BCF">
        <w:rPr>
          <w:i/>
          <w:szCs w:val="19"/>
          <w:u w:val="single"/>
        </w:rPr>
        <w:t xml:space="preserve"> </w:t>
      </w:r>
      <w:r w:rsidR="00F72BCF" w:rsidRPr="00F20ED1">
        <w:rPr>
          <w:szCs w:val="19"/>
          <w:u w:val="single"/>
        </w:rPr>
        <w:t>(as identified in AASB 1048</w:t>
      </w:r>
      <w:r w:rsidR="00F72BCF" w:rsidRPr="00F20ED1">
        <w:rPr>
          <w:i/>
          <w:szCs w:val="19"/>
          <w:u w:val="single"/>
        </w:rPr>
        <w:t xml:space="preserve"> Interpretation of Standards</w:t>
      </w:r>
      <w:r w:rsidR="00F72BCF" w:rsidRPr="00F20ED1">
        <w:rPr>
          <w:szCs w:val="19"/>
          <w:u w:val="single"/>
        </w:rPr>
        <w:t>)</w:t>
      </w:r>
      <w:r w:rsidR="009F1F15" w:rsidRPr="0067049C">
        <w:rPr>
          <w:szCs w:val="19"/>
          <w:u w:val="single"/>
        </w:rPr>
        <w:t>.</w:t>
      </w:r>
    </w:p>
    <w:p w14:paraId="1CE7AC00" w14:textId="09F9BE93" w:rsidR="00685330" w:rsidRDefault="00685330" w:rsidP="007E03F3">
      <w:pPr>
        <w:pStyle w:val="IASBNormalL1P"/>
        <w:rPr>
          <w:szCs w:val="19"/>
          <w:u w:val="single"/>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0FD9E53A" w14:textId="66BEA66E" w:rsidR="0090311B" w:rsidRPr="00656C09" w:rsidRDefault="0090311B" w:rsidP="00656C09">
      <w:pPr>
        <w:autoSpaceDE w:val="0"/>
        <w:autoSpaceDN w:val="0"/>
        <w:adjustRightInd w:val="0"/>
        <w:spacing w:before="100"/>
        <w:rPr>
          <w:szCs w:val="19"/>
        </w:rPr>
      </w:pPr>
      <w:r w:rsidRPr="00656C09">
        <w:rPr>
          <w:szCs w:val="19"/>
        </w:rPr>
        <w:t>…</w:t>
      </w:r>
    </w:p>
    <w:p w14:paraId="232348F8" w14:textId="7ED03C84" w:rsidR="0090311B" w:rsidRPr="00554EE4" w:rsidRDefault="0090311B" w:rsidP="0090311B">
      <w:pPr>
        <w:pStyle w:val="Heading1"/>
        <w:spacing w:before="240"/>
        <w:jc w:val="both"/>
        <w:rPr>
          <w:rFonts w:ascii="Times New Roman" w:hAnsi="Times New Roman" w:cs="Times New Roman"/>
          <w:szCs w:val="26"/>
        </w:rPr>
      </w:pPr>
      <w:r>
        <w:rPr>
          <w:rFonts w:ascii="Times New Roman" w:hAnsi="Times New Roman" w:cs="Times New Roman"/>
          <w:szCs w:val="26"/>
        </w:rPr>
        <w:t>APPLICATION</w:t>
      </w:r>
    </w:p>
    <w:p w14:paraId="3A1B8838" w14:textId="367B7440" w:rsidR="0090311B" w:rsidRPr="0090311B" w:rsidRDefault="003926AB" w:rsidP="007E03F3">
      <w:pPr>
        <w:pStyle w:val="IASBNormalnpara"/>
        <w:rPr>
          <w:strike/>
        </w:rPr>
      </w:pPr>
      <w:r w:rsidRPr="00C43909">
        <w:rPr>
          <w:szCs w:val="19"/>
        </w:rPr>
        <w:t>10</w:t>
      </w:r>
      <w:r w:rsidR="0090311B" w:rsidRPr="00C43909">
        <w:rPr>
          <w:b/>
          <w:szCs w:val="19"/>
        </w:rPr>
        <w:t xml:space="preserve"> </w:t>
      </w:r>
      <w:r w:rsidR="0090311B" w:rsidRPr="00BB71D3">
        <w:rPr>
          <w:b/>
          <w:szCs w:val="19"/>
        </w:rPr>
        <w:tab/>
      </w:r>
      <w:r w:rsidR="0090311B" w:rsidRPr="003926AB">
        <w:rPr>
          <w:szCs w:val="19"/>
          <w:u w:val="single"/>
        </w:rPr>
        <w:t>[Deleted by the AASB]</w:t>
      </w:r>
      <w:r w:rsidR="0090311B" w:rsidRPr="0090311B">
        <w:t xml:space="preserve"> </w:t>
      </w:r>
      <w:r w:rsidR="0090311B" w:rsidRPr="0090311B">
        <w:rPr>
          <w:strike/>
        </w:rPr>
        <w:t>This Interpretation applies to:</w:t>
      </w:r>
      <w:r w:rsidR="0090311B" w:rsidRPr="007E03F3">
        <w:rPr>
          <w:szCs w:val="19"/>
          <w:u w:val="single"/>
        </w:rPr>
        <w:t xml:space="preserve"> </w:t>
      </w:r>
    </w:p>
    <w:p w14:paraId="04E280CB" w14:textId="409E7E0B" w:rsidR="0090311B" w:rsidRPr="0090311B" w:rsidRDefault="00C66FBD" w:rsidP="007E03F3">
      <w:pPr>
        <w:pStyle w:val="IASBNormalnparaL1"/>
        <w:rPr>
          <w:strike/>
        </w:rPr>
      </w:pPr>
      <w:r>
        <w:rPr>
          <w:strike/>
        </w:rPr>
        <w:t>(a)</w:t>
      </w:r>
      <w:r>
        <w:rPr>
          <w:strike/>
        </w:rPr>
        <w:tab/>
      </w:r>
      <w:r w:rsidR="0090311B" w:rsidRPr="0090311B">
        <w:rPr>
          <w:strike/>
        </w:rPr>
        <w:t xml:space="preserve">each entity that is required to prepare financial reports in accordance with Part 2M.3 of the </w:t>
      </w:r>
      <w:r w:rsidR="0090311B" w:rsidRPr="003926AB">
        <w:rPr>
          <w:i/>
          <w:strike/>
        </w:rPr>
        <w:t>Corporations Act 2001</w:t>
      </w:r>
      <w:r w:rsidR="0090311B" w:rsidRPr="0090311B">
        <w:rPr>
          <w:strike/>
        </w:rPr>
        <w:t xml:space="preserve"> and that is a reporting entity; </w:t>
      </w:r>
    </w:p>
    <w:p w14:paraId="6D0F5221" w14:textId="581DF046" w:rsidR="0090311B" w:rsidRPr="0090311B" w:rsidRDefault="00C66FBD" w:rsidP="007E03F3">
      <w:pPr>
        <w:pStyle w:val="IASBNormalnparaL1"/>
        <w:rPr>
          <w:strike/>
        </w:rPr>
      </w:pPr>
      <w:r>
        <w:rPr>
          <w:strike/>
        </w:rPr>
        <w:t>(b)</w:t>
      </w:r>
      <w:r>
        <w:rPr>
          <w:strike/>
        </w:rPr>
        <w:tab/>
      </w:r>
      <w:r w:rsidR="0090311B" w:rsidRPr="0090311B">
        <w:rPr>
          <w:strike/>
        </w:rPr>
        <w:t xml:space="preserve">general purpose financial statements of each other reporting entity; and </w:t>
      </w:r>
    </w:p>
    <w:p w14:paraId="36928889" w14:textId="4657CF45" w:rsidR="0090311B" w:rsidRPr="0090311B" w:rsidRDefault="00C66FBD" w:rsidP="007E03F3">
      <w:pPr>
        <w:pStyle w:val="IASBNormalnparaL1"/>
        <w:rPr>
          <w:b/>
          <w:strike/>
          <w:szCs w:val="19"/>
          <w:u w:val="single"/>
        </w:rPr>
      </w:pPr>
      <w:r>
        <w:rPr>
          <w:strike/>
        </w:rPr>
        <w:t>(c)</w:t>
      </w:r>
      <w:r>
        <w:rPr>
          <w:strike/>
        </w:rPr>
        <w:tab/>
      </w:r>
      <w:r w:rsidR="0090311B" w:rsidRPr="0090311B">
        <w:rPr>
          <w:strike/>
        </w:rPr>
        <w:t>financial statements that are, or are held out to be, general purpose financial statements.</w:t>
      </w:r>
    </w:p>
    <w:p w14:paraId="7EBE3278" w14:textId="77777777" w:rsidR="003A66C5" w:rsidRDefault="003A66C5" w:rsidP="00C87FAF">
      <w:pPr>
        <w:pStyle w:val="Heading2"/>
        <w:jc w:val="both"/>
      </w:pPr>
      <w:r>
        <w:t>Am</w:t>
      </w:r>
      <w:r w:rsidR="007F3CE6">
        <w:t>endments to Interpretation 1019</w:t>
      </w:r>
    </w:p>
    <w:p w14:paraId="61A327D1" w14:textId="18899E36" w:rsidR="00F74AE3" w:rsidRPr="00F74AE3" w:rsidRDefault="00B8269E"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Paragraph 18</w:t>
      </w:r>
      <w:r w:rsidR="003926AB">
        <w:rPr>
          <w:szCs w:val="19"/>
        </w:rPr>
        <w:t xml:space="preserve"> is amended and the footnote to the </w:t>
      </w:r>
      <w:r w:rsidR="003926AB" w:rsidRPr="00C66FBD">
        <w:rPr>
          <w:i/>
          <w:szCs w:val="19"/>
        </w:rPr>
        <w:t xml:space="preserve">Framework </w:t>
      </w:r>
      <w:r w:rsidR="003926AB">
        <w:rPr>
          <w:szCs w:val="19"/>
        </w:rPr>
        <w:t xml:space="preserve">in </w:t>
      </w:r>
      <w:r>
        <w:rPr>
          <w:szCs w:val="19"/>
        </w:rPr>
        <w:t xml:space="preserve">paragraph 18 is deleted.  </w:t>
      </w:r>
      <w:r w:rsidR="001A5772" w:rsidRPr="00F74AE3">
        <w:rPr>
          <w:szCs w:val="19"/>
        </w:rPr>
        <w:t>In the References section</w:t>
      </w:r>
      <w:r w:rsidR="001A5772">
        <w:rPr>
          <w:szCs w:val="19"/>
        </w:rPr>
        <w:t>,</w:t>
      </w:r>
      <w:r w:rsidR="001A5772" w:rsidRPr="00F74AE3">
        <w:rPr>
          <w:szCs w:val="19"/>
        </w:rPr>
        <w:t xml:space="preserve"> the </w:t>
      </w:r>
      <w:r w:rsidR="001A5772">
        <w:rPr>
          <w:szCs w:val="19"/>
        </w:rPr>
        <w:t xml:space="preserve">reference </w:t>
      </w:r>
      <w:r w:rsidR="00F74AE3" w:rsidRPr="00F74AE3">
        <w:rPr>
          <w:szCs w:val="19"/>
        </w:rPr>
        <w:t xml:space="preserve">to </w:t>
      </w:r>
      <w:r w:rsidR="00A310E4">
        <w:rPr>
          <w:szCs w:val="19"/>
        </w:rPr>
        <w:t xml:space="preserve">the </w:t>
      </w:r>
      <w:r w:rsidR="00F74AE3" w:rsidRPr="00F74AE3">
        <w:rPr>
          <w:i/>
          <w:szCs w:val="19"/>
        </w:rPr>
        <w:t>Framework for the Preparation and Presentation of Financial Statements</w:t>
      </w:r>
      <w:r w:rsidR="00F74AE3" w:rsidRPr="00F74AE3">
        <w:rPr>
          <w:szCs w:val="19"/>
        </w:rPr>
        <w:t xml:space="preserve"> </w:t>
      </w:r>
      <w:r w:rsidR="001A5772">
        <w:rPr>
          <w:szCs w:val="19"/>
        </w:rPr>
        <w:t xml:space="preserve">and its </w:t>
      </w:r>
      <w:r w:rsidR="001A5772" w:rsidRPr="00F74AE3">
        <w:rPr>
          <w:szCs w:val="19"/>
        </w:rPr>
        <w:t xml:space="preserve">footnote </w:t>
      </w:r>
      <w:r w:rsidR="001A5772">
        <w:rPr>
          <w:szCs w:val="19"/>
        </w:rPr>
        <w:t xml:space="preserve">are </w:t>
      </w:r>
      <w:r w:rsidR="00F74AE3" w:rsidRPr="00F74AE3">
        <w:rPr>
          <w:szCs w:val="19"/>
        </w:rPr>
        <w:t>amended.</w:t>
      </w:r>
    </w:p>
    <w:p w14:paraId="2DCAF730" w14:textId="0136DDC7" w:rsidR="00B8269E" w:rsidRPr="00554EE4" w:rsidRDefault="00B8269E" w:rsidP="00656C09">
      <w:pPr>
        <w:pStyle w:val="Heading1"/>
        <w:spacing w:before="240" w:after="0"/>
        <w:jc w:val="both"/>
        <w:rPr>
          <w:rFonts w:ascii="Times New Roman" w:hAnsi="Times New Roman" w:cs="Times New Roman"/>
          <w:szCs w:val="26"/>
        </w:rPr>
      </w:pPr>
      <w:r>
        <w:rPr>
          <w:rFonts w:ascii="Times New Roman" w:hAnsi="Times New Roman" w:cs="Times New Roman"/>
          <w:szCs w:val="26"/>
        </w:rPr>
        <w:t>Discussion</w:t>
      </w:r>
    </w:p>
    <w:p w14:paraId="23185BE9" w14:textId="77777777" w:rsidR="00B8269E" w:rsidRDefault="00B8269E" w:rsidP="00656C09">
      <w:pPr>
        <w:autoSpaceDE w:val="0"/>
        <w:autoSpaceDN w:val="0"/>
        <w:adjustRightInd w:val="0"/>
        <w:spacing w:before="100"/>
        <w:ind w:left="720" w:hanging="720"/>
        <w:rPr>
          <w:szCs w:val="19"/>
        </w:rPr>
      </w:pPr>
      <w:r>
        <w:rPr>
          <w:szCs w:val="19"/>
        </w:rPr>
        <w:t>…</w:t>
      </w:r>
    </w:p>
    <w:p w14:paraId="5BD94701" w14:textId="1C00DB87" w:rsidR="00B8269E" w:rsidRPr="00FB124A" w:rsidRDefault="00B8269E" w:rsidP="007E03F3">
      <w:pPr>
        <w:pStyle w:val="IASBNormalnpara"/>
        <w:rPr>
          <w:szCs w:val="19"/>
        </w:rPr>
      </w:pPr>
      <w:r w:rsidRPr="00FB124A">
        <w:t xml:space="preserve">18 </w:t>
      </w:r>
      <w:r w:rsidRPr="00FB124A">
        <w:tab/>
        <w:t xml:space="preserve">AASB 137 defines a liability as a present obligation of the entity arising from past events, the settlement of which is expected to result in an outflow of resources embodying economic benefits. The </w:t>
      </w:r>
      <w:r w:rsidRPr="00FB124A">
        <w:rPr>
          <w:i/>
        </w:rPr>
        <w:t>Framework for the Preparation and Presentation of Financial Statements</w:t>
      </w:r>
      <w:r w:rsidRPr="00FB124A">
        <w:t xml:space="preserve"> </w:t>
      </w:r>
      <w:r w:rsidRPr="00FB124A">
        <w:rPr>
          <w:strike/>
        </w:rPr>
        <w:t xml:space="preserve">(as identified in AASB 1048 </w:t>
      </w:r>
      <w:r w:rsidRPr="00FB124A">
        <w:rPr>
          <w:i/>
          <w:strike/>
        </w:rPr>
        <w:t>Interpretation of Standards</w:t>
      </w:r>
      <w:r w:rsidRPr="00FB124A">
        <w:rPr>
          <w:strike/>
        </w:rPr>
        <w:t>)</w:t>
      </w:r>
      <w:r w:rsidRPr="00FB124A">
        <w:rPr>
          <w:strike/>
          <w:vertAlign w:val="superscript"/>
        </w:rPr>
        <w:t>1</w:t>
      </w:r>
      <w:r w:rsidRPr="00FB124A">
        <w:t xml:space="preserve"> defines expenses as decreases in economic benefits during the reporting period in the form of outflows or depletions of assets or incurrences of liabilities that result in decreases in equity, other than those relating to distributions to equity participants. Superannuation plans which hold surchargeable contributions are required to make an outflow of resources embodying economic benefits to the Australian Taxation Office. This Interpretation reflects the view that the obligation to make the outflow is a liability of the plan and gives </w:t>
      </w:r>
      <w:r w:rsidR="00FB124A">
        <w:t>rise to a corresponding expense.</w:t>
      </w:r>
    </w:p>
    <w:p w14:paraId="6A448157" w14:textId="23BB3207" w:rsidR="00B8269E" w:rsidRPr="00F74AE3" w:rsidRDefault="00B8269E" w:rsidP="007E03F3">
      <w:pPr>
        <w:pStyle w:val="IASBNormalnparaL1"/>
        <w:ind w:left="1491" w:hanging="709"/>
        <w:rPr>
          <w:sz w:val="16"/>
          <w:szCs w:val="16"/>
        </w:rPr>
      </w:pPr>
      <w:r w:rsidRPr="006F065C">
        <w:rPr>
          <w:strike/>
          <w:sz w:val="16"/>
          <w:szCs w:val="16"/>
        </w:rPr>
        <w:t>1</w:t>
      </w:r>
      <w:r w:rsidRPr="006F065C">
        <w:rPr>
          <w:sz w:val="16"/>
          <w:szCs w:val="16"/>
        </w:rPr>
        <w:tab/>
      </w:r>
      <w:r>
        <w:rPr>
          <w:strike/>
          <w:sz w:val="16"/>
          <w:szCs w:val="16"/>
        </w:rPr>
        <w:t xml:space="preserve">In December 2013 the AASB </w:t>
      </w:r>
      <w:r w:rsidRPr="00F74AE3">
        <w:rPr>
          <w:strike/>
          <w:sz w:val="16"/>
          <w:szCs w:val="16"/>
        </w:rPr>
        <w:t xml:space="preserve">amended the </w:t>
      </w:r>
      <w:r w:rsidRPr="00F74AE3">
        <w:rPr>
          <w:i/>
          <w:strike/>
          <w:sz w:val="16"/>
          <w:szCs w:val="16"/>
        </w:rPr>
        <w:t>Framework for the Preparation and Presentation of Financial Statements</w:t>
      </w:r>
      <w:r>
        <w:rPr>
          <w:strike/>
          <w:sz w:val="16"/>
          <w:szCs w:val="16"/>
        </w:rPr>
        <w:t>.</w:t>
      </w:r>
    </w:p>
    <w:p w14:paraId="4333E42C" w14:textId="77777777" w:rsidR="00E24036" w:rsidRDefault="00E24036" w:rsidP="00656C09">
      <w:pPr>
        <w:autoSpaceDE w:val="0"/>
        <w:autoSpaceDN w:val="0"/>
        <w:adjustRightInd w:val="0"/>
        <w:spacing w:before="100"/>
        <w:rPr>
          <w:szCs w:val="19"/>
        </w:rPr>
      </w:pPr>
      <w:r>
        <w:rPr>
          <w:szCs w:val="19"/>
        </w:rPr>
        <w:t>…</w:t>
      </w:r>
    </w:p>
    <w:p w14:paraId="20A1A1D8" w14:textId="77777777" w:rsidR="00CB5FB3" w:rsidRPr="00554EE4" w:rsidRDefault="00CB5FB3" w:rsidP="00656C09">
      <w:pPr>
        <w:pStyle w:val="Heading1"/>
        <w:spacing w:before="240" w:after="0"/>
        <w:jc w:val="both"/>
        <w:rPr>
          <w:rFonts w:ascii="Times New Roman" w:hAnsi="Times New Roman" w:cs="Times New Roman"/>
          <w:szCs w:val="26"/>
        </w:rPr>
      </w:pPr>
      <w:r>
        <w:rPr>
          <w:rFonts w:ascii="Times New Roman" w:hAnsi="Times New Roman" w:cs="Times New Roman"/>
          <w:szCs w:val="26"/>
        </w:rPr>
        <w:t>REFERENCES</w:t>
      </w:r>
    </w:p>
    <w:p w14:paraId="73CA959C" w14:textId="77777777" w:rsidR="00CB5FB3" w:rsidRDefault="00CB5FB3" w:rsidP="00656C09">
      <w:pPr>
        <w:autoSpaceDE w:val="0"/>
        <w:autoSpaceDN w:val="0"/>
        <w:adjustRightInd w:val="0"/>
        <w:spacing w:before="100"/>
        <w:ind w:left="720" w:hanging="720"/>
        <w:rPr>
          <w:szCs w:val="19"/>
        </w:rPr>
      </w:pPr>
      <w:r>
        <w:rPr>
          <w:szCs w:val="19"/>
        </w:rPr>
        <w:t>…</w:t>
      </w:r>
    </w:p>
    <w:p w14:paraId="0270433B" w14:textId="77777777" w:rsidR="00CB5FB3" w:rsidRDefault="00CB5FB3" w:rsidP="007E03F3">
      <w:pPr>
        <w:pStyle w:val="IASBNormalnpara"/>
        <w:ind w:firstLine="0"/>
        <w:rPr>
          <w:szCs w:val="19"/>
        </w:rPr>
      </w:pPr>
      <w:r w:rsidRPr="00CB5FB3">
        <w:rPr>
          <w:i/>
          <w:szCs w:val="19"/>
        </w:rPr>
        <w:t>Framework for the Preparation and Presentation of Financial Statements</w:t>
      </w:r>
      <w:r w:rsidRPr="00CB5FB3">
        <w:rPr>
          <w:strike/>
          <w:szCs w:val="19"/>
        </w:rPr>
        <w:t xml:space="preserve"> (as identified in AASB 1048 </w:t>
      </w:r>
      <w:r w:rsidRPr="00CB5FB3">
        <w:rPr>
          <w:i/>
          <w:strike/>
          <w:szCs w:val="19"/>
        </w:rPr>
        <w:t>Interpretation of Standards</w:t>
      </w:r>
      <w:r w:rsidRPr="00CB5FB3">
        <w:rPr>
          <w:strike/>
          <w:szCs w:val="19"/>
        </w:rPr>
        <w:t>)</w:t>
      </w:r>
      <w:r w:rsidRPr="00CB5FB3">
        <w:rPr>
          <w:szCs w:val="19"/>
          <w:vertAlign w:val="superscript"/>
        </w:rPr>
        <w:t>1</w:t>
      </w:r>
    </w:p>
    <w:p w14:paraId="6BA7AA00" w14:textId="2318B077" w:rsidR="00F74AE3" w:rsidRPr="00F74AE3" w:rsidRDefault="00F74AE3" w:rsidP="007E03F3">
      <w:pPr>
        <w:pStyle w:val="IASBNormalnparaL1"/>
        <w:ind w:left="1491" w:hanging="709"/>
        <w:rPr>
          <w:sz w:val="16"/>
          <w:szCs w:val="16"/>
        </w:rPr>
      </w:pPr>
      <w:r w:rsidRPr="00F74AE3">
        <w:rPr>
          <w:sz w:val="16"/>
          <w:szCs w:val="16"/>
        </w:rPr>
        <w:t>1</w:t>
      </w:r>
      <w:r w:rsidRPr="00F74AE3">
        <w:rPr>
          <w:sz w:val="16"/>
          <w:szCs w:val="16"/>
        </w:rPr>
        <w:tab/>
      </w:r>
      <w:r w:rsidRPr="00F74AE3">
        <w:rPr>
          <w:strike/>
          <w:sz w:val="16"/>
          <w:szCs w:val="16"/>
        </w:rPr>
        <w:t xml:space="preserve">In December 2013 the AASB amended the </w:t>
      </w:r>
      <w:r w:rsidRPr="00F74AE3">
        <w:rPr>
          <w:i/>
          <w:strike/>
          <w:sz w:val="16"/>
          <w:szCs w:val="16"/>
        </w:rPr>
        <w:t>Framework for the Preparation and Presentation of Financial Statements</w:t>
      </w:r>
      <w:r w:rsidR="009F1F15" w:rsidRPr="00F74AE3">
        <w:rPr>
          <w:strike/>
          <w:sz w:val="16"/>
          <w:szCs w:val="16"/>
        </w:rPr>
        <w:t xml:space="preserve">.  </w:t>
      </w:r>
      <w:r w:rsidRPr="00F74AE3">
        <w:rPr>
          <w:sz w:val="16"/>
          <w:szCs w:val="16"/>
          <w:u w:val="single"/>
        </w:rPr>
        <w:t xml:space="preserve">The reference is to the </w:t>
      </w:r>
      <w:r w:rsidRPr="00F74AE3">
        <w:rPr>
          <w:i/>
          <w:sz w:val="16"/>
          <w:szCs w:val="16"/>
          <w:u w:val="single"/>
        </w:rPr>
        <w:t>Framework for the Preparation and Presentation of Financial Statements</w:t>
      </w:r>
      <w:r w:rsidRPr="00F74AE3">
        <w:rPr>
          <w:sz w:val="16"/>
          <w:szCs w:val="16"/>
          <w:u w:val="single"/>
        </w:rPr>
        <w:t xml:space="preserve"> adopted by the AASB in </w:t>
      </w:r>
      <w:r w:rsidRPr="0067049C">
        <w:rPr>
          <w:sz w:val="16"/>
          <w:szCs w:val="16"/>
          <w:u w:val="single"/>
        </w:rPr>
        <w:t>2004</w:t>
      </w:r>
      <w:r w:rsidRPr="00F74AE3">
        <w:rPr>
          <w:sz w:val="16"/>
          <w:szCs w:val="16"/>
          <w:u w:val="single"/>
        </w:rPr>
        <w:t xml:space="preserve"> and in effect when the Interpretation was developed. </w:t>
      </w:r>
    </w:p>
    <w:p w14:paraId="1A31ACED" w14:textId="77777777" w:rsidR="003A66C5" w:rsidRDefault="003A66C5" w:rsidP="00C85C0C">
      <w:pPr>
        <w:pStyle w:val="Heading2"/>
      </w:pPr>
      <w:r>
        <w:t>Am</w:t>
      </w:r>
      <w:r w:rsidR="00C07486">
        <w:t>endments to Interpretation 1031</w:t>
      </w:r>
    </w:p>
    <w:p w14:paraId="7EC3BB5D" w14:textId="51B4A70E" w:rsidR="00F74AE3" w:rsidRPr="00F74AE3" w:rsidRDefault="00582F90"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Paragraph AusCF1 is added.  </w:t>
      </w:r>
      <w:r w:rsidR="00FB205A">
        <w:rPr>
          <w:szCs w:val="19"/>
        </w:rPr>
        <w:t xml:space="preserve">Paragraph 12 is deleted.  </w:t>
      </w:r>
      <w:r w:rsidR="00FB205A">
        <w:rPr>
          <w:bCs/>
          <w:szCs w:val="19"/>
        </w:rPr>
        <w:t xml:space="preserve">(The application of Interpretation 1031 to entities and financial statements is set out in AASB </w:t>
      </w:r>
      <w:r w:rsidR="00FB205A" w:rsidRPr="00C07486">
        <w:rPr>
          <w:bCs/>
          <w:szCs w:val="19"/>
        </w:rPr>
        <w:t>1057</w:t>
      </w:r>
      <w:r w:rsidR="00FB205A" w:rsidRPr="00564CD5">
        <w:rPr>
          <w:bCs/>
          <w:i/>
          <w:szCs w:val="19"/>
        </w:rPr>
        <w:t xml:space="preserve"> Application of Australian Accounting Standards</w:t>
      </w:r>
      <w:r w:rsidR="00FB205A">
        <w:rPr>
          <w:bCs/>
          <w:szCs w:val="19"/>
        </w:rPr>
        <w:t xml:space="preserve">.)  </w:t>
      </w:r>
      <w:r w:rsidR="00650BC3">
        <w:rPr>
          <w:szCs w:val="19"/>
        </w:rPr>
        <w:t xml:space="preserve">Paragraph 21 is amended.  </w:t>
      </w:r>
      <w:r w:rsidR="009C12AC">
        <w:rPr>
          <w:szCs w:val="19"/>
        </w:rPr>
        <w:t xml:space="preserve">In the References section, </w:t>
      </w:r>
      <w:r w:rsidR="009C12AC" w:rsidRPr="00F74AE3">
        <w:rPr>
          <w:szCs w:val="19"/>
        </w:rPr>
        <w:t xml:space="preserve">the </w:t>
      </w:r>
      <w:r w:rsidR="009C12AC">
        <w:rPr>
          <w:szCs w:val="19"/>
        </w:rPr>
        <w:t xml:space="preserve">reference </w:t>
      </w:r>
      <w:r w:rsidR="00F74AE3" w:rsidRPr="00F74AE3">
        <w:rPr>
          <w:szCs w:val="19"/>
        </w:rPr>
        <w:t xml:space="preserve">to </w:t>
      </w:r>
      <w:r w:rsidR="00B878B9">
        <w:rPr>
          <w:szCs w:val="19"/>
        </w:rPr>
        <w:t xml:space="preserve">the </w:t>
      </w:r>
      <w:r w:rsidR="00F74AE3" w:rsidRPr="00F74AE3">
        <w:rPr>
          <w:i/>
          <w:szCs w:val="19"/>
        </w:rPr>
        <w:t>Framework for the Preparation and Presentation of Financial Statements</w:t>
      </w:r>
      <w:r w:rsidR="00F74AE3" w:rsidRPr="00F74AE3">
        <w:rPr>
          <w:szCs w:val="19"/>
        </w:rPr>
        <w:t xml:space="preserve"> </w:t>
      </w:r>
      <w:r w:rsidR="009C12AC">
        <w:rPr>
          <w:szCs w:val="19"/>
        </w:rPr>
        <w:t xml:space="preserve">and its footnote are </w:t>
      </w:r>
      <w:r w:rsidR="00F74AE3" w:rsidRPr="00F74AE3">
        <w:rPr>
          <w:szCs w:val="19"/>
        </w:rPr>
        <w:t>amended.</w:t>
      </w:r>
    </w:p>
    <w:p w14:paraId="7F581711" w14:textId="77777777" w:rsidR="00582F90" w:rsidRDefault="00582F90" w:rsidP="00656C09">
      <w:pPr>
        <w:autoSpaceDE w:val="0"/>
        <w:autoSpaceDN w:val="0"/>
        <w:adjustRightInd w:val="0"/>
        <w:spacing w:before="240" w:after="200"/>
        <w:ind w:left="720" w:hanging="720"/>
        <w:rPr>
          <w:b/>
          <w:bCs/>
          <w:sz w:val="28"/>
          <w:szCs w:val="28"/>
        </w:rPr>
      </w:pPr>
      <w:r>
        <w:rPr>
          <w:b/>
          <w:bCs/>
          <w:sz w:val="28"/>
          <w:szCs w:val="28"/>
        </w:rPr>
        <w:t>Issue</w:t>
      </w:r>
    </w:p>
    <w:p w14:paraId="6D1E6104" w14:textId="77777777" w:rsidR="00582F90" w:rsidRPr="0067049C" w:rsidRDefault="00582F90" w:rsidP="007E03F3">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417CB696" w14:textId="32531C05" w:rsidR="00582F90" w:rsidRPr="0067049C" w:rsidRDefault="007E03F3" w:rsidP="007E03F3">
      <w:pPr>
        <w:pStyle w:val="IASBNormalnparaL1"/>
        <w:rPr>
          <w:szCs w:val="19"/>
          <w:u w:val="single"/>
        </w:rPr>
      </w:pPr>
      <w:r>
        <w:rPr>
          <w:szCs w:val="19"/>
          <w:u w:val="single"/>
        </w:rPr>
        <w:t>(a)</w:t>
      </w:r>
      <w:r>
        <w:rPr>
          <w:szCs w:val="19"/>
          <w:u w:val="single"/>
        </w:rPr>
        <w:tab/>
      </w:r>
      <w:r w:rsidR="00582F90" w:rsidRPr="0067049C">
        <w:rPr>
          <w:szCs w:val="19"/>
          <w:u w:val="single"/>
        </w:rPr>
        <w:t xml:space="preserve">not-for-profit entities; and </w:t>
      </w:r>
    </w:p>
    <w:p w14:paraId="68757421" w14:textId="6C8EBB59" w:rsidR="00582F90" w:rsidRPr="0067049C" w:rsidRDefault="007E03F3" w:rsidP="007E03F3">
      <w:pPr>
        <w:pStyle w:val="IASBNormalnparaL1"/>
        <w:rPr>
          <w:szCs w:val="19"/>
          <w:u w:val="single"/>
        </w:rPr>
      </w:pPr>
      <w:r>
        <w:rPr>
          <w:szCs w:val="19"/>
          <w:u w:val="single"/>
        </w:rPr>
        <w:t>(b)</w:t>
      </w:r>
      <w:r>
        <w:rPr>
          <w:szCs w:val="19"/>
          <w:u w:val="single"/>
        </w:rPr>
        <w:tab/>
      </w:r>
      <w:r w:rsidR="00582F90" w:rsidRPr="0067049C">
        <w:rPr>
          <w:szCs w:val="19"/>
          <w:u w:val="single"/>
        </w:rPr>
        <w:t xml:space="preserve">for-profit entities that are not applying the </w:t>
      </w:r>
      <w:r w:rsidR="00582F90" w:rsidRPr="0067049C">
        <w:rPr>
          <w:i/>
          <w:szCs w:val="19"/>
          <w:u w:val="single"/>
        </w:rPr>
        <w:t>Conceptual Framework for Financial Reporting</w:t>
      </w:r>
      <w:r w:rsidR="00F72BCF">
        <w:rPr>
          <w:i/>
          <w:szCs w:val="19"/>
          <w:u w:val="single"/>
        </w:rPr>
        <w:t xml:space="preserve"> </w:t>
      </w:r>
      <w:r w:rsidR="00F72BCF" w:rsidRPr="00F20ED1">
        <w:rPr>
          <w:szCs w:val="19"/>
          <w:u w:val="single"/>
        </w:rPr>
        <w:t>(as identified in AASB 1048</w:t>
      </w:r>
      <w:r w:rsidR="00F72BCF" w:rsidRPr="00F20ED1">
        <w:rPr>
          <w:i/>
          <w:szCs w:val="19"/>
          <w:u w:val="single"/>
        </w:rPr>
        <w:t xml:space="preserve"> Interpretation of Standards</w:t>
      </w:r>
      <w:r w:rsidR="00F72BCF" w:rsidRPr="00F20ED1">
        <w:rPr>
          <w:szCs w:val="19"/>
          <w:u w:val="single"/>
        </w:rPr>
        <w:t>)</w:t>
      </w:r>
      <w:r w:rsidR="009F1F15" w:rsidRPr="0067049C">
        <w:rPr>
          <w:szCs w:val="19"/>
          <w:u w:val="single"/>
        </w:rPr>
        <w:t>.</w:t>
      </w:r>
    </w:p>
    <w:p w14:paraId="7CF4F572" w14:textId="4D10CD77" w:rsidR="00582F90" w:rsidRDefault="00284EE9" w:rsidP="007E03F3">
      <w:pPr>
        <w:pStyle w:val="IASBNormalL1P"/>
        <w:rPr>
          <w:szCs w:val="19"/>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00582F90" w:rsidRPr="0067049C">
        <w:rPr>
          <w:szCs w:val="19"/>
          <w:u w:val="single"/>
        </w:rPr>
        <w:t xml:space="preserve"> and Statement of Accounting Concepts SAC 1 </w:t>
      </w:r>
      <w:r w:rsidR="00582F90" w:rsidRPr="0067049C">
        <w:rPr>
          <w:i/>
          <w:szCs w:val="19"/>
          <w:u w:val="single"/>
        </w:rPr>
        <w:t>Definition of the Reporting Entity</w:t>
      </w:r>
      <w:r w:rsidR="00582F90"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5C78FFFD" w14:textId="77777777" w:rsidR="00582F90" w:rsidRDefault="009923D0" w:rsidP="00656C09">
      <w:pPr>
        <w:autoSpaceDE w:val="0"/>
        <w:autoSpaceDN w:val="0"/>
        <w:adjustRightInd w:val="0"/>
        <w:spacing w:before="100"/>
        <w:ind w:left="720" w:hanging="720"/>
        <w:rPr>
          <w:szCs w:val="19"/>
        </w:rPr>
      </w:pPr>
      <w:r>
        <w:rPr>
          <w:szCs w:val="19"/>
        </w:rPr>
        <w:t>…</w:t>
      </w:r>
    </w:p>
    <w:p w14:paraId="61395649" w14:textId="4378AA8A" w:rsidR="00FB205A" w:rsidRDefault="00656C09" w:rsidP="00656C09">
      <w:pPr>
        <w:autoSpaceDE w:val="0"/>
        <w:autoSpaceDN w:val="0"/>
        <w:adjustRightInd w:val="0"/>
        <w:spacing w:before="240" w:after="200"/>
        <w:ind w:left="720" w:hanging="720"/>
        <w:rPr>
          <w:b/>
          <w:bCs/>
          <w:sz w:val="28"/>
          <w:szCs w:val="28"/>
        </w:rPr>
      </w:pPr>
      <w:r>
        <w:rPr>
          <w:b/>
          <w:bCs/>
          <w:sz w:val="28"/>
          <w:szCs w:val="28"/>
        </w:rPr>
        <w:t>Application</w:t>
      </w:r>
    </w:p>
    <w:p w14:paraId="57FDDF62" w14:textId="51CC7906" w:rsidR="00FB205A" w:rsidRPr="004B3EB4" w:rsidRDefault="00FB205A" w:rsidP="00E377A0">
      <w:pPr>
        <w:pStyle w:val="IASBNormalnpara"/>
        <w:rPr>
          <w:b/>
          <w:strike/>
        </w:rPr>
      </w:pPr>
      <w:r w:rsidRPr="00C43909">
        <w:rPr>
          <w:szCs w:val="19"/>
        </w:rPr>
        <w:t xml:space="preserve">12 </w:t>
      </w:r>
      <w:r w:rsidRPr="00BB71D3">
        <w:rPr>
          <w:b/>
          <w:szCs w:val="19"/>
        </w:rPr>
        <w:tab/>
      </w:r>
      <w:r w:rsidRPr="00C43909">
        <w:rPr>
          <w:szCs w:val="19"/>
          <w:u w:val="single"/>
        </w:rPr>
        <w:t>[Deleted by the AASB]</w:t>
      </w:r>
      <w:r w:rsidRPr="0090311B">
        <w:t xml:space="preserve"> </w:t>
      </w:r>
      <w:r w:rsidRPr="004B3EB4">
        <w:rPr>
          <w:b/>
          <w:strike/>
        </w:rPr>
        <w:t xml:space="preserve">This Interpretation applies to: </w:t>
      </w:r>
    </w:p>
    <w:p w14:paraId="416F9EE0" w14:textId="61C02120" w:rsidR="00FB205A" w:rsidRPr="004B3EB4" w:rsidRDefault="00C66FBD" w:rsidP="00E377A0">
      <w:pPr>
        <w:pStyle w:val="IASBNormalnparaL1"/>
        <w:rPr>
          <w:b/>
          <w:strike/>
        </w:rPr>
      </w:pPr>
      <w:r>
        <w:rPr>
          <w:b/>
          <w:strike/>
        </w:rPr>
        <w:t>(a)</w:t>
      </w:r>
      <w:r>
        <w:rPr>
          <w:b/>
          <w:strike/>
        </w:rPr>
        <w:tab/>
      </w:r>
      <w:r w:rsidR="00FB205A" w:rsidRPr="004B3EB4">
        <w:rPr>
          <w:b/>
          <w:strike/>
        </w:rPr>
        <w:t xml:space="preserve">each entity that is required to prepare financial reports in accordance with Part 2M.3 of the </w:t>
      </w:r>
      <w:r w:rsidR="00FB205A" w:rsidRPr="004B3EB4">
        <w:rPr>
          <w:b/>
          <w:i/>
          <w:strike/>
        </w:rPr>
        <w:t>Corporations Act 2001</w:t>
      </w:r>
      <w:r w:rsidR="00FB205A" w:rsidRPr="004B3EB4">
        <w:rPr>
          <w:b/>
          <w:strike/>
        </w:rPr>
        <w:t xml:space="preserve"> and that is a reporting entity; </w:t>
      </w:r>
    </w:p>
    <w:p w14:paraId="722EBCE8" w14:textId="4A868F80" w:rsidR="00FB205A" w:rsidRPr="004B3EB4" w:rsidRDefault="00C66FBD" w:rsidP="00E377A0">
      <w:pPr>
        <w:pStyle w:val="IASBNormalnparaL1"/>
        <w:rPr>
          <w:b/>
          <w:strike/>
        </w:rPr>
      </w:pPr>
      <w:r>
        <w:rPr>
          <w:b/>
          <w:strike/>
        </w:rPr>
        <w:t>(b)</w:t>
      </w:r>
      <w:r>
        <w:rPr>
          <w:b/>
          <w:strike/>
        </w:rPr>
        <w:tab/>
      </w:r>
      <w:r w:rsidR="00FB205A" w:rsidRPr="004B3EB4">
        <w:rPr>
          <w:b/>
          <w:strike/>
        </w:rPr>
        <w:t xml:space="preserve">general purpose financial statements of each other reporting entity; and </w:t>
      </w:r>
    </w:p>
    <w:p w14:paraId="0611FFB4" w14:textId="42E10D62" w:rsidR="00FB205A" w:rsidRPr="004B3EB4" w:rsidRDefault="00C66FBD" w:rsidP="00E377A0">
      <w:pPr>
        <w:pStyle w:val="IASBNormalnparaL1"/>
        <w:rPr>
          <w:b/>
          <w:strike/>
          <w:szCs w:val="19"/>
          <w:u w:val="single"/>
        </w:rPr>
      </w:pPr>
      <w:r>
        <w:rPr>
          <w:b/>
          <w:strike/>
        </w:rPr>
        <w:t>(c)</w:t>
      </w:r>
      <w:r>
        <w:rPr>
          <w:b/>
          <w:strike/>
        </w:rPr>
        <w:tab/>
      </w:r>
      <w:r w:rsidR="00FB205A" w:rsidRPr="004B3EB4">
        <w:rPr>
          <w:b/>
          <w:strike/>
        </w:rPr>
        <w:t>financial statements that are, or are held out to be, general purpose financial statements.</w:t>
      </w:r>
    </w:p>
    <w:p w14:paraId="64936411" w14:textId="3ED40704" w:rsidR="00FB205A" w:rsidRPr="00FB205A" w:rsidRDefault="00FB205A" w:rsidP="00656C09">
      <w:pPr>
        <w:autoSpaceDE w:val="0"/>
        <w:autoSpaceDN w:val="0"/>
        <w:adjustRightInd w:val="0"/>
        <w:spacing w:before="100"/>
        <w:ind w:left="720" w:hanging="720"/>
        <w:rPr>
          <w:bCs/>
          <w:szCs w:val="19"/>
        </w:rPr>
      </w:pPr>
      <w:r w:rsidRPr="00FB205A">
        <w:rPr>
          <w:bCs/>
          <w:szCs w:val="19"/>
        </w:rPr>
        <w:t>…</w:t>
      </w:r>
    </w:p>
    <w:p w14:paraId="117C6B78" w14:textId="5CBCC4DA" w:rsidR="00F87341" w:rsidRDefault="00F87341" w:rsidP="00656C09">
      <w:pPr>
        <w:autoSpaceDE w:val="0"/>
        <w:autoSpaceDN w:val="0"/>
        <w:adjustRightInd w:val="0"/>
        <w:spacing w:before="240"/>
        <w:ind w:left="720" w:hanging="720"/>
        <w:rPr>
          <w:b/>
          <w:bCs/>
          <w:sz w:val="28"/>
          <w:szCs w:val="28"/>
        </w:rPr>
      </w:pPr>
      <w:r>
        <w:rPr>
          <w:b/>
          <w:bCs/>
          <w:sz w:val="28"/>
          <w:szCs w:val="28"/>
        </w:rPr>
        <w:t>Discussion</w:t>
      </w:r>
    </w:p>
    <w:p w14:paraId="50D8BB22" w14:textId="562F2FB7" w:rsidR="00F87341" w:rsidRPr="001A3C5A" w:rsidRDefault="00F87341" w:rsidP="00656C09">
      <w:pPr>
        <w:autoSpaceDE w:val="0"/>
        <w:autoSpaceDN w:val="0"/>
        <w:adjustRightInd w:val="0"/>
        <w:spacing w:before="100"/>
        <w:ind w:left="720" w:hanging="720"/>
        <w:rPr>
          <w:bCs/>
          <w:szCs w:val="19"/>
        </w:rPr>
      </w:pPr>
      <w:r w:rsidRPr="001A3C5A">
        <w:rPr>
          <w:bCs/>
          <w:szCs w:val="19"/>
        </w:rPr>
        <w:t>…</w:t>
      </w:r>
    </w:p>
    <w:p w14:paraId="08080BFF" w14:textId="1B26400A" w:rsidR="00F87341" w:rsidRPr="00F87341" w:rsidRDefault="00F87341" w:rsidP="00E377A0">
      <w:pPr>
        <w:pStyle w:val="IASBNormalnpara"/>
        <w:rPr>
          <w:b/>
          <w:bCs/>
          <w:szCs w:val="19"/>
        </w:rPr>
      </w:pPr>
      <w:r>
        <w:t xml:space="preserve">21 </w:t>
      </w:r>
      <w:r>
        <w:tab/>
        <w:t xml:space="preserve">Where an entity undertakes taxable and GST-free activities, it is entitled to claim input tax credits and recover from the taxation authority the GST included in the purchase price of supplies. This Interpretation reflects the view that in these cases the GST is not part of the cost of the asset acquired or the expense incurred. This is consistent with the </w:t>
      </w:r>
      <w:r w:rsidRPr="00A60F49">
        <w:rPr>
          <w:i/>
        </w:rPr>
        <w:t>Framework for the Preparation and Presentation of Financial Statements</w:t>
      </w:r>
      <w:r>
        <w:t xml:space="preserve"> </w:t>
      </w:r>
      <w:r w:rsidRPr="00F87341">
        <w:rPr>
          <w:strike/>
        </w:rPr>
        <w:t xml:space="preserve">(as identified in AASB 1048 </w:t>
      </w:r>
      <w:r w:rsidRPr="004B3EB4">
        <w:rPr>
          <w:i/>
          <w:strike/>
        </w:rPr>
        <w:t>Interpretation of Standards</w:t>
      </w:r>
      <w:r w:rsidRPr="00F87341">
        <w:rPr>
          <w:strike/>
        </w:rPr>
        <w:t>)</w:t>
      </w:r>
      <w:r>
        <w:t xml:space="preserve">, which states that ‘expenses are recognised in the income statement when a decrease in future economic benefits related to a decrease in an asset or an increase of a liability has arisen that can be measured reliably.’ It is also consistent with AASB 102, which provides that the cost of purchase of inventories does not include taxes that are subsequently recoverable from the taxing authorities. In addition, AASB 116 </w:t>
      </w:r>
      <w:r w:rsidRPr="004B3EB4">
        <w:rPr>
          <w:i/>
        </w:rPr>
        <w:t>Property, Plant and Equipment</w:t>
      </w:r>
      <w:r>
        <w:t xml:space="preserve"> and AASB 138 </w:t>
      </w:r>
      <w:r w:rsidRPr="004B3EB4">
        <w:rPr>
          <w:i/>
        </w:rPr>
        <w:t>Intangible Assets</w:t>
      </w:r>
      <w:r>
        <w:t xml:space="preserve"> require assets acquired to be recognised at their cost, being the amount of cash or cash equivalents paid or the fair value of the other consideration given to acquire an asset at the time of its acquisition or construction (production). Therefore, recoverable GST would not be included in the cost of acquisition</w:t>
      </w:r>
      <w:r w:rsidR="00C66FBD">
        <w:t>.</w:t>
      </w:r>
    </w:p>
    <w:p w14:paraId="363465EA" w14:textId="6F5D3DD2" w:rsidR="00F87341" w:rsidRPr="001A3C5A" w:rsidRDefault="00F87341" w:rsidP="001A2AB9">
      <w:pPr>
        <w:autoSpaceDE w:val="0"/>
        <w:autoSpaceDN w:val="0"/>
        <w:adjustRightInd w:val="0"/>
        <w:spacing w:before="100"/>
        <w:ind w:left="720" w:hanging="720"/>
        <w:rPr>
          <w:bCs/>
          <w:szCs w:val="19"/>
        </w:rPr>
      </w:pPr>
      <w:r w:rsidRPr="001A3C5A">
        <w:rPr>
          <w:bCs/>
          <w:szCs w:val="19"/>
        </w:rPr>
        <w:t>…</w:t>
      </w:r>
    </w:p>
    <w:p w14:paraId="29016434" w14:textId="77777777" w:rsidR="00F07CD2" w:rsidRDefault="00942ACD" w:rsidP="001A2AB9">
      <w:pPr>
        <w:autoSpaceDE w:val="0"/>
        <w:autoSpaceDN w:val="0"/>
        <w:adjustRightInd w:val="0"/>
        <w:spacing w:before="240"/>
        <w:ind w:left="720" w:hanging="720"/>
        <w:rPr>
          <w:szCs w:val="19"/>
        </w:rPr>
      </w:pPr>
      <w:r>
        <w:rPr>
          <w:b/>
          <w:bCs/>
          <w:sz w:val="28"/>
          <w:szCs w:val="28"/>
        </w:rPr>
        <w:t>REFERENCES</w:t>
      </w:r>
    </w:p>
    <w:p w14:paraId="356DE9D2" w14:textId="77777777" w:rsidR="00F07CD2" w:rsidRDefault="00F07CD2" w:rsidP="001A2AB9">
      <w:pPr>
        <w:autoSpaceDE w:val="0"/>
        <w:autoSpaceDN w:val="0"/>
        <w:adjustRightInd w:val="0"/>
        <w:spacing w:before="100"/>
        <w:ind w:left="720" w:hanging="720"/>
        <w:rPr>
          <w:szCs w:val="19"/>
        </w:rPr>
      </w:pPr>
      <w:r>
        <w:rPr>
          <w:szCs w:val="19"/>
        </w:rPr>
        <w:t>…</w:t>
      </w:r>
    </w:p>
    <w:p w14:paraId="54AFE957" w14:textId="77777777" w:rsidR="00F07CD2" w:rsidRPr="00E377A0" w:rsidRDefault="00F07CD2" w:rsidP="00E377A0">
      <w:pPr>
        <w:pStyle w:val="IASBNormalnpara"/>
        <w:ind w:firstLine="0"/>
        <w:rPr>
          <w:szCs w:val="19"/>
        </w:rPr>
      </w:pPr>
      <w:r w:rsidRPr="000863D1">
        <w:rPr>
          <w:i/>
          <w:iCs/>
          <w:szCs w:val="19"/>
        </w:rPr>
        <w:t>Framework for the Preparation and Presentation of Financial Statements</w:t>
      </w:r>
      <w:r w:rsidRPr="009C12AC">
        <w:rPr>
          <w:i/>
          <w:iCs/>
          <w:strike/>
          <w:szCs w:val="19"/>
        </w:rPr>
        <w:t xml:space="preserve"> </w:t>
      </w:r>
      <w:r w:rsidRPr="009C12AC">
        <w:rPr>
          <w:strike/>
          <w:szCs w:val="19"/>
        </w:rPr>
        <w:t xml:space="preserve">(as identified in AASB 1048 </w:t>
      </w:r>
      <w:r w:rsidRPr="009C12AC">
        <w:rPr>
          <w:i/>
          <w:iCs/>
          <w:strike/>
          <w:szCs w:val="19"/>
        </w:rPr>
        <w:t>Interpretation of Standards</w:t>
      </w:r>
      <w:r w:rsidRPr="009C12AC">
        <w:rPr>
          <w:strike/>
          <w:szCs w:val="19"/>
        </w:rPr>
        <w:t>)</w:t>
      </w:r>
      <w:r w:rsidRPr="000863D1">
        <w:rPr>
          <w:szCs w:val="19"/>
          <w:vertAlign w:val="superscript"/>
        </w:rPr>
        <w:t>1</w:t>
      </w:r>
    </w:p>
    <w:p w14:paraId="0173D6E8" w14:textId="77777777" w:rsidR="00F74AE3" w:rsidRPr="00F74AE3" w:rsidRDefault="00F74AE3" w:rsidP="00E377A0">
      <w:pPr>
        <w:pStyle w:val="IASBNormalnparaL1"/>
        <w:ind w:left="1491" w:hanging="709"/>
        <w:rPr>
          <w:sz w:val="16"/>
          <w:szCs w:val="16"/>
        </w:rPr>
      </w:pPr>
      <w:r w:rsidRPr="00F74AE3">
        <w:rPr>
          <w:sz w:val="16"/>
          <w:szCs w:val="16"/>
        </w:rPr>
        <w:t>1</w:t>
      </w:r>
      <w:r w:rsidRPr="00F74AE3">
        <w:rPr>
          <w:sz w:val="16"/>
          <w:szCs w:val="16"/>
        </w:rPr>
        <w:tab/>
      </w:r>
      <w:r w:rsidRPr="00F74AE3">
        <w:rPr>
          <w:strike/>
          <w:sz w:val="16"/>
          <w:szCs w:val="16"/>
        </w:rPr>
        <w:t xml:space="preserve">In December 2013 the AASB amended the </w:t>
      </w:r>
      <w:r w:rsidRPr="00F74AE3">
        <w:rPr>
          <w:i/>
          <w:strike/>
          <w:sz w:val="16"/>
          <w:szCs w:val="16"/>
        </w:rPr>
        <w:t>Framework for the Preparation and Presentation of Financial Statements</w:t>
      </w:r>
      <w:r w:rsidR="009F1F15" w:rsidRPr="00F74AE3">
        <w:rPr>
          <w:strike/>
          <w:sz w:val="16"/>
          <w:szCs w:val="16"/>
        </w:rPr>
        <w:t xml:space="preserve">.  </w:t>
      </w:r>
      <w:r w:rsidRPr="00F74AE3">
        <w:rPr>
          <w:sz w:val="16"/>
          <w:szCs w:val="16"/>
          <w:u w:val="single"/>
        </w:rPr>
        <w:t xml:space="preserve">The reference is to the </w:t>
      </w:r>
      <w:r w:rsidRPr="00F74AE3">
        <w:rPr>
          <w:i/>
          <w:sz w:val="16"/>
          <w:szCs w:val="16"/>
          <w:u w:val="single"/>
        </w:rPr>
        <w:t>Framework for the Preparation and Presentation of Financial Statements</w:t>
      </w:r>
      <w:r w:rsidRPr="00F74AE3">
        <w:rPr>
          <w:sz w:val="16"/>
          <w:szCs w:val="16"/>
          <w:u w:val="single"/>
        </w:rPr>
        <w:t xml:space="preserve"> adopted by the AASB in </w:t>
      </w:r>
      <w:r w:rsidRPr="0067049C">
        <w:rPr>
          <w:sz w:val="16"/>
          <w:szCs w:val="16"/>
          <w:u w:val="single"/>
        </w:rPr>
        <w:t>2004</w:t>
      </w:r>
      <w:r w:rsidRPr="00F74AE3">
        <w:rPr>
          <w:sz w:val="16"/>
          <w:szCs w:val="16"/>
          <w:u w:val="single"/>
        </w:rPr>
        <w:t xml:space="preserve"> and in effect when the Interpretation was developed. </w:t>
      </w:r>
    </w:p>
    <w:p w14:paraId="54083202" w14:textId="77777777" w:rsidR="003A66C5" w:rsidRDefault="003A66C5" w:rsidP="00C87FAF">
      <w:pPr>
        <w:pStyle w:val="Heading2"/>
        <w:jc w:val="both"/>
      </w:pPr>
      <w:r>
        <w:t>Amendments to I</w:t>
      </w:r>
      <w:r w:rsidR="00B878B9">
        <w:t>nterpretation 1038</w:t>
      </w:r>
    </w:p>
    <w:p w14:paraId="59736B9D" w14:textId="06F39EF1" w:rsidR="00F74AE3" w:rsidRPr="00F74AE3" w:rsidRDefault="00942ACD"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In the References section, </w:t>
      </w:r>
      <w:r w:rsidRPr="00F74AE3">
        <w:rPr>
          <w:szCs w:val="19"/>
        </w:rPr>
        <w:t xml:space="preserve">the </w:t>
      </w:r>
      <w:r>
        <w:rPr>
          <w:szCs w:val="19"/>
        </w:rPr>
        <w:t xml:space="preserve">reference </w:t>
      </w:r>
      <w:r w:rsidRPr="00F74AE3">
        <w:rPr>
          <w:szCs w:val="19"/>
        </w:rPr>
        <w:t xml:space="preserve">to </w:t>
      </w:r>
      <w:r>
        <w:rPr>
          <w:szCs w:val="19"/>
        </w:rPr>
        <w:t xml:space="preserve">the </w:t>
      </w:r>
      <w:r w:rsidRPr="00F74AE3">
        <w:rPr>
          <w:i/>
          <w:szCs w:val="19"/>
        </w:rPr>
        <w:t>Framework for the Preparation and Presentation of Financial Statements</w:t>
      </w:r>
      <w:r w:rsidRPr="00F74AE3">
        <w:rPr>
          <w:szCs w:val="19"/>
        </w:rPr>
        <w:t xml:space="preserve"> </w:t>
      </w:r>
      <w:r>
        <w:rPr>
          <w:szCs w:val="19"/>
        </w:rPr>
        <w:t xml:space="preserve">and its footnote are </w:t>
      </w:r>
      <w:r w:rsidRPr="00F74AE3">
        <w:rPr>
          <w:szCs w:val="19"/>
        </w:rPr>
        <w:t>amended</w:t>
      </w:r>
      <w:r w:rsidR="00F74AE3" w:rsidRPr="00F74AE3">
        <w:rPr>
          <w:szCs w:val="19"/>
        </w:rPr>
        <w:t>.</w:t>
      </w:r>
      <w:r w:rsidR="000863D1">
        <w:rPr>
          <w:szCs w:val="19"/>
        </w:rPr>
        <w:t xml:space="preserve">  </w:t>
      </w:r>
      <w:r w:rsidR="002F442C">
        <w:rPr>
          <w:szCs w:val="19"/>
        </w:rPr>
        <w:t xml:space="preserve">Paragraph 14 is deleted.  </w:t>
      </w:r>
      <w:r w:rsidR="002F442C">
        <w:rPr>
          <w:bCs/>
          <w:szCs w:val="19"/>
        </w:rPr>
        <w:t xml:space="preserve">(The application of Interpretation 1038 to entities and financial statements is set out in AASB </w:t>
      </w:r>
      <w:r w:rsidR="002F442C" w:rsidRPr="00C07486">
        <w:rPr>
          <w:bCs/>
          <w:szCs w:val="19"/>
        </w:rPr>
        <w:t>1057</w:t>
      </w:r>
      <w:r w:rsidR="002F442C" w:rsidRPr="00564CD5">
        <w:rPr>
          <w:bCs/>
          <w:i/>
          <w:szCs w:val="19"/>
        </w:rPr>
        <w:t xml:space="preserve"> Application of Australian Accounting Standards</w:t>
      </w:r>
      <w:r w:rsidR="002F442C">
        <w:rPr>
          <w:bCs/>
          <w:szCs w:val="19"/>
        </w:rPr>
        <w:t>.)</w:t>
      </w:r>
      <w:r w:rsidR="004B3EB4">
        <w:rPr>
          <w:bCs/>
          <w:szCs w:val="19"/>
        </w:rPr>
        <w:t xml:space="preserve">  </w:t>
      </w:r>
      <w:r w:rsidR="004B3EB4">
        <w:rPr>
          <w:szCs w:val="19"/>
        </w:rPr>
        <w:t xml:space="preserve">Paragraph 34 is amended and the footnote to the </w:t>
      </w:r>
      <w:r w:rsidR="004B3EB4" w:rsidRPr="00C66FBD">
        <w:rPr>
          <w:i/>
          <w:szCs w:val="19"/>
        </w:rPr>
        <w:t>Framework</w:t>
      </w:r>
      <w:r w:rsidR="004B3EB4">
        <w:rPr>
          <w:szCs w:val="19"/>
        </w:rPr>
        <w:t xml:space="preserve"> in paragraph 34 is deleted.</w:t>
      </w:r>
    </w:p>
    <w:p w14:paraId="280BFA77" w14:textId="77777777" w:rsidR="00F07CD2" w:rsidRDefault="00B878B9" w:rsidP="001A2AB9">
      <w:pPr>
        <w:autoSpaceDE w:val="0"/>
        <w:autoSpaceDN w:val="0"/>
        <w:adjustRightInd w:val="0"/>
        <w:spacing w:before="240"/>
        <w:ind w:left="720" w:hanging="720"/>
        <w:rPr>
          <w:szCs w:val="19"/>
        </w:rPr>
      </w:pPr>
      <w:r>
        <w:rPr>
          <w:b/>
          <w:bCs/>
          <w:sz w:val="28"/>
          <w:szCs w:val="28"/>
        </w:rPr>
        <w:t>References</w:t>
      </w:r>
    </w:p>
    <w:p w14:paraId="6E9478E6" w14:textId="77777777" w:rsidR="00F07CD2" w:rsidRDefault="00F07CD2" w:rsidP="00C87FAF">
      <w:pPr>
        <w:autoSpaceDE w:val="0"/>
        <w:autoSpaceDN w:val="0"/>
        <w:adjustRightInd w:val="0"/>
        <w:spacing w:before="100" w:after="100"/>
        <w:ind w:left="720" w:hanging="720"/>
        <w:rPr>
          <w:szCs w:val="19"/>
        </w:rPr>
      </w:pPr>
      <w:r>
        <w:rPr>
          <w:szCs w:val="19"/>
        </w:rPr>
        <w:t>…</w:t>
      </w:r>
    </w:p>
    <w:p w14:paraId="50EF0F4F" w14:textId="77777777" w:rsidR="00F07CD2" w:rsidRDefault="00F07CD2" w:rsidP="00E377A0">
      <w:pPr>
        <w:pStyle w:val="IASBNormalnpara"/>
        <w:ind w:firstLine="0"/>
        <w:rPr>
          <w:szCs w:val="19"/>
          <w:vertAlign w:val="superscript"/>
        </w:rPr>
      </w:pPr>
      <w:r w:rsidRPr="000863D1">
        <w:rPr>
          <w:i/>
          <w:iCs/>
          <w:szCs w:val="19"/>
        </w:rPr>
        <w:t>Framework for the Preparation and Presentation of Financial Statements</w:t>
      </w:r>
      <w:r w:rsidRPr="00942ACD">
        <w:rPr>
          <w:i/>
          <w:iCs/>
          <w:strike/>
          <w:szCs w:val="19"/>
        </w:rPr>
        <w:t xml:space="preserve"> </w:t>
      </w:r>
      <w:r w:rsidRPr="00942ACD">
        <w:rPr>
          <w:strike/>
          <w:szCs w:val="19"/>
        </w:rPr>
        <w:t xml:space="preserve">(as identified in AASB 1048 </w:t>
      </w:r>
      <w:r w:rsidRPr="00942ACD">
        <w:rPr>
          <w:i/>
          <w:iCs/>
          <w:strike/>
          <w:szCs w:val="19"/>
        </w:rPr>
        <w:t>Interpretation of Standards</w:t>
      </w:r>
      <w:r w:rsidRPr="00942ACD">
        <w:rPr>
          <w:strike/>
          <w:szCs w:val="19"/>
        </w:rPr>
        <w:t>)</w:t>
      </w:r>
      <w:r w:rsidRPr="000863D1">
        <w:rPr>
          <w:szCs w:val="19"/>
          <w:vertAlign w:val="superscript"/>
        </w:rPr>
        <w:t>1</w:t>
      </w:r>
    </w:p>
    <w:p w14:paraId="56448AB8" w14:textId="77777777" w:rsidR="00F74AE3" w:rsidRDefault="00F74AE3" w:rsidP="00E377A0">
      <w:pPr>
        <w:pStyle w:val="IASBNormalnparaL1"/>
        <w:ind w:left="1491" w:hanging="709"/>
        <w:rPr>
          <w:sz w:val="16"/>
          <w:szCs w:val="16"/>
          <w:u w:val="single"/>
        </w:rPr>
      </w:pPr>
      <w:r w:rsidRPr="00F74AE3">
        <w:rPr>
          <w:sz w:val="16"/>
          <w:szCs w:val="16"/>
        </w:rPr>
        <w:t>1</w:t>
      </w:r>
      <w:r w:rsidRPr="00F74AE3">
        <w:rPr>
          <w:sz w:val="16"/>
          <w:szCs w:val="16"/>
        </w:rPr>
        <w:tab/>
      </w:r>
      <w:r w:rsidRPr="00F74AE3">
        <w:rPr>
          <w:strike/>
          <w:sz w:val="16"/>
          <w:szCs w:val="16"/>
        </w:rPr>
        <w:t xml:space="preserve">In December 2013 the AASB amended the </w:t>
      </w:r>
      <w:r w:rsidRPr="00F74AE3">
        <w:rPr>
          <w:i/>
          <w:strike/>
          <w:sz w:val="16"/>
          <w:szCs w:val="16"/>
        </w:rPr>
        <w:t>Framework for the Preparation and Presentation of Financial Statements</w:t>
      </w:r>
      <w:r w:rsidR="009F1F15" w:rsidRPr="00F74AE3">
        <w:rPr>
          <w:strike/>
          <w:sz w:val="16"/>
          <w:szCs w:val="16"/>
        </w:rPr>
        <w:t xml:space="preserve">.  </w:t>
      </w:r>
      <w:r w:rsidRPr="00F74AE3">
        <w:rPr>
          <w:sz w:val="16"/>
          <w:szCs w:val="16"/>
          <w:u w:val="single"/>
        </w:rPr>
        <w:t xml:space="preserve">The reference is to the </w:t>
      </w:r>
      <w:r w:rsidRPr="00F74AE3">
        <w:rPr>
          <w:i/>
          <w:sz w:val="16"/>
          <w:szCs w:val="16"/>
          <w:u w:val="single"/>
        </w:rPr>
        <w:t>Framework for the Preparation and Presentation of Financial Statements</w:t>
      </w:r>
      <w:r w:rsidRPr="00F74AE3">
        <w:rPr>
          <w:sz w:val="16"/>
          <w:szCs w:val="16"/>
          <w:u w:val="single"/>
        </w:rPr>
        <w:t xml:space="preserve"> adopted by the AASB in </w:t>
      </w:r>
      <w:r w:rsidRPr="0067049C">
        <w:rPr>
          <w:sz w:val="16"/>
          <w:szCs w:val="16"/>
          <w:u w:val="single"/>
        </w:rPr>
        <w:t>2004</w:t>
      </w:r>
      <w:r w:rsidRPr="00F74AE3">
        <w:rPr>
          <w:sz w:val="16"/>
          <w:szCs w:val="16"/>
          <w:u w:val="single"/>
        </w:rPr>
        <w:t xml:space="preserve"> and in effect when the Interpretation was developed. </w:t>
      </w:r>
    </w:p>
    <w:p w14:paraId="1E8AA311" w14:textId="77777777" w:rsidR="00C25AB9" w:rsidRDefault="00C25AB9" w:rsidP="001A2AB9">
      <w:pPr>
        <w:autoSpaceDE w:val="0"/>
        <w:autoSpaceDN w:val="0"/>
        <w:adjustRightInd w:val="0"/>
        <w:spacing w:before="100"/>
        <w:ind w:left="720" w:hanging="720"/>
        <w:rPr>
          <w:szCs w:val="19"/>
        </w:rPr>
      </w:pPr>
      <w:r>
        <w:rPr>
          <w:szCs w:val="19"/>
        </w:rPr>
        <w:t>…</w:t>
      </w:r>
    </w:p>
    <w:p w14:paraId="479E7E12" w14:textId="77777777" w:rsidR="002F442C" w:rsidRDefault="002F442C" w:rsidP="001A2AB9">
      <w:pPr>
        <w:autoSpaceDE w:val="0"/>
        <w:autoSpaceDN w:val="0"/>
        <w:adjustRightInd w:val="0"/>
        <w:spacing w:before="240"/>
        <w:ind w:left="720" w:hanging="720"/>
        <w:rPr>
          <w:b/>
          <w:bCs/>
          <w:sz w:val="28"/>
          <w:szCs w:val="28"/>
        </w:rPr>
      </w:pPr>
      <w:r w:rsidRPr="00BB71D3">
        <w:rPr>
          <w:b/>
          <w:bCs/>
          <w:sz w:val="28"/>
          <w:szCs w:val="28"/>
        </w:rPr>
        <w:t>Application</w:t>
      </w:r>
    </w:p>
    <w:p w14:paraId="7DACF42B" w14:textId="1EE017E7" w:rsidR="002F442C" w:rsidRPr="00BB71D3" w:rsidRDefault="002F442C" w:rsidP="00E377A0">
      <w:pPr>
        <w:pStyle w:val="IASBNormalnpara"/>
        <w:rPr>
          <w:b/>
          <w:strike/>
          <w:szCs w:val="19"/>
        </w:rPr>
      </w:pPr>
      <w:r w:rsidRPr="00C43909">
        <w:rPr>
          <w:szCs w:val="19"/>
        </w:rPr>
        <w:t>14</w:t>
      </w:r>
      <w:r w:rsidR="001A2AB9">
        <w:rPr>
          <w:szCs w:val="19"/>
        </w:rPr>
        <w:t>.</w:t>
      </w:r>
      <w:r w:rsidRPr="00C43909">
        <w:rPr>
          <w:szCs w:val="19"/>
        </w:rPr>
        <w:t xml:space="preserve"> </w:t>
      </w:r>
      <w:r w:rsidRPr="00BB71D3">
        <w:rPr>
          <w:b/>
          <w:szCs w:val="19"/>
        </w:rPr>
        <w:tab/>
      </w:r>
      <w:r w:rsidRPr="00C43909">
        <w:rPr>
          <w:szCs w:val="19"/>
          <w:u w:val="single"/>
        </w:rPr>
        <w:t>[Deleted by the AASB]</w:t>
      </w:r>
      <w:r w:rsidR="00C43909" w:rsidRPr="00C43909">
        <w:rPr>
          <w:szCs w:val="19"/>
        </w:rPr>
        <w:t xml:space="preserve"> </w:t>
      </w:r>
      <w:r w:rsidRPr="00BB71D3">
        <w:rPr>
          <w:b/>
          <w:strike/>
          <w:szCs w:val="19"/>
        </w:rPr>
        <w:t xml:space="preserve">This Interpretation applies to public sector entities as follows: </w:t>
      </w:r>
    </w:p>
    <w:p w14:paraId="6F2008EF" w14:textId="64F2759E" w:rsidR="002F442C" w:rsidRPr="00BB71D3" w:rsidRDefault="00E377A0" w:rsidP="00E377A0">
      <w:pPr>
        <w:pStyle w:val="IASBNormalnparaL1"/>
        <w:rPr>
          <w:b/>
          <w:strike/>
          <w:szCs w:val="19"/>
        </w:rPr>
      </w:pPr>
      <w:r>
        <w:rPr>
          <w:b/>
          <w:strike/>
          <w:szCs w:val="19"/>
        </w:rPr>
        <w:t>(a)</w:t>
      </w:r>
      <w:r>
        <w:rPr>
          <w:b/>
          <w:strike/>
          <w:szCs w:val="19"/>
        </w:rPr>
        <w:tab/>
      </w:r>
      <w:r w:rsidR="002F442C" w:rsidRPr="00BB71D3">
        <w:rPr>
          <w:b/>
          <w:strike/>
          <w:szCs w:val="19"/>
        </w:rPr>
        <w:t xml:space="preserve">each entity that is required to prepare financial reports in accordance with Part 2M.3 of the </w:t>
      </w:r>
      <w:r w:rsidR="002F442C" w:rsidRPr="001E4FCE">
        <w:rPr>
          <w:b/>
          <w:i/>
          <w:strike/>
          <w:szCs w:val="19"/>
        </w:rPr>
        <w:t>Corporations Act 2001</w:t>
      </w:r>
      <w:r w:rsidR="002F442C" w:rsidRPr="00BB71D3">
        <w:rPr>
          <w:b/>
          <w:strike/>
          <w:szCs w:val="19"/>
        </w:rPr>
        <w:t xml:space="preserve"> and that is a reporting entity;</w:t>
      </w:r>
    </w:p>
    <w:p w14:paraId="3B03A7A5" w14:textId="59F46744" w:rsidR="002F442C" w:rsidRPr="00BB71D3" w:rsidRDefault="00E377A0" w:rsidP="00E377A0">
      <w:pPr>
        <w:pStyle w:val="IASBNormalnparaL1"/>
        <w:rPr>
          <w:b/>
          <w:strike/>
          <w:szCs w:val="19"/>
        </w:rPr>
      </w:pPr>
      <w:r>
        <w:rPr>
          <w:b/>
          <w:strike/>
          <w:szCs w:val="19"/>
        </w:rPr>
        <w:t>(b)</w:t>
      </w:r>
      <w:r>
        <w:rPr>
          <w:b/>
          <w:strike/>
          <w:szCs w:val="19"/>
        </w:rPr>
        <w:tab/>
      </w:r>
      <w:r w:rsidR="002F442C" w:rsidRPr="00BB71D3">
        <w:rPr>
          <w:b/>
          <w:strike/>
          <w:szCs w:val="19"/>
        </w:rPr>
        <w:t xml:space="preserve">general purpose financial statements of each other reporting entity; and </w:t>
      </w:r>
    </w:p>
    <w:p w14:paraId="1643314C" w14:textId="11BAC60F" w:rsidR="002F442C" w:rsidRPr="001E4FCE" w:rsidRDefault="00E377A0" w:rsidP="00E377A0">
      <w:pPr>
        <w:pStyle w:val="IASBNormalnparaL1"/>
        <w:rPr>
          <w:b/>
          <w:szCs w:val="19"/>
          <w:u w:val="single"/>
        </w:rPr>
      </w:pPr>
      <w:r>
        <w:rPr>
          <w:b/>
          <w:strike/>
          <w:szCs w:val="19"/>
        </w:rPr>
        <w:t>(c)</w:t>
      </w:r>
      <w:r>
        <w:rPr>
          <w:b/>
          <w:strike/>
          <w:szCs w:val="19"/>
        </w:rPr>
        <w:tab/>
      </w:r>
      <w:r w:rsidR="002F442C" w:rsidRPr="00BB71D3">
        <w:rPr>
          <w:b/>
          <w:strike/>
          <w:szCs w:val="19"/>
        </w:rPr>
        <w:t>financial statements that are, or are held out to be, general purpose financial statement</w:t>
      </w:r>
      <w:r w:rsidR="0087625A">
        <w:rPr>
          <w:b/>
          <w:strike/>
          <w:szCs w:val="19"/>
        </w:rPr>
        <w:t>s.</w:t>
      </w:r>
    </w:p>
    <w:p w14:paraId="2F1B2BBA" w14:textId="77777777" w:rsidR="001E4FCE" w:rsidRDefault="001E4FCE" w:rsidP="001A2AB9">
      <w:pPr>
        <w:autoSpaceDE w:val="0"/>
        <w:autoSpaceDN w:val="0"/>
        <w:adjustRightInd w:val="0"/>
        <w:spacing w:before="100"/>
        <w:ind w:left="720" w:hanging="720"/>
        <w:rPr>
          <w:bCs/>
          <w:szCs w:val="19"/>
        </w:rPr>
      </w:pPr>
      <w:r w:rsidRPr="00961B05">
        <w:rPr>
          <w:bCs/>
          <w:szCs w:val="19"/>
        </w:rPr>
        <w:t>…</w:t>
      </w:r>
    </w:p>
    <w:p w14:paraId="25435C61" w14:textId="77777777" w:rsidR="001E4FCE" w:rsidRPr="00650BC3" w:rsidRDefault="001E4FCE" w:rsidP="001A2AB9">
      <w:pPr>
        <w:autoSpaceDE w:val="0"/>
        <w:autoSpaceDN w:val="0"/>
        <w:adjustRightInd w:val="0"/>
        <w:spacing w:before="100"/>
        <w:ind w:left="720" w:hanging="720"/>
        <w:rPr>
          <w:b/>
          <w:bCs/>
          <w:sz w:val="24"/>
          <w:szCs w:val="24"/>
        </w:rPr>
      </w:pPr>
      <w:r w:rsidRPr="00650BC3">
        <w:rPr>
          <w:b/>
          <w:bCs/>
          <w:sz w:val="24"/>
          <w:szCs w:val="24"/>
        </w:rPr>
        <w:t>Redesignation</w:t>
      </w:r>
    </w:p>
    <w:p w14:paraId="209BDC75" w14:textId="77777777" w:rsidR="001E4FCE" w:rsidRDefault="001E4FCE" w:rsidP="00E377A0">
      <w:pPr>
        <w:pStyle w:val="IASBNormalnpara"/>
      </w:pPr>
      <w:r>
        <w:t>34.</w:t>
      </w:r>
      <w:r>
        <w:tab/>
        <w:t xml:space="preserve">This Interpretation does not permit a contribution by owners to be redesignated as income. The definition of income under the </w:t>
      </w:r>
      <w:r w:rsidRPr="00A60F49">
        <w:rPr>
          <w:i/>
        </w:rPr>
        <w:t>Framework for the Preparation and Presentation of Financial Statements</w:t>
      </w:r>
      <w:r>
        <w:t xml:space="preserve"> </w:t>
      </w:r>
      <w:r w:rsidRPr="006F065C">
        <w:rPr>
          <w:strike/>
        </w:rPr>
        <w:t xml:space="preserve">(as identified in AASB 1048 </w:t>
      </w:r>
      <w:r w:rsidRPr="004B3EB4">
        <w:rPr>
          <w:i/>
          <w:strike/>
        </w:rPr>
        <w:t>Interpretation of Standards</w:t>
      </w:r>
      <w:r w:rsidRPr="006F065C">
        <w:rPr>
          <w:strike/>
        </w:rPr>
        <w:t>)</w:t>
      </w:r>
      <w:r w:rsidRPr="006F065C">
        <w:rPr>
          <w:strike/>
          <w:vertAlign w:val="superscript"/>
        </w:rPr>
        <w:t>2</w:t>
      </w:r>
      <w:r>
        <w:t xml:space="preserve"> indicates that an inflow of economic benefits that results in an increase in equity (other than increases relating to contributions from equity participants) has occurred. A transfer to an entity increases its equity only once, and the transferee’s equity does not increase at the time of any intended redesignation.</w:t>
      </w:r>
    </w:p>
    <w:p w14:paraId="4156FE62" w14:textId="77777777" w:rsidR="001E4FCE" w:rsidRPr="00F74AE3" w:rsidRDefault="001E4FCE" w:rsidP="00E377A0">
      <w:pPr>
        <w:pStyle w:val="IASBNormalnparaL1"/>
        <w:ind w:left="1491" w:hanging="709"/>
        <w:rPr>
          <w:sz w:val="16"/>
          <w:szCs w:val="16"/>
        </w:rPr>
      </w:pPr>
      <w:r w:rsidRPr="007E26D2">
        <w:rPr>
          <w:strike/>
          <w:sz w:val="16"/>
          <w:szCs w:val="16"/>
        </w:rPr>
        <w:t>2</w:t>
      </w:r>
      <w:r w:rsidRPr="006F065C">
        <w:rPr>
          <w:sz w:val="16"/>
          <w:szCs w:val="16"/>
        </w:rPr>
        <w:tab/>
      </w:r>
      <w:r>
        <w:rPr>
          <w:strike/>
          <w:sz w:val="16"/>
          <w:szCs w:val="16"/>
        </w:rPr>
        <w:t xml:space="preserve">In December 2013 the AASB </w:t>
      </w:r>
      <w:r w:rsidRPr="00F74AE3">
        <w:rPr>
          <w:strike/>
          <w:sz w:val="16"/>
          <w:szCs w:val="16"/>
        </w:rPr>
        <w:t xml:space="preserve">amended the </w:t>
      </w:r>
      <w:r w:rsidRPr="00F74AE3">
        <w:rPr>
          <w:i/>
          <w:strike/>
          <w:sz w:val="16"/>
          <w:szCs w:val="16"/>
        </w:rPr>
        <w:t>Framework for the Preparation and Presentation of Financial Statements</w:t>
      </w:r>
      <w:r>
        <w:rPr>
          <w:strike/>
          <w:sz w:val="16"/>
          <w:szCs w:val="16"/>
        </w:rPr>
        <w:t xml:space="preserve">.  </w:t>
      </w:r>
    </w:p>
    <w:p w14:paraId="2AC6E79C" w14:textId="77777777" w:rsidR="003A66C5" w:rsidRDefault="003A66C5" w:rsidP="00C87FAF">
      <w:pPr>
        <w:pStyle w:val="Heading2"/>
        <w:jc w:val="both"/>
      </w:pPr>
      <w:r>
        <w:t>Am</w:t>
      </w:r>
      <w:r w:rsidR="00C07486">
        <w:t>endments to Interpretation 1047</w:t>
      </w:r>
    </w:p>
    <w:p w14:paraId="2BB00B96" w14:textId="3CF764CB" w:rsidR="00F74AE3" w:rsidRPr="00F74AE3" w:rsidRDefault="00F74AE3" w:rsidP="00C87FAF">
      <w:pPr>
        <w:pBdr>
          <w:top w:val="single" w:sz="4" w:space="1" w:color="auto"/>
          <w:left w:val="single" w:sz="4" w:space="4" w:color="auto"/>
          <w:bottom w:val="single" w:sz="4" w:space="1" w:color="auto"/>
          <w:right w:val="single" w:sz="4" w:space="4" w:color="auto"/>
        </w:pBdr>
        <w:autoSpaceDE w:val="0"/>
        <w:autoSpaceDN w:val="0"/>
        <w:adjustRightInd w:val="0"/>
        <w:rPr>
          <w:bCs/>
          <w:szCs w:val="19"/>
        </w:rPr>
      </w:pPr>
      <w:r w:rsidRPr="00F74AE3">
        <w:rPr>
          <w:bCs/>
          <w:szCs w:val="19"/>
        </w:rPr>
        <w:t>Paragraph AusCF1 is added.</w:t>
      </w:r>
      <w:r w:rsidR="00931E56">
        <w:rPr>
          <w:bCs/>
          <w:szCs w:val="19"/>
        </w:rPr>
        <w:t xml:space="preserve">  </w:t>
      </w:r>
      <w:r w:rsidR="00931E56">
        <w:rPr>
          <w:szCs w:val="19"/>
        </w:rPr>
        <w:t xml:space="preserve">Paragraph 10 is deleted.  </w:t>
      </w:r>
      <w:r w:rsidR="00931E56">
        <w:rPr>
          <w:bCs/>
          <w:szCs w:val="19"/>
        </w:rPr>
        <w:t xml:space="preserve">(The application of Interpretation 1047 to entities and financial statements is set out in AASB </w:t>
      </w:r>
      <w:r w:rsidR="00931E56" w:rsidRPr="00C07486">
        <w:rPr>
          <w:bCs/>
          <w:szCs w:val="19"/>
        </w:rPr>
        <w:t>1057</w:t>
      </w:r>
      <w:r w:rsidR="00931E56" w:rsidRPr="00564CD5">
        <w:rPr>
          <w:bCs/>
          <w:i/>
          <w:szCs w:val="19"/>
        </w:rPr>
        <w:t xml:space="preserve"> Application of Australian Accounting Standards</w:t>
      </w:r>
      <w:r w:rsidR="00931E56">
        <w:rPr>
          <w:bCs/>
          <w:szCs w:val="19"/>
        </w:rPr>
        <w:t>.)</w:t>
      </w:r>
    </w:p>
    <w:p w14:paraId="1BB95103" w14:textId="77777777" w:rsidR="00F74AE3" w:rsidRPr="00554EE4" w:rsidRDefault="00F74AE3" w:rsidP="00C87FAF">
      <w:pPr>
        <w:pStyle w:val="Heading1"/>
        <w:spacing w:before="240"/>
        <w:jc w:val="both"/>
        <w:rPr>
          <w:rFonts w:ascii="Times New Roman" w:hAnsi="Times New Roman" w:cs="Times New Roman"/>
          <w:szCs w:val="26"/>
        </w:rPr>
      </w:pPr>
      <w:r w:rsidRPr="00554EE4">
        <w:rPr>
          <w:rFonts w:ascii="Times New Roman" w:hAnsi="Times New Roman" w:cs="Times New Roman"/>
          <w:szCs w:val="26"/>
        </w:rPr>
        <w:t>Issue</w:t>
      </w:r>
    </w:p>
    <w:p w14:paraId="2F659990" w14:textId="77777777" w:rsidR="009923D0" w:rsidRPr="0067049C" w:rsidRDefault="009923D0" w:rsidP="00E377A0">
      <w:pPr>
        <w:pStyle w:val="IASBNormalnpara"/>
        <w:rPr>
          <w:szCs w:val="19"/>
          <w:u w:val="single"/>
        </w:rPr>
      </w:pPr>
      <w:r w:rsidRPr="0067049C">
        <w:rPr>
          <w:szCs w:val="19"/>
          <w:u w:val="single"/>
        </w:rPr>
        <w:t>AusCF1</w:t>
      </w:r>
      <w:r w:rsidRPr="0067049C">
        <w:rPr>
          <w:szCs w:val="19"/>
        </w:rPr>
        <w:tab/>
      </w:r>
      <w:r w:rsidRPr="0067049C">
        <w:rPr>
          <w:szCs w:val="19"/>
          <w:u w:val="single"/>
        </w:rPr>
        <w:t>AusCF entities are:</w:t>
      </w:r>
    </w:p>
    <w:p w14:paraId="67C0E900" w14:textId="35A82935" w:rsidR="009923D0" w:rsidRPr="0067049C" w:rsidRDefault="00E377A0" w:rsidP="00E377A0">
      <w:pPr>
        <w:pStyle w:val="IASBNormalnparaL1"/>
        <w:rPr>
          <w:szCs w:val="19"/>
          <w:u w:val="single"/>
        </w:rPr>
      </w:pPr>
      <w:r>
        <w:rPr>
          <w:szCs w:val="19"/>
          <w:u w:val="single"/>
        </w:rPr>
        <w:t>(a)</w:t>
      </w:r>
      <w:r>
        <w:rPr>
          <w:szCs w:val="19"/>
          <w:u w:val="single"/>
        </w:rPr>
        <w:tab/>
      </w:r>
      <w:r w:rsidR="009923D0" w:rsidRPr="0067049C">
        <w:rPr>
          <w:szCs w:val="19"/>
          <w:u w:val="single"/>
        </w:rPr>
        <w:t xml:space="preserve">not-for-profit entities; and </w:t>
      </w:r>
    </w:p>
    <w:p w14:paraId="6EB78DF9" w14:textId="6AE08B48" w:rsidR="009923D0" w:rsidRPr="0067049C" w:rsidRDefault="00E377A0" w:rsidP="00E377A0">
      <w:pPr>
        <w:pStyle w:val="IASBNormalnparaL1"/>
        <w:rPr>
          <w:szCs w:val="19"/>
          <w:u w:val="single"/>
        </w:rPr>
      </w:pPr>
      <w:r>
        <w:rPr>
          <w:szCs w:val="19"/>
          <w:u w:val="single"/>
        </w:rPr>
        <w:t>(b)</w:t>
      </w:r>
      <w:r>
        <w:rPr>
          <w:szCs w:val="19"/>
          <w:u w:val="single"/>
        </w:rPr>
        <w:tab/>
      </w:r>
      <w:r w:rsidR="009923D0" w:rsidRPr="0067049C">
        <w:rPr>
          <w:szCs w:val="19"/>
          <w:u w:val="single"/>
        </w:rPr>
        <w:t xml:space="preserve">for-profit entities that are not applying the </w:t>
      </w:r>
      <w:r w:rsidR="009923D0" w:rsidRPr="0067049C">
        <w:rPr>
          <w:i/>
          <w:szCs w:val="19"/>
          <w:u w:val="single"/>
        </w:rPr>
        <w:t>Conceptual Framework for Financial Reporting</w:t>
      </w:r>
      <w:r w:rsidR="00F72BCF">
        <w:rPr>
          <w:i/>
          <w:szCs w:val="19"/>
          <w:u w:val="single"/>
        </w:rPr>
        <w:t xml:space="preserve"> </w:t>
      </w:r>
      <w:r w:rsidR="00F72BCF" w:rsidRPr="00F20ED1">
        <w:rPr>
          <w:szCs w:val="19"/>
          <w:u w:val="single"/>
        </w:rPr>
        <w:t>(as identified in AASB 1048</w:t>
      </w:r>
      <w:r w:rsidR="00F72BCF" w:rsidRPr="00F20ED1">
        <w:rPr>
          <w:i/>
          <w:szCs w:val="19"/>
          <w:u w:val="single"/>
        </w:rPr>
        <w:t xml:space="preserve"> Interpretation of Standards</w:t>
      </w:r>
      <w:r w:rsidR="00F72BCF" w:rsidRPr="00F20ED1">
        <w:rPr>
          <w:szCs w:val="19"/>
          <w:u w:val="single"/>
        </w:rPr>
        <w:t>)</w:t>
      </w:r>
      <w:r w:rsidR="009F1F15" w:rsidRPr="0067049C">
        <w:rPr>
          <w:szCs w:val="19"/>
          <w:u w:val="single"/>
        </w:rPr>
        <w:t>.</w:t>
      </w:r>
    </w:p>
    <w:p w14:paraId="12CE75A8" w14:textId="18A733B0" w:rsidR="009923D0" w:rsidRDefault="00284EE9" w:rsidP="00E377A0">
      <w:pPr>
        <w:pStyle w:val="IASBNormalL1P"/>
        <w:rPr>
          <w:szCs w:val="19"/>
          <w:u w:val="single"/>
        </w:rPr>
      </w:pPr>
      <w:r w:rsidRPr="0067049C">
        <w:rPr>
          <w:szCs w:val="19"/>
          <w:u w:val="single"/>
        </w:rPr>
        <w:t xml:space="preserve">For AusCF entities, the term ‘reporting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009923D0" w:rsidRPr="0067049C">
        <w:rPr>
          <w:szCs w:val="19"/>
          <w:u w:val="single"/>
        </w:rPr>
        <w:t xml:space="preserve"> and Statement of Accounting Concepts SAC 1 </w:t>
      </w:r>
      <w:r w:rsidR="009923D0" w:rsidRPr="0067049C">
        <w:rPr>
          <w:i/>
          <w:szCs w:val="19"/>
          <w:u w:val="single"/>
        </w:rPr>
        <w:t>Definition of the Reporting Entity</w:t>
      </w:r>
      <w:r w:rsidR="009923D0" w:rsidRPr="0067049C">
        <w:rPr>
          <w:szCs w:val="19"/>
          <w:u w:val="single"/>
        </w:rPr>
        <w:t xml:space="preserve"> also applies.</w:t>
      </w:r>
      <w:r w:rsidR="00637A9C" w:rsidRPr="0067049C">
        <w:rPr>
          <w:szCs w:val="19"/>
          <w:u w:val="single"/>
        </w:rPr>
        <w:t xml:space="preserve">  For-profit entities applying the </w:t>
      </w:r>
      <w:r w:rsidR="00637A9C" w:rsidRPr="0067049C">
        <w:rPr>
          <w:i/>
          <w:szCs w:val="19"/>
          <w:u w:val="single"/>
        </w:rPr>
        <w:t>Conceptual Framework for Financial Reporting</w:t>
      </w:r>
      <w:r w:rsidR="00637A9C">
        <w:rPr>
          <w:szCs w:val="19"/>
          <w:u w:val="single"/>
        </w:rPr>
        <w:t xml:space="preserve"> are set out in paragraph Aus1.1 of the </w:t>
      </w:r>
      <w:r w:rsidR="00637A9C" w:rsidRPr="00E5549F">
        <w:rPr>
          <w:i/>
          <w:szCs w:val="19"/>
          <w:u w:val="single"/>
        </w:rPr>
        <w:t>Conceptual Framework</w:t>
      </w:r>
      <w:r w:rsidR="00637A9C">
        <w:rPr>
          <w:szCs w:val="19"/>
          <w:u w:val="single"/>
        </w:rPr>
        <w:t>.</w:t>
      </w:r>
    </w:p>
    <w:p w14:paraId="3707BB79" w14:textId="77777777" w:rsidR="00931E56" w:rsidRDefault="00931E56" w:rsidP="00AA0EDC">
      <w:pPr>
        <w:autoSpaceDE w:val="0"/>
        <w:autoSpaceDN w:val="0"/>
        <w:adjustRightInd w:val="0"/>
        <w:spacing w:before="100"/>
        <w:rPr>
          <w:szCs w:val="19"/>
        </w:rPr>
      </w:pPr>
      <w:r>
        <w:rPr>
          <w:szCs w:val="19"/>
        </w:rPr>
        <w:t>…</w:t>
      </w:r>
    </w:p>
    <w:p w14:paraId="3EAFF30A" w14:textId="58D7F505" w:rsidR="00931E56" w:rsidRPr="00931E56" w:rsidRDefault="001A2AB9" w:rsidP="001A2AB9">
      <w:pPr>
        <w:keepNext/>
        <w:autoSpaceDE w:val="0"/>
        <w:autoSpaceDN w:val="0"/>
        <w:adjustRightInd w:val="0"/>
        <w:spacing w:before="240" w:after="120"/>
        <w:rPr>
          <w:b/>
          <w:sz w:val="26"/>
          <w:szCs w:val="26"/>
        </w:rPr>
      </w:pPr>
      <w:r>
        <w:rPr>
          <w:b/>
          <w:sz w:val="26"/>
          <w:szCs w:val="26"/>
        </w:rPr>
        <w:t>Application</w:t>
      </w:r>
    </w:p>
    <w:p w14:paraId="0DC9962B" w14:textId="60544C4B" w:rsidR="00931E56" w:rsidRPr="00931E56" w:rsidRDefault="00931E56" w:rsidP="00E377A0">
      <w:pPr>
        <w:pStyle w:val="IASBNormalnpara"/>
        <w:rPr>
          <w:b/>
          <w:strike/>
        </w:rPr>
      </w:pPr>
      <w:r w:rsidRPr="00C43909">
        <w:rPr>
          <w:szCs w:val="19"/>
        </w:rPr>
        <w:t>10</w:t>
      </w:r>
      <w:r w:rsidRPr="00BB71D3">
        <w:rPr>
          <w:b/>
          <w:szCs w:val="19"/>
        </w:rPr>
        <w:tab/>
      </w:r>
      <w:r w:rsidRPr="00C43909">
        <w:rPr>
          <w:szCs w:val="19"/>
          <w:u w:val="single"/>
        </w:rPr>
        <w:t>[Deleted by the AASB]</w:t>
      </w:r>
      <w:r w:rsidRPr="001E4FCE">
        <w:t xml:space="preserve"> </w:t>
      </w:r>
      <w:r w:rsidRPr="00931E56">
        <w:rPr>
          <w:b/>
          <w:strike/>
        </w:rPr>
        <w:t xml:space="preserve">This Interpretation applies to entities that are or include medical defence organisations as follows: </w:t>
      </w:r>
    </w:p>
    <w:p w14:paraId="5B53B30F" w14:textId="59A39ED2" w:rsidR="00931E56" w:rsidRPr="00931E56" w:rsidRDefault="00C66FBD" w:rsidP="00E377A0">
      <w:pPr>
        <w:pStyle w:val="IASBNormalnparaL1"/>
        <w:rPr>
          <w:b/>
          <w:strike/>
        </w:rPr>
      </w:pPr>
      <w:r>
        <w:rPr>
          <w:b/>
          <w:strike/>
        </w:rPr>
        <w:t>(a)</w:t>
      </w:r>
      <w:r>
        <w:rPr>
          <w:b/>
          <w:strike/>
        </w:rPr>
        <w:tab/>
      </w:r>
      <w:r w:rsidR="00931E56" w:rsidRPr="00931E56">
        <w:rPr>
          <w:b/>
          <w:strike/>
        </w:rPr>
        <w:t xml:space="preserve">each entity that is required to prepare financial reports in accordance with Part 2M.3 of the </w:t>
      </w:r>
      <w:r w:rsidR="00931E56" w:rsidRPr="001E4FCE">
        <w:rPr>
          <w:b/>
          <w:i/>
          <w:strike/>
        </w:rPr>
        <w:t>Corporations Act 2001</w:t>
      </w:r>
      <w:r w:rsidR="00931E56" w:rsidRPr="00931E56">
        <w:rPr>
          <w:b/>
          <w:strike/>
        </w:rPr>
        <w:t xml:space="preserve"> and that is a reporting entity; </w:t>
      </w:r>
    </w:p>
    <w:p w14:paraId="3EC31388" w14:textId="1E12B48D" w:rsidR="00931E56" w:rsidRPr="00931E56" w:rsidRDefault="00C66FBD" w:rsidP="00E377A0">
      <w:pPr>
        <w:pStyle w:val="IASBNormalnparaL1"/>
        <w:rPr>
          <w:b/>
          <w:strike/>
        </w:rPr>
      </w:pPr>
      <w:r>
        <w:rPr>
          <w:b/>
          <w:strike/>
        </w:rPr>
        <w:t>(b)</w:t>
      </w:r>
      <w:r>
        <w:rPr>
          <w:b/>
          <w:strike/>
        </w:rPr>
        <w:tab/>
      </w:r>
      <w:r w:rsidR="00931E56" w:rsidRPr="00931E56">
        <w:rPr>
          <w:b/>
          <w:strike/>
        </w:rPr>
        <w:t xml:space="preserve">general purpose financial statements of each other reporting entity; and </w:t>
      </w:r>
    </w:p>
    <w:p w14:paraId="3710B452" w14:textId="33F5B745" w:rsidR="00931E56" w:rsidRPr="00931E56" w:rsidRDefault="00C66FBD" w:rsidP="00E377A0">
      <w:pPr>
        <w:pStyle w:val="IASBNormalnparaL1"/>
        <w:rPr>
          <w:b/>
          <w:strike/>
          <w:szCs w:val="19"/>
          <w:u w:val="single"/>
        </w:rPr>
      </w:pPr>
      <w:r>
        <w:rPr>
          <w:b/>
          <w:strike/>
        </w:rPr>
        <w:t>(c)</w:t>
      </w:r>
      <w:r>
        <w:rPr>
          <w:b/>
          <w:strike/>
        </w:rPr>
        <w:tab/>
      </w:r>
      <w:r w:rsidR="00931E56" w:rsidRPr="00931E56">
        <w:rPr>
          <w:b/>
          <w:strike/>
        </w:rPr>
        <w:t>financial statements that are, or are held out to be, general purpose financial statements.</w:t>
      </w:r>
    </w:p>
    <w:p w14:paraId="15846C99" w14:textId="77777777" w:rsidR="003A66C5" w:rsidRDefault="003A66C5" w:rsidP="00C87FAF">
      <w:pPr>
        <w:pStyle w:val="Heading2"/>
        <w:jc w:val="both"/>
      </w:pPr>
      <w:r>
        <w:t>Amendments to Interpretation 1052</w:t>
      </w:r>
    </w:p>
    <w:p w14:paraId="1446F6C3" w14:textId="1B4D5CEB" w:rsidR="00F74AE3" w:rsidRPr="00F74AE3" w:rsidRDefault="002F442C" w:rsidP="00C87FA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Paragraph 17 is deleted.  </w:t>
      </w:r>
      <w:r>
        <w:rPr>
          <w:bCs/>
          <w:szCs w:val="19"/>
        </w:rPr>
        <w:t>(The application of Interpretation 1052 to entities and financial statements is set out in AASB</w:t>
      </w:r>
      <w:r w:rsidR="00C07486">
        <w:rPr>
          <w:bCs/>
          <w:szCs w:val="19"/>
        </w:rPr>
        <w:t> </w:t>
      </w:r>
      <w:r w:rsidRPr="00C07486">
        <w:rPr>
          <w:bCs/>
          <w:szCs w:val="19"/>
        </w:rPr>
        <w:t>1057</w:t>
      </w:r>
      <w:r w:rsidRPr="00564CD5">
        <w:rPr>
          <w:bCs/>
          <w:i/>
          <w:szCs w:val="19"/>
        </w:rPr>
        <w:t xml:space="preserve"> Application of Australian Accounting Standards</w:t>
      </w:r>
      <w:r>
        <w:rPr>
          <w:bCs/>
          <w:szCs w:val="19"/>
        </w:rPr>
        <w:t>.)</w:t>
      </w:r>
      <w:r w:rsidR="00C07486" w:rsidRPr="00C07486">
        <w:rPr>
          <w:szCs w:val="19"/>
        </w:rPr>
        <w:t xml:space="preserve"> </w:t>
      </w:r>
      <w:r w:rsidR="00C07486">
        <w:rPr>
          <w:szCs w:val="19"/>
        </w:rPr>
        <w:t xml:space="preserve"> </w:t>
      </w:r>
      <w:r w:rsidR="00A60F49">
        <w:rPr>
          <w:szCs w:val="19"/>
        </w:rPr>
        <w:t>Paragraph 42 and t</w:t>
      </w:r>
      <w:r w:rsidR="00C07486" w:rsidRPr="00F74AE3">
        <w:rPr>
          <w:szCs w:val="19"/>
        </w:rPr>
        <w:t>he footnote to</w:t>
      </w:r>
      <w:r w:rsidR="001E4FCE">
        <w:rPr>
          <w:szCs w:val="19"/>
        </w:rPr>
        <w:t xml:space="preserve"> the </w:t>
      </w:r>
      <w:r w:rsidR="001E4FCE" w:rsidRPr="00C66FBD">
        <w:rPr>
          <w:i/>
          <w:szCs w:val="19"/>
        </w:rPr>
        <w:t>Framework</w:t>
      </w:r>
      <w:r w:rsidR="001E4FCE">
        <w:rPr>
          <w:szCs w:val="19"/>
        </w:rPr>
        <w:t xml:space="preserve"> in</w:t>
      </w:r>
      <w:r w:rsidR="00C07486">
        <w:rPr>
          <w:szCs w:val="19"/>
        </w:rPr>
        <w:t xml:space="preserve"> paragraph 42 </w:t>
      </w:r>
      <w:r w:rsidR="00961B05">
        <w:rPr>
          <w:szCs w:val="19"/>
        </w:rPr>
        <w:t>are</w:t>
      </w:r>
      <w:r w:rsidR="00961B05" w:rsidRPr="00F74AE3">
        <w:rPr>
          <w:szCs w:val="19"/>
        </w:rPr>
        <w:t xml:space="preserve"> </w:t>
      </w:r>
      <w:r w:rsidR="00C07486" w:rsidRPr="00F74AE3">
        <w:rPr>
          <w:szCs w:val="19"/>
        </w:rPr>
        <w:t>amended.</w:t>
      </w:r>
    </w:p>
    <w:p w14:paraId="01754DC4" w14:textId="77777777" w:rsidR="002F442C" w:rsidRPr="00BB71D3" w:rsidRDefault="002F442C" w:rsidP="00C87FAF">
      <w:pPr>
        <w:pStyle w:val="Heading1"/>
        <w:spacing w:before="240"/>
        <w:jc w:val="both"/>
        <w:rPr>
          <w:b w:val="0"/>
          <w:bCs w:val="0"/>
          <w:szCs w:val="26"/>
        </w:rPr>
      </w:pPr>
      <w:r w:rsidRPr="00BB71D3">
        <w:rPr>
          <w:rFonts w:ascii="Times New Roman" w:hAnsi="Times New Roman" w:cs="Times New Roman"/>
          <w:szCs w:val="26"/>
        </w:rPr>
        <w:t>Application</w:t>
      </w:r>
    </w:p>
    <w:p w14:paraId="0C351127" w14:textId="1CFFB975" w:rsidR="002F442C" w:rsidRPr="00BB71D3" w:rsidRDefault="002F442C" w:rsidP="00E377A0">
      <w:pPr>
        <w:pStyle w:val="IASBNormalnpara"/>
        <w:rPr>
          <w:b/>
          <w:strike/>
          <w:szCs w:val="19"/>
        </w:rPr>
      </w:pPr>
      <w:r w:rsidRPr="00C43909">
        <w:rPr>
          <w:szCs w:val="19"/>
        </w:rPr>
        <w:t>17</w:t>
      </w:r>
      <w:r w:rsidR="00582F90" w:rsidRPr="00BB71D3">
        <w:rPr>
          <w:b/>
          <w:szCs w:val="19"/>
        </w:rPr>
        <w:tab/>
      </w:r>
      <w:r w:rsidR="00582F90" w:rsidRPr="00C43909">
        <w:rPr>
          <w:szCs w:val="19"/>
          <w:u w:val="single"/>
        </w:rPr>
        <w:t>[Deleted by the AASB</w:t>
      </w:r>
      <w:r w:rsidR="00582F90" w:rsidRPr="00AA0EDC">
        <w:rPr>
          <w:szCs w:val="19"/>
          <w:u w:val="single"/>
        </w:rPr>
        <w:t>]</w:t>
      </w:r>
      <w:r w:rsidR="00C43909" w:rsidRPr="00AA0EDC">
        <w:rPr>
          <w:szCs w:val="19"/>
        </w:rPr>
        <w:t xml:space="preserve"> </w:t>
      </w:r>
      <w:r w:rsidRPr="00BB71D3">
        <w:rPr>
          <w:b/>
          <w:strike/>
          <w:szCs w:val="19"/>
        </w:rPr>
        <w:t xml:space="preserve">This Interpretation applies to: </w:t>
      </w:r>
    </w:p>
    <w:p w14:paraId="6ADFBA71" w14:textId="7FBB3AF4" w:rsidR="002F442C" w:rsidRPr="00BB71D3" w:rsidRDefault="00E377A0" w:rsidP="00E377A0">
      <w:pPr>
        <w:pStyle w:val="IASBNormalnparaL1"/>
        <w:rPr>
          <w:b/>
          <w:strike/>
          <w:szCs w:val="19"/>
        </w:rPr>
      </w:pPr>
      <w:r>
        <w:rPr>
          <w:b/>
          <w:strike/>
          <w:szCs w:val="19"/>
        </w:rPr>
        <w:t>(a)</w:t>
      </w:r>
      <w:r>
        <w:rPr>
          <w:b/>
          <w:strike/>
          <w:szCs w:val="19"/>
        </w:rPr>
        <w:tab/>
      </w:r>
      <w:r w:rsidR="002F442C" w:rsidRPr="00BB71D3">
        <w:rPr>
          <w:b/>
          <w:strike/>
          <w:szCs w:val="19"/>
        </w:rPr>
        <w:t xml:space="preserve">each entity that is required to prepare financial reports in accordance with Part 2M.3 of the </w:t>
      </w:r>
      <w:r w:rsidR="002F442C" w:rsidRPr="001E4FCE">
        <w:rPr>
          <w:b/>
          <w:i/>
          <w:strike/>
          <w:szCs w:val="19"/>
        </w:rPr>
        <w:t>Corporations Act 2001</w:t>
      </w:r>
      <w:r w:rsidR="002F442C" w:rsidRPr="00BB71D3">
        <w:rPr>
          <w:b/>
          <w:strike/>
          <w:szCs w:val="19"/>
        </w:rPr>
        <w:t xml:space="preserve"> and that is a reporting entity; </w:t>
      </w:r>
    </w:p>
    <w:p w14:paraId="24006C03" w14:textId="772A5232" w:rsidR="002F442C" w:rsidRPr="00BB71D3" w:rsidRDefault="00E377A0" w:rsidP="00E377A0">
      <w:pPr>
        <w:pStyle w:val="IASBNormalnparaL1"/>
        <w:rPr>
          <w:b/>
          <w:strike/>
          <w:szCs w:val="19"/>
        </w:rPr>
      </w:pPr>
      <w:r>
        <w:rPr>
          <w:b/>
          <w:strike/>
          <w:szCs w:val="19"/>
        </w:rPr>
        <w:t>(b)</w:t>
      </w:r>
      <w:r>
        <w:rPr>
          <w:b/>
          <w:strike/>
          <w:szCs w:val="19"/>
        </w:rPr>
        <w:tab/>
      </w:r>
      <w:r w:rsidR="002F442C" w:rsidRPr="00BB71D3">
        <w:rPr>
          <w:b/>
          <w:strike/>
          <w:szCs w:val="19"/>
        </w:rPr>
        <w:t xml:space="preserve">general purpose financial statements of each other reporting entity; and </w:t>
      </w:r>
    </w:p>
    <w:p w14:paraId="3F3C80FD" w14:textId="1F9F8C2E" w:rsidR="002F442C" w:rsidRPr="00BB71D3" w:rsidRDefault="00E377A0" w:rsidP="00E377A0">
      <w:pPr>
        <w:pStyle w:val="IASBNormalnparaL1"/>
        <w:rPr>
          <w:b/>
          <w:szCs w:val="19"/>
        </w:rPr>
      </w:pPr>
      <w:r>
        <w:rPr>
          <w:b/>
          <w:strike/>
          <w:szCs w:val="19"/>
        </w:rPr>
        <w:t>(c)</w:t>
      </w:r>
      <w:r>
        <w:rPr>
          <w:b/>
          <w:strike/>
          <w:szCs w:val="19"/>
        </w:rPr>
        <w:tab/>
      </w:r>
      <w:r w:rsidR="002F442C" w:rsidRPr="00BB71D3">
        <w:rPr>
          <w:b/>
          <w:strike/>
          <w:szCs w:val="19"/>
        </w:rPr>
        <w:t>financial statements that are, or are held out to be, general purpose financial statement</w:t>
      </w:r>
      <w:r w:rsidR="0087625A">
        <w:rPr>
          <w:b/>
          <w:strike/>
          <w:szCs w:val="19"/>
        </w:rPr>
        <w:t>s.</w:t>
      </w:r>
    </w:p>
    <w:p w14:paraId="0F2D31D8" w14:textId="77777777" w:rsidR="00582F90" w:rsidRDefault="00582F90" w:rsidP="00E377A0">
      <w:pPr>
        <w:autoSpaceDE w:val="0"/>
        <w:autoSpaceDN w:val="0"/>
        <w:adjustRightInd w:val="0"/>
        <w:spacing w:before="100"/>
        <w:ind w:left="720" w:hanging="720"/>
        <w:rPr>
          <w:szCs w:val="19"/>
        </w:rPr>
      </w:pPr>
      <w:r>
        <w:rPr>
          <w:szCs w:val="19"/>
        </w:rPr>
        <w:t>…</w:t>
      </w:r>
    </w:p>
    <w:p w14:paraId="03E6A2C2" w14:textId="77777777" w:rsidR="00554EE4" w:rsidRPr="00BB71D3" w:rsidRDefault="00554EE4" w:rsidP="00E377A0">
      <w:pPr>
        <w:autoSpaceDE w:val="0"/>
        <w:autoSpaceDN w:val="0"/>
        <w:adjustRightInd w:val="0"/>
        <w:spacing w:before="100"/>
        <w:rPr>
          <w:b/>
          <w:szCs w:val="19"/>
        </w:rPr>
      </w:pPr>
      <w:r w:rsidRPr="00BB71D3">
        <w:rPr>
          <w:b/>
          <w:szCs w:val="19"/>
        </w:rPr>
        <w:t>Current Taxes</w:t>
      </w:r>
    </w:p>
    <w:p w14:paraId="41FEADE4" w14:textId="77777777" w:rsidR="00554EE4" w:rsidRDefault="00554EE4" w:rsidP="00E377A0">
      <w:pPr>
        <w:autoSpaceDE w:val="0"/>
        <w:autoSpaceDN w:val="0"/>
        <w:adjustRightInd w:val="0"/>
        <w:spacing w:before="100"/>
        <w:ind w:left="720" w:hanging="720"/>
        <w:rPr>
          <w:szCs w:val="19"/>
        </w:rPr>
      </w:pPr>
      <w:r>
        <w:rPr>
          <w:szCs w:val="19"/>
        </w:rPr>
        <w:t>…</w:t>
      </w:r>
    </w:p>
    <w:p w14:paraId="5D0C371D" w14:textId="73A6E39B" w:rsidR="00F07CD2" w:rsidRPr="00F07CD2" w:rsidRDefault="00F07CD2" w:rsidP="00E377A0">
      <w:pPr>
        <w:pStyle w:val="IASBNormalnpara"/>
        <w:rPr>
          <w:szCs w:val="19"/>
        </w:rPr>
      </w:pPr>
      <w:r w:rsidRPr="00F07CD2">
        <w:rPr>
          <w:szCs w:val="19"/>
        </w:rPr>
        <w:t>42</w:t>
      </w:r>
      <w:r w:rsidRPr="00F07CD2">
        <w:rPr>
          <w:szCs w:val="19"/>
        </w:rPr>
        <w:tab/>
        <w:t>The derecognition of a subsidiary’s current tax liability (or asset) is treated under this Interpretation as a contribution by (or distribution to) the head entity, in conjunction with any tax funding arrangement amounts, on the basis that the transaction is with the parent in its capacity as the parent</w:t>
      </w:r>
      <w:r w:rsidR="009F1F15" w:rsidRPr="00F07CD2">
        <w:rPr>
          <w:szCs w:val="19"/>
        </w:rPr>
        <w:t xml:space="preserve">.  </w:t>
      </w:r>
      <w:r w:rsidRPr="00F07CD2">
        <w:rPr>
          <w:szCs w:val="19"/>
        </w:rPr>
        <w:t xml:space="preserve">The definition of “income” (or “expenses”) in the </w:t>
      </w:r>
      <w:r w:rsidRPr="0067049C">
        <w:rPr>
          <w:i/>
          <w:szCs w:val="19"/>
        </w:rPr>
        <w:t>Framework for the Preparation and Presentation of Financial Statements</w:t>
      </w:r>
      <w:r w:rsidRPr="00F07CD2">
        <w:rPr>
          <w:szCs w:val="19"/>
          <w:vertAlign w:val="superscript"/>
        </w:rPr>
        <w:t>1</w:t>
      </w:r>
      <w:r w:rsidRPr="00F07CD2">
        <w:rPr>
          <w:szCs w:val="19"/>
        </w:rPr>
        <w:t xml:space="preserve"> cannot be satisfied, as the decrease in the subsidiary’s current tax liability (or asset) results from a contribution by or distribution to equity participants</w:t>
      </w:r>
      <w:r w:rsidR="009F1F15" w:rsidRPr="00F07CD2">
        <w:rPr>
          <w:szCs w:val="19"/>
        </w:rPr>
        <w:t xml:space="preserve">.  </w:t>
      </w:r>
      <w:r w:rsidRPr="00F07CD2">
        <w:rPr>
          <w:szCs w:val="19"/>
        </w:rPr>
        <w:t>This Interpretation does not prescribe which equity accounts are to be adjusted by subsidiaries for tax-consolidation contributions or distributions.</w:t>
      </w:r>
    </w:p>
    <w:p w14:paraId="1CEC8B89" w14:textId="77777777" w:rsidR="00F74AE3" w:rsidRPr="00F74AE3" w:rsidRDefault="00F74AE3" w:rsidP="00E377A0">
      <w:pPr>
        <w:pStyle w:val="IASBNormalnparaL1"/>
        <w:ind w:left="1491" w:hanging="709"/>
        <w:rPr>
          <w:sz w:val="16"/>
          <w:szCs w:val="16"/>
        </w:rPr>
      </w:pPr>
      <w:r w:rsidRPr="00F74AE3">
        <w:rPr>
          <w:sz w:val="16"/>
          <w:szCs w:val="16"/>
        </w:rPr>
        <w:t>1</w:t>
      </w:r>
      <w:r w:rsidRPr="00F74AE3">
        <w:rPr>
          <w:sz w:val="16"/>
          <w:szCs w:val="16"/>
        </w:rPr>
        <w:tab/>
      </w:r>
      <w:r w:rsidRPr="00F74AE3">
        <w:rPr>
          <w:strike/>
          <w:sz w:val="16"/>
          <w:szCs w:val="16"/>
        </w:rPr>
        <w:t xml:space="preserve">In December 2013 the AASB amended the </w:t>
      </w:r>
      <w:r w:rsidRPr="00F74AE3">
        <w:rPr>
          <w:i/>
          <w:strike/>
          <w:sz w:val="16"/>
          <w:szCs w:val="16"/>
        </w:rPr>
        <w:t>Framework for the Preparation and Presentation of Financial Statements</w:t>
      </w:r>
      <w:r w:rsidR="009F1F15" w:rsidRPr="00F74AE3">
        <w:rPr>
          <w:strike/>
          <w:sz w:val="16"/>
          <w:szCs w:val="16"/>
        </w:rPr>
        <w:t xml:space="preserve">.  </w:t>
      </w:r>
      <w:r w:rsidRPr="00F74AE3">
        <w:rPr>
          <w:sz w:val="16"/>
          <w:szCs w:val="16"/>
          <w:u w:val="single"/>
        </w:rPr>
        <w:t xml:space="preserve">The reference is to the </w:t>
      </w:r>
      <w:r w:rsidRPr="00F74AE3">
        <w:rPr>
          <w:i/>
          <w:sz w:val="16"/>
          <w:szCs w:val="16"/>
          <w:u w:val="single"/>
        </w:rPr>
        <w:t>Framework for the Preparation and Presentation of Financial Statements</w:t>
      </w:r>
      <w:r w:rsidRPr="00F74AE3">
        <w:rPr>
          <w:sz w:val="16"/>
          <w:szCs w:val="16"/>
          <w:u w:val="single"/>
        </w:rPr>
        <w:t xml:space="preserve"> adopted by the AASB in </w:t>
      </w:r>
      <w:r w:rsidRPr="0067049C">
        <w:rPr>
          <w:sz w:val="16"/>
          <w:szCs w:val="16"/>
          <w:u w:val="single"/>
        </w:rPr>
        <w:t>2004</w:t>
      </w:r>
      <w:r w:rsidRPr="00F74AE3">
        <w:rPr>
          <w:sz w:val="16"/>
          <w:szCs w:val="16"/>
          <w:u w:val="single"/>
        </w:rPr>
        <w:t xml:space="preserve"> and in effect when the Interpretation was developed. </w:t>
      </w:r>
    </w:p>
    <w:p w14:paraId="39B1D67E" w14:textId="77777777" w:rsidR="003A66C5" w:rsidRDefault="003A66C5" w:rsidP="00C87FAF">
      <w:pPr>
        <w:pStyle w:val="Heading2"/>
        <w:jc w:val="both"/>
      </w:pPr>
      <w:r>
        <w:t xml:space="preserve">Amendments to </w:t>
      </w:r>
      <w:bookmarkStart w:id="21" w:name="StndNo2"/>
      <w:r>
        <w:t>AASB Practice Statement 2</w:t>
      </w:r>
      <w:bookmarkEnd w:id="21"/>
    </w:p>
    <w:p w14:paraId="767E83CD" w14:textId="2E8DE966" w:rsidR="00D84B11" w:rsidRPr="00D84B11" w:rsidRDefault="00D84B11" w:rsidP="00C87FAF">
      <w:pPr>
        <w:keepNext/>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D84B11">
        <w:rPr>
          <w:szCs w:val="19"/>
        </w:rPr>
        <w:t>Paragraphs 5, 7, 13,</w:t>
      </w:r>
      <w:r w:rsidR="000717A8">
        <w:rPr>
          <w:szCs w:val="19"/>
        </w:rPr>
        <w:t xml:space="preserve"> 14 (Example D),</w:t>
      </w:r>
      <w:r w:rsidRPr="00D84B11">
        <w:rPr>
          <w:szCs w:val="19"/>
        </w:rPr>
        <w:t xml:space="preserve"> 15, 17, 18, 19, 20, 21, 22, 36, 38, 56 and 62 and footnotes 2,</w:t>
      </w:r>
      <w:r w:rsidR="0087625A">
        <w:rPr>
          <w:szCs w:val="19"/>
        </w:rPr>
        <w:t xml:space="preserve"> 5,</w:t>
      </w:r>
      <w:r w:rsidRPr="00D84B11">
        <w:rPr>
          <w:szCs w:val="19"/>
        </w:rPr>
        <w:t xml:space="preserve"> 10, 11, 13, 14, 16, 19, 20, 21, 23, 24 and 27 are amended</w:t>
      </w:r>
      <w:r w:rsidR="009F1F15" w:rsidRPr="00D84B11">
        <w:rPr>
          <w:szCs w:val="19"/>
        </w:rPr>
        <w:t xml:space="preserve">.  </w:t>
      </w:r>
      <w:r w:rsidRPr="00D84B11">
        <w:rPr>
          <w:szCs w:val="19"/>
        </w:rPr>
        <w:t>Paragraphs AusCF1, AusCF5 and AusCF22 and footnotes AusCF2, AusCF5, AusCF10, AusCF11, AusCF13, AusCF14, AusCF15, AusCF16, AusCF17, AusCF19, AusCF20, AusCF21, AusCF23, AusCF24, AusCF27 and AusCF30 are also added</w:t>
      </w:r>
      <w:r w:rsidR="009F1F15" w:rsidRPr="00D84B11">
        <w:rPr>
          <w:szCs w:val="19"/>
        </w:rPr>
        <w:t xml:space="preserve">.  </w:t>
      </w:r>
      <w:r w:rsidRPr="00D84B11">
        <w:rPr>
          <w:szCs w:val="19"/>
        </w:rPr>
        <w:t>Footnotes 15, 17 and 47 are deleted.</w:t>
      </w:r>
    </w:p>
    <w:p w14:paraId="6E933C1E" w14:textId="77777777" w:rsidR="00D84B11" w:rsidRPr="00D84B11" w:rsidRDefault="00D84B11" w:rsidP="001A2AB9">
      <w:pPr>
        <w:pBdr>
          <w:top w:val="single" w:sz="4" w:space="1" w:color="auto"/>
          <w:left w:val="single" w:sz="4" w:space="4" w:color="auto"/>
          <w:bottom w:val="single" w:sz="4" w:space="1" w:color="auto"/>
          <w:right w:val="single" w:sz="4" w:space="4" w:color="auto"/>
        </w:pBdr>
        <w:autoSpaceDE w:val="0"/>
        <w:autoSpaceDN w:val="0"/>
        <w:adjustRightInd w:val="0"/>
        <w:rPr>
          <w:szCs w:val="19"/>
        </w:rPr>
      </w:pPr>
    </w:p>
    <w:p w14:paraId="2176336D" w14:textId="3DC59068" w:rsidR="00D84B11" w:rsidRPr="00D84B11" w:rsidRDefault="00D84B11" w:rsidP="001A2AB9">
      <w:pPr>
        <w:pBdr>
          <w:top w:val="single" w:sz="4" w:space="1" w:color="auto"/>
          <w:left w:val="single" w:sz="4" w:space="4" w:color="auto"/>
          <w:bottom w:val="single" w:sz="4" w:space="1" w:color="auto"/>
          <w:right w:val="single" w:sz="4" w:space="4" w:color="auto"/>
        </w:pBdr>
        <w:autoSpaceDE w:val="0"/>
        <w:autoSpaceDN w:val="0"/>
        <w:adjustRightInd w:val="0"/>
        <w:rPr>
          <w:szCs w:val="19"/>
        </w:rPr>
      </w:pPr>
      <w:r w:rsidRPr="00D84B11">
        <w:rPr>
          <w:szCs w:val="19"/>
        </w:rPr>
        <w:t>Appendix B is amended</w:t>
      </w:r>
      <w:r w:rsidR="005A7C0A">
        <w:rPr>
          <w:szCs w:val="19"/>
        </w:rPr>
        <w:t xml:space="preserve"> to include extracts from the </w:t>
      </w:r>
      <w:r w:rsidR="00620A8E">
        <w:rPr>
          <w:i/>
          <w:szCs w:val="19"/>
        </w:rPr>
        <w:t>Conceptual Framework for</w:t>
      </w:r>
      <w:r w:rsidR="00C0463C" w:rsidRPr="00C0463C">
        <w:rPr>
          <w:i/>
          <w:szCs w:val="19"/>
        </w:rPr>
        <w:t xml:space="preserve"> </w:t>
      </w:r>
      <w:r w:rsidR="00C0463C">
        <w:rPr>
          <w:i/>
          <w:szCs w:val="19"/>
        </w:rPr>
        <w:t>Financial</w:t>
      </w:r>
      <w:r w:rsidR="00C0463C" w:rsidRPr="00C0463C">
        <w:rPr>
          <w:i/>
          <w:szCs w:val="19"/>
          <w:u w:val="single"/>
        </w:rPr>
        <w:t xml:space="preserve"> </w:t>
      </w:r>
      <w:r w:rsidR="00C0463C" w:rsidRPr="00C0463C">
        <w:rPr>
          <w:i/>
          <w:szCs w:val="19"/>
        </w:rPr>
        <w:t>Reporting</w:t>
      </w:r>
      <w:r w:rsidR="009F1F15" w:rsidRPr="00D84B11">
        <w:rPr>
          <w:szCs w:val="19"/>
        </w:rPr>
        <w:t xml:space="preserve">.  </w:t>
      </w:r>
      <w:r w:rsidRPr="00D84B11">
        <w:rPr>
          <w:szCs w:val="19"/>
        </w:rPr>
        <w:t>Appendix AusCF</w:t>
      </w:r>
      <w:r w:rsidR="005A7C0A">
        <w:rPr>
          <w:szCs w:val="19"/>
        </w:rPr>
        <w:t xml:space="preserve"> </w:t>
      </w:r>
      <w:r w:rsidRPr="00D84B11">
        <w:rPr>
          <w:szCs w:val="19"/>
        </w:rPr>
        <w:t>B is added</w:t>
      </w:r>
      <w:r w:rsidR="005A7C0A">
        <w:rPr>
          <w:szCs w:val="19"/>
        </w:rPr>
        <w:t xml:space="preserve"> to retain extracts from the </w:t>
      </w:r>
      <w:r w:rsidR="005A7C0A" w:rsidRPr="005A7C0A">
        <w:rPr>
          <w:i/>
          <w:szCs w:val="19"/>
        </w:rPr>
        <w:t>Framework</w:t>
      </w:r>
      <w:r w:rsidR="00620A8E">
        <w:rPr>
          <w:i/>
          <w:szCs w:val="19"/>
        </w:rPr>
        <w:t xml:space="preserve"> for the Preparation and Presentation of Financial Statements</w:t>
      </w:r>
      <w:r w:rsidRPr="00D84B11">
        <w:rPr>
          <w:szCs w:val="19"/>
        </w:rPr>
        <w:t>.</w:t>
      </w:r>
    </w:p>
    <w:p w14:paraId="5CA5E0B5" w14:textId="77777777" w:rsidR="00D84B11" w:rsidRPr="00D84B11" w:rsidRDefault="00D84B11" w:rsidP="001A2AB9">
      <w:pPr>
        <w:pStyle w:val="Heading3"/>
        <w:spacing w:before="240"/>
      </w:pPr>
      <w:r w:rsidRPr="00D84B11">
        <w:t>Objective</w:t>
      </w:r>
    </w:p>
    <w:p w14:paraId="62AA6CEC" w14:textId="77777777" w:rsidR="00D84B11" w:rsidRDefault="00D84B11" w:rsidP="001A2AB9">
      <w:pPr>
        <w:autoSpaceDE w:val="0"/>
        <w:autoSpaceDN w:val="0"/>
        <w:adjustRightInd w:val="0"/>
        <w:spacing w:before="100"/>
        <w:rPr>
          <w:szCs w:val="19"/>
        </w:rPr>
      </w:pPr>
      <w:r w:rsidRPr="00D84B11">
        <w:rPr>
          <w:szCs w:val="19"/>
        </w:rPr>
        <w:t>…</w:t>
      </w:r>
    </w:p>
    <w:p w14:paraId="0518D503" w14:textId="7E1D27FD" w:rsidR="00D84B11" w:rsidRPr="0067049C" w:rsidRDefault="00D84B11" w:rsidP="00A22418">
      <w:pPr>
        <w:pStyle w:val="IASBNormalnpara"/>
        <w:rPr>
          <w:szCs w:val="19"/>
          <w:u w:val="single"/>
        </w:rPr>
      </w:pPr>
      <w:r w:rsidRPr="0067049C">
        <w:rPr>
          <w:szCs w:val="19"/>
          <w:u w:val="single"/>
        </w:rPr>
        <w:t>AusCF1</w:t>
      </w:r>
      <w:r w:rsidRPr="0067049C">
        <w:rPr>
          <w:szCs w:val="19"/>
        </w:rPr>
        <w:tab/>
      </w:r>
      <w:r w:rsidRPr="0067049C">
        <w:rPr>
          <w:szCs w:val="19"/>
          <w:u w:val="single"/>
        </w:rPr>
        <w:t xml:space="preserve">AusCF paragraphs and footnotes included in this </w:t>
      </w:r>
      <w:r w:rsidR="006179F8">
        <w:rPr>
          <w:szCs w:val="19"/>
          <w:u w:val="single"/>
        </w:rPr>
        <w:t>Practice Statement</w:t>
      </w:r>
      <w:r w:rsidRPr="0067049C">
        <w:rPr>
          <w:szCs w:val="19"/>
          <w:u w:val="single"/>
        </w:rPr>
        <w:t xml:space="preserve"> apply only to:</w:t>
      </w:r>
    </w:p>
    <w:p w14:paraId="24B08FE2" w14:textId="7DC0065C" w:rsidR="00D84B11" w:rsidRPr="0067049C" w:rsidRDefault="00A22418" w:rsidP="00A22418">
      <w:pPr>
        <w:pStyle w:val="IASBNormalnparaL1"/>
        <w:rPr>
          <w:szCs w:val="19"/>
          <w:u w:val="single"/>
        </w:rPr>
      </w:pPr>
      <w:r>
        <w:rPr>
          <w:szCs w:val="19"/>
          <w:u w:val="single"/>
        </w:rPr>
        <w:t>(a)</w:t>
      </w:r>
      <w:r>
        <w:rPr>
          <w:szCs w:val="19"/>
          <w:u w:val="single"/>
        </w:rPr>
        <w:tab/>
      </w:r>
      <w:r w:rsidR="00D84B11" w:rsidRPr="0067049C">
        <w:rPr>
          <w:szCs w:val="19"/>
          <w:u w:val="single"/>
        </w:rPr>
        <w:t>not-for-profit entities; and</w:t>
      </w:r>
      <w:r w:rsidR="00D84B11" w:rsidRPr="00A22418">
        <w:rPr>
          <w:szCs w:val="19"/>
          <w:u w:val="single"/>
        </w:rPr>
        <w:t xml:space="preserve"> </w:t>
      </w:r>
    </w:p>
    <w:p w14:paraId="248CA8FF" w14:textId="2149123B" w:rsidR="00D84B11" w:rsidRPr="0067049C" w:rsidRDefault="00A22418" w:rsidP="00A22418">
      <w:pPr>
        <w:pStyle w:val="IASBNormalnparaL1"/>
        <w:rPr>
          <w:szCs w:val="19"/>
          <w:u w:val="single"/>
        </w:rPr>
      </w:pPr>
      <w:r>
        <w:rPr>
          <w:szCs w:val="19"/>
          <w:u w:val="single"/>
        </w:rPr>
        <w:t>(b)</w:t>
      </w:r>
      <w:r>
        <w:rPr>
          <w:szCs w:val="19"/>
          <w:u w:val="single"/>
        </w:rPr>
        <w:tab/>
      </w:r>
      <w:r w:rsidR="00D84B11" w:rsidRPr="0067049C">
        <w:rPr>
          <w:szCs w:val="19"/>
          <w:u w:val="single"/>
        </w:rPr>
        <w:t xml:space="preserve">for-profit entities that are not applying the </w:t>
      </w:r>
      <w:r w:rsidR="00D84B11" w:rsidRPr="0067049C">
        <w:rPr>
          <w:i/>
          <w:szCs w:val="19"/>
          <w:u w:val="single"/>
        </w:rPr>
        <w:t>Conceptual Framework for Financial Reporting</w:t>
      </w:r>
      <w:r w:rsidR="00D84B11" w:rsidRPr="0067049C">
        <w:rPr>
          <w:szCs w:val="19"/>
          <w:u w:val="single"/>
        </w:rPr>
        <w:t>.</w:t>
      </w:r>
    </w:p>
    <w:p w14:paraId="433BF496" w14:textId="647698EF" w:rsidR="00D84B11" w:rsidRPr="0067049C" w:rsidRDefault="00D84B11" w:rsidP="00A22418">
      <w:pPr>
        <w:pStyle w:val="IASBNormalL1P"/>
        <w:rPr>
          <w:szCs w:val="19"/>
          <w:u w:val="single"/>
        </w:rPr>
      </w:pPr>
      <w:r w:rsidRPr="0067049C">
        <w:rPr>
          <w:szCs w:val="19"/>
          <w:u w:val="single"/>
        </w:rPr>
        <w:t xml:space="preserve">Such entities are referred to as ‘AusCF entities’.  </w:t>
      </w:r>
      <w:r w:rsidR="00284EE9" w:rsidRPr="0067049C">
        <w:rPr>
          <w:szCs w:val="19"/>
          <w:u w:val="single"/>
        </w:rPr>
        <w:t>For AusCF entities, the term ‘repor</w:t>
      </w:r>
      <w:r w:rsidR="00D91655">
        <w:rPr>
          <w:szCs w:val="19"/>
          <w:u w:val="single"/>
        </w:rPr>
        <w:t xml:space="preserve">ting entity’ is defined in </w:t>
      </w:r>
      <w:r w:rsidR="008D0843">
        <w:rPr>
          <w:szCs w:val="19"/>
          <w:u w:val="single"/>
        </w:rPr>
        <w:t>AASB</w:t>
      </w:r>
      <w:r w:rsidR="00B2123A">
        <w:rPr>
          <w:szCs w:val="19"/>
          <w:u w:val="single"/>
        </w:rPr>
        <w:t> </w:t>
      </w:r>
      <w:r w:rsidR="008D0843">
        <w:rPr>
          <w:szCs w:val="19"/>
          <w:u w:val="single"/>
        </w:rPr>
        <w:t xml:space="preserve">1057 </w:t>
      </w:r>
      <w:r w:rsidR="008D0843" w:rsidRPr="008D0843">
        <w:rPr>
          <w:i/>
          <w:szCs w:val="19"/>
          <w:u w:val="single"/>
        </w:rPr>
        <w:t>Application of Australian Accounting Standards</w:t>
      </w:r>
      <w:r w:rsidRPr="0067049C">
        <w:rPr>
          <w:szCs w:val="19"/>
          <w:u w:val="single"/>
        </w:rPr>
        <w:t xml:space="preserve"> and Statement of Accounting Concepts SAC 1 </w:t>
      </w:r>
      <w:r w:rsidRPr="0067049C">
        <w:rPr>
          <w:i/>
          <w:szCs w:val="19"/>
          <w:u w:val="single"/>
        </w:rPr>
        <w:t>Definition of the Reporting Entity</w:t>
      </w:r>
      <w:r w:rsidRPr="0067049C">
        <w:rPr>
          <w:szCs w:val="19"/>
          <w:u w:val="single"/>
        </w:rPr>
        <w:t xml:space="preserve"> also applies.  For-profit entities applying the </w:t>
      </w:r>
      <w:r w:rsidRPr="0067049C">
        <w:rPr>
          <w:i/>
          <w:szCs w:val="19"/>
          <w:u w:val="single"/>
        </w:rPr>
        <w:t>Conceptual Framework for Financial Reporting</w:t>
      </w:r>
      <w:r w:rsidRPr="0067049C">
        <w:rPr>
          <w:szCs w:val="19"/>
          <w:u w:val="single"/>
        </w:rPr>
        <w:t xml:space="preserve"> </w:t>
      </w:r>
      <w:r w:rsidR="008F713A">
        <w:rPr>
          <w:szCs w:val="19"/>
          <w:u w:val="single"/>
        </w:rPr>
        <w:t xml:space="preserve">(as set out in paragraph Aus1.1 of the </w:t>
      </w:r>
      <w:r w:rsidR="008F713A" w:rsidRPr="00C77A6A">
        <w:rPr>
          <w:i/>
          <w:szCs w:val="19"/>
          <w:u w:val="single"/>
        </w:rPr>
        <w:t>Conceptual Framework</w:t>
      </w:r>
      <w:r w:rsidR="008F713A">
        <w:rPr>
          <w:szCs w:val="19"/>
          <w:u w:val="single"/>
        </w:rPr>
        <w:t xml:space="preserve">) </w:t>
      </w:r>
      <w:r w:rsidRPr="0067049C">
        <w:rPr>
          <w:szCs w:val="19"/>
          <w:u w:val="single"/>
        </w:rPr>
        <w:t>shall not apply AusCF paragraphs or footnotes.</w:t>
      </w:r>
    </w:p>
    <w:p w14:paraId="6E22EFF0" w14:textId="77777777" w:rsidR="00D84B11" w:rsidRDefault="001425B5" w:rsidP="0057486B">
      <w:pPr>
        <w:autoSpaceDE w:val="0"/>
        <w:autoSpaceDN w:val="0"/>
        <w:adjustRightInd w:val="0"/>
        <w:spacing w:before="100"/>
        <w:rPr>
          <w:bCs/>
          <w:szCs w:val="19"/>
        </w:rPr>
      </w:pPr>
      <w:r w:rsidRPr="001425B5">
        <w:rPr>
          <w:bCs/>
          <w:szCs w:val="19"/>
        </w:rPr>
        <w:t>…</w:t>
      </w:r>
    </w:p>
    <w:p w14:paraId="4D5BB509" w14:textId="77777777" w:rsidR="00D84B11" w:rsidRPr="00F1299F" w:rsidRDefault="00D84B11" w:rsidP="00F1299F">
      <w:pPr>
        <w:pStyle w:val="IASBNormalL1P"/>
        <w:rPr>
          <w:rFonts w:ascii="Arial" w:hAnsi="Arial" w:cs="Arial"/>
          <w:b/>
          <w:bCs/>
          <w:sz w:val="22"/>
          <w:szCs w:val="22"/>
        </w:rPr>
      </w:pPr>
      <w:r w:rsidRPr="00F1299F">
        <w:rPr>
          <w:rFonts w:ascii="Arial" w:hAnsi="Arial" w:cs="Arial"/>
          <w:b/>
          <w:bCs/>
          <w:sz w:val="22"/>
          <w:szCs w:val="22"/>
        </w:rPr>
        <w:t>Definition of material</w:t>
      </w:r>
    </w:p>
    <w:p w14:paraId="0790264C" w14:textId="77777777" w:rsidR="00D84B11" w:rsidRPr="00D84B11" w:rsidRDefault="00D84B11" w:rsidP="004213CD">
      <w:pPr>
        <w:pStyle w:val="IASBNormalnpara"/>
        <w:rPr>
          <w:szCs w:val="19"/>
        </w:rPr>
      </w:pPr>
      <w:r w:rsidRPr="00D84B11">
        <w:rPr>
          <w:szCs w:val="19"/>
        </w:rPr>
        <w:t>5</w:t>
      </w:r>
      <w:r w:rsidRPr="00D84B11">
        <w:rPr>
          <w:szCs w:val="19"/>
        </w:rPr>
        <w:tab/>
        <w:t>The</w:t>
      </w:r>
      <w:r w:rsidRPr="00903876">
        <w:rPr>
          <w:szCs w:val="19"/>
        </w:rPr>
        <w:t xml:space="preserve"> </w:t>
      </w:r>
      <w:r w:rsidRPr="00D84B11">
        <w:rPr>
          <w:i/>
          <w:strike/>
          <w:szCs w:val="19"/>
        </w:rPr>
        <w:t xml:space="preserve">Framework for the Preparation and Presentation of Financial </w:t>
      </w:r>
      <w:r w:rsidRPr="00903876">
        <w:rPr>
          <w:i/>
          <w:strike/>
          <w:szCs w:val="19"/>
        </w:rPr>
        <w:t>Statements</w:t>
      </w:r>
      <w:r w:rsidR="00903876" w:rsidRPr="00903876">
        <w:rPr>
          <w:i/>
          <w:strike/>
          <w:szCs w:val="19"/>
        </w:rPr>
        <w:t xml:space="preserve"> </w:t>
      </w:r>
      <w:r w:rsidRPr="00D84B11">
        <w:rPr>
          <w:i/>
          <w:szCs w:val="19"/>
          <w:u w:val="single"/>
        </w:rPr>
        <w:t>Conceptual Framework for Financial Reporting</w:t>
      </w:r>
      <w:r w:rsidRPr="00D84B11">
        <w:rPr>
          <w:szCs w:val="19"/>
        </w:rPr>
        <w:t xml:space="preserve"> as identified in AASB 1048 </w:t>
      </w:r>
      <w:r w:rsidRPr="00D84B11">
        <w:rPr>
          <w:i/>
          <w:szCs w:val="19"/>
        </w:rPr>
        <w:t>Interpretation of Standards</w:t>
      </w:r>
      <w:r w:rsidRPr="00D84B11">
        <w:rPr>
          <w:szCs w:val="19"/>
        </w:rPr>
        <w:t xml:space="preserve"> (the</w:t>
      </w:r>
      <w:r w:rsidRPr="00D84B11">
        <w:rPr>
          <w:szCs w:val="19"/>
          <w:u w:val="single"/>
        </w:rPr>
        <w:t xml:space="preserve"> </w:t>
      </w:r>
      <w:r w:rsidRPr="00D84B11">
        <w:rPr>
          <w:i/>
          <w:szCs w:val="19"/>
          <w:u w:val="single"/>
        </w:rPr>
        <w:t>Conceptual</w:t>
      </w:r>
      <w:r w:rsidRPr="00D84B11">
        <w:rPr>
          <w:szCs w:val="19"/>
        </w:rPr>
        <w:t xml:space="preserve"> </w:t>
      </w:r>
      <w:r w:rsidRPr="00D84B11">
        <w:rPr>
          <w:i/>
          <w:szCs w:val="19"/>
        </w:rPr>
        <w:t>Framework</w:t>
      </w:r>
      <w:r w:rsidRPr="00D84B11">
        <w:rPr>
          <w:szCs w:val="19"/>
        </w:rPr>
        <w:t>) provides the following definition of material information (</w:t>
      </w:r>
      <w:r w:rsidR="007455D2" w:rsidRPr="004C6BAC">
        <w:rPr>
          <w:szCs w:val="19"/>
          <w:u w:val="single"/>
        </w:rPr>
        <w:t>paragraph 7 of</w:t>
      </w:r>
      <w:r w:rsidR="007455D2">
        <w:rPr>
          <w:szCs w:val="19"/>
        </w:rPr>
        <w:t xml:space="preserve"> </w:t>
      </w:r>
      <w:r w:rsidRPr="00D84B11">
        <w:rPr>
          <w:szCs w:val="19"/>
        </w:rPr>
        <w:t xml:space="preserve">AASB 101 </w:t>
      </w:r>
      <w:r w:rsidRPr="00D84B11">
        <w:rPr>
          <w:i/>
          <w:szCs w:val="19"/>
        </w:rPr>
        <w:t>Presentation of Financial Statements</w:t>
      </w:r>
      <w:r w:rsidRPr="00D84B11">
        <w:rPr>
          <w:szCs w:val="19"/>
        </w:rPr>
        <w:t xml:space="preserve"> provide</w:t>
      </w:r>
      <w:r w:rsidR="007455D2">
        <w:rPr>
          <w:szCs w:val="19"/>
        </w:rPr>
        <w:t>s a</w:t>
      </w:r>
      <w:r w:rsidRPr="00D84B11">
        <w:rPr>
          <w:szCs w:val="19"/>
        </w:rPr>
        <w:t xml:space="preserve"> similar definition</w:t>
      </w:r>
      <w:r w:rsidRPr="00D84B11">
        <w:rPr>
          <w:szCs w:val="19"/>
          <w:vertAlign w:val="superscript"/>
        </w:rPr>
        <w:t>1</w:t>
      </w:r>
      <w:r w:rsidRPr="00D84B11">
        <w:rPr>
          <w:szCs w:val="19"/>
        </w:rPr>
        <w:t xml:space="preserve">): </w:t>
      </w:r>
    </w:p>
    <w:p w14:paraId="4019D98C" w14:textId="77777777" w:rsidR="00D84B11" w:rsidRDefault="00D84B11" w:rsidP="00C3439A">
      <w:pPr>
        <w:pStyle w:val="IASBNormalnparaL1"/>
        <w:ind w:left="1491" w:firstLine="0"/>
        <w:rPr>
          <w:szCs w:val="19"/>
          <w:vertAlign w:val="superscript"/>
        </w:rPr>
      </w:pPr>
      <w:r w:rsidRPr="00D84B11">
        <w:rPr>
          <w:szCs w:val="19"/>
        </w:rPr>
        <w:t>Information is material if omitting</w:t>
      </w:r>
      <w:r w:rsidR="007455D2">
        <w:rPr>
          <w:szCs w:val="19"/>
        </w:rPr>
        <w:t>,</w:t>
      </w:r>
      <w:r w:rsidRPr="00D84B11">
        <w:rPr>
          <w:szCs w:val="19"/>
        </w:rPr>
        <w:t xml:space="preserve"> misstating </w:t>
      </w:r>
      <w:r w:rsidR="007455D2">
        <w:rPr>
          <w:szCs w:val="19"/>
        </w:rPr>
        <w:t xml:space="preserve">or obscuring </w:t>
      </w:r>
      <w:r w:rsidRPr="00D84B11">
        <w:rPr>
          <w:szCs w:val="19"/>
        </w:rPr>
        <w:t xml:space="preserve">it could </w:t>
      </w:r>
      <w:r w:rsidR="007455D2">
        <w:rPr>
          <w:szCs w:val="19"/>
        </w:rPr>
        <w:t xml:space="preserve">reasonably be expected to </w:t>
      </w:r>
      <w:r w:rsidRPr="00D84B11">
        <w:rPr>
          <w:szCs w:val="19"/>
        </w:rPr>
        <w:t>influence decisions that</w:t>
      </w:r>
      <w:r w:rsidRPr="00F72BCF">
        <w:rPr>
          <w:szCs w:val="19"/>
        </w:rPr>
        <w:t xml:space="preserve"> the primary</w:t>
      </w:r>
      <w:r w:rsidRPr="00D84B11">
        <w:rPr>
          <w:szCs w:val="19"/>
        </w:rPr>
        <w:t xml:space="preserve"> users</w:t>
      </w:r>
      <w:r w:rsidRPr="00F72BCF">
        <w:rPr>
          <w:szCs w:val="19"/>
        </w:rPr>
        <w:t xml:space="preserve"> of general purpose financial reports</w:t>
      </w:r>
      <w:r w:rsidRPr="00D84B11">
        <w:rPr>
          <w:szCs w:val="19"/>
        </w:rPr>
        <w:t xml:space="preserve"> make on the basis of</w:t>
      </w:r>
      <w:r w:rsidRPr="00F72BCF">
        <w:rPr>
          <w:szCs w:val="19"/>
        </w:rPr>
        <w:t xml:space="preserve"> those reports, which provide</w:t>
      </w:r>
      <w:r w:rsidRPr="00D84B11">
        <w:rPr>
          <w:szCs w:val="19"/>
        </w:rPr>
        <w:t xml:space="preserve"> financial information about a specific reporting entity</w:t>
      </w:r>
      <w:r w:rsidR="009F1F15" w:rsidRPr="00D84B11">
        <w:rPr>
          <w:szCs w:val="19"/>
        </w:rPr>
        <w:t xml:space="preserve">.  </w:t>
      </w:r>
      <w:r w:rsidRPr="00D84B11">
        <w:rPr>
          <w:szCs w:val="19"/>
        </w:rPr>
        <w:t>In other words, materiality is an entity-specific aspect of relevance based on the nature or magnitude, or both, of the items to which the information relates in the context of an individual entity’s financial report.</w:t>
      </w:r>
      <w:r w:rsidRPr="00D84B11">
        <w:rPr>
          <w:szCs w:val="19"/>
          <w:vertAlign w:val="superscript"/>
        </w:rPr>
        <w:t>2</w:t>
      </w:r>
    </w:p>
    <w:p w14:paraId="14E2EFC6" w14:textId="2C6F9BC3" w:rsidR="000717A8" w:rsidRDefault="000717A8" w:rsidP="00C3439A">
      <w:pPr>
        <w:pStyle w:val="IASBNormalnparaL1"/>
        <w:ind w:left="1491" w:hanging="709"/>
        <w:rPr>
          <w:sz w:val="16"/>
          <w:szCs w:val="16"/>
        </w:rPr>
      </w:pPr>
      <w:r>
        <w:rPr>
          <w:sz w:val="16"/>
          <w:szCs w:val="16"/>
        </w:rPr>
        <w:t>1</w:t>
      </w:r>
      <w:r>
        <w:rPr>
          <w:sz w:val="16"/>
          <w:szCs w:val="16"/>
        </w:rPr>
        <w:tab/>
        <w:t xml:space="preserve">See paragraph 7 of AASB 101 </w:t>
      </w:r>
      <w:r w:rsidRPr="000717A8">
        <w:rPr>
          <w:i/>
          <w:sz w:val="16"/>
          <w:szCs w:val="16"/>
        </w:rPr>
        <w:t>Presentation of Financial Statements</w:t>
      </w:r>
      <w:r>
        <w:rPr>
          <w:sz w:val="16"/>
          <w:szCs w:val="16"/>
        </w:rPr>
        <w:t>.</w:t>
      </w:r>
    </w:p>
    <w:p w14:paraId="4B58F5FC" w14:textId="195E7B4C" w:rsidR="00D84B11" w:rsidRDefault="00D84B11" w:rsidP="00C3439A">
      <w:pPr>
        <w:pStyle w:val="IASBNormalnparaL1"/>
        <w:ind w:left="1491" w:hanging="709"/>
        <w:rPr>
          <w:sz w:val="16"/>
          <w:szCs w:val="16"/>
        </w:rPr>
      </w:pPr>
      <w:r w:rsidRPr="00D84B11">
        <w:rPr>
          <w:sz w:val="16"/>
          <w:szCs w:val="16"/>
        </w:rPr>
        <w:t>2</w:t>
      </w:r>
      <w:r w:rsidRPr="00D84B11">
        <w:rPr>
          <w:sz w:val="16"/>
          <w:szCs w:val="16"/>
        </w:rPr>
        <w:tab/>
        <w:t xml:space="preserve">Paragraph </w:t>
      </w:r>
      <w:r w:rsidRPr="00D84B11">
        <w:rPr>
          <w:strike/>
          <w:sz w:val="16"/>
          <w:szCs w:val="16"/>
        </w:rPr>
        <w:t>QC11</w:t>
      </w:r>
      <w:r w:rsidR="0057486B">
        <w:rPr>
          <w:strike/>
          <w:sz w:val="16"/>
          <w:szCs w:val="16"/>
        </w:rPr>
        <w:t xml:space="preserve"> </w:t>
      </w:r>
      <w:r w:rsidRPr="00D84B11">
        <w:rPr>
          <w:sz w:val="16"/>
          <w:szCs w:val="16"/>
          <w:u w:val="single"/>
        </w:rPr>
        <w:t>2.11</w:t>
      </w:r>
      <w:r w:rsidRPr="00D84B11">
        <w:rPr>
          <w:sz w:val="16"/>
          <w:szCs w:val="16"/>
        </w:rPr>
        <w:t xml:space="preserve"> of the </w:t>
      </w:r>
      <w:r w:rsidRPr="00D84B11">
        <w:rPr>
          <w:i/>
          <w:strike/>
          <w:sz w:val="16"/>
          <w:szCs w:val="16"/>
        </w:rPr>
        <w:t>Framework for the Preparation and Presentation of Financial Statements</w:t>
      </w:r>
      <w:r w:rsidR="00C45376">
        <w:rPr>
          <w:i/>
          <w:strike/>
          <w:sz w:val="16"/>
          <w:szCs w:val="16"/>
        </w:rPr>
        <w:t xml:space="preserve"> </w:t>
      </w:r>
      <w:r w:rsidRPr="00D84B11">
        <w:rPr>
          <w:i/>
          <w:sz w:val="16"/>
          <w:szCs w:val="16"/>
          <w:u w:val="single"/>
        </w:rPr>
        <w:t>Conceptual Framework for Financial Reporting</w:t>
      </w:r>
      <w:r w:rsidRPr="00D84B11">
        <w:rPr>
          <w:sz w:val="16"/>
          <w:szCs w:val="16"/>
        </w:rPr>
        <w:t xml:space="preserve"> (the</w:t>
      </w:r>
      <w:r w:rsidRPr="00D84B11">
        <w:rPr>
          <w:sz w:val="16"/>
          <w:szCs w:val="16"/>
          <w:u w:val="single"/>
        </w:rPr>
        <w:t xml:space="preserve"> </w:t>
      </w:r>
      <w:r w:rsidRPr="00D84B11">
        <w:rPr>
          <w:i/>
          <w:sz w:val="16"/>
          <w:szCs w:val="16"/>
          <w:u w:val="single"/>
        </w:rPr>
        <w:t>Conceptual</w:t>
      </w:r>
      <w:r w:rsidRPr="00D84B11">
        <w:rPr>
          <w:i/>
          <w:sz w:val="16"/>
          <w:szCs w:val="16"/>
        </w:rPr>
        <w:t xml:space="preserve"> Framework</w:t>
      </w:r>
      <w:r w:rsidRPr="00D84B11">
        <w:rPr>
          <w:sz w:val="16"/>
          <w:szCs w:val="16"/>
        </w:rPr>
        <w:t>).</w:t>
      </w:r>
    </w:p>
    <w:p w14:paraId="21A2A0D6" w14:textId="77777777" w:rsidR="00D84B11" w:rsidRPr="00D84B11" w:rsidRDefault="00D84B11" w:rsidP="00F209B0">
      <w:pPr>
        <w:pStyle w:val="IASBNormalnpara"/>
        <w:rPr>
          <w:szCs w:val="19"/>
          <w:u w:val="single"/>
        </w:rPr>
      </w:pPr>
      <w:r w:rsidRPr="00D84B11">
        <w:rPr>
          <w:szCs w:val="19"/>
          <w:u w:val="single"/>
        </w:rPr>
        <w:t>AusCF5</w:t>
      </w:r>
      <w:r w:rsidRPr="00D84B11">
        <w:rPr>
          <w:szCs w:val="19"/>
        </w:rPr>
        <w:tab/>
      </w:r>
      <w:r w:rsidRPr="00D84B11">
        <w:rPr>
          <w:szCs w:val="19"/>
          <w:u w:val="single"/>
        </w:rPr>
        <w:t xml:space="preserve">Notwithstanding paragraph 5, in respect of AusCF entities, the </w:t>
      </w:r>
      <w:r w:rsidRPr="00D84B11">
        <w:rPr>
          <w:i/>
          <w:szCs w:val="19"/>
          <w:u w:val="single"/>
        </w:rPr>
        <w:t>Framework for the Preparation and Presentation of Financial Statements</w:t>
      </w:r>
      <w:r w:rsidRPr="00D84B11">
        <w:rPr>
          <w:szCs w:val="19"/>
          <w:u w:val="single"/>
        </w:rPr>
        <w:t xml:space="preserve"> as identified in AASB 1048 </w:t>
      </w:r>
      <w:r w:rsidRPr="00D84B11">
        <w:rPr>
          <w:i/>
          <w:szCs w:val="19"/>
          <w:u w:val="single"/>
        </w:rPr>
        <w:t>Interpretation of Standards</w:t>
      </w:r>
      <w:r w:rsidRPr="00D84B11">
        <w:rPr>
          <w:szCs w:val="19"/>
          <w:u w:val="single"/>
        </w:rPr>
        <w:t xml:space="preserve"> (the </w:t>
      </w:r>
      <w:r w:rsidRPr="00D84B11">
        <w:rPr>
          <w:i/>
          <w:szCs w:val="19"/>
          <w:u w:val="single"/>
        </w:rPr>
        <w:t>Framework</w:t>
      </w:r>
      <w:r w:rsidRPr="00D84B11">
        <w:rPr>
          <w:szCs w:val="19"/>
          <w:u w:val="single"/>
        </w:rPr>
        <w:t>) provides the following definition of material information (</w:t>
      </w:r>
      <w:r w:rsidR="002977BE">
        <w:rPr>
          <w:szCs w:val="19"/>
          <w:u w:val="single"/>
        </w:rPr>
        <w:t xml:space="preserve">paragraph 7 of </w:t>
      </w:r>
      <w:r w:rsidRPr="00D84B11">
        <w:rPr>
          <w:szCs w:val="19"/>
          <w:u w:val="single"/>
        </w:rPr>
        <w:t xml:space="preserve">AASB 101 </w:t>
      </w:r>
      <w:r w:rsidRPr="00D84B11">
        <w:rPr>
          <w:i/>
          <w:szCs w:val="19"/>
          <w:u w:val="single"/>
        </w:rPr>
        <w:t>Presentation of Financial Statements</w:t>
      </w:r>
      <w:r w:rsidRPr="00D84B11">
        <w:rPr>
          <w:szCs w:val="19"/>
          <w:u w:val="single"/>
        </w:rPr>
        <w:t xml:space="preserve"> provide</w:t>
      </w:r>
      <w:r w:rsidR="002977BE">
        <w:rPr>
          <w:szCs w:val="19"/>
          <w:u w:val="single"/>
        </w:rPr>
        <w:t>s a</w:t>
      </w:r>
      <w:r w:rsidRPr="00D84B11">
        <w:rPr>
          <w:szCs w:val="19"/>
          <w:u w:val="single"/>
        </w:rPr>
        <w:t xml:space="preserve"> similar definition</w:t>
      </w:r>
      <w:r w:rsidRPr="00D84B11">
        <w:rPr>
          <w:szCs w:val="19"/>
          <w:u w:val="single"/>
          <w:vertAlign w:val="superscript"/>
        </w:rPr>
        <w:t>1</w:t>
      </w:r>
      <w:r w:rsidRPr="00D84B11">
        <w:rPr>
          <w:szCs w:val="19"/>
          <w:u w:val="single"/>
        </w:rPr>
        <w:t xml:space="preserve">): </w:t>
      </w:r>
    </w:p>
    <w:p w14:paraId="7700F2C7" w14:textId="77777777" w:rsidR="00D84B11" w:rsidRPr="00D84B11" w:rsidRDefault="00D84B11" w:rsidP="00F209B0">
      <w:pPr>
        <w:pStyle w:val="IASBNormalnparaL1"/>
        <w:ind w:left="1491" w:firstLine="0"/>
        <w:rPr>
          <w:szCs w:val="19"/>
        </w:rPr>
      </w:pPr>
      <w:r w:rsidRPr="00D84B11">
        <w:rPr>
          <w:szCs w:val="19"/>
          <w:u w:val="single"/>
        </w:rPr>
        <w:t>Information is material if omitting</w:t>
      </w:r>
      <w:r w:rsidR="002977BE">
        <w:rPr>
          <w:szCs w:val="19"/>
          <w:u w:val="single"/>
        </w:rPr>
        <w:t>,</w:t>
      </w:r>
      <w:r w:rsidRPr="00D84B11">
        <w:rPr>
          <w:szCs w:val="19"/>
          <w:u w:val="single"/>
        </w:rPr>
        <w:t xml:space="preserve"> misstating </w:t>
      </w:r>
      <w:r w:rsidR="002977BE">
        <w:rPr>
          <w:szCs w:val="19"/>
          <w:u w:val="single"/>
        </w:rPr>
        <w:t xml:space="preserve">or obscuring </w:t>
      </w:r>
      <w:r w:rsidRPr="00D84B11">
        <w:rPr>
          <w:szCs w:val="19"/>
          <w:u w:val="single"/>
        </w:rPr>
        <w:t xml:space="preserve">it could </w:t>
      </w:r>
      <w:r w:rsidR="002977BE">
        <w:rPr>
          <w:szCs w:val="19"/>
          <w:u w:val="single"/>
        </w:rPr>
        <w:t xml:space="preserve">reasonably be expected to </w:t>
      </w:r>
      <w:r w:rsidRPr="00D84B11">
        <w:rPr>
          <w:szCs w:val="19"/>
          <w:u w:val="single"/>
        </w:rPr>
        <w:t xml:space="preserve">influence decisions that </w:t>
      </w:r>
      <w:r w:rsidR="002977BE">
        <w:rPr>
          <w:szCs w:val="19"/>
          <w:u w:val="single"/>
        </w:rPr>
        <w:t xml:space="preserve">the primary </w:t>
      </w:r>
      <w:r w:rsidRPr="00D84B11">
        <w:rPr>
          <w:szCs w:val="19"/>
          <w:u w:val="single"/>
        </w:rPr>
        <w:t xml:space="preserve">users </w:t>
      </w:r>
      <w:r w:rsidR="002977BE">
        <w:rPr>
          <w:szCs w:val="19"/>
          <w:u w:val="single"/>
        </w:rPr>
        <w:t xml:space="preserve">of general purpose financial reports </w:t>
      </w:r>
      <w:r w:rsidRPr="00D84B11">
        <w:rPr>
          <w:szCs w:val="19"/>
          <w:u w:val="single"/>
        </w:rPr>
        <w:t xml:space="preserve">make on the basis of </w:t>
      </w:r>
      <w:r w:rsidR="002977BE">
        <w:rPr>
          <w:szCs w:val="19"/>
          <w:u w:val="single"/>
        </w:rPr>
        <w:t xml:space="preserve">those reports, which provide </w:t>
      </w:r>
      <w:r w:rsidRPr="00D84B11">
        <w:rPr>
          <w:szCs w:val="19"/>
          <w:u w:val="single"/>
        </w:rPr>
        <w:t>financial information about a specific reporting entity</w:t>
      </w:r>
      <w:r w:rsidR="009F1F15" w:rsidRPr="00D84B11">
        <w:rPr>
          <w:szCs w:val="19"/>
          <w:u w:val="single"/>
        </w:rPr>
        <w:t xml:space="preserve">.  </w:t>
      </w:r>
      <w:r w:rsidRPr="00D84B11">
        <w:rPr>
          <w:szCs w:val="19"/>
          <w:u w:val="single"/>
        </w:rPr>
        <w:t>In other words, materiality is an entity-specific aspect of relevance based on the nature or magnitude, or both, of the items to which the information relates in the context of an individual entity’s financial report.</w:t>
      </w:r>
      <w:r w:rsidRPr="00D84B11">
        <w:rPr>
          <w:szCs w:val="19"/>
          <w:u w:val="single"/>
          <w:vertAlign w:val="superscript"/>
        </w:rPr>
        <w:t>AusCF2</w:t>
      </w:r>
    </w:p>
    <w:p w14:paraId="2C2A4920" w14:textId="77777777" w:rsidR="00C8084B" w:rsidRDefault="00C8084B" w:rsidP="00F209B0">
      <w:pPr>
        <w:pStyle w:val="IASBNormalnparaL1"/>
        <w:ind w:left="1491" w:hanging="709"/>
        <w:rPr>
          <w:sz w:val="16"/>
          <w:szCs w:val="16"/>
        </w:rPr>
      </w:pPr>
      <w:r>
        <w:rPr>
          <w:sz w:val="16"/>
          <w:szCs w:val="16"/>
        </w:rPr>
        <w:t>1</w:t>
      </w:r>
      <w:r>
        <w:rPr>
          <w:sz w:val="16"/>
          <w:szCs w:val="16"/>
        </w:rPr>
        <w:tab/>
        <w:t xml:space="preserve">See paragraph 7 of AASB 101 </w:t>
      </w:r>
      <w:r w:rsidRPr="000717A8">
        <w:rPr>
          <w:i/>
          <w:sz w:val="16"/>
          <w:szCs w:val="16"/>
        </w:rPr>
        <w:t>Presentation of Financial Statements</w:t>
      </w:r>
      <w:r>
        <w:rPr>
          <w:sz w:val="16"/>
          <w:szCs w:val="16"/>
        </w:rPr>
        <w:t>.</w:t>
      </w:r>
    </w:p>
    <w:p w14:paraId="0353BC22" w14:textId="77777777" w:rsidR="00D84B11" w:rsidRPr="00D84B11" w:rsidRDefault="00D84B11" w:rsidP="00F209B0">
      <w:pPr>
        <w:pStyle w:val="IASBNormalnparaL1"/>
        <w:ind w:left="1491" w:hanging="709"/>
        <w:rPr>
          <w:sz w:val="16"/>
          <w:szCs w:val="16"/>
        </w:rPr>
      </w:pPr>
      <w:r w:rsidRPr="00D84B11">
        <w:rPr>
          <w:sz w:val="16"/>
          <w:szCs w:val="16"/>
          <w:u w:val="single"/>
        </w:rPr>
        <w:t>AusCF2</w:t>
      </w:r>
      <w:r w:rsidRPr="00D84B11">
        <w:rPr>
          <w:sz w:val="16"/>
          <w:szCs w:val="16"/>
        </w:rPr>
        <w:tab/>
      </w:r>
      <w:r w:rsidRPr="00D84B11">
        <w:rPr>
          <w:sz w:val="16"/>
          <w:szCs w:val="16"/>
          <w:u w:val="single"/>
        </w:rPr>
        <w:t xml:space="preserve">Paragraph QC11 of the </w:t>
      </w:r>
      <w:r w:rsidRPr="00D84B11">
        <w:rPr>
          <w:i/>
          <w:sz w:val="16"/>
          <w:szCs w:val="16"/>
          <w:u w:val="single"/>
        </w:rPr>
        <w:t>Framework for the Preparation and Presentation of Financial Statements</w:t>
      </w:r>
      <w:r w:rsidRPr="00D84B11">
        <w:rPr>
          <w:sz w:val="16"/>
          <w:szCs w:val="16"/>
          <w:u w:val="single"/>
        </w:rPr>
        <w:t xml:space="preserve"> (the </w:t>
      </w:r>
      <w:r w:rsidRPr="00D84B11">
        <w:rPr>
          <w:i/>
          <w:sz w:val="16"/>
          <w:szCs w:val="16"/>
          <w:u w:val="single"/>
        </w:rPr>
        <w:t>Framework</w:t>
      </w:r>
      <w:r w:rsidRPr="00D84B11">
        <w:rPr>
          <w:sz w:val="16"/>
          <w:szCs w:val="16"/>
          <w:u w:val="single"/>
        </w:rPr>
        <w:t>).</w:t>
      </w:r>
    </w:p>
    <w:p w14:paraId="3E650A57" w14:textId="77777777" w:rsidR="00D84B11" w:rsidRDefault="001425B5" w:rsidP="0057486B">
      <w:pPr>
        <w:autoSpaceDE w:val="0"/>
        <w:autoSpaceDN w:val="0"/>
        <w:adjustRightInd w:val="0"/>
        <w:spacing w:before="100"/>
        <w:rPr>
          <w:szCs w:val="19"/>
        </w:rPr>
      </w:pPr>
      <w:r>
        <w:rPr>
          <w:szCs w:val="19"/>
        </w:rPr>
        <w:t>…</w:t>
      </w:r>
    </w:p>
    <w:p w14:paraId="57756902" w14:textId="56811F6B" w:rsidR="00D84B11" w:rsidRPr="00D84B11" w:rsidRDefault="00D84B11" w:rsidP="006B65B8">
      <w:pPr>
        <w:pStyle w:val="IASBNormalnpara"/>
        <w:rPr>
          <w:szCs w:val="19"/>
        </w:rPr>
      </w:pPr>
      <w:r w:rsidRPr="00D84B11">
        <w:rPr>
          <w:szCs w:val="19"/>
        </w:rPr>
        <w:t>7</w:t>
      </w:r>
      <w:r w:rsidRPr="00D84B11">
        <w:rPr>
          <w:szCs w:val="19"/>
        </w:rPr>
        <w:tab/>
        <w:t>The objective of financial statements is to provide financial information about a reporting entity that is useful to existing and potential investors, lenders and other creditors in making decisions about providing resources to the entity.</w:t>
      </w:r>
      <w:r w:rsidRPr="00D84B11">
        <w:rPr>
          <w:szCs w:val="19"/>
          <w:vertAlign w:val="superscript"/>
        </w:rPr>
        <w:t>5</w:t>
      </w:r>
      <w:r w:rsidRPr="00D84B11">
        <w:rPr>
          <w:szCs w:val="19"/>
          <w:u w:val="single"/>
          <w:vertAlign w:val="superscript"/>
        </w:rPr>
        <w:t>, AusCF5</w:t>
      </w:r>
      <w:r w:rsidRPr="00D84B11">
        <w:rPr>
          <w:szCs w:val="19"/>
        </w:rPr>
        <w:t xml:space="preserve"> The entity identifies the information necessary to meet that objective by making appropriate materiality judgements. </w:t>
      </w:r>
    </w:p>
    <w:p w14:paraId="174C9CCB" w14:textId="58ACC03D" w:rsidR="00D84B11" w:rsidRPr="00D84B11" w:rsidRDefault="00D84B11" w:rsidP="006B65B8">
      <w:pPr>
        <w:pStyle w:val="IASBNormalnparaL1"/>
        <w:ind w:left="1491" w:hanging="709"/>
        <w:rPr>
          <w:sz w:val="16"/>
          <w:szCs w:val="16"/>
        </w:rPr>
      </w:pPr>
      <w:r w:rsidRPr="00D84B11">
        <w:rPr>
          <w:sz w:val="16"/>
          <w:szCs w:val="16"/>
        </w:rPr>
        <w:t>5</w:t>
      </w:r>
      <w:r w:rsidRPr="00D84B11">
        <w:rPr>
          <w:sz w:val="16"/>
          <w:szCs w:val="16"/>
        </w:rPr>
        <w:tab/>
        <w:t xml:space="preserve">See paragraph </w:t>
      </w:r>
      <w:r w:rsidRPr="00D84B11">
        <w:rPr>
          <w:strike/>
          <w:sz w:val="16"/>
          <w:szCs w:val="16"/>
        </w:rPr>
        <w:t>OB2</w:t>
      </w:r>
      <w:r w:rsidR="0057486B">
        <w:rPr>
          <w:strike/>
          <w:sz w:val="16"/>
          <w:szCs w:val="16"/>
        </w:rPr>
        <w:t xml:space="preserve"> </w:t>
      </w:r>
      <w:r w:rsidRPr="00D84B11">
        <w:rPr>
          <w:sz w:val="16"/>
          <w:szCs w:val="16"/>
          <w:u w:val="single"/>
        </w:rPr>
        <w:t>1.2</w:t>
      </w:r>
      <w:r w:rsidRPr="00D84B11">
        <w:rPr>
          <w:sz w:val="16"/>
          <w:szCs w:val="16"/>
        </w:rPr>
        <w:t xml:space="preserve"> of the</w:t>
      </w:r>
      <w:r w:rsidRPr="00D84B11">
        <w:rPr>
          <w:i/>
          <w:sz w:val="16"/>
          <w:szCs w:val="16"/>
          <w:u w:val="single"/>
        </w:rPr>
        <w:t xml:space="preserve"> Conceptual</w:t>
      </w:r>
      <w:r w:rsidRPr="00D84B11">
        <w:rPr>
          <w:i/>
          <w:sz w:val="16"/>
          <w:szCs w:val="16"/>
        </w:rPr>
        <w:t xml:space="preserve"> Framework</w:t>
      </w:r>
      <w:r w:rsidRPr="00D84B11">
        <w:rPr>
          <w:sz w:val="16"/>
          <w:szCs w:val="16"/>
        </w:rPr>
        <w:t>.</w:t>
      </w:r>
    </w:p>
    <w:p w14:paraId="207DC66E" w14:textId="77777777" w:rsidR="00D84B11" w:rsidRPr="00D84B11" w:rsidRDefault="00D84B11" w:rsidP="006B65B8">
      <w:pPr>
        <w:pStyle w:val="IASBNormalnparaL1"/>
        <w:ind w:left="1491" w:hanging="709"/>
        <w:rPr>
          <w:sz w:val="16"/>
          <w:szCs w:val="16"/>
          <w:u w:val="single"/>
        </w:rPr>
      </w:pPr>
      <w:r w:rsidRPr="00D84B11">
        <w:rPr>
          <w:sz w:val="16"/>
          <w:szCs w:val="16"/>
          <w:u w:val="single"/>
        </w:rPr>
        <w:t>AusCF5</w:t>
      </w:r>
      <w:r w:rsidRPr="00D84B11">
        <w:rPr>
          <w:sz w:val="16"/>
          <w:szCs w:val="16"/>
        </w:rPr>
        <w:tab/>
      </w:r>
      <w:r w:rsidRPr="00D84B11">
        <w:rPr>
          <w:sz w:val="16"/>
          <w:szCs w:val="16"/>
          <w:u w:val="single"/>
        </w:rPr>
        <w:t>Notwithstanding footnote 5, in respect of AusCF entities, see paragraph OB2 of the</w:t>
      </w:r>
      <w:r w:rsidRPr="00D84B11">
        <w:rPr>
          <w:i/>
          <w:sz w:val="16"/>
          <w:szCs w:val="16"/>
          <w:u w:val="single"/>
        </w:rPr>
        <w:t xml:space="preserve"> Framework</w:t>
      </w:r>
      <w:r w:rsidRPr="00D84B11">
        <w:rPr>
          <w:sz w:val="16"/>
          <w:szCs w:val="16"/>
          <w:u w:val="single"/>
        </w:rPr>
        <w:t>.</w:t>
      </w:r>
    </w:p>
    <w:p w14:paraId="143233EB" w14:textId="77777777" w:rsidR="00D84B11" w:rsidRDefault="001425B5" w:rsidP="0057486B">
      <w:pPr>
        <w:autoSpaceDE w:val="0"/>
        <w:autoSpaceDN w:val="0"/>
        <w:adjustRightInd w:val="0"/>
        <w:spacing w:before="100"/>
        <w:rPr>
          <w:szCs w:val="19"/>
        </w:rPr>
      </w:pPr>
      <w:r>
        <w:rPr>
          <w:szCs w:val="19"/>
        </w:rPr>
        <w:t>…</w:t>
      </w:r>
    </w:p>
    <w:p w14:paraId="11FD7103" w14:textId="771CA422" w:rsidR="00D84B11" w:rsidRPr="00D84B11" w:rsidRDefault="00D84B11" w:rsidP="006B65B8">
      <w:pPr>
        <w:pStyle w:val="IASBNormalnpara"/>
        <w:rPr>
          <w:szCs w:val="19"/>
          <w:u w:val="single"/>
        </w:rPr>
      </w:pPr>
      <w:r w:rsidRPr="00D84B11">
        <w:rPr>
          <w:szCs w:val="19"/>
        </w:rPr>
        <w:t>13</w:t>
      </w:r>
      <w:r w:rsidRPr="00D84B11">
        <w:rPr>
          <w:szCs w:val="19"/>
        </w:rPr>
        <w:tab/>
        <w:t>When making materiality judgements, an entity needs to consider the impact information could reasonably be expected to have on the primary users of its financial statements</w:t>
      </w:r>
      <w:r w:rsidR="009F1F15" w:rsidRPr="00D84B11">
        <w:rPr>
          <w:szCs w:val="19"/>
        </w:rPr>
        <w:t xml:space="preserve">.  </w:t>
      </w:r>
      <w:r w:rsidRPr="00D84B11">
        <w:rPr>
          <w:szCs w:val="19"/>
        </w:rPr>
        <w:t>Those primary users are existing and potential investors, lenders and other creditors—those users who cannot require entities to provide information directly to them and must rely on general purpose financial statements for much of the financial information they need.</w:t>
      </w:r>
      <w:r w:rsidRPr="00D84B11">
        <w:rPr>
          <w:szCs w:val="19"/>
          <w:vertAlign w:val="superscript"/>
        </w:rPr>
        <w:t>10</w:t>
      </w:r>
      <w:r w:rsidRPr="00D84B11">
        <w:rPr>
          <w:szCs w:val="19"/>
          <w:u w:val="single"/>
          <w:vertAlign w:val="superscript"/>
        </w:rPr>
        <w:t>, AusCF10</w:t>
      </w:r>
      <w:r w:rsidRPr="00D84B11">
        <w:rPr>
          <w:szCs w:val="19"/>
        </w:rPr>
        <w:t xml:space="preserve"> In addition to those primary users, other parties, such as the entity’s management, regulators and members of the public, may be interested in financial information about the entity and may find the financial statements useful. However, the financial statements are not primarily directed at these other parties.</w:t>
      </w:r>
      <w:r w:rsidRPr="00D84B11">
        <w:rPr>
          <w:szCs w:val="19"/>
          <w:vertAlign w:val="superscript"/>
        </w:rPr>
        <w:t>11</w:t>
      </w:r>
      <w:r w:rsidRPr="00D84B11">
        <w:rPr>
          <w:szCs w:val="19"/>
          <w:u w:val="single"/>
          <w:vertAlign w:val="superscript"/>
        </w:rPr>
        <w:t>, AusCF11</w:t>
      </w:r>
    </w:p>
    <w:p w14:paraId="7192C9D5" w14:textId="329F3286" w:rsidR="00D84B11" w:rsidRPr="00D84B11" w:rsidRDefault="00D84B11" w:rsidP="006B65B8">
      <w:pPr>
        <w:pStyle w:val="IASBNormalnparaL1"/>
        <w:ind w:left="1491" w:hanging="709"/>
        <w:rPr>
          <w:sz w:val="16"/>
          <w:szCs w:val="16"/>
        </w:rPr>
      </w:pPr>
      <w:r w:rsidRPr="00D84B11">
        <w:rPr>
          <w:sz w:val="16"/>
          <w:szCs w:val="16"/>
        </w:rPr>
        <w:t>10</w:t>
      </w:r>
      <w:r w:rsidRPr="00D84B11">
        <w:rPr>
          <w:sz w:val="16"/>
          <w:szCs w:val="16"/>
        </w:rPr>
        <w:tab/>
        <w:t xml:space="preserve">See paragraph </w:t>
      </w:r>
      <w:r w:rsidRPr="00D84B11">
        <w:rPr>
          <w:strike/>
          <w:sz w:val="16"/>
          <w:szCs w:val="16"/>
        </w:rPr>
        <w:t>OB5</w:t>
      </w:r>
      <w:r w:rsidR="0057486B">
        <w:rPr>
          <w:strike/>
          <w:sz w:val="16"/>
          <w:szCs w:val="16"/>
        </w:rPr>
        <w:t xml:space="preserve"> </w:t>
      </w:r>
      <w:r w:rsidRPr="00D84B11">
        <w:rPr>
          <w:sz w:val="16"/>
          <w:szCs w:val="16"/>
          <w:u w:val="single"/>
        </w:rPr>
        <w:t>1.5</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sz w:val="16"/>
          <w:szCs w:val="16"/>
        </w:rPr>
        <w:t xml:space="preserve"> </w:t>
      </w:r>
      <w:r w:rsidRPr="00D84B11">
        <w:rPr>
          <w:i/>
          <w:sz w:val="16"/>
          <w:szCs w:val="16"/>
        </w:rPr>
        <w:t>Framework</w:t>
      </w:r>
      <w:r w:rsidRPr="00D84B11">
        <w:rPr>
          <w:sz w:val="16"/>
          <w:szCs w:val="16"/>
        </w:rPr>
        <w:t>.</w:t>
      </w:r>
    </w:p>
    <w:p w14:paraId="242416AC" w14:textId="77777777" w:rsidR="00D84B11" w:rsidRPr="00D84B11" w:rsidRDefault="00D84B11" w:rsidP="006B65B8">
      <w:pPr>
        <w:pStyle w:val="IASBNormalnparaL1"/>
        <w:ind w:left="1491" w:hanging="709"/>
        <w:rPr>
          <w:sz w:val="16"/>
          <w:szCs w:val="16"/>
        </w:rPr>
      </w:pPr>
      <w:r w:rsidRPr="00D84B11">
        <w:rPr>
          <w:sz w:val="16"/>
          <w:szCs w:val="16"/>
          <w:u w:val="single"/>
        </w:rPr>
        <w:t>AusCF10</w:t>
      </w:r>
      <w:r w:rsidRPr="00D84B11">
        <w:rPr>
          <w:sz w:val="16"/>
          <w:szCs w:val="16"/>
        </w:rPr>
        <w:t xml:space="preserve"> </w:t>
      </w:r>
      <w:r>
        <w:rPr>
          <w:sz w:val="16"/>
          <w:szCs w:val="16"/>
        </w:rPr>
        <w:tab/>
      </w:r>
      <w:r w:rsidRPr="00D84B11">
        <w:rPr>
          <w:sz w:val="16"/>
          <w:szCs w:val="16"/>
          <w:u w:val="single"/>
        </w:rPr>
        <w:t xml:space="preserve">Notwithstanding footnote 10, in respect of AusCF entities, see paragraph OB5 of the </w:t>
      </w:r>
      <w:r w:rsidRPr="00D84B11">
        <w:rPr>
          <w:i/>
          <w:sz w:val="16"/>
          <w:szCs w:val="16"/>
          <w:u w:val="single"/>
        </w:rPr>
        <w:t>Framework</w:t>
      </w:r>
      <w:r w:rsidRPr="00D84B11">
        <w:rPr>
          <w:sz w:val="16"/>
          <w:szCs w:val="16"/>
          <w:u w:val="single"/>
        </w:rPr>
        <w:t>.</w:t>
      </w:r>
    </w:p>
    <w:p w14:paraId="1FBFE6FE" w14:textId="206212AD" w:rsidR="00D84B11" w:rsidRPr="00D84B11" w:rsidRDefault="00D84B11" w:rsidP="006B65B8">
      <w:pPr>
        <w:pStyle w:val="IASBNormalnparaL1"/>
        <w:ind w:left="1491" w:hanging="709"/>
        <w:rPr>
          <w:sz w:val="16"/>
          <w:szCs w:val="16"/>
        </w:rPr>
      </w:pPr>
      <w:r w:rsidRPr="00D84B11">
        <w:rPr>
          <w:sz w:val="16"/>
          <w:szCs w:val="16"/>
        </w:rPr>
        <w:t>11</w:t>
      </w:r>
      <w:r w:rsidRPr="00D84B11">
        <w:rPr>
          <w:sz w:val="16"/>
          <w:szCs w:val="16"/>
        </w:rPr>
        <w:tab/>
        <w:t xml:space="preserve">See paragraphs </w:t>
      </w:r>
      <w:r w:rsidRPr="00D84B11">
        <w:rPr>
          <w:strike/>
          <w:sz w:val="16"/>
          <w:szCs w:val="16"/>
        </w:rPr>
        <w:t>OB9</w:t>
      </w:r>
      <w:r w:rsidR="0057486B">
        <w:rPr>
          <w:strike/>
          <w:sz w:val="16"/>
          <w:szCs w:val="16"/>
        </w:rPr>
        <w:t xml:space="preserve"> </w:t>
      </w:r>
      <w:r w:rsidRPr="00D84B11">
        <w:rPr>
          <w:sz w:val="16"/>
          <w:szCs w:val="16"/>
          <w:u w:val="single"/>
        </w:rPr>
        <w:t>1.9</w:t>
      </w:r>
      <w:r w:rsidRPr="00D84B11">
        <w:rPr>
          <w:sz w:val="16"/>
          <w:szCs w:val="16"/>
        </w:rPr>
        <w:t xml:space="preserve"> and </w:t>
      </w:r>
      <w:r w:rsidRPr="00D84B11">
        <w:rPr>
          <w:strike/>
          <w:sz w:val="16"/>
          <w:szCs w:val="16"/>
        </w:rPr>
        <w:t>OB10</w:t>
      </w:r>
      <w:r w:rsidR="0057486B">
        <w:rPr>
          <w:strike/>
          <w:sz w:val="16"/>
          <w:szCs w:val="16"/>
        </w:rPr>
        <w:t xml:space="preserve"> </w:t>
      </w:r>
      <w:r w:rsidRPr="00D84B11">
        <w:rPr>
          <w:sz w:val="16"/>
          <w:szCs w:val="16"/>
          <w:u w:val="single"/>
        </w:rPr>
        <w:t>1.10</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sz w:val="16"/>
          <w:szCs w:val="16"/>
        </w:rPr>
        <w:t xml:space="preserve"> </w:t>
      </w:r>
      <w:r w:rsidRPr="00D84B11">
        <w:rPr>
          <w:i/>
          <w:sz w:val="16"/>
          <w:szCs w:val="16"/>
        </w:rPr>
        <w:t>Framework</w:t>
      </w:r>
      <w:r w:rsidRPr="00D84B11">
        <w:rPr>
          <w:sz w:val="16"/>
          <w:szCs w:val="16"/>
        </w:rPr>
        <w:t>.</w:t>
      </w:r>
    </w:p>
    <w:p w14:paraId="3F10AA5B" w14:textId="77777777" w:rsidR="00D84B11" w:rsidRPr="00D84B11" w:rsidRDefault="00D84B11" w:rsidP="006B65B8">
      <w:pPr>
        <w:pStyle w:val="IASBNormalnparaL1"/>
        <w:ind w:left="1491" w:hanging="709"/>
        <w:rPr>
          <w:sz w:val="16"/>
          <w:szCs w:val="16"/>
          <w:u w:val="single"/>
        </w:rPr>
      </w:pPr>
      <w:r w:rsidRPr="00D84B11">
        <w:rPr>
          <w:sz w:val="16"/>
          <w:szCs w:val="16"/>
          <w:u w:val="single"/>
        </w:rPr>
        <w:t>AusCF11</w:t>
      </w:r>
      <w:r w:rsidRPr="00D84B11">
        <w:rPr>
          <w:sz w:val="16"/>
          <w:szCs w:val="16"/>
        </w:rPr>
        <w:t xml:space="preserve"> </w:t>
      </w:r>
      <w:r>
        <w:rPr>
          <w:sz w:val="16"/>
          <w:szCs w:val="16"/>
        </w:rPr>
        <w:tab/>
      </w:r>
      <w:r w:rsidRPr="00D84B11">
        <w:rPr>
          <w:sz w:val="16"/>
          <w:szCs w:val="16"/>
          <w:u w:val="single"/>
        </w:rPr>
        <w:t xml:space="preserve">Notwithstanding footnote 11, in respect of AusCF entities, see paragraphs OB9 and OB10 of the </w:t>
      </w:r>
      <w:r w:rsidRPr="00D84B11">
        <w:rPr>
          <w:i/>
          <w:sz w:val="16"/>
          <w:szCs w:val="16"/>
          <w:u w:val="single"/>
        </w:rPr>
        <w:t>Framework</w:t>
      </w:r>
      <w:r w:rsidRPr="00D84B11">
        <w:rPr>
          <w:sz w:val="16"/>
          <w:szCs w:val="16"/>
          <w:u w:val="single"/>
        </w:rPr>
        <w:t>.</w:t>
      </w:r>
    </w:p>
    <w:p w14:paraId="7D643587" w14:textId="48E7A4C1" w:rsidR="00D84B11" w:rsidRDefault="001425B5" w:rsidP="0057486B">
      <w:pPr>
        <w:autoSpaceDE w:val="0"/>
        <w:autoSpaceDN w:val="0"/>
        <w:adjustRightInd w:val="0"/>
        <w:spacing w:before="100"/>
        <w:rPr>
          <w:szCs w:val="19"/>
        </w:rPr>
      </w:pPr>
      <w:r>
        <w:rPr>
          <w:szCs w:val="19"/>
        </w:rPr>
        <w:t>…</w:t>
      </w:r>
    </w:p>
    <w:p w14:paraId="029F6ACD" w14:textId="4E8CAD59" w:rsidR="00E71C53" w:rsidRDefault="000717A8" w:rsidP="006B65B8">
      <w:pPr>
        <w:pStyle w:val="IASBNormalnpara"/>
      </w:pPr>
      <w:r>
        <w:rPr>
          <w:szCs w:val="19"/>
        </w:rPr>
        <w:t>14</w:t>
      </w:r>
      <w:r>
        <w:rPr>
          <w:szCs w:val="19"/>
        </w:rPr>
        <w:tab/>
      </w:r>
      <w:r>
        <w:t>Because primary users include potential investors, lenders and other creditors, it would be inappropriate for an entity to narrow the information provided in its financial statements by focusing only on the information needs of existing investors, lenders and other creditors.</w:t>
      </w:r>
    </w:p>
    <w:p w14:paraId="1D969D0E" w14:textId="18F17843" w:rsidR="006B65B8" w:rsidRPr="00764906" w:rsidRDefault="006B65B8" w:rsidP="0057486B">
      <w:pPr>
        <w:pStyle w:val="IASBNormalnpara"/>
        <w:spacing w:before="0"/>
        <w:rPr>
          <w:szCs w:val="19"/>
        </w:rPr>
      </w:pPr>
    </w:p>
    <w:tbl>
      <w:tblPr>
        <w:tblW w:w="8128"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S 2 Example D"/>
        <w:tblDescription w:val="PS 2 Example D"/>
      </w:tblPr>
      <w:tblGrid>
        <w:gridCol w:w="8128"/>
      </w:tblGrid>
      <w:tr w:rsidR="00A97C0C" w14:paraId="5F320933" w14:textId="77777777" w:rsidTr="006179F8">
        <w:trPr>
          <w:trHeight w:val="85"/>
          <w:tblHeader/>
        </w:trPr>
        <w:tc>
          <w:tcPr>
            <w:tcW w:w="8128" w:type="dxa"/>
          </w:tcPr>
          <w:p w14:paraId="7ACC35F0" w14:textId="18F17843" w:rsidR="003D72DB" w:rsidRDefault="003D72DB" w:rsidP="00C87FAF">
            <w:pPr>
              <w:pStyle w:val="Default"/>
              <w:keepNext/>
              <w:jc w:val="both"/>
              <w:rPr>
                <w:b/>
                <w:color w:val="auto"/>
                <w:sz w:val="19"/>
                <w:szCs w:val="19"/>
              </w:rPr>
            </w:pPr>
          </w:p>
          <w:p w14:paraId="6A2281CE" w14:textId="77777777" w:rsidR="00A97C0C" w:rsidRDefault="00A97C0C" w:rsidP="00C87FAF">
            <w:pPr>
              <w:pStyle w:val="Default"/>
              <w:keepNext/>
              <w:jc w:val="both"/>
              <w:rPr>
                <w:b/>
                <w:color w:val="auto"/>
                <w:sz w:val="19"/>
                <w:szCs w:val="19"/>
              </w:rPr>
            </w:pPr>
            <w:r w:rsidRPr="0067049C">
              <w:rPr>
                <w:b/>
                <w:color w:val="auto"/>
                <w:sz w:val="19"/>
                <w:szCs w:val="19"/>
              </w:rPr>
              <w:t xml:space="preserve">Example D—existing and potential investors, lenders and other creditors </w:t>
            </w:r>
          </w:p>
          <w:p w14:paraId="08667F65" w14:textId="77777777" w:rsidR="003D72DB" w:rsidRPr="0067049C" w:rsidRDefault="003D72DB" w:rsidP="00C87FAF">
            <w:pPr>
              <w:pStyle w:val="Default"/>
              <w:keepNext/>
              <w:jc w:val="both"/>
              <w:rPr>
                <w:color w:val="auto"/>
                <w:sz w:val="19"/>
                <w:szCs w:val="19"/>
              </w:rPr>
            </w:pPr>
          </w:p>
        </w:tc>
      </w:tr>
      <w:tr w:rsidR="00A97C0C" w14:paraId="7D5123CA" w14:textId="77777777" w:rsidTr="006179F8">
        <w:tc>
          <w:tcPr>
            <w:tcW w:w="8128" w:type="dxa"/>
          </w:tcPr>
          <w:p w14:paraId="48DABE5C" w14:textId="77777777" w:rsidR="003D72DB" w:rsidRDefault="003D72DB" w:rsidP="00C87FAF">
            <w:pPr>
              <w:pStyle w:val="Default"/>
              <w:jc w:val="both"/>
              <w:rPr>
                <w:b/>
                <w:color w:val="auto"/>
                <w:sz w:val="19"/>
                <w:szCs w:val="19"/>
              </w:rPr>
            </w:pPr>
          </w:p>
          <w:p w14:paraId="1D97DC9F" w14:textId="77777777" w:rsidR="00A97C0C" w:rsidRPr="0067049C" w:rsidRDefault="00A97C0C" w:rsidP="00C87FAF">
            <w:pPr>
              <w:pStyle w:val="Default"/>
              <w:jc w:val="both"/>
              <w:rPr>
                <w:color w:val="auto"/>
                <w:sz w:val="19"/>
                <w:szCs w:val="19"/>
              </w:rPr>
            </w:pPr>
            <w:r w:rsidRPr="0067049C">
              <w:rPr>
                <w:b/>
                <w:color w:val="auto"/>
                <w:sz w:val="19"/>
                <w:szCs w:val="19"/>
              </w:rPr>
              <w:t xml:space="preserve">Background </w:t>
            </w:r>
          </w:p>
          <w:p w14:paraId="0AC5B94D" w14:textId="77777777" w:rsidR="003D72DB" w:rsidRDefault="003D72DB" w:rsidP="00C87FAF">
            <w:pPr>
              <w:pStyle w:val="Default"/>
              <w:jc w:val="both"/>
              <w:rPr>
                <w:color w:val="auto"/>
                <w:sz w:val="19"/>
                <w:szCs w:val="19"/>
              </w:rPr>
            </w:pPr>
          </w:p>
          <w:p w14:paraId="65F7733C" w14:textId="77777777" w:rsidR="00A97C0C" w:rsidRPr="0067049C" w:rsidRDefault="00A97C0C" w:rsidP="00C87FAF">
            <w:pPr>
              <w:pStyle w:val="Default"/>
              <w:jc w:val="both"/>
              <w:rPr>
                <w:color w:val="auto"/>
                <w:sz w:val="19"/>
                <w:szCs w:val="19"/>
              </w:rPr>
            </w:pPr>
            <w:r w:rsidRPr="0067049C">
              <w:rPr>
                <w:color w:val="auto"/>
                <w:sz w:val="19"/>
                <w:szCs w:val="19"/>
              </w:rPr>
              <w:t>An entity is 100 per cent owned by its parent</w:t>
            </w:r>
            <w:r w:rsidR="009F1F15" w:rsidRPr="0067049C">
              <w:rPr>
                <w:color w:val="auto"/>
                <w:sz w:val="19"/>
                <w:szCs w:val="19"/>
              </w:rPr>
              <w:t xml:space="preserve">.  </w:t>
            </w:r>
            <w:r w:rsidRPr="0067049C">
              <w:rPr>
                <w:color w:val="auto"/>
                <w:sz w:val="19"/>
                <w:szCs w:val="19"/>
              </w:rPr>
              <w:t>Its parent provides the entity with semi-finished products that the entity assembles and sells back to the parent</w:t>
            </w:r>
            <w:r w:rsidR="009F1F15" w:rsidRPr="0067049C">
              <w:rPr>
                <w:color w:val="auto"/>
                <w:sz w:val="19"/>
                <w:szCs w:val="19"/>
              </w:rPr>
              <w:t xml:space="preserve">.  </w:t>
            </w:r>
            <w:r w:rsidRPr="0067049C">
              <w:rPr>
                <w:color w:val="auto"/>
                <w:sz w:val="19"/>
                <w:szCs w:val="19"/>
              </w:rPr>
              <w:t>The entity is entirely financed by its parent</w:t>
            </w:r>
            <w:r w:rsidR="009F1F15" w:rsidRPr="0067049C">
              <w:rPr>
                <w:color w:val="auto"/>
                <w:sz w:val="19"/>
                <w:szCs w:val="19"/>
              </w:rPr>
              <w:t xml:space="preserve">.  </w:t>
            </w:r>
            <w:r w:rsidRPr="0067049C">
              <w:rPr>
                <w:color w:val="auto"/>
                <w:sz w:val="19"/>
                <w:szCs w:val="19"/>
              </w:rPr>
              <w:t xml:space="preserve">The current users of the entity’s financial statements include the parent and the entity’s creditors (mainly local suppliers). </w:t>
            </w:r>
          </w:p>
          <w:p w14:paraId="5E626556" w14:textId="77777777" w:rsidR="003D72DB" w:rsidRDefault="003D72DB" w:rsidP="00C87FAF">
            <w:pPr>
              <w:pStyle w:val="Default"/>
              <w:jc w:val="both"/>
              <w:rPr>
                <w:b/>
                <w:color w:val="auto"/>
                <w:sz w:val="19"/>
                <w:szCs w:val="19"/>
              </w:rPr>
            </w:pPr>
          </w:p>
          <w:p w14:paraId="610CBCD5" w14:textId="77777777" w:rsidR="00A97C0C" w:rsidRPr="0067049C" w:rsidRDefault="00A97C0C" w:rsidP="00C87FAF">
            <w:pPr>
              <w:pStyle w:val="Default"/>
              <w:keepNext/>
              <w:jc w:val="both"/>
              <w:rPr>
                <w:color w:val="auto"/>
                <w:sz w:val="19"/>
                <w:szCs w:val="19"/>
              </w:rPr>
            </w:pPr>
            <w:r w:rsidRPr="0067049C">
              <w:rPr>
                <w:b/>
                <w:color w:val="auto"/>
                <w:sz w:val="19"/>
                <w:szCs w:val="19"/>
              </w:rPr>
              <w:t xml:space="preserve">Application </w:t>
            </w:r>
          </w:p>
          <w:p w14:paraId="7FD66E14" w14:textId="77777777" w:rsidR="003D72DB" w:rsidRDefault="003D72DB" w:rsidP="00C87FAF">
            <w:pPr>
              <w:pStyle w:val="Default"/>
              <w:keepNext/>
              <w:jc w:val="both"/>
              <w:rPr>
                <w:color w:val="auto"/>
                <w:sz w:val="19"/>
                <w:szCs w:val="19"/>
              </w:rPr>
            </w:pPr>
          </w:p>
          <w:p w14:paraId="40B510C5" w14:textId="4C36FFA6" w:rsidR="00A97C0C" w:rsidRPr="0067049C" w:rsidRDefault="00A97C0C" w:rsidP="00346B11">
            <w:pPr>
              <w:pStyle w:val="Default"/>
              <w:spacing w:after="60"/>
              <w:jc w:val="both"/>
              <w:rPr>
                <w:color w:val="auto"/>
                <w:sz w:val="19"/>
                <w:szCs w:val="19"/>
              </w:rPr>
            </w:pPr>
            <w:r w:rsidRPr="0067049C">
              <w:rPr>
                <w:color w:val="auto"/>
                <w:sz w:val="19"/>
                <w:szCs w:val="19"/>
              </w:rPr>
              <w:t xml:space="preserve">The entity refers to the </w:t>
            </w:r>
            <w:r w:rsidRPr="0067049C">
              <w:rPr>
                <w:i/>
                <w:strike/>
                <w:color w:val="auto"/>
                <w:sz w:val="19"/>
                <w:szCs w:val="19"/>
              </w:rPr>
              <w:t>Framework for the Preparation and Presentation of Financial Statements</w:t>
            </w:r>
            <w:r w:rsidR="00C45376">
              <w:rPr>
                <w:i/>
                <w:strike/>
                <w:color w:val="auto"/>
                <w:sz w:val="19"/>
                <w:szCs w:val="19"/>
              </w:rPr>
              <w:t xml:space="preserve"> </w:t>
            </w:r>
            <w:r w:rsidRPr="0067049C">
              <w:rPr>
                <w:i/>
                <w:color w:val="auto"/>
                <w:sz w:val="19"/>
                <w:szCs w:val="19"/>
                <w:u w:val="single"/>
              </w:rPr>
              <w:t>Conceptual Framework for Financial Reporting</w:t>
            </w:r>
            <w:r w:rsidRPr="0067049C">
              <w:rPr>
                <w:i/>
                <w:color w:val="auto"/>
                <w:sz w:val="19"/>
                <w:szCs w:val="19"/>
              </w:rPr>
              <w:t xml:space="preserve"> </w:t>
            </w:r>
            <w:r w:rsidRPr="0067049C">
              <w:rPr>
                <w:color w:val="auto"/>
                <w:sz w:val="19"/>
                <w:szCs w:val="19"/>
              </w:rPr>
              <w:t>to identify the primary users of its financial statements—existing and potential investors, lenders and other creditors who cannot require the entity to provide information directly to them and must rely on general purpose financial statements</w:t>
            </w:r>
            <w:r w:rsidR="009F1F15" w:rsidRPr="0067049C">
              <w:rPr>
                <w:color w:val="auto"/>
                <w:sz w:val="19"/>
                <w:szCs w:val="19"/>
              </w:rPr>
              <w:t xml:space="preserve">.  </w:t>
            </w:r>
            <w:r w:rsidRPr="0067049C">
              <w:rPr>
                <w:color w:val="auto"/>
                <w:sz w:val="19"/>
                <w:szCs w:val="19"/>
              </w:rPr>
              <w:t>When making materiality judgements in the preparation of its financial statements, the entity does not reduce its disclosures to only those of interest to its parent or its existing creditors</w:t>
            </w:r>
            <w:r w:rsidR="009F1F15" w:rsidRPr="0067049C">
              <w:rPr>
                <w:color w:val="auto"/>
                <w:sz w:val="19"/>
                <w:szCs w:val="19"/>
              </w:rPr>
              <w:t xml:space="preserve">.  </w:t>
            </w:r>
            <w:r w:rsidRPr="0067049C">
              <w:rPr>
                <w:color w:val="auto"/>
                <w:sz w:val="19"/>
                <w:szCs w:val="19"/>
              </w:rPr>
              <w:t>The entity also considers the information needs of potential investors, lenders and other creditors when making those judgements</w:t>
            </w:r>
            <w:r w:rsidR="009F1F15" w:rsidRPr="0067049C">
              <w:rPr>
                <w:color w:val="auto"/>
                <w:sz w:val="19"/>
                <w:szCs w:val="19"/>
              </w:rPr>
              <w:t>.</w:t>
            </w:r>
          </w:p>
        </w:tc>
      </w:tr>
    </w:tbl>
    <w:p w14:paraId="2CD6EE80" w14:textId="77777777" w:rsidR="00A97C0C" w:rsidRDefault="00A97C0C" w:rsidP="00C87FAF">
      <w:pPr>
        <w:autoSpaceDE w:val="0"/>
        <w:autoSpaceDN w:val="0"/>
        <w:adjustRightInd w:val="0"/>
        <w:rPr>
          <w:szCs w:val="19"/>
        </w:rPr>
      </w:pPr>
    </w:p>
    <w:tbl>
      <w:tblPr>
        <w:tblW w:w="8128"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S2 Example AusCF D"/>
        <w:tblDescription w:val="PS2 Example AusCF D"/>
      </w:tblPr>
      <w:tblGrid>
        <w:gridCol w:w="8128"/>
      </w:tblGrid>
      <w:tr w:rsidR="00A97C0C" w:rsidRPr="00C07486" w14:paraId="2952B913" w14:textId="77777777" w:rsidTr="006179F8">
        <w:trPr>
          <w:trHeight w:val="85"/>
        </w:trPr>
        <w:tc>
          <w:tcPr>
            <w:tcW w:w="8128" w:type="dxa"/>
          </w:tcPr>
          <w:p w14:paraId="5B5F8708" w14:textId="77777777" w:rsidR="003D72DB" w:rsidRDefault="003D72DB" w:rsidP="00C87FAF">
            <w:pPr>
              <w:pStyle w:val="Default"/>
              <w:jc w:val="both"/>
              <w:rPr>
                <w:b/>
                <w:color w:val="auto"/>
                <w:sz w:val="19"/>
                <w:szCs w:val="19"/>
                <w:u w:val="single"/>
              </w:rPr>
            </w:pPr>
          </w:p>
          <w:p w14:paraId="6049ED4D" w14:textId="77777777" w:rsidR="00A97C0C" w:rsidRDefault="00A97C0C" w:rsidP="00C87FAF">
            <w:pPr>
              <w:pStyle w:val="Default"/>
              <w:jc w:val="both"/>
              <w:rPr>
                <w:b/>
                <w:color w:val="auto"/>
                <w:sz w:val="19"/>
                <w:szCs w:val="19"/>
                <w:u w:val="single"/>
              </w:rPr>
            </w:pPr>
            <w:r w:rsidRPr="00C07486">
              <w:rPr>
                <w:b/>
                <w:color w:val="auto"/>
                <w:sz w:val="19"/>
                <w:szCs w:val="19"/>
                <w:u w:val="single"/>
              </w:rPr>
              <w:t xml:space="preserve">Example AusCF D—existing and potential investors, lenders and other creditors </w:t>
            </w:r>
          </w:p>
          <w:p w14:paraId="4C88708D" w14:textId="77777777" w:rsidR="003D72DB" w:rsidRPr="00C07486" w:rsidRDefault="003D72DB" w:rsidP="00C87FAF">
            <w:pPr>
              <w:pStyle w:val="Default"/>
              <w:jc w:val="both"/>
              <w:rPr>
                <w:color w:val="auto"/>
                <w:sz w:val="19"/>
                <w:szCs w:val="19"/>
                <w:u w:val="single"/>
              </w:rPr>
            </w:pPr>
          </w:p>
        </w:tc>
      </w:tr>
      <w:tr w:rsidR="00A97C0C" w:rsidRPr="00C07486" w14:paraId="0C16F253" w14:textId="77777777" w:rsidTr="006179F8">
        <w:trPr>
          <w:trHeight w:val="737"/>
        </w:trPr>
        <w:tc>
          <w:tcPr>
            <w:tcW w:w="8128" w:type="dxa"/>
          </w:tcPr>
          <w:p w14:paraId="0F217C84" w14:textId="77777777" w:rsidR="003D72DB" w:rsidRDefault="003D72DB" w:rsidP="00C87FAF">
            <w:pPr>
              <w:pStyle w:val="Default"/>
              <w:jc w:val="both"/>
              <w:rPr>
                <w:b/>
                <w:color w:val="auto"/>
                <w:sz w:val="19"/>
                <w:szCs w:val="19"/>
                <w:u w:val="single"/>
              </w:rPr>
            </w:pPr>
          </w:p>
          <w:p w14:paraId="6592DE4C" w14:textId="77777777" w:rsidR="00A97C0C" w:rsidRPr="00C07486" w:rsidRDefault="00A97C0C" w:rsidP="00C87FAF">
            <w:pPr>
              <w:pStyle w:val="Default"/>
              <w:jc w:val="both"/>
              <w:rPr>
                <w:color w:val="auto"/>
                <w:sz w:val="19"/>
                <w:szCs w:val="19"/>
                <w:u w:val="single"/>
              </w:rPr>
            </w:pPr>
            <w:r w:rsidRPr="00C07486">
              <w:rPr>
                <w:b/>
                <w:color w:val="auto"/>
                <w:sz w:val="19"/>
                <w:szCs w:val="19"/>
                <w:u w:val="single"/>
              </w:rPr>
              <w:t xml:space="preserve">Background </w:t>
            </w:r>
          </w:p>
          <w:p w14:paraId="12B289C1" w14:textId="77777777" w:rsidR="003D72DB" w:rsidRDefault="003D72DB" w:rsidP="00C87FAF">
            <w:pPr>
              <w:pStyle w:val="Default"/>
              <w:jc w:val="both"/>
              <w:rPr>
                <w:color w:val="auto"/>
                <w:sz w:val="19"/>
                <w:szCs w:val="19"/>
                <w:u w:val="single"/>
              </w:rPr>
            </w:pPr>
          </w:p>
          <w:p w14:paraId="4E6705FD" w14:textId="77777777" w:rsidR="00A97C0C" w:rsidRPr="00C07486" w:rsidRDefault="00A97C0C" w:rsidP="00C87FAF">
            <w:pPr>
              <w:pStyle w:val="Default"/>
              <w:jc w:val="both"/>
              <w:rPr>
                <w:color w:val="auto"/>
                <w:sz w:val="19"/>
                <w:szCs w:val="19"/>
                <w:u w:val="single"/>
              </w:rPr>
            </w:pPr>
            <w:r w:rsidRPr="00C07486">
              <w:rPr>
                <w:color w:val="auto"/>
                <w:sz w:val="19"/>
                <w:szCs w:val="19"/>
                <w:u w:val="single"/>
              </w:rPr>
              <w:t>An entity is 100 per cent owned by its parent</w:t>
            </w:r>
            <w:r w:rsidR="009F1F15" w:rsidRPr="00C07486">
              <w:rPr>
                <w:color w:val="auto"/>
                <w:sz w:val="19"/>
                <w:szCs w:val="19"/>
                <w:u w:val="single"/>
              </w:rPr>
              <w:t xml:space="preserve">.  </w:t>
            </w:r>
            <w:r w:rsidRPr="00C07486">
              <w:rPr>
                <w:color w:val="auto"/>
                <w:sz w:val="19"/>
                <w:szCs w:val="19"/>
                <w:u w:val="single"/>
              </w:rPr>
              <w:t>Its parent provides the entity with semi-finished products that the entity assembles and sells back to the parent</w:t>
            </w:r>
            <w:r w:rsidR="009F1F15" w:rsidRPr="00C07486">
              <w:rPr>
                <w:color w:val="auto"/>
                <w:sz w:val="19"/>
                <w:szCs w:val="19"/>
                <w:u w:val="single"/>
              </w:rPr>
              <w:t xml:space="preserve">.  </w:t>
            </w:r>
            <w:r w:rsidRPr="00C07486">
              <w:rPr>
                <w:color w:val="auto"/>
                <w:sz w:val="19"/>
                <w:szCs w:val="19"/>
                <w:u w:val="single"/>
              </w:rPr>
              <w:t>The entity is entirely financed by its parent</w:t>
            </w:r>
            <w:r w:rsidR="009F1F15" w:rsidRPr="00C07486">
              <w:rPr>
                <w:color w:val="auto"/>
                <w:sz w:val="19"/>
                <w:szCs w:val="19"/>
                <w:u w:val="single"/>
              </w:rPr>
              <w:t xml:space="preserve">.  </w:t>
            </w:r>
            <w:r w:rsidRPr="00C07486">
              <w:rPr>
                <w:color w:val="auto"/>
                <w:sz w:val="19"/>
                <w:szCs w:val="19"/>
                <w:u w:val="single"/>
              </w:rPr>
              <w:t xml:space="preserve">The current users of the entity’s financial statements include the parent and the entity’s creditors (mainly local suppliers). </w:t>
            </w:r>
          </w:p>
          <w:p w14:paraId="665B749F" w14:textId="77777777" w:rsidR="003D72DB" w:rsidRDefault="003D72DB" w:rsidP="00C87FAF">
            <w:pPr>
              <w:pStyle w:val="Default"/>
              <w:jc w:val="both"/>
              <w:rPr>
                <w:b/>
                <w:color w:val="auto"/>
                <w:sz w:val="19"/>
                <w:szCs w:val="19"/>
                <w:u w:val="single"/>
              </w:rPr>
            </w:pPr>
          </w:p>
          <w:p w14:paraId="615DA8D4" w14:textId="77777777" w:rsidR="00A97C0C" w:rsidRPr="00C07486" w:rsidRDefault="00A97C0C" w:rsidP="00C87FAF">
            <w:pPr>
              <w:pStyle w:val="Default"/>
              <w:jc w:val="both"/>
              <w:rPr>
                <w:color w:val="auto"/>
                <w:sz w:val="19"/>
                <w:szCs w:val="19"/>
                <w:u w:val="single"/>
              </w:rPr>
            </w:pPr>
            <w:r w:rsidRPr="00C07486">
              <w:rPr>
                <w:b/>
                <w:color w:val="auto"/>
                <w:sz w:val="19"/>
                <w:szCs w:val="19"/>
                <w:u w:val="single"/>
              </w:rPr>
              <w:t xml:space="preserve">Application </w:t>
            </w:r>
          </w:p>
          <w:p w14:paraId="5D95EADA" w14:textId="77777777" w:rsidR="003D72DB" w:rsidRDefault="003D72DB" w:rsidP="00C87FAF">
            <w:pPr>
              <w:pStyle w:val="Default"/>
              <w:jc w:val="both"/>
              <w:rPr>
                <w:color w:val="auto"/>
                <w:sz w:val="19"/>
                <w:szCs w:val="19"/>
                <w:u w:val="single"/>
              </w:rPr>
            </w:pPr>
          </w:p>
          <w:p w14:paraId="6122B8C3" w14:textId="43BD2726" w:rsidR="00A97C0C" w:rsidRPr="00C07486" w:rsidRDefault="00A97C0C" w:rsidP="00346B11">
            <w:pPr>
              <w:pStyle w:val="Default"/>
              <w:spacing w:after="60"/>
              <w:jc w:val="both"/>
              <w:rPr>
                <w:color w:val="auto"/>
                <w:sz w:val="19"/>
                <w:szCs w:val="19"/>
                <w:u w:val="single"/>
              </w:rPr>
            </w:pPr>
            <w:r w:rsidRPr="00C07486">
              <w:rPr>
                <w:color w:val="auto"/>
                <w:sz w:val="19"/>
                <w:szCs w:val="19"/>
                <w:u w:val="single"/>
              </w:rPr>
              <w:t xml:space="preserve">The entity refers to the </w:t>
            </w:r>
            <w:r w:rsidRPr="00C07486">
              <w:rPr>
                <w:i/>
                <w:color w:val="auto"/>
                <w:sz w:val="19"/>
                <w:szCs w:val="19"/>
                <w:u w:val="single"/>
              </w:rPr>
              <w:t xml:space="preserve">Framework for the Preparation and Presentation of Financial Statements </w:t>
            </w:r>
            <w:r w:rsidRPr="00C07486">
              <w:rPr>
                <w:color w:val="auto"/>
                <w:sz w:val="19"/>
                <w:szCs w:val="19"/>
                <w:u w:val="single"/>
              </w:rPr>
              <w:t>to identify the primary users of its financial statements—existing and potential investors, lenders and other creditors who cannot require the entity to provide information directly to them and must rely on general purpose financial statements</w:t>
            </w:r>
            <w:r w:rsidR="009F1F15" w:rsidRPr="00C07486">
              <w:rPr>
                <w:color w:val="auto"/>
                <w:sz w:val="19"/>
                <w:szCs w:val="19"/>
                <w:u w:val="single"/>
              </w:rPr>
              <w:t xml:space="preserve">.  </w:t>
            </w:r>
            <w:r w:rsidRPr="00C07486">
              <w:rPr>
                <w:color w:val="auto"/>
                <w:sz w:val="19"/>
                <w:szCs w:val="19"/>
                <w:u w:val="single"/>
              </w:rPr>
              <w:t>When making materiality judgements in the preparation of its financial statements, the entity does not reduce its disclosures to only those of interest to its parent or its existing creditors</w:t>
            </w:r>
            <w:r w:rsidR="009F1F15" w:rsidRPr="00C07486">
              <w:rPr>
                <w:color w:val="auto"/>
                <w:sz w:val="19"/>
                <w:szCs w:val="19"/>
                <w:u w:val="single"/>
              </w:rPr>
              <w:t xml:space="preserve">.  </w:t>
            </w:r>
            <w:r w:rsidRPr="00C07486">
              <w:rPr>
                <w:color w:val="auto"/>
                <w:sz w:val="19"/>
                <w:szCs w:val="19"/>
                <w:u w:val="single"/>
              </w:rPr>
              <w:t>The entity also considers the information needs of potential investors, lenders and other creditors when making those judgements</w:t>
            </w:r>
            <w:r w:rsidR="009F1F15" w:rsidRPr="00C07486">
              <w:rPr>
                <w:color w:val="auto"/>
                <w:sz w:val="19"/>
                <w:szCs w:val="19"/>
                <w:u w:val="single"/>
              </w:rPr>
              <w:t>.</w:t>
            </w:r>
          </w:p>
        </w:tc>
      </w:tr>
    </w:tbl>
    <w:p w14:paraId="675B19B1" w14:textId="77777777" w:rsidR="001425B5" w:rsidRDefault="00D75CEF" w:rsidP="00C87FAF">
      <w:pPr>
        <w:autoSpaceDE w:val="0"/>
        <w:autoSpaceDN w:val="0"/>
        <w:adjustRightInd w:val="0"/>
        <w:spacing w:before="100"/>
        <w:rPr>
          <w:szCs w:val="19"/>
        </w:rPr>
      </w:pPr>
      <w:r>
        <w:rPr>
          <w:szCs w:val="19"/>
        </w:rPr>
        <w:t>…</w:t>
      </w:r>
    </w:p>
    <w:p w14:paraId="5FC9B5AE" w14:textId="77777777" w:rsidR="00D84B11" w:rsidRPr="00D84B11" w:rsidRDefault="00D84B11" w:rsidP="006B65B8">
      <w:pPr>
        <w:pStyle w:val="IASBNormalnpara"/>
        <w:rPr>
          <w:szCs w:val="19"/>
        </w:rPr>
      </w:pPr>
      <w:r w:rsidRPr="00D84B11">
        <w:rPr>
          <w:szCs w:val="19"/>
        </w:rPr>
        <w:t>15</w:t>
      </w:r>
      <w:r w:rsidRPr="00D84B11">
        <w:rPr>
          <w:szCs w:val="19"/>
        </w:rPr>
        <w:tab/>
        <w:t>When making materiality judgements, an entity also considers that primary users are expected to have a reasonable knowledge of business and economic activities and to review and analyse the information included in the financial statements diligently.</w:t>
      </w:r>
      <w:r w:rsidRPr="00D84B11">
        <w:rPr>
          <w:szCs w:val="19"/>
          <w:vertAlign w:val="superscript"/>
        </w:rPr>
        <w:t>13</w:t>
      </w:r>
      <w:r w:rsidRPr="00D84B11">
        <w:rPr>
          <w:szCs w:val="19"/>
          <w:u w:val="single"/>
          <w:vertAlign w:val="superscript"/>
        </w:rPr>
        <w:t>, AusCF13</w:t>
      </w:r>
      <w:r w:rsidRPr="00D84B11">
        <w:rPr>
          <w:szCs w:val="19"/>
        </w:rPr>
        <w:t xml:space="preserve"> </w:t>
      </w:r>
    </w:p>
    <w:p w14:paraId="6BEDA88C" w14:textId="4DCBE123" w:rsidR="00D84B11" w:rsidRPr="00D84B11" w:rsidRDefault="00D84B11" w:rsidP="006B65B8">
      <w:pPr>
        <w:pStyle w:val="IASBNormalnparaL1"/>
        <w:ind w:left="1491" w:hanging="709"/>
        <w:rPr>
          <w:sz w:val="16"/>
          <w:szCs w:val="16"/>
        </w:rPr>
      </w:pPr>
      <w:r w:rsidRPr="00D84B11">
        <w:rPr>
          <w:sz w:val="16"/>
          <w:szCs w:val="16"/>
        </w:rPr>
        <w:t>13</w:t>
      </w:r>
      <w:r w:rsidRPr="00D84B11">
        <w:rPr>
          <w:sz w:val="16"/>
          <w:szCs w:val="16"/>
        </w:rPr>
        <w:tab/>
        <w:t xml:space="preserve">See paragraph </w:t>
      </w:r>
      <w:r w:rsidRPr="00D84B11">
        <w:rPr>
          <w:strike/>
          <w:sz w:val="16"/>
          <w:szCs w:val="16"/>
        </w:rPr>
        <w:t>QC32</w:t>
      </w:r>
      <w:r w:rsidR="0057486B">
        <w:rPr>
          <w:strike/>
          <w:sz w:val="16"/>
          <w:szCs w:val="16"/>
        </w:rPr>
        <w:t xml:space="preserve"> </w:t>
      </w:r>
      <w:r w:rsidRPr="00D84B11">
        <w:rPr>
          <w:sz w:val="16"/>
          <w:szCs w:val="16"/>
          <w:u w:val="single"/>
        </w:rPr>
        <w:t>2.36</w:t>
      </w:r>
      <w:r w:rsidRPr="00D84B11">
        <w:rPr>
          <w:sz w:val="16"/>
          <w:szCs w:val="16"/>
        </w:rPr>
        <w:t xml:space="preserve"> of the</w:t>
      </w:r>
      <w:r w:rsidRPr="00D84B11">
        <w:rPr>
          <w:i/>
          <w:sz w:val="16"/>
          <w:szCs w:val="16"/>
          <w:u w:val="single"/>
        </w:rPr>
        <w:t xml:space="preserve"> Conceptual</w:t>
      </w:r>
      <w:r w:rsidRPr="00D84B11">
        <w:rPr>
          <w:i/>
          <w:sz w:val="16"/>
          <w:szCs w:val="16"/>
        </w:rPr>
        <w:t xml:space="preserve"> Framework</w:t>
      </w:r>
      <w:r w:rsidRPr="00D84B11">
        <w:rPr>
          <w:sz w:val="16"/>
          <w:szCs w:val="16"/>
        </w:rPr>
        <w:t xml:space="preserve">. </w:t>
      </w:r>
    </w:p>
    <w:p w14:paraId="077C05EA" w14:textId="77777777" w:rsidR="00D84B11" w:rsidRPr="00D84B11" w:rsidRDefault="00D84B11" w:rsidP="006B65B8">
      <w:pPr>
        <w:pStyle w:val="IASBNormalnparaL1"/>
        <w:ind w:left="1491" w:hanging="709"/>
        <w:rPr>
          <w:sz w:val="16"/>
          <w:szCs w:val="16"/>
          <w:u w:val="single"/>
        </w:rPr>
      </w:pPr>
      <w:r w:rsidRPr="00D84B11">
        <w:rPr>
          <w:sz w:val="16"/>
          <w:szCs w:val="16"/>
          <w:u w:val="single"/>
        </w:rPr>
        <w:t>AusCF13</w:t>
      </w:r>
      <w:r w:rsidRPr="00D84B11">
        <w:rPr>
          <w:sz w:val="16"/>
          <w:szCs w:val="16"/>
        </w:rPr>
        <w:t xml:space="preserve"> </w:t>
      </w:r>
      <w:r>
        <w:rPr>
          <w:sz w:val="16"/>
          <w:szCs w:val="16"/>
        </w:rPr>
        <w:tab/>
      </w:r>
      <w:r w:rsidRPr="00D84B11">
        <w:rPr>
          <w:sz w:val="16"/>
          <w:szCs w:val="16"/>
          <w:u w:val="single"/>
        </w:rPr>
        <w:t xml:space="preserve">Notwithstanding footnote 13, in respect of AusCF entities, see paragraph QC32 of the </w:t>
      </w:r>
      <w:r w:rsidRPr="00D84B11">
        <w:rPr>
          <w:i/>
          <w:sz w:val="16"/>
          <w:szCs w:val="16"/>
          <w:u w:val="single"/>
        </w:rPr>
        <w:t>Framework</w:t>
      </w:r>
      <w:r w:rsidRPr="00D84B11">
        <w:rPr>
          <w:sz w:val="16"/>
          <w:szCs w:val="16"/>
          <w:u w:val="single"/>
        </w:rPr>
        <w:t>.</w:t>
      </w:r>
    </w:p>
    <w:p w14:paraId="3BFB9B1B" w14:textId="77777777" w:rsidR="00D84B11" w:rsidRDefault="001425B5" w:rsidP="0057486B">
      <w:pPr>
        <w:autoSpaceDE w:val="0"/>
        <w:autoSpaceDN w:val="0"/>
        <w:adjustRightInd w:val="0"/>
        <w:spacing w:before="100"/>
        <w:rPr>
          <w:szCs w:val="19"/>
        </w:rPr>
      </w:pPr>
      <w:r>
        <w:rPr>
          <w:szCs w:val="19"/>
        </w:rPr>
        <w:t>…</w:t>
      </w:r>
    </w:p>
    <w:p w14:paraId="6DDE7D08" w14:textId="1D5AAEF6" w:rsidR="00D84B11" w:rsidRPr="00D84B11" w:rsidRDefault="00D84B11" w:rsidP="006B65B8">
      <w:pPr>
        <w:pStyle w:val="IASBNormalnpara"/>
        <w:rPr>
          <w:szCs w:val="19"/>
        </w:rPr>
      </w:pPr>
      <w:r w:rsidRPr="00D84B11">
        <w:rPr>
          <w:szCs w:val="19"/>
        </w:rPr>
        <w:t>17</w:t>
      </w:r>
      <w:r w:rsidRPr="00D84B11">
        <w:rPr>
          <w:szCs w:val="19"/>
        </w:rPr>
        <w:tab/>
        <w:t>The primary users of an entity’s financial statements make decisions about providing resources to the entity</w:t>
      </w:r>
      <w:r w:rsidR="009F1F15" w:rsidRPr="00D84B11">
        <w:rPr>
          <w:szCs w:val="19"/>
        </w:rPr>
        <w:t xml:space="preserve">.  </w:t>
      </w:r>
      <w:r w:rsidRPr="00D84B11">
        <w:rPr>
          <w:szCs w:val="19"/>
        </w:rPr>
        <w:t>Those decisions involve: buying, selling or holding equity and debt instruments, providing or settling loans and other forms of credit,</w:t>
      </w:r>
      <w:r w:rsidRPr="00AC4961">
        <w:rPr>
          <w:strike/>
          <w:szCs w:val="19"/>
          <w:vertAlign w:val="superscript"/>
        </w:rPr>
        <w:t>14</w:t>
      </w:r>
      <w:r w:rsidRPr="00D84B11">
        <w:rPr>
          <w:szCs w:val="19"/>
        </w:rPr>
        <w:t xml:space="preserve"> and exercising rights while holding investments (such as the right to vote on or otherwise influence management’s actions that affect the use of the entity’s economic resources).</w:t>
      </w:r>
      <w:r w:rsidR="00AC4961" w:rsidRPr="00AC4961">
        <w:rPr>
          <w:szCs w:val="19"/>
          <w:u w:val="single"/>
          <w:vertAlign w:val="superscript"/>
        </w:rPr>
        <w:t>14</w:t>
      </w:r>
      <w:r w:rsidR="00AC4961" w:rsidRPr="00D84B11">
        <w:rPr>
          <w:szCs w:val="19"/>
          <w:u w:val="single"/>
          <w:vertAlign w:val="superscript"/>
        </w:rPr>
        <w:t>, AusCF14</w:t>
      </w:r>
      <w:r w:rsidR="00AC4961">
        <w:rPr>
          <w:szCs w:val="19"/>
          <w:u w:val="single"/>
          <w:vertAlign w:val="superscript"/>
        </w:rPr>
        <w:t>,</w:t>
      </w:r>
      <w:r w:rsidR="00A474AF">
        <w:rPr>
          <w:szCs w:val="19"/>
          <w:u w:val="single"/>
          <w:vertAlign w:val="superscript"/>
        </w:rPr>
        <w:t xml:space="preserve"> </w:t>
      </w:r>
      <w:r w:rsidRPr="00D84B11">
        <w:rPr>
          <w:strike/>
          <w:szCs w:val="19"/>
          <w:vertAlign w:val="superscript"/>
        </w:rPr>
        <w:t>15</w:t>
      </w:r>
      <w:r w:rsidRPr="00E91BE7">
        <w:rPr>
          <w:strike/>
          <w:szCs w:val="19"/>
          <w:vertAlign w:val="superscript"/>
        </w:rPr>
        <w:t xml:space="preserve"> </w:t>
      </w:r>
      <w:r w:rsidRPr="00D84B11">
        <w:rPr>
          <w:szCs w:val="19"/>
          <w:u w:val="single"/>
          <w:vertAlign w:val="superscript"/>
        </w:rPr>
        <w:t>AusCF15</w:t>
      </w:r>
      <w:r w:rsidRPr="00D84B11">
        <w:rPr>
          <w:szCs w:val="19"/>
        </w:rPr>
        <w:t xml:space="preserve"> </w:t>
      </w:r>
      <w:r w:rsidR="00A474AF">
        <w:rPr>
          <w:szCs w:val="19"/>
        </w:rPr>
        <w:t xml:space="preserve"> </w:t>
      </w:r>
      <w:r w:rsidRPr="00D84B11">
        <w:rPr>
          <w:szCs w:val="19"/>
        </w:rPr>
        <w:t>Such decisions depend on the returns that primary users expect from an investment in those instruments.</w:t>
      </w:r>
    </w:p>
    <w:p w14:paraId="507D55AE" w14:textId="6D734213" w:rsidR="00D84B11" w:rsidRPr="00D84B11" w:rsidRDefault="00D84B11" w:rsidP="006B65B8">
      <w:pPr>
        <w:pStyle w:val="IASBNormalnparaL1"/>
        <w:ind w:left="1491" w:hanging="709"/>
        <w:rPr>
          <w:strike/>
          <w:sz w:val="16"/>
          <w:szCs w:val="16"/>
        </w:rPr>
      </w:pPr>
      <w:r w:rsidRPr="00D84B11">
        <w:rPr>
          <w:sz w:val="16"/>
          <w:szCs w:val="16"/>
        </w:rPr>
        <w:t>14</w:t>
      </w:r>
      <w:r w:rsidRPr="00D84B11">
        <w:rPr>
          <w:sz w:val="16"/>
          <w:szCs w:val="16"/>
        </w:rPr>
        <w:tab/>
        <w:t xml:space="preserve">See paragraph </w:t>
      </w:r>
      <w:r w:rsidRPr="00D84B11">
        <w:rPr>
          <w:strike/>
          <w:sz w:val="16"/>
          <w:szCs w:val="16"/>
        </w:rPr>
        <w:t>OB2</w:t>
      </w:r>
      <w:r w:rsidR="0057486B">
        <w:rPr>
          <w:strike/>
          <w:sz w:val="16"/>
          <w:szCs w:val="16"/>
        </w:rPr>
        <w:t xml:space="preserve"> </w:t>
      </w:r>
      <w:r w:rsidRPr="00D84B11">
        <w:rPr>
          <w:sz w:val="16"/>
          <w:szCs w:val="16"/>
          <w:u w:val="single"/>
        </w:rPr>
        <w:t>1.2</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i/>
          <w:sz w:val="16"/>
          <w:szCs w:val="16"/>
        </w:rPr>
        <w:t xml:space="preserve"> Framework.</w:t>
      </w:r>
    </w:p>
    <w:p w14:paraId="67A016D4" w14:textId="77777777" w:rsidR="00D84B11" w:rsidRPr="00D84B11" w:rsidRDefault="00D84B11" w:rsidP="006B65B8">
      <w:pPr>
        <w:pStyle w:val="IASBNormalnparaL1"/>
        <w:ind w:left="1491" w:hanging="709"/>
        <w:rPr>
          <w:sz w:val="16"/>
          <w:szCs w:val="16"/>
        </w:rPr>
      </w:pPr>
      <w:r w:rsidRPr="00D84B11">
        <w:rPr>
          <w:sz w:val="16"/>
          <w:szCs w:val="16"/>
          <w:u w:val="single"/>
        </w:rPr>
        <w:t>AusCF14</w:t>
      </w:r>
      <w:r w:rsidRPr="00D84B11">
        <w:rPr>
          <w:sz w:val="16"/>
          <w:szCs w:val="16"/>
        </w:rPr>
        <w:tab/>
      </w:r>
      <w:r w:rsidRPr="00D84B11">
        <w:rPr>
          <w:sz w:val="16"/>
          <w:szCs w:val="16"/>
          <w:u w:val="single"/>
        </w:rPr>
        <w:t xml:space="preserve">Notwithstanding footnote 14, in respect of AusCF entities, see paragraph OB2 of the </w:t>
      </w:r>
      <w:r w:rsidRPr="00045667">
        <w:rPr>
          <w:i/>
          <w:sz w:val="16"/>
          <w:szCs w:val="16"/>
          <w:u w:val="single"/>
        </w:rPr>
        <w:t>Framework</w:t>
      </w:r>
      <w:r w:rsidRPr="00D84B11">
        <w:rPr>
          <w:sz w:val="16"/>
          <w:szCs w:val="16"/>
          <w:u w:val="single"/>
        </w:rPr>
        <w:t>.</w:t>
      </w:r>
    </w:p>
    <w:p w14:paraId="135B717D" w14:textId="79BABAD3" w:rsidR="00D84B11" w:rsidRPr="00D84B11" w:rsidRDefault="00D84B11" w:rsidP="006B65B8">
      <w:pPr>
        <w:pStyle w:val="IASBNormalnparaL1"/>
        <w:ind w:left="1491" w:hanging="709"/>
        <w:rPr>
          <w:sz w:val="16"/>
          <w:szCs w:val="16"/>
          <w:u w:val="single"/>
        </w:rPr>
      </w:pPr>
      <w:r w:rsidRPr="00D84B11">
        <w:rPr>
          <w:strike/>
          <w:sz w:val="16"/>
          <w:szCs w:val="16"/>
        </w:rPr>
        <w:t>15</w:t>
      </w:r>
      <w:r w:rsidRPr="00D84B11">
        <w:rPr>
          <w:sz w:val="16"/>
          <w:szCs w:val="16"/>
        </w:rPr>
        <w:tab/>
      </w:r>
      <w:r w:rsidRPr="00D84B11">
        <w:rPr>
          <w:strike/>
          <w:sz w:val="16"/>
          <w:szCs w:val="16"/>
        </w:rPr>
        <w:t>The International Accounting Standards Board (IASB) considers primary users’ resource allocation decisions to include decisions needed to exercise rights while holding investments, such as rights to vote on or otherwise influence management’s actions that affect the use of the entity’s economic resources</w:t>
      </w:r>
      <w:r w:rsidR="009F1F15" w:rsidRPr="00D84B11">
        <w:rPr>
          <w:strike/>
          <w:sz w:val="16"/>
          <w:szCs w:val="16"/>
        </w:rPr>
        <w:t xml:space="preserve">.  </w:t>
      </w:r>
      <w:r w:rsidRPr="00D84B11">
        <w:rPr>
          <w:strike/>
          <w:sz w:val="16"/>
          <w:szCs w:val="16"/>
        </w:rPr>
        <w:t xml:space="preserve">The IASB has tentatively decided to clarify this point, which was previously implicit in the phrase ‘decisions to hold equity instruments’, as part of its deliberations on the revised </w:t>
      </w:r>
      <w:r w:rsidRPr="00D84B11">
        <w:rPr>
          <w:i/>
          <w:strike/>
          <w:sz w:val="16"/>
          <w:szCs w:val="16"/>
        </w:rPr>
        <w:t>Conceptual Framework</w:t>
      </w:r>
      <w:r w:rsidR="009F1F15" w:rsidRPr="00D84B11">
        <w:rPr>
          <w:strike/>
          <w:sz w:val="16"/>
          <w:szCs w:val="16"/>
        </w:rPr>
        <w:t xml:space="preserve">.  </w:t>
      </w:r>
      <w:r w:rsidRPr="00D84B11">
        <w:rPr>
          <w:strike/>
          <w:sz w:val="16"/>
          <w:szCs w:val="16"/>
        </w:rPr>
        <w:t xml:space="preserve">The AASB will review this guidance as part of its deliberations on the revised </w:t>
      </w:r>
      <w:r w:rsidRPr="00D84B11">
        <w:rPr>
          <w:i/>
          <w:strike/>
          <w:sz w:val="16"/>
          <w:szCs w:val="16"/>
        </w:rPr>
        <w:t>Framework</w:t>
      </w:r>
      <w:r w:rsidRPr="00D84B11">
        <w:rPr>
          <w:strike/>
          <w:sz w:val="16"/>
          <w:szCs w:val="16"/>
        </w:rPr>
        <w:t>.</w:t>
      </w:r>
    </w:p>
    <w:p w14:paraId="25C47284" w14:textId="735929B7" w:rsidR="00D84B11" w:rsidRPr="00D84B11" w:rsidRDefault="00D84B11" w:rsidP="006B65B8">
      <w:pPr>
        <w:pStyle w:val="IASBNormalnparaL1"/>
        <w:ind w:left="1491" w:hanging="709"/>
        <w:rPr>
          <w:sz w:val="16"/>
          <w:szCs w:val="16"/>
          <w:u w:val="single"/>
        </w:rPr>
      </w:pPr>
      <w:r w:rsidRPr="00D84B11">
        <w:rPr>
          <w:sz w:val="16"/>
          <w:szCs w:val="16"/>
          <w:u w:val="single"/>
        </w:rPr>
        <w:t>AusCF15</w:t>
      </w:r>
      <w:r w:rsidRPr="00D84B11">
        <w:rPr>
          <w:sz w:val="16"/>
          <w:szCs w:val="16"/>
        </w:rPr>
        <w:tab/>
      </w:r>
      <w:r w:rsidRPr="00D84B11">
        <w:rPr>
          <w:sz w:val="16"/>
          <w:szCs w:val="16"/>
          <w:u w:val="single"/>
        </w:rPr>
        <w:t>The International Accounting Standards Board (IASB) considers primary users’ resource allocation decisions to include decisions needed to exercise rights while holding investments, such as rights to vote on or otherwise influence management’s actions that affect the use of the entity’s economic resources</w:t>
      </w:r>
      <w:r w:rsidR="009F1F15" w:rsidRPr="00D84B11">
        <w:rPr>
          <w:sz w:val="16"/>
          <w:szCs w:val="16"/>
          <w:u w:val="single"/>
        </w:rPr>
        <w:t xml:space="preserve">.  </w:t>
      </w:r>
      <w:r w:rsidRPr="00D84B11">
        <w:rPr>
          <w:sz w:val="16"/>
          <w:szCs w:val="16"/>
          <w:u w:val="single"/>
        </w:rPr>
        <w:t xml:space="preserve">The IASB </w:t>
      </w:r>
      <w:r w:rsidR="00EC43B9">
        <w:rPr>
          <w:sz w:val="16"/>
          <w:szCs w:val="16"/>
          <w:u w:val="single"/>
        </w:rPr>
        <w:t>has clarified</w:t>
      </w:r>
      <w:r w:rsidRPr="00D84B11">
        <w:rPr>
          <w:sz w:val="16"/>
          <w:szCs w:val="16"/>
          <w:u w:val="single"/>
        </w:rPr>
        <w:t xml:space="preserve"> this point, which was previously implicit in the phrase ‘decisions to hold equity instruments’, </w:t>
      </w:r>
      <w:r w:rsidR="00EC43B9">
        <w:rPr>
          <w:sz w:val="16"/>
          <w:szCs w:val="16"/>
          <w:u w:val="single"/>
        </w:rPr>
        <w:t xml:space="preserve">in </w:t>
      </w:r>
      <w:r w:rsidRPr="00D84B11">
        <w:rPr>
          <w:sz w:val="16"/>
          <w:szCs w:val="16"/>
          <w:u w:val="single"/>
        </w:rPr>
        <w:t xml:space="preserve">the revised </w:t>
      </w:r>
      <w:r w:rsidRPr="00D84B11">
        <w:rPr>
          <w:i/>
          <w:sz w:val="16"/>
          <w:szCs w:val="16"/>
          <w:u w:val="single"/>
        </w:rPr>
        <w:t>Conceptual</w:t>
      </w:r>
      <w:r w:rsidRPr="00D84B11">
        <w:rPr>
          <w:sz w:val="16"/>
          <w:szCs w:val="16"/>
          <w:u w:val="single"/>
        </w:rPr>
        <w:t xml:space="preserve"> </w:t>
      </w:r>
      <w:r w:rsidRPr="00D84B11">
        <w:rPr>
          <w:i/>
          <w:sz w:val="16"/>
          <w:szCs w:val="16"/>
          <w:u w:val="single"/>
        </w:rPr>
        <w:t>Framework</w:t>
      </w:r>
      <w:r w:rsidR="009F1F15" w:rsidRPr="00D84B11">
        <w:rPr>
          <w:sz w:val="16"/>
          <w:szCs w:val="16"/>
          <w:u w:val="single"/>
        </w:rPr>
        <w:t xml:space="preserve">.  </w:t>
      </w:r>
      <w:r w:rsidRPr="00D84B11">
        <w:rPr>
          <w:sz w:val="16"/>
          <w:szCs w:val="16"/>
          <w:u w:val="single"/>
        </w:rPr>
        <w:t xml:space="preserve">The AASB will review this guidance as part of its deliberations on the revised </w:t>
      </w:r>
      <w:r w:rsidRPr="00D84B11">
        <w:rPr>
          <w:i/>
          <w:sz w:val="16"/>
          <w:szCs w:val="16"/>
          <w:u w:val="single"/>
        </w:rPr>
        <w:t>Framework</w:t>
      </w:r>
      <w:r w:rsidRPr="00D84B11">
        <w:rPr>
          <w:sz w:val="16"/>
          <w:szCs w:val="16"/>
          <w:u w:val="single"/>
        </w:rPr>
        <w:t>.</w:t>
      </w:r>
    </w:p>
    <w:p w14:paraId="08901C3C" w14:textId="29E661BF" w:rsidR="00D84B11" w:rsidRPr="00D84B11" w:rsidRDefault="00D84B11" w:rsidP="006B65B8">
      <w:pPr>
        <w:pStyle w:val="IASBNormalnpara"/>
        <w:rPr>
          <w:szCs w:val="19"/>
          <w:vertAlign w:val="superscript"/>
        </w:rPr>
      </w:pPr>
      <w:r w:rsidRPr="00D84B11">
        <w:rPr>
          <w:szCs w:val="19"/>
        </w:rPr>
        <w:t>18</w:t>
      </w:r>
      <w:r w:rsidRPr="00D84B11">
        <w:rPr>
          <w:szCs w:val="19"/>
        </w:rPr>
        <w:tab/>
        <w:t>The expectations existing and potential investors, lenders and other creditors have about returns, in turn, depend on their assessment of the amount, timing and uncertainty of the future net cash inflows to an entity,</w:t>
      </w:r>
      <w:r w:rsidRPr="00AC4961">
        <w:rPr>
          <w:strike/>
          <w:szCs w:val="19"/>
          <w:vertAlign w:val="superscript"/>
        </w:rPr>
        <w:t>16</w:t>
      </w:r>
      <w:r w:rsidRPr="00D84B11">
        <w:rPr>
          <w:szCs w:val="19"/>
        </w:rPr>
        <w:t xml:space="preserve"> together with their assessment of management’s stewardship of the entity’s resources.</w:t>
      </w:r>
      <w:r w:rsidR="00AC4961">
        <w:rPr>
          <w:szCs w:val="19"/>
          <w:u w:val="single"/>
          <w:vertAlign w:val="superscript"/>
        </w:rPr>
        <w:t>16</w:t>
      </w:r>
      <w:r w:rsidR="00AC4961" w:rsidRPr="00D84B11">
        <w:rPr>
          <w:szCs w:val="19"/>
          <w:u w:val="single"/>
          <w:vertAlign w:val="superscript"/>
        </w:rPr>
        <w:t xml:space="preserve">, </w:t>
      </w:r>
      <w:r w:rsidR="00AC4961" w:rsidRPr="00045667">
        <w:rPr>
          <w:szCs w:val="19"/>
          <w:u w:val="single"/>
          <w:vertAlign w:val="superscript"/>
        </w:rPr>
        <w:t>AusCF16</w:t>
      </w:r>
      <w:r w:rsidR="00AC4961">
        <w:rPr>
          <w:szCs w:val="19"/>
          <w:u w:val="single"/>
          <w:vertAlign w:val="superscript"/>
        </w:rPr>
        <w:t>,</w:t>
      </w:r>
      <w:r w:rsidR="00A474AF">
        <w:rPr>
          <w:szCs w:val="19"/>
          <w:u w:val="single"/>
          <w:vertAlign w:val="superscript"/>
        </w:rPr>
        <w:t xml:space="preserve"> </w:t>
      </w:r>
      <w:r w:rsidRPr="00D84B11">
        <w:rPr>
          <w:strike/>
          <w:szCs w:val="19"/>
          <w:vertAlign w:val="superscript"/>
        </w:rPr>
        <w:t>17</w:t>
      </w:r>
      <w:r w:rsidRPr="00E91BE7">
        <w:rPr>
          <w:strike/>
          <w:szCs w:val="19"/>
          <w:vertAlign w:val="superscript"/>
        </w:rPr>
        <w:t xml:space="preserve"> </w:t>
      </w:r>
      <w:r w:rsidRPr="00D84B11">
        <w:rPr>
          <w:szCs w:val="19"/>
          <w:u w:val="single"/>
          <w:vertAlign w:val="superscript"/>
        </w:rPr>
        <w:t>AusCF17</w:t>
      </w:r>
    </w:p>
    <w:p w14:paraId="2E71FCB0" w14:textId="61D621BF" w:rsidR="00D84B11" w:rsidRDefault="00D84B11" w:rsidP="006B65B8">
      <w:pPr>
        <w:pStyle w:val="IASBNormalnparaL1"/>
        <w:ind w:left="1491" w:hanging="709"/>
        <w:rPr>
          <w:sz w:val="16"/>
          <w:szCs w:val="16"/>
        </w:rPr>
      </w:pPr>
      <w:r w:rsidRPr="00D84B11">
        <w:rPr>
          <w:sz w:val="16"/>
          <w:szCs w:val="16"/>
        </w:rPr>
        <w:t>16</w:t>
      </w:r>
      <w:r w:rsidRPr="00D84B11">
        <w:rPr>
          <w:sz w:val="16"/>
          <w:szCs w:val="16"/>
        </w:rPr>
        <w:tab/>
        <w:t xml:space="preserve">See paragraph </w:t>
      </w:r>
      <w:r w:rsidRPr="00D84B11">
        <w:rPr>
          <w:strike/>
          <w:sz w:val="16"/>
          <w:szCs w:val="16"/>
        </w:rPr>
        <w:t>OB3</w:t>
      </w:r>
      <w:r w:rsidR="0057486B">
        <w:rPr>
          <w:strike/>
          <w:sz w:val="16"/>
          <w:szCs w:val="16"/>
        </w:rPr>
        <w:t xml:space="preserve"> </w:t>
      </w:r>
      <w:r w:rsidRPr="00D84B11">
        <w:rPr>
          <w:sz w:val="16"/>
          <w:szCs w:val="16"/>
          <w:u w:val="single"/>
        </w:rPr>
        <w:t>1.3</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i/>
          <w:sz w:val="16"/>
          <w:szCs w:val="16"/>
        </w:rPr>
        <w:t xml:space="preserve"> Framework</w:t>
      </w:r>
      <w:r w:rsidRPr="00D84B11">
        <w:rPr>
          <w:sz w:val="16"/>
          <w:szCs w:val="16"/>
        </w:rPr>
        <w:t>.</w:t>
      </w:r>
    </w:p>
    <w:p w14:paraId="68E7A8F4" w14:textId="77777777" w:rsidR="00D84B11" w:rsidRPr="00D84B11" w:rsidRDefault="00D84B11" w:rsidP="006B65B8">
      <w:pPr>
        <w:pStyle w:val="IASBNormalnparaL1"/>
        <w:ind w:left="1491" w:hanging="709"/>
        <w:rPr>
          <w:sz w:val="16"/>
          <w:szCs w:val="16"/>
        </w:rPr>
      </w:pPr>
      <w:r w:rsidRPr="00D84B11">
        <w:rPr>
          <w:sz w:val="16"/>
          <w:szCs w:val="16"/>
          <w:u w:val="single"/>
        </w:rPr>
        <w:t>AusCF16</w:t>
      </w:r>
      <w:r w:rsidRPr="00D84B11">
        <w:rPr>
          <w:sz w:val="16"/>
          <w:szCs w:val="16"/>
        </w:rPr>
        <w:tab/>
      </w:r>
      <w:r w:rsidRPr="00D84B11">
        <w:rPr>
          <w:sz w:val="16"/>
          <w:szCs w:val="16"/>
          <w:u w:val="single"/>
        </w:rPr>
        <w:t xml:space="preserve">Notwithstanding footnote 16, in respect of AusCF entities, see paragraph OB3 of the </w:t>
      </w:r>
      <w:r w:rsidRPr="00045667">
        <w:rPr>
          <w:i/>
          <w:sz w:val="16"/>
          <w:szCs w:val="16"/>
          <w:u w:val="single"/>
        </w:rPr>
        <w:t>Framework</w:t>
      </w:r>
      <w:r w:rsidRPr="00D84B11">
        <w:rPr>
          <w:sz w:val="16"/>
          <w:szCs w:val="16"/>
          <w:u w:val="single"/>
        </w:rPr>
        <w:t>.</w:t>
      </w:r>
    </w:p>
    <w:p w14:paraId="0FB69EFA" w14:textId="0B9E2E76" w:rsidR="00D84B11" w:rsidRPr="00D84B11" w:rsidRDefault="00D84B11" w:rsidP="006B65B8">
      <w:pPr>
        <w:pStyle w:val="IASBNormalnparaL1"/>
        <w:ind w:left="1491" w:hanging="709"/>
        <w:rPr>
          <w:strike/>
          <w:sz w:val="16"/>
          <w:szCs w:val="16"/>
        </w:rPr>
      </w:pPr>
      <w:r w:rsidRPr="00D84B11">
        <w:rPr>
          <w:strike/>
          <w:sz w:val="16"/>
          <w:szCs w:val="16"/>
        </w:rPr>
        <w:t>17</w:t>
      </w:r>
      <w:r w:rsidRPr="00D84B11">
        <w:rPr>
          <w:sz w:val="16"/>
          <w:szCs w:val="16"/>
        </w:rPr>
        <w:tab/>
      </w:r>
      <w:r w:rsidRPr="00D84B11">
        <w:rPr>
          <w:strike/>
          <w:sz w:val="16"/>
          <w:szCs w:val="16"/>
        </w:rPr>
        <w:t xml:space="preserve">Paragraph 1.3 of the IASB Exposure Draft ED/2015/3 </w:t>
      </w:r>
      <w:r w:rsidRPr="00D84B11">
        <w:rPr>
          <w:i/>
          <w:strike/>
          <w:sz w:val="16"/>
          <w:szCs w:val="16"/>
        </w:rPr>
        <w:t>Conceptual Framework for Financial Reporting</w:t>
      </w:r>
      <w:r w:rsidRPr="00D84B11">
        <w:rPr>
          <w:strike/>
          <w:sz w:val="16"/>
          <w:szCs w:val="16"/>
        </w:rPr>
        <w:t xml:space="preserve"> (Conceptual Framework ED) proposed to reintroduce the term ‘stewardship’ and to explain explicitly that investors’, creditors’ and other lenders’ expectations about returns also depend on their assessment of management’s stewardship of the entity’s resources</w:t>
      </w:r>
      <w:r w:rsidR="009F1F15" w:rsidRPr="00D84B11">
        <w:rPr>
          <w:strike/>
          <w:sz w:val="16"/>
          <w:szCs w:val="16"/>
        </w:rPr>
        <w:t xml:space="preserve">.  </w:t>
      </w:r>
      <w:r w:rsidRPr="00D84B11">
        <w:rPr>
          <w:strike/>
          <w:sz w:val="16"/>
          <w:szCs w:val="16"/>
        </w:rPr>
        <w:t xml:space="preserve">The IASB has tentatively decided to confirm this as part of its deliberations on the revised </w:t>
      </w:r>
      <w:r w:rsidRPr="00D84B11">
        <w:rPr>
          <w:i/>
          <w:strike/>
          <w:sz w:val="16"/>
          <w:szCs w:val="16"/>
        </w:rPr>
        <w:t>Conceptual</w:t>
      </w:r>
      <w:r w:rsidRPr="00D84B11">
        <w:rPr>
          <w:strike/>
          <w:sz w:val="16"/>
          <w:szCs w:val="16"/>
        </w:rPr>
        <w:t xml:space="preserve"> </w:t>
      </w:r>
      <w:r w:rsidRPr="00D84B11">
        <w:rPr>
          <w:i/>
          <w:strike/>
          <w:sz w:val="16"/>
          <w:szCs w:val="16"/>
        </w:rPr>
        <w:t>Framework</w:t>
      </w:r>
      <w:r w:rsidR="009F1F15" w:rsidRPr="00D84B11">
        <w:rPr>
          <w:strike/>
          <w:sz w:val="16"/>
          <w:szCs w:val="16"/>
        </w:rPr>
        <w:t xml:space="preserve">.  </w:t>
      </w:r>
      <w:r w:rsidRPr="00D84B11">
        <w:rPr>
          <w:strike/>
          <w:sz w:val="16"/>
          <w:szCs w:val="16"/>
        </w:rPr>
        <w:t xml:space="preserve">The AASB will review this guidance as part of its deliberations on the revised </w:t>
      </w:r>
      <w:r w:rsidRPr="00D84B11">
        <w:rPr>
          <w:i/>
          <w:strike/>
          <w:sz w:val="16"/>
          <w:szCs w:val="16"/>
        </w:rPr>
        <w:t>Framework</w:t>
      </w:r>
      <w:r w:rsidRPr="00D84B11">
        <w:rPr>
          <w:strike/>
          <w:sz w:val="16"/>
          <w:szCs w:val="16"/>
        </w:rPr>
        <w:t>.</w:t>
      </w:r>
    </w:p>
    <w:p w14:paraId="7CA921D8" w14:textId="2EB635AB" w:rsidR="00D84B11" w:rsidRPr="00D84B11" w:rsidRDefault="00D84B11" w:rsidP="006B65B8">
      <w:pPr>
        <w:pStyle w:val="IASBNormalnparaL1"/>
        <w:ind w:left="1491" w:hanging="709"/>
        <w:rPr>
          <w:sz w:val="16"/>
          <w:szCs w:val="16"/>
        </w:rPr>
      </w:pPr>
      <w:r w:rsidRPr="00D84B11">
        <w:rPr>
          <w:sz w:val="16"/>
          <w:szCs w:val="16"/>
          <w:u w:val="single"/>
        </w:rPr>
        <w:t>AusCF17</w:t>
      </w:r>
      <w:r w:rsidRPr="00D84B11">
        <w:rPr>
          <w:sz w:val="16"/>
          <w:szCs w:val="16"/>
        </w:rPr>
        <w:tab/>
      </w:r>
      <w:r w:rsidRPr="00D84B11">
        <w:rPr>
          <w:sz w:val="16"/>
          <w:szCs w:val="16"/>
          <w:u w:val="single"/>
        </w:rPr>
        <w:t xml:space="preserve">Paragraph 1.3 of the IASB Exposure Draft ED/2015/3 </w:t>
      </w:r>
      <w:r w:rsidRPr="00D84B11">
        <w:rPr>
          <w:i/>
          <w:sz w:val="16"/>
          <w:szCs w:val="16"/>
          <w:u w:val="single"/>
        </w:rPr>
        <w:t>Conceptual Framework for Financial Reporting</w:t>
      </w:r>
      <w:r w:rsidRPr="00D84B11">
        <w:rPr>
          <w:sz w:val="16"/>
          <w:szCs w:val="16"/>
          <w:u w:val="single"/>
        </w:rPr>
        <w:t xml:space="preserve"> (Conceptual Framework ED) proposed to reintroduce the term ‘stewardship’ and to explain explicitly that investors’, creditors’ and other lenders’ expectations about returns also depend on their assessment of management’s stewardship of the entity’s resources</w:t>
      </w:r>
      <w:r w:rsidR="009F1F15" w:rsidRPr="00D84B11">
        <w:rPr>
          <w:sz w:val="16"/>
          <w:szCs w:val="16"/>
          <w:u w:val="single"/>
        </w:rPr>
        <w:t xml:space="preserve">.  </w:t>
      </w:r>
      <w:r w:rsidRPr="00D84B11">
        <w:rPr>
          <w:sz w:val="16"/>
          <w:szCs w:val="16"/>
          <w:u w:val="single"/>
        </w:rPr>
        <w:t>The IASB has confirm</w:t>
      </w:r>
      <w:r w:rsidR="00EC43B9">
        <w:rPr>
          <w:sz w:val="16"/>
          <w:szCs w:val="16"/>
          <w:u w:val="single"/>
        </w:rPr>
        <w:t>ed</w:t>
      </w:r>
      <w:r w:rsidRPr="00D84B11">
        <w:rPr>
          <w:sz w:val="16"/>
          <w:szCs w:val="16"/>
          <w:u w:val="single"/>
        </w:rPr>
        <w:t xml:space="preserve"> this </w:t>
      </w:r>
      <w:r w:rsidR="00EC43B9">
        <w:rPr>
          <w:sz w:val="16"/>
          <w:szCs w:val="16"/>
          <w:u w:val="single"/>
        </w:rPr>
        <w:t xml:space="preserve">in </w:t>
      </w:r>
      <w:r w:rsidRPr="00D84B11">
        <w:rPr>
          <w:sz w:val="16"/>
          <w:szCs w:val="16"/>
          <w:u w:val="single"/>
        </w:rPr>
        <w:t xml:space="preserve">the revised </w:t>
      </w:r>
      <w:r w:rsidRPr="00D84B11">
        <w:rPr>
          <w:i/>
          <w:sz w:val="16"/>
          <w:szCs w:val="16"/>
          <w:u w:val="single"/>
        </w:rPr>
        <w:t>Conceptual</w:t>
      </w:r>
      <w:r w:rsidRPr="00D84B11">
        <w:rPr>
          <w:sz w:val="16"/>
          <w:szCs w:val="16"/>
          <w:u w:val="single"/>
        </w:rPr>
        <w:t xml:space="preserve"> </w:t>
      </w:r>
      <w:r w:rsidRPr="00D84B11">
        <w:rPr>
          <w:i/>
          <w:sz w:val="16"/>
          <w:szCs w:val="16"/>
          <w:u w:val="single"/>
        </w:rPr>
        <w:t>Framework</w:t>
      </w:r>
      <w:r w:rsidR="009F1F15" w:rsidRPr="00D84B11">
        <w:rPr>
          <w:sz w:val="16"/>
          <w:szCs w:val="16"/>
          <w:u w:val="single"/>
        </w:rPr>
        <w:t xml:space="preserve">.  </w:t>
      </w:r>
      <w:r w:rsidRPr="00D84B11">
        <w:rPr>
          <w:sz w:val="16"/>
          <w:szCs w:val="16"/>
          <w:u w:val="single"/>
        </w:rPr>
        <w:t xml:space="preserve">The AASB will review this guidance as part of its deliberations on the revised </w:t>
      </w:r>
      <w:r w:rsidRPr="00D84B11">
        <w:rPr>
          <w:i/>
          <w:sz w:val="16"/>
          <w:szCs w:val="16"/>
          <w:u w:val="single"/>
        </w:rPr>
        <w:t>Framework</w:t>
      </w:r>
      <w:r w:rsidRPr="00D84B11">
        <w:rPr>
          <w:sz w:val="16"/>
          <w:szCs w:val="16"/>
          <w:u w:val="single"/>
        </w:rPr>
        <w:t>.</w:t>
      </w:r>
    </w:p>
    <w:p w14:paraId="112E44B8" w14:textId="2A0C048D" w:rsidR="00D84B11" w:rsidRPr="00D84B11" w:rsidRDefault="0057486B" w:rsidP="006B65B8">
      <w:pPr>
        <w:pStyle w:val="IASBNormalnpara"/>
        <w:rPr>
          <w:szCs w:val="19"/>
        </w:rPr>
      </w:pPr>
      <w:r>
        <w:rPr>
          <w:szCs w:val="19"/>
        </w:rPr>
        <w:t>19</w:t>
      </w:r>
      <w:r w:rsidR="00D84B11" w:rsidRPr="00D84B11">
        <w:rPr>
          <w:szCs w:val="19"/>
        </w:rPr>
        <w:tab/>
        <w:t>Consequently, an entity’s primary users need information about:</w:t>
      </w:r>
    </w:p>
    <w:p w14:paraId="370F13CC" w14:textId="7F9EF9DD" w:rsidR="00D84B11" w:rsidRPr="00D84B11" w:rsidRDefault="006B65B8" w:rsidP="006B65B8">
      <w:pPr>
        <w:pStyle w:val="IASBNormalnparaL1"/>
        <w:rPr>
          <w:szCs w:val="19"/>
        </w:rPr>
      </w:pPr>
      <w:r>
        <w:rPr>
          <w:szCs w:val="19"/>
        </w:rPr>
        <w:t>(a)</w:t>
      </w:r>
      <w:r>
        <w:rPr>
          <w:szCs w:val="19"/>
        </w:rPr>
        <w:tab/>
      </w:r>
      <w:r w:rsidR="00D84B11" w:rsidRPr="00D84B11">
        <w:rPr>
          <w:szCs w:val="19"/>
        </w:rPr>
        <w:t>the resources of the entity (assets), claims against the entity (liabilities and equity) and changes in those resources and claims (income and expenses); and</w:t>
      </w:r>
    </w:p>
    <w:p w14:paraId="5877417D" w14:textId="0E34B301" w:rsidR="00D84B11" w:rsidRPr="00D84B11" w:rsidRDefault="006B65B8" w:rsidP="006B65B8">
      <w:pPr>
        <w:pStyle w:val="IASBNormalnparaL1"/>
        <w:rPr>
          <w:szCs w:val="19"/>
        </w:rPr>
      </w:pPr>
      <w:r>
        <w:rPr>
          <w:szCs w:val="19"/>
        </w:rPr>
        <w:t>(b)</w:t>
      </w:r>
      <w:r>
        <w:rPr>
          <w:szCs w:val="19"/>
        </w:rPr>
        <w:tab/>
      </w:r>
      <w:r w:rsidR="00D84B11" w:rsidRPr="00D84B11">
        <w:rPr>
          <w:szCs w:val="19"/>
        </w:rPr>
        <w:t>how efficiently and effectively the entity’s management and governing board have discharged their responsibility to use the entity’s resources.</w:t>
      </w:r>
      <w:r w:rsidR="00D84B11" w:rsidRPr="00D84B11">
        <w:rPr>
          <w:szCs w:val="19"/>
          <w:vertAlign w:val="superscript"/>
        </w:rPr>
        <w:t>19</w:t>
      </w:r>
      <w:r w:rsidR="00D84B11" w:rsidRPr="00D84B11">
        <w:rPr>
          <w:szCs w:val="19"/>
          <w:u w:val="single"/>
          <w:vertAlign w:val="superscript"/>
        </w:rPr>
        <w:t>, AusCF19</w:t>
      </w:r>
    </w:p>
    <w:p w14:paraId="27F8B425" w14:textId="5F9C0779" w:rsidR="00D84B11" w:rsidRDefault="00D84B11" w:rsidP="006B65B8">
      <w:pPr>
        <w:pStyle w:val="IASBNormalnparaL1"/>
        <w:ind w:left="1491" w:hanging="709"/>
        <w:rPr>
          <w:sz w:val="16"/>
          <w:szCs w:val="16"/>
        </w:rPr>
      </w:pPr>
      <w:r w:rsidRPr="00D84B11">
        <w:rPr>
          <w:sz w:val="16"/>
          <w:szCs w:val="16"/>
        </w:rPr>
        <w:t>19</w:t>
      </w:r>
      <w:r w:rsidRPr="00D84B11">
        <w:rPr>
          <w:sz w:val="16"/>
          <w:szCs w:val="16"/>
        </w:rPr>
        <w:tab/>
        <w:t xml:space="preserve">See paragraph </w:t>
      </w:r>
      <w:r w:rsidRPr="00D84B11">
        <w:rPr>
          <w:strike/>
          <w:sz w:val="16"/>
          <w:szCs w:val="16"/>
        </w:rPr>
        <w:t>OB4</w:t>
      </w:r>
      <w:r w:rsidR="0057486B">
        <w:rPr>
          <w:strike/>
          <w:sz w:val="16"/>
          <w:szCs w:val="16"/>
        </w:rPr>
        <w:t xml:space="preserve"> </w:t>
      </w:r>
      <w:r w:rsidRPr="00D84B11">
        <w:rPr>
          <w:sz w:val="16"/>
          <w:szCs w:val="16"/>
          <w:u w:val="single"/>
        </w:rPr>
        <w:t>1.4</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sz w:val="16"/>
          <w:szCs w:val="16"/>
        </w:rPr>
        <w:t xml:space="preserve"> </w:t>
      </w:r>
      <w:r w:rsidRPr="00D84B11">
        <w:rPr>
          <w:i/>
          <w:sz w:val="16"/>
          <w:szCs w:val="16"/>
        </w:rPr>
        <w:t>Framework</w:t>
      </w:r>
      <w:r w:rsidRPr="00D84B11">
        <w:rPr>
          <w:sz w:val="16"/>
          <w:szCs w:val="16"/>
        </w:rPr>
        <w:t xml:space="preserve">. </w:t>
      </w:r>
    </w:p>
    <w:p w14:paraId="739AC71B" w14:textId="77777777" w:rsidR="00D84B11" w:rsidRPr="00D84B11" w:rsidRDefault="00D84B11" w:rsidP="006B65B8">
      <w:pPr>
        <w:pStyle w:val="IASBNormalnparaL1"/>
        <w:ind w:left="1491" w:hanging="709"/>
        <w:rPr>
          <w:sz w:val="16"/>
          <w:szCs w:val="16"/>
        </w:rPr>
      </w:pPr>
      <w:r w:rsidRPr="00D84B11">
        <w:rPr>
          <w:sz w:val="16"/>
          <w:szCs w:val="16"/>
          <w:u w:val="single"/>
        </w:rPr>
        <w:t>AusCF19</w:t>
      </w:r>
      <w:r w:rsidRPr="00D84B11">
        <w:rPr>
          <w:sz w:val="16"/>
          <w:szCs w:val="16"/>
        </w:rPr>
        <w:tab/>
      </w:r>
      <w:r w:rsidRPr="00D84B11">
        <w:rPr>
          <w:sz w:val="16"/>
          <w:szCs w:val="16"/>
          <w:u w:val="single"/>
        </w:rPr>
        <w:t xml:space="preserve">Notwithstanding footnote 19, in respect of AusCF entities, see paragraph OB4 of the </w:t>
      </w:r>
      <w:r w:rsidRPr="00D84B11">
        <w:rPr>
          <w:i/>
          <w:sz w:val="16"/>
          <w:szCs w:val="16"/>
          <w:u w:val="single"/>
        </w:rPr>
        <w:t>Framework</w:t>
      </w:r>
      <w:r w:rsidRPr="00D84B11">
        <w:rPr>
          <w:sz w:val="16"/>
          <w:szCs w:val="16"/>
          <w:u w:val="single"/>
        </w:rPr>
        <w:t>.</w:t>
      </w:r>
    </w:p>
    <w:p w14:paraId="793BAE0F" w14:textId="0C83C494" w:rsidR="00D84B11" w:rsidRPr="00D84B11" w:rsidRDefault="00D84B11" w:rsidP="006B65B8">
      <w:pPr>
        <w:pStyle w:val="IASBNormalnpara"/>
        <w:rPr>
          <w:szCs w:val="19"/>
        </w:rPr>
      </w:pPr>
      <w:r w:rsidRPr="00D84B11">
        <w:rPr>
          <w:szCs w:val="19"/>
        </w:rPr>
        <w:t>20</w:t>
      </w:r>
      <w:r w:rsidRPr="00D84B11">
        <w:rPr>
          <w:szCs w:val="19"/>
        </w:rPr>
        <w:tab/>
        <w:t>Financial information can make a difference in decisions if it has predictive value, confirmatory value or both.</w:t>
      </w:r>
      <w:r w:rsidRPr="00D84B11">
        <w:rPr>
          <w:szCs w:val="19"/>
          <w:vertAlign w:val="superscript"/>
        </w:rPr>
        <w:t>20</w:t>
      </w:r>
      <w:r w:rsidRPr="00D84B11">
        <w:rPr>
          <w:szCs w:val="19"/>
          <w:u w:val="single"/>
          <w:vertAlign w:val="superscript"/>
        </w:rPr>
        <w:t>, AusCF20</w:t>
      </w:r>
      <w:r w:rsidRPr="00D84B11">
        <w:rPr>
          <w:szCs w:val="19"/>
        </w:rPr>
        <w:t xml:space="preserve"> </w:t>
      </w:r>
      <w:r w:rsidR="00A474AF">
        <w:rPr>
          <w:szCs w:val="19"/>
        </w:rPr>
        <w:t xml:space="preserve"> </w:t>
      </w:r>
      <w:r w:rsidRPr="00D84B11">
        <w:rPr>
          <w:szCs w:val="19"/>
        </w:rPr>
        <w:t xml:space="preserve">When making materiality judgements, an entity needs to assess whether information could reasonably be expected to influence primary users’ decisions, rather than assessing whether that information alone could reasonably be expected to change their decisions. </w:t>
      </w:r>
    </w:p>
    <w:p w14:paraId="44473A3F" w14:textId="22EC5595" w:rsidR="00D84B11" w:rsidRDefault="00D84B11" w:rsidP="006B65B8">
      <w:pPr>
        <w:pStyle w:val="IASBNormalnparaL1"/>
        <w:ind w:left="1491" w:hanging="709"/>
        <w:rPr>
          <w:sz w:val="16"/>
          <w:szCs w:val="16"/>
        </w:rPr>
      </w:pPr>
      <w:r w:rsidRPr="00D84B11">
        <w:rPr>
          <w:sz w:val="16"/>
          <w:szCs w:val="16"/>
        </w:rPr>
        <w:t>20</w:t>
      </w:r>
      <w:r w:rsidRPr="00D84B11">
        <w:rPr>
          <w:sz w:val="16"/>
          <w:szCs w:val="16"/>
        </w:rPr>
        <w:tab/>
        <w:t xml:space="preserve">See paragraph </w:t>
      </w:r>
      <w:r w:rsidRPr="00D84B11">
        <w:rPr>
          <w:strike/>
          <w:sz w:val="16"/>
          <w:szCs w:val="16"/>
        </w:rPr>
        <w:t>QC7</w:t>
      </w:r>
      <w:r w:rsidR="0057486B">
        <w:rPr>
          <w:strike/>
          <w:sz w:val="16"/>
          <w:szCs w:val="16"/>
        </w:rPr>
        <w:t xml:space="preserve"> </w:t>
      </w:r>
      <w:r w:rsidRPr="00D84B11">
        <w:rPr>
          <w:sz w:val="16"/>
          <w:szCs w:val="16"/>
          <w:u w:val="single"/>
        </w:rPr>
        <w:t>2.7</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sz w:val="16"/>
          <w:szCs w:val="16"/>
        </w:rPr>
        <w:t xml:space="preserve"> </w:t>
      </w:r>
      <w:r w:rsidRPr="00D84B11">
        <w:rPr>
          <w:i/>
          <w:sz w:val="16"/>
          <w:szCs w:val="16"/>
        </w:rPr>
        <w:t>Framework</w:t>
      </w:r>
      <w:r>
        <w:rPr>
          <w:sz w:val="16"/>
          <w:szCs w:val="16"/>
        </w:rPr>
        <w:t>.</w:t>
      </w:r>
    </w:p>
    <w:p w14:paraId="377DD9E8" w14:textId="77777777" w:rsidR="00D84B11" w:rsidRPr="00D84B11" w:rsidRDefault="00D84B11" w:rsidP="006B65B8">
      <w:pPr>
        <w:pStyle w:val="IASBNormalnparaL1"/>
        <w:ind w:left="1491" w:hanging="709"/>
        <w:rPr>
          <w:sz w:val="16"/>
          <w:szCs w:val="16"/>
        </w:rPr>
      </w:pPr>
      <w:r w:rsidRPr="00D84B11">
        <w:rPr>
          <w:sz w:val="16"/>
          <w:szCs w:val="16"/>
          <w:u w:val="single"/>
        </w:rPr>
        <w:t>AusCF20</w:t>
      </w:r>
      <w:r w:rsidRPr="00D84B11">
        <w:rPr>
          <w:sz w:val="16"/>
          <w:szCs w:val="16"/>
        </w:rPr>
        <w:tab/>
      </w:r>
      <w:r w:rsidRPr="00D84B11">
        <w:rPr>
          <w:sz w:val="16"/>
          <w:szCs w:val="16"/>
          <w:u w:val="single"/>
        </w:rPr>
        <w:t xml:space="preserve">Notwithstanding footnote </w:t>
      </w:r>
      <w:r w:rsidR="0087625A">
        <w:rPr>
          <w:sz w:val="16"/>
          <w:szCs w:val="16"/>
          <w:u w:val="single"/>
        </w:rPr>
        <w:t>20</w:t>
      </w:r>
      <w:r w:rsidRPr="00D84B11">
        <w:rPr>
          <w:sz w:val="16"/>
          <w:szCs w:val="16"/>
          <w:u w:val="single"/>
        </w:rPr>
        <w:t xml:space="preserve">, in respect of AusCF entities, see paragraph QC7 of the </w:t>
      </w:r>
      <w:r w:rsidRPr="00D84B11">
        <w:rPr>
          <w:i/>
          <w:sz w:val="16"/>
          <w:szCs w:val="16"/>
          <w:u w:val="single"/>
        </w:rPr>
        <w:t>Framework</w:t>
      </w:r>
      <w:r w:rsidRPr="00D84B11">
        <w:rPr>
          <w:sz w:val="16"/>
          <w:szCs w:val="16"/>
          <w:u w:val="single"/>
        </w:rPr>
        <w:t>.</w:t>
      </w:r>
    </w:p>
    <w:p w14:paraId="6F3DB946" w14:textId="361919AA" w:rsidR="00D84B11" w:rsidRPr="00D84B11" w:rsidRDefault="00D84B11" w:rsidP="006B65B8">
      <w:pPr>
        <w:pStyle w:val="IASBNormalnpara"/>
        <w:rPr>
          <w:szCs w:val="19"/>
        </w:rPr>
      </w:pPr>
      <w:r w:rsidRPr="00D84B11">
        <w:rPr>
          <w:szCs w:val="19"/>
        </w:rPr>
        <w:t>21</w:t>
      </w:r>
      <w:r w:rsidRPr="00D84B11">
        <w:rPr>
          <w:szCs w:val="19"/>
        </w:rPr>
        <w:tab/>
        <w:t>The objective of financial statements is to provide primary users with financial information that is useful to them in making decisions about providing resources to an entity</w:t>
      </w:r>
      <w:r w:rsidR="009F1F15" w:rsidRPr="00D84B11">
        <w:rPr>
          <w:szCs w:val="19"/>
        </w:rPr>
        <w:t xml:space="preserve">.  </w:t>
      </w:r>
      <w:r w:rsidRPr="00D84B11">
        <w:rPr>
          <w:szCs w:val="19"/>
        </w:rPr>
        <w:t>However, general purpose financial statements do not, and cannot, provide all the information that primary users need.</w:t>
      </w:r>
      <w:r w:rsidRPr="00D84B11">
        <w:rPr>
          <w:szCs w:val="19"/>
          <w:vertAlign w:val="superscript"/>
        </w:rPr>
        <w:t>21</w:t>
      </w:r>
      <w:r w:rsidRPr="00D84B11">
        <w:rPr>
          <w:szCs w:val="19"/>
          <w:u w:val="single"/>
          <w:vertAlign w:val="superscript"/>
        </w:rPr>
        <w:t>, AusCF21</w:t>
      </w:r>
      <w:r w:rsidRPr="00D84B11">
        <w:rPr>
          <w:szCs w:val="19"/>
        </w:rPr>
        <w:t xml:space="preserve"> </w:t>
      </w:r>
      <w:r w:rsidR="00A474AF">
        <w:rPr>
          <w:szCs w:val="19"/>
        </w:rPr>
        <w:t xml:space="preserve"> </w:t>
      </w:r>
      <w:r w:rsidRPr="00D84B11">
        <w:rPr>
          <w:szCs w:val="19"/>
        </w:rPr>
        <w:t>Therefore, the entity aims to meet the common information needs of its primary users</w:t>
      </w:r>
      <w:r w:rsidR="009F1F15" w:rsidRPr="00D84B11">
        <w:rPr>
          <w:szCs w:val="19"/>
        </w:rPr>
        <w:t xml:space="preserve">.  </w:t>
      </w:r>
      <w:r w:rsidRPr="00D84B11">
        <w:rPr>
          <w:szCs w:val="19"/>
        </w:rPr>
        <w:t>It does not aim to address specialised information needs—information needs that are unique to particular users.</w:t>
      </w:r>
    </w:p>
    <w:p w14:paraId="5FFEBA52" w14:textId="6C01FA4D" w:rsidR="00D84B11" w:rsidRDefault="00D84B11" w:rsidP="006B65B8">
      <w:pPr>
        <w:pStyle w:val="IASBNormalnparaL1"/>
        <w:ind w:left="1491" w:hanging="709"/>
        <w:rPr>
          <w:sz w:val="16"/>
          <w:szCs w:val="16"/>
        </w:rPr>
      </w:pPr>
      <w:r w:rsidRPr="00D84B11">
        <w:rPr>
          <w:sz w:val="16"/>
          <w:szCs w:val="16"/>
        </w:rPr>
        <w:t>21</w:t>
      </w:r>
      <w:r w:rsidRPr="00D84B11">
        <w:rPr>
          <w:sz w:val="16"/>
          <w:szCs w:val="16"/>
        </w:rPr>
        <w:tab/>
        <w:t xml:space="preserve">See paragraph </w:t>
      </w:r>
      <w:r w:rsidRPr="00D84B11">
        <w:rPr>
          <w:strike/>
          <w:sz w:val="16"/>
          <w:szCs w:val="16"/>
        </w:rPr>
        <w:t>OB6</w:t>
      </w:r>
      <w:r w:rsidR="0057486B">
        <w:rPr>
          <w:strike/>
          <w:sz w:val="16"/>
          <w:szCs w:val="16"/>
        </w:rPr>
        <w:t xml:space="preserve"> </w:t>
      </w:r>
      <w:r w:rsidRPr="00AC4961">
        <w:rPr>
          <w:sz w:val="16"/>
          <w:szCs w:val="16"/>
          <w:u w:val="single"/>
        </w:rPr>
        <w:t>1.6</w:t>
      </w:r>
      <w:r w:rsidRPr="00D84B11">
        <w:rPr>
          <w:sz w:val="16"/>
          <w:szCs w:val="16"/>
        </w:rPr>
        <w:t xml:space="preserve"> of the</w:t>
      </w:r>
      <w:r w:rsidRPr="00D84B11">
        <w:rPr>
          <w:sz w:val="16"/>
          <w:szCs w:val="16"/>
          <w:u w:val="single"/>
        </w:rPr>
        <w:t xml:space="preserve"> </w:t>
      </w:r>
      <w:r w:rsidRPr="00D84B11">
        <w:rPr>
          <w:i/>
          <w:sz w:val="16"/>
          <w:szCs w:val="16"/>
          <w:u w:val="single"/>
        </w:rPr>
        <w:t>Conceptual</w:t>
      </w:r>
      <w:r w:rsidRPr="00D84B11">
        <w:rPr>
          <w:sz w:val="16"/>
          <w:szCs w:val="16"/>
        </w:rPr>
        <w:t xml:space="preserve"> </w:t>
      </w:r>
      <w:r w:rsidRPr="00D84B11">
        <w:rPr>
          <w:i/>
          <w:sz w:val="16"/>
          <w:szCs w:val="16"/>
        </w:rPr>
        <w:t>Framework</w:t>
      </w:r>
      <w:r w:rsidRPr="00D84B11">
        <w:rPr>
          <w:sz w:val="16"/>
          <w:szCs w:val="16"/>
        </w:rPr>
        <w:t>.</w:t>
      </w:r>
    </w:p>
    <w:p w14:paraId="647CBFA1" w14:textId="77777777" w:rsidR="00D84B11" w:rsidRPr="00D84B11" w:rsidRDefault="00D84B11" w:rsidP="006B65B8">
      <w:pPr>
        <w:pStyle w:val="IASBNormalnparaL1"/>
        <w:ind w:left="1491" w:hanging="709"/>
        <w:rPr>
          <w:i/>
          <w:sz w:val="16"/>
          <w:szCs w:val="16"/>
          <w:u w:val="single"/>
        </w:rPr>
      </w:pPr>
      <w:r w:rsidRPr="00D84B11">
        <w:rPr>
          <w:sz w:val="16"/>
          <w:szCs w:val="16"/>
          <w:u w:val="single"/>
        </w:rPr>
        <w:t>AusCF21</w:t>
      </w:r>
      <w:r w:rsidRPr="00D84B11">
        <w:rPr>
          <w:sz w:val="16"/>
          <w:szCs w:val="16"/>
        </w:rPr>
        <w:tab/>
      </w:r>
      <w:r w:rsidRPr="00D84B11">
        <w:rPr>
          <w:sz w:val="16"/>
          <w:szCs w:val="16"/>
          <w:u w:val="single"/>
        </w:rPr>
        <w:t xml:space="preserve">Notwithstanding footnote </w:t>
      </w:r>
      <w:r w:rsidR="0087625A">
        <w:rPr>
          <w:sz w:val="16"/>
          <w:szCs w:val="16"/>
          <w:u w:val="single"/>
        </w:rPr>
        <w:t>21</w:t>
      </w:r>
      <w:r w:rsidRPr="00D84B11">
        <w:rPr>
          <w:sz w:val="16"/>
          <w:szCs w:val="16"/>
          <w:u w:val="single"/>
        </w:rPr>
        <w:t>, in respect of AusCF entities, see paragraph OB6 of the</w:t>
      </w:r>
      <w:r w:rsidRPr="00D84B11">
        <w:rPr>
          <w:i/>
          <w:sz w:val="16"/>
          <w:szCs w:val="16"/>
          <w:u w:val="single"/>
        </w:rPr>
        <w:t xml:space="preserve"> Framework.</w:t>
      </w:r>
    </w:p>
    <w:p w14:paraId="7902DE5C" w14:textId="5D9426EF" w:rsidR="00D84B11" w:rsidRDefault="0057486B" w:rsidP="006B65B8">
      <w:pPr>
        <w:pStyle w:val="IASBNormalnpara"/>
        <w:rPr>
          <w:szCs w:val="19"/>
        </w:rPr>
      </w:pPr>
      <w:r>
        <w:rPr>
          <w:szCs w:val="19"/>
        </w:rPr>
        <w:t>22</w:t>
      </w:r>
      <w:r w:rsidR="00D84B11" w:rsidRPr="00D84B11">
        <w:rPr>
          <w:szCs w:val="19"/>
        </w:rPr>
        <w:tab/>
        <w:t>To meet the common information needs of its primary users, an entity first separately identifies the information needs that are shared by users within one of the three categories of primary users defined in the</w:t>
      </w:r>
      <w:r w:rsidR="00D84B11" w:rsidRPr="00D84B11">
        <w:rPr>
          <w:szCs w:val="19"/>
          <w:u w:val="single"/>
        </w:rPr>
        <w:t xml:space="preserve"> </w:t>
      </w:r>
      <w:r w:rsidR="00D84B11" w:rsidRPr="00D84B11">
        <w:rPr>
          <w:i/>
          <w:szCs w:val="19"/>
          <w:u w:val="single"/>
        </w:rPr>
        <w:t>Conceptual</w:t>
      </w:r>
      <w:r w:rsidR="00D84B11" w:rsidRPr="00D84B11">
        <w:rPr>
          <w:szCs w:val="19"/>
        </w:rPr>
        <w:t xml:space="preserve"> </w:t>
      </w:r>
      <w:r w:rsidR="00D84B11" w:rsidRPr="00D84B11">
        <w:rPr>
          <w:i/>
          <w:szCs w:val="19"/>
        </w:rPr>
        <w:t>Framework</w:t>
      </w:r>
      <w:r w:rsidR="00D84B11" w:rsidRPr="00D84B11">
        <w:rPr>
          <w:szCs w:val="19"/>
        </w:rPr>
        <w:t>—for example investors (existing and potential)—then repeats the assessment for the two remaining categories—namely lenders (existing and potential) and other creditors (existing and potential)</w:t>
      </w:r>
      <w:r w:rsidR="009F1F15" w:rsidRPr="00D84B11">
        <w:rPr>
          <w:szCs w:val="19"/>
        </w:rPr>
        <w:t xml:space="preserve">.  </w:t>
      </w:r>
      <w:r w:rsidR="00D84B11" w:rsidRPr="00D84B11">
        <w:rPr>
          <w:szCs w:val="19"/>
        </w:rPr>
        <w:t xml:space="preserve">The total of the information needs identified is the set of common information needs the entity aims to meet. </w:t>
      </w:r>
    </w:p>
    <w:p w14:paraId="2F8BCE14" w14:textId="77777777" w:rsidR="00D84B11" w:rsidRDefault="00D84B11" w:rsidP="006B65B8">
      <w:pPr>
        <w:pStyle w:val="IASBNormalnpara"/>
        <w:rPr>
          <w:szCs w:val="19"/>
          <w:u w:val="single"/>
        </w:rPr>
      </w:pPr>
      <w:r w:rsidRPr="00D84B11">
        <w:rPr>
          <w:szCs w:val="19"/>
          <w:u w:val="single"/>
        </w:rPr>
        <w:t>AusCF22</w:t>
      </w:r>
      <w:r w:rsidRPr="00D84B11">
        <w:rPr>
          <w:szCs w:val="19"/>
        </w:rPr>
        <w:t xml:space="preserve"> </w:t>
      </w:r>
      <w:r w:rsidRPr="00D84B11">
        <w:rPr>
          <w:szCs w:val="19"/>
        </w:rPr>
        <w:tab/>
      </w:r>
      <w:r w:rsidRPr="00D84B11">
        <w:rPr>
          <w:szCs w:val="19"/>
          <w:u w:val="single"/>
        </w:rPr>
        <w:t xml:space="preserve">Notwithstanding paragraph 22, in respect of AusCF entities, to meet the common information needs of its primary users, an entity first separately identifies the information needs that are shared by users within one of the three categories of primary users defined in the </w:t>
      </w:r>
      <w:r w:rsidRPr="00D84B11">
        <w:rPr>
          <w:i/>
          <w:szCs w:val="19"/>
          <w:u w:val="single"/>
        </w:rPr>
        <w:t>Framework</w:t>
      </w:r>
      <w:r w:rsidRPr="00D84B11">
        <w:rPr>
          <w:szCs w:val="19"/>
          <w:u w:val="single"/>
        </w:rPr>
        <w:t>—for example investors (existing and potential)—then repeats the assessment for the two remaining categories—namely lenders (existing and potential) and other creditors (existing and potential)</w:t>
      </w:r>
      <w:r w:rsidR="009F1F15" w:rsidRPr="00D84B11">
        <w:rPr>
          <w:szCs w:val="19"/>
          <w:u w:val="single"/>
        </w:rPr>
        <w:t xml:space="preserve">.  </w:t>
      </w:r>
      <w:r w:rsidRPr="00D84B11">
        <w:rPr>
          <w:szCs w:val="19"/>
          <w:u w:val="single"/>
        </w:rPr>
        <w:t>The total of the information needs identified is the set of common information needs the entity aims to meet.</w:t>
      </w:r>
    </w:p>
    <w:p w14:paraId="216DAC1C" w14:textId="77777777" w:rsidR="00D84B11" w:rsidRPr="001425B5" w:rsidRDefault="001425B5" w:rsidP="00C87FAF">
      <w:pPr>
        <w:autoSpaceDE w:val="0"/>
        <w:autoSpaceDN w:val="0"/>
        <w:adjustRightInd w:val="0"/>
        <w:spacing w:before="100"/>
        <w:ind w:left="1134" w:hanging="1134"/>
        <w:rPr>
          <w:szCs w:val="19"/>
        </w:rPr>
      </w:pPr>
      <w:r w:rsidRPr="001425B5">
        <w:rPr>
          <w:szCs w:val="19"/>
        </w:rPr>
        <w:t>…</w:t>
      </w:r>
    </w:p>
    <w:p w14:paraId="005E6C73" w14:textId="77777777" w:rsidR="00D84B11" w:rsidRPr="00D84B11" w:rsidRDefault="00D84B11" w:rsidP="006B65B8">
      <w:pPr>
        <w:pStyle w:val="IASBNormalnpara"/>
        <w:rPr>
          <w:szCs w:val="19"/>
          <w:u w:val="single"/>
          <w:vertAlign w:val="superscript"/>
        </w:rPr>
      </w:pPr>
      <w:r w:rsidRPr="00D84B11">
        <w:rPr>
          <w:szCs w:val="19"/>
        </w:rPr>
        <w:t>36</w:t>
      </w:r>
      <w:r w:rsidRPr="00D84B11">
        <w:rPr>
          <w:szCs w:val="19"/>
        </w:rPr>
        <w:tab/>
        <w:t>In identifying this information, an entity considers, as a starting point, the requirements of the Australian Accounting Standards applicable to its transactions, other events and conditions</w:t>
      </w:r>
      <w:r w:rsidR="009F1F15" w:rsidRPr="00D84B11">
        <w:rPr>
          <w:szCs w:val="19"/>
        </w:rPr>
        <w:t xml:space="preserve">.  </w:t>
      </w:r>
      <w:r w:rsidRPr="00D84B11">
        <w:rPr>
          <w:szCs w:val="19"/>
        </w:rPr>
        <w:t>This is the starting point because, when developing a Standard, the Board identifies the information it expects will meet the needs of a broad range of primary users for a wide variety of entities in a range of circumstances.</w:t>
      </w:r>
      <w:r w:rsidRPr="00D84B11">
        <w:rPr>
          <w:szCs w:val="19"/>
          <w:vertAlign w:val="superscript"/>
        </w:rPr>
        <w:t>23</w:t>
      </w:r>
      <w:r w:rsidRPr="00D84B11">
        <w:rPr>
          <w:szCs w:val="19"/>
          <w:u w:val="single"/>
          <w:vertAlign w:val="superscript"/>
        </w:rPr>
        <w:t>,</w:t>
      </w:r>
      <w:r w:rsidRPr="00493885">
        <w:rPr>
          <w:szCs w:val="19"/>
          <w:u w:val="single"/>
          <w:vertAlign w:val="superscript"/>
        </w:rPr>
        <w:t xml:space="preserve"> AusCF23</w:t>
      </w:r>
    </w:p>
    <w:p w14:paraId="7C1279FB" w14:textId="17A6907E" w:rsidR="00D84B11" w:rsidRDefault="00D84B11" w:rsidP="00493885">
      <w:pPr>
        <w:pStyle w:val="IASBNormalnparaL1"/>
        <w:ind w:left="1491" w:hanging="709"/>
        <w:rPr>
          <w:sz w:val="16"/>
          <w:szCs w:val="16"/>
        </w:rPr>
      </w:pPr>
      <w:r w:rsidRPr="001425B5">
        <w:rPr>
          <w:sz w:val="16"/>
          <w:szCs w:val="16"/>
        </w:rPr>
        <w:t>23</w:t>
      </w:r>
      <w:r w:rsidRPr="001425B5">
        <w:rPr>
          <w:sz w:val="16"/>
          <w:szCs w:val="16"/>
        </w:rPr>
        <w:tab/>
        <w:t xml:space="preserve">See paragraph </w:t>
      </w:r>
      <w:r w:rsidRPr="001425B5">
        <w:rPr>
          <w:strike/>
          <w:sz w:val="16"/>
          <w:szCs w:val="16"/>
        </w:rPr>
        <w:t>OB8</w:t>
      </w:r>
      <w:r w:rsidR="0057486B">
        <w:rPr>
          <w:strike/>
          <w:sz w:val="16"/>
          <w:szCs w:val="16"/>
        </w:rPr>
        <w:t xml:space="preserve"> </w:t>
      </w:r>
      <w:r w:rsidRPr="001425B5">
        <w:rPr>
          <w:sz w:val="16"/>
          <w:szCs w:val="16"/>
          <w:u w:val="single"/>
        </w:rPr>
        <w:t>1.8</w:t>
      </w:r>
      <w:r w:rsidRPr="001425B5">
        <w:rPr>
          <w:sz w:val="16"/>
          <w:szCs w:val="16"/>
        </w:rPr>
        <w:t xml:space="preserve"> of the</w:t>
      </w:r>
      <w:r w:rsidRPr="001425B5">
        <w:rPr>
          <w:i/>
          <w:sz w:val="16"/>
          <w:szCs w:val="16"/>
          <w:u w:val="single"/>
        </w:rPr>
        <w:t xml:space="preserve"> Conceptual</w:t>
      </w:r>
      <w:r w:rsidRPr="001425B5">
        <w:rPr>
          <w:sz w:val="16"/>
          <w:szCs w:val="16"/>
        </w:rPr>
        <w:t xml:space="preserve"> </w:t>
      </w:r>
      <w:r w:rsidRPr="001425B5">
        <w:rPr>
          <w:i/>
          <w:sz w:val="16"/>
          <w:szCs w:val="16"/>
        </w:rPr>
        <w:t>Framework</w:t>
      </w:r>
      <w:r w:rsidRPr="001425B5">
        <w:rPr>
          <w:sz w:val="16"/>
          <w:szCs w:val="16"/>
        </w:rPr>
        <w:t>.</w:t>
      </w:r>
    </w:p>
    <w:p w14:paraId="51BFF306" w14:textId="77777777" w:rsidR="00D84B11" w:rsidRPr="001425B5" w:rsidRDefault="00D84B11" w:rsidP="00493885">
      <w:pPr>
        <w:pStyle w:val="IASBNormalnparaL1"/>
        <w:ind w:left="1491" w:hanging="709"/>
        <w:rPr>
          <w:sz w:val="16"/>
          <w:szCs w:val="16"/>
          <w:u w:val="single"/>
        </w:rPr>
      </w:pPr>
      <w:r w:rsidRPr="001425B5">
        <w:rPr>
          <w:sz w:val="16"/>
          <w:szCs w:val="16"/>
          <w:u w:val="single"/>
        </w:rPr>
        <w:t>AusCF23</w:t>
      </w:r>
      <w:r w:rsidRPr="001425B5">
        <w:rPr>
          <w:sz w:val="16"/>
          <w:szCs w:val="16"/>
        </w:rPr>
        <w:tab/>
      </w:r>
      <w:r w:rsidRPr="001425B5">
        <w:rPr>
          <w:sz w:val="16"/>
          <w:szCs w:val="16"/>
          <w:u w:val="single"/>
        </w:rPr>
        <w:t xml:space="preserve">Notwithstanding footnote 23, in respect of AusCF entities, see paragraph OB8 of the </w:t>
      </w:r>
      <w:r w:rsidRPr="001425B5">
        <w:rPr>
          <w:i/>
          <w:sz w:val="16"/>
          <w:szCs w:val="16"/>
          <w:u w:val="single"/>
        </w:rPr>
        <w:t>Framework</w:t>
      </w:r>
      <w:r w:rsidRPr="001425B5">
        <w:rPr>
          <w:sz w:val="16"/>
          <w:szCs w:val="16"/>
          <w:u w:val="single"/>
        </w:rPr>
        <w:t>.</w:t>
      </w:r>
    </w:p>
    <w:p w14:paraId="4BDB0585" w14:textId="77777777" w:rsidR="00D84B11" w:rsidRPr="0067049C" w:rsidRDefault="001425B5" w:rsidP="00C87FAF">
      <w:pPr>
        <w:pStyle w:val="Default"/>
        <w:spacing w:before="100"/>
        <w:ind w:left="1134" w:hanging="1134"/>
        <w:jc w:val="both"/>
        <w:rPr>
          <w:color w:val="auto"/>
          <w:sz w:val="19"/>
          <w:szCs w:val="19"/>
        </w:rPr>
      </w:pPr>
      <w:r w:rsidRPr="0067049C">
        <w:rPr>
          <w:color w:val="auto"/>
          <w:sz w:val="19"/>
          <w:szCs w:val="19"/>
        </w:rPr>
        <w:t>…</w:t>
      </w:r>
    </w:p>
    <w:p w14:paraId="51367AFC" w14:textId="77777777" w:rsidR="00D84B11" w:rsidRPr="00D84B11" w:rsidRDefault="00D84B11" w:rsidP="00493885">
      <w:pPr>
        <w:pStyle w:val="IASBNormalnpara"/>
        <w:rPr>
          <w:szCs w:val="19"/>
        </w:rPr>
      </w:pPr>
      <w:r w:rsidRPr="00D84B11">
        <w:rPr>
          <w:szCs w:val="19"/>
        </w:rPr>
        <w:t>38</w:t>
      </w:r>
      <w:r w:rsidRPr="00D84B11">
        <w:rPr>
          <w:szCs w:val="19"/>
        </w:rPr>
        <w:tab/>
        <w:t>An entity also considers its primary users’ common information needs (as explained in paragraphs 21–23) to identify any information—in addition to that specified in Australian Accounting Standards—necessary to enable primary users to understand the impact of the entity’s transactions, other events and conditions on the entity’s financial position, financial performance and cash flows (see paragraph 10)</w:t>
      </w:r>
      <w:r w:rsidR="009F1F15" w:rsidRPr="00D84B11">
        <w:rPr>
          <w:szCs w:val="19"/>
        </w:rPr>
        <w:t xml:space="preserve">.  </w:t>
      </w:r>
      <w:r w:rsidRPr="00D84B11">
        <w:rPr>
          <w:szCs w:val="19"/>
        </w:rPr>
        <w:t>Existing and potential investors, lenders and other creditors need information about the resources of the entity (assets), claims against the entity (liabilities and equity) and changes in those resources and claims (income and expenses), and information that will help them assess how efficiently and effectively the entity’s management and governing board have discharged their responsibility to use the entity’s resources.</w:t>
      </w:r>
      <w:r w:rsidRPr="00D84B11">
        <w:rPr>
          <w:szCs w:val="19"/>
          <w:vertAlign w:val="superscript"/>
        </w:rPr>
        <w:t>24</w:t>
      </w:r>
      <w:r w:rsidRPr="00D84B11">
        <w:rPr>
          <w:szCs w:val="19"/>
          <w:u w:val="single"/>
          <w:vertAlign w:val="superscript"/>
        </w:rPr>
        <w:t>, AusCF24</w:t>
      </w:r>
      <w:r w:rsidRPr="00D84B11">
        <w:rPr>
          <w:szCs w:val="19"/>
        </w:rPr>
        <w:t xml:space="preserve"> </w:t>
      </w:r>
    </w:p>
    <w:p w14:paraId="04873967" w14:textId="7FD79EB2" w:rsidR="00D84B11" w:rsidRPr="001425B5" w:rsidRDefault="00D84B11" w:rsidP="00493885">
      <w:pPr>
        <w:pStyle w:val="IASBNormalnparaL1"/>
        <w:ind w:left="1491" w:hanging="709"/>
        <w:rPr>
          <w:sz w:val="16"/>
          <w:szCs w:val="16"/>
        </w:rPr>
      </w:pPr>
      <w:r w:rsidRPr="001425B5">
        <w:rPr>
          <w:sz w:val="16"/>
          <w:szCs w:val="16"/>
        </w:rPr>
        <w:t>24</w:t>
      </w:r>
      <w:r w:rsidRPr="001425B5">
        <w:rPr>
          <w:sz w:val="16"/>
          <w:szCs w:val="16"/>
        </w:rPr>
        <w:tab/>
        <w:t xml:space="preserve">See paragraph </w:t>
      </w:r>
      <w:r w:rsidRPr="001425B5">
        <w:rPr>
          <w:strike/>
          <w:sz w:val="16"/>
          <w:szCs w:val="16"/>
        </w:rPr>
        <w:t>OB4</w:t>
      </w:r>
      <w:r w:rsidR="0057486B">
        <w:rPr>
          <w:strike/>
          <w:sz w:val="16"/>
          <w:szCs w:val="16"/>
        </w:rPr>
        <w:t xml:space="preserve"> </w:t>
      </w:r>
      <w:r w:rsidRPr="001425B5">
        <w:rPr>
          <w:sz w:val="16"/>
          <w:szCs w:val="16"/>
          <w:u w:val="single"/>
        </w:rPr>
        <w:t>1.4</w:t>
      </w:r>
      <w:r w:rsidRPr="001425B5">
        <w:rPr>
          <w:sz w:val="16"/>
          <w:szCs w:val="16"/>
        </w:rPr>
        <w:t xml:space="preserve"> of the</w:t>
      </w:r>
      <w:r w:rsidRPr="001425B5">
        <w:rPr>
          <w:i/>
          <w:sz w:val="16"/>
          <w:szCs w:val="16"/>
          <w:u w:val="single"/>
        </w:rPr>
        <w:t xml:space="preserve"> Conceptual</w:t>
      </w:r>
      <w:r w:rsidRPr="001425B5">
        <w:rPr>
          <w:sz w:val="16"/>
          <w:szCs w:val="16"/>
        </w:rPr>
        <w:t xml:space="preserve"> </w:t>
      </w:r>
      <w:r w:rsidRPr="001425B5">
        <w:rPr>
          <w:i/>
          <w:sz w:val="16"/>
          <w:szCs w:val="16"/>
        </w:rPr>
        <w:t>Framework</w:t>
      </w:r>
      <w:r w:rsidRPr="001425B5">
        <w:rPr>
          <w:sz w:val="16"/>
          <w:szCs w:val="16"/>
        </w:rPr>
        <w:t>.</w:t>
      </w:r>
    </w:p>
    <w:p w14:paraId="0DE4C4A6" w14:textId="77777777" w:rsidR="00D84B11" w:rsidRPr="001425B5" w:rsidRDefault="00D84B11" w:rsidP="00493885">
      <w:pPr>
        <w:pStyle w:val="IASBNormalnparaL1"/>
        <w:ind w:left="1491" w:hanging="709"/>
        <w:rPr>
          <w:sz w:val="16"/>
          <w:szCs w:val="16"/>
          <w:u w:val="single"/>
        </w:rPr>
      </w:pPr>
      <w:r w:rsidRPr="001425B5">
        <w:rPr>
          <w:sz w:val="16"/>
          <w:szCs w:val="16"/>
          <w:u w:val="single"/>
        </w:rPr>
        <w:t>AusCF24</w:t>
      </w:r>
      <w:r w:rsidRPr="001425B5">
        <w:rPr>
          <w:sz w:val="16"/>
          <w:szCs w:val="16"/>
        </w:rPr>
        <w:tab/>
      </w:r>
      <w:r w:rsidRPr="001425B5">
        <w:rPr>
          <w:sz w:val="16"/>
          <w:szCs w:val="16"/>
          <w:u w:val="single"/>
        </w:rPr>
        <w:t xml:space="preserve">Notwithstanding footnote 24, in respect of AusCF entities, see paragraph OB4 of the </w:t>
      </w:r>
      <w:r w:rsidRPr="001425B5">
        <w:rPr>
          <w:i/>
          <w:sz w:val="16"/>
          <w:szCs w:val="16"/>
          <w:u w:val="single"/>
        </w:rPr>
        <w:t>Framework</w:t>
      </w:r>
      <w:r w:rsidRPr="001425B5">
        <w:rPr>
          <w:sz w:val="16"/>
          <w:szCs w:val="16"/>
          <w:u w:val="single"/>
        </w:rPr>
        <w:t>.</w:t>
      </w:r>
    </w:p>
    <w:p w14:paraId="1C58C95B" w14:textId="77777777" w:rsidR="00D84B11" w:rsidRPr="0067049C" w:rsidRDefault="001425B5" w:rsidP="00C87FAF">
      <w:pPr>
        <w:pStyle w:val="Default"/>
        <w:spacing w:before="100"/>
        <w:ind w:left="1134" w:hanging="1134"/>
        <w:jc w:val="both"/>
        <w:rPr>
          <w:color w:val="auto"/>
          <w:sz w:val="19"/>
          <w:szCs w:val="19"/>
        </w:rPr>
      </w:pPr>
      <w:r w:rsidRPr="0067049C">
        <w:rPr>
          <w:color w:val="auto"/>
          <w:sz w:val="19"/>
          <w:szCs w:val="19"/>
        </w:rPr>
        <w:t>…</w:t>
      </w:r>
    </w:p>
    <w:p w14:paraId="2506C09C" w14:textId="16350EC1" w:rsidR="00D84B11" w:rsidRPr="00D84B11" w:rsidRDefault="00D84B11" w:rsidP="00493885">
      <w:pPr>
        <w:pStyle w:val="IASBNormalnpara"/>
        <w:rPr>
          <w:szCs w:val="19"/>
        </w:rPr>
      </w:pPr>
      <w:r w:rsidRPr="00D84B11">
        <w:rPr>
          <w:szCs w:val="19"/>
        </w:rPr>
        <w:t>56</w:t>
      </w:r>
      <w:r w:rsidRPr="00D84B11">
        <w:rPr>
          <w:szCs w:val="19"/>
        </w:rPr>
        <w:tab/>
        <w:t>Classifying, characterising and presenting information clearly and concisely makes it understandable.</w:t>
      </w:r>
      <w:r w:rsidRPr="00D84B11">
        <w:rPr>
          <w:szCs w:val="19"/>
          <w:vertAlign w:val="superscript"/>
        </w:rPr>
        <w:t>27</w:t>
      </w:r>
      <w:r w:rsidRPr="00D84B11">
        <w:rPr>
          <w:szCs w:val="19"/>
          <w:u w:val="single"/>
          <w:vertAlign w:val="superscript"/>
        </w:rPr>
        <w:t>, AusCF27</w:t>
      </w:r>
      <w:r w:rsidRPr="00D84B11">
        <w:rPr>
          <w:szCs w:val="19"/>
        </w:rPr>
        <w:t xml:space="preserve"> </w:t>
      </w:r>
      <w:r w:rsidR="00A474AF">
        <w:rPr>
          <w:szCs w:val="19"/>
        </w:rPr>
        <w:t xml:space="preserve"> </w:t>
      </w:r>
      <w:r w:rsidRPr="00D84B11">
        <w:rPr>
          <w:szCs w:val="19"/>
        </w:rPr>
        <w:t>An entity exercises judgement when deciding how to communicate information clearly and concisely</w:t>
      </w:r>
      <w:r w:rsidR="009F1F15" w:rsidRPr="00D84B11">
        <w:rPr>
          <w:szCs w:val="19"/>
        </w:rPr>
        <w:t xml:space="preserve">.  </w:t>
      </w:r>
      <w:r w:rsidRPr="00D84B11">
        <w:rPr>
          <w:szCs w:val="19"/>
        </w:rPr>
        <w:t>For example, the entity is more likely to clearly and concisely communicate the material information identified in Step 2 by organising it to: …</w:t>
      </w:r>
    </w:p>
    <w:p w14:paraId="25628BBB" w14:textId="0DF00888" w:rsidR="00D84B11" w:rsidRDefault="00D84B11" w:rsidP="00493885">
      <w:pPr>
        <w:pStyle w:val="IASBNormalnparaL1"/>
        <w:ind w:left="1491" w:hanging="709"/>
        <w:rPr>
          <w:sz w:val="16"/>
          <w:szCs w:val="16"/>
        </w:rPr>
      </w:pPr>
      <w:r w:rsidRPr="001425B5">
        <w:rPr>
          <w:sz w:val="16"/>
          <w:szCs w:val="16"/>
        </w:rPr>
        <w:t>27</w:t>
      </w:r>
      <w:r w:rsidRPr="001425B5">
        <w:rPr>
          <w:sz w:val="16"/>
          <w:szCs w:val="16"/>
        </w:rPr>
        <w:tab/>
        <w:t xml:space="preserve">See paragraph </w:t>
      </w:r>
      <w:r w:rsidRPr="001425B5">
        <w:rPr>
          <w:strike/>
          <w:sz w:val="16"/>
          <w:szCs w:val="16"/>
        </w:rPr>
        <w:t>QC30</w:t>
      </w:r>
      <w:r w:rsidR="0057486B">
        <w:rPr>
          <w:strike/>
          <w:sz w:val="16"/>
          <w:szCs w:val="16"/>
        </w:rPr>
        <w:t xml:space="preserve"> </w:t>
      </w:r>
      <w:r w:rsidRPr="001425B5">
        <w:rPr>
          <w:sz w:val="16"/>
          <w:szCs w:val="16"/>
          <w:u w:val="single"/>
        </w:rPr>
        <w:t>2.34</w:t>
      </w:r>
      <w:r w:rsidRPr="001425B5">
        <w:rPr>
          <w:sz w:val="16"/>
          <w:szCs w:val="16"/>
        </w:rPr>
        <w:t xml:space="preserve"> of the</w:t>
      </w:r>
      <w:r w:rsidRPr="001425B5">
        <w:rPr>
          <w:i/>
          <w:sz w:val="16"/>
          <w:szCs w:val="16"/>
          <w:u w:val="single"/>
        </w:rPr>
        <w:t xml:space="preserve"> Conceptual</w:t>
      </w:r>
      <w:r w:rsidRPr="001425B5">
        <w:rPr>
          <w:sz w:val="16"/>
          <w:szCs w:val="16"/>
        </w:rPr>
        <w:t xml:space="preserve"> </w:t>
      </w:r>
      <w:r w:rsidRPr="001425B5">
        <w:rPr>
          <w:i/>
          <w:sz w:val="16"/>
          <w:szCs w:val="16"/>
        </w:rPr>
        <w:t>Framework</w:t>
      </w:r>
      <w:r w:rsidRPr="001425B5">
        <w:rPr>
          <w:sz w:val="16"/>
          <w:szCs w:val="16"/>
        </w:rPr>
        <w:t>.</w:t>
      </w:r>
    </w:p>
    <w:p w14:paraId="566CCE05" w14:textId="77777777" w:rsidR="00D84B11" w:rsidRPr="001425B5" w:rsidRDefault="00D84B11" w:rsidP="00493885">
      <w:pPr>
        <w:pStyle w:val="IASBNormalnparaL1"/>
        <w:ind w:left="1491" w:hanging="709"/>
        <w:rPr>
          <w:sz w:val="16"/>
          <w:szCs w:val="16"/>
          <w:u w:val="single"/>
        </w:rPr>
      </w:pPr>
      <w:r w:rsidRPr="001425B5">
        <w:rPr>
          <w:sz w:val="16"/>
          <w:szCs w:val="16"/>
          <w:u w:val="single"/>
        </w:rPr>
        <w:t>AusCF27</w:t>
      </w:r>
      <w:r w:rsidRPr="001425B5">
        <w:rPr>
          <w:sz w:val="16"/>
          <w:szCs w:val="16"/>
        </w:rPr>
        <w:tab/>
      </w:r>
      <w:r w:rsidRPr="001425B5">
        <w:rPr>
          <w:sz w:val="16"/>
          <w:szCs w:val="16"/>
          <w:u w:val="single"/>
        </w:rPr>
        <w:t xml:space="preserve">Notwithstanding footnote 27, in respect of AusCF entities, see paragraph QC30 of the </w:t>
      </w:r>
      <w:r w:rsidRPr="001425B5">
        <w:rPr>
          <w:i/>
          <w:sz w:val="16"/>
          <w:szCs w:val="16"/>
          <w:u w:val="single"/>
        </w:rPr>
        <w:t>Framework</w:t>
      </w:r>
      <w:r w:rsidRPr="001425B5">
        <w:rPr>
          <w:sz w:val="16"/>
          <w:szCs w:val="16"/>
          <w:u w:val="single"/>
        </w:rPr>
        <w:t>.</w:t>
      </w:r>
    </w:p>
    <w:p w14:paraId="27287833" w14:textId="77777777" w:rsidR="001425B5" w:rsidRDefault="001425B5" w:rsidP="00C87FAF">
      <w:pPr>
        <w:autoSpaceDE w:val="0"/>
        <w:autoSpaceDN w:val="0"/>
        <w:adjustRightInd w:val="0"/>
        <w:spacing w:before="100"/>
        <w:ind w:left="1134" w:hanging="1134"/>
        <w:rPr>
          <w:szCs w:val="19"/>
        </w:rPr>
      </w:pPr>
      <w:r>
        <w:rPr>
          <w:szCs w:val="19"/>
        </w:rPr>
        <w:t>…</w:t>
      </w:r>
    </w:p>
    <w:p w14:paraId="20B66751" w14:textId="4E691771" w:rsidR="00D84B11" w:rsidRPr="00D84B11" w:rsidRDefault="00D84B11" w:rsidP="00493885">
      <w:pPr>
        <w:pStyle w:val="IASBNormalnpara"/>
        <w:rPr>
          <w:szCs w:val="19"/>
        </w:rPr>
      </w:pPr>
      <w:r w:rsidRPr="00D84B11">
        <w:rPr>
          <w:szCs w:val="19"/>
        </w:rPr>
        <w:t>62</w:t>
      </w:r>
      <w:r w:rsidRPr="00D84B11">
        <w:rPr>
          <w:szCs w:val="19"/>
        </w:rPr>
        <w:tab/>
        <w:t>This review gives an entity the opportunity to ‘step back’ and consider the information provided from a wider perspective and in aggregate</w:t>
      </w:r>
      <w:r w:rsidR="009F1F15" w:rsidRPr="00D84B11">
        <w:rPr>
          <w:szCs w:val="19"/>
        </w:rPr>
        <w:t xml:space="preserve">.  </w:t>
      </w:r>
      <w:r w:rsidRPr="00D84B11">
        <w:rPr>
          <w:szCs w:val="19"/>
        </w:rPr>
        <w:t>This enables the entity to consider the overall picture of its financial position, financial performance and cash flows</w:t>
      </w:r>
      <w:r w:rsidR="009F1F15" w:rsidRPr="00D84B11">
        <w:rPr>
          <w:szCs w:val="19"/>
        </w:rPr>
        <w:t xml:space="preserve">.  </w:t>
      </w:r>
      <w:r w:rsidRPr="00D84B11">
        <w:rPr>
          <w:szCs w:val="19"/>
        </w:rPr>
        <w:t xml:space="preserve">In performing this review, the entity also considers whether: </w:t>
      </w:r>
    </w:p>
    <w:p w14:paraId="10A66100" w14:textId="3962208D" w:rsidR="00D84B11" w:rsidRPr="00D84B11" w:rsidRDefault="00493885" w:rsidP="00493885">
      <w:pPr>
        <w:pStyle w:val="IASBNormalnparaL1"/>
        <w:rPr>
          <w:szCs w:val="19"/>
        </w:rPr>
      </w:pPr>
      <w:r>
        <w:rPr>
          <w:szCs w:val="19"/>
        </w:rPr>
        <w:t>(a)</w:t>
      </w:r>
      <w:r>
        <w:rPr>
          <w:szCs w:val="19"/>
        </w:rPr>
        <w:tab/>
      </w:r>
      <w:r w:rsidR="00D84B11" w:rsidRPr="00D84B11">
        <w:rPr>
          <w:szCs w:val="19"/>
        </w:rPr>
        <w:t>all relevant relationships between different items of information have been identified</w:t>
      </w:r>
      <w:r w:rsidR="009F1F15" w:rsidRPr="00D84B11">
        <w:rPr>
          <w:szCs w:val="19"/>
        </w:rPr>
        <w:t xml:space="preserve">.  </w:t>
      </w:r>
      <w:r w:rsidR="00D84B11" w:rsidRPr="00D84B11">
        <w:rPr>
          <w:szCs w:val="19"/>
        </w:rPr>
        <w:t xml:space="preserve">Identifying new relationships between information might lead to that information being identified as material for the first time. </w:t>
      </w:r>
    </w:p>
    <w:p w14:paraId="59E3F6EB" w14:textId="7FA1688A" w:rsidR="00D84B11" w:rsidRPr="00D84B11" w:rsidRDefault="00493885" w:rsidP="00493885">
      <w:pPr>
        <w:pStyle w:val="IASBNormalnparaL1"/>
        <w:rPr>
          <w:szCs w:val="19"/>
        </w:rPr>
      </w:pPr>
      <w:r>
        <w:rPr>
          <w:szCs w:val="19"/>
        </w:rPr>
        <w:t>(b)</w:t>
      </w:r>
      <w:r>
        <w:rPr>
          <w:szCs w:val="19"/>
        </w:rPr>
        <w:tab/>
      </w:r>
      <w:r w:rsidR="00D84B11" w:rsidRPr="00D84B11">
        <w:rPr>
          <w:szCs w:val="19"/>
        </w:rPr>
        <w:t xml:space="preserve">items of information that are individually immaterial, when considered together, could nevertheless reasonably be expected to influence primary users’ decisions. </w:t>
      </w:r>
    </w:p>
    <w:p w14:paraId="19847EDF" w14:textId="164D64B2" w:rsidR="00D84B11" w:rsidRPr="00D84B11" w:rsidRDefault="00493885" w:rsidP="00493885">
      <w:pPr>
        <w:pStyle w:val="IASBNormalnparaL1"/>
        <w:rPr>
          <w:szCs w:val="19"/>
        </w:rPr>
      </w:pPr>
      <w:r>
        <w:rPr>
          <w:szCs w:val="19"/>
        </w:rPr>
        <w:t>(c)</w:t>
      </w:r>
      <w:r>
        <w:rPr>
          <w:szCs w:val="19"/>
        </w:rPr>
        <w:tab/>
      </w:r>
      <w:r w:rsidR="00D84B11" w:rsidRPr="00D84B11">
        <w:rPr>
          <w:szCs w:val="19"/>
        </w:rPr>
        <w:t xml:space="preserve">the information in the financial statements is communicated in an effective and understandable way, and organised to avoid obscuring material information. </w:t>
      </w:r>
    </w:p>
    <w:p w14:paraId="0B040143" w14:textId="5EDD699A" w:rsidR="00D84B11" w:rsidRPr="00D84B11" w:rsidRDefault="00493885" w:rsidP="00493885">
      <w:pPr>
        <w:pStyle w:val="IASBNormalnparaL1"/>
        <w:rPr>
          <w:szCs w:val="19"/>
        </w:rPr>
      </w:pPr>
      <w:r>
        <w:rPr>
          <w:szCs w:val="19"/>
        </w:rPr>
        <w:t>(d)</w:t>
      </w:r>
      <w:r>
        <w:rPr>
          <w:szCs w:val="19"/>
        </w:rPr>
        <w:tab/>
      </w:r>
      <w:r w:rsidR="00D84B11" w:rsidRPr="00D84B11">
        <w:rPr>
          <w:szCs w:val="19"/>
        </w:rPr>
        <w:t>the financial statements provide a fair presentation of the entity’s financial position, financial performance and cash flows.</w:t>
      </w:r>
      <w:r w:rsidR="00D84B11" w:rsidRPr="00D84B11">
        <w:rPr>
          <w:szCs w:val="19"/>
          <w:vertAlign w:val="superscript"/>
        </w:rPr>
        <w:t>30</w:t>
      </w:r>
      <w:r w:rsidR="00D84B11" w:rsidRPr="00D84B11">
        <w:rPr>
          <w:szCs w:val="19"/>
          <w:u w:val="single"/>
          <w:vertAlign w:val="superscript"/>
        </w:rPr>
        <w:t>, AusCF30</w:t>
      </w:r>
      <w:r w:rsidR="00D84B11" w:rsidRPr="00D84B11">
        <w:rPr>
          <w:szCs w:val="19"/>
        </w:rPr>
        <w:t xml:space="preserve"> </w:t>
      </w:r>
    </w:p>
    <w:p w14:paraId="51319901" w14:textId="4983773E" w:rsidR="00C8084B" w:rsidRPr="0057486B" w:rsidRDefault="00C8084B" w:rsidP="00493885">
      <w:pPr>
        <w:pStyle w:val="IASBNormalnparaL1"/>
        <w:ind w:left="1491" w:hanging="709"/>
        <w:rPr>
          <w:sz w:val="16"/>
          <w:szCs w:val="16"/>
        </w:rPr>
      </w:pPr>
      <w:r w:rsidRPr="0057486B">
        <w:rPr>
          <w:sz w:val="16"/>
          <w:szCs w:val="16"/>
        </w:rPr>
        <w:t>30</w:t>
      </w:r>
      <w:r w:rsidRPr="0057486B">
        <w:rPr>
          <w:sz w:val="16"/>
          <w:szCs w:val="16"/>
        </w:rPr>
        <w:tab/>
        <w:t xml:space="preserve">See paragraph 15 of AASB 101. </w:t>
      </w:r>
    </w:p>
    <w:p w14:paraId="2F751209" w14:textId="77777777" w:rsidR="00D84B11" w:rsidRPr="001425B5" w:rsidRDefault="00D84B11" w:rsidP="00493885">
      <w:pPr>
        <w:pStyle w:val="IASBNormalnparaL1"/>
        <w:ind w:left="1491" w:hanging="709"/>
        <w:rPr>
          <w:sz w:val="16"/>
          <w:szCs w:val="16"/>
          <w:u w:val="single"/>
        </w:rPr>
      </w:pPr>
      <w:r w:rsidRPr="001425B5">
        <w:rPr>
          <w:sz w:val="16"/>
          <w:szCs w:val="16"/>
          <w:u w:val="single"/>
        </w:rPr>
        <w:t>AusCF30</w:t>
      </w:r>
      <w:r w:rsidRPr="001425B5">
        <w:rPr>
          <w:sz w:val="16"/>
          <w:szCs w:val="16"/>
        </w:rPr>
        <w:tab/>
      </w:r>
      <w:r w:rsidRPr="001425B5">
        <w:rPr>
          <w:sz w:val="16"/>
          <w:szCs w:val="16"/>
          <w:u w:val="single"/>
        </w:rPr>
        <w:t xml:space="preserve">Notwithstanding footnote </w:t>
      </w:r>
      <w:r w:rsidR="0087625A">
        <w:rPr>
          <w:sz w:val="16"/>
          <w:szCs w:val="16"/>
          <w:u w:val="single"/>
        </w:rPr>
        <w:t>30</w:t>
      </w:r>
      <w:r w:rsidRPr="001425B5">
        <w:rPr>
          <w:sz w:val="16"/>
          <w:szCs w:val="16"/>
          <w:u w:val="single"/>
        </w:rPr>
        <w:t>, in respect of AusCF entities, see paragraph AusCF15 of AASB 101.</w:t>
      </w:r>
    </w:p>
    <w:p w14:paraId="3941A7E8" w14:textId="494DDB5F" w:rsidR="00D84B11" w:rsidRPr="00D84B11" w:rsidRDefault="006179F8" w:rsidP="00C87FAF">
      <w:pPr>
        <w:pStyle w:val="Heading1"/>
        <w:contextualSpacing/>
        <w:jc w:val="both"/>
      </w:pPr>
      <w:r>
        <w:t>Appendix B</w:t>
      </w:r>
    </w:p>
    <w:p w14:paraId="26D33172" w14:textId="77777777" w:rsidR="00D84B11" w:rsidRPr="00D84B11" w:rsidRDefault="00D84B11" w:rsidP="00336A44">
      <w:pPr>
        <w:pStyle w:val="Heading1"/>
        <w:spacing w:before="0"/>
      </w:pPr>
      <w:r w:rsidRPr="00D84B11">
        <w:t xml:space="preserve">References to the </w:t>
      </w:r>
      <w:r w:rsidRPr="00D84B11">
        <w:rPr>
          <w:i/>
          <w:strike/>
        </w:rPr>
        <w:t>Framework for the Preparation and Presentation of Financial Statements</w:t>
      </w:r>
      <w:r w:rsidR="00C07486">
        <w:rPr>
          <w:i/>
          <w:strike/>
        </w:rPr>
        <w:t xml:space="preserve"> </w:t>
      </w:r>
      <w:r w:rsidRPr="00D84B11">
        <w:rPr>
          <w:i/>
          <w:u w:val="single"/>
        </w:rPr>
        <w:t>Conceptual Framework for Financial Reporting</w:t>
      </w:r>
      <w:r w:rsidRPr="00D84B11">
        <w:t xml:space="preserve"> and Australian Accounting Standards</w:t>
      </w:r>
    </w:p>
    <w:p w14:paraId="0F1CA4CE" w14:textId="77777777" w:rsidR="00D84B11" w:rsidRPr="00D84B11" w:rsidRDefault="00D84B11" w:rsidP="00336A44">
      <w:pPr>
        <w:pStyle w:val="Heading2"/>
      </w:pPr>
      <w:r w:rsidRPr="00D84B11">
        <w:t xml:space="preserve">Extracts from the </w:t>
      </w:r>
      <w:r w:rsidRPr="001425B5">
        <w:rPr>
          <w:i/>
          <w:strike/>
        </w:rPr>
        <w:t>Framework for the Preparation and Presentation of Financial Statements</w:t>
      </w:r>
      <w:r w:rsidRPr="001425B5">
        <w:rPr>
          <w:strike/>
          <w:vertAlign w:val="superscript"/>
        </w:rPr>
        <w:t>47</w:t>
      </w:r>
      <w:r w:rsidR="00C07486" w:rsidRPr="00C07486">
        <w:rPr>
          <w:strike/>
        </w:rPr>
        <w:t xml:space="preserve"> </w:t>
      </w:r>
      <w:r w:rsidRPr="001425B5">
        <w:rPr>
          <w:i/>
          <w:u w:val="single"/>
        </w:rPr>
        <w:t>Conceptual Framework for Financial Reporting</w:t>
      </w:r>
    </w:p>
    <w:p w14:paraId="58EB23C3" w14:textId="77777777" w:rsidR="0087625A" w:rsidRPr="00045667" w:rsidRDefault="0087625A" w:rsidP="00493885">
      <w:pPr>
        <w:pStyle w:val="IASBNormalnparaL1"/>
        <w:ind w:left="1491" w:hanging="709"/>
        <w:rPr>
          <w:sz w:val="16"/>
          <w:szCs w:val="16"/>
        </w:rPr>
      </w:pPr>
      <w:r w:rsidRPr="00045667">
        <w:rPr>
          <w:strike/>
          <w:sz w:val="16"/>
          <w:szCs w:val="16"/>
        </w:rPr>
        <w:t>47</w:t>
      </w:r>
      <w:r w:rsidRPr="00045667">
        <w:rPr>
          <w:sz w:val="16"/>
          <w:szCs w:val="16"/>
        </w:rPr>
        <w:tab/>
      </w:r>
      <w:r w:rsidRPr="00045667">
        <w:rPr>
          <w:strike/>
          <w:sz w:val="16"/>
          <w:szCs w:val="16"/>
        </w:rPr>
        <w:t xml:space="preserve">References to the </w:t>
      </w:r>
      <w:r w:rsidRPr="00045667">
        <w:rPr>
          <w:i/>
          <w:strike/>
          <w:sz w:val="16"/>
          <w:szCs w:val="16"/>
        </w:rPr>
        <w:t>Framework for the Preparation and Presentation of Financial Statements</w:t>
      </w:r>
      <w:r w:rsidRPr="00045667">
        <w:rPr>
          <w:strike/>
          <w:sz w:val="16"/>
          <w:szCs w:val="16"/>
        </w:rPr>
        <w:t xml:space="preserve"> in this Practice Statement will be updated once the revised IASB </w:t>
      </w:r>
      <w:r w:rsidRPr="00045667">
        <w:rPr>
          <w:i/>
          <w:strike/>
          <w:sz w:val="16"/>
          <w:szCs w:val="16"/>
        </w:rPr>
        <w:t>Conceptual Framework</w:t>
      </w:r>
      <w:r w:rsidRPr="00045667">
        <w:rPr>
          <w:strike/>
          <w:sz w:val="16"/>
          <w:szCs w:val="16"/>
        </w:rPr>
        <w:t xml:space="preserve"> is issued.</w:t>
      </w:r>
    </w:p>
    <w:p w14:paraId="4214A167" w14:textId="4AE59A1C" w:rsidR="00D84B11" w:rsidRPr="00D84B11" w:rsidRDefault="00D84B11" w:rsidP="00A13649">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OB2</w:t>
      </w:r>
      <w:r w:rsidR="006179F8">
        <w:rPr>
          <w:b/>
          <w:strike/>
          <w:szCs w:val="19"/>
        </w:rPr>
        <w:t xml:space="preserve"> </w:t>
      </w:r>
      <w:r w:rsidRPr="00D84B11">
        <w:rPr>
          <w:b/>
          <w:szCs w:val="19"/>
          <w:u w:val="single"/>
        </w:rPr>
        <w:t>1.2</w:t>
      </w:r>
    </w:p>
    <w:p w14:paraId="2C80D445" w14:textId="77777777" w:rsidR="00D84B11" w:rsidRDefault="00D84B11" w:rsidP="00BA3344">
      <w:pPr>
        <w:autoSpaceDE w:val="0"/>
        <w:autoSpaceDN w:val="0"/>
        <w:adjustRightInd w:val="0"/>
        <w:spacing w:before="100"/>
        <w:ind w:left="993" w:hanging="993"/>
        <w:rPr>
          <w:szCs w:val="19"/>
        </w:rPr>
      </w:pPr>
      <w:r w:rsidRPr="00D84B11">
        <w:rPr>
          <w:szCs w:val="19"/>
        </w:rPr>
        <w:t>…</w:t>
      </w:r>
    </w:p>
    <w:p w14:paraId="1BFC4A40" w14:textId="77777777" w:rsidR="00D84B11" w:rsidRPr="00D84B11" w:rsidRDefault="00D84B11" w:rsidP="00A13649">
      <w:pPr>
        <w:pStyle w:val="IASBNormalnpara"/>
        <w:rPr>
          <w:szCs w:val="19"/>
          <w:u w:val="single"/>
        </w:rPr>
      </w:pPr>
      <w:r w:rsidRPr="00D84B11">
        <w:rPr>
          <w:szCs w:val="19"/>
        </w:rPr>
        <w:tab/>
      </w:r>
      <w:r w:rsidRPr="00D84B11">
        <w:rPr>
          <w:strike/>
          <w:szCs w:val="19"/>
        </w:rPr>
        <w:t>The objective of general purpose financial reporting is to provide financial information about the reporting entity that is useful to existing and potential investors, lenders and other creditors in making decisions about providing resources to the entity</w:t>
      </w:r>
      <w:r w:rsidR="009F1F15" w:rsidRPr="00D84B11">
        <w:rPr>
          <w:strike/>
          <w:szCs w:val="19"/>
        </w:rPr>
        <w:t xml:space="preserve">.  </w:t>
      </w:r>
      <w:r w:rsidRPr="00D84B11">
        <w:rPr>
          <w:strike/>
          <w:szCs w:val="19"/>
        </w:rPr>
        <w:t>Those decisions involve buying, selling or holding equity and debt instruments, and providing or settling loans and other forms of credit</w:t>
      </w:r>
      <w:r w:rsidR="009F1F15" w:rsidRPr="00D84B11">
        <w:rPr>
          <w:strike/>
          <w:szCs w:val="19"/>
        </w:rPr>
        <w:t>.</w:t>
      </w:r>
      <w:r w:rsidR="009F1F15">
        <w:rPr>
          <w:strike/>
          <w:szCs w:val="19"/>
        </w:rPr>
        <w:t xml:space="preserve">  </w:t>
      </w:r>
      <w:r w:rsidRPr="00D84B11">
        <w:rPr>
          <w:szCs w:val="19"/>
          <w:u w:val="single"/>
        </w:rPr>
        <w:t>The objective of general purpose financial reporting is to provide financial information about the reporting entity that is useful to existing and potential investors, lenders and other creditors in making decisions relating to providing resources to the entity</w:t>
      </w:r>
      <w:r w:rsidR="009F1F15" w:rsidRPr="00D84B11">
        <w:rPr>
          <w:szCs w:val="19"/>
          <w:u w:val="single"/>
        </w:rPr>
        <w:t xml:space="preserve">.  </w:t>
      </w:r>
      <w:r w:rsidRPr="00D84B11">
        <w:rPr>
          <w:szCs w:val="19"/>
          <w:u w:val="single"/>
        </w:rPr>
        <w:t xml:space="preserve">Those decisions involve decisions about: </w:t>
      </w:r>
    </w:p>
    <w:p w14:paraId="38B940CF" w14:textId="28FEA4EA" w:rsidR="00D84B11" w:rsidRPr="00D84B11" w:rsidRDefault="00493885" w:rsidP="00493885">
      <w:pPr>
        <w:pStyle w:val="IASBNormalnparaL1"/>
        <w:rPr>
          <w:szCs w:val="19"/>
          <w:u w:val="single"/>
        </w:rPr>
      </w:pPr>
      <w:r>
        <w:rPr>
          <w:szCs w:val="19"/>
          <w:u w:val="single"/>
        </w:rPr>
        <w:t>(a)</w:t>
      </w:r>
      <w:r>
        <w:rPr>
          <w:szCs w:val="19"/>
          <w:u w:val="single"/>
        </w:rPr>
        <w:tab/>
      </w:r>
      <w:r w:rsidR="00D84B11" w:rsidRPr="00D84B11">
        <w:rPr>
          <w:szCs w:val="19"/>
          <w:u w:val="single"/>
        </w:rPr>
        <w:t>buying, selling or holding equity and debt instruments;</w:t>
      </w:r>
    </w:p>
    <w:p w14:paraId="35F80A95" w14:textId="14B2E023" w:rsidR="00D84B11" w:rsidRPr="00D84B11" w:rsidRDefault="00493885" w:rsidP="00493885">
      <w:pPr>
        <w:pStyle w:val="IASBNormalnparaL1"/>
        <w:rPr>
          <w:szCs w:val="19"/>
          <w:u w:val="single"/>
        </w:rPr>
      </w:pPr>
      <w:r>
        <w:rPr>
          <w:szCs w:val="19"/>
          <w:u w:val="single"/>
        </w:rPr>
        <w:t>(b)</w:t>
      </w:r>
      <w:r>
        <w:rPr>
          <w:szCs w:val="19"/>
          <w:u w:val="single"/>
        </w:rPr>
        <w:tab/>
      </w:r>
      <w:r w:rsidR="00D84B11" w:rsidRPr="00D84B11">
        <w:rPr>
          <w:szCs w:val="19"/>
          <w:u w:val="single"/>
        </w:rPr>
        <w:t>providing or settling loans and other forms of credit; or</w:t>
      </w:r>
    </w:p>
    <w:p w14:paraId="07BAD79D" w14:textId="45B44149" w:rsidR="00D84B11" w:rsidRPr="00D84B11" w:rsidRDefault="00493885" w:rsidP="00493885">
      <w:pPr>
        <w:pStyle w:val="IASBNormalnparaL1"/>
        <w:rPr>
          <w:szCs w:val="19"/>
        </w:rPr>
      </w:pPr>
      <w:r>
        <w:rPr>
          <w:szCs w:val="19"/>
          <w:u w:val="single"/>
        </w:rPr>
        <w:t>(c)</w:t>
      </w:r>
      <w:r>
        <w:rPr>
          <w:szCs w:val="19"/>
          <w:u w:val="single"/>
        </w:rPr>
        <w:tab/>
      </w:r>
      <w:r w:rsidR="00D84B11" w:rsidRPr="00D84B11">
        <w:rPr>
          <w:szCs w:val="19"/>
          <w:u w:val="single"/>
        </w:rPr>
        <w:t>exercising rights to vote on, or otherwise influence, management’s actions that affect the use of the entity’s economic resources.</w:t>
      </w:r>
    </w:p>
    <w:p w14:paraId="45221F71" w14:textId="77777777" w:rsidR="0087625A" w:rsidRDefault="0087625A" w:rsidP="00AA0EDC">
      <w:pPr>
        <w:pStyle w:val="Default"/>
        <w:spacing w:before="240"/>
        <w:jc w:val="both"/>
        <w:rPr>
          <w:b/>
          <w:bCs/>
          <w:strike/>
          <w:sz w:val="19"/>
          <w:szCs w:val="19"/>
        </w:rPr>
      </w:pPr>
      <w:r w:rsidRPr="00B8773D">
        <w:rPr>
          <w:b/>
          <w:bCs/>
          <w:strike/>
          <w:sz w:val="19"/>
          <w:szCs w:val="19"/>
        </w:rPr>
        <w:t xml:space="preserve">Paragraph AusOB2.1 </w:t>
      </w:r>
    </w:p>
    <w:p w14:paraId="789AAFCD" w14:textId="77777777" w:rsidR="0087625A" w:rsidRDefault="0087625A" w:rsidP="00A13649">
      <w:pPr>
        <w:pStyle w:val="Default"/>
        <w:spacing w:before="100"/>
        <w:jc w:val="both"/>
        <w:rPr>
          <w:strike/>
          <w:sz w:val="19"/>
          <w:szCs w:val="19"/>
        </w:rPr>
      </w:pPr>
      <w:r w:rsidRPr="00B8773D">
        <w:rPr>
          <w:strike/>
          <w:sz w:val="19"/>
          <w:szCs w:val="19"/>
        </w:rPr>
        <w:t xml:space="preserve">Referred to in paragraphs Aus13.1 and Aus18.1 of the Practice Statement </w:t>
      </w:r>
    </w:p>
    <w:p w14:paraId="6C276737" w14:textId="77777777" w:rsidR="0087625A" w:rsidRPr="00B8773D" w:rsidRDefault="0087625A" w:rsidP="00493885">
      <w:pPr>
        <w:pStyle w:val="IASBNormalnpara"/>
        <w:ind w:firstLine="0"/>
        <w:rPr>
          <w:strike/>
          <w:szCs w:val="19"/>
        </w:rPr>
      </w:pPr>
      <w:r w:rsidRPr="00B8773D">
        <w:rPr>
          <w:strike/>
          <w:szCs w:val="19"/>
        </w:rPr>
        <w:t>Among the users of financial information about a not-for-profit reporting entity are existing and potential resource providers (such as investors, lenders and other creditors, donors and taxpayers), recipients of goods and services (such as beneficiaries, for example, members of the community) and parties performing a review or oversight function on behalf of other users (such as advisers and members of parliament)</w:t>
      </w:r>
      <w:r w:rsidR="009F1F15" w:rsidRPr="00B8773D">
        <w:rPr>
          <w:strike/>
          <w:szCs w:val="19"/>
        </w:rPr>
        <w:t xml:space="preserve">.  </w:t>
      </w:r>
      <w:r w:rsidRPr="00B8773D">
        <w:rPr>
          <w:strike/>
          <w:szCs w:val="19"/>
        </w:rPr>
        <w:t>Such users may make resource allocation decisions in relation to not-for-profit entities that differ from those identified in paragraph OB2</w:t>
      </w:r>
      <w:r w:rsidR="009F1F15" w:rsidRPr="00B8773D">
        <w:rPr>
          <w:strike/>
          <w:szCs w:val="19"/>
        </w:rPr>
        <w:t xml:space="preserve">.  </w:t>
      </w:r>
      <w:r w:rsidRPr="00B8773D">
        <w:rPr>
          <w:strike/>
          <w:szCs w:val="19"/>
        </w:rPr>
        <w:t>For example, parliaments decide, on behalf of constituents, whether to fund particular programmes for delivery by an entity, taxpayers decide who should represent them in government, donors decide whether to donate resources to an entity, and recipients decide whether they can continue to rely on the provision of goods and services from the entity or whether to seek alternative suppliers</w:t>
      </w:r>
      <w:r w:rsidR="009F1F15" w:rsidRPr="00B8773D">
        <w:rPr>
          <w:strike/>
          <w:szCs w:val="19"/>
        </w:rPr>
        <w:t xml:space="preserve">.  </w:t>
      </w:r>
      <w:r w:rsidRPr="00B8773D">
        <w:rPr>
          <w:strike/>
          <w:szCs w:val="19"/>
        </w:rPr>
        <w:t xml:space="preserve">In relation to not-for-profit entities, where pertinent, all references in this </w:t>
      </w:r>
      <w:r w:rsidRPr="00B8773D">
        <w:rPr>
          <w:i/>
          <w:iCs/>
          <w:strike/>
          <w:szCs w:val="19"/>
        </w:rPr>
        <w:t xml:space="preserve">Framework </w:t>
      </w:r>
      <w:r w:rsidRPr="00B8773D">
        <w:rPr>
          <w:strike/>
          <w:szCs w:val="19"/>
        </w:rPr>
        <w:t>to ‘existing’ and potential investors, lenders and other creditors’ (and related terms) should be read as a reference to this broader range of users.</w:t>
      </w:r>
    </w:p>
    <w:p w14:paraId="743C5EEB" w14:textId="655612C4"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OB3</w:t>
      </w:r>
      <w:r w:rsidR="006179F8">
        <w:rPr>
          <w:b/>
          <w:strike/>
          <w:szCs w:val="19"/>
        </w:rPr>
        <w:t xml:space="preserve"> </w:t>
      </w:r>
      <w:r w:rsidRPr="00D84B11">
        <w:rPr>
          <w:b/>
          <w:szCs w:val="19"/>
          <w:u w:val="single"/>
        </w:rPr>
        <w:t>1.3</w:t>
      </w:r>
    </w:p>
    <w:p w14:paraId="4B125901" w14:textId="77777777" w:rsidR="00D84B11" w:rsidRDefault="00D84B11" w:rsidP="00A13649">
      <w:pPr>
        <w:autoSpaceDE w:val="0"/>
        <w:autoSpaceDN w:val="0"/>
        <w:adjustRightInd w:val="0"/>
        <w:spacing w:before="100"/>
        <w:ind w:left="993" w:hanging="993"/>
        <w:rPr>
          <w:szCs w:val="19"/>
        </w:rPr>
      </w:pPr>
      <w:r w:rsidRPr="00D84B11">
        <w:rPr>
          <w:szCs w:val="19"/>
        </w:rPr>
        <w:t>…</w:t>
      </w:r>
    </w:p>
    <w:p w14:paraId="3F4110B4" w14:textId="485FFED4" w:rsidR="00D84B11" w:rsidRPr="00D84B11" w:rsidRDefault="00D84B11" w:rsidP="00A13649">
      <w:pPr>
        <w:pStyle w:val="IASBNormalnpara"/>
        <w:ind w:firstLine="0"/>
        <w:rPr>
          <w:szCs w:val="19"/>
        </w:rPr>
      </w:pPr>
      <w:r w:rsidRPr="00D84B11">
        <w:rPr>
          <w:strike/>
          <w:szCs w:val="19"/>
        </w:rPr>
        <w:t>Decisions by existing and potential investors about buying, selling or holding equity and debt instruments depend on the returns that they expect from an investment in those instruments, for example dividends, principal and interest payments or market price increases</w:t>
      </w:r>
      <w:r w:rsidR="009F1F15" w:rsidRPr="00D84B11">
        <w:rPr>
          <w:strike/>
          <w:szCs w:val="19"/>
        </w:rPr>
        <w:t xml:space="preserve">.  </w:t>
      </w:r>
      <w:r w:rsidRPr="00D84B11">
        <w:rPr>
          <w:strike/>
          <w:szCs w:val="19"/>
        </w:rPr>
        <w:t>Similarly, decisions by existing and potential lenders and other creditors about providing or settling loans and other forms of credit depend on the principal and interest payments or other returns that they expect</w:t>
      </w:r>
      <w:r w:rsidR="009F1F15" w:rsidRPr="00D84B11">
        <w:rPr>
          <w:strike/>
          <w:szCs w:val="19"/>
        </w:rPr>
        <w:t xml:space="preserve">.  </w:t>
      </w:r>
      <w:r w:rsidRPr="00D84B11">
        <w:rPr>
          <w:strike/>
          <w:szCs w:val="19"/>
        </w:rPr>
        <w:t>Investors’, lenders’ and other creditors’ expectations about returns depend on their assessment of the amount, timing and uncertainty of (the prospects for) future net cash inflows to the entity</w:t>
      </w:r>
      <w:r w:rsidR="009F1F15" w:rsidRPr="00D84B11">
        <w:rPr>
          <w:strike/>
          <w:szCs w:val="19"/>
        </w:rPr>
        <w:t xml:space="preserve">.  </w:t>
      </w:r>
      <w:r w:rsidRPr="00D84B11">
        <w:rPr>
          <w:strike/>
          <w:szCs w:val="19"/>
        </w:rPr>
        <w:t>Consequently, existing and potential investors, lenders and other creditors need information to help them assess the prospects for future net cash inflows to an entity</w:t>
      </w:r>
      <w:r w:rsidR="009F1F15" w:rsidRPr="00D84B11">
        <w:rPr>
          <w:strike/>
          <w:szCs w:val="19"/>
        </w:rPr>
        <w:t>.</w:t>
      </w:r>
      <w:r w:rsidR="009F1F15">
        <w:rPr>
          <w:strike/>
          <w:szCs w:val="19"/>
        </w:rPr>
        <w:t xml:space="preserve">  </w:t>
      </w:r>
      <w:r w:rsidRPr="00D84B11">
        <w:rPr>
          <w:szCs w:val="19"/>
          <w:u w:val="single"/>
        </w:rPr>
        <w:t>The decisions described in paragraph 1.2 depend on the returns that existing and potential investors, lenders and other creditors expect, for example, dividends, principal and interest payments or market price increases</w:t>
      </w:r>
      <w:r w:rsidR="009F1F15" w:rsidRPr="00D84B11">
        <w:rPr>
          <w:szCs w:val="19"/>
          <w:u w:val="single"/>
        </w:rPr>
        <w:t xml:space="preserve">.  </w:t>
      </w:r>
      <w:r w:rsidRPr="00D84B11">
        <w:rPr>
          <w:szCs w:val="19"/>
          <w:u w:val="single"/>
        </w:rPr>
        <w:t>Investors’, lenders’ and other creditors’ expectations about returns depend on their assessment of the amount, timing and uncertainty of (the prospects for) future net cash inflows to the entity and on their assessment of management’s stewardship of the entity’s economic resources</w:t>
      </w:r>
      <w:r w:rsidR="009F1F15" w:rsidRPr="00D84B11">
        <w:rPr>
          <w:szCs w:val="19"/>
          <w:u w:val="single"/>
        </w:rPr>
        <w:t xml:space="preserve">.  </w:t>
      </w:r>
      <w:r w:rsidRPr="00D84B11">
        <w:rPr>
          <w:szCs w:val="19"/>
          <w:u w:val="single"/>
        </w:rPr>
        <w:t>Existing and potential investors, lenders and other creditors need information to help them make those</w:t>
      </w:r>
      <w:r w:rsidRPr="0097246E">
        <w:rPr>
          <w:szCs w:val="19"/>
          <w:u w:val="single"/>
        </w:rPr>
        <w:t xml:space="preserve"> assessments.</w:t>
      </w:r>
    </w:p>
    <w:p w14:paraId="041E279C" w14:textId="77777777" w:rsidR="0087625A" w:rsidRDefault="0087625A" w:rsidP="0097246E">
      <w:pPr>
        <w:pStyle w:val="Default"/>
        <w:spacing w:before="240"/>
        <w:jc w:val="both"/>
        <w:rPr>
          <w:b/>
          <w:bCs/>
          <w:strike/>
          <w:sz w:val="19"/>
          <w:szCs w:val="19"/>
        </w:rPr>
      </w:pPr>
      <w:r w:rsidRPr="00B8773D">
        <w:rPr>
          <w:b/>
          <w:bCs/>
          <w:strike/>
          <w:sz w:val="19"/>
          <w:szCs w:val="19"/>
        </w:rPr>
        <w:t xml:space="preserve">Paragraph AusOB3.1 </w:t>
      </w:r>
    </w:p>
    <w:p w14:paraId="6ADF57FD" w14:textId="77777777" w:rsidR="0087625A" w:rsidRDefault="0087625A" w:rsidP="0097246E">
      <w:pPr>
        <w:pStyle w:val="Default"/>
        <w:spacing w:before="100"/>
        <w:jc w:val="both"/>
        <w:rPr>
          <w:strike/>
          <w:sz w:val="19"/>
          <w:szCs w:val="19"/>
        </w:rPr>
      </w:pPr>
      <w:r w:rsidRPr="00B8773D">
        <w:rPr>
          <w:strike/>
          <w:sz w:val="19"/>
          <w:szCs w:val="19"/>
        </w:rPr>
        <w:t xml:space="preserve">Referred to in paragraph Aus18.1 of the Practice Statement </w:t>
      </w:r>
    </w:p>
    <w:p w14:paraId="40A33E21" w14:textId="77777777" w:rsidR="0087625A" w:rsidRPr="00B8773D" w:rsidRDefault="0087625A" w:rsidP="0097246E">
      <w:pPr>
        <w:pStyle w:val="IASBNormalnpara"/>
        <w:ind w:firstLine="0"/>
        <w:rPr>
          <w:strike/>
          <w:szCs w:val="19"/>
          <w:u w:val="single"/>
        </w:rPr>
      </w:pPr>
      <w:r w:rsidRPr="00B8773D">
        <w:rPr>
          <w:strike/>
          <w:szCs w:val="19"/>
        </w:rPr>
        <w:t>In respect of not-for-profit entities, users (such as certain existing and potential resource providers) are generally not concerned with obtaining a financial return on an investment in the entity</w:t>
      </w:r>
      <w:r w:rsidR="009F1F15" w:rsidRPr="00B8773D">
        <w:rPr>
          <w:strike/>
          <w:szCs w:val="19"/>
        </w:rPr>
        <w:t xml:space="preserve">.  </w:t>
      </w:r>
      <w:r w:rsidRPr="00B8773D">
        <w:rPr>
          <w:strike/>
          <w:szCs w:val="19"/>
        </w:rPr>
        <w:t>Rather, they are concerned with the ability of the entity to achieve its objectives (whether financial or nonfinancial), which in turn may depend, at least in part, on the entity’s prospects for future net cash inflows</w:t>
      </w:r>
      <w:r w:rsidR="009F1F15" w:rsidRPr="00B8773D">
        <w:rPr>
          <w:strike/>
          <w:szCs w:val="19"/>
        </w:rPr>
        <w:t xml:space="preserve">.  </w:t>
      </w:r>
      <w:r w:rsidRPr="00B8773D">
        <w:rPr>
          <w:strike/>
          <w:szCs w:val="19"/>
        </w:rPr>
        <w:t>Users will, for example, be interested in the capability of the entity’s resources to provide goods and services in the future</w:t>
      </w:r>
      <w:r w:rsidR="009F1F15" w:rsidRPr="00B8773D">
        <w:rPr>
          <w:strike/>
          <w:szCs w:val="19"/>
        </w:rPr>
        <w:t xml:space="preserve">.  </w:t>
      </w:r>
      <w:r w:rsidRPr="00B8773D">
        <w:rPr>
          <w:strike/>
          <w:szCs w:val="19"/>
        </w:rPr>
        <w:t xml:space="preserve">Accordingly, in relation to not-for-profit entities, where pertinent, references in this </w:t>
      </w:r>
      <w:r w:rsidRPr="00B8773D">
        <w:rPr>
          <w:i/>
          <w:iCs/>
          <w:strike/>
          <w:szCs w:val="19"/>
        </w:rPr>
        <w:t xml:space="preserve">Framework </w:t>
      </w:r>
      <w:r w:rsidRPr="00B8773D">
        <w:rPr>
          <w:strike/>
          <w:szCs w:val="19"/>
        </w:rPr>
        <w:t>to ‘assessing prospects for future net cash inflows’ (and related terms) should be read in the context of the common information needs of users of general purpose financial reports of not-for-profit entities described in this paragraph.</w:t>
      </w:r>
    </w:p>
    <w:p w14:paraId="19080299" w14:textId="1C2543B4"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OB4</w:t>
      </w:r>
      <w:r w:rsidR="00D64001">
        <w:rPr>
          <w:b/>
          <w:strike/>
          <w:szCs w:val="19"/>
        </w:rPr>
        <w:t xml:space="preserve"> </w:t>
      </w:r>
      <w:r w:rsidRPr="00D84B11">
        <w:rPr>
          <w:b/>
          <w:szCs w:val="19"/>
          <w:u w:val="single"/>
        </w:rPr>
        <w:t>1.4</w:t>
      </w:r>
    </w:p>
    <w:p w14:paraId="63587475" w14:textId="77777777" w:rsidR="00D84B11" w:rsidRPr="00D84B11" w:rsidRDefault="00D84B11" w:rsidP="0097246E">
      <w:pPr>
        <w:autoSpaceDE w:val="0"/>
        <w:autoSpaceDN w:val="0"/>
        <w:adjustRightInd w:val="0"/>
        <w:spacing w:before="100"/>
        <w:ind w:left="993" w:hanging="993"/>
        <w:rPr>
          <w:szCs w:val="19"/>
        </w:rPr>
      </w:pPr>
      <w:r w:rsidRPr="00D84B11">
        <w:rPr>
          <w:szCs w:val="19"/>
        </w:rPr>
        <w:t>…</w:t>
      </w:r>
    </w:p>
    <w:p w14:paraId="53789447" w14:textId="01428530" w:rsidR="00D84B11" w:rsidRPr="00D84B11" w:rsidRDefault="00D84B11" w:rsidP="00493885">
      <w:pPr>
        <w:pStyle w:val="IASBNormalnpara"/>
        <w:ind w:firstLine="0"/>
        <w:rPr>
          <w:szCs w:val="19"/>
          <w:u w:val="single"/>
        </w:rPr>
      </w:pPr>
      <w:r w:rsidRPr="00D84B11">
        <w:rPr>
          <w:strike/>
          <w:szCs w:val="19"/>
        </w:rPr>
        <w:t>To assess an entity’s prospects for future net cash inflows, existing and potential investors, lenders and other creditors need information about the resources of the entity, claims against the entity, and how efficiently and effectively the entity’s management and governing board have discharged their responsibilities to use the entity’s resources</w:t>
      </w:r>
      <w:r w:rsidR="009F1F15" w:rsidRPr="00D84B11">
        <w:rPr>
          <w:strike/>
          <w:szCs w:val="19"/>
        </w:rPr>
        <w:t xml:space="preserve">.  </w:t>
      </w:r>
      <w:r w:rsidRPr="00D84B11">
        <w:rPr>
          <w:strike/>
          <w:szCs w:val="19"/>
        </w:rPr>
        <w:t>Examples of such responsibilities include protecting the entity’s resources from unfavourable effects of economic factors such as price and technological changes and ensuring that the entity complies with applicable laws, regulations and contractual provisions</w:t>
      </w:r>
      <w:r w:rsidR="009F1F15" w:rsidRPr="00D84B11">
        <w:rPr>
          <w:strike/>
          <w:szCs w:val="19"/>
        </w:rPr>
        <w:t xml:space="preserve">.  </w:t>
      </w:r>
      <w:r w:rsidRPr="00D84B11">
        <w:rPr>
          <w:strike/>
          <w:szCs w:val="19"/>
        </w:rPr>
        <w:t>Information about management’s discharge of its responsibilities is also useful for decisions by existing investors, lenders and other creditors who have the right to vote on or otherwise influence management’s actions.</w:t>
      </w:r>
      <w:r w:rsidR="00C45376">
        <w:rPr>
          <w:strike/>
          <w:szCs w:val="19"/>
        </w:rPr>
        <w:t xml:space="preserve"> </w:t>
      </w:r>
      <w:r w:rsidR="00E878C9">
        <w:rPr>
          <w:strike/>
          <w:szCs w:val="19"/>
        </w:rPr>
        <w:t xml:space="preserve"> </w:t>
      </w:r>
      <w:r w:rsidRPr="00D84B11">
        <w:rPr>
          <w:szCs w:val="19"/>
          <w:u w:val="single"/>
        </w:rPr>
        <w:t>To make the assessments described in paragraph 1.3, existing and potential investors, lenders and other creditors need information about:</w:t>
      </w:r>
    </w:p>
    <w:p w14:paraId="53DD5796" w14:textId="75848D7A" w:rsidR="00D84B11" w:rsidRPr="00D84B11" w:rsidRDefault="00493885" w:rsidP="00493885">
      <w:pPr>
        <w:pStyle w:val="IASBNormalnparaL1"/>
        <w:rPr>
          <w:szCs w:val="19"/>
          <w:u w:val="single"/>
        </w:rPr>
      </w:pPr>
      <w:r>
        <w:rPr>
          <w:szCs w:val="19"/>
          <w:u w:val="single"/>
        </w:rPr>
        <w:t>(a)</w:t>
      </w:r>
      <w:r>
        <w:rPr>
          <w:szCs w:val="19"/>
          <w:u w:val="single"/>
        </w:rPr>
        <w:tab/>
      </w:r>
      <w:r w:rsidR="00D84B11" w:rsidRPr="00D84B11">
        <w:rPr>
          <w:szCs w:val="19"/>
          <w:u w:val="single"/>
        </w:rPr>
        <w:t>the economic resources of the entity, claims against the entity and changes in those resources and claims (see paragraphs 1.12–1.21); and</w:t>
      </w:r>
    </w:p>
    <w:p w14:paraId="6D75EFA1" w14:textId="481E14CA" w:rsidR="00D84B11" w:rsidRDefault="00493885" w:rsidP="00493885">
      <w:pPr>
        <w:pStyle w:val="IASBNormalnparaL1"/>
        <w:rPr>
          <w:szCs w:val="19"/>
          <w:u w:val="single"/>
        </w:rPr>
      </w:pPr>
      <w:r>
        <w:rPr>
          <w:szCs w:val="19"/>
          <w:u w:val="single"/>
        </w:rPr>
        <w:t>(b)</w:t>
      </w:r>
      <w:r>
        <w:rPr>
          <w:szCs w:val="19"/>
          <w:u w:val="single"/>
        </w:rPr>
        <w:tab/>
      </w:r>
      <w:r w:rsidR="00D84B11" w:rsidRPr="00D84B11">
        <w:rPr>
          <w:szCs w:val="19"/>
          <w:u w:val="single"/>
        </w:rPr>
        <w:t>how efficiently and effectively the entity’s management and governing board have discharged their responsibilities to use the entity’s economic resources (see paragraphs 1.22–1.23).</w:t>
      </w:r>
    </w:p>
    <w:p w14:paraId="3B8A26E7" w14:textId="5CA30BA8"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OB5</w:t>
      </w:r>
      <w:r w:rsidR="00D64001">
        <w:rPr>
          <w:b/>
          <w:strike/>
          <w:szCs w:val="19"/>
        </w:rPr>
        <w:t xml:space="preserve"> </w:t>
      </w:r>
      <w:r w:rsidRPr="00D84B11">
        <w:rPr>
          <w:b/>
          <w:szCs w:val="19"/>
          <w:u w:val="single"/>
        </w:rPr>
        <w:t>1.5</w:t>
      </w:r>
    </w:p>
    <w:p w14:paraId="3E0343E2" w14:textId="77777777" w:rsidR="00D84B11" w:rsidRDefault="00D84B11" w:rsidP="0097246E">
      <w:pPr>
        <w:autoSpaceDE w:val="0"/>
        <w:autoSpaceDN w:val="0"/>
        <w:adjustRightInd w:val="0"/>
        <w:spacing w:before="100"/>
        <w:rPr>
          <w:szCs w:val="19"/>
        </w:rPr>
      </w:pPr>
      <w:r w:rsidRPr="00D84B11">
        <w:rPr>
          <w:szCs w:val="19"/>
        </w:rPr>
        <w:t>…</w:t>
      </w:r>
    </w:p>
    <w:p w14:paraId="01C434EF" w14:textId="76031FDE"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OB6</w:t>
      </w:r>
      <w:r w:rsidR="00D64001">
        <w:rPr>
          <w:b/>
          <w:strike/>
          <w:szCs w:val="19"/>
        </w:rPr>
        <w:t xml:space="preserve"> </w:t>
      </w:r>
      <w:r w:rsidRPr="00D84B11">
        <w:rPr>
          <w:b/>
          <w:szCs w:val="19"/>
          <w:u w:val="single"/>
        </w:rPr>
        <w:t>1.6</w:t>
      </w:r>
    </w:p>
    <w:p w14:paraId="5F2F5352" w14:textId="77777777" w:rsidR="00D84B11" w:rsidRDefault="00D84B11" w:rsidP="0097246E">
      <w:pPr>
        <w:autoSpaceDE w:val="0"/>
        <w:autoSpaceDN w:val="0"/>
        <w:adjustRightInd w:val="0"/>
        <w:spacing w:before="100"/>
        <w:rPr>
          <w:szCs w:val="19"/>
        </w:rPr>
      </w:pPr>
      <w:r w:rsidRPr="00D84B11">
        <w:rPr>
          <w:szCs w:val="19"/>
        </w:rPr>
        <w:t>…</w:t>
      </w:r>
    </w:p>
    <w:p w14:paraId="477D8FF3" w14:textId="70EA80CE"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OB8</w:t>
      </w:r>
      <w:r w:rsidR="00D64001">
        <w:rPr>
          <w:b/>
          <w:strike/>
          <w:szCs w:val="19"/>
        </w:rPr>
        <w:t xml:space="preserve"> </w:t>
      </w:r>
      <w:r w:rsidRPr="00D84B11">
        <w:rPr>
          <w:b/>
          <w:szCs w:val="19"/>
          <w:u w:val="single"/>
        </w:rPr>
        <w:t>1.8</w:t>
      </w:r>
    </w:p>
    <w:p w14:paraId="37082CA1" w14:textId="77777777" w:rsidR="00D84B11" w:rsidRDefault="00D84B11" w:rsidP="0097246E">
      <w:pPr>
        <w:autoSpaceDE w:val="0"/>
        <w:autoSpaceDN w:val="0"/>
        <w:adjustRightInd w:val="0"/>
        <w:spacing w:before="100"/>
        <w:ind w:left="993" w:hanging="993"/>
        <w:rPr>
          <w:szCs w:val="19"/>
        </w:rPr>
      </w:pPr>
      <w:r w:rsidRPr="00D84B11">
        <w:rPr>
          <w:szCs w:val="19"/>
        </w:rPr>
        <w:t>…</w:t>
      </w:r>
    </w:p>
    <w:p w14:paraId="02D910BD" w14:textId="54F1D401" w:rsidR="00D84B11" w:rsidRPr="00D84B11" w:rsidRDefault="00D84B11" w:rsidP="00493885">
      <w:pPr>
        <w:pStyle w:val="IASBNormalnpara"/>
        <w:ind w:firstLine="0"/>
        <w:rPr>
          <w:szCs w:val="19"/>
          <w:u w:val="single"/>
        </w:rPr>
      </w:pPr>
      <w:r w:rsidRPr="00D84B11">
        <w:rPr>
          <w:strike/>
          <w:szCs w:val="19"/>
        </w:rPr>
        <w:t>Individual primary users have different, and possibly conflicting, information needs and desires</w:t>
      </w:r>
      <w:r w:rsidR="009F1F15" w:rsidRPr="00D84B11">
        <w:rPr>
          <w:strike/>
          <w:szCs w:val="19"/>
        </w:rPr>
        <w:t xml:space="preserve">.  </w:t>
      </w:r>
      <w:r w:rsidRPr="00D84B11">
        <w:rPr>
          <w:strike/>
          <w:szCs w:val="19"/>
        </w:rPr>
        <w:t>The Board, in developing financial reporting standards, will seek to provide the information set that will meet the needs of the maximum number of primary users</w:t>
      </w:r>
      <w:r w:rsidR="009F1F15" w:rsidRPr="00D84B11">
        <w:rPr>
          <w:strike/>
          <w:szCs w:val="19"/>
        </w:rPr>
        <w:t xml:space="preserve">.  </w:t>
      </w:r>
      <w:r w:rsidRPr="00D84B11">
        <w:rPr>
          <w:strike/>
          <w:szCs w:val="19"/>
        </w:rPr>
        <w:t>However, focusing on common information needs does not prevent the reporting entity from including additional information that is most useful to a particular subset of primary users.</w:t>
      </w:r>
      <w:r w:rsidR="00C45376">
        <w:rPr>
          <w:strike/>
          <w:szCs w:val="19"/>
        </w:rPr>
        <w:t xml:space="preserve"> </w:t>
      </w:r>
      <w:r w:rsidR="00E878C9">
        <w:rPr>
          <w:strike/>
          <w:szCs w:val="19"/>
        </w:rPr>
        <w:t xml:space="preserve"> </w:t>
      </w:r>
      <w:r w:rsidRPr="00D84B11">
        <w:rPr>
          <w:szCs w:val="19"/>
          <w:u w:val="single"/>
        </w:rPr>
        <w:t>Individual primary users have different, and possibly conflicting, information needs and desires</w:t>
      </w:r>
      <w:r w:rsidR="009F1F15" w:rsidRPr="00D84B11">
        <w:rPr>
          <w:szCs w:val="19"/>
          <w:u w:val="single"/>
        </w:rPr>
        <w:t xml:space="preserve">.  </w:t>
      </w:r>
      <w:r w:rsidRPr="00D84B11">
        <w:rPr>
          <w:szCs w:val="19"/>
          <w:u w:val="single"/>
        </w:rPr>
        <w:t>The Board, in developing Standards, will seek to provide the information set that will meet the needs of the maximum number of primary users</w:t>
      </w:r>
      <w:r w:rsidR="009F1F15" w:rsidRPr="00D84B11">
        <w:rPr>
          <w:szCs w:val="19"/>
          <w:u w:val="single"/>
        </w:rPr>
        <w:t xml:space="preserve">.  </w:t>
      </w:r>
      <w:r w:rsidRPr="00D84B11">
        <w:rPr>
          <w:szCs w:val="19"/>
          <w:u w:val="single"/>
        </w:rPr>
        <w:t>However, focusing on common information needs does not prevent the reporting entity from including additional information that is most useful to a particular subset of primary users.</w:t>
      </w:r>
    </w:p>
    <w:p w14:paraId="7F009888" w14:textId="6F5C5419"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OB9</w:t>
      </w:r>
      <w:r w:rsidR="00D64001">
        <w:rPr>
          <w:b/>
          <w:strike/>
          <w:szCs w:val="19"/>
        </w:rPr>
        <w:t xml:space="preserve"> </w:t>
      </w:r>
      <w:r w:rsidRPr="00D84B11">
        <w:rPr>
          <w:b/>
          <w:szCs w:val="19"/>
          <w:u w:val="single"/>
        </w:rPr>
        <w:t>1.9</w:t>
      </w:r>
    </w:p>
    <w:p w14:paraId="54E883E1" w14:textId="77777777" w:rsidR="00D84B11" w:rsidRDefault="00D84B11" w:rsidP="0097246E">
      <w:pPr>
        <w:autoSpaceDE w:val="0"/>
        <w:autoSpaceDN w:val="0"/>
        <w:adjustRightInd w:val="0"/>
        <w:spacing w:before="100"/>
        <w:rPr>
          <w:szCs w:val="19"/>
        </w:rPr>
      </w:pPr>
      <w:r w:rsidRPr="00D84B11">
        <w:rPr>
          <w:szCs w:val="19"/>
        </w:rPr>
        <w:t>…</w:t>
      </w:r>
    </w:p>
    <w:p w14:paraId="75803FEF" w14:textId="44132743"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OB10</w:t>
      </w:r>
      <w:r w:rsidR="00D64001">
        <w:rPr>
          <w:b/>
          <w:strike/>
          <w:szCs w:val="19"/>
        </w:rPr>
        <w:t xml:space="preserve"> </w:t>
      </w:r>
      <w:r w:rsidRPr="00D84B11">
        <w:rPr>
          <w:b/>
          <w:szCs w:val="19"/>
          <w:u w:val="single"/>
        </w:rPr>
        <w:t>1.10</w:t>
      </w:r>
    </w:p>
    <w:p w14:paraId="5421AABC" w14:textId="77777777" w:rsidR="00D84B11" w:rsidRDefault="00D84B11" w:rsidP="0097246E">
      <w:pPr>
        <w:autoSpaceDE w:val="0"/>
        <w:autoSpaceDN w:val="0"/>
        <w:adjustRightInd w:val="0"/>
        <w:spacing w:before="100"/>
        <w:ind w:left="993" w:hanging="993"/>
        <w:rPr>
          <w:szCs w:val="19"/>
        </w:rPr>
      </w:pPr>
      <w:r w:rsidRPr="00D84B11">
        <w:rPr>
          <w:szCs w:val="19"/>
        </w:rPr>
        <w:t>…</w:t>
      </w:r>
    </w:p>
    <w:p w14:paraId="5054A6CC" w14:textId="2DD609A3" w:rsidR="00D84B11" w:rsidRPr="00D84B11" w:rsidRDefault="00D84B11" w:rsidP="0097246E">
      <w:pPr>
        <w:keepNext/>
        <w:autoSpaceDE w:val="0"/>
        <w:autoSpaceDN w:val="0"/>
        <w:adjustRightInd w:val="0"/>
        <w:spacing w:before="240"/>
        <w:ind w:left="992" w:hanging="992"/>
        <w:rPr>
          <w:b/>
          <w:szCs w:val="19"/>
          <w:u w:val="single"/>
        </w:rPr>
      </w:pPr>
      <w:r w:rsidRPr="00D84B11">
        <w:rPr>
          <w:b/>
          <w:szCs w:val="19"/>
        </w:rPr>
        <w:t xml:space="preserve">Paragraph </w:t>
      </w:r>
      <w:r w:rsidRPr="00D84B11">
        <w:rPr>
          <w:b/>
          <w:strike/>
          <w:szCs w:val="19"/>
        </w:rPr>
        <w:t>QC7</w:t>
      </w:r>
      <w:r w:rsidR="00D64001">
        <w:rPr>
          <w:b/>
          <w:strike/>
          <w:szCs w:val="19"/>
        </w:rPr>
        <w:t xml:space="preserve"> </w:t>
      </w:r>
      <w:r w:rsidRPr="00D84B11">
        <w:rPr>
          <w:b/>
          <w:szCs w:val="19"/>
          <w:u w:val="single"/>
        </w:rPr>
        <w:t>2.7</w:t>
      </w:r>
    </w:p>
    <w:p w14:paraId="5A8FC87C" w14:textId="77777777" w:rsidR="00D84B11" w:rsidRDefault="00D84B11" w:rsidP="0097246E">
      <w:pPr>
        <w:autoSpaceDE w:val="0"/>
        <w:autoSpaceDN w:val="0"/>
        <w:adjustRightInd w:val="0"/>
        <w:spacing w:before="100"/>
        <w:ind w:left="993" w:hanging="993"/>
        <w:rPr>
          <w:szCs w:val="19"/>
        </w:rPr>
      </w:pPr>
      <w:r w:rsidRPr="00D84B11">
        <w:rPr>
          <w:szCs w:val="19"/>
        </w:rPr>
        <w:t>…</w:t>
      </w:r>
    </w:p>
    <w:p w14:paraId="199F3275" w14:textId="073C72F5" w:rsidR="00D84B11" w:rsidRPr="00D84B11" w:rsidRDefault="00D84B11" w:rsidP="0097246E">
      <w:pPr>
        <w:keepNext/>
        <w:autoSpaceDE w:val="0"/>
        <w:autoSpaceDN w:val="0"/>
        <w:adjustRightInd w:val="0"/>
        <w:spacing w:before="240"/>
        <w:ind w:left="992" w:hanging="992"/>
        <w:rPr>
          <w:b/>
          <w:szCs w:val="19"/>
          <w:u w:val="single"/>
        </w:rPr>
      </w:pPr>
      <w:r w:rsidRPr="00D84B11">
        <w:rPr>
          <w:b/>
          <w:szCs w:val="19"/>
        </w:rPr>
        <w:t xml:space="preserve">Paragraph </w:t>
      </w:r>
      <w:r w:rsidRPr="00D84B11">
        <w:rPr>
          <w:b/>
          <w:strike/>
          <w:szCs w:val="19"/>
        </w:rPr>
        <w:t>QC11</w:t>
      </w:r>
      <w:r w:rsidR="00D64001">
        <w:rPr>
          <w:b/>
          <w:strike/>
          <w:szCs w:val="19"/>
        </w:rPr>
        <w:t xml:space="preserve"> </w:t>
      </w:r>
      <w:r w:rsidRPr="00D84B11">
        <w:rPr>
          <w:b/>
          <w:szCs w:val="19"/>
          <w:u w:val="single"/>
        </w:rPr>
        <w:t>2.11</w:t>
      </w:r>
    </w:p>
    <w:p w14:paraId="0B5F7CB0" w14:textId="77777777" w:rsidR="00D84B11" w:rsidRDefault="00D84B11" w:rsidP="0097246E">
      <w:pPr>
        <w:autoSpaceDE w:val="0"/>
        <w:autoSpaceDN w:val="0"/>
        <w:adjustRightInd w:val="0"/>
        <w:spacing w:before="100"/>
        <w:ind w:left="993" w:hanging="993"/>
        <w:rPr>
          <w:szCs w:val="19"/>
        </w:rPr>
      </w:pPr>
      <w:r w:rsidRPr="00D84B11">
        <w:rPr>
          <w:szCs w:val="19"/>
        </w:rPr>
        <w:t>…</w:t>
      </w:r>
    </w:p>
    <w:p w14:paraId="34A242D2" w14:textId="3512D215" w:rsidR="00D84B11" w:rsidRDefault="00D84B11" w:rsidP="0097246E">
      <w:pPr>
        <w:keepNext/>
        <w:autoSpaceDE w:val="0"/>
        <w:autoSpaceDN w:val="0"/>
        <w:adjustRightInd w:val="0"/>
        <w:spacing w:before="240"/>
        <w:ind w:left="992" w:hanging="992"/>
        <w:rPr>
          <w:b/>
          <w:szCs w:val="19"/>
          <w:u w:val="single"/>
        </w:rPr>
      </w:pPr>
      <w:r w:rsidRPr="00D84B11">
        <w:rPr>
          <w:b/>
          <w:szCs w:val="19"/>
        </w:rPr>
        <w:t xml:space="preserve">Paragraph </w:t>
      </w:r>
      <w:r w:rsidRPr="00D84B11">
        <w:rPr>
          <w:b/>
          <w:strike/>
          <w:szCs w:val="19"/>
        </w:rPr>
        <w:t>QC30</w:t>
      </w:r>
      <w:r w:rsidR="00D64001">
        <w:rPr>
          <w:b/>
          <w:strike/>
          <w:szCs w:val="19"/>
        </w:rPr>
        <w:t xml:space="preserve"> </w:t>
      </w:r>
      <w:r w:rsidRPr="00D84B11">
        <w:rPr>
          <w:b/>
          <w:szCs w:val="19"/>
          <w:u w:val="single"/>
        </w:rPr>
        <w:t>2.34</w:t>
      </w:r>
    </w:p>
    <w:p w14:paraId="4FEA3EF1" w14:textId="77777777" w:rsidR="001425B5" w:rsidRDefault="001425B5" w:rsidP="0097246E">
      <w:pPr>
        <w:autoSpaceDE w:val="0"/>
        <w:autoSpaceDN w:val="0"/>
        <w:adjustRightInd w:val="0"/>
        <w:spacing w:before="100"/>
        <w:ind w:left="993" w:hanging="993"/>
        <w:rPr>
          <w:szCs w:val="19"/>
        </w:rPr>
      </w:pPr>
      <w:r w:rsidRPr="001425B5">
        <w:rPr>
          <w:szCs w:val="19"/>
        </w:rPr>
        <w:t>…</w:t>
      </w:r>
    </w:p>
    <w:p w14:paraId="3034E307" w14:textId="3494B9DE" w:rsidR="00D84B11" w:rsidRPr="00D84B11" w:rsidRDefault="00D84B11" w:rsidP="00493885">
      <w:pPr>
        <w:pStyle w:val="IASBNormalnpara"/>
        <w:ind w:firstLine="0"/>
        <w:rPr>
          <w:szCs w:val="19"/>
          <w:u w:val="single"/>
        </w:rPr>
      </w:pPr>
      <w:r w:rsidRPr="00D84B11">
        <w:rPr>
          <w:szCs w:val="19"/>
        </w:rPr>
        <w:t xml:space="preserve">Classifying, characterising and presenting information clearly and concisely makes it </w:t>
      </w:r>
      <w:r w:rsidRPr="0006503F">
        <w:rPr>
          <w:i/>
          <w:strike/>
          <w:szCs w:val="19"/>
        </w:rPr>
        <w:t>understandable</w:t>
      </w:r>
      <w:r w:rsidRPr="00096152">
        <w:rPr>
          <w:szCs w:val="19"/>
        </w:rPr>
        <w:t>.</w:t>
      </w:r>
    </w:p>
    <w:p w14:paraId="4149ABB2" w14:textId="2E12487F" w:rsidR="00D84B11" w:rsidRPr="00D84B11" w:rsidRDefault="00D84B11" w:rsidP="0097246E">
      <w:pPr>
        <w:autoSpaceDE w:val="0"/>
        <w:autoSpaceDN w:val="0"/>
        <w:adjustRightInd w:val="0"/>
        <w:spacing w:before="240"/>
        <w:ind w:left="993" w:hanging="993"/>
        <w:rPr>
          <w:b/>
          <w:szCs w:val="19"/>
          <w:u w:val="single"/>
        </w:rPr>
      </w:pPr>
      <w:r w:rsidRPr="00D84B11">
        <w:rPr>
          <w:b/>
          <w:szCs w:val="19"/>
        </w:rPr>
        <w:t xml:space="preserve">Paragraph </w:t>
      </w:r>
      <w:r w:rsidRPr="00D84B11">
        <w:rPr>
          <w:b/>
          <w:strike/>
          <w:szCs w:val="19"/>
        </w:rPr>
        <w:t>QC32</w:t>
      </w:r>
      <w:r w:rsidR="00D64001">
        <w:rPr>
          <w:b/>
          <w:strike/>
          <w:szCs w:val="19"/>
        </w:rPr>
        <w:t xml:space="preserve"> </w:t>
      </w:r>
      <w:r w:rsidRPr="00D84B11">
        <w:rPr>
          <w:b/>
          <w:szCs w:val="19"/>
          <w:u w:val="single"/>
        </w:rPr>
        <w:t>2.36</w:t>
      </w:r>
    </w:p>
    <w:p w14:paraId="424CAC19" w14:textId="77777777" w:rsidR="00D84B11" w:rsidRDefault="00D84B11" w:rsidP="0097246E">
      <w:pPr>
        <w:autoSpaceDE w:val="0"/>
        <w:autoSpaceDN w:val="0"/>
        <w:adjustRightInd w:val="0"/>
        <w:spacing w:before="100"/>
        <w:ind w:left="993" w:hanging="993"/>
        <w:rPr>
          <w:szCs w:val="19"/>
        </w:rPr>
      </w:pPr>
      <w:r w:rsidRPr="00D84B11">
        <w:rPr>
          <w:szCs w:val="19"/>
        </w:rPr>
        <w:t>…</w:t>
      </w:r>
    </w:p>
    <w:p w14:paraId="12730C28" w14:textId="77777777" w:rsidR="0087625A" w:rsidRPr="00D84B11" w:rsidRDefault="0087625A" w:rsidP="00C87FAF">
      <w:pPr>
        <w:pStyle w:val="Heading2"/>
        <w:jc w:val="both"/>
      </w:pPr>
      <w:r w:rsidRPr="00D84B11">
        <w:t xml:space="preserve">Extracts from AASB 101 </w:t>
      </w:r>
      <w:r w:rsidRPr="00B8773D">
        <w:rPr>
          <w:i/>
        </w:rPr>
        <w:t>Presentation of Financial Statements</w:t>
      </w:r>
    </w:p>
    <w:p w14:paraId="62A62289" w14:textId="77777777" w:rsidR="0087625A" w:rsidRPr="00D84B11" w:rsidRDefault="0087625A" w:rsidP="00C87FAF">
      <w:pPr>
        <w:autoSpaceDE w:val="0"/>
        <w:autoSpaceDN w:val="0"/>
        <w:adjustRightInd w:val="0"/>
        <w:rPr>
          <w:szCs w:val="19"/>
        </w:rPr>
      </w:pPr>
      <w:r w:rsidRPr="00D84B11">
        <w:rPr>
          <w:szCs w:val="19"/>
        </w:rPr>
        <w:t>…</w:t>
      </w:r>
    </w:p>
    <w:p w14:paraId="67685C7C" w14:textId="77777777" w:rsidR="0087625A" w:rsidRPr="00D84B11" w:rsidRDefault="0087625A" w:rsidP="0097246E">
      <w:pPr>
        <w:autoSpaceDE w:val="0"/>
        <w:autoSpaceDN w:val="0"/>
        <w:adjustRightInd w:val="0"/>
        <w:spacing w:before="240"/>
        <w:ind w:left="993" w:hanging="993"/>
        <w:rPr>
          <w:b/>
          <w:szCs w:val="19"/>
        </w:rPr>
      </w:pPr>
      <w:r w:rsidRPr="00D84B11">
        <w:rPr>
          <w:b/>
          <w:szCs w:val="19"/>
        </w:rPr>
        <w:t xml:space="preserve">Paragraph 15 </w:t>
      </w:r>
    </w:p>
    <w:p w14:paraId="02EF0F71" w14:textId="77777777" w:rsidR="0087625A" w:rsidRPr="00D84B11" w:rsidRDefault="0087625A" w:rsidP="0097246E">
      <w:pPr>
        <w:autoSpaceDE w:val="0"/>
        <w:autoSpaceDN w:val="0"/>
        <w:adjustRightInd w:val="0"/>
        <w:spacing w:before="100"/>
        <w:ind w:left="993" w:hanging="993"/>
        <w:rPr>
          <w:szCs w:val="19"/>
        </w:rPr>
      </w:pPr>
      <w:r w:rsidRPr="00D84B11">
        <w:rPr>
          <w:szCs w:val="19"/>
        </w:rPr>
        <w:t xml:space="preserve">Referred to in paragraph 62 of the Practice Statement </w:t>
      </w:r>
    </w:p>
    <w:p w14:paraId="54ABB0C3" w14:textId="77777777" w:rsidR="0087625A" w:rsidRPr="00D84B11" w:rsidRDefault="0087625A" w:rsidP="001F0120">
      <w:pPr>
        <w:pStyle w:val="IASBNormalnpara"/>
        <w:ind w:firstLine="0"/>
        <w:rPr>
          <w:b/>
          <w:bCs/>
          <w:szCs w:val="19"/>
        </w:rPr>
      </w:pPr>
      <w:r w:rsidRPr="00D84B11">
        <w:rPr>
          <w:b/>
          <w:bCs/>
          <w:szCs w:val="19"/>
        </w:rPr>
        <w:t>Financial statements shall present fairly the financial position, financial performance and cash flows of an entity</w:t>
      </w:r>
      <w:r w:rsidR="009F1F15" w:rsidRPr="00D84B11">
        <w:rPr>
          <w:b/>
          <w:bCs/>
          <w:szCs w:val="19"/>
        </w:rPr>
        <w:t xml:space="preserve">.  </w:t>
      </w:r>
      <w:r w:rsidRPr="00D84B11">
        <w:rPr>
          <w:b/>
          <w:bCs/>
          <w:szCs w:val="19"/>
        </w:rPr>
        <w:t>Fair presentation requires the faithful representation of the effects of transactions, other events and conditions in accordance with the definitions and recognition criteria for assets, liabilities, income and expenses set out in the</w:t>
      </w:r>
      <w:r w:rsidRPr="00D84B11">
        <w:rPr>
          <w:b/>
          <w:bCs/>
          <w:i/>
          <w:szCs w:val="19"/>
        </w:rPr>
        <w:t xml:space="preserve"> </w:t>
      </w:r>
      <w:r w:rsidRPr="002330A8">
        <w:rPr>
          <w:b/>
          <w:bCs/>
          <w:strike/>
          <w:szCs w:val="19"/>
        </w:rPr>
        <w:t>Framework</w:t>
      </w:r>
      <w:r w:rsidRPr="00D84B11">
        <w:rPr>
          <w:b/>
          <w:bCs/>
          <w:i/>
          <w:szCs w:val="19"/>
          <w:u w:val="single"/>
        </w:rPr>
        <w:t xml:space="preserve"> Conceptual Framework for Financial Reporting</w:t>
      </w:r>
      <w:r w:rsidR="009F1F15" w:rsidRPr="00D84B11">
        <w:rPr>
          <w:b/>
          <w:bCs/>
          <w:szCs w:val="19"/>
        </w:rPr>
        <w:t xml:space="preserve">.  </w:t>
      </w:r>
      <w:r w:rsidRPr="00D84B11">
        <w:rPr>
          <w:b/>
          <w:bCs/>
          <w:szCs w:val="19"/>
        </w:rPr>
        <w:t>The application of Australian Accounting Standards, with additional disclosure when necessary, is presumed to result in financial statements that achieve a fair presentation.</w:t>
      </w:r>
    </w:p>
    <w:p w14:paraId="59A91D80" w14:textId="52D20F5C" w:rsidR="00394D12" w:rsidRDefault="00D64001" w:rsidP="00C87FAF">
      <w:pPr>
        <w:pStyle w:val="Heading2"/>
        <w:pBdr>
          <w:bottom w:val="none" w:sz="0" w:space="0" w:color="auto"/>
        </w:pBdr>
        <w:spacing w:after="120"/>
        <w:jc w:val="both"/>
        <w:rPr>
          <w:u w:val="single"/>
        </w:rPr>
      </w:pPr>
      <w:r>
        <w:rPr>
          <w:u w:val="single"/>
        </w:rPr>
        <w:t>Appendix AusCF B</w:t>
      </w:r>
    </w:p>
    <w:p w14:paraId="47DDB095" w14:textId="77777777" w:rsidR="00394D12" w:rsidRPr="007D30DA" w:rsidRDefault="00394D12" w:rsidP="00336A44">
      <w:pPr>
        <w:pStyle w:val="Heading1"/>
        <w:spacing w:before="0"/>
        <w:rPr>
          <w:u w:val="single"/>
        </w:rPr>
      </w:pPr>
      <w:r w:rsidRPr="007D30DA">
        <w:rPr>
          <w:u w:val="single"/>
        </w:rPr>
        <w:t xml:space="preserve">References to the </w:t>
      </w:r>
      <w:r w:rsidRPr="007D30DA">
        <w:rPr>
          <w:i/>
          <w:u w:val="single"/>
        </w:rPr>
        <w:t xml:space="preserve">Framework for the Preparation and Presentation of Financial Statements </w:t>
      </w:r>
      <w:r w:rsidRPr="007D30DA">
        <w:rPr>
          <w:u w:val="single"/>
        </w:rPr>
        <w:t>and Australian Accounting Standards</w:t>
      </w:r>
    </w:p>
    <w:p w14:paraId="1ECC325A" w14:textId="77777777" w:rsidR="00D84B11" w:rsidRPr="001425B5" w:rsidRDefault="00D84B11" w:rsidP="00B71F7F">
      <w:pPr>
        <w:pStyle w:val="Heading2"/>
        <w:rPr>
          <w:u w:val="single"/>
          <w:vertAlign w:val="superscript"/>
        </w:rPr>
      </w:pPr>
      <w:r w:rsidRPr="00394D12">
        <w:rPr>
          <w:u w:val="single"/>
        </w:rPr>
        <w:t>Extracts from the</w:t>
      </w:r>
      <w:r w:rsidRPr="001425B5">
        <w:rPr>
          <w:i/>
          <w:u w:val="single"/>
        </w:rPr>
        <w:t xml:space="preserve"> Framework for the Preparation and Presentation of Financial Statements</w:t>
      </w:r>
      <w:r w:rsidRPr="001425B5">
        <w:rPr>
          <w:u w:val="single"/>
          <w:vertAlign w:val="superscript"/>
        </w:rPr>
        <w:t>AusCF47</w:t>
      </w:r>
    </w:p>
    <w:p w14:paraId="1510AEDB" w14:textId="77777777" w:rsidR="00D84B11" w:rsidRPr="00C44135" w:rsidRDefault="00D84B11" w:rsidP="00B71F7F">
      <w:pPr>
        <w:pStyle w:val="IASBNormalnparaL1"/>
        <w:ind w:left="1491" w:hanging="709"/>
        <w:rPr>
          <w:sz w:val="16"/>
          <w:szCs w:val="16"/>
          <w:u w:val="single"/>
        </w:rPr>
      </w:pPr>
      <w:r w:rsidRPr="00C44135">
        <w:rPr>
          <w:sz w:val="16"/>
          <w:szCs w:val="16"/>
          <w:u w:val="single"/>
        </w:rPr>
        <w:t>AusCF47</w:t>
      </w:r>
      <w:r w:rsidRPr="00C44135">
        <w:rPr>
          <w:sz w:val="16"/>
          <w:szCs w:val="16"/>
        </w:rPr>
        <w:tab/>
      </w:r>
      <w:r w:rsidRPr="00C44135">
        <w:rPr>
          <w:sz w:val="16"/>
          <w:szCs w:val="16"/>
          <w:u w:val="single"/>
        </w:rPr>
        <w:t xml:space="preserve">References to the </w:t>
      </w:r>
      <w:r w:rsidRPr="00C44135">
        <w:rPr>
          <w:i/>
          <w:sz w:val="16"/>
          <w:szCs w:val="16"/>
          <w:u w:val="single"/>
        </w:rPr>
        <w:t>Framework for the Preparation and Presentation of Financial Statements</w:t>
      </w:r>
      <w:r w:rsidRPr="00C44135">
        <w:rPr>
          <w:sz w:val="16"/>
          <w:szCs w:val="16"/>
          <w:u w:val="single"/>
        </w:rPr>
        <w:t xml:space="preserve"> in this Practice Statement will be updated once the revised IASB </w:t>
      </w:r>
      <w:r w:rsidRPr="00C44135">
        <w:rPr>
          <w:i/>
          <w:sz w:val="16"/>
          <w:szCs w:val="16"/>
          <w:u w:val="single"/>
        </w:rPr>
        <w:t>Conceptual Framework</w:t>
      </w:r>
      <w:r w:rsidRPr="00C44135">
        <w:rPr>
          <w:sz w:val="16"/>
          <w:szCs w:val="16"/>
          <w:u w:val="single"/>
        </w:rPr>
        <w:t xml:space="preserve"> is issued for AusCF entities.</w:t>
      </w:r>
    </w:p>
    <w:p w14:paraId="6AEC6288" w14:textId="77777777" w:rsidR="00D84B11" w:rsidRPr="00D84B11" w:rsidRDefault="00D84B11" w:rsidP="00B71F7F">
      <w:pPr>
        <w:pStyle w:val="IASBNormalnpara"/>
        <w:spacing w:before="240"/>
        <w:rPr>
          <w:b/>
          <w:szCs w:val="19"/>
          <w:u w:val="single"/>
        </w:rPr>
      </w:pPr>
      <w:r w:rsidRPr="00D84B11">
        <w:rPr>
          <w:b/>
          <w:szCs w:val="19"/>
          <w:u w:val="single"/>
        </w:rPr>
        <w:t xml:space="preserve">Paragraph OB2 </w:t>
      </w:r>
    </w:p>
    <w:p w14:paraId="7DFF9F9F" w14:textId="77777777" w:rsidR="00D84B11" w:rsidRPr="00D84B11" w:rsidRDefault="00D84B11" w:rsidP="000D7717">
      <w:pPr>
        <w:pStyle w:val="IASBNormalnpara"/>
        <w:rPr>
          <w:szCs w:val="19"/>
          <w:u w:val="single"/>
        </w:rPr>
      </w:pPr>
      <w:r w:rsidRPr="00D84B11">
        <w:rPr>
          <w:szCs w:val="19"/>
          <w:u w:val="single"/>
        </w:rPr>
        <w:t xml:space="preserve">Referred to in paragraphs 7 and 17 of the Practice Statement </w:t>
      </w:r>
    </w:p>
    <w:p w14:paraId="382BDA56" w14:textId="77777777" w:rsidR="00D84B11" w:rsidRPr="00D84B11" w:rsidRDefault="00D84B11" w:rsidP="000D7717">
      <w:pPr>
        <w:pStyle w:val="IASBNormalnparaL1"/>
        <w:ind w:left="782" w:firstLine="0"/>
        <w:rPr>
          <w:szCs w:val="19"/>
          <w:u w:val="single"/>
        </w:rPr>
      </w:pPr>
      <w:r w:rsidRPr="00D84B11">
        <w:rPr>
          <w:szCs w:val="19"/>
          <w:u w:val="single"/>
        </w:rPr>
        <w:t>The objective of general purpose financial reporting is to provide financial information about the reporting entity that is useful to existing and potential investors, lenders and other creditors in making decisions about providing resources to the entity</w:t>
      </w:r>
      <w:r w:rsidR="009F1F15" w:rsidRPr="00D84B11">
        <w:rPr>
          <w:szCs w:val="19"/>
          <w:u w:val="single"/>
        </w:rPr>
        <w:t xml:space="preserve">.  </w:t>
      </w:r>
      <w:r w:rsidRPr="00D84B11">
        <w:rPr>
          <w:szCs w:val="19"/>
          <w:u w:val="single"/>
        </w:rPr>
        <w:t xml:space="preserve">Those decisions involve buying, selling or holding equity and debt instruments, and providing or settling loans and other forms of credit. </w:t>
      </w:r>
    </w:p>
    <w:p w14:paraId="626B11BE" w14:textId="77777777" w:rsidR="00D84B11" w:rsidRPr="00D84B11" w:rsidRDefault="00D84B11" w:rsidP="00C70995">
      <w:pPr>
        <w:pStyle w:val="IASBNormalnpara"/>
        <w:spacing w:before="240"/>
        <w:rPr>
          <w:b/>
          <w:szCs w:val="19"/>
          <w:u w:val="single"/>
        </w:rPr>
      </w:pPr>
      <w:r w:rsidRPr="00D84B11">
        <w:rPr>
          <w:b/>
          <w:szCs w:val="19"/>
          <w:u w:val="single"/>
        </w:rPr>
        <w:t xml:space="preserve">Paragraph AusOB2.1 </w:t>
      </w:r>
    </w:p>
    <w:p w14:paraId="204CC12B" w14:textId="77777777" w:rsidR="00D84B11" w:rsidRPr="00D84B11" w:rsidRDefault="00D84B11" w:rsidP="000D7717">
      <w:pPr>
        <w:pStyle w:val="IASBNormalnpara"/>
        <w:rPr>
          <w:szCs w:val="19"/>
          <w:u w:val="single"/>
        </w:rPr>
      </w:pPr>
      <w:r w:rsidRPr="00D84B11">
        <w:rPr>
          <w:szCs w:val="19"/>
          <w:u w:val="single"/>
        </w:rPr>
        <w:t xml:space="preserve">Referred to in paragraphs Aus13.1 and Aus18.1 of the Practice Statement </w:t>
      </w:r>
    </w:p>
    <w:p w14:paraId="51E400FB" w14:textId="34D5EAC2" w:rsidR="00D84B11" w:rsidRPr="0067049C" w:rsidRDefault="00D84B11" w:rsidP="000D7717">
      <w:pPr>
        <w:pStyle w:val="IASBNormalnparaL1"/>
        <w:ind w:left="782" w:firstLine="0"/>
        <w:rPr>
          <w:szCs w:val="19"/>
          <w:u w:val="single"/>
        </w:rPr>
      </w:pPr>
      <w:r w:rsidRPr="0067049C">
        <w:rPr>
          <w:szCs w:val="19"/>
          <w:u w:val="single"/>
        </w:rPr>
        <w:t>Among the users of financial information about a not-for-profit reporting entity are existing and potential resource providers (such as investors, lenders and other creditors, donors and taxpayers), recipients of goods and services (such as beneficiaries, for example, members of the community) and parties performing a review or oversight function on behalf of other users (such as advisers and members of parliament)</w:t>
      </w:r>
      <w:r w:rsidR="009F1F15" w:rsidRPr="0067049C">
        <w:rPr>
          <w:szCs w:val="19"/>
          <w:u w:val="single"/>
        </w:rPr>
        <w:t xml:space="preserve">.  </w:t>
      </w:r>
      <w:r w:rsidRPr="0067049C">
        <w:rPr>
          <w:szCs w:val="19"/>
          <w:u w:val="single"/>
        </w:rPr>
        <w:t>Such users may make resource allocation decisions in relation to not-for-profit entities that differ from those identified in paragraph OB2</w:t>
      </w:r>
      <w:r w:rsidR="009F1F15" w:rsidRPr="0067049C">
        <w:rPr>
          <w:szCs w:val="19"/>
          <w:u w:val="single"/>
        </w:rPr>
        <w:t xml:space="preserve">.  </w:t>
      </w:r>
      <w:r w:rsidRPr="0067049C">
        <w:rPr>
          <w:szCs w:val="19"/>
          <w:u w:val="single"/>
        </w:rPr>
        <w:t>For example, parliaments decide, on behalf of constituents, whether to fund particular programmes for delivery by an entity, taxpayers decide who should represent them in government, donors decide whether to donate resources to an entity, and recipients decide whether they can continue to rely on the provision of goods and services from the entity or whether to seek alternative suppliers</w:t>
      </w:r>
      <w:r w:rsidR="009F1F15" w:rsidRPr="0067049C">
        <w:rPr>
          <w:szCs w:val="19"/>
          <w:u w:val="single"/>
        </w:rPr>
        <w:t xml:space="preserve">.  </w:t>
      </w:r>
      <w:r w:rsidRPr="0067049C">
        <w:rPr>
          <w:szCs w:val="19"/>
          <w:u w:val="single"/>
        </w:rPr>
        <w:t xml:space="preserve">In relation to not-for-profit entities, where pertinent, all references in this </w:t>
      </w:r>
      <w:r w:rsidRPr="0067049C">
        <w:rPr>
          <w:i/>
          <w:szCs w:val="19"/>
          <w:u w:val="single"/>
        </w:rPr>
        <w:t xml:space="preserve">Framework </w:t>
      </w:r>
      <w:r w:rsidRPr="0067049C">
        <w:rPr>
          <w:szCs w:val="19"/>
          <w:u w:val="single"/>
        </w:rPr>
        <w:t xml:space="preserve">to ‘existing and potential investors, lenders and other creditors’ (and related terms) should be read as a reference to this broader range of users. </w:t>
      </w:r>
    </w:p>
    <w:p w14:paraId="1BBD3F96" w14:textId="11F61311" w:rsidR="00D84B11" w:rsidRPr="00D84B11" w:rsidRDefault="00D84B11" w:rsidP="00C70995">
      <w:pPr>
        <w:autoSpaceDE w:val="0"/>
        <w:autoSpaceDN w:val="0"/>
        <w:adjustRightInd w:val="0"/>
        <w:spacing w:before="240"/>
        <w:ind w:left="993" w:hanging="993"/>
        <w:rPr>
          <w:b/>
          <w:szCs w:val="19"/>
          <w:u w:val="single"/>
        </w:rPr>
      </w:pPr>
      <w:r w:rsidRPr="00D84B11">
        <w:rPr>
          <w:b/>
          <w:szCs w:val="19"/>
          <w:u w:val="single"/>
        </w:rPr>
        <w:t>Paragraph OB3</w:t>
      </w:r>
    </w:p>
    <w:p w14:paraId="2FA6ECEE" w14:textId="77777777" w:rsidR="00D84B11" w:rsidRPr="00D84B11" w:rsidRDefault="00D84B11" w:rsidP="000D7717">
      <w:pPr>
        <w:pStyle w:val="IASBNormalnpara"/>
        <w:rPr>
          <w:szCs w:val="19"/>
          <w:u w:val="single"/>
        </w:rPr>
      </w:pPr>
      <w:r w:rsidRPr="00D84B11">
        <w:rPr>
          <w:szCs w:val="19"/>
          <w:u w:val="single"/>
        </w:rPr>
        <w:t xml:space="preserve">Referred to in paragraph 18 of the Practice Statement </w:t>
      </w:r>
    </w:p>
    <w:p w14:paraId="69597E9E" w14:textId="77777777" w:rsidR="00D84B11" w:rsidRPr="0067049C" w:rsidRDefault="00D84B11" w:rsidP="000D7717">
      <w:pPr>
        <w:pStyle w:val="IASBNormalnparaL1"/>
        <w:ind w:left="782" w:firstLine="0"/>
        <w:rPr>
          <w:szCs w:val="19"/>
          <w:u w:val="single"/>
        </w:rPr>
      </w:pPr>
      <w:r w:rsidRPr="0067049C">
        <w:rPr>
          <w:szCs w:val="19"/>
          <w:u w:val="single"/>
        </w:rPr>
        <w:t>Decisions by existing and potential investors about buying, selling or holding equity and debt instruments depend on the returns that they expect from an investment in those instruments, for example dividends, principal and interest payments or market price increases</w:t>
      </w:r>
      <w:r w:rsidR="009F1F15" w:rsidRPr="0067049C">
        <w:rPr>
          <w:szCs w:val="19"/>
          <w:u w:val="single"/>
        </w:rPr>
        <w:t xml:space="preserve">.  </w:t>
      </w:r>
      <w:r w:rsidRPr="0067049C">
        <w:rPr>
          <w:szCs w:val="19"/>
          <w:u w:val="single"/>
        </w:rPr>
        <w:t>Similarly, decisions by existing and potential lenders and other creditors about providing or settling loans and other forms of credit depend on the principal and interest payments or other returns that they expect</w:t>
      </w:r>
      <w:r w:rsidR="009F1F15" w:rsidRPr="0067049C">
        <w:rPr>
          <w:szCs w:val="19"/>
          <w:u w:val="single"/>
        </w:rPr>
        <w:t xml:space="preserve">.  </w:t>
      </w:r>
      <w:r w:rsidRPr="0067049C">
        <w:rPr>
          <w:szCs w:val="19"/>
          <w:u w:val="single"/>
        </w:rPr>
        <w:t>Investors’, lenders’ and other creditors’ expectations about returns depend on their assessment of the amount, timing and uncertainty of (the prospects for) future net cash inflows to the entity</w:t>
      </w:r>
      <w:r w:rsidR="009F1F15" w:rsidRPr="0067049C">
        <w:rPr>
          <w:szCs w:val="19"/>
          <w:u w:val="single"/>
        </w:rPr>
        <w:t xml:space="preserve">.  </w:t>
      </w:r>
      <w:r w:rsidRPr="0067049C">
        <w:rPr>
          <w:szCs w:val="19"/>
          <w:u w:val="single"/>
        </w:rPr>
        <w:t xml:space="preserve">Consequently, existing and potential investors, lenders and other creditors need information to help them assess the prospects for future net cash inflows to an entity. </w:t>
      </w:r>
    </w:p>
    <w:p w14:paraId="31527071" w14:textId="77777777" w:rsidR="00D84B11" w:rsidRPr="00D84B11" w:rsidRDefault="00D84B11" w:rsidP="00C70995">
      <w:pPr>
        <w:pStyle w:val="IASBNormalnpara"/>
        <w:spacing w:before="240"/>
        <w:rPr>
          <w:b/>
          <w:szCs w:val="19"/>
          <w:u w:val="single"/>
        </w:rPr>
      </w:pPr>
      <w:r w:rsidRPr="00D84B11">
        <w:rPr>
          <w:b/>
          <w:szCs w:val="19"/>
          <w:u w:val="single"/>
        </w:rPr>
        <w:t xml:space="preserve">Paragraph AusOB3.1 </w:t>
      </w:r>
    </w:p>
    <w:p w14:paraId="05A20572" w14:textId="77777777" w:rsidR="00D84B11" w:rsidRPr="00D84B11" w:rsidRDefault="00D84B11" w:rsidP="000D7717">
      <w:pPr>
        <w:pStyle w:val="IASBNormalnpara"/>
        <w:rPr>
          <w:szCs w:val="19"/>
          <w:u w:val="single"/>
        </w:rPr>
      </w:pPr>
      <w:r w:rsidRPr="00D84B11">
        <w:rPr>
          <w:szCs w:val="19"/>
          <w:u w:val="single"/>
        </w:rPr>
        <w:t xml:space="preserve">Referred to in paragraph Aus18.1 of the Practice Statement </w:t>
      </w:r>
    </w:p>
    <w:p w14:paraId="25F0AD7E" w14:textId="77777777" w:rsidR="00D84B11" w:rsidRPr="0067049C" w:rsidRDefault="00D84B11" w:rsidP="000D7717">
      <w:pPr>
        <w:pStyle w:val="IASBNormalnparaL1"/>
        <w:ind w:left="782" w:firstLine="0"/>
        <w:rPr>
          <w:szCs w:val="19"/>
          <w:u w:val="single"/>
        </w:rPr>
      </w:pPr>
      <w:r w:rsidRPr="0067049C">
        <w:rPr>
          <w:szCs w:val="19"/>
          <w:u w:val="single"/>
        </w:rPr>
        <w:t>In respect of not-for-profit entities, users (such as certain existing and potential resource providers) are generally not concerned with obtaining a financial return on an investment in the entity</w:t>
      </w:r>
      <w:r w:rsidR="009F1F15" w:rsidRPr="0067049C">
        <w:rPr>
          <w:szCs w:val="19"/>
          <w:u w:val="single"/>
        </w:rPr>
        <w:t xml:space="preserve">.  </w:t>
      </w:r>
      <w:r w:rsidRPr="0067049C">
        <w:rPr>
          <w:szCs w:val="19"/>
          <w:u w:val="single"/>
        </w:rPr>
        <w:t>Rather, they are concerned with the ability of the entity to achieve its objectives (whether financial or nonfinancial), which in turn may depend, at least in part, on the entity’s prospects for future net cash inflows</w:t>
      </w:r>
      <w:r w:rsidR="009F1F15" w:rsidRPr="0067049C">
        <w:rPr>
          <w:szCs w:val="19"/>
          <w:u w:val="single"/>
        </w:rPr>
        <w:t xml:space="preserve">.  </w:t>
      </w:r>
      <w:r w:rsidRPr="0067049C">
        <w:rPr>
          <w:szCs w:val="19"/>
          <w:u w:val="single"/>
        </w:rPr>
        <w:t>Users will, for example, be interested in the capability of the entity’s resources to provide goods and services in the future</w:t>
      </w:r>
      <w:r w:rsidR="009F1F15" w:rsidRPr="0067049C">
        <w:rPr>
          <w:szCs w:val="19"/>
          <w:u w:val="single"/>
        </w:rPr>
        <w:t xml:space="preserve">.  </w:t>
      </w:r>
      <w:r w:rsidRPr="0067049C">
        <w:rPr>
          <w:szCs w:val="19"/>
          <w:u w:val="single"/>
        </w:rPr>
        <w:t xml:space="preserve">Accordingly, in relation to not-for-profit entities, where pertinent, references in this </w:t>
      </w:r>
      <w:r w:rsidRPr="0067049C">
        <w:rPr>
          <w:i/>
          <w:szCs w:val="19"/>
          <w:u w:val="single"/>
        </w:rPr>
        <w:t xml:space="preserve">Framework </w:t>
      </w:r>
      <w:r w:rsidRPr="0067049C">
        <w:rPr>
          <w:szCs w:val="19"/>
          <w:u w:val="single"/>
        </w:rPr>
        <w:t xml:space="preserve">to ‘assessing prospects for future net cash inflows’ (and related terms) should be read in the context of the common information needs of users of general purpose financial reports of not-for-profit entities described in this paragraph. </w:t>
      </w:r>
    </w:p>
    <w:p w14:paraId="36271357" w14:textId="77777777" w:rsidR="00D84B11" w:rsidRPr="00D84B11" w:rsidRDefault="00D84B11" w:rsidP="00C70995">
      <w:pPr>
        <w:pStyle w:val="IASBNormalnpara"/>
        <w:spacing w:before="240"/>
        <w:rPr>
          <w:b/>
          <w:szCs w:val="19"/>
          <w:u w:val="single"/>
        </w:rPr>
      </w:pPr>
      <w:r w:rsidRPr="00D84B11">
        <w:rPr>
          <w:b/>
          <w:szCs w:val="19"/>
          <w:u w:val="single"/>
        </w:rPr>
        <w:t xml:space="preserve">Paragraph OB4 </w:t>
      </w:r>
    </w:p>
    <w:p w14:paraId="54B2F72E" w14:textId="77777777" w:rsidR="00D84B11" w:rsidRPr="00D84B11" w:rsidRDefault="00D84B11" w:rsidP="000D7717">
      <w:pPr>
        <w:pStyle w:val="IASBNormalnpara"/>
        <w:rPr>
          <w:szCs w:val="19"/>
          <w:u w:val="single"/>
        </w:rPr>
      </w:pPr>
      <w:r w:rsidRPr="00D84B11">
        <w:rPr>
          <w:szCs w:val="19"/>
          <w:u w:val="single"/>
        </w:rPr>
        <w:t xml:space="preserve">Referred to in paragraphs 19 and 38 of the Practice Statement </w:t>
      </w:r>
    </w:p>
    <w:p w14:paraId="4D6319BA" w14:textId="77777777" w:rsidR="00D84B11" w:rsidRPr="00D84B11" w:rsidRDefault="00D84B11" w:rsidP="000D7717">
      <w:pPr>
        <w:pStyle w:val="IASBNormalnparaL1"/>
        <w:ind w:left="782" w:firstLine="0"/>
        <w:rPr>
          <w:szCs w:val="19"/>
          <w:u w:val="single"/>
        </w:rPr>
      </w:pPr>
      <w:r w:rsidRPr="00D84B11">
        <w:rPr>
          <w:szCs w:val="19"/>
          <w:u w:val="single"/>
        </w:rPr>
        <w:t>To assess an entity’s prospects for future net cash inflows, existing and potential investors, lenders and other creditors need information about the resources of the entity, claims against the entity, and how efficiently and effectively the entity’s management and governing board have discharged their responsibilities to use the entity’s resources</w:t>
      </w:r>
      <w:r w:rsidR="009F1F15" w:rsidRPr="00D84B11">
        <w:rPr>
          <w:szCs w:val="19"/>
          <w:u w:val="single"/>
        </w:rPr>
        <w:t xml:space="preserve">.  </w:t>
      </w:r>
      <w:r w:rsidRPr="00D84B11">
        <w:rPr>
          <w:szCs w:val="19"/>
          <w:u w:val="single"/>
        </w:rPr>
        <w:t>Examples of such responsibilities include protecting the entity’s resources from unfavourable effects of economic factors such as price and technological changes and ensuring that the entity complies with applicable laws, regulations and contractual provisions</w:t>
      </w:r>
      <w:r w:rsidR="009F1F15" w:rsidRPr="00D84B11">
        <w:rPr>
          <w:szCs w:val="19"/>
          <w:u w:val="single"/>
        </w:rPr>
        <w:t xml:space="preserve">.  </w:t>
      </w:r>
      <w:r w:rsidRPr="00D84B11">
        <w:rPr>
          <w:szCs w:val="19"/>
          <w:u w:val="single"/>
        </w:rPr>
        <w:t xml:space="preserve">Information about management’s discharge of its responsibilities is also useful for decisions by existing investors, lenders and other creditors who have the right to vote on or otherwise influence management’s actions. </w:t>
      </w:r>
    </w:p>
    <w:p w14:paraId="15907B9E" w14:textId="77777777" w:rsidR="00D84B11" w:rsidRPr="00D84B11" w:rsidRDefault="00D84B11" w:rsidP="00C70995">
      <w:pPr>
        <w:pStyle w:val="IASBNormalnpara"/>
        <w:spacing w:before="240"/>
        <w:rPr>
          <w:b/>
          <w:szCs w:val="19"/>
          <w:u w:val="single"/>
        </w:rPr>
      </w:pPr>
      <w:r w:rsidRPr="00D84B11">
        <w:rPr>
          <w:b/>
          <w:szCs w:val="19"/>
          <w:u w:val="single"/>
        </w:rPr>
        <w:t xml:space="preserve">Paragraph OB5 </w:t>
      </w:r>
    </w:p>
    <w:p w14:paraId="3A806615" w14:textId="77777777" w:rsidR="00D84B11" w:rsidRPr="00D84B11" w:rsidRDefault="00D84B11" w:rsidP="000D7717">
      <w:pPr>
        <w:pStyle w:val="IASBNormalnpara"/>
        <w:rPr>
          <w:szCs w:val="19"/>
          <w:u w:val="single"/>
        </w:rPr>
      </w:pPr>
      <w:r w:rsidRPr="00D84B11">
        <w:rPr>
          <w:szCs w:val="19"/>
          <w:u w:val="single"/>
        </w:rPr>
        <w:t xml:space="preserve">Referred to in paragraph 13 of the Practice Statement </w:t>
      </w:r>
    </w:p>
    <w:p w14:paraId="25ACB1D6" w14:textId="77777777" w:rsidR="00D84B11" w:rsidRPr="00D84B11" w:rsidRDefault="00D84B11" w:rsidP="000D7717">
      <w:pPr>
        <w:pStyle w:val="IASBNormalnparaL1"/>
        <w:ind w:left="782" w:firstLine="0"/>
        <w:rPr>
          <w:szCs w:val="19"/>
          <w:u w:val="single"/>
        </w:rPr>
      </w:pPr>
      <w:r w:rsidRPr="00D84B11">
        <w:rPr>
          <w:szCs w:val="19"/>
          <w:u w:val="single"/>
        </w:rPr>
        <w:t>Many existing and potential investors, lenders and other creditors cannot require reporting entities to provide information directly to them and must rely on general purpose financial reports for much of the financial information they need</w:t>
      </w:r>
      <w:r w:rsidR="009F1F15" w:rsidRPr="00D84B11">
        <w:rPr>
          <w:szCs w:val="19"/>
          <w:u w:val="single"/>
        </w:rPr>
        <w:t xml:space="preserve">.  </w:t>
      </w:r>
      <w:r w:rsidRPr="00D84B11">
        <w:rPr>
          <w:szCs w:val="19"/>
          <w:u w:val="single"/>
        </w:rPr>
        <w:t xml:space="preserve">Consequently, they are the primary users to whom general purpose financial reports are directed. </w:t>
      </w:r>
    </w:p>
    <w:p w14:paraId="41F1BEFB" w14:textId="77777777" w:rsidR="00D84B11" w:rsidRPr="00D84B11" w:rsidRDefault="00D84B11" w:rsidP="00C70995">
      <w:pPr>
        <w:pStyle w:val="IASBNormalnpara"/>
        <w:spacing w:before="240"/>
        <w:rPr>
          <w:b/>
          <w:szCs w:val="19"/>
          <w:u w:val="single"/>
        </w:rPr>
      </w:pPr>
      <w:r w:rsidRPr="00D84B11">
        <w:rPr>
          <w:b/>
          <w:szCs w:val="19"/>
          <w:u w:val="single"/>
        </w:rPr>
        <w:t xml:space="preserve">Paragraph OB6 </w:t>
      </w:r>
    </w:p>
    <w:p w14:paraId="7CE4980E"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21 of the Practice Statement </w:t>
      </w:r>
    </w:p>
    <w:p w14:paraId="67316A52" w14:textId="77777777" w:rsidR="00D84B11" w:rsidRPr="00D84B11" w:rsidRDefault="00D84B11" w:rsidP="000D7717">
      <w:pPr>
        <w:pStyle w:val="IASBNormalnparaL1"/>
        <w:ind w:left="782" w:firstLine="0"/>
        <w:rPr>
          <w:szCs w:val="19"/>
          <w:u w:val="single"/>
        </w:rPr>
      </w:pPr>
      <w:r w:rsidRPr="00D84B11">
        <w:rPr>
          <w:szCs w:val="19"/>
          <w:u w:val="single"/>
        </w:rPr>
        <w:t>However, general purpose financial reports do not and cannot provide all of the information that existing and potential investors, lenders and other creditors need</w:t>
      </w:r>
      <w:r w:rsidR="009F1F15" w:rsidRPr="00D84B11">
        <w:rPr>
          <w:szCs w:val="19"/>
          <w:u w:val="single"/>
        </w:rPr>
        <w:t xml:space="preserve">.  </w:t>
      </w:r>
      <w:r w:rsidRPr="00D84B11">
        <w:rPr>
          <w:szCs w:val="19"/>
          <w:u w:val="single"/>
        </w:rPr>
        <w:t xml:space="preserve">Those users need to consider pertinent information from other sources, for example, general economic conditions and expectations, political events and political climate, and industry and company outlooks. </w:t>
      </w:r>
    </w:p>
    <w:p w14:paraId="4794EB7E" w14:textId="77777777" w:rsidR="00D84B11" w:rsidRPr="00D84B11" w:rsidRDefault="00D84B11" w:rsidP="00C70995">
      <w:pPr>
        <w:pStyle w:val="IASBNormalnpara"/>
        <w:spacing w:before="240"/>
        <w:rPr>
          <w:b/>
          <w:szCs w:val="19"/>
          <w:u w:val="single"/>
        </w:rPr>
      </w:pPr>
      <w:r w:rsidRPr="00D84B11">
        <w:rPr>
          <w:b/>
          <w:szCs w:val="19"/>
          <w:u w:val="single"/>
        </w:rPr>
        <w:t xml:space="preserve">Paragraph OB8 </w:t>
      </w:r>
    </w:p>
    <w:p w14:paraId="27C174B9"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36 of the Practice Statement </w:t>
      </w:r>
    </w:p>
    <w:p w14:paraId="1293AB24" w14:textId="77777777" w:rsidR="00D84B11" w:rsidRPr="00D84B11" w:rsidRDefault="00D84B11" w:rsidP="000D7717">
      <w:pPr>
        <w:pStyle w:val="IASBNormalnparaL1"/>
        <w:ind w:left="782" w:firstLine="0"/>
        <w:rPr>
          <w:szCs w:val="19"/>
          <w:u w:val="single"/>
        </w:rPr>
      </w:pPr>
      <w:r w:rsidRPr="00D84B11">
        <w:rPr>
          <w:szCs w:val="19"/>
          <w:u w:val="single"/>
        </w:rPr>
        <w:t>Individual primary users have different, and possibly conflicting, information needs and desires</w:t>
      </w:r>
      <w:r w:rsidR="009F1F15" w:rsidRPr="00D84B11">
        <w:rPr>
          <w:szCs w:val="19"/>
          <w:u w:val="single"/>
        </w:rPr>
        <w:t xml:space="preserve">.  </w:t>
      </w:r>
      <w:r w:rsidRPr="00D84B11">
        <w:rPr>
          <w:szCs w:val="19"/>
          <w:u w:val="single"/>
        </w:rPr>
        <w:t>The Board, in developing financial reporting standards, will seek to provide the information set that will meet the needs of the maximum number of primary users</w:t>
      </w:r>
      <w:r w:rsidR="009F1F15" w:rsidRPr="00D84B11">
        <w:rPr>
          <w:szCs w:val="19"/>
          <w:u w:val="single"/>
        </w:rPr>
        <w:t xml:space="preserve">.  </w:t>
      </w:r>
      <w:r w:rsidRPr="00D84B11">
        <w:rPr>
          <w:szCs w:val="19"/>
          <w:u w:val="single"/>
        </w:rPr>
        <w:t xml:space="preserve">However, focusing on common information needs does not prevent the reporting entity from including additional information that is most useful to a particular subset of primary users. </w:t>
      </w:r>
    </w:p>
    <w:p w14:paraId="509D5272" w14:textId="77777777" w:rsidR="00D84B11" w:rsidRPr="00D84B11" w:rsidRDefault="00D84B11" w:rsidP="00C70995">
      <w:pPr>
        <w:pStyle w:val="IASBNormalnpara"/>
        <w:spacing w:before="240"/>
        <w:rPr>
          <w:b/>
          <w:szCs w:val="19"/>
          <w:u w:val="single"/>
        </w:rPr>
      </w:pPr>
      <w:r w:rsidRPr="00D84B11">
        <w:rPr>
          <w:b/>
          <w:szCs w:val="19"/>
          <w:u w:val="single"/>
        </w:rPr>
        <w:t xml:space="preserve">Paragraph OB9 </w:t>
      </w:r>
    </w:p>
    <w:p w14:paraId="0848A437"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13 of the Practice Statement </w:t>
      </w:r>
    </w:p>
    <w:p w14:paraId="0D9C5429" w14:textId="77777777" w:rsidR="00D84B11" w:rsidRPr="00D84B11" w:rsidRDefault="00D84B11" w:rsidP="000D7717">
      <w:pPr>
        <w:pStyle w:val="IASBNormalnparaL1"/>
        <w:ind w:left="782" w:firstLine="0"/>
        <w:rPr>
          <w:szCs w:val="19"/>
          <w:u w:val="single"/>
        </w:rPr>
      </w:pPr>
      <w:r w:rsidRPr="00D84B11">
        <w:rPr>
          <w:szCs w:val="19"/>
          <w:u w:val="single"/>
        </w:rPr>
        <w:t>The management of a reporting entity is also interested in financial information about the entity</w:t>
      </w:r>
      <w:r w:rsidR="009F1F15" w:rsidRPr="00D84B11">
        <w:rPr>
          <w:szCs w:val="19"/>
          <w:u w:val="single"/>
        </w:rPr>
        <w:t xml:space="preserve">.  </w:t>
      </w:r>
      <w:r w:rsidRPr="00D84B11">
        <w:rPr>
          <w:szCs w:val="19"/>
          <w:u w:val="single"/>
        </w:rPr>
        <w:t xml:space="preserve">However, management need not rely on general purpose financial reports because it is able to obtain the financial information it needs internally. </w:t>
      </w:r>
    </w:p>
    <w:p w14:paraId="020202FB" w14:textId="77777777" w:rsidR="00D84B11" w:rsidRPr="00D84B11" w:rsidRDefault="00D84B11" w:rsidP="00C70995">
      <w:pPr>
        <w:pStyle w:val="IASBNormalnpara"/>
        <w:spacing w:before="240"/>
        <w:rPr>
          <w:b/>
          <w:szCs w:val="19"/>
          <w:u w:val="single"/>
        </w:rPr>
      </w:pPr>
      <w:r w:rsidRPr="00D84B11">
        <w:rPr>
          <w:b/>
          <w:szCs w:val="19"/>
          <w:u w:val="single"/>
        </w:rPr>
        <w:t xml:space="preserve">Paragraph OB10 </w:t>
      </w:r>
    </w:p>
    <w:p w14:paraId="0309F3AD" w14:textId="77777777" w:rsidR="00D84B11" w:rsidRPr="00D84B11" w:rsidRDefault="00D84B11" w:rsidP="00A13649">
      <w:pPr>
        <w:autoSpaceDE w:val="0"/>
        <w:autoSpaceDN w:val="0"/>
        <w:adjustRightInd w:val="0"/>
        <w:spacing w:before="100"/>
        <w:ind w:left="993" w:hanging="993"/>
        <w:rPr>
          <w:szCs w:val="19"/>
          <w:u w:val="single"/>
        </w:rPr>
      </w:pPr>
      <w:r w:rsidRPr="00D84B11">
        <w:rPr>
          <w:szCs w:val="19"/>
          <w:u w:val="single"/>
        </w:rPr>
        <w:t xml:space="preserve">Referred to in paragraph 13 of the Practice Statement </w:t>
      </w:r>
    </w:p>
    <w:p w14:paraId="3912EF9E" w14:textId="77777777" w:rsidR="00D84B11" w:rsidRPr="00D84B11" w:rsidRDefault="00D84B11" w:rsidP="000D7717">
      <w:pPr>
        <w:pStyle w:val="IASBNormalnparaL1"/>
        <w:ind w:left="782" w:firstLine="0"/>
        <w:rPr>
          <w:szCs w:val="19"/>
          <w:u w:val="single"/>
        </w:rPr>
      </w:pPr>
      <w:r w:rsidRPr="00D84B11">
        <w:rPr>
          <w:szCs w:val="19"/>
          <w:u w:val="single"/>
        </w:rPr>
        <w:t>Other parties, such as regulators and members of the public other than investors, lenders and other creditors, may also find general purpose financial reports useful</w:t>
      </w:r>
      <w:r w:rsidR="009F1F15" w:rsidRPr="00D84B11">
        <w:rPr>
          <w:szCs w:val="19"/>
          <w:u w:val="single"/>
        </w:rPr>
        <w:t xml:space="preserve">.  </w:t>
      </w:r>
      <w:r w:rsidRPr="00D84B11">
        <w:rPr>
          <w:szCs w:val="19"/>
          <w:u w:val="single"/>
        </w:rPr>
        <w:t xml:space="preserve">However, those reports are not primarily directed to these other groups. </w:t>
      </w:r>
    </w:p>
    <w:p w14:paraId="7BBEC9F9" w14:textId="77777777" w:rsidR="00D84B11" w:rsidRPr="00D84B11" w:rsidRDefault="00D84B11" w:rsidP="00C70995">
      <w:pPr>
        <w:pStyle w:val="IASBNormalnpara"/>
        <w:spacing w:before="240"/>
        <w:rPr>
          <w:b/>
          <w:szCs w:val="19"/>
          <w:u w:val="single"/>
        </w:rPr>
      </w:pPr>
      <w:r w:rsidRPr="00D84B11">
        <w:rPr>
          <w:b/>
          <w:szCs w:val="19"/>
          <w:u w:val="single"/>
        </w:rPr>
        <w:t xml:space="preserve">Paragraph QC7 </w:t>
      </w:r>
    </w:p>
    <w:p w14:paraId="6ABDF155"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20 of the Practice Statement </w:t>
      </w:r>
    </w:p>
    <w:p w14:paraId="1ECEB612" w14:textId="77777777" w:rsidR="00D84B11" w:rsidRPr="00D84B11" w:rsidRDefault="00D84B11" w:rsidP="000D7717">
      <w:pPr>
        <w:pStyle w:val="IASBNormalnparaL1"/>
        <w:ind w:left="782" w:firstLine="0"/>
        <w:rPr>
          <w:szCs w:val="19"/>
          <w:u w:val="single"/>
        </w:rPr>
      </w:pPr>
      <w:r w:rsidRPr="00D84B11">
        <w:rPr>
          <w:szCs w:val="19"/>
          <w:u w:val="single"/>
        </w:rPr>
        <w:t xml:space="preserve">Financial information is capable of making a difference in decisions if it has predictive value, confirmatory value or both. </w:t>
      </w:r>
    </w:p>
    <w:p w14:paraId="5131EB14" w14:textId="77777777" w:rsidR="00D84B11" w:rsidRPr="00D84B11" w:rsidRDefault="00D84B11" w:rsidP="00C70995">
      <w:pPr>
        <w:pStyle w:val="IASBNormalnpara"/>
        <w:keepNext/>
        <w:spacing w:before="240"/>
        <w:rPr>
          <w:b/>
          <w:szCs w:val="19"/>
          <w:u w:val="single"/>
        </w:rPr>
      </w:pPr>
      <w:r w:rsidRPr="00D84B11">
        <w:rPr>
          <w:b/>
          <w:szCs w:val="19"/>
          <w:u w:val="single"/>
        </w:rPr>
        <w:t xml:space="preserve">Paragraph QC11 </w:t>
      </w:r>
    </w:p>
    <w:p w14:paraId="3BAD5EFA"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5 of the Practice Statement </w:t>
      </w:r>
    </w:p>
    <w:p w14:paraId="71870669" w14:textId="77777777" w:rsidR="00D84B11" w:rsidRPr="00D84B11" w:rsidRDefault="00D84B11" w:rsidP="000D7717">
      <w:pPr>
        <w:pStyle w:val="IASBNormalnparaL1"/>
        <w:ind w:left="782" w:firstLine="0"/>
        <w:rPr>
          <w:szCs w:val="19"/>
          <w:u w:val="single"/>
        </w:rPr>
      </w:pPr>
      <w:r w:rsidRPr="00D84B11">
        <w:rPr>
          <w:szCs w:val="19"/>
          <w:u w:val="single"/>
        </w:rPr>
        <w:t>Information is material if omitting</w:t>
      </w:r>
      <w:r w:rsidR="002977BE">
        <w:rPr>
          <w:szCs w:val="19"/>
          <w:u w:val="single"/>
        </w:rPr>
        <w:t>,</w:t>
      </w:r>
      <w:r w:rsidRPr="00D84B11">
        <w:rPr>
          <w:szCs w:val="19"/>
          <w:u w:val="single"/>
        </w:rPr>
        <w:t xml:space="preserve"> misstating </w:t>
      </w:r>
      <w:r w:rsidR="002977BE">
        <w:rPr>
          <w:szCs w:val="19"/>
          <w:u w:val="single"/>
        </w:rPr>
        <w:t xml:space="preserve">or obscuring </w:t>
      </w:r>
      <w:r w:rsidRPr="00D84B11">
        <w:rPr>
          <w:szCs w:val="19"/>
          <w:u w:val="single"/>
        </w:rPr>
        <w:t xml:space="preserve">it could </w:t>
      </w:r>
      <w:r w:rsidR="002977BE">
        <w:rPr>
          <w:szCs w:val="19"/>
          <w:u w:val="single"/>
        </w:rPr>
        <w:t xml:space="preserve">reasonably be expected to </w:t>
      </w:r>
      <w:r w:rsidRPr="00D84B11">
        <w:rPr>
          <w:szCs w:val="19"/>
          <w:u w:val="single"/>
        </w:rPr>
        <w:t xml:space="preserve">influence decisions that </w:t>
      </w:r>
      <w:r w:rsidR="002977BE">
        <w:rPr>
          <w:szCs w:val="19"/>
          <w:u w:val="single"/>
        </w:rPr>
        <w:t xml:space="preserve">the primary </w:t>
      </w:r>
      <w:r w:rsidRPr="00D84B11">
        <w:rPr>
          <w:szCs w:val="19"/>
          <w:u w:val="single"/>
        </w:rPr>
        <w:t xml:space="preserve">users </w:t>
      </w:r>
      <w:r w:rsidR="002977BE">
        <w:rPr>
          <w:szCs w:val="19"/>
          <w:u w:val="single"/>
        </w:rPr>
        <w:t xml:space="preserve">of general purpose financial reports </w:t>
      </w:r>
      <w:r w:rsidRPr="00D84B11">
        <w:rPr>
          <w:szCs w:val="19"/>
          <w:u w:val="single"/>
        </w:rPr>
        <w:t xml:space="preserve">make on the basis of </w:t>
      </w:r>
      <w:r w:rsidR="002977BE">
        <w:rPr>
          <w:szCs w:val="19"/>
          <w:u w:val="single"/>
        </w:rPr>
        <w:t xml:space="preserve">those reports, which provide </w:t>
      </w:r>
      <w:r w:rsidRPr="00D84B11">
        <w:rPr>
          <w:szCs w:val="19"/>
          <w:u w:val="single"/>
        </w:rPr>
        <w:t>financial information about a specific reporting entity</w:t>
      </w:r>
      <w:r w:rsidR="009F1F15" w:rsidRPr="00D84B11">
        <w:rPr>
          <w:szCs w:val="19"/>
          <w:u w:val="single"/>
        </w:rPr>
        <w:t xml:space="preserve">.  </w:t>
      </w:r>
      <w:r w:rsidRPr="00D84B11">
        <w:rPr>
          <w:szCs w:val="19"/>
          <w:u w:val="single"/>
        </w:rPr>
        <w:t>In other words, materiality is an entity-specific aspect of relevance based on the nature or magnitude, or both, of the items to which the information relates in the context of an individual entity’s financial report</w:t>
      </w:r>
      <w:r w:rsidR="009F1F15" w:rsidRPr="00D84B11">
        <w:rPr>
          <w:szCs w:val="19"/>
          <w:u w:val="single"/>
        </w:rPr>
        <w:t xml:space="preserve">.  </w:t>
      </w:r>
      <w:r w:rsidRPr="00D84B11">
        <w:rPr>
          <w:szCs w:val="19"/>
          <w:u w:val="single"/>
        </w:rPr>
        <w:t xml:space="preserve">Consequently, the Board cannot specify a uniform quantitative threshold for materiality or predetermine what could be material in a particular situation. </w:t>
      </w:r>
    </w:p>
    <w:p w14:paraId="01943029" w14:textId="77777777" w:rsidR="00D84B11" w:rsidRPr="00D84B11" w:rsidRDefault="00D84B11" w:rsidP="00C70995">
      <w:pPr>
        <w:pStyle w:val="IASBNormalnpara"/>
        <w:spacing w:before="240"/>
        <w:rPr>
          <w:b/>
          <w:szCs w:val="19"/>
          <w:u w:val="single"/>
        </w:rPr>
      </w:pPr>
      <w:r w:rsidRPr="00D84B11">
        <w:rPr>
          <w:b/>
          <w:szCs w:val="19"/>
          <w:u w:val="single"/>
        </w:rPr>
        <w:t xml:space="preserve">Paragraph QC30 </w:t>
      </w:r>
    </w:p>
    <w:p w14:paraId="2FF2EB86" w14:textId="77777777" w:rsidR="00D84B11" w:rsidRPr="00D84B11" w:rsidRDefault="00D84B11" w:rsidP="00342B64">
      <w:pPr>
        <w:autoSpaceDE w:val="0"/>
        <w:autoSpaceDN w:val="0"/>
        <w:adjustRightInd w:val="0"/>
        <w:spacing w:before="100"/>
        <w:ind w:left="992" w:hanging="992"/>
        <w:rPr>
          <w:szCs w:val="19"/>
          <w:u w:val="single"/>
        </w:rPr>
      </w:pPr>
      <w:r w:rsidRPr="00D84B11">
        <w:rPr>
          <w:szCs w:val="19"/>
          <w:u w:val="single"/>
        </w:rPr>
        <w:t xml:space="preserve">Referred to in paragraph 56 of the Practice Statement </w:t>
      </w:r>
    </w:p>
    <w:p w14:paraId="2BB76826" w14:textId="77777777" w:rsidR="00D84B11" w:rsidRPr="00D84B11" w:rsidRDefault="00D84B11" w:rsidP="000D7717">
      <w:pPr>
        <w:pStyle w:val="IASBNormalnparaL1"/>
        <w:ind w:left="782" w:firstLine="0"/>
        <w:rPr>
          <w:szCs w:val="19"/>
          <w:u w:val="single"/>
        </w:rPr>
      </w:pPr>
      <w:r w:rsidRPr="00D84B11">
        <w:rPr>
          <w:szCs w:val="19"/>
          <w:u w:val="single"/>
        </w:rPr>
        <w:t xml:space="preserve">Classifying, characterising and presenting information clearly and concisely makes it </w:t>
      </w:r>
      <w:r w:rsidRPr="00D84B11">
        <w:rPr>
          <w:i/>
          <w:iCs/>
          <w:szCs w:val="19"/>
          <w:u w:val="single"/>
        </w:rPr>
        <w:t>understandable</w:t>
      </w:r>
      <w:r w:rsidRPr="00D84B11">
        <w:rPr>
          <w:szCs w:val="19"/>
          <w:u w:val="single"/>
        </w:rPr>
        <w:t xml:space="preserve">. </w:t>
      </w:r>
    </w:p>
    <w:p w14:paraId="0317B085" w14:textId="77777777" w:rsidR="00D84B11" w:rsidRPr="00D84B11" w:rsidRDefault="00D84B11" w:rsidP="00C70995">
      <w:pPr>
        <w:pStyle w:val="IASBNormalnpara"/>
        <w:spacing w:before="240"/>
        <w:rPr>
          <w:b/>
          <w:szCs w:val="19"/>
          <w:u w:val="single"/>
        </w:rPr>
      </w:pPr>
      <w:r w:rsidRPr="00D84B11">
        <w:rPr>
          <w:b/>
          <w:szCs w:val="19"/>
          <w:u w:val="single"/>
        </w:rPr>
        <w:t xml:space="preserve">Paragraph QC32 </w:t>
      </w:r>
    </w:p>
    <w:p w14:paraId="08AB87F7" w14:textId="77777777" w:rsidR="00D84B11" w:rsidRPr="00D84B11" w:rsidRDefault="00D84B11" w:rsidP="00C70995">
      <w:pPr>
        <w:autoSpaceDE w:val="0"/>
        <w:autoSpaceDN w:val="0"/>
        <w:adjustRightInd w:val="0"/>
        <w:spacing w:before="100"/>
        <w:ind w:left="993" w:hanging="993"/>
        <w:rPr>
          <w:szCs w:val="19"/>
          <w:u w:val="single"/>
        </w:rPr>
      </w:pPr>
      <w:r w:rsidRPr="00D84B11">
        <w:rPr>
          <w:szCs w:val="19"/>
          <w:u w:val="single"/>
        </w:rPr>
        <w:t xml:space="preserve">Referred to in paragraph 15 of the Practice Statement </w:t>
      </w:r>
    </w:p>
    <w:p w14:paraId="0ACB18B8" w14:textId="77777777" w:rsidR="00D84B11" w:rsidRPr="00D84B11" w:rsidRDefault="00D84B11" w:rsidP="000D7717">
      <w:pPr>
        <w:pStyle w:val="IASBNormalnparaL1"/>
        <w:ind w:left="782" w:firstLine="0"/>
        <w:rPr>
          <w:szCs w:val="19"/>
          <w:u w:val="single"/>
        </w:rPr>
      </w:pPr>
      <w:r w:rsidRPr="00D84B11">
        <w:rPr>
          <w:szCs w:val="19"/>
          <w:u w:val="single"/>
        </w:rPr>
        <w:t>Financial reports are prepared for users who have a reasonable knowledge of business and economic activities and who review and analyse the information diligently</w:t>
      </w:r>
      <w:r w:rsidR="009F1F15" w:rsidRPr="00D84B11">
        <w:rPr>
          <w:szCs w:val="19"/>
          <w:u w:val="single"/>
        </w:rPr>
        <w:t xml:space="preserve">.  </w:t>
      </w:r>
      <w:r w:rsidRPr="00D84B11">
        <w:rPr>
          <w:szCs w:val="19"/>
          <w:u w:val="single"/>
        </w:rPr>
        <w:t>At times, even well-informed and diligent users may need to seek the aid of an adviser to understand information about complex economic phenomena.</w:t>
      </w:r>
    </w:p>
    <w:p w14:paraId="2C7FFAE0" w14:textId="77777777" w:rsidR="00D84B11" w:rsidRPr="00B8773D" w:rsidRDefault="00D84B11" w:rsidP="00C87FAF">
      <w:pPr>
        <w:pStyle w:val="Heading2"/>
        <w:jc w:val="both"/>
        <w:rPr>
          <w:b w:val="0"/>
          <w:u w:val="single"/>
        </w:rPr>
      </w:pPr>
      <w:r w:rsidRPr="00B8773D">
        <w:rPr>
          <w:u w:val="single"/>
        </w:rPr>
        <w:t xml:space="preserve">Extracts from AASB 101 </w:t>
      </w:r>
      <w:r w:rsidRPr="00B8773D">
        <w:rPr>
          <w:i/>
          <w:u w:val="single"/>
        </w:rPr>
        <w:t>Presentation of Financial Statements</w:t>
      </w:r>
    </w:p>
    <w:p w14:paraId="4D9CBE49" w14:textId="4D419A7F" w:rsidR="0087625A" w:rsidRPr="00B8773D" w:rsidRDefault="0087625A" w:rsidP="00342B64">
      <w:pPr>
        <w:pStyle w:val="IASBNormalnpara"/>
        <w:spacing w:before="240"/>
        <w:rPr>
          <w:szCs w:val="19"/>
          <w:u w:val="single"/>
        </w:rPr>
      </w:pPr>
      <w:r w:rsidRPr="00B8773D">
        <w:rPr>
          <w:b/>
          <w:bCs/>
          <w:szCs w:val="19"/>
          <w:u w:val="single"/>
        </w:rPr>
        <w:t>Paragraph 7</w:t>
      </w:r>
    </w:p>
    <w:p w14:paraId="113CD9E1" w14:textId="77777777" w:rsidR="0087625A" w:rsidRPr="00B8773D" w:rsidRDefault="0087625A" w:rsidP="00342B64">
      <w:pPr>
        <w:autoSpaceDE w:val="0"/>
        <w:autoSpaceDN w:val="0"/>
        <w:adjustRightInd w:val="0"/>
        <w:spacing w:before="100"/>
        <w:ind w:left="992" w:hanging="992"/>
        <w:rPr>
          <w:szCs w:val="19"/>
          <w:u w:val="single"/>
        </w:rPr>
      </w:pPr>
      <w:r w:rsidRPr="00B8773D">
        <w:rPr>
          <w:szCs w:val="19"/>
          <w:u w:val="single"/>
        </w:rPr>
        <w:t xml:space="preserve">Referred to in paragraphs 5, 41 and 60 of the Practice Statement </w:t>
      </w:r>
    </w:p>
    <w:p w14:paraId="39FA9939" w14:textId="77777777" w:rsidR="002977BE" w:rsidRDefault="0087625A" w:rsidP="000D7717">
      <w:pPr>
        <w:pStyle w:val="IASBNormalnparaL1"/>
        <w:ind w:left="782" w:firstLine="0"/>
        <w:rPr>
          <w:b/>
          <w:bCs/>
          <w:szCs w:val="19"/>
          <w:u w:val="single"/>
        </w:rPr>
      </w:pPr>
      <w:r w:rsidRPr="00B8773D">
        <w:rPr>
          <w:b/>
          <w:bCs/>
          <w:i/>
          <w:iCs/>
          <w:szCs w:val="19"/>
          <w:u w:val="single"/>
        </w:rPr>
        <w:t xml:space="preserve">Material </w:t>
      </w:r>
      <w:r w:rsidR="002977BE" w:rsidRPr="002977BE">
        <w:rPr>
          <w:b/>
          <w:bCs/>
          <w:szCs w:val="19"/>
          <w:u w:val="single"/>
        </w:rPr>
        <w:t>Information is material if omitting, misstating or obscuring it could reasonably be expected to influence decisions that the primary users of general purpose financial statements make on the basis of those financial statements, which provide financial information about a specific reporting entity.</w:t>
      </w:r>
    </w:p>
    <w:p w14:paraId="4E1A45AB" w14:textId="77777777" w:rsidR="0087625A" w:rsidRPr="00096152" w:rsidRDefault="002977BE" w:rsidP="000D7717">
      <w:pPr>
        <w:pStyle w:val="IASBNormalnparaL1"/>
        <w:ind w:left="782" w:firstLine="0"/>
        <w:rPr>
          <w:szCs w:val="19"/>
          <w:u w:val="single"/>
        </w:rPr>
      </w:pPr>
      <w:r w:rsidRPr="00096152">
        <w:rPr>
          <w:bCs/>
          <w:szCs w:val="19"/>
          <w:u w:val="single"/>
        </w:rPr>
        <w:t>Materiality depends on the nature or magnitude of information, or both</w:t>
      </w:r>
      <w:r w:rsidR="009F1F15" w:rsidRPr="00096152">
        <w:rPr>
          <w:bCs/>
          <w:szCs w:val="19"/>
          <w:u w:val="single"/>
        </w:rPr>
        <w:t xml:space="preserve">.  </w:t>
      </w:r>
      <w:r w:rsidRPr="00096152">
        <w:rPr>
          <w:bCs/>
          <w:szCs w:val="19"/>
          <w:u w:val="single"/>
        </w:rPr>
        <w:t>An entity assesses whether information, either individually or in combination with other information, is material in the context of its financial statements taken as a whole.</w:t>
      </w:r>
      <w:r w:rsidR="0087625A" w:rsidRPr="00096152">
        <w:rPr>
          <w:bCs/>
          <w:szCs w:val="19"/>
          <w:u w:val="single"/>
        </w:rPr>
        <w:t xml:space="preserve"> </w:t>
      </w:r>
    </w:p>
    <w:p w14:paraId="632574D8" w14:textId="77777777" w:rsidR="0087625A" w:rsidRPr="00B8773D" w:rsidRDefault="005B4677" w:rsidP="00342B64">
      <w:pPr>
        <w:pStyle w:val="IASBNormalnpara"/>
        <w:spacing w:before="240"/>
        <w:rPr>
          <w:szCs w:val="19"/>
          <w:u w:val="single"/>
        </w:rPr>
      </w:pPr>
      <w:r>
        <w:rPr>
          <w:b/>
          <w:bCs/>
          <w:szCs w:val="19"/>
          <w:u w:val="single"/>
        </w:rPr>
        <w:t>Paragraph 7</w:t>
      </w:r>
    </w:p>
    <w:p w14:paraId="3F296E9C" w14:textId="77777777" w:rsidR="0087625A" w:rsidRDefault="0087625A" w:rsidP="00342B64">
      <w:pPr>
        <w:autoSpaceDE w:val="0"/>
        <w:autoSpaceDN w:val="0"/>
        <w:adjustRightInd w:val="0"/>
        <w:spacing w:before="100"/>
        <w:ind w:left="992" w:hanging="992"/>
        <w:rPr>
          <w:szCs w:val="19"/>
          <w:u w:val="single"/>
        </w:rPr>
      </w:pPr>
      <w:r w:rsidRPr="00B8773D">
        <w:rPr>
          <w:szCs w:val="19"/>
          <w:u w:val="single"/>
        </w:rPr>
        <w:t xml:space="preserve">Referred to in paragraph 6 of the Practice Statement </w:t>
      </w:r>
    </w:p>
    <w:p w14:paraId="15753C5B" w14:textId="77777777" w:rsidR="0087625A" w:rsidRPr="00B8773D" w:rsidRDefault="002977BE" w:rsidP="000D7717">
      <w:pPr>
        <w:pStyle w:val="IASBNormalnparaL1"/>
        <w:ind w:left="782" w:firstLine="0"/>
        <w:rPr>
          <w:szCs w:val="19"/>
          <w:u w:val="single"/>
        </w:rPr>
      </w:pPr>
      <w:r w:rsidRPr="002977BE">
        <w:rPr>
          <w:szCs w:val="19"/>
          <w:u w:val="single"/>
        </w:rPr>
        <w:t>Assessing whether information could reasonably be expected to influence decisions made by the primary users of a specific reporting entity’s gener</w:t>
      </w:r>
      <w:r>
        <w:rPr>
          <w:szCs w:val="19"/>
          <w:u w:val="single"/>
        </w:rPr>
        <w:t>al purpose financial statements</w:t>
      </w:r>
      <w:r w:rsidRPr="002977BE">
        <w:rPr>
          <w:szCs w:val="19"/>
          <w:u w:val="single"/>
        </w:rPr>
        <w:t xml:space="preserve"> requires an entity to consider the characteristics of those users while also considering the entity’s own circumstances.</w:t>
      </w:r>
      <w:r w:rsidR="002B58E7">
        <w:rPr>
          <w:szCs w:val="19"/>
          <w:u w:val="single"/>
        </w:rPr>
        <w:t xml:space="preserve"> […]</w:t>
      </w:r>
      <w:r w:rsidRPr="002977BE">
        <w:rPr>
          <w:szCs w:val="19"/>
          <w:u w:val="single"/>
        </w:rPr>
        <w:t xml:space="preserve"> At times, even well-informed and diligent users may need to seek the aid of an adviser to understand information about complex economic phenomena.</w:t>
      </w:r>
    </w:p>
    <w:p w14:paraId="05D1BED3" w14:textId="77777777" w:rsidR="005B4677" w:rsidRPr="005B4677" w:rsidRDefault="005B4677" w:rsidP="00342B64">
      <w:pPr>
        <w:autoSpaceDE w:val="0"/>
        <w:autoSpaceDN w:val="0"/>
        <w:adjustRightInd w:val="0"/>
        <w:spacing w:before="240"/>
        <w:ind w:left="992" w:hanging="992"/>
        <w:rPr>
          <w:b/>
          <w:szCs w:val="19"/>
          <w:u w:val="single"/>
        </w:rPr>
      </w:pPr>
      <w:r w:rsidRPr="005B4677">
        <w:rPr>
          <w:b/>
          <w:szCs w:val="19"/>
          <w:u w:val="single"/>
        </w:rPr>
        <w:t xml:space="preserve">Paragraph AusCF15 </w:t>
      </w:r>
    </w:p>
    <w:p w14:paraId="3DD55E6F" w14:textId="77777777" w:rsidR="005B4677" w:rsidRPr="005B4677" w:rsidRDefault="005B4677" w:rsidP="00342B64">
      <w:pPr>
        <w:autoSpaceDE w:val="0"/>
        <w:autoSpaceDN w:val="0"/>
        <w:adjustRightInd w:val="0"/>
        <w:spacing w:before="100"/>
        <w:rPr>
          <w:szCs w:val="19"/>
          <w:u w:val="single"/>
        </w:rPr>
      </w:pPr>
      <w:r w:rsidRPr="005B4677">
        <w:rPr>
          <w:szCs w:val="19"/>
          <w:u w:val="single"/>
        </w:rPr>
        <w:t xml:space="preserve">Referred to in paragraph 62 of the Practice Statement </w:t>
      </w:r>
    </w:p>
    <w:p w14:paraId="08748A13" w14:textId="0D9BD777" w:rsidR="005B4677" w:rsidRPr="005B4677" w:rsidRDefault="001E3804" w:rsidP="000D7717">
      <w:pPr>
        <w:pStyle w:val="IASBNormalnparaL1"/>
        <w:ind w:left="782" w:firstLine="0"/>
        <w:rPr>
          <w:szCs w:val="19"/>
          <w:u w:val="single"/>
        </w:rPr>
      </w:pPr>
      <w:r w:rsidRPr="001E3804">
        <w:rPr>
          <w:b/>
          <w:bCs/>
        </w:rPr>
        <w:t xml:space="preserve">Notwithstanding paragraph 15, in respect of AusCF entities, </w:t>
      </w:r>
      <w:r>
        <w:rPr>
          <w:b/>
          <w:bCs/>
        </w:rPr>
        <w:t>f</w:t>
      </w:r>
      <w:r w:rsidR="005B4677" w:rsidRPr="005B4677">
        <w:rPr>
          <w:b/>
          <w:bCs/>
          <w:szCs w:val="19"/>
          <w:u w:val="single"/>
        </w:rPr>
        <w:t>inancial statements shall present fairly the financial position, financial performance and cash flows of an entity</w:t>
      </w:r>
      <w:r w:rsidR="009F1F15" w:rsidRPr="005B4677">
        <w:rPr>
          <w:b/>
          <w:bCs/>
          <w:szCs w:val="19"/>
          <w:u w:val="single"/>
        </w:rPr>
        <w:t xml:space="preserve">.  </w:t>
      </w:r>
      <w:r w:rsidR="005B4677" w:rsidRPr="005B4677">
        <w:rPr>
          <w:b/>
          <w:bCs/>
          <w:szCs w:val="19"/>
          <w:u w:val="single"/>
        </w:rPr>
        <w:t xml:space="preserve">Fair presentation requires the faithful representation of the effects of transactions, other events and conditions in accordance with the definitions and recognition criteria for assets, liabilities, income and expenses set out in the </w:t>
      </w:r>
      <w:r w:rsidR="005B4677" w:rsidRPr="002C12F3">
        <w:rPr>
          <w:b/>
          <w:bCs/>
          <w:szCs w:val="19"/>
          <w:u w:val="single"/>
        </w:rPr>
        <w:t>Framework</w:t>
      </w:r>
      <w:r w:rsidR="009F1F15" w:rsidRPr="005B4677">
        <w:rPr>
          <w:b/>
          <w:bCs/>
          <w:szCs w:val="19"/>
          <w:u w:val="single"/>
        </w:rPr>
        <w:t xml:space="preserve">.  </w:t>
      </w:r>
      <w:r w:rsidR="005B4677" w:rsidRPr="005B4677">
        <w:rPr>
          <w:b/>
          <w:bCs/>
          <w:szCs w:val="19"/>
          <w:u w:val="single"/>
        </w:rPr>
        <w:t>The application of Australian Accounting Standards, with additional disclosure when necessary, is presumed to result in financial statements that achieve a fair presentation.</w:t>
      </w:r>
    </w:p>
    <w:p w14:paraId="6144D869" w14:textId="77777777" w:rsidR="0087625A" w:rsidRPr="00B8773D" w:rsidRDefault="0087625A" w:rsidP="00342B64">
      <w:pPr>
        <w:pStyle w:val="IASBNormalnpara"/>
        <w:spacing w:before="240"/>
        <w:rPr>
          <w:szCs w:val="19"/>
          <w:u w:val="single"/>
        </w:rPr>
      </w:pPr>
      <w:r w:rsidRPr="00B8773D">
        <w:rPr>
          <w:b/>
          <w:bCs/>
          <w:szCs w:val="19"/>
          <w:u w:val="single"/>
        </w:rPr>
        <w:t xml:space="preserve">Paragraph 17 </w:t>
      </w:r>
    </w:p>
    <w:p w14:paraId="0E7A3FBD" w14:textId="77777777" w:rsidR="0087625A" w:rsidRDefault="0087625A" w:rsidP="00342B64">
      <w:pPr>
        <w:autoSpaceDE w:val="0"/>
        <w:autoSpaceDN w:val="0"/>
        <w:adjustRightInd w:val="0"/>
        <w:spacing w:before="100"/>
        <w:ind w:left="992" w:hanging="992"/>
        <w:rPr>
          <w:szCs w:val="19"/>
          <w:u w:val="single"/>
        </w:rPr>
      </w:pPr>
      <w:r w:rsidRPr="00B8773D">
        <w:rPr>
          <w:szCs w:val="19"/>
          <w:u w:val="single"/>
        </w:rPr>
        <w:t xml:space="preserve">Referred to in paragraph 10 of the Practice Statement </w:t>
      </w:r>
    </w:p>
    <w:p w14:paraId="2F1C783C" w14:textId="77777777" w:rsidR="0087625A" w:rsidRPr="00B8773D" w:rsidRDefault="0087625A" w:rsidP="000D7717">
      <w:pPr>
        <w:pStyle w:val="IASBNormalnparaL1"/>
        <w:ind w:left="782" w:firstLine="0"/>
        <w:rPr>
          <w:szCs w:val="19"/>
          <w:u w:val="single"/>
        </w:rPr>
      </w:pPr>
      <w:r w:rsidRPr="00B8773D">
        <w:rPr>
          <w:szCs w:val="19"/>
          <w:u w:val="single"/>
        </w:rPr>
        <w:t>In virtually all circumstances, an entity achieves a fair presentation by compliance with applicable Australian Accounting Standards</w:t>
      </w:r>
      <w:r w:rsidR="009F1F15" w:rsidRPr="00B8773D">
        <w:rPr>
          <w:szCs w:val="19"/>
          <w:u w:val="single"/>
        </w:rPr>
        <w:t xml:space="preserve">.  </w:t>
      </w:r>
      <w:r w:rsidRPr="00B8773D">
        <w:rPr>
          <w:szCs w:val="19"/>
          <w:u w:val="single"/>
        </w:rPr>
        <w:t xml:space="preserve">A fair presentation also requires an entity: </w:t>
      </w:r>
    </w:p>
    <w:p w14:paraId="723D56C2" w14:textId="0E59A859" w:rsidR="0087625A" w:rsidRPr="002C12F3" w:rsidRDefault="000D7717" w:rsidP="000D7717">
      <w:pPr>
        <w:pStyle w:val="IASBNormalnparaL1"/>
        <w:rPr>
          <w:szCs w:val="19"/>
          <w:u w:val="single"/>
        </w:rPr>
      </w:pPr>
      <w:r>
        <w:rPr>
          <w:szCs w:val="19"/>
          <w:u w:val="single"/>
        </w:rPr>
        <w:t>(a)</w:t>
      </w:r>
      <w:r>
        <w:rPr>
          <w:szCs w:val="19"/>
          <w:u w:val="single"/>
        </w:rPr>
        <w:tab/>
      </w:r>
      <w:r w:rsidR="0087625A" w:rsidRPr="002C12F3">
        <w:rPr>
          <w:szCs w:val="19"/>
          <w:u w:val="single"/>
        </w:rPr>
        <w:t xml:space="preserve">to select and apply accounting policies in accordance with AASB 108 </w:t>
      </w:r>
      <w:r w:rsidR="0087625A" w:rsidRPr="00B8773D">
        <w:rPr>
          <w:i/>
          <w:szCs w:val="19"/>
          <w:u w:val="single"/>
        </w:rPr>
        <w:t>Accounting Policies, Changes in Accounting Estimates and Errors</w:t>
      </w:r>
      <w:r w:rsidR="009F1F15" w:rsidRPr="002C12F3">
        <w:rPr>
          <w:szCs w:val="19"/>
          <w:u w:val="single"/>
        </w:rPr>
        <w:t xml:space="preserve">.  </w:t>
      </w:r>
      <w:r w:rsidR="0087625A" w:rsidRPr="002C12F3">
        <w:rPr>
          <w:szCs w:val="19"/>
          <w:u w:val="single"/>
        </w:rPr>
        <w:t>AASB 108 sets out a hierarchy of authoritative guidance that management considers in the absence of an Australian Accounting Standard that specifically applies to an item.</w:t>
      </w:r>
      <w:r w:rsidR="0087625A" w:rsidRPr="000D7717">
        <w:rPr>
          <w:szCs w:val="19"/>
          <w:u w:val="single"/>
        </w:rPr>
        <w:t xml:space="preserve"> </w:t>
      </w:r>
    </w:p>
    <w:p w14:paraId="363653D4" w14:textId="6FAC3619" w:rsidR="0087625A" w:rsidRPr="002C12F3" w:rsidRDefault="000D7717" w:rsidP="000D7717">
      <w:pPr>
        <w:pStyle w:val="IASBNormalnparaL1"/>
        <w:rPr>
          <w:szCs w:val="19"/>
          <w:u w:val="single"/>
        </w:rPr>
      </w:pPr>
      <w:r>
        <w:rPr>
          <w:szCs w:val="19"/>
          <w:u w:val="single"/>
        </w:rPr>
        <w:t>(b)</w:t>
      </w:r>
      <w:r>
        <w:rPr>
          <w:szCs w:val="19"/>
          <w:u w:val="single"/>
        </w:rPr>
        <w:tab/>
      </w:r>
      <w:r w:rsidR="0087625A" w:rsidRPr="002C12F3">
        <w:rPr>
          <w:szCs w:val="19"/>
          <w:u w:val="single"/>
        </w:rPr>
        <w:t xml:space="preserve">to present information, including accounting policies, in a manner that provides relevant, reliable, comparable and understandable information. </w:t>
      </w:r>
    </w:p>
    <w:p w14:paraId="5D3AAF86" w14:textId="138ACFA0" w:rsidR="0087625A" w:rsidRPr="002C12F3" w:rsidRDefault="000D7717" w:rsidP="000D7717">
      <w:pPr>
        <w:pStyle w:val="IASBNormalnparaL1"/>
        <w:rPr>
          <w:szCs w:val="19"/>
          <w:u w:val="single"/>
        </w:rPr>
      </w:pPr>
      <w:r>
        <w:rPr>
          <w:szCs w:val="19"/>
          <w:u w:val="single"/>
        </w:rPr>
        <w:t>(c)</w:t>
      </w:r>
      <w:r>
        <w:rPr>
          <w:szCs w:val="19"/>
          <w:u w:val="single"/>
        </w:rPr>
        <w:tab/>
      </w:r>
      <w:r w:rsidR="0087625A" w:rsidRPr="002C12F3">
        <w:rPr>
          <w:szCs w:val="19"/>
          <w:u w:val="single"/>
        </w:rPr>
        <w:t xml:space="preserve">to provide additional disclosures when compliance with the specific requirements in Australian Accounting Standards is insufficient to enable users to understand the impact of particular transactions, other events and conditions on the entity’s financial position and financial performance. </w:t>
      </w:r>
    </w:p>
    <w:p w14:paraId="747A5167" w14:textId="77777777" w:rsidR="0087625A" w:rsidRDefault="0087625A" w:rsidP="002E765B">
      <w:pPr>
        <w:pStyle w:val="IASBNormalnpara"/>
        <w:spacing w:before="240"/>
        <w:rPr>
          <w:b/>
          <w:bCs/>
          <w:szCs w:val="19"/>
          <w:u w:val="single"/>
        </w:rPr>
      </w:pPr>
      <w:r w:rsidRPr="00B8773D">
        <w:rPr>
          <w:b/>
          <w:bCs/>
          <w:szCs w:val="19"/>
          <w:u w:val="single"/>
        </w:rPr>
        <w:t>P</w:t>
      </w:r>
      <w:r w:rsidR="005B4677">
        <w:rPr>
          <w:b/>
          <w:bCs/>
          <w:szCs w:val="19"/>
          <w:u w:val="single"/>
        </w:rPr>
        <w:t>aragraph 29</w:t>
      </w:r>
    </w:p>
    <w:p w14:paraId="5C903FAE" w14:textId="77777777" w:rsidR="0087625A" w:rsidRDefault="0087625A" w:rsidP="002E765B">
      <w:pPr>
        <w:autoSpaceDE w:val="0"/>
        <w:autoSpaceDN w:val="0"/>
        <w:adjustRightInd w:val="0"/>
        <w:spacing w:before="100"/>
        <w:ind w:left="992" w:hanging="992"/>
        <w:rPr>
          <w:szCs w:val="19"/>
          <w:u w:val="single"/>
        </w:rPr>
      </w:pPr>
      <w:r w:rsidRPr="00B8773D">
        <w:rPr>
          <w:szCs w:val="19"/>
          <w:u w:val="single"/>
        </w:rPr>
        <w:t>Referred to in paragraph 43 of the Prac</w:t>
      </w:r>
      <w:r w:rsidR="005B4677">
        <w:rPr>
          <w:szCs w:val="19"/>
          <w:u w:val="single"/>
        </w:rPr>
        <w:t>tice Statement</w:t>
      </w:r>
    </w:p>
    <w:p w14:paraId="6C7E7062" w14:textId="77777777" w:rsidR="0087625A" w:rsidRPr="00B8773D" w:rsidRDefault="0087625A" w:rsidP="000D7717">
      <w:pPr>
        <w:pStyle w:val="IASBNormalnparaL1"/>
        <w:ind w:left="782" w:firstLine="0"/>
        <w:rPr>
          <w:szCs w:val="19"/>
          <w:u w:val="single"/>
        </w:rPr>
      </w:pPr>
      <w:r w:rsidRPr="00B8773D">
        <w:rPr>
          <w:b/>
          <w:bCs/>
          <w:szCs w:val="19"/>
          <w:u w:val="single"/>
        </w:rPr>
        <w:t>An entity shall present separately each material class of similar items</w:t>
      </w:r>
      <w:r w:rsidR="009F1F15" w:rsidRPr="00B8773D">
        <w:rPr>
          <w:b/>
          <w:bCs/>
          <w:szCs w:val="19"/>
          <w:u w:val="single"/>
        </w:rPr>
        <w:t xml:space="preserve">.  </w:t>
      </w:r>
      <w:r w:rsidRPr="00B8773D">
        <w:rPr>
          <w:b/>
          <w:bCs/>
          <w:szCs w:val="19"/>
          <w:u w:val="single"/>
        </w:rPr>
        <w:t xml:space="preserve">An entity shall present separately items of a dissimilar nature or function unless they are immaterial. </w:t>
      </w:r>
    </w:p>
    <w:p w14:paraId="13E478C1" w14:textId="0D38CEBC" w:rsidR="005B4677" w:rsidRDefault="0087625A" w:rsidP="002E765B">
      <w:pPr>
        <w:pStyle w:val="IASBNormalnpara"/>
        <w:spacing w:before="240"/>
        <w:rPr>
          <w:szCs w:val="19"/>
          <w:u w:val="single"/>
        </w:rPr>
      </w:pPr>
      <w:r w:rsidRPr="00B8773D">
        <w:rPr>
          <w:b/>
          <w:bCs/>
          <w:szCs w:val="19"/>
          <w:u w:val="single"/>
        </w:rPr>
        <w:t xml:space="preserve">Paragraph 30A </w:t>
      </w:r>
    </w:p>
    <w:p w14:paraId="3EF93724"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paragraphs 28, 57 and 69 of the Practice Statement </w:t>
      </w:r>
    </w:p>
    <w:p w14:paraId="1C8E3217" w14:textId="77777777" w:rsidR="0087625A" w:rsidRPr="00B8773D" w:rsidRDefault="0087625A" w:rsidP="000D7717">
      <w:pPr>
        <w:pStyle w:val="IASBNormalnparaL1"/>
        <w:ind w:left="782" w:firstLine="0"/>
        <w:rPr>
          <w:szCs w:val="19"/>
          <w:u w:val="single"/>
        </w:rPr>
      </w:pPr>
      <w:r w:rsidRPr="00B8773D">
        <w:rPr>
          <w:szCs w:val="19"/>
          <w:u w:val="single"/>
        </w:rPr>
        <w:t>When applying this and other Australian Accounting Standards an entity shall decide, taking into consideration all relevant facts and circumstances, how it aggregates information in the financial statements, which include the notes</w:t>
      </w:r>
      <w:r w:rsidR="009F1F15" w:rsidRPr="00B8773D">
        <w:rPr>
          <w:szCs w:val="19"/>
          <w:u w:val="single"/>
        </w:rPr>
        <w:t xml:space="preserve">.  </w:t>
      </w:r>
      <w:r w:rsidRPr="00B8773D">
        <w:rPr>
          <w:szCs w:val="19"/>
          <w:u w:val="single"/>
        </w:rPr>
        <w:t xml:space="preserve">An entity shall not reduce the understandability of its financial statements by obscuring material information with immaterial information or by aggregating material items that have different natures or functions. </w:t>
      </w:r>
    </w:p>
    <w:p w14:paraId="0DC645A3" w14:textId="77777777" w:rsidR="0087625A" w:rsidRPr="002C12F3" w:rsidRDefault="0087625A" w:rsidP="002E765B">
      <w:pPr>
        <w:pStyle w:val="IASBNormalnpara"/>
        <w:spacing w:before="240"/>
        <w:rPr>
          <w:szCs w:val="19"/>
          <w:u w:val="single"/>
        </w:rPr>
      </w:pPr>
      <w:r w:rsidRPr="002C12F3">
        <w:rPr>
          <w:b/>
          <w:bCs/>
          <w:szCs w:val="19"/>
          <w:u w:val="single"/>
        </w:rPr>
        <w:t xml:space="preserve">Paragraph 31 </w:t>
      </w:r>
    </w:p>
    <w:p w14:paraId="2596F545" w14:textId="77777777" w:rsidR="0087625A" w:rsidRPr="002C12F3" w:rsidRDefault="0087625A" w:rsidP="002E765B">
      <w:pPr>
        <w:autoSpaceDE w:val="0"/>
        <w:autoSpaceDN w:val="0"/>
        <w:adjustRightInd w:val="0"/>
        <w:spacing w:before="100"/>
        <w:ind w:left="992" w:hanging="992"/>
        <w:rPr>
          <w:szCs w:val="19"/>
          <w:u w:val="single"/>
        </w:rPr>
      </w:pPr>
      <w:r w:rsidRPr="002C12F3">
        <w:rPr>
          <w:szCs w:val="19"/>
          <w:u w:val="single"/>
        </w:rPr>
        <w:t xml:space="preserve">Referred to in paragraph 10 of the Practice Statement </w:t>
      </w:r>
    </w:p>
    <w:p w14:paraId="22660283" w14:textId="77777777" w:rsidR="0087625A" w:rsidRPr="002C12F3" w:rsidRDefault="0087625A" w:rsidP="000D7717">
      <w:pPr>
        <w:pStyle w:val="IASBNormalnparaL1"/>
        <w:ind w:left="782" w:firstLine="0"/>
        <w:rPr>
          <w:szCs w:val="19"/>
          <w:u w:val="single"/>
        </w:rPr>
      </w:pPr>
      <w:r w:rsidRPr="002C12F3">
        <w:rPr>
          <w:szCs w:val="19"/>
          <w:u w:val="single"/>
        </w:rPr>
        <w:t>Some Australian Accounting Standards specify information that is required to be included in the financial statements, which include the notes</w:t>
      </w:r>
      <w:r w:rsidR="009F1F15" w:rsidRPr="002C12F3">
        <w:rPr>
          <w:szCs w:val="19"/>
          <w:u w:val="single"/>
        </w:rPr>
        <w:t xml:space="preserve">.  </w:t>
      </w:r>
      <w:r w:rsidRPr="002C12F3">
        <w:rPr>
          <w:szCs w:val="19"/>
          <w:u w:val="single"/>
        </w:rPr>
        <w:t>An entity need not provide a specific disclosure required by an Australian Accounting Standard if the information resulting from that disclosure is not material</w:t>
      </w:r>
      <w:r w:rsidR="009F1F15" w:rsidRPr="002C12F3">
        <w:rPr>
          <w:szCs w:val="19"/>
          <w:u w:val="single"/>
        </w:rPr>
        <w:t xml:space="preserve">.  </w:t>
      </w:r>
      <w:r w:rsidRPr="002C12F3">
        <w:rPr>
          <w:szCs w:val="19"/>
          <w:u w:val="single"/>
        </w:rPr>
        <w:t>This is the case even if the Australian Accounting Standard contains a list of specific requirements or describes them as minimum requirements</w:t>
      </w:r>
      <w:r w:rsidR="009F1F15" w:rsidRPr="002C12F3">
        <w:rPr>
          <w:szCs w:val="19"/>
          <w:u w:val="single"/>
        </w:rPr>
        <w:t xml:space="preserve">.  </w:t>
      </w:r>
      <w:r w:rsidRPr="002C12F3">
        <w:rPr>
          <w:szCs w:val="19"/>
          <w:u w:val="single"/>
        </w:rPr>
        <w:t xml:space="preserve">An entity shall also consider whether to provide additional disclosures when compliance with the specific requirements in Australian Accounting Standards is insufficient to enable users of financial statements to understand the impact of particular transactions, other events and conditions on the entity’s financial position and financial performance. </w:t>
      </w:r>
    </w:p>
    <w:p w14:paraId="132303A9" w14:textId="77777777" w:rsidR="0087625A" w:rsidRPr="00B8773D" w:rsidRDefault="0087625A" w:rsidP="002E765B">
      <w:pPr>
        <w:pStyle w:val="IASBNormalnpara"/>
        <w:spacing w:before="240"/>
        <w:rPr>
          <w:szCs w:val="19"/>
          <w:u w:val="single"/>
        </w:rPr>
      </w:pPr>
      <w:r w:rsidRPr="00B8773D">
        <w:rPr>
          <w:b/>
          <w:bCs/>
          <w:szCs w:val="19"/>
          <w:u w:val="single"/>
        </w:rPr>
        <w:t xml:space="preserve">Paragraph 38 </w:t>
      </w:r>
    </w:p>
    <w:p w14:paraId="4C914237" w14:textId="219D6F85" w:rsidR="005B4677" w:rsidRPr="002E765B" w:rsidRDefault="0087625A" w:rsidP="002E765B">
      <w:pPr>
        <w:autoSpaceDE w:val="0"/>
        <w:autoSpaceDN w:val="0"/>
        <w:adjustRightInd w:val="0"/>
        <w:spacing w:before="100"/>
        <w:ind w:left="992" w:hanging="992"/>
        <w:rPr>
          <w:szCs w:val="19"/>
          <w:u w:val="single"/>
        </w:rPr>
      </w:pPr>
      <w:r w:rsidRPr="00B8773D">
        <w:rPr>
          <w:szCs w:val="19"/>
          <w:u w:val="single"/>
        </w:rPr>
        <w:t>Referred to in paragraphs 67 and</w:t>
      </w:r>
      <w:r w:rsidR="002E765B">
        <w:rPr>
          <w:szCs w:val="19"/>
          <w:u w:val="single"/>
        </w:rPr>
        <w:t xml:space="preserve"> 70 of the Practice Statement </w:t>
      </w:r>
    </w:p>
    <w:p w14:paraId="7BA60C32" w14:textId="77777777" w:rsidR="0087625A" w:rsidRPr="00B8773D" w:rsidRDefault="0087625A" w:rsidP="000D7717">
      <w:pPr>
        <w:pStyle w:val="IASBNormalnparaL1"/>
        <w:ind w:left="782" w:firstLine="0"/>
        <w:rPr>
          <w:szCs w:val="19"/>
          <w:u w:val="single"/>
        </w:rPr>
      </w:pPr>
      <w:r w:rsidRPr="00B8773D">
        <w:rPr>
          <w:b/>
          <w:bCs/>
          <w:szCs w:val="19"/>
          <w:u w:val="single"/>
        </w:rPr>
        <w:t>Except when Australian Accounting Standards permit or require otherwise, an entity shall present comparative information in respect of the preceding period for all amounts reported in the current period’s financial statements</w:t>
      </w:r>
      <w:r w:rsidR="009F1F15" w:rsidRPr="00B8773D">
        <w:rPr>
          <w:b/>
          <w:bCs/>
          <w:szCs w:val="19"/>
          <w:u w:val="single"/>
        </w:rPr>
        <w:t xml:space="preserve">.  </w:t>
      </w:r>
      <w:r w:rsidRPr="00B8773D">
        <w:rPr>
          <w:b/>
          <w:bCs/>
          <w:szCs w:val="19"/>
          <w:u w:val="single"/>
        </w:rPr>
        <w:t xml:space="preserve">An entity shall include comparative information for narrative and descriptive information if it is relevant to understanding the current period’s financial statements. </w:t>
      </w:r>
    </w:p>
    <w:p w14:paraId="1D6D8F09" w14:textId="77777777" w:rsidR="0087625A" w:rsidRPr="00B8773D" w:rsidRDefault="0087625A" w:rsidP="002E765B">
      <w:pPr>
        <w:pStyle w:val="IASBNormalnpara"/>
        <w:spacing w:before="240"/>
        <w:rPr>
          <w:szCs w:val="19"/>
          <w:u w:val="single"/>
        </w:rPr>
      </w:pPr>
      <w:r w:rsidRPr="00B8773D">
        <w:rPr>
          <w:b/>
          <w:bCs/>
          <w:szCs w:val="19"/>
          <w:u w:val="single"/>
        </w:rPr>
        <w:t xml:space="preserve">Paragraph 38A </w:t>
      </w:r>
    </w:p>
    <w:p w14:paraId="347BAA5C"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 67 of the Practice Statement </w:t>
      </w:r>
    </w:p>
    <w:p w14:paraId="3F2BF18A" w14:textId="77777777" w:rsidR="0087625A" w:rsidRPr="00B8773D" w:rsidRDefault="0087625A" w:rsidP="000D7717">
      <w:pPr>
        <w:pStyle w:val="IASBNormalnparaL1"/>
        <w:ind w:left="782" w:firstLine="0"/>
        <w:rPr>
          <w:szCs w:val="19"/>
          <w:u w:val="single"/>
        </w:rPr>
      </w:pPr>
      <w:r w:rsidRPr="00B8773D">
        <w:rPr>
          <w:b/>
          <w:bCs/>
          <w:szCs w:val="19"/>
          <w:u w:val="single"/>
        </w:rPr>
        <w:t xml:space="preserve">An entity shall present, as a minimum, two statements of financial position, two statements of profit or loss and other comprehensive income, two separate statements of profit or loss (if presented), two statements of cash flows and two statements of changes in equity, and related notes. </w:t>
      </w:r>
    </w:p>
    <w:p w14:paraId="486496D0" w14:textId="77777777" w:rsidR="0087625A" w:rsidRPr="00B8773D" w:rsidRDefault="0087625A" w:rsidP="002E765B">
      <w:pPr>
        <w:pStyle w:val="IASBNormalnpara"/>
        <w:spacing w:before="240"/>
        <w:rPr>
          <w:szCs w:val="19"/>
          <w:u w:val="single"/>
        </w:rPr>
      </w:pPr>
      <w:r w:rsidRPr="00B8773D">
        <w:rPr>
          <w:b/>
          <w:bCs/>
          <w:szCs w:val="19"/>
          <w:u w:val="single"/>
        </w:rPr>
        <w:t xml:space="preserve">Paragraph 38C </w:t>
      </w:r>
    </w:p>
    <w:p w14:paraId="05ACC24F"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 69 of the Practice Statement </w:t>
      </w:r>
    </w:p>
    <w:p w14:paraId="58128498" w14:textId="77777777" w:rsidR="0087625A" w:rsidRPr="00B8773D" w:rsidRDefault="0087625A" w:rsidP="000D7717">
      <w:pPr>
        <w:pStyle w:val="IASBNormalnparaL1"/>
        <w:ind w:left="782" w:firstLine="0"/>
        <w:rPr>
          <w:szCs w:val="19"/>
          <w:u w:val="single"/>
        </w:rPr>
      </w:pPr>
      <w:r w:rsidRPr="00B8773D">
        <w:rPr>
          <w:szCs w:val="19"/>
          <w:u w:val="single"/>
        </w:rPr>
        <w:t>An entity may present comparative information in addition to the minimum comparative financial statements required by Australian Accounting Standards, as long as that information is prepared in accordance with Australian Accounting Standards</w:t>
      </w:r>
      <w:r w:rsidR="009F1F15" w:rsidRPr="00B8773D">
        <w:rPr>
          <w:szCs w:val="19"/>
          <w:u w:val="single"/>
        </w:rPr>
        <w:t xml:space="preserve">.  </w:t>
      </w:r>
      <w:r w:rsidRPr="00B8773D">
        <w:rPr>
          <w:szCs w:val="19"/>
          <w:u w:val="single"/>
        </w:rPr>
        <w:t>This comparative information may consist of one or more statements referred to in paragraph 10, but need not comprise a complete set of financial statements</w:t>
      </w:r>
      <w:r w:rsidR="009F1F15" w:rsidRPr="00B8773D">
        <w:rPr>
          <w:szCs w:val="19"/>
          <w:u w:val="single"/>
        </w:rPr>
        <w:t xml:space="preserve">.  </w:t>
      </w:r>
      <w:r w:rsidRPr="00B8773D">
        <w:rPr>
          <w:szCs w:val="19"/>
          <w:u w:val="single"/>
        </w:rPr>
        <w:t xml:space="preserve">When this is the case, the entity shall present related note information for those additional statements. </w:t>
      </w:r>
    </w:p>
    <w:p w14:paraId="0E3A99C1" w14:textId="77777777" w:rsidR="0087625A" w:rsidRPr="00B8773D" w:rsidRDefault="0087625A" w:rsidP="00346B11">
      <w:pPr>
        <w:pStyle w:val="IASBNormalnpara"/>
        <w:keepNext/>
        <w:spacing w:before="240"/>
        <w:rPr>
          <w:szCs w:val="19"/>
          <w:u w:val="single"/>
        </w:rPr>
      </w:pPr>
      <w:r w:rsidRPr="00B8773D">
        <w:rPr>
          <w:b/>
          <w:bCs/>
          <w:szCs w:val="19"/>
          <w:u w:val="single"/>
        </w:rPr>
        <w:t xml:space="preserve">Paragraph BC30F of the Basis for Conclusions on IAS 1 </w:t>
      </w:r>
    </w:p>
    <w:p w14:paraId="3EB360EE" w14:textId="77777777" w:rsidR="0087625A" w:rsidRPr="00B8773D" w:rsidRDefault="0087625A" w:rsidP="00346B11">
      <w:pPr>
        <w:keepNext/>
        <w:autoSpaceDE w:val="0"/>
        <w:autoSpaceDN w:val="0"/>
        <w:adjustRightInd w:val="0"/>
        <w:spacing w:before="100"/>
        <w:ind w:left="992" w:hanging="992"/>
        <w:rPr>
          <w:szCs w:val="19"/>
          <w:u w:val="single"/>
        </w:rPr>
      </w:pPr>
      <w:r w:rsidRPr="00B8773D">
        <w:rPr>
          <w:szCs w:val="19"/>
          <w:u w:val="single"/>
        </w:rPr>
        <w:t xml:space="preserve">Referred to in paragraphs 28 and 69 of the Practice Statement </w:t>
      </w:r>
    </w:p>
    <w:p w14:paraId="78516C47" w14:textId="77777777" w:rsidR="0087625A" w:rsidRPr="00B8773D" w:rsidRDefault="0087625A" w:rsidP="0026045E">
      <w:pPr>
        <w:pStyle w:val="IASBNormalnparaL1"/>
        <w:ind w:left="782" w:firstLine="0"/>
        <w:rPr>
          <w:szCs w:val="19"/>
          <w:u w:val="single"/>
        </w:rPr>
      </w:pPr>
      <w:r w:rsidRPr="00B8773D">
        <w:rPr>
          <w:szCs w:val="19"/>
          <w:u w:val="single"/>
        </w:rPr>
        <w:t>Paragraph 30A was added to IAS 1 to highlight that when an entity decides how it aggregates information in the financial statements, it should take into consideration all relevant facts and circumstances</w:t>
      </w:r>
      <w:r w:rsidR="009F1F15" w:rsidRPr="00B8773D">
        <w:rPr>
          <w:szCs w:val="19"/>
          <w:u w:val="single"/>
        </w:rPr>
        <w:t xml:space="preserve">.  </w:t>
      </w:r>
      <w:r w:rsidRPr="00B8773D">
        <w:rPr>
          <w:szCs w:val="19"/>
          <w:u w:val="single"/>
        </w:rPr>
        <w:t>Paragraph 30A emphasises that an entity should not reduce the understandability of its financial statements by providing immaterial information that obscures the material information in financial statements or by aggregating material items that have different natures or functions</w:t>
      </w:r>
      <w:r w:rsidR="009F1F15" w:rsidRPr="00B8773D">
        <w:rPr>
          <w:szCs w:val="19"/>
          <w:u w:val="single"/>
        </w:rPr>
        <w:t xml:space="preserve">.  </w:t>
      </w:r>
      <w:r w:rsidRPr="00B8773D">
        <w:rPr>
          <w:szCs w:val="19"/>
          <w:u w:val="single"/>
        </w:rPr>
        <w:t>Obscuring material information with immaterial information in financial statements makes the material information less visible and therefore makes the financial statements less understandable</w:t>
      </w:r>
      <w:r w:rsidR="009F1F15" w:rsidRPr="00B8773D">
        <w:rPr>
          <w:szCs w:val="19"/>
          <w:u w:val="single"/>
        </w:rPr>
        <w:t xml:space="preserve">.  </w:t>
      </w:r>
      <w:r w:rsidRPr="00B8773D">
        <w:rPr>
          <w:szCs w:val="19"/>
          <w:u w:val="single"/>
        </w:rPr>
        <w:t xml:space="preserve">The amendments do not actually prohibit entities from disclosing immaterial information, because the Board thinks that such a requirement would not be operational; however, the amendments emphasise that disclosure should not result in material information being obscured. </w:t>
      </w:r>
    </w:p>
    <w:p w14:paraId="66B3E77D" w14:textId="77777777" w:rsidR="0087625A" w:rsidRPr="00B8773D" w:rsidRDefault="0087625A" w:rsidP="00C87FAF">
      <w:pPr>
        <w:pStyle w:val="Heading2"/>
        <w:jc w:val="both"/>
        <w:rPr>
          <w:u w:val="single"/>
        </w:rPr>
      </w:pPr>
      <w:r w:rsidRPr="00B8773D">
        <w:rPr>
          <w:u w:val="single"/>
        </w:rPr>
        <w:t xml:space="preserve">Extracts from AASB 108 </w:t>
      </w:r>
      <w:r w:rsidRPr="00B8773D">
        <w:rPr>
          <w:i/>
          <w:u w:val="single"/>
        </w:rPr>
        <w:t>Accounting Policies, Changes in Accounting Estimates and Errors</w:t>
      </w:r>
    </w:p>
    <w:p w14:paraId="1EC49562" w14:textId="77777777" w:rsidR="0087625A" w:rsidRPr="00B8773D" w:rsidRDefault="0087625A" w:rsidP="002E765B">
      <w:pPr>
        <w:pStyle w:val="IASBNormalnpara"/>
        <w:spacing w:before="240"/>
        <w:rPr>
          <w:szCs w:val="19"/>
          <w:u w:val="single"/>
        </w:rPr>
      </w:pPr>
      <w:r w:rsidRPr="00B8773D">
        <w:rPr>
          <w:b/>
          <w:bCs/>
          <w:szCs w:val="19"/>
          <w:u w:val="single"/>
        </w:rPr>
        <w:t xml:space="preserve">Paragraph 5 </w:t>
      </w:r>
    </w:p>
    <w:p w14:paraId="7A1D244A"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paragraphs 72 and 78 of the Practice Statement </w:t>
      </w:r>
    </w:p>
    <w:p w14:paraId="438AE0F3" w14:textId="77777777" w:rsidR="0087625A" w:rsidRPr="00B8773D" w:rsidRDefault="0087625A" w:rsidP="0026045E">
      <w:pPr>
        <w:pStyle w:val="IASBNormalnparaL1"/>
        <w:ind w:left="782" w:firstLine="0"/>
        <w:rPr>
          <w:szCs w:val="19"/>
          <w:u w:val="single"/>
        </w:rPr>
      </w:pPr>
      <w:r w:rsidRPr="00B8773D">
        <w:rPr>
          <w:b/>
          <w:bCs/>
          <w:i/>
          <w:iCs/>
          <w:szCs w:val="19"/>
          <w:u w:val="single"/>
        </w:rPr>
        <w:t xml:space="preserve">Prior period errors </w:t>
      </w:r>
      <w:r w:rsidRPr="00B8773D">
        <w:rPr>
          <w:b/>
          <w:bCs/>
          <w:szCs w:val="19"/>
          <w:u w:val="single"/>
        </w:rPr>
        <w:t xml:space="preserve">are omissions from, and misstatements in, the entity’s financial statements for one or more prior periods arising from a failure to use, or misuse of, reliable information that: </w:t>
      </w:r>
    </w:p>
    <w:p w14:paraId="41E4ADA2" w14:textId="7312B5C7" w:rsidR="0087625A" w:rsidRPr="002C12F3" w:rsidRDefault="0026045E" w:rsidP="0026045E">
      <w:pPr>
        <w:pStyle w:val="IASBNormalnparaL1"/>
        <w:rPr>
          <w:b/>
          <w:szCs w:val="19"/>
          <w:u w:val="single"/>
        </w:rPr>
      </w:pPr>
      <w:r>
        <w:rPr>
          <w:b/>
          <w:szCs w:val="19"/>
          <w:u w:val="single"/>
        </w:rPr>
        <w:t>(a)</w:t>
      </w:r>
      <w:r>
        <w:rPr>
          <w:b/>
          <w:szCs w:val="19"/>
          <w:u w:val="single"/>
        </w:rPr>
        <w:tab/>
      </w:r>
      <w:r w:rsidR="0087625A" w:rsidRPr="002C12F3">
        <w:rPr>
          <w:b/>
          <w:szCs w:val="19"/>
          <w:u w:val="single"/>
        </w:rPr>
        <w:t xml:space="preserve">was available when financial statements for those periods were authorised for issue; and </w:t>
      </w:r>
    </w:p>
    <w:p w14:paraId="7CE5F424" w14:textId="2102E43D" w:rsidR="0087625A" w:rsidRPr="002C12F3" w:rsidRDefault="0026045E" w:rsidP="0026045E">
      <w:pPr>
        <w:pStyle w:val="IASBNormalnparaL1"/>
        <w:rPr>
          <w:b/>
          <w:szCs w:val="19"/>
          <w:u w:val="single"/>
        </w:rPr>
      </w:pPr>
      <w:r>
        <w:rPr>
          <w:b/>
          <w:szCs w:val="19"/>
          <w:u w:val="single"/>
        </w:rPr>
        <w:t>(b)</w:t>
      </w:r>
      <w:r>
        <w:rPr>
          <w:b/>
          <w:szCs w:val="19"/>
          <w:u w:val="single"/>
        </w:rPr>
        <w:tab/>
      </w:r>
      <w:r w:rsidR="0087625A" w:rsidRPr="002C12F3">
        <w:rPr>
          <w:b/>
          <w:szCs w:val="19"/>
          <w:u w:val="single"/>
        </w:rPr>
        <w:t xml:space="preserve">could reasonably be expected to have been obtained and taken into account in the preparation and presentation of those financial statements. </w:t>
      </w:r>
    </w:p>
    <w:p w14:paraId="0F71A9F1" w14:textId="77777777" w:rsidR="0087625A" w:rsidRPr="00346B11" w:rsidRDefault="0087625A" w:rsidP="00B21B6F">
      <w:pPr>
        <w:pStyle w:val="IASBNormalL1P"/>
        <w:rPr>
          <w:b/>
          <w:u w:val="single"/>
        </w:rPr>
      </w:pPr>
      <w:r w:rsidRPr="00346B11">
        <w:rPr>
          <w:b/>
          <w:u w:val="single"/>
        </w:rPr>
        <w:t xml:space="preserve">Such errors include the effects of mathematical mistakes, mistakes in applying accounting policies, oversights or misinterpretations of facts, and fraud. </w:t>
      </w:r>
    </w:p>
    <w:p w14:paraId="5BAD1DE5" w14:textId="77777777" w:rsidR="0087625A" w:rsidRPr="00B8773D" w:rsidRDefault="0087625A" w:rsidP="002E765B">
      <w:pPr>
        <w:pStyle w:val="IASBNormalnpara"/>
        <w:spacing w:before="240"/>
        <w:rPr>
          <w:szCs w:val="19"/>
          <w:u w:val="single"/>
        </w:rPr>
      </w:pPr>
      <w:r w:rsidRPr="00B8773D">
        <w:rPr>
          <w:b/>
          <w:bCs/>
          <w:szCs w:val="19"/>
          <w:u w:val="single"/>
        </w:rPr>
        <w:t xml:space="preserve">Paragraph 8 </w:t>
      </w:r>
    </w:p>
    <w:p w14:paraId="6A1DAF19"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 8 of the Practice Statement </w:t>
      </w:r>
    </w:p>
    <w:p w14:paraId="3808B7B4" w14:textId="77777777" w:rsidR="0087625A" w:rsidRPr="00B8773D" w:rsidRDefault="0087625A" w:rsidP="0026045E">
      <w:pPr>
        <w:pStyle w:val="IASBNormalnparaL1"/>
        <w:ind w:left="782" w:firstLine="0"/>
        <w:rPr>
          <w:szCs w:val="19"/>
          <w:u w:val="single"/>
        </w:rPr>
      </w:pPr>
      <w:r w:rsidRPr="00B8773D">
        <w:rPr>
          <w:szCs w:val="19"/>
          <w:u w:val="single"/>
        </w:rPr>
        <w:t>Australian Accounting Standards set out accounting policies that the AASB has concluded result in financial statements containing relevant and reliable information about the transactions, other events and conditions to which they apply</w:t>
      </w:r>
      <w:r w:rsidR="009F1F15" w:rsidRPr="00B8773D">
        <w:rPr>
          <w:szCs w:val="19"/>
          <w:u w:val="single"/>
        </w:rPr>
        <w:t xml:space="preserve">.  </w:t>
      </w:r>
      <w:r w:rsidRPr="00B8773D">
        <w:rPr>
          <w:szCs w:val="19"/>
          <w:u w:val="single"/>
        </w:rPr>
        <w:t>Those policies need not be applied when the effect of applying them is immaterial</w:t>
      </w:r>
      <w:r w:rsidR="009F1F15" w:rsidRPr="00B8773D">
        <w:rPr>
          <w:szCs w:val="19"/>
          <w:u w:val="single"/>
        </w:rPr>
        <w:t xml:space="preserve">.  </w:t>
      </w:r>
      <w:r w:rsidRPr="00B8773D">
        <w:rPr>
          <w:szCs w:val="19"/>
          <w:u w:val="single"/>
        </w:rPr>
        <w:t xml:space="preserve">However, it is inappropriate to make, or leave uncorrected, immaterial departures from Australian Accounting Standards to achieve a particular presentation of an entity’s financial position, financial performance or cash flows. </w:t>
      </w:r>
    </w:p>
    <w:p w14:paraId="09AAFB75" w14:textId="501BE097" w:rsidR="005B4677" w:rsidRDefault="0087625A" w:rsidP="002E765B">
      <w:pPr>
        <w:pStyle w:val="IASBNormalnpara"/>
        <w:spacing w:before="240"/>
        <w:rPr>
          <w:szCs w:val="19"/>
          <w:u w:val="single"/>
        </w:rPr>
      </w:pPr>
      <w:r w:rsidRPr="00B8773D">
        <w:rPr>
          <w:b/>
          <w:bCs/>
          <w:szCs w:val="19"/>
          <w:u w:val="single"/>
        </w:rPr>
        <w:t xml:space="preserve">Paragraph 41 </w:t>
      </w:r>
    </w:p>
    <w:p w14:paraId="7F7D7BE9" w14:textId="77777777" w:rsidR="0087625A" w:rsidRPr="00B8773D" w:rsidRDefault="0087625A" w:rsidP="002E765B">
      <w:pPr>
        <w:autoSpaceDE w:val="0"/>
        <w:autoSpaceDN w:val="0"/>
        <w:adjustRightInd w:val="0"/>
        <w:spacing w:before="100"/>
        <w:ind w:left="992" w:hanging="992"/>
        <w:rPr>
          <w:szCs w:val="19"/>
          <w:u w:val="single"/>
        </w:rPr>
      </w:pPr>
      <w:r w:rsidRPr="00B8773D">
        <w:rPr>
          <w:szCs w:val="19"/>
          <w:u w:val="single"/>
        </w:rPr>
        <w:t xml:space="preserve">Referred to in paragraph 73 of the Practice Statement </w:t>
      </w:r>
    </w:p>
    <w:p w14:paraId="19B7563E" w14:textId="77777777" w:rsidR="0087625A" w:rsidRPr="00B8773D" w:rsidRDefault="0087625A" w:rsidP="0026045E">
      <w:pPr>
        <w:pStyle w:val="IASBNormalnparaL1"/>
        <w:ind w:left="782" w:firstLine="0"/>
        <w:rPr>
          <w:szCs w:val="19"/>
          <w:u w:val="single"/>
        </w:rPr>
      </w:pPr>
      <w:r w:rsidRPr="00B8773D">
        <w:rPr>
          <w:szCs w:val="19"/>
          <w:u w:val="single"/>
        </w:rPr>
        <w:t>Errors can arise in respect of the recognition, measurement, presentation or disclosure of elements of financial statements</w:t>
      </w:r>
      <w:r w:rsidR="009F1F15" w:rsidRPr="00B8773D">
        <w:rPr>
          <w:szCs w:val="19"/>
          <w:u w:val="single"/>
        </w:rPr>
        <w:t xml:space="preserve">.  </w:t>
      </w:r>
      <w:r w:rsidRPr="00B8773D">
        <w:rPr>
          <w:szCs w:val="19"/>
          <w:u w:val="single"/>
        </w:rPr>
        <w:t>Financial statements do not comply with Australian Accounting Standards if they contain either material errors or immaterial errors made intentionally to achieve a particular presentation of an entity’s financial position, financial performance or cash flows</w:t>
      </w:r>
      <w:r w:rsidR="009F1F15" w:rsidRPr="00B8773D">
        <w:rPr>
          <w:szCs w:val="19"/>
          <w:u w:val="single"/>
        </w:rPr>
        <w:t xml:space="preserve">.  </w:t>
      </w:r>
      <w:r w:rsidRPr="00B8773D">
        <w:rPr>
          <w:szCs w:val="19"/>
          <w:u w:val="single"/>
        </w:rPr>
        <w:t>Potential current period errors discovered in that period are corrected before the financial statements are authorised for issue</w:t>
      </w:r>
      <w:r w:rsidR="009F1F15" w:rsidRPr="00B8773D">
        <w:rPr>
          <w:szCs w:val="19"/>
          <w:u w:val="single"/>
        </w:rPr>
        <w:t xml:space="preserve">.  </w:t>
      </w:r>
      <w:r w:rsidRPr="00B8773D">
        <w:rPr>
          <w:szCs w:val="19"/>
          <w:u w:val="single"/>
        </w:rPr>
        <w:t>However, material errors are sometimes not discovered until a subsequent period, and these prior period errors are corrected in the comparative information presented in the financial statements for that subsequent</w:t>
      </w:r>
      <w:r w:rsidR="005B4677">
        <w:rPr>
          <w:szCs w:val="19"/>
          <w:u w:val="single"/>
        </w:rPr>
        <w:t xml:space="preserve"> period (see paragraphs 42–47).</w:t>
      </w:r>
    </w:p>
    <w:p w14:paraId="29743854" w14:textId="77777777" w:rsidR="0087625A" w:rsidRPr="002C12F3" w:rsidRDefault="0087625A" w:rsidP="00C87FAF">
      <w:pPr>
        <w:pStyle w:val="Heading2"/>
        <w:jc w:val="both"/>
        <w:rPr>
          <w:u w:val="single"/>
        </w:rPr>
      </w:pPr>
      <w:r w:rsidRPr="002C12F3">
        <w:rPr>
          <w:u w:val="single"/>
        </w:rPr>
        <w:t xml:space="preserve">Extracts from AASB 134 </w:t>
      </w:r>
      <w:r w:rsidR="005B4677" w:rsidRPr="002C12F3">
        <w:rPr>
          <w:i/>
          <w:u w:val="single"/>
        </w:rPr>
        <w:t>Interim Financial Reporting</w:t>
      </w:r>
    </w:p>
    <w:p w14:paraId="6AA1C402" w14:textId="77777777" w:rsidR="0087625A" w:rsidRPr="002C12F3" w:rsidRDefault="0087625A" w:rsidP="002E765B">
      <w:pPr>
        <w:pStyle w:val="IASBNormalnpara"/>
        <w:spacing w:before="240"/>
        <w:rPr>
          <w:szCs w:val="19"/>
          <w:u w:val="single"/>
        </w:rPr>
      </w:pPr>
      <w:r w:rsidRPr="002C12F3">
        <w:rPr>
          <w:b/>
          <w:bCs/>
          <w:szCs w:val="19"/>
          <w:u w:val="single"/>
        </w:rPr>
        <w:t xml:space="preserve">Paragraph 6 </w:t>
      </w:r>
    </w:p>
    <w:p w14:paraId="46B70DAA" w14:textId="77777777" w:rsidR="0087625A" w:rsidRDefault="0087625A" w:rsidP="002E765B">
      <w:pPr>
        <w:autoSpaceDE w:val="0"/>
        <w:autoSpaceDN w:val="0"/>
        <w:adjustRightInd w:val="0"/>
        <w:spacing w:before="100"/>
        <w:ind w:left="992" w:hanging="992"/>
        <w:rPr>
          <w:szCs w:val="19"/>
          <w:u w:val="single"/>
        </w:rPr>
      </w:pPr>
      <w:r w:rsidRPr="002C12F3">
        <w:rPr>
          <w:szCs w:val="19"/>
          <w:u w:val="single"/>
        </w:rPr>
        <w:t xml:space="preserve">Referred to in paragraph 87 of the Practice Statement </w:t>
      </w:r>
    </w:p>
    <w:p w14:paraId="0674B298" w14:textId="77777777" w:rsidR="0087625A" w:rsidRPr="002C12F3" w:rsidRDefault="0087625A" w:rsidP="0026045E">
      <w:pPr>
        <w:pStyle w:val="IASBNormalnparaL1"/>
        <w:ind w:left="782" w:firstLine="0"/>
        <w:rPr>
          <w:szCs w:val="19"/>
          <w:u w:val="single"/>
        </w:rPr>
      </w:pPr>
      <w:r w:rsidRPr="002C12F3">
        <w:rPr>
          <w:szCs w:val="19"/>
          <w:u w:val="single"/>
        </w:rPr>
        <w:t>In the interest of timeliness and cost considerations and to avoid repetition of information previously reported, an entity may be required to or may elect to provide less information at interim dates as compared with its annual financial statements</w:t>
      </w:r>
      <w:r w:rsidR="009F1F15" w:rsidRPr="002C12F3">
        <w:rPr>
          <w:szCs w:val="19"/>
          <w:u w:val="single"/>
        </w:rPr>
        <w:t xml:space="preserve">.  </w:t>
      </w:r>
      <w:r w:rsidRPr="002C12F3">
        <w:rPr>
          <w:szCs w:val="19"/>
          <w:u w:val="single"/>
        </w:rPr>
        <w:t>This Standard defines the minimum content of an interim financial report as including condensed financial statements and selected explanatory notes</w:t>
      </w:r>
      <w:r w:rsidR="009F1F15" w:rsidRPr="002C12F3">
        <w:rPr>
          <w:szCs w:val="19"/>
          <w:u w:val="single"/>
        </w:rPr>
        <w:t xml:space="preserve">.  </w:t>
      </w:r>
      <w:r w:rsidRPr="002C12F3">
        <w:rPr>
          <w:szCs w:val="19"/>
          <w:u w:val="single"/>
        </w:rPr>
        <w:t>The interim financial report is intended to provide an update on the latest complete set of annual financial statements</w:t>
      </w:r>
      <w:r w:rsidR="009F1F15" w:rsidRPr="002C12F3">
        <w:rPr>
          <w:szCs w:val="19"/>
          <w:u w:val="single"/>
        </w:rPr>
        <w:t xml:space="preserve">.  </w:t>
      </w:r>
      <w:r w:rsidRPr="002C12F3">
        <w:rPr>
          <w:szCs w:val="19"/>
          <w:u w:val="single"/>
        </w:rPr>
        <w:t xml:space="preserve">Accordingly, it focuses on new activities, events, and circumstances and does not duplicate information previously reported. </w:t>
      </w:r>
    </w:p>
    <w:p w14:paraId="40FFE00B" w14:textId="77777777" w:rsidR="0087625A" w:rsidRPr="00B8773D" w:rsidRDefault="0087625A" w:rsidP="002E765B">
      <w:pPr>
        <w:pStyle w:val="IASBNormalnpara"/>
        <w:spacing w:before="240"/>
        <w:rPr>
          <w:szCs w:val="19"/>
          <w:u w:val="single"/>
        </w:rPr>
      </w:pPr>
      <w:r w:rsidRPr="00B8773D">
        <w:rPr>
          <w:b/>
          <w:bCs/>
          <w:szCs w:val="19"/>
          <w:u w:val="single"/>
        </w:rPr>
        <w:t xml:space="preserve">Paragraph 15 </w:t>
      </w:r>
    </w:p>
    <w:p w14:paraId="29B9CD96"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87 of the Practice Statement </w:t>
      </w:r>
    </w:p>
    <w:p w14:paraId="13F8F1B7" w14:textId="77777777" w:rsidR="0087625A" w:rsidRPr="00B8773D" w:rsidRDefault="0087625A" w:rsidP="0026045E">
      <w:pPr>
        <w:pStyle w:val="IASBNormalnparaL1"/>
        <w:ind w:left="782" w:firstLine="0"/>
        <w:rPr>
          <w:szCs w:val="19"/>
          <w:u w:val="single"/>
        </w:rPr>
      </w:pPr>
      <w:r w:rsidRPr="00B8773D">
        <w:rPr>
          <w:szCs w:val="19"/>
          <w:u w:val="single"/>
        </w:rPr>
        <w:t>An entity shall include in its interim financial report an explanation of events and transactions that are significant to an understanding of the changes in financial position and performance of the entity since the end of the last annual reporting period</w:t>
      </w:r>
      <w:r w:rsidR="009F1F15" w:rsidRPr="00B8773D">
        <w:rPr>
          <w:szCs w:val="19"/>
          <w:u w:val="single"/>
        </w:rPr>
        <w:t xml:space="preserve">.  </w:t>
      </w:r>
      <w:r w:rsidRPr="00B8773D">
        <w:rPr>
          <w:szCs w:val="19"/>
          <w:u w:val="single"/>
        </w:rPr>
        <w:t xml:space="preserve">Information disclosed in relation to those events and transactions shall update the relevant information presented in the most recent annual financial report. </w:t>
      </w:r>
    </w:p>
    <w:p w14:paraId="34CC8429" w14:textId="77777777" w:rsidR="0087625A" w:rsidRPr="00B8773D" w:rsidRDefault="0087625A" w:rsidP="008823D3">
      <w:pPr>
        <w:pStyle w:val="Default"/>
        <w:spacing w:before="240"/>
        <w:jc w:val="both"/>
        <w:rPr>
          <w:color w:val="auto"/>
          <w:sz w:val="19"/>
          <w:szCs w:val="19"/>
          <w:u w:val="single"/>
        </w:rPr>
      </w:pPr>
      <w:r w:rsidRPr="00B8773D">
        <w:rPr>
          <w:b/>
          <w:bCs/>
          <w:color w:val="auto"/>
          <w:sz w:val="19"/>
          <w:szCs w:val="19"/>
          <w:u w:val="single"/>
        </w:rPr>
        <w:t xml:space="preserve">Paragraph 15A </w:t>
      </w:r>
    </w:p>
    <w:p w14:paraId="2E414533"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87 of the Practice Statement </w:t>
      </w:r>
    </w:p>
    <w:p w14:paraId="74380B72" w14:textId="77777777" w:rsidR="0087625A" w:rsidRPr="00B8773D" w:rsidRDefault="0087625A" w:rsidP="0026045E">
      <w:pPr>
        <w:pStyle w:val="IASBNormalnparaL1"/>
        <w:ind w:left="782" w:firstLine="0"/>
        <w:rPr>
          <w:szCs w:val="19"/>
          <w:u w:val="single"/>
        </w:rPr>
      </w:pPr>
      <w:r w:rsidRPr="00B8773D">
        <w:rPr>
          <w:szCs w:val="19"/>
          <w:u w:val="single"/>
        </w:rPr>
        <w:t>A user of an entity’s interim financial report will have access to the most recent annual financial report of that entity</w:t>
      </w:r>
      <w:r w:rsidR="009F1F15" w:rsidRPr="00B8773D">
        <w:rPr>
          <w:szCs w:val="19"/>
          <w:u w:val="single"/>
        </w:rPr>
        <w:t xml:space="preserve">.  </w:t>
      </w:r>
      <w:r w:rsidRPr="00B8773D">
        <w:rPr>
          <w:szCs w:val="19"/>
          <w:u w:val="single"/>
        </w:rPr>
        <w:t xml:space="preserve">Therefore, it is unnecessary for the notes to an interim financial report to provide relatively insignificant updates to the information that was reported in the notes in the most recent annual financial report. </w:t>
      </w:r>
    </w:p>
    <w:p w14:paraId="3DBDAC45" w14:textId="77777777" w:rsidR="0087625A" w:rsidRPr="00B8773D" w:rsidRDefault="0087625A" w:rsidP="008823D3">
      <w:pPr>
        <w:pStyle w:val="Default"/>
        <w:spacing w:before="240"/>
        <w:jc w:val="both"/>
        <w:rPr>
          <w:color w:val="auto"/>
          <w:sz w:val="19"/>
          <w:szCs w:val="19"/>
          <w:u w:val="single"/>
        </w:rPr>
      </w:pPr>
      <w:r w:rsidRPr="00B8773D">
        <w:rPr>
          <w:b/>
          <w:bCs/>
          <w:color w:val="auto"/>
          <w:sz w:val="19"/>
          <w:szCs w:val="19"/>
          <w:u w:val="single"/>
        </w:rPr>
        <w:t xml:space="preserve">Paragraph 20 </w:t>
      </w:r>
    </w:p>
    <w:p w14:paraId="3B89DC19"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85 of the Practice Statement </w:t>
      </w:r>
    </w:p>
    <w:p w14:paraId="107CCE67" w14:textId="77777777" w:rsidR="0087625A" w:rsidRPr="00B8773D" w:rsidRDefault="0087625A" w:rsidP="0026045E">
      <w:pPr>
        <w:pStyle w:val="IASBNormalnparaL1"/>
        <w:ind w:left="782" w:firstLine="0"/>
        <w:rPr>
          <w:szCs w:val="19"/>
          <w:u w:val="single"/>
        </w:rPr>
      </w:pPr>
      <w:r w:rsidRPr="00B8773D">
        <w:rPr>
          <w:b/>
          <w:bCs/>
          <w:szCs w:val="19"/>
          <w:u w:val="single"/>
        </w:rPr>
        <w:t xml:space="preserve">Interim reports shall include interim financial statements (condensed or complete) for periods as follows: </w:t>
      </w:r>
    </w:p>
    <w:p w14:paraId="1F06FD77" w14:textId="1C81B4F3" w:rsidR="005B4677" w:rsidRDefault="0026045E" w:rsidP="0026045E">
      <w:pPr>
        <w:pStyle w:val="IASBNormalnparaL1"/>
        <w:rPr>
          <w:b/>
          <w:szCs w:val="19"/>
          <w:u w:val="single"/>
        </w:rPr>
      </w:pPr>
      <w:r>
        <w:rPr>
          <w:b/>
          <w:szCs w:val="19"/>
          <w:u w:val="single"/>
        </w:rPr>
        <w:t>(a)</w:t>
      </w:r>
      <w:r>
        <w:rPr>
          <w:b/>
          <w:szCs w:val="19"/>
          <w:u w:val="single"/>
        </w:rPr>
        <w:tab/>
      </w:r>
      <w:r w:rsidR="0087625A" w:rsidRPr="002C12F3">
        <w:rPr>
          <w:b/>
          <w:szCs w:val="19"/>
          <w:u w:val="single"/>
        </w:rPr>
        <w:t xml:space="preserve">statement of financial position as of the end of the current interim period and a comparative statement of financial position as of the end of the immediately preceding financial year. </w:t>
      </w:r>
    </w:p>
    <w:p w14:paraId="6A3692F9" w14:textId="5A858D4A" w:rsidR="005B4677" w:rsidRPr="00437C30" w:rsidRDefault="0026045E" w:rsidP="0026045E">
      <w:pPr>
        <w:pStyle w:val="IASBNormalnparaL1"/>
        <w:rPr>
          <w:b/>
          <w:szCs w:val="19"/>
          <w:u w:val="single"/>
        </w:rPr>
      </w:pPr>
      <w:r>
        <w:rPr>
          <w:b/>
          <w:bCs/>
          <w:szCs w:val="19"/>
          <w:u w:val="single"/>
        </w:rPr>
        <w:t>(b)</w:t>
      </w:r>
      <w:r>
        <w:rPr>
          <w:b/>
          <w:bCs/>
          <w:szCs w:val="19"/>
          <w:u w:val="single"/>
        </w:rPr>
        <w:tab/>
      </w:r>
      <w:r w:rsidR="0087625A" w:rsidRPr="002C12F3">
        <w:rPr>
          <w:b/>
          <w:bCs/>
          <w:szCs w:val="19"/>
          <w:u w:val="single"/>
        </w:rPr>
        <w:t>statements of profit or loss and other comprehensive income for the current interim period and cumulatively for the current financial year to date, with comparative statements of profit or loss and other comprehensive income for the comparable interim periods (current and year-to-date) of the immediately preceding financial year</w:t>
      </w:r>
      <w:r w:rsidR="009F1F15" w:rsidRPr="002C12F3">
        <w:rPr>
          <w:b/>
          <w:bCs/>
          <w:szCs w:val="19"/>
          <w:u w:val="single"/>
        </w:rPr>
        <w:t xml:space="preserve">.  </w:t>
      </w:r>
      <w:r w:rsidR="0087625A" w:rsidRPr="002C12F3">
        <w:rPr>
          <w:b/>
          <w:bCs/>
          <w:szCs w:val="19"/>
          <w:u w:val="single"/>
        </w:rPr>
        <w:t xml:space="preserve">As permitted by AASB 101, an interim report may present for each period a statement or statements of profit or loss and other comprehensive income. </w:t>
      </w:r>
    </w:p>
    <w:p w14:paraId="4AB14501" w14:textId="48685754" w:rsidR="005B4677" w:rsidRPr="00437C30" w:rsidRDefault="0026045E" w:rsidP="0026045E">
      <w:pPr>
        <w:pStyle w:val="IASBNormalnparaL1"/>
        <w:rPr>
          <w:b/>
          <w:szCs w:val="19"/>
          <w:u w:val="single"/>
        </w:rPr>
      </w:pPr>
      <w:r>
        <w:rPr>
          <w:b/>
          <w:bCs/>
          <w:szCs w:val="19"/>
          <w:u w:val="single"/>
        </w:rPr>
        <w:t>(c)</w:t>
      </w:r>
      <w:r>
        <w:rPr>
          <w:b/>
          <w:bCs/>
          <w:szCs w:val="19"/>
          <w:u w:val="single"/>
        </w:rPr>
        <w:tab/>
      </w:r>
      <w:r w:rsidR="0087625A" w:rsidRPr="002C12F3">
        <w:rPr>
          <w:b/>
          <w:bCs/>
          <w:szCs w:val="19"/>
          <w:u w:val="single"/>
        </w:rPr>
        <w:t xml:space="preserve">statement of changes in equity cumulatively for the current financial year to date, with a comparative statement for the comparable year-to-date period of the immediately preceding financial year. </w:t>
      </w:r>
    </w:p>
    <w:p w14:paraId="0DB11C72" w14:textId="0CC2F0C5" w:rsidR="0087625A" w:rsidRPr="002C12F3" w:rsidRDefault="0026045E" w:rsidP="0026045E">
      <w:pPr>
        <w:pStyle w:val="IASBNormalnparaL1"/>
        <w:rPr>
          <w:b/>
          <w:szCs w:val="19"/>
          <w:u w:val="single"/>
        </w:rPr>
      </w:pPr>
      <w:r>
        <w:rPr>
          <w:b/>
          <w:bCs/>
          <w:szCs w:val="19"/>
          <w:u w:val="single"/>
        </w:rPr>
        <w:t>(d)</w:t>
      </w:r>
      <w:r>
        <w:rPr>
          <w:b/>
          <w:bCs/>
          <w:szCs w:val="19"/>
          <w:u w:val="single"/>
        </w:rPr>
        <w:tab/>
      </w:r>
      <w:r w:rsidR="0087625A" w:rsidRPr="002C12F3">
        <w:rPr>
          <w:b/>
          <w:bCs/>
          <w:szCs w:val="19"/>
          <w:u w:val="single"/>
        </w:rPr>
        <w:t xml:space="preserve">statement of cash flows cumulatively for the current financial year to date, with a comparative statement for the comparable year-to-date period of the immediately preceding financial year. </w:t>
      </w:r>
    </w:p>
    <w:p w14:paraId="469C7E4D" w14:textId="77777777" w:rsidR="0087625A" w:rsidRPr="00B8773D" w:rsidRDefault="0087625A" w:rsidP="008823D3">
      <w:pPr>
        <w:pStyle w:val="Default"/>
        <w:spacing w:before="240"/>
        <w:jc w:val="both"/>
        <w:rPr>
          <w:color w:val="auto"/>
          <w:sz w:val="19"/>
          <w:szCs w:val="19"/>
          <w:u w:val="single"/>
        </w:rPr>
      </w:pPr>
      <w:r w:rsidRPr="00B8773D">
        <w:rPr>
          <w:b/>
          <w:bCs/>
          <w:color w:val="auto"/>
          <w:sz w:val="19"/>
          <w:szCs w:val="19"/>
          <w:u w:val="single"/>
        </w:rPr>
        <w:t xml:space="preserve">Paragraph 23 </w:t>
      </w:r>
    </w:p>
    <w:p w14:paraId="0E8D7781"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85 of the Practice Statement </w:t>
      </w:r>
    </w:p>
    <w:p w14:paraId="5E476D5D" w14:textId="77777777" w:rsidR="0087625A" w:rsidRPr="00B8773D" w:rsidRDefault="0087625A" w:rsidP="0026045E">
      <w:pPr>
        <w:pStyle w:val="IASBNormalnparaL1"/>
        <w:ind w:left="782" w:firstLine="0"/>
        <w:rPr>
          <w:szCs w:val="19"/>
          <w:u w:val="single"/>
        </w:rPr>
      </w:pPr>
      <w:r w:rsidRPr="00B8773D">
        <w:rPr>
          <w:b/>
          <w:bCs/>
          <w:szCs w:val="19"/>
          <w:u w:val="single"/>
        </w:rPr>
        <w:t>In deciding how to recognise, measure, classify, or disclose an item for interim financial reporting purposes, materiality shall be assessed in relation to the interim period financial data</w:t>
      </w:r>
      <w:r w:rsidR="009F1F15" w:rsidRPr="00B8773D">
        <w:rPr>
          <w:b/>
          <w:bCs/>
          <w:szCs w:val="19"/>
          <w:u w:val="single"/>
        </w:rPr>
        <w:t xml:space="preserve">.  </w:t>
      </w:r>
      <w:r w:rsidRPr="00B8773D">
        <w:rPr>
          <w:b/>
          <w:bCs/>
          <w:szCs w:val="19"/>
          <w:u w:val="single"/>
        </w:rPr>
        <w:t xml:space="preserve">In making assessments of materiality, it shall be recognised that interim measurements may rely on estimates to a greater extent than measurements of annual financial data. </w:t>
      </w:r>
    </w:p>
    <w:p w14:paraId="01B96C02" w14:textId="77777777" w:rsidR="0087625A" w:rsidRPr="00B8773D" w:rsidRDefault="0087625A" w:rsidP="008823D3">
      <w:pPr>
        <w:pStyle w:val="Default"/>
        <w:spacing w:before="240"/>
        <w:jc w:val="both"/>
        <w:rPr>
          <w:color w:val="auto"/>
          <w:sz w:val="19"/>
          <w:szCs w:val="19"/>
          <w:u w:val="single"/>
        </w:rPr>
      </w:pPr>
      <w:r w:rsidRPr="00B8773D">
        <w:rPr>
          <w:b/>
          <w:bCs/>
          <w:color w:val="auto"/>
          <w:sz w:val="19"/>
          <w:szCs w:val="19"/>
          <w:u w:val="single"/>
        </w:rPr>
        <w:t xml:space="preserve">Paragraph 25 </w:t>
      </w:r>
    </w:p>
    <w:p w14:paraId="30F9DEBD"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85 of the Practice Statement </w:t>
      </w:r>
    </w:p>
    <w:p w14:paraId="21625053" w14:textId="77777777" w:rsidR="0087625A" w:rsidRDefault="0087625A" w:rsidP="0026045E">
      <w:pPr>
        <w:pStyle w:val="IASBNormalnparaL1"/>
        <w:ind w:left="782" w:firstLine="0"/>
        <w:rPr>
          <w:b/>
          <w:bCs/>
          <w:szCs w:val="19"/>
          <w:u w:val="single"/>
        </w:rPr>
      </w:pPr>
      <w:r w:rsidRPr="00B8773D">
        <w:rPr>
          <w:b/>
          <w:bCs/>
          <w:szCs w:val="19"/>
          <w:u w:val="single"/>
        </w:rPr>
        <w:t>While judgement is always required in assessing materiality, this Standard bases the recognition and disclosure decision on data for the interim period by itself for reasons of understandability of the interim figures</w:t>
      </w:r>
      <w:r w:rsidR="009F1F15" w:rsidRPr="00B8773D">
        <w:rPr>
          <w:b/>
          <w:bCs/>
          <w:szCs w:val="19"/>
          <w:u w:val="single"/>
        </w:rPr>
        <w:t xml:space="preserve">.  </w:t>
      </w:r>
      <w:r w:rsidRPr="00B8773D">
        <w:rPr>
          <w:b/>
          <w:bCs/>
          <w:szCs w:val="19"/>
          <w:u w:val="single"/>
        </w:rPr>
        <w:t>Thus, for example, unusual items, changes in accounting policies or estimates, and errors are recognised and disclosed on the basis of materiality in relation to interim period data to avoid misleading inferences that might result from non-disclosure</w:t>
      </w:r>
      <w:r w:rsidR="009F1F15" w:rsidRPr="00B8773D">
        <w:rPr>
          <w:b/>
          <w:bCs/>
          <w:szCs w:val="19"/>
          <w:u w:val="single"/>
        </w:rPr>
        <w:t xml:space="preserve">.  </w:t>
      </w:r>
      <w:r w:rsidRPr="00B8773D">
        <w:rPr>
          <w:b/>
          <w:bCs/>
          <w:szCs w:val="19"/>
          <w:u w:val="single"/>
        </w:rPr>
        <w:t xml:space="preserve">The overriding goal is to ensure that an interim financial report includes all information that is relevant to understanding an entity’s financial position and performance during the interim period. </w:t>
      </w:r>
    </w:p>
    <w:p w14:paraId="2DA1CC28" w14:textId="77777777" w:rsidR="0087625A" w:rsidRPr="00B8773D" w:rsidRDefault="0087625A" w:rsidP="008823D3">
      <w:pPr>
        <w:pStyle w:val="Default"/>
        <w:spacing w:before="240"/>
        <w:jc w:val="both"/>
        <w:rPr>
          <w:color w:val="auto"/>
          <w:sz w:val="19"/>
          <w:szCs w:val="19"/>
          <w:u w:val="single"/>
        </w:rPr>
      </w:pPr>
      <w:r w:rsidRPr="00B8773D">
        <w:rPr>
          <w:b/>
          <w:bCs/>
          <w:color w:val="auto"/>
          <w:sz w:val="19"/>
          <w:szCs w:val="19"/>
          <w:u w:val="single"/>
        </w:rPr>
        <w:t xml:space="preserve">Paragraph 41 </w:t>
      </w:r>
    </w:p>
    <w:p w14:paraId="36640C4F" w14:textId="77777777" w:rsidR="0087625A" w:rsidRPr="00B8773D" w:rsidRDefault="0087625A" w:rsidP="008823D3">
      <w:pPr>
        <w:autoSpaceDE w:val="0"/>
        <w:autoSpaceDN w:val="0"/>
        <w:adjustRightInd w:val="0"/>
        <w:spacing w:before="100"/>
        <w:ind w:left="992" w:hanging="992"/>
        <w:rPr>
          <w:szCs w:val="19"/>
          <w:u w:val="single"/>
        </w:rPr>
      </w:pPr>
      <w:r w:rsidRPr="00B8773D">
        <w:rPr>
          <w:szCs w:val="19"/>
          <w:u w:val="single"/>
        </w:rPr>
        <w:t xml:space="preserve">Referred to in paragraph 88 of the Practice Statement </w:t>
      </w:r>
    </w:p>
    <w:p w14:paraId="20D6F080" w14:textId="77777777" w:rsidR="00D84B11" w:rsidRPr="00096152" w:rsidRDefault="0087625A" w:rsidP="0026045E">
      <w:pPr>
        <w:pStyle w:val="IASBNormalnparaL1"/>
        <w:ind w:left="782" w:firstLine="0"/>
        <w:rPr>
          <w:b/>
          <w:bCs/>
          <w:szCs w:val="19"/>
          <w:u w:val="single"/>
        </w:rPr>
      </w:pPr>
      <w:r w:rsidRPr="00096152">
        <w:rPr>
          <w:b/>
          <w:bCs/>
          <w:szCs w:val="19"/>
          <w:u w:val="single"/>
        </w:rPr>
        <w:t>The measurement procedures to be followed in an interim financial report shall be designed to ensure that the resulting information is reliable and that all material financial information that is relevant to an understanding of the financial position or performance of the entity is appropriately disclosed</w:t>
      </w:r>
      <w:r w:rsidR="009F1F15" w:rsidRPr="00096152">
        <w:rPr>
          <w:b/>
          <w:bCs/>
          <w:szCs w:val="19"/>
          <w:u w:val="single"/>
        </w:rPr>
        <w:t xml:space="preserve">.  </w:t>
      </w:r>
      <w:r w:rsidRPr="00096152">
        <w:rPr>
          <w:b/>
          <w:bCs/>
          <w:szCs w:val="19"/>
          <w:u w:val="single"/>
        </w:rPr>
        <w:t>While measurements in both annual and interim financial reports are often based on reasonable estimates, the preparation of interim financial reports generally will require a greater use of estimation methods than annual financial reports.</w:t>
      </w:r>
    </w:p>
    <w:p w14:paraId="3290C8BD" w14:textId="77777777" w:rsidR="00C462B0" w:rsidRPr="00F7307A" w:rsidRDefault="00C462B0" w:rsidP="00C462B0">
      <w:pPr>
        <w:pStyle w:val="Heading2"/>
        <w:jc w:val="both"/>
      </w:pPr>
      <w:bookmarkStart w:id="22" w:name="_Ref528575787"/>
      <w:r w:rsidRPr="00F7307A">
        <w:t>Commencement of the legislative instrument</w:t>
      </w:r>
    </w:p>
    <w:p w14:paraId="7771D52C" w14:textId="77777777" w:rsidR="00C462B0" w:rsidRDefault="00C462B0" w:rsidP="00C462B0">
      <w:pPr>
        <w:pStyle w:val="NoNumBold1"/>
        <w:rPr>
          <w:b w:val="0"/>
        </w:rPr>
      </w:pPr>
      <w:r w:rsidRPr="004B68B8">
        <w:rPr>
          <w:b w:val="0"/>
        </w:rPr>
        <w:t>For legal purposes, this legislative instrument commences on 31 December 2019.</w:t>
      </w:r>
    </w:p>
    <w:p w14:paraId="43CEB6C4" w14:textId="77777777" w:rsidR="00D64001" w:rsidRPr="004B68B8" w:rsidRDefault="00D64001" w:rsidP="00C462B0">
      <w:pPr>
        <w:pStyle w:val="NoNumBold1"/>
        <w:rPr>
          <w:b w:val="0"/>
        </w:rPr>
      </w:pPr>
    </w:p>
    <w:p w14:paraId="14109E78" w14:textId="77777777" w:rsidR="00C462B0" w:rsidRDefault="00C462B0" w:rsidP="00C462B0">
      <w:pPr>
        <w:pStyle w:val="NoNumBold1"/>
        <w:sectPr w:rsidR="00C462B0" w:rsidSect="00D74C6A">
          <w:footerReference w:type="default" r:id="rId19"/>
          <w:headerReference w:type="first" r:id="rId20"/>
          <w:footerReference w:type="first" r:id="rId21"/>
          <w:pgSz w:w="11907" w:h="16840" w:code="9"/>
          <w:pgMar w:top="1418" w:right="1418" w:bottom="1418" w:left="1418" w:header="709" w:footer="709" w:gutter="0"/>
          <w:paperSrc w:first="7" w:other="7"/>
          <w:cols w:space="720"/>
          <w:docGrid w:linePitch="65"/>
        </w:sectPr>
      </w:pPr>
    </w:p>
    <w:p w14:paraId="6110363D" w14:textId="45F5BC9B" w:rsidR="009712A4" w:rsidRDefault="00BB0B35" w:rsidP="00A5356A">
      <w:pPr>
        <w:pStyle w:val="Heading2"/>
        <w:pBdr>
          <w:bottom w:val="none" w:sz="0" w:space="0" w:color="auto"/>
        </w:pBdr>
        <w:spacing w:after="0"/>
        <w:jc w:val="both"/>
      </w:pPr>
      <w:r>
        <w:t>Appendix</w:t>
      </w:r>
    </w:p>
    <w:p w14:paraId="4E801B37" w14:textId="50066396" w:rsidR="00BB0B35" w:rsidRDefault="00D64001" w:rsidP="00650D6A">
      <w:pPr>
        <w:pStyle w:val="Heading2"/>
        <w:pBdr>
          <w:bottom w:val="none" w:sz="0" w:space="0" w:color="auto"/>
        </w:pBdr>
        <w:spacing w:before="0"/>
        <w:jc w:val="both"/>
      </w:pPr>
      <w:r>
        <w:t>Early application</w:t>
      </w:r>
    </w:p>
    <w:p w14:paraId="7337DB8A" w14:textId="16A527CD" w:rsidR="00BB0B35" w:rsidRPr="009712A4" w:rsidRDefault="00BB0B35" w:rsidP="00650D6A">
      <w:pPr>
        <w:spacing w:before="100"/>
        <w:rPr>
          <w:i/>
        </w:rPr>
      </w:pPr>
      <w:r w:rsidRPr="009712A4">
        <w:rPr>
          <w:i/>
        </w:rPr>
        <w:t xml:space="preserve">This appendix is an integral part of </w:t>
      </w:r>
      <w:r w:rsidR="000A50F2">
        <w:rPr>
          <w:i/>
        </w:rPr>
        <w:t xml:space="preserve">AASB </w:t>
      </w:r>
      <w:r w:rsidR="00043A3E">
        <w:rPr>
          <w:i/>
        </w:rPr>
        <w:t>2019-1</w:t>
      </w:r>
      <w:r w:rsidR="000A50F2">
        <w:rPr>
          <w:i/>
        </w:rPr>
        <w:t>.</w:t>
      </w:r>
    </w:p>
    <w:p w14:paraId="684D3546" w14:textId="7510FE6B" w:rsidR="004364A4" w:rsidRDefault="000A50F2" w:rsidP="00650D6A">
      <w:pPr>
        <w:spacing w:before="100"/>
      </w:pPr>
      <w:r w:rsidRPr="004364A4">
        <w:t>This a</w:t>
      </w:r>
      <w:r w:rsidR="00BB0B35" w:rsidRPr="004364A4">
        <w:t xml:space="preserve">ppendix applies only to entities that </w:t>
      </w:r>
      <w:r w:rsidRPr="004364A4">
        <w:t xml:space="preserve">apply this Standard </w:t>
      </w:r>
      <w:r w:rsidR="004364A4">
        <w:t>(</w:t>
      </w:r>
      <w:r w:rsidRPr="004364A4">
        <w:t xml:space="preserve">and the </w:t>
      </w:r>
      <w:r w:rsidRPr="004364A4">
        <w:rPr>
          <w:i/>
        </w:rPr>
        <w:t>Conceptual Framework for Financial Reporting</w:t>
      </w:r>
      <w:r w:rsidR="004364A4">
        <w:t>)</w:t>
      </w:r>
      <w:r w:rsidRPr="004364A4">
        <w:t xml:space="preserve"> to reporting</w:t>
      </w:r>
      <w:r w:rsidR="004364A4">
        <w:t xml:space="preserve"> periods beginning before 1 January 2020</w:t>
      </w:r>
      <w:r w:rsidR="00BB0B35" w:rsidRPr="004364A4">
        <w:rPr>
          <w:szCs w:val="19"/>
        </w:rPr>
        <w:t xml:space="preserve"> b</w:t>
      </w:r>
      <w:r w:rsidRPr="004364A4">
        <w:rPr>
          <w:szCs w:val="19"/>
        </w:rPr>
        <w:t>ut</w:t>
      </w:r>
      <w:r w:rsidR="00C7392E" w:rsidRPr="004364A4">
        <w:rPr>
          <w:szCs w:val="19"/>
        </w:rPr>
        <w:t xml:space="preserve"> do not also apply </w:t>
      </w:r>
      <w:r w:rsidRPr="004364A4">
        <w:rPr>
          <w:szCs w:val="19"/>
        </w:rPr>
        <w:t xml:space="preserve">the amendments set out </w:t>
      </w:r>
      <w:r w:rsidR="00BB0B35" w:rsidRPr="004364A4">
        <w:rPr>
          <w:szCs w:val="19"/>
        </w:rPr>
        <w:t xml:space="preserve">in AASB 2018-7 </w:t>
      </w:r>
      <w:r w:rsidR="00BB0B35" w:rsidRPr="004364A4">
        <w:rPr>
          <w:i/>
          <w:szCs w:val="19"/>
        </w:rPr>
        <w:t xml:space="preserve">Amendments to Australian Accounting </w:t>
      </w:r>
      <w:r w:rsidR="00BB0B35" w:rsidRPr="004364A4">
        <w:rPr>
          <w:i/>
        </w:rPr>
        <w:t xml:space="preserve">Standards – </w:t>
      </w:r>
      <w:r w:rsidR="00CB5D4B" w:rsidRPr="004364A4">
        <w:rPr>
          <w:i/>
        </w:rPr>
        <w:t>Definition of Material</w:t>
      </w:r>
      <w:r w:rsidR="00CB5D4B" w:rsidRPr="004364A4">
        <w:t>.</w:t>
      </w:r>
    </w:p>
    <w:p w14:paraId="478DB016" w14:textId="00801A5C" w:rsidR="004364A4" w:rsidRPr="004364A4" w:rsidRDefault="004364A4" w:rsidP="00B21B6F">
      <w:pPr>
        <w:spacing w:before="100"/>
      </w:pPr>
      <w:r w:rsidRPr="004364A4">
        <w:rPr>
          <w:szCs w:val="19"/>
        </w:rPr>
        <w:t xml:space="preserve">The amendments set out in this appendix apply only to periods beginning before 1 January 2020. </w:t>
      </w:r>
      <w:r w:rsidR="00B21B6F">
        <w:rPr>
          <w:szCs w:val="19"/>
        </w:rPr>
        <w:t xml:space="preserve"> </w:t>
      </w:r>
      <w:r w:rsidRPr="004364A4">
        <w:rPr>
          <w:szCs w:val="19"/>
        </w:rPr>
        <w:t xml:space="preserve">The amendments apply in addition to the amendments set out in the body of AASB </w:t>
      </w:r>
      <w:r w:rsidR="00043A3E">
        <w:rPr>
          <w:szCs w:val="19"/>
        </w:rPr>
        <w:t>2019-1</w:t>
      </w:r>
      <w:r w:rsidRPr="004364A4">
        <w:rPr>
          <w:szCs w:val="19"/>
        </w:rPr>
        <w:t xml:space="preserve">. </w:t>
      </w:r>
      <w:r w:rsidR="00B21B6F">
        <w:rPr>
          <w:szCs w:val="19"/>
        </w:rPr>
        <w:t xml:space="preserve"> </w:t>
      </w:r>
      <w:r w:rsidRPr="004364A4">
        <w:rPr>
          <w:szCs w:val="19"/>
        </w:rPr>
        <w:t xml:space="preserve">However, the amendments </w:t>
      </w:r>
      <w:r w:rsidR="00F7307A">
        <w:rPr>
          <w:szCs w:val="19"/>
        </w:rPr>
        <w:t xml:space="preserve">in this appendix </w:t>
      </w:r>
      <w:r w:rsidRPr="004364A4">
        <w:rPr>
          <w:szCs w:val="19"/>
        </w:rPr>
        <w:t xml:space="preserve">to AASB Practice Statement 2 </w:t>
      </w:r>
      <w:r w:rsidRPr="004364A4">
        <w:rPr>
          <w:i/>
          <w:szCs w:val="19"/>
        </w:rPr>
        <w:t>Making Materiality Judgements</w:t>
      </w:r>
      <w:r w:rsidRPr="004364A4">
        <w:rPr>
          <w:szCs w:val="19"/>
        </w:rPr>
        <w:t xml:space="preserve"> replace the amendments to paragraph 5 and footnote 2 </w:t>
      </w:r>
      <w:r w:rsidR="00F7307A">
        <w:rPr>
          <w:szCs w:val="19"/>
        </w:rPr>
        <w:t xml:space="preserve">of Practice Statement 2 </w:t>
      </w:r>
      <w:r w:rsidRPr="004364A4">
        <w:rPr>
          <w:szCs w:val="19"/>
        </w:rPr>
        <w:t xml:space="preserve">set out in the body of AASB </w:t>
      </w:r>
      <w:r w:rsidR="00043A3E">
        <w:rPr>
          <w:szCs w:val="19"/>
        </w:rPr>
        <w:t>2019-1</w:t>
      </w:r>
      <w:r w:rsidRPr="004364A4">
        <w:rPr>
          <w:szCs w:val="19"/>
        </w:rPr>
        <w:t>.</w:t>
      </w:r>
    </w:p>
    <w:p w14:paraId="7438BCCE" w14:textId="5EE20F94" w:rsidR="00CB5D4B" w:rsidRDefault="00CB5D4B" w:rsidP="00CB5D4B">
      <w:pPr>
        <w:pStyle w:val="Heading2"/>
        <w:jc w:val="both"/>
      </w:pPr>
      <w:r>
        <w:t>Amendments to AASB 101</w:t>
      </w:r>
    </w:p>
    <w:p w14:paraId="3FB019F4" w14:textId="1C17C367" w:rsidR="00CB5D4B" w:rsidRPr="00F74AE3" w:rsidRDefault="00CB5D4B" w:rsidP="00CB5D4B">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Paragraph </w:t>
      </w:r>
      <w:r w:rsidR="0005453F">
        <w:rPr>
          <w:szCs w:val="19"/>
        </w:rPr>
        <w:t>7</w:t>
      </w:r>
      <w:r>
        <w:rPr>
          <w:szCs w:val="19"/>
        </w:rPr>
        <w:t xml:space="preserve"> is amended </w:t>
      </w:r>
      <w:r w:rsidR="00B13D1F">
        <w:rPr>
          <w:szCs w:val="19"/>
        </w:rPr>
        <w:t>and the footnote to</w:t>
      </w:r>
      <w:r w:rsidR="00C7392E">
        <w:rPr>
          <w:szCs w:val="19"/>
        </w:rPr>
        <w:t xml:space="preserve"> the definition of ‘material’ in</w:t>
      </w:r>
      <w:r w:rsidR="00B13D1F">
        <w:rPr>
          <w:szCs w:val="19"/>
        </w:rPr>
        <w:t xml:space="preserve"> paragraph 7</w:t>
      </w:r>
      <w:r>
        <w:rPr>
          <w:szCs w:val="19"/>
        </w:rPr>
        <w:t xml:space="preserve"> is deleted.  </w:t>
      </w:r>
    </w:p>
    <w:p w14:paraId="7EAF4A85" w14:textId="2538C5D4" w:rsidR="00CB5D4B" w:rsidRPr="00554EE4" w:rsidRDefault="00CE1D51" w:rsidP="001127D9">
      <w:pPr>
        <w:pStyle w:val="Heading2"/>
        <w:spacing w:before="240"/>
      </w:pPr>
      <w:r>
        <w:t>Definitions</w:t>
      </w:r>
    </w:p>
    <w:p w14:paraId="25CADE75" w14:textId="77777777" w:rsidR="00CB5D4B" w:rsidRDefault="00CB5D4B" w:rsidP="00CB5D4B">
      <w:pPr>
        <w:autoSpaceDE w:val="0"/>
        <w:autoSpaceDN w:val="0"/>
        <w:adjustRightInd w:val="0"/>
        <w:ind w:left="720" w:hanging="720"/>
        <w:rPr>
          <w:szCs w:val="19"/>
        </w:rPr>
      </w:pPr>
      <w:r>
        <w:rPr>
          <w:szCs w:val="19"/>
        </w:rPr>
        <w:t>…</w:t>
      </w:r>
    </w:p>
    <w:p w14:paraId="142CCA26" w14:textId="4D7FE18F" w:rsidR="00CB5D4B" w:rsidRDefault="00CB5D4B" w:rsidP="0026045E">
      <w:pPr>
        <w:pStyle w:val="IASBNormalnpara"/>
      </w:pPr>
      <w:r>
        <w:t>7</w:t>
      </w:r>
      <w:r>
        <w:tab/>
      </w:r>
      <w:r w:rsidR="00C7392E">
        <w:t xml:space="preserve">The following terms are used in this Standard within the meanings specified: </w:t>
      </w:r>
    </w:p>
    <w:p w14:paraId="12C01599" w14:textId="691309DD" w:rsidR="00C7392E" w:rsidRDefault="00C7392E" w:rsidP="001127D9">
      <w:pPr>
        <w:pStyle w:val="IASBNormalnparaL1"/>
      </w:pPr>
      <w:r>
        <w:t>…</w:t>
      </w:r>
    </w:p>
    <w:p w14:paraId="6E3380A3" w14:textId="0B4E2F15" w:rsidR="0005453F" w:rsidRPr="0091653C" w:rsidRDefault="00E030B1" w:rsidP="0026045E">
      <w:pPr>
        <w:pStyle w:val="IASBNormalnpara"/>
        <w:ind w:firstLine="0"/>
        <w:rPr>
          <w:b/>
          <w:bCs/>
          <w:szCs w:val="19"/>
          <w:lang w:eastAsia="en-AU"/>
        </w:rPr>
      </w:pPr>
      <w:r w:rsidRPr="0091653C">
        <w:rPr>
          <w:b/>
          <w:i/>
          <w:szCs w:val="19"/>
        </w:rPr>
        <w:t xml:space="preserve">Material </w:t>
      </w:r>
      <w:r w:rsidR="0005453F" w:rsidRPr="0091653C">
        <w:rPr>
          <w:b/>
          <w:bCs/>
          <w:szCs w:val="19"/>
          <w:lang w:eastAsia="en-AU"/>
        </w:rPr>
        <w:t>Omissions or misstatements of items are material if they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w:t>
      </w:r>
    </w:p>
    <w:p w14:paraId="4879C83B" w14:textId="48AB5403" w:rsidR="00E030B1" w:rsidRPr="0091653C" w:rsidRDefault="00E030B1" w:rsidP="0026045E">
      <w:pPr>
        <w:pStyle w:val="IASBNormalnpara"/>
        <w:ind w:firstLine="0"/>
        <w:rPr>
          <w:szCs w:val="19"/>
          <w:lang w:eastAsia="en-AU"/>
        </w:rPr>
      </w:pPr>
      <w:r w:rsidRPr="0091653C">
        <w:rPr>
          <w:szCs w:val="19"/>
          <w:lang w:eastAsia="en-AU"/>
        </w:rPr>
        <w:t xml:space="preserve">Assessing whether an omission or misstatement could influence economic decisions of users, and so be material, requires consideration of the characteristics of those users. </w:t>
      </w:r>
      <w:r w:rsidRPr="0091653C">
        <w:rPr>
          <w:strike/>
          <w:szCs w:val="19"/>
          <w:lang w:eastAsia="en-AU"/>
        </w:rPr>
        <w:t xml:space="preserve">The </w:t>
      </w:r>
      <w:r w:rsidRPr="0091653C">
        <w:rPr>
          <w:i/>
          <w:iCs/>
          <w:strike/>
          <w:szCs w:val="19"/>
          <w:lang w:eastAsia="en-AU"/>
        </w:rPr>
        <w:t xml:space="preserve">Framework for the Preparation and Presentation of Financial Statements </w:t>
      </w:r>
      <w:r w:rsidR="002D7EAD" w:rsidRPr="0091653C">
        <w:rPr>
          <w:strike/>
          <w:szCs w:val="19"/>
          <w:lang w:eastAsia="en-AU"/>
        </w:rPr>
        <w:t>states in paragraph 25</w:t>
      </w:r>
      <w:r w:rsidR="002D7EAD" w:rsidRPr="0091653C">
        <w:rPr>
          <w:strike/>
          <w:szCs w:val="19"/>
          <w:vertAlign w:val="superscript"/>
          <w:lang w:eastAsia="en-AU"/>
        </w:rPr>
        <w:t>2</w:t>
      </w:r>
      <w:r w:rsidRPr="0091653C">
        <w:rPr>
          <w:strike/>
          <w:szCs w:val="19"/>
          <w:lang w:eastAsia="en-AU"/>
        </w:rPr>
        <w:t xml:space="preserve"> that ‘users</w:t>
      </w:r>
      <w:r w:rsidR="00B951C2">
        <w:rPr>
          <w:strike/>
          <w:szCs w:val="19"/>
          <w:lang w:eastAsia="en-AU"/>
        </w:rPr>
        <w:t xml:space="preserve"> </w:t>
      </w:r>
      <w:r w:rsidR="00C7392E">
        <w:rPr>
          <w:szCs w:val="19"/>
          <w:u w:val="single"/>
          <w:lang w:eastAsia="en-AU"/>
        </w:rPr>
        <w:t>Users</w:t>
      </w:r>
      <w:r w:rsidRPr="0091653C">
        <w:rPr>
          <w:szCs w:val="19"/>
          <w:lang w:eastAsia="en-AU"/>
        </w:rPr>
        <w:t xml:space="preserve"> are assumed to have a</w:t>
      </w:r>
      <w:r w:rsidR="0091653C" w:rsidRPr="0091653C">
        <w:rPr>
          <w:szCs w:val="19"/>
          <w:lang w:eastAsia="en-AU"/>
        </w:rPr>
        <w:t xml:space="preserve"> </w:t>
      </w:r>
      <w:r w:rsidRPr="0091653C">
        <w:rPr>
          <w:szCs w:val="19"/>
          <w:lang w:eastAsia="en-AU"/>
        </w:rPr>
        <w:t>reasonable knowledge of business and economic activities and accounting and a willingness to study the information with reasonable diligence.</w:t>
      </w:r>
      <w:r w:rsidRPr="0091653C">
        <w:rPr>
          <w:strike/>
          <w:szCs w:val="19"/>
          <w:lang w:eastAsia="en-AU"/>
        </w:rPr>
        <w:t>’</w:t>
      </w:r>
      <w:r w:rsidRPr="0091653C">
        <w:rPr>
          <w:szCs w:val="19"/>
          <w:lang w:eastAsia="en-AU"/>
        </w:rPr>
        <w:t xml:space="preserve"> Therefore, the assessment needs to take into account how users with such attributes could reasonably be expected to be influenced in making economic decisions.</w:t>
      </w:r>
    </w:p>
    <w:p w14:paraId="3276D4BD" w14:textId="49363018" w:rsidR="002D7EAD" w:rsidRPr="00B13D1F" w:rsidRDefault="002D7EAD" w:rsidP="0026045E">
      <w:pPr>
        <w:pStyle w:val="IASBNormalnparaL1"/>
        <w:ind w:left="1491" w:hanging="709"/>
        <w:rPr>
          <w:strike/>
        </w:rPr>
      </w:pPr>
      <w:r w:rsidRPr="00C7392E">
        <w:rPr>
          <w:strike/>
          <w:sz w:val="16"/>
          <w:szCs w:val="16"/>
        </w:rPr>
        <w:t>2</w:t>
      </w:r>
      <w:r w:rsidRPr="00B13D1F">
        <w:rPr>
          <w:strike/>
          <w:sz w:val="16"/>
          <w:szCs w:val="16"/>
        </w:rPr>
        <w:tab/>
      </w:r>
      <w:r w:rsidR="00B13D1F" w:rsidRPr="00B13D1F">
        <w:rPr>
          <w:strike/>
          <w:sz w:val="16"/>
          <w:szCs w:val="16"/>
        </w:rPr>
        <w:t xml:space="preserve">In December 2013 the AASB amended the </w:t>
      </w:r>
      <w:r w:rsidR="00B13D1F" w:rsidRPr="00B13D1F">
        <w:rPr>
          <w:i/>
          <w:strike/>
          <w:sz w:val="16"/>
          <w:szCs w:val="16"/>
        </w:rPr>
        <w:t>Framework for the Preparation and Presentation of Financial Statements</w:t>
      </w:r>
      <w:r w:rsidR="00B13D1F" w:rsidRPr="00B13D1F">
        <w:rPr>
          <w:strike/>
          <w:sz w:val="16"/>
          <w:szCs w:val="16"/>
        </w:rPr>
        <w:t xml:space="preserve">. The </w:t>
      </w:r>
      <w:r w:rsidR="00B13D1F" w:rsidRPr="00B13D1F">
        <w:rPr>
          <w:i/>
          <w:strike/>
          <w:sz w:val="16"/>
          <w:szCs w:val="16"/>
        </w:rPr>
        <w:t>Framework</w:t>
      </w:r>
      <w:r w:rsidR="00B13D1F" w:rsidRPr="00B13D1F">
        <w:rPr>
          <w:strike/>
          <w:sz w:val="16"/>
          <w:szCs w:val="16"/>
        </w:rPr>
        <w:t xml:space="preserve"> is identified in AASB 1048 </w:t>
      </w:r>
      <w:r w:rsidR="00B13D1F" w:rsidRPr="00B13D1F">
        <w:rPr>
          <w:i/>
          <w:strike/>
          <w:sz w:val="16"/>
          <w:szCs w:val="16"/>
        </w:rPr>
        <w:t>Interpretation of Standards</w:t>
      </w:r>
      <w:r w:rsidR="00B13D1F" w:rsidRPr="00B13D1F">
        <w:rPr>
          <w:strike/>
          <w:sz w:val="16"/>
          <w:szCs w:val="16"/>
        </w:rPr>
        <w:t xml:space="preserve">. Paragraph 25 was superseded by Chapter 3 of the </w:t>
      </w:r>
      <w:r w:rsidR="00B13D1F" w:rsidRPr="00B13D1F">
        <w:rPr>
          <w:i/>
          <w:strike/>
          <w:sz w:val="16"/>
          <w:szCs w:val="16"/>
        </w:rPr>
        <w:t>Framework</w:t>
      </w:r>
      <w:r w:rsidR="00B13D1F" w:rsidRPr="00B13D1F">
        <w:rPr>
          <w:strike/>
          <w:sz w:val="16"/>
          <w:szCs w:val="16"/>
        </w:rPr>
        <w:t>.</w:t>
      </w:r>
    </w:p>
    <w:p w14:paraId="4CD40E77" w14:textId="6D852A17" w:rsidR="00CB5D4B" w:rsidRDefault="00CB5D4B" w:rsidP="00CB5D4B">
      <w:pPr>
        <w:pStyle w:val="Heading2"/>
        <w:jc w:val="both"/>
      </w:pPr>
      <w:r>
        <w:t>Amendments to AASB 108</w:t>
      </w:r>
    </w:p>
    <w:p w14:paraId="7E3BDB3F" w14:textId="790F7517" w:rsidR="00CB5D4B" w:rsidRPr="00F74AE3" w:rsidRDefault="00CE1D51" w:rsidP="00CB5D4B">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 xml:space="preserve">Paragraph 6 is amended and the footnote to paragraph 6 is deleted. </w:t>
      </w:r>
    </w:p>
    <w:p w14:paraId="771901CA" w14:textId="1FDF657A" w:rsidR="00CB5D4B" w:rsidRPr="00554EE4" w:rsidRDefault="00CE1D51" w:rsidP="001127D9">
      <w:pPr>
        <w:pStyle w:val="Heading2"/>
        <w:spacing w:before="240"/>
      </w:pPr>
      <w:r>
        <w:t>Definitions</w:t>
      </w:r>
    </w:p>
    <w:p w14:paraId="1566A0B7" w14:textId="77777777" w:rsidR="00CB5D4B" w:rsidRDefault="00CB5D4B" w:rsidP="001127D9">
      <w:pPr>
        <w:autoSpaceDE w:val="0"/>
        <w:autoSpaceDN w:val="0"/>
        <w:adjustRightInd w:val="0"/>
        <w:spacing w:before="100"/>
        <w:ind w:left="720" w:hanging="720"/>
        <w:rPr>
          <w:szCs w:val="19"/>
        </w:rPr>
      </w:pPr>
      <w:r>
        <w:rPr>
          <w:szCs w:val="19"/>
        </w:rPr>
        <w:t>…</w:t>
      </w:r>
    </w:p>
    <w:p w14:paraId="6D2CBE4F" w14:textId="6FC2D32D" w:rsidR="00CE1D51" w:rsidRPr="009712A4" w:rsidRDefault="0091653C" w:rsidP="0026045E">
      <w:pPr>
        <w:pStyle w:val="IASBNormalnpara"/>
        <w:rPr>
          <w:szCs w:val="19"/>
          <w:lang w:eastAsia="en-AU"/>
        </w:rPr>
      </w:pPr>
      <w:r w:rsidRPr="009712A4">
        <w:rPr>
          <w:szCs w:val="19"/>
        </w:rPr>
        <w:t>6</w:t>
      </w:r>
      <w:r w:rsidR="00CE1D51" w:rsidRPr="009712A4">
        <w:rPr>
          <w:szCs w:val="19"/>
        </w:rPr>
        <w:tab/>
      </w:r>
      <w:r w:rsidR="00CE1D51" w:rsidRPr="009712A4">
        <w:rPr>
          <w:szCs w:val="19"/>
          <w:lang w:eastAsia="en-AU"/>
        </w:rPr>
        <w:t>Assessing whether an omission or misstatement could influence economic</w:t>
      </w:r>
      <w:r w:rsidRPr="009712A4">
        <w:rPr>
          <w:szCs w:val="19"/>
          <w:lang w:eastAsia="en-AU"/>
        </w:rPr>
        <w:t xml:space="preserve"> </w:t>
      </w:r>
      <w:r w:rsidR="00CE1D51" w:rsidRPr="009712A4">
        <w:rPr>
          <w:szCs w:val="19"/>
          <w:lang w:eastAsia="en-AU"/>
        </w:rPr>
        <w:t>decisions of users, and so be material, requires consideration of the</w:t>
      </w:r>
      <w:r w:rsidRPr="009712A4">
        <w:rPr>
          <w:szCs w:val="19"/>
          <w:lang w:eastAsia="en-AU"/>
        </w:rPr>
        <w:t xml:space="preserve"> </w:t>
      </w:r>
      <w:r w:rsidR="00CE1D51" w:rsidRPr="009712A4">
        <w:rPr>
          <w:szCs w:val="19"/>
          <w:lang w:eastAsia="en-AU"/>
        </w:rPr>
        <w:t xml:space="preserve">characteristics of those users. </w:t>
      </w:r>
      <w:r w:rsidR="00CE1D51" w:rsidRPr="009712A4">
        <w:rPr>
          <w:strike/>
          <w:szCs w:val="19"/>
          <w:lang w:eastAsia="en-AU"/>
        </w:rPr>
        <w:t xml:space="preserve">The </w:t>
      </w:r>
      <w:r w:rsidR="00CE1D51" w:rsidRPr="009712A4">
        <w:rPr>
          <w:i/>
          <w:iCs/>
          <w:strike/>
          <w:szCs w:val="19"/>
          <w:lang w:eastAsia="en-AU"/>
        </w:rPr>
        <w:t>Framework for the Preparation and Presentation of</w:t>
      </w:r>
      <w:r w:rsidRPr="009712A4">
        <w:rPr>
          <w:i/>
          <w:iCs/>
          <w:strike/>
          <w:szCs w:val="19"/>
          <w:lang w:eastAsia="en-AU"/>
        </w:rPr>
        <w:t xml:space="preserve"> </w:t>
      </w:r>
      <w:r w:rsidR="00CE1D51" w:rsidRPr="009712A4">
        <w:rPr>
          <w:i/>
          <w:iCs/>
          <w:strike/>
          <w:szCs w:val="19"/>
          <w:lang w:eastAsia="en-AU"/>
        </w:rPr>
        <w:t xml:space="preserve">Financial Statements </w:t>
      </w:r>
      <w:r w:rsidR="00CE1D51" w:rsidRPr="009712A4">
        <w:rPr>
          <w:strike/>
          <w:szCs w:val="19"/>
          <w:lang w:eastAsia="en-AU"/>
        </w:rPr>
        <w:t>states in paragraph 25</w:t>
      </w:r>
      <w:r w:rsidRPr="00400E73">
        <w:rPr>
          <w:strike/>
          <w:szCs w:val="19"/>
          <w:vertAlign w:val="superscript"/>
          <w:lang w:eastAsia="en-AU"/>
        </w:rPr>
        <w:t>1</w:t>
      </w:r>
      <w:r w:rsidR="00CE1D51" w:rsidRPr="009712A4">
        <w:rPr>
          <w:strike/>
          <w:szCs w:val="19"/>
          <w:lang w:eastAsia="en-AU"/>
        </w:rPr>
        <w:t xml:space="preserve"> that ‘users</w:t>
      </w:r>
      <w:r w:rsidR="00B951C2">
        <w:rPr>
          <w:strike/>
          <w:szCs w:val="19"/>
          <w:lang w:eastAsia="en-AU"/>
        </w:rPr>
        <w:t xml:space="preserve"> </w:t>
      </w:r>
      <w:r w:rsidR="00CE1D51" w:rsidRPr="00C7392E">
        <w:rPr>
          <w:szCs w:val="19"/>
          <w:u w:val="single"/>
          <w:lang w:eastAsia="en-AU"/>
        </w:rPr>
        <w:t>Users</w:t>
      </w:r>
      <w:r w:rsidR="00CE1D51" w:rsidRPr="009712A4">
        <w:rPr>
          <w:szCs w:val="19"/>
          <w:lang w:eastAsia="en-AU"/>
        </w:rPr>
        <w:t xml:space="preserve"> are assumed to have a</w:t>
      </w:r>
      <w:r w:rsidRPr="009712A4">
        <w:rPr>
          <w:szCs w:val="19"/>
          <w:lang w:eastAsia="en-AU"/>
        </w:rPr>
        <w:t xml:space="preserve"> </w:t>
      </w:r>
      <w:r w:rsidR="00CE1D51" w:rsidRPr="009712A4">
        <w:rPr>
          <w:szCs w:val="19"/>
          <w:lang w:eastAsia="en-AU"/>
        </w:rPr>
        <w:t>reasonable knowledge of business and economic activities and accounting and a</w:t>
      </w:r>
      <w:r w:rsidRPr="009712A4">
        <w:rPr>
          <w:szCs w:val="19"/>
          <w:lang w:eastAsia="en-AU"/>
        </w:rPr>
        <w:t xml:space="preserve"> </w:t>
      </w:r>
      <w:r w:rsidR="00CE1D51" w:rsidRPr="009712A4">
        <w:rPr>
          <w:szCs w:val="19"/>
          <w:lang w:eastAsia="en-AU"/>
        </w:rPr>
        <w:t>willingness to study the information with reasonable diligence.</w:t>
      </w:r>
      <w:r w:rsidR="00CE1D51" w:rsidRPr="009712A4">
        <w:rPr>
          <w:strike/>
          <w:szCs w:val="19"/>
          <w:lang w:eastAsia="en-AU"/>
        </w:rPr>
        <w:t>’</w:t>
      </w:r>
      <w:r w:rsidR="00CE1D51" w:rsidRPr="009712A4">
        <w:rPr>
          <w:szCs w:val="19"/>
          <w:lang w:eastAsia="en-AU"/>
        </w:rPr>
        <w:t xml:space="preserve"> Therefore, the</w:t>
      </w:r>
      <w:r w:rsidRPr="009712A4">
        <w:rPr>
          <w:szCs w:val="19"/>
          <w:lang w:eastAsia="en-AU"/>
        </w:rPr>
        <w:t xml:space="preserve"> </w:t>
      </w:r>
      <w:r w:rsidR="00CE1D51" w:rsidRPr="009712A4">
        <w:rPr>
          <w:szCs w:val="19"/>
          <w:lang w:eastAsia="en-AU"/>
        </w:rPr>
        <w:t>assessment needs to take into account how users with such attributes could</w:t>
      </w:r>
      <w:r w:rsidRPr="009712A4">
        <w:rPr>
          <w:szCs w:val="19"/>
          <w:lang w:eastAsia="en-AU"/>
        </w:rPr>
        <w:t xml:space="preserve"> </w:t>
      </w:r>
      <w:r w:rsidR="00CE1D51" w:rsidRPr="009712A4">
        <w:rPr>
          <w:szCs w:val="19"/>
          <w:lang w:eastAsia="en-AU"/>
        </w:rPr>
        <w:t>reasonably be expected to be influenced in making economic decisions.</w:t>
      </w:r>
    </w:p>
    <w:p w14:paraId="48CAE9AC" w14:textId="57E7E615" w:rsidR="0091653C" w:rsidRDefault="0091653C" w:rsidP="0026045E">
      <w:pPr>
        <w:pStyle w:val="IASBNormalnparaL1"/>
        <w:ind w:left="1491" w:hanging="709"/>
        <w:rPr>
          <w:strike/>
          <w:sz w:val="16"/>
          <w:szCs w:val="16"/>
        </w:rPr>
      </w:pPr>
      <w:r w:rsidRPr="003C3F62">
        <w:rPr>
          <w:strike/>
          <w:sz w:val="16"/>
          <w:szCs w:val="16"/>
        </w:rPr>
        <w:t>1</w:t>
      </w:r>
      <w:r w:rsidRPr="00B13D1F">
        <w:rPr>
          <w:strike/>
          <w:sz w:val="16"/>
          <w:szCs w:val="16"/>
        </w:rPr>
        <w:tab/>
      </w:r>
      <w:r w:rsidRPr="0091653C">
        <w:rPr>
          <w:strike/>
          <w:sz w:val="16"/>
          <w:szCs w:val="16"/>
        </w:rPr>
        <w:t xml:space="preserve">In December 2013 the AASB amended the </w:t>
      </w:r>
      <w:r w:rsidRPr="003C3F62">
        <w:rPr>
          <w:i/>
          <w:strike/>
          <w:sz w:val="16"/>
          <w:szCs w:val="16"/>
        </w:rPr>
        <w:t>Framework for the Preparation and Presentation of Financial Statements</w:t>
      </w:r>
      <w:r w:rsidRPr="0091653C">
        <w:rPr>
          <w:strike/>
          <w:sz w:val="16"/>
          <w:szCs w:val="16"/>
        </w:rPr>
        <w:t xml:space="preserve">. The </w:t>
      </w:r>
      <w:r w:rsidRPr="003C3F62">
        <w:rPr>
          <w:i/>
          <w:strike/>
          <w:sz w:val="16"/>
          <w:szCs w:val="16"/>
        </w:rPr>
        <w:t>Framework</w:t>
      </w:r>
      <w:r w:rsidRPr="0091653C">
        <w:rPr>
          <w:strike/>
          <w:sz w:val="16"/>
          <w:szCs w:val="16"/>
        </w:rPr>
        <w:t xml:space="preserve"> is identified in AASB 1048 </w:t>
      </w:r>
      <w:r w:rsidRPr="00400E73">
        <w:rPr>
          <w:i/>
          <w:strike/>
          <w:sz w:val="16"/>
          <w:szCs w:val="16"/>
        </w:rPr>
        <w:t>Interpretation of Standards</w:t>
      </w:r>
      <w:r w:rsidRPr="0091653C">
        <w:rPr>
          <w:strike/>
          <w:sz w:val="16"/>
          <w:szCs w:val="16"/>
        </w:rPr>
        <w:t xml:space="preserve">. Paragraph 25 was superseded by Chapter 3 of the </w:t>
      </w:r>
      <w:r w:rsidRPr="003C3F62">
        <w:rPr>
          <w:i/>
          <w:strike/>
          <w:sz w:val="16"/>
          <w:szCs w:val="16"/>
        </w:rPr>
        <w:t>Framework</w:t>
      </w:r>
      <w:r w:rsidRPr="0091653C">
        <w:rPr>
          <w:strike/>
          <w:sz w:val="16"/>
          <w:szCs w:val="16"/>
        </w:rPr>
        <w:t>.</w:t>
      </w:r>
    </w:p>
    <w:p w14:paraId="0B2D4026" w14:textId="27154D19" w:rsidR="003A619F" w:rsidRDefault="003A619F" w:rsidP="003A619F">
      <w:pPr>
        <w:pStyle w:val="Heading2"/>
        <w:jc w:val="both"/>
      </w:pPr>
      <w:r>
        <w:t>Amendments to AASB Practice Statement 2</w:t>
      </w:r>
    </w:p>
    <w:p w14:paraId="6821AAB3" w14:textId="48920B01" w:rsidR="003C3F62" w:rsidRPr="00F74AE3" w:rsidRDefault="001D0FC4" w:rsidP="003A619F">
      <w:pPr>
        <w:pBdr>
          <w:top w:val="single" w:sz="4" w:space="1" w:color="auto"/>
          <w:left w:val="single" w:sz="4" w:space="4" w:color="auto"/>
          <w:bottom w:val="single" w:sz="4" w:space="1" w:color="auto"/>
          <w:right w:val="single" w:sz="4" w:space="4" w:color="auto"/>
        </w:pBdr>
        <w:autoSpaceDE w:val="0"/>
        <w:autoSpaceDN w:val="0"/>
        <w:adjustRightInd w:val="0"/>
        <w:rPr>
          <w:szCs w:val="19"/>
        </w:rPr>
      </w:pPr>
      <w:r>
        <w:rPr>
          <w:szCs w:val="19"/>
        </w:rPr>
        <w:t>Paragraph 5</w:t>
      </w:r>
      <w:r w:rsidR="003C3F62">
        <w:rPr>
          <w:szCs w:val="19"/>
        </w:rPr>
        <w:t xml:space="preserve"> and </w:t>
      </w:r>
      <w:r w:rsidR="003A619F">
        <w:rPr>
          <w:szCs w:val="19"/>
        </w:rPr>
        <w:t xml:space="preserve">footnote </w:t>
      </w:r>
      <w:r w:rsidR="003C3F62">
        <w:rPr>
          <w:szCs w:val="19"/>
        </w:rPr>
        <w:t xml:space="preserve">2 </w:t>
      </w:r>
      <w:r w:rsidR="003A619F">
        <w:rPr>
          <w:szCs w:val="19"/>
        </w:rPr>
        <w:t>to paragraph</w:t>
      </w:r>
      <w:r>
        <w:rPr>
          <w:szCs w:val="19"/>
        </w:rPr>
        <w:t xml:space="preserve"> 5 </w:t>
      </w:r>
      <w:r w:rsidR="003C3F62">
        <w:rPr>
          <w:szCs w:val="19"/>
        </w:rPr>
        <w:t>are</w:t>
      </w:r>
      <w:r>
        <w:rPr>
          <w:szCs w:val="19"/>
        </w:rPr>
        <w:t xml:space="preserve"> amended</w:t>
      </w:r>
      <w:r w:rsidR="003A619F">
        <w:rPr>
          <w:szCs w:val="19"/>
        </w:rPr>
        <w:t xml:space="preserve">. </w:t>
      </w:r>
    </w:p>
    <w:p w14:paraId="1A99EC2F" w14:textId="44AFE905" w:rsidR="003A619F" w:rsidRPr="00554EE4" w:rsidRDefault="001D0FC4" w:rsidP="001127D9">
      <w:pPr>
        <w:pStyle w:val="Heading2"/>
        <w:spacing w:before="240"/>
      </w:pPr>
      <w:r>
        <w:t>Definition of material</w:t>
      </w:r>
    </w:p>
    <w:p w14:paraId="1E068BDC" w14:textId="77777777" w:rsidR="003A619F" w:rsidRDefault="003A619F" w:rsidP="001127D9">
      <w:pPr>
        <w:autoSpaceDE w:val="0"/>
        <w:autoSpaceDN w:val="0"/>
        <w:adjustRightInd w:val="0"/>
        <w:spacing w:before="100"/>
        <w:ind w:left="720" w:hanging="720"/>
        <w:rPr>
          <w:szCs w:val="19"/>
        </w:rPr>
      </w:pPr>
      <w:r>
        <w:rPr>
          <w:szCs w:val="19"/>
        </w:rPr>
        <w:t>…</w:t>
      </w:r>
    </w:p>
    <w:p w14:paraId="22A666D8" w14:textId="314B5863" w:rsidR="00692BF7" w:rsidRDefault="00692BF7" w:rsidP="0026045E">
      <w:pPr>
        <w:pStyle w:val="IASBNormalnpara"/>
      </w:pPr>
      <w:r>
        <w:t>5</w:t>
      </w:r>
      <w:r w:rsidR="003A619F">
        <w:tab/>
      </w:r>
      <w:r>
        <w:t xml:space="preserve">The </w:t>
      </w:r>
      <w:r w:rsidRPr="00692BF7">
        <w:rPr>
          <w:i/>
          <w:strike/>
        </w:rPr>
        <w:t>Framework for the Preparation and Presentation of Financial Statements</w:t>
      </w:r>
      <w:r>
        <w:t xml:space="preserve"> </w:t>
      </w:r>
      <w:r w:rsidRPr="003C3F62">
        <w:rPr>
          <w:i/>
          <w:u w:val="single"/>
        </w:rPr>
        <w:t>Conceptual Framework for Financial Reporting</w:t>
      </w:r>
      <w:r>
        <w:t xml:space="preserve"> as identified in AASB 1048 </w:t>
      </w:r>
      <w:r w:rsidRPr="00692BF7">
        <w:rPr>
          <w:i/>
        </w:rPr>
        <w:t xml:space="preserve">Interpretation of Standards </w:t>
      </w:r>
      <w:r w:rsidRPr="003C3F62">
        <w:t>(the</w:t>
      </w:r>
      <w:r w:rsidRPr="00692BF7">
        <w:rPr>
          <w:i/>
        </w:rPr>
        <w:t xml:space="preserve"> </w:t>
      </w:r>
      <w:r w:rsidRPr="00692BF7">
        <w:rPr>
          <w:i/>
          <w:u w:val="single"/>
        </w:rPr>
        <w:t>Conceptual</w:t>
      </w:r>
      <w:r>
        <w:rPr>
          <w:i/>
        </w:rPr>
        <w:t xml:space="preserve"> </w:t>
      </w:r>
      <w:r w:rsidRPr="00692BF7">
        <w:rPr>
          <w:i/>
        </w:rPr>
        <w:t>Framework</w:t>
      </w:r>
      <w:r w:rsidRPr="003C3F62">
        <w:t xml:space="preserve">) </w:t>
      </w:r>
      <w:r>
        <w:t xml:space="preserve">provides the following definition of material information (AASB 101 </w:t>
      </w:r>
      <w:r w:rsidRPr="00692BF7">
        <w:rPr>
          <w:i/>
        </w:rPr>
        <w:t>Presentation of Financial Statements</w:t>
      </w:r>
      <w:r>
        <w:t xml:space="preserve"> and AASB 108 A</w:t>
      </w:r>
      <w:r w:rsidRPr="00692BF7">
        <w:rPr>
          <w:i/>
        </w:rPr>
        <w:t>ccounting Policies, Changes in Accounting Estimates and Errors</w:t>
      </w:r>
      <w:r w:rsidR="003C3F62">
        <w:t xml:space="preserve"> provide</w:t>
      </w:r>
      <w:r>
        <w:t xml:space="preserve"> similar definition</w:t>
      </w:r>
      <w:r w:rsidR="003C3F62">
        <w:t>s</w:t>
      </w:r>
      <w:r w:rsidRPr="00692BF7">
        <w:rPr>
          <w:vertAlign w:val="superscript"/>
        </w:rPr>
        <w:t>1</w:t>
      </w:r>
      <w:r>
        <w:t>):</w:t>
      </w:r>
    </w:p>
    <w:p w14:paraId="580F3EC7" w14:textId="7E3DBFC6" w:rsidR="00692BF7" w:rsidRPr="00692BF7" w:rsidRDefault="00692BF7" w:rsidP="001127D9">
      <w:pPr>
        <w:autoSpaceDE w:val="0"/>
        <w:autoSpaceDN w:val="0"/>
        <w:adjustRightInd w:val="0"/>
        <w:spacing w:before="100"/>
        <w:ind w:left="1491"/>
        <w:rPr>
          <w:szCs w:val="19"/>
        </w:rPr>
      </w:pPr>
      <w:r w:rsidRPr="00692BF7">
        <w:rPr>
          <w:szCs w:val="19"/>
          <w:lang w:eastAsia="en-AU"/>
        </w:rPr>
        <w:t>Information is material if omitting it or misstating it could influence decisions</w:t>
      </w:r>
      <w:r>
        <w:rPr>
          <w:szCs w:val="19"/>
          <w:lang w:eastAsia="en-AU"/>
        </w:rPr>
        <w:t xml:space="preserve"> </w:t>
      </w:r>
      <w:r w:rsidRPr="00692BF7">
        <w:rPr>
          <w:szCs w:val="19"/>
          <w:lang w:eastAsia="en-AU"/>
        </w:rPr>
        <w:t xml:space="preserve">that </w:t>
      </w:r>
      <w:r w:rsidRPr="008B7534">
        <w:rPr>
          <w:szCs w:val="19"/>
          <w:u w:val="single"/>
          <w:lang w:eastAsia="en-AU"/>
        </w:rPr>
        <w:t>the primary</w:t>
      </w:r>
      <w:r w:rsidRPr="00692BF7">
        <w:rPr>
          <w:szCs w:val="19"/>
          <w:lang w:eastAsia="en-AU"/>
        </w:rPr>
        <w:t xml:space="preserve"> users </w:t>
      </w:r>
      <w:r w:rsidRPr="003C3F62">
        <w:rPr>
          <w:szCs w:val="19"/>
          <w:u w:val="single"/>
          <w:lang w:eastAsia="en-AU"/>
        </w:rPr>
        <w:t xml:space="preserve">of </w:t>
      </w:r>
      <w:r w:rsidRPr="008B7534">
        <w:rPr>
          <w:szCs w:val="19"/>
          <w:u w:val="single"/>
          <w:lang w:eastAsia="en-AU"/>
        </w:rPr>
        <w:t>general purpose financial reports</w:t>
      </w:r>
      <w:r w:rsidRPr="00692BF7">
        <w:rPr>
          <w:szCs w:val="19"/>
          <w:lang w:eastAsia="en-AU"/>
        </w:rPr>
        <w:t xml:space="preserve"> make on the basis of</w:t>
      </w:r>
      <w:r>
        <w:rPr>
          <w:szCs w:val="19"/>
          <w:lang w:eastAsia="en-AU"/>
        </w:rPr>
        <w:t xml:space="preserve"> </w:t>
      </w:r>
      <w:r w:rsidRPr="008B7534">
        <w:rPr>
          <w:szCs w:val="19"/>
          <w:u w:val="single"/>
          <w:lang w:eastAsia="en-AU"/>
        </w:rPr>
        <w:t>those reports, which provide</w:t>
      </w:r>
      <w:r w:rsidRPr="00692BF7">
        <w:rPr>
          <w:szCs w:val="19"/>
          <w:lang w:eastAsia="en-AU"/>
        </w:rPr>
        <w:t xml:space="preserve"> financial information about a specific reporting</w:t>
      </w:r>
      <w:r>
        <w:rPr>
          <w:szCs w:val="19"/>
          <w:lang w:eastAsia="en-AU"/>
        </w:rPr>
        <w:t xml:space="preserve"> </w:t>
      </w:r>
      <w:r w:rsidRPr="00692BF7">
        <w:rPr>
          <w:szCs w:val="19"/>
          <w:lang w:eastAsia="en-AU"/>
        </w:rPr>
        <w:t>entity. In other words, materiality is an entity-specific aspect of relevance based on</w:t>
      </w:r>
      <w:r>
        <w:rPr>
          <w:szCs w:val="19"/>
          <w:lang w:eastAsia="en-AU"/>
        </w:rPr>
        <w:t xml:space="preserve"> </w:t>
      </w:r>
      <w:r w:rsidRPr="00692BF7">
        <w:rPr>
          <w:szCs w:val="19"/>
          <w:lang w:eastAsia="en-AU"/>
        </w:rPr>
        <w:t>the nature or magnitude, or both, of the items to which the information relates in</w:t>
      </w:r>
      <w:r>
        <w:rPr>
          <w:szCs w:val="19"/>
          <w:lang w:eastAsia="en-AU"/>
        </w:rPr>
        <w:t xml:space="preserve"> </w:t>
      </w:r>
      <w:r w:rsidRPr="00692BF7">
        <w:rPr>
          <w:szCs w:val="19"/>
          <w:lang w:eastAsia="en-AU"/>
        </w:rPr>
        <w:t>the context of an individual entity’s financial report</w:t>
      </w:r>
      <w:r>
        <w:rPr>
          <w:szCs w:val="19"/>
          <w:lang w:eastAsia="en-AU"/>
        </w:rPr>
        <w:t>.</w:t>
      </w:r>
      <w:r w:rsidR="008B7534" w:rsidRPr="008B7534">
        <w:rPr>
          <w:szCs w:val="19"/>
          <w:vertAlign w:val="superscript"/>
          <w:lang w:eastAsia="en-AU"/>
        </w:rPr>
        <w:t>2</w:t>
      </w:r>
    </w:p>
    <w:p w14:paraId="0A2F6D0D" w14:textId="7701E750" w:rsidR="003A619F" w:rsidRPr="00A42BA2" w:rsidRDefault="003A619F" w:rsidP="0026045E">
      <w:pPr>
        <w:pStyle w:val="IASBNormalnparaL1"/>
        <w:ind w:left="1491" w:hanging="709"/>
        <w:rPr>
          <w:strike/>
          <w:sz w:val="16"/>
          <w:szCs w:val="16"/>
        </w:rPr>
      </w:pPr>
      <w:r w:rsidRPr="00A42BA2">
        <w:rPr>
          <w:sz w:val="16"/>
          <w:szCs w:val="16"/>
        </w:rPr>
        <w:t>1</w:t>
      </w:r>
      <w:r w:rsidRPr="00A42BA2">
        <w:rPr>
          <w:sz w:val="16"/>
          <w:szCs w:val="16"/>
        </w:rPr>
        <w:tab/>
      </w:r>
      <w:r w:rsidR="00692BF7" w:rsidRPr="00A42BA2">
        <w:rPr>
          <w:sz w:val="16"/>
          <w:szCs w:val="16"/>
        </w:rPr>
        <w:t xml:space="preserve">See paragraph 7 of AASB 101 </w:t>
      </w:r>
      <w:r w:rsidR="00692BF7" w:rsidRPr="00A42BA2">
        <w:rPr>
          <w:i/>
          <w:sz w:val="16"/>
          <w:szCs w:val="16"/>
        </w:rPr>
        <w:t>Presentation of Financial Statements</w:t>
      </w:r>
      <w:r w:rsidR="00692BF7" w:rsidRPr="00A42BA2">
        <w:rPr>
          <w:sz w:val="16"/>
          <w:szCs w:val="16"/>
        </w:rPr>
        <w:t xml:space="preserve"> and paragraph 5 of AASB 108 </w:t>
      </w:r>
      <w:r w:rsidR="00692BF7" w:rsidRPr="00A42BA2">
        <w:rPr>
          <w:i/>
          <w:sz w:val="16"/>
          <w:szCs w:val="16"/>
        </w:rPr>
        <w:t>Accounting Policies, Changes in Accounting Estimates and Errors</w:t>
      </w:r>
      <w:r w:rsidR="003C3F62" w:rsidRPr="00A42BA2">
        <w:rPr>
          <w:i/>
          <w:sz w:val="16"/>
          <w:szCs w:val="16"/>
        </w:rPr>
        <w:t>.</w:t>
      </w:r>
    </w:p>
    <w:p w14:paraId="379200A8" w14:textId="2AF71743" w:rsidR="008B7534" w:rsidRPr="00A42BA2" w:rsidRDefault="00A42BA2" w:rsidP="0026045E">
      <w:pPr>
        <w:pStyle w:val="IASBNormalnparaL1"/>
        <w:ind w:left="1491" w:hanging="709"/>
        <w:rPr>
          <w:sz w:val="16"/>
          <w:szCs w:val="16"/>
        </w:rPr>
      </w:pPr>
      <w:r w:rsidRPr="00A42BA2">
        <w:rPr>
          <w:sz w:val="16"/>
          <w:szCs w:val="16"/>
        </w:rPr>
        <w:t>2</w:t>
      </w:r>
      <w:r w:rsidRPr="00A42BA2">
        <w:rPr>
          <w:sz w:val="16"/>
          <w:szCs w:val="16"/>
        </w:rPr>
        <w:tab/>
      </w:r>
      <w:r w:rsidR="008B7534" w:rsidRPr="00A42BA2">
        <w:rPr>
          <w:sz w:val="16"/>
          <w:szCs w:val="16"/>
        </w:rPr>
        <w:t xml:space="preserve">Paragraph </w:t>
      </w:r>
      <w:r w:rsidR="008B7534" w:rsidRPr="00A42BA2">
        <w:rPr>
          <w:strike/>
          <w:sz w:val="16"/>
          <w:szCs w:val="16"/>
        </w:rPr>
        <w:t>QC11</w:t>
      </w:r>
      <w:r w:rsidR="008B7534" w:rsidRPr="00A42BA2">
        <w:rPr>
          <w:sz w:val="16"/>
          <w:szCs w:val="16"/>
        </w:rPr>
        <w:t xml:space="preserve"> </w:t>
      </w:r>
      <w:r w:rsidR="008B7534" w:rsidRPr="00A42BA2">
        <w:rPr>
          <w:sz w:val="16"/>
          <w:szCs w:val="16"/>
          <w:u w:val="single"/>
        </w:rPr>
        <w:t>2.11</w:t>
      </w:r>
      <w:r w:rsidR="008B7534" w:rsidRPr="00A42BA2">
        <w:rPr>
          <w:sz w:val="16"/>
          <w:szCs w:val="16"/>
        </w:rPr>
        <w:t xml:space="preserve"> of </w:t>
      </w:r>
      <w:r w:rsidR="004364A4" w:rsidRPr="00A42BA2">
        <w:rPr>
          <w:sz w:val="16"/>
          <w:szCs w:val="16"/>
        </w:rPr>
        <w:t>the</w:t>
      </w:r>
      <w:r w:rsidR="004364A4" w:rsidRPr="00A42BA2">
        <w:rPr>
          <w:i/>
          <w:sz w:val="16"/>
          <w:szCs w:val="16"/>
        </w:rPr>
        <w:t xml:space="preserve"> </w:t>
      </w:r>
      <w:r w:rsidR="008B7534" w:rsidRPr="00A42BA2">
        <w:rPr>
          <w:i/>
          <w:strike/>
          <w:sz w:val="16"/>
          <w:szCs w:val="16"/>
        </w:rPr>
        <w:t>Framework for the Preparation and Presentation of Financial Statements</w:t>
      </w:r>
      <w:r w:rsidR="008B7534" w:rsidRPr="00A42BA2">
        <w:rPr>
          <w:i/>
          <w:sz w:val="16"/>
          <w:szCs w:val="16"/>
        </w:rPr>
        <w:t xml:space="preserve"> </w:t>
      </w:r>
      <w:r w:rsidR="004B68B8" w:rsidRPr="00A42BA2">
        <w:rPr>
          <w:i/>
          <w:sz w:val="16"/>
          <w:szCs w:val="16"/>
          <w:u w:val="single"/>
        </w:rPr>
        <w:t>Conceptual Framework for Financial Reporting</w:t>
      </w:r>
      <w:r w:rsidR="004B68B8" w:rsidRPr="00A42BA2">
        <w:rPr>
          <w:sz w:val="16"/>
          <w:szCs w:val="16"/>
        </w:rPr>
        <w:t xml:space="preserve"> </w:t>
      </w:r>
      <w:r w:rsidR="008B7534" w:rsidRPr="00A42BA2">
        <w:rPr>
          <w:sz w:val="16"/>
          <w:szCs w:val="16"/>
        </w:rPr>
        <w:t xml:space="preserve">(the </w:t>
      </w:r>
      <w:r w:rsidR="00C83FF2" w:rsidRPr="00A42BA2">
        <w:rPr>
          <w:i/>
          <w:sz w:val="16"/>
          <w:szCs w:val="16"/>
          <w:u w:val="single"/>
        </w:rPr>
        <w:t xml:space="preserve">Conceptual </w:t>
      </w:r>
      <w:r w:rsidR="008B7534" w:rsidRPr="00A42BA2">
        <w:rPr>
          <w:i/>
          <w:sz w:val="16"/>
          <w:szCs w:val="16"/>
        </w:rPr>
        <w:t>Framework</w:t>
      </w:r>
      <w:r w:rsidR="008B7534" w:rsidRPr="00A42BA2">
        <w:rPr>
          <w:sz w:val="16"/>
          <w:szCs w:val="16"/>
        </w:rPr>
        <w:t xml:space="preserve">). However, the Exposure Draft ED 282 </w:t>
      </w:r>
      <w:r w:rsidR="008B7534" w:rsidRPr="00A42BA2">
        <w:rPr>
          <w:i/>
          <w:sz w:val="16"/>
          <w:szCs w:val="16"/>
        </w:rPr>
        <w:t>Definition of Material</w:t>
      </w:r>
      <w:r w:rsidR="008B7534" w:rsidRPr="00A42BA2">
        <w:rPr>
          <w:sz w:val="16"/>
          <w:szCs w:val="16"/>
        </w:rPr>
        <w:t xml:space="preserve"> proposes to refine the definition of material to ‘[i]nformation is material if omitting, misstating or obscuring it could reasonably be expected to influence decisions that the primary users of a specific reporting entity’s general purpose financial statements make on the basis of those financial statements’. The Definition of Material ED also identifies consequential amendments to other Australian Accounting Standards, including amendments to the definitions of material in the</w:t>
      </w:r>
      <w:r w:rsidR="00576F36" w:rsidRPr="00A42BA2">
        <w:rPr>
          <w:sz w:val="16"/>
          <w:szCs w:val="16"/>
        </w:rPr>
        <w:t xml:space="preserve"> </w:t>
      </w:r>
      <w:r w:rsidR="00576F36" w:rsidRPr="00A42BA2">
        <w:rPr>
          <w:i/>
          <w:sz w:val="16"/>
          <w:szCs w:val="16"/>
          <w:u w:val="single"/>
        </w:rPr>
        <w:t>Conceptual</w:t>
      </w:r>
      <w:r w:rsidR="008B7534" w:rsidRPr="00A42BA2">
        <w:rPr>
          <w:i/>
          <w:sz w:val="16"/>
          <w:szCs w:val="16"/>
        </w:rPr>
        <w:t xml:space="preserve"> Framework</w:t>
      </w:r>
      <w:r w:rsidR="008B7534" w:rsidRPr="00A42BA2">
        <w:rPr>
          <w:sz w:val="16"/>
          <w:szCs w:val="16"/>
        </w:rPr>
        <w:t>, AASB 101 and AASB 108</w:t>
      </w:r>
      <w:r w:rsidR="003C3F62" w:rsidRPr="00A42BA2">
        <w:rPr>
          <w:sz w:val="16"/>
          <w:szCs w:val="16"/>
        </w:rPr>
        <w:t>.</w:t>
      </w:r>
    </w:p>
    <w:p w14:paraId="5EE79D4B" w14:textId="77777777" w:rsidR="00A42BA2" w:rsidRDefault="00A42BA2" w:rsidP="00A42BA2">
      <w:pPr>
        <w:pStyle w:val="NumPlain1"/>
        <w:numPr>
          <w:ilvl w:val="0"/>
          <w:numId w:val="0"/>
        </w:numPr>
        <w:ind w:left="510"/>
      </w:pPr>
    </w:p>
    <w:p w14:paraId="15DDC67D" w14:textId="77777777" w:rsidR="004302C1" w:rsidRDefault="004302C1" w:rsidP="004364A4">
      <w:pPr>
        <w:pStyle w:val="NumPlain1"/>
        <w:numPr>
          <w:ilvl w:val="0"/>
          <w:numId w:val="0"/>
        </w:numPr>
        <w:ind w:left="510"/>
        <w:sectPr w:rsidR="004302C1" w:rsidSect="00D74C6A">
          <w:footerReference w:type="default" r:id="rId22"/>
          <w:pgSz w:w="11907" w:h="16840" w:code="9"/>
          <w:pgMar w:top="1418" w:right="1418" w:bottom="1418" w:left="1418" w:header="709" w:footer="709" w:gutter="0"/>
          <w:paperSrc w:first="7" w:other="7"/>
          <w:cols w:space="720"/>
          <w:docGrid w:linePitch="65"/>
        </w:sectPr>
      </w:pPr>
    </w:p>
    <w:bookmarkEnd w:id="22"/>
    <w:p w14:paraId="794F4901" w14:textId="77777777" w:rsidR="00B8773D" w:rsidRPr="002747A3" w:rsidRDefault="00B8773D" w:rsidP="00C87FAF">
      <w:pPr>
        <w:pStyle w:val="Heading1"/>
        <w:jc w:val="both"/>
      </w:pPr>
      <w:r w:rsidRPr="002747A3">
        <w:t>Basis for Conclusions</w:t>
      </w:r>
    </w:p>
    <w:p w14:paraId="71B0B707" w14:textId="080F6B1D" w:rsidR="00B8773D" w:rsidRDefault="00B8773D" w:rsidP="00C87FAF">
      <w:pPr>
        <w:pStyle w:val="NoNumPlain1"/>
        <w:rPr>
          <w:i/>
          <w:iCs/>
          <w:szCs w:val="19"/>
        </w:rPr>
      </w:pPr>
      <w:r>
        <w:rPr>
          <w:i/>
          <w:iCs/>
          <w:szCs w:val="19"/>
        </w:rPr>
        <w:t xml:space="preserve">This Basis for Conclusions accompanies, but is not part of, AASB </w:t>
      </w:r>
      <w:r w:rsidR="00043A3E">
        <w:rPr>
          <w:i/>
          <w:iCs/>
          <w:szCs w:val="19"/>
        </w:rPr>
        <w:t>2019-1</w:t>
      </w:r>
      <w:r>
        <w:rPr>
          <w:i/>
          <w:iCs/>
          <w:szCs w:val="19"/>
        </w:rPr>
        <w:t>.</w:t>
      </w:r>
    </w:p>
    <w:p w14:paraId="236A7790" w14:textId="17F5A288" w:rsidR="00B8773D" w:rsidRDefault="00B8773D" w:rsidP="00C87FAF">
      <w:pPr>
        <w:pStyle w:val="Heading2"/>
        <w:jc w:val="both"/>
      </w:pPr>
      <w:r>
        <w:t>Introduction</w:t>
      </w:r>
    </w:p>
    <w:p w14:paraId="46799811" w14:textId="77777777" w:rsidR="00B8773D" w:rsidRDefault="00B8773D" w:rsidP="00551908">
      <w:pPr>
        <w:pStyle w:val="Default"/>
        <w:numPr>
          <w:ilvl w:val="0"/>
          <w:numId w:val="70"/>
        </w:numPr>
        <w:spacing w:before="100"/>
        <w:ind w:left="782" w:hanging="782"/>
        <w:jc w:val="both"/>
        <w:rPr>
          <w:sz w:val="19"/>
          <w:szCs w:val="19"/>
        </w:rPr>
      </w:pPr>
      <w:r>
        <w:rPr>
          <w:sz w:val="19"/>
          <w:szCs w:val="19"/>
        </w:rPr>
        <w:t xml:space="preserve">This Basis for Conclusions summarises the Australian Accounting Standards Board’s considerations in reaching the conclusions in this Standard.  It sets out the reasons why the Board developed the Standard, the approach taken to developing the Standard and the key decisions made.  In making decisions, individual Board members gave greater weight to some factors than to others. </w:t>
      </w:r>
    </w:p>
    <w:p w14:paraId="41CBAC54" w14:textId="77777777" w:rsidR="00B8773D" w:rsidRDefault="00B8773D" w:rsidP="00C87FAF">
      <w:pPr>
        <w:pStyle w:val="Heading2"/>
        <w:jc w:val="both"/>
      </w:pPr>
      <w:r>
        <w:t>Reasons for issuing this Standard</w:t>
      </w:r>
    </w:p>
    <w:p w14:paraId="3D9ED86D" w14:textId="77777777" w:rsidR="00B8773D" w:rsidRPr="00D07647" w:rsidRDefault="00B8773D" w:rsidP="00551908">
      <w:pPr>
        <w:pStyle w:val="Default"/>
        <w:numPr>
          <w:ilvl w:val="0"/>
          <w:numId w:val="70"/>
        </w:numPr>
        <w:spacing w:before="100"/>
        <w:ind w:left="782" w:hanging="782"/>
        <w:jc w:val="both"/>
        <w:rPr>
          <w:sz w:val="19"/>
          <w:szCs w:val="19"/>
        </w:rPr>
      </w:pPr>
      <w:r w:rsidRPr="00D07647">
        <w:rPr>
          <w:sz w:val="19"/>
          <w:szCs w:val="19"/>
        </w:rPr>
        <w:t xml:space="preserve">The International Accounting Standards Board (IASB) issued a revised Conceptual Framework titled </w:t>
      </w:r>
      <w:r w:rsidRPr="00FC671F">
        <w:rPr>
          <w:i/>
          <w:sz w:val="19"/>
          <w:szCs w:val="19"/>
        </w:rPr>
        <w:t>Conceptual Framework for Financial Reporting</w:t>
      </w:r>
      <w:r>
        <w:rPr>
          <w:sz w:val="19"/>
          <w:szCs w:val="19"/>
        </w:rPr>
        <w:t xml:space="preserve"> (the revised </w:t>
      </w:r>
      <w:r w:rsidRPr="00FC671F">
        <w:rPr>
          <w:sz w:val="19"/>
          <w:szCs w:val="19"/>
        </w:rPr>
        <w:t>Conceptual Framework</w:t>
      </w:r>
      <w:r>
        <w:rPr>
          <w:sz w:val="19"/>
          <w:szCs w:val="19"/>
        </w:rPr>
        <w:t xml:space="preserve">) </w:t>
      </w:r>
      <w:r w:rsidRPr="00D07647">
        <w:rPr>
          <w:sz w:val="19"/>
          <w:szCs w:val="19"/>
        </w:rPr>
        <w:t>in March 2018.</w:t>
      </w:r>
    </w:p>
    <w:p w14:paraId="15D64869" w14:textId="77777777" w:rsidR="00B8773D" w:rsidRPr="00D07647" w:rsidRDefault="00B8773D" w:rsidP="00551908">
      <w:pPr>
        <w:pStyle w:val="Default"/>
        <w:numPr>
          <w:ilvl w:val="0"/>
          <w:numId w:val="70"/>
        </w:numPr>
        <w:spacing w:before="100"/>
        <w:ind w:left="782" w:hanging="782"/>
        <w:jc w:val="both"/>
        <w:rPr>
          <w:sz w:val="19"/>
          <w:szCs w:val="19"/>
        </w:rPr>
      </w:pPr>
      <w:r w:rsidRPr="00D07647">
        <w:rPr>
          <w:sz w:val="19"/>
          <w:szCs w:val="19"/>
        </w:rPr>
        <w:t>The Conceptual Framework describes the objective and concepts for general purpose financial reporting under International Financial Reporting Standards (IFRS</w:t>
      </w:r>
      <w:r>
        <w:rPr>
          <w:sz w:val="19"/>
          <w:szCs w:val="19"/>
        </w:rPr>
        <w:t xml:space="preserve"> Standards</w:t>
      </w:r>
      <w:r w:rsidRPr="00D07647">
        <w:rPr>
          <w:sz w:val="19"/>
          <w:szCs w:val="19"/>
        </w:rPr>
        <w:t xml:space="preserve">).  Its purpose is to assist standard-setters </w:t>
      </w:r>
      <w:r>
        <w:rPr>
          <w:sz w:val="19"/>
          <w:szCs w:val="19"/>
        </w:rPr>
        <w:t xml:space="preserve">to </w:t>
      </w:r>
      <w:r w:rsidRPr="00D07647">
        <w:rPr>
          <w:sz w:val="19"/>
          <w:szCs w:val="19"/>
        </w:rPr>
        <w:t>develop Standards that are based on consistent concepts, and to help preparers develop consistent accounting policies when no Standard applies to a particular transaction or event, or when a Standard allows a choice of accounting policy.  It also assists anyone looking to understand and interpret the Standards.</w:t>
      </w:r>
    </w:p>
    <w:p w14:paraId="3DEC19D7" w14:textId="77777777" w:rsidR="00B8773D" w:rsidRPr="00D07647" w:rsidRDefault="00B8773D" w:rsidP="00551908">
      <w:pPr>
        <w:pStyle w:val="Default"/>
        <w:numPr>
          <w:ilvl w:val="0"/>
          <w:numId w:val="70"/>
        </w:numPr>
        <w:spacing w:before="100"/>
        <w:ind w:left="782" w:hanging="782"/>
        <w:jc w:val="both"/>
        <w:rPr>
          <w:sz w:val="19"/>
          <w:szCs w:val="19"/>
        </w:rPr>
      </w:pPr>
      <w:r w:rsidRPr="00D07647">
        <w:rPr>
          <w:sz w:val="19"/>
          <w:szCs w:val="19"/>
        </w:rPr>
        <w:t xml:space="preserve">Making the IASB’s </w:t>
      </w:r>
      <w:r>
        <w:rPr>
          <w:sz w:val="19"/>
          <w:szCs w:val="19"/>
        </w:rPr>
        <w:t xml:space="preserve">revised Conceptual Framework </w:t>
      </w:r>
      <w:r w:rsidRPr="00D07647">
        <w:rPr>
          <w:sz w:val="19"/>
          <w:szCs w:val="19"/>
        </w:rPr>
        <w:t>applicable in Australia is essential</w:t>
      </w:r>
      <w:r>
        <w:rPr>
          <w:sz w:val="19"/>
          <w:szCs w:val="19"/>
        </w:rPr>
        <w:t>.</w:t>
      </w:r>
      <w:r w:rsidRPr="00D07647">
        <w:rPr>
          <w:sz w:val="19"/>
          <w:szCs w:val="19"/>
        </w:rPr>
        <w:t xml:space="preserve">  In accordance with the Financial Reporting Council</w:t>
      </w:r>
      <w:r>
        <w:rPr>
          <w:sz w:val="19"/>
          <w:szCs w:val="19"/>
        </w:rPr>
        <w:t>’s strategic direction to the Board and the Board’s strategic objectives, the Board should</w:t>
      </w:r>
      <w:r w:rsidRPr="00D07647">
        <w:rPr>
          <w:sz w:val="19"/>
          <w:szCs w:val="19"/>
        </w:rPr>
        <w:t>:</w:t>
      </w:r>
    </w:p>
    <w:p w14:paraId="25A81424" w14:textId="77777777" w:rsidR="00B8773D" w:rsidRDefault="00B8773D" w:rsidP="0026045E">
      <w:pPr>
        <w:pStyle w:val="IASBNormalnparaL1"/>
        <w:rPr>
          <w:szCs w:val="19"/>
        </w:rPr>
      </w:pPr>
      <w:r>
        <w:rPr>
          <w:szCs w:val="19"/>
        </w:rPr>
        <w:t>(a)</w:t>
      </w:r>
      <w:r>
        <w:rPr>
          <w:szCs w:val="19"/>
        </w:rPr>
        <w:tab/>
        <w:t xml:space="preserve">maintain </w:t>
      </w:r>
      <w:r w:rsidR="001C567B">
        <w:rPr>
          <w:szCs w:val="19"/>
        </w:rPr>
        <w:t xml:space="preserve">compliance with </w:t>
      </w:r>
      <w:r>
        <w:rPr>
          <w:szCs w:val="19"/>
        </w:rPr>
        <w:t xml:space="preserve">IFRS </w:t>
      </w:r>
      <w:r w:rsidR="001C567B">
        <w:rPr>
          <w:szCs w:val="19"/>
        </w:rPr>
        <w:t xml:space="preserve">Standards </w:t>
      </w:r>
      <w:r>
        <w:rPr>
          <w:szCs w:val="19"/>
        </w:rPr>
        <w:t xml:space="preserve">for </w:t>
      </w:r>
      <w:r w:rsidRPr="00D07647">
        <w:rPr>
          <w:szCs w:val="19"/>
        </w:rPr>
        <w:t>publicly accountable entities; and</w:t>
      </w:r>
    </w:p>
    <w:p w14:paraId="3C19640C" w14:textId="1F13E7BF" w:rsidR="00B8773D" w:rsidRDefault="00551908" w:rsidP="00551908">
      <w:pPr>
        <w:pStyle w:val="IASBNormalnparaL1"/>
        <w:rPr>
          <w:szCs w:val="19"/>
        </w:rPr>
      </w:pPr>
      <w:r>
        <w:rPr>
          <w:szCs w:val="19"/>
        </w:rPr>
        <w:t>(b)</w:t>
      </w:r>
      <w:r w:rsidR="00B8773D">
        <w:rPr>
          <w:szCs w:val="19"/>
        </w:rPr>
        <w:tab/>
        <w:t xml:space="preserve">use </w:t>
      </w:r>
      <w:r w:rsidR="00B8773D" w:rsidRPr="00D07647">
        <w:rPr>
          <w:szCs w:val="19"/>
        </w:rPr>
        <w:t xml:space="preserve">IFRS </w:t>
      </w:r>
      <w:r w:rsidR="00B8773D">
        <w:rPr>
          <w:szCs w:val="19"/>
        </w:rPr>
        <w:t xml:space="preserve">Standards </w:t>
      </w:r>
      <w:r w:rsidR="00B8773D" w:rsidRPr="00D07647">
        <w:rPr>
          <w:szCs w:val="19"/>
        </w:rPr>
        <w:t xml:space="preserve">as a base for determining the reporting requirements for all other entities, modified as appropriate, in accordance with </w:t>
      </w:r>
      <w:r w:rsidR="00B8773D">
        <w:rPr>
          <w:szCs w:val="19"/>
        </w:rPr>
        <w:t>t</w:t>
      </w:r>
      <w:r w:rsidR="00B8773D" w:rsidRPr="00B756FA">
        <w:rPr>
          <w:szCs w:val="19"/>
        </w:rPr>
        <w:t>he AASB’s</w:t>
      </w:r>
      <w:r w:rsidR="00B8773D" w:rsidRPr="00904524">
        <w:rPr>
          <w:i/>
          <w:szCs w:val="19"/>
        </w:rPr>
        <w:t xml:space="preserve"> </w:t>
      </w:r>
      <w:r w:rsidR="00B8773D">
        <w:rPr>
          <w:szCs w:val="19"/>
        </w:rPr>
        <w:t>s</w:t>
      </w:r>
      <w:r w:rsidR="00B8773D" w:rsidRPr="0056593B">
        <w:rPr>
          <w:szCs w:val="19"/>
        </w:rPr>
        <w:t>tandard-</w:t>
      </w:r>
      <w:r w:rsidR="00B8773D">
        <w:rPr>
          <w:szCs w:val="19"/>
        </w:rPr>
        <w:t>s</w:t>
      </w:r>
      <w:r w:rsidR="00B8773D" w:rsidRPr="0056593B">
        <w:rPr>
          <w:szCs w:val="19"/>
        </w:rPr>
        <w:t xml:space="preserve">etting </w:t>
      </w:r>
      <w:r w:rsidR="00B8773D">
        <w:rPr>
          <w:szCs w:val="19"/>
        </w:rPr>
        <w:t>f</w:t>
      </w:r>
      <w:r w:rsidR="00B8773D" w:rsidRPr="0056593B">
        <w:rPr>
          <w:szCs w:val="19"/>
        </w:rPr>
        <w:t xml:space="preserve">rameworks for </w:t>
      </w:r>
      <w:r w:rsidR="00B8773D">
        <w:rPr>
          <w:szCs w:val="19"/>
        </w:rPr>
        <w:t>f</w:t>
      </w:r>
      <w:r w:rsidR="00B8773D" w:rsidRPr="0056593B">
        <w:rPr>
          <w:szCs w:val="19"/>
        </w:rPr>
        <w:t>or-</w:t>
      </w:r>
      <w:r w:rsidR="00B8773D">
        <w:rPr>
          <w:szCs w:val="19"/>
        </w:rPr>
        <w:t>p</w:t>
      </w:r>
      <w:r w:rsidR="00B8773D" w:rsidRPr="0056593B">
        <w:rPr>
          <w:szCs w:val="19"/>
        </w:rPr>
        <w:t xml:space="preserve">rofit and </w:t>
      </w:r>
      <w:r w:rsidR="00B8773D">
        <w:rPr>
          <w:szCs w:val="19"/>
        </w:rPr>
        <w:t>n</w:t>
      </w:r>
      <w:r w:rsidR="00B8773D" w:rsidRPr="0056593B">
        <w:rPr>
          <w:szCs w:val="19"/>
        </w:rPr>
        <w:t>ot-for-</w:t>
      </w:r>
      <w:r w:rsidR="00B8773D">
        <w:rPr>
          <w:szCs w:val="19"/>
        </w:rPr>
        <w:t>p</w:t>
      </w:r>
      <w:r w:rsidR="00B8773D" w:rsidRPr="0056593B">
        <w:rPr>
          <w:szCs w:val="19"/>
        </w:rPr>
        <w:t xml:space="preserve">rofit </w:t>
      </w:r>
      <w:r w:rsidR="00B8773D">
        <w:rPr>
          <w:szCs w:val="19"/>
        </w:rPr>
        <w:t>e</w:t>
      </w:r>
      <w:r w:rsidR="00B8773D" w:rsidRPr="0056593B">
        <w:rPr>
          <w:szCs w:val="19"/>
        </w:rPr>
        <w:t>ntities</w:t>
      </w:r>
      <w:r w:rsidR="00B8773D" w:rsidRPr="00D07647">
        <w:rPr>
          <w:szCs w:val="19"/>
        </w:rPr>
        <w:t>.</w:t>
      </w:r>
    </w:p>
    <w:p w14:paraId="26866B6F" w14:textId="7845EFD6" w:rsidR="00B8773D" w:rsidRDefault="00B8773D" w:rsidP="00551908">
      <w:pPr>
        <w:pStyle w:val="Default"/>
        <w:numPr>
          <w:ilvl w:val="0"/>
          <w:numId w:val="70"/>
        </w:numPr>
        <w:spacing w:before="100"/>
        <w:ind w:left="782" w:hanging="782"/>
        <w:jc w:val="both"/>
        <w:rPr>
          <w:sz w:val="19"/>
          <w:szCs w:val="19"/>
        </w:rPr>
      </w:pPr>
      <w:r>
        <w:rPr>
          <w:sz w:val="19"/>
          <w:szCs w:val="19"/>
        </w:rPr>
        <w:t xml:space="preserve">Implementation of the revised Conceptual Framework in Australia is challenging due to the so-called ‘reporting entity clash’.  This reflects </w:t>
      </w:r>
      <w:r w:rsidRPr="00C42898">
        <w:rPr>
          <w:sz w:val="19"/>
          <w:szCs w:val="19"/>
        </w:rPr>
        <w:t xml:space="preserve">the difference between the definition of a ‘reporting entity’ in the </w:t>
      </w:r>
      <w:r>
        <w:rPr>
          <w:sz w:val="19"/>
          <w:szCs w:val="19"/>
        </w:rPr>
        <w:t>IASB’s revised Conceptual Framework</w:t>
      </w:r>
      <w:r w:rsidRPr="00C42898">
        <w:rPr>
          <w:sz w:val="19"/>
          <w:szCs w:val="19"/>
        </w:rPr>
        <w:t xml:space="preserve"> and the current definition in Australian Accounting Standards</w:t>
      </w:r>
      <w:r w:rsidR="00282B64">
        <w:rPr>
          <w:sz w:val="19"/>
          <w:szCs w:val="19"/>
        </w:rPr>
        <w:t xml:space="preserve"> (including Interpretations)</w:t>
      </w:r>
      <w:r>
        <w:rPr>
          <w:sz w:val="19"/>
          <w:szCs w:val="19"/>
        </w:rPr>
        <w:t xml:space="preserve">.  The reporting entity definition in the revised Conceptual Framework </w:t>
      </w:r>
      <w:r w:rsidRPr="00C42898">
        <w:rPr>
          <w:sz w:val="19"/>
          <w:szCs w:val="19"/>
        </w:rPr>
        <w:t>determines the boundary of what needs to be reported when an entity is required to report, e.g. consolidation</w:t>
      </w:r>
      <w:r>
        <w:rPr>
          <w:sz w:val="19"/>
          <w:szCs w:val="19"/>
        </w:rPr>
        <w:t xml:space="preserve">.  The current reporting entity definition in Australian Accounting Standards </w:t>
      </w:r>
      <w:r w:rsidRPr="00C42898">
        <w:rPr>
          <w:sz w:val="19"/>
          <w:szCs w:val="19"/>
        </w:rPr>
        <w:t xml:space="preserve">determines whether </w:t>
      </w:r>
      <w:r>
        <w:rPr>
          <w:sz w:val="19"/>
          <w:szCs w:val="19"/>
        </w:rPr>
        <w:t xml:space="preserve">an entity should prepare </w:t>
      </w:r>
      <w:r w:rsidRPr="00C42898">
        <w:rPr>
          <w:sz w:val="19"/>
          <w:szCs w:val="19"/>
        </w:rPr>
        <w:t xml:space="preserve">general purpose financial statements </w:t>
      </w:r>
      <w:r>
        <w:rPr>
          <w:sz w:val="19"/>
          <w:szCs w:val="19"/>
        </w:rPr>
        <w:t xml:space="preserve">that </w:t>
      </w:r>
      <w:r w:rsidRPr="00C42898">
        <w:rPr>
          <w:sz w:val="19"/>
          <w:szCs w:val="19"/>
        </w:rPr>
        <w:t>comply with Australian Accounting Standards.</w:t>
      </w:r>
    </w:p>
    <w:p w14:paraId="24DA2187" w14:textId="77777777" w:rsidR="00B8773D" w:rsidRDefault="00B8773D" w:rsidP="00551908">
      <w:pPr>
        <w:pStyle w:val="Default"/>
        <w:numPr>
          <w:ilvl w:val="0"/>
          <w:numId w:val="70"/>
        </w:numPr>
        <w:spacing w:before="100"/>
        <w:ind w:left="782" w:hanging="782"/>
        <w:jc w:val="both"/>
        <w:rPr>
          <w:sz w:val="19"/>
          <w:szCs w:val="19"/>
        </w:rPr>
      </w:pPr>
      <w:r w:rsidRPr="006A38E4">
        <w:rPr>
          <w:sz w:val="19"/>
          <w:szCs w:val="19"/>
        </w:rPr>
        <w:t xml:space="preserve">In applying the Board’s normal practice of transaction neutrality based on IFRS Standards, the Board noted that resolving the reporting entity clash required removing the Australian definition of reporting entity.  To do this would also remove the ability of an entity to </w:t>
      </w:r>
      <w:r>
        <w:rPr>
          <w:sz w:val="19"/>
          <w:szCs w:val="19"/>
        </w:rPr>
        <w:t>conclude</w:t>
      </w:r>
      <w:r w:rsidRPr="006A38E4">
        <w:rPr>
          <w:sz w:val="19"/>
          <w:szCs w:val="19"/>
        </w:rPr>
        <w:t xml:space="preserve"> that it is not a reporting entity as currently defined</w:t>
      </w:r>
      <w:r>
        <w:rPr>
          <w:sz w:val="19"/>
          <w:szCs w:val="19"/>
        </w:rPr>
        <w:t xml:space="preserve">, and so prevent it from </w:t>
      </w:r>
      <w:r w:rsidRPr="006A38E4">
        <w:rPr>
          <w:sz w:val="19"/>
          <w:szCs w:val="19"/>
        </w:rPr>
        <w:t>prepar</w:t>
      </w:r>
      <w:r>
        <w:rPr>
          <w:sz w:val="19"/>
          <w:szCs w:val="19"/>
        </w:rPr>
        <w:t>ing</w:t>
      </w:r>
      <w:r w:rsidRPr="006A38E4">
        <w:rPr>
          <w:sz w:val="19"/>
          <w:szCs w:val="19"/>
        </w:rPr>
        <w:t xml:space="preserve"> special purpose financial statements </w:t>
      </w:r>
      <w:r>
        <w:rPr>
          <w:sz w:val="19"/>
          <w:szCs w:val="19"/>
        </w:rPr>
        <w:t xml:space="preserve">if it is </w:t>
      </w:r>
      <w:r w:rsidRPr="006A38E4">
        <w:rPr>
          <w:sz w:val="19"/>
          <w:szCs w:val="19"/>
        </w:rPr>
        <w:t>required to prepare financial statements in accordance with Australian Accounting Standards.</w:t>
      </w:r>
    </w:p>
    <w:p w14:paraId="7761818E" w14:textId="77777777" w:rsidR="00B8773D" w:rsidRPr="00370320" w:rsidRDefault="00B8773D" w:rsidP="00551908">
      <w:pPr>
        <w:pStyle w:val="Default"/>
        <w:numPr>
          <w:ilvl w:val="0"/>
          <w:numId w:val="70"/>
        </w:numPr>
        <w:spacing w:before="100"/>
        <w:ind w:left="782" w:hanging="782"/>
        <w:jc w:val="both"/>
        <w:rPr>
          <w:sz w:val="19"/>
          <w:szCs w:val="19"/>
        </w:rPr>
      </w:pPr>
      <w:r w:rsidRPr="00370320">
        <w:rPr>
          <w:sz w:val="19"/>
          <w:szCs w:val="19"/>
        </w:rPr>
        <w:t xml:space="preserve">The Board noted that having two conceptual frameworks </w:t>
      </w:r>
      <w:r>
        <w:rPr>
          <w:sz w:val="19"/>
          <w:szCs w:val="19"/>
        </w:rPr>
        <w:t xml:space="preserve">in operation at the same time </w:t>
      </w:r>
      <w:r w:rsidRPr="00370320">
        <w:rPr>
          <w:sz w:val="19"/>
          <w:szCs w:val="19"/>
        </w:rPr>
        <w:t xml:space="preserve">would introduce </w:t>
      </w:r>
      <w:r>
        <w:rPr>
          <w:sz w:val="19"/>
          <w:szCs w:val="19"/>
        </w:rPr>
        <w:t xml:space="preserve">some </w:t>
      </w:r>
      <w:r w:rsidRPr="00370320">
        <w:rPr>
          <w:sz w:val="19"/>
          <w:szCs w:val="19"/>
        </w:rPr>
        <w:t>complexity</w:t>
      </w:r>
      <w:r>
        <w:rPr>
          <w:sz w:val="19"/>
          <w:szCs w:val="19"/>
        </w:rPr>
        <w:t xml:space="preserve"> to Australian Accounting Standards</w:t>
      </w:r>
      <w:r w:rsidRPr="00370320">
        <w:rPr>
          <w:sz w:val="19"/>
          <w:szCs w:val="19"/>
        </w:rPr>
        <w:t xml:space="preserve">, and </w:t>
      </w:r>
      <w:r>
        <w:rPr>
          <w:sz w:val="19"/>
          <w:szCs w:val="19"/>
        </w:rPr>
        <w:t>i</w:t>
      </w:r>
      <w:r w:rsidRPr="00370320">
        <w:rPr>
          <w:sz w:val="19"/>
          <w:szCs w:val="19"/>
        </w:rPr>
        <w:t xml:space="preserve">s not desirable for a long period of time.  </w:t>
      </w:r>
      <w:r>
        <w:rPr>
          <w:sz w:val="19"/>
          <w:szCs w:val="19"/>
        </w:rPr>
        <w:t xml:space="preserve">Consequently, </w:t>
      </w:r>
      <w:r w:rsidRPr="00370320">
        <w:rPr>
          <w:sz w:val="19"/>
          <w:szCs w:val="19"/>
        </w:rPr>
        <w:t xml:space="preserve">to implement the revised Conceptual Framework in the short term, the Board decided to follow a </w:t>
      </w:r>
      <w:r>
        <w:rPr>
          <w:sz w:val="19"/>
          <w:szCs w:val="19"/>
        </w:rPr>
        <w:t xml:space="preserve">phased </w:t>
      </w:r>
      <w:r w:rsidRPr="00370320">
        <w:rPr>
          <w:sz w:val="19"/>
          <w:szCs w:val="19"/>
        </w:rPr>
        <w:t xml:space="preserve">approach: </w:t>
      </w:r>
    </w:p>
    <w:p w14:paraId="72B4235D" w14:textId="031F5D65" w:rsidR="00B8773D" w:rsidRPr="005E5D31" w:rsidRDefault="00551908" w:rsidP="00551908">
      <w:pPr>
        <w:pStyle w:val="IASBNormalnparaL1"/>
        <w:rPr>
          <w:szCs w:val="19"/>
        </w:rPr>
      </w:pPr>
      <w:r>
        <w:rPr>
          <w:szCs w:val="19"/>
        </w:rPr>
        <w:t>(a)</w:t>
      </w:r>
      <w:r>
        <w:rPr>
          <w:szCs w:val="19"/>
        </w:rPr>
        <w:tab/>
      </w:r>
      <w:r w:rsidR="00B8773D">
        <w:rPr>
          <w:szCs w:val="19"/>
        </w:rPr>
        <w:t>Phase</w:t>
      </w:r>
      <w:r w:rsidR="00B8773D" w:rsidRPr="005E5D31">
        <w:rPr>
          <w:szCs w:val="19"/>
        </w:rPr>
        <w:t xml:space="preserve"> 1 – </w:t>
      </w:r>
      <w:r w:rsidR="00B8773D">
        <w:rPr>
          <w:szCs w:val="19"/>
        </w:rPr>
        <w:t xml:space="preserve">implement the revised Conceptual Framework for </w:t>
      </w:r>
      <w:r w:rsidR="00B8773D" w:rsidRPr="005E5D31">
        <w:rPr>
          <w:szCs w:val="19"/>
        </w:rPr>
        <w:t xml:space="preserve">publicly accountable for-profit private sector entities </w:t>
      </w:r>
      <w:r w:rsidR="00B8773D">
        <w:rPr>
          <w:szCs w:val="19"/>
        </w:rPr>
        <w:t xml:space="preserve">so that they can </w:t>
      </w:r>
      <w:r w:rsidR="00B8773D" w:rsidRPr="005E5D31">
        <w:rPr>
          <w:szCs w:val="19"/>
        </w:rPr>
        <w:t>maintain compliance</w:t>
      </w:r>
      <w:r w:rsidR="002B0CA7">
        <w:rPr>
          <w:szCs w:val="19"/>
        </w:rPr>
        <w:t xml:space="preserve"> with IFRS Standards</w:t>
      </w:r>
      <w:r w:rsidR="00B8773D">
        <w:rPr>
          <w:szCs w:val="19"/>
        </w:rPr>
        <w:t xml:space="preserve">.  The Board noted that </w:t>
      </w:r>
      <w:r w:rsidR="00B8773D" w:rsidRPr="00834F75">
        <w:rPr>
          <w:szCs w:val="19"/>
        </w:rPr>
        <w:t xml:space="preserve">there </w:t>
      </w:r>
      <w:r w:rsidR="00B8773D">
        <w:rPr>
          <w:szCs w:val="19"/>
        </w:rPr>
        <w:t xml:space="preserve">may also </w:t>
      </w:r>
      <w:r w:rsidR="00B8773D" w:rsidRPr="00834F75">
        <w:rPr>
          <w:szCs w:val="19"/>
        </w:rPr>
        <w:t xml:space="preserve">be </w:t>
      </w:r>
      <w:r w:rsidR="00B8773D">
        <w:rPr>
          <w:szCs w:val="19"/>
        </w:rPr>
        <w:t xml:space="preserve">for-profit entities in the </w:t>
      </w:r>
      <w:r w:rsidR="00B8773D" w:rsidRPr="00834F75">
        <w:rPr>
          <w:szCs w:val="19"/>
        </w:rPr>
        <w:t xml:space="preserve">public sector that </w:t>
      </w:r>
      <w:r w:rsidR="00B8773D">
        <w:rPr>
          <w:szCs w:val="19"/>
        </w:rPr>
        <w:t xml:space="preserve">wish </w:t>
      </w:r>
      <w:r w:rsidR="00B8773D" w:rsidRPr="00834F75">
        <w:rPr>
          <w:szCs w:val="19"/>
        </w:rPr>
        <w:t>to maintain compliance</w:t>
      </w:r>
      <w:r w:rsidR="002B0CA7">
        <w:rPr>
          <w:szCs w:val="19"/>
        </w:rPr>
        <w:t xml:space="preserve"> with IFRS Standards</w:t>
      </w:r>
      <w:r w:rsidR="00B8773D">
        <w:rPr>
          <w:szCs w:val="19"/>
        </w:rPr>
        <w:t>.  Phase 1 would permit these entities to adopt the revised Conceptual Framework on a voluntary basis</w:t>
      </w:r>
      <w:r w:rsidR="00B8773D" w:rsidRPr="005E5D31">
        <w:rPr>
          <w:szCs w:val="19"/>
        </w:rPr>
        <w:t>; and</w:t>
      </w:r>
    </w:p>
    <w:p w14:paraId="03BD8D84" w14:textId="44DC9375" w:rsidR="00B8773D" w:rsidRDefault="00551908" w:rsidP="00551908">
      <w:pPr>
        <w:pStyle w:val="IASBNormalnparaL1"/>
        <w:rPr>
          <w:szCs w:val="19"/>
        </w:rPr>
      </w:pPr>
      <w:r>
        <w:rPr>
          <w:szCs w:val="19"/>
        </w:rPr>
        <w:t>(b)</w:t>
      </w:r>
      <w:r>
        <w:rPr>
          <w:szCs w:val="19"/>
        </w:rPr>
        <w:tab/>
      </w:r>
      <w:r w:rsidR="00B8773D">
        <w:rPr>
          <w:szCs w:val="19"/>
        </w:rPr>
        <w:t>Phase</w:t>
      </w:r>
      <w:r w:rsidR="00B8773D" w:rsidRPr="005E5D31">
        <w:rPr>
          <w:szCs w:val="19"/>
        </w:rPr>
        <w:t xml:space="preserve"> 2 – </w:t>
      </w:r>
      <w:r w:rsidR="00B8773D">
        <w:rPr>
          <w:szCs w:val="19"/>
        </w:rPr>
        <w:t xml:space="preserve">implement the revised Conceptual Framework for </w:t>
      </w:r>
      <w:r w:rsidR="00B8773D" w:rsidRPr="005E5D31">
        <w:rPr>
          <w:szCs w:val="19"/>
        </w:rPr>
        <w:t>all other entities</w:t>
      </w:r>
      <w:r w:rsidR="00B8773D">
        <w:rPr>
          <w:szCs w:val="19"/>
        </w:rPr>
        <w:t xml:space="preserve">, and remove the ability for entities to prepare special purpose financial statements when they are required </w:t>
      </w:r>
      <w:r w:rsidR="00B8773D" w:rsidRPr="006A38E4">
        <w:rPr>
          <w:szCs w:val="19"/>
        </w:rPr>
        <w:t>to prepare financial statements in accordance with Australian Accounting Standards</w:t>
      </w:r>
      <w:r w:rsidR="00B8773D" w:rsidRPr="005E5D31">
        <w:rPr>
          <w:szCs w:val="19"/>
        </w:rPr>
        <w:t>.</w:t>
      </w:r>
    </w:p>
    <w:p w14:paraId="5C46AF90" w14:textId="77777777" w:rsidR="00B8773D" w:rsidRPr="00170628" w:rsidRDefault="00B8773D" w:rsidP="00551908">
      <w:pPr>
        <w:pStyle w:val="Default"/>
        <w:numPr>
          <w:ilvl w:val="0"/>
          <w:numId w:val="70"/>
        </w:numPr>
        <w:spacing w:before="100"/>
        <w:ind w:left="782" w:hanging="782"/>
        <w:jc w:val="both"/>
        <w:rPr>
          <w:sz w:val="19"/>
          <w:szCs w:val="19"/>
        </w:rPr>
      </w:pPr>
      <w:r w:rsidRPr="00170628">
        <w:rPr>
          <w:sz w:val="19"/>
          <w:szCs w:val="19"/>
        </w:rPr>
        <w:t>The Board expected that implementing the revised Conceptual Framework for publicly accountable for-profit private sector entities would be straightforward as such entities were</w:t>
      </w:r>
      <w:r>
        <w:rPr>
          <w:sz w:val="19"/>
          <w:szCs w:val="19"/>
        </w:rPr>
        <w:t>, in the Board’s view,</w:t>
      </w:r>
      <w:r w:rsidRPr="00170628">
        <w:rPr>
          <w:sz w:val="19"/>
          <w:szCs w:val="19"/>
        </w:rPr>
        <w:t xml:space="preserve"> required by Australian Accounting Standards to prepare Tier 1 general purpose financial statements applying all </w:t>
      </w:r>
      <w:r>
        <w:rPr>
          <w:sz w:val="19"/>
          <w:szCs w:val="19"/>
        </w:rPr>
        <w:t xml:space="preserve">of the </w:t>
      </w:r>
      <w:r w:rsidRPr="00170628">
        <w:rPr>
          <w:sz w:val="19"/>
          <w:szCs w:val="19"/>
        </w:rPr>
        <w:t xml:space="preserve">accounting standards.  As such the Board did not expect the reporting entity concept </w:t>
      </w:r>
      <w:r>
        <w:rPr>
          <w:sz w:val="19"/>
          <w:szCs w:val="19"/>
        </w:rPr>
        <w:t xml:space="preserve">to </w:t>
      </w:r>
      <w:r w:rsidRPr="00170628">
        <w:rPr>
          <w:sz w:val="19"/>
          <w:szCs w:val="19"/>
        </w:rPr>
        <w:t>be relevant to them.</w:t>
      </w:r>
    </w:p>
    <w:p w14:paraId="4827B4FE" w14:textId="77777777" w:rsidR="00B8773D" w:rsidRPr="00D07647" w:rsidRDefault="00B8773D" w:rsidP="00551908">
      <w:pPr>
        <w:pStyle w:val="Default"/>
        <w:numPr>
          <w:ilvl w:val="0"/>
          <w:numId w:val="70"/>
        </w:numPr>
        <w:spacing w:before="100"/>
        <w:ind w:left="782" w:hanging="782"/>
        <w:jc w:val="both"/>
        <w:rPr>
          <w:sz w:val="19"/>
          <w:szCs w:val="19"/>
        </w:rPr>
      </w:pPr>
      <w:r>
        <w:rPr>
          <w:sz w:val="19"/>
          <w:szCs w:val="19"/>
        </w:rPr>
        <w:t xml:space="preserve">The phased approach would also provide the Board with more time to </w:t>
      </w:r>
      <w:r w:rsidRPr="00C42898">
        <w:rPr>
          <w:sz w:val="19"/>
          <w:szCs w:val="19"/>
        </w:rPr>
        <w:t xml:space="preserve">develop additional </w:t>
      </w:r>
      <w:r>
        <w:rPr>
          <w:sz w:val="19"/>
          <w:szCs w:val="19"/>
        </w:rPr>
        <w:t xml:space="preserve">Australian-specific </w:t>
      </w:r>
      <w:r w:rsidRPr="00C42898">
        <w:rPr>
          <w:sz w:val="19"/>
          <w:szCs w:val="19"/>
        </w:rPr>
        <w:t xml:space="preserve">paragraphs for the revised Conceptual Framework in respect of </w:t>
      </w:r>
      <w:r>
        <w:rPr>
          <w:sz w:val="19"/>
          <w:szCs w:val="19"/>
        </w:rPr>
        <w:t xml:space="preserve">not-for-profit </w:t>
      </w:r>
      <w:r w:rsidRPr="00C42898">
        <w:rPr>
          <w:sz w:val="19"/>
          <w:szCs w:val="19"/>
        </w:rPr>
        <w:t>entities in the private and public sectors and for-profit public sector entities</w:t>
      </w:r>
      <w:r>
        <w:rPr>
          <w:sz w:val="19"/>
          <w:szCs w:val="19"/>
        </w:rPr>
        <w:t>, as part of Phase 2</w:t>
      </w:r>
      <w:r w:rsidRPr="00C42898">
        <w:rPr>
          <w:sz w:val="19"/>
          <w:szCs w:val="19"/>
        </w:rPr>
        <w:t>.</w:t>
      </w:r>
    </w:p>
    <w:p w14:paraId="36575468" w14:textId="77777777" w:rsidR="00B8773D" w:rsidRDefault="00B8773D" w:rsidP="00E71C53">
      <w:pPr>
        <w:pStyle w:val="Heading2"/>
        <w:rPr>
          <w:i/>
        </w:rPr>
      </w:pPr>
      <w:r>
        <w:t>I</w:t>
      </w:r>
      <w:r w:rsidRPr="00D07647">
        <w:t xml:space="preserve">ssue of ITC 39 </w:t>
      </w:r>
      <w:r w:rsidRPr="00D07647">
        <w:rPr>
          <w:i/>
        </w:rPr>
        <w:t>Applying the IASB’s Revised Conceptual Framework and Solving the Reporting Entity and Special Purpose Financial Statement Problems</w:t>
      </w:r>
    </w:p>
    <w:p w14:paraId="4F4DF558" w14:textId="3DBC41B6" w:rsidR="00B8773D" w:rsidRDefault="00B8773D" w:rsidP="00551908">
      <w:pPr>
        <w:pStyle w:val="Default"/>
        <w:numPr>
          <w:ilvl w:val="0"/>
          <w:numId w:val="70"/>
        </w:numPr>
        <w:spacing w:before="100"/>
        <w:ind w:left="782" w:hanging="782"/>
        <w:jc w:val="both"/>
        <w:rPr>
          <w:sz w:val="19"/>
          <w:szCs w:val="18"/>
        </w:rPr>
      </w:pPr>
      <w:r w:rsidRPr="008A3457">
        <w:rPr>
          <w:sz w:val="19"/>
          <w:szCs w:val="18"/>
        </w:rPr>
        <w:t>The Board’s proposals were e</w:t>
      </w:r>
      <w:r>
        <w:rPr>
          <w:sz w:val="19"/>
          <w:szCs w:val="18"/>
        </w:rPr>
        <w:t>xposed for public comment in May</w:t>
      </w:r>
      <w:r w:rsidRPr="008A3457">
        <w:rPr>
          <w:sz w:val="19"/>
          <w:szCs w:val="18"/>
        </w:rPr>
        <w:t xml:space="preserve"> 2018 as part of </w:t>
      </w:r>
      <w:r>
        <w:rPr>
          <w:sz w:val="19"/>
          <w:szCs w:val="18"/>
        </w:rPr>
        <w:t xml:space="preserve">Invitation to Comment </w:t>
      </w:r>
      <w:r w:rsidRPr="008A3457">
        <w:rPr>
          <w:sz w:val="19"/>
          <w:szCs w:val="18"/>
        </w:rPr>
        <w:t>ITC</w:t>
      </w:r>
      <w:r w:rsidR="00830E84">
        <w:rPr>
          <w:sz w:val="19"/>
          <w:szCs w:val="18"/>
        </w:rPr>
        <w:t> </w:t>
      </w:r>
      <w:r w:rsidRPr="008A3457">
        <w:rPr>
          <w:sz w:val="19"/>
          <w:szCs w:val="18"/>
        </w:rPr>
        <w:t xml:space="preserve">39 </w:t>
      </w:r>
      <w:r w:rsidR="00830E84" w:rsidRPr="00830E84">
        <w:rPr>
          <w:i/>
          <w:sz w:val="19"/>
          <w:szCs w:val="18"/>
        </w:rPr>
        <w:t>Consultation Paper –</w:t>
      </w:r>
      <w:r w:rsidR="00830E84">
        <w:rPr>
          <w:sz w:val="19"/>
          <w:szCs w:val="18"/>
        </w:rPr>
        <w:t xml:space="preserve"> </w:t>
      </w:r>
      <w:r w:rsidRPr="008A3457">
        <w:rPr>
          <w:i/>
          <w:sz w:val="19"/>
          <w:szCs w:val="18"/>
        </w:rPr>
        <w:t>Applying the IASB’s Revised Conceptual Framework and Solving the Reporting Entity and Special Purpose Financial Statement Problems</w:t>
      </w:r>
      <w:r w:rsidRPr="008A3457">
        <w:rPr>
          <w:sz w:val="19"/>
          <w:szCs w:val="18"/>
        </w:rPr>
        <w:t>.  In developing the proposals</w:t>
      </w:r>
      <w:r>
        <w:rPr>
          <w:sz w:val="19"/>
          <w:szCs w:val="18"/>
        </w:rPr>
        <w:t xml:space="preserve"> in ITC 39</w:t>
      </w:r>
      <w:r w:rsidRPr="008A3457">
        <w:rPr>
          <w:sz w:val="19"/>
          <w:szCs w:val="18"/>
        </w:rPr>
        <w:t xml:space="preserve">, the Board considered </w:t>
      </w:r>
      <w:r>
        <w:rPr>
          <w:sz w:val="19"/>
          <w:szCs w:val="18"/>
        </w:rPr>
        <w:t xml:space="preserve">the findings of various </w:t>
      </w:r>
      <w:r w:rsidRPr="008A3457">
        <w:rPr>
          <w:sz w:val="19"/>
          <w:szCs w:val="18"/>
        </w:rPr>
        <w:t>research</w:t>
      </w:r>
      <w:r>
        <w:rPr>
          <w:sz w:val="19"/>
          <w:szCs w:val="18"/>
        </w:rPr>
        <w:t xml:space="preserve"> projects it had initiated.  This included AASB Research Report No. 1 </w:t>
      </w:r>
      <w:r w:rsidRPr="0056593B">
        <w:rPr>
          <w:i/>
          <w:sz w:val="19"/>
          <w:szCs w:val="18"/>
        </w:rPr>
        <w:t>Application of the Reporting Entity Concept and Lodgement of Special Purpose Financial Statements</w:t>
      </w:r>
      <w:r>
        <w:rPr>
          <w:sz w:val="19"/>
          <w:szCs w:val="18"/>
        </w:rPr>
        <w:t xml:space="preserve"> (June 2014) and AASB Research Report No. 6 </w:t>
      </w:r>
      <w:r w:rsidRPr="0056593B">
        <w:rPr>
          <w:i/>
          <w:sz w:val="19"/>
          <w:szCs w:val="18"/>
        </w:rPr>
        <w:t>Financial Reporting Requirements Applicable to Public Sector Entities</w:t>
      </w:r>
      <w:r>
        <w:rPr>
          <w:sz w:val="19"/>
          <w:szCs w:val="18"/>
        </w:rPr>
        <w:t xml:space="preserve"> (May 2018)</w:t>
      </w:r>
      <w:r w:rsidR="004B6616">
        <w:rPr>
          <w:sz w:val="19"/>
          <w:szCs w:val="18"/>
        </w:rPr>
        <w:t>.</w:t>
      </w:r>
    </w:p>
    <w:p w14:paraId="6DD9BB32" w14:textId="2E0EDE0D" w:rsidR="00B8773D" w:rsidRDefault="00B8773D" w:rsidP="00551908">
      <w:pPr>
        <w:pStyle w:val="Default"/>
        <w:numPr>
          <w:ilvl w:val="0"/>
          <w:numId w:val="70"/>
        </w:numPr>
        <w:spacing w:before="100"/>
        <w:ind w:left="782" w:hanging="782"/>
        <w:jc w:val="both"/>
        <w:rPr>
          <w:sz w:val="19"/>
          <w:szCs w:val="18"/>
        </w:rPr>
      </w:pPr>
      <w:r w:rsidRPr="008A3457">
        <w:rPr>
          <w:sz w:val="19"/>
          <w:szCs w:val="18"/>
        </w:rPr>
        <w:t>ITC 39 consider</w:t>
      </w:r>
      <w:r w:rsidR="00282B64">
        <w:rPr>
          <w:sz w:val="19"/>
          <w:szCs w:val="18"/>
        </w:rPr>
        <w:t>ed</w:t>
      </w:r>
      <w:r w:rsidRPr="008A3457">
        <w:rPr>
          <w:sz w:val="19"/>
          <w:szCs w:val="18"/>
        </w:rPr>
        <w:t xml:space="preserve"> </w:t>
      </w:r>
      <w:r>
        <w:rPr>
          <w:sz w:val="19"/>
          <w:szCs w:val="18"/>
        </w:rPr>
        <w:t>fiv</w:t>
      </w:r>
      <w:r w:rsidRPr="008A3457">
        <w:rPr>
          <w:sz w:val="19"/>
          <w:szCs w:val="18"/>
        </w:rPr>
        <w:t xml:space="preserve">e alternatives </w:t>
      </w:r>
      <w:r>
        <w:rPr>
          <w:sz w:val="19"/>
          <w:szCs w:val="18"/>
        </w:rPr>
        <w:t>for</w:t>
      </w:r>
      <w:r w:rsidRPr="008A3457">
        <w:rPr>
          <w:sz w:val="19"/>
          <w:szCs w:val="18"/>
        </w:rPr>
        <w:t xml:space="preserve"> implement</w:t>
      </w:r>
      <w:r>
        <w:rPr>
          <w:sz w:val="19"/>
          <w:szCs w:val="18"/>
        </w:rPr>
        <w:t>ing</w:t>
      </w:r>
      <w:r w:rsidRPr="008A3457">
        <w:rPr>
          <w:sz w:val="19"/>
          <w:szCs w:val="18"/>
        </w:rPr>
        <w:t xml:space="preserve"> the </w:t>
      </w:r>
      <w:r>
        <w:rPr>
          <w:sz w:val="19"/>
          <w:szCs w:val="18"/>
        </w:rPr>
        <w:t xml:space="preserve">revised Conceptual Framework </w:t>
      </w:r>
      <w:r w:rsidRPr="008A3457">
        <w:rPr>
          <w:sz w:val="19"/>
          <w:szCs w:val="18"/>
        </w:rPr>
        <w:t>in Australia</w:t>
      </w:r>
      <w:r>
        <w:rPr>
          <w:sz w:val="19"/>
          <w:szCs w:val="18"/>
        </w:rPr>
        <w:t>:</w:t>
      </w:r>
    </w:p>
    <w:p w14:paraId="54EF6A5E" w14:textId="788EFDEA" w:rsidR="00B8773D" w:rsidRPr="00CA6213" w:rsidRDefault="00551908" w:rsidP="00551908">
      <w:pPr>
        <w:pStyle w:val="IASBNormalnparaL1"/>
        <w:rPr>
          <w:szCs w:val="19"/>
        </w:rPr>
      </w:pPr>
      <w:r>
        <w:rPr>
          <w:szCs w:val="19"/>
        </w:rPr>
        <w:t>(a)</w:t>
      </w:r>
      <w:r>
        <w:rPr>
          <w:szCs w:val="19"/>
        </w:rPr>
        <w:tab/>
      </w:r>
      <w:r w:rsidR="00B8773D" w:rsidRPr="00CA6213">
        <w:rPr>
          <w:szCs w:val="19"/>
        </w:rPr>
        <w:t xml:space="preserve">Option 1 </w:t>
      </w:r>
      <w:r w:rsidR="00B8773D">
        <w:rPr>
          <w:szCs w:val="19"/>
        </w:rPr>
        <w:t>– Adopt a t</w:t>
      </w:r>
      <w:r w:rsidR="00B8773D" w:rsidRPr="00CA6213">
        <w:rPr>
          <w:szCs w:val="19"/>
        </w:rPr>
        <w:t xml:space="preserve">wo-phased approach to applying the </w:t>
      </w:r>
      <w:r w:rsidR="00B8773D">
        <w:rPr>
          <w:szCs w:val="19"/>
        </w:rPr>
        <w:t xml:space="preserve">revised Conceptual Framework.  This option would implement the revised Conceptual Framework </w:t>
      </w:r>
      <w:r w:rsidR="00B8773D" w:rsidRPr="00CA6213">
        <w:rPr>
          <w:szCs w:val="19"/>
        </w:rPr>
        <w:t xml:space="preserve">for </w:t>
      </w:r>
      <w:r w:rsidR="00B8773D">
        <w:rPr>
          <w:szCs w:val="19"/>
        </w:rPr>
        <w:t xml:space="preserve">for-profit </w:t>
      </w:r>
      <w:r w:rsidR="00B8773D" w:rsidRPr="00CA6213">
        <w:rPr>
          <w:szCs w:val="19"/>
        </w:rPr>
        <w:t xml:space="preserve">publicly accountable entities and </w:t>
      </w:r>
      <w:r w:rsidR="00B8773D">
        <w:rPr>
          <w:szCs w:val="19"/>
        </w:rPr>
        <w:t xml:space="preserve">other </w:t>
      </w:r>
      <w:r w:rsidR="00B8773D" w:rsidRPr="00CA6213">
        <w:rPr>
          <w:szCs w:val="19"/>
        </w:rPr>
        <w:t xml:space="preserve">entities voluntarily claiming </w:t>
      </w:r>
      <w:r w:rsidR="004B6616">
        <w:rPr>
          <w:szCs w:val="19"/>
        </w:rPr>
        <w:t xml:space="preserve">compliance with </w:t>
      </w:r>
      <w:r w:rsidR="00B8773D" w:rsidRPr="00CA6213">
        <w:rPr>
          <w:szCs w:val="19"/>
        </w:rPr>
        <w:t xml:space="preserve">IFRS </w:t>
      </w:r>
      <w:r w:rsidR="004B6616">
        <w:rPr>
          <w:szCs w:val="19"/>
        </w:rPr>
        <w:t xml:space="preserve">Standards </w:t>
      </w:r>
      <w:r w:rsidR="00B8773D">
        <w:rPr>
          <w:szCs w:val="19"/>
        </w:rPr>
        <w:t>in P</w:t>
      </w:r>
      <w:r w:rsidR="00B8773D" w:rsidRPr="00CA6213">
        <w:rPr>
          <w:szCs w:val="19"/>
        </w:rPr>
        <w:t>hase 1</w:t>
      </w:r>
      <w:r w:rsidR="00B8773D">
        <w:rPr>
          <w:szCs w:val="19"/>
        </w:rPr>
        <w:t xml:space="preserve">.  It would then implement the revised Conceptual Framework for all other entities in Phase 2.  Phase 2 would </w:t>
      </w:r>
      <w:r w:rsidR="00B8773D" w:rsidRPr="00CA6213">
        <w:rPr>
          <w:szCs w:val="19"/>
        </w:rPr>
        <w:t>remove the Australian reporting entity concept</w:t>
      </w:r>
      <w:r w:rsidR="00B8773D">
        <w:rPr>
          <w:szCs w:val="19"/>
        </w:rPr>
        <w:t xml:space="preserve"> and </w:t>
      </w:r>
      <w:r w:rsidR="00B8773D" w:rsidRPr="00CA6213">
        <w:rPr>
          <w:szCs w:val="19"/>
        </w:rPr>
        <w:t xml:space="preserve">remove </w:t>
      </w:r>
      <w:r w:rsidR="00B8773D">
        <w:rPr>
          <w:szCs w:val="19"/>
        </w:rPr>
        <w:t>the ability of an entity to prepare special purpose financial statements as a non-reporting entity where they are required to comply with Australian Accounting Standards.</w:t>
      </w:r>
    </w:p>
    <w:p w14:paraId="7FD08611" w14:textId="225212F4" w:rsidR="00B8773D" w:rsidRPr="00CA6213" w:rsidRDefault="00551908" w:rsidP="00551908">
      <w:pPr>
        <w:pStyle w:val="IASBNormalnparaL1"/>
        <w:rPr>
          <w:szCs w:val="19"/>
        </w:rPr>
      </w:pPr>
      <w:r>
        <w:rPr>
          <w:szCs w:val="19"/>
        </w:rPr>
        <w:t>(b)</w:t>
      </w:r>
      <w:r>
        <w:rPr>
          <w:szCs w:val="19"/>
        </w:rPr>
        <w:tab/>
      </w:r>
      <w:r w:rsidR="00B8773D" w:rsidRPr="00CA6213">
        <w:rPr>
          <w:szCs w:val="19"/>
        </w:rPr>
        <w:t>Option 2</w:t>
      </w:r>
      <w:r w:rsidR="00B8773D">
        <w:rPr>
          <w:szCs w:val="19"/>
        </w:rPr>
        <w:t xml:space="preserve"> –</w:t>
      </w:r>
      <w:r w:rsidR="00B8773D" w:rsidRPr="00CA6213">
        <w:rPr>
          <w:szCs w:val="19"/>
        </w:rPr>
        <w:t xml:space="preserve"> Operate with two </w:t>
      </w:r>
      <w:r w:rsidR="00B8773D">
        <w:rPr>
          <w:szCs w:val="19"/>
        </w:rPr>
        <w:t>c</w:t>
      </w:r>
      <w:r w:rsidR="00B8773D" w:rsidRPr="00CA6213">
        <w:rPr>
          <w:szCs w:val="19"/>
        </w:rPr>
        <w:t xml:space="preserve">onceptual </w:t>
      </w:r>
      <w:r w:rsidR="00B8773D">
        <w:rPr>
          <w:szCs w:val="19"/>
        </w:rPr>
        <w:t>f</w:t>
      </w:r>
      <w:r w:rsidR="00B8773D" w:rsidRPr="00CA6213">
        <w:rPr>
          <w:szCs w:val="19"/>
        </w:rPr>
        <w:t>rameworks</w:t>
      </w:r>
      <w:r w:rsidR="00B8773D">
        <w:rPr>
          <w:szCs w:val="19"/>
        </w:rPr>
        <w:t>.  This option would implement the revised Conceptual Framework for publicly accountable for-profit entities and other entities voluntarily reporting compliance with IFRS</w:t>
      </w:r>
      <w:r w:rsidR="004B6616">
        <w:rPr>
          <w:szCs w:val="19"/>
        </w:rPr>
        <w:t xml:space="preserve"> Standards</w:t>
      </w:r>
      <w:r w:rsidR="00B8773D">
        <w:rPr>
          <w:szCs w:val="19"/>
        </w:rPr>
        <w:t xml:space="preserve">.  It would also </w:t>
      </w:r>
      <w:r w:rsidR="00B8773D" w:rsidRPr="00CA6213">
        <w:rPr>
          <w:szCs w:val="19"/>
        </w:rPr>
        <w:t xml:space="preserve">retain the </w:t>
      </w:r>
      <w:r w:rsidR="00B8773D" w:rsidRPr="00062D07">
        <w:rPr>
          <w:i/>
          <w:szCs w:val="18"/>
        </w:rPr>
        <w:t>Framework for the Preparation and Presentation of Financial Statements</w:t>
      </w:r>
      <w:r w:rsidR="00B8773D" w:rsidRPr="005C1B8B">
        <w:rPr>
          <w:szCs w:val="18"/>
        </w:rPr>
        <w:t xml:space="preserve"> (</w:t>
      </w:r>
      <w:r w:rsidR="00B8773D">
        <w:rPr>
          <w:szCs w:val="18"/>
        </w:rPr>
        <w:t xml:space="preserve">the </w:t>
      </w:r>
      <w:r w:rsidR="00B8773D" w:rsidRPr="005C1B8B">
        <w:rPr>
          <w:szCs w:val="18"/>
        </w:rPr>
        <w:t>existing Conceptual Framework)</w:t>
      </w:r>
      <w:r w:rsidR="00B8773D" w:rsidRPr="00CA6213">
        <w:rPr>
          <w:szCs w:val="19"/>
        </w:rPr>
        <w:t xml:space="preserve"> for </w:t>
      </w:r>
      <w:r w:rsidR="00B8773D">
        <w:rPr>
          <w:szCs w:val="19"/>
        </w:rPr>
        <w:t xml:space="preserve">all </w:t>
      </w:r>
      <w:r w:rsidR="00B8773D" w:rsidRPr="00CA6213">
        <w:rPr>
          <w:szCs w:val="19"/>
        </w:rPr>
        <w:t>other entities.</w:t>
      </w:r>
    </w:p>
    <w:p w14:paraId="7DB425EB" w14:textId="6678911E" w:rsidR="00B8773D" w:rsidRPr="00CA6213" w:rsidRDefault="00551908" w:rsidP="00551908">
      <w:pPr>
        <w:pStyle w:val="IASBNormalnparaL1"/>
        <w:rPr>
          <w:szCs w:val="19"/>
        </w:rPr>
      </w:pPr>
      <w:r>
        <w:rPr>
          <w:szCs w:val="19"/>
        </w:rPr>
        <w:t>(c)</w:t>
      </w:r>
      <w:r>
        <w:rPr>
          <w:szCs w:val="19"/>
        </w:rPr>
        <w:tab/>
      </w:r>
      <w:r w:rsidR="00B8773D" w:rsidRPr="00CA6213">
        <w:rPr>
          <w:szCs w:val="19"/>
        </w:rPr>
        <w:t>Option 3</w:t>
      </w:r>
      <w:r w:rsidR="00B8773D">
        <w:rPr>
          <w:szCs w:val="19"/>
        </w:rPr>
        <w:t xml:space="preserve"> –</w:t>
      </w:r>
      <w:r w:rsidR="00B8773D" w:rsidRPr="00CA6213">
        <w:rPr>
          <w:szCs w:val="19"/>
        </w:rPr>
        <w:t xml:space="preserve"> </w:t>
      </w:r>
      <w:r w:rsidR="00B8773D">
        <w:rPr>
          <w:szCs w:val="19"/>
        </w:rPr>
        <w:t xml:space="preserve">Implement the revised Conceptual Framework for all </w:t>
      </w:r>
      <w:r w:rsidR="00B8773D" w:rsidRPr="00CA6213">
        <w:rPr>
          <w:szCs w:val="19"/>
        </w:rPr>
        <w:t xml:space="preserve">entities when it first becomes applicable to maintain compliance </w:t>
      </w:r>
      <w:r w:rsidR="00DE576C">
        <w:rPr>
          <w:szCs w:val="19"/>
        </w:rPr>
        <w:t xml:space="preserve">with IFRS Standards </w:t>
      </w:r>
      <w:r w:rsidR="00B8773D" w:rsidRPr="00CA6213">
        <w:rPr>
          <w:szCs w:val="19"/>
        </w:rPr>
        <w:t xml:space="preserve">and IFRS </w:t>
      </w:r>
      <w:r w:rsidR="00B8773D">
        <w:rPr>
          <w:szCs w:val="19"/>
        </w:rPr>
        <w:t xml:space="preserve">Standards </w:t>
      </w:r>
      <w:r w:rsidR="00B8773D" w:rsidRPr="00CA6213">
        <w:rPr>
          <w:szCs w:val="19"/>
        </w:rPr>
        <w:t>as a base</w:t>
      </w:r>
      <w:r w:rsidR="00B8773D">
        <w:rPr>
          <w:szCs w:val="19"/>
        </w:rPr>
        <w:t xml:space="preserve"> for Australian Accounting Standards.  This option would </w:t>
      </w:r>
      <w:r w:rsidR="00B8773D" w:rsidRPr="00CA6213">
        <w:rPr>
          <w:szCs w:val="19"/>
        </w:rPr>
        <w:t xml:space="preserve">remove the Australian reporting entity concept and </w:t>
      </w:r>
      <w:r w:rsidR="00B8773D">
        <w:rPr>
          <w:szCs w:val="19"/>
        </w:rPr>
        <w:t xml:space="preserve">the ability of an entity to prepare special purpose financial statements as a non-reporting entity where they are required to comply with Australian Accounting Standards from </w:t>
      </w:r>
      <w:r w:rsidR="00B8773D" w:rsidRPr="00CA6213">
        <w:rPr>
          <w:szCs w:val="19"/>
        </w:rPr>
        <w:t>1 January 2020.</w:t>
      </w:r>
    </w:p>
    <w:p w14:paraId="031FB05F" w14:textId="4BF961AF" w:rsidR="00B8773D" w:rsidRPr="00CA6213" w:rsidRDefault="00551908" w:rsidP="00551908">
      <w:pPr>
        <w:pStyle w:val="IASBNormalnparaL1"/>
        <w:rPr>
          <w:szCs w:val="19"/>
        </w:rPr>
      </w:pPr>
      <w:r>
        <w:rPr>
          <w:szCs w:val="19"/>
        </w:rPr>
        <w:t>(d)</w:t>
      </w:r>
      <w:r>
        <w:rPr>
          <w:szCs w:val="19"/>
        </w:rPr>
        <w:tab/>
      </w:r>
      <w:r w:rsidR="00B8773D" w:rsidRPr="00CA6213">
        <w:rPr>
          <w:szCs w:val="19"/>
        </w:rPr>
        <w:t>Option 4</w:t>
      </w:r>
      <w:r w:rsidR="00B8773D">
        <w:rPr>
          <w:szCs w:val="19"/>
        </w:rPr>
        <w:t xml:space="preserve"> –</w:t>
      </w:r>
      <w:r w:rsidR="00B8773D" w:rsidRPr="00CA6213">
        <w:rPr>
          <w:szCs w:val="19"/>
        </w:rPr>
        <w:t xml:space="preserve"> </w:t>
      </w:r>
      <w:r w:rsidR="00B8773D">
        <w:rPr>
          <w:szCs w:val="19"/>
        </w:rPr>
        <w:t>R</w:t>
      </w:r>
      <w:r w:rsidR="00B8773D" w:rsidRPr="00CA6213">
        <w:rPr>
          <w:szCs w:val="19"/>
        </w:rPr>
        <w:t xml:space="preserve">etain the existing </w:t>
      </w:r>
      <w:r w:rsidR="00B8773D">
        <w:rPr>
          <w:szCs w:val="19"/>
        </w:rPr>
        <w:t xml:space="preserve">Conceptual </w:t>
      </w:r>
      <w:r w:rsidR="00B8773D" w:rsidRPr="00CA6213">
        <w:rPr>
          <w:szCs w:val="19"/>
        </w:rPr>
        <w:t>Framework</w:t>
      </w:r>
      <w:r w:rsidR="00B8773D">
        <w:rPr>
          <w:szCs w:val="19"/>
        </w:rPr>
        <w:t xml:space="preserve">, </w:t>
      </w:r>
      <w:r w:rsidR="00B8773D" w:rsidRPr="00CA6213">
        <w:rPr>
          <w:szCs w:val="19"/>
        </w:rPr>
        <w:t xml:space="preserve">the Australian reporting entity concept and </w:t>
      </w:r>
      <w:r w:rsidR="00B8773D">
        <w:rPr>
          <w:szCs w:val="19"/>
        </w:rPr>
        <w:t>the ability of an entity to prepare special purpose financial statements as a non-reporting entity where they are required to comply with Australian Accounting Standards</w:t>
      </w:r>
      <w:r w:rsidR="00B8773D" w:rsidRPr="00CA6213">
        <w:rPr>
          <w:szCs w:val="19"/>
        </w:rPr>
        <w:t>.  Under this option</w:t>
      </w:r>
      <w:r w:rsidR="00B8773D">
        <w:rPr>
          <w:szCs w:val="19"/>
        </w:rPr>
        <w:t>,</w:t>
      </w:r>
      <w:r w:rsidR="00B8773D" w:rsidRPr="00CA6213">
        <w:rPr>
          <w:szCs w:val="19"/>
        </w:rPr>
        <w:t xml:space="preserve"> </w:t>
      </w:r>
      <w:r w:rsidR="00B8773D">
        <w:rPr>
          <w:szCs w:val="19"/>
        </w:rPr>
        <w:t xml:space="preserve">compliance with </w:t>
      </w:r>
      <w:r w:rsidR="00B8773D" w:rsidRPr="00CA6213">
        <w:rPr>
          <w:szCs w:val="19"/>
        </w:rPr>
        <w:t>Australia</w:t>
      </w:r>
      <w:r w:rsidR="00B8773D">
        <w:rPr>
          <w:szCs w:val="19"/>
        </w:rPr>
        <w:t xml:space="preserve">n Accounting Standards might not result in </w:t>
      </w:r>
      <w:r w:rsidR="004B6616">
        <w:rPr>
          <w:szCs w:val="19"/>
        </w:rPr>
        <w:t xml:space="preserve">compliance with </w:t>
      </w:r>
      <w:r w:rsidR="00B8773D">
        <w:rPr>
          <w:szCs w:val="19"/>
        </w:rPr>
        <w:t xml:space="preserve">IFRS </w:t>
      </w:r>
      <w:r w:rsidR="004B6616">
        <w:rPr>
          <w:szCs w:val="19"/>
        </w:rPr>
        <w:t xml:space="preserve">Standards </w:t>
      </w:r>
      <w:r w:rsidR="00B8773D">
        <w:rPr>
          <w:szCs w:val="19"/>
        </w:rPr>
        <w:t>after 1 January 2020</w:t>
      </w:r>
      <w:r w:rsidR="00B8773D" w:rsidRPr="00CA6213">
        <w:rPr>
          <w:szCs w:val="19"/>
        </w:rPr>
        <w:t>.</w:t>
      </w:r>
    </w:p>
    <w:p w14:paraId="71BDD3B2" w14:textId="5ECA41BD" w:rsidR="00B8773D" w:rsidRPr="00CA6213" w:rsidRDefault="00551908" w:rsidP="00551908">
      <w:pPr>
        <w:pStyle w:val="IASBNormalnparaL1"/>
        <w:rPr>
          <w:szCs w:val="19"/>
        </w:rPr>
      </w:pPr>
      <w:r>
        <w:rPr>
          <w:szCs w:val="19"/>
        </w:rPr>
        <w:t>(e)</w:t>
      </w:r>
      <w:r>
        <w:rPr>
          <w:szCs w:val="19"/>
        </w:rPr>
        <w:tab/>
      </w:r>
      <w:r w:rsidR="00B8773D" w:rsidRPr="00CA6213">
        <w:rPr>
          <w:szCs w:val="19"/>
        </w:rPr>
        <w:t>Option 5</w:t>
      </w:r>
      <w:r w:rsidR="00B8773D">
        <w:rPr>
          <w:szCs w:val="19"/>
        </w:rPr>
        <w:t xml:space="preserve"> –</w:t>
      </w:r>
      <w:r w:rsidR="00B8773D" w:rsidRPr="00CA6213">
        <w:rPr>
          <w:szCs w:val="19"/>
        </w:rPr>
        <w:t xml:space="preserve"> </w:t>
      </w:r>
      <w:r w:rsidR="00B8773D">
        <w:rPr>
          <w:szCs w:val="19"/>
        </w:rPr>
        <w:t xml:space="preserve">Implement the revised Conceptual Framework from 1 January 2020 </w:t>
      </w:r>
      <w:r w:rsidR="00B8773D" w:rsidRPr="00CA6213">
        <w:rPr>
          <w:szCs w:val="19"/>
        </w:rPr>
        <w:t xml:space="preserve">when it first becomes applicable to maintain compliance </w:t>
      </w:r>
      <w:r w:rsidR="00DE576C">
        <w:rPr>
          <w:szCs w:val="19"/>
        </w:rPr>
        <w:t xml:space="preserve">with IFRS Standards </w:t>
      </w:r>
      <w:r w:rsidR="00B8773D" w:rsidRPr="00CA6213">
        <w:rPr>
          <w:szCs w:val="19"/>
        </w:rPr>
        <w:t xml:space="preserve">and IFRS </w:t>
      </w:r>
      <w:r w:rsidR="00B8773D">
        <w:rPr>
          <w:szCs w:val="19"/>
        </w:rPr>
        <w:t xml:space="preserve">Standards </w:t>
      </w:r>
      <w:r w:rsidR="00B8773D" w:rsidRPr="00CA6213">
        <w:rPr>
          <w:szCs w:val="19"/>
        </w:rPr>
        <w:t>as a base</w:t>
      </w:r>
      <w:r w:rsidR="00B8773D">
        <w:rPr>
          <w:szCs w:val="19"/>
        </w:rPr>
        <w:t xml:space="preserve"> for Australian Accounting Standards.  Under Option 5, </w:t>
      </w:r>
      <w:r w:rsidR="00B8773D" w:rsidRPr="00CA6213">
        <w:rPr>
          <w:szCs w:val="19"/>
        </w:rPr>
        <w:t xml:space="preserve">the Australian reporting entity concept </w:t>
      </w:r>
      <w:r w:rsidR="00B8773D">
        <w:rPr>
          <w:szCs w:val="19"/>
        </w:rPr>
        <w:t xml:space="preserve">would be retained but the name amended </w:t>
      </w:r>
      <w:r w:rsidR="00B8773D" w:rsidRPr="00CA6213">
        <w:rPr>
          <w:szCs w:val="19"/>
        </w:rPr>
        <w:t xml:space="preserve">and minimum requirements for </w:t>
      </w:r>
      <w:r w:rsidR="00B8773D">
        <w:rPr>
          <w:szCs w:val="19"/>
        </w:rPr>
        <w:t>special purpose financial statements would be prescribed by the Board</w:t>
      </w:r>
      <w:r w:rsidR="00B8773D" w:rsidRPr="00CA6213">
        <w:rPr>
          <w:szCs w:val="19"/>
        </w:rPr>
        <w:t>.</w:t>
      </w:r>
    </w:p>
    <w:p w14:paraId="3BEE7487" w14:textId="77777777" w:rsidR="00B8773D" w:rsidRDefault="00B8773D" w:rsidP="00551908">
      <w:pPr>
        <w:pStyle w:val="Default"/>
        <w:numPr>
          <w:ilvl w:val="0"/>
          <w:numId w:val="70"/>
        </w:numPr>
        <w:spacing w:before="100"/>
        <w:ind w:left="782" w:hanging="782"/>
        <w:jc w:val="both"/>
        <w:rPr>
          <w:sz w:val="19"/>
          <w:szCs w:val="18"/>
        </w:rPr>
      </w:pPr>
      <w:r w:rsidRPr="00CA6213">
        <w:rPr>
          <w:sz w:val="19"/>
          <w:szCs w:val="18"/>
        </w:rPr>
        <w:t xml:space="preserve">The </w:t>
      </w:r>
      <w:r>
        <w:rPr>
          <w:sz w:val="19"/>
          <w:szCs w:val="18"/>
        </w:rPr>
        <w:t xml:space="preserve">Board </w:t>
      </w:r>
      <w:r w:rsidRPr="00CA6213">
        <w:rPr>
          <w:sz w:val="19"/>
          <w:szCs w:val="18"/>
        </w:rPr>
        <w:t xml:space="preserve">considered the benefits </w:t>
      </w:r>
      <w:r>
        <w:rPr>
          <w:sz w:val="19"/>
          <w:szCs w:val="18"/>
        </w:rPr>
        <w:t xml:space="preserve">of </w:t>
      </w:r>
      <w:r w:rsidRPr="00CA6213">
        <w:rPr>
          <w:sz w:val="19"/>
          <w:szCs w:val="18"/>
        </w:rPr>
        <w:t xml:space="preserve">and barriers </w:t>
      </w:r>
      <w:r>
        <w:rPr>
          <w:sz w:val="19"/>
          <w:szCs w:val="18"/>
        </w:rPr>
        <w:t xml:space="preserve">to </w:t>
      </w:r>
      <w:r w:rsidRPr="00CA6213">
        <w:rPr>
          <w:sz w:val="19"/>
          <w:szCs w:val="18"/>
        </w:rPr>
        <w:t>each of the</w:t>
      </w:r>
      <w:r>
        <w:rPr>
          <w:sz w:val="19"/>
          <w:szCs w:val="18"/>
        </w:rPr>
        <w:t>se</w:t>
      </w:r>
      <w:r w:rsidRPr="00CA6213">
        <w:rPr>
          <w:sz w:val="19"/>
          <w:szCs w:val="18"/>
        </w:rPr>
        <w:t xml:space="preserve"> options</w:t>
      </w:r>
      <w:r>
        <w:rPr>
          <w:sz w:val="19"/>
          <w:szCs w:val="18"/>
        </w:rPr>
        <w:t xml:space="preserve">, and supported Option 1 as its preferred </w:t>
      </w:r>
      <w:r w:rsidRPr="00CA6213">
        <w:rPr>
          <w:sz w:val="19"/>
          <w:szCs w:val="18"/>
        </w:rPr>
        <w:t>approach.</w:t>
      </w:r>
      <w:r>
        <w:rPr>
          <w:sz w:val="19"/>
          <w:szCs w:val="18"/>
        </w:rPr>
        <w:t xml:space="preserve">  Option 1 is the Board’s preferred approach because it:</w:t>
      </w:r>
    </w:p>
    <w:p w14:paraId="45F93A75" w14:textId="7D7F0F62" w:rsidR="00B8773D" w:rsidRPr="00803C5C" w:rsidRDefault="00551908" w:rsidP="00551908">
      <w:pPr>
        <w:pStyle w:val="IASBNormalnparaL1"/>
        <w:rPr>
          <w:szCs w:val="19"/>
        </w:rPr>
      </w:pPr>
      <w:r>
        <w:rPr>
          <w:szCs w:val="19"/>
        </w:rPr>
        <w:t>(a)</w:t>
      </w:r>
      <w:r>
        <w:rPr>
          <w:szCs w:val="19"/>
        </w:rPr>
        <w:tab/>
      </w:r>
      <w:r w:rsidR="00B8773D" w:rsidRPr="00803C5C">
        <w:rPr>
          <w:szCs w:val="19"/>
        </w:rPr>
        <w:t xml:space="preserve">allows </w:t>
      </w:r>
      <w:r w:rsidR="00B8773D">
        <w:rPr>
          <w:szCs w:val="19"/>
        </w:rPr>
        <w:t xml:space="preserve">for-profit entities with public accountability and entities that </w:t>
      </w:r>
      <w:r w:rsidR="00B8773D" w:rsidRPr="00803C5C">
        <w:rPr>
          <w:szCs w:val="19"/>
        </w:rPr>
        <w:t>voluntarily report compliance with IFRS</w:t>
      </w:r>
      <w:r w:rsidR="00B8773D">
        <w:rPr>
          <w:szCs w:val="19"/>
        </w:rPr>
        <w:t xml:space="preserve"> Standards to continue to do so</w:t>
      </w:r>
      <w:r w:rsidR="00B8773D" w:rsidRPr="00803C5C">
        <w:rPr>
          <w:szCs w:val="19"/>
        </w:rPr>
        <w:t>;</w:t>
      </w:r>
    </w:p>
    <w:p w14:paraId="05446510" w14:textId="254C14A7" w:rsidR="00B8773D" w:rsidRPr="004D1BF1" w:rsidRDefault="00551908" w:rsidP="00551908">
      <w:pPr>
        <w:pStyle w:val="IASBNormalnparaL1"/>
        <w:rPr>
          <w:szCs w:val="19"/>
        </w:rPr>
      </w:pPr>
      <w:r>
        <w:rPr>
          <w:szCs w:val="19"/>
        </w:rPr>
        <w:t>(b)</w:t>
      </w:r>
      <w:r>
        <w:rPr>
          <w:szCs w:val="19"/>
        </w:rPr>
        <w:tab/>
      </w:r>
      <w:r w:rsidR="00B8773D" w:rsidRPr="004D1BF1">
        <w:rPr>
          <w:szCs w:val="19"/>
        </w:rPr>
        <w:t>allows all other entities to continue preparing special purpose financial statements in the short term while the Board undertakes consultation and outreach activities and determines the appropriate Tier 2 general purpose financial statements framework to replace special purpose financial statements;</w:t>
      </w:r>
    </w:p>
    <w:p w14:paraId="2BE5C006" w14:textId="56287BC8" w:rsidR="00B8773D" w:rsidRPr="00803C5C" w:rsidRDefault="00551908" w:rsidP="00551908">
      <w:pPr>
        <w:pStyle w:val="IASBNormalnparaL1"/>
        <w:rPr>
          <w:szCs w:val="19"/>
        </w:rPr>
      </w:pPr>
      <w:r>
        <w:rPr>
          <w:szCs w:val="19"/>
        </w:rPr>
        <w:t>(c)</w:t>
      </w:r>
      <w:r>
        <w:rPr>
          <w:szCs w:val="19"/>
        </w:rPr>
        <w:tab/>
      </w:r>
      <w:r w:rsidR="00B8773D" w:rsidRPr="00803C5C">
        <w:rPr>
          <w:szCs w:val="19"/>
        </w:rPr>
        <w:t xml:space="preserve">maintains IFRS </w:t>
      </w:r>
      <w:r w:rsidR="00B8773D">
        <w:rPr>
          <w:szCs w:val="19"/>
        </w:rPr>
        <w:t xml:space="preserve">Standards </w:t>
      </w:r>
      <w:r w:rsidR="00B8773D" w:rsidRPr="00803C5C">
        <w:rPr>
          <w:szCs w:val="19"/>
        </w:rPr>
        <w:t>as a base for all entities in the medium term</w:t>
      </w:r>
      <w:r w:rsidR="00B8773D">
        <w:rPr>
          <w:szCs w:val="19"/>
        </w:rPr>
        <w:t>;</w:t>
      </w:r>
    </w:p>
    <w:p w14:paraId="28047C46" w14:textId="144DB3AD" w:rsidR="00B8773D" w:rsidRDefault="00551908" w:rsidP="00551908">
      <w:pPr>
        <w:pStyle w:val="IASBNormalnparaL1"/>
        <w:rPr>
          <w:szCs w:val="19"/>
        </w:rPr>
      </w:pPr>
      <w:r>
        <w:rPr>
          <w:szCs w:val="19"/>
        </w:rPr>
        <w:t>(d)</w:t>
      </w:r>
      <w:r>
        <w:rPr>
          <w:szCs w:val="19"/>
        </w:rPr>
        <w:tab/>
      </w:r>
      <w:r w:rsidR="00B8773D" w:rsidRPr="00803C5C">
        <w:rPr>
          <w:szCs w:val="19"/>
        </w:rPr>
        <w:t>solves the reporting entity problem in the medium term;</w:t>
      </w:r>
    </w:p>
    <w:p w14:paraId="4F2057F4" w14:textId="41A0E424" w:rsidR="00B8773D" w:rsidRPr="00803C5C" w:rsidRDefault="00551908" w:rsidP="00551908">
      <w:pPr>
        <w:pStyle w:val="IASBNormalnparaL1"/>
        <w:rPr>
          <w:szCs w:val="19"/>
        </w:rPr>
      </w:pPr>
      <w:r>
        <w:rPr>
          <w:szCs w:val="19"/>
        </w:rPr>
        <w:t>(e)</w:t>
      </w:r>
      <w:r>
        <w:rPr>
          <w:szCs w:val="19"/>
        </w:rPr>
        <w:tab/>
      </w:r>
      <w:r w:rsidR="00B8773D" w:rsidRPr="00803C5C">
        <w:rPr>
          <w:szCs w:val="19"/>
        </w:rPr>
        <w:t xml:space="preserve">solves the </w:t>
      </w:r>
      <w:r w:rsidR="00B8773D">
        <w:rPr>
          <w:szCs w:val="19"/>
        </w:rPr>
        <w:t xml:space="preserve">special purpose financial statements </w:t>
      </w:r>
      <w:r w:rsidR="00B8773D" w:rsidRPr="00803C5C">
        <w:rPr>
          <w:szCs w:val="19"/>
        </w:rPr>
        <w:t>problem in the medium term;</w:t>
      </w:r>
    </w:p>
    <w:p w14:paraId="26DB1345" w14:textId="545D1D7B" w:rsidR="00B8773D" w:rsidRPr="00803C5C" w:rsidRDefault="00551908" w:rsidP="00551908">
      <w:pPr>
        <w:pStyle w:val="IASBNormalnparaL1"/>
        <w:rPr>
          <w:szCs w:val="19"/>
        </w:rPr>
      </w:pPr>
      <w:r>
        <w:rPr>
          <w:szCs w:val="19"/>
        </w:rPr>
        <w:t>(f)</w:t>
      </w:r>
      <w:r>
        <w:rPr>
          <w:szCs w:val="19"/>
        </w:rPr>
        <w:tab/>
      </w:r>
      <w:r w:rsidR="00B8773D" w:rsidRPr="00803C5C">
        <w:rPr>
          <w:szCs w:val="19"/>
        </w:rPr>
        <w:t xml:space="preserve">allows time for the </w:t>
      </w:r>
      <w:r w:rsidR="00B8773D">
        <w:rPr>
          <w:szCs w:val="19"/>
        </w:rPr>
        <w:t xml:space="preserve">Board </w:t>
      </w:r>
      <w:r w:rsidR="00B8773D" w:rsidRPr="00803C5C">
        <w:rPr>
          <w:szCs w:val="19"/>
        </w:rPr>
        <w:t xml:space="preserve">to consult and determine </w:t>
      </w:r>
      <w:r w:rsidR="00B8773D">
        <w:rPr>
          <w:szCs w:val="19"/>
        </w:rPr>
        <w:t xml:space="preserve">any </w:t>
      </w:r>
      <w:r w:rsidR="00B8773D" w:rsidRPr="00803C5C">
        <w:rPr>
          <w:szCs w:val="19"/>
        </w:rPr>
        <w:t>no</w:t>
      </w:r>
      <w:r w:rsidR="00B8773D">
        <w:rPr>
          <w:szCs w:val="19"/>
        </w:rPr>
        <w:t>t-for-profit</w:t>
      </w:r>
      <w:r w:rsidR="00B8773D" w:rsidRPr="00803C5C">
        <w:rPr>
          <w:szCs w:val="19"/>
        </w:rPr>
        <w:t xml:space="preserve"> modifications that may be necessary </w:t>
      </w:r>
      <w:r w:rsidR="00B8773D">
        <w:rPr>
          <w:szCs w:val="19"/>
        </w:rPr>
        <w:t xml:space="preserve">to </w:t>
      </w:r>
      <w:r w:rsidR="00B8773D" w:rsidRPr="00803C5C">
        <w:rPr>
          <w:szCs w:val="19"/>
        </w:rPr>
        <w:t xml:space="preserve">the </w:t>
      </w:r>
      <w:r w:rsidR="00B8773D">
        <w:rPr>
          <w:szCs w:val="19"/>
        </w:rPr>
        <w:t xml:space="preserve">revised Conceptual Framework </w:t>
      </w:r>
      <w:r w:rsidR="00B8773D" w:rsidRPr="00803C5C">
        <w:rPr>
          <w:szCs w:val="19"/>
        </w:rPr>
        <w:t xml:space="preserve">in accordance with </w:t>
      </w:r>
      <w:r w:rsidR="00B8773D" w:rsidRPr="00551908">
        <w:rPr>
          <w:szCs w:val="19"/>
        </w:rPr>
        <w:t>The AASB’s</w:t>
      </w:r>
      <w:r w:rsidR="00B8773D" w:rsidRPr="00803C5C">
        <w:rPr>
          <w:szCs w:val="19"/>
        </w:rPr>
        <w:t xml:space="preserve"> </w:t>
      </w:r>
      <w:r w:rsidR="00B8773D" w:rsidRPr="00551908">
        <w:rPr>
          <w:szCs w:val="19"/>
        </w:rPr>
        <w:t>Not-for-Profit Entity Standard-Setting Framework</w:t>
      </w:r>
      <w:r w:rsidR="00B8773D" w:rsidRPr="00803C5C">
        <w:rPr>
          <w:szCs w:val="19"/>
        </w:rPr>
        <w:t>; and</w:t>
      </w:r>
    </w:p>
    <w:p w14:paraId="3D7EF98F" w14:textId="1340E0D0" w:rsidR="00B8773D" w:rsidRPr="00803C5C" w:rsidRDefault="00551908" w:rsidP="00551908">
      <w:pPr>
        <w:pStyle w:val="IASBNormalnparaL1"/>
        <w:rPr>
          <w:szCs w:val="19"/>
        </w:rPr>
      </w:pPr>
      <w:r>
        <w:rPr>
          <w:szCs w:val="19"/>
        </w:rPr>
        <w:t>(g)</w:t>
      </w:r>
      <w:r>
        <w:rPr>
          <w:szCs w:val="19"/>
        </w:rPr>
        <w:tab/>
      </w:r>
      <w:r w:rsidR="00B8773D" w:rsidRPr="00803C5C">
        <w:rPr>
          <w:szCs w:val="19"/>
        </w:rPr>
        <w:t>facilitate</w:t>
      </w:r>
      <w:r w:rsidR="00B8773D">
        <w:rPr>
          <w:szCs w:val="19"/>
        </w:rPr>
        <w:t>s</w:t>
      </w:r>
      <w:r w:rsidR="00B8773D" w:rsidRPr="00803C5C">
        <w:rPr>
          <w:szCs w:val="19"/>
        </w:rPr>
        <w:t xml:space="preserve"> comparability and ensure</w:t>
      </w:r>
      <w:r w:rsidR="00B8773D">
        <w:rPr>
          <w:szCs w:val="19"/>
        </w:rPr>
        <w:t>s</w:t>
      </w:r>
      <w:r w:rsidR="00B8773D" w:rsidRPr="00803C5C">
        <w:rPr>
          <w:szCs w:val="19"/>
        </w:rPr>
        <w:t xml:space="preserve"> there are appropriate accounting standards for each </w:t>
      </w:r>
      <w:r w:rsidR="00B8773D">
        <w:rPr>
          <w:szCs w:val="19"/>
        </w:rPr>
        <w:t xml:space="preserve">type of </w:t>
      </w:r>
      <w:r w:rsidR="00B8773D" w:rsidRPr="00803C5C">
        <w:rPr>
          <w:szCs w:val="19"/>
        </w:rPr>
        <w:t xml:space="preserve">entity required to comply with </w:t>
      </w:r>
      <w:r w:rsidR="00B8773D">
        <w:rPr>
          <w:szCs w:val="19"/>
        </w:rPr>
        <w:t>Australian Accounting Standards</w:t>
      </w:r>
      <w:r w:rsidR="00B8773D" w:rsidRPr="00803C5C">
        <w:rPr>
          <w:szCs w:val="19"/>
        </w:rPr>
        <w:t>.</w:t>
      </w:r>
    </w:p>
    <w:p w14:paraId="5BF7144F" w14:textId="77777777" w:rsidR="00B8773D" w:rsidRDefault="00B8773D" w:rsidP="00551908">
      <w:pPr>
        <w:pStyle w:val="Default"/>
        <w:numPr>
          <w:ilvl w:val="0"/>
          <w:numId w:val="70"/>
        </w:numPr>
        <w:spacing w:before="100"/>
        <w:ind w:left="782" w:hanging="782"/>
        <w:jc w:val="both"/>
        <w:rPr>
          <w:sz w:val="19"/>
          <w:szCs w:val="18"/>
        </w:rPr>
      </w:pPr>
      <w:r>
        <w:rPr>
          <w:sz w:val="19"/>
          <w:szCs w:val="18"/>
        </w:rPr>
        <w:t xml:space="preserve">ITC 39 noted the importance of maintaining </w:t>
      </w:r>
      <w:r w:rsidR="001C567B">
        <w:rPr>
          <w:sz w:val="19"/>
          <w:szCs w:val="18"/>
        </w:rPr>
        <w:t xml:space="preserve">compliance with </w:t>
      </w:r>
      <w:r>
        <w:rPr>
          <w:sz w:val="19"/>
          <w:szCs w:val="18"/>
        </w:rPr>
        <w:t xml:space="preserve">IFRS </w:t>
      </w:r>
      <w:r w:rsidR="001C567B">
        <w:rPr>
          <w:sz w:val="19"/>
          <w:szCs w:val="18"/>
        </w:rPr>
        <w:t xml:space="preserve">Standards </w:t>
      </w:r>
      <w:r>
        <w:rPr>
          <w:sz w:val="19"/>
          <w:szCs w:val="18"/>
        </w:rPr>
        <w:t>for certain entities in Australia.  As Australian Accounting Standards incorporate IFRS Standards, compliance with Australian Accounting Standards (Tier 1) results in compliance with IFRS Standards for for-profit entities.</w:t>
      </w:r>
      <w:r w:rsidRPr="008A3457" w:rsidDel="00CA6213">
        <w:rPr>
          <w:sz w:val="19"/>
          <w:szCs w:val="18"/>
        </w:rPr>
        <w:t xml:space="preserve"> </w:t>
      </w:r>
      <w:r>
        <w:rPr>
          <w:sz w:val="19"/>
          <w:szCs w:val="18"/>
        </w:rPr>
        <w:t xml:space="preserve"> Compliance with Australian Accounting Standards is often required by legislation.</w:t>
      </w:r>
    </w:p>
    <w:p w14:paraId="2C4072AA" w14:textId="56625C4B" w:rsidR="00B8773D" w:rsidRPr="00CD32CF" w:rsidRDefault="00B8773D" w:rsidP="00551908">
      <w:pPr>
        <w:pStyle w:val="Default"/>
        <w:numPr>
          <w:ilvl w:val="0"/>
          <w:numId w:val="70"/>
        </w:numPr>
        <w:spacing w:before="100"/>
        <w:ind w:left="782" w:hanging="782"/>
        <w:jc w:val="both"/>
        <w:rPr>
          <w:sz w:val="19"/>
          <w:szCs w:val="18"/>
        </w:rPr>
      </w:pPr>
      <w:r w:rsidRPr="00CD32CF">
        <w:rPr>
          <w:sz w:val="19"/>
          <w:szCs w:val="18"/>
        </w:rPr>
        <w:t xml:space="preserve">When deciding that Phase 1 should be limited to for-profit entities with public accountability, the Board reconfirmed the importance of the </w:t>
      </w:r>
      <w:r>
        <w:rPr>
          <w:sz w:val="19"/>
          <w:szCs w:val="18"/>
        </w:rPr>
        <w:t xml:space="preserve">definition of public accountability included in </w:t>
      </w:r>
      <w:r w:rsidRPr="00CD32CF">
        <w:rPr>
          <w:i/>
          <w:sz w:val="19"/>
          <w:szCs w:val="18"/>
        </w:rPr>
        <w:t>International Financial Reporting Standard for Small and Medium-sized Entities</w:t>
      </w:r>
      <w:r w:rsidRPr="00CD32CF">
        <w:rPr>
          <w:sz w:val="19"/>
          <w:szCs w:val="18"/>
        </w:rPr>
        <w:t xml:space="preserve"> </w:t>
      </w:r>
      <w:r>
        <w:rPr>
          <w:sz w:val="19"/>
          <w:szCs w:val="18"/>
        </w:rPr>
        <w:t>(</w:t>
      </w:r>
      <w:r w:rsidRPr="00062D07">
        <w:rPr>
          <w:i/>
          <w:sz w:val="19"/>
          <w:szCs w:val="18"/>
        </w:rPr>
        <w:t>IFRS for SMEs</w:t>
      </w:r>
      <w:r>
        <w:rPr>
          <w:sz w:val="19"/>
          <w:szCs w:val="18"/>
        </w:rPr>
        <w:t>)</w:t>
      </w:r>
      <w:r w:rsidRPr="00CD32CF">
        <w:rPr>
          <w:sz w:val="19"/>
          <w:szCs w:val="18"/>
        </w:rPr>
        <w:t xml:space="preserve">.  Internationally, entities with public accountability must </w:t>
      </w:r>
      <w:r>
        <w:rPr>
          <w:sz w:val="19"/>
          <w:szCs w:val="18"/>
        </w:rPr>
        <w:t xml:space="preserve">apply the </w:t>
      </w:r>
      <w:r w:rsidRPr="00CD32CF">
        <w:rPr>
          <w:sz w:val="19"/>
          <w:szCs w:val="18"/>
        </w:rPr>
        <w:t>full IFRS</w:t>
      </w:r>
      <w:r>
        <w:rPr>
          <w:sz w:val="19"/>
          <w:szCs w:val="18"/>
        </w:rPr>
        <w:t xml:space="preserve"> Standards</w:t>
      </w:r>
      <w:r w:rsidRPr="00CD32CF">
        <w:rPr>
          <w:sz w:val="19"/>
          <w:szCs w:val="18"/>
        </w:rPr>
        <w:t xml:space="preserve">, </w:t>
      </w:r>
      <w:r>
        <w:rPr>
          <w:sz w:val="19"/>
          <w:szCs w:val="18"/>
        </w:rPr>
        <w:t xml:space="preserve">rather than the </w:t>
      </w:r>
      <w:r w:rsidRPr="00062D07">
        <w:rPr>
          <w:i/>
          <w:sz w:val="19"/>
          <w:szCs w:val="18"/>
        </w:rPr>
        <w:t>IFRS for SMEs</w:t>
      </w:r>
      <w:r>
        <w:rPr>
          <w:sz w:val="19"/>
          <w:szCs w:val="18"/>
        </w:rPr>
        <w:t xml:space="preserve">.  </w:t>
      </w:r>
      <w:r w:rsidRPr="00CD32CF">
        <w:rPr>
          <w:sz w:val="19"/>
          <w:szCs w:val="18"/>
        </w:rPr>
        <w:t>Therefore the Board reconfirmed its view that</w:t>
      </w:r>
      <w:r w:rsidR="00282B64">
        <w:rPr>
          <w:sz w:val="19"/>
          <w:szCs w:val="18"/>
        </w:rPr>
        <w:t xml:space="preserve"> for-profit</w:t>
      </w:r>
      <w:r w:rsidRPr="00CD32CF">
        <w:rPr>
          <w:sz w:val="19"/>
          <w:szCs w:val="18"/>
        </w:rPr>
        <w:t xml:space="preserve"> entities in Australia with public accountability </w:t>
      </w:r>
      <w:r w:rsidR="00282B64">
        <w:rPr>
          <w:sz w:val="19"/>
          <w:szCs w:val="18"/>
        </w:rPr>
        <w:t xml:space="preserve">(as defined) </w:t>
      </w:r>
      <w:r w:rsidRPr="00CD32CF">
        <w:rPr>
          <w:sz w:val="19"/>
          <w:szCs w:val="18"/>
        </w:rPr>
        <w:t xml:space="preserve">should be required to prepare Tier 1 general purpose financial statements.  </w:t>
      </w:r>
      <w:r>
        <w:rPr>
          <w:sz w:val="19"/>
          <w:szCs w:val="18"/>
        </w:rPr>
        <w:t xml:space="preserve">Due to the importance of the </w:t>
      </w:r>
      <w:r w:rsidRPr="00062D07">
        <w:rPr>
          <w:i/>
          <w:sz w:val="19"/>
          <w:szCs w:val="18"/>
        </w:rPr>
        <w:t>IFRS for SMEs</w:t>
      </w:r>
      <w:r>
        <w:rPr>
          <w:sz w:val="19"/>
          <w:szCs w:val="18"/>
        </w:rPr>
        <w:t xml:space="preserve"> definition of public accountability, </w:t>
      </w:r>
      <w:r w:rsidRPr="00CD32CF">
        <w:rPr>
          <w:sz w:val="19"/>
          <w:szCs w:val="18"/>
        </w:rPr>
        <w:t xml:space="preserve">the Board decided that the IASB’s amendments to the definition of public accountability should be reflected in </w:t>
      </w:r>
      <w:r>
        <w:rPr>
          <w:sz w:val="19"/>
          <w:szCs w:val="18"/>
        </w:rPr>
        <w:t xml:space="preserve">the definition included in </w:t>
      </w:r>
      <w:r w:rsidRPr="00CD32CF">
        <w:rPr>
          <w:sz w:val="19"/>
          <w:szCs w:val="18"/>
        </w:rPr>
        <w:t xml:space="preserve">AASB 1053 </w:t>
      </w:r>
      <w:r w:rsidRPr="00183E76">
        <w:rPr>
          <w:i/>
          <w:sz w:val="19"/>
          <w:szCs w:val="18"/>
        </w:rPr>
        <w:t>Application of Tiers of Australian Accounting Standards</w:t>
      </w:r>
      <w:r w:rsidRPr="00CD32CF">
        <w:rPr>
          <w:sz w:val="19"/>
          <w:szCs w:val="18"/>
        </w:rPr>
        <w:t>.</w:t>
      </w:r>
    </w:p>
    <w:p w14:paraId="3F7B9DAE" w14:textId="4311B6A7" w:rsidR="00B8773D" w:rsidRDefault="00B8773D" w:rsidP="00200144">
      <w:pPr>
        <w:pStyle w:val="Heading3"/>
        <w:pBdr>
          <w:bottom w:val="none" w:sz="0" w:space="0" w:color="auto"/>
        </w:pBdr>
        <w:spacing w:before="200"/>
        <w:ind w:left="782"/>
        <w:jc w:val="both"/>
      </w:pPr>
      <w:r>
        <w:t xml:space="preserve">Stakeholder </w:t>
      </w:r>
      <w:r w:rsidR="00152EF2">
        <w:t>engagement</w:t>
      </w:r>
    </w:p>
    <w:p w14:paraId="045CDF5A" w14:textId="77777777" w:rsidR="00B8773D" w:rsidRPr="00370320" w:rsidRDefault="00B8773D" w:rsidP="00551908">
      <w:pPr>
        <w:pStyle w:val="Default"/>
        <w:numPr>
          <w:ilvl w:val="0"/>
          <w:numId w:val="70"/>
        </w:numPr>
        <w:spacing w:before="100"/>
        <w:ind w:left="782" w:hanging="782"/>
        <w:jc w:val="both"/>
        <w:rPr>
          <w:sz w:val="19"/>
          <w:szCs w:val="19"/>
        </w:rPr>
      </w:pPr>
      <w:r>
        <w:rPr>
          <w:sz w:val="19"/>
          <w:szCs w:val="19"/>
        </w:rPr>
        <w:t xml:space="preserve">After </w:t>
      </w:r>
      <w:r w:rsidRPr="00370320">
        <w:rPr>
          <w:sz w:val="19"/>
          <w:szCs w:val="19"/>
        </w:rPr>
        <w:t xml:space="preserve">issuing </w:t>
      </w:r>
      <w:r>
        <w:rPr>
          <w:sz w:val="19"/>
          <w:szCs w:val="19"/>
        </w:rPr>
        <w:t>ITC 39</w:t>
      </w:r>
      <w:r w:rsidRPr="00370320">
        <w:rPr>
          <w:sz w:val="19"/>
          <w:szCs w:val="19"/>
        </w:rPr>
        <w:t>, the Board held targeted outreach with key stakeholders, including State</w:t>
      </w:r>
      <w:r>
        <w:rPr>
          <w:sz w:val="19"/>
          <w:szCs w:val="19"/>
        </w:rPr>
        <w:t>, Territory</w:t>
      </w:r>
      <w:r w:rsidRPr="00370320">
        <w:rPr>
          <w:sz w:val="19"/>
          <w:szCs w:val="19"/>
        </w:rPr>
        <w:t xml:space="preserve"> and national</w:t>
      </w:r>
      <w:r>
        <w:rPr>
          <w:sz w:val="19"/>
          <w:szCs w:val="19"/>
        </w:rPr>
        <w:t xml:space="preserve"> regulators</w:t>
      </w:r>
      <w:r w:rsidRPr="00370320">
        <w:rPr>
          <w:sz w:val="19"/>
          <w:szCs w:val="19"/>
        </w:rPr>
        <w:t xml:space="preserve">, audit offices, accounting firms, the Australian </w:t>
      </w:r>
      <w:r>
        <w:rPr>
          <w:sz w:val="19"/>
          <w:szCs w:val="19"/>
        </w:rPr>
        <w:t xml:space="preserve">Securities Exchange (ASX), the Australian Securities and </w:t>
      </w:r>
      <w:r w:rsidRPr="00551908">
        <w:rPr>
          <w:sz w:val="19"/>
          <w:szCs w:val="18"/>
        </w:rPr>
        <w:t>Investments</w:t>
      </w:r>
      <w:r>
        <w:rPr>
          <w:sz w:val="19"/>
          <w:szCs w:val="19"/>
        </w:rPr>
        <w:t xml:space="preserve"> Commission (ASIC)</w:t>
      </w:r>
      <w:r w:rsidRPr="00370320">
        <w:rPr>
          <w:sz w:val="19"/>
          <w:szCs w:val="19"/>
        </w:rPr>
        <w:t xml:space="preserve">, credit rating agencies and </w:t>
      </w:r>
      <w:r>
        <w:rPr>
          <w:sz w:val="19"/>
          <w:szCs w:val="19"/>
        </w:rPr>
        <w:t>professional bodies</w:t>
      </w:r>
      <w:r w:rsidRPr="00370320">
        <w:rPr>
          <w:sz w:val="19"/>
          <w:szCs w:val="19"/>
        </w:rPr>
        <w:t xml:space="preserve">.  The </w:t>
      </w:r>
      <w:r>
        <w:rPr>
          <w:sz w:val="19"/>
          <w:szCs w:val="19"/>
        </w:rPr>
        <w:t xml:space="preserve">ITC 39 </w:t>
      </w:r>
      <w:r w:rsidRPr="00370320">
        <w:rPr>
          <w:sz w:val="19"/>
          <w:szCs w:val="19"/>
        </w:rPr>
        <w:t>proposals were also presented at various forums, workshops and discussion groups.</w:t>
      </w:r>
    </w:p>
    <w:p w14:paraId="33D50136" w14:textId="77777777" w:rsidR="00B8773D" w:rsidRPr="00370320" w:rsidRDefault="00B8773D" w:rsidP="00551908">
      <w:pPr>
        <w:pStyle w:val="Default"/>
        <w:numPr>
          <w:ilvl w:val="0"/>
          <w:numId w:val="70"/>
        </w:numPr>
        <w:spacing w:before="100"/>
        <w:ind w:left="782" w:hanging="782"/>
        <w:jc w:val="both"/>
        <w:rPr>
          <w:sz w:val="19"/>
          <w:szCs w:val="19"/>
        </w:rPr>
      </w:pPr>
      <w:r w:rsidRPr="00370320">
        <w:rPr>
          <w:sz w:val="19"/>
          <w:szCs w:val="19"/>
        </w:rPr>
        <w:t xml:space="preserve">The Board received feedback on its proposals through </w:t>
      </w:r>
      <w:r>
        <w:rPr>
          <w:sz w:val="19"/>
          <w:szCs w:val="19"/>
        </w:rPr>
        <w:t>24</w:t>
      </w:r>
      <w:r w:rsidRPr="00370320">
        <w:rPr>
          <w:sz w:val="19"/>
          <w:szCs w:val="19"/>
        </w:rPr>
        <w:t xml:space="preserve"> formal comment letters on </w:t>
      </w:r>
      <w:r>
        <w:rPr>
          <w:sz w:val="19"/>
          <w:szCs w:val="19"/>
        </w:rPr>
        <w:t>ITC39</w:t>
      </w:r>
      <w:r w:rsidRPr="00370320">
        <w:rPr>
          <w:sz w:val="19"/>
          <w:szCs w:val="19"/>
        </w:rPr>
        <w:t>.  The Board also obtained feedback via means such as email</w:t>
      </w:r>
      <w:r>
        <w:rPr>
          <w:sz w:val="19"/>
          <w:szCs w:val="19"/>
        </w:rPr>
        <w:t>s</w:t>
      </w:r>
      <w:r w:rsidRPr="00370320">
        <w:rPr>
          <w:sz w:val="19"/>
          <w:szCs w:val="19"/>
        </w:rPr>
        <w:t xml:space="preserve">, meetings with constituents and feedback from external presentations.  The responses to </w:t>
      </w:r>
      <w:r>
        <w:rPr>
          <w:sz w:val="19"/>
          <w:szCs w:val="19"/>
        </w:rPr>
        <w:t xml:space="preserve">ITC 39 </w:t>
      </w:r>
      <w:r w:rsidRPr="00370320">
        <w:rPr>
          <w:sz w:val="19"/>
          <w:szCs w:val="19"/>
        </w:rPr>
        <w:t>indicated that:</w:t>
      </w:r>
    </w:p>
    <w:p w14:paraId="0D9C4492" w14:textId="29AC398A" w:rsidR="00B8773D" w:rsidRPr="00B260C0" w:rsidRDefault="00551908" w:rsidP="00551908">
      <w:pPr>
        <w:pStyle w:val="IASBNormalnparaL1"/>
        <w:rPr>
          <w:szCs w:val="18"/>
        </w:rPr>
      </w:pPr>
      <w:r>
        <w:rPr>
          <w:szCs w:val="18"/>
        </w:rPr>
        <w:t>(a)</w:t>
      </w:r>
      <w:r>
        <w:rPr>
          <w:szCs w:val="18"/>
        </w:rPr>
        <w:tab/>
      </w:r>
      <w:r w:rsidR="00B8773D">
        <w:rPr>
          <w:szCs w:val="18"/>
        </w:rPr>
        <w:t>o</w:t>
      </w:r>
      <w:r w:rsidR="00B8773D" w:rsidRPr="00B260C0">
        <w:rPr>
          <w:szCs w:val="18"/>
        </w:rPr>
        <w:t xml:space="preserve">n balance, the majority of the </w:t>
      </w:r>
      <w:r w:rsidR="00B8773D">
        <w:rPr>
          <w:szCs w:val="18"/>
        </w:rPr>
        <w:t>respondents</w:t>
      </w:r>
      <w:r w:rsidR="00B8773D" w:rsidRPr="00B260C0">
        <w:rPr>
          <w:szCs w:val="18"/>
        </w:rPr>
        <w:t xml:space="preserve"> were supportive of the proposals in Phase 1</w:t>
      </w:r>
      <w:r w:rsidR="00B8773D">
        <w:rPr>
          <w:szCs w:val="18"/>
        </w:rPr>
        <w:t xml:space="preserve"> and the need to issue the revised Conceptual Framework in Australia prior to 1 January 2020 so that entities with public accountability could continue to maintain </w:t>
      </w:r>
      <w:r w:rsidR="00DF4F07">
        <w:rPr>
          <w:szCs w:val="18"/>
        </w:rPr>
        <w:t xml:space="preserve">compliance with </w:t>
      </w:r>
      <w:r w:rsidR="00B8773D">
        <w:rPr>
          <w:szCs w:val="18"/>
        </w:rPr>
        <w:t xml:space="preserve">IFRS </w:t>
      </w:r>
      <w:r w:rsidR="00DF4F07" w:rsidRPr="00551908">
        <w:rPr>
          <w:szCs w:val="19"/>
        </w:rPr>
        <w:t>Standards</w:t>
      </w:r>
      <w:r w:rsidR="00B8773D" w:rsidRPr="00B260C0">
        <w:rPr>
          <w:szCs w:val="18"/>
        </w:rPr>
        <w:t>;</w:t>
      </w:r>
    </w:p>
    <w:p w14:paraId="3EFF413F" w14:textId="144F4610" w:rsidR="00B8773D" w:rsidRPr="00551908" w:rsidRDefault="00551908" w:rsidP="00551908">
      <w:pPr>
        <w:pStyle w:val="IASBNormalnparaL1"/>
        <w:rPr>
          <w:szCs w:val="19"/>
        </w:rPr>
      </w:pPr>
      <w:r>
        <w:rPr>
          <w:szCs w:val="19"/>
        </w:rPr>
        <w:t>(b)</w:t>
      </w:r>
      <w:r>
        <w:rPr>
          <w:szCs w:val="19"/>
        </w:rPr>
        <w:tab/>
      </w:r>
      <w:r w:rsidR="00B8773D" w:rsidRPr="00551908">
        <w:rPr>
          <w:szCs w:val="19"/>
        </w:rPr>
        <w:t>there are a number of entities that may be affected by Phase 1 and the reporting entity clash of which the Board was unaware when developing ITC 39;</w:t>
      </w:r>
    </w:p>
    <w:p w14:paraId="6176EE2B" w14:textId="1D73A9C1" w:rsidR="00B8773D" w:rsidRPr="00551908" w:rsidRDefault="00551908" w:rsidP="00551908">
      <w:pPr>
        <w:pStyle w:val="IASBNormalnparaL1"/>
        <w:rPr>
          <w:szCs w:val="19"/>
        </w:rPr>
      </w:pPr>
      <w:r>
        <w:rPr>
          <w:szCs w:val="19"/>
        </w:rPr>
        <w:t>(c)</w:t>
      </w:r>
      <w:r>
        <w:rPr>
          <w:szCs w:val="19"/>
        </w:rPr>
        <w:tab/>
      </w:r>
      <w:r w:rsidR="00B8773D" w:rsidRPr="00551908">
        <w:rPr>
          <w:szCs w:val="19"/>
        </w:rPr>
        <w:t>maintaining two conceptual frameworks was not without its complexities; and</w:t>
      </w:r>
    </w:p>
    <w:p w14:paraId="2A9BD11F" w14:textId="79441478" w:rsidR="00B8773D" w:rsidRPr="005F19F6" w:rsidRDefault="00551908" w:rsidP="00551908">
      <w:pPr>
        <w:pStyle w:val="IASBNormalnparaL1"/>
        <w:rPr>
          <w:szCs w:val="18"/>
        </w:rPr>
      </w:pPr>
      <w:r>
        <w:rPr>
          <w:szCs w:val="19"/>
        </w:rPr>
        <w:t>(d)</w:t>
      </w:r>
      <w:r>
        <w:rPr>
          <w:szCs w:val="19"/>
        </w:rPr>
        <w:tab/>
      </w:r>
      <w:r w:rsidR="00B8773D" w:rsidRPr="00551908">
        <w:rPr>
          <w:szCs w:val="19"/>
        </w:rPr>
        <w:t>mandatory application of the revised Conceptual Framework in Phase 1 should be limited to for-profit private sector entities</w:t>
      </w:r>
      <w:r w:rsidR="00B8773D">
        <w:rPr>
          <w:szCs w:val="18"/>
        </w:rPr>
        <w:t xml:space="preserve"> with public accountability</w:t>
      </w:r>
      <w:r w:rsidR="00A83996">
        <w:rPr>
          <w:szCs w:val="18"/>
        </w:rPr>
        <w:t xml:space="preserve"> that are required by legislation to prepare financial statements that comply with Australian Accounting Standards</w:t>
      </w:r>
      <w:r w:rsidR="00B8773D" w:rsidRPr="005F19F6">
        <w:rPr>
          <w:szCs w:val="18"/>
        </w:rPr>
        <w:t>.</w:t>
      </w:r>
    </w:p>
    <w:p w14:paraId="747A03AB" w14:textId="77777777" w:rsidR="00B8773D" w:rsidRDefault="00B8773D" w:rsidP="00551908">
      <w:pPr>
        <w:pStyle w:val="Default"/>
        <w:numPr>
          <w:ilvl w:val="0"/>
          <w:numId w:val="70"/>
        </w:numPr>
        <w:spacing w:before="100"/>
        <w:ind w:left="782" w:hanging="782"/>
        <w:jc w:val="both"/>
        <w:rPr>
          <w:sz w:val="19"/>
          <w:szCs w:val="19"/>
        </w:rPr>
      </w:pPr>
      <w:r w:rsidRPr="00370320">
        <w:rPr>
          <w:sz w:val="19"/>
          <w:szCs w:val="19"/>
        </w:rPr>
        <w:t xml:space="preserve">The Board considered these issues as well as a range of other issues identified by constituents in developing this Standard following the </w:t>
      </w:r>
      <w:r>
        <w:rPr>
          <w:sz w:val="19"/>
          <w:szCs w:val="19"/>
        </w:rPr>
        <w:t>ITC 39</w:t>
      </w:r>
      <w:r w:rsidRPr="00370320">
        <w:rPr>
          <w:sz w:val="19"/>
          <w:szCs w:val="19"/>
        </w:rPr>
        <w:t xml:space="preserve"> exposure process.</w:t>
      </w:r>
      <w:r>
        <w:rPr>
          <w:sz w:val="19"/>
          <w:szCs w:val="19"/>
        </w:rPr>
        <w:t xml:space="preserve">  The significant issues are addressed in the following section.</w:t>
      </w:r>
    </w:p>
    <w:p w14:paraId="104CEC6D" w14:textId="67AFDCF7" w:rsidR="005E6CD5" w:rsidRPr="00E03AA8" w:rsidRDefault="00B77277" w:rsidP="00200144">
      <w:pPr>
        <w:pStyle w:val="Heading3"/>
        <w:pBdr>
          <w:bottom w:val="none" w:sz="0" w:space="0" w:color="auto"/>
        </w:pBdr>
        <w:spacing w:before="200"/>
        <w:ind w:left="782"/>
        <w:jc w:val="both"/>
      </w:pPr>
      <w:r>
        <w:t>Public accountability</w:t>
      </w:r>
    </w:p>
    <w:p w14:paraId="7216C465" w14:textId="4F45A4E5" w:rsidR="005E6CD5" w:rsidRDefault="005E6CD5" w:rsidP="00551908">
      <w:pPr>
        <w:pStyle w:val="Default"/>
        <w:numPr>
          <w:ilvl w:val="0"/>
          <w:numId w:val="70"/>
        </w:numPr>
        <w:spacing w:before="100"/>
        <w:ind w:left="782" w:hanging="782"/>
        <w:jc w:val="both"/>
        <w:rPr>
          <w:sz w:val="19"/>
          <w:szCs w:val="19"/>
        </w:rPr>
      </w:pPr>
      <w:r>
        <w:rPr>
          <w:sz w:val="19"/>
          <w:szCs w:val="19"/>
        </w:rPr>
        <w:t>Respondents to ITC 39 identified a number of types of entities that may be affected by Phase 1 as they may have public accountability but currently are preparing special purpose financial statements.  Respondents also indicated that additional guidance would be useful to assist them in determining whether an entity meets the definition of ‘public accountability’.</w:t>
      </w:r>
    </w:p>
    <w:p w14:paraId="40E796DA" w14:textId="77777777" w:rsidR="005E6CD5" w:rsidRDefault="005E6CD5" w:rsidP="00551908">
      <w:pPr>
        <w:pStyle w:val="Default"/>
        <w:numPr>
          <w:ilvl w:val="0"/>
          <w:numId w:val="70"/>
        </w:numPr>
        <w:spacing w:before="100"/>
        <w:ind w:left="782" w:hanging="782"/>
        <w:jc w:val="both"/>
        <w:rPr>
          <w:sz w:val="19"/>
          <w:szCs w:val="19"/>
        </w:rPr>
      </w:pPr>
      <w:r>
        <w:rPr>
          <w:sz w:val="19"/>
          <w:szCs w:val="19"/>
        </w:rPr>
        <w:t xml:space="preserve">Due to the importance of the </w:t>
      </w:r>
      <w:r w:rsidRPr="00C42898">
        <w:rPr>
          <w:sz w:val="19"/>
          <w:szCs w:val="19"/>
        </w:rPr>
        <w:t>defi</w:t>
      </w:r>
      <w:r>
        <w:rPr>
          <w:sz w:val="19"/>
          <w:szCs w:val="19"/>
        </w:rPr>
        <w:t>nition of publicly accountability in Australia, the Board decided to amend the definition in AASB 1053</w:t>
      </w:r>
      <w:r w:rsidRPr="00C42898">
        <w:rPr>
          <w:sz w:val="19"/>
          <w:szCs w:val="19"/>
        </w:rPr>
        <w:t xml:space="preserve"> to align with the revised definition per </w:t>
      </w:r>
      <w:r>
        <w:rPr>
          <w:sz w:val="19"/>
          <w:szCs w:val="19"/>
        </w:rPr>
        <w:t xml:space="preserve">the </w:t>
      </w:r>
      <w:r w:rsidRPr="00551908">
        <w:rPr>
          <w:sz w:val="19"/>
          <w:szCs w:val="19"/>
        </w:rPr>
        <w:t>IFRS for SMEs</w:t>
      </w:r>
      <w:r w:rsidRPr="00C42898">
        <w:rPr>
          <w:sz w:val="19"/>
          <w:szCs w:val="19"/>
        </w:rPr>
        <w:t xml:space="preserve"> when the revised Conceptual Framework is issued</w:t>
      </w:r>
      <w:r>
        <w:rPr>
          <w:sz w:val="19"/>
          <w:szCs w:val="19"/>
        </w:rPr>
        <w:t xml:space="preserve">.  The revised definition confirms </w:t>
      </w:r>
      <w:r w:rsidRPr="00C42898">
        <w:rPr>
          <w:sz w:val="19"/>
          <w:szCs w:val="19"/>
        </w:rPr>
        <w:t xml:space="preserve">that </w:t>
      </w:r>
      <w:r>
        <w:rPr>
          <w:sz w:val="19"/>
          <w:szCs w:val="19"/>
        </w:rPr>
        <w:t xml:space="preserve">an entity has </w:t>
      </w:r>
      <w:r w:rsidRPr="00C42898">
        <w:rPr>
          <w:sz w:val="19"/>
          <w:szCs w:val="19"/>
        </w:rPr>
        <w:t>publicly accountab</w:t>
      </w:r>
      <w:r>
        <w:rPr>
          <w:sz w:val="19"/>
          <w:szCs w:val="19"/>
        </w:rPr>
        <w:t xml:space="preserve">ility if it has debt or equity instruments that are traded in a public market or it is in the process </w:t>
      </w:r>
      <w:r w:rsidRPr="00C42898">
        <w:rPr>
          <w:sz w:val="19"/>
          <w:szCs w:val="19"/>
        </w:rPr>
        <w:t xml:space="preserve">of </w:t>
      </w:r>
      <w:r>
        <w:rPr>
          <w:sz w:val="19"/>
          <w:szCs w:val="19"/>
        </w:rPr>
        <w:t>issuing such instruments for trading in a public market.  An entity also has public accountability if it holds assets in a fiduciary capacity for a broad group of outsiders as one of its primary</w:t>
      </w:r>
      <w:r w:rsidRPr="00C42898">
        <w:rPr>
          <w:sz w:val="19"/>
          <w:szCs w:val="19"/>
        </w:rPr>
        <w:t xml:space="preserve"> </w:t>
      </w:r>
      <w:r>
        <w:rPr>
          <w:sz w:val="19"/>
          <w:szCs w:val="19"/>
        </w:rPr>
        <w:t>businesses</w:t>
      </w:r>
      <w:r w:rsidRPr="00C42898">
        <w:rPr>
          <w:sz w:val="19"/>
          <w:szCs w:val="19"/>
        </w:rPr>
        <w:t>.</w:t>
      </w:r>
    </w:p>
    <w:p w14:paraId="14B78FA7" w14:textId="77777777" w:rsidR="005E6CD5" w:rsidRPr="00364E1F" w:rsidRDefault="005E6CD5" w:rsidP="00551908">
      <w:pPr>
        <w:pStyle w:val="Default"/>
        <w:numPr>
          <w:ilvl w:val="0"/>
          <w:numId w:val="70"/>
        </w:numPr>
        <w:spacing w:before="100"/>
        <w:ind w:left="782" w:hanging="782"/>
        <w:jc w:val="both"/>
        <w:rPr>
          <w:sz w:val="19"/>
          <w:szCs w:val="19"/>
        </w:rPr>
      </w:pPr>
      <w:r>
        <w:rPr>
          <w:sz w:val="19"/>
          <w:szCs w:val="19"/>
        </w:rPr>
        <w:t>T</w:t>
      </w:r>
      <w:r w:rsidRPr="00B9764D">
        <w:rPr>
          <w:sz w:val="19"/>
          <w:szCs w:val="19"/>
        </w:rPr>
        <w:t xml:space="preserve">he Board decided that </w:t>
      </w:r>
      <w:r>
        <w:rPr>
          <w:sz w:val="19"/>
          <w:szCs w:val="19"/>
        </w:rPr>
        <w:t xml:space="preserve">further guidance on these matters, as well as a </w:t>
      </w:r>
      <w:r w:rsidRPr="00B9764D">
        <w:rPr>
          <w:sz w:val="19"/>
          <w:szCs w:val="19"/>
        </w:rPr>
        <w:t xml:space="preserve">number of other aspects of the </w:t>
      </w:r>
      <w:r>
        <w:rPr>
          <w:sz w:val="19"/>
          <w:szCs w:val="19"/>
        </w:rPr>
        <w:t xml:space="preserve">public accountability </w:t>
      </w:r>
      <w:r w:rsidRPr="00B9764D">
        <w:rPr>
          <w:sz w:val="19"/>
          <w:szCs w:val="19"/>
        </w:rPr>
        <w:t>definition</w:t>
      </w:r>
      <w:r>
        <w:rPr>
          <w:sz w:val="19"/>
          <w:szCs w:val="19"/>
        </w:rPr>
        <w:t>,</w:t>
      </w:r>
      <w:r w:rsidRPr="00B9764D">
        <w:rPr>
          <w:sz w:val="19"/>
          <w:szCs w:val="19"/>
        </w:rPr>
        <w:t xml:space="preserve"> </w:t>
      </w:r>
      <w:r>
        <w:rPr>
          <w:sz w:val="19"/>
          <w:szCs w:val="19"/>
        </w:rPr>
        <w:t>sh</w:t>
      </w:r>
      <w:r w:rsidRPr="00B9764D">
        <w:rPr>
          <w:sz w:val="19"/>
          <w:szCs w:val="19"/>
        </w:rPr>
        <w:t>ould be addressed through a public accountability sub-project</w:t>
      </w:r>
      <w:r>
        <w:rPr>
          <w:sz w:val="19"/>
          <w:szCs w:val="19"/>
        </w:rPr>
        <w:t xml:space="preserve">.  This sub-project will </w:t>
      </w:r>
      <w:r w:rsidRPr="00B9764D">
        <w:rPr>
          <w:sz w:val="19"/>
          <w:szCs w:val="19"/>
        </w:rPr>
        <w:t>consider</w:t>
      </w:r>
      <w:r>
        <w:rPr>
          <w:sz w:val="19"/>
          <w:szCs w:val="19"/>
        </w:rPr>
        <w:t>,</w:t>
      </w:r>
      <w:r w:rsidRPr="00B9764D">
        <w:rPr>
          <w:sz w:val="19"/>
          <w:szCs w:val="19"/>
        </w:rPr>
        <w:t xml:space="preserve"> in accordance with </w:t>
      </w:r>
      <w:r w:rsidRPr="00551908">
        <w:rPr>
          <w:sz w:val="19"/>
          <w:szCs w:val="19"/>
        </w:rPr>
        <w:t>The AASB’s For-Profit Entity Standard-Setting Framework</w:t>
      </w:r>
      <w:r>
        <w:rPr>
          <w:sz w:val="19"/>
          <w:szCs w:val="19"/>
        </w:rPr>
        <w:t>,</w:t>
      </w:r>
      <w:r w:rsidRPr="00B9764D">
        <w:rPr>
          <w:sz w:val="19"/>
          <w:szCs w:val="19"/>
        </w:rPr>
        <w:t xml:space="preserve"> whether there should be any changes to</w:t>
      </w:r>
      <w:r>
        <w:rPr>
          <w:sz w:val="19"/>
          <w:szCs w:val="19"/>
        </w:rPr>
        <w:t xml:space="preserve"> the types of entities that are</w:t>
      </w:r>
      <w:r w:rsidRPr="00B9764D">
        <w:rPr>
          <w:sz w:val="19"/>
          <w:szCs w:val="19"/>
        </w:rPr>
        <w:t xml:space="preserve"> deemed to have public accountability (an Australian decision), whether exemptions from the public accountability definition would be in the Australian public interest and whether additional guidance should be included to assist in interpreting the public accountability definition in an Australian context.</w:t>
      </w:r>
    </w:p>
    <w:p w14:paraId="3137F19D" w14:textId="0BCE28A4" w:rsidR="00E03AA8" w:rsidRPr="00157C4D" w:rsidRDefault="00E03AA8" w:rsidP="00200144">
      <w:pPr>
        <w:pStyle w:val="Heading3"/>
        <w:pBdr>
          <w:bottom w:val="none" w:sz="0" w:space="0" w:color="auto"/>
        </w:pBdr>
        <w:spacing w:before="200"/>
        <w:ind w:left="782"/>
        <w:jc w:val="both"/>
      </w:pPr>
      <w:r w:rsidRPr="00157C4D">
        <w:t xml:space="preserve">Significant </w:t>
      </w:r>
      <w:r w:rsidR="00152EF2" w:rsidRPr="00157C4D">
        <w:t>issues</w:t>
      </w:r>
    </w:p>
    <w:p w14:paraId="4673C3DA" w14:textId="77777777" w:rsidR="00316F72" w:rsidRPr="003613DD" w:rsidRDefault="00316F72" w:rsidP="00BD146B">
      <w:pPr>
        <w:pStyle w:val="Heading4"/>
        <w:spacing w:before="200"/>
        <w:ind w:left="782"/>
        <w:jc w:val="both"/>
        <w:rPr>
          <w:sz w:val="22"/>
          <w:szCs w:val="22"/>
        </w:rPr>
      </w:pPr>
      <w:r w:rsidRPr="003613DD">
        <w:rPr>
          <w:sz w:val="22"/>
          <w:szCs w:val="22"/>
        </w:rPr>
        <w:t>Scope</w:t>
      </w:r>
    </w:p>
    <w:p w14:paraId="610EBB87" w14:textId="77777777" w:rsidR="005E6CD5" w:rsidRPr="003613DD" w:rsidRDefault="005E6CD5" w:rsidP="00BD146B">
      <w:pPr>
        <w:pStyle w:val="Heading4"/>
        <w:spacing w:before="200"/>
        <w:ind w:left="782"/>
        <w:jc w:val="both"/>
        <w:rPr>
          <w:i/>
          <w:szCs w:val="18"/>
        </w:rPr>
      </w:pPr>
      <w:r w:rsidRPr="003613DD">
        <w:rPr>
          <w:i/>
          <w:szCs w:val="18"/>
        </w:rPr>
        <w:t>Entities that may be affected by Phase 1</w:t>
      </w:r>
    </w:p>
    <w:p w14:paraId="0D3D1D49" w14:textId="773FD358" w:rsidR="005E6CD5" w:rsidRDefault="005E6CD5" w:rsidP="00551908">
      <w:pPr>
        <w:pStyle w:val="Default"/>
        <w:numPr>
          <w:ilvl w:val="0"/>
          <w:numId w:val="70"/>
        </w:numPr>
        <w:spacing w:before="100"/>
        <w:ind w:left="782" w:hanging="782"/>
        <w:jc w:val="both"/>
        <w:rPr>
          <w:sz w:val="19"/>
          <w:szCs w:val="19"/>
        </w:rPr>
      </w:pPr>
      <w:r>
        <w:rPr>
          <w:sz w:val="19"/>
          <w:szCs w:val="19"/>
        </w:rPr>
        <w:t xml:space="preserve">Entities identified by respondents as </w:t>
      </w:r>
      <w:r w:rsidRPr="007E569C">
        <w:rPr>
          <w:sz w:val="19"/>
          <w:szCs w:val="19"/>
        </w:rPr>
        <w:t xml:space="preserve">potentially </w:t>
      </w:r>
      <w:r>
        <w:rPr>
          <w:sz w:val="19"/>
          <w:szCs w:val="19"/>
        </w:rPr>
        <w:t xml:space="preserve">being affected </w:t>
      </w:r>
      <w:r w:rsidRPr="007E569C">
        <w:rPr>
          <w:sz w:val="19"/>
          <w:szCs w:val="19"/>
        </w:rPr>
        <w:t xml:space="preserve">by Phase 1 </w:t>
      </w:r>
      <w:r>
        <w:rPr>
          <w:sz w:val="19"/>
          <w:szCs w:val="19"/>
        </w:rPr>
        <w:t xml:space="preserve">included </w:t>
      </w:r>
      <w:r w:rsidRPr="007E569C">
        <w:rPr>
          <w:sz w:val="19"/>
          <w:szCs w:val="19"/>
        </w:rPr>
        <w:t>unlisted entities that may be operating in over-the-counter markets</w:t>
      </w:r>
      <w:r>
        <w:rPr>
          <w:sz w:val="19"/>
          <w:szCs w:val="19"/>
        </w:rPr>
        <w:t xml:space="preserve"> (e.g. securitisation trusts), </w:t>
      </w:r>
      <w:r w:rsidR="009656CC">
        <w:rPr>
          <w:sz w:val="19"/>
          <w:szCs w:val="19"/>
        </w:rPr>
        <w:t xml:space="preserve">small </w:t>
      </w:r>
      <w:r w:rsidRPr="007E569C">
        <w:rPr>
          <w:sz w:val="19"/>
          <w:szCs w:val="19"/>
        </w:rPr>
        <w:t>internal</w:t>
      </w:r>
      <w:r w:rsidR="009656CC">
        <w:rPr>
          <w:sz w:val="19"/>
          <w:szCs w:val="19"/>
        </w:rPr>
        <w:t>ly held</w:t>
      </w:r>
      <w:r w:rsidRPr="007E569C">
        <w:rPr>
          <w:sz w:val="19"/>
          <w:szCs w:val="19"/>
        </w:rPr>
        <w:t xml:space="preserve"> registered managed investment schemes, </w:t>
      </w:r>
      <w:r>
        <w:rPr>
          <w:sz w:val="19"/>
          <w:szCs w:val="19"/>
        </w:rPr>
        <w:t xml:space="preserve">certain public sector trust entities, companies raising </w:t>
      </w:r>
      <w:r w:rsidRPr="007E569C">
        <w:rPr>
          <w:sz w:val="19"/>
          <w:szCs w:val="19"/>
        </w:rPr>
        <w:t xml:space="preserve">crowd-sourced </w:t>
      </w:r>
      <w:r>
        <w:rPr>
          <w:sz w:val="19"/>
          <w:szCs w:val="19"/>
        </w:rPr>
        <w:t xml:space="preserve">equity </w:t>
      </w:r>
      <w:r w:rsidRPr="007E569C">
        <w:rPr>
          <w:sz w:val="19"/>
          <w:szCs w:val="19"/>
        </w:rPr>
        <w:t>funding</w:t>
      </w:r>
      <w:r>
        <w:rPr>
          <w:sz w:val="19"/>
          <w:szCs w:val="19"/>
        </w:rPr>
        <w:t xml:space="preserve"> and corporate collective investment vehicles.</w:t>
      </w:r>
    </w:p>
    <w:p w14:paraId="1D76AC42" w14:textId="77777777" w:rsidR="005E6CD5" w:rsidRPr="006C5685" w:rsidRDefault="005E6CD5" w:rsidP="00B314FF">
      <w:pPr>
        <w:spacing w:before="100"/>
        <w:ind w:left="782"/>
        <w:rPr>
          <w:i/>
          <w:szCs w:val="19"/>
        </w:rPr>
      </w:pPr>
      <w:r w:rsidRPr="006C5685">
        <w:rPr>
          <w:i/>
          <w:szCs w:val="19"/>
        </w:rPr>
        <w:t>Securitisation trusts</w:t>
      </w:r>
    </w:p>
    <w:p w14:paraId="5FF19A4B" w14:textId="46ABA17A" w:rsidR="005E6CD5" w:rsidRDefault="005E6CD5" w:rsidP="00551908">
      <w:pPr>
        <w:pStyle w:val="Default"/>
        <w:numPr>
          <w:ilvl w:val="0"/>
          <w:numId w:val="70"/>
        </w:numPr>
        <w:spacing w:before="100"/>
        <w:ind w:left="782" w:hanging="782"/>
        <w:jc w:val="both"/>
        <w:rPr>
          <w:sz w:val="19"/>
          <w:szCs w:val="19"/>
        </w:rPr>
      </w:pPr>
      <w:r>
        <w:rPr>
          <w:sz w:val="19"/>
          <w:szCs w:val="19"/>
        </w:rPr>
        <w:t xml:space="preserve">Securitisation trusts are </w:t>
      </w:r>
      <w:r w:rsidRPr="00364E1F">
        <w:rPr>
          <w:sz w:val="19"/>
          <w:szCs w:val="19"/>
        </w:rPr>
        <w:t>listed, unquoted special purpose vehicle</w:t>
      </w:r>
      <w:r>
        <w:rPr>
          <w:sz w:val="19"/>
          <w:szCs w:val="19"/>
        </w:rPr>
        <w:t>s</w:t>
      </w:r>
      <w:r w:rsidRPr="00364E1F">
        <w:rPr>
          <w:sz w:val="19"/>
          <w:szCs w:val="19"/>
        </w:rPr>
        <w:t xml:space="preserve"> structured through a trust, established to facilitate the issue of asset-backed securities. </w:t>
      </w:r>
      <w:r>
        <w:rPr>
          <w:sz w:val="19"/>
          <w:szCs w:val="19"/>
        </w:rPr>
        <w:t xml:space="preserve"> S</w:t>
      </w:r>
      <w:r w:rsidRPr="00364E1F">
        <w:rPr>
          <w:sz w:val="19"/>
          <w:szCs w:val="19"/>
        </w:rPr>
        <w:t xml:space="preserve">ecuritisation trusts are themselves unlisted, however </w:t>
      </w:r>
      <w:r>
        <w:rPr>
          <w:sz w:val="19"/>
          <w:szCs w:val="19"/>
        </w:rPr>
        <w:t xml:space="preserve">they </w:t>
      </w:r>
      <w:r w:rsidRPr="00364E1F">
        <w:rPr>
          <w:sz w:val="19"/>
          <w:szCs w:val="19"/>
        </w:rPr>
        <w:t xml:space="preserve">issue debt instruments which are listed on the ASX and/or another </w:t>
      </w:r>
      <w:r>
        <w:rPr>
          <w:sz w:val="19"/>
          <w:szCs w:val="19"/>
        </w:rPr>
        <w:t xml:space="preserve">securities </w:t>
      </w:r>
      <w:r w:rsidRPr="00364E1F">
        <w:rPr>
          <w:sz w:val="19"/>
          <w:szCs w:val="19"/>
        </w:rPr>
        <w:t>exchange.</w:t>
      </w:r>
      <w:r>
        <w:rPr>
          <w:sz w:val="19"/>
          <w:szCs w:val="19"/>
        </w:rPr>
        <w:t xml:space="preserve">  They have no legislative requirement to prepare financial statements.  Their financial reporting obligations are governed by their trust deed and ASX listing rules</w:t>
      </w:r>
      <w:r w:rsidR="009656CC">
        <w:rPr>
          <w:sz w:val="19"/>
          <w:szCs w:val="19"/>
        </w:rPr>
        <w:t>,</w:t>
      </w:r>
      <w:r>
        <w:rPr>
          <w:sz w:val="19"/>
          <w:szCs w:val="19"/>
        </w:rPr>
        <w:t xml:space="preserve"> and they may be preparing special purpose financial statements if they have determined in accordance with SAC 1 </w:t>
      </w:r>
      <w:r w:rsidR="00A74EED" w:rsidRPr="004F51EC">
        <w:rPr>
          <w:i/>
          <w:sz w:val="19"/>
          <w:szCs w:val="19"/>
        </w:rPr>
        <w:t>Definition of the Reporting Entity</w:t>
      </w:r>
      <w:r w:rsidR="00A74EED" w:rsidRPr="004F51EC">
        <w:rPr>
          <w:szCs w:val="19"/>
        </w:rPr>
        <w:t xml:space="preserve"> </w:t>
      </w:r>
      <w:r w:rsidRPr="004F51EC">
        <w:rPr>
          <w:sz w:val="19"/>
          <w:szCs w:val="19"/>
        </w:rPr>
        <w:t>t</w:t>
      </w:r>
      <w:r>
        <w:rPr>
          <w:sz w:val="19"/>
          <w:szCs w:val="19"/>
        </w:rPr>
        <w:t>hat there are no external users dependent on their general purpose financial statements.</w:t>
      </w:r>
    </w:p>
    <w:p w14:paraId="22DA3D6C" w14:textId="0E94F8AE" w:rsidR="005E6CD5" w:rsidRPr="000633DA" w:rsidRDefault="005E6CD5" w:rsidP="00551908">
      <w:pPr>
        <w:pStyle w:val="Default"/>
        <w:numPr>
          <w:ilvl w:val="0"/>
          <w:numId w:val="70"/>
        </w:numPr>
        <w:spacing w:before="100"/>
        <w:ind w:left="782" w:hanging="782"/>
        <w:jc w:val="both"/>
        <w:rPr>
          <w:sz w:val="19"/>
          <w:szCs w:val="19"/>
        </w:rPr>
      </w:pPr>
      <w:r>
        <w:rPr>
          <w:sz w:val="19"/>
          <w:szCs w:val="19"/>
        </w:rPr>
        <w:t>S</w:t>
      </w:r>
      <w:r w:rsidRPr="000633DA">
        <w:rPr>
          <w:sz w:val="19"/>
          <w:szCs w:val="19"/>
        </w:rPr>
        <w:t xml:space="preserve">ecuritisation trusts undertake over-the-counter (i.e. unquoted) transactions, and while the trustee (a third party) is responsible for maintaining the register of investors, investment is often made via custodian entities, making the ultimate holder of </w:t>
      </w:r>
      <w:r>
        <w:rPr>
          <w:sz w:val="19"/>
          <w:szCs w:val="19"/>
        </w:rPr>
        <w:t xml:space="preserve">asset-backed securities </w:t>
      </w:r>
      <w:r w:rsidRPr="000633DA">
        <w:rPr>
          <w:sz w:val="19"/>
          <w:szCs w:val="19"/>
        </w:rPr>
        <w:t>difficult to identify.</w:t>
      </w:r>
    </w:p>
    <w:p w14:paraId="3DDFD36D" w14:textId="3EA23F07" w:rsidR="005E6CD5" w:rsidRDefault="005E6CD5" w:rsidP="00551908">
      <w:pPr>
        <w:pStyle w:val="Default"/>
        <w:numPr>
          <w:ilvl w:val="0"/>
          <w:numId w:val="70"/>
        </w:numPr>
        <w:spacing w:before="100"/>
        <w:ind w:left="782" w:hanging="782"/>
        <w:jc w:val="both"/>
        <w:rPr>
          <w:sz w:val="19"/>
          <w:szCs w:val="19"/>
        </w:rPr>
      </w:pPr>
      <w:r>
        <w:rPr>
          <w:sz w:val="19"/>
          <w:szCs w:val="19"/>
        </w:rPr>
        <w:t xml:space="preserve">Respondents to ITC 39 sought clarification regarding whether securitisation trusts were considered to have public accountability.  For the Board to determine whether </w:t>
      </w:r>
      <w:r w:rsidRPr="00F21453">
        <w:rPr>
          <w:sz w:val="19"/>
          <w:szCs w:val="19"/>
        </w:rPr>
        <w:t>or not securitisation trusts are publicly accountable</w:t>
      </w:r>
      <w:r>
        <w:rPr>
          <w:sz w:val="19"/>
          <w:szCs w:val="19"/>
        </w:rPr>
        <w:t xml:space="preserve"> would require an interpretation of facts and circumstances.  Further, the matter would need to be assessed against the </w:t>
      </w:r>
      <w:r w:rsidRPr="00F21453">
        <w:rPr>
          <w:sz w:val="19"/>
          <w:szCs w:val="19"/>
        </w:rPr>
        <w:t xml:space="preserve">principles of the </w:t>
      </w:r>
      <w:r w:rsidRPr="006C5685">
        <w:rPr>
          <w:i/>
          <w:sz w:val="19"/>
          <w:szCs w:val="19"/>
        </w:rPr>
        <w:t>Interpretations and Improvements Model</w:t>
      </w:r>
      <w:r w:rsidRPr="00F21453">
        <w:rPr>
          <w:sz w:val="19"/>
          <w:szCs w:val="19"/>
        </w:rPr>
        <w:t xml:space="preserve">. </w:t>
      </w:r>
      <w:r>
        <w:rPr>
          <w:sz w:val="19"/>
          <w:szCs w:val="19"/>
        </w:rPr>
        <w:t xml:space="preserve"> The </w:t>
      </w:r>
      <w:r w:rsidRPr="006C5685">
        <w:rPr>
          <w:i/>
          <w:sz w:val="19"/>
          <w:szCs w:val="19"/>
        </w:rPr>
        <w:t>Interpretations and Improvements Model</w:t>
      </w:r>
      <w:r>
        <w:rPr>
          <w:sz w:val="19"/>
          <w:szCs w:val="19"/>
        </w:rPr>
        <w:t xml:space="preserve"> states that i</w:t>
      </w:r>
      <w:r w:rsidRPr="00F21453">
        <w:rPr>
          <w:sz w:val="19"/>
          <w:szCs w:val="19"/>
        </w:rPr>
        <w:t xml:space="preserve">ssues relating to the interpretation of IFRS </w:t>
      </w:r>
      <w:r>
        <w:rPr>
          <w:sz w:val="19"/>
          <w:szCs w:val="19"/>
        </w:rPr>
        <w:t xml:space="preserve">Standards </w:t>
      </w:r>
      <w:r w:rsidRPr="00F21453">
        <w:rPr>
          <w:sz w:val="19"/>
          <w:szCs w:val="19"/>
        </w:rPr>
        <w:t xml:space="preserve">would be referred to the International Financial Reporting Interpretations Committee (IFRIC) for </w:t>
      </w:r>
      <w:r>
        <w:rPr>
          <w:sz w:val="19"/>
          <w:szCs w:val="19"/>
        </w:rPr>
        <w:t xml:space="preserve">its </w:t>
      </w:r>
      <w:r w:rsidRPr="00F21453">
        <w:rPr>
          <w:sz w:val="19"/>
          <w:szCs w:val="19"/>
        </w:rPr>
        <w:t>consideration</w:t>
      </w:r>
      <w:r>
        <w:rPr>
          <w:sz w:val="19"/>
          <w:szCs w:val="19"/>
        </w:rPr>
        <w:t xml:space="preserve">. </w:t>
      </w:r>
      <w:r w:rsidRPr="00F21453">
        <w:rPr>
          <w:sz w:val="19"/>
          <w:szCs w:val="19"/>
        </w:rPr>
        <w:t xml:space="preserve"> However</w:t>
      </w:r>
      <w:r>
        <w:rPr>
          <w:sz w:val="19"/>
          <w:szCs w:val="19"/>
        </w:rPr>
        <w:t>,</w:t>
      </w:r>
      <w:r w:rsidRPr="00F21453">
        <w:rPr>
          <w:sz w:val="19"/>
          <w:szCs w:val="19"/>
        </w:rPr>
        <w:t xml:space="preserve"> prior to this, the </w:t>
      </w:r>
      <w:r>
        <w:rPr>
          <w:sz w:val="19"/>
          <w:szCs w:val="19"/>
        </w:rPr>
        <w:t xml:space="preserve">Board </w:t>
      </w:r>
      <w:r w:rsidRPr="00F21453">
        <w:rPr>
          <w:sz w:val="19"/>
          <w:szCs w:val="19"/>
        </w:rPr>
        <w:t>need</w:t>
      </w:r>
      <w:r w:rsidR="006F4ED2">
        <w:rPr>
          <w:sz w:val="19"/>
          <w:szCs w:val="19"/>
        </w:rPr>
        <w:t>ed</w:t>
      </w:r>
      <w:r w:rsidRPr="00F21453">
        <w:rPr>
          <w:sz w:val="19"/>
          <w:szCs w:val="19"/>
        </w:rPr>
        <w:t xml:space="preserve"> to assess the issue against specific criteria, the first of which is whether the issue is widespread and has practical relevance. </w:t>
      </w:r>
      <w:r>
        <w:rPr>
          <w:sz w:val="19"/>
          <w:szCs w:val="19"/>
        </w:rPr>
        <w:t xml:space="preserve"> </w:t>
      </w:r>
      <w:r w:rsidRPr="00F21453">
        <w:rPr>
          <w:sz w:val="19"/>
          <w:szCs w:val="19"/>
        </w:rPr>
        <w:t xml:space="preserve">As there </w:t>
      </w:r>
      <w:r w:rsidR="00282B64">
        <w:rPr>
          <w:sz w:val="19"/>
          <w:szCs w:val="19"/>
        </w:rPr>
        <w:t>we</w:t>
      </w:r>
      <w:r w:rsidRPr="00F21453">
        <w:rPr>
          <w:sz w:val="19"/>
          <w:szCs w:val="19"/>
        </w:rPr>
        <w:t>re only 126</w:t>
      </w:r>
      <w:r>
        <w:rPr>
          <w:sz w:val="19"/>
          <w:szCs w:val="19"/>
        </w:rPr>
        <w:t xml:space="preserve"> </w:t>
      </w:r>
      <w:r w:rsidRPr="00F21453">
        <w:rPr>
          <w:sz w:val="19"/>
          <w:szCs w:val="19"/>
        </w:rPr>
        <w:t>securitisation trusts listed on the ASX</w:t>
      </w:r>
      <w:r>
        <w:rPr>
          <w:sz w:val="19"/>
          <w:szCs w:val="19"/>
        </w:rPr>
        <w:t xml:space="preserve"> (in August 2018), the issue </w:t>
      </w:r>
      <w:r w:rsidR="00282B64">
        <w:rPr>
          <w:sz w:val="19"/>
          <w:szCs w:val="19"/>
        </w:rPr>
        <w:t>wa</w:t>
      </w:r>
      <w:r>
        <w:rPr>
          <w:sz w:val="19"/>
          <w:szCs w:val="19"/>
        </w:rPr>
        <w:t xml:space="preserve">s </w:t>
      </w:r>
      <w:r w:rsidRPr="00F21453">
        <w:rPr>
          <w:sz w:val="19"/>
          <w:szCs w:val="19"/>
        </w:rPr>
        <w:t xml:space="preserve">not considered widespread and therefore would not meet the requirements of the </w:t>
      </w:r>
      <w:r w:rsidRPr="006C5685">
        <w:rPr>
          <w:i/>
          <w:sz w:val="19"/>
          <w:szCs w:val="19"/>
        </w:rPr>
        <w:t>Interpretations and Improvements Model</w:t>
      </w:r>
      <w:r w:rsidRPr="00F21453">
        <w:rPr>
          <w:sz w:val="19"/>
          <w:szCs w:val="19"/>
        </w:rPr>
        <w:t>.</w:t>
      </w:r>
      <w:r>
        <w:rPr>
          <w:sz w:val="19"/>
          <w:szCs w:val="19"/>
        </w:rPr>
        <w:t xml:space="preserve">  The Board also noted that its decision to limit the scope of Phase 1 to entities required by legislation to prepare financial statements would mean that these trusts would be considered as part of Phase 2.</w:t>
      </w:r>
    </w:p>
    <w:p w14:paraId="0B54CB6E" w14:textId="77777777" w:rsidR="005E6CD5" w:rsidRPr="005E6CD5" w:rsidRDefault="005E6CD5" w:rsidP="00B314FF">
      <w:pPr>
        <w:spacing w:before="100"/>
        <w:ind w:left="782"/>
        <w:rPr>
          <w:i/>
          <w:szCs w:val="19"/>
        </w:rPr>
      </w:pPr>
      <w:r w:rsidRPr="005E6CD5">
        <w:rPr>
          <w:i/>
          <w:szCs w:val="19"/>
        </w:rPr>
        <w:t>Small internally held registered managed investment schemes (MIS)</w:t>
      </w:r>
    </w:p>
    <w:p w14:paraId="3F8E4011" w14:textId="77777777" w:rsidR="005E6CD5" w:rsidRDefault="005E6CD5" w:rsidP="00551908">
      <w:pPr>
        <w:pStyle w:val="Default"/>
        <w:numPr>
          <w:ilvl w:val="0"/>
          <w:numId w:val="70"/>
        </w:numPr>
        <w:spacing w:before="100"/>
        <w:ind w:left="782" w:hanging="782"/>
        <w:jc w:val="both"/>
        <w:rPr>
          <w:sz w:val="19"/>
          <w:szCs w:val="19"/>
        </w:rPr>
      </w:pPr>
      <w:r>
        <w:rPr>
          <w:sz w:val="19"/>
          <w:szCs w:val="19"/>
        </w:rPr>
        <w:t xml:space="preserve">Some internal </w:t>
      </w:r>
      <w:r w:rsidRPr="00F72B13">
        <w:rPr>
          <w:sz w:val="19"/>
          <w:szCs w:val="19"/>
        </w:rPr>
        <w:t xml:space="preserve">registered MIS are currently preparing special purpose financial statements to satisfy the reporting requirements of the </w:t>
      </w:r>
      <w:r w:rsidRPr="00025888">
        <w:rPr>
          <w:i/>
          <w:sz w:val="19"/>
          <w:szCs w:val="19"/>
        </w:rPr>
        <w:t>Corporations Act 2001</w:t>
      </w:r>
      <w:r w:rsidRPr="00F72B13">
        <w:rPr>
          <w:sz w:val="19"/>
          <w:szCs w:val="19"/>
        </w:rPr>
        <w:t xml:space="preserve"> as they have </w:t>
      </w:r>
      <w:r>
        <w:rPr>
          <w:sz w:val="19"/>
          <w:szCs w:val="19"/>
        </w:rPr>
        <w:t xml:space="preserve">determined in accordance with SAC 1 that there are </w:t>
      </w:r>
      <w:r w:rsidRPr="00F72B13">
        <w:rPr>
          <w:sz w:val="19"/>
          <w:szCs w:val="19"/>
        </w:rPr>
        <w:t xml:space="preserve">no external users of their financial statements.  </w:t>
      </w:r>
      <w:r>
        <w:rPr>
          <w:sz w:val="19"/>
          <w:szCs w:val="19"/>
        </w:rPr>
        <w:t xml:space="preserve">These </w:t>
      </w:r>
      <w:r w:rsidRPr="006822DF">
        <w:rPr>
          <w:sz w:val="19"/>
          <w:szCs w:val="19"/>
        </w:rPr>
        <w:t>internal registered MIS</w:t>
      </w:r>
      <w:r>
        <w:rPr>
          <w:sz w:val="19"/>
          <w:szCs w:val="19"/>
        </w:rPr>
        <w:t xml:space="preserve"> </w:t>
      </w:r>
      <w:r w:rsidRPr="006822DF">
        <w:rPr>
          <w:sz w:val="19"/>
          <w:szCs w:val="19"/>
        </w:rPr>
        <w:t xml:space="preserve">only accept investments from other entities within their group, </w:t>
      </w:r>
      <w:r>
        <w:rPr>
          <w:sz w:val="19"/>
          <w:szCs w:val="19"/>
        </w:rPr>
        <w:t xml:space="preserve">however </w:t>
      </w:r>
      <w:r w:rsidRPr="006822DF">
        <w:rPr>
          <w:sz w:val="19"/>
          <w:szCs w:val="19"/>
        </w:rPr>
        <w:t xml:space="preserve">they </w:t>
      </w:r>
      <w:r>
        <w:rPr>
          <w:sz w:val="19"/>
          <w:szCs w:val="19"/>
        </w:rPr>
        <w:t xml:space="preserve">are required to be registered under the </w:t>
      </w:r>
      <w:r w:rsidRPr="006C5685">
        <w:rPr>
          <w:i/>
          <w:sz w:val="19"/>
          <w:szCs w:val="19"/>
        </w:rPr>
        <w:t>Corporations Act 2001</w:t>
      </w:r>
      <w:r>
        <w:rPr>
          <w:sz w:val="19"/>
          <w:szCs w:val="19"/>
        </w:rPr>
        <w:t>.  Appendix B of AASB 1053 deems registered MIS to have public accountability.</w:t>
      </w:r>
    </w:p>
    <w:p w14:paraId="6194DD56" w14:textId="43F35B87" w:rsidR="005E6CD5" w:rsidRPr="001F78CF" w:rsidRDefault="005E6CD5" w:rsidP="00551908">
      <w:pPr>
        <w:pStyle w:val="Default"/>
        <w:numPr>
          <w:ilvl w:val="0"/>
          <w:numId w:val="70"/>
        </w:numPr>
        <w:spacing w:before="100"/>
        <w:ind w:left="782" w:hanging="782"/>
        <w:jc w:val="both"/>
        <w:rPr>
          <w:sz w:val="19"/>
          <w:szCs w:val="19"/>
        </w:rPr>
      </w:pPr>
      <w:r>
        <w:rPr>
          <w:sz w:val="19"/>
          <w:szCs w:val="19"/>
        </w:rPr>
        <w:t>When the Board developed its approach to differential reporting, r</w:t>
      </w:r>
      <w:r w:rsidRPr="001F78CF">
        <w:rPr>
          <w:sz w:val="19"/>
          <w:szCs w:val="19"/>
        </w:rPr>
        <w:t>egistered MIS were deemed to be publicly accountable in the Australian context as a means of clarifying the IASB definition</w:t>
      </w:r>
      <w:r>
        <w:rPr>
          <w:sz w:val="19"/>
          <w:szCs w:val="19"/>
        </w:rPr>
        <w:t xml:space="preserve"> of public accountability</w:t>
      </w:r>
      <w:r w:rsidRPr="001F78CF">
        <w:rPr>
          <w:sz w:val="19"/>
          <w:szCs w:val="19"/>
        </w:rPr>
        <w:t xml:space="preserve">. </w:t>
      </w:r>
      <w:r>
        <w:rPr>
          <w:sz w:val="19"/>
          <w:szCs w:val="19"/>
        </w:rPr>
        <w:t xml:space="preserve"> At the time, re</w:t>
      </w:r>
      <w:r w:rsidRPr="001F78CF">
        <w:rPr>
          <w:sz w:val="19"/>
          <w:szCs w:val="19"/>
        </w:rPr>
        <w:t xml:space="preserve">gistered MIS </w:t>
      </w:r>
      <w:r>
        <w:rPr>
          <w:sz w:val="19"/>
          <w:szCs w:val="19"/>
        </w:rPr>
        <w:t xml:space="preserve">were </w:t>
      </w:r>
      <w:r w:rsidRPr="001F78CF">
        <w:rPr>
          <w:sz w:val="19"/>
          <w:szCs w:val="19"/>
        </w:rPr>
        <w:t>seen as being the Australian equivalents of mutu</w:t>
      </w:r>
      <w:r>
        <w:rPr>
          <w:sz w:val="19"/>
          <w:szCs w:val="19"/>
        </w:rPr>
        <w:t>al funds in other jurisdictions</w:t>
      </w:r>
      <w:r w:rsidRPr="001F78CF">
        <w:rPr>
          <w:sz w:val="19"/>
          <w:szCs w:val="19"/>
        </w:rPr>
        <w:t xml:space="preserve"> as they </w:t>
      </w:r>
      <w:r>
        <w:rPr>
          <w:sz w:val="19"/>
          <w:szCs w:val="19"/>
        </w:rPr>
        <w:t xml:space="preserve">were expected to hold </w:t>
      </w:r>
      <w:r w:rsidRPr="001F78CF">
        <w:rPr>
          <w:sz w:val="19"/>
          <w:szCs w:val="19"/>
        </w:rPr>
        <w:t>assets in a fiduciary capacity for a broad group of outsiders.</w:t>
      </w:r>
      <w:r>
        <w:rPr>
          <w:sz w:val="19"/>
          <w:szCs w:val="19"/>
        </w:rPr>
        <w:t xml:space="preserve">  However, due to the nature of these internal registered MIS, it is possible that they </w:t>
      </w:r>
      <w:r w:rsidRPr="001F78CF">
        <w:rPr>
          <w:sz w:val="19"/>
          <w:szCs w:val="19"/>
        </w:rPr>
        <w:t>may not have public accountability</w:t>
      </w:r>
      <w:r>
        <w:rPr>
          <w:sz w:val="19"/>
          <w:szCs w:val="19"/>
        </w:rPr>
        <w:t xml:space="preserve"> as defined</w:t>
      </w:r>
      <w:r w:rsidRPr="001F78CF">
        <w:rPr>
          <w:sz w:val="19"/>
          <w:szCs w:val="19"/>
        </w:rPr>
        <w:t xml:space="preserve">, </w:t>
      </w:r>
      <w:r>
        <w:rPr>
          <w:sz w:val="19"/>
          <w:szCs w:val="19"/>
        </w:rPr>
        <w:t>as they may</w:t>
      </w:r>
      <w:r w:rsidRPr="001F78CF">
        <w:rPr>
          <w:sz w:val="19"/>
          <w:szCs w:val="19"/>
        </w:rPr>
        <w:t xml:space="preserve"> not hold assets in a fiduciary capacity for a broad group of outsiders.  </w:t>
      </w:r>
      <w:r>
        <w:rPr>
          <w:sz w:val="19"/>
          <w:szCs w:val="19"/>
        </w:rPr>
        <w:t>The question of whether all registered MIS should continue to be deemed to have public accountability will be revisited as part of the public accountability sub-project.</w:t>
      </w:r>
    </w:p>
    <w:p w14:paraId="2DE3E0E8" w14:textId="77777777" w:rsidR="005E6CD5" w:rsidRPr="006C5685" w:rsidRDefault="005E6CD5" w:rsidP="00B314FF">
      <w:pPr>
        <w:spacing w:before="100"/>
        <w:ind w:left="782"/>
        <w:rPr>
          <w:i/>
          <w:szCs w:val="19"/>
        </w:rPr>
      </w:pPr>
      <w:r>
        <w:rPr>
          <w:i/>
          <w:szCs w:val="19"/>
        </w:rPr>
        <w:t>Unlisted trusts maintained by State Governments</w:t>
      </w:r>
    </w:p>
    <w:p w14:paraId="6D4B68E7" w14:textId="77777777" w:rsidR="005E6CD5" w:rsidRDefault="005E6CD5" w:rsidP="00551908">
      <w:pPr>
        <w:pStyle w:val="Default"/>
        <w:numPr>
          <w:ilvl w:val="0"/>
          <w:numId w:val="70"/>
        </w:numPr>
        <w:spacing w:before="100"/>
        <w:ind w:left="782" w:hanging="782"/>
        <w:jc w:val="both"/>
        <w:rPr>
          <w:sz w:val="19"/>
          <w:szCs w:val="19"/>
        </w:rPr>
      </w:pPr>
      <w:r>
        <w:rPr>
          <w:sz w:val="19"/>
          <w:szCs w:val="19"/>
        </w:rPr>
        <w:t xml:space="preserve">Respondents also identified that some </w:t>
      </w:r>
      <w:r w:rsidRPr="006C5685">
        <w:rPr>
          <w:sz w:val="19"/>
          <w:szCs w:val="19"/>
        </w:rPr>
        <w:t xml:space="preserve">State Governments have established unlisted investment trusts under State legislation to hold investments in various types of assets, </w:t>
      </w:r>
      <w:r>
        <w:rPr>
          <w:sz w:val="19"/>
          <w:szCs w:val="19"/>
        </w:rPr>
        <w:t xml:space="preserve">such as </w:t>
      </w:r>
      <w:r w:rsidRPr="006C5685">
        <w:rPr>
          <w:sz w:val="19"/>
          <w:szCs w:val="19"/>
        </w:rPr>
        <w:t xml:space="preserve">infrastructure. </w:t>
      </w:r>
      <w:r>
        <w:rPr>
          <w:sz w:val="19"/>
          <w:szCs w:val="19"/>
        </w:rPr>
        <w:t xml:space="preserve"> </w:t>
      </w:r>
      <w:r w:rsidRPr="006C5685">
        <w:rPr>
          <w:sz w:val="19"/>
          <w:szCs w:val="19"/>
        </w:rPr>
        <w:t>Some investments are held in partnership or joint venture with external parties</w:t>
      </w:r>
      <w:r>
        <w:rPr>
          <w:sz w:val="19"/>
          <w:szCs w:val="19"/>
        </w:rPr>
        <w:t>,</w:t>
      </w:r>
      <w:r w:rsidRPr="006C5685">
        <w:rPr>
          <w:sz w:val="19"/>
          <w:szCs w:val="19"/>
        </w:rPr>
        <w:t xml:space="preserve"> such as superannuation fund</w:t>
      </w:r>
      <w:r>
        <w:rPr>
          <w:sz w:val="19"/>
          <w:szCs w:val="19"/>
        </w:rPr>
        <w:t>s</w:t>
      </w:r>
      <w:r w:rsidRPr="006C5685">
        <w:rPr>
          <w:sz w:val="19"/>
          <w:szCs w:val="19"/>
        </w:rPr>
        <w:t xml:space="preserve">. </w:t>
      </w:r>
      <w:r>
        <w:rPr>
          <w:sz w:val="19"/>
          <w:szCs w:val="19"/>
        </w:rPr>
        <w:t xml:space="preserve"> </w:t>
      </w:r>
      <w:r w:rsidRPr="006C5685">
        <w:rPr>
          <w:sz w:val="19"/>
          <w:szCs w:val="19"/>
        </w:rPr>
        <w:t>The</w:t>
      </w:r>
      <w:r>
        <w:rPr>
          <w:sz w:val="19"/>
          <w:szCs w:val="19"/>
        </w:rPr>
        <w:t>se</w:t>
      </w:r>
      <w:r w:rsidRPr="006C5685">
        <w:rPr>
          <w:sz w:val="19"/>
          <w:szCs w:val="19"/>
        </w:rPr>
        <w:t xml:space="preserve"> trusts are for-profit public sector entities. </w:t>
      </w:r>
      <w:r>
        <w:rPr>
          <w:sz w:val="19"/>
          <w:szCs w:val="19"/>
        </w:rPr>
        <w:t xml:space="preserve"> </w:t>
      </w:r>
      <w:r w:rsidRPr="006C5685">
        <w:rPr>
          <w:sz w:val="19"/>
          <w:szCs w:val="19"/>
        </w:rPr>
        <w:t xml:space="preserve">They do not have a legislative requirement to prepare financial statements, </w:t>
      </w:r>
      <w:r>
        <w:rPr>
          <w:sz w:val="19"/>
          <w:szCs w:val="19"/>
        </w:rPr>
        <w:t xml:space="preserve">with </w:t>
      </w:r>
      <w:r w:rsidRPr="006C5685">
        <w:rPr>
          <w:sz w:val="19"/>
          <w:szCs w:val="19"/>
        </w:rPr>
        <w:t xml:space="preserve">their financial reporting obligations </w:t>
      </w:r>
      <w:r>
        <w:rPr>
          <w:sz w:val="19"/>
          <w:szCs w:val="19"/>
        </w:rPr>
        <w:t xml:space="preserve">directed </w:t>
      </w:r>
      <w:r w:rsidRPr="00F72B13">
        <w:rPr>
          <w:sz w:val="19"/>
          <w:szCs w:val="19"/>
        </w:rPr>
        <w:t>by their Trust Deed.</w:t>
      </w:r>
    </w:p>
    <w:p w14:paraId="1DFFE558" w14:textId="77777777" w:rsidR="005E6CD5" w:rsidRPr="00531783" w:rsidRDefault="005E6CD5" w:rsidP="00551908">
      <w:pPr>
        <w:pStyle w:val="Default"/>
        <w:numPr>
          <w:ilvl w:val="0"/>
          <w:numId w:val="70"/>
        </w:numPr>
        <w:spacing w:before="100"/>
        <w:ind w:left="782" w:hanging="782"/>
        <w:jc w:val="both"/>
        <w:rPr>
          <w:sz w:val="19"/>
          <w:szCs w:val="19"/>
        </w:rPr>
      </w:pPr>
      <w:r w:rsidRPr="00531783">
        <w:rPr>
          <w:sz w:val="19"/>
          <w:szCs w:val="19"/>
        </w:rPr>
        <w:t xml:space="preserve">These trusts are currently preparing special purpose financial statements on the basis that they are not reporting entities.  However, as they are holding assets in a fiduciary capacity, they may be considered to have public accountability under the definition in the </w:t>
      </w:r>
      <w:r w:rsidRPr="00531783">
        <w:rPr>
          <w:i/>
          <w:sz w:val="19"/>
          <w:szCs w:val="19"/>
        </w:rPr>
        <w:t>IFRS for SMEs</w:t>
      </w:r>
      <w:r w:rsidRPr="00531783">
        <w:rPr>
          <w:sz w:val="19"/>
          <w:szCs w:val="19"/>
        </w:rPr>
        <w:t>.  The Board noted that its decision to limit the scope of Phase 1 to entities required by legislation to prepare financial statements would mean that these trusts would be considered as part of Phase 2.</w:t>
      </w:r>
    </w:p>
    <w:p w14:paraId="3721D196" w14:textId="77777777" w:rsidR="00694E31" w:rsidRPr="005E6CD5" w:rsidRDefault="00694E31" w:rsidP="00BD146B">
      <w:pPr>
        <w:pStyle w:val="Heading4"/>
        <w:spacing w:before="200"/>
        <w:ind w:left="782"/>
        <w:jc w:val="both"/>
        <w:rPr>
          <w:i/>
        </w:rPr>
      </w:pPr>
      <w:r w:rsidRPr="005E6CD5">
        <w:rPr>
          <w:i/>
        </w:rPr>
        <w:t>Legislation versus constituting documents</w:t>
      </w:r>
    </w:p>
    <w:p w14:paraId="27723D96" w14:textId="5F41CB15" w:rsidR="00694E31" w:rsidRPr="0050132A" w:rsidRDefault="00694E31" w:rsidP="00551908">
      <w:pPr>
        <w:pStyle w:val="Default"/>
        <w:numPr>
          <w:ilvl w:val="0"/>
          <w:numId w:val="70"/>
        </w:numPr>
        <w:spacing w:before="100"/>
        <w:ind w:left="782" w:hanging="782"/>
        <w:jc w:val="both"/>
        <w:rPr>
          <w:sz w:val="19"/>
          <w:szCs w:val="19"/>
        </w:rPr>
      </w:pPr>
      <w:r>
        <w:rPr>
          <w:sz w:val="19"/>
          <w:szCs w:val="19"/>
        </w:rPr>
        <w:t>R</w:t>
      </w:r>
      <w:r w:rsidRPr="0050132A">
        <w:rPr>
          <w:sz w:val="19"/>
          <w:szCs w:val="19"/>
        </w:rPr>
        <w:t xml:space="preserve">espondents to ITC 39 identified some entities </w:t>
      </w:r>
      <w:r>
        <w:rPr>
          <w:sz w:val="19"/>
          <w:szCs w:val="19"/>
        </w:rPr>
        <w:t xml:space="preserve">that </w:t>
      </w:r>
      <w:r w:rsidRPr="0050132A">
        <w:rPr>
          <w:sz w:val="19"/>
          <w:szCs w:val="19"/>
        </w:rPr>
        <w:t>may be affected by the amendments proposed in Phase</w:t>
      </w:r>
      <w:r w:rsidR="00531783">
        <w:rPr>
          <w:sz w:val="19"/>
          <w:szCs w:val="19"/>
        </w:rPr>
        <w:t> </w:t>
      </w:r>
      <w:r w:rsidRPr="0050132A">
        <w:rPr>
          <w:sz w:val="19"/>
          <w:szCs w:val="19"/>
        </w:rPr>
        <w:t>1</w:t>
      </w:r>
      <w:r>
        <w:rPr>
          <w:sz w:val="19"/>
          <w:szCs w:val="19"/>
        </w:rPr>
        <w:t>,</w:t>
      </w:r>
      <w:r w:rsidRPr="0050132A">
        <w:rPr>
          <w:sz w:val="19"/>
          <w:szCs w:val="19"/>
        </w:rPr>
        <w:t xml:space="preserve"> </w:t>
      </w:r>
      <w:r>
        <w:rPr>
          <w:sz w:val="19"/>
          <w:szCs w:val="19"/>
        </w:rPr>
        <w:t xml:space="preserve">including </w:t>
      </w:r>
      <w:r w:rsidRPr="0050132A">
        <w:rPr>
          <w:sz w:val="19"/>
          <w:szCs w:val="19"/>
        </w:rPr>
        <w:t xml:space="preserve">trusts that </w:t>
      </w:r>
      <w:r>
        <w:rPr>
          <w:sz w:val="19"/>
          <w:szCs w:val="19"/>
        </w:rPr>
        <w:t xml:space="preserve">are </w:t>
      </w:r>
      <w:r w:rsidRPr="0050132A">
        <w:rPr>
          <w:sz w:val="19"/>
          <w:szCs w:val="19"/>
        </w:rPr>
        <w:t>required by their constitutional document (rather than legislation) to prepare financial statements</w:t>
      </w:r>
      <w:r>
        <w:rPr>
          <w:sz w:val="19"/>
          <w:szCs w:val="19"/>
        </w:rPr>
        <w:t xml:space="preserve"> that comply with Australian Accounting Standards</w:t>
      </w:r>
      <w:r w:rsidRPr="0050132A">
        <w:rPr>
          <w:sz w:val="19"/>
          <w:szCs w:val="19"/>
        </w:rPr>
        <w:t>.  They do not have a</w:t>
      </w:r>
      <w:r>
        <w:rPr>
          <w:sz w:val="19"/>
          <w:szCs w:val="19"/>
        </w:rPr>
        <w:t>ny legislative requirement</w:t>
      </w:r>
      <w:r w:rsidRPr="0050132A">
        <w:rPr>
          <w:sz w:val="19"/>
          <w:szCs w:val="19"/>
        </w:rPr>
        <w:t xml:space="preserve"> to prepare such financial statements</w:t>
      </w:r>
      <w:r>
        <w:rPr>
          <w:sz w:val="19"/>
          <w:szCs w:val="19"/>
        </w:rPr>
        <w:t xml:space="preserve"> and may be preparing special purpose financial statements</w:t>
      </w:r>
      <w:r w:rsidRPr="0050132A">
        <w:rPr>
          <w:sz w:val="19"/>
          <w:szCs w:val="19"/>
        </w:rPr>
        <w:t xml:space="preserve">.  </w:t>
      </w:r>
      <w:r>
        <w:rPr>
          <w:sz w:val="19"/>
          <w:szCs w:val="19"/>
        </w:rPr>
        <w:t xml:space="preserve">This includes </w:t>
      </w:r>
      <w:r w:rsidRPr="0050132A">
        <w:rPr>
          <w:sz w:val="19"/>
          <w:szCs w:val="19"/>
        </w:rPr>
        <w:t xml:space="preserve">securitisation </w:t>
      </w:r>
      <w:r>
        <w:rPr>
          <w:sz w:val="19"/>
          <w:szCs w:val="19"/>
        </w:rPr>
        <w:t xml:space="preserve">trusts </w:t>
      </w:r>
      <w:r w:rsidRPr="0050132A">
        <w:rPr>
          <w:sz w:val="19"/>
          <w:szCs w:val="19"/>
        </w:rPr>
        <w:t>and certain public sector trusts.</w:t>
      </w:r>
    </w:p>
    <w:p w14:paraId="066FEB15" w14:textId="77777777" w:rsidR="00694E31" w:rsidRPr="00D03B05" w:rsidRDefault="00694E31" w:rsidP="00551908">
      <w:pPr>
        <w:pStyle w:val="Default"/>
        <w:numPr>
          <w:ilvl w:val="0"/>
          <w:numId w:val="70"/>
        </w:numPr>
        <w:spacing w:before="100"/>
        <w:ind w:left="782" w:hanging="782"/>
        <w:jc w:val="both"/>
        <w:rPr>
          <w:sz w:val="19"/>
          <w:szCs w:val="19"/>
        </w:rPr>
      </w:pPr>
      <w:r>
        <w:rPr>
          <w:sz w:val="19"/>
          <w:szCs w:val="19"/>
        </w:rPr>
        <w:t xml:space="preserve">The Board </w:t>
      </w:r>
      <w:r w:rsidRPr="00D03B05">
        <w:rPr>
          <w:sz w:val="19"/>
          <w:szCs w:val="19"/>
        </w:rPr>
        <w:t xml:space="preserve">noted that while changing constitutional documents is possible, it can be onerous and if not done correctly can have tax consequences. </w:t>
      </w:r>
      <w:r>
        <w:rPr>
          <w:sz w:val="19"/>
          <w:szCs w:val="19"/>
        </w:rPr>
        <w:t xml:space="preserve"> </w:t>
      </w:r>
      <w:r w:rsidRPr="00D03B05">
        <w:rPr>
          <w:sz w:val="19"/>
          <w:szCs w:val="19"/>
        </w:rPr>
        <w:t xml:space="preserve">Many trust deeds may have template wording referring to compliance with </w:t>
      </w:r>
      <w:r>
        <w:rPr>
          <w:sz w:val="19"/>
          <w:szCs w:val="19"/>
        </w:rPr>
        <w:t xml:space="preserve">Australian Accounting Standards </w:t>
      </w:r>
      <w:r w:rsidRPr="00D03B05">
        <w:rPr>
          <w:sz w:val="19"/>
          <w:szCs w:val="19"/>
        </w:rPr>
        <w:t xml:space="preserve">without the trustees or </w:t>
      </w:r>
      <w:r>
        <w:rPr>
          <w:sz w:val="19"/>
          <w:szCs w:val="19"/>
        </w:rPr>
        <w:t xml:space="preserve">the </w:t>
      </w:r>
      <w:r w:rsidRPr="00D03B05">
        <w:rPr>
          <w:sz w:val="19"/>
          <w:szCs w:val="19"/>
        </w:rPr>
        <w:t xml:space="preserve">beneficiaries having considered whether this would need to involve the preparation of </w:t>
      </w:r>
      <w:r>
        <w:rPr>
          <w:sz w:val="19"/>
          <w:szCs w:val="19"/>
        </w:rPr>
        <w:t>general purpose financial statements</w:t>
      </w:r>
      <w:r w:rsidRPr="00D03B05">
        <w:rPr>
          <w:sz w:val="19"/>
          <w:szCs w:val="19"/>
        </w:rPr>
        <w:t>.</w:t>
      </w:r>
      <w:r>
        <w:rPr>
          <w:sz w:val="19"/>
          <w:szCs w:val="19"/>
        </w:rPr>
        <w:t xml:space="preserve"> </w:t>
      </w:r>
      <w:r w:rsidRPr="00D03B05">
        <w:rPr>
          <w:sz w:val="19"/>
          <w:szCs w:val="19"/>
        </w:rPr>
        <w:t xml:space="preserve"> Based on feedback</w:t>
      </w:r>
      <w:r>
        <w:rPr>
          <w:sz w:val="19"/>
          <w:szCs w:val="19"/>
        </w:rPr>
        <w:t xml:space="preserve"> obtained from targeted outreach activities</w:t>
      </w:r>
      <w:r w:rsidRPr="00D03B05">
        <w:rPr>
          <w:sz w:val="19"/>
          <w:szCs w:val="19"/>
        </w:rPr>
        <w:t xml:space="preserve">, these trusts </w:t>
      </w:r>
      <w:r>
        <w:rPr>
          <w:sz w:val="19"/>
          <w:szCs w:val="19"/>
        </w:rPr>
        <w:t xml:space="preserve">may </w:t>
      </w:r>
      <w:r w:rsidRPr="00D03B05">
        <w:rPr>
          <w:sz w:val="19"/>
          <w:szCs w:val="19"/>
        </w:rPr>
        <w:t xml:space="preserve">provide </w:t>
      </w:r>
      <w:r>
        <w:rPr>
          <w:sz w:val="19"/>
          <w:szCs w:val="19"/>
        </w:rPr>
        <w:t xml:space="preserve">detailed </w:t>
      </w:r>
      <w:r w:rsidRPr="00D03B05">
        <w:rPr>
          <w:sz w:val="19"/>
          <w:szCs w:val="19"/>
        </w:rPr>
        <w:t>information to their beneficiaries about their financial performance and position on a regular basis.</w:t>
      </w:r>
    </w:p>
    <w:p w14:paraId="4E9AC7A4" w14:textId="77777777" w:rsidR="00694E31" w:rsidRPr="00D03B05" w:rsidRDefault="00694E31" w:rsidP="00551908">
      <w:pPr>
        <w:pStyle w:val="Default"/>
        <w:numPr>
          <w:ilvl w:val="0"/>
          <w:numId w:val="70"/>
        </w:numPr>
        <w:spacing w:before="100"/>
        <w:ind w:left="782" w:hanging="782"/>
        <w:jc w:val="both"/>
        <w:rPr>
          <w:sz w:val="19"/>
          <w:szCs w:val="19"/>
        </w:rPr>
      </w:pPr>
      <w:r w:rsidRPr="004A1827">
        <w:rPr>
          <w:i/>
          <w:sz w:val="19"/>
          <w:szCs w:val="19"/>
        </w:rPr>
        <w:t>The AASB’s</w:t>
      </w:r>
      <w:r w:rsidRPr="004A1827">
        <w:rPr>
          <w:sz w:val="19"/>
          <w:szCs w:val="19"/>
        </w:rPr>
        <w:t xml:space="preserve"> </w:t>
      </w:r>
      <w:r w:rsidRPr="005765F2">
        <w:rPr>
          <w:i/>
          <w:sz w:val="19"/>
          <w:szCs w:val="19"/>
        </w:rPr>
        <w:t>F</w:t>
      </w:r>
      <w:r w:rsidRPr="00A0074D">
        <w:rPr>
          <w:i/>
          <w:sz w:val="19"/>
          <w:szCs w:val="19"/>
        </w:rPr>
        <w:t>or-</w:t>
      </w:r>
      <w:r>
        <w:rPr>
          <w:i/>
          <w:sz w:val="19"/>
          <w:szCs w:val="19"/>
        </w:rPr>
        <w:t>P</w:t>
      </w:r>
      <w:r w:rsidRPr="00A0074D">
        <w:rPr>
          <w:i/>
          <w:sz w:val="19"/>
          <w:szCs w:val="19"/>
        </w:rPr>
        <w:t xml:space="preserve">rofit </w:t>
      </w:r>
      <w:r>
        <w:rPr>
          <w:i/>
          <w:sz w:val="19"/>
          <w:szCs w:val="19"/>
        </w:rPr>
        <w:t xml:space="preserve">Entity </w:t>
      </w:r>
      <w:r w:rsidRPr="00A0074D">
        <w:rPr>
          <w:i/>
          <w:sz w:val="19"/>
          <w:szCs w:val="19"/>
        </w:rPr>
        <w:t>Standard</w:t>
      </w:r>
      <w:r>
        <w:rPr>
          <w:i/>
          <w:sz w:val="19"/>
          <w:szCs w:val="19"/>
        </w:rPr>
        <w:t>-</w:t>
      </w:r>
      <w:r w:rsidRPr="00A0074D">
        <w:rPr>
          <w:i/>
          <w:sz w:val="19"/>
          <w:szCs w:val="19"/>
        </w:rPr>
        <w:t xml:space="preserve">Setting </w:t>
      </w:r>
      <w:r>
        <w:rPr>
          <w:i/>
          <w:sz w:val="19"/>
          <w:szCs w:val="19"/>
        </w:rPr>
        <w:t>F</w:t>
      </w:r>
      <w:r w:rsidRPr="00A0074D">
        <w:rPr>
          <w:i/>
          <w:sz w:val="19"/>
          <w:szCs w:val="19"/>
        </w:rPr>
        <w:t>ramework</w:t>
      </w:r>
      <w:r w:rsidRPr="00D03B05">
        <w:rPr>
          <w:sz w:val="19"/>
          <w:szCs w:val="19"/>
        </w:rPr>
        <w:t xml:space="preserve"> requires publicly accountable for-profit entities to prepare Tier 1 </w:t>
      </w:r>
      <w:r>
        <w:rPr>
          <w:sz w:val="19"/>
          <w:szCs w:val="19"/>
        </w:rPr>
        <w:t xml:space="preserve">general purpose financial statements </w:t>
      </w:r>
      <w:r w:rsidRPr="00D03B05">
        <w:rPr>
          <w:sz w:val="19"/>
          <w:szCs w:val="19"/>
        </w:rPr>
        <w:t>on the basis that these entities would need to state compliance with IFRS</w:t>
      </w:r>
      <w:r>
        <w:rPr>
          <w:sz w:val="19"/>
          <w:szCs w:val="19"/>
        </w:rPr>
        <w:t xml:space="preserve"> Standards</w:t>
      </w:r>
      <w:r w:rsidRPr="00D03B05">
        <w:rPr>
          <w:sz w:val="19"/>
          <w:szCs w:val="19"/>
        </w:rPr>
        <w:t>.  However, entities that do not h</w:t>
      </w:r>
      <w:r>
        <w:rPr>
          <w:sz w:val="19"/>
          <w:szCs w:val="19"/>
        </w:rPr>
        <w:t>ave any legislative requirement</w:t>
      </w:r>
      <w:r w:rsidRPr="00D03B05">
        <w:rPr>
          <w:sz w:val="19"/>
          <w:szCs w:val="19"/>
        </w:rPr>
        <w:t xml:space="preserve"> to prepare financial statements and are required only by their constitution or trust deed to comply with </w:t>
      </w:r>
      <w:r>
        <w:rPr>
          <w:sz w:val="19"/>
          <w:szCs w:val="19"/>
        </w:rPr>
        <w:t xml:space="preserve">Australian Accounting Standards often </w:t>
      </w:r>
      <w:r w:rsidRPr="00D03B05">
        <w:rPr>
          <w:sz w:val="19"/>
          <w:szCs w:val="19"/>
        </w:rPr>
        <w:t>will not n</w:t>
      </w:r>
      <w:r>
        <w:rPr>
          <w:sz w:val="19"/>
          <w:szCs w:val="19"/>
        </w:rPr>
        <w:t>eed to confirm compliance with IFRS Standards.</w:t>
      </w:r>
    </w:p>
    <w:p w14:paraId="7E2BF1D2" w14:textId="6A0B2F0B" w:rsidR="00694E31" w:rsidRPr="00814190" w:rsidRDefault="00694E31" w:rsidP="00551908">
      <w:pPr>
        <w:pStyle w:val="Default"/>
        <w:numPr>
          <w:ilvl w:val="0"/>
          <w:numId w:val="70"/>
        </w:numPr>
        <w:spacing w:before="100"/>
        <w:ind w:left="782" w:hanging="782"/>
        <w:jc w:val="both"/>
        <w:rPr>
          <w:sz w:val="19"/>
          <w:szCs w:val="19"/>
        </w:rPr>
      </w:pPr>
      <w:r w:rsidRPr="004A1827">
        <w:rPr>
          <w:i/>
          <w:sz w:val="19"/>
          <w:szCs w:val="19"/>
        </w:rPr>
        <w:t xml:space="preserve">The AASB’s </w:t>
      </w:r>
      <w:r w:rsidRPr="00814190">
        <w:rPr>
          <w:i/>
          <w:sz w:val="19"/>
          <w:szCs w:val="19"/>
        </w:rPr>
        <w:t>For-</w:t>
      </w:r>
      <w:r w:rsidR="00C8084B">
        <w:rPr>
          <w:i/>
          <w:sz w:val="19"/>
          <w:szCs w:val="19"/>
        </w:rPr>
        <w:t>P</w:t>
      </w:r>
      <w:r w:rsidRPr="00814190">
        <w:rPr>
          <w:i/>
          <w:sz w:val="19"/>
          <w:szCs w:val="19"/>
        </w:rPr>
        <w:t>rofit Entity Standard</w:t>
      </w:r>
      <w:r>
        <w:rPr>
          <w:i/>
          <w:sz w:val="19"/>
          <w:szCs w:val="19"/>
        </w:rPr>
        <w:t>-</w:t>
      </w:r>
      <w:r w:rsidRPr="00814190">
        <w:rPr>
          <w:i/>
          <w:sz w:val="19"/>
          <w:szCs w:val="19"/>
        </w:rPr>
        <w:t>Setting Framework</w:t>
      </w:r>
      <w:r w:rsidRPr="00814190">
        <w:rPr>
          <w:sz w:val="19"/>
          <w:szCs w:val="19"/>
        </w:rPr>
        <w:t xml:space="preserve"> further notes that publicly accountable entities should prepare Tier 1 general purpose financial statements as these types of entities would have a significant impact on the Australian economy and therefore should be subject to the highest level of accountability.  However, where entities are required to comply with Australian Accounting Standards only as a result of their constitution or trust deed, and </w:t>
      </w:r>
      <w:r>
        <w:rPr>
          <w:sz w:val="19"/>
          <w:szCs w:val="19"/>
        </w:rPr>
        <w:t xml:space="preserve">their </w:t>
      </w:r>
      <w:r w:rsidRPr="00814190">
        <w:rPr>
          <w:sz w:val="19"/>
          <w:szCs w:val="19"/>
        </w:rPr>
        <w:t xml:space="preserve">members have in the past been comfortable with the amount of information provided in the form of special purpose financial statements, the Board did not consider it appropriate to mandate </w:t>
      </w:r>
      <w:r>
        <w:rPr>
          <w:sz w:val="19"/>
          <w:szCs w:val="19"/>
        </w:rPr>
        <w:t xml:space="preserve">the </w:t>
      </w:r>
      <w:r w:rsidRPr="00814190">
        <w:rPr>
          <w:sz w:val="19"/>
          <w:szCs w:val="19"/>
        </w:rPr>
        <w:t xml:space="preserve">preparation of Tier 1 general purpose financial statements for such entities as part of Phase 1. </w:t>
      </w:r>
    </w:p>
    <w:p w14:paraId="2E2E4785" w14:textId="3C63F44B" w:rsidR="00694E31" w:rsidRDefault="00694E31" w:rsidP="00551908">
      <w:pPr>
        <w:pStyle w:val="Default"/>
        <w:numPr>
          <w:ilvl w:val="0"/>
          <w:numId w:val="70"/>
        </w:numPr>
        <w:spacing w:before="100"/>
        <w:ind w:left="782" w:hanging="782"/>
        <w:jc w:val="both"/>
        <w:rPr>
          <w:sz w:val="19"/>
          <w:szCs w:val="19"/>
        </w:rPr>
      </w:pPr>
      <w:r>
        <w:rPr>
          <w:sz w:val="19"/>
          <w:szCs w:val="19"/>
        </w:rPr>
        <w:t xml:space="preserve">Consequently, </w:t>
      </w:r>
      <w:r w:rsidRPr="00D03B05">
        <w:rPr>
          <w:sz w:val="19"/>
          <w:szCs w:val="19"/>
        </w:rPr>
        <w:t xml:space="preserve">Phase 1 </w:t>
      </w:r>
      <w:r>
        <w:rPr>
          <w:sz w:val="19"/>
          <w:szCs w:val="19"/>
        </w:rPr>
        <w:t xml:space="preserve">is </w:t>
      </w:r>
      <w:r w:rsidRPr="00D03B05">
        <w:rPr>
          <w:sz w:val="19"/>
          <w:szCs w:val="19"/>
        </w:rPr>
        <w:t>intended to allow entities to maintain compliance with IFRS</w:t>
      </w:r>
      <w:r>
        <w:rPr>
          <w:sz w:val="19"/>
          <w:szCs w:val="19"/>
        </w:rPr>
        <w:t xml:space="preserve"> Standards</w:t>
      </w:r>
      <w:r w:rsidRPr="00D03B05">
        <w:rPr>
          <w:sz w:val="19"/>
          <w:szCs w:val="19"/>
        </w:rPr>
        <w:t xml:space="preserve">, </w:t>
      </w:r>
      <w:r>
        <w:rPr>
          <w:sz w:val="19"/>
          <w:szCs w:val="19"/>
        </w:rPr>
        <w:t xml:space="preserve">not to extend requirements for </w:t>
      </w:r>
      <w:r w:rsidRPr="00D03B05">
        <w:rPr>
          <w:sz w:val="19"/>
          <w:szCs w:val="19"/>
        </w:rPr>
        <w:t xml:space="preserve">entities to prepare </w:t>
      </w:r>
      <w:r>
        <w:rPr>
          <w:sz w:val="19"/>
          <w:szCs w:val="19"/>
        </w:rPr>
        <w:t xml:space="preserve">general purpose financial statements </w:t>
      </w:r>
      <w:r w:rsidRPr="00D03B05">
        <w:rPr>
          <w:sz w:val="19"/>
          <w:szCs w:val="19"/>
        </w:rPr>
        <w:t xml:space="preserve">if they are not currently required by legislation to prepare financial </w:t>
      </w:r>
      <w:r>
        <w:rPr>
          <w:sz w:val="19"/>
          <w:szCs w:val="19"/>
        </w:rPr>
        <w:t xml:space="preserve">statements.  To ensure that Phase 1 did not unintentionally require such entities to prepare general purpose financial statements, the Board decided to limit Phase 1 to for-profit private sector entities that have public accountability and are required by legislation to comply with Australian Accounting Standards.  This ensures the reporting requirements of entities with public accountability that do not have a legislative requirement to prepare financial statements will not be affected by Phase 1.  The appropriateness of this limitation will however be reconsidered as part of Phase 2 </w:t>
      </w:r>
      <w:r w:rsidRPr="007E569C">
        <w:rPr>
          <w:sz w:val="19"/>
          <w:szCs w:val="19"/>
        </w:rPr>
        <w:t>after further research and outreach.</w:t>
      </w:r>
      <w:r>
        <w:rPr>
          <w:sz w:val="19"/>
          <w:szCs w:val="19"/>
        </w:rPr>
        <w:t xml:space="preserve">  The Board also confirmed that those for-profit entities wanting to voluntarily comply with Tier 1 and IFRS </w:t>
      </w:r>
      <w:r w:rsidR="00282B64">
        <w:rPr>
          <w:sz w:val="19"/>
          <w:szCs w:val="19"/>
        </w:rPr>
        <w:t xml:space="preserve">Standards </w:t>
      </w:r>
      <w:r>
        <w:rPr>
          <w:sz w:val="19"/>
          <w:szCs w:val="19"/>
        </w:rPr>
        <w:t>should be permitted to do so</w:t>
      </w:r>
      <w:r w:rsidR="00282B64">
        <w:rPr>
          <w:sz w:val="19"/>
          <w:szCs w:val="19"/>
        </w:rPr>
        <w:t>, including for-profit entities in the public sector</w:t>
      </w:r>
      <w:r>
        <w:rPr>
          <w:sz w:val="19"/>
          <w:szCs w:val="19"/>
        </w:rPr>
        <w:t>.</w:t>
      </w:r>
    </w:p>
    <w:p w14:paraId="633910AC" w14:textId="77777777" w:rsidR="00B8773D" w:rsidRPr="003A6AF4" w:rsidRDefault="00B8773D" w:rsidP="00BD146B">
      <w:pPr>
        <w:pStyle w:val="Heading4"/>
        <w:spacing w:before="200"/>
        <w:ind w:left="782"/>
        <w:jc w:val="both"/>
        <w:rPr>
          <w:sz w:val="22"/>
          <w:szCs w:val="22"/>
        </w:rPr>
      </w:pPr>
      <w:r w:rsidRPr="003A6AF4">
        <w:rPr>
          <w:sz w:val="22"/>
          <w:szCs w:val="22"/>
        </w:rPr>
        <w:t>Maintaining two conceptual frameworks</w:t>
      </w:r>
    </w:p>
    <w:p w14:paraId="1F417BA4" w14:textId="77777777" w:rsidR="00B8773D" w:rsidRDefault="00B8773D" w:rsidP="00551908">
      <w:pPr>
        <w:pStyle w:val="Default"/>
        <w:numPr>
          <w:ilvl w:val="0"/>
          <w:numId w:val="70"/>
        </w:numPr>
        <w:spacing w:before="100"/>
        <w:ind w:left="782" w:hanging="782"/>
        <w:jc w:val="both"/>
        <w:rPr>
          <w:sz w:val="19"/>
          <w:szCs w:val="19"/>
        </w:rPr>
      </w:pPr>
      <w:r>
        <w:rPr>
          <w:sz w:val="19"/>
          <w:szCs w:val="19"/>
        </w:rPr>
        <w:t>When deciding how to implement Option 1 for Phase 1, the Board considered the following alternatives:</w:t>
      </w:r>
    </w:p>
    <w:p w14:paraId="2E30FE4C" w14:textId="77777777" w:rsidR="00B8773D" w:rsidRDefault="00B8773D" w:rsidP="00B8773D">
      <w:pPr>
        <w:pStyle w:val="Default"/>
        <w:rPr>
          <w:sz w:val="19"/>
          <w:szCs w:val="19"/>
        </w:rPr>
      </w:pPr>
    </w:p>
    <w:tbl>
      <w:tblPr>
        <w:tblpPr w:leftFromText="180" w:rightFromText="180" w:vertAnchor="text" w:tblpY="1"/>
        <w:tblOverlap w:val="neve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Caption w:val="Table of implementation options"/>
        <w:tblDescription w:val="Phase 1 options"/>
      </w:tblPr>
      <w:tblGrid>
        <w:gridCol w:w="1800"/>
        <w:gridCol w:w="1800"/>
        <w:gridCol w:w="1801"/>
        <w:gridCol w:w="1800"/>
        <w:gridCol w:w="1801"/>
      </w:tblGrid>
      <w:tr w:rsidR="00B8773D" w:rsidRPr="005B469B" w14:paraId="3343D489" w14:textId="77777777" w:rsidTr="003A6AF4">
        <w:trPr>
          <w:tblHeader/>
        </w:trPr>
        <w:tc>
          <w:tcPr>
            <w:tcW w:w="1800" w:type="dxa"/>
            <w:shd w:val="clear" w:color="auto" w:fill="BFBFBF" w:themeFill="background1" w:themeFillShade="BF"/>
          </w:tcPr>
          <w:p w14:paraId="28987A89" w14:textId="77777777" w:rsidR="00B8773D" w:rsidRPr="005B469B" w:rsidRDefault="00B8773D" w:rsidP="00B21B6F">
            <w:pPr>
              <w:jc w:val="left"/>
              <w:rPr>
                <w:szCs w:val="19"/>
              </w:rPr>
            </w:pPr>
          </w:p>
        </w:tc>
        <w:tc>
          <w:tcPr>
            <w:tcW w:w="1800" w:type="dxa"/>
            <w:shd w:val="clear" w:color="auto" w:fill="BFBFBF" w:themeFill="background1" w:themeFillShade="BF"/>
          </w:tcPr>
          <w:p w14:paraId="7CA193D6" w14:textId="77777777" w:rsidR="00B8773D" w:rsidRPr="005B469B" w:rsidRDefault="00B8773D" w:rsidP="00B8773D">
            <w:pPr>
              <w:jc w:val="left"/>
              <w:rPr>
                <w:szCs w:val="19"/>
              </w:rPr>
            </w:pPr>
            <w:r w:rsidRPr="005B469B">
              <w:rPr>
                <w:szCs w:val="19"/>
              </w:rPr>
              <w:t>Option 1</w:t>
            </w:r>
          </w:p>
        </w:tc>
        <w:tc>
          <w:tcPr>
            <w:tcW w:w="1801" w:type="dxa"/>
            <w:shd w:val="clear" w:color="auto" w:fill="BFBFBF" w:themeFill="background1" w:themeFillShade="BF"/>
          </w:tcPr>
          <w:p w14:paraId="5DB1702D" w14:textId="77777777" w:rsidR="00B8773D" w:rsidRPr="005B469B" w:rsidRDefault="00B8773D" w:rsidP="00B8773D">
            <w:pPr>
              <w:jc w:val="left"/>
              <w:rPr>
                <w:szCs w:val="19"/>
              </w:rPr>
            </w:pPr>
            <w:r w:rsidRPr="005B469B">
              <w:rPr>
                <w:szCs w:val="19"/>
              </w:rPr>
              <w:t>Option 2</w:t>
            </w:r>
          </w:p>
        </w:tc>
        <w:tc>
          <w:tcPr>
            <w:tcW w:w="1800" w:type="dxa"/>
            <w:shd w:val="clear" w:color="auto" w:fill="BFBFBF" w:themeFill="background1" w:themeFillShade="BF"/>
          </w:tcPr>
          <w:p w14:paraId="7B295CDD" w14:textId="77777777" w:rsidR="00B8773D" w:rsidRPr="005B469B" w:rsidRDefault="00B8773D" w:rsidP="00B8773D">
            <w:pPr>
              <w:jc w:val="left"/>
              <w:rPr>
                <w:szCs w:val="19"/>
              </w:rPr>
            </w:pPr>
            <w:r w:rsidRPr="005B469B">
              <w:rPr>
                <w:szCs w:val="19"/>
              </w:rPr>
              <w:t>Option 3</w:t>
            </w:r>
          </w:p>
        </w:tc>
        <w:tc>
          <w:tcPr>
            <w:tcW w:w="1801" w:type="dxa"/>
            <w:shd w:val="clear" w:color="auto" w:fill="BFBFBF" w:themeFill="background1" w:themeFillShade="BF"/>
          </w:tcPr>
          <w:p w14:paraId="7CDC8769" w14:textId="77777777" w:rsidR="00B8773D" w:rsidRPr="005B469B" w:rsidRDefault="00B8773D" w:rsidP="00B8773D">
            <w:pPr>
              <w:jc w:val="left"/>
              <w:rPr>
                <w:szCs w:val="19"/>
              </w:rPr>
            </w:pPr>
            <w:r w:rsidRPr="005B469B">
              <w:rPr>
                <w:szCs w:val="19"/>
              </w:rPr>
              <w:t>Option 4</w:t>
            </w:r>
          </w:p>
        </w:tc>
      </w:tr>
      <w:tr w:rsidR="00B8773D" w:rsidRPr="005B469B" w14:paraId="23512E08" w14:textId="77777777" w:rsidTr="003A6AF4">
        <w:tc>
          <w:tcPr>
            <w:tcW w:w="1800" w:type="dxa"/>
            <w:shd w:val="clear" w:color="auto" w:fill="auto"/>
          </w:tcPr>
          <w:p w14:paraId="4C3D5C51" w14:textId="77777777" w:rsidR="00B8773D" w:rsidRPr="005B469B" w:rsidRDefault="00B8773D" w:rsidP="00B8773D">
            <w:pPr>
              <w:jc w:val="left"/>
              <w:rPr>
                <w:szCs w:val="19"/>
              </w:rPr>
            </w:pPr>
          </w:p>
        </w:tc>
        <w:tc>
          <w:tcPr>
            <w:tcW w:w="1800" w:type="dxa"/>
            <w:shd w:val="clear" w:color="auto" w:fill="auto"/>
          </w:tcPr>
          <w:p w14:paraId="690B7361" w14:textId="77777777" w:rsidR="00B8773D" w:rsidRPr="005B469B" w:rsidRDefault="00B8773D" w:rsidP="00B8773D">
            <w:pPr>
              <w:jc w:val="left"/>
              <w:rPr>
                <w:szCs w:val="19"/>
              </w:rPr>
            </w:pPr>
            <w:r w:rsidRPr="005B469B">
              <w:rPr>
                <w:szCs w:val="19"/>
              </w:rPr>
              <w:t>Two conceptual frameworks:</w:t>
            </w:r>
          </w:p>
        </w:tc>
        <w:tc>
          <w:tcPr>
            <w:tcW w:w="1801" w:type="dxa"/>
            <w:shd w:val="clear" w:color="auto" w:fill="auto"/>
          </w:tcPr>
          <w:p w14:paraId="775635EA" w14:textId="77777777" w:rsidR="00B8773D" w:rsidRPr="005B469B" w:rsidRDefault="00B8773D" w:rsidP="00B8773D">
            <w:pPr>
              <w:jc w:val="left"/>
              <w:rPr>
                <w:szCs w:val="19"/>
              </w:rPr>
            </w:pPr>
            <w:r w:rsidRPr="005B469B">
              <w:rPr>
                <w:szCs w:val="19"/>
              </w:rPr>
              <w:t>One conceptual framework:</w:t>
            </w:r>
          </w:p>
        </w:tc>
        <w:tc>
          <w:tcPr>
            <w:tcW w:w="1800" w:type="dxa"/>
            <w:shd w:val="clear" w:color="auto" w:fill="auto"/>
          </w:tcPr>
          <w:p w14:paraId="415F3E81" w14:textId="77777777" w:rsidR="00B8773D" w:rsidRPr="005B469B" w:rsidRDefault="00B8773D" w:rsidP="00B8773D">
            <w:pPr>
              <w:jc w:val="left"/>
              <w:rPr>
                <w:szCs w:val="19"/>
              </w:rPr>
            </w:pPr>
            <w:r w:rsidRPr="005B469B">
              <w:rPr>
                <w:szCs w:val="19"/>
              </w:rPr>
              <w:t>Two conceptual frameworks</w:t>
            </w:r>
            <w:r>
              <w:rPr>
                <w:szCs w:val="19"/>
              </w:rPr>
              <w:t>:</w:t>
            </w:r>
          </w:p>
        </w:tc>
        <w:tc>
          <w:tcPr>
            <w:tcW w:w="1801" w:type="dxa"/>
            <w:shd w:val="clear" w:color="auto" w:fill="auto"/>
          </w:tcPr>
          <w:p w14:paraId="7DEDB54C" w14:textId="77777777" w:rsidR="00B8773D" w:rsidRPr="005B469B" w:rsidRDefault="00B8773D" w:rsidP="00B8773D">
            <w:pPr>
              <w:jc w:val="left"/>
              <w:rPr>
                <w:szCs w:val="19"/>
              </w:rPr>
            </w:pPr>
            <w:r w:rsidRPr="005B469B">
              <w:rPr>
                <w:szCs w:val="19"/>
              </w:rPr>
              <w:t>One conceptual framework</w:t>
            </w:r>
            <w:r>
              <w:rPr>
                <w:szCs w:val="19"/>
              </w:rPr>
              <w:t>:</w:t>
            </w:r>
          </w:p>
        </w:tc>
      </w:tr>
      <w:tr w:rsidR="00B8773D" w:rsidRPr="005B469B" w14:paraId="155F638A" w14:textId="77777777" w:rsidTr="003A6AF4">
        <w:tc>
          <w:tcPr>
            <w:tcW w:w="1800" w:type="dxa"/>
            <w:shd w:val="clear" w:color="auto" w:fill="auto"/>
          </w:tcPr>
          <w:p w14:paraId="7C5FA179" w14:textId="77777777" w:rsidR="00B8773D" w:rsidRPr="005B469B" w:rsidRDefault="00B8773D" w:rsidP="00B8773D">
            <w:pPr>
              <w:jc w:val="left"/>
              <w:rPr>
                <w:szCs w:val="19"/>
              </w:rPr>
            </w:pPr>
            <w:r w:rsidRPr="005B469B">
              <w:rPr>
                <w:szCs w:val="19"/>
              </w:rPr>
              <w:t>Entities applying the revised Conceptual Framework:</w:t>
            </w:r>
          </w:p>
        </w:tc>
        <w:tc>
          <w:tcPr>
            <w:tcW w:w="1800" w:type="dxa"/>
            <w:shd w:val="clear" w:color="auto" w:fill="auto"/>
          </w:tcPr>
          <w:p w14:paraId="7BC2A47A" w14:textId="77777777" w:rsidR="00B8773D" w:rsidRPr="005B469B" w:rsidRDefault="00B8773D" w:rsidP="004B6616">
            <w:pPr>
              <w:pStyle w:val="ListParagraph"/>
              <w:numPr>
                <w:ilvl w:val="0"/>
                <w:numId w:val="108"/>
              </w:numPr>
              <w:rPr>
                <w:sz w:val="19"/>
                <w:szCs w:val="19"/>
              </w:rPr>
            </w:pPr>
            <w:r w:rsidRPr="005B469B">
              <w:rPr>
                <w:sz w:val="19"/>
                <w:szCs w:val="19"/>
              </w:rPr>
              <w:t>Revised Conceptual Framework.</w:t>
            </w:r>
          </w:p>
        </w:tc>
        <w:tc>
          <w:tcPr>
            <w:tcW w:w="1801" w:type="dxa"/>
            <w:shd w:val="clear" w:color="auto" w:fill="auto"/>
          </w:tcPr>
          <w:p w14:paraId="752CD088" w14:textId="77777777" w:rsidR="00B8773D" w:rsidRPr="005B469B" w:rsidRDefault="00B8773D" w:rsidP="004B6616">
            <w:pPr>
              <w:pStyle w:val="ListParagraph"/>
              <w:numPr>
                <w:ilvl w:val="0"/>
                <w:numId w:val="110"/>
              </w:numPr>
              <w:ind w:left="478" w:hanging="478"/>
              <w:rPr>
                <w:sz w:val="19"/>
                <w:szCs w:val="19"/>
              </w:rPr>
            </w:pPr>
            <w:r w:rsidRPr="005B469B">
              <w:rPr>
                <w:sz w:val="19"/>
                <w:szCs w:val="19"/>
              </w:rPr>
              <w:t>Revised Conceptual Framework.</w:t>
            </w:r>
          </w:p>
        </w:tc>
        <w:tc>
          <w:tcPr>
            <w:tcW w:w="1800" w:type="dxa"/>
            <w:shd w:val="clear" w:color="auto" w:fill="auto"/>
          </w:tcPr>
          <w:p w14:paraId="5348E71E" w14:textId="77777777" w:rsidR="00B8773D" w:rsidRPr="005B469B" w:rsidRDefault="00B8773D" w:rsidP="004B6616">
            <w:pPr>
              <w:pStyle w:val="ListParagraph"/>
              <w:numPr>
                <w:ilvl w:val="0"/>
                <w:numId w:val="109"/>
              </w:numPr>
              <w:rPr>
                <w:szCs w:val="19"/>
              </w:rPr>
            </w:pPr>
            <w:r w:rsidRPr="005B469B">
              <w:rPr>
                <w:sz w:val="19"/>
                <w:szCs w:val="19"/>
              </w:rPr>
              <w:t>Revised Conceptual Framework</w:t>
            </w:r>
            <w:r>
              <w:rPr>
                <w:sz w:val="19"/>
                <w:szCs w:val="19"/>
              </w:rPr>
              <w:t>.</w:t>
            </w:r>
          </w:p>
        </w:tc>
        <w:tc>
          <w:tcPr>
            <w:tcW w:w="1801" w:type="dxa"/>
            <w:shd w:val="clear" w:color="auto" w:fill="auto"/>
          </w:tcPr>
          <w:p w14:paraId="2ED75187" w14:textId="77777777" w:rsidR="00B8773D" w:rsidRPr="005B469B" w:rsidRDefault="00B8773D" w:rsidP="00531783">
            <w:pPr>
              <w:pStyle w:val="ListParagraph"/>
              <w:numPr>
                <w:ilvl w:val="0"/>
                <w:numId w:val="112"/>
              </w:numPr>
              <w:ind w:left="476" w:hanging="476"/>
              <w:rPr>
                <w:sz w:val="19"/>
                <w:szCs w:val="19"/>
              </w:rPr>
            </w:pPr>
            <w:r w:rsidRPr="005B469B">
              <w:rPr>
                <w:sz w:val="19"/>
                <w:szCs w:val="19"/>
              </w:rPr>
              <w:t>Revised Conceptual Framework</w:t>
            </w:r>
            <w:r>
              <w:rPr>
                <w:sz w:val="19"/>
                <w:szCs w:val="19"/>
              </w:rPr>
              <w:t>.</w:t>
            </w:r>
          </w:p>
        </w:tc>
      </w:tr>
      <w:tr w:rsidR="00B8773D" w:rsidRPr="005B469B" w14:paraId="248AC2A7" w14:textId="77777777" w:rsidTr="003A6AF4">
        <w:tc>
          <w:tcPr>
            <w:tcW w:w="1800" w:type="dxa"/>
            <w:shd w:val="clear" w:color="auto" w:fill="auto"/>
          </w:tcPr>
          <w:p w14:paraId="077A6127" w14:textId="77777777" w:rsidR="00B8773D" w:rsidRPr="005B469B" w:rsidRDefault="00B8773D" w:rsidP="00B8773D">
            <w:pPr>
              <w:jc w:val="left"/>
              <w:rPr>
                <w:szCs w:val="19"/>
              </w:rPr>
            </w:pPr>
            <w:r w:rsidRPr="005B469B">
              <w:rPr>
                <w:szCs w:val="19"/>
              </w:rPr>
              <w:t>Other entities:</w:t>
            </w:r>
          </w:p>
        </w:tc>
        <w:tc>
          <w:tcPr>
            <w:tcW w:w="1800" w:type="dxa"/>
            <w:shd w:val="clear" w:color="auto" w:fill="auto"/>
          </w:tcPr>
          <w:p w14:paraId="7CEDDB99" w14:textId="77777777" w:rsidR="00B8773D" w:rsidRPr="005B469B" w:rsidRDefault="00B8773D" w:rsidP="004B6616">
            <w:pPr>
              <w:pStyle w:val="ListParagraph"/>
              <w:numPr>
                <w:ilvl w:val="0"/>
                <w:numId w:val="109"/>
              </w:numPr>
              <w:rPr>
                <w:sz w:val="19"/>
                <w:szCs w:val="19"/>
              </w:rPr>
            </w:pPr>
            <w:r w:rsidRPr="005B469B">
              <w:rPr>
                <w:sz w:val="19"/>
                <w:szCs w:val="19"/>
              </w:rPr>
              <w:t>Existing Conceptual Framework and SAC 1</w:t>
            </w:r>
            <w:r w:rsidRPr="005B469B">
              <w:rPr>
                <w:rStyle w:val="FootnoteReference"/>
                <w:sz w:val="19"/>
                <w:szCs w:val="19"/>
              </w:rPr>
              <w:footnoteReference w:id="2"/>
            </w:r>
            <w:r w:rsidRPr="005B469B">
              <w:rPr>
                <w:sz w:val="19"/>
                <w:szCs w:val="19"/>
              </w:rPr>
              <w:t>.</w:t>
            </w:r>
          </w:p>
        </w:tc>
        <w:tc>
          <w:tcPr>
            <w:tcW w:w="1801" w:type="dxa"/>
            <w:shd w:val="clear" w:color="auto" w:fill="auto"/>
          </w:tcPr>
          <w:p w14:paraId="4C0E72E5" w14:textId="77777777" w:rsidR="00B8773D" w:rsidRPr="005B469B" w:rsidRDefault="00B8773D" w:rsidP="004B6616">
            <w:pPr>
              <w:pStyle w:val="ListParagraph"/>
              <w:numPr>
                <w:ilvl w:val="0"/>
                <w:numId w:val="112"/>
              </w:numPr>
              <w:ind w:left="478" w:hanging="478"/>
              <w:rPr>
                <w:sz w:val="19"/>
                <w:szCs w:val="19"/>
              </w:rPr>
            </w:pPr>
            <w:r w:rsidRPr="005B469B">
              <w:rPr>
                <w:sz w:val="19"/>
                <w:szCs w:val="19"/>
              </w:rPr>
              <w:t>Revised Conceptual Framework minus Chapter 3</w:t>
            </w:r>
            <w:r w:rsidRPr="0056593B">
              <w:rPr>
                <w:rStyle w:val="FootnoteReference"/>
                <w:sz w:val="19"/>
                <w:szCs w:val="19"/>
              </w:rPr>
              <w:footnoteReference w:id="3"/>
            </w:r>
            <w:r w:rsidRPr="005B469B">
              <w:rPr>
                <w:sz w:val="19"/>
                <w:szCs w:val="19"/>
              </w:rPr>
              <w:t>, which is replaced by SAC 1.</w:t>
            </w:r>
          </w:p>
        </w:tc>
        <w:tc>
          <w:tcPr>
            <w:tcW w:w="1800" w:type="dxa"/>
            <w:shd w:val="clear" w:color="auto" w:fill="auto"/>
          </w:tcPr>
          <w:p w14:paraId="615A8DD6" w14:textId="77777777" w:rsidR="00B8773D" w:rsidRPr="005B469B" w:rsidRDefault="00B8773D" w:rsidP="004B6616">
            <w:pPr>
              <w:pStyle w:val="ListParagraph"/>
              <w:numPr>
                <w:ilvl w:val="0"/>
                <w:numId w:val="111"/>
              </w:numPr>
              <w:rPr>
                <w:sz w:val="19"/>
                <w:szCs w:val="19"/>
              </w:rPr>
            </w:pPr>
            <w:r w:rsidRPr="005B469B">
              <w:rPr>
                <w:sz w:val="19"/>
                <w:szCs w:val="19"/>
              </w:rPr>
              <w:t>Existing Conceptual Framework and SAC 1.</w:t>
            </w:r>
          </w:p>
        </w:tc>
        <w:tc>
          <w:tcPr>
            <w:tcW w:w="1801" w:type="dxa"/>
            <w:shd w:val="clear" w:color="auto" w:fill="auto"/>
          </w:tcPr>
          <w:p w14:paraId="6A0031FE" w14:textId="77777777" w:rsidR="00B8773D" w:rsidRPr="005B469B" w:rsidRDefault="00B8773D" w:rsidP="00531783">
            <w:pPr>
              <w:pStyle w:val="ListParagraph"/>
              <w:numPr>
                <w:ilvl w:val="0"/>
                <w:numId w:val="113"/>
              </w:numPr>
              <w:ind w:left="476" w:hanging="476"/>
              <w:rPr>
                <w:sz w:val="19"/>
                <w:szCs w:val="19"/>
              </w:rPr>
            </w:pPr>
            <w:r w:rsidRPr="005B469B">
              <w:rPr>
                <w:sz w:val="19"/>
                <w:szCs w:val="19"/>
              </w:rPr>
              <w:t>Revised Conceptual Framework minus Chapter 3, which is replaced by SAC 1.</w:t>
            </w:r>
          </w:p>
        </w:tc>
      </w:tr>
    </w:tbl>
    <w:p w14:paraId="0691284E" w14:textId="77777777" w:rsidR="003A6AF4" w:rsidRDefault="003A6AF4"/>
    <w:tbl>
      <w:tblPr>
        <w:tblpPr w:leftFromText="180" w:rightFromText="180" w:vertAnchor="text" w:tblpY="1"/>
        <w:tblOverlap w:val="never"/>
        <w:tblW w:w="9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Caption w:val="Table of implementation options"/>
        <w:tblDescription w:val="Phase 1 options"/>
      </w:tblPr>
      <w:tblGrid>
        <w:gridCol w:w="1800"/>
        <w:gridCol w:w="1800"/>
        <w:gridCol w:w="1801"/>
        <w:gridCol w:w="1800"/>
        <w:gridCol w:w="1801"/>
      </w:tblGrid>
      <w:tr w:rsidR="003A6AF4" w:rsidRPr="005B469B" w14:paraId="51BDE6FA" w14:textId="77777777" w:rsidTr="006A2593">
        <w:trPr>
          <w:tblHeader/>
        </w:trPr>
        <w:tc>
          <w:tcPr>
            <w:tcW w:w="1800" w:type="dxa"/>
            <w:shd w:val="clear" w:color="auto" w:fill="BFBFBF" w:themeFill="background1" w:themeFillShade="BF"/>
          </w:tcPr>
          <w:p w14:paraId="6528B9F2" w14:textId="77777777" w:rsidR="003A6AF4" w:rsidRPr="005B469B" w:rsidRDefault="003A6AF4" w:rsidP="003A6AF4">
            <w:pPr>
              <w:pageBreakBefore/>
              <w:jc w:val="left"/>
              <w:rPr>
                <w:szCs w:val="19"/>
              </w:rPr>
            </w:pPr>
          </w:p>
        </w:tc>
        <w:tc>
          <w:tcPr>
            <w:tcW w:w="1800" w:type="dxa"/>
            <w:shd w:val="clear" w:color="auto" w:fill="BFBFBF" w:themeFill="background1" w:themeFillShade="BF"/>
          </w:tcPr>
          <w:p w14:paraId="66725659" w14:textId="77777777" w:rsidR="003A6AF4" w:rsidRPr="005B469B" w:rsidRDefault="003A6AF4" w:rsidP="003A6AF4">
            <w:pPr>
              <w:jc w:val="left"/>
              <w:rPr>
                <w:szCs w:val="19"/>
              </w:rPr>
            </w:pPr>
            <w:r w:rsidRPr="005B469B">
              <w:rPr>
                <w:szCs w:val="19"/>
              </w:rPr>
              <w:t>Option 1</w:t>
            </w:r>
          </w:p>
        </w:tc>
        <w:tc>
          <w:tcPr>
            <w:tcW w:w="1801" w:type="dxa"/>
            <w:shd w:val="clear" w:color="auto" w:fill="BFBFBF" w:themeFill="background1" w:themeFillShade="BF"/>
          </w:tcPr>
          <w:p w14:paraId="4B678194" w14:textId="77777777" w:rsidR="003A6AF4" w:rsidRPr="005B469B" w:rsidRDefault="003A6AF4" w:rsidP="003A6AF4">
            <w:pPr>
              <w:jc w:val="left"/>
              <w:rPr>
                <w:szCs w:val="19"/>
              </w:rPr>
            </w:pPr>
            <w:r w:rsidRPr="005B469B">
              <w:rPr>
                <w:szCs w:val="19"/>
              </w:rPr>
              <w:t>Option 2</w:t>
            </w:r>
          </w:p>
        </w:tc>
        <w:tc>
          <w:tcPr>
            <w:tcW w:w="1800" w:type="dxa"/>
            <w:shd w:val="clear" w:color="auto" w:fill="BFBFBF" w:themeFill="background1" w:themeFillShade="BF"/>
          </w:tcPr>
          <w:p w14:paraId="5CE2DE29" w14:textId="77777777" w:rsidR="003A6AF4" w:rsidRPr="005B469B" w:rsidRDefault="003A6AF4" w:rsidP="003A6AF4">
            <w:pPr>
              <w:jc w:val="left"/>
              <w:rPr>
                <w:szCs w:val="19"/>
              </w:rPr>
            </w:pPr>
            <w:r w:rsidRPr="005B469B">
              <w:rPr>
                <w:szCs w:val="19"/>
              </w:rPr>
              <w:t>Option 3</w:t>
            </w:r>
          </w:p>
        </w:tc>
        <w:tc>
          <w:tcPr>
            <w:tcW w:w="1801" w:type="dxa"/>
            <w:shd w:val="clear" w:color="auto" w:fill="BFBFBF" w:themeFill="background1" w:themeFillShade="BF"/>
          </w:tcPr>
          <w:p w14:paraId="0671AB1B" w14:textId="77777777" w:rsidR="003A6AF4" w:rsidRPr="005B469B" w:rsidRDefault="003A6AF4" w:rsidP="003A6AF4">
            <w:pPr>
              <w:jc w:val="left"/>
              <w:rPr>
                <w:szCs w:val="19"/>
              </w:rPr>
            </w:pPr>
            <w:r w:rsidRPr="005B469B">
              <w:rPr>
                <w:szCs w:val="19"/>
              </w:rPr>
              <w:t>Option 4</w:t>
            </w:r>
          </w:p>
        </w:tc>
      </w:tr>
      <w:tr w:rsidR="00B8773D" w:rsidRPr="005B469B" w14:paraId="73539095" w14:textId="77777777" w:rsidTr="003A6AF4">
        <w:trPr>
          <w:cantSplit/>
        </w:trPr>
        <w:tc>
          <w:tcPr>
            <w:tcW w:w="1800" w:type="dxa"/>
            <w:shd w:val="clear" w:color="auto" w:fill="auto"/>
          </w:tcPr>
          <w:p w14:paraId="7A5A514A" w14:textId="77777777" w:rsidR="00B8773D" w:rsidRPr="005B469B" w:rsidRDefault="00B8773D" w:rsidP="003A6AF4">
            <w:pPr>
              <w:jc w:val="left"/>
              <w:rPr>
                <w:szCs w:val="19"/>
              </w:rPr>
            </w:pPr>
            <w:r w:rsidRPr="005B469B">
              <w:rPr>
                <w:szCs w:val="19"/>
              </w:rPr>
              <w:t>Consequential amendments:</w:t>
            </w:r>
          </w:p>
        </w:tc>
        <w:tc>
          <w:tcPr>
            <w:tcW w:w="1800" w:type="dxa"/>
            <w:shd w:val="clear" w:color="auto" w:fill="auto"/>
          </w:tcPr>
          <w:p w14:paraId="75ED6ECD" w14:textId="77777777" w:rsidR="00B8773D" w:rsidRPr="005B469B" w:rsidRDefault="00B8773D" w:rsidP="00B8773D">
            <w:pPr>
              <w:jc w:val="left"/>
              <w:rPr>
                <w:szCs w:val="19"/>
              </w:rPr>
            </w:pPr>
            <w:r w:rsidRPr="005B469B">
              <w:rPr>
                <w:szCs w:val="19"/>
              </w:rPr>
              <w:t>One set of Australian Accounting Standards that continue to be updated for both for-profit and not-for-profit changes.</w:t>
            </w:r>
          </w:p>
        </w:tc>
        <w:tc>
          <w:tcPr>
            <w:tcW w:w="1801" w:type="dxa"/>
            <w:shd w:val="clear" w:color="auto" w:fill="auto"/>
          </w:tcPr>
          <w:p w14:paraId="30C0B678" w14:textId="77777777" w:rsidR="00B8773D" w:rsidRPr="005B469B" w:rsidRDefault="00B8773D" w:rsidP="00B8773D">
            <w:pPr>
              <w:jc w:val="left"/>
              <w:rPr>
                <w:szCs w:val="19"/>
              </w:rPr>
            </w:pPr>
            <w:r w:rsidRPr="005B469B">
              <w:rPr>
                <w:szCs w:val="19"/>
              </w:rPr>
              <w:t>One set of Australian Accounting Standards that continue to be updated for both for-profit and not-for-profit changes.</w:t>
            </w:r>
          </w:p>
        </w:tc>
        <w:tc>
          <w:tcPr>
            <w:tcW w:w="1800" w:type="dxa"/>
            <w:shd w:val="clear" w:color="auto" w:fill="auto"/>
          </w:tcPr>
          <w:p w14:paraId="6C24E724" w14:textId="77777777" w:rsidR="00B8773D" w:rsidRPr="005B469B" w:rsidRDefault="00B8773D" w:rsidP="00B8773D">
            <w:pPr>
              <w:jc w:val="left"/>
              <w:rPr>
                <w:szCs w:val="19"/>
              </w:rPr>
            </w:pPr>
            <w:r w:rsidRPr="005B469B">
              <w:rPr>
                <w:szCs w:val="19"/>
              </w:rPr>
              <w:t>Two sets of Australian Accounting Standards.</w:t>
            </w:r>
          </w:p>
          <w:p w14:paraId="5EC45034" w14:textId="77777777" w:rsidR="00B8773D" w:rsidRPr="005B469B" w:rsidRDefault="00B8773D" w:rsidP="004B6616">
            <w:pPr>
              <w:pStyle w:val="ListParagraph"/>
              <w:numPr>
                <w:ilvl w:val="0"/>
                <w:numId w:val="106"/>
              </w:numPr>
              <w:rPr>
                <w:sz w:val="19"/>
                <w:szCs w:val="19"/>
              </w:rPr>
            </w:pPr>
            <w:r w:rsidRPr="005B469B">
              <w:rPr>
                <w:sz w:val="19"/>
                <w:szCs w:val="19"/>
              </w:rPr>
              <w:t>One set that continues to be updated for for-profit changes</w:t>
            </w:r>
            <w:r>
              <w:rPr>
                <w:sz w:val="19"/>
                <w:szCs w:val="19"/>
              </w:rPr>
              <w:t>.</w:t>
            </w:r>
          </w:p>
          <w:p w14:paraId="2C45CC1C" w14:textId="77777777" w:rsidR="00B8773D" w:rsidRPr="005B469B" w:rsidRDefault="00B8773D" w:rsidP="004B6616">
            <w:pPr>
              <w:pStyle w:val="ListParagraph"/>
              <w:numPr>
                <w:ilvl w:val="0"/>
                <w:numId w:val="106"/>
              </w:numPr>
              <w:rPr>
                <w:sz w:val="19"/>
                <w:szCs w:val="19"/>
              </w:rPr>
            </w:pPr>
            <w:r w:rsidRPr="005B469B">
              <w:rPr>
                <w:sz w:val="19"/>
                <w:szCs w:val="19"/>
              </w:rPr>
              <w:t>One set reflecting the requirements in effect immediately prior to the revised Conceptual Framework being issued which are not updated.</w:t>
            </w:r>
          </w:p>
        </w:tc>
        <w:tc>
          <w:tcPr>
            <w:tcW w:w="1801" w:type="dxa"/>
            <w:shd w:val="clear" w:color="auto" w:fill="auto"/>
          </w:tcPr>
          <w:p w14:paraId="0CB41342" w14:textId="77777777" w:rsidR="00B8773D" w:rsidRPr="005B469B" w:rsidRDefault="00B8773D" w:rsidP="00B8773D">
            <w:pPr>
              <w:jc w:val="left"/>
              <w:rPr>
                <w:szCs w:val="19"/>
              </w:rPr>
            </w:pPr>
            <w:r w:rsidRPr="005B469B">
              <w:rPr>
                <w:szCs w:val="19"/>
              </w:rPr>
              <w:t>Up to two sets of Australian Accounting Standards.</w:t>
            </w:r>
          </w:p>
        </w:tc>
      </w:tr>
      <w:tr w:rsidR="00B8773D" w:rsidRPr="005B469B" w14:paraId="419A46F4" w14:textId="77777777" w:rsidTr="003A6AF4">
        <w:tc>
          <w:tcPr>
            <w:tcW w:w="1800" w:type="dxa"/>
            <w:shd w:val="clear" w:color="auto" w:fill="auto"/>
          </w:tcPr>
          <w:p w14:paraId="67DE9A83" w14:textId="77777777" w:rsidR="00B8773D" w:rsidRPr="005B469B" w:rsidRDefault="00B8773D" w:rsidP="00B8773D">
            <w:pPr>
              <w:jc w:val="left"/>
              <w:rPr>
                <w:szCs w:val="19"/>
              </w:rPr>
            </w:pPr>
            <w:r w:rsidRPr="005B469B">
              <w:rPr>
                <w:szCs w:val="19"/>
              </w:rPr>
              <w:t xml:space="preserve">The </w:t>
            </w:r>
            <w:r>
              <w:rPr>
                <w:szCs w:val="19"/>
              </w:rPr>
              <w:t>r</w:t>
            </w:r>
            <w:r w:rsidRPr="005B469B">
              <w:rPr>
                <w:szCs w:val="19"/>
              </w:rPr>
              <w:t xml:space="preserve">eporting </w:t>
            </w:r>
            <w:r>
              <w:rPr>
                <w:szCs w:val="19"/>
              </w:rPr>
              <w:t>e</w:t>
            </w:r>
            <w:r w:rsidRPr="005B469B">
              <w:rPr>
                <w:szCs w:val="19"/>
              </w:rPr>
              <w:t>ntity clash</w:t>
            </w:r>
          </w:p>
        </w:tc>
        <w:tc>
          <w:tcPr>
            <w:tcW w:w="1800" w:type="dxa"/>
            <w:shd w:val="clear" w:color="auto" w:fill="auto"/>
          </w:tcPr>
          <w:p w14:paraId="61DA937E" w14:textId="53094A86" w:rsidR="00B8773D" w:rsidRPr="0056593B" w:rsidRDefault="00B8773D" w:rsidP="00531783">
            <w:pPr>
              <w:jc w:val="left"/>
              <w:rPr>
                <w:szCs w:val="19"/>
              </w:rPr>
            </w:pPr>
            <w:r w:rsidRPr="0056593B">
              <w:rPr>
                <w:szCs w:val="19"/>
              </w:rPr>
              <w:t>Addressed in Phase 1, by inserting paragraph AusCF1 into each Australian Accounting Standard that contains the term reporting entity.  Paragraph AusCF1 would direct other entities to AASB</w:t>
            </w:r>
            <w:r w:rsidR="00531783">
              <w:rPr>
                <w:szCs w:val="19"/>
              </w:rPr>
              <w:t> </w:t>
            </w:r>
            <w:r w:rsidRPr="0056593B">
              <w:rPr>
                <w:szCs w:val="19"/>
              </w:rPr>
              <w:t>105</w:t>
            </w:r>
            <w:r>
              <w:rPr>
                <w:szCs w:val="19"/>
              </w:rPr>
              <w:t>7</w:t>
            </w:r>
            <w:r w:rsidRPr="0056593B">
              <w:rPr>
                <w:rStyle w:val="FootnoteReference"/>
                <w:sz w:val="19"/>
                <w:szCs w:val="19"/>
              </w:rPr>
              <w:footnoteReference w:id="4"/>
            </w:r>
            <w:r w:rsidR="00531783">
              <w:rPr>
                <w:szCs w:val="19"/>
              </w:rPr>
              <w:t xml:space="preserve"> (and SAC </w:t>
            </w:r>
            <w:r w:rsidRPr="0056593B">
              <w:rPr>
                <w:szCs w:val="19"/>
              </w:rPr>
              <w:t>1) for the definition of the term reporting entity.</w:t>
            </w:r>
          </w:p>
        </w:tc>
        <w:tc>
          <w:tcPr>
            <w:tcW w:w="1801" w:type="dxa"/>
            <w:shd w:val="clear" w:color="auto" w:fill="auto"/>
          </w:tcPr>
          <w:p w14:paraId="195924F0" w14:textId="44ACBF17" w:rsidR="00B8773D" w:rsidRPr="005B469B" w:rsidRDefault="00B8773D" w:rsidP="00531783">
            <w:pPr>
              <w:jc w:val="left"/>
              <w:rPr>
                <w:szCs w:val="19"/>
              </w:rPr>
            </w:pPr>
            <w:r>
              <w:rPr>
                <w:szCs w:val="19"/>
              </w:rPr>
              <w:t>Addressed in Phase 1, by inserting p</w:t>
            </w:r>
            <w:r w:rsidRPr="005B469B">
              <w:rPr>
                <w:szCs w:val="19"/>
              </w:rPr>
              <w:t>aragraph AusCF1 into each Australian Accounting Standard that contains the term reporting entity</w:t>
            </w:r>
            <w:r>
              <w:rPr>
                <w:szCs w:val="19"/>
              </w:rPr>
              <w:t xml:space="preserve">.  Paragraph AusCF1 would </w:t>
            </w:r>
            <w:r w:rsidRPr="005B469B">
              <w:rPr>
                <w:szCs w:val="19"/>
              </w:rPr>
              <w:t>direct other entities to AASB</w:t>
            </w:r>
            <w:r w:rsidR="00531783">
              <w:rPr>
                <w:szCs w:val="19"/>
              </w:rPr>
              <w:t> </w:t>
            </w:r>
            <w:r w:rsidRPr="005B469B">
              <w:rPr>
                <w:szCs w:val="19"/>
              </w:rPr>
              <w:t>105</w:t>
            </w:r>
            <w:r>
              <w:rPr>
                <w:szCs w:val="19"/>
              </w:rPr>
              <w:t>7</w:t>
            </w:r>
            <w:r w:rsidRPr="005B469B">
              <w:rPr>
                <w:szCs w:val="19"/>
              </w:rPr>
              <w:t xml:space="preserve"> (and SAC</w:t>
            </w:r>
            <w:r w:rsidR="00531783">
              <w:rPr>
                <w:szCs w:val="19"/>
              </w:rPr>
              <w:t> </w:t>
            </w:r>
            <w:r w:rsidRPr="005B469B">
              <w:rPr>
                <w:szCs w:val="19"/>
              </w:rPr>
              <w:t>1) for the definition of the term reporting entity.</w:t>
            </w:r>
          </w:p>
        </w:tc>
        <w:tc>
          <w:tcPr>
            <w:tcW w:w="1800" w:type="dxa"/>
            <w:shd w:val="clear" w:color="auto" w:fill="auto"/>
          </w:tcPr>
          <w:p w14:paraId="0BEACEB4" w14:textId="77777777" w:rsidR="00B8773D" w:rsidRPr="005B469B" w:rsidRDefault="00B8773D" w:rsidP="00B8773D">
            <w:pPr>
              <w:jc w:val="left"/>
              <w:rPr>
                <w:szCs w:val="19"/>
              </w:rPr>
            </w:pPr>
            <w:r>
              <w:rPr>
                <w:szCs w:val="19"/>
              </w:rPr>
              <w:t>T</w:t>
            </w:r>
            <w:r w:rsidRPr="005B469B">
              <w:rPr>
                <w:szCs w:val="19"/>
              </w:rPr>
              <w:t>olerated</w:t>
            </w:r>
            <w:r>
              <w:rPr>
                <w:szCs w:val="19"/>
              </w:rPr>
              <w:t xml:space="preserve"> in Phase 1</w:t>
            </w:r>
            <w:r w:rsidRPr="005B469B">
              <w:rPr>
                <w:szCs w:val="19"/>
              </w:rPr>
              <w:t xml:space="preserve">.  That is, unlike in Option 1, it </w:t>
            </w:r>
            <w:r>
              <w:rPr>
                <w:szCs w:val="19"/>
              </w:rPr>
              <w:t xml:space="preserve">would </w:t>
            </w:r>
            <w:r w:rsidRPr="005B469B">
              <w:rPr>
                <w:szCs w:val="19"/>
              </w:rPr>
              <w:t>not be addressed via an AusCF1 paragraph.</w:t>
            </w:r>
          </w:p>
        </w:tc>
        <w:tc>
          <w:tcPr>
            <w:tcW w:w="1801" w:type="dxa"/>
            <w:shd w:val="clear" w:color="auto" w:fill="auto"/>
          </w:tcPr>
          <w:p w14:paraId="4A0875C1" w14:textId="77777777" w:rsidR="00B8773D" w:rsidRPr="005B469B" w:rsidRDefault="00B8773D" w:rsidP="00B8773D">
            <w:pPr>
              <w:jc w:val="left"/>
              <w:rPr>
                <w:szCs w:val="19"/>
              </w:rPr>
            </w:pPr>
            <w:r>
              <w:rPr>
                <w:szCs w:val="19"/>
              </w:rPr>
              <w:t>T</w:t>
            </w:r>
            <w:r w:rsidRPr="005B469B">
              <w:rPr>
                <w:szCs w:val="19"/>
              </w:rPr>
              <w:t>olerated</w:t>
            </w:r>
            <w:r>
              <w:rPr>
                <w:szCs w:val="19"/>
              </w:rPr>
              <w:t xml:space="preserve"> in Phase 1</w:t>
            </w:r>
            <w:r w:rsidRPr="005B469B">
              <w:rPr>
                <w:szCs w:val="19"/>
              </w:rPr>
              <w:t xml:space="preserve">.  That is, unlike in Option </w:t>
            </w:r>
            <w:r>
              <w:rPr>
                <w:szCs w:val="19"/>
              </w:rPr>
              <w:t>2</w:t>
            </w:r>
            <w:r w:rsidRPr="005B469B">
              <w:rPr>
                <w:szCs w:val="19"/>
              </w:rPr>
              <w:t xml:space="preserve">, it </w:t>
            </w:r>
            <w:r>
              <w:rPr>
                <w:szCs w:val="19"/>
              </w:rPr>
              <w:t xml:space="preserve">would </w:t>
            </w:r>
            <w:r w:rsidRPr="005B469B">
              <w:rPr>
                <w:szCs w:val="19"/>
              </w:rPr>
              <w:t>not be addressed via an AusCF1 paragraph.</w:t>
            </w:r>
          </w:p>
        </w:tc>
      </w:tr>
    </w:tbl>
    <w:p w14:paraId="56A0D050" w14:textId="77777777" w:rsidR="00B8773D" w:rsidRDefault="00B8773D" w:rsidP="00B8773D">
      <w:pPr>
        <w:pStyle w:val="Default"/>
        <w:rPr>
          <w:sz w:val="19"/>
          <w:szCs w:val="19"/>
        </w:rPr>
      </w:pPr>
    </w:p>
    <w:p w14:paraId="72646673" w14:textId="77777777" w:rsidR="00B8773D" w:rsidRPr="0029589D" w:rsidRDefault="00B8773D" w:rsidP="00551908">
      <w:pPr>
        <w:pStyle w:val="Default"/>
        <w:numPr>
          <w:ilvl w:val="0"/>
          <w:numId w:val="70"/>
        </w:numPr>
        <w:spacing w:before="100"/>
        <w:ind w:left="782" w:hanging="782"/>
        <w:jc w:val="both"/>
        <w:rPr>
          <w:sz w:val="19"/>
          <w:szCs w:val="19"/>
        </w:rPr>
      </w:pPr>
      <w:r>
        <w:rPr>
          <w:sz w:val="19"/>
          <w:szCs w:val="19"/>
        </w:rPr>
        <w:t xml:space="preserve">If Option 1 was adopted, it would result in two conceptual frameworks.  The revised Conceptual Framework would be applied by </w:t>
      </w:r>
      <w:r w:rsidRPr="00915125">
        <w:rPr>
          <w:sz w:val="19"/>
          <w:szCs w:val="19"/>
        </w:rPr>
        <w:t>for-profit private sector entities that have public accountability and are required by legislation to comply with Australian Accounting Standards</w:t>
      </w:r>
      <w:r>
        <w:rPr>
          <w:sz w:val="19"/>
          <w:szCs w:val="19"/>
        </w:rPr>
        <w:t xml:space="preserve">.  Other for-profit entities could elect to apply the revised Conceptual Framework voluntarily.  All other entities would continue to apply the existing Conceptual Framework.  To operate two conceptual frameworks with only one set of Australian Accounting Standards (including Interpretations), </w:t>
      </w:r>
      <w:r w:rsidRPr="00915125">
        <w:rPr>
          <w:sz w:val="19"/>
          <w:szCs w:val="19"/>
        </w:rPr>
        <w:t xml:space="preserve">the basic text of each </w:t>
      </w:r>
      <w:r>
        <w:rPr>
          <w:sz w:val="19"/>
          <w:szCs w:val="19"/>
        </w:rPr>
        <w:t xml:space="preserve">Australian Accounting </w:t>
      </w:r>
      <w:r w:rsidRPr="00915125">
        <w:rPr>
          <w:sz w:val="19"/>
          <w:szCs w:val="19"/>
        </w:rPr>
        <w:t xml:space="preserve">Standard </w:t>
      </w:r>
      <w:r>
        <w:rPr>
          <w:sz w:val="19"/>
          <w:szCs w:val="19"/>
        </w:rPr>
        <w:t xml:space="preserve">would </w:t>
      </w:r>
      <w:r w:rsidRPr="00915125">
        <w:rPr>
          <w:sz w:val="19"/>
          <w:szCs w:val="19"/>
        </w:rPr>
        <w:t>be updated for consistency with the IASB’s consequential amendments.  The existing</w:t>
      </w:r>
      <w:r>
        <w:rPr>
          <w:sz w:val="19"/>
          <w:szCs w:val="19"/>
        </w:rPr>
        <w:t>,</w:t>
      </w:r>
      <w:r w:rsidRPr="00915125">
        <w:rPr>
          <w:sz w:val="19"/>
          <w:szCs w:val="19"/>
        </w:rPr>
        <w:t xml:space="preserve"> </w:t>
      </w:r>
      <w:r>
        <w:rPr>
          <w:sz w:val="19"/>
          <w:szCs w:val="19"/>
        </w:rPr>
        <w:t xml:space="preserve">pre-amendment </w:t>
      </w:r>
      <w:r w:rsidRPr="00915125">
        <w:rPr>
          <w:sz w:val="19"/>
          <w:szCs w:val="19"/>
        </w:rPr>
        <w:t xml:space="preserve">text </w:t>
      </w:r>
      <w:r>
        <w:rPr>
          <w:sz w:val="19"/>
          <w:szCs w:val="19"/>
        </w:rPr>
        <w:t>would also b</w:t>
      </w:r>
      <w:r w:rsidRPr="00915125">
        <w:rPr>
          <w:sz w:val="19"/>
          <w:szCs w:val="19"/>
        </w:rPr>
        <w:t>e retained</w:t>
      </w:r>
      <w:r>
        <w:rPr>
          <w:sz w:val="19"/>
          <w:szCs w:val="19"/>
        </w:rPr>
        <w:t>,</w:t>
      </w:r>
      <w:r w:rsidRPr="00915125">
        <w:rPr>
          <w:sz w:val="19"/>
          <w:szCs w:val="19"/>
        </w:rPr>
        <w:t xml:space="preserve"> </w:t>
      </w:r>
      <w:r>
        <w:rPr>
          <w:sz w:val="19"/>
          <w:szCs w:val="19"/>
        </w:rPr>
        <w:t xml:space="preserve">with </w:t>
      </w:r>
      <w:r w:rsidRPr="00915125">
        <w:rPr>
          <w:sz w:val="19"/>
          <w:szCs w:val="19"/>
        </w:rPr>
        <w:t xml:space="preserve">the paragraph or footnote given an ‘AusCF’ prefix.  Australian Accounting Standards that do not have an equivalent </w:t>
      </w:r>
      <w:r w:rsidR="004A1827">
        <w:rPr>
          <w:sz w:val="19"/>
          <w:szCs w:val="19"/>
        </w:rPr>
        <w:t xml:space="preserve">IFRS Standard </w:t>
      </w:r>
      <w:r>
        <w:rPr>
          <w:sz w:val="19"/>
          <w:szCs w:val="19"/>
        </w:rPr>
        <w:t xml:space="preserve">and future consequential amendments would </w:t>
      </w:r>
      <w:r w:rsidRPr="00915125">
        <w:rPr>
          <w:sz w:val="19"/>
          <w:szCs w:val="19"/>
        </w:rPr>
        <w:t xml:space="preserve">be </w:t>
      </w:r>
      <w:r>
        <w:rPr>
          <w:sz w:val="19"/>
          <w:szCs w:val="19"/>
        </w:rPr>
        <w:t xml:space="preserve">addressed </w:t>
      </w:r>
      <w:r w:rsidRPr="00915125">
        <w:rPr>
          <w:sz w:val="19"/>
          <w:szCs w:val="19"/>
        </w:rPr>
        <w:t>in the same way.</w:t>
      </w:r>
      <w:r>
        <w:rPr>
          <w:sz w:val="19"/>
          <w:szCs w:val="19"/>
        </w:rPr>
        <w:t xml:space="preserve">  To address the reporting entity clash, e</w:t>
      </w:r>
      <w:r w:rsidRPr="0029589D">
        <w:rPr>
          <w:sz w:val="19"/>
          <w:szCs w:val="19"/>
        </w:rPr>
        <w:t xml:space="preserve">ntities applying the </w:t>
      </w:r>
      <w:r>
        <w:rPr>
          <w:sz w:val="19"/>
          <w:szCs w:val="19"/>
        </w:rPr>
        <w:t xml:space="preserve">revised Conceptual Framework would </w:t>
      </w:r>
      <w:r w:rsidRPr="0029589D">
        <w:rPr>
          <w:sz w:val="19"/>
          <w:szCs w:val="19"/>
        </w:rPr>
        <w:t xml:space="preserve">no longer apply the reporting entity concept in SAC 1.  </w:t>
      </w:r>
      <w:r>
        <w:rPr>
          <w:sz w:val="19"/>
          <w:szCs w:val="19"/>
        </w:rPr>
        <w:t xml:space="preserve">Instead, </w:t>
      </w:r>
      <w:r w:rsidRPr="0029589D">
        <w:rPr>
          <w:sz w:val="19"/>
          <w:szCs w:val="19"/>
        </w:rPr>
        <w:t xml:space="preserve">these entities </w:t>
      </w:r>
      <w:r>
        <w:rPr>
          <w:sz w:val="19"/>
          <w:szCs w:val="19"/>
        </w:rPr>
        <w:t xml:space="preserve">would </w:t>
      </w:r>
      <w:r w:rsidRPr="0029589D">
        <w:rPr>
          <w:sz w:val="19"/>
          <w:szCs w:val="19"/>
        </w:rPr>
        <w:t xml:space="preserve">refer to Chapter 3 of the </w:t>
      </w:r>
      <w:r>
        <w:rPr>
          <w:sz w:val="19"/>
          <w:szCs w:val="19"/>
        </w:rPr>
        <w:t xml:space="preserve">revised Conceptual Framework to determine what the term </w:t>
      </w:r>
      <w:r w:rsidRPr="0029589D">
        <w:rPr>
          <w:sz w:val="19"/>
          <w:szCs w:val="19"/>
        </w:rPr>
        <w:t xml:space="preserve">reporting entity means </w:t>
      </w:r>
      <w:r>
        <w:rPr>
          <w:sz w:val="19"/>
          <w:szCs w:val="19"/>
        </w:rPr>
        <w:t xml:space="preserve">for </w:t>
      </w:r>
      <w:r w:rsidRPr="0029589D">
        <w:rPr>
          <w:sz w:val="19"/>
          <w:szCs w:val="19"/>
        </w:rPr>
        <w:t>them.</w:t>
      </w:r>
      <w:r>
        <w:rPr>
          <w:sz w:val="19"/>
          <w:szCs w:val="19"/>
        </w:rPr>
        <w:t xml:space="preserve">  </w:t>
      </w:r>
      <w:r w:rsidRPr="0029589D">
        <w:rPr>
          <w:sz w:val="19"/>
          <w:szCs w:val="19"/>
        </w:rPr>
        <w:t xml:space="preserve">Entities applying the </w:t>
      </w:r>
      <w:r w:rsidR="00DF4F07">
        <w:rPr>
          <w:sz w:val="19"/>
          <w:szCs w:val="19"/>
        </w:rPr>
        <w:t>existing C</w:t>
      </w:r>
      <w:r>
        <w:rPr>
          <w:sz w:val="19"/>
          <w:szCs w:val="19"/>
        </w:rPr>
        <w:t xml:space="preserve">onceptual </w:t>
      </w:r>
      <w:r w:rsidR="00DF4F07">
        <w:rPr>
          <w:sz w:val="19"/>
          <w:szCs w:val="19"/>
        </w:rPr>
        <w:t>F</w:t>
      </w:r>
      <w:r w:rsidRPr="0029589D">
        <w:rPr>
          <w:sz w:val="19"/>
          <w:szCs w:val="19"/>
        </w:rPr>
        <w:t xml:space="preserve">ramework </w:t>
      </w:r>
      <w:r>
        <w:rPr>
          <w:sz w:val="19"/>
          <w:szCs w:val="19"/>
        </w:rPr>
        <w:t xml:space="preserve">would </w:t>
      </w:r>
      <w:r w:rsidRPr="0029589D">
        <w:rPr>
          <w:sz w:val="19"/>
          <w:szCs w:val="19"/>
        </w:rPr>
        <w:t>continue referring to the reporting entity definition in AASB 105</w:t>
      </w:r>
      <w:r>
        <w:rPr>
          <w:sz w:val="19"/>
          <w:szCs w:val="19"/>
        </w:rPr>
        <w:t>7</w:t>
      </w:r>
      <w:r w:rsidRPr="0029589D">
        <w:rPr>
          <w:sz w:val="19"/>
          <w:szCs w:val="19"/>
        </w:rPr>
        <w:t xml:space="preserve"> and SAC 1.</w:t>
      </w:r>
    </w:p>
    <w:p w14:paraId="7A5467E6" w14:textId="267CC894" w:rsidR="00B8773D" w:rsidRDefault="00B8773D" w:rsidP="00551908">
      <w:pPr>
        <w:pStyle w:val="Default"/>
        <w:numPr>
          <w:ilvl w:val="0"/>
          <w:numId w:val="70"/>
        </w:numPr>
        <w:spacing w:before="100"/>
        <w:ind w:left="782" w:hanging="782"/>
        <w:jc w:val="both"/>
        <w:rPr>
          <w:sz w:val="19"/>
          <w:szCs w:val="19"/>
        </w:rPr>
      </w:pPr>
      <w:r>
        <w:rPr>
          <w:sz w:val="19"/>
          <w:szCs w:val="19"/>
        </w:rPr>
        <w:t>If Option 2 was adopted, it would result in the revised Conceptual Framework being applied either in full or in part by all entities.  F</w:t>
      </w:r>
      <w:r w:rsidRPr="00915125">
        <w:rPr>
          <w:sz w:val="19"/>
          <w:szCs w:val="19"/>
        </w:rPr>
        <w:t>or-profit private sector entities that have public accountability and are required by legislation to comply with Australian Accounting Standards</w:t>
      </w:r>
      <w:r>
        <w:rPr>
          <w:sz w:val="19"/>
          <w:szCs w:val="19"/>
        </w:rPr>
        <w:t xml:space="preserve"> would adopt the revised Conceptual Framework in full.  Other for-profit entities could also elect to do so voluntarily.  All other entities would apply the revised Conceptual Framework, except for Chapter 3.  Instead, these entities would refer to </w:t>
      </w:r>
      <w:r w:rsidR="00282B64">
        <w:rPr>
          <w:sz w:val="19"/>
          <w:szCs w:val="19"/>
        </w:rPr>
        <w:t>SAC </w:t>
      </w:r>
      <w:r>
        <w:rPr>
          <w:sz w:val="19"/>
          <w:szCs w:val="19"/>
        </w:rPr>
        <w:t>1 for the definition of the term reporting entity.  This would address the reporting entity clash.</w:t>
      </w:r>
    </w:p>
    <w:p w14:paraId="3A4E3639" w14:textId="77777777" w:rsidR="00B8773D" w:rsidRDefault="00B8773D" w:rsidP="00551908">
      <w:pPr>
        <w:pStyle w:val="Default"/>
        <w:numPr>
          <w:ilvl w:val="0"/>
          <w:numId w:val="70"/>
        </w:numPr>
        <w:spacing w:before="100"/>
        <w:ind w:left="782" w:hanging="782"/>
        <w:jc w:val="both"/>
        <w:rPr>
          <w:sz w:val="19"/>
          <w:szCs w:val="19"/>
        </w:rPr>
      </w:pPr>
      <w:r>
        <w:rPr>
          <w:sz w:val="19"/>
          <w:szCs w:val="19"/>
        </w:rPr>
        <w:t>Option 3 is similar to Option 1 as it would result in two conceptual frameworks, however unlike Option 1, Option 3 would result in two sets of Australian Accounting Standards.  One set would be amended for entities adopting the revised Conceptual Framework.  The second set would be frozen at the date the revised Conceptual Framework was issued, and would be applied by entities continuing to apply the existing Conceptual Framework.  Option 3 would not address the reporting entity clash.</w:t>
      </w:r>
    </w:p>
    <w:p w14:paraId="6F5017A8" w14:textId="77777777" w:rsidR="00B8773D" w:rsidRDefault="00B8773D" w:rsidP="00551908">
      <w:pPr>
        <w:pStyle w:val="Default"/>
        <w:numPr>
          <w:ilvl w:val="0"/>
          <w:numId w:val="70"/>
        </w:numPr>
        <w:spacing w:before="100"/>
        <w:ind w:left="782" w:hanging="782"/>
        <w:jc w:val="both"/>
        <w:rPr>
          <w:sz w:val="19"/>
          <w:szCs w:val="19"/>
        </w:rPr>
      </w:pPr>
      <w:r>
        <w:rPr>
          <w:sz w:val="19"/>
          <w:szCs w:val="19"/>
        </w:rPr>
        <w:t>Option 4 is similar to Option 2, as it would result in a single conceptual framework, however similarly to Option 3, it would result in up to two sets of Australian Accounting Standards.  Option 4, like Option 3, would not address the reporting entity clash.</w:t>
      </w:r>
    </w:p>
    <w:p w14:paraId="5065AFA7" w14:textId="7DE0336A" w:rsidR="00B8773D" w:rsidRPr="00887E0B" w:rsidRDefault="00B8773D" w:rsidP="00551908">
      <w:pPr>
        <w:pStyle w:val="Default"/>
        <w:numPr>
          <w:ilvl w:val="0"/>
          <w:numId w:val="70"/>
        </w:numPr>
        <w:spacing w:before="100"/>
        <w:ind w:left="782" w:hanging="782"/>
        <w:jc w:val="both"/>
        <w:rPr>
          <w:sz w:val="19"/>
          <w:szCs w:val="19"/>
        </w:rPr>
      </w:pPr>
      <w:r w:rsidRPr="00887E0B">
        <w:rPr>
          <w:sz w:val="19"/>
          <w:szCs w:val="19"/>
        </w:rPr>
        <w:t>While Option 1 results in there being two conceptual frameworks in operation for a period of time and does not resolve the reporting entity clash</w:t>
      </w:r>
      <w:r>
        <w:rPr>
          <w:sz w:val="19"/>
          <w:szCs w:val="19"/>
        </w:rPr>
        <w:t xml:space="preserve"> in the immediate term</w:t>
      </w:r>
      <w:r w:rsidRPr="00887E0B">
        <w:rPr>
          <w:sz w:val="19"/>
          <w:szCs w:val="19"/>
        </w:rPr>
        <w:t xml:space="preserve">, </w:t>
      </w:r>
      <w:r>
        <w:rPr>
          <w:sz w:val="19"/>
          <w:szCs w:val="19"/>
        </w:rPr>
        <w:t>t</w:t>
      </w:r>
      <w:r w:rsidRPr="00887E0B">
        <w:rPr>
          <w:sz w:val="19"/>
          <w:szCs w:val="19"/>
        </w:rPr>
        <w:t>he Board decided th</w:t>
      </w:r>
      <w:r>
        <w:rPr>
          <w:sz w:val="19"/>
          <w:szCs w:val="19"/>
        </w:rPr>
        <w:t>at</w:t>
      </w:r>
      <w:r w:rsidRPr="00887E0B">
        <w:rPr>
          <w:sz w:val="19"/>
          <w:szCs w:val="19"/>
        </w:rPr>
        <w:t xml:space="preserve"> </w:t>
      </w:r>
      <w:r>
        <w:rPr>
          <w:sz w:val="19"/>
          <w:szCs w:val="19"/>
        </w:rPr>
        <w:t xml:space="preserve">it was the </w:t>
      </w:r>
      <w:r w:rsidRPr="00887E0B">
        <w:rPr>
          <w:sz w:val="19"/>
          <w:szCs w:val="19"/>
        </w:rPr>
        <w:t>most appropriate Phase 1 approach for the following reasons:</w:t>
      </w:r>
    </w:p>
    <w:p w14:paraId="68107681" w14:textId="46B87501" w:rsidR="00B8773D" w:rsidRPr="00551908" w:rsidRDefault="00551908" w:rsidP="00551908">
      <w:pPr>
        <w:pStyle w:val="IASBNormalnparaL1"/>
        <w:rPr>
          <w:szCs w:val="18"/>
        </w:rPr>
      </w:pPr>
      <w:r>
        <w:rPr>
          <w:szCs w:val="19"/>
        </w:rPr>
        <w:t>(a)</w:t>
      </w:r>
      <w:r>
        <w:rPr>
          <w:szCs w:val="19"/>
        </w:rPr>
        <w:tab/>
      </w:r>
      <w:r w:rsidR="00B8773D">
        <w:rPr>
          <w:szCs w:val="19"/>
        </w:rPr>
        <w:t>t</w:t>
      </w:r>
      <w:r w:rsidR="00B8773D" w:rsidRPr="00750864">
        <w:rPr>
          <w:szCs w:val="19"/>
        </w:rPr>
        <w:t xml:space="preserve">he </w:t>
      </w:r>
      <w:r w:rsidR="00B8773D" w:rsidRPr="00551908">
        <w:rPr>
          <w:szCs w:val="18"/>
        </w:rPr>
        <w:t>application of the two conceptual frameworks is clearly defined and is less likely to cause confusion for constituents;</w:t>
      </w:r>
    </w:p>
    <w:p w14:paraId="5A9F0EB9" w14:textId="2D6D8BEB" w:rsidR="00B8773D" w:rsidRPr="00551908" w:rsidRDefault="00551908" w:rsidP="00551908">
      <w:pPr>
        <w:pStyle w:val="IASBNormalnparaL1"/>
        <w:rPr>
          <w:szCs w:val="18"/>
        </w:rPr>
      </w:pPr>
      <w:r>
        <w:rPr>
          <w:szCs w:val="18"/>
        </w:rPr>
        <w:t>(b)</w:t>
      </w:r>
      <w:r>
        <w:rPr>
          <w:szCs w:val="18"/>
        </w:rPr>
        <w:tab/>
      </w:r>
      <w:r w:rsidR="00B8773D" w:rsidRPr="00551908">
        <w:rPr>
          <w:szCs w:val="18"/>
        </w:rPr>
        <w:t>Option 1 would address the reporting entity clash in the medium term;</w:t>
      </w:r>
    </w:p>
    <w:p w14:paraId="2304C393" w14:textId="7150830C" w:rsidR="00B8773D" w:rsidRPr="00551908" w:rsidRDefault="00551908" w:rsidP="00551908">
      <w:pPr>
        <w:pStyle w:val="IASBNormalnparaL1"/>
        <w:rPr>
          <w:szCs w:val="18"/>
        </w:rPr>
      </w:pPr>
      <w:r>
        <w:rPr>
          <w:szCs w:val="18"/>
        </w:rPr>
        <w:t>(c)</w:t>
      </w:r>
      <w:r>
        <w:rPr>
          <w:szCs w:val="18"/>
        </w:rPr>
        <w:tab/>
      </w:r>
      <w:r w:rsidR="00B8773D" w:rsidRPr="00551908">
        <w:rPr>
          <w:szCs w:val="18"/>
        </w:rPr>
        <w:t>Option 1 would be more straightforward to unwind when implementing Phase 2;</w:t>
      </w:r>
    </w:p>
    <w:p w14:paraId="08CF9541" w14:textId="38C05D0B" w:rsidR="00B8773D" w:rsidRPr="00551908" w:rsidRDefault="00551908" w:rsidP="00551908">
      <w:pPr>
        <w:pStyle w:val="IASBNormalnparaL1"/>
        <w:rPr>
          <w:szCs w:val="18"/>
        </w:rPr>
      </w:pPr>
      <w:r>
        <w:rPr>
          <w:szCs w:val="18"/>
        </w:rPr>
        <w:t>(d)</w:t>
      </w:r>
      <w:r>
        <w:rPr>
          <w:szCs w:val="18"/>
        </w:rPr>
        <w:tab/>
      </w:r>
      <w:r w:rsidR="00B8773D" w:rsidRPr="00551908">
        <w:rPr>
          <w:szCs w:val="18"/>
        </w:rPr>
        <w:t>the revised Conceptual Framework contains new recognition and measurement requirements for assets, liabilities, income and expenses.  Unless an entity is applying the revised Conceptual Framework, it is not required to adopt those revised recognition and measurement requirements until Phase 2 is implemented.  That is, for entities applying the existing Conceptual Framework, the existing Conceptual Framework and the related references in Australian Accounting Standards are effectively frozen; and</w:t>
      </w:r>
    </w:p>
    <w:p w14:paraId="1E9D9098" w14:textId="51B52475" w:rsidR="00B8773D" w:rsidRDefault="00551908" w:rsidP="00551908">
      <w:pPr>
        <w:pStyle w:val="IASBNormalnparaL1"/>
        <w:rPr>
          <w:szCs w:val="19"/>
        </w:rPr>
      </w:pPr>
      <w:r>
        <w:rPr>
          <w:szCs w:val="18"/>
        </w:rPr>
        <w:t>(e)</w:t>
      </w:r>
      <w:r>
        <w:rPr>
          <w:szCs w:val="18"/>
        </w:rPr>
        <w:tab/>
      </w:r>
      <w:r w:rsidR="00B8773D" w:rsidRPr="00551908">
        <w:rPr>
          <w:szCs w:val="18"/>
        </w:rPr>
        <w:t>there is no need to consider whether other aspects of the revised Conceptual Framework need to be amended to accommodate retaining SAC 1, which includes the Australian definition of the term reporting entity</w:t>
      </w:r>
      <w:r w:rsidR="00B8773D" w:rsidRPr="00750864">
        <w:rPr>
          <w:szCs w:val="19"/>
        </w:rPr>
        <w:t>.</w:t>
      </w:r>
    </w:p>
    <w:p w14:paraId="090FF61F" w14:textId="77777777" w:rsidR="00B8773D" w:rsidRDefault="00B8773D" w:rsidP="00551908">
      <w:pPr>
        <w:pStyle w:val="Default"/>
        <w:numPr>
          <w:ilvl w:val="0"/>
          <w:numId w:val="70"/>
        </w:numPr>
        <w:spacing w:before="100"/>
        <w:ind w:left="782" w:hanging="782"/>
        <w:jc w:val="both"/>
        <w:rPr>
          <w:sz w:val="19"/>
          <w:szCs w:val="19"/>
        </w:rPr>
      </w:pPr>
      <w:r w:rsidRPr="00003884">
        <w:rPr>
          <w:sz w:val="19"/>
          <w:szCs w:val="19"/>
        </w:rPr>
        <w:t xml:space="preserve">While Option 2 </w:t>
      </w:r>
      <w:r>
        <w:rPr>
          <w:sz w:val="19"/>
          <w:szCs w:val="19"/>
        </w:rPr>
        <w:t xml:space="preserve">would </w:t>
      </w:r>
      <w:r w:rsidRPr="00003884">
        <w:rPr>
          <w:sz w:val="19"/>
          <w:szCs w:val="19"/>
        </w:rPr>
        <w:t>result in a single conceptual framework</w:t>
      </w:r>
      <w:r>
        <w:rPr>
          <w:sz w:val="19"/>
          <w:szCs w:val="19"/>
        </w:rPr>
        <w:t>, and would address</w:t>
      </w:r>
      <w:r w:rsidRPr="00003884">
        <w:rPr>
          <w:sz w:val="19"/>
          <w:szCs w:val="19"/>
        </w:rPr>
        <w:t xml:space="preserve"> the reporting entity</w:t>
      </w:r>
      <w:r>
        <w:rPr>
          <w:sz w:val="19"/>
          <w:szCs w:val="19"/>
        </w:rPr>
        <w:t xml:space="preserve"> clash</w:t>
      </w:r>
      <w:r w:rsidRPr="00003884">
        <w:rPr>
          <w:sz w:val="19"/>
          <w:szCs w:val="19"/>
        </w:rPr>
        <w:t xml:space="preserve">, </w:t>
      </w:r>
      <w:r>
        <w:rPr>
          <w:sz w:val="19"/>
          <w:szCs w:val="19"/>
        </w:rPr>
        <w:t xml:space="preserve">the Board decided that </w:t>
      </w:r>
      <w:r w:rsidRPr="00003884">
        <w:rPr>
          <w:sz w:val="19"/>
          <w:szCs w:val="19"/>
        </w:rPr>
        <w:t xml:space="preserve">Option 2 </w:t>
      </w:r>
      <w:r>
        <w:rPr>
          <w:sz w:val="19"/>
          <w:szCs w:val="19"/>
        </w:rPr>
        <w:t xml:space="preserve">was </w:t>
      </w:r>
      <w:r w:rsidRPr="00003884">
        <w:rPr>
          <w:sz w:val="19"/>
          <w:szCs w:val="19"/>
        </w:rPr>
        <w:t>more likely to create confusion amongst constituents</w:t>
      </w:r>
      <w:r>
        <w:rPr>
          <w:sz w:val="19"/>
          <w:szCs w:val="19"/>
        </w:rPr>
        <w:t xml:space="preserve">.  This is because under Option 2 it is </w:t>
      </w:r>
      <w:r w:rsidRPr="00003884">
        <w:rPr>
          <w:sz w:val="19"/>
          <w:szCs w:val="19"/>
        </w:rPr>
        <w:t xml:space="preserve">less clear which elements of the </w:t>
      </w:r>
      <w:r>
        <w:rPr>
          <w:sz w:val="19"/>
          <w:szCs w:val="19"/>
        </w:rPr>
        <w:t xml:space="preserve">revised Conceptual Framework would </w:t>
      </w:r>
      <w:r w:rsidRPr="00003884">
        <w:rPr>
          <w:sz w:val="19"/>
          <w:szCs w:val="19"/>
        </w:rPr>
        <w:t xml:space="preserve">apply to </w:t>
      </w:r>
      <w:r>
        <w:rPr>
          <w:sz w:val="19"/>
          <w:szCs w:val="19"/>
        </w:rPr>
        <w:t xml:space="preserve">certain entities </w:t>
      </w:r>
      <w:r w:rsidRPr="00003884">
        <w:rPr>
          <w:sz w:val="19"/>
          <w:szCs w:val="19"/>
        </w:rPr>
        <w:t xml:space="preserve">and which </w:t>
      </w:r>
      <w:r>
        <w:rPr>
          <w:sz w:val="19"/>
          <w:szCs w:val="19"/>
        </w:rPr>
        <w:t xml:space="preserve">would </w:t>
      </w:r>
      <w:r w:rsidRPr="00003884">
        <w:rPr>
          <w:sz w:val="19"/>
          <w:szCs w:val="19"/>
        </w:rPr>
        <w:t>n</w:t>
      </w:r>
      <w:r>
        <w:rPr>
          <w:sz w:val="19"/>
          <w:szCs w:val="19"/>
        </w:rPr>
        <w:t>o</w:t>
      </w:r>
      <w:r w:rsidRPr="00003884">
        <w:rPr>
          <w:sz w:val="19"/>
          <w:szCs w:val="19"/>
        </w:rPr>
        <w:t xml:space="preserve">t. </w:t>
      </w:r>
      <w:r>
        <w:rPr>
          <w:sz w:val="19"/>
          <w:szCs w:val="19"/>
        </w:rPr>
        <w:t xml:space="preserve"> </w:t>
      </w:r>
      <w:r w:rsidRPr="00003884">
        <w:rPr>
          <w:sz w:val="19"/>
          <w:szCs w:val="19"/>
        </w:rPr>
        <w:t xml:space="preserve">Also, other entities </w:t>
      </w:r>
      <w:r>
        <w:rPr>
          <w:sz w:val="19"/>
          <w:szCs w:val="19"/>
        </w:rPr>
        <w:t xml:space="preserve">would be required </w:t>
      </w:r>
      <w:r w:rsidRPr="00003884">
        <w:rPr>
          <w:sz w:val="19"/>
          <w:szCs w:val="19"/>
        </w:rPr>
        <w:t xml:space="preserve">to apply the new recognition and measurement requirements in the </w:t>
      </w:r>
      <w:r>
        <w:rPr>
          <w:sz w:val="19"/>
          <w:szCs w:val="19"/>
        </w:rPr>
        <w:t xml:space="preserve">revised Conceptual Framework </w:t>
      </w:r>
      <w:r w:rsidRPr="00003884">
        <w:rPr>
          <w:sz w:val="19"/>
          <w:szCs w:val="19"/>
        </w:rPr>
        <w:t xml:space="preserve">in circumstances where an </w:t>
      </w:r>
      <w:r>
        <w:rPr>
          <w:sz w:val="19"/>
          <w:szCs w:val="19"/>
        </w:rPr>
        <w:t xml:space="preserve">Australian Accounting Standard (or Interpretation) did </w:t>
      </w:r>
      <w:r w:rsidRPr="00003884">
        <w:rPr>
          <w:sz w:val="19"/>
          <w:szCs w:val="19"/>
        </w:rPr>
        <w:t>not address an issue</w:t>
      </w:r>
      <w:r>
        <w:rPr>
          <w:sz w:val="19"/>
          <w:szCs w:val="19"/>
        </w:rPr>
        <w:t xml:space="preserve">.  </w:t>
      </w:r>
      <w:r w:rsidRPr="00003884">
        <w:rPr>
          <w:sz w:val="19"/>
          <w:szCs w:val="19"/>
        </w:rPr>
        <w:t xml:space="preserve">In addition, extensive work would be required to review all aspects of the </w:t>
      </w:r>
      <w:r>
        <w:rPr>
          <w:sz w:val="19"/>
          <w:szCs w:val="19"/>
        </w:rPr>
        <w:t xml:space="preserve">revised Conceptual Framework </w:t>
      </w:r>
      <w:r w:rsidRPr="00003884">
        <w:rPr>
          <w:sz w:val="19"/>
          <w:szCs w:val="19"/>
        </w:rPr>
        <w:t xml:space="preserve">to </w:t>
      </w:r>
      <w:r>
        <w:rPr>
          <w:sz w:val="19"/>
          <w:szCs w:val="19"/>
        </w:rPr>
        <w:t>determine</w:t>
      </w:r>
      <w:r w:rsidRPr="00003884">
        <w:rPr>
          <w:sz w:val="19"/>
          <w:szCs w:val="19"/>
        </w:rPr>
        <w:t xml:space="preserve"> what other changes </w:t>
      </w:r>
      <w:r>
        <w:rPr>
          <w:sz w:val="19"/>
          <w:szCs w:val="19"/>
        </w:rPr>
        <w:t xml:space="preserve">would be </w:t>
      </w:r>
      <w:r w:rsidRPr="00003884">
        <w:rPr>
          <w:sz w:val="19"/>
          <w:szCs w:val="19"/>
        </w:rPr>
        <w:t xml:space="preserve">necessary to </w:t>
      </w:r>
      <w:r>
        <w:rPr>
          <w:sz w:val="19"/>
          <w:szCs w:val="19"/>
        </w:rPr>
        <w:t xml:space="preserve">accommodate retaining SAC 1 and </w:t>
      </w:r>
      <w:r w:rsidRPr="00003884">
        <w:rPr>
          <w:sz w:val="19"/>
          <w:szCs w:val="19"/>
        </w:rPr>
        <w:t>the Australian definitio</w:t>
      </w:r>
      <w:r>
        <w:rPr>
          <w:sz w:val="19"/>
          <w:szCs w:val="19"/>
        </w:rPr>
        <w:t>n of the term reporting entity.</w:t>
      </w:r>
    </w:p>
    <w:p w14:paraId="768F0118" w14:textId="77777777" w:rsidR="00B8773D" w:rsidRDefault="00B8773D" w:rsidP="00551908">
      <w:pPr>
        <w:pStyle w:val="Default"/>
        <w:numPr>
          <w:ilvl w:val="0"/>
          <w:numId w:val="70"/>
        </w:numPr>
        <w:spacing w:before="100"/>
        <w:ind w:left="782" w:hanging="782"/>
        <w:jc w:val="both"/>
        <w:rPr>
          <w:sz w:val="19"/>
          <w:szCs w:val="19"/>
        </w:rPr>
      </w:pPr>
      <w:r>
        <w:rPr>
          <w:sz w:val="19"/>
          <w:szCs w:val="19"/>
        </w:rPr>
        <w:t xml:space="preserve">The Board did not consider </w:t>
      </w:r>
      <w:r w:rsidRPr="00003884">
        <w:rPr>
          <w:sz w:val="19"/>
          <w:szCs w:val="19"/>
        </w:rPr>
        <w:t>Option 3 or Option 4 to be viable</w:t>
      </w:r>
      <w:r>
        <w:rPr>
          <w:sz w:val="19"/>
          <w:szCs w:val="19"/>
        </w:rPr>
        <w:t>,</w:t>
      </w:r>
      <w:r w:rsidRPr="00003884">
        <w:rPr>
          <w:sz w:val="19"/>
          <w:szCs w:val="19"/>
        </w:rPr>
        <w:t xml:space="preserve"> as both options </w:t>
      </w:r>
      <w:r>
        <w:rPr>
          <w:sz w:val="19"/>
          <w:szCs w:val="19"/>
        </w:rPr>
        <w:t xml:space="preserve">would </w:t>
      </w:r>
      <w:r w:rsidRPr="00003884">
        <w:rPr>
          <w:sz w:val="19"/>
          <w:szCs w:val="19"/>
        </w:rPr>
        <w:t xml:space="preserve">result in two sets of </w:t>
      </w:r>
      <w:r>
        <w:rPr>
          <w:sz w:val="19"/>
          <w:szCs w:val="19"/>
        </w:rPr>
        <w:t xml:space="preserve">Australian Accounting Standards, </w:t>
      </w:r>
      <w:r w:rsidRPr="00003884">
        <w:rPr>
          <w:sz w:val="19"/>
          <w:szCs w:val="19"/>
        </w:rPr>
        <w:t>which would be complex to manage (</w:t>
      </w:r>
      <w:r>
        <w:rPr>
          <w:sz w:val="19"/>
          <w:szCs w:val="19"/>
        </w:rPr>
        <w:t xml:space="preserve">for example </w:t>
      </w:r>
      <w:r w:rsidRPr="00003884">
        <w:rPr>
          <w:sz w:val="19"/>
          <w:szCs w:val="19"/>
        </w:rPr>
        <w:t xml:space="preserve">future compilations) and would present a much greater level of confusion for stakeholders in knowing which set of </w:t>
      </w:r>
      <w:r>
        <w:rPr>
          <w:sz w:val="19"/>
          <w:szCs w:val="19"/>
        </w:rPr>
        <w:t xml:space="preserve">Australian Accounting Standards </w:t>
      </w:r>
      <w:r w:rsidRPr="00003884">
        <w:rPr>
          <w:sz w:val="19"/>
          <w:szCs w:val="19"/>
        </w:rPr>
        <w:t>t</w:t>
      </w:r>
      <w:r>
        <w:rPr>
          <w:sz w:val="19"/>
          <w:szCs w:val="19"/>
        </w:rPr>
        <w:t xml:space="preserve">hey should </w:t>
      </w:r>
      <w:r w:rsidRPr="00003884">
        <w:rPr>
          <w:sz w:val="19"/>
          <w:szCs w:val="19"/>
        </w:rPr>
        <w:t>use</w:t>
      </w:r>
      <w:r>
        <w:rPr>
          <w:sz w:val="19"/>
          <w:szCs w:val="19"/>
        </w:rPr>
        <w:t xml:space="preserve">.  The existence of two sets of Australian Accounting Standards would also be challenging when </w:t>
      </w:r>
      <w:r w:rsidRPr="00003884">
        <w:rPr>
          <w:sz w:val="19"/>
          <w:szCs w:val="19"/>
        </w:rPr>
        <w:t>implementing Phase 2.</w:t>
      </w:r>
    </w:p>
    <w:p w14:paraId="6729DE2B" w14:textId="77777777" w:rsidR="00B8773D" w:rsidRPr="003A6AF4" w:rsidRDefault="00B8773D" w:rsidP="00BD146B">
      <w:pPr>
        <w:pStyle w:val="Heading4"/>
        <w:spacing w:before="200"/>
        <w:ind w:left="782"/>
        <w:jc w:val="both"/>
        <w:rPr>
          <w:sz w:val="22"/>
          <w:szCs w:val="22"/>
        </w:rPr>
      </w:pPr>
      <w:r w:rsidRPr="003A6AF4">
        <w:rPr>
          <w:sz w:val="22"/>
          <w:szCs w:val="22"/>
        </w:rPr>
        <w:t>Phase 1 approach</w:t>
      </w:r>
    </w:p>
    <w:p w14:paraId="4C3CF98D" w14:textId="0E6D0608" w:rsidR="00B8773D" w:rsidRDefault="0001345C" w:rsidP="00551908">
      <w:pPr>
        <w:pStyle w:val="Default"/>
        <w:numPr>
          <w:ilvl w:val="0"/>
          <w:numId w:val="70"/>
        </w:numPr>
        <w:spacing w:before="100"/>
        <w:ind w:left="782" w:hanging="782"/>
        <w:jc w:val="both"/>
        <w:rPr>
          <w:sz w:val="19"/>
          <w:szCs w:val="19"/>
        </w:rPr>
      </w:pPr>
      <w:r>
        <w:rPr>
          <w:sz w:val="19"/>
          <w:szCs w:val="19"/>
        </w:rPr>
        <w:t>I</w:t>
      </w:r>
      <w:r w:rsidR="00B8773D">
        <w:rPr>
          <w:sz w:val="19"/>
          <w:szCs w:val="19"/>
        </w:rPr>
        <w:t>mplement</w:t>
      </w:r>
      <w:r>
        <w:rPr>
          <w:sz w:val="19"/>
          <w:szCs w:val="19"/>
        </w:rPr>
        <w:t xml:space="preserve">ation of </w:t>
      </w:r>
      <w:r w:rsidR="00B8773D">
        <w:rPr>
          <w:sz w:val="19"/>
          <w:szCs w:val="19"/>
        </w:rPr>
        <w:t xml:space="preserve">Option 1 in Phase 1 </w:t>
      </w:r>
      <w:r>
        <w:rPr>
          <w:sz w:val="19"/>
          <w:szCs w:val="19"/>
        </w:rPr>
        <w:t>requires</w:t>
      </w:r>
      <w:r w:rsidR="00B8773D">
        <w:rPr>
          <w:sz w:val="19"/>
          <w:szCs w:val="19"/>
        </w:rPr>
        <w:t xml:space="preserve"> identif</w:t>
      </w:r>
      <w:r>
        <w:rPr>
          <w:sz w:val="19"/>
          <w:szCs w:val="19"/>
        </w:rPr>
        <w:t>ication of</w:t>
      </w:r>
      <w:r w:rsidR="00B8773D">
        <w:rPr>
          <w:sz w:val="19"/>
          <w:szCs w:val="19"/>
        </w:rPr>
        <w:t xml:space="preserve"> all references to the existing Conceptual Framework in each Australian pronouncement</w:t>
      </w:r>
      <w:r>
        <w:rPr>
          <w:sz w:val="19"/>
          <w:szCs w:val="19"/>
        </w:rPr>
        <w:t xml:space="preserve"> and</w:t>
      </w:r>
      <w:r w:rsidR="00B8773D">
        <w:rPr>
          <w:sz w:val="19"/>
          <w:szCs w:val="19"/>
        </w:rPr>
        <w:t xml:space="preserve"> all references to the term reporting entity.</w:t>
      </w:r>
    </w:p>
    <w:p w14:paraId="2AB0ECB7" w14:textId="311A0751" w:rsidR="00B8773D" w:rsidRDefault="0001345C" w:rsidP="00551908">
      <w:pPr>
        <w:pStyle w:val="Default"/>
        <w:numPr>
          <w:ilvl w:val="0"/>
          <w:numId w:val="70"/>
        </w:numPr>
        <w:spacing w:before="100"/>
        <w:ind w:left="782" w:hanging="782"/>
        <w:jc w:val="both"/>
        <w:rPr>
          <w:sz w:val="19"/>
          <w:szCs w:val="19"/>
        </w:rPr>
      </w:pPr>
      <w:r>
        <w:rPr>
          <w:sz w:val="19"/>
          <w:szCs w:val="19"/>
        </w:rPr>
        <w:t>Implementation of</w:t>
      </w:r>
      <w:r w:rsidR="00B8773D" w:rsidRPr="002E1049">
        <w:rPr>
          <w:sz w:val="19"/>
          <w:szCs w:val="19"/>
        </w:rPr>
        <w:t xml:space="preserve"> two conceptual frameworks and one set of Australian Accounting Standards</w:t>
      </w:r>
      <w:r>
        <w:rPr>
          <w:sz w:val="19"/>
          <w:szCs w:val="19"/>
        </w:rPr>
        <w:t xml:space="preserve"> requires</w:t>
      </w:r>
      <w:r w:rsidR="00B8773D" w:rsidRPr="002E1049">
        <w:rPr>
          <w:sz w:val="19"/>
          <w:szCs w:val="19"/>
        </w:rPr>
        <w:t xml:space="preserve"> all references to the existing Conceptual Framework to be </w:t>
      </w:r>
      <w:r>
        <w:rPr>
          <w:sz w:val="19"/>
          <w:szCs w:val="19"/>
        </w:rPr>
        <w:t xml:space="preserve">updated as </w:t>
      </w:r>
      <w:r w:rsidR="00B8773D" w:rsidRPr="002E1049">
        <w:rPr>
          <w:sz w:val="19"/>
          <w:szCs w:val="19"/>
        </w:rPr>
        <w:t>references to the revised Conceptual Framework, with limited exceptions, for those entities applying the revised Conceptual Framework.  For all entities</w:t>
      </w:r>
      <w:r w:rsidR="00B8773D">
        <w:rPr>
          <w:sz w:val="19"/>
          <w:szCs w:val="19"/>
        </w:rPr>
        <w:t xml:space="preserve"> that are not applying the revised Conceptual Framework</w:t>
      </w:r>
      <w:r w:rsidR="00B8773D" w:rsidRPr="002E1049">
        <w:rPr>
          <w:sz w:val="19"/>
          <w:szCs w:val="19"/>
        </w:rPr>
        <w:t>, references to the existing Conceptual Framework need to be retained.</w:t>
      </w:r>
    </w:p>
    <w:p w14:paraId="28D6C5E3" w14:textId="6B814037" w:rsidR="00B8773D" w:rsidRPr="002E1049" w:rsidRDefault="00B8773D" w:rsidP="00551908">
      <w:pPr>
        <w:pStyle w:val="Default"/>
        <w:numPr>
          <w:ilvl w:val="0"/>
          <w:numId w:val="70"/>
        </w:numPr>
        <w:spacing w:before="100"/>
        <w:ind w:left="782" w:hanging="782"/>
        <w:jc w:val="both"/>
        <w:rPr>
          <w:sz w:val="19"/>
          <w:szCs w:val="19"/>
        </w:rPr>
      </w:pPr>
      <w:r w:rsidRPr="002E1049">
        <w:rPr>
          <w:sz w:val="19"/>
          <w:szCs w:val="19"/>
        </w:rPr>
        <w:t>T</w:t>
      </w:r>
      <w:r w:rsidR="00631B09">
        <w:rPr>
          <w:sz w:val="19"/>
          <w:szCs w:val="19"/>
        </w:rPr>
        <w:t xml:space="preserve">he Board determined the most effective way to </w:t>
      </w:r>
      <w:r w:rsidRPr="002E1049">
        <w:rPr>
          <w:sz w:val="19"/>
          <w:szCs w:val="19"/>
        </w:rPr>
        <w:t>achieve this</w:t>
      </w:r>
      <w:r w:rsidR="0001345C">
        <w:rPr>
          <w:sz w:val="19"/>
          <w:szCs w:val="19"/>
        </w:rPr>
        <w:t xml:space="preserve"> require</w:t>
      </w:r>
      <w:r w:rsidR="00FC327D">
        <w:rPr>
          <w:sz w:val="19"/>
          <w:szCs w:val="19"/>
        </w:rPr>
        <w:t>d</w:t>
      </w:r>
      <w:r w:rsidRPr="002E1049">
        <w:rPr>
          <w:sz w:val="19"/>
          <w:szCs w:val="19"/>
        </w:rPr>
        <w:t>:</w:t>
      </w:r>
    </w:p>
    <w:p w14:paraId="52726124" w14:textId="2BCF898E" w:rsidR="00B8773D" w:rsidRDefault="00551908" w:rsidP="00551908">
      <w:pPr>
        <w:pStyle w:val="IASBNormalnparaL1"/>
        <w:rPr>
          <w:szCs w:val="19"/>
        </w:rPr>
      </w:pPr>
      <w:r>
        <w:rPr>
          <w:szCs w:val="19"/>
        </w:rPr>
        <w:t>(a)</w:t>
      </w:r>
      <w:r>
        <w:rPr>
          <w:szCs w:val="19"/>
        </w:rPr>
        <w:tab/>
      </w:r>
      <w:r w:rsidR="0001345C">
        <w:rPr>
          <w:szCs w:val="19"/>
        </w:rPr>
        <w:t xml:space="preserve">updating </w:t>
      </w:r>
      <w:r w:rsidR="00B8773D">
        <w:rPr>
          <w:szCs w:val="19"/>
        </w:rPr>
        <w:t>t</w:t>
      </w:r>
      <w:r w:rsidR="00B8773D" w:rsidRPr="00A355DA">
        <w:rPr>
          <w:szCs w:val="19"/>
        </w:rPr>
        <w:t xml:space="preserve">he basic text of all </w:t>
      </w:r>
      <w:r w:rsidR="00B8773D">
        <w:rPr>
          <w:szCs w:val="19"/>
        </w:rPr>
        <w:t xml:space="preserve">Australian Accounting Standards to </w:t>
      </w:r>
      <w:r w:rsidR="00B8773D" w:rsidRPr="00A355DA">
        <w:rPr>
          <w:szCs w:val="19"/>
        </w:rPr>
        <w:t>reflect the IASB</w:t>
      </w:r>
      <w:r w:rsidR="00EB2F20">
        <w:rPr>
          <w:szCs w:val="19"/>
        </w:rPr>
        <w:t>’</w:t>
      </w:r>
      <w:r w:rsidR="00B8773D" w:rsidRPr="00A355DA">
        <w:rPr>
          <w:szCs w:val="19"/>
        </w:rPr>
        <w:t xml:space="preserve">s amendments consequential to the </w:t>
      </w:r>
      <w:r w:rsidR="00B8773D">
        <w:rPr>
          <w:szCs w:val="19"/>
        </w:rPr>
        <w:t>revised Conceptual Framework, that is, all references to the existing Conceptual Framework w</w:t>
      </w:r>
      <w:r w:rsidR="00FC327D">
        <w:rPr>
          <w:szCs w:val="19"/>
        </w:rPr>
        <w:t>ere</w:t>
      </w:r>
      <w:r w:rsidR="00B8773D">
        <w:rPr>
          <w:szCs w:val="19"/>
        </w:rPr>
        <w:t xml:space="preserve"> replaced with a reference to the revised Conceptual Framework, with limited exceptions.  The basic text of all Australian Accounting Standards applies to entities </w:t>
      </w:r>
      <w:r w:rsidR="00B8773D" w:rsidRPr="00A355DA">
        <w:rPr>
          <w:szCs w:val="19"/>
        </w:rPr>
        <w:t xml:space="preserve">applying the </w:t>
      </w:r>
      <w:r w:rsidR="00B8773D">
        <w:rPr>
          <w:szCs w:val="19"/>
        </w:rPr>
        <w:t>revised Conceptual Framework</w:t>
      </w:r>
      <w:r w:rsidR="00B8773D" w:rsidRPr="00A355DA">
        <w:rPr>
          <w:szCs w:val="19"/>
        </w:rPr>
        <w:t xml:space="preserve">. </w:t>
      </w:r>
      <w:r w:rsidR="00B8773D">
        <w:rPr>
          <w:szCs w:val="19"/>
        </w:rPr>
        <w:t xml:space="preserve"> </w:t>
      </w:r>
      <w:r w:rsidR="00B8773D" w:rsidRPr="00A355DA">
        <w:rPr>
          <w:szCs w:val="19"/>
        </w:rPr>
        <w:t>This ensure</w:t>
      </w:r>
      <w:r w:rsidR="00B8773D">
        <w:rPr>
          <w:szCs w:val="19"/>
        </w:rPr>
        <w:t>s</w:t>
      </w:r>
      <w:r w:rsidR="00B8773D" w:rsidRPr="00A355DA">
        <w:rPr>
          <w:szCs w:val="19"/>
        </w:rPr>
        <w:t xml:space="preserve"> that compliance with </w:t>
      </w:r>
      <w:r w:rsidR="00B8773D" w:rsidRPr="00551908">
        <w:rPr>
          <w:szCs w:val="18"/>
        </w:rPr>
        <w:t>Australian</w:t>
      </w:r>
      <w:r w:rsidR="00B8773D">
        <w:rPr>
          <w:szCs w:val="19"/>
        </w:rPr>
        <w:t xml:space="preserve"> Accounting Standards </w:t>
      </w:r>
      <w:r w:rsidR="00282B64">
        <w:rPr>
          <w:szCs w:val="19"/>
        </w:rPr>
        <w:t xml:space="preserve">(Tier 1) </w:t>
      </w:r>
      <w:r w:rsidR="00B8773D" w:rsidRPr="00A355DA">
        <w:rPr>
          <w:szCs w:val="19"/>
        </w:rPr>
        <w:t>by these entities continues to result in compliance with IFRS</w:t>
      </w:r>
      <w:r w:rsidR="00B8773D">
        <w:rPr>
          <w:szCs w:val="19"/>
        </w:rPr>
        <w:t xml:space="preserve"> Standards</w:t>
      </w:r>
      <w:r w:rsidR="00B8773D" w:rsidRPr="00A355DA">
        <w:rPr>
          <w:szCs w:val="19"/>
        </w:rPr>
        <w:t>;</w:t>
      </w:r>
    </w:p>
    <w:p w14:paraId="09058D74" w14:textId="4D08466F" w:rsidR="00B8773D" w:rsidRDefault="00551908" w:rsidP="00551908">
      <w:pPr>
        <w:pStyle w:val="IASBNormalnparaL1"/>
        <w:rPr>
          <w:szCs w:val="19"/>
        </w:rPr>
      </w:pPr>
      <w:r>
        <w:rPr>
          <w:szCs w:val="19"/>
        </w:rPr>
        <w:t>(b)</w:t>
      </w:r>
      <w:r>
        <w:rPr>
          <w:szCs w:val="19"/>
        </w:rPr>
        <w:tab/>
      </w:r>
      <w:r w:rsidR="0001345C">
        <w:rPr>
          <w:szCs w:val="19"/>
        </w:rPr>
        <w:t xml:space="preserve">adding </w:t>
      </w:r>
      <w:r w:rsidR="00B8773D">
        <w:rPr>
          <w:szCs w:val="19"/>
        </w:rPr>
        <w:t xml:space="preserve">an AusCF paragraph or footnote </w:t>
      </w:r>
      <w:r w:rsidR="00B8773D" w:rsidRPr="00E97AA7">
        <w:rPr>
          <w:szCs w:val="19"/>
        </w:rPr>
        <w:t xml:space="preserve">in </w:t>
      </w:r>
      <w:r w:rsidR="00B8773D">
        <w:rPr>
          <w:szCs w:val="19"/>
        </w:rPr>
        <w:t xml:space="preserve">each Australian Accounting Standard that </w:t>
      </w:r>
      <w:r w:rsidR="00FC327D">
        <w:rPr>
          <w:szCs w:val="19"/>
        </w:rPr>
        <w:t>was</w:t>
      </w:r>
      <w:r w:rsidR="00B8773D">
        <w:rPr>
          <w:szCs w:val="19"/>
        </w:rPr>
        <w:t xml:space="preserve"> updated per paragraph (a).  The AusCF paragraph or footnote retain</w:t>
      </w:r>
      <w:r w:rsidR="00FC327D">
        <w:rPr>
          <w:szCs w:val="19"/>
        </w:rPr>
        <w:t>ed</w:t>
      </w:r>
      <w:r w:rsidR="00B8773D">
        <w:rPr>
          <w:szCs w:val="19"/>
        </w:rPr>
        <w:t xml:space="preserve"> the same number, </w:t>
      </w:r>
      <w:r w:rsidR="00266781">
        <w:rPr>
          <w:szCs w:val="19"/>
        </w:rPr>
        <w:t xml:space="preserve">but </w:t>
      </w:r>
      <w:r w:rsidR="00FC327D">
        <w:rPr>
          <w:szCs w:val="19"/>
        </w:rPr>
        <w:t xml:space="preserve">was </w:t>
      </w:r>
      <w:r w:rsidR="00B8773D">
        <w:rPr>
          <w:szCs w:val="19"/>
        </w:rPr>
        <w:t xml:space="preserve">given an AusCF prefix.  AusCF paragraphs </w:t>
      </w:r>
      <w:r w:rsidR="00B8773D" w:rsidRPr="00E97AA7">
        <w:rPr>
          <w:szCs w:val="19"/>
        </w:rPr>
        <w:t>retain</w:t>
      </w:r>
      <w:r w:rsidR="00FC327D">
        <w:rPr>
          <w:szCs w:val="19"/>
        </w:rPr>
        <w:t>ed</w:t>
      </w:r>
      <w:r w:rsidR="00B8773D" w:rsidRPr="00E97AA7">
        <w:rPr>
          <w:szCs w:val="19"/>
        </w:rPr>
        <w:t xml:space="preserve"> the </w:t>
      </w:r>
      <w:r w:rsidR="00B8773D">
        <w:rPr>
          <w:szCs w:val="19"/>
        </w:rPr>
        <w:t xml:space="preserve">references to the </w:t>
      </w:r>
      <w:r w:rsidR="00B8773D" w:rsidRPr="00551908">
        <w:rPr>
          <w:szCs w:val="18"/>
        </w:rPr>
        <w:t>existing</w:t>
      </w:r>
      <w:r w:rsidR="00B8773D">
        <w:rPr>
          <w:szCs w:val="19"/>
        </w:rPr>
        <w:t xml:space="preserve"> Conceptual Framework and </w:t>
      </w:r>
      <w:r w:rsidR="00FC327D">
        <w:rPr>
          <w:szCs w:val="19"/>
        </w:rPr>
        <w:t xml:space="preserve">are </w:t>
      </w:r>
      <w:r w:rsidR="00B8773D">
        <w:rPr>
          <w:szCs w:val="19"/>
        </w:rPr>
        <w:t xml:space="preserve">applicable only to entities applying the </w:t>
      </w:r>
      <w:r w:rsidR="00B8773D" w:rsidRPr="00E97AA7">
        <w:rPr>
          <w:szCs w:val="19"/>
        </w:rPr>
        <w:t>existing Conceptual Framework; and</w:t>
      </w:r>
    </w:p>
    <w:p w14:paraId="351059C8" w14:textId="4B732D31" w:rsidR="00B8773D" w:rsidRDefault="00551908" w:rsidP="00551908">
      <w:pPr>
        <w:pStyle w:val="IASBNormalnparaL1"/>
        <w:rPr>
          <w:szCs w:val="19"/>
        </w:rPr>
      </w:pPr>
      <w:r>
        <w:rPr>
          <w:szCs w:val="19"/>
        </w:rPr>
        <w:t>(c)</w:t>
      </w:r>
      <w:r>
        <w:rPr>
          <w:szCs w:val="19"/>
        </w:rPr>
        <w:tab/>
      </w:r>
      <w:r w:rsidR="0001345C">
        <w:rPr>
          <w:szCs w:val="19"/>
        </w:rPr>
        <w:t xml:space="preserve">inserting an </w:t>
      </w:r>
      <w:r w:rsidR="00B8773D" w:rsidRPr="00E97AA7">
        <w:rPr>
          <w:szCs w:val="19"/>
        </w:rPr>
        <w:t>AusCF</w:t>
      </w:r>
      <w:r w:rsidR="00B8773D">
        <w:rPr>
          <w:szCs w:val="19"/>
        </w:rPr>
        <w:t>1</w:t>
      </w:r>
      <w:r w:rsidR="00B8773D" w:rsidRPr="00E97AA7">
        <w:rPr>
          <w:szCs w:val="19"/>
        </w:rPr>
        <w:t xml:space="preserve"> </w:t>
      </w:r>
      <w:r w:rsidR="0001345C">
        <w:rPr>
          <w:szCs w:val="19"/>
        </w:rPr>
        <w:t xml:space="preserve">paragraph </w:t>
      </w:r>
      <w:r w:rsidR="00B8773D">
        <w:rPr>
          <w:szCs w:val="19"/>
        </w:rPr>
        <w:t>into each Australian Accounting Standard that contain</w:t>
      </w:r>
      <w:r w:rsidR="00FC327D">
        <w:rPr>
          <w:szCs w:val="19"/>
        </w:rPr>
        <w:t>ed</w:t>
      </w:r>
      <w:r w:rsidR="00B8773D">
        <w:rPr>
          <w:szCs w:val="19"/>
        </w:rPr>
        <w:t xml:space="preserve"> a reference to the existing Conceptual Framework or contain</w:t>
      </w:r>
      <w:r w:rsidR="00FC327D">
        <w:rPr>
          <w:szCs w:val="19"/>
        </w:rPr>
        <w:t>ed</w:t>
      </w:r>
      <w:r w:rsidR="00B8773D">
        <w:rPr>
          <w:szCs w:val="19"/>
        </w:rPr>
        <w:t xml:space="preserve"> the term </w:t>
      </w:r>
      <w:r w:rsidR="00B051AB">
        <w:rPr>
          <w:szCs w:val="19"/>
        </w:rPr>
        <w:t>‘</w:t>
      </w:r>
      <w:r w:rsidR="00B8773D">
        <w:rPr>
          <w:szCs w:val="19"/>
        </w:rPr>
        <w:t>reporting entity</w:t>
      </w:r>
      <w:r w:rsidR="00B051AB">
        <w:rPr>
          <w:szCs w:val="19"/>
        </w:rPr>
        <w:t>’</w:t>
      </w:r>
      <w:r w:rsidR="00B8773D">
        <w:rPr>
          <w:szCs w:val="19"/>
        </w:rPr>
        <w:t xml:space="preserve">.  Two versions of paragraph AusCF1 </w:t>
      </w:r>
      <w:r w:rsidR="00266781">
        <w:rPr>
          <w:szCs w:val="19"/>
        </w:rPr>
        <w:t xml:space="preserve">were </w:t>
      </w:r>
      <w:r w:rsidR="00B8773D">
        <w:rPr>
          <w:szCs w:val="19"/>
        </w:rPr>
        <w:t>used:</w:t>
      </w:r>
    </w:p>
    <w:p w14:paraId="4F5121CD" w14:textId="2C84EEDB" w:rsidR="00B8773D" w:rsidRDefault="00413BF4" w:rsidP="0006397E">
      <w:pPr>
        <w:pStyle w:val="IASBNormalnparaL2"/>
      </w:pPr>
      <w:r>
        <w:t>(i)</w:t>
      </w:r>
      <w:r>
        <w:tab/>
      </w:r>
      <w:r w:rsidR="00B8773D">
        <w:t>o</w:t>
      </w:r>
      <w:r w:rsidR="00B8773D" w:rsidRPr="007424FD">
        <w:t xml:space="preserve">ne version </w:t>
      </w:r>
      <w:r w:rsidR="00B8773D">
        <w:t>states</w:t>
      </w:r>
      <w:r w:rsidR="00B8773D" w:rsidRPr="007424FD">
        <w:t xml:space="preserve"> that the requirements of </w:t>
      </w:r>
      <w:r w:rsidR="00B051AB">
        <w:t xml:space="preserve">the </w:t>
      </w:r>
      <w:r w:rsidR="00B8773D" w:rsidRPr="007424FD">
        <w:t>AusCF paragraphs and footnotes</w:t>
      </w:r>
      <w:r w:rsidR="00B051AB">
        <w:t xml:space="preserve"> added to the Standard</w:t>
      </w:r>
      <w:r w:rsidR="00B8773D" w:rsidRPr="007424FD">
        <w:t xml:space="preserve"> apply only to those entities that are applying the </w:t>
      </w:r>
      <w:r w:rsidR="00B8773D">
        <w:t xml:space="preserve">existing Conceptual Framework.  It </w:t>
      </w:r>
      <w:r w:rsidR="00B8773D" w:rsidRPr="007424FD">
        <w:t>also direct</w:t>
      </w:r>
      <w:r w:rsidR="00B8773D">
        <w:t>s</w:t>
      </w:r>
      <w:r w:rsidR="00B8773D" w:rsidRPr="007424FD">
        <w:t xml:space="preserve"> entities applying the </w:t>
      </w:r>
      <w:r w:rsidR="00B8773D">
        <w:t xml:space="preserve">existing Conceptual Framework </w:t>
      </w:r>
      <w:r w:rsidR="00B8773D" w:rsidRPr="007424FD">
        <w:t>to AASB</w:t>
      </w:r>
      <w:r w:rsidR="00934E68">
        <w:t> </w:t>
      </w:r>
      <w:r w:rsidR="00B8773D" w:rsidRPr="007424FD">
        <w:t>105</w:t>
      </w:r>
      <w:r w:rsidR="00B8773D">
        <w:t>7</w:t>
      </w:r>
      <w:r w:rsidR="00B8773D" w:rsidRPr="007424FD">
        <w:t xml:space="preserve"> and SAC 1 for the definition of the term </w:t>
      </w:r>
      <w:r w:rsidR="00B051AB">
        <w:t>‘</w:t>
      </w:r>
      <w:r w:rsidR="00B8773D" w:rsidRPr="007424FD">
        <w:t>reporting entity</w:t>
      </w:r>
      <w:r w:rsidR="00B051AB">
        <w:t>’</w:t>
      </w:r>
      <w:r w:rsidR="00F7307A">
        <w:t>;</w:t>
      </w:r>
      <w:r w:rsidR="003D2B8F">
        <w:t xml:space="preserve"> and </w:t>
      </w:r>
    </w:p>
    <w:p w14:paraId="768A8EA2" w14:textId="5086B361" w:rsidR="00B8773D" w:rsidRPr="00E97AA7" w:rsidRDefault="00413BF4" w:rsidP="0006397E">
      <w:pPr>
        <w:pStyle w:val="IASBNormalnparaL2"/>
      </w:pPr>
      <w:r>
        <w:t>(ii)</w:t>
      </w:r>
      <w:r>
        <w:tab/>
      </w:r>
      <w:r w:rsidR="00B8773D">
        <w:t xml:space="preserve">a second version </w:t>
      </w:r>
      <w:r w:rsidR="00FC327D">
        <w:t xml:space="preserve">is </w:t>
      </w:r>
      <w:r w:rsidR="00B8773D" w:rsidRPr="007424FD">
        <w:t xml:space="preserve">used where no </w:t>
      </w:r>
      <w:r w:rsidR="00B051AB">
        <w:t xml:space="preserve">other </w:t>
      </w:r>
      <w:r w:rsidR="00B8773D" w:rsidRPr="007424FD">
        <w:t xml:space="preserve">AusCF paragraphs </w:t>
      </w:r>
      <w:r w:rsidR="00B8773D">
        <w:t xml:space="preserve">or footnotes </w:t>
      </w:r>
      <w:r w:rsidR="00FC327D">
        <w:t xml:space="preserve">were </w:t>
      </w:r>
      <w:r w:rsidR="00B8773D" w:rsidRPr="007424FD">
        <w:t xml:space="preserve">added to </w:t>
      </w:r>
      <w:r w:rsidR="00B051AB">
        <w:t xml:space="preserve">the </w:t>
      </w:r>
      <w:r w:rsidR="00B8773D">
        <w:t xml:space="preserve">Standard but the Standard </w:t>
      </w:r>
      <w:r w:rsidR="00B051AB">
        <w:t>contains the term</w:t>
      </w:r>
      <w:r w:rsidR="00B8773D">
        <w:t xml:space="preserve"> </w:t>
      </w:r>
      <w:r w:rsidR="00B051AB">
        <w:t>‘</w:t>
      </w:r>
      <w:r w:rsidR="00B8773D">
        <w:t>reporting entity</w:t>
      </w:r>
      <w:r w:rsidR="00B051AB">
        <w:t>’</w:t>
      </w:r>
      <w:r w:rsidR="00B8773D" w:rsidRPr="007424FD">
        <w:t xml:space="preserve">.  This version merely directs entities applying the </w:t>
      </w:r>
      <w:r w:rsidR="00B8773D">
        <w:t xml:space="preserve">existing Conceptual Framework </w:t>
      </w:r>
      <w:r w:rsidR="00B8773D" w:rsidRPr="007424FD">
        <w:t>to AASB 105</w:t>
      </w:r>
      <w:r w:rsidR="00B8773D">
        <w:t>7</w:t>
      </w:r>
      <w:r w:rsidR="00B8773D" w:rsidRPr="007424FD">
        <w:t xml:space="preserve"> and SAC 1 for the definition of the term </w:t>
      </w:r>
      <w:r w:rsidR="00B051AB">
        <w:t>‘</w:t>
      </w:r>
      <w:r w:rsidR="00B8773D" w:rsidRPr="007424FD">
        <w:t>reporting entity</w:t>
      </w:r>
      <w:r w:rsidR="00B051AB">
        <w:t>’</w:t>
      </w:r>
      <w:r w:rsidR="00B8773D" w:rsidRPr="007424FD">
        <w:t>.</w:t>
      </w:r>
    </w:p>
    <w:p w14:paraId="22420C35" w14:textId="6BF56BBE" w:rsidR="00282B64" w:rsidRDefault="00282B64" w:rsidP="00413BF4">
      <w:pPr>
        <w:pStyle w:val="Default"/>
        <w:numPr>
          <w:ilvl w:val="0"/>
          <w:numId w:val="70"/>
        </w:numPr>
        <w:spacing w:before="100"/>
        <w:ind w:left="782" w:hanging="782"/>
        <w:jc w:val="both"/>
        <w:rPr>
          <w:sz w:val="19"/>
          <w:szCs w:val="19"/>
        </w:rPr>
      </w:pPr>
      <w:r>
        <w:rPr>
          <w:sz w:val="19"/>
          <w:szCs w:val="19"/>
        </w:rPr>
        <w:t xml:space="preserve">To maintain IFRS compliance, there are some instances where it is not necessary or not appropriate to update a reference to the existing Conceptual Framework to a reference to the revised Conceptual Framework (these references </w:t>
      </w:r>
      <w:r w:rsidR="0006397E">
        <w:rPr>
          <w:sz w:val="19"/>
          <w:szCs w:val="19"/>
        </w:rPr>
        <w:t xml:space="preserve">were </w:t>
      </w:r>
      <w:r>
        <w:rPr>
          <w:sz w:val="19"/>
          <w:szCs w:val="19"/>
        </w:rPr>
        <w:t>not updated in the consequential amendments made by the IASB to IFRS Standards).  These include:</w:t>
      </w:r>
    </w:p>
    <w:p w14:paraId="5ADB13C3" w14:textId="413338E8" w:rsidR="00282B64" w:rsidRPr="00694E31" w:rsidRDefault="00413BF4" w:rsidP="00413BF4">
      <w:pPr>
        <w:pStyle w:val="IASBNormalnparaL1"/>
        <w:rPr>
          <w:szCs w:val="19"/>
        </w:rPr>
      </w:pPr>
      <w:r>
        <w:rPr>
          <w:szCs w:val="19"/>
        </w:rPr>
        <w:t>(a)</w:t>
      </w:r>
      <w:r>
        <w:rPr>
          <w:szCs w:val="19"/>
        </w:rPr>
        <w:tab/>
      </w:r>
      <w:r w:rsidR="00282B64">
        <w:rPr>
          <w:szCs w:val="19"/>
        </w:rPr>
        <w:t xml:space="preserve">references to the existing Conceptual Framework in AASB </w:t>
      </w:r>
      <w:r w:rsidR="00282B64" w:rsidRPr="005B5FBE">
        <w:rPr>
          <w:szCs w:val="19"/>
        </w:rPr>
        <w:t>3</w:t>
      </w:r>
      <w:r w:rsidR="00282B64">
        <w:rPr>
          <w:szCs w:val="19"/>
        </w:rPr>
        <w:t xml:space="preserve"> </w:t>
      </w:r>
      <w:r w:rsidR="00282B64">
        <w:rPr>
          <w:i/>
          <w:szCs w:val="19"/>
        </w:rPr>
        <w:t xml:space="preserve">Business Combinations </w:t>
      </w:r>
      <w:r w:rsidR="00282B64">
        <w:rPr>
          <w:szCs w:val="19"/>
        </w:rPr>
        <w:t xml:space="preserve">(paragraph 11), </w:t>
      </w:r>
      <w:r w:rsidR="00282B64" w:rsidRPr="00694E31">
        <w:rPr>
          <w:szCs w:val="19"/>
        </w:rPr>
        <w:t xml:space="preserve">AASB 108 </w:t>
      </w:r>
      <w:r w:rsidR="00282B64" w:rsidRPr="00694E31">
        <w:rPr>
          <w:i/>
          <w:szCs w:val="19"/>
        </w:rPr>
        <w:t>Accounting Policies, Changes in Accounting Estimates and Errors</w:t>
      </w:r>
      <w:r w:rsidR="00282B64" w:rsidRPr="00694E31">
        <w:rPr>
          <w:szCs w:val="19"/>
        </w:rPr>
        <w:t xml:space="preserve"> </w:t>
      </w:r>
      <w:r w:rsidR="00713BE1">
        <w:rPr>
          <w:szCs w:val="19"/>
        </w:rPr>
        <w:t xml:space="preserve">(paragraph 54G) </w:t>
      </w:r>
      <w:r w:rsidR="00282B64" w:rsidRPr="00694E31">
        <w:rPr>
          <w:szCs w:val="19"/>
        </w:rPr>
        <w:t>in relation to developing accounting policies for regulatory balances</w:t>
      </w:r>
      <w:r w:rsidR="00282B64">
        <w:rPr>
          <w:szCs w:val="19"/>
        </w:rPr>
        <w:t xml:space="preserve">, </w:t>
      </w:r>
      <w:r w:rsidR="00282B64" w:rsidRPr="00694E31">
        <w:rPr>
          <w:szCs w:val="19"/>
        </w:rPr>
        <w:t xml:space="preserve">AASB 137 </w:t>
      </w:r>
      <w:r w:rsidR="00282B64" w:rsidRPr="00694E31">
        <w:rPr>
          <w:i/>
          <w:szCs w:val="19"/>
        </w:rPr>
        <w:t>Provisions, Contingent Liabilities and Contingent Assets</w:t>
      </w:r>
      <w:r w:rsidR="00282B64" w:rsidRPr="00694E31">
        <w:rPr>
          <w:szCs w:val="19"/>
        </w:rPr>
        <w:t xml:space="preserve"> </w:t>
      </w:r>
      <w:r w:rsidR="00282B64">
        <w:rPr>
          <w:szCs w:val="19"/>
        </w:rPr>
        <w:t xml:space="preserve">(paragraph 10) </w:t>
      </w:r>
      <w:r w:rsidR="00282B64" w:rsidRPr="00694E31">
        <w:rPr>
          <w:szCs w:val="19"/>
        </w:rPr>
        <w:t>and</w:t>
      </w:r>
      <w:r w:rsidR="00282B64">
        <w:rPr>
          <w:szCs w:val="19"/>
        </w:rPr>
        <w:t xml:space="preserve"> </w:t>
      </w:r>
      <w:r w:rsidR="00282B64" w:rsidRPr="00694E31">
        <w:rPr>
          <w:szCs w:val="19"/>
        </w:rPr>
        <w:t xml:space="preserve">AASB 138 </w:t>
      </w:r>
      <w:r w:rsidR="00282B64" w:rsidRPr="00694E31">
        <w:rPr>
          <w:i/>
          <w:szCs w:val="19"/>
        </w:rPr>
        <w:t>Intangible Assets</w:t>
      </w:r>
      <w:r w:rsidR="00282B64" w:rsidRPr="00694E31">
        <w:rPr>
          <w:szCs w:val="19"/>
        </w:rPr>
        <w:t xml:space="preserve"> </w:t>
      </w:r>
      <w:r w:rsidR="00282B64">
        <w:rPr>
          <w:szCs w:val="19"/>
        </w:rPr>
        <w:t xml:space="preserve">(paragraph 8) </w:t>
      </w:r>
      <w:r w:rsidR="00282B64" w:rsidRPr="00694E31">
        <w:rPr>
          <w:szCs w:val="19"/>
        </w:rPr>
        <w:t xml:space="preserve">continue to use the definition of </w:t>
      </w:r>
      <w:r w:rsidR="00282B64">
        <w:rPr>
          <w:szCs w:val="19"/>
        </w:rPr>
        <w:t xml:space="preserve">a liability and </w:t>
      </w:r>
      <w:r w:rsidR="00282B64" w:rsidRPr="00694E31">
        <w:rPr>
          <w:szCs w:val="19"/>
        </w:rPr>
        <w:t xml:space="preserve">an asset </w:t>
      </w:r>
      <w:r w:rsidR="00282B64">
        <w:rPr>
          <w:szCs w:val="19"/>
        </w:rPr>
        <w:t xml:space="preserve">contained </w:t>
      </w:r>
      <w:r w:rsidR="00282B64" w:rsidRPr="00694E31">
        <w:rPr>
          <w:szCs w:val="19"/>
        </w:rPr>
        <w:t>in the existing Conceptual Framework;</w:t>
      </w:r>
      <w:r w:rsidR="00282B64">
        <w:rPr>
          <w:szCs w:val="19"/>
        </w:rPr>
        <w:t xml:space="preserve"> </w:t>
      </w:r>
    </w:p>
    <w:p w14:paraId="7ED1E0DB" w14:textId="77777777" w:rsidR="00102298" w:rsidRDefault="00413BF4" w:rsidP="00413BF4">
      <w:pPr>
        <w:pStyle w:val="IASBNormalnparaL1"/>
        <w:rPr>
          <w:szCs w:val="19"/>
        </w:rPr>
      </w:pPr>
      <w:r>
        <w:rPr>
          <w:szCs w:val="19"/>
        </w:rPr>
        <w:t>(b)</w:t>
      </w:r>
      <w:r>
        <w:rPr>
          <w:szCs w:val="19"/>
        </w:rPr>
        <w:tab/>
      </w:r>
      <w:r w:rsidR="00282B64" w:rsidRPr="00694E31">
        <w:rPr>
          <w:szCs w:val="19"/>
        </w:rPr>
        <w:t>an existing Conceptual Framework reference that presents the definition of an asset, liability, income or expense in its requirements, so that updating the reference may potentially change the accounting consequences of the Australian Accounting Standard.  In these cases, the Australian Accounting Standard will continue to refer to the existing Conceptual Framework for the relevant definition</w:t>
      </w:r>
      <w:r w:rsidR="00102298">
        <w:rPr>
          <w:szCs w:val="19"/>
        </w:rPr>
        <w:t>; and</w:t>
      </w:r>
    </w:p>
    <w:p w14:paraId="583BEBDD" w14:textId="61D08F86" w:rsidR="00B8773D" w:rsidRDefault="00102298" w:rsidP="00413BF4">
      <w:pPr>
        <w:pStyle w:val="IASBNormalnparaL1"/>
        <w:rPr>
          <w:szCs w:val="19"/>
        </w:rPr>
      </w:pPr>
      <w:r>
        <w:rPr>
          <w:szCs w:val="19"/>
        </w:rPr>
        <w:t>(c)</w:t>
      </w:r>
      <w:r>
        <w:rPr>
          <w:szCs w:val="19"/>
        </w:rPr>
        <w:tab/>
        <w:t>references to the existing Conceptual Framework in Interpretations, which the IASB amended to refer to the Conceptual Framework in effect when the Interpretation was developed</w:t>
      </w:r>
      <w:r w:rsidR="00282B64">
        <w:rPr>
          <w:szCs w:val="19"/>
        </w:rPr>
        <w:t>.</w:t>
      </w:r>
      <w:r>
        <w:rPr>
          <w:szCs w:val="19"/>
        </w:rPr>
        <w:t xml:space="preserve">  </w:t>
      </w:r>
      <w:r w:rsidR="0075403B">
        <w:rPr>
          <w:szCs w:val="19"/>
        </w:rPr>
        <w:t>Consequently</w:t>
      </w:r>
      <w:r>
        <w:rPr>
          <w:szCs w:val="19"/>
        </w:rPr>
        <w:t xml:space="preserve">, the Board </w:t>
      </w:r>
      <w:r w:rsidR="0075403B">
        <w:rPr>
          <w:szCs w:val="19"/>
        </w:rPr>
        <w:t xml:space="preserve">also </w:t>
      </w:r>
      <w:r>
        <w:rPr>
          <w:szCs w:val="19"/>
        </w:rPr>
        <w:t xml:space="preserve">amended the references to the existing Conceptual Framework in its </w:t>
      </w:r>
      <w:r w:rsidR="0075403B">
        <w:rPr>
          <w:szCs w:val="19"/>
        </w:rPr>
        <w:t>Australian</w:t>
      </w:r>
      <w:r>
        <w:rPr>
          <w:szCs w:val="19"/>
        </w:rPr>
        <w:t xml:space="preserve"> Interpretations to refer to the Conceptual Framework in effect when the Interpretation was developed.</w:t>
      </w:r>
    </w:p>
    <w:p w14:paraId="6551E202" w14:textId="3B88C4A7" w:rsidR="001608BE" w:rsidRPr="00282B64" w:rsidRDefault="001608BE" w:rsidP="001608BE">
      <w:pPr>
        <w:pStyle w:val="IASBNormalL1P"/>
      </w:pPr>
      <w:r>
        <w:t xml:space="preserve">References to the existing Conceptual Framework that are </w:t>
      </w:r>
      <w:r w:rsidR="0075403B">
        <w:t xml:space="preserve">historical (ie </w:t>
      </w:r>
      <w:r>
        <w:t>fixed in time</w:t>
      </w:r>
      <w:r w:rsidR="0075403B">
        <w:t>)</w:t>
      </w:r>
      <w:r>
        <w:t xml:space="preserve"> rather than required to update automatically for subsequent </w:t>
      </w:r>
      <w:r w:rsidR="00B357F4">
        <w:t>versions of</w:t>
      </w:r>
      <w:r>
        <w:t xml:space="preserve"> the </w:t>
      </w:r>
      <w:r w:rsidR="0075403B">
        <w:t xml:space="preserve">Conceptual </w:t>
      </w:r>
      <w:r>
        <w:t xml:space="preserve">Framework do not include the reference to identification in accordance with AASB 1048 </w:t>
      </w:r>
      <w:r w:rsidRPr="00904A18">
        <w:rPr>
          <w:i/>
        </w:rPr>
        <w:t>Interpretation of Standards</w:t>
      </w:r>
      <w:r>
        <w:t xml:space="preserve">.  Such a reference to AASB 1048 would automatically update the reference to the </w:t>
      </w:r>
      <w:r w:rsidR="0075403B">
        <w:t xml:space="preserve">Conceptual </w:t>
      </w:r>
      <w:r>
        <w:t xml:space="preserve">Framework when a new version of the </w:t>
      </w:r>
      <w:r w:rsidR="0075403B">
        <w:t xml:space="preserve">Conceptual </w:t>
      </w:r>
      <w:r>
        <w:t xml:space="preserve">Framework is </w:t>
      </w:r>
      <w:r w:rsidR="009826C0">
        <w:t xml:space="preserve">listed in </w:t>
      </w:r>
      <w:r>
        <w:t>AASB 1048.</w:t>
      </w:r>
      <w:r w:rsidR="009826C0">
        <w:t xml:space="preserve">  Most references to the existing and revised Conceptual Frameworks therefore include the AASB 1048 reference.</w:t>
      </w:r>
    </w:p>
    <w:p w14:paraId="0DD45601" w14:textId="5BDA3959" w:rsidR="00B8773D" w:rsidRDefault="00694E31" w:rsidP="00413BF4">
      <w:pPr>
        <w:pStyle w:val="Default"/>
        <w:numPr>
          <w:ilvl w:val="0"/>
          <w:numId w:val="70"/>
        </w:numPr>
        <w:spacing w:before="100"/>
        <w:ind w:left="782" w:hanging="782"/>
        <w:jc w:val="both"/>
        <w:rPr>
          <w:sz w:val="19"/>
          <w:szCs w:val="19"/>
        </w:rPr>
      </w:pPr>
      <w:r>
        <w:rPr>
          <w:sz w:val="19"/>
          <w:szCs w:val="19"/>
        </w:rPr>
        <w:t xml:space="preserve">Existing </w:t>
      </w:r>
      <w:r w:rsidR="00B8773D">
        <w:rPr>
          <w:sz w:val="19"/>
          <w:szCs w:val="19"/>
        </w:rPr>
        <w:t>Conceptual Framework</w:t>
      </w:r>
      <w:r w:rsidR="00B8773D" w:rsidRPr="00BE58E9">
        <w:rPr>
          <w:sz w:val="19"/>
          <w:szCs w:val="19"/>
        </w:rPr>
        <w:t xml:space="preserve"> reference</w:t>
      </w:r>
      <w:r w:rsidR="00FA7A26">
        <w:rPr>
          <w:sz w:val="19"/>
          <w:szCs w:val="19"/>
        </w:rPr>
        <w:t>s</w:t>
      </w:r>
      <w:r w:rsidR="00B8773D" w:rsidRPr="00BE58E9">
        <w:rPr>
          <w:sz w:val="19"/>
          <w:szCs w:val="19"/>
        </w:rPr>
        <w:t xml:space="preserve"> </w:t>
      </w:r>
      <w:r w:rsidR="00B8773D">
        <w:rPr>
          <w:sz w:val="19"/>
          <w:szCs w:val="19"/>
        </w:rPr>
        <w:t xml:space="preserve">contained in </w:t>
      </w:r>
      <w:r w:rsidR="00B8773D" w:rsidRPr="00BE58E9">
        <w:rPr>
          <w:sz w:val="19"/>
          <w:szCs w:val="19"/>
        </w:rPr>
        <w:t>requirements specific to not-for-profit entities</w:t>
      </w:r>
      <w:r>
        <w:rPr>
          <w:sz w:val="19"/>
          <w:szCs w:val="19"/>
        </w:rPr>
        <w:t xml:space="preserve"> were also not updated</w:t>
      </w:r>
      <w:r w:rsidR="00B8773D" w:rsidRPr="00BE58E9">
        <w:rPr>
          <w:sz w:val="19"/>
          <w:szCs w:val="19"/>
        </w:rPr>
        <w:t xml:space="preserve">. </w:t>
      </w:r>
      <w:r w:rsidR="00B8773D">
        <w:rPr>
          <w:sz w:val="19"/>
          <w:szCs w:val="19"/>
        </w:rPr>
        <w:t xml:space="preserve"> </w:t>
      </w:r>
      <w:r w:rsidR="00282B64">
        <w:rPr>
          <w:sz w:val="19"/>
          <w:szCs w:val="19"/>
        </w:rPr>
        <w:t xml:space="preserve">Although </w:t>
      </w:r>
      <w:r w:rsidR="00B8773D">
        <w:rPr>
          <w:sz w:val="19"/>
          <w:szCs w:val="19"/>
        </w:rPr>
        <w:t>amendments will be made to the revised Conceptual Framework for</w:t>
      </w:r>
      <w:r w:rsidR="00B8773D" w:rsidRPr="00BE58E9">
        <w:rPr>
          <w:sz w:val="19"/>
          <w:szCs w:val="19"/>
        </w:rPr>
        <w:t xml:space="preserve"> not-for-profit </w:t>
      </w:r>
      <w:r w:rsidR="00B8773D">
        <w:rPr>
          <w:sz w:val="19"/>
          <w:szCs w:val="19"/>
        </w:rPr>
        <w:t xml:space="preserve">entities </w:t>
      </w:r>
      <w:r w:rsidR="00B8773D" w:rsidRPr="00BE58E9">
        <w:rPr>
          <w:sz w:val="19"/>
          <w:szCs w:val="19"/>
        </w:rPr>
        <w:t xml:space="preserve">in due course, they have not yet been considered as the adoption of the </w:t>
      </w:r>
      <w:r w:rsidR="00B8773D">
        <w:rPr>
          <w:sz w:val="19"/>
          <w:szCs w:val="19"/>
        </w:rPr>
        <w:t>revised Conceptual Framework</w:t>
      </w:r>
      <w:r w:rsidR="00B8773D" w:rsidRPr="00BE58E9">
        <w:rPr>
          <w:sz w:val="19"/>
          <w:szCs w:val="19"/>
        </w:rPr>
        <w:t xml:space="preserve"> in Phase 1 is limited to for-profit entities.</w:t>
      </w:r>
    </w:p>
    <w:p w14:paraId="209F60A4" w14:textId="19590CB1" w:rsidR="00B8773D" w:rsidRDefault="00DF3E51" w:rsidP="00413BF4">
      <w:pPr>
        <w:pStyle w:val="Default"/>
        <w:numPr>
          <w:ilvl w:val="0"/>
          <w:numId w:val="70"/>
        </w:numPr>
        <w:spacing w:before="100"/>
        <w:ind w:left="782" w:hanging="782"/>
        <w:jc w:val="both"/>
        <w:rPr>
          <w:sz w:val="19"/>
          <w:szCs w:val="19"/>
        </w:rPr>
      </w:pPr>
      <w:r>
        <w:rPr>
          <w:sz w:val="19"/>
          <w:szCs w:val="19"/>
        </w:rPr>
        <w:t>Based on feedback received on ITC 39</w:t>
      </w:r>
      <w:r w:rsidR="00190F07">
        <w:rPr>
          <w:sz w:val="19"/>
          <w:szCs w:val="19"/>
        </w:rPr>
        <w:t>,</w:t>
      </w:r>
      <w:r>
        <w:rPr>
          <w:sz w:val="19"/>
          <w:szCs w:val="19"/>
        </w:rPr>
        <w:t xml:space="preserve"> the Board noted that</w:t>
      </w:r>
      <w:r w:rsidR="0001345C">
        <w:rPr>
          <w:sz w:val="19"/>
          <w:szCs w:val="19"/>
        </w:rPr>
        <w:t xml:space="preserve"> </w:t>
      </w:r>
      <w:r w:rsidR="00B8773D" w:rsidRPr="00680606">
        <w:rPr>
          <w:sz w:val="19"/>
          <w:szCs w:val="19"/>
        </w:rPr>
        <w:t xml:space="preserve">AASB 1053 </w:t>
      </w:r>
      <w:r w:rsidR="00B8773D">
        <w:rPr>
          <w:sz w:val="19"/>
          <w:szCs w:val="19"/>
        </w:rPr>
        <w:t xml:space="preserve">paragraph </w:t>
      </w:r>
      <w:r w:rsidR="00B8773D" w:rsidRPr="00680606">
        <w:rPr>
          <w:sz w:val="19"/>
          <w:szCs w:val="19"/>
        </w:rPr>
        <w:t>11</w:t>
      </w:r>
      <w:r w:rsidR="00B8773D">
        <w:rPr>
          <w:sz w:val="19"/>
          <w:szCs w:val="19"/>
        </w:rPr>
        <w:t xml:space="preserve"> regarding the application of Tier 1 reporting requirements</w:t>
      </w:r>
      <w:r>
        <w:rPr>
          <w:sz w:val="19"/>
          <w:szCs w:val="19"/>
        </w:rPr>
        <w:t xml:space="preserve"> is not operating as intended to require entities with public accountability to prepare general purpose financial statements</w:t>
      </w:r>
      <w:r w:rsidR="00B8773D">
        <w:rPr>
          <w:sz w:val="19"/>
          <w:szCs w:val="19"/>
        </w:rPr>
        <w:t xml:space="preserve">.  </w:t>
      </w:r>
      <w:r>
        <w:rPr>
          <w:sz w:val="19"/>
          <w:szCs w:val="19"/>
        </w:rPr>
        <w:t>The Board determined that</w:t>
      </w:r>
      <w:r w:rsidR="00B8773D">
        <w:rPr>
          <w:sz w:val="19"/>
          <w:szCs w:val="19"/>
        </w:rPr>
        <w:t xml:space="preserve"> the amended requirement would be limited to </w:t>
      </w:r>
      <w:r>
        <w:rPr>
          <w:sz w:val="19"/>
          <w:szCs w:val="19"/>
        </w:rPr>
        <w:t>those entities scoped into Phase 1 to avoid unintended consequences.</w:t>
      </w:r>
    </w:p>
    <w:p w14:paraId="0CDBA2C2" w14:textId="77777777" w:rsidR="00B8773D" w:rsidRDefault="00B8773D" w:rsidP="00BD146B">
      <w:pPr>
        <w:pStyle w:val="Heading4"/>
        <w:spacing w:before="200"/>
        <w:ind w:left="782"/>
        <w:jc w:val="both"/>
        <w:rPr>
          <w:sz w:val="19"/>
          <w:szCs w:val="19"/>
        </w:rPr>
      </w:pPr>
      <w:r>
        <w:t>Public sector entities</w:t>
      </w:r>
    </w:p>
    <w:p w14:paraId="60FFAE56" w14:textId="77777777" w:rsidR="00B8773D" w:rsidRDefault="00B8773D" w:rsidP="00413BF4">
      <w:pPr>
        <w:pStyle w:val="Default"/>
        <w:numPr>
          <w:ilvl w:val="0"/>
          <w:numId w:val="70"/>
        </w:numPr>
        <w:spacing w:before="100"/>
        <w:ind w:left="782" w:hanging="782"/>
        <w:jc w:val="both"/>
        <w:rPr>
          <w:sz w:val="19"/>
          <w:szCs w:val="19"/>
        </w:rPr>
      </w:pPr>
      <w:r>
        <w:rPr>
          <w:sz w:val="19"/>
          <w:szCs w:val="19"/>
        </w:rPr>
        <w:t>T</w:t>
      </w:r>
      <w:r w:rsidRPr="00043F90">
        <w:rPr>
          <w:sz w:val="19"/>
          <w:szCs w:val="19"/>
        </w:rPr>
        <w:t xml:space="preserve">he definition of public accountability in </w:t>
      </w:r>
      <w:r w:rsidRPr="001F4E56">
        <w:rPr>
          <w:i/>
          <w:sz w:val="19"/>
          <w:szCs w:val="19"/>
        </w:rPr>
        <w:t>IFRS for SMEs</w:t>
      </w:r>
      <w:r w:rsidRPr="00043F90">
        <w:rPr>
          <w:sz w:val="19"/>
          <w:szCs w:val="19"/>
        </w:rPr>
        <w:t xml:space="preserve"> was developed </w:t>
      </w:r>
      <w:r>
        <w:rPr>
          <w:sz w:val="19"/>
          <w:szCs w:val="19"/>
        </w:rPr>
        <w:t xml:space="preserve">by the IASB </w:t>
      </w:r>
      <w:r w:rsidRPr="00043F90">
        <w:rPr>
          <w:sz w:val="19"/>
          <w:szCs w:val="19"/>
        </w:rPr>
        <w:t xml:space="preserve">for for-profit private sector entities. </w:t>
      </w:r>
      <w:r>
        <w:rPr>
          <w:sz w:val="19"/>
          <w:szCs w:val="19"/>
        </w:rPr>
        <w:t xml:space="preserve"> </w:t>
      </w:r>
      <w:r w:rsidRPr="00043F90">
        <w:rPr>
          <w:sz w:val="19"/>
          <w:szCs w:val="19"/>
        </w:rPr>
        <w:t xml:space="preserve">When discussing AASB 1053, the Board considered whether </w:t>
      </w:r>
      <w:r>
        <w:rPr>
          <w:sz w:val="19"/>
          <w:szCs w:val="19"/>
        </w:rPr>
        <w:t xml:space="preserve">the definition of public accountability should </w:t>
      </w:r>
      <w:r w:rsidRPr="00043F90">
        <w:rPr>
          <w:sz w:val="19"/>
          <w:szCs w:val="19"/>
        </w:rPr>
        <w:t xml:space="preserve">also be applied to public sector entities.  However, </w:t>
      </w:r>
      <w:r>
        <w:rPr>
          <w:sz w:val="19"/>
          <w:szCs w:val="19"/>
        </w:rPr>
        <w:t xml:space="preserve">the Board </w:t>
      </w:r>
      <w:r w:rsidRPr="00043F90">
        <w:rPr>
          <w:sz w:val="19"/>
          <w:szCs w:val="19"/>
        </w:rPr>
        <w:t xml:space="preserve">decided against this </w:t>
      </w:r>
      <w:r>
        <w:rPr>
          <w:sz w:val="19"/>
          <w:szCs w:val="19"/>
        </w:rPr>
        <w:t>for the following reasons:</w:t>
      </w:r>
    </w:p>
    <w:p w14:paraId="077BB277" w14:textId="77777777" w:rsidR="00B8773D" w:rsidRPr="005C0A99" w:rsidRDefault="00B8773D" w:rsidP="00413BF4">
      <w:pPr>
        <w:pStyle w:val="IASBNormalnparaL1"/>
        <w:ind w:left="1440" w:firstLine="0"/>
        <w:rPr>
          <w:szCs w:val="19"/>
        </w:rPr>
      </w:pPr>
      <w:r w:rsidRPr="005C0A99">
        <w:rPr>
          <w:szCs w:val="19"/>
        </w:rPr>
        <w:t xml:space="preserve">The Board concluded that, consistent with the role of other regulators under the revised differential reporting framework (see paragraphs BC40-BC41), the determination of the Tiers of reporting requirements under which for-profit public sector entities should report would best be left to relevant public sector regulators in each jurisdiction.  (AASB 1053, paragraph BC38). </w:t>
      </w:r>
    </w:p>
    <w:p w14:paraId="7B8297BF" w14:textId="77777777" w:rsidR="00B8773D" w:rsidRDefault="00B8773D" w:rsidP="00413BF4">
      <w:pPr>
        <w:pStyle w:val="Default"/>
        <w:spacing w:before="100"/>
        <w:ind w:left="782"/>
        <w:jc w:val="both"/>
        <w:rPr>
          <w:sz w:val="19"/>
          <w:szCs w:val="19"/>
        </w:rPr>
      </w:pPr>
      <w:r>
        <w:rPr>
          <w:sz w:val="19"/>
          <w:szCs w:val="19"/>
        </w:rPr>
        <w:t xml:space="preserve">The Board did </w:t>
      </w:r>
      <w:r w:rsidRPr="00043F90">
        <w:rPr>
          <w:sz w:val="19"/>
          <w:szCs w:val="19"/>
        </w:rPr>
        <w:t xml:space="preserve">not consider that there </w:t>
      </w:r>
      <w:r>
        <w:rPr>
          <w:sz w:val="19"/>
          <w:szCs w:val="19"/>
        </w:rPr>
        <w:t xml:space="preserve">was </w:t>
      </w:r>
      <w:r w:rsidRPr="00043F90">
        <w:rPr>
          <w:sz w:val="19"/>
          <w:szCs w:val="19"/>
        </w:rPr>
        <w:t xml:space="preserve">any reason to revisit this decision. </w:t>
      </w:r>
    </w:p>
    <w:p w14:paraId="301404E1" w14:textId="77777777" w:rsidR="00B8773D" w:rsidRPr="00043F90" w:rsidRDefault="00B8773D" w:rsidP="00413BF4">
      <w:pPr>
        <w:pStyle w:val="Default"/>
        <w:numPr>
          <w:ilvl w:val="0"/>
          <w:numId w:val="70"/>
        </w:numPr>
        <w:spacing w:before="100"/>
        <w:ind w:left="782" w:hanging="782"/>
        <w:jc w:val="both"/>
        <w:rPr>
          <w:sz w:val="19"/>
          <w:szCs w:val="19"/>
        </w:rPr>
      </w:pPr>
      <w:r>
        <w:rPr>
          <w:sz w:val="19"/>
          <w:szCs w:val="19"/>
        </w:rPr>
        <w:t xml:space="preserve">When discussing the application of </w:t>
      </w:r>
      <w:r w:rsidRPr="00043F90">
        <w:rPr>
          <w:sz w:val="19"/>
          <w:szCs w:val="19"/>
        </w:rPr>
        <w:t xml:space="preserve">Phase 1 of ITC 39 </w:t>
      </w:r>
      <w:r>
        <w:rPr>
          <w:sz w:val="19"/>
          <w:szCs w:val="19"/>
        </w:rPr>
        <w:t xml:space="preserve">to entities in the public sector, the Board </w:t>
      </w:r>
      <w:r w:rsidRPr="00043F90">
        <w:rPr>
          <w:sz w:val="19"/>
          <w:szCs w:val="19"/>
        </w:rPr>
        <w:t xml:space="preserve">did not intend to force any for-profit public sector entity to adopt the </w:t>
      </w:r>
      <w:r>
        <w:rPr>
          <w:sz w:val="19"/>
          <w:szCs w:val="19"/>
        </w:rPr>
        <w:t xml:space="preserve">revised Conceptual Framework for periods beginning on or after </w:t>
      </w:r>
      <w:r w:rsidRPr="00043F90">
        <w:rPr>
          <w:sz w:val="19"/>
          <w:szCs w:val="19"/>
        </w:rPr>
        <w:t>1</w:t>
      </w:r>
      <w:r>
        <w:rPr>
          <w:sz w:val="19"/>
          <w:szCs w:val="19"/>
        </w:rPr>
        <w:t> </w:t>
      </w:r>
      <w:r w:rsidRPr="00043F90">
        <w:rPr>
          <w:sz w:val="19"/>
          <w:szCs w:val="19"/>
        </w:rPr>
        <w:t xml:space="preserve">January 2020. </w:t>
      </w:r>
      <w:r>
        <w:rPr>
          <w:sz w:val="19"/>
          <w:szCs w:val="19"/>
        </w:rPr>
        <w:t xml:space="preserve"> </w:t>
      </w:r>
      <w:r w:rsidRPr="00043F90">
        <w:rPr>
          <w:sz w:val="19"/>
          <w:szCs w:val="19"/>
        </w:rPr>
        <w:t xml:space="preserve">The Phase 1 amendments </w:t>
      </w:r>
      <w:r>
        <w:rPr>
          <w:sz w:val="19"/>
          <w:szCs w:val="19"/>
        </w:rPr>
        <w:t xml:space="preserve">are </w:t>
      </w:r>
      <w:r w:rsidRPr="00043F90">
        <w:rPr>
          <w:sz w:val="19"/>
          <w:szCs w:val="19"/>
        </w:rPr>
        <w:t xml:space="preserve">intended to allow for-profit public sector entities to </w:t>
      </w:r>
      <w:r>
        <w:rPr>
          <w:sz w:val="19"/>
          <w:szCs w:val="19"/>
        </w:rPr>
        <w:t xml:space="preserve">apply the revised Conceptual Framework and </w:t>
      </w:r>
      <w:r w:rsidRPr="00043F90">
        <w:rPr>
          <w:sz w:val="19"/>
          <w:szCs w:val="19"/>
        </w:rPr>
        <w:t xml:space="preserve">continue stating compliance with IFRS </w:t>
      </w:r>
      <w:r>
        <w:rPr>
          <w:sz w:val="19"/>
          <w:szCs w:val="19"/>
        </w:rPr>
        <w:t xml:space="preserve">Standards </w:t>
      </w:r>
      <w:r w:rsidRPr="00043F90">
        <w:rPr>
          <w:sz w:val="19"/>
          <w:szCs w:val="19"/>
        </w:rPr>
        <w:t>where they elect to do so</w:t>
      </w:r>
      <w:r>
        <w:rPr>
          <w:sz w:val="19"/>
          <w:szCs w:val="19"/>
        </w:rPr>
        <w:t>.</w:t>
      </w:r>
    </w:p>
    <w:p w14:paraId="0D4582A6" w14:textId="4E977349" w:rsidR="005E6CD5" w:rsidRDefault="00B8773D" w:rsidP="00413BF4">
      <w:pPr>
        <w:pStyle w:val="Default"/>
        <w:numPr>
          <w:ilvl w:val="0"/>
          <w:numId w:val="70"/>
        </w:numPr>
        <w:spacing w:before="100"/>
        <w:ind w:left="782" w:hanging="782"/>
        <w:jc w:val="both"/>
        <w:rPr>
          <w:sz w:val="19"/>
          <w:szCs w:val="19"/>
        </w:rPr>
      </w:pPr>
      <w:r>
        <w:rPr>
          <w:sz w:val="19"/>
          <w:szCs w:val="19"/>
        </w:rPr>
        <w:t xml:space="preserve">For these reasons, the Board decided that </w:t>
      </w:r>
      <w:r w:rsidRPr="007E569C">
        <w:rPr>
          <w:sz w:val="19"/>
          <w:szCs w:val="19"/>
        </w:rPr>
        <w:t xml:space="preserve">Phase 1 </w:t>
      </w:r>
      <w:r>
        <w:rPr>
          <w:sz w:val="19"/>
          <w:szCs w:val="19"/>
        </w:rPr>
        <w:t xml:space="preserve">should also apply to </w:t>
      </w:r>
      <w:r w:rsidRPr="007E569C">
        <w:rPr>
          <w:sz w:val="19"/>
          <w:szCs w:val="19"/>
        </w:rPr>
        <w:t xml:space="preserve">for-profit </w:t>
      </w:r>
      <w:r w:rsidR="005E6CD5">
        <w:rPr>
          <w:sz w:val="19"/>
          <w:szCs w:val="19"/>
        </w:rPr>
        <w:t xml:space="preserve">public sector </w:t>
      </w:r>
      <w:r w:rsidRPr="007E569C">
        <w:rPr>
          <w:sz w:val="19"/>
          <w:szCs w:val="19"/>
        </w:rPr>
        <w:t xml:space="preserve">entities that elect to apply the </w:t>
      </w:r>
      <w:r>
        <w:rPr>
          <w:sz w:val="19"/>
          <w:szCs w:val="19"/>
        </w:rPr>
        <w:t xml:space="preserve">revised Conceptual Framework, in addition </w:t>
      </w:r>
      <w:r w:rsidRPr="007E569C">
        <w:rPr>
          <w:sz w:val="19"/>
          <w:szCs w:val="19"/>
        </w:rPr>
        <w:t>to for-profit private sector entities that have public accountability and are required by legislation to comply with Australian Accounting Standards.</w:t>
      </w:r>
    </w:p>
    <w:p w14:paraId="67D169D7" w14:textId="5E464497" w:rsidR="00B8773D" w:rsidRPr="005E6CD5" w:rsidRDefault="005E6CD5" w:rsidP="00413BF4">
      <w:pPr>
        <w:pStyle w:val="Default"/>
        <w:numPr>
          <w:ilvl w:val="0"/>
          <w:numId w:val="70"/>
        </w:numPr>
        <w:spacing w:before="100"/>
        <w:ind w:left="782" w:hanging="782"/>
        <w:jc w:val="both"/>
        <w:rPr>
          <w:sz w:val="19"/>
          <w:szCs w:val="19"/>
        </w:rPr>
      </w:pPr>
      <w:r w:rsidRPr="005E6CD5">
        <w:rPr>
          <w:sz w:val="19"/>
          <w:szCs w:val="18"/>
        </w:rPr>
        <w:t xml:space="preserve">The Board decided that it would pursue financial reporting reform in the public sector via consultation based on </w:t>
      </w:r>
      <w:r w:rsidRPr="00413BF4">
        <w:rPr>
          <w:sz w:val="19"/>
          <w:szCs w:val="19"/>
        </w:rPr>
        <w:t>the</w:t>
      </w:r>
      <w:r w:rsidRPr="005E6CD5">
        <w:rPr>
          <w:sz w:val="19"/>
          <w:szCs w:val="18"/>
        </w:rPr>
        <w:t xml:space="preserve"> AASB Discussion Paper </w:t>
      </w:r>
      <w:r w:rsidRPr="005E6CD5">
        <w:rPr>
          <w:i/>
          <w:sz w:val="19"/>
          <w:szCs w:val="18"/>
        </w:rPr>
        <w:t>Improving Financial Reporting for Australian Public Sector</w:t>
      </w:r>
      <w:r w:rsidRPr="005E6CD5">
        <w:rPr>
          <w:sz w:val="19"/>
          <w:szCs w:val="18"/>
        </w:rPr>
        <w:t>,</w:t>
      </w:r>
      <w:r w:rsidRPr="005E6CD5">
        <w:rPr>
          <w:i/>
          <w:sz w:val="19"/>
          <w:szCs w:val="18"/>
        </w:rPr>
        <w:t xml:space="preserve"> </w:t>
      </w:r>
      <w:r w:rsidRPr="005E6CD5">
        <w:rPr>
          <w:sz w:val="19"/>
          <w:szCs w:val="18"/>
        </w:rPr>
        <w:t>which</w:t>
      </w:r>
      <w:r w:rsidRPr="005E6CD5">
        <w:rPr>
          <w:i/>
          <w:sz w:val="19"/>
          <w:szCs w:val="18"/>
        </w:rPr>
        <w:t xml:space="preserve"> </w:t>
      </w:r>
      <w:r w:rsidRPr="005E6CD5">
        <w:rPr>
          <w:sz w:val="19"/>
          <w:szCs w:val="18"/>
        </w:rPr>
        <w:t>was issued in June 2018.</w:t>
      </w:r>
    </w:p>
    <w:p w14:paraId="67D64A80" w14:textId="0B0AF744" w:rsidR="00B8773D" w:rsidRPr="007E569C" w:rsidRDefault="00282B64" w:rsidP="00C87FAF">
      <w:pPr>
        <w:pStyle w:val="Heading2"/>
        <w:jc w:val="both"/>
      </w:pPr>
      <w:r>
        <w:t>Further consultation</w:t>
      </w:r>
    </w:p>
    <w:p w14:paraId="22F4F1D5" w14:textId="77777777" w:rsidR="00B8773D" w:rsidRPr="00157C4D" w:rsidRDefault="00B8773D" w:rsidP="00413BF4">
      <w:pPr>
        <w:pStyle w:val="Default"/>
        <w:numPr>
          <w:ilvl w:val="0"/>
          <w:numId w:val="70"/>
        </w:numPr>
        <w:spacing w:before="100"/>
        <w:ind w:left="782" w:hanging="782"/>
        <w:jc w:val="both"/>
        <w:rPr>
          <w:sz w:val="19"/>
          <w:szCs w:val="19"/>
        </w:rPr>
      </w:pPr>
      <w:r w:rsidRPr="00157C4D">
        <w:rPr>
          <w:sz w:val="19"/>
          <w:szCs w:val="19"/>
        </w:rPr>
        <w:t xml:space="preserve">In </w:t>
      </w:r>
      <w:r>
        <w:rPr>
          <w:sz w:val="19"/>
          <w:szCs w:val="19"/>
        </w:rPr>
        <w:t xml:space="preserve">December 2017 and February, September and November </w:t>
      </w:r>
      <w:r w:rsidRPr="00157C4D">
        <w:rPr>
          <w:sz w:val="19"/>
          <w:szCs w:val="19"/>
        </w:rPr>
        <w:t>2018, the Board considered issues papers and draft</w:t>
      </w:r>
      <w:r>
        <w:rPr>
          <w:sz w:val="19"/>
          <w:szCs w:val="19"/>
        </w:rPr>
        <w:t>s</w:t>
      </w:r>
      <w:r w:rsidRPr="00157C4D">
        <w:rPr>
          <w:sz w:val="19"/>
          <w:szCs w:val="19"/>
        </w:rPr>
        <w:t xml:space="preserve"> of the Standard which were published as Board agenda papers for the public. </w:t>
      </w:r>
      <w:r>
        <w:rPr>
          <w:sz w:val="19"/>
          <w:szCs w:val="19"/>
        </w:rPr>
        <w:t xml:space="preserve"> </w:t>
      </w:r>
      <w:r w:rsidRPr="00157C4D">
        <w:rPr>
          <w:sz w:val="19"/>
          <w:szCs w:val="19"/>
        </w:rPr>
        <w:t xml:space="preserve">This gave </w:t>
      </w:r>
      <w:r>
        <w:rPr>
          <w:sz w:val="19"/>
          <w:szCs w:val="19"/>
        </w:rPr>
        <w:t>stakeholders</w:t>
      </w:r>
      <w:r w:rsidRPr="00157C4D">
        <w:rPr>
          <w:sz w:val="19"/>
          <w:szCs w:val="19"/>
        </w:rPr>
        <w:t xml:space="preserve"> the opportunity to follow the </w:t>
      </w:r>
      <w:r>
        <w:rPr>
          <w:sz w:val="19"/>
          <w:szCs w:val="19"/>
        </w:rPr>
        <w:t xml:space="preserve">project </w:t>
      </w:r>
      <w:r w:rsidRPr="00157C4D">
        <w:rPr>
          <w:sz w:val="19"/>
          <w:szCs w:val="19"/>
        </w:rPr>
        <w:t>and to comment on the issues contemporaneously.</w:t>
      </w:r>
    </w:p>
    <w:p w14:paraId="155450ED" w14:textId="110C02E8" w:rsidR="00B8773D" w:rsidRDefault="00B8773D" w:rsidP="00413BF4">
      <w:pPr>
        <w:pStyle w:val="Default"/>
        <w:numPr>
          <w:ilvl w:val="0"/>
          <w:numId w:val="70"/>
        </w:numPr>
        <w:spacing w:before="100"/>
        <w:ind w:left="782" w:hanging="782"/>
        <w:jc w:val="both"/>
        <w:rPr>
          <w:sz w:val="19"/>
          <w:szCs w:val="19"/>
        </w:rPr>
      </w:pPr>
      <w:r>
        <w:rPr>
          <w:sz w:val="19"/>
          <w:szCs w:val="19"/>
        </w:rPr>
        <w:t xml:space="preserve">At its meeting in November 2018, </w:t>
      </w:r>
      <w:r w:rsidRPr="0020602D">
        <w:rPr>
          <w:sz w:val="19"/>
          <w:szCs w:val="19"/>
        </w:rPr>
        <w:t xml:space="preserve">the Board decided to finalise its decisions to address </w:t>
      </w:r>
      <w:r>
        <w:rPr>
          <w:sz w:val="19"/>
          <w:szCs w:val="19"/>
        </w:rPr>
        <w:t xml:space="preserve">the </w:t>
      </w:r>
      <w:r w:rsidRPr="0020602D">
        <w:rPr>
          <w:sz w:val="19"/>
          <w:szCs w:val="19"/>
        </w:rPr>
        <w:t>issues raised by</w:t>
      </w:r>
      <w:r>
        <w:rPr>
          <w:sz w:val="19"/>
          <w:szCs w:val="19"/>
        </w:rPr>
        <w:t xml:space="preserve"> stakeholders</w:t>
      </w:r>
      <w:r w:rsidRPr="0020602D">
        <w:rPr>
          <w:sz w:val="19"/>
          <w:szCs w:val="19"/>
        </w:rPr>
        <w:t xml:space="preserve">.  Whilst the substance of the Board’s decisions </w:t>
      </w:r>
      <w:r>
        <w:rPr>
          <w:sz w:val="19"/>
          <w:szCs w:val="19"/>
        </w:rPr>
        <w:t xml:space="preserve">is </w:t>
      </w:r>
      <w:r w:rsidRPr="0020602D">
        <w:rPr>
          <w:sz w:val="19"/>
          <w:szCs w:val="19"/>
        </w:rPr>
        <w:t xml:space="preserve">consistent with the proposals in ITC 39, the Board decided that the new approach to highlighting which entities apply which conceptual framework and </w:t>
      </w:r>
      <w:r>
        <w:rPr>
          <w:sz w:val="19"/>
          <w:szCs w:val="19"/>
        </w:rPr>
        <w:t xml:space="preserve">to the </w:t>
      </w:r>
      <w:r w:rsidRPr="0020602D">
        <w:rPr>
          <w:sz w:val="19"/>
          <w:szCs w:val="19"/>
        </w:rPr>
        <w:t xml:space="preserve">scope restrictions warranted </w:t>
      </w:r>
      <w:r>
        <w:rPr>
          <w:sz w:val="19"/>
          <w:szCs w:val="19"/>
        </w:rPr>
        <w:t>the issue of</w:t>
      </w:r>
      <w:r w:rsidRPr="0020602D">
        <w:rPr>
          <w:sz w:val="19"/>
          <w:szCs w:val="19"/>
        </w:rPr>
        <w:t xml:space="preserve"> a limited-scope </w:t>
      </w:r>
      <w:r w:rsidR="00282B64">
        <w:rPr>
          <w:sz w:val="19"/>
          <w:szCs w:val="19"/>
        </w:rPr>
        <w:t xml:space="preserve">consultative document presenting </w:t>
      </w:r>
      <w:r w:rsidRPr="0020602D">
        <w:rPr>
          <w:sz w:val="19"/>
          <w:szCs w:val="19"/>
        </w:rPr>
        <w:t xml:space="preserve">the </w:t>
      </w:r>
      <w:r w:rsidR="00282B64">
        <w:rPr>
          <w:sz w:val="19"/>
          <w:szCs w:val="19"/>
        </w:rPr>
        <w:t xml:space="preserve">proposed </w:t>
      </w:r>
      <w:r w:rsidRPr="0020602D">
        <w:rPr>
          <w:sz w:val="19"/>
          <w:szCs w:val="19"/>
        </w:rPr>
        <w:t xml:space="preserve">consequential amendments to </w:t>
      </w:r>
      <w:r>
        <w:rPr>
          <w:sz w:val="19"/>
          <w:szCs w:val="19"/>
        </w:rPr>
        <w:t xml:space="preserve">Australian Accounting </w:t>
      </w:r>
      <w:r w:rsidRPr="0020602D">
        <w:rPr>
          <w:sz w:val="19"/>
          <w:szCs w:val="19"/>
        </w:rPr>
        <w:t xml:space="preserve">Standards </w:t>
      </w:r>
      <w:r>
        <w:rPr>
          <w:sz w:val="19"/>
          <w:szCs w:val="19"/>
        </w:rPr>
        <w:t xml:space="preserve">(including </w:t>
      </w:r>
      <w:r w:rsidRPr="0020602D">
        <w:rPr>
          <w:sz w:val="19"/>
          <w:szCs w:val="19"/>
        </w:rPr>
        <w:t>Interpretations</w:t>
      </w:r>
      <w:r>
        <w:rPr>
          <w:sz w:val="19"/>
          <w:szCs w:val="19"/>
        </w:rPr>
        <w:t>) and other pronouncements</w:t>
      </w:r>
      <w:r w:rsidRPr="0020602D">
        <w:rPr>
          <w:sz w:val="19"/>
          <w:szCs w:val="19"/>
        </w:rPr>
        <w:t xml:space="preserve">.  </w:t>
      </w:r>
      <w:r w:rsidR="002E102C">
        <w:rPr>
          <w:sz w:val="19"/>
          <w:szCs w:val="19"/>
        </w:rPr>
        <w:t>A fatal-flaw review version of the proposed amending Standard was issued for comment in January 2019.</w:t>
      </w:r>
    </w:p>
    <w:p w14:paraId="4B57C70B" w14:textId="14E74F57" w:rsidR="00C8084B" w:rsidRDefault="00C8084B" w:rsidP="00413BF4">
      <w:pPr>
        <w:pStyle w:val="Default"/>
        <w:numPr>
          <w:ilvl w:val="0"/>
          <w:numId w:val="70"/>
        </w:numPr>
        <w:spacing w:before="100"/>
        <w:ind w:left="782" w:hanging="782"/>
        <w:jc w:val="both"/>
        <w:rPr>
          <w:sz w:val="19"/>
          <w:szCs w:val="19"/>
        </w:rPr>
      </w:pPr>
      <w:r w:rsidRPr="00DB09D2">
        <w:rPr>
          <w:sz w:val="19"/>
          <w:szCs w:val="19"/>
        </w:rPr>
        <w:t xml:space="preserve">The Board received four submissions on the fatal-flaw review version.  The responses </w:t>
      </w:r>
      <w:r w:rsidR="009826C0">
        <w:rPr>
          <w:sz w:val="19"/>
          <w:szCs w:val="19"/>
        </w:rPr>
        <w:t xml:space="preserve">in general </w:t>
      </w:r>
      <w:r w:rsidRPr="00DB09D2">
        <w:rPr>
          <w:sz w:val="19"/>
          <w:szCs w:val="19"/>
        </w:rPr>
        <w:t>supported the issue of the amending Standard to finalise the Phase 1 consequential amendments alongside the issue of the revised Conceptual Framework</w:t>
      </w:r>
      <w:r w:rsidR="00865F86">
        <w:rPr>
          <w:sz w:val="19"/>
          <w:szCs w:val="19"/>
        </w:rPr>
        <w:t>, although one respondent preferred that two conceptual frameworks were both on issue for only a limited period of time and one preferred only one conceptual framework to be on issue</w:t>
      </w:r>
      <w:r w:rsidRPr="00DB09D2">
        <w:rPr>
          <w:sz w:val="19"/>
          <w:szCs w:val="19"/>
        </w:rPr>
        <w:t>.  Some of the submissions raised matters of detail regarding the consequential amendments, which were addressed in finalising the amending Standard.</w:t>
      </w:r>
    </w:p>
    <w:p w14:paraId="200274DB" w14:textId="77777777" w:rsidR="00871AAC" w:rsidRPr="00DB09D2" w:rsidRDefault="00871AAC" w:rsidP="00871AAC">
      <w:pPr>
        <w:pStyle w:val="Default"/>
        <w:jc w:val="both"/>
        <w:rPr>
          <w:sz w:val="19"/>
          <w:szCs w:val="19"/>
        </w:rPr>
      </w:pPr>
    </w:p>
    <w:sectPr w:rsidR="00871AAC" w:rsidRPr="00DB09D2" w:rsidSect="00D74C6A">
      <w:footerReference w:type="default" r:id="rId23"/>
      <w:pgSz w:w="11907" w:h="16840" w:code="9"/>
      <w:pgMar w:top="1418" w:right="1418" w:bottom="1418" w:left="1418" w:header="709" w:footer="709" w:gutter="0"/>
      <w:paperSrc w:first="7" w:other="7"/>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FE33" w14:textId="77777777" w:rsidR="00346B11" w:rsidRDefault="00346B11">
      <w:r>
        <w:separator/>
      </w:r>
    </w:p>
  </w:endnote>
  <w:endnote w:type="continuationSeparator" w:id="0">
    <w:p w14:paraId="7ACE5F2E" w14:textId="77777777" w:rsidR="00346B11" w:rsidRDefault="00346B11">
      <w:r>
        <w:continuationSeparator/>
      </w:r>
    </w:p>
  </w:endnote>
  <w:endnote w:type="continuationNotice" w:id="1">
    <w:p w14:paraId="0D2B5C3E" w14:textId="77777777" w:rsidR="00346B11" w:rsidRDefault="00346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9927C" w14:textId="09BB0475"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0285" w14:textId="1C296728"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4</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4644" w14:textId="34239AC2"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5</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C13CB" w14:textId="56A84AFF"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21</w:t>
    </w:r>
    <w:r>
      <w:fldChar w:fldCharType="end"/>
    </w:r>
    <w:r>
      <w:tab/>
    </w:r>
    <w:r>
      <w:rPr>
        <w:b/>
        <w:bCs/>
      </w:rPr>
      <w:t>STANDARD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731E" w14:textId="77777777" w:rsidR="00346B11" w:rsidRDefault="00346B1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F4F0C" w14:textId="62E8190D"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53</w:t>
    </w:r>
    <w:r>
      <w:fldChar w:fldCharType="end"/>
    </w:r>
    <w:r>
      <w:tab/>
    </w:r>
    <w:r>
      <w:rPr>
        <w:b/>
      </w:rPr>
      <w:t>APPENDIX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286FC" w14:textId="51EC8EF3" w:rsidR="00346B11" w:rsidRDefault="00346B11">
    <w:pPr>
      <w:pStyle w:val="Footer"/>
      <w:rPr>
        <w:b/>
      </w:rPr>
    </w:pPr>
    <w:r>
      <w:rPr>
        <w:b/>
      </w:rPr>
      <w:t xml:space="preserve">AASB </w:t>
    </w:r>
    <w:r>
      <w:rPr>
        <w:b/>
      </w:rPr>
      <w:fldChar w:fldCharType="begin"/>
    </w:r>
    <w:r>
      <w:rPr>
        <w:b/>
      </w:rPr>
      <w:instrText xml:space="preserve"> REF DocNo  \* charformat </w:instrText>
    </w:r>
    <w:r>
      <w:rPr>
        <w:b/>
      </w:rPr>
      <w:fldChar w:fldCharType="separate"/>
    </w:r>
    <w:r w:rsidR="00790224" w:rsidRPr="00790224">
      <w:rPr>
        <w:b/>
      </w:rPr>
      <w:t>2019-1</w:t>
    </w:r>
    <w:r>
      <w:rPr>
        <w:b/>
      </w:rPr>
      <w:fldChar w:fldCharType="end"/>
    </w:r>
    <w:r>
      <w:rPr>
        <w:b/>
      </w:rPr>
      <w:tab/>
    </w:r>
    <w:r>
      <w:fldChar w:fldCharType="begin"/>
    </w:r>
    <w:r>
      <w:instrText>PAGE</w:instrText>
    </w:r>
    <w:r>
      <w:fldChar w:fldCharType="separate"/>
    </w:r>
    <w:r w:rsidR="00790224">
      <w:rPr>
        <w:noProof/>
      </w:rPr>
      <w:t>62</w:t>
    </w:r>
    <w:r>
      <w:fldChar w:fldCharType="end"/>
    </w:r>
    <w:r>
      <w:tab/>
    </w:r>
    <w:r>
      <w:rPr>
        <w:b/>
        <w:bCs/>
      </w:rPr>
      <w:t>BASIS FOR CONCLUSIONS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B2A65" w14:textId="77777777" w:rsidR="00346B11" w:rsidRDefault="00346B11">
      <w:r>
        <w:separator/>
      </w:r>
    </w:p>
  </w:footnote>
  <w:footnote w:type="continuationSeparator" w:id="0">
    <w:p w14:paraId="40289F37" w14:textId="77777777" w:rsidR="00346B11" w:rsidRDefault="00346B11">
      <w:r>
        <w:continuationSeparator/>
      </w:r>
    </w:p>
  </w:footnote>
  <w:footnote w:type="continuationNotice" w:id="1">
    <w:p w14:paraId="0EAD5CD0" w14:textId="77777777" w:rsidR="00346B11" w:rsidRDefault="00346B11"/>
  </w:footnote>
  <w:footnote w:id="2">
    <w:p w14:paraId="09FDDB3A" w14:textId="77777777" w:rsidR="00346B11" w:rsidRPr="004E2E46" w:rsidRDefault="00346B11" w:rsidP="00B8773D">
      <w:pPr>
        <w:pStyle w:val="FootnoteText"/>
      </w:pPr>
      <w:r w:rsidRPr="004E2E46">
        <w:rPr>
          <w:rStyle w:val="FootnoteReference"/>
          <w:sz w:val="16"/>
          <w:vertAlign w:val="baseline"/>
        </w:rPr>
        <w:footnoteRef/>
      </w:r>
      <w:r w:rsidRPr="004E2E46">
        <w:t xml:space="preserve"> </w:t>
      </w:r>
      <w:r>
        <w:tab/>
      </w:r>
      <w:r w:rsidRPr="004E2E46">
        <w:t xml:space="preserve">Statement of Accounting Concepts SAC 1 </w:t>
      </w:r>
      <w:r w:rsidRPr="000206F7">
        <w:rPr>
          <w:i/>
        </w:rPr>
        <w:t>Definition of the Reporting Entity</w:t>
      </w:r>
    </w:p>
  </w:footnote>
  <w:footnote w:id="3">
    <w:p w14:paraId="6ACFE84E" w14:textId="77777777" w:rsidR="00346B11" w:rsidRPr="004E2E46" w:rsidRDefault="00346B11" w:rsidP="00B8773D">
      <w:pPr>
        <w:pStyle w:val="FootnoteText"/>
      </w:pPr>
      <w:r w:rsidRPr="004E2E46">
        <w:rPr>
          <w:rStyle w:val="FootnoteReference"/>
          <w:sz w:val="16"/>
          <w:vertAlign w:val="baseline"/>
        </w:rPr>
        <w:footnoteRef/>
      </w:r>
      <w:r w:rsidRPr="004E2E46">
        <w:t xml:space="preserve"> </w:t>
      </w:r>
      <w:r>
        <w:tab/>
      </w:r>
      <w:r w:rsidRPr="004E2E46">
        <w:t>Chapter 3 Financial Statements and the Reporting Entity</w:t>
      </w:r>
    </w:p>
  </w:footnote>
  <w:footnote w:id="4">
    <w:p w14:paraId="450FE6EE" w14:textId="77777777" w:rsidR="00346B11" w:rsidRPr="004E2E46" w:rsidRDefault="00346B11" w:rsidP="00B8773D">
      <w:pPr>
        <w:pStyle w:val="FootnoteText"/>
      </w:pPr>
      <w:r w:rsidRPr="004E2E46">
        <w:rPr>
          <w:rStyle w:val="FootnoteReference"/>
          <w:sz w:val="16"/>
          <w:vertAlign w:val="baseline"/>
        </w:rPr>
        <w:footnoteRef/>
      </w:r>
      <w:r w:rsidRPr="004E2E46">
        <w:t xml:space="preserve"> </w:t>
      </w:r>
      <w:r>
        <w:tab/>
      </w:r>
      <w:r w:rsidRPr="004E2E46">
        <w:t>AASB 105</w:t>
      </w:r>
      <w:r>
        <w:t>7</w:t>
      </w:r>
      <w:r w:rsidRPr="004E2E46">
        <w:t xml:space="preserve"> </w:t>
      </w:r>
      <w:r w:rsidRPr="0056593B">
        <w:rPr>
          <w:i/>
        </w:rPr>
        <w:t>Application of Australian Accounting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665A" w14:textId="7BCA7D47" w:rsidR="00346B11" w:rsidRPr="009C7AA0" w:rsidRDefault="00346B11" w:rsidP="009C7A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59DE" w14:textId="77777777" w:rsidR="00346B11" w:rsidRDefault="00346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1C1E"/>
    <w:multiLevelType w:val="hybridMultilevel"/>
    <w:tmpl w:val="CBCE3526"/>
    <w:lvl w:ilvl="0" w:tplc="9B5475C8">
      <w:start w:val="1"/>
      <w:numFmt w:val="lowerLetter"/>
      <w:lvlText w:val="(%1)"/>
      <w:lvlJc w:val="left"/>
      <w:pPr>
        <w:ind w:left="106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2" w15:restartNumberingAfterBreak="0">
    <w:nsid w:val="02C206D4"/>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404CD1"/>
    <w:multiLevelType w:val="hybridMultilevel"/>
    <w:tmpl w:val="F1084EE8"/>
    <w:lvl w:ilvl="0" w:tplc="96945970">
      <w:start w:val="1"/>
      <w:numFmt w:val="decimal"/>
      <w:lvlText w:val="BC%1"/>
      <w:lvlJc w:val="left"/>
      <w:pPr>
        <w:ind w:left="360" w:hanging="360"/>
      </w:pPr>
      <w:rPr>
        <w:rFonts w:ascii="Times New Roman" w:hAnsi="Times New Roman" w:cs="Times New Roman" w:hint="default"/>
        <w:sz w:val="19"/>
        <w:szCs w:val="19"/>
        <w:u w:val="none"/>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4" w15:restartNumberingAfterBreak="0">
    <w:nsid w:val="0370063A"/>
    <w:multiLevelType w:val="hybridMultilevel"/>
    <w:tmpl w:val="30AC8786"/>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 w15:restartNumberingAfterBreak="0">
    <w:nsid w:val="03F92581"/>
    <w:multiLevelType w:val="multilevel"/>
    <w:tmpl w:val="AD5ABFF2"/>
    <w:numStyleLink w:val="AASBSubNumbers"/>
  </w:abstractNum>
  <w:abstractNum w:abstractNumId="6" w15:restartNumberingAfterBreak="0">
    <w:nsid w:val="05425B6D"/>
    <w:multiLevelType w:val="hybridMultilevel"/>
    <w:tmpl w:val="67A0BCB6"/>
    <w:lvl w:ilvl="0" w:tplc="D332D4AA">
      <w:start w:val="1"/>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4C702F"/>
    <w:multiLevelType w:val="hybridMultilevel"/>
    <w:tmpl w:val="2DA68790"/>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58F5E72"/>
    <w:multiLevelType w:val="hybridMultilevel"/>
    <w:tmpl w:val="29AC2D60"/>
    <w:lvl w:ilvl="0" w:tplc="EA2C39F8">
      <w:start w:val="2"/>
      <w:numFmt w:val="lowerLetter"/>
      <w:lvlText w:val="1(%1)"/>
      <w:lvlJc w:val="left"/>
      <w:pPr>
        <w:ind w:left="360" w:hanging="360"/>
      </w:pPr>
      <w:rPr>
        <w:rFonts w:hint="default"/>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1D2DCC"/>
    <w:multiLevelType w:val="hybridMultilevel"/>
    <w:tmpl w:val="B96A8F36"/>
    <w:lvl w:ilvl="0" w:tplc="A086C2FE">
      <w:start w:val="1"/>
      <w:numFmt w:val="lowerLetter"/>
      <w:lvlText w:val="(%1)"/>
      <w:lvlJc w:val="left"/>
      <w:pPr>
        <w:ind w:left="1353" w:hanging="360"/>
      </w:pPr>
      <w:rPr>
        <w:rFonts w:hint="default"/>
        <w:u w:val="none"/>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15:restartNumberingAfterBreak="0">
    <w:nsid w:val="066202E8"/>
    <w:multiLevelType w:val="hybridMultilevel"/>
    <w:tmpl w:val="E2B4C08E"/>
    <w:lvl w:ilvl="0" w:tplc="1616C564">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767A45"/>
    <w:multiLevelType w:val="hybridMultilevel"/>
    <w:tmpl w:val="9904B702"/>
    <w:lvl w:ilvl="0" w:tplc="9D764054">
      <w:start w:val="1"/>
      <w:numFmt w:val="lowerLetter"/>
      <w:lvlText w:val="1(%1)"/>
      <w:lvlJc w:val="left"/>
      <w:pPr>
        <w:ind w:left="360" w:hanging="360"/>
      </w:pPr>
      <w:rPr>
        <w:rFonts w:hint="default"/>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00E30"/>
    <w:multiLevelType w:val="hybridMultilevel"/>
    <w:tmpl w:val="4B86ACE4"/>
    <w:lvl w:ilvl="0" w:tplc="AFC49742">
      <w:start w:val="1"/>
      <w:numFmt w:val="lowerLetter"/>
      <w:lvlText w:val="1(%1)"/>
      <w:lvlJc w:val="left"/>
      <w:pPr>
        <w:ind w:left="360" w:hanging="360"/>
      </w:pPr>
      <w:rPr>
        <w:rFonts w:hint="default"/>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2E14B8"/>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73F328B"/>
    <w:multiLevelType w:val="hybridMultilevel"/>
    <w:tmpl w:val="910AC166"/>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15:restartNumberingAfterBreak="0">
    <w:nsid w:val="0AF45C1F"/>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5722AB"/>
    <w:multiLevelType w:val="hybridMultilevel"/>
    <w:tmpl w:val="614C07B2"/>
    <w:lvl w:ilvl="0" w:tplc="77AC862A">
      <w:start w:val="1"/>
      <w:numFmt w:val="lowerLetter"/>
      <w:lvlText w:val="(%1)"/>
      <w:lvlJc w:val="left"/>
      <w:pPr>
        <w:ind w:left="1494" w:hanging="360"/>
      </w:pPr>
      <w:rPr>
        <w:rFonts w:hint="default"/>
        <w:strike/>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291FD1"/>
    <w:multiLevelType w:val="hybridMultilevel"/>
    <w:tmpl w:val="A872CE76"/>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8" w15:restartNumberingAfterBreak="0">
    <w:nsid w:val="0D4C3D45"/>
    <w:multiLevelType w:val="hybridMultilevel"/>
    <w:tmpl w:val="7DE66AC4"/>
    <w:lvl w:ilvl="0" w:tplc="CDBC32B8">
      <w:start w:val="2"/>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EA46CC2"/>
    <w:multiLevelType w:val="hybridMultilevel"/>
    <w:tmpl w:val="1AB855DC"/>
    <w:lvl w:ilvl="0" w:tplc="FC70FB9C">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3B6083"/>
    <w:multiLevelType w:val="hybridMultilevel"/>
    <w:tmpl w:val="9E3612F4"/>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11C14A96"/>
    <w:multiLevelType w:val="hybridMultilevel"/>
    <w:tmpl w:val="281872FE"/>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12074649"/>
    <w:multiLevelType w:val="hybridMultilevel"/>
    <w:tmpl w:val="4004576A"/>
    <w:lvl w:ilvl="0" w:tplc="201C47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24" w15:restartNumberingAfterBreak="0">
    <w:nsid w:val="14B338EC"/>
    <w:multiLevelType w:val="hybridMultilevel"/>
    <w:tmpl w:val="EB141236"/>
    <w:lvl w:ilvl="0" w:tplc="201C4728">
      <w:start w:val="1"/>
      <w:numFmt w:val="lowerLetter"/>
      <w:lvlText w:val="(%1)"/>
      <w:lvlJc w:val="left"/>
      <w:pPr>
        <w:ind w:left="1143" w:hanging="360"/>
      </w:pPr>
      <w:rPr>
        <w:rFonts w:hint="default"/>
      </w:rPr>
    </w:lvl>
    <w:lvl w:ilvl="1" w:tplc="0C090019" w:tentative="1">
      <w:start w:val="1"/>
      <w:numFmt w:val="lowerLetter"/>
      <w:lvlText w:val="%2."/>
      <w:lvlJc w:val="left"/>
      <w:pPr>
        <w:ind w:left="1863" w:hanging="360"/>
      </w:pPr>
    </w:lvl>
    <w:lvl w:ilvl="2" w:tplc="0C09001B" w:tentative="1">
      <w:start w:val="1"/>
      <w:numFmt w:val="lowerRoman"/>
      <w:lvlText w:val="%3."/>
      <w:lvlJc w:val="right"/>
      <w:pPr>
        <w:ind w:left="2583" w:hanging="180"/>
      </w:pPr>
    </w:lvl>
    <w:lvl w:ilvl="3" w:tplc="0C09000F" w:tentative="1">
      <w:start w:val="1"/>
      <w:numFmt w:val="decimal"/>
      <w:lvlText w:val="%4."/>
      <w:lvlJc w:val="left"/>
      <w:pPr>
        <w:ind w:left="3303" w:hanging="360"/>
      </w:pPr>
    </w:lvl>
    <w:lvl w:ilvl="4" w:tplc="0C090019" w:tentative="1">
      <w:start w:val="1"/>
      <w:numFmt w:val="lowerLetter"/>
      <w:lvlText w:val="%5."/>
      <w:lvlJc w:val="left"/>
      <w:pPr>
        <w:ind w:left="4023" w:hanging="360"/>
      </w:pPr>
    </w:lvl>
    <w:lvl w:ilvl="5" w:tplc="0C09001B" w:tentative="1">
      <w:start w:val="1"/>
      <w:numFmt w:val="lowerRoman"/>
      <w:lvlText w:val="%6."/>
      <w:lvlJc w:val="right"/>
      <w:pPr>
        <w:ind w:left="4743" w:hanging="180"/>
      </w:pPr>
    </w:lvl>
    <w:lvl w:ilvl="6" w:tplc="0C09000F" w:tentative="1">
      <w:start w:val="1"/>
      <w:numFmt w:val="decimal"/>
      <w:lvlText w:val="%7."/>
      <w:lvlJc w:val="left"/>
      <w:pPr>
        <w:ind w:left="5463" w:hanging="360"/>
      </w:pPr>
    </w:lvl>
    <w:lvl w:ilvl="7" w:tplc="0C090019" w:tentative="1">
      <w:start w:val="1"/>
      <w:numFmt w:val="lowerLetter"/>
      <w:lvlText w:val="%8."/>
      <w:lvlJc w:val="left"/>
      <w:pPr>
        <w:ind w:left="6183" w:hanging="360"/>
      </w:pPr>
    </w:lvl>
    <w:lvl w:ilvl="8" w:tplc="0C09001B" w:tentative="1">
      <w:start w:val="1"/>
      <w:numFmt w:val="lowerRoman"/>
      <w:lvlText w:val="%9."/>
      <w:lvlJc w:val="right"/>
      <w:pPr>
        <w:ind w:left="6903" w:hanging="180"/>
      </w:pPr>
    </w:lvl>
  </w:abstractNum>
  <w:abstractNum w:abstractNumId="25" w15:restartNumberingAfterBreak="0">
    <w:nsid w:val="1531286C"/>
    <w:multiLevelType w:val="hybridMultilevel"/>
    <w:tmpl w:val="009A6312"/>
    <w:lvl w:ilvl="0" w:tplc="B68CA72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A62479D"/>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A752FA4"/>
    <w:multiLevelType w:val="hybridMultilevel"/>
    <w:tmpl w:val="39D6316C"/>
    <w:lvl w:ilvl="0" w:tplc="201C4728">
      <w:start w:val="1"/>
      <w:numFmt w:val="lowerLetter"/>
      <w:lvlText w:val="(%1)"/>
      <w:lvlJc w:val="left"/>
      <w:pPr>
        <w:ind w:left="360" w:hanging="360"/>
      </w:pPr>
      <w:rPr>
        <w:rFonts w:hint="default"/>
      </w:rPr>
    </w:lvl>
    <w:lvl w:ilvl="1" w:tplc="80F6FAF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754299"/>
    <w:multiLevelType w:val="hybridMultilevel"/>
    <w:tmpl w:val="4A7857EE"/>
    <w:lvl w:ilvl="0" w:tplc="0C3222E2">
      <w:start w:val="5"/>
      <w:numFmt w:val="lowerLetter"/>
      <w:lvlText w:val="(%1)"/>
      <w:lvlJc w:val="left"/>
      <w:pPr>
        <w:ind w:left="1353" w:hanging="360"/>
      </w:pPr>
      <w:rPr>
        <w:rFonts w:hint="default"/>
        <w:u w:val="single"/>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1DC40F9A"/>
    <w:multiLevelType w:val="hybridMultilevel"/>
    <w:tmpl w:val="92622790"/>
    <w:lvl w:ilvl="0" w:tplc="D212A7D6">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E997FF3"/>
    <w:multiLevelType w:val="hybridMultilevel"/>
    <w:tmpl w:val="CD46AAAC"/>
    <w:lvl w:ilvl="0" w:tplc="65FE534A">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EE32B9E"/>
    <w:multiLevelType w:val="hybridMultilevel"/>
    <w:tmpl w:val="F85CA348"/>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33" w15:restartNumberingAfterBreak="0">
    <w:nsid w:val="2303659C"/>
    <w:multiLevelType w:val="hybridMultilevel"/>
    <w:tmpl w:val="E2B4C08E"/>
    <w:lvl w:ilvl="0" w:tplc="1616C564">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353606C"/>
    <w:multiLevelType w:val="hybridMultilevel"/>
    <w:tmpl w:val="BB5A1E88"/>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15:restartNumberingAfterBreak="0">
    <w:nsid w:val="236D5363"/>
    <w:multiLevelType w:val="hybridMultilevel"/>
    <w:tmpl w:val="75EC6700"/>
    <w:lvl w:ilvl="0" w:tplc="CFDA95D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25EC155B"/>
    <w:multiLevelType w:val="hybridMultilevel"/>
    <w:tmpl w:val="CC2AF7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7714F7C"/>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7A94920"/>
    <w:multiLevelType w:val="hybridMultilevel"/>
    <w:tmpl w:val="32D0A32E"/>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0" w15:restartNumberingAfterBreak="0">
    <w:nsid w:val="28754016"/>
    <w:multiLevelType w:val="hybridMultilevel"/>
    <w:tmpl w:val="AACE45D8"/>
    <w:lvl w:ilvl="0" w:tplc="482E747C">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8BF6A69"/>
    <w:multiLevelType w:val="hybridMultilevel"/>
    <w:tmpl w:val="66C6273E"/>
    <w:lvl w:ilvl="0" w:tplc="201C47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2" w15:restartNumberingAfterBreak="0">
    <w:nsid w:val="29333AE4"/>
    <w:multiLevelType w:val="hybridMultilevel"/>
    <w:tmpl w:val="EAF43D6C"/>
    <w:lvl w:ilvl="0" w:tplc="EC3C4D84">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98812E2"/>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9E61DE0"/>
    <w:multiLevelType w:val="hybridMultilevel"/>
    <w:tmpl w:val="903CDFA0"/>
    <w:lvl w:ilvl="0" w:tplc="A544A3A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46" w15:restartNumberingAfterBreak="0">
    <w:nsid w:val="2F5E712D"/>
    <w:multiLevelType w:val="hybridMultilevel"/>
    <w:tmpl w:val="1A58F578"/>
    <w:lvl w:ilvl="0" w:tplc="FF503E9C">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FBE37A0"/>
    <w:multiLevelType w:val="hybridMultilevel"/>
    <w:tmpl w:val="D0B65504"/>
    <w:lvl w:ilvl="0" w:tplc="D7567B8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090312D"/>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0F72CDE"/>
    <w:multiLevelType w:val="hybridMultilevel"/>
    <w:tmpl w:val="E14A6F20"/>
    <w:lvl w:ilvl="0" w:tplc="91527ABA">
      <w:start w:val="1"/>
      <w:numFmt w:val="lowerLetter"/>
      <w:lvlText w:val="(%1)"/>
      <w:lvlJc w:val="left"/>
      <w:pPr>
        <w:ind w:left="1340" w:hanging="360"/>
      </w:pPr>
      <w:rPr>
        <w:rFonts w:hint="default"/>
        <w:u w:val="single"/>
      </w:rPr>
    </w:lvl>
    <w:lvl w:ilvl="1" w:tplc="0C090019" w:tentative="1">
      <w:start w:val="1"/>
      <w:numFmt w:val="lowerLetter"/>
      <w:lvlText w:val="%2."/>
      <w:lvlJc w:val="left"/>
      <w:pPr>
        <w:ind w:left="1286" w:hanging="360"/>
      </w:pPr>
    </w:lvl>
    <w:lvl w:ilvl="2" w:tplc="0C09001B" w:tentative="1">
      <w:start w:val="1"/>
      <w:numFmt w:val="lowerRoman"/>
      <w:lvlText w:val="%3."/>
      <w:lvlJc w:val="right"/>
      <w:pPr>
        <w:ind w:left="2006" w:hanging="180"/>
      </w:pPr>
    </w:lvl>
    <w:lvl w:ilvl="3" w:tplc="0C09000F" w:tentative="1">
      <w:start w:val="1"/>
      <w:numFmt w:val="decimal"/>
      <w:lvlText w:val="%4."/>
      <w:lvlJc w:val="left"/>
      <w:pPr>
        <w:ind w:left="2726" w:hanging="360"/>
      </w:pPr>
    </w:lvl>
    <w:lvl w:ilvl="4" w:tplc="0C090019" w:tentative="1">
      <w:start w:val="1"/>
      <w:numFmt w:val="lowerLetter"/>
      <w:lvlText w:val="%5."/>
      <w:lvlJc w:val="left"/>
      <w:pPr>
        <w:ind w:left="3446" w:hanging="360"/>
      </w:pPr>
    </w:lvl>
    <w:lvl w:ilvl="5" w:tplc="0C09001B" w:tentative="1">
      <w:start w:val="1"/>
      <w:numFmt w:val="lowerRoman"/>
      <w:lvlText w:val="%6."/>
      <w:lvlJc w:val="right"/>
      <w:pPr>
        <w:ind w:left="4166" w:hanging="180"/>
      </w:pPr>
    </w:lvl>
    <w:lvl w:ilvl="6" w:tplc="0C09000F" w:tentative="1">
      <w:start w:val="1"/>
      <w:numFmt w:val="decimal"/>
      <w:lvlText w:val="%7."/>
      <w:lvlJc w:val="left"/>
      <w:pPr>
        <w:ind w:left="4886" w:hanging="360"/>
      </w:pPr>
    </w:lvl>
    <w:lvl w:ilvl="7" w:tplc="0C090019" w:tentative="1">
      <w:start w:val="1"/>
      <w:numFmt w:val="lowerLetter"/>
      <w:lvlText w:val="%8."/>
      <w:lvlJc w:val="left"/>
      <w:pPr>
        <w:ind w:left="5606" w:hanging="360"/>
      </w:pPr>
    </w:lvl>
    <w:lvl w:ilvl="8" w:tplc="0C09001B" w:tentative="1">
      <w:start w:val="1"/>
      <w:numFmt w:val="lowerRoman"/>
      <w:lvlText w:val="%9."/>
      <w:lvlJc w:val="right"/>
      <w:pPr>
        <w:ind w:left="6326" w:hanging="180"/>
      </w:pPr>
    </w:lvl>
  </w:abstractNum>
  <w:abstractNum w:abstractNumId="50" w15:restartNumberingAfterBreak="0">
    <w:nsid w:val="337C6BFE"/>
    <w:multiLevelType w:val="hybridMultilevel"/>
    <w:tmpl w:val="948A0AAE"/>
    <w:lvl w:ilvl="0" w:tplc="4F087956">
      <w:start w:val="3"/>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3FF6E1C"/>
    <w:multiLevelType w:val="hybridMultilevel"/>
    <w:tmpl w:val="6544794C"/>
    <w:lvl w:ilvl="0" w:tplc="D45C74B6">
      <w:start w:val="1"/>
      <w:numFmt w:val="lowerLetter"/>
      <w:lvlText w:val="(%1)"/>
      <w:lvlJc w:val="left"/>
      <w:pPr>
        <w:ind w:left="1494" w:hanging="360"/>
      </w:pPr>
      <w:rPr>
        <w:rFonts w:hint="default"/>
        <w:sz w:val="19"/>
        <w:szCs w:val="19"/>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5CF0C36"/>
    <w:multiLevelType w:val="hybridMultilevel"/>
    <w:tmpl w:val="C0D4F7BC"/>
    <w:lvl w:ilvl="0" w:tplc="8AB27A4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9B44F6EA">
      <w:start w:val="1"/>
      <w:numFmt w:val="lowerRoman"/>
      <w:lvlText w:val="(%3)"/>
      <w:lvlJc w:val="left"/>
      <w:pPr>
        <w:ind w:left="2793" w:hanging="180"/>
      </w:pPr>
      <w:rPr>
        <w:rFonts w:hint="default"/>
      </w:rPr>
    </w:lvl>
    <w:lvl w:ilvl="3" w:tplc="0C09000F">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3" w15:restartNumberingAfterBreak="0">
    <w:nsid w:val="361E5AF5"/>
    <w:multiLevelType w:val="hybridMultilevel"/>
    <w:tmpl w:val="68C4A2FC"/>
    <w:lvl w:ilvl="0" w:tplc="8D020446">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8E61640"/>
    <w:multiLevelType w:val="hybridMultilevel"/>
    <w:tmpl w:val="B65A4E78"/>
    <w:lvl w:ilvl="0" w:tplc="3C1A44E4">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AB44959"/>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CB818C1"/>
    <w:multiLevelType w:val="hybridMultilevel"/>
    <w:tmpl w:val="C7246B6C"/>
    <w:lvl w:ilvl="0" w:tplc="655C0F20">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DF634ED"/>
    <w:multiLevelType w:val="hybridMultilevel"/>
    <w:tmpl w:val="4A58A500"/>
    <w:lvl w:ilvl="0" w:tplc="201C47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8" w15:restartNumberingAfterBreak="0">
    <w:nsid w:val="3EA57F04"/>
    <w:multiLevelType w:val="hybridMultilevel"/>
    <w:tmpl w:val="1B863040"/>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9" w15:restartNumberingAfterBreak="0">
    <w:nsid w:val="3F9F6D3E"/>
    <w:multiLevelType w:val="hybridMultilevel"/>
    <w:tmpl w:val="758875C4"/>
    <w:lvl w:ilvl="0" w:tplc="2A4AC95C">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3FA266DD"/>
    <w:multiLevelType w:val="hybridMultilevel"/>
    <w:tmpl w:val="537044EE"/>
    <w:lvl w:ilvl="0" w:tplc="8AB27A4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1" w15:restartNumberingAfterBreak="0">
    <w:nsid w:val="41B33574"/>
    <w:multiLevelType w:val="hybridMultilevel"/>
    <w:tmpl w:val="E36E8E84"/>
    <w:lvl w:ilvl="0" w:tplc="6CE2B7C4">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2A04505"/>
    <w:multiLevelType w:val="hybridMultilevel"/>
    <w:tmpl w:val="85521CE4"/>
    <w:lvl w:ilvl="0" w:tplc="FE26BF62">
      <w:start w:val="1"/>
      <w:numFmt w:val="lowerLetter"/>
      <w:lvlText w:val="(%1)"/>
      <w:lvlJc w:val="left"/>
      <w:pPr>
        <w:ind w:left="1142" w:hanging="3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3" w15:restartNumberingAfterBreak="0">
    <w:nsid w:val="4460502D"/>
    <w:multiLevelType w:val="hybridMultilevel"/>
    <w:tmpl w:val="2F04F9FE"/>
    <w:lvl w:ilvl="0" w:tplc="1AC07B82">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544157F"/>
    <w:multiLevelType w:val="hybridMultilevel"/>
    <w:tmpl w:val="CF8253EC"/>
    <w:lvl w:ilvl="0" w:tplc="201C47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5" w15:restartNumberingAfterBreak="0">
    <w:nsid w:val="48052FDA"/>
    <w:multiLevelType w:val="hybridMultilevel"/>
    <w:tmpl w:val="D70C5EEE"/>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6" w15:restartNumberingAfterBreak="0">
    <w:nsid w:val="4967314A"/>
    <w:multiLevelType w:val="hybridMultilevel"/>
    <w:tmpl w:val="097A054A"/>
    <w:lvl w:ilvl="0" w:tplc="185A9AAA">
      <w:start w:val="1"/>
      <w:numFmt w:val="lowerLetter"/>
      <w:lvlText w:val="(%1)"/>
      <w:lvlJc w:val="left"/>
      <w:pPr>
        <w:ind w:left="1142" w:hanging="3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67" w15:restartNumberingAfterBreak="0">
    <w:nsid w:val="49981B48"/>
    <w:multiLevelType w:val="hybridMultilevel"/>
    <w:tmpl w:val="7946EA30"/>
    <w:lvl w:ilvl="0" w:tplc="6F884F9C">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BFB20D8"/>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C011884"/>
    <w:multiLevelType w:val="hybridMultilevel"/>
    <w:tmpl w:val="5922E79C"/>
    <w:lvl w:ilvl="0" w:tplc="C4522186">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4D050FC0"/>
    <w:multiLevelType w:val="hybridMultilevel"/>
    <w:tmpl w:val="097A054A"/>
    <w:lvl w:ilvl="0" w:tplc="185A9AAA">
      <w:start w:val="1"/>
      <w:numFmt w:val="lowerLetter"/>
      <w:lvlText w:val="(%1)"/>
      <w:lvlJc w:val="left"/>
      <w:pPr>
        <w:ind w:left="1142" w:hanging="3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71" w15:restartNumberingAfterBreak="0">
    <w:nsid w:val="4E014823"/>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F0113C5"/>
    <w:multiLevelType w:val="hybridMultilevel"/>
    <w:tmpl w:val="C0D4F7BC"/>
    <w:lvl w:ilvl="0" w:tplc="8AB27A4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9B44F6EA">
      <w:start w:val="1"/>
      <w:numFmt w:val="lowerRoman"/>
      <w:lvlText w:val="(%3)"/>
      <w:lvlJc w:val="left"/>
      <w:pPr>
        <w:ind w:left="2793" w:hanging="180"/>
      </w:pPr>
      <w:rPr>
        <w:rFonts w:hint="default"/>
      </w:r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3" w15:restartNumberingAfterBreak="0">
    <w:nsid w:val="4F8D2646"/>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4FF12421"/>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FF40D33"/>
    <w:multiLevelType w:val="hybridMultilevel"/>
    <w:tmpl w:val="1B086F48"/>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6" w15:restartNumberingAfterBreak="0">
    <w:nsid w:val="51200AF2"/>
    <w:multiLevelType w:val="hybridMultilevel"/>
    <w:tmpl w:val="30F46EA2"/>
    <w:lvl w:ilvl="0" w:tplc="EF424F0E">
      <w:start w:val="1"/>
      <w:numFmt w:val="decimal"/>
      <w:lvlText w:val="%1"/>
      <w:lvlJc w:val="left"/>
      <w:pPr>
        <w:ind w:left="360" w:hanging="360"/>
      </w:pPr>
      <w:rPr>
        <w:rFonts w:hint="default"/>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1C243F1"/>
    <w:multiLevelType w:val="hybridMultilevel"/>
    <w:tmpl w:val="5C8CC1D2"/>
    <w:lvl w:ilvl="0" w:tplc="348096A4">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3152679"/>
    <w:multiLevelType w:val="hybridMultilevel"/>
    <w:tmpl w:val="22081438"/>
    <w:lvl w:ilvl="0" w:tplc="16F408BA">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53C3271A"/>
    <w:multiLevelType w:val="hybridMultilevel"/>
    <w:tmpl w:val="8B48DE80"/>
    <w:lvl w:ilvl="0" w:tplc="0C090017">
      <w:start w:val="1"/>
      <w:numFmt w:val="lowerLetter"/>
      <w:lvlText w:val="%1)"/>
      <w:lvlJc w:val="left"/>
      <w:pPr>
        <w:ind w:left="720" w:hanging="360"/>
      </w:pPr>
    </w:lvl>
    <w:lvl w:ilvl="1" w:tplc="201C4728">
      <w:start w:val="1"/>
      <w:numFmt w:val="lowerLetter"/>
      <w:lvlText w:val="(%2)"/>
      <w:lvlJc w:val="left"/>
      <w:pPr>
        <w:ind w:left="1440" w:hanging="360"/>
      </w:pPr>
      <w:rPr>
        <w:rFonts w:hint="default"/>
      </w:rPr>
    </w:lvl>
    <w:lvl w:ilvl="2" w:tplc="7166D460">
      <w:start w:val="10"/>
      <w:numFmt w:val="decimal"/>
      <w:lvlText w:val="%3"/>
      <w:lvlJc w:val="left"/>
      <w:pPr>
        <w:ind w:left="2340" w:hanging="360"/>
      </w:pPr>
      <w:rPr>
        <w:rFonts w:eastAsiaTheme="minorHAnsi" w:hint="default"/>
        <w:b/>
        <w:color w:val="000000"/>
        <w:sz w:val="19"/>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3EA01EE"/>
    <w:multiLevelType w:val="hybridMultilevel"/>
    <w:tmpl w:val="77CC29CA"/>
    <w:lvl w:ilvl="0" w:tplc="6032FDA0">
      <w:start w:val="1"/>
      <w:numFmt w:val="lowerLetter"/>
      <w:lvlText w:val="(%1)"/>
      <w:lvlJc w:val="left"/>
      <w:pPr>
        <w:ind w:left="1492" w:hanging="360"/>
      </w:pPr>
      <w:rPr>
        <w:rFonts w:hint="default"/>
      </w:rPr>
    </w:lvl>
    <w:lvl w:ilvl="1" w:tplc="0C090019" w:tentative="1">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81" w15:restartNumberingAfterBreak="0">
    <w:nsid w:val="542133CD"/>
    <w:multiLevelType w:val="hybridMultilevel"/>
    <w:tmpl w:val="6C30F740"/>
    <w:lvl w:ilvl="0" w:tplc="F558E36E">
      <w:start w:val="5"/>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54C96600"/>
    <w:multiLevelType w:val="hybridMultilevel"/>
    <w:tmpl w:val="D5BC123A"/>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3" w15:restartNumberingAfterBreak="0">
    <w:nsid w:val="56C57AD4"/>
    <w:multiLevelType w:val="hybridMultilevel"/>
    <w:tmpl w:val="BCB86B1A"/>
    <w:lvl w:ilvl="0" w:tplc="54361A2C">
      <w:start w:val="1"/>
      <w:numFmt w:val="lowerLetter"/>
      <w:lvlText w:val="(%1)"/>
      <w:lvlJc w:val="left"/>
      <w:pPr>
        <w:ind w:left="1494" w:hanging="360"/>
      </w:pPr>
      <w:rPr>
        <w:rFonts w:hint="default"/>
        <w:sz w:val="19"/>
        <w:szCs w:val="19"/>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7F94362"/>
    <w:multiLevelType w:val="hybridMultilevel"/>
    <w:tmpl w:val="D6089228"/>
    <w:lvl w:ilvl="0" w:tplc="7B24A600">
      <w:start w:val="5"/>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A387057"/>
    <w:multiLevelType w:val="hybridMultilevel"/>
    <w:tmpl w:val="357AF0FE"/>
    <w:lvl w:ilvl="0" w:tplc="7A32566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B436DE3"/>
    <w:multiLevelType w:val="hybridMultilevel"/>
    <w:tmpl w:val="A81003A0"/>
    <w:lvl w:ilvl="0" w:tplc="56EABC0E">
      <w:start w:val="1"/>
      <w:numFmt w:val="lowerLetter"/>
      <w:lvlText w:val="(%1)"/>
      <w:lvlJc w:val="left"/>
      <w:pPr>
        <w:ind w:left="1494" w:hanging="360"/>
      </w:pPr>
      <w:rPr>
        <w:rFonts w:hint="default"/>
        <w:strike/>
        <w:color w:val="auto"/>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BCE48DB"/>
    <w:multiLevelType w:val="hybridMultilevel"/>
    <w:tmpl w:val="75EECA1C"/>
    <w:lvl w:ilvl="0" w:tplc="4310530E">
      <w:start w:val="1"/>
      <w:numFmt w:val="lowerLetter"/>
      <w:lvlText w:val="(%1)"/>
      <w:lvlJc w:val="left"/>
      <w:pPr>
        <w:ind w:left="1494"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88" w15:restartNumberingAfterBreak="0">
    <w:nsid w:val="5BD96BB9"/>
    <w:multiLevelType w:val="hybridMultilevel"/>
    <w:tmpl w:val="966AE3A2"/>
    <w:lvl w:ilvl="0" w:tplc="60086CF6">
      <w:start w:val="1"/>
      <w:numFmt w:val="lowerLetter"/>
      <w:lvlText w:val="(%1)"/>
      <w:lvlJc w:val="left"/>
      <w:pPr>
        <w:ind w:left="1427" w:hanging="645"/>
      </w:pPr>
      <w:rPr>
        <w:rFonts w:ascii="Times New Roman" w:hAnsi="Times New Roman" w:cs="Times New Roman" w:hint="default"/>
        <w:b w:val="0"/>
        <w:sz w:val="19"/>
        <w:szCs w:val="19"/>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89" w15:restartNumberingAfterBreak="0">
    <w:nsid w:val="5CE17EE8"/>
    <w:multiLevelType w:val="hybridMultilevel"/>
    <w:tmpl w:val="B6661A9C"/>
    <w:lvl w:ilvl="0" w:tplc="DB4C8906">
      <w:start w:val="1"/>
      <w:numFmt w:val="decimal"/>
      <w:lvlText w:val="%1"/>
      <w:lvlJc w:val="left"/>
      <w:pPr>
        <w:ind w:left="360" w:hanging="360"/>
      </w:pPr>
      <w:rPr>
        <w:rFonts w:hint="default"/>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5ECF07AE"/>
    <w:multiLevelType w:val="hybridMultilevel"/>
    <w:tmpl w:val="251ABDF0"/>
    <w:lvl w:ilvl="0" w:tplc="31CEF9D8">
      <w:start w:val="1"/>
      <w:numFmt w:val="lowerLetter"/>
      <w:lvlText w:val="(%1)"/>
      <w:lvlJc w:val="left"/>
      <w:pPr>
        <w:ind w:left="360" w:hanging="360"/>
      </w:pPr>
      <w:rPr>
        <w:rFonts w:ascii="Times New Roman" w:eastAsia="Times New Roman" w:hAnsi="Times New Roman" w:cs="Times New Roman"/>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1" w15:restartNumberingAfterBreak="0">
    <w:nsid w:val="5ED310EF"/>
    <w:multiLevelType w:val="hybridMultilevel"/>
    <w:tmpl w:val="CAB4FFF4"/>
    <w:lvl w:ilvl="0" w:tplc="E61663EE">
      <w:start w:val="1"/>
      <w:numFmt w:val="lowerLetter"/>
      <w:lvlText w:val="(%1)"/>
      <w:lvlJc w:val="left"/>
      <w:pPr>
        <w:ind w:left="134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F103658"/>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F5A4FE2"/>
    <w:multiLevelType w:val="hybridMultilevel"/>
    <w:tmpl w:val="5F68B302"/>
    <w:lvl w:ilvl="0" w:tplc="F22AF192">
      <w:start w:val="1"/>
      <w:numFmt w:val="lowerLetter"/>
      <w:lvlText w:val="(%1)"/>
      <w:lvlJc w:val="left"/>
      <w:pPr>
        <w:ind w:left="1353" w:hanging="360"/>
      </w:pPr>
      <w:rPr>
        <w:rFonts w:hint="default"/>
        <w:u w:val="none"/>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4" w15:restartNumberingAfterBreak="0">
    <w:nsid w:val="605733D4"/>
    <w:multiLevelType w:val="hybridMultilevel"/>
    <w:tmpl w:val="F5A44F5E"/>
    <w:lvl w:ilvl="0" w:tplc="8B12B9F0">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61542243"/>
    <w:multiLevelType w:val="multilevel"/>
    <w:tmpl w:val="A8124602"/>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u w:val="single"/>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6" w15:restartNumberingAfterBreak="0">
    <w:nsid w:val="61BF2F0E"/>
    <w:multiLevelType w:val="hybridMultilevel"/>
    <w:tmpl w:val="21C0367E"/>
    <w:lvl w:ilvl="0" w:tplc="A768E9D4">
      <w:start w:val="1"/>
      <w:numFmt w:val="lowerLetter"/>
      <w:lvlText w:val="(%1)"/>
      <w:lvlJc w:val="left"/>
      <w:pPr>
        <w:ind w:left="1353" w:hanging="360"/>
      </w:pPr>
      <w:rPr>
        <w:rFonts w:hint="default"/>
      </w:rPr>
    </w:lvl>
    <w:lvl w:ilvl="1" w:tplc="FB580414">
      <w:start w:val="1"/>
      <w:numFmt w:val="lowerLetter"/>
      <w:lvlText w:val="(%2)"/>
      <w:lvlJc w:val="left"/>
      <w:pPr>
        <w:ind w:left="2073" w:hanging="360"/>
      </w:pPr>
      <w:rPr>
        <w:rFonts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7" w15:restartNumberingAfterBreak="0">
    <w:nsid w:val="64FF69C8"/>
    <w:multiLevelType w:val="hybridMultilevel"/>
    <w:tmpl w:val="BE94B2DE"/>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8" w15:restartNumberingAfterBreak="0">
    <w:nsid w:val="66BA2F08"/>
    <w:multiLevelType w:val="hybridMultilevel"/>
    <w:tmpl w:val="75EC6700"/>
    <w:lvl w:ilvl="0" w:tplc="CFDA95D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72F3ABC"/>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9EB2282"/>
    <w:multiLevelType w:val="hybridMultilevel"/>
    <w:tmpl w:val="93B0482E"/>
    <w:lvl w:ilvl="0" w:tplc="EFB0D88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BA446F8"/>
    <w:multiLevelType w:val="hybridMultilevel"/>
    <w:tmpl w:val="BA18B4A4"/>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2" w15:restartNumberingAfterBreak="0">
    <w:nsid w:val="6C3D361F"/>
    <w:multiLevelType w:val="hybridMultilevel"/>
    <w:tmpl w:val="E11A5000"/>
    <w:lvl w:ilvl="0" w:tplc="BD7AA29C">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04" w15:restartNumberingAfterBreak="0">
    <w:nsid w:val="6DD26A6F"/>
    <w:multiLevelType w:val="hybridMultilevel"/>
    <w:tmpl w:val="62E0869E"/>
    <w:lvl w:ilvl="0" w:tplc="F4E0D820">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E144D4B"/>
    <w:multiLevelType w:val="hybridMultilevel"/>
    <w:tmpl w:val="E47AC324"/>
    <w:lvl w:ilvl="0" w:tplc="201C472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6" w15:restartNumberingAfterBreak="0">
    <w:nsid w:val="70110DD4"/>
    <w:multiLevelType w:val="hybridMultilevel"/>
    <w:tmpl w:val="1262B2CE"/>
    <w:lvl w:ilvl="0" w:tplc="3360701E">
      <w:start w:val="1"/>
      <w:numFmt w:val="lowerLetter"/>
      <w:lvlText w:val="(%1)"/>
      <w:lvlJc w:val="left"/>
      <w:pPr>
        <w:ind w:left="134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0960786"/>
    <w:multiLevelType w:val="hybridMultilevel"/>
    <w:tmpl w:val="67A0BCB6"/>
    <w:lvl w:ilvl="0" w:tplc="D332D4AA">
      <w:start w:val="1"/>
      <w:numFmt w:val="lowerLetter"/>
      <w:lvlText w:val="(%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2A31AA0"/>
    <w:multiLevelType w:val="hybridMultilevel"/>
    <w:tmpl w:val="3EA0F31A"/>
    <w:lvl w:ilvl="0" w:tplc="43F4375A">
      <w:start w:val="1"/>
      <w:numFmt w:val="lowerLetter"/>
      <w:lvlText w:val="(%1)"/>
      <w:lvlJc w:val="left"/>
      <w:pPr>
        <w:ind w:left="1494"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110" w15:restartNumberingAfterBreak="0">
    <w:nsid w:val="737A652B"/>
    <w:multiLevelType w:val="hybridMultilevel"/>
    <w:tmpl w:val="66E833F4"/>
    <w:lvl w:ilvl="0" w:tplc="201C472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1" w15:restartNumberingAfterBreak="0">
    <w:nsid w:val="765D1397"/>
    <w:multiLevelType w:val="hybridMultilevel"/>
    <w:tmpl w:val="904A003A"/>
    <w:lvl w:ilvl="0" w:tplc="052A5D4E">
      <w:start w:val="1"/>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766A0114"/>
    <w:multiLevelType w:val="hybridMultilevel"/>
    <w:tmpl w:val="E1B809AE"/>
    <w:lvl w:ilvl="0" w:tplc="1ABC174A">
      <w:start w:val="1"/>
      <w:numFmt w:val="lowerLetter"/>
      <w:lvlText w:val="(%1)"/>
      <w:lvlJc w:val="left"/>
      <w:pPr>
        <w:ind w:left="1142" w:hanging="360"/>
      </w:pPr>
      <w:rPr>
        <w:rFonts w:hint="default"/>
      </w:rPr>
    </w:lvl>
    <w:lvl w:ilvl="1" w:tplc="0C090019" w:tentative="1">
      <w:start w:val="1"/>
      <w:numFmt w:val="lowerLetter"/>
      <w:lvlText w:val="%2."/>
      <w:lvlJc w:val="left"/>
      <w:pPr>
        <w:ind w:left="1862" w:hanging="360"/>
      </w:pPr>
    </w:lvl>
    <w:lvl w:ilvl="2" w:tplc="0C09001B" w:tentative="1">
      <w:start w:val="1"/>
      <w:numFmt w:val="lowerRoman"/>
      <w:lvlText w:val="%3."/>
      <w:lvlJc w:val="right"/>
      <w:pPr>
        <w:ind w:left="2582" w:hanging="180"/>
      </w:pPr>
    </w:lvl>
    <w:lvl w:ilvl="3" w:tplc="0C09000F" w:tentative="1">
      <w:start w:val="1"/>
      <w:numFmt w:val="decimal"/>
      <w:lvlText w:val="%4."/>
      <w:lvlJc w:val="left"/>
      <w:pPr>
        <w:ind w:left="3302" w:hanging="360"/>
      </w:pPr>
    </w:lvl>
    <w:lvl w:ilvl="4" w:tplc="0C090019" w:tentative="1">
      <w:start w:val="1"/>
      <w:numFmt w:val="lowerLetter"/>
      <w:lvlText w:val="%5."/>
      <w:lvlJc w:val="left"/>
      <w:pPr>
        <w:ind w:left="4022" w:hanging="360"/>
      </w:pPr>
    </w:lvl>
    <w:lvl w:ilvl="5" w:tplc="0C09001B" w:tentative="1">
      <w:start w:val="1"/>
      <w:numFmt w:val="lowerRoman"/>
      <w:lvlText w:val="%6."/>
      <w:lvlJc w:val="right"/>
      <w:pPr>
        <w:ind w:left="4742" w:hanging="180"/>
      </w:pPr>
    </w:lvl>
    <w:lvl w:ilvl="6" w:tplc="0C09000F" w:tentative="1">
      <w:start w:val="1"/>
      <w:numFmt w:val="decimal"/>
      <w:lvlText w:val="%7."/>
      <w:lvlJc w:val="left"/>
      <w:pPr>
        <w:ind w:left="5462" w:hanging="360"/>
      </w:pPr>
    </w:lvl>
    <w:lvl w:ilvl="7" w:tplc="0C090019" w:tentative="1">
      <w:start w:val="1"/>
      <w:numFmt w:val="lowerLetter"/>
      <w:lvlText w:val="%8."/>
      <w:lvlJc w:val="left"/>
      <w:pPr>
        <w:ind w:left="6182" w:hanging="360"/>
      </w:pPr>
    </w:lvl>
    <w:lvl w:ilvl="8" w:tplc="0C09001B" w:tentative="1">
      <w:start w:val="1"/>
      <w:numFmt w:val="lowerRoman"/>
      <w:lvlText w:val="%9."/>
      <w:lvlJc w:val="right"/>
      <w:pPr>
        <w:ind w:left="6902" w:hanging="180"/>
      </w:pPr>
    </w:lvl>
  </w:abstractNum>
  <w:abstractNum w:abstractNumId="113" w15:restartNumberingAfterBreak="0">
    <w:nsid w:val="767773F4"/>
    <w:multiLevelType w:val="hybridMultilevel"/>
    <w:tmpl w:val="2FC63D34"/>
    <w:lvl w:ilvl="0" w:tplc="7CA67B7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6875BB1"/>
    <w:multiLevelType w:val="hybridMultilevel"/>
    <w:tmpl w:val="C2ACD612"/>
    <w:lvl w:ilvl="0" w:tplc="A768E9D4">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5" w15:restartNumberingAfterBreak="0">
    <w:nsid w:val="782B50E1"/>
    <w:multiLevelType w:val="hybridMultilevel"/>
    <w:tmpl w:val="305EF590"/>
    <w:lvl w:ilvl="0" w:tplc="627825F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850798F"/>
    <w:multiLevelType w:val="hybridMultilevel"/>
    <w:tmpl w:val="251ABDF0"/>
    <w:lvl w:ilvl="0" w:tplc="31CEF9D8">
      <w:start w:val="1"/>
      <w:numFmt w:val="lowerLetter"/>
      <w:lvlText w:val="(%1)"/>
      <w:lvlJc w:val="left"/>
      <w:pPr>
        <w:ind w:left="360" w:hanging="360"/>
      </w:pPr>
      <w:rPr>
        <w:rFonts w:ascii="Times New Roman" w:eastAsia="Times New Roman" w:hAnsi="Times New Roman" w:cs="Times New Roman"/>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7AE205B8"/>
    <w:multiLevelType w:val="hybridMultilevel"/>
    <w:tmpl w:val="1A022038"/>
    <w:lvl w:ilvl="0" w:tplc="940C0458">
      <w:start w:val="2"/>
      <w:numFmt w:val="decimal"/>
      <w:lvlText w:val="%1"/>
      <w:lvlJc w:val="left"/>
      <w:pPr>
        <w:ind w:left="360" w:hanging="360"/>
      </w:pPr>
      <w:rPr>
        <w:rFonts w:hint="default"/>
        <w:sz w:val="19"/>
        <w:szCs w:val="1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B4A0684"/>
    <w:multiLevelType w:val="hybridMultilevel"/>
    <w:tmpl w:val="61EE60A0"/>
    <w:lvl w:ilvl="0" w:tplc="F50EE1BE">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DDE7DC5"/>
    <w:multiLevelType w:val="hybridMultilevel"/>
    <w:tmpl w:val="27044122"/>
    <w:lvl w:ilvl="0" w:tplc="30B60254">
      <w:start w:val="1"/>
      <w:numFmt w:val="lowerLetter"/>
      <w:lvlText w:val="(%1)"/>
      <w:lvlJc w:val="left"/>
      <w:pPr>
        <w:ind w:left="1494" w:hanging="360"/>
      </w:pPr>
      <w:rPr>
        <w:rFonts w:hint="default"/>
        <w:u w:val="single"/>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120" w15:restartNumberingAfterBreak="0">
    <w:nsid w:val="7DF6186E"/>
    <w:multiLevelType w:val="hybridMultilevel"/>
    <w:tmpl w:val="C66A5DE4"/>
    <w:lvl w:ilvl="0" w:tplc="ED7C4DB8">
      <w:start w:val="1"/>
      <w:numFmt w:val="lowerLetter"/>
      <w:lvlText w:val="(%1)"/>
      <w:lvlJc w:val="left"/>
      <w:pPr>
        <w:ind w:left="1494"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121" w15:restartNumberingAfterBreak="0">
    <w:nsid w:val="7E652EA0"/>
    <w:multiLevelType w:val="hybridMultilevel"/>
    <w:tmpl w:val="D0B65504"/>
    <w:lvl w:ilvl="0" w:tplc="D7567B8A">
      <w:start w:val="1"/>
      <w:numFmt w:val="lowerLetter"/>
      <w:lvlText w:val="(%1)"/>
      <w:lvlJc w:val="left"/>
      <w:pPr>
        <w:ind w:left="1494"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7EF30221"/>
    <w:multiLevelType w:val="hybridMultilevel"/>
    <w:tmpl w:val="90B01178"/>
    <w:lvl w:ilvl="0" w:tplc="07DCD8F0">
      <w:start w:val="4"/>
      <w:numFmt w:val="lowerLetter"/>
      <w:lvlText w:val="(%1)"/>
      <w:lvlJc w:val="left"/>
      <w:pPr>
        <w:ind w:left="1353"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5"/>
  </w:num>
  <w:num w:numId="2">
    <w:abstractNumId w:val="107"/>
  </w:num>
  <w:num w:numId="3">
    <w:abstractNumId w:val="23"/>
  </w:num>
  <w:num w:numId="4">
    <w:abstractNumId w:val="32"/>
  </w:num>
  <w:num w:numId="5">
    <w:abstractNumId w:val="103"/>
  </w:num>
  <w:num w:numId="6">
    <w:abstractNumId w:val="36"/>
  </w:num>
  <w:num w:numId="7">
    <w:abstractNumId w:val="45"/>
  </w:num>
  <w:num w:numId="8">
    <w:abstractNumId w:val="5"/>
  </w:num>
  <w:num w:numId="9">
    <w:abstractNumId w:val="1"/>
  </w:num>
  <w:num w:numId="10">
    <w:abstractNumId w:val="27"/>
  </w:num>
  <w:num w:numId="11">
    <w:abstractNumId w:val="79"/>
  </w:num>
  <w:num w:numId="12">
    <w:abstractNumId w:val="9"/>
  </w:num>
  <w:num w:numId="13">
    <w:abstractNumId w:val="81"/>
  </w:num>
  <w:num w:numId="14">
    <w:abstractNumId w:val="82"/>
  </w:num>
  <w:num w:numId="15">
    <w:abstractNumId w:val="93"/>
  </w:num>
  <w:num w:numId="16">
    <w:abstractNumId w:val="110"/>
  </w:num>
  <w:num w:numId="17">
    <w:abstractNumId w:val="21"/>
  </w:num>
  <w:num w:numId="18">
    <w:abstractNumId w:val="20"/>
  </w:num>
  <w:num w:numId="19">
    <w:abstractNumId w:val="84"/>
  </w:num>
  <w:num w:numId="20">
    <w:abstractNumId w:val="30"/>
  </w:num>
  <w:num w:numId="21">
    <w:abstractNumId w:val="61"/>
  </w:num>
  <w:num w:numId="22">
    <w:abstractNumId w:val="75"/>
  </w:num>
  <w:num w:numId="23">
    <w:abstractNumId w:val="59"/>
  </w:num>
  <w:num w:numId="24">
    <w:abstractNumId w:val="97"/>
  </w:num>
  <w:num w:numId="25">
    <w:abstractNumId w:val="104"/>
  </w:num>
  <w:num w:numId="26">
    <w:abstractNumId w:val="14"/>
  </w:num>
  <w:num w:numId="27">
    <w:abstractNumId w:val="18"/>
  </w:num>
  <w:num w:numId="28">
    <w:abstractNumId w:val="34"/>
  </w:num>
  <w:num w:numId="29">
    <w:abstractNumId w:val="31"/>
  </w:num>
  <w:num w:numId="30">
    <w:abstractNumId w:val="28"/>
  </w:num>
  <w:num w:numId="31">
    <w:abstractNumId w:val="65"/>
  </w:num>
  <w:num w:numId="32">
    <w:abstractNumId w:val="50"/>
  </w:num>
  <w:num w:numId="33">
    <w:abstractNumId w:val="4"/>
  </w:num>
  <w:num w:numId="34">
    <w:abstractNumId w:val="94"/>
  </w:num>
  <w:num w:numId="35">
    <w:abstractNumId w:val="7"/>
  </w:num>
  <w:num w:numId="36">
    <w:abstractNumId w:val="102"/>
  </w:num>
  <w:num w:numId="37">
    <w:abstractNumId w:val="39"/>
  </w:num>
  <w:num w:numId="38">
    <w:abstractNumId w:val="40"/>
  </w:num>
  <w:num w:numId="39">
    <w:abstractNumId w:val="17"/>
  </w:num>
  <w:num w:numId="40">
    <w:abstractNumId w:val="122"/>
  </w:num>
  <w:num w:numId="41">
    <w:abstractNumId w:val="111"/>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1"/>
  </w:num>
  <w:num w:numId="44">
    <w:abstractNumId w:val="58"/>
  </w:num>
  <w:num w:numId="45">
    <w:abstractNumId w:val="22"/>
  </w:num>
  <w:num w:numId="46">
    <w:abstractNumId w:val="120"/>
  </w:num>
  <w:num w:numId="47">
    <w:abstractNumId w:val="57"/>
  </w:num>
  <w:num w:numId="48">
    <w:abstractNumId w:val="87"/>
  </w:num>
  <w:num w:numId="49">
    <w:abstractNumId w:val="64"/>
  </w:num>
  <w:num w:numId="50">
    <w:abstractNumId w:val="109"/>
  </w:num>
  <w:num w:numId="51">
    <w:abstractNumId w:val="80"/>
  </w:num>
  <w:num w:numId="52">
    <w:abstractNumId w:val="0"/>
  </w:num>
  <w:num w:numId="53">
    <w:abstractNumId w:val="43"/>
  </w:num>
  <w:num w:numId="54">
    <w:abstractNumId w:val="92"/>
  </w:num>
  <w:num w:numId="55">
    <w:abstractNumId w:val="68"/>
  </w:num>
  <w:num w:numId="56">
    <w:abstractNumId w:val="55"/>
  </w:num>
  <w:num w:numId="57">
    <w:abstractNumId w:val="38"/>
  </w:num>
  <w:num w:numId="58">
    <w:abstractNumId w:val="2"/>
  </w:num>
  <w:num w:numId="59">
    <w:abstractNumId w:val="13"/>
  </w:num>
  <w:num w:numId="60">
    <w:abstractNumId w:val="26"/>
  </w:num>
  <w:num w:numId="61">
    <w:abstractNumId w:val="15"/>
  </w:num>
  <w:num w:numId="62">
    <w:abstractNumId w:val="71"/>
  </w:num>
  <w:num w:numId="63">
    <w:abstractNumId w:val="83"/>
  </w:num>
  <w:num w:numId="64">
    <w:abstractNumId w:val="99"/>
  </w:num>
  <w:num w:numId="65">
    <w:abstractNumId w:val="105"/>
  </w:num>
  <w:num w:numId="66">
    <w:abstractNumId w:val="41"/>
  </w:num>
  <w:num w:numId="67">
    <w:abstractNumId w:val="119"/>
  </w:num>
  <w:num w:numId="68">
    <w:abstractNumId w:val="24"/>
  </w:num>
  <w:num w:numId="69">
    <w:abstractNumId w:val="100"/>
  </w:num>
  <w:num w:numId="70">
    <w:abstractNumId w:val="3"/>
  </w:num>
  <w:num w:numId="71">
    <w:abstractNumId w:val="73"/>
  </w:num>
  <w:num w:numId="72">
    <w:abstractNumId w:val="51"/>
  </w:num>
  <w:num w:numId="73">
    <w:abstractNumId w:val="86"/>
  </w:num>
  <w:num w:numId="74">
    <w:abstractNumId w:val="16"/>
  </w:num>
  <w:num w:numId="75">
    <w:abstractNumId w:val="44"/>
  </w:num>
  <w:num w:numId="76">
    <w:abstractNumId w:val="54"/>
  </w:num>
  <w:num w:numId="77">
    <w:abstractNumId w:val="115"/>
  </w:num>
  <w:num w:numId="78">
    <w:abstractNumId w:val="19"/>
  </w:num>
  <w:num w:numId="79">
    <w:abstractNumId w:val="56"/>
  </w:num>
  <w:num w:numId="80">
    <w:abstractNumId w:val="35"/>
  </w:num>
  <w:num w:numId="81">
    <w:abstractNumId w:val="46"/>
  </w:num>
  <w:num w:numId="82">
    <w:abstractNumId w:val="63"/>
  </w:num>
  <w:num w:numId="83">
    <w:abstractNumId w:val="118"/>
  </w:num>
  <w:num w:numId="84">
    <w:abstractNumId w:val="53"/>
  </w:num>
  <w:num w:numId="85">
    <w:abstractNumId w:val="69"/>
  </w:num>
  <w:num w:numId="86">
    <w:abstractNumId w:val="25"/>
  </w:num>
  <w:num w:numId="87">
    <w:abstractNumId w:val="29"/>
  </w:num>
  <w:num w:numId="88">
    <w:abstractNumId w:val="85"/>
  </w:num>
  <w:num w:numId="89">
    <w:abstractNumId w:val="33"/>
  </w:num>
  <w:num w:numId="90">
    <w:abstractNumId w:val="121"/>
  </w:num>
  <w:num w:numId="91">
    <w:abstractNumId w:val="77"/>
  </w:num>
  <w:num w:numId="92">
    <w:abstractNumId w:val="42"/>
  </w:num>
  <w:num w:numId="93">
    <w:abstractNumId w:val="67"/>
  </w:num>
  <w:num w:numId="94">
    <w:abstractNumId w:val="10"/>
  </w:num>
  <w:num w:numId="95">
    <w:abstractNumId w:val="47"/>
  </w:num>
  <w:num w:numId="96">
    <w:abstractNumId w:val="49"/>
  </w:num>
  <w:num w:numId="97">
    <w:abstractNumId w:val="106"/>
  </w:num>
  <w:num w:numId="98">
    <w:abstractNumId w:val="91"/>
  </w:num>
  <w:num w:numId="99">
    <w:abstractNumId w:val="98"/>
  </w:num>
  <w:num w:numId="100">
    <w:abstractNumId w:val="113"/>
  </w:num>
  <w:num w:numId="101">
    <w:abstractNumId w:val="37"/>
  </w:num>
  <w:num w:numId="102">
    <w:abstractNumId w:val="60"/>
  </w:num>
  <w:num w:numId="103">
    <w:abstractNumId w:val="114"/>
  </w:num>
  <w:num w:numId="104">
    <w:abstractNumId w:val="52"/>
  </w:num>
  <w:num w:numId="105">
    <w:abstractNumId w:val="96"/>
  </w:num>
  <w:num w:numId="106">
    <w:abstractNumId w:val="78"/>
  </w:num>
  <w:num w:numId="107">
    <w:abstractNumId w:val="72"/>
  </w:num>
  <w:num w:numId="108">
    <w:abstractNumId w:val="89"/>
  </w:num>
  <w:num w:numId="109">
    <w:abstractNumId w:val="76"/>
  </w:num>
  <w:num w:numId="110">
    <w:abstractNumId w:val="11"/>
  </w:num>
  <w:num w:numId="111">
    <w:abstractNumId w:val="117"/>
  </w:num>
  <w:num w:numId="112">
    <w:abstractNumId w:val="12"/>
  </w:num>
  <w:num w:numId="113">
    <w:abstractNumId w:val="8"/>
  </w:num>
  <w:num w:numId="114">
    <w:abstractNumId w:val="6"/>
  </w:num>
  <w:num w:numId="115">
    <w:abstractNumId w:val="108"/>
  </w:num>
  <w:num w:numId="116">
    <w:abstractNumId w:val="90"/>
  </w:num>
  <w:num w:numId="117">
    <w:abstractNumId w:val="70"/>
  </w:num>
  <w:num w:numId="118">
    <w:abstractNumId w:val="66"/>
  </w:num>
  <w:num w:numId="119">
    <w:abstractNumId w:val="116"/>
  </w:num>
  <w:num w:numId="120">
    <w:abstractNumId w:val="88"/>
  </w:num>
  <w:num w:numId="121">
    <w:abstractNumId w:val="74"/>
  </w:num>
  <w:num w:numId="122">
    <w:abstractNumId w:val="62"/>
  </w:num>
  <w:num w:numId="123">
    <w:abstractNumId w:val="95"/>
    <w:lvlOverride w:ilvl="0">
      <w:startOverride w:val="1"/>
    </w:lvlOverride>
    <w:lvlOverride w:ilvl="1">
      <w:startOverride w:val="1"/>
    </w:lvlOverride>
  </w:num>
  <w:num w:numId="124">
    <w:abstractNumId w:val="11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107521">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C5"/>
    <w:rsid w:val="00001B26"/>
    <w:rsid w:val="0000292B"/>
    <w:rsid w:val="000030C7"/>
    <w:rsid w:val="00003AE7"/>
    <w:rsid w:val="0001345C"/>
    <w:rsid w:val="0001721F"/>
    <w:rsid w:val="00027E8B"/>
    <w:rsid w:val="00033D9F"/>
    <w:rsid w:val="0003609B"/>
    <w:rsid w:val="0003692E"/>
    <w:rsid w:val="00037217"/>
    <w:rsid w:val="00037DBD"/>
    <w:rsid w:val="00043A3E"/>
    <w:rsid w:val="00044496"/>
    <w:rsid w:val="0004455B"/>
    <w:rsid w:val="00045667"/>
    <w:rsid w:val="00053679"/>
    <w:rsid w:val="00053739"/>
    <w:rsid w:val="0005453F"/>
    <w:rsid w:val="00061127"/>
    <w:rsid w:val="000625F2"/>
    <w:rsid w:val="000636B0"/>
    <w:rsid w:val="0006397E"/>
    <w:rsid w:val="00064391"/>
    <w:rsid w:val="0006503F"/>
    <w:rsid w:val="0007102B"/>
    <w:rsid w:val="000717A8"/>
    <w:rsid w:val="000740D4"/>
    <w:rsid w:val="00074133"/>
    <w:rsid w:val="0007575B"/>
    <w:rsid w:val="000812F8"/>
    <w:rsid w:val="00081E8F"/>
    <w:rsid w:val="000863D1"/>
    <w:rsid w:val="00086D57"/>
    <w:rsid w:val="00090A6F"/>
    <w:rsid w:val="00093EF0"/>
    <w:rsid w:val="00096027"/>
    <w:rsid w:val="00096152"/>
    <w:rsid w:val="00096224"/>
    <w:rsid w:val="000A50F2"/>
    <w:rsid w:val="000B1F7B"/>
    <w:rsid w:val="000B253F"/>
    <w:rsid w:val="000B4CB3"/>
    <w:rsid w:val="000B69A7"/>
    <w:rsid w:val="000B733C"/>
    <w:rsid w:val="000C3D45"/>
    <w:rsid w:val="000C3EB0"/>
    <w:rsid w:val="000D0B17"/>
    <w:rsid w:val="000D10F9"/>
    <w:rsid w:val="000D13B8"/>
    <w:rsid w:val="000D3060"/>
    <w:rsid w:val="000D7717"/>
    <w:rsid w:val="000D7B40"/>
    <w:rsid w:val="000E061A"/>
    <w:rsid w:val="000F28E2"/>
    <w:rsid w:val="000F64CC"/>
    <w:rsid w:val="001000FF"/>
    <w:rsid w:val="00102298"/>
    <w:rsid w:val="001108A7"/>
    <w:rsid w:val="00110B96"/>
    <w:rsid w:val="001127D9"/>
    <w:rsid w:val="001129D7"/>
    <w:rsid w:val="00116149"/>
    <w:rsid w:val="001162C5"/>
    <w:rsid w:val="001206CF"/>
    <w:rsid w:val="001227BF"/>
    <w:rsid w:val="0012296F"/>
    <w:rsid w:val="00123696"/>
    <w:rsid w:val="00125317"/>
    <w:rsid w:val="001271E8"/>
    <w:rsid w:val="00130FCF"/>
    <w:rsid w:val="00131A07"/>
    <w:rsid w:val="00135E40"/>
    <w:rsid w:val="00137756"/>
    <w:rsid w:val="001414B5"/>
    <w:rsid w:val="001425B5"/>
    <w:rsid w:val="001448BB"/>
    <w:rsid w:val="00152EF2"/>
    <w:rsid w:val="001608BE"/>
    <w:rsid w:val="00165F54"/>
    <w:rsid w:val="001662B8"/>
    <w:rsid w:val="0017042C"/>
    <w:rsid w:val="00171F51"/>
    <w:rsid w:val="001761C6"/>
    <w:rsid w:val="001830AE"/>
    <w:rsid w:val="001831F0"/>
    <w:rsid w:val="0018481D"/>
    <w:rsid w:val="00185C70"/>
    <w:rsid w:val="00185EE9"/>
    <w:rsid w:val="001864D4"/>
    <w:rsid w:val="00190F07"/>
    <w:rsid w:val="0019286F"/>
    <w:rsid w:val="001932E7"/>
    <w:rsid w:val="00193364"/>
    <w:rsid w:val="00194502"/>
    <w:rsid w:val="001A2AB9"/>
    <w:rsid w:val="001A3C5A"/>
    <w:rsid w:val="001A5772"/>
    <w:rsid w:val="001B297B"/>
    <w:rsid w:val="001B33A5"/>
    <w:rsid w:val="001C1693"/>
    <w:rsid w:val="001C225F"/>
    <w:rsid w:val="001C3652"/>
    <w:rsid w:val="001C567B"/>
    <w:rsid w:val="001C7A89"/>
    <w:rsid w:val="001D02A1"/>
    <w:rsid w:val="001D0FC4"/>
    <w:rsid w:val="001D3E27"/>
    <w:rsid w:val="001E0F3B"/>
    <w:rsid w:val="001E3804"/>
    <w:rsid w:val="001E4FCE"/>
    <w:rsid w:val="001E5286"/>
    <w:rsid w:val="001F0120"/>
    <w:rsid w:val="001F20F7"/>
    <w:rsid w:val="001F78DF"/>
    <w:rsid w:val="00200144"/>
    <w:rsid w:val="002016F8"/>
    <w:rsid w:val="00201A99"/>
    <w:rsid w:val="00213C14"/>
    <w:rsid w:val="0022022E"/>
    <w:rsid w:val="00220B16"/>
    <w:rsid w:val="002223AA"/>
    <w:rsid w:val="00222FB8"/>
    <w:rsid w:val="002256E9"/>
    <w:rsid w:val="002330A8"/>
    <w:rsid w:val="00234868"/>
    <w:rsid w:val="00235F3B"/>
    <w:rsid w:val="00244CED"/>
    <w:rsid w:val="0025469C"/>
    <w:rsid w:val="00254B16"/>
    <w:rsid w:val="00256641"/>
    <w:rsid w:val="0026045E"/>
    <w:rsid w:val="00261C74"/>
    <w:rsid w:val="002640BC"/>
    <w:rsid w:val="00266781"/>
    <w:rsid w:val="00276BC5"/>
    <w:rsid w:val="0028086D"/>
    <w:rsid w:val="00282B64"/>
    <w:rsid w:val="00283191"/>
    <w:rsid w:val="00283482"/>
    <w:rsid w:val="00284EE9"/>
    <w:rsid w:val="002878E1"/>
    <w:rsid w:val="00294B3E"/>
    <w:rsid w:val="0029647E"/>
    <w:rsid w:val="00296A39"/>
    <w:rsid w:val="002977BE"/>
    <w:rsid w:val="002A201D"/>
    <w:rsid w:val="002B0CA7"/>
    <w:rsid w:val="002B58E7"/>
    <w:rsid w:val="002B6602"/>
    <w:rsid w:val="002B7803"/>
    <w:rsid w:val="002C12F3"/>
    <w:rsid w:val="002C16C2"/>
    <w:rsid w:val="002C3758"/>
    <w:rsid w:val="002D0CF2"/>
    <w:rsid w:val="002D3078"/>
    <w:rsid w:val="002D7EAD"/>
    <w:rsid w:val="002E03F5"/>
    <w:rsid w:val="002E102C"/>
    <w:rsid w:val="002E1D00"/>
    <w:rsid w:val="002E3E23"/>
    <w:rsid w:val="002E765B"/>
    <w:rsid w:val="002F1CD0"/>
    <w:rsid w:val="002F33BB"/>
    <w:rsid w:val="002F442C"/>
    <w:rsid w:val="00304710"/>
    <w:rsid w:val="00307E65"/>
    <w:rsid w:val="00307F26"/>
    <w:rsid w:val="00316F72"/>
    <w:rsid w:val="003251D8"/>
    <w:rsid w:val="00332BFC"/>
    <w:rsid w:val="00334547"/>
    <w:rsid w:val="0033581C"/>
    <w:rsid w:val="00336A44"/>
    <w:rsid w:val="003418F0"/>
    <w:rsid w:val="00342B64"/>
    <w:rsid w:val="00346B11"/>
    <w:rsid w:val="003525B4"/>
    <w:rsid w:val="00352ADF"/>
    <w:rsid w:val="003552A2"/>
    <w:rsid w:val="003613DD"/>
    <w:rsid w:val="00361595"/>
    <w:rsid w:val="0036355C"/>
    <w:rsid w:val="00364B30"/>
    <w:rsid w:val="00367DC9"/>
    <w:rsid w:val="00373AE4"/>
    <w:rsid w:val="00377B8D"/>
    <w:rsid w:val="00382796"/>
    <w:rsid w:val="0038614A"/>
    <w:rsid w:val="0039009E"/>
    <w:rsid w:val="003926AB"/>
    <w:rsid w:val="00394D12"/>
    <w:rsid w:val="003A2ED0"/>
    <w:rsid w:val="003A3DC8"/>
    <w:rsid w:val="003A488F"/>
    <w:rsid w:val="003A619F"/>
    <w:rsid w:val="003A66C5"/>
    <w:rsid w:val="003A6AF4"/>
    <w:rsid w:val="003B0CAA"/>
    <w:rsid w:val="003B0E71"/>
    <w:rsid w:val="003B2735"/>
    <w:rsid w:val="003B6633"/>
    <w:rsid w:val="003B6895"/>
    <w:rsid w:val="003C3F62"/>
    <w:rsid w:val="003C5448"/>
    <w:rsid w:val="003C6A36"/>
    <w:rsid w:val="003D1DD4"/>
    <w:rsid w:val="003D2B8F"/>
    <w:rsid w:val="003D49B7"/>
    <w:rsid w:val="003D64C8"/>
    <w:rsid w:val="003D72DB"/>
    <w:rsid w:val="003E0A68"/>
    <w:rsid w:val="003E17E5"/>
    <w:rsid w:val="003E1900"/>
    <w:rsid w:val="003E61AD"/>
    <w:rsid w:val="003F40AF"/>
    <w:rsid w:val="00400E73"/>
    <w:rsid w:val="00401ECA"/>
    <w:rsid w:val="00403EB9"/>
    <w:rsid w:val="004043A1"/>
    <w:rsid w:val="00407D1E"/>
    <w:rsid w:val="00413BF4"/>
    <w:rsid w:val="00413C36"/>
    <w:rsid w:val="004150BD"/>
    <w:rsid w:val="004213CD"/>
    <w:rsid w:val="00422E4D"/>
    <w:rsid w:val="0042364A"/>
    <w:rsid w:val="00425E7E"/>
    <w:rsid w:val="00426876"/>
    <w:rsid w:val="004302C1"/>
    <w:rsid w:val="00434D86"/>
    <w:rsid w:val="004364A4"/>
    <w:rsid w:val="00436A2D"/>
    <w:rsid w:val="00437C30"/>
    <w:rsid w:val="00443B60"/>
    <w:rsid w:val="00444E97"/>
    <w:rsid w:val="0044702C"/>
    <w:rsid w:val="00450830"/>
    <w:rsid w:val="0046088C"/>
    <w:rsid w:val="00460FBB"/>
    <w:rsid w:val="004657F8"/>
    <w:rsid w:val="00466AF3"/>
    <w:rsid w:val="00467462"/>
    <w:rsid w:val="00470CE9"/>
    <w:rsid w:val="0047683E"/>
    <w:rsid w:val="004801B6"/>
    <w:rsid w:val="0048155F"/>
    <w:rsid w:val="00483A13"/>
    <w:rsid w:val="00487CF6"/>
    <w:rsid w:val="00493885"/>
    <w:rsid w:val="0049458C"/>
    <w:rsid w:val="00494D4B"/>
    <w:rsid w:val="004961F8"/>
    <w:rsid w:val="004A1827"/>
    <w:rsid w:val="004A1D60"/>
    <w:rsid w:val="004A417F"/>
    <w:rsid w:val="004A70EA"/>
    <w:rsid w:val="004B038C"/>
    <w:rsid w:val="004B2FC0"/>
    <w:rsid w:val="004B35FE"/>
    <w:rsid w:val="004B3EB4"/>
    <w:rsid w:val="004B6616"/>
    <w:rsid w:val="004B68B8"/>
    <w:rsid w:val="004B736C"/>
    <w:rsid w:val="004B75DD"/>
    <w:rsid w:val="004C4BAD"/>
    <w:rsid w:val="004C5BDE"/>
    <w:rsid w:val="004C6BAC"/>
    <w:rsid w:val="004D090B"/>
    <w:rsid w:val="004D1B17"/>
    <w:rsid w:val="004D3809"/>
    <w:rsid w:val="004D4D1C"/>
    <w:rsid w:val="004E59DA"/>
    <w:rsid w:val="004E6D5F"/>
    <w:rsid w:val="004E7AD5"/>
    <w:rsid w:val="004F4772"/>
    <w:rsid w:val="004F51EC"/>
    <w:rsid w:val="004F55FE"/>
    <w:rsid w:val="00500E80"/>
    <w:rsid w:val="00501127"/>
    <w:rsid w:val="005033AA"/>
    <w:rsid w:val="00503818"/>
    <w:rsid w:val="00504248"/>
    <w:rsid w:val="00511C34"/>
    <w:rsid w:val="0051628C"/>
    <w:rsid w:val="005166B2"/>
    <w:rsid w:val="00517F05"/>
    <w:rsid w:val="00520DE5"/>
    <w:rsid w:val="00526C1A"/>
    <w:rsid w:val="00526F90"/>
    <w:rsid w:val="00531783"/>
    <w:rsid w:val="00532F50"/>
    <w:rsid w:val="0053452C"/>
    <w:rsid w:val="00534B5C"/>
    <w:rsid w:val="00535EC5"/>
    <w:rsid w:val="00544275"/>
    <w:rsid w:val="00544AF9"/>
    <w:rsid w:val="00551908"/>
    <w:rsid w:val="00553AC7"/>
    <w:rsid w:val="00554EE4"/>
    <w:rsid w:val="0056274D"/>
    <w:rsid w:val="005655CE"/>
    <w:rsid w:val="00565F1B"/>
    <w:rsid w:val="00567D62"/>
    <w:rsid w:val="0057486B"/>
    <w:rsid w:val="00576F36"/>
    <w:rsid w:val="00577065"/>
    <w:rsid w:val="0058004D"/>
    <w:rsid w:val="00580BC4"/>
    <w:rsid w:val="00582F90"/>
    <w:rsid w:val="00590051"/>
    <w:rsid w:val="005A1915"/>
    <w:rsid w:val="005A2514"/>
    <w:rsid w:val="005A3994"/>
    <w:rsid w:val="005A45AC"/>
    <w:rsid w:val="005A6AC7"/>
    <w:rsid w:val="005A7C0A"/>
    <w:rsid w:val="005B0EAD"/>
    <w:rsid w:val="005B103C"/>
    <w:rsid w:val="005B146F"/>
    <w:rsid w:val="005B4677"/>
    <w:rsid w:val="005C4A2A"/>
    <w:rsid w:val="005D0DF1"/>
    <w:rsid w:val="005D4D36"/>
    <w:rsid w:val="005D50DF"/>
    <w:rsid w:val="005E6BE4"/>
    <w:rsid w:val="005E6CD5"/>
    <w:rsid w:val="005F3DC0"/>
    <w:rsid w:val="0060000E"/>
    <w:rsid w:val="00600F89"/>
    <w:rsid w:val="00602261"/>
    <w:rsid w:val="006146E5"/>
    <w:rsid w:val="00615972"/>
    <w:rsid w:val="006179F8"/>
    <w:rsid w:val="00620A8E"/>
    <w:rsid w:val="00621145"/>
    <w:rsid w:val="006247D5"/>
    <w:rsid w:val="006271BD"/>
    <w:rsid w:val="00631B09"/>
    <w:rsid w:val="00633996"/>
    <w:rsid w:val="00636491"/>
    <w:rsid w:val="00636941"/>
    <w:rsid w:val="00637A9C"/>
    <w:rsid w:val="00641282"/>
    <w:rsid w:val="00641D05"/>
    <w:rsid w:val="0064318F"/>
    <w:rsid w:val="00643CFC"/>
    <w:rsid w:val="00646FA0"/>
    <w:rsid w:val="00650BC3"/>
    <w:rsid w:val="00650D6A"/>
    <w:rsid w:val="00652DF8"/>
    <w:rsid w:val="00656C09"/>
    <w:rsid w:val="00661CFD"/>
    <w:rsid w:val="0066657C"/>
    <w:rsid w:val="00666B73"/>
    <w:rsid w:val="00667C67"/>
    <w:rsid w:val="0067049C"/>
    <w:rsid w:val="00672819"/>
    <w:rsid w:val="00676FBE"/>
    <w:rsid w:val="006805FC"/>
    <w:rsid w:val="0068345C"/>
    <w:rsid w:val="006849FE"/>
    <w:rsid w:val="00685330"/>
    <w:rsid w:val="00692BF7"/>
    <w:rsid w:val="00694E31"/>
    <w:rsid w:val="00695003"/>
    <w:rsid w:val="006A3AE9"/>
    <w:rsid w:val="006A3D3A"/>
    <w:rsid w:val="006A40E5"/>
    <w:rsid w:val="006B0CD6"/>
    <w:rsid w:val="006B5B2E"/>
    <w:rsid w:val="006B65B8"/>
    <w:rsid w:val="006C1034"/>
    <w:rsid w:val="006C2E37"/>
    <w:rsid w:val="006D055E"/>
    <w:rsid w:val="006D134A"/>
    <w:rsid w:val="006D3CFA"/>
    <w:rsid w:val="006D4700"/>
    <w:rsid w:val="006D7679"/>
    <w:rsid w:val="006E19B0"/>
    <w:rsid w:val="006E2C39"/>
    <w:rsid w:val="006E486F"/>
    <w:rsid w:val="006F065C"/>
    <w:rsid w:val="006F4ED2"/>
    <w:rsid w:val="006F77D2"/>
    <w:rsid w:val="00705122"/>
    <w:rsid w:val="00712406"/>
    <w:rsid w:val="00713BE1"/>
    <w:rsid w:val="00714340"/>
    <w:rsid w:val="0071465E"/>
    <w:rsid w:val="007211A8"/>
    <w:rsid w:val="007219F7"/>
    <w:rsid w:val="00727EF9"/>
    <w:rsid w:val="00730F34"/>
    <w:rsid w:val="007322EE"/>
    <w:rsid w:val="007333C2"/>
    <w:rsid w:val="007335D6"/>
    <w:rsid w:val="00737714"/>
    <w:rsid w:val="00742E4B"/>
    <w:rsid w:val="007455D2"/>
    <w:rsid w:val="007455F0"/>
    <w:rsid w:val="00751F6A"/>
    <w:rsid w:val="007530C3"/>
    <w:rsid w:val="0075403B"/>
    <w:rsid w:val="007554ED"/>
    <w:rsid w:val="00755C39"/>
    <w:rsid w:val="00755E40"/>
    <w:rsid w:val="00756FF6"/>
    <w:rsid w:val="0076127E"/>
    <w:rsid w:val="00764906"/>
    <w:rsid w:val="0078116B"/>
    <w:rsid w:val="007820F4"/>
    <w:rsid w:val="007856CF"/>
    <w:rsid w:val="00790224"/>
    <w:rsid w:val="0079131B"/>
    <w:rsid w:val="007962DB"/>
    <w:rsid w:val="007A6BC3"/>
    <w:rsid w:val="007D30DA"/>
    <w:rsid w:val="007D3459"/>
    <w:rsid w:val="007E03F3"/>
    <w:rsid w:val="007E0FC8"/>
    <w:rsid w:val="007E26D2"/>
    <w:rsid w:val="007E2A2E"/>
    <w:rsid w:val="007E7213"/>
    <w:rsid w:val="007F0DB7"/>
    <w:rsid w:val="007F1D3D"/>
    <w:rsid w:val="007F3CE6"/>
    <w:rsid w:val="008008F3"/>
    <w:rsid w:val="00804BE3"/>
    <w:rsid w:val="00806709"/>
    <w:rsid w:val="008074EB"/>
    <w:rsid w:val="00812637"/>
    <w:rsid w:val="00813227"/>
    <w:rsid w:val="00816859"/>
    <w:rsid w:val="0081769B"/>
    <w:rsid w:val="00820794"/>
    <w:rsid w:val="00827B64"/>
    <w:rsid w:val="0083016D"/>
    <w:rsid w:val="00830E84"/>
    <w:rsid w:val="00831497"/>
    <w:rsid w:val="00833445"/>
    <w:rsid w:val="00834048"/>
    <w:rsid w:val="00843E46"/>
    <w:rsid w:val="0084451A"/>
    <w:rsid w:val="00845209"/>
    <w:rsid w:val="008459E8"/>
    <w:rsid w:val="008465CF"/>
    <w:rsid w:val="008535F4"/>
    <w:rsid w:val="00854E9A"/>
    <w:rsid w:val="00864580"/>
    <w:rsid w:val="00864ADE"/>
    <w:rsid w:val="00865F86"/>
    <w:rsid w:val="00867FB0"/>
    <w:rsid w:val="00871A12"/>
    <w:rsid w:val="00871AAC"/>
    <w:rsid w:val="00874790"/>
    <w:rsid w:val="0087625A"/>
    <w:rsid w:val="00876B1E"/>
    <w:rsid w:val="00877F4F"/>
    <w:rsid w:val="00881BBE"/>
    <w:rsid w:val="008823D3"/>
    <w:rsid w:val="008827E5"/>
    <w:rsid w:val="00882926"/>
    <w:rsid w:val="00886015"/>
    <w:rsid w:val="008914A6"/>
    <w:rsid w:val="00895809"/>
    <w:rsid w:val="00895AC5"/>
    <w:rsid w:val="008A0424"/>
    <w:rsid w:val="008A16EB"/>
    <w:rsid w:val="008A2690"/>
    <w:rsid w:val="008A4A68"/>
    <w:rsid w:val="008A6182"/>
    <w:rsid w:val="008A77F5"/>
    <w:rsid w:val="008B1D94"/>
    <w:rsid w:val="008B3594"/>
    <w:rsid w:val="008B3826"/>
    <w:rsid w:val="008B4C8D"/>
    <w:rsid w:val="008B643A"/>
    <w:rsid w:val="008B7534"/>
    <w:rsid w:val="008C153B"/>
    <w:rsid w:val="008C1C4A"/>
    <w:rsid w:val="008C60B1"/>
    <w:rsid w:val="008C6BD0"/>
    <w:rsid w:val="008D0843"/>
    <w:rsid w:val="008D1914"/>
    <w:rsid w:val="008D2EBD"/>
    <w:rsid w:val="008D3210"/>
    <w:rsid w:val="008D4244"/>
    <w:rsid w:val="008E3A0F"/>
    <w:rsid w:val="008E5DDE"/>
    <w:rsid w:val="008F0A81"/>
    <w:rsid w:val="008F3EBA"/>
    <w:rsid w:val="008F4AC5"/>
    <w:rsid w:val="008F5963"/>
    <w:rsid w:val="008F713A"/>
    <w:rsid w:val="0090311B"/>
    <w:rsid w:val="00903876"/>
    <w:rsid w:val="00904A18"/>
    <w:rsid w:val="0091653C"/>
    <w:rsid w:val="00923261"/>
    <w:rsid w:val="009256B7"/>
    <w:rsid w:val="00931E56"/>
    <w:rsid w:val="00933ACA"/>
    <w:rsid w:val="00934E68"/>
    <w:rsid w:val="00935847"/>
    <w:rsid w:val="00935BE6"/>
    <w:rsid w:val="00940A2E"/>
    <w:rsid w:val="00942ACD"/>
    <w:rsid w:val="00950949"/>
    <w:rsid w:val="00954552"/>
    <w:rsid w:val="00956A90"/>
    <w:rsid w:val="00957768"/>
    <w:rsid w:val="00961B05"/>
    <w:rsid w:val="00962B89"/>
    <w:rsid w:val="009656CC"/>
    <w:rsid w:val="00970C7A"/>
    <w:rsid w:val="009712A4"/>
    <w:rsid w:val="009721DB"/>
    <w:rsid w:val="0097246E"/>
    <w:rsid w:val="00972BFA"/>
    <w:rsid w:val="00976E48"/>
    <w:rsid w:val="009826C0"/>
    <w:rsid w:val="00987E04"/>
    <w:rsid w:val="00990027"/>
    <w:rsid w:val="009923D0"/>
    <w:rsid w:val="009965BA"/>
    <w:rsid w:val="009B6535"/>
    <w:rsid w:val="009C12AC"/>
    <w:rsid w:val="009C1D61"/>
    <w:rsid w:val="009C2018"/>
    <w:rsid w:val="009C2479"/>
    <w:rsid w:val="009C4CB1"/>
    <w:rsid w:val="009C5917"/>
    <w:rsid w:val="009C7AA0"/>
    <w:rsid w:val="009D06F8"/>
    <w:rsid w:val="009D36F8"/>
    <w:rsid w:val="009D64EF"/>
    <w:rsid w:val="009D73F1"/>
    <w:rsid w:val="009E67C8"/>
    <w:rsid w:val="009F12D7"/>
    <w:rsid w:val="009F1F15"/>
    <w:rsid w:val="00A009E4"/>
    <w:rsid w:val="00A037F1"/>
    <w:rsid w:val="00A05041"/>
    <w:rsid w:val="00A11B4C"/>
    <w:rsid w:val="00A13649"/>
    <w:rsid w:val="00A13F82"/>
    <w:rsid w:val="00A15B07"/>
    <w:rsid w:val="00A16664"/>
    <w:rsid w:val="00A22418"/>
    <w:rsid w:val="00A22E0D"/>
    <w:rsid w:val="00A310E4"/>
    <w:rsid w:val="00A33130"/>
    <w:rsid w:val="00A33854"/>
    <w:rsid w:val="00A41ED3"/>
    <w:rsid w:val="00A42BA2"/>
    <w:rsid w:val="00A46A6E"/>
    <w:rsid w:val="00A474AF"/>
    <w:rsid w:val="00A47FA2"/>
    <w:rsid w:val="00A51061"/>
    <w:rsid w:val="00A51A7E"/>
    <w:rsid w:val="00A5356A"/>
    <w:rsid w:val="00A53B60"/>
    <w:rsid w:val="00A54628"/>
    <w:rsid w:val="00A55F4F"/>
    <w:rsid w:val="00A5733A"/>
    <w:rsid w:val="00A603FA"/>
    <w:rsid w:val="00A60F49"/>
    <w:rsid w:val="00A71227"/>
    <w:rsid w:val="00A7196A"/>
    <w:rsid w:val="00A725F9"/>
    <w:rsid w:val="00A7321D"/>
    <w:rsid w:val="00A748BA"/>
    <w:rsid w:val="00A74EED"/>
    <w:rsid w:val="00A76BEF"/>
    <w:rsid w:val="00A827F9"/>
    <w:rsid w:val="00A83862"/>
    <w:rsid w:val="00A83996"/>
    <w:rsid w:val="00A8486C"/>
    <w:rsid w:val="00A87499"/>
    <w:rsid w:val="00A96702"/>
    <w:rsid w:val="00A97C0C"/>
    <w:rsid w:val="00A97EB2"/>
    <w:rsid w:val="00AA0EDC"/>
    <w:rsid w:val="00AA14A9"/>
    <w:rsid w:val="00AA1E7C"/>
    <w:rsid w:val="00AA33CA"/>
    <w:rsid w:val="00AA4F63"/>
    <w:rsid w:val="00AB0CA0"/>
    <w:rsid w:val="00AB780A"/>
    <w:rsid w:val="00AC4315"/>
    <w:rsid w:val="00AC4961"/>
    <w:rsid w:val="00AD03C4"/>
    <w:rsid w:val="00AD42DA"/>
    <w:rsid w:val="00AD589A"/>
    <w:rsid w:val="00AD6776"/>
    <w:rsid w:val="00AE02BA"/>
    <w:rsid w:val="00AE63B4"/>
    <w:rsid w:val="00AE799F"/>
    <w:rsid w:val="00AF0794"/>
    <w:rsid w:val="00AF61B8"/>
    <w:rsid w:val="00B051AB"/>
    <w:rsid w:val="00B10E18"/>
    <w:rsid w:val="00B110AD"/>
    <w:rsid w:val="00B12289"/>
    <w:rsid w:val="00B13D1F"/>
    <w:rsid w:val="00B16904"/>
    <w:rsid w:val="00B2123A"/>
    <w:rsid w:val="00B21B6F"/>
    <w:rsid w:val="00B22833"/>
    <w:rsid w:val="00B23A71"/>
    <w:rsid w:val="00B268A8"/>
    <w:rsid w:val="00B271BA"/>
    <w:rsid w:val="00B30884"/>
    <w:rsid w:val="00B314FF"/>
    <w:rsid w:val="00B31729"/>
    <w:rsid w:val="00B317FD"/>
    <w:rsid w:val="00B31DD6"/>
    <w:rsid w:val="00B3429E"/>
    <w:rsid w:val="00B357F4"/>
    <w:rsid w:val="00B4100B"/>
    <w:rsid w:val="00B44F2D"/>
    <w:rsid w:val="00B451C8"/>
    <w:rsid w:val="00B45E2C"/>
    <w:rsid w:val="00B4670A"/>
    <w:rsid w:val="00B6334D"/>
    <w:rsid w:val="00B71F7F"/>
    <w:rsid w:val="00B74237"/>
    <w:rsid w:val="00B743EA"/>
    <w:rsid w:val="00B74D92"/>
    <w:rsid w:val="00B77277"/>
    <w:rsid w:val="00B8269E"/>
    <w:rsid w:val="00B82924"/>
    <w:rsid w:val="00B82F15"/>
    <w:rsid w:val="00B8773D"/>
    <w:rsid w:val="00B878B9"/>
    <w:rsid w:val="00B9447B"/>
    <w:rsid w:val="00B951C2"/>
    <w:rsid w:val="00BA3344"/>
    <w:rsid w:val="00BA3AB4"/>
    <w:rsid w:val="00BA4622"/>
    <w:rsid w:val="00BA553E"/>
    <w:rsid w:val="00BA579E"/>
    <w:rsid w:val="00BB026C"/>
    <w:rsid w:val="00BB0B35"/>
    <w:rsid w:val="00BB0EF5"/>
    <w:rsid w:val="00BB4C9F"/>
    <w:rsid w:val="00BB6015"/>
    <w:rsid w:val="00BB6CDA"/>
    <w:rsid w:val="00BB71D3"/>
    <w:rsid w:val="00BC0794"/>
    <w:rsid w:val="00BC0D5D"/>
    <w:rsid w:val="00BC2AB4"/>
    <w:rsid w:val="00BC6BA0"/>
    <w:rsid w:val="00BD1298"/>
    <w:rsid w:val="00BD146B"/>
    <w:rsid w:val="00BE2F68"/>
    <w:rsid w:val="00BE38FC"/>
    <w:rsid w:val="00BE5924"/>
    <w:rsid w:val="00BE5F3D"/>
    <w:rsid w:val="00BF0190"/>
    <w:rsid w:val="00BF09FC"/>
    <w:rsid w:val="00BF1074"/>
    <w:rsid w:val="00BF36CE"/>
    <w:rsid w:val="00C02FFA"/>
    <w:rsid w:val="00C03A05"/>
    <w:rsid w:val="00C03C7B"/>
    <w:rsid w:val="00C0463C"/>
    <w:rsid w:val="00C07486"/>
    <w:rsid w:val="00C157BB"/>
    <w:rsid w:val="00C16627"/>
    <w:rsid w:val="00C23BE9"/>
    <w:rsid w:val="00C25AB9"/>
    <w:rsid w:val="00C326C4"/>
    <w:rsid w:val="00C3433E"/>
    <w:rsid w:val="00C3439A"/>
    <w:rsid w:val="00C34769"/>
    <w:rsid w:val="00C3493B"/>
    <w:rsid w:val="00C353B0"/>
    <w:rsid w:val="00C37458"/>
    <w:rsid w:val="00C40A5B"/>
    <w:rsid w:val="00C43187"/>
    <w:rsid w:val="00C4364F"/>
    <w:rsid w:val="00C438DD"/>
    <w:rsid w:val="00C43909"/>
    <w:rsid w:val="00C43CD1"/>
    <w:rsid w:val="00C44135"/>
    <w:rsid w:val="00C44614"/>
    <w:rsid w:val="00C45020"/>
    <w:rsid w:val="00C45376"/>
    <w:rsid w:val="00C462B0"/>
    <w:rsid w:val="00C46EFD"/>
    <w:rsid w:val="00C5022C"/>
    <w:rsid w:val="00C523A5"/>
    <w:rsid w:val="00C552FD"/>
    <w:rsid w:val="00C63158"/>
    <w:rsid w:val="00C63573"/>
    <w:rsid w:val="00C63BC8"/>
    <w:rsid w:val="00C6475B"/>
    <w:rsid w:val="00C66FBD"/>
    <w:rsid w:val="00C70995"/>
    <w:rsid w:val="00C7392E"/>
    <w:rsid w:val="00C77A6A"/>
    <w:rsid w:val="00C8084B"/>
    <w:rsid w:val="00C8242C"/>
    <w:rsid w:val="00C83FF2"/>
    <w:rsid w:val="00C85C0C"/>
    <w:rsid w:val="00C87FAF"/>
    <w:rsid w:val="00C935CC"/>
    <w:rsid w:val="00C95D8A"/>
    <w:rsid w:val="00C964CF"/>
    <w:rsid w:val="00CA1DD7"/>
    <w:rsid w:val="00CA61C5"/>
    <w:rsid w:val="00CB5D4B"/>
    <w:rsid w:val="00CB5FB3"/>
    <w:rsid w:val="00CB719A"/>
    <w:rsid w:val="00CC0678"/>
    <w:rsid w:val="00CC1DF4"/>
    <w:rsid w:val="00CC5BF4"/>
    <w:rsid w:val="00CC69D5"/>
    <w:rsid w:val="00CC6FCD"/>
    <w:rsid w:val="00CC7813"/>
    <w:rsid w:val="00CD02C8"/>
    <w:rsid w:val="00CD5D1C"/>
    <w:rsid w:val="00CD776D"/>
    <w:rsid w:val="00CE1D51"/>
    <w:rsid w:val="00CE2F8C"/>
    <w:rsid w:val="00CF3A17"/>
    <w:rsid w:val="00CF5059"/>
    <w:rsid w:val="00CF75CA"/>
    <w:rsid w:val="00CF7B67"/>
    <w:rsid w:val="00D00FD5"/>
    <w:rsid w:val="00D0346E"/>
    <w:rsid w:val="00D0419E"/>
    <w:rsid w:val="00D140F6"/>
    <w:rsid w:val="00D22884"/>
    <w:rsid w:val="00D37504"/>
    <w:rsid w:val="00D37743"/>
    <w:rsid w:val="00D4731F"/>
    <w:rsid w:val="00D52086"/>
    <w:rsid w:val="00D54F5C"/>
    <w:rsid w:val="00D64001"/>
    <w:rsid w:val="00D67336"/>
    <w:rsid w:val="00D67CD0"/>
    <w:rsid w:val="00D67D41"/>
    <w:rsid w:val="00D74038"/>
    <w:rsid w:val="00D74C6A"/>
    <w:rsid w:val="00D75941"/>
    <w:rsid w:val="00D75CEF"/>
    <w:rsid w:val="00D80C39"/>
    <w:rsid w:val="00D80D13"/>
    <w:rsid w:val="00D82EFE"/>
    <w:rsid w:val="00D84B11"/>
    <w:rsid w:val="00D904B4"/>
    <w:rsid w:val="00D91655"/>
    <w:rsid w:val="00D942EB"/>
    <w:rsid w:val="00D96A64"/>
    <w:rsid w:val="00DA2A7B"/>
    <w:rsid w:val="00DA2F37"/>
    <w:rsid w:val="00DA30CA"/>
    <w:rsid w:val="00DB00CD"/>
    <w:rsid w:val="00DB09D2"/>
    <w:rsid w:val="00DB2618"/>
    <w:rsid w:val="00DB378A"/>
    <w:rsid w:val="00DB423C"/>
    <w:rsid w:val="00DC0117"/>
    <w:rsid w:val="00DC4556"/>
    <w:rsid w:val="00DC4671"/>
    <w:rsid w:val="00DC7E1B"/>
    <w:rsid w:val="00DD0020"/>
    <w:rsid w:val="00DD03DD"/>
    <w:rsid w:val="00DD1016"/>
    <w:rsid w:val="00DD1997"/>
    <w:rsid w:val="00DD1DDC"/>
    <w:rsid w:val="00DD424A"/>
    <w:rsid w:val="00DD6060"/>
    <w:rsid w:val="00DD7E7A"/>
    <w:rsid w:val="00DE1FEB"/>
    <w:rsid w:val="00DE576C"/>
    <w:rsid w:val="00DE6F6E"/>
    <w:rsid w:val="00DF39E3"/>
    <w:rsid w:val="00DF3E51"/>
    <w:rsid w:val="00DF4F07"/>
    <w:rsid w:val="00DF53EA"/>
    <w:rsid w:val="00DF6EBB"/>
    <w:rsid w:val="00E00337"/>
    <w:rsid w:val="00E013BC"/>
    <w:rsid w:val="00E030B1"/>
    <w:rsid w:val="00E033B7"/>
    <w:rsid w:val="00E03AA8"/>
    <w:rsid w:val="00E03B22"/>
    <w:rsid w:val="00E06069"/>
    <w:rsid w:val="00E06359"/>
    <w:rsid w:val="00E06C2F"/>
    <w:rsid w:val="00E111FB"/>
    <w:rsid w:val="00E24036"/>
    <w:rsid w:val="00E24399"/>
    <w:rsid w:val="00E24C45"/>
    <w:rsid w:val="00E274C6"/>
    <w:rsid w:val="00E34FD2"/>
    <w:rsid w:val="00E377A0"/>
    <w:rsid w:val="00E405BB"/>
    <w:rsid w:val="00E412AF"/>
    <w:rsid w:val="00E41399"/>
    <w:rsid w:val="00E46988"/>
    <w:rsid w:val="00E5549F"/>
    <w:rsid w:val="00E61EFD"/>
    <w:rsid w:val="00E63279"/>
    <w:rsid w:val="00E65046"/>
    <w:rsid w:val="00E70D38"/>
    <w:rsid w:val="00E71C53"/>
    <w:rsid w:val="00E74BD5"/>
    <w:rsid w:val="00E756EF"/>
    <w:rsid w:val="00E7592A"/>
    <w:rsid w:val="00E839DA"/>
    <w:rsid w:val="00E878C9"/>
    <w:rsid w:val="00E90B4F"/>
    <w:rsid w:val="00E915E3"/>
    <w:rsid w:val="00E91BE7"/>
    <w:rsid w:val="00E94DA2"/>
    <w:rsid w:val="00E96D45"/>
    <w:rsid w:val="00E97B4B"/>
    <w:rsid w:val="00EA1AA6"/>
    <w:rsid w:val="00EA626B"/>
    <w:rsid w:val="00EB2F20"/>
    <w:rsid w:val="00EB4197"/>
    <w:rsid w:val="00EB4756"/>
    <w:rsid w:val="00EC43B9"/>
    <w:rsid w:val="00EC4AFD"/>
    <w:rsid w:val="00ED0067"/>
    <w:rsid w:val="00ED06E4"/>
    <w:rsid w:val="00ED696E"/>
    <w:rsid w:val="00ED6BD6"/>
    <w:rsid w:val="00EE2509"/>
    <w:rsid w:val="00EE3D03"/>
    <w:rsid w:val="00EE59E9"/>
    <w:rsid w:val="00EE699A"/>
    <w:rsid w:val="00EE740D"/>
    <w:rsid w:val="00EF3350"/>
    <w:rsid w:val="00EF680C"/>
    <w:rsid w:val="00EF730F"/>
    <w:rsid w:val="00F03A42"/>
    <w:rsid w:val="00F07CD2"/>
    <w:rsid w:val="00F1299F"/>
    <w:rsid w:val="00F13C5A"/>
    <w:rsid w:val="00F14BDB"/>
    <w:rsid w:val="00F209B0"/>
    <w:rsid w:val="00F20ED1"/>
    <w:rsid w:val="00F21467"/>
    <w:rsid w:val="00F22AF2"/>
    <w:rsid w:val="00F2677A"/>
    <w:rsid w:val="00F27D29"/>
    <w:rsid w:val="00F35221"/>
    <w:rsid w:val="00F424C9"/>
    <w:rsid w:val="00F460E5"/>
    <w:rsid w:val="00F6239B"/>
    <w:rsid w:val="00F63B66"/>
    <w:rsid w:val="00F66B41"/>
    <w:rsid w:val="00F71661"/>
    <w:rsid w:val="00F72BCF"/>
    <w:rsid w:val="00F7307A"/>
    <w:rsid w:val="00F74AE3"/>
    <w:rsid w:val="00F80606"/>
    <w:rsid w:val="00F82343"/>
    <w:rsid w:val="00F82A0E"/>
    <w:rsid w:val="00F85C66"/>
    <w:rsid w:val="00F86309"/>
    <w:rsid w:val="00F87341"/>
    <w:rsid w:val="00F87FEE"/>
    <w:rsid w:val="00F9270A"/>
    <w:rsid w:val="00F934E4"/>
    <w:rsid w:val="00F93B63"/>
    <w:rsid w:val="00F946C5"/>
    <w:rsid w:val="00F96ABE"/>
    <w:rsid w:val="00F970FB"/>
    <w:rsid w:val="00F97C47"/>
    <w:rsid w:val="00FA41EE"/>
    <w:rsid w:val="00FA7A26"/>
    <w:rsid w:val="00FB124A"/>
    <w:rsid w:val="00FB205A"/>
    <w:rsid w:val="00FB39CB"/>
    <w:rsid w:val="00FB4C3E"/>
    <w:rsid w:val="00FC15E7"/>
    <w:rsid w:val="00FC2254"/>
    <w:rsid w:val="00FC30DA"/>
    <w:rsid w:val="00FC327D"/>
    <w:rsid w:val="00FC64EE"/>
    <w:rsid w:val="00FC671F"/>
    <w:rsid w:val="00FE1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colormru v:ext="edit" colors="#ddd,silver,#eaeaea"/>
    </o:shapedefaults>
    <o:shapelayout v:ext="edit">
      <o:idmap v:ext="edit" data="1"/>
    </o:shapelayout>
  </w:shapeDefaults>
  <w:decimalSymbol w:val="."/>
  <w:listSeparator w:val=","/>
  <w14:docId w14:val="698E69CB"/>
  <w15:docId w15:val="{7048417F-F735-4E4D-BAE9-12B4F5D3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34"/>
    <w:pPr>
      <w:jc w:val="both"/>
    </w:pPr>
    <w:rPr>
      <w:sz w:val="19"/>
      <w:lang w:eastAsia="en-US"/>
    </w:rPr>
  </w:style>
  <w:style w:type="paragraph" w:styleId="Heading1">
    <w:name w:val="heading 1"/>
    <w:basedOn w:val="Normal"/>
    <w:next w:val="Normal"/>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link w:val="Heading2Char"/>
    <w:qFormat/>
    <w:rsid w:val="00895AC5"/>
    <w:pPr>
      <w:pBdr>
        <w:bottom w:val="single" w:sz="4" w:space="1" w:color="auto"/>
      </w:pBdr>
      <w:outlineLvl w:val="1"/>
    </w:pPr>
    <w:rPr>
      <w:bCs w:val="0"/>
      <w:iCs/>
      <w:szCs w:val="28"/>
    </w:rPr>
  </w:style>
  <w:style w:type="paragraph" w:styleId="Heading3">
    <w:name w:val="heading 3"/>
    <w:basedOn w:val="Heading2"/>
    <w:next w:val="Normal"/>
    <w:qFormat/>
    <w:rsid w:val="00580BC4"/>
    <w:pPr>
      <w:spacing w:before="100"/>
      <w:outlineLvl w:val="2"/>
    </w:pPr>
    <w:rPr>
      <w:bCs/>
      <w:szCs w:val="26"/>
    </w:rPr>
  </w:style>
  <w:style w:type="paragraph" w:styleId="Heading4">
    <w:name w:val="heading 4"/>
    <w:basedOn w:val="Heading3"/>
    <w:next w:val="Normal"/>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580BC4"/>
    <w:pPr>
      <w:pBdr>
        <w:bottom w:val="none" w:sz="0" w:space="0" w:color="auto"/>
      </w:pBd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uiPriority w:val="99"/>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rsid w:val="0068345C"/>
    <w:pPr>
      <w:tabs>
        <w:tab w:val="right" w:pos="9072"/>
      </w:tabs>
      <w:spacing w:after="60"/>
      <w:ind w:left="170"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580BC4"/>
    <w:pPr>
      <w:numPr>
        <w:numId w:val="6"/>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580BC4"/>
    <w:pPr>
      <w:numPr>
        <w:numId w:val="1"/>
      </w:numPr>
      <w:spacing w:before="100" w:after="10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580BC4"/>
    <w:pPr>
      <w:numPr>
        <w:numId w:val="5"/>
      </w:numPr>
      <w:spacing w:before="100" w:after="100"/>
      <w:ind w:left="505" w:hanging="505"/>
    </w:pPr>
  </w:style>
  <w:style w:type="paragraph" w:customStyle="1" w:styleId="Bullet2">
    <w:name w:val="Bullet2"/>
    <w:basedOn w:val="Normal"/>
    <w:rsid w:val="00972BFA"/>
    <w:pPr>
      <w:numPr>
        <w:ilvl w:val="1"/>
        <w:numId w:val="5"/>
      </w:numPr>
      <w:spacing w:after="200"/>
      <w:ind w:left="1010" w:hanging="505"/>
    </w:pPr>
  </w:style>
  <w:style w:type="paragraph" w:customStyle="1" w:styleId="Bullet3">
    <w:name w:val="Bullet3"/>
    <w:basedOn w:val="Normal"/>
    <w:rsid w:val="00972BFA"/>
    <w:pPr>
      <w:numPr>
        <w:ilvl w:val="2"/>
        <w:numId w:val="5"/>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5"/>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2"/>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580BC4"/>
    <w:pPr>
      <w:numPr>
        <w:numId w:val="3"/>
      </w:numPr>
      <w:spacing w:before="100" w:after="1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4"/>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8"/>
      </w:numPr>
    </w:pPr>
  </w:style>
  <w:style w:type="paragraph" w:customStyle="1" w:styleId="SubNumPlain2">
    <w:name w:val="SubNum Plain2"/>
    <w:basedOn w:val="PlainHanging2"/>
    <w:qFormat/>
    <w:rsid w:val="00A96702"/>
    <w:pPr>
      <w:numPr>
        <w:ilvl w:val="1"/>
        <w:numId w:val="8"/>
      </w:numPr>
    </w:pPr>
  </w:style>
  <w:style w:type="paragraph" w:customStyle="1" w:styleId="SubNumPlain3">
    <w:name w:val="SubNum Plain3"/>
    <w:basedOn w:val="PlainHanging3"/>
    <w:qFormat/>
    <w:rsid w:val="00A96702"/>
    <w:pPr>
      <w:numPr>
        <w:ilvl w:val="2"/>
        <w:numId w:val="8"/>
      </w:numPr>
    </w:pPr>
  </w:style>
  <w:style w:type="paragraph" w:customStyle="1" w:styleId="SubNumPlain4">
    <w:name w:val="SubNum Plain4"/>
    <w:basedOn w:val="PlainHanging4"/>
    <w:qFormat/>
    <w:rsid w:val="00A96702"/>
    <w:pPr>
      <w:numPr>
        <w:ilvl w:val="3"/>
        <w:numId w:val="8"/>
      </w:numPr>
    </w:pPr>
  </w:style>
  <w:style w:type="paragraph" w:customStyle="1" w:styleId="SubNumBold1">
    <w:name w:val="SubNum Bold1"/>
    <w:basedOn w:val="BoldHanging1"/>
    <w:qFormat/>
    <w:rsid w:val="00A96702"/>
    <w:pPr>
      <w:numPr>
        <w:numId w:val="9"/>
      </w:numPr>
    </w:pPr>
  </w:style>
  <w:style w:type="paragraph" w:customStyle="1" w:styleId="SubNumBold2">
    <w:name w:val="SubNum Bold2"/>
    <w:basedOn w:val="BoldHanging2"/>
    <w:qFormat/>
    <w:rsid w:val="00A96702"/>
    <w:pPr>
      <w:numPr>
        <w:ilvl w:val="1"/>
        <w:numId w:val="9"/>
      </w:numPr>
    </w:pPr>
  </w:style>
  <w:style w:type="paragraph" w:customStyle="1" w:styleId="SubNumBold3">
    <w:name w:val="SubNum Bold3"/>
    <w:basedOn w:val="BoldHanging3"/>
    <w:qFormat/>
    <w:rsid w:val="00A96702"/>
    <w:pPr>
      <w:numPr>
        <w:ilvl w:val="2"/>
        <w:numId w:val="9"/>
      </w:numPr>
    </w:pPr>
  </w:style>
  <w:style w:type="paragraph" w:customStyle="1" w:styleId="SubNumBold4">
    <w:name w:val="SubNum Bold4"/>
    <w:basedOn w:val="BoldHanging4"/>
    <w:qFormat/>
    <w:rsid w:val="00A96702"/>
    <w:pPr>
      <w:numPr>
        <w:ilvl w:val="3"/>
        <w:numId w:val="9"/>
      </w:numPr>
    </w:pPr>
  </w:style>
  <w:style w:type="numbering" w:customStyle="1" w:styleId="AASBSubNumbers">
    <w:name w:val="AASB SubNumbers"/>
    <w:uiPriority w:val="99"/>
    <w:rsid w:val="00A96702"/>
    <w:pPr>
      <w:numPr>
        <w:numId w:val="7"/>
      </w:numPr>
    </w:pPr>
  </w:style>
  <w:style w:type="numbering" w:customStyle="1" w:styleId="AASBSubNumbersBold">
    <w:name w:val="AASB SubNumbers Bold"/>
    <w:uiPriority w:val="99"/>
    <w:rsid w:val="00A96702"/>
    <w:pPr>
      <w:numPr>
        <w:numId w:val="9"/>
      </w:numPr>
    </w:pPr>
  </w:style>
  <w:style w:type="character" w:customStyle="1" w:styleId="NumPlain1Char">
    <w:name w:val="Num Plain1 Char"/>
    <w:basedOn w:val="DefaultParagraphFont"/>
    <w:link w:val="NumPlain1"/>
    <w:rsid w:val="000812F8"/>
    <w:rPr>
      <w:sz w:val="19"/>
      <w:lang w:eastAsia="en-US"/>
    </w:rPr>
  </w:style>
  <w:style w:type="paragraph" w:styleId="ListParagraph">
    <w:name w:val="List Paragraph"/>
    <w:basedOn w:val="Normal"/>
    <w:link w:val="ListParagraphChar"/>
    <w:uiPriority w:val="34"/>
    <w:qFormat/>
    <w:rsid w:val="009D64EF"/>
    <w:pPr>
      <w:ind w:left="720"/>
      <w:jc w:val="left"/>
    </w:pPr>
    <w:rPr>
      <w:sz w:val="24"/>
      <w:szCs w:val="24"/>
      <w:lang w:eastAsia="en-AU"/>
    </w:rPr>
  </w:style>
  <w:style w:type="character" w:customStyle="1" w:styleId="ListParagraphChar">
    <w:name w:val="List Paragraph Char"/>
    <w:basedOn w:val="DefaultParagraphFont"/>
    <w:link w:val="ListParagraph"/>
    <w:uiPriority w:val="34"/>
    <w:rsid w:val="009D64EF"/>
    <w:rPr>
      <w:sz w:val="24"/>
      <w:szCs w:val="24"/>
    </w:rPr>
  </w:style>
  <w:style w:type="paragraph" w:customStyle="1" w:styleId="Default">
    <w:name w:val="Default"/>
    <w:rsid w:val="004043A1"/>
    <w:pPr>
      <w:autoSpaceDE w:val="0"/>
      <w:autoSpaceDN w:val="0"/>
      <w:adjustRightInd w:val="0"/>
    </w:pPr>
    <w:rPr>
      <w:rFonts w:eastAsiaTheme="minorHAnsi"/>
      <w:color w:val="000000"/>
      <w:sz w:val="24"/>
      <w:szCs w:val="24"/>
      <w:lang w:eastAsia="en-US"/>
    </w:rPr>
  </w:style>
  <w:style w:type="character" w:styleId="CommentReference">
    <w:name w:val="annotation reference"/>
    <w:basedOn w:val="DefaultParagraphFont"/>
    <w:uiPriority w:val="99"/>
    <w:semiHidden/>
    <w:unhideWhenUsed/>
    <w:rsid w:val="004043A1"/>
    <w:rPr>
      <w:sz w:val="16"/>
      <w:szCs w:val="16"/>
    </w:rPr>
  </w:style>
  <w:style w:type="paragraph" w:styleId="CommentText">
    <w:name w:val="annotation text"/>
    <w:basedOn w:val="Normal"/>
    <w:link w:val="CommentTextChar"/>
    <w:uiPriority w:val="99"/>
    <w:unhideWhenUsed/>
    <w:rsid w:val="004043A1"/>
    <w:pPr>
      <w:spacing w:after="16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043A1"/>
    <w:rPr>
      <w:rFonts w:asciiTheme="minorHAnsi" w:eastAsiaTheme="minorHAnsi" w:hAnsiTheme="minorHAnsi" w:cstheme="minorBidi"/>
      <w:lang w:eastAsia="en-US"/>
    </w:rPr>
  </w:style>
  <w:style w:type="paragraph" w:styleId="BalloonText">
    <w:name w:val="Balloon Text"/>
    <w:basedOn w:val="Normal"/>
    <w:link w:val="BalloonTextChar"/>
    <w:semiHidden/>
    <w:unhideWhenUsed/>
    <w:rsid w:val="004043A1"/>
    <w:rPr>
      <w:rFonts w:ascii="Segoe UI" w:hAnsi="Segoe UI" w:cs="Segoe UI"/>
      <w:sz w:val="18"/>
      <w:szCs w:val="18"/>
    </w:rPr>
  </w:style>
  <w:style w:type="character" w:customStyle="1" w:styleId="BalloonTextChar">
    <w:name w:val="Balloon Text Char"/>
    <w:basedOn w:val="DefaultParagraphFont"/>
    <w:link w:val="BalloonText"/>
    <w:semiHidden/>
    <w:rsid w:val="004043A1"/>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8B3594"/>
    <w:pPr>
      <w:spacing w:after="0"/>
      <w:jc w:val="both"/>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8B3594"/>
    <w:rPr>
      <w:rFonts w:asciiTheme="minorHAnsi" w:eastAsiaTheme="minorHAnsi" w:hAnsiTheme="minorHAnsi" w:cstheme="minorBidi"/>
      <w:b/>
      <w:bCs/>
      <w:lang w:eastAsia="en-US"/>
    </w:rPr>
  </w:style>
  <w:style w:type="character" w:styleId="PlaceholderText">
    <w:name w:val="Placeholder Text"/>
    <w:basedOn w:val="DefaultParagraphFont"/>
    <w:uiPriority w:val="99"/>
    <w:semiHidden/>
    <w:rsid w:val="004B75DD"/>
    <w:rPr>
      <w:color w:val="808080"/>
    </w:rPr>
  </w:style>
  <w:style w:type="character" w:styleId="FootnoteReference">
    <w:name w:val="footnote reference"/>
    <w:basedOn w:val="DefaultParagraphFont"/>
    <w:uiPriority w:val="99"/>
    <w:unhideWhenUsed/>
    <w:rsid w:val="00E412AF"/>
    <w:rPr>
      <w:rFonts w:ascii="Times New Roman" w:hAnsi="Times New Roman"/>
      <w:b w:val="0"/>
      <w:i w:val="0"/>
      <w:sz w:val="24"/>
      <w:vertAlign w:val="superscript"/>
    </w:rPr>
  </w:style>
  <w:style w:type="character" w:customStyle="1" w:styleId="HeaderChar">
    <w:name w:val="Header Char"/>
    <w:basedOn w:val="DefaultParagraphFont"/>
    <w:link w:val="Header"/>
    <w:uiPriority w:val="99"/>
    <w:locked/>
    <w:rsid w:val="001C7A89"/>
    <w:rPr>
      <w:sz w:val="19"/>
      <w:lang w:eastAsia="en-US"/>
    </w:rPr>
  </w:style>
  <w:style w:type="paragraph" w:styleId="Revision">
    <w:name w:val="Revision"/>
    <w:hidden/>
    <w:uiPriority w:val="99"/>
    <w:semiHidden/>
    <w:rsid w:val="00B44F2D"/>
    <w:rPr>
      <w:sz w:val="19"/>
      <w:lang w:eastAsia="en-US"/>
    </w:rPr>
  </w:style>
  <w:style w:type="character" w:customStyle="1" w:styleId="AppendixNoChar">
    <w:name w:val="AppendixNo Char"/>
    <w:basedOn w:val="DefaultParagraphFont"/>
    <w:link w:val="AppendixNo"/>
    <w:rsid w:val="00A83996"/>
    <w:rPr>
      <w:rFonts w:ascii="Arial" w:hAnsi="Arial"/>
      <w:b/>
      <w:sz w:val="26"/>
      <w:szCs w:val="28"/>
      <w:lang w:eastAsia="en-US"/>
    </w:rPr>
  </w:style>
  <w:style w:type="character" w:customStyle="1" w:styleId="FooterChar">
    <w:name w:val="Footer Char"/>
    <w:basedOn w:val="DefaultParagraphFont"/>
    <w:link w:val="Footer"/>
    <w:uiPriority w:val="99"/>
    <w:rsid w:val="00A83996"/>
    <w:rPr>
      <w:sz w:val="19"/>
      <w:lang w:eastAsia="en-US"/>
    </w:rPr>
  </w:style>
  <w:style w:type="paragraph" w:customStyle="1" w:styleId="IASBNormalnpara">
    <w:name w:val="IASB Normal npara"/>
    <w:basedOn w:val="Normal"/>
    <w:rsid w:val="00B357F4"/>
    <w:pPr>
      <w:spacing w:before="100"/>
      <w:ind w:left="782" w:hanging="782"/>
    </w:pPr>
  </w:style>
  <w:style w:type="paragraph" w:customStyle="1" w:styleId="IASBSectionTitle3NonInd">
    <w:name w:val="IASB Section Title 3 NonInd"/>
    <w:basedOn w:val="Normal"/>
    <w:rsid w:val="00A83996"/>
    <w:pPr>
      <w:keepNext/>
      <w:keepLines/>
      <w:spacing w:before="300" w:after="200"/>
      <w:jc w:val="left"/>
    </w:pPr>
    <w:rPr>
      <w:rFonts w:ascii="Arial" w:hAnsi="Arial" w:cs="Arial"/>
      <w:b/>
      <w:sz w:val="22"/>
      <w:lang w:val="en-US"/>
    </w:rPr>
  </w:style>
  <w:style w:type="paragraph" w:customStyle="1" w:styleId="IASBNormalnparaL1">
    <w:name w:val="IASB Normal nparaL1"/>
    <w:basedOn w:val="IASBNormalnpara"/>
    <w:rsid w:val="00A83996"/>
    <w:pPr>
      <w:ind w:left="1564"/>
    </w:pPr>
  </w:style>
  <w:style w:type="character" w:customStyle="1" w:styleId="FootnoteTextChar">
    <w:name w:val="Footnote Text Char"/>
    <w:link w:val="FootnoteText"/>
    <w:uiPriority w:val="99"/>
    <w:rsid w:val="00A83996"/>
    <w:rPr>
      <w:sz w:val="16"/>
      <w:lang w:eastAsia="en-US"/>
    </w:rPr>
  </w:style>
  <w:style w:type="character" w:customStyle="1" w:styleId="Heading2Char">
    <w:name w:val="Heading 2 Char"/>
    <w:basedOn w:val="DefaultParagraphFont"/>
    <w:link w:val="Heading2"/>
    <w:rsid w:val="003A619F"/>
    <w:rPr>
      <w:rFonts w:ascii="Arial" w:hAnsi="Arial" w:cs="Arial"/>
      <w:b/>
      <w:iCs/>
      <w:sz w:val="26"/>
      <w:szCs w:val="28"/>
      <w:lang w:eastAsia="en-US"/>
    </w:rPr>
  </w:style>
  <w:style w:type="paragraph" w:customStyle="1" w:styleId="IASBNormalnparaL2">
    <w:name w:val="IASB Normal nparaL2"/>
    <w:basedOn w:val="IASBNormalnparaL1"/>
    <w:rsid w:val="006805FC"/>
    <w:pPr>
      <w:ind w:left="2347"/>
    </w:pPr>
  </w:style>
  <w:style w:type="paragraph" w:customStyle="1" w:styleId="IASBNormalL1P">
    <w:name w:val="IASB Normal L1P"/>
    <w:basedOn w:val="Normal"/>
    <w:uiPriority w:val="8"/>
    <w:qFormat/>
    <w:rsid w:val="006C1034"/>
    <w:pPr>
      <w:spacing w:before="100"/>
      <w:ind w:left="7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16148">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49170E4-70F9-470B-8C55-8BA64A7D252A}"/>
      </w:docPartPr>
      <w:docPartBody>
        <w:p w:rsidR="006A5F86" w:rsidRDefault="006A5F86">
          <w:r w:rsidRPr="002E569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F86"/>
    <w:rsid w:val="00020A5B"/>
    <w:rsid w:val="0006147A"/>
    <w:rsid w:val="00066B89"/>
    <w:rsid w:val="00073419"/>
    <w:rsid w:val="000B76DB"/>
    <w:rsid w:val="0010697A"/>
    <w:rsid w:val="00107D39"/>
    <w:rsid w:val="0020478A"/>
    <w:rsid w:val="002532FE"/>
    <w:rsid w:val="002B0726"/>
    <w:rsid w:val="002C52CE"/>
    <w:rsid w:val="0032287D"/>
    <w:rsid w:val="003634B0"/>
    <w:rsid w:val="003B5C0E"/>
    <w:rsid w:val="00445AAA"/>
    <w:rsid w:val="004A7F4C"/>
    <w:rsid w:val="004C2414"/>
    <w:rsid w:val="004E5E08"/>
    <w:rsid w:val="005728B7"/>
    <w:rsid w:val="00614E68"/>
    <w:rsid w:val="006449B7"/>
    <w:rsid w:val="006A5F86"/>
    <w:rsid w:val="00740ADF"/>
    <w:rsid w:val="008014B0"/>
    <w:rsid w:val="008628E1"/>
    <w:rsid w:val="00896E25"/>
    <w:rsid w:val="008B2973"/>
    <w:rsid w:val="008C2FE0"/>
    <w:rsid w:val="00941428"/>
    <w:rsid w:val="009D45D8"/>
    <w:rsid w:val="009D5340"/>
    <w:rsid w:val="00A01F10"/>
    <w:rsid w:val="00A41432"/>
    <w:rsid w:val="00A5084B"/>
    <w:rsid w:val="00A57491"/>
    <w:rsid w:val="00A919E3"/>
    <w:rsid w:val="00AF275B"/>
    <w:rsid w:val="00AF677F"/>
    <w:rsid w:val="00B06EA5"/>
    <w:rsid w:val="00B60682"/>
    <w:rsid w:val="00B90315"/>
    <w:rsid w:val="00BA6124"/>
    <w:rsid w:val="00BE1C95"/>
    <w:rsid w:val="00BF7131"/>
    <w:rsid w:val="00C72B74"/>
    <w:rsid w:val="00C826D9"/>
    <w:rsid w:val="00C86D06"/>
    <w:rsid w:val="00C96D31"/>
    <w:rsid w:val="00CC0654"/>
    <w:rsid w:val="00CD4A21"/>
    <w:rsid w:val="00CF7612"/>
    <w:rsid w:val="00D51E38"/>
    <w:rsid w:val="00D77357"/>
    <w:rsid w:val="00D83026"/>
    <w:rsid w:val="00E04D0E"/>
    <w:rsid w:val="00E16472"/>
    <w:rsid w:val="00E36C14"/>
    <w:rsid w:val="00E9673D"/>
    <w:rsid w:val="00EA63E9"/>
    <w:rsid w:val="00EF6742"/>
    <w:rsid w:val="00F315E4"/>
    <w:rsid w:val="00FF02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5D8"/>
    <w:rPr>
      <w:color w:val="808080"/>
    </w:rPr>
  </w:style>
  <w:style w:type="paragraph" w:customStyle="1" w:styleId="738BF06808234D9EAF3D3744E2E96D26">
    <w:name w:val="738BF06808234D9EAF3D3744E2E96D26"/>
    <w:rsid w:val="009D4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TaxCatchAll xmlns="3f4bcce7-ac1a-4c9d-aa3e-7e77695652db"/>
    <i68dcda424604f4b8ece99fc3619f00c xmlns="47e576cf-618c-45c9-99ef-ab7e8b777e43">
      <Terms xmlns="http://schemas.microsoft.com/office/infopath/2007/PartnerControls"/>
    </i68dcda424604f4b8ece99fc3619f00c>
    <_dlc_DocId xmlns="3f4bcce7-ac1a-4c9d-aa3e-7e77695652db">PRDOC-1610502840-141</_dlc_DocId>
    <_dlc_DocIdUrl xmlns="3f4bcce7-ac1a-4c9d-aa3e-7e77695652db">
      <Url>http://hub.aasb.gov.au/sites/stand/aasbprj132/_layouts/15/DocIdRedir.aspx?ID=PRDOC-1610502840-141</Url>
      <Description>PRDOC-1610502840-141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AASB AUASB Doc" ma:contentTypeID="0x0101005D166743AF667142AE4C423E78D357B800225C585148A86B4780796F7193325EC7" ma:contentTypeVersion="3" ma:contentTypeDescription="" ma:contentTypeScope="" ma:versionID="2b07d5947c9b31487779e7375ed19611">
  <xsd:schema xmlns:xsd="http://www.w3.org/2001/XMLSchema" xmlns:xs="http://www.w3.org/2001/XMLSchema" xmlns:p="http://schemas.microsoft.com/office/2006/metadata/properties" xmlns:ns1="http://schemas.microsoft.com/sharepoint/v3" xmlns:ns2="3f4bcce7-ac1a-4c9d-aa3e-7e77695652db" xmlns:ns3="47e576cf-618c-45c9-99ef-ab7e8b777e43" targetNamespace="http://schemas.microsoft.com/office/2006/metadata/properties" ma:root="true" ma:fieldsID="ddde33c859c4dc32e47a7fc5dfbc07c2" ns1:_="" ns2:_="" ns3:_="">
    <xsd:import namespace="http://schemas.microsoft.com/sharepoint/v3"/>
    <xsd:import namespace="3f4bcce7-ac1a-4c9d-aa3e-7e77695652db"/>
    <xsd:import namespace="47e576cf-618c-45c9-99ef-ab7e8b777e43"/>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i68dcda424604f4b8ece99fc3619f00c" minOccurs="0"/>
                <xsd:element ref="ns2:TaxKeywordTaxHTFiel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1d7f504-621a-4932-9995-223c0b9e0b9b}" ma:internalName="TaxCatchAll" ma:showField="CatchAllData"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1d7f504-621a-4932-9995-223c0b9e0b9b}" ma:internalName="TaxCatchAllLabel" ma:readOnly="true" ma:showField="CatchAllDataLabel" ma:web="47e576cf-618c-45c9-99ef-ab7e8b777e4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576cf-618c-45c9-99ef-ab7e8b777e43" elementFormDefault="qualified">
    <xsd:import namespace="http://schemas.microsoft.com/office/2006/documentManagement/types"/>
    <xsd:import namespace="http://schemas.microsoft.com/office/infopath/2007/PartnerControls"/>
    <xsd:element name="i68dcda424604f4b8ece99fc3619f00c" ma:index="13" nillable="true" ma:taxonomy="true" ma:internalName="i68dcda424604f4b8ece99fc3619f00c" ma:taxonomyFieldName="Term" ma:displayName="Term" ma:readOnly="false" ma:default="" ma:fieldId="{268dcda4-2460-4f4b-8ece-99fc3619f00c}" ma:sspId="f2c20519-bfb4-4138-a21e-2e6ee8209940" ma:termSetId="e3959d5c-1f58-4126-9a54-523d5369149b" ma:anchorId="a40d89f4-cad2-47cf-8799-74038b3c6a65"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E0168-02A4-4CA8-B4E3-615B505FF63B}">
  <ds:schemaRefs>
    <ds:schemaRef ds:uri="http://schemas.microsoft.com/office/infopath/2007/PartnerControls"/>
    <ds:schemaRef ds:uri="http://purl.org/dc/elements/1.1/"/>
    <ds:schemaRef ds:uri="http://schemas.microsoft.com/office/2006/metadata/properties"/>
    <ds:schemaRef ds:uri="47e576cf-618c-45c9-99ef-ab7e8b777e43"/>
    <ds:schemaRef ds:uri="http://schemas.microsoft.com/sharepoint/v3"/>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2.xml><?xml version="1.0" encoding="utf-8"?>
<ds:datastoreItem xmlns:ds="http://schemas.openxmlformats.org/officeDocument/2006/customXml" ds:itemID="{705FF4E4-5008-4F94-AEE6-C8C917D09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47e576cf-618c-45c9-99ef-ab7e8b777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78F4C-93DD-4D67-B5E9-EF5CA1E59D2A}">
  <ds:schemaRefs>
    <ds:schemaRef ds:uri="http://schemas.microsoft.com/office/2006/metadata/customXsn"/>
  </ds:schemaRefs>
</ds:datastoreItem>
</file>

<file path=customXml/itemProps4.xml><?xml version="1.0" encoding="utf-8"?>
<ds:datastoreItem xmlns:ds="http://schemas.openxmlformats.org/officeDocument/2006/customXml" ds:itemID="{7F0C1CD0-F472-423E-8ED8-7A93AE312990}">
  <ds:schemaRefs>
    <ds:schemaRef ds:uri="http://schemas.microsoft.com/sharepoint/v3/contenttype/forms"/>
  </ds:schemaRefs>
</ds:datastoreItem>
</file>

<file path=customXml/itemProps5.xml><?xml version="1.0" encoding="utf-8"?>
<ds:datastoreItem xmlns:ds="http://schemas.openxmlformats.org/officeDocument/2006/customXml" ds:itemID="{F65CA3E4-839F-42DE-9642-63202D510AEF}">
  <ds:schemaRefs>
    <ds:schemaRef ds:uri="http://schemas.microsoft.com/sharepoint/events"/>
  </ds:schemaRefs>
</ds:datastoreItem>
</file>

<file path=customXml/itemProps6.xml><?xml version="1.0" encoding="utf-8"?>
<ds:datastoreItem xmlns:ds="http://schemas.openxmlformats.org/officeDocument/2006/customXml" ds:itemID="{1A723CED-875B-4368-829B-B5714C52BFB4}">
  <ds:schemaRefs>
    <ds:schemaRef ds:uri="Microsoft.SharePoint.Taxonomy.ContentTypeSync"/>
  </ds:schemaRefs>
</ds:datastoreItem>
</file>

<file path=customXml/itemProps7.xml><?xml version="1.0" encoding="utf-8"?>
<ds:datastoreItem xmlns:ds="http://schemas.openxmlformats.org/officeDocument/2006/customXml" ds:itemID="{6E9D1E43-A34E-4B28-9E8F-9763A92E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62</Pages>
  <Words>29592</Words>
  <Characters>171474</Characters>
  <Application>Microsoft Office Word</Application>
  <DocSecurity>0</DocSecurity>
  <Lines>1428</Lines>
  <Paragraphs>401</Paragraphs>
  <ScaleCrop>false</ScaleCrop>
  <HeadingPairs>
    <vt:vector size="2" baseType="variant">
      <vt:variant>
        <vt:lpstr>Title</vt:lpstr>
      </vt:variant>
      <vt:variant>
        <vt:i4>1</vt:i4>
      </vt:variant>
    </vt:vector>
  </HeadingPairs>
  <TitlesOfParts>
    <vt:vector size="1" baseType="lpstr">
      <vt:lpstr>AASB 2019-1 Conceptual Framework References</vt:lpstr>
    </vt:vector>
  </TitlesOfParts>
  <Company>Australian Accounting Standards Board</Company>
  <LinksUpToDate>false</LinksUpToDate>
  <CharactersWithSpaces>200665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2019-1 Conceptual Framework References</dc:title>
  <dc:subject/>
  <dc:creator>.</dc:creator>
  <cp:keywords/>
  <dc:description/>
  <cp:lastModifiedBy>John, Kathleen</cp:lastModifiedBy>
  <cp:revision>17</cp:revision>
  <cp:lastPrinted>2019-06-06T02:54:00Z</cp:lastPrinted>
  <dcterms:created xsi:type="dcterms:W3CDTF">2019-06-05T04:19:00Z</dcterms:created>
  <dcterms:modified xsi:type="dcterms:W3CDTF">2019-06-06T02:54:00Z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0x0101005D166743AF667142AE4C423E78D357B800225C585148A86B4780796F7193325EC7</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12599826-9795-45bb-a93b-aaed16c2c910</vt:lpwstr>
  </property>
  <property fmtid="{D5CDD505-2E9C-101B-9397-08002B2CF9AE}" pid="6" name="TaxKeyword">
    <vt:lpwstr/>
  </property>
  <property fmtid="{D5CDD505-2E9C-101B-9397-08002B2CF9AE}" pid="7" name="Term">
    <vt:lpwstr/>
  </property>
</Properties>
</file>