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4C1B7" w14:textId="77777777" w:rsidR="00414BC3" w:rsidRPr="001B1D7C" w:rsidRDefault="00414BC3" w:rsidP="00A94F2A">
      <w:pPr>
        <w:pStyle w:val="CoverTitle"/>
        <w:spacing w:after="600"/>
        <w:jc w:val="center"/>
      </w:pPr>
      <w:r w:rsidRPr="001B1D7C">
        <w:t>Explanatory Statement</w:t>
      </w:r>
    </w:p>
    <w:p w14:paraId="5738711B" w14:textId="77777777" w:rsidR="006776BD" w:rsidRDefault="00396BCD" w:rsidP="00C677B9">
      <w:pPr>
        <w:pStyle w:val="CoverTitle"/>
        <w:spacing w:after="120"/>
        <w:jc w:val="center"/>
        <w:rPr>
          <w:i/>
          <w:sz w:val="36"/>
          <w:szCs w:val="36"/>
        </w:rPr>
      </w:pPr>
      <w:r w:rsidRPr="001B1D7C">
        <w:rPr>
          <w:sz w:val="36"/>
          <w:szCs w:val="36"/>
        </w:rPr>
        <w:t xml:space="preserve">Accounting Standard </w:t>
      </w:r>
      <w:r w:rsidR="005F4451" w:rsidRPr="001B1D7C">
        <w:rPr>
          <w:sz w:val="36"/>
          <w:szCs w:val="36"/>
        </w:rPr>
        <w:t>AASB</w:t>
      </w:r>
      <w:r w:rsidR="00F913AF">
        <w:rPr>
          <w:sz w:val="36"/>
          <w:szCs w:val="36"/>
        </w:rPr>
        <w:t> </w:t>
      </w:r>
      <w:r w:rsidR="00C61FC9" w:rsidRPr="001B1D7C">
        <w:rPr>
          <w:sz w:val="36"/>
          <w:szCs w:val="36"/>
        </w:rPr>
        <w:t>201</w:t>
      </w:r>
      <w:r w:rsidR="00BE5665">
        <w:rPr>
          <w:sz w:val="36"/>
          <w:szCs w:val="36"/>
        </w:rPr>
        <w:t>9</w:t>
      </w:r>
      <w:r w:rsidR="00C61FC9" w:rsidRPr="00314DC3">
        <w:rPr>
          <w:sz w:val="36"/>
          <w:szCs w:val="36"/>
        </w:rPr>
        <w:t>-</w:t>
      </w:r>
      <w:r w:rsidR="00BE5665">
        <w:rPr>
          <w:sz w:val="36"/>
          <w:szCs w:val="36"/>
        </w:rPr>
        <w:t>1</w:t>
      </w:r>
      <w:r w:rsidR="00347521" w:rsidRPr="00314DC3">
        <w:rPr>
          <w:sz w:val="36"/>
          <w:szCs w:val="36"/>
        </w:rPr>
        <w:br/>
      </w:r>
      <w:r w:rsidR="00C14F83" w:rsidRPr="00C14F83">
        <w:rPr>
          <w:i/>
          <w:sz w:val="36"/>
          <w:szCs w:val="36"/>
        </w:rPr>
        <w:t xml:space="preserve">Amendments to Australian Accounting Standards – </w:t>
      </w:r>
      <w:r w:rsidR="00C677B9">
        <w:rPr>
          <w:i/>
          <w:sz w:val="36"/>
          <w:szCs w:val="36"/>
        </w:rPr>
        <w:br/>
      </w:r>
      <w:r w:rsidR="00BE5665">
        <w:rPr>
          <w:i/>
          <w:sz w:val="36"/>
          <w:szCs w:val="36"/>
        </w:rPr>
        <w:t>References to the Conceptual Framework</w:t>
      </w:r>
    </w:p>
    <w:p w14:paraId="2B57FAAB" w14:textId="77777777" w:rsidR="00D36B1E" w:rsidRPr="001B1D7C" w:rsidRDefault="00D36B1E" w:rsidP="00D36B1E">
      <w:pPr>
        <w:pStyle w:val="CoverSubtitle"/>
        <w:spacing w:after="3120"/>
        <w:rPr>
          <w:sz w:val="32"/>
          <w:szCs w:val="32"/>
        </w:rPr>
      </w:pPr>
    </w:p>
    <w:p w14:paraId="69382E23" w14:textId="77777777" w:rsidR="00D36B1E" w:rsidRPr="001B1D7C" w:rsidRDefault="00BE5665" w:rsidP="00D36B1E">
      <w:pPr>
        <w:pStyle w:val="CoverDate"/>
        <w:tabs>
          <w:tab w:val="left" w:pos="3794"/>
          <w:tab w:val="left" w:pos="6232"/>
        </w:tabs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2019</w:t>
      </w:r>
    </w:p>
    <w:p w14:paraId="2B4EE183" w14:textId="77777777" w:rsidR="00414BC3" w:rsidRPr="00314DC3" w:rsidRDefault="0025412A">
      <w:pPr>
        <w:sectPr w:rsidR="00414BC3" w:rsidRPr="00314DC3" w:rsidSect="00B93CE4">
          <w:pgSz w:w="11907" w:h="16840"/>
          <w:pgMar w:top="1134" w:right="1134" w:bottom="1134" w:left="1134" w:header="720" w:footer="720" w:gutter="0"/>
          <w:cols w:space="720"/>
        </w:sectPr>
      </w:pPr>
      <w:r>
        <w:rPr>
          <w:noProof/>
        </w:rPr>
        <w:object w:dxaOrig="1440" w:dyaOrig="1440" w14:anchorId="0FF59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ustralian Government - Australian Accounting Standards Board" style="position:absolute;margin-left:0;margin-top:0;width:123.05pt;height:95.75pt;z-index:251657728;visibility:visible;mso-wrap-edited:f;mso-position-horizontal:left;mso-position-horizontal-relative:margin;mso-position-vertical:bottom;mso-position-vertical-relative:margin">
            <v:imagedata r:id="rId8" o:title=""/>
            <w10:wrap anchorx="margin" anchory="margin"/>
            <w10:anchorlock/>
          </v:shape>
          <o:OLEObject Type="Embed" ProgID="Word.Picture.8" ShapeID="_x0000_s1026" DrawAspect="Content" ObjectID="_1623824757" r:id="rId9"/>
        </w:object>
      </w:r>
    </w:p>
    <w:p w14:paraId="0C2E2E8B" w14:textId="77777777" w:rsidR="00414BC3" w:rsidRPr="00314DC3" w:rsidRDefault="00414BC3">
      <w:pPr>
        <w:pStyle w:val="Heading1"/>
      </w:pPr>
      <w:r w:rsidRPr="00314DC3">
        <w:lastRenderedPageBreak/>
        <w:t>EXPLANATORY STATEMENT</w:t>
      </w:r>
    </w:p>
    <w:p w14:paraId="62BC36B4" w14:textId="77777777" w:rsidR="00FD4C0C" w:rsidRPr="001B1D7C" w:rsidRDefault="006B1B4A" w:rsidP="00FD4C0C">
      <w:pPr>
        <w:pStyle w:val="Heading2"/>
      </w:pPr>
      <w:r w:rsidRPr="00314DC3">
        <w:t>Standard</w:t>
      </w:r>
      <w:r w:rsidR="00465EBE">
        <w:t>s</w:t>
      </w:r>
      <w:r w:rsidRPr="00314DC3">
        <w:t xml:space="preserve"> Amended by</w:t>
      </w:r>
      <w:r w:rsidR="00FD4C0C" w:rsidRPr="001B1D7C">
        <w:t xml:space="preserve"> AASB</w:t>
      </w:r>
      <w:r w:rsidR="00F913AF">
        <w:t> </w:t>
      </w:r>
      <w:r w:rsidR="00C068D8" w:rsidRPr="001B1D7C">
        <w:t>201</w:t>
      </w:r>
      <w:r w:rsidR="00BB0E97">
        <w:t>9</w:t>
      </w:r>
      <w:r w:rsidR="00C068D8" w:rsidRPr="001B1D7C">
        <w:t>-</w:t>
      </w:r>
      <w:r w:rsidR="00BB0E97">
        <w:t>1</w:t>
      </w:r>
    </w:p>
    <w:p w14:paraId="698B77AC" w14:textId="25F56F42" w:rsidR="007104EB" w:rsidRDefault="00BB0E97" w:rsidP="007104EB">
      <w:pPr>
        <w:pStyle w:val="NoNumPlain1"/>
      </w:pPr>
      <w:r>
        <w:t>This Standard makes amendments to the Australian Accounting Standards, Interpretations and other pronouncements</w:t>
      </w:r>
      <w:r w:rsidR="006632BF">
        <w:t xml:space="preserve"> listed </w:t>
      </w:r>
      <w:r w:rsidR="002F5182">
        <w:t xml:space="preserve">in the Appendix to this Explanatory Statement.  The amendments arise </w:t>
      </w:r>
      <w:r>
        <w:t>from the issuance</w:t>
      </w:r>
      <w:r w:rsidR="00165BC6">
        <w:t xml:space="preserve"> by the International Accounting Standards Board (IASB)</w:t>
      </w:r>
      <w:r>
        <w:t xml:space="preserve"> of the</w:t>
      </w:r>
      <w:r w:rsidR="000A6227">
        <w:t xml:space="preserve"> revised</w:t>
      </w:r>
      <w:r>
        <w:t xml:space="preserve"> </w:t>
      </w:r>
      <w:r w:rsidRPr="00BB0E97">
        <w:rPr>
          <w:i/>
        </w:rPr>
        <w:t>Conceptual Framework for Financial Reporting</w:t>
      </w:r>
      <w:r>
        <w:t xml:space="preserve"> and the International Financial Reporting Standard </w:t>
      </w:r>
      <w:r w:rsidRPr="00BB0E97">
        <w:rPr>
          <w:i/>
        </w:rPr>
        <w:t>Amendments to References to the Conceptual Framework in IFRS Standards</w:t>
      </w:r>
      <w:r>
        <w:t xml:space="preserve"> in March 2018.</w:t>
      </w:r>
    </w:p>
    <w:p w14:paraId="267AEAFC" w14:textId="6806E26E" w:rsidR="00ED4F33" w:rsidRPr="001B1D7C" w:rsidRDefault="00A94F2A" w:rsidP="00A94F2A">
      <w:pPr>
        <w:pStyle w:val="Heading3"/>
      </w:pPr>
      <w:r w:rsidRPr="001B1D7C">
        <w:t>Power to Make Amendments</w:t>
      </w:r>
    </w:p>
    <w:p w14:paraId="549595CB" w14:textId="09C8EF3A" w:rsidR="00ED4F33" w:rsidRPr="001B1D7C" w:rsidRDefault="002A0EA5" w:rsidP="00ED4F33">
      <w:pPr>
        <w:pStyle w:val="NoNumPlain1"/>
      </w:pPr>
      <w:r>
        <w:t>Under subsection </w:t>
      </w:r>
      <w:r w:rsidR="00ED4F33" w:rsidRPr="001B1D7C">
        <w:t xml:space="preserve">33(3) of the </w:t>
      </w:r>
      <w:r w:rsidR="00ED4F33" w:rsidRPr="001B1D7C">
        <w:rPr>
          <w:i/>
        </w:rPr>
        <w:t>Acts Interpretation Act 1901</w:t>
      </w:r>
      <w:r w:rsidR="00ED4F33" w:rsidRPr="001B1D7C">
        <w:t xml:space="preserve"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 </w:t>
      </w:r>
      <w:r w:rsidR="00D54F72">
        <w:t xml:space="preserve"> </w:t>
      </w:r>
      <w:r w:rsidR="00ED4F33" w:rsidRPr="001B1D7C">
        <w:t xml:space="preserve">Accordingly, the </w:t>
      </w:r>
      <w:r w:rsidR="00661714">
        <w:t>Australian Accounting Standards Board (</w:t>
      </w:r>
      <w:r w:rsidR="00ED4F33" w:rsidRPr="001B1D7C">
        <w:t>AASB</w:t>
      </w:r>
      <w:r w:rsidR="00661714">
        <w:t>)</w:t>
      </w:r>
      <w:r w:rsidR="00ED4F33" w:rsidRPr="001B1D7C">
        <w:t xml:space="preserve"> has the power to amend the Accounting Standards that are made by the AASB as legislative instruments under the </w:t>
      </w:r>
      <w:r w:rsidR="00ED4F33" w:rsidRPr="001B1D7C">
        <w:rPr>
          <w:i/>
        </w:rPr>
        <w:t>Corporations Act 2001</w:t>
      </w:r>
      <w:r w:rsidR="00ED4F33" w:rsidRPr="001B1D7C">
        <w:t>.</w:t>
      </w:r>
    </w:p>
    <w:p w14:paraId="09A07B32" w14:textId="77777777" w:rsidR="00FD4C0C" w:rsidRPr="00127350" w:rsidRDefault="00FD4C0C" w:rsidP="00F73663">
      <w:pPr>
        <w:pStyle w:val="Heading2"/>
      </w:pPr>
      <w:r w:rsidRPr="00127350">
        <w:t>Main Features of AASB</w:t>
      </w:r>
      <w:r w:rsidR="00375119">
        <w:t> </w:t>
      </w:r>
      <w:r w:rsidR="00C068D8" w:rsidRPr="00127350">
        <w:t>201</w:t>
      </w:r>
      <w:r w:rsidR="00BA5CC1">
        <w:t>9</w:t>
      </w:r>
      <w:r w:rsidR="00C068D8" w:rsidRPr="00127350">
        <w:t>-</w:t>
      </w:r>
      <w:r w:rsidR="00BA5CC1">
        <w:t>1</w:t>
      </w:r>
    </w:p>
    <w:p w14:paraId="6CA2D699" w14:textId="77777777" w:rsidR="00ED4F33" w:rsidRPr="001B1D7C" w:rsidRDefault="00ED4F33" w:rsidP="00ED4F33">
      <w:pPr>
        <w:pStyle w:val="Heading3"/>
      </w:pPr>
      <w:r w:rsidRPr="001B1D7C">
        <w:t>Main Requirements</w:t>
      </w:r>
    </w:p>
    <w:p w14:paraId="3E0F9694" w14:textId="29888413" w:rsidR="00BA5CC1" w:rsidRDefault="00BA5CC1" w:rsidP="00541716">
      <w:pPr>
        <w:pStyle w:val="NoNumPlain1"/>
      </w:pPr>
      <w:r>
        <w:t xml:space="preserve">This Standard sets out amendments to Australian Accounting Standards, Interpretations and other pronouncements to reflect the issuance of the </w:t>
      </w:r>
      <w:r w:rsidRPr="00BA5CC1">
        <w:rPr>
          <w:i/>
        </w:rPr>
        <w:t>Conceptual Framework for Financial Reporting</w:t>
      </w:r>
      <w:r>
        <w:t xml:space="preserve"> (</w:t>
      </w:r>
      <w:r w:rsidRPr="00BA5CC1">
        <w:rPr>
          <w:i/>
        </w:rPr>
        <w:t>Conceptual Framework</w:t>
      </w:r>
      <w:r>
        <w:t>) by the A</w:t>
      </w:r>
      <w:r w:rsidR="00BE3AE9">
        <w:t>ASB.</w:t>
      </w:r>
      <w:r w:rsidR="000C3841">
        <w:t xml:space="preserve">  The </w:t>
      </w:r>
      <w:r w:rsidR="000C3841" w:rsidRPr="000C3841">
        <w:rPr>
          <w:i/>
        </w:rPr>
        <w:t xml:space="preserve">Conceptual Framework </w:t>
      </w:r>
      <w:r w:rsidR="000C3841">
        <w:t>was issued by the AASB at the same time as this Standard.</w:t>
      </w:r>
    </w:p>
    <w:p w14:paraId="7710944A" w14:textId="76D545A2" w:rsidR="00BA5CC1" w:rsidRDefault="00BA5CC1" w:rsidP="00541716">
      <w:pPr>
        <w:pStyle w:val="NoNumPlain1"/>
      </w:pPr>
      <w:r>
        <w:t xml:space="preserve">The application of the </w:t>
      </w:r>
      <w:r w:rsidRPr="00BA5CC1">
        <w:rPr>
          <w:i/>
        </w:rPr>
        <w:t>Conceptual Framework</w:t>
      </w:r>
      <w:r w:rsidR="00BE3AE9">
        <w:t xml:space="preserve"> </w:t>
      </w:r>
      <w:r w:rsidR="000C3841">
        <w:t xml:space="preserve">in Australia </w:t>
      </w:r>
      <w:r w:rsidR="00BE3AE9">
        <w:t>is at present limited to:</w:t>
      </w:r>
    </w:p>
    <w:p w14:paraId="5215C3A2" w14:textId="243BBFD5" w:rsidR="00BA5CC1" w:rsidRDefault="00165BC6" w:rsidP="00165BC6">
      <w:pPr>
        <w:pStyle w:val="NoNumPlain1"/>
        <w:ind w:left="782" w:hanging="782"/>
      </w:pPr>
      <w:r>
        <w:lastRenderedPageBreak/>
        <w:t>(a)</w:t>
      </w:r>
      <w:r>
        <w:tab/>
      </w:r>
      <w:r w:rsidR="00BA5CC1">
        <w:t>for-profit private sector entities that have public accountability and are required by legislation to comply with Australian Accounting Standards; and</w:t>
      </w:r>
    </w:p>
    <w:p w14:paraId="27FEF54B" w14:textId="500171A4" w:rsidR="00BA5CC1" w:rsidRDefault="00165BC6" w:rsidP="00165BC6">
      <w:pPr>
        <w:pStyle w:val="NoNumPlain1"/>
        <w:ind w:left="782" w:hanging="782"/>
      </w:pPr>
      <w:r>
        <w:t>(b)</w:t>
      </w:r>
      <w:r>
        <w:tab/>
      </w:r>
      <w:r w:rsidR="00BA5CC1">
        <w:t xml:space="preserve">other for-profit entities that voluntarily elect to apply the </w:t>
      </w:r>
      <w:r w:rsidR="00BA5CC1" w:rsidRPr="00BA5CC1">
        <w:rPr>
          <w:i/>
        </w:rPr>
        <w:t>Conceptual Framework</w:t>
      </w:r>
      <w:r w:rsidR="00BA5CC1">
        <w:t xml:space="preserve">, which would permit compliance with Australian Accounting Standards (Tier 1) and International Financial Reporting Standards (IFRS Standards). </w:t>
      </w:r>
    </w:p>
    <w:p w14:paraId="7B15171C" w14:textId="3961A9C9" w:rsidR="00517929" w:rsidRDefault="00BA5CC1" w:rsidP="00541716">
      <w:pPr>
        <w:pStyle w:val="NoNumPlain1"/>
      </w:pPr>
      <w:r>
        <w:t xml:space="preserve">This Standard makes amendments to Australian Accounting Standards, Interpretations and other pronouncements to permit other entities to continue using the </w:t>
      </w:r>
      <w:r w:rsidRPr="00BA5CC1">
        <w:rPr>
          <w:i/>
        </w:rPr>
        <w:t>Framework for the Preparation and Presentation of Financial Statements</w:t>
      </w:r>
      <w:r>
        <w:t xml:space="preserve"> adopted by the AASB in 2004 (</w:t>
      </w:r>
      <w:r w:rsidR="003A1B5E">
        <w:t xml:space="preserve">the </w:t>
      </w:r>
      <w:r w:rsidRPr="00BA5CC1">
        <w:rPr>
          <w:i/>
        </w:rPr>
        <w:t>Framework</w:t>
      </w:r>
      <w:r>
        <w:t xml:space="preserve">) and Statement of Accounting Concepts SAC 1 </w:t>
      </w:r>
      <w:r w:rsidRPr="00BA5CC1">
        <w:rPr>
          <w:i/>
        </w:rPr>
        <w:t>Definition of the Reporting Entity</w:t>
      </w:r>
      <w:r>
        <w:t xml:space="preserve"> to determine whether they are a reporting entity that needs to prepare general purpose financial statements that comply with Australian Accounting Standards. </w:t>
      </w:r>
    </w:p>
    <w:p w14:paraId="73247758" w14:textId="5927125E" w:rsidR="00517929" w:rsidRDefault="00BA5CC1" w:rsidP="00541716">
      <w:pPr>
        <w:pStyle w:val="NoNumPlain1"/>
      </w:pPr>
      <w:r>
        <w:t xml:space="preserve">Some Australian Accounting Standards, Interpretations and other pronouncements contain references to, or quotations from, the </w:t>
      </w:r>
      <w:r w:rsidRPr="00517929">
        <w:rPr>
          <w:i/>
        </w:rPr>
        <w:t>Framework</w:t>
      </w:r>
      <w:r>
        <w:t xml:space="preserve">. </w:t>
      </w:r>
      <w:r w:rsidR="00F902B3">
        <w:t xml:space="preserve"> </w:t>
      </w:r>
      <w:r>
        <w:t xml:space="preserve">This Standard updates some of those references and quotations so that they refer to the </w:t>
      </w:r>
      <w:r w:rsidRPr="00517929">
        <w:rPr>
          <w:i/>
        </w:rPr>
        <w:t>Conceptual Framework</w:t>
      </w:r>
      <w:r>
        <w:t>, and makes other amendments to clarify which version of the conceptual framework is referred t</w:t>
      </w:r>
      <w:r w:rsidR="00517929">
        <w:t>o in particular pronouncements.</w:t>
      </w:r>
    </w:p>
    <w:p w14:paraId="590353A4" w14:textId="01314823" w:rsidR="00541716" w:rsidRDefault="00BA5CC1" w:rsidP="00541716">
      <w:pPr>
        <w:pStyle w:val="NoNumPlain1"/>
      </w:pPr>
      <w:r>
        <w:t xml:space="preserve">If an entity is required to apply the </w:t>
      </w:r>
      <w:r w:rsidRPr="00517929">
        <w:rPr>
          <w:i/>
        </w:rPr>
        <w:t>Conceptual Framework</w:t>
      </w:r>
      <w:r>
        <w:t xml:space="preserve">, it cannot identify as a non-reporting entity under SAC 1. </w:t>
      </w:r>
      <w:r w:rsidR="00D54F72">
        <w:t xml:space="preserve"> </w:t>
      </w:r>
      <w:r>
        <w:t>The entity will therefore need to prepare general purpose financial statements that comply with Australian Accounting Standards.</w:t>
      </w:r>
    </w:p>
    <w:p w14:paraId="6FACB156" w14:textId="77777777" w:rsidR="00FD4C0C" w:rsidRPr="001B1D7C" w:rsidRDefault="00FD4C0C" w:rsidP="006B1B4A">
      <w:pPr>
        <w:pStyle w:val="Heading3"/>
      </w:pPr>
      <w:r w:rsidRPr="001B1D7C">
        <w:t>Application Date</w:t>
      </w:r>
    </w:p>
    <w:p w14:paraId="4F1C2C9F" w14:textId="043DB1B2" w:rsidR="00BE66D4" w:rsidRDefault="005F1173" w:rsidP="00A92FFA">
      <w:pPr>
        <w:pStyle w:val="NoNumPlain1"/>
      </w:pPr>
      <w:r w:rsidRPr="00127350">
        <w:t>AASB</w:t>
      </w:r>
      <w:r w:rsidR="00F913AF">
        <w:t> </w:t>
      </w:r>
      <w:r w:rsidR="00C068D8" w:rsidRPr="00127350">
        <w:t>201</w:t>
      </w:r>
      <w:r w:rsidR="00165BC6">
        <w:t>9</w:t>
      </w:r>
      <w:r w:rsidR="00C068D8" w:rsidRPr="00127350">
        <w:t>-</w:t>
      </w:r>
      <w:r w:rsidR="00165BC6">
        <w:t>1</w:t>
      </w:r>
      <w:r w:rsidR="006D6B35" w:rsidRPr="00127350">
        <w:t xml:space="preserve"> </w:t>
      </w:r>
      <w:r w:rsidR="00294D8C">
        <w:t>applies to</w:t>
      </w:r>
      <w:r w:rsidR="001D3B0B" w:rsidRPr="000F1CD0">
        <w:t xml:space="preserve"> annual </w:t>
      </w:r>
      <w:r w:rsidR="00A638C0">
        <w:t xml:space="preserve">reporting </w:t>
      </w:r>
      <w:r w:rsidR="001D3B0B" w:rsidRPr="000F1CD0">
        <w:t>periods beg</w:t>
      </w:r>
      <w:r w:rsidR="00165BC6">
        <w:t>inning on or after 1 January 2020</w:t>
      </w:r>
      <w:r w:rsidR="00294D8C">
        <w:t>.</w:t>
      </w:r>
      <w:r w:rsidR="007104EB">
        <w:t xml:space="preserve"> </w:t>
      </w:r>
      <w:r w:rsidR="00702AB7">
        <w:t xml:space="preserve"> </w:t>
      </w:r>
      <w:r w:rsidR="007104EB">
        <w:t>E</w:t>
      </w:r>
      <w:r w:rsidR="007104EB" w:rsidRPr="00766E15">
        <w:t>arl</w:t>
      </w:r>
      <w:r w:rsidR="007104EB">
        <w:t>ier</w:t>
      </w:r>
      <w:r w:rsidR="007104EB" w:rsidRPr="00766E15">
        <w:t xml:space="preserve"> </w:t>
      </w:r>
      <w:r w:rsidR="007104EB">
        <w:t>application</w:t>
      </w:r>
      <w:r w:rsidR="007104EB" w:rsidRPr="00766E15">
        <w:t xml:space="preserve"> </w:t>
      </w:r>
      <w:r w:rsidR="007104EB">
        <w:t xml:space="preserve">is </w:t>
      </w:r>
      <w:r w:rsidR="007104EB" w:rsidRPr="00766E15">
        <w:t>permitted</w:t>
      </w:r>
      <w:r w:rsidR="00165BC6">
        <w:t>.</w:t>
      </w:r>
    </w:p>
    <w:p w14:paraId="06E8BDAF" w14:textId="77777777" w:rsidR="00ED4F33" w:rsidRPr="00127350" w:rsidRDefault="007676C0" w:rsidP="007676C0">
      <w:pPr>
        <w:pStyle w:val="Heading3"/>
      </w:pPr>
      <w:r w:rsidRPr="00127350">
        <w:t>References to Other AASB Standards</w:t>
      </w:r>
    </w:p>
    <w:p w14:paraId="29C1A7F6" w14:textId="77777777" w:rsidR="00ED4F33" w:rsidRPr="00127350" w:rsidRDefault="006D4E28" w:rsidP="00ED4F33">
      <w:pPr>
        <w:pStyle w:val="NoNumPlain1"/>
      </w:pPr>
      <w:r>
        <w:t>References in this</w:t>
      </w:r>
      <w:r w:rsidR="00ED4F33" w:rsidRPr="00127350">
        <w:t xml:space="preserve"> Standard to the titles of other AASB Standards that are legislative instruments are to be construed as </w:t>
      </w:r>
      <w:r w:rsidR="00ED4F33" w:rsidRPr="00314DC3">
        <w:t xml:space="preserve">references to those other Standards as originally </w:t>
      </w:r>
      <w:r w:rsidR="00ED4F33" w:rsidRPr="00314DC3">
        <w:lastRenderedPageBreak/>
        <w:t>made and as amended from time to time and incorporate provisions of those Standards as in force from time to time.</w:t>
      </w:r>
    </w:p>
    <w:p w14:paraId="0555437D" w14:textId="77777777" w:rsidR="00EA0A87" w:rsidRPr="00314DC3" w:rsidRDefault="00EA0A87" w:rsidP="00EA0A87">
      <w:pPr>
        <w:pStyle w:val="Heading2"/>
      </w:pPr>
      <w:r w:rsidRPr="00314DC3">
        <w:t>C</w:t>
      </w:r>
      <w:r w:rsidR="00465EBE">
        <w:t>on</w:t>
      </w:r>
      <w:r w:rsidR="009F3698">
        <w:t>sultation Prior to Issuing this</w:t>
      </w:r>
      <w:r w:rsidRPr="00314DC3">
        <w:t xml:space="preserve"> Standard</w:t>
      </w:r>
    </w:p>
    <w:p w14:paraId="27AC4C28" w14:textId="283862F2" w:rsidR="00F46845" w:rsidRDefault="00117444" w:rsidP="00F404BD">
      <w:pPr>
        <w:pStyle w:val="NoNumPlain1"/>
        <w:rPr>
          <w:szCs w:val="18"/>
        </w:rPr>
      </w:pPr>
      <w:r>
        <w:t xml:space="preserve">The </w:t>
      </w:r>
      <w:r w:rsidR="001E73BF">
        <w:t xml:space="preserve">AASB’s </w:t>
      </w:r>
      <w:r w:rsidR="00F404BD">
        <w:t xml:space="preserve">proposals were released for public comment in May 2018 as part of </w:t>
      </w:r>
      <w:r w:rsidR="002B3CD9">
        <w:rPr>
          <w:szCs w:val="18"/>
        </w:rPr>
        <w:t xml:space="preserve">Invitation to Comment ITC 39 </w:t>
      </w:r>
      <w:r w:rsidR="00BE3AE9" w:rsidRPr="00D65E73">
        <w:rPr>
          <w:i/>
          <w:szCs w:val="18"/>
        </w:rPr>
        <w:t xml:space="preserve">Consultation Paper – </w:t>
      </w:r>
      <w:r w:rsidR="002B3CD9">
        <w:rPr>
          <w:i/>
          <w:szCs w:val="18"/>
        </w:rPr>
        <w:t>Applying the IASB’s Revised Conceptual Framework and Solving the Reporting Entity and Special Purpose Financial Statement Problems</w:t>
      </w:r>
      <w:r w:rsidR="002B3CD9">
        <w:rPr>
          <w:szCs w:val="18"/>
        </w:rPr>
        <w:t xml:space="preserve">.  </w:t>
      </w:r>
      <w:r w:rsidR="008E38C0">
        <w:rPr>
          <w:szCs w:val="18"/>
        </w:rPr>
        <w:t xml:space="preserve">In developing the proposals in ITC 39, the </w:t>
      </w:r>
      <w:r w:rsidR="001E73BF">
        <w:rPr>
          <w:szCs w:val="18"/>
        </w:rPr>
        <w:t xml:space="preserve">AASB </w:t>
      </w:r>
      <w:r w:rsidR="008E38C0">
        <w:rPr>
          <w:szCs w:val="18"/>
        </w:rPr>
        <w:t xml:space="preserve">considered the findings of various research projects it had initiated.  This included AASB Research Report No. 1 </w:t>
      </w:r>
      <w:r w:rsidR="008E38C0">
        <w:rPr>
          <w:i/>
          <w:szCs w:val="18"/>
        </w:rPr>
        <w:t>Application of the Reporting Entity Concept and Lodgement of Special Purpose Financial Statements</w:t>
      </w:r>
      <w:r w:rsidR="008E38C0">
        <w:rPr>
          <w:szCs w:val="18"/>
        </w:rPr>
        <w:t xml:space="preserve"> (June 2014) and AASB Research Report No. 6 </w:t>
      </w:r>
      <w:r w:rsidR="008E38C0">
        <w:rPr>
          <w:i/>
          <w:szCs w:val="18"/>
        </w:rPr>
        <w:t>Financial Reporting Requirements Applicable to Public Sector Entities</w:t>
      </w:r>
      <w:r w:rsidR="008E38C0">
        <w:rPr>
          <w:szCs w:val="18"/>
        </w:rPr>
        <w:t xml:space="preserve"> (May 2018).</w:t>
      </w:r>
    </w:p>
    <w:p w14:paraId="4814D9C7" w14:textId="2EDE95CA" w:rsidR="000A6227" w:rsidRPr="00F46845" w:rsidRDefault="000A6227" w:rsidP="00F404BD">
      <w:pPr>
        <w:pStyle w:val="NoNumPlain1"/>
      </w:pPr>
      <w:r>
        <w:rPr>
          <w:szCs w:val="18"/>
        </w:rPr>
        <w:t xml:space="preserve">The </w:t>
      </w:r>
      <w:r w:rsidR="001E73BF">
        <w:rPr>
          <w:szCs w:val="18"/>
        </w:rPr>
        <w:t>AASB</w:t>
      </w:r>
      <w:r>
        <w:rPr>
          <w:szCs w:val="18"/>
        </w:rPr>
        <w:t xml:space="preserve">’s </w:t>
      </w:r>
      <w:r w:rsidR="00D54F72">
        <w:rPr>
          <w:szCs w:val="18"/>
        </w:rPr>
        <w:t xml:space="preserve">preference </w:t>
      </w:r>
      <w:r w:rsidR="008B6C08">
        <w:rPr>
          <w:szCs w:val="18"/>
        </w:rPr>
        <w:t>was</w:t>
      </w:r>
      <w:r>
        <w:rPr>
          <w:szCs w:val="18"/>
        </w:rPr>
        <w:t xml:space="preserve"> for a two-</w:t>
      </w:r>
      <w:r w:rsidR="00BE3AE9">
        <w:rPr>
          <w:szCs w:val="18"/>
        </w:rPr>
        <w:t xml:space="preserve">phase </w:t>
      </w:r>
      <w:r>
        <w:rPr>
          <w:szCs w:val="18"/>
        </w:rPr>
        <w:t>approach to applying the IASB’s</w:t>
      </w:r>
      <w:r w:rsidR="00D54F72">
        <w:rPr>
          <w:szCs w:val="18"/>
        </w:rPr>
        <w:t xml:space="preserve"> revised Conceptual Framework</w:t>
      </w:r>
      <w:r w:rsidR="00026A8A">
        <w:t>.</w:t>
      </w:r>
      <w:r w:rsidR="00F46845">
        <w:t xml:space="preserve"> </w:t>
      </w:r>
      <w:r w:rsidR="00D54F72">
        <w:t xml:space="preserve"> </w:t>
      </w:r>
      <w:r>
        <w:t xml:space="preserve">Phase 1 of the </w:t>
      </w:r>
      <w:r w:rsidR="00F46845">
        <w:t xml:space="preserve">project </w:t>
      </w:r>
      <w:r w:rsidR="008B6C08">
        <w:t xml:space="preserve">would </w:t>
      </w:r>
      <w:r w:rsidR="00F46845">
        <w:t xml:space="preserve">implement the IASB’s </w:t>
      </w:r>
      <w:r w:rsidR="00661714">
        <w:rPr>
          <w:szCs w:val="18"/>
        </w:rPr>
        <w:t>revised Conceptual Framework</w:t>
      </w:r>
      <w:r w:rsidR="00661714">
        <w:t xml:space="preserve"> </w:t>
      </w:r>
      <w:r w:rsidR="00F46845">
        <w:t xml:space="preserve">for publicly accountable for-profit private sector entities that are required by legislation to comply with Australian Accounting Standards and for other for-profit entities </w:t>
      </w:r>
      <w:r w:rsidR="00661714">
        <w:t xml:space="preserve">(private sector or public sector) </w:t>
      </w:r>
      <w:r w:rsidR="00F46845">
        <w:t xml:space="preserve">that elect to apply the </w:t>
      </w:r>
      <w:r w:rsidR="00F46845" w:rsidRPr="00F46845">
        <w:rPr>
          <w:i/>
        </w:rPr>
        <w:t>Conceptual Framework</w:t>
      </w:r>
      <w:r w:rsidR="00D8081E">
        <w:t xml:space="preserve">. </w:t>
      </w:r>
      <w:r w:rsidR="00661714">
        <w:t xml:space="preserve"> </w:t>
      </w:r>
      <w:r w:rsidR="00F46845">
        <w:t>Phase 2 of</w:t>
      </w:r>
      <w:r w:rsidR="008B6C08">
        <w:t xml:space="preserve"> the project was proposed to </w:t>
      </w:r>
      <w:r w:rsidR="00D8081E">
        <w:t xml:space="preserve">implement the </w:t>
      </w:r>
      <w:r w:rsidR="003A1B5E">
        <w:t xml:space="preserve">IASB’s </w:t>
      </w:r>
      <w:r w:rsidR="00661714">
        <w:rPr>
          <w:szCs w:val="18"/>
        </w:rPr>
        <w:t>revised Conceptual Framework</w:t>
      </w:r>
      <w:r w:rsidR="00661714">
        <w:t xml:space="preserve"> </w:t>
      </w:r>
      <w:r w:rsidR="00026A8A">
        <w:t>for other for-profit</w:t>
      </w:r>
      <w:r w:rsidR="00D8081E">
        <w:t xml:space="preserve"> entities</w:t>
      </w:r>
      <w:r w:rsidR="00026A8A">
        <w:t>, subject to further consultation</w:t>
      </w:r>
      <w:r w:rsidR="00D8081E">
        <w:t xml:space="preserve">. </w:t>
      </w:r>
    </w:p>
    <w:p w14:paraId="603DEDA0" w14:textId="2C2526AC" w:rsidR="002B3CD9" w:rsidRPr="00026A8A" w:rsidRDefault="002B3CD9" w:rsidP="008B6C08">
      <w:pPr>
        <w:pStyle w:val="NoNumPlain1"/>
      </w:pPr>
      <w:r w:rsidRPr="00026A8A">
        <w:t xml:space="preserve">After issuing ITC 39, the </w:t>
      </w:r>
      <w:r w:rsidR="001E73BF">
        <w:t xml:space="preserve">AASB </w:t>
      </w:r>
      <w:r w:rsidRPr="00026A8A">
        <w:t xml:space="preserve">held targeted outreach with key stakeholders, including State, Territory and national regulators, audit offices, </w:t>
      </w:r>
      <w:r w:rsidRPr="008B6C08">
        <w:rPr>
          <w:szCs w:val="18"/>
        </w:rPr>
        <w:t>accounting</w:t>
      </w:r>
      <w:r w:rsidRPr="00026A8A">
        <w:t xml:space="preserve"> firms, the Australian Securities Exchange (ASX), the Australian Securities and Investments Commission (ASIC), credit rating ag</w:t>
      </w:r>
      <w:r w:rsidR="008B6C08">
        <w:t xml:space="preserve">encies and professional </w:t>
      </w:r>
      <w:r w:rsidR="00661714">
        <w:t xml:space="preserve">accountancy </w:t>
      </w:r>
      <w:r w:rsidR="008B6C08">
        <w:t>bodies.</w:t>
      </w:r>
      <w:r w:rsidRPr="00026A8A">
        <w:t xml:space="preserve"> </w:t>
      </w:r>
      <w:r w:rsidR="00661714">
        <w:t xml:space="preserve"> </w:t>
      </w:r>
      <w:r w:rsidRPr="00026A8A">
        <w:t xml:space="preserve">The ITC 39 proposals were also presented </w:t>
      </w:r>
      <w:r w:rsidR="00661714">
        <w:t xml:space="preserve">and discussed </w:t>
      </w:r>
      <w:r w:rsidRPr="00026A8A">
        <w:t>at various forums, workshops and discussion groups.</w:t>
      </w:r>
      <w:r w:rsidR="000831BF">
        <w:t xml:space="preserve">  Submissions in respect of the Phase 1 proposals were requested by 9 August 2018.</w:t>
      </w:r>
    </w:p>
    <w:p w14:paraId="32B6337B" w14:textId="468926AE" w:rsidR="002B3CD9" w:rsidRPr="001E73BF" w:rsidRDefault="002B3CD9" w:rsidP="008B6C08">
      <w:pPr>
        <w:pStyle w:val="NoNumPlain1"/>
      </w:pPr>
      <w:r w:rsidRPr="001E73BF">
        <w:lastRenderedPageBreak/>
        <w:t xml:space="preserve">The </w:t>
      </w:r>
      <w:r w:rsidR="001E73BF">
        <w:t xml:space="preserve">AASB </w:t>
      </w:r>
      <w:r w:rsidRPr="001E73BF">
        <w:t>received feedback on its proposals through 24 formal comment letters on ITC</w:t>
      </w:r>
      <w:r w:rsidR="00BB452F" w:rsidRPr="001E73BF">
        <w:t xml:space="preserve"> </w:t>
      </w:r>
      <w:r w:rsidR="008B6C08" w:rsidRPr="001E73BF">
        <w:t>39.</w:t>
      </w:r>
      <w:r w:rsidRPr="001E73BF">
        <w:t xml:space="preserve"> </w:t>
      </w:r>
      <w:r w:rsidR="00661714" w:rsidRPr="001E73BF">
        <w:t xml:space="preserve"> </w:t>
      </w:r>
      <w:r w:rsidRPr="001E73BF">
        <w:t xml:space="preserve">The </w:t>
      </w:r>
      <w:r w:rsidR="001E73BF">
        <w:t>AASB</w:t>
      </w:r>
      <w:r w:rsidR="001E73BF" w:rsidRPr="001E73BF">
        <w:t xml:space="preserve"> </w:t>
      </w:r>
      <w:r w:rsidRPr="001E73BF">
        <w:t>also obtained feedback via means such as e</w:t>
      </w:r>
      <w:r w:rsidR="00661714" w:rsidRPr="001E73BF">
        <w:t>-</w:t>
      </w:r>
      <w:r w:rsidRPr="001E73BF">
        <w:t xml:space="preserve">mails, meetings with </w:t>
      </w:r>
      <w:r w:rsidR="00661714" w:rsidRPr="001E73BF">
        <w:t xml:space="preserve">stakeholders </w:t>
      </w:r>
      <w:r w:rsidRPr="001E73BF">
        <w:t>and feedback from external pr</w:t>
      </w:r>
      <w:r w:rsidR="008B6C08" w:rsidRPr="001E73BF">
        <w:t xml:space="preserve">esentations. </w:t>
      </w:r>
      <w:r w:rsidR="00661714" w:rsidRPr="001E73BF">
        <w:t xml:space="preserve"> </w:t>
      </w:r>
      <w:r w:rsidRPr="001E73BF">
        <w:t>The res</w:t>
      </w:r>
      <w:r w:rsidR="00026A8A" w:rsidRPr="001E73BF">
        <w:t xml:space="preserve">ponses to ITC 39 indicated that </w:t>
      </w:r>
      <w:r w:rsidRPr="001E73BF">
        <w:t xml:space="preserve">the majority of the respondents were supportive of the proposals in Phase 1 and the need to issue the </w:t>
      </w:r>
      <w:r w:rsidRPr="001E73BF">
        <w:rPr>
          <w:i/>
        </w:rPr>
        <w:t>Conceptual Framework</w:t>
      </w:r>
      <w:r w:rsidRPr="001E73BF">
        <w:t xml:space="preserve"> in Australia prior to 1 January 2020</w:t>
      </w:r>
      <w:r w:rsidR="000831BF" w:rsidRPr="001E73BF">
        <w:t>.</w:t>
      </w:r>
      <w:r w:rsidRPr="001E73BF">
        <w:t xml:space="preserve"> </w:t>
      </w:r>
      <w:r w:rsidR="000831BF" w:rsidRPr="001E73BF">
        <w:t xml:space="preserve"> This would ensure </w:t>
      </w:r>
      <w:r w:rsidRPr="001E73BF">
        <w:t xml:space="preserve">that </w:t>
      </w:r>
      <w:r w:rsidR="000831BF" w:rsidRPr="001E73BF">
        <w:t xml:space="preserve">for-profit private sector </w:t>
      </w:r>
      <w:r w:rsidRPr="001E73BF">
        <w:t>entities with public accountability could continue to maintain</w:t>
      </w:r>
      <w:r w:rsidR="00026A8A" w:rsidRPr="001E73BF">
        <w:t xml:space="preserve"> compliance with IFRS Standards.</w:t>
      </w:r>
    </w:p>
    <w:p w14:paraId="6A85C941" w14:textId="53B9FD1C" w:rsidR="008E38C0" w:rsidRDefault="00BB452F" w:rsidP="00F404BD">
      <w:pPr>
        <w:pStyle w:val="NoNumPlain1"/>
        <w:rPr>
          <w:szCs w:val="18"/>
        </w:rPr>
      </w:pPr>
      <w:r>
        <w:rPr>
          <w:szCs w:val="18"/>
        </w:rPr>
        <w:t xml:space="preserve">At its meeting in November 2018, the </w:t>
      </w:r>
      <w:r w:rsidR="001E73BF">
        <w:rPr>
          <w:szCs w:val="18"/>
        </w:rPr>
        <w:t xml:space="preserve">AASB </w:t>
      </w:r>
      <w:r>
        <w:rPr>
          <w:szCs w:val="18"/>
        </w:rPr>
        <w:t xml:space="preserve">decided to progress </w:t>
      </w:r>
      <w:r w:rsidR="00934B89">
        <w:rPr>
          <w:szCs w:val="18"/>
        </w:rPr>
        <w:t xml:space="preserve">finalising </w:t>
      </w:r>
      <w:r>
        <w:rPr>
          <w:szCs w:val="18"/>
        </w:rPr>
        <w:t xml:space="preserve">Phase 1 by </w:t>
      </w:r>
      <w:r w:rsidR="00A4616D">
        <w:rPr>
          <w:szCs w:val="18"/>
        </w:rPr>
        <w:t xml:space="preserve">issuing </w:t>
      </w:r>
      <w:r>
        <w:rPr>
          <w:szCs w:val="18"/>
        </w:rPr>
        <w:t xml:space="preserve">a limited-scope consultative document </w:t>
      </w:r>
      <w:r w:rsidR="000831BF">
        <w:rPr>
          <w:szCs w:val="18"/>
        </w:rPr>
        <w:t xml:space="preserve">that </w:t>
      </w:r>
      <w:r>
        <w:rPr>
          <w:szCs w:val="18"/>
        </w:rPr>
        <w:t xml:space="preserve">presented the </w:t>
      </w:r>
      <w:r w:rsidR="004E4C92">
        <w:rPr>
          <w:szCs w:val="18"/>
        </w:rPr>
        <w:t xml:space="preserve">revised </w:t>
      </w:r>
      <w:r>
        <w:rPr>
          <w:szCs w:val="18"/>
        </w:rPr>
        <w:t xml:space="preserve">proposed </w:t>
      </w:r>
      <w:r w:rsidRPr="008B6C08">
        <w:rPr>
          <w:sz w:val="19"/>
          <w:szCs w:val="19"/>
        </w:rPr>
        <w:t>consequential</w:t>
      </w:r>
      <w:r>
        <w:rPr>
          <w:szCs w:val="18"/>
        </w:rPr>
        <w:t xml:space="preserve"> amendments to Australian Accounting Standards</w:t>
      </w:r>
      <w:r w:rsidR="00A4616D">
        <w:rPr>
          <w:szCs w:val="18"/>
        </w:rPr>
        <w:t>,</w:t>
      </w:r>
      <w:r>
        <w:rPr>
          <w:szCs w:val="18"/>
        </w:rPr>
        <w:t xml:space="preserve"> Interpre</w:t>
      </w:r>
      <w:r w:rsidR="00A4616D">
        <w:rPr>
          <w:szCs w:val="18"/>
        </w:rPr>
        <w:t>t</w:t>
      </w:r>
      <w:r>
        <w:rPr>
          <w:szCs w:val="18"/>
        </w:rPr>
        <w:t>ations and other pronouncements</w:t>
      </w:r>
      <w:r w:rsidR="004B1B3F">
        <w:rPr>
          <w:szCs w:val="18"/>
        </w:rPr>
        <w:t xml:space="preserve"> that </w:t>
      </w:r>
      <w:r w:rsidR="00A4616D">
        <w:rPr>
          <w:szCs w:val="18"/>
        </w:rPr>
        <w:t xml:space="preserve">were needed to support </w:t>
      </w:r>
      <w:r w:rsidR="004B1B3F">
        <w:rPr>
          <w:szCs w:val="18"/>
        </w:rPr>
        <w:t xml:space="preserve">the </w:t>
      </w:r>
      <w:r w:rsidR="00646C3E">
        <w:rPr>
          <w:szCs w:val="18"/>
        </w:rPr>
        <w:t>issuance</w:t>
      </w:r>
      <w:r w:rsidR="004B1B3F">
        <w:rPr>
          <w:szCs w:val="18"/>
        </w:rPr>
        <w:t xml:space="preserve"> of the </w:t>
      </w:r>
      <w:r w:rsidR="004B1B3F" w:rsidRPr="004B1B3F">
        <w:rPr>
          <w:i/>
          <w:szCs w:val="18"/>
        </w:rPr>
        <w:t>Conceptual Framework</w:t>
      </w:r>
      <w:r>
        <w:rPr>
          <w:szCs w:val="18"/>
        </w:rPr>
        <w:t xml:space="preserve">.  A fatal-flaw review version </w:t>
      </w:r>
      <w:r w:rsidR="008B6C08">
        <w:rPr>
          <w:szCs w:val="18"/>
        </w:rPr>
        <w:t xml:space="preserve">of </w:t>
      </w:r>
      <w:r>
        <w:rPr>
          <w:szCs w:val="18"/>
        </w:rPr>
        <w:t>the proposed amending Standard was issued in January</w:t>
      </w:r>
      <w:r w:rsidR="00B71A43">
        <w:rPr>
          <w:szCs w:val="18"/>
        </w:rPr>
        <w:t xml:space="preserve"> 2019</w:t>
      </w:r>
      <w:r w:rsidR="00017124">
        <w:rPr>
          <w:szCs w:val="18"/>
        </w:rPr>
        <w:t>, with a two-month comment period</w:t>
      </w:r>
      <w:r w:rsidR="00B71A43">
        <w:rPr>
          <w:szCs w:val="18"/>
        </w:rPr>
        <w:t>.</w:t>
      </w:r>
    </w:p>
    <w:p w14:paraId="79D9FD77" w14:textId="36A13A86" w:rsidR="008E38C0" w:rsidRDefault="008E38C0" w:rsidP="00F404BD">
      <w:pPr>
        <w:pStyle w:val="NoNumPlain1"/>
        <w:rPr>
          <w:szCs w:val="18"/>
        </w:rPr>
      </w:pPr>
      <w:r>
        <w:t xml:space="preserve">The </w:t>
      </w:r>
      <w:r w:rsidR="001E73BF">
        <w:t xml:space="preserve">AASB </w:t>
      </w:r>
      <w:r>
        <w:t xml:space="preserve">received four submissions on the fatal-flaw review version. </w:t>
      </w:r>
      <w:r w:rsidR="00661714">
        <w:t xml:space="preserve"> </w:t>
      </w:r>
      <w:r>
        <w:t xml:space="preserve">The responses in general supported the </w:t>
      </w:r>
      <w:r w:rsidR="00646C3E">
        <w:t>issuance</w:t>
      </w:r>
      <w:r>
        <w:t xml:space="preserve"> of the amending Standard to finalise the Phase 1 consequ</w:t>
      </w:r>
      <w:r w:rsidR="0025412A">
        <w:t>ential amendments alongside the</w:t>
      </w:r>
      <w:r>
        <w:t xml:space="preserve"> </w:t>
      </w:r>
      <w:r w:rsidRPr="0025412A">
        <w:rPr>
          <w:i/>
        </w:rPr>
        <w:t>Conceptual Framework</w:t>
      </w:r>
      <w:r>
        <w:t xml:space="preserve">, although one respondent preferred that two conceptual frameworks were both on issue for only a limited period of time and one preferred only one conceptual framework to be on issue. </w:t>
      </w:r>
      <w:r w:rsidR="00661714">
        <w:t xml:space="preserve"> </w:t>
      </w:r>
      <w:r>
        <w:t>Some of the submissions raised matters of detail regarding the consequential amendments, which were addressed in finalising the amending Standard</w:t>
      </w:r>
      <w:r w:rsidR="004E4C92">
        <w:t>.</w:t>
      </w:r>
    </w:p>
    <w:p w14:paraId="508F2D36" w14:textId="1D72454B" w:rsidR="002B3CD9" w:rsidRPr="00BB452F" w:rsidRDefault="00BB452F" w:rsidP="00F404BD">
      <w:pPr>
        <w:pStyle w:val="NoNumPlain1"/>
        <w:rPr>
          <w:szCs w:val="18"/>
        </w:rPr>
      </w:pPr>
      <w:r>
        <w:rPr>
          <w:szCs w:val="18"/>
        </w:rPr>
        <w:t xml:space="preserve">The feedback and proposed amendments to the amending Standard were </w:t>
      </w:r>
      <w:r w:rsidR="00017124">
        <w:rPr>
          <w:szCs w:val="18"/>
        </w:rPr>
        <w:t xml:space="preserve">considered by </w:t>
      </w:r>
      <w:r>
        <w:rPr>
          <w:szCs w:val="18"/>
        </w:rPr>
        <w:t xml:space="preserve">the </w:t>
      </w:r>
      <w:r w:rsidR="001E73BF">
        <w:rPr>
          <w:szCs w:val="18"/>
        </w:rPr>
        <w:t xml:space="preserve">AASB </w:t>
      </w:r>
      <w:r>
        <w:rPr>
          <w:szCs w:val="18"/>
        </w:rPr>
        <w:t xml:space="preserve">at its meeting </w:t>
      </w:r>
      <w:r w:rsidR="00B71A43">
        <w:rPr>
          <w:szCs w:val="18"/>
        </w:rPr>
        <w:t xml:space="preserve">in </w:t>
      </w:r>
      <w:r>
        <w:rPr>
          <w:szCs w:val="18"/>
        </w:rPr>
        <w:t xml:space="preserve">April 2019.  The </w:t>
      </w:r>
      <w:r w:rsidR="001E73BF">
        <w:rPr>
          <w:szCs w:val="18"/>
        </w:rPr>
        <w:t xml:space="preserve">AASB </w:t>
      </w:r>
      <w:r w:rsidR="008B6C08">
        <w:rPr>
          <w:szCs w:val="18"/>
        </w:rPr>
        <w:t>subsequently decided to</w:t>
      </w:r>
      <w:r w:rsidR="004B1B3F">
        <w:rPr>
          <w:szCs w:val="18"/>
        </w:rPr>
        <w:t xml:space="preserve"> approve the issue of the </w:t>
      </w:r>
      <w:r w:rsidR="004B1B3F" w:rsidRPr="004B1B3F">
        <w:rPr>
          <w:i/>
          <w:szCs w:val="18"/>
        </w:rPr>
        <w:t>Conceptual Framework</w:t>
      </w:r>
      <w:r w:rsidR="004B1B3F">
        <w:rPr>
          <w:szCs w:val="18"/>
        </w:rPr>
        <w:t xml:space="preserve"> and</w:t>
      </w:r>
      <w:r w:rsidR="008B6C08">
        <w:rPr>
          <w:szCs w:val="18"/>
        </w:rPr>
        <w:t xml:space="preserve"> make this</w:t>
      </w:r>
      <w:r>
        <w:rPr>
          <w:szCs w:val="18"/>
        </w:rPr>
        <w:t xml:space="preserve"> amending Standard </w:t>
      </w:r>
      <w:r w:rsidR="004B1B3F">
        <w:rPr>
          <w:szCs w:val="18"/>
        </w:rPr>
        <w:t>in May 2019</w:t>
      </w:r>
      <w:r>
        <w:rPr>
          <w:szCs w:val="18"/>
        </w:rPr>
        <w:t xml:space="preserve">. </w:t>
      </w:r>
      <w:bookmarkStart w:id="0" w:name="_GoBack"/>
      <w:bookmarkEnd w:id="0"/>
    </w:p>
    <w:p w14:paraId="77B88157" w14:textId="1556239E" w:rsidR="00F404BD" w:rsidRDefault="00B62F36" w:rsidP="00AC1508">
      <w:pPr>
        <w:pStyle w:val="NoNumPlain1"/>
      </w:pPr>
      <w:r w:rsidRPr="00B62F36">
        <w:t>A Regulation Impact Statement (RIS) has not been prepared in connection with the issue of AASB</w:t>
      </w:r>
      <w:r>
        <w:t> </w:t>
      </w:r>
      <w:r w:rsidRPr="00B62F36">
        <w:t>201</w:t>
      </w:r>
      <w:r w:rsidR="00280CC4">
        <w:t>9</w:t>
      </w:r>
      <w:r>
        <w:t>-</w:t>
      </w:r>
      <w:r w:rsidR="00280CC4">
        <w:t>1</w:t>
      </w:r>
      <w:r w:rsidR="004266F5">
        <w:t>,</w:t>
      </w:r>
      <w:r w:rsidR="00F404BD">
        <w:t xml:space="preserve"> consistent with the Office of Best Practice Regulation requirements</w:t>
      </w:r>
      <w:r w:rsidR="00CE6DD6">
        <w:t xml:space="preserve">.  The amendments </w:t>
      </w:r>
      <w:r w:rsidR="000C3841">
        <w:t xml:space="preserve">made </w:t>
      </w:r>
      <w:r w:rsidR="00CE6DD6">
        <w:t>do not have a s</w:t>
      </w:r>
      <w:r w:rsidR="00A857C3">
        <w:t xml:space="preserve">ubstantial direct or indirect impact on business or </w:t>
      </w:r>
      <w:r w:rsidR="00CE6DD6">
        <w:t>competition</w:t>
      </w:r>
      <w:r w:rsidR="00A857C3">
        <w:t xml:space="preserve">.  </w:t>
      </w:r>
      <w:r w:rsidR="00CE6DD6">
        <w:t xml:space="preserve">For example, </w:t>
      </w:r>
      <w:r w:rsidR="000C3841">
        <w:t xml:space="preserve">virtually all </w:t>
      </w:r>
      <w:r w:rsidR="004266F5">
        <w:t xml:space="preserve">for-profit private sector </w:t>
      </w:r>
      <w:r w:rsidR="004266F5">
        <w:lastRenderedPageBreak/>
        <w:t xml:space="preserve">entities that have public accountability, which </w:t>
      </w:r>
      <w:r w:rsidR="00CE6DD6">
        <w:t>will</w:t>
      </w:r>
      <w:r w:rsidR="004266F5">
        <w:t xml:space="preserve"> apply the </w:t>
      </w:r>
      <w:r w:rsidR="004266F5" w:rsidRPr="000C3841">
        <w:rPr>
          <w:i/>
        </w:rPr>
        <w:t xml:space="preserve">Conceptual Framework </w:t>
      </w:r>
      <w:r w:rsidR="004266F5">
        <w:t>under Phase 1, are already preparing general purpose financial statements (Tier 1) and do not identify as a non-reporting entity under SAC 1</w:t>
      </w:r>
      <w:r w:rsidR="00CE6DD6">
        <w:t>, as the AASB had expected</w:t>
      </w:r>
      <w:r w:rsidR="000C3841">
        <w:t xml:space="preserve"> of all such entities</w:t>
      </w:r>
      <w:r w:rsidR="004266F5">
        <w:t xml:space="preserve">.  </w:t>
      </w:r>
      <w:r w:rsidR="00CE6DD6">
        <w:t xml:space="preserve">Furthermore, the amendments do not affect the applicability of the Australian reporting entity concept to other entities, which </w:t>
      </w:r>
      <w:r w:rsidR="003A1B5E">
        <w:t xml:space="preserve">will </w:t>
      </w:r>
      <w:r w:rsidR="00CE6DD6">
        <w:t xml:space="preserve">continue to apply the </w:t>
      </w:r>
      <w:r w:rsidR="00CE6DD6" w:rsidRPr="000C3841">
        <w:rPr>
          <w:i/>
        </w:rPr>
        <w:t>Framework</w:t>
      </w:r>
      <w:r w:rsidR="00CE6DD6">
        <w:t xml:space="preserve"> unless they </w:t>
      </w:r>
      <w:r w:rsidR="000C3841">
        <w:t xml:space="preserve">are for-profit entities that </w:t>
      </w:r>
      <w:r w:rsidR="00CE6DD6">
        <w:t xml:space="preserve">elect to apply the </w:t>
      </w:r>
      <w:r w:rsidR="00CE6DD6" w:rsidRPr="000C3841">
        <w:rPr>
          <w:i/>
        </w:rPr>
        <w:t>Conceptual Framework</w:t>
      </w:r>
      <w:r w:rsidR="00CE6DD6">
        <w:t xml:space="preserve"> instead</w:t>
      </w:r>
      <w:r w:rsidR="00F404BD">
        <w:t>.</w:t>
      </w:r>
    </w:p>
    <w:p w14:paraId="4B081B80" w14:textId="5F8319BA" w:rsidR="00A94F2A" w:rsidRPr="00CB2372" w:rsidRDefault="00A94F2A" w:rsidP="00AC1508">
      <w:pPr>
        <w:pStyle w:val="NoNumPlain1"/>
        <w:rPr>
          <w:rFonts w:cs="Arial"/>
          <w:iCs/>
        </w:rPr>
      </w:pPr>
      <w:r w:rsidRPr="001B1D7C">
        <w:br w:type="page"/>
      </w:r>
    </w:p>
    <w:p w14:paraId="1113E1AF" w14:textId="77777777" w:rsidR="00AD44F9" w:rsidRPr="001B1D7C" w:rsidRDefault="00CD0A54" w:rsidP="00F73663">
      <w:pPr>
        <w:pStyle w:val="Heading2"/>
        <w:spacing w:before="720"/>
        <w:jc w:val="center"/>
      </w:pPr>
      <w:r w:rsidRPr="001B1D7C">
        <w:lastRenderedPageBreak/>
        <w:t>Statement of Compatibility with Human Rights</w:t>
      </w:r>
    </w:p>
    <w:p w14:paraId="42C5A46E" w14:textId="77777777" w:rsidR="00E770E5" w:rsidRPr="001B1D7C" w:rsidRDefault="00E770E5" w:rsidP="00E770E5">
      <w:pPr>
        <w:pStyle w:val="NoNumPlain1"/>
        <w:jc w:val="center"/>
      </w:pPr>
      <w:r w:rsidRPr="001B1D7C">
        <w:t xml:space="preserve">Prepared in accordance with Part 3 of the </w:t>
      </w:r>
      <w:r w:rsidRPr="001B1D7C">
        <w:br/>
      </w:r>
      <w:r w:rsidRPr="001B1D7C">
        <w:rPr>
          <w:i/>
        </w:rPr>
        <w:t>Human Rights (Parliamentary Scrutiny) Act 2011</w:t>
      </w:r>
    </w:p>
    <w:p w14:paraId="3341F018" w14:textId="1EB69C6A" w:rsidR="009F7F59" w:rsidRDefault="00A90A3D" w:rsidP="006D4E28">
      <w:pPr>
        <w:pStyle w:val="Heading3"/>
        <w:spacing w:after="360"/>
        <w:jc w:val="center"/>
        <w:rPr>
          <w:i/>
        </w:rPr>
      </w:pPr>
      <w:r w:rsidRPr="001B1D7C">
        <w:t>Accounting Standard AASB</w:t>
      </w:r>
      <w:r w:rsidR="00F913AF">
        <w:t> </w:t>
      </w:r>
      <w:r w:rsidRPr="001B1D7C">
        <w:t>201</w:t>
      </w:r>
      <w:r w:rsidR="00DB1B4D">
        <w:t>9</w:t>
      </w:r>
      <w:r w:rsidRPr="001B1D7C">
        <w:t>-</w:t>
      </w:r>
      <w:r w:rsidR="00DB1B4D">
        <w:t>1</w:t>
      </w:r>
      <w:r w:rsidRPr="001B1D7C">
        <w:br/>
      </w:r>
      <w:r w:rsidRPr="00127350">
        <w:rPr>
          <w:i/>
        </w:rPr>
        <w:t xml:space="preserve">Amendments to Australian Accounting Standards </w:t>
      </w:r>
      <w:r w:rsidR="00B223A3" w:rsidRPr="00127350">
        <w:rPr>
          <w:i/>
        </w:rPr>
        <w:t>–</w:t>
      </w:r>
      <w:r w:rsidRPr="00127350">
        <w:rPr>
          <w:i/>
        </w:rPr>
        <w:br/>
      </w:r>
      <w:r w:rsidR="00DB1B4D">
        <w:rPr>
          <w:i/>
        </w:rPr>
        <w:t>References to the Conceptual Framework</w:t>
      </w:r>
    </w:p>
    <w:p w14:paraId="03A4A449" w14:textId="77777777" w:rsidR="00A90A3D" w:rsidRPr="00314DC3" w:rsidRDefault="00A90A3D" w:rsidP="00A90A3D">
      <w:pPr>
        <w:pStyle w:val="Heading3"/>
      </w:pPr>
      <w:r w:rsidRPr="00314DC3">
        <w:t>Overview of the Accounting Standard</w:t>
      </w:r>
    </w:p>
    <w:p w14:paraId="03FDE17A" w14:textId="1B8FAA42" w:rsidR="00165BC6" w:rsidRDefault="00165BC6" w:rsidP="00165BC6">
      <w:pPr>
        <w:pStyle w:val="NoNumPlain1"/>
      </w:pPr>
      <w:r>
        <w:t>This Standard sets out amendments to</w:t>
      </w:r>
      <w:r w:rsidR="00646C3E">
        <w:t xml:space="preserve"> the</w:t>
      </w:r>
      <w:r>
        <w:t xml:space="preserve"> Australian Accounting Standards, Interpretations and other pronouncements</w:t>
      </w:r>
      <w:r w:rsidR="00EC56CF">
        <w:t xml:space="preserve"> listed in the Appendix</w:t>
      </w:r>
      <w:r>
        <w:t xml:space="preserve"> to reflect the issuance of the </w:t>
      </w:r>
      <w:r w:rsidRPr="00BA5CC1">
        <w:rPr>
          <w:i/>
        </w:rPr>
        <w:t>Conceptual Framework for Financial Reporting</w:t>
      </w:r>
      <w:r>
        <w:t xml:space="preserve"> (</w:t>
      </w:r>
      <w:r w:rsidRPr="00BA5CC1">
        <w:rPr>
          <w:i/>
        </w:rPr>
        <w:t>Conceptual Framework</w:t>
      </w:r>
      <w:r>
        <w:t>) by the AASB.</w:t>
      </w:r>
      <w:r w:rsidR="003A1B5E">
        <w:t xml:space="preserve">  The </w:t>
      </w:r>
      <w:r w:rsidR="003A1B5E" w:rsidRPr="000C3841">
        <w:rPr>
          <w:i/>
        </w:rPr>
        <w:t xml:space="preserve">Conceptual Framework </w:t>
      </w:r>
      <w:r w:rsidR="003A1B5E">
        <w:t>was issued by the AASB at the same time as this Standard.</w:t>
      </w:r>
    </w:p>
    <w:p w14:paraId="3DBFB8CC" w14:textId="22AF47C9" w:rsidR="00165BC6" w:rsidRDefault="00165BC6" w:rsidP="00165BC6">
      <w:pPr>
        <w:pStyle w:val="NoNumPlain1"/>
      </w:pPr>
      <w:r>
        <w:t xml:space="preserve">The application of the </w:t>
      </w:r>
      <w:r w:rsidRPr="00BA5CC1">
        <w:rPr>
          <w:i/>
        </w:rPr>
        <w:t>Conceptual Framework</w:t>
      </w:r>
      <w:r>
        <w:t xml:space="preserve"> </w:t>
      </w:r>
      <w:r w:rsidR="003A1B5E">
        <w:t xml:space="preserve">in Australia </w:t>
      </w:r>
      <w:r>
        <w:t xml:space="preserve">is at present limited to: </w:t>
      </w:r>
    </w:p>
    <w:p w14:paraId="7F213BC7" w14:textId="77777777" w:rsidR="00165BC6" w:rsidRDefault="00165BC6" w:rsidP="00165BC6">
      <w:pPr>
        <w:pStyle w:val="NoNumPlain1"/>
        <w:ind w:left="782" w:hanging="782"/>
      </w:pPr>
      <w:r>
        <w:t>(a)</w:t>
      </w:r>
      <w:r>
        <w:tab/>
        <w:t>for-profit private sector entities that have public accountability and are required by legislation to comply with Australian Accounting Standards; and</w:t>
      </w:r>
    </w:p>
    <w:p w14:paraId="38FF410C" w14:textId="77777777" w:rsidR="00165BC6" w:rsidRDefault="00165BC6" w:rsidP="00165BC6">
      <w:pPr>
        <w:pStyle w:val="NoNumPlain1"/>
        <w:ind w:left="782" w:hanging="782"/>
      </w:pPr>
      <w:r>
        <w:t>(b)</w:t>
      </w:r>
      <w:r>
        <w:tab/>
        <w:t xml:space="preserve">other for-profit entities that voluntarily elect to apply the </w:t>
      </w:r>
      <w:r w:rsidRPr="00BA5CC1">
        <w:rPr>
          <w:i/>
        </w:rPr>
        <w:t>Conceptual Framework</w:t>
      </w:r>
      <w:r>
        <w:t xml:space="preserve">, which would permit compliance with Australian Accounting Standards (Tier 1) and International Financial Reporting Standards (IFRS Standards). </w:t>
      </w:r>
    </w:p>
    <w:p w14:paraId="336F37A9" w14:textId="72BB4D99" w:rsidR="00165BC6" w:rsidRDefault="00165BC6" w:rsidP="00165BC6">
      <w:pPr>
        <w:pStyle w:val="NoNumPlain1"/>
      </w:pPr>
      <w:r>
        <w:t xml:space="preserve">This Standard makes amendments to Australian Accounting Standards, Interpretations and other pronouncements to permit other entities to continue using the </w:t>
      </w:r>
      <w:r w:rsidRPr="00BA5CC1">
        <w:rPr>
          <w:i/>
        </w:rPr>
        <w:t>Framework for the Preparation and Presentation of Financial Statements</w:t>
      </w:r>
      <w:r>
        <w:t xml:space="preserve"> adopted by the AASB in 2004 (</w:t>
      </w:r>
      <w:r w:rsidR="003A1B5E">
        <w:t xml:space="preserve">the </w:t>
      </w:r>
      <w:r w:rsidRPr="00BA5CC1">
        <w:rPr>
          <w:i/>
        </w:rPr>
        <w:t>Framework</w:t>
      </w:r>
      <w:r>
        <w:t xml:space="preserve">) and Statement of Accounting Concepts SAC 1 </w:t>
      </w:r>
      <w:r w:rsidRPr="00BA5CC1">
        <w:rPr>
          <w:i/>
        </w:rPr>
        <w:t>Definition of the Reporting Entity</w:t>
      </w:r>
      <w:r>
        <w:t xml:space="preserve"> to determine whether they are a reporting entity that needs to prepare general purpose financial statements that comply with Australian Accounting Standards. </w:t>
      </w:r>
    </w:p>
    <w:p w14:paraId="4CB7211D" w14:textId="6F596267" w:rsidR="00165BC6" w:rsidRDefault="00165BC6" w:rsidP="00165BC6">
      <w:pPr>
        <w:pStyle w:val="NoNumPlain1"/>
      </w:pPr>
      <w:r>
        <w:lastRenderedPageBreak/>
        <w:t xml:space="preserve">Some Australian Accounting Standards, Interpretations and other pronouncements contain references to, or quotations from, the </w:t>
      </w:r>
      <w:r w:rsidRPr="00517929">
        <w:rPr>
          <w:i/>
        </w:rPr>
        <w:t>Framework</w:t>
      </w:r>
      <w:r>
        <w:t xml:space="preserve">. </w:t>
      </w:r>
      <w:r w:rsidR="00661714">
        <w:t xml:space="preserve"> </w:t>
      </w:r>
      <w:r>
        <w:t xml:space="preserve">This Standard updates some of those references and quotations so that they refer to the </w:t>
      </w:r>
      <w:r w:rsidRPr="00517929">
        <w:rPr>
          <w:i/>
        </w:rPr>
        <w:t>Conceptual Framework</w:t>
      </w:r>
      <w:r>
        <w:t>, and makes other amendments to clarify which version of the conceptual framework is referred to in particular pronouncements.</w:t>
      </w:r>
    </w:p>
    <w:p w14:paraId="70F7E7EE" w14:textId="287E43C2" w:rsidR="000A7EE9" w:rsidRDefault="00165BC6" w:rsidP="00165BC6">
      <w:pPr>
        <w:pStyle w:val="NoNumPlain1"/>
      </w:pPr>
      <w:r>
        <w:t xml:space="preserve">If an entity is required to apply the </w:t>
      </w:r>
      <w:r w:rsidRPr="00517929">
        <w:rPr>
          <w:i/>
        </w:rPr>
        <w:t>Conceptual Framework</w:t>
      </w:r>
      <w:r>
        <w:t>, it cannot identify as a non-reporting entity under SAC 1. The entity will therefore need to prepare general purpose financial statements that comply with Australian Accounting Standards.</w:t>
      </w:r>
    </w:p>
    <w:p w14:paraId="71897A3D" w14:textId="77777777" w:rsidR="00A90A3D" w:rsidRPr="001B1D7C" w:rsidRDefault="00A90A3D" w:rsidP="00A90A3D">
      <w:pPr>
        <w:pStyle w:val="Heading3"/>
      </w:pPr>
      <w:r w:rsidRPr="001B1D7C">
        <w:t>Human Rights Implications</w:t>
      </w:r>
    </w:p>
    <w:p w14:paraId="422372C4" w14:textId="53210F64" w:rsidR="00A90A3D" w:rsidRPr="001B1D7C" w:rsidRDefault="006D4E28" w:rsidP="00465EBE">
      <w:pPr>
        <w:pStyle w:val="NoNumPlain1"/>
      </w:pPr>
      <w:r>
        <w:t>This Standard is</w:t>
      </w:r>
      <w:r w:rsidR="00F62F5C" w:rsidRPr="001B1D7C">
        <w:t xml:space="preserve"> issued by the AASB in furtherance of the objective of facilitating the Australian economy. </w:t>
      </w:r>
      <w:r w:rsidR="00661714">
        <w:t xml:space="preserve"> </w:t>
      </w:r>
      <w:r w:rsidR="00F62F5C" w:rsidRPr="001B1D7C">
        <w:t>It does not diminish or limit any of the applicable human rights or freedoms, and thus does not raise any human rights issues.</w:t>
      </w:r>
    </w:p>
    <w:p w14:paraId="64F6A5BD" w14:textId="77777777" w:rsidR="00F62F5C" w:rsidRPr="001B1D7C" w:rsidRDefault="00F62F5C" w:rsidP="00F62F5C">
      <w:pPr>
        <w:pStyle w:val="Heading3"/>
      </w:pPr>
      <w:r w:rsidRPr="001B1D7C">
        <w:t>Conclusion</w:t>
      </w:r>
    </w:p>
    <w:p w14:paraId="65412A03" w14:textId="77777777" w:rsidR="00CD0A54" w:rsidRDefault="006D4E28" w:rsidP="00465EBE">
      <w:pPr>
        <w:pStyle w:val="NoNumPlain1"/>
      </w:pPr>
      <w:r>
        <w:t>This</w:t>
      </w:r>
      <w:r w:rsidR="00CD0A54" w:rsidRPr="001B1D7C">
        <w:t xml:space="preserve"> Standard </w:t>
      </w:r>
      <w:r w:rsidR="00EC3B0A">
        <w:t>is</w:t>
      </w:r>
      <w:r w:rsidR="00CD0A54" w:rsidRPr="001B1D7C">
        <w:t xml:space="preserve"> compatible with the human rights and freedoms recognised or declared in the international instruments listed in section</w:t>
      </w:r>
      <w:r w:rsidR="002A0EA5">
        <w:t> </w:t>
      </w:r>
      <w:r w:rsidR="00CD0A54" w:rsidRPr="001B1D7C">
        <w:t xml:space="preserve">3 of the </w:t>
      </w:r>
      <w:r w:rsidR="00CD0A54" w:rsidRPr="001B1D7C">
        <w:rPr>
          <w:i/>
        </w:rPr>
        <w:t>Human Rights (Parliamentary Scrutiny) Act</w:t>
      </w:r>
      <w:r w:rsidR="002A0EA5">
        <w:rPr>
          <w:i/>
        </w:rPr>
        <w:t> </w:t>
      </w:r>
      <w:r w:rsidR="00CD0A54" w:rsidRPr="001B1D7C">
        <w:rPr>
          <w:i/>
        </w:rPr>
        <w:t>2011</w:t>
      </w:r>
      <w:r w:rsidR="00CD0A54" w:rsidRPr="001B1D7C">
        <w:t>.</w:t>
      </w:r>
    </w:p>
    <w:p w14:paraId="712CD9CA" w14:textId="718377F2" w:rsidR="00EC56CF" w:rsidRDefault="00EC56CF">
      <w:pPr>
        <w:spacing w:line="240" w:lineRule="auto"/>
      </w:pPr>
      <w:r>
        <w:br w:type="page"/>
      </w:r>
    </w:p>
    <w:p w14:paraId="5B9D742D" w14:textId="77777777" w:rsidR="00495DF6" w:rsidRDefault="00495DF6" w:rsidP="00465EBE">
      <w:pPr>
        <w:pStyle w:val="NoNumPlain1"/>
      </w:pPr>
    </w:p>
    <w:p w14:paraId="3AC3C37C" w14:textId="77777777" w:rsidR="002F5182" w:rsidRDefault="002F5182" w:rsidP="002F5182">
      <w:pPr>
        <w:pStyle w:val="Heading2"/>
        <w:jc w:val="center"/>
        <w:rPr>
          <w:b w:val="0"/>
        </w:rPr>
      </w:pPr>
      <w:r w:rsidRPr="002F5182">
        <w:t>Appendix</w:t>
      </w:r>
    </w:p>
    <w:p w14:paraId="7E79FC32" w14:textId="26DED514" w:rsidR="003F1A7A" w:rsidRPr="002F5182" w:rsidRDefault="002F5182" w:rsidP="002F5182">
      <w:pPr>
        <w:pStyle w:val="Heading3"/>
        <w:rPr>
          <w:b w:val="0"/>
          <w:sz w:val="28"/>
          <w:szCs w:val="28"/>
        </w:rPr>
      </w:pPr>
      <w:r>
        <w:t xml:space="preserve">Australian Accounting Standards, Interpretations and </w:t>
      </w:r>
      <w:r w:rsidR="00EC56CF">
        <w:t>O</w:t>
      </w:r>
      <w:r>
        <w:t>ther Pronouncements</w:t>
      </w:r>
      <w:r w:rsidR="00EC56CF">
        <w:t xml:space="preserve"> amended by AASB 2019-1</w:t>
      </w:r>
    </w:p>
    <w:p w14:paraId="38445F0D" w14:textId="1AC4A468" w:rsidR="00CD1051" w:rsidRDefault="00CD1051" w:rsidP="00465EBE">
      <w:pPr>
        <w:pStyle w:val="NoNumPlain1"/>
      </w:pPr>
      <w:r>
        <w:t xml:space="preserve">AASB 2 </w:t>
      </w:r>
      <w:r w:rsidR="00C529D2">
        <w:rPr>
          <w:i/>
        </w:rPr>
        <w:t>Share-</w:t>
      </w:r>
      <w:r w:rsidRPr="008C31BF">
        <w:rPr>
          <w:i/>
        </w:rPr>
        <w:t>based Payment</w:t>
      </w:r>
      <w:r>
        <w:t xml:space="preserve"> (July 2015); </w:t>
      </w:r>
    </w:p>
    <w:p w14:paraId="55B360A5" w14:textId="77777777" w:rsidR="00CD1051" w:rsidRDefault="00CD1051" w:rsidP="00465EBE">
      <w:pPr>
        <w:pStyle w:val="NoNumPlain1"/>
      </w:pPr>
      <w:r>
        <w:t xml:space="preserve">AASB 3 </w:t>
      </w:r>
      <w:r w:rsidRPr="008C31BF">
        <w:rPr>
          <w:i/>
        </w:rPr>
        <w:t>Business Combinations</w:t>
      </w:r>
      <w:r>
        <w:t xml:space="preserve"> (August 2015);</w:t>
      </w:r>
    </w:p>
    <w:p w14:paraId="452E9273" w14:textId="77777777" w:rsidR="00CD1051" w:rsidRDefault="00CD1051" w:rsidP="00465EBE">
      <w:pPr>
        <w:pStyle w:val="NoNumPlain1"/>
      </w:pPr>
      <w:r>
        <w:t xml:space="preserve">AASB 6 </w:t>
      </w:r>
      <w:r w:rsidRPr="008C31BF">
        <w:rPr>
          <w:i/>
        </w:rPr>
        <w:t>Exploration for and Evaluation of Mineral Resources</w:t>
      </w:r>
      <w:r>
        <w:t xml:space="preserve"> (August 2015); </w:t>
      </w:r>
    </w:p>
    <w:p w14:paraId="0DAD4086" w14:textId="01E56F46" w:rsidR="00CD1051" w:rsidRDefault="00CD1051" w:rsidP="00465EBE">
      <w:pPr>
        <w:pStyle w:val="NoNumPlain1"/>
      </w:pPr>
      <w:r>
        <w:t xml:space="preserve">AASB 7 </w:t>
      </w:r>
      <w:r w:rsidRPr="008C31BF">
        <w:rPr>
          <w:i/>
        </w:rPr>
        <w:t>Financial Instruments: Disclosures</w:t>
      </w:r>
      <w:r>
        <w:t xml:space="preserve"> (August 2015); </w:t>
      </w:r>
    </w:p>
    <w:p w14:paraId="37380C1F" w14:textId="59EA80D5" w:rsidR="00CD1051" w:rsidRDefault="00CD1051" w:rsidP="00465EBE">
      <w:pPr>
        <w:pStyle w:val="NoNumPlain1"/>
      </w:pPr>
      <w:r>
        <w:t xml:space="preserve">AASB 8 </w:t>
      </w:r>
      <w:r w:rsidRPr="008C31BF">
        <w:rPr>
          <w:i/>
        </w:rPr>
        <w:t>Operating Segments</w:t>
      </w:r>
      <w:r>
        <w:t xml:space="preserve"> (August 2015);</w:t>
      </w:r>
    </w:p>
    <w:p w14:paraId="374280AE" w14:textId="145D5243" w:rsidR="00CD1051" w:rsidRDefault="00CD1051" w:rsidP="00465EBE">
      <w:pPr>
        <w:pStyle w:val="NoNumPlain1"/>
      </w:pPr>
      <w:r>
        <w:t xml:space="preserve">AASB 9 </w:t>
      </w:r>
      <w:r w:rsidRPr="008C31BF">
        <w:rPr>
          <w:i/>
        </w:rPr>
        <w:t>Financial Instruments</w:t>
      </w:r>
      <w:r>
        <w:t xml:space="preserve"> (December 2014); </w:t>
      </w:r>
    </w:p>
    <w:p w14:paraId="39769026" w14:textId="5B298784" w:rsidR="00CD1051" w:rsidRDefault="00CD1051" w:rsidP="00465EBE">
      <w:pPr>
        <w:pStyle w:val="NoNumPlain1"/>
      </w:pPr>
      <w:r>
        <w:t xml:space="preserve">AASB 10 </w:t>
      </w:r>
      <w:r w:rsidRPr="008C31BF">
        <w:rPr>
          <w:i/>
        </w:rPr>
        <w:t>Consolidated Financial Statements</w:t>
      </w:r>
      <w:r>
        <w:t xml:space="preserve"> (July 2015); </w:t>
      </w:r>
    </w:p>
    <w:p w14:paraId="456A1774" w14:textId="6340AF1D" w:rsidR="00CD1051" w:rsidRDefault="00CD1051" w:rsidP="00465EBE">
      <w:pPr>
        <w:pStyle w:val="NoNumPlain1"/>
      </w:pPr>
      <w:r>
        <w:t xml:space="preserve">AASB 12 </w:t>
      </w:r>
      <w:r w:rsidRPr="008C31BF">
        <w:rPr>
          <w:i/>
        </w:rPr>
        <w:t>Disclosure of Interests in Other Entities</w:t>
      </w:r>
      <w:r>
        <w:t xml:space="preserve"> (August 2015); </w:t>
      </w:r>
    </w:p>
    <w:p w14:paraId="6DE3909A" w14:textId="27614142" w:rsidR="00CD1051" w:rsidRDefault="00CD1051" w:rsidP="00465EBE">
      <w:pPr>
        <w:pStyle w:val="NoNumPlain1"/>
      </w:pPr>
      <w:r>
        <w:t xml:space="preserve">AASB 14 </w:t>
      </w:r>
      <w:r w:rsidRPr="008C31BF">
        <w:rPr>
          <w:i/>
        </w:rPr>
        <w:t>Regulatory Deferral Accounts</w:t>
      </w:r>
      <w:r>
        <w:t xml:space="preserve"> (June 2014); </w:t>
      </w:r>
    </w:p>
    <w:p w14:paraId="0BBA30A0" w14:textId="5911398C" w:rsidR="00CD1051" w:rsidRDefault="00CD1051" w:rsidP="00465EBE">
      <w:pPr>
        <w:pStyle w:val="NoNumPlain1"/>
      </w:pPr>
      <w:r>
        <w:t xml:space="preserve">AASB 17 </w:t>
      </w:r>
      <w:r w:rsidRPr="008C31BF">
        <w:rPr>
          <w:i/>
        </w:rPr>
        <w:t>Insurance Contracts</w:t>
      </w:r>
      <w:r>
        <w:t xml:space="preserve"> (July 2017); </w:t>
      </w:r>
    </w:p>
    <w:p w14:paraId="65767B16" w14:textId="04D98F06" w:rsidR="00CD1051" w:rsidRDefault="00CD1051" w:rsidP="00465EBE">
      <w:pPr>
        <w:pStyle w:val="NoNumPlain1"/>
      </w:pPr>
      <w:r>
        <w:t xml:space="preserve">AASB 101 </w:t>
      </w:r>
      <w:r w:rsidRPr="008C31BF">
        <w:rPr>
          <w:i/>
        </w:rPr>
        <w:t>Presentation of Financial Statements</w:t>
      </w:r>
      <w:r>
        <w:t xml:space="preserve"> (July 2015); </w:t>
      </w:r>
    </w:p>
    <w:p w14:paraId="41C779B1" w14:textId="105F2FA8" w:rsidR="00CD1051" w:rsidRDefault="00CD1051" w:rsidP="00465EBE">
      <w:pPr>
        <w:pStyle w:val="NoNumPlain1"/>
      </w:pPr>
      <w:r>
        <w:t xml:space="preserve">AASB 108 </w:t>
      </w:r>
      <w:r w:rsidRPr="008C31BF">
        <w:rPr>
          <w:i/>
        </w:rPr>
        <w:t>Accounting Policies, Changes in Accounting Estimates and Errors</w:t>
      </w:r>
      <w:r>
        <w:t xml:space="preserve"> (August 2015);</w:t>
      </w:r>
    </w:p>
    <w:p w14:paraId="056652A3" w14:textId="2EB4027E" w:rsidR="00CD1051" w:rsidRDefault="00CD1051" w:rsidP="00465EBE">
      <w:pPr>
        <w:pStyle w:val="NoNumPlain1"/>
      </w:pPr>
      <w:r>
        <w:t xml:space="preserve">AASB 110 </w:t>
      </w:r>
      <w:r w:rsidRPr="008C31BF">
        <w:rPr>
          <w:i/>
        </w:rPr>
        <w:t>Events after the Reporting Period</w:t>
      </w:r>
      <w:r>
        <w:t xml:space="preserve"> (August 2015); </w:t>
      </w:r>
    </w:p>
    <w:p w14:paraId="6D75BA4D" w14:textId="4AD07A08" w:rsidR="00CD1051" w:rsidRDefault="00CD1051" w:rsidP="00465EBE">
      <w:pPr>
        <w:pStyle w:val="NoNumPlain1"/>
      </w:pPr>
      <w:r>
        <w:t xml:space="preserve">AASB 112 </w:t>
      </w:r>
      <w:r w:rsidRPr="008C31BF">
        <w:rPr>
          <w:i/>
        </w:rPr>
        <w:t>Income Taxes</w:t>
      </w:r>
      <w:r>
        <w:t xml:space="preserve"> (August 2015); </w:t>
      </w:r>
    </w:p>
    <w:p w14:paraId="3854C671" w14:textId="35B335B2" w:rsidR="00CD1051" w:rsidRDefault="00CD1051" w:rsidP="00465EBE">
      <w:pPr>
        <w:pStyle w:val="NoNumPlain1"/>
      </w:pPr>
      <w:r>
        <w:t xml:space="preserve">AASB 116 </w:t>
      </w:r>
      <w:r w:rsidRPr="00C529D2">
        <w:rPr>
          <w:i/>
        </w:rPr>
        <w:t>Property, Plant and Equipment</w:t>
      </w:r>
      <w:r>
        <w:t xml:space="preserve"> (August 2015); </w:t>
      </w:r>
    </w:p>
    <w:p w14:paraId="1A587A36" w14:textId="371FABA1" w:rsidR="008C31BF" w:rsidRDefault="00CD1051" w:rsidP="00465EBE">
      <w:pPr>
        <w:pStyle w:val="NoNumPlain1"/>
      </w:pPr>
      <w:r>
        <w:t xml:space="preserve">AASB 119 </w:t>
      </w:r>
      <w:r w:rsidRPr="008C31BF">
        <w:rPr>
          <w:i/>
        </w:rPr>
        <w:t>Employee Benefits</w:t>
      </w:r>
      <w:r>
        <w:t xml:space="preserve"> (August 2015); </w:t>
      </w:r>
    </w:p>
    <w:p w14:paraId="136EA3AC" w14:textId="550821A5" w:rsidR="008C31BF" w:rsidRDefault="00CD1051" w:rsidP="00465EBE">
      <w:pPr>
        <w:pStyle w:val="NoNumPlain1"/>
      </w:pPr>
      <w:r>
        <w:t xml:space="preserve">AASB 121 </w:t>
      </w:r>
      <w:r w:rsidRPr="008C31BF">
        <w:rPr>
          <w:i/>
        </w:rPr>
        <w:t>The Effects of Changes in Foreign Exchange Rates</w:t>
      </w:r>
      <w:r>
        <w:t xml:space="preserve"> (August 2015); </w:t>
      </w:r>
    </w:p>
    <w:p w14:paraId="3D5927E4" w14:textId="33FF8ED5" w:rsidR="008C31BF" w:rsidRDefault="00CD1051" w:rsidP="00465EBE">
      <w:pPr>
        <w:pStyle w:val="NoNumPlain1"/>
      </w:pPr>
      <w:r>
        <w:lastRenderedPageBreak/>
        <w:t xml:space="preserve">AASB 124 </w:t>
      </w:r>
      <w:r w:rsidRPr="008C31BF">
        <w:rPr>
          <w:i/>
        </w:rPr>
        <w:t>Related Party Disclosures</w:t>
      </w:r>
      <w:r>
        <w:t xml:space="preserve"> (July 2015); </w:t>
      </w:r>
    </w:p>
    <w:p w14:paraId="0A3BF4B4" w14:textId="6E175DB0" w:rsidR="008C31BF" w:rsidRDefault="00CD1051" w:rsidP="00465EBE">
      <w:pPr>
        <w:pStyle w:val="NoNumPlain1"/>
      </w:pPr>
      <w:r>
        <w:t xml:space="preserve">AASB 128 </w:t>
      </w:r>
      <w:r w:rsidRPr="008C31BF">
        <w:rPr>
          <w:i/>
        </w:rPr>
        <w:t>Investments in Associates and Joint Ventures</w:t>
      </w:r>
      <w:r>
        <w:t xml:space="preserve"> (August 2015); </w:t>
      </w:r>
    </w:p>
    <w:p w14:paraId="357E3900" w14:textId="117220C0" w:rsidR="008C31BF" w:rsidRDefault="00CD1051" w:rsidP="00465EBE">
      <w:pPr>
        <w:pStyle w:val="NoNumPlain1"/>
      </w:pPr>
      <w:r>
        <w:t xml:space="preserve">AASB 132 </w:t>
      </w:r>
      <w:r w:rsidRPr="008C31BF">
        <w:rPr>
          <w:i/>
        </w:rPr>
        <w:t>Financial Instruments: Presentation</w:t>
      </w:r>
      <w:r>
        <w:t xml:space="preserve"> (August 2015); </w:t>
      </w:r>
    </w:p>
    <w:p w14:paraId="0DCD84D3" w14:textId="625F2A4F" w:rsidR="008C31BF" w:rsidRDefault="00CD1051" w:rsidP="00465EBE">
      <w:pPr>
        <w:pStyle w:val="NoNumPlain1"/>
      </w:pPr>
      <w:r>
        <w:t xml:space="preserve">AASB 133 </w:t>
      </w:r>
      <w:r w:rsidRPr="008C31BF">
        <w:rPr>
          <w:i/>
        </w:rPr>
        <w:t>Earnings per Share</w:t>
      </w:r>
      <w:r>
        <w:t xml:space="preserve"> (August 2015); </w:t>
      </w:r>
    </w:p>
    <w:p w14:paraId="1C2DC5E5" w14:textId="77E6FA41" w:rsidR="008C31BF" w:rsidRDefault="00CD1051" w:rsidP="00465EBE">
      <w:pPr>
        <w:pStyle w:val="NoNumPlain1"/>
      </w:pPr>
      <w:r>
        <w:t xml:space="preserve">AASB 134 </w:t>
      </w:r>
      <w:r w:rsidRPr="008C31BF">
        <w:rPr>
          <w:i/>
        </w:rPr>
        <w:t>Interim Financial Reporting</w:t>
      </w:r>
      <w:r>
        <w:t xml:space="preserve"> (August 2015); </w:t>
      </w:r>
    </w:p>
    <w:p w14:paraId="5C6CE4B2" w14:textId="731B7C7B" w:rsidR="008C31BF" w:rsidRDefault="00CD1051" w:rsidP="00465EBE">
      <w:pPr>
        <w:pStyle w:val="NoNumPlain1"/>
      </w:pPr>
      <w:r>
        <w:t xml:space="preserve">AASB 137 </w:t>
      </w:r>
      <w:r w:rsidRPr="008C31BF">
        <w:rPr>
          <w:i/>
        </w:rPr>
        <w:t>Provisions, Contingent Liabilities and Contingent Assets</w:t>
      </w:r>
      <w:r>
        <w:t xml:space="preserve"> (August 2015); </w:t>
      </w:r>
    </w:p>
    <w:p w14:paraId="69CDE60A" w14:textId="0083780B" w:rsidR="008C31BF" w:rsidRDefault="00CD1051" w:rsidP="00465EBE">
      <w:pPr>
        <w:pStyle w:val="NoNumPlain1"/>
      </w:pPr>
      <w:r>
        <w:t xml:space="preserve">AASB 138 </w:t>
      </w:r>
      <w:r w:rsidRPr="008C31BF">
        <w:rPr>
          <w:i/>
        </w:rPr>
        <w:t>Intangible Assets</w:t>
      </w:r>
      <w:r>
        <w:t xml:space="preserve"> (August 2015); </w:t>
      </w:r>
    </w:p>
    <w:p w14:paraId="439D951E" w14:textId="4EA0ED20" w:rsidR="008C31BF" w:rsidRDefault="00CD1051" w:rsidP="00465EBE">
      <w:pPr>
        <w:pStyle w:val="NoNumPlain1"/>
      </w:pPr>
      <w:r>
        <w:t xml:space="preserve">AASB 139 </w:t>
      </w:r>
      <w:r w:rsidRPr="008C31BF">
        <w:rPr>
          <w:i/>
        </w:rPr>
        <w:t>Financial Instruments: Recognition and Measurement</w:t>
      </w:r>
      <w:r>
        <w:t xml:space="preserve"> (August 2015); </w:t>
      </w:r>
    </w:p>
    <w:p w14:paraId="1969DA0E" w14:textId="0EB5C822" w:rsidR="008C31BF" w:rsidRDefault="00CD1051" w:rsidP="00465EBE">
      <w:pPr>
        <w:pStyle w:val="NoNumPlain1"/>
      </w:pPr>
      <w:r>
        <w:t xml:space="preserve">AASB 140 </w:t>
      </w:r>
      <w:r w:rsidRPr="008C31BF">
        <w:rPr>
          <w:i/>
        </w:rPr>
        <w:t>Investment Property</w:t>
      </w:r>
      <w:r>
        <w:t xml:space="preserve"> (August 2015); </w:t>
      </w:r>
    </w:p>
    <w:p w14:paraId="62CD00FD" w14:textId="6ECB87AE" w:rsidR="008C31BF" w:rsidRDefault="00CD1051" w:rsidP="00465EBE">
      <w:pPr>
        <w:pStyle w:val="NoNumPlain1"/>
      </w:pPr>
      <w:r>
        <w:t xml:space="preserve">AASB 1023 </w:t>
      </w:r>
      <w:r w:rsidRPr="008C31BF">
        <w:rPr>
          <w:i/>
        </w:rPr>
        <w:t>General Insurance Contracts</w:t>
      </w:r>
      <w:r>
        <w:t xml:space="preserve"> (July 2004); </w:t>
      </w:r>
    </w:p>
    <w:p w14:paraId="283594B4" w14:textId="11211B6B" w:rsidR="008C31BF" w:rsidRDefault="00CD1051" w:rsidP="00465EBE">
      <w:pPr>
        <w:pStyle w:val="NoNumPlain1"/>
      </w:pPr>
      <w:r>
        <w:t xml:space="preserve">AASB 1038 </w:t>
      </w:r>
      <w:r w:rsidRPr="008C31BF">
        <w:rPr>
          <w:i/>
        </w:rPr>
        <w:t>Life Insurance Contracts</w:t>
      </w:r>
      <w:r>
        <w:t xml:space="preserve"> (July 2004);</w:t>
      </w:r>
    </w:p>
    <w:p w14:paraId="6E90A3C6" w14:textId="3E259F6E" w:rsidR="008C31BF" w:rsidRDefault="00CD1051" w:rsidP="00465EBE">
      <w:pPr>
        <w:pStyle w:val="NoNumPlain1"/>
      </w:pPr>
      <w:r>
        <w:t xml:space="preserve">AASB 1048 </w:t>
      </w:r>
      <w:r w:rsidRPr="008C31BF">
        <w:rPr>
          <w:i/>
        </w:rPr>
        <w:t>Interpretation of Standards</w:t>
      </w:r>
      <w:r>
        <w:t xml:space="preserve"> (December 2017); </w:t>
      </w:r>
    </w:p>
    <w:p w14:paraId="01581FD4" w14:textId="44620458" w:rsidR="008C31BF" w:rsidRDefault="00CD1051" w:rsidP="00465EBE">
      <w:pPr>
        <w:pStyle w:val="NoNumPlain1"/>
      </w:pPr>
      <w:r>
        <w:t xml:space="preserve">AASB 1053 </w:t>
      </w:r>
      <w:r w:rsidRPr="008C31BF">
        <w:rPr>
          <w:i/>
        </w:rPr>
        <w:t>Application of Tiers of Australian Accounting Standards</w:t>
      </w:r>
      <w:r>
        <w:t xml:space="preserve"> (June 2010); </w:t>
      </w:r>
    </w:p>
    <w:p w14:paraId="5113CEFE" w14:textId="7F4D8572" w:rsidR="008C31BF" w:rsidRDefault="00CD1051" w:rsidP="00465EBE">
      <w:pPr>
        <w:pStyle w:val="NoNumPlain1"/>
      </w:pPr>
      <w:r>
        <w:t xml:space="preserve">AASB 1054 </w:t>
      </w:r>
      <w:r w:rsidRPr="008C31BF">
        <w:rPr>
          <w:i/>
        </w:rPr>
        <w:t>Australian Additional Disclosures</w:t>
      </w:r>
      <w:r>
        <w:t xml:space="preserve"> (May 2011); </w:t>
      </w:r>
    </w:p>
    <w:p w14:paraId="03412D82" w14:textId="5C0572AE" w:rsidR="008C31BF" w:rsidRDefault="00CD1051" w:rsidP="00465EBE">
      <w:pPr>
        <w:pStyle w:val="NoNumPlain1"/>
      </w:pPr>
      <w:r>
        <w:t xml:space="preserve">AASB 1055 </w:t>
      </w:r>
      <w:r w:rsidRPr="008C31BF">
        <w:rPr>
          <w:i/>
        </w:rPr>
        <w:t>Budgetary Reporting</w:t>
      </w:r>
      <w:r>
        <w:t xml:space="preserve"> (March 2013); </w:t>
      </w:r>
    </w:p>
    <w:p w14:paraId="7BD858A6" w14:textId="580D583F" w:rsidR="008C31BF" w:rsidRDefault="00CD1051" w:rsidP="00465EBE">
      <w:pPr>
        <w:pStyle w:val="NoNumPlain1"/>
      </w:pPr>
      <w:r>
        <w:t xml:space="preserve">AASB 1056 </w:t>
      </w:r>
      <w:r w:rsidRPr="008C31BF">
        <w:rPr>
          <w:i/>
        </w:rPr>
        <w:t>Superannuation Entities</w:t>
      </w:r>
      <w:r>
        <w:t xml:space="preserve"> (June 2014); </w:t>
      </w:r>
    </w:p>
    <w:p w14:paraId="3376964E" w14:textId="12FF5D54" w:rsidR="008C31BF" w:rsidRDefault="00CD1051" w:rsidP="00465EBE">
      <w:pPr>
        <w:pStyle w:val="NoNumPlain1"/>
      </w:pPr>
      <w:r>
        <w:t xml:space="preserve">AASB 1057 </w:t>
      </w:r>
      <w:r w:rsidRPr="008C31BF">
        <w:rPr>
          <w:i/>
        </w:rPr>
        <w:t>Application of Australian Accounting Standards</w:t>
      </w:r>
      <w:r>
        <w:t xml:space="preserve"> (July 2015); </w:t>
      </w:r>
    </w:p>
    <w:p w14:paraId="73D274DB" w14:textId="69AC1D54" w:rsidR="008C31BF" w:rsidRDefault="00CD1051" w:rsidP="00465EBE">
      <w:pPr>
        <w:pStyle w:val="NoNumPlain1"/>
      </w:pPr>
      <w:r>
        <w:t xml:space="preserve">Interpretation 12 </w:t>
      </w:r>
      <w:r w:rsidRPr="008C31BF">
        <w:rPr>
          <w:i/>
        </w:rPr>
        <w:t>Service Concession Arrangements</w:t>
      </w:r>
      <w:r>
        <w:t xml:space="preserve"> (August 2015); </w:t>
      </w:r>
    </w:p>
    <w:p w14:paraId="2362AF6A" w14:textId="0AEE1A1A" w:rsidR="008C31BF" w:rsidRDefault="00CD1051" w:rsidP="00465EBE">
      <w:pPr>
        <w:pStyle w:val="NoNumPlain1"/>
      </w:pPr>
      <w:r>
        <w:t xml:space="preserve">Interpretation 16 </w:t>
      </w:r>
      <w:r w:rsidRPr="008C31BF">
        <w:rPr>
          <w:i/>
        </w:rPr>
        <w:t xml:space="preserve">Hedges of a Net Investment in a Foreign Operation </w:t>
      </w:r>
      <w:r>
        <w:t xml:space="preserve">(August 2015); </w:t>
      </w:r>
    </w:p>
    <w:p w14:paraId="6A12FE2E" w14:textId="6B6C1136" w:rsidR="008C31BF" w:rsidRDefault="00CD1051" w:rsidP="00465EBE">
      <w:pPr>
        <w:pStyle w:val="NoNumPlain1"/>
      </w:pPr>
      <w:r>
        <w:lastRenderedPageBreak/>
        <w:t xml:space="preserve">Interpretation 19 </w:t>
      </w:r>
      <w:r w:rsidRPr="008C31BF">
        <w:rPr>
          <w:i/>
        </w:rPr>
        <w:t>Extinguishing Financial Liabilities with Equity Instruments</w:t>
      </w:r>
      <w:r>
        <w:t xml:space="preserve"> (August 2015); </w:t>
      </w:r>
    </w:p>
    <w:p w14:paraId="31221930" w14:textId="2BDD468B" w:rsidR="008C31BF" w:rsidRDefault="00CD1051" w:rsidP="00465EBE">
      <w:pPr>
        <w:pStyle w:val="NoNumPlain1"/>
      </w:pPr>
      <w:r>
        <w:t xml:space="preserve">Interpretation 20 </w:t>
      </w:r>
      <w:r w:rsidRPr="008C31BF">
        <w:rPr>
          <w:i/>
        </w:rPr>
        <w:t>Stripping Costs in the Production Phase of a Surface Mine</w:t>
      </w:r>
      <w:r>
        <w:t xml:space="preserve"> (August 2015); </w:t>
      </w:r>
    </w:p>
    <w:p w14:paraId="4FF1AFD9" w14:textId="62E81B22" w:rsidR="008C31BF" w:rsidRDefault="00CD1051" w:rsidP="00465EBE">
      <w:pPr>
        <w:pStyle w:val="NoNumPlain1"/>
      </w:pPr>
      <w:r>
        <w:t xml:space="preserve">Interpretation 22 </w:t>
      </w:r>
      <w:r w:rsidRPr="008C31BF">
        <w:rPr>
          <w:i/>
        </w:rPr>
        <w:t>Foreign Currency Transactions and Advance Consideration</w:t>
      </w:r>
      <w:r>
        <w:t xml:space="preserve"> (February 2017); </w:t>
      </w:r>
    </w:p>
    <w:p w14:paraId="79FB6B9F" w14:textId="7D65E2FB" w:rsidR="008C31BF" w:rsidRDefault="00CD1051" w:rsidP="00465EBE">
      <w:pPr>
        <w:pStyle w:val="NoNumPlain1"/>
      </w:pPr>
      <w:r>
        <w:t xml:space="preserve">Interpretation 132 </w:t>
      </w:r>
      <w:r w:rsidRPr="008C31BF">
        <w:rPr>
          <w:i/>
        </w:rPr>
        <w:t>Intangible Assets—Web Site Costs</w:t>
      </w:r>
      <w:r>
        <w:t xml:space="preserve"> (August 2015); </w:t>
      </w:r>
    </w:p>
    <w:p w14:paraId="249BA9E6" w14:textId="48C1AC25" w:rsidR="008C31BF" w:rsidRDefault="00CD1051" w:rsidP="00465EBE">
      <w:pPr>
        <w:pStyle w:val="NoNumPlain1"/>
      </w:pPr>
      <w:r>
        <w:t xml:space="preserve">Interpretation 1003 </w:t>
      </w:r>
      <w:r w:rsidRPr="008C31BF">
        <w:rPr>
          <w:i/>
        </w:rPr>
        <w:t>Australian Petroleum Resource Rent Tax</w:t>
      </w:r>
      <w:r>
        <w:t xml:space="preserve"> (November 2007); </w:t>
      </w:r>
    </w:p>
    <w:p w14:paraId="3EE259CF" w14:textId="7F0606EE" w:rsidR="008C31BF" w:rsidRDefault="00CD1051" w:rsidP="00465EBE">
      <w:pPr>
        <w:pStyle w:val="NoNumPlain1"/>
      </w:pPr>
      <w:r>
        <w:t xml:space="preserve">Interpretation 1019 </w:t>
      </w:r>
      <w:r w:rsidRPr="00A704D8">
        <w:rPr>
          <w:i/>
        </w:rPr>
        <w:t>The Superannuation Contributions Surcharge</w:t>
      </w:r>
      <w:r>
        <w:t xml:space="preserve"> (September 2004); </w:t>
      </w:r>
    </w:p>
    <w:p w14:paraId="5E183CBB" w14:textId="2544E195" w:rsidR="008C31BF" w:rsidRDefault="00CD1051" w:rsidP="00465EBE">
      <w:pPr>
        <w:pStyle w:val="NoNumPlain1"/>
      </w:pPr>
      <w:r>
        <w:t xml:space="preserve">Interpretation 1031 </w:t>
      </w:r>
      <w:r w:rsidRPr="00A704D8">
        <w:rPr>
          <w:i/>
        </w:rPr>
        <w:t>Accounting for the Goods and Services Tax (GST)</w:t>
      </w:r>
      <w:r>
        <w:t xml:space="preserve"> (July 2004); </w:t>
      </w:r>
    </w:p>
    <w:p w14:paraId="15B5427B" w14:textId="5E8ED430" w:rsidR="008C31BF" w:rsidRDefault="00CD1051" w:rsidP="00465EBE">
      <w:pPr>
        <w:pStyle w:val="NoNumPlain1"/>
      </w:pPr>
      <w:r>
        <w:t xml:space="preserve">Interpretation 1038 </w:t>
      </w:r>
      <w:r w:rsidRPr="00A704D8">
        <w:rPr>
          <w:i/>
        </w:rPr>
        <w:t>Contributions by Owners Made to Wholly-Owned Public Sector Entities</w:t>
      </w:r>
      <w:r>
        <w:t xml:space="preserve"> (December 2007);</w:t>
      </w:r>
    </w:p>
    <w:p w14:paraId="15E525E3" w14:textId="286F2515" w:rsidR="008C31BF" w:rsidRDefault="00CD1051" w:rsidP="00465EBE">
      <w:pPr>
        <w:pStyle w:val="NoNumPlain1"/>
      </w:pPr>
      <w:r>
        <w:t xml:space="preserve">Interpretation 1047 </w:t>
      </w:r>
      <w:r w:rsidRPr="00A704D8">
        <w:rPr>
          <w:i/>
        </w:rPr>
        <w:t xml:space="preserve">Professional Indemnity Claims </w:t>
      </w:r>
      <w:r w:rsidRPr="00C21F28">
        <w:rPr>
          <w:i/>
        </w:rPr>
        <w:t xml:space="preserve">Liabilities </w:t>
      </w:r>
      <w:r w:rsidRPr="00A704D8">
        <w:rPr>
          <w:i/>
        </w:rPr>
        <w:t>in Medical Defence Organisations</w:t>
      </w:r>
      <w:r>
        <w:t xml:space="preserve"> (December 2014); </w:t>
      </w:r>
    </w:p>
    <w:p w14:paraId="63604DC8" w14:textId="4AEE62D5" w:rsidR="008C31BF" w:rsidRDefault="00CD1051" w:rsidP="00465EBE">
      <w:pPr>
        <w:pStyle w:val="NoNumPlain1"/>
      </w:pPr>
      <w:r>
        <w:t xml:space="preserve">Interpretation 1052 </w:t>
      </w:r>
      <w:r w:rsidRPr="00A704D8">
        <w:rPr>
          <w:i/>
        </w:rPr>
        <w:t>Tax Consolidation Accounting</w:t>
      </w:r>
      <w:r>
        <w:t xml:space="preserve"> (June 2015); </w:t>
      </w:r>
    </w:p>
    <w:p w14:paraId="76D1B85F" w14:textId="77777777" w:rsidR="00EC56CF" w:rsidRDefault="00EC56CF" w:rsidP="00EC56CF">
      <w:pPr>
        <w:pStyle w:val="NoNumPlain1"/>
      </w:pPr>
      <w:r w:rsidRPr="008C31BF">
        <w:rPr>
          <w:i/>
        </w:rPr>
        <w:t>Framework for the Preparation and Presentation of Financial Statements</w:t>
      </w:r>
      <w:r>
        <w:t xml:space="preserve"> (July 2004); </w:t>
      </w:r>
    </w:p>
    <w:p w14:paraId="669AFFE2" w14:textId="77777777" w:rsidR="00EC56CF" w:rsidRDefault="00EC56CF" w:rsidP="00EC56CF">
      <w:pPr>
        <w:pStyle w:val="NoNumPlain1"/>
      </w:pPr>
      <w:r>
        <w:t xml:space="preserve">Statement of Accounting Concepts SAC 1 </w:t>
      </w:r>
      <w:r w:rsidRPr="008C31BF">
        <w:rPr>
          <w:i/>
        </w:rPr>
        <w:t>Definition of the Reporting Entity</w:t>
      </w:r>
      <w:r>
        <w:t xml:space="preserve"> (August 1990);</w:t>
      </w:r>
    </w:p>
    <w:p w14:paraId="28CCFD68" w14:textId="5D2535BC" w:rsidR="003F1A7A" w:rsidRPr="001B1D7C" w:rsidRDefault="00CD1051" w:rsidP="00465EBE">
      <w:pPr>
        <w:pStyle w:val="NoNumPlain1"/>
      </w:pPr>
      <w:r>
        <w:t xml:space="preserve">AASB Practice Statement 2 </w:t>
      </w:r>
      <w:r w:rsidRPr="00A704D8">
        <w:rPr>
          <w:i/>
        </w:rPr>
        <w:t>Making Materiality Judgements</w:t>
      </w:r>
      <w:r>
        <w:t xml:space="preserve"> (December 2017)</w:t>
      </w:r>
      <w:r w:rsidR="00856C2E">
        <w:t>.</w:t>
      </w:r>
    </w:p>
    <w:sectPr w:rsidR="003F1A7A" w:rsidRPr="001B1D7C" w:rsidSect="008B6C08">
      <w:headerReference w:type="even" r:id="rId10"/>
      <w:footerReference w:type="default" r:id="rId11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5DDFB" w14:textId="77777777" w:rsidR="00BB1F28" w:rsidRDefault="00BB1F28">
      <w:r>
        <w:separator/>
      </w:r>
    </w:p>
  </w:endnote>
  <w:endnote w:type="continuationSeparator" w:id="0">
    <w:p w14:paraId="141F8980" w14:textId="77777777" w:rsidR="00BB1F28" w:rsidRDefault="00BB1F28">
      <w:r>
        <w:continuationSeparator/>
      </w:r>
    </w:p>
  </w:endnote>
  <w:endnote w:type="continuationNotice" w:id="1">
    <w:p w14:paraId="7D737239" w14:textId="77777777" w:rsidR="00BB1F28" w:rsidRDefault="00BB1F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624" w14:textId="4986420E" w:rsidR="00C722F1" w:rsidRDefault="00C722F1" w:rsidP="00B93CE4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>A</w:t>
    </w:r>
    <w:r w:rsidR="001806B2">
      <w:rPr>
        <w:b/>
      </w:rPr>
      <w:t>ASB 2019</w:t>
    </w:r>
    <w:r>
      <w:rPr>
        <w:b/>
      </w:rPr>
      <w:t>-</w:t>
    </w:r>
    <w:r w:rsidR="001806B2">
      <w:rPr>
        <w:b/>
      </w:rPr>
      <w:t>1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25412A">
      <w:rPr>
        <w:noProof/>
      </w:rPr>
      <w:t>6</w:t>
    </w:r>
    <w:r>
      <w:fldChar w:fldCharType="end"/>
    </w:r>
    <w:r>
      <w:tab/>
    </w:r>
    <w:r>
      <w:rPr>
        <w:b/>
        <w:bCs/>
      </w:rPr>
      <w:t>EXPLANATORY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BE710" w14:textId="77777777" w:rsidR="00BB1F28" w:rsidRDefault="00BB1F28">
      <w:r>
        <w:separator/>
      </w:r>
    </w:p>
  </w:footnote>
  <w:footnote w:type="continuationSeparator" w:id="0">
    <w:p w14:paraId="11501FB9" w14:textId="77777777" w:rsidR="00BB1F28" w:rsidRDefault="00BB1F28">
      <w:r>
        <w:continuationSeparator/>
      </w:r>
    </w:p>
  </w:footnote>
  <w:footnote w:type="continuationNotice" w:id="1">
    <w:p w14:paraId="5953369D" w14:textId="77777777" w:rsidR="00BB1F28" w:rsidRDefault="00BB1F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A2552" w14:textId="77777777" w:rsidR="00C722F1" w:rsidRDefault="00C72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4CD1"/>
    <w:multiLevelType w:val="hybridMultilevel"/>
    <w:tmpl w:val="F1084EE8"/>
    <w:lvl w:ilvl="0" w:tplc="96945970">
      <w:start w:val="1"/>
      <w:numFmt w:val="decimal"/>
      <w:lvlText w:val="BC%1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sz w:val="19"/>
        <w:szCs w:val="19"/>
        <w:u w:val="none"/>
        <w:effect w:val="none"/>
      </w:rPr>
    </w:lvl>
    <w:lvl w:ilvl="1" w:tplc="0C090019">
      <w:start w:val="1"/>
      <w:numFmt w:val="lowerLetter"/>
      <w:lvlText w:val="%2."/>
      <w:lvlJc w:val="left"/>
      <w:pPr>
        <w:ind w:left="306" w:hanging="360"/>
      </w:pPr>
    </w:lvl>
    <w:lvl w:ilvl="2" w:tplc="0C09001B">
      <w:start w:val="1"/>
      <w:numFmt w:val="lowerRoman"/>
      <w:lvlText w:val="%3."/>
      <w:lvlJc w:val="right"/>
      <w:pPr>
        <w:ind w:left="1026" w:hanging="180"/>
      </w:pPr>
    </w:lvl>
    <w:lvl w:ilvl="3" w:tplc="0C09000F">
      <w:start w:val="1"/>
      <w:numFmt w:val="decimal"/>
      <w:lvlText w:val="%4."/>
      <w:lvlJc w:val="left"/>
      <w:pPr>
        <w:ind w:left="1746" w:hanging="360"/>
      </w:pPr>
    </w:lvl>
    <w:lvl w:ilvl="4" w:tplc="0C090019">
      <w:start w:val="1"/>
      <w:numFmt w:val="lowerLetter"/>
      <w:lvlText w:val="%5."/>
      <w:lvlJc w:val="left"/>
      <w:pPr>
        <w:ind w:left="2466" w:hanging="360"/>
      </w:pPr>
    </w:lvl>
    <w:lvl w:ilvl="5" w:tplc="0C09001B">
      <w:start w:val="1"/>
      <w:numFmt w:val="lowerRoman"/>
      <w:lvlText w:val="%6."/>
      <w:lvlJc w:val="right"/>
      <w:pPr>
        <w:ind w:left="3186" w:hanging="180"/>
      </w:pPr>
    </w:lvl>
    <w:lvl w:ilvl="6" w:tplc="0C09000F">
      <w:start w:val="1"/>
      <w:numFmt w:val="decimal"/>
      <w:lvlText w:val="%7."/>
      <w:lvlJc w:val="left"/>
      <w:pPr>
        <w:ind w:left="3906" w:hanging="360"/>
      </w:pPr>
    </w:lvl>
    <w:lvl w:ilvl="7" w:tplc="0C090019">
      <w:start w:val="1"/>
      <w:numFmt w:val="lowerLetter"/>
      <w:lvlText w:val="%8."/>
      <w:lvlJc w:val="left"/>
      <w:pPr>
        <w:ind w:left="4626" w:hanging="360"/>
      </w:pPr>
    </w:lvl>
    <w:lvl w:ilvl="8" w:tplc="0C09001B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163"/>
        </w:tabs>
        <w:ind w:left="1163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3" w15:restartNumberingAfterBreak="0">
    <w:nsid w:val="272F7F03"/>
    <w:multiLevelType w:val="hybridMultilevel"/>
    <w:tmpl w:val="E0A60058"/>
    <w:lvl w:ilvl="0" w:tplc="A4DABA82">
      <w:start w:val="1"/>
      <w:numFmt w:val="lowerLetter"/>
      <w:lvlText w:val="(%1)"/>
      <w:lvlJc w:val="left"/>
      <w:pPr>
        <w:ind w:left="78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350"/>
    <w:multiLevelType w:val="hybridMultilevel"/>
    <w:tmpl w:val="3DC86F4E"/>
    <w:lvl w:ilvl="0" w:tplc="2B14E8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3A09"/>
    <w:multiLevelType w:val="hybridMultilevel"/>
    <w:tmpl w:val="ED4E8E82"/>
    <w:lvl w:ilvl="0" w:tplc="3DAA365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D7B29"/>
    <w:multiLevelType w:val="hybridMultilevel"/>
    <w:tmpl w:val="E8FCB0B6"/>
    <w:lvl w:ilvl="0" w:tplc="EECA7B38">
      <w:start w:val="1"/>
      <w:numFmt w:val="bullet"/>
      <w:pStyle w:val="Bullets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12F3"/>
    <w:multiLevelType w:val="multilevel"/>
    <w:tmpl w:val="315ABF2C"/>
    <w:styleLink w:val="AASBNumber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61542243"/>
    <w:multiLevelType w:val="multilevel"/>
    <w:tmpl w:val="CAC0A04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511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3" w15:restartNumberingAfterBreak="0">
    <w:nsid w:val="61BF2F0E"/>
    <w:multiLevelType w:val="hybridMultilevel"/>
    <w:tmpl w:val="21C0367E"/>
    <w:lvl w:ilvl="0" w:tplc="A768E9D4">
      <w:start w:val="1"/>
      <w:numFmt w:val="lowerLetter"/>
      <w:lvlText w:val="(%1)"/>
      <w:lvlJc w:val="left"/>
      <w:pPr>
        <w:ind w:left="1353" w:hanging="360"/>
      </w:pPr>
    </w:lvl>
    <w:lvl w:ilvl="1" w:tplc="FB580414">
      <w:start w:val="1"/>
      <w:numFmt w:val="lowerLetter"/>
      <w:lvlText w:val="(%2)"/>
      <w:lvlJc w:val="left"/>
      <w:pPr>
        <w:ind w:left="2073" w:hanging="360"/>
      </w:pPr>
    </w:lvl>
    <w:lvl w:ilvl="2" w:tplc="0C09001B">
      <w:start w:val="1"/>
      <w:numFmt w:val="lowerRoman"/>
      <w:lvlText w:val="%3."/>
      <w:lvlJc w:val="right"/>
      <w:pPr>
        <w:ind w:left="2793" w:hanging="180"/>
      </w:pPr>
    </w:lvl>
    <w:lvl w:ilvl="3" w:tplc="0C09000F">
      <w:start w:val="1"/>
      <w:numFmt w:val="decimal"/>
      <w:lvlText w:val="%4."/>
      <w:lvlJc w:val="left"/>
      <w:pPr>
        <w:ind w:left="3513" w:hanging="360"/>
      </w:pPr>
    </w:lvl>
    <w:lvl w:ilvl="4" w:tplc="0C090019">
      <w:start w:val="1"/>
      <w:numFmt w:val="lowerLetter"/>
      <w:lvlText w:val="%5."/>
      <w:lvlJc w:val="left"/>
      <w:pPr>
        <w:ind w:left="4233" w:hanging="360"/>
      </w:pPr>
    </w:lvl>
    <w:lvl w:ilvl="5" w:tplc="0C09001B">
      <w:start w:val="1"/>
      <w:numFmt w:val="lowerRoman"/>
      <w:lvlText w:val="%6."/>
      <w:lvlJc w:val="right"/>
      <w:pPr>
        <w:ind w:left="4953" w:hanging="180"/>
      </w:pPr>
    </w:lvl>
    <w:lvl w:ilvl="6" w:tplc="0C09000F">
      <w:start w:val="1"/>
      <w:numFmt w:val="decimal"/>
      <w:lvlText w:val="%7."/>
      <w:lvlJc w:val="left"/>
      <w:pPr>
        <w:ind w:left="5673" w:hanging="360"/>
      </w:pPr>
    </w:lvl>
    <w:lvl w:ilvl="7" w:tplc="0C090019">
      <w:start w:val="1"/>
      <w:numFmt w:val="lowerLetter"/>
      <w:lvlText w:val="%8."/>
      <w:lvlJc w:val="left"/>
      <w:pPr>
        <w:ind w:left="6393" w:hanging="360"/>
      </w:pPr>
    </w:lvl>
    <w:lvl w:ilvl="8" w:tplc="0C09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39A62E6"/>
    <w:multiLevelType w:val="hybridMultilevel"/>
    <w:tmpl w:val="D5F6F600"/>
    <w:lvl w:ilvl="0" w:tplc="37A664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C02929"/>
    <w:multiLevelType w:val="hybridMultilevel"/>
    <w:tmpl w:val="7F847CDE"/>
    <w:lvl w:ilvl="0" w:tplc="4860E214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64975"/>
    <w:multiLevelType w:val="hybridMultilevel"/>
    <w:tmpl w:val="B31CEBF2"/>
    <w:lvl w:ilvl="0" w:tplc="5C1C135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6"/>
  </w:num>
  <w:num w:numId="18">
    <w:abstractNumId w:val="1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hideGrammaticalErrors/>
  <w:activeWritingStyle w:appName="MSWord" w:lang="en-AU" w:vendorID="64" w:dllVersion="131077" w:nlCheck="1" w:checkStyle="1"/>
  <w:activeWritingStyle w:appName="MSWord" w:lang="en-GB" w:vendorID="64" w:dllVersion="131077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 fillcolor="white">
      <v:fill color="white"/>
      <o:colormru v:ext="edit" colors="#ddd,silver,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E2NDCyMDYyNzEwMDMyUdpeDU4uLM/DyQAtNaAFxxgG8sAAAA"/>
  </w:docVars>
  <w:rsids>
    <w:rsidRoot w:val="00D429C8"/>
    <w:rsid w:val="000018C8"/>
    <w:rsid w:val="00005371"/>
    <w:rsid w:val="0001484E"/>
    <w:rsid w:val="00017124"/>
    <w:rsid w:val="00020ACD"/>
    <w:rsid w:val="000226E6"/>
    <w:rsid w:val="00026A8A"/>
    <w:rsid w:val="00031DBC"/>
    <w:rsid w:val="00041AE0"/>
    <w:rsid w:val="0004439B"/>
    <w:rsid w:val="00054FC1"/>
    <w:rsid w:val="00055755"/>
    <w:rsid w:val="000623C8"/>
    <w:rsid w:val="00067953"/>
    <w:rsid w:val="00075626"/>
    <w:rsid w:val="00080331"/>
    <w:rsid w:val="0008234F"/>
    <w:rsid w:val="0008242C"/>
    <w:rsid w:val="000831BF"/>
    <w:rsid w:val="00083737"/>
    <w:rsid w:val="00085B62"/>
    <w:rsid w:val="00090D77"/>
    <w:rsid w:val="000911D2"/>
    <w:rsid w:val="000920D3"/>
    <w:rsid w:val="000936C7"/>
    <w:rsid w:val="00094356"/>
    <w:rsid w:val="000A2A30"/>
    <w:rsid w:val="000A6227"/>
    <w:rsid w:val="000A7EE9"/>
    <w:rsid w:val="000C3841"/>
    <w:rsid w:val="000D41A4"/>
    <w:rsid w:val="000D428B"/>
    <w:rsid w:val="000E6E09"/>
    <w:rsid w:val="000E7F81"/>
    <w:rsid w:val="000F1C55"/>
    <w:rsid w:val="000F281A"/>
    <w:rsid w:val="000F2911"/>
    <w:rsid w:val="000F4C2A"/>
    <w:rsid w:val="00111680"/>
    <w:rsid w:val="00115A16"/>
    <w:rsid w:val="00117444"/>
    <w:rsid w:val="001218DE"/>
    <w:rsid w:val="00121C54"/>
    <w:rsid w:val="00122EF0"/>
    <w:rsid w:val="00125962"/>
    <w:rsid w:val="0012730F"/>
    <w:rsid w:val="00127350"/>
    <w:rsid w:val="00130F7D"/>
    <w:rsid w:val="00131465"/>
    <w:rsid w:val="00131C3F"/>
    <w:rsid w:val="00144CC0"/>
    <w:rsid w:val="0015670A"/>
    <w:rsid w:val="001639EB"/>
    <w:rsid w:val="00165BC6"/>
    <w:rsid w:val="001806B2"/>
    <w:rsid w:val="0019278C"/>
    <w:rsid w:val="001A3A3D"/>
    <w:rsid w:val="001B1D7C"/>
    <w:rsid w:val="001C5ABB"/>
    <w:rsid w:val="001C786F"/>
    <w:rsid w:val="001D1FFA"/>
    <w:rsid w:val="001D3B0B"/>
    <w:rsid w:val="001D65AA"/>
    <w:rsid w:val="001D689E"/>
    <w:rsid w:val="001D7DA0"/>
    <w:rsid w:val="001E0872"/>
    <w:rsid w:val="001E0EA2"/>
    <w:rsid w:val="001E4107"/>
    <w:rsid w:val="001E73BF"/>
    <w:rsid w:val="001F0BB3"/>
    <w:rsid w:val="001F16F3"/>
    <w:rsid w:val="001F3ED4"/>
    <w:rsid w:val="001F5A41"/>
    <w:rsid w:val="00200047"/>
    <w:rsid w:val="0020218F"/>
    <w:rsid w:val="0020261B"/>
    <w:rsid w:val="00206A47"/>
    <w:rsid w:val="00225101"/>
    <w:rsid w:val="00227F22"/>
    <w:rsid w:val="00230E6D"/>
    <w:rsid w:val="0023104C"/>
    <w:rsid w:val="00233620"/>
    <w:rsid w:val="0023642A"/>
    <w:rsid w:val="00236896"/>
    <w:rsid w:val="00243728"/>
    <w:rsid w:val="0025412A"/>
    <w:rsid w:val="00262EDC"/>
    <w:rsid w:val="00267D86"/>
    <w:rsid w:val="00280CC4"/>
    <w:rsid w:val="00284D8D"/>
    <w:rsid w:val="00294D8C"/>
    <w:rsid w:val="002A0EA5"/>
    <w:rsid w:val="002B3CD9"/>
    <w:rsid w:val="002B5CAF"/>
    <w:rsid w:val="002B712E"/>
    <w:rsid w:val="002B7166"/>
    <w:rsid w:val="002D00E5"/>
    <w:rsid w:val="002D3C2A"/>
    <w:rsid w:val="002D6D7A"/>
    <w:rsid w:val="002E0C7D"/>
    <w:rsid w:val="002F18F0"/>
    <w:rsid w:val="002F5182"/>
    <w:rsid w:val="002F724F"/>
    <w:rsid w:val="003038C5"/>
    <w:rsid w:val="00312740"/>
    <w:rsid w:val="00314DC3"/>
    <w:rsid w:val="003218A0"/>
    <w:rsid w:val="0032467B"/>
    <w:rsid w:val="00325585"/>
    <w:rsid w:val="003329B8"/>
    <w:rsid w:val="003351C6"/>
    <w:rsid w:val="00344500"/>
    <w:rsid w:val="00347521"/>
    <w:rsid w:val="00352568"/>
    <w:rsid w:val="003600E3"/>
    <w:rsid w:val="00361E97"/>
    <w:rsid w:val="00366D54"/>
    <w:rsid w:val="00375119"/>
    <w:rsid w:val="00384832"/>
    <w:rsid w:val="00385E62"/>
    <w:rsid w:val="0039164A"/>
    <w:rsid w:val="00391DC5"/>
    <w:rsid w:val="00396BCD"/>
    <w:rsid w:val="00397B88"/>
    <w:rsid w:val="003A1B5E"/>
    <w:rsid w:val="003A5EC1"/>
    <w:rsid w:val="003A7749"/>
    <w:rsid w:val="003D034E"/>
    <w:rsid w:val="003E3DE1"/>
    <w:rsid w:val="003F1A7A"/>
    <w:rsid w:val="0040485F"/>
    <w:rsid w:val="0041254C"/>
    <w:rsid w:val="00414BC3"/>
    <w:rsid w:val="00416FE6"/>
    <w:rsid w:val="004179BF"/>
    <w:rsid w:val="004209B2"/>
    <w:rsid w:val="004266F5"/>
    <w:rsid w:val="00433B60"/>
    <w:rsid w:val="00442527"/>
    <w:rsid w:val="00450945"/>
    <w:rsid w:val="00457DCC"/>
    <w:rsid w:val="00463B8D"/>
    <w:rsid w:val="0046562B"/>
    <w:rsid w:val="00465EBE"/>
    <w:rsid w:val="0047311A"/>
    <w:rsid w:val="00473BA2"/>
    <w:rsid w:val="00493DD4"/>
    <w:rsid w:val="00495DF6"/>
    <w:rsid w:val="004A4B34"/>
    <w:rsid w:val="004A7EC7"/>
    <w:rsid w:val="004B1B3F"/>
    <w:rsid w:val="004B77A1"/>
    <w:rsid w:val="004C1746"/>
    <w:rsid w:val="004C62D2"/>
    <w:rsid w:val="004D2BDB"/>
    <w:rsid w:val="004D54B2"/>
    <w:rsid w:val="004D7A84"/>
    <w:rsid w:val="004E4C92"/>
    <w:rsid w:val="004F7773"/>
    <w:rsid w:val="005040BC"/>
    <w:rsid w:val="00512F90"/>
    <w:rsid w:val="00517929"/>
    <w:rsid w:val="00520E9E"/>
    <w:rsid w:val="0052464D"/>
    <w:rsid w:val="00526DA0"/>
    <w:rsid w:val="00540E70"/>
    <w:rsid w:val="00541716"/>
    <w:rsid w:val="00545E1C"/>
    <w:rsid w:val="00563010"/>
    <w:rsid w:val="00565477"/>
    <w:rsid w:val="00570240"/>
    <w:rsid w:val="0057693B"/>
    <w:rsid w:val="005815F9"/>
    <w:rsid w:val="00592CDB"/>
    <w:rsid w:val="00596520"/>
    <w:rsid w:val="00596ADD"/>
    <w:rsid w:val="005A2707"/>
    <w:rsid w:val="005B238F"/>
    <w:rsid w:val="005B25E9"/>
    <w:rsid w:val="005B7BB7"/>
    <w:rsid w:val="005C025A"/>
    <w:rsid w:val="005E1723"/>
    <w:rsid w:val="005E2BBE"/>
    <w:rsid w:val="005E43B9"/>
    <w:rsid w:val="005E6F84"/>
    <w:rsid w:val="005F0581"/>
    <w:rsid w:val="005F1173"/>
    <w:rsid w:val="005F3AA4"/>
    <w:rsid w:val="005F4451"/>
    <w:rsid w:val="005F5EFF"/>
    <w:rsid w:val="00607A32"/>
    <w:rsid w:val="006104FA"/>
    <w:rsid w:val="00616B47"/>
    <w:rsid w:val="006232CB"/>
    <w:rsid w:val="00626AC2"/>
    <w:rsid w:val="00627C8F"/>
    <w:rsid w:val="00631870"/>
    <w:rsid w:val="00635FA2"/>
    <w:rsid w:val="00646C3E"/>
    <w:rsid w:val="00661714"/>
    <w:rsid w:val="006628B2"/>
    <w:rsid w:val="006632BF"/>
    <w:rsid w:val="00666164"/>
    <w:rsid w:val="0067004E"/>
    <w:rsid w:val="0067195B"/>
    <w:rsid w:val="00672100"/>
    <w:rsid w:val="006776BD"/>
    <w:rsid w:val="00684668"/>
    <w:rsid w:val="00685B4C"/>
    <w:rsid w:val="00686B7C"/>
    <w:rsid w:val="006A01D2"/>
    <w:rsid w:val="006A0C7C"/>
    <w:rsid w:val="006A2A04"/>
    <w:rsid w:val="006A56D8"/>
    <w:rsid w:val="006A6C9F"/>
    <w:rsid w:val="006B1B4A"/>
    <w:rsid w:val="006C34F1"/>
    <w:rsid w:val="006C39D1"/>
    <w:rsid w:val="006C5EB8"/>
    <w:rsid w:val="006D4E28"/>
    <w:rsid w:val="006D5858"/>
    <w:rsid w:val="006D6B35"/>
    <w:rsid w:val="006F217C"/>
    <w:rsid w:val="006F46DE"/>
    <w:rsid w:val="00702AB7"/>
    <w:rsid w:val="007104EB"/>
    <w:rsid w:val="00711664"/>
    <w:rsid w:val="00717627"/>
    <w:rsid w:val="00720919"/>
    <w:rsid w:val="00722937"/>
    <w:rsid w:val="007231BD"/>
    <w:rsid w:val="007261ED"/>
    <w:rsid w:val="007322D6"/>
    <w:rsid w:val="007328C0"/>
    <w:rsid w:val="007401BE"/>
    <w:rsid w:val="007401ED"/>
    <w:rsid w:val="00741AD2"/>
    <w:rsid w:val="00752B51"/>
    <w:rsid w:val="00753AD8"/>
    <w:rsid w:val="00755B4C"/>
    <w:rsid w:val="00755D8C"/>
    <w:rsid w:val="007676C0"/>
    <w:rsid w:val="00770387"/>
    <w:rsid w:val="00776E95"/>
    <w:rsid w:val="00781C08"/>
    <w:rsid w:val="00783BEC"/>
    <w:rsid w:val="00787825"/>
    <w:rsid w:val="007903C8"/>
    <w:rsid w:val="00791279"/>
    <w:rsid w:val="007A218F"/>
    <w:rsid w:val="007A3EE4"/>
    <w:rsid w:val="007A54A4"/>
    <w:rsid w:val="007B02E3"/>
    <w:rsid w:val="007B228F"/>
    <w:rsid w:val="007B3132"/>
    <w:rsid w:val="007B323F"/>
    <w:rsid w:val="007B539D"/>
    <w:rsid w:val="007C13D0"/>
    <w:rsid w:val="007C1E39"/>
    <w:rsid w:val="007C2A76"/>
    <w:rsid w:val="007C2B04"/>
    <w:rsid w:val="007C5F2A"/>
    <w:rsid w:val="007D5786"/>
    <w:rsid w:val="007E548A"/>
    <w:rsid w:val="007F06B7"/>
    <w:rsid w:val="007F4E20"/>
    <w:rsid w:val="00802C2B"/>
    <w:rsid w:val="00822659"/>
    <w:rsid w:val="00824A1D"/>
    <w:rsid w:val="0082668C"/>
    <w:rsid w:val="00826FE1"/>
    <w:rsid w:val="00835AA4"/>
    <w:rsid w:val="008377FF"/>
    <w:rsid w:val="00843BF6"/>
    <w:rsid w:val="00854BCD"/>
    <w:rsid w:val="00856C2E"/>
    <w:rsid w:val="00861618"/>
    <w:rsid w:val="00863DE1"/>
    <w:rsid w:val="0088193A"/>
    <w:rsid w:val="00896AE0"/>
    <w:rsid w:val="008A2E3E"/>
    <w:rsid w:val="008B0ACD"/>
    <w:rsid w:val="008B63BA"/>
    <w:rsid w:val="008B66C2"/>
    <w:rsid w:val="008B6C08"/>
    <w:rsid w:val="008C31BF"/>
    <w:rsid w:val="008C5B82"/>
    <w:rsid w:val="008D24A4"/>
    <w:rsid w:val="008D3E1A"/>
    <w:rsid w:val="008D69BC"/>
    <w:rsid w:val="008E38C0"/>
    <w:rsid w:val="008E4294"/>
    <w:rsid w:val="008E5AD8"/>
    <w:rsid w:val="008F1340"/>
    <w:rsid w:val="008F344A"/>
    <w:rsid w:val="00916B64"/>
    <w:rsid w:val="00930915"/>
    <w:rsid w:val="00934B89"/>
    <w:rsid w:val="00936AD7"/>
    <w:rsid w:val="009375BC"/>
    <w:rsid w:val="00980C3B"/>
    <w:rsid w:val="009839D3"/>
    <w:rsid w:val="00983E04"/>
    <w:rsid w:val="00991DA5"/>
    <w:rsid w:val="00993378"/>
    <w:rsid w:val="009A1F79"/>
    <w:rsid w:val="009A537C"/>
    <w:rsid w:val="009B077A"/>
    <w:rsid w:val="009B509B"/>
    <w:rsid w:val="009C5C89"/>
    <w:rsid w:val="009D2044"/>
    <w:rsid w:val="009D5CEF"/>
    <w:rsid w:val="009D6119"/>
    <w:rsid w:val="009E4AF6"/>
    <w:rsid w:val="009F3698"/>
    <w:rsid w:val="009F7F59"/>
    <w:rsid w:val="00A01C45"/>
    <w:rsid w:val="00A07B58"/>
    <w:rsid w:val="00A120EC"/>
    <w:rsid w:val="00A14C37"/>
    <w:rsid w:val="00A22AB0"/>
    <w:rsid w:val="00A231C0"/>
    <w:rsid w:val="00A33757"/>
    <w:rsid w:val="00A41EF3"/>
    <w:rsid w:val="00A4616D"/>
    <w:rsid w:val="00A46379"/>
    <w:rsid w:val="00A57536"/>
    <w:rsid w:val="00A57577"/>
    <w:rsid w:val="00A60BDB"/>
    <w:rsid w:val="00A61CB2"/>
    <w:rsid w:val="00A638C0"/>
    <w:rsid w:val="00A6679A"/>
    <w:rsid w:val="00A704D8"/>
    <w:rsid w:val="00A8344C"/>
    <w:rsid w:val="00A857C3"/>
    <w:rsid w:val="00A90590"/>
    <w:rsid w:val="00A90A3D"/>
    <w:rsid w:val="00A92FFA"/>
    <w:rsid w:val="00A9484D"/>
    <w:rsid w:val="00A94F2A"/>
    <w:rsid w:val="00A97B77"/>
    <w:rsid w:val="00AB2137"/>
    <w:rsid w:val="00AB61AB"/>
    <w:rsid w:val="00AC1508"/>
    <w:rsid w:val="00AC2063"/>
    <w:rsid w:val="00AC2CA9"/>
    <w:rsid w:val="00AD44F9"/>
    <w:rsid w:val="00AD5E2A"/>
    <w:rsid w:val="00AE1F8A"/>
    <w:rsid w:val="00B00C1B"/>
    <w:rsid w:val="00B05B7B"/>
    <w:rsid w:val="00B1095D"/>
    <w:rsid w:val="00B10AB1"/>
    <w:rsid w:val="00B127B5"/>
    <w:rsid w:val="00B212AA"/>
    <w:rsid w:val="00B223A3"/>
    <w:rsid w:val="00B2489D"/>
    <w:rsid w:val="00B259A2"/>
    <w:rsid w:val="00B31702"/>
    <w:rsid w:val="00B44EFA"/>
    <w:rsid w:val="00B50A3C"/>
    <w:rsid w:val="00B5196B"/>
    <w:rsid w:val="00B51B26"/>
    <w:rsid w:val="00B62F36"/>
    <w:rsid w:val="00B6306C"/>
    <w:rsid w:val="00B67434"/>
    <w:rsid w:val="00B71A43"/>
    <w:rsid w:val="00B71C28"/>
    <w:rsid w:val="00B7416F"/>
    <w:rsid w:val="00B76672"/>
    <w:rsid w:val="00B81972"/>
    <w:rsid w:val="00B85DBC"/>
    <w:rsid w:val="00B93CE4"/>
    <w:rsid w:val="00BA5CC1"/>
    <w:rsid w:val="00BB0E97"/>
    <w:rsid w:val="00BB1F28"/>
    <w:rsid w:val="00BB2459"/>
    <w:rsid w:val="00BB452F"/>
    <w:rsid w:val="00BC78E2"/>
    <w:rsid w:val="00BD0B5B"/>
    <w:rsid w:val="00BD2871"/>
    <w:rsid w:val="00BD7C61"/>
    <w:rsid w:val="00BE1E1C"/>
    <w:rsid w:val="00BE3AE9"/>
    <w:rsid w:val="00BE5665"/>
    <w:rsid w:val="00BE66D4"/>
    <w:rsid w:val="00C00E4B"/>
    <w:rsid w:val="00C068D8"/>
    <w:rsid w:val="00C06D14"/>
    <w:rsid w:val="00C119CC"/>
    <w:rsid w:val="00C14CCB"/>
    <w:rsid w:val="00C14F83"/>
    <w:rsid w:val="00C16665"/>
    <w:rsid w:val="00C21F28"/>
    <w:rsid w:val="00C21F45"/>
    <w:rsid w:val="00C35A20"/>
    <w:rsid w:val="00C37450"/>
    <w:rsid w:val="00C510C2"/>
    <w:rsid w:val="00C51E65"/>
    <w:rsid w:val="00C529D2"/>
    <w:rsid w:val="00C546C0"/>
    <w:rsid w:val="00C61FC9"/>
    <w:rsid w:val="00C634BB"/>
    <w:rsid w:val="00C661A8"/>
    <w:rsid w:val="00C677B9"/>
    <w:rsid w:val="00C722F1"/>
    <w:rsid w:val="00C80CE0"/>
    <w:rsid w:val="00C82A8C"/>
    <w:rsid w:val="00C86790"/>
    <w:rsid w:val="00CA20FA"/>
    <w:rsid w:val="00CA518E"/>
    <w:rsid w:val="00CB2372"/>
    <w:rsid w:val="00CB3E61"/>
    <w:rsid w:val="00CB74B0"/>
    <w:rsid w:val="00CC17E3"/>
    <w:rsid w:val="00CC546B"/>
    <w:rsid w:val="00CD0A54"/>
    <w:rsid w:val="00CD1051"/>
    <w:rsid w:val="00CD50A4"/>
    <w:rsid w:val="00CD6F30"/>
    <w:rsid w:val="00CE6DD6"/>
    <w:rsid w:val="00CF1B42"/>
    <w:rsid w:val="00CF4D2F"/>
    <w:rsid w:val="00CF72F6"/>
    <w:rsid w:val="00D03547"/>
    <w:rsid w:val="00D03D0E"/>
    <w:rsid w:val="00D06D1E"/>
    <w:rsid w:val="00D23380"/>
    <w:rsid w:val="00D24634"/>
    <w:rsid w:val="00D2491B"/>
    <w:rsid w:val="00D27E14"/>
    <w:rsid w:val="00D36B1E"/>
    <w:rsid w:val="00D40502"/>
    <w:rsid w:val="00D429C8"/>
    <w:rsid w:val="00D43163"/>
    <w:rsid w:val="00D44AAA"/>
    <w:rsid w:val="00D5323B"/>
    <w:rsid w:val="00D54F72"/>
    <w:rsid w:val="00D65E73"/>
    <w:rsid w:val="00D67C43"/>
    <w:rsid w:val="00D71916"/>
    <w:rsid w:val="00D71B35"/>
    <w:rsid w:val="00D8081E"/>
    <w:rsid w:val="00D850DE"/>
    <w:rsid w:val="00DA2E07"/>
    <w:rsid w:val="00DA78F7"/>
    <w:rsid w:val="00DB1B4D"/>
    <w:rsid w:val="00DB275C"/>
    <w:rsid w:val="00DB2D0C"/>
    <w:rsid w:val="00DB52E0"/>
    <w:rsid w:val="00DB5798"/>
    <w:rsid w:val="00DD1167"/>
    <w:rsid w:val="00DD3FDF"/>
    <w:rsid w:val="00DE2BF2"/>
    <w:rsid w:val="00E00D64"/>
    <w:rsid w:val="00E01615"/>
    <w:rsid w:val="00E079C1"/>
    <w:rsid w:val="00E11F07"/>
    <w:rsid w:val="00E1388A"/>
    <w:rsid w:val="00E1658F"/>
    <w:rsid w:val="00E2118D"/>
    <w:rsid w:val="00E34411"/>
    <w:rsid w:val="00E41E4F"/>
    <w:rsid w:val="00E4487C"/>
    <w:rsid w:val="00E72F71"/>
    <w:rsid w:val="00E73950"/>
    <w:rsid w:val="00E770E5"/>
    <w:rsid w:val="00E7777B"/>
    <w:rsid w:val="00E8028D"/>
    <w:rsid w:val="00E811F1"/>
    <w:rsid w:val="00EA0A87"/>
    <w:rsid w:val="00EA56FD"/>
    <w:rsid w:val="00EC3B0A"/>
    <w:rsid w:val="00EC56CF"/>
    <w:rsid w:val="00EC7B53"/>
    <w:rsid w:val="00ED4F33"/>
    <w:rsid w:val="00EE1948"/>
    <w:rsid w:val="00F004E1"/>
    <w:rsid w:val="00F038FC"/>
    <w:rsid w:val="00F041AA"/>
    <w:rsid w:val="00F04EBC"/>
    <w:rsid w:val="00F12DF8"/>
    <w:rsid w:val="00F23562"/>
    <w:rsid w:val="00F23FEF"/>
    <w:rsid w:val="00F339DE"/>
    <w:rsid w:val="00F404BD"/>
    <w:rsid w:val="00F4517C"/>
    <w:rsid w:val="00F46845"/>
    <w:rsid w:val="00F62F5C"/>
    <w:rsid w:val="00F63F3B"/>
    <w:rsid w:val="00F71510"/>
    <w:rsid w:val="00F73663"/>
    <w:rsid w:val="00F81F26"/>
    <w:rsid w:val="00F8246A"/>
    <w:rsid w:val="00F902B3"/>
    <w:rsid w:val="00F913AF"/>
    <w:rsid w:val="00FA2AA0"/>
    <w:rsid w:val="00FA30CB"/>
    <w:rsid w:val="00FA7C5C"/>
    <w:rsid w:val="00FB0CFC"/>
    <w:rsid w:val="00FC6232"/>
    <w:rsid w:val="00FD4C0C"/>
    <w:rsid w:val="00FF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o:colormru v:ext="edit" colors="#ddd,silver,#eaeaea"/>
    </o:shapedefaults>
    <o:shapelayout v:ext="edit">
      <o:idmap v:ext="edit" data="1"/>
    </o:shapelayout>
  </w:shapeDefaults>
  <w:decimalSymbol w:val="."/>
  <w:listSeparator w:val=","/>
  <w14:docId w14:val="140FDE9F"/>
  <w15:docId w15:val="{9DACB061-2BAD-41FC-88FD-6F660705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5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uiPriority w:val="2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pPr>
      <w:spacing w:after="200"/>
      <w:ind w:left="510" w:hanging="510"/>
    </w:pPr>
  </w:style>
  <w:style w:type="paragraph" w:customStyle="1" w:styleId="NumPlain2">
    <w:name w:val="Num Plain2"/>
    <w:basedOn w:val="NumPlain1"/>
    <w:uiPriority w:val="2"/>
    <w:qFormat/>
    <w:pPr>
      <w:ind w:left="1020"/>
    </w:pPr>
  </w:style>
  <w:style w:type="paragraph" w:customStyle="1" w:styleId="NumPlain3">
    <w:name w:val="Num Plain3"/>
    <w:basedOn w:val="NumPlain2"/>
    <w:qFormat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qFormat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uiPriority w:val="5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CoverSubtitle">
    <w:name w:val="Cover Subtitle"/>
    <w:basedOn w:val="CoverTitle"/>
    <w:rsid w:val="006776BD"/>
    <w:rPr>
      <w:sz w:val="40"/>
      <w:szCs w:val="40"/>
    </w:rPr>
  </w:style>
  <w:style w:type="paragraph" w:customStyle="1" w:styleId="Default">
    <w:name w:val="Default"/>
    <w:rsid w:val="00E211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SBNormal">
    <w:name w:val="IASB Normal"/>
    <w:uiPriority w:val="8"/>
    <w:rsid w:val="00130F7D"/>
    <w:pPr>
      <w:tabs>
        <w:tab w:val="left" w:pos="4253"/>
      </w:tabs>
      <w:spacing w:before="100" w:after="100"/>
      <w:jc w:val="both"/>
    </w:pPr>
    <w:rPr>
      <w:sz w:val="19"/>
      <w:lang w:eastAsia="en-US"/>
    </w:rPr>
  </w:style>
  <w:style w:type="paragraph" w:customStyle="1" w:styleId="IASBSectionTitle2Ind">
    <w:name w:val="IASB Section Title 2 Ind"/>
    <w:basedOn w:val="Normal"/>
    <w:uiPriority w:val="8"/>
    <w:rsid w:val="00130F7D"/>
    <w:pPr>
      <w:keepNext/>
      <w:keepLines/>
      <w:spacing w:before="240" w:after="200" w:line="240" w:lineRule="auto"/>
      <w:ind w:left="782"/>
      <w:outlineLvl w:val="1"/>
    </w:pPr>
    <w:rPr>
      <w:rFonts w:ascii="Arial" w:hAnsi="Arial" w:cs="Arial"/>
      <w:b/>
      <w:sz w:val="26"/>
    </w:rPr>
  </w:style>
  <w:style w:type="character" w:styleId="CommentReference">
    <w:name w:val="annotation reference"/>
    <w:basedOn w:val="DefaultParagraphFont"/>
    <w:rsid w:val="00DB2D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D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B2D0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2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2D0C"/>
    <w:rPr>
      <w:b/>
      <w:bCs/>
      <w:lang w:eastAsia="en-US"/>
    </w:rPr>
  </w:style>
  <w:style w:type="numbering" w:customStyle="1" w:styleId="AASBNumbers">
    <w:name w:val="AASB Numbers"/>
    <w:uiPriority w:val="99"/>
    <w:rsid w:val="0040485F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D034E"/>
    <w:rPr>
      <w:rFonts w:cs="Arial"/>
      <w:b/>
      <w:iCs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C21F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B2E3-871B-48C9-BE5B-D6BA4A2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2003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AASB</Company>
  <LinksUpToDate>false</LinksUpToDate>
  <CharactersWithSpaces>14141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.</dc:creator>
  <cp:lastModifiedBy>Loukas, Peter</cp:lastModifiedBy>
  <cp:revision>3</cp:revision>
  <cp:lastPrinted>2019-07-01T01:52:00Z</cp:lastPrinted>
  <dcterms:created xsi:type="dcterms:W3CDTF">2019-07-04T23:37:00Z</dcterms:created>
  <dcterms:modified xsi:type="dcterms:W3CDTF">2019-07-04T23:39:00Z</dcterms:modified>
</cp:coreProperties>
</file>