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0C03B" w14:textId="77777777" w:rsidR="005C07E5" w:rsidRDefault="005C07E5">
      <w:pPr>
        <w:pStyle w:val="Heading1"/>
        <w:spacing w:line="360" w:lineRule="auto"/>
      </w:pPr>
      <w:r>
        <w:t>EXPLANATORY STATEMENT</w:t>
      </w:r>
    </w:p>
    <w:p w14:paraId="4E2B8C3F" w14:textId="77777777" w:rsidR="001D091B" w:rsidRDefault="003B63E4" w:rsidP="001D091B">
      <w:pPr>
        <w:pStyle w:val="Heading2"/>
        <w:spacing w:before="120" w:after="360" w:line="360" w:lineRule="auto"/>
        <w:ind w:left="0" w:firstLine="0"/>
      </w:pPr>
      <w:r>
        <w:rPr>
          <w:rFonts w:ascii="Helvetica Neue" w:hAnsi="Helvetica Neue"/>
          <w:i/>
          <w:iCs/>
        </w:rPr>
        <w:t>Migration Regulations 1994</w:t>
      </w:r>
    </w:p>
    <w:p w14:paraId="77B02D8B" w14:textId="77777777" w:rsidR="001D091B" w:rsidRDefault="003B63E4" w:rsidP="001D091B">
      <w:pPr>
        <w:spacing w:after="120" w:line="360" w:lineRule="auto"/>
        <w:ind w:hanging="23"/>
        <w:jc w:val="center"/>
        <w:rPr>
          <w:i/>
          <w:sz w:val="24"/>
        </w:rPr>
      </w:pPr>
      <w:r w:rsidRPr="003B63E4">
        <w:rPr>
          <w:b/>
          <w:sz w:val="24"/>
        </w:rPr>
        <w:t>Migration (LIN 19/183: Arrangements for Working Holiday Visa Applications) Instrument 2019</w:t>
      </w:r>
    </w:p>
    <w:p w14:paraId="3CD01379" w14:textId="77777777" w:rsidR="001D091B" w:rsidRPr="00B95124" w:rsidRDefault="003B63E4" w:rsidP="00B52BE5">
      <w:pPr>
        <w:spacing w:after="200" w:line="360" w:lineRule="auto"/>
        <w:ind w:hanging="23"/>
        <w:jc w:val="center"/>
        <w:rPr>
          <w:i/>
          <w:sz w:val="24"/>
          <w:highlight w:val="yellow"/>
        </w:rPr>
      </w:pPr>
      <w:r w:rsidRPr="003B63E4">
        <w:rPr>
          <w:i/>
          <w:sz w:val="24"/>
        </w:rPr>
        <w:t>(</w:t>
      </w:r>
      <w:proofErr w:type="spellStart"/>
      <w:r w:rsidRPr="003B63E4">
        <w:rPr>
          <w:i/>
          <w:sz w:val="24"/>
        </w:rPr>
        <w:t>Subregulation</w:t>
      </w:r>
      <w:proofErr w:type="spellEnd"/>
      <w:r w:rsidRPr="003B63E4">
        <w:rPr>
          <w:i/>
          <w:sz w:val="24"/>
        </w:rPr>
        <w:t xml:space="preserve"> 2.07(5), </w:t>
      </w:r>
      <w:proofErr w:type="spellStart"/>
      <w:r w:rsidRPr="003B63E4">
        <w:rPr>
          <w:i/>
          <w:sz w:val="24"/>
        </w:rPr>
        <w:t>subitem</w:t>
      </w:r>
      <w:proofErr w:type="spellEnd"/>
      <w:r w:rsidRPr="003B63E4">
        <w:rPr>
          <w:i/>
          <w:sz w:val="24"/>
        </w:rPr>
        <w:t xml:space="preserve"> 1225(5) of Schedule 1 and subclause 417.211(2) of Schedule</w:t>
      </w:r>
      <w:r w:rsidR="006B78DA">
        <w:rPr>
          <w:i/>
          <w:sz w:val="24"/>
        </w:rPr>
        <w:t> </w:t>
      </w:r>
      <w:r w:rsidRPr="003B63E4">
        <w:rPr>
          <w:i/>
          <w:sz w:val="24"/>
        </w:rPr>
        <w:t>2 to the Regulations)</w:t>
      </w:r>
    </w:p>
    <w:p w14:paraId="1587EB0B" w14:textId="77777777" w:rsidR="001D091B" w:rsidRDefault="003B63E4" w:rsidP="00B52BE5">
      <w:pPr>
        <w:numPr>
          <w:ilvl w:val="0"/>
          <w:numId w:val="9"/>
        </w:numPr>
        <w:spacing w:before="360" w:line="360" w:lineRule="auto"/>
        <w:ind w:left="567" w:hanging="567"/>
        <w:jc w:val="both"/>
        <w:rPr>
          <w:sz w:val="24"/>
        </w:rPr>
      </w:pPr>
      <w:r>
        <w:rPr>
          <w:sz w:val="24"/>
        </w:rPr>
        <w:t>The</w:t>
      </w:r>
      <w:r w:rsidR="00DB634D">
        <w:rPr>
          <w:sz w:val="24"/>
        </w:rPr>
        <w:t xml:space="preserve"> i</w:t>
      </w:r>
      <w:r w:rsidR="001D091B">
        <w:rPr>
          <w:sz w:val="24"/>
        </w:rPr>
        <w:t>nstrument</w:t>
      </w:r>
      <w:r w:rsidR="00DB634D">
        <w:rPr>
          <w:sz w:val="24"/>
        </w:rPr>
        <w:t>,</w:t>
      </w:r>
      <w:r w:rsidR="001D091B">
        <w:rPr>
          <w:sz w:val="24"/>
        </w:rPr>
        <w:t xml:space="preserve"> </w:t>
      </w:r>
      <w:r w:rsidR="006B78DA">
        <w:rPr>
          <w:sz w:val="24"/>
        </w:rPr>
        <w:t>LIN 19/183</w:t>
      </w:r>
      <w:r w:rsidR="00DB634D">
        <w:rPr>
          <w:sz w:val="24"/>
        </w:rPr>
        <w:t>,</w:t>
      </w:r>
      <w:r w:rsidR="001D091B">
        <w:rPr>
          <w:sz w:val="24"/>
        </w:rPr>
        <w:t xml:space="preserve"> is made under </w:t>
      </w:r>
      <w:proofErr w:type="spellStart"/>
      <w:r w:rsidR="006B78DA" w:rsidRPr="006B78DA">
        <w:rPr>
          <w:sz w:val="24"/>
        </w:rPr>
        <w:t>subregulation</w:t>
      </w:r>
      <w:proofErr w:type="spellEnd"/>
      <w:r w:rsidR="006B78DA" w:rsidRPr="006B78DA">
        <w:rPr>
          <w:sz w:val="24"/>
        </w:rPr>
        <w:t xml:space="preserve"> 2.07(5), </w:t>
      </w:r>
      <w:proofErr w:type="spellStart"/>
      <w:r w:rsidR="006B78DA" w:rsidRPr="006B78DA">
        <w:rPr>
          <w:sz w:val="24"/>
        </w:rPr>
        <w:t>subitem</w:t>
      </w:r>
      <w:proofErr w:type="spellEnd"/>
      <w:r w:rsidR="006B78DA" w:rsidRPr="006B78DA">
        <w:rPr>
          <w:sz w:val="24"/>
        </w:rPr>
        <w:t xml:space="preserve"> 1225(5) of Schedule 1 and subclause 417.211(2) of Schedule 2 to the </w:t>
      </w:r>
      <w:r w:rsidR="006B78DA" w:rsidRPr="006B78DA">
        <w:rPr>
          <w:i/>
          <w:sz w:val="24"/>
        </w:rPr>
        <w:t>Migration Regulations 1994</w:t>
      </w:r>
      <w:r w:rsidR="006B78DA" w:rsidRPr="006B78DA">
        <w:rPr>
          <w:sz w:val="24"/>
        </w:rPr>
        <w:t xml:space="preserve"> (the Regulations).</w:t>
      </w:r>
    </w:p>
    <w:p w14:paraId="1A50AF8F" w14:textId="34D2114C" w:rsidR="001D091B" w:rsidRDefault="00EC2CC3" w:rsidP="00B52BE5">
      <w:pPr>
        <w:numPr>
          <w:ilvl w:val="0"/>
          <w:numId w:val="9"/>
        </w:numPr>
        <w:spacing w:before="360" w:line="360" w:lineRule="auto"/>
        <w:ind w:left="567" w:hanging="567"/>
        <w:jc w:val="both"/>
        <w:rPr>
          <w:sz w:val="24"/>
        </w:rPr>
      </w:pPr>
      <w:r>
        <w:rPr>
          <w:sz w:val="24"/>
        </w:rPr>
        <w:t>The i</w:t>
      </w:r>
      <w:r w:rsidR="001D091B" w:rsidRPr="00193A68">
        <w:rPr>
          <w:sz w:val="24"/>
        </w:rPr>
        <w:t xml:space="preserve">nstrument </w:t>
      </w:r>
      <w:r w:rsidR="001D091B" w:rsidRPr="00E14E98">
        <w:rPr>
          <w:sz w:val="24"/>
        </w:rPr>
        <w:t>repeals</w:t>
      </w:r>
      <w:r w:rsidR="001D091B" w:rsidRPr="00193A68">
        <w:rPr>
          <w:sz w:val="24"/>
        </w:rPr>
        <w:t xml:space="preserve"> </w:t>
      </w:r>
      <w:r w:rsidR="00DA5C4A">
        <w:rPr>
          <w:sz w:val="24"/>
        </w:rPr>
        <w:t>LIN 18/173 (F2018L01507)</w:t>
      </w:r>
      <w:r w:rsidR="001D091B">
        <w:rPr>
          <w:sz w:val="24"/>
        </w:rPr>
        <w:t xml:space="preserve"> made under </w:t>
      </w:r>
      <w:proofErr w:type="spellStart"/>
      <w:r w:rsidR="00526FF1">
        <w:rPr>
          <w:sz w:val="24"/>
        </w:rPr>
        <w:t>subregulation</w:t>
      </w:r>
      <w:proofErr w:type="spellEnd"/>
      <w:r w:rsidR="00526FF1">
        <w:rPr>
          <w:sz w:val="24"/>
        </w:rPr>
        <w:t xml:space="preserve"> 2.07(5), </w:t>
      </w:r>
      <w:proofErr w:type="spellStart"/>
      <w:r w:rsidR="00DA5C4A" w:rsidRPr="006B78DA">
        <w:rPr>
          <w:sz w:val="24"/>
        </w:rPr>
        <w:t>subitem</w:t>
      </w:r>
      <w:proofErr w:type="spellEnd"/>
      <w:r w:rsidR="00DA5C4A" w:rsidRPr="006B78DA">
        <w:rPr>
          <w:sz w:val="24"/>
        </w:rPr>
        <w:t xml:space="preserve"> 1225(5) of Schedule 1 and subclause 417.211(2) of Schedule 2 to the</w:t>
      </w:r>
      <w:r w:rsidR="00222312">
        <w:rPr>
          <w:sz w:val="24"/>
        </w:rPr>
        <w:t xml:space="preserve"> </w:t>
      </w:r>
      <w:r w:rsidR="00DA5C4A">
        <w:rPr>
          <w:sz w:val="24"/>
        </w:rPr>
        <w:t>Regulations</w:t>
      </w:r>
      <w:r w:rsidR="007A5A26">
        <w:rPr>
          <w:sz w:val="24"/>
        </w:rPr>
        <w:t>,</w:t>
      </w:r>
      <w:r w:rsidR="001D091B">
        <w:rPr>
          <w:i/>
          <w:sz w:val="24"/>
        </w:rPr>
        <w:t xml:space="preserve"> </w:t>
      </w:r>
      <w:r w:rsidR="001D091B">
        <w:rPr>
          <w:sz w:val="24"/>
        </w:rPr>
        <w:t>in accordance with</w:t>
      </w:r>
      <w:r w:rsidR="001D091B" w:rsidRPr="00193A68">
        <w:rPr>
          <w:sz w:val="24"/>
          <w:szCs w:val="24"/>
        </w:rPr>
        <w:t xml:space="preserve"> subsection 33(3) of the </w:t>
      </w:r>
      <w:r w:rsidR="001D091B" w:rsidRPr="00193A68">
        <w:rPr>
          <w:i/>
          <w:sz w:val="24"/>
          <w:szCs w:val="24"/>
        </w:rPr>
        <w:t>Acts Interpretation Act 1901</w:t>
      </w:r>
      <w:r w:rsidR="001D091B">
        <w:rPr>
          <w:sz w:val="24"/>
          <w:szCs w:val="24"/>
        </w:rPr>
        <w:t xml:space="preserve"> (the AIA).</w:t>
      </w:r>
      <w:r w:rsidR="001D091B" w:rsidRPr="00193A68">
        <w:rPr>
          <w:sz w:val="24"/>
          <w:szCs w:val="24"/>
        </w:rPr>
        <w:t xml:space="preserve"> </w:t>
      </w:r>
      <w:r w:rsidR="001D091B">
        <w:rPr>
          <w:sz w:val="24"/>
          <w:szCs w:val="24"/>
        </w:rPr>
        <w:t xml:space="preserve">Subsection 33(3) of the AIA </w:t>
      </w:r>
      <w:r w:rsidR="001D091B" w:rsidRPr="00193A68">
        <w:rPr>
          <w:sz w:val="24"/>
          <w:szCs w:val="24"/>
        </w:rPr>
        <w:t xml:space="preserve">states </w:t>
      </w:r>
      <w:r w:rsidR="001D091B">
        <w:rPr>
          <w:sz w:val="24"/>
          <w:szCs w:val="24"/>
        </w:rPr>
        <w:t xml:space="preserve">that </w:t>
      </w:r>
      <w:r w:rsidR="001D091B" w:rsidRPr="00193A68">
        <w:rPr>
          <w:sz w:val="24"/>
          <w:szCs w:val="24"/>
        </w:rPr>
        <w:t xml:space="preserve">where an Act confers a power to make, grant or issue any instrument of a legislative or administrative character, the power shall be construed as including a power exercisable in the like manner and subject to the like conditions </w:t>
      </w:r>
      <w:r w:rsidR="001D091B" w:rsidRPr="00641022">
        <w:rPr>
          <w:sz w:val="24"/>
          <w:szCs w:val="24"/>
        </w:rPr>
        <w:t>(if any) to</w:t>
      </w:r>
      <w:r w:rsidR="00E872F9">
        <w:rPr>
          <w:sz w:val="24"/>
          <w:szCs w:val="24"/>
        </w:rPr>
        <w:t xml:space="preserve"> repeal, rescind, revoke, amend</w:t>
      </w:r>
      <w:r w:rsidR="001D091B" w:rsidRPr="00641022">
        <w:rPr>
          <w:sz w:val="24"/>
          <w:szCs w:val="24"/>
        </w:rPr>
        <w:t xml:space="preserve"> or vary any such instrument</w:t>
      </w:r>
      <w:r w:rsidR="001D091B">
        <w:rPr>
          <w:sz w:val="24"/>
          <w:szCs w:val="24"/>
        </w:rPr>
        <w:t>.</w:t>
      </w:r>
    </w:p>
    <w:p w14:paraId="246BBB05" w14:textId="77777777" w:rsidR="001D091B" w:rsidRDefault="006F7EE4" w:rsidP="006F7EE4">
      <w:pPr>
        <w:numPr>
          <w:ilvl w:val="0"/>
          <w:numId w:val="9"/>
        </w:numPr>
        <w:spacing w:before="360" w:line="360" w:lineRule="auto"/>
        <w:ind w:left="567" w:hanging="567"/>
        <w:jc w:val="both"/>
        <w:rPr>
          <w:sz w:val="24"/>
        </w:rPr>
      </w:pPr>
      <w:r w:rsidRPr="006F7EE4">
        <w:rPr>
          <w:sz w:val="24"/>
        </w:rPr>
        <w:t xml:space="preserve">The instrument operates to specify the requirements for making an application for a Working Holiday (Temporary) (Class TZ) visa. For the purposes of </w:t>
      </w:r>
      <w:proofErr w:type="spellStart"/>
      <w:r w:rsidRPr="006F7EE4">
        <w:rPr>
          <w:sz w:val="24"/>
        </w:rPr>
        <w:t>subitem</w:t>
      </w:r>
      <w:proofErr w:type="spellEnd"/>
      <w:r w:rsidRPr="006F7EE4">
        <w:rPr>
          <w:sz w:val="24"/>
        </w:rPr>
        <w:t xml:space="preserve"> 1225(1) of Schedule 1 to the Regulations, the instrument specifies the approved forms for making an application. For the purposes of </w:t>
      </w:r>
      <w:proofErr w:type="spellStart"/>
      <w:r w:rsidRPr="006F7EE4">
        <w:rPr>
          <w:sz w:val="24"/>
        </w:rPr>
        <w:t>subitem</w:t>
      </w:r>
      <w:proofErr w:type="spellEnd"/>
      <w:r w:rsidRPr="006F7EE4">
        <w:rPr>
          <w:sz w:val="24"/>
        </w:rPr>
        <w:t xml:space="preserve"> 1225(3) of Schedule 1 to the Regulations, the instrument specifies the place and manner in which an application is to be made.</w:t>
      </w:r>
    </w:p>
    <w:p w14:paraId="53F27FE3" w14:textId="4793D0B0" w:rsidR="0072078D" w:rsidRPr="004C4B3E" w:rsidRDefault="0072078D" w:rsidP="0072078D">
      <w:pPr>
        <w:numPr>
          <w:ilvl w:val="0"/>
          <w:numId w:val="9"/>
        </w:numPr>
        <w:spacing w:before="360" w:line="360" w:lineRule="auto"/>
        <w:ind w:left="567" w:hanging="567"/>
        <w:jc w:val="both"/>
        <w:rPr>
          <w:sz w:val="24"/>
        </w:rPr>
      </w:pPr>
      <w:r w:rsidRPr="0072078D">
        <w:rPr>
          <w:sz w:val="24"/>
        </w:rPr>
        <w:t>The instrument also operates to outline the criteria for a Subclass 417 (Working Holiday) visa. Under paragraph 417.211(2</w:t>
      </w:r>
      <w:proofErr w:type="gramStart"/>
      <w:r w:rsidRPr="0072078D">
        <w:rPr>
          <w:sz w:val="24"/>
        </w:rPr>
        <w:t>)(</w:t>
      </w:r>
      <w:proofErr w:type="gramEnd"/>
      <w:r w:rsidRPr="0072078D">
        <w:rPr>
          <w:sz w:val="24"/>
        </w:rPr>
        <w:t>a) of the Regulations, a working holiday eligible passport must be held by a person seeking to meet the criteria for a Subclass 417 (Working Holiday) visa. The instrument specifies the countries</w:t>
      </w:r>
      <w:r>
        <w:rPr>
          <w:sz w:val="24"/>
        </w:rPr>
        <w:t xml:space="preserve"> or regions</w:t>
      </w:r>
      <w:r w:rsidRPr="0072078D">
        <w:rPr>
          <w:sz w:val="24"/>
        </w:rPr>
        <w:t xml:space="preserve"> that may issue a working holiday eligible passport and </w:t>
      </w:r>
      <w:r w:rsidR="00E13D25">
        <w:rPr>
          <w:sz w:val="24"/>
        </w:rPr>
        <w:t>any criteria th</w:t>
      </w:r>
      <w:r w:rsidR="00E872F9">
        <w:rPr>
          <w:sz w:val="24"/>
        </w:rPr>
        <w:t>at the</w:t>
      </w:r>
      <w:r w:rsidR="00E13D25">
        <w:rPr>
          <w:sz w:val="24"/>
        </w:rPr>
        <w:t xml:space="preserve"> passport must meet to be eligible</w:t>
      </w:r>
      <w:r w:rsidRPr="0072078D">
        <w:rPr>
          <w:sz w:val="24"/>
        </w:rPr>
        <w:t>. Furthermore, for the purposes of paragraph 417.211(2)(a) and subparagraph</w:t>
      </w:r>
      <w:r>
        <w:rPr>
          <w:sz w:val="24"/>
        </w:rPr>
        <w:t> </w:t>
      </w:r>
      <w:r w:rsidRPr="0072078D">
        <w:rPr>
          <w:sz w:val="24"/>
        </w:rPr>
        <w:t xml:space="preserve">417.211(2)(b)(ii) of the Regulations, the instrument specifies </w:t>
      </w:r>
      <w:r w:rsidR="003D47CE">
        <w:rPr>
          <w:sz w:val="24"/>
        </w:rPr>
        <w:t>a younger</w:t>
      </w:r>
      <w:r w:rsidR="000665BF">
        <w:rPr>
          <w:sz w:val="24"/>
        </w:rPr>
        <w:t xml:space="preserve"> age </w:t>
      </w:r>
      <w:r w:rsidRPr="0072078D">
        <w:rPr>
          <w:sz w:val="24"/>
        </w:rPr>
        <w:t xml:space="preserve">for </w:t>
      </w:r>
      <w:r w:rsidR="003D47CE">
        <w:rPr>
          <w:sz w:val="24"/>
        </w:rPr>
        <w:t xml:space="preserve">applicants from those specified countries or regions except for France, Canada and </w:t>
      </w:r>
      <w:r w:rsidR="003D47CE">
        <w:rPr>
          <w:sz w:val="24"/>
        </w:rPr>
        <w:lastRenderedPageBreak/>
        <w:t xml:space="preserve">Ireland, where the applicant’s age is as </w:t>
      </w:r>
      <w:r w:rsidR="006A3828">
        <w:rPr>
          <w:sz w:val="24"/>
        </w:rPr>
        <w:t>prescribed by</w:t>
      </w:r>
      <w:r w:rsidR="003D47CE">
        <w:rPr>
          <w:sz w:val="24"/>
        </w:rPr>
        <w:t xml:space="preserve"> </w:t>
      </w:r>
      <w:r w:rsidR="006A3828">
        <w:rPr>
          <w:sz w:val="24"/>
        </w:rPr>
        <w:t>paragraph 417.211(2)(b)(</w:t>
      </w:r>
      <w:proofErr w:type="spellStart"/>
      <w:r w:rsidR="006A3828">
        <w:rPr>
          <w:sz w:val="24"/>
        </w:rPr>
        <w:t>i</w:t>
      </w:r>
      <w:proofErr w:type="spellEnd"/>
      <w:r w:rsidR="006A3828">
        <w:rPr>
          <w:sz w:val="24"/>
        </w:rPr>
        <w:t>)</w:t>
      </w:r>
      <w:r w:rsidR="003D47CE">
        <w:rPr>
          <w:sz w:val="24"/>
        </w:rPr>
        <w:t xml:space="preserve"> of the Regulations.  </w:t>
      </w:r>
    </w:p>
    <w:p w14:paraId="192115D6" w14:textId="6214E7F0" w:rsidR="00193A68" w:rsidRDefault="005C07E5" w:rsidP="00F336E2">
      <w:pPr>
        <w:numPr>
          <w:ilvl w:val="0"/>
          <w:numId w:val="9"/>
        </w:numPr>
        <w:spacing w:before="360" w:line="360" w:lineRule="auto"/>
        <w:ind w:left="567" w:hanging="567"/>
        <w:jc w:val="both"/>
        <w:rPr>
          <w:sz w:val="24"/>
        </w:rPr>
      </w:pPr>
      <w:r w:rsidRPr="00193A68">
        <w:rPr>
          <w:sz w:val="24"/>
        </w:rPr>
        <w:t xml:space="preserve">The purpose of the </w:t>
      </w:r>
      <w:r w:rsidR="009D0462">
        <w:rPr>
          <w:sz w:val="24"/>
        </w:rPr>
        <w:t>i</w:t>
      </w:r>
      <w:r w:rsidRPr="00193A68">
        <w:rPr>
          <w:sz w:val="24"/>
        </w:rPr>
        <w:t xml:space="preserve">nstrument is to </w:t>
      </w:r>
      <w:r w:rsidR="009B65C4">
        <w:rPr>
          <w:sz w:val="24"/>
        </w:rPr>
        <w:t xml:space="preserve">increase the eligible age for French applicants for the Subclass 417 (Working Holiday) visa to </w:t>
      </w:r>
      <w:r w:rsidR="006A3828">
        <w:rPr>
          <w:sz w:val="24"/>
        </w:rPr>
        <w:t xml:space="preserve">the maximum of </w:t>
      </w:r>
      <w:r w:rsidR="009B65C4">
        <w:rPr>
          <w:sz w:val="24"/>
        </w:rPr>
        <w:t>35</w:t>
      </w:r>
      <w:r w:rsidR="006A3828">
        <w:rPr>
          <w:sz w:val="24"/>
        </w:rPr>
        <w:t xml:space="preserve"> as allowed by the Regulations</w:t>
      </w:r>
      <w:r w:rsidR="009B65C4">
        <w:rPr>
          <w:sz w:val="24"/>
        </w:rPr>
        <w:t>.</w:t>
      </w:r>
      <w:r w:rsidR="005971D7">
        <w:rPr>
          <w:sz w:val="24"/>
        </w:rPr>
        <w:t xml:space="preserve"> The instrument also amends Schedule 2 </w:t>
      </w:r>
      <w:r w:rsidR="000665BF">
        <w:rPr>
          <w:sz w:val="24"/>
        </w:rPr>
        <w:t xml:space="preserve">to </w:t>
      </w:r>
      <w:r w:rsidR="005971D7">
        <w:rPr>
          <w:sz w:val="24"/>
        </w:rPr>
        <w:t>the instrument to include reference to a region (in addition to a country)</w:t>
      </w:r>
      <w:r w:rsidR="006A3828">
        <w:rPr>
          <w:sz w:val="24"/>
        </w:rPr>
        <w:t xml:space="preserve"> and provide greater clarity for the age requirements</w:t>
      </w:r>
      <w:r w:rsidR="005971D7">
        <w:rPr>
          <w:sz w:val="24"/>
        </w:rPr>
        <w:t>.</w:t>
      </w:r>
    </w:p>
    <w:p w14:paraId="74D52694" w14:textId="64388543" w:rsidR="00472707" w:rsidRDefault="009D7DD8" w:rsidP="00F336E2">
      <w:pPr>
        <w:numPr>
          <w:ilvl w:val="0"/>
          <w:numId w:val="9"/>
        </w:numPr>
        <w:spacing w:before="360" w:line="360" w:lineRule="auto"/>
        <w:ind w:left="567" w:hanging="567"/>
        <w:jc w:val="both"/>
        <w:rPr>
          <w:sz w:val="24"/>
        </w:rPr>
      </w:pPr>
      <w:r>
        <w:rPr>
          <w:sz w:val="24"/>
          <w:szCs w:val="24"/>
        </w:rPr>
        <w:t xml:space="preserve">The changes will only apply </w:t>
      </w:r>
      <w:r w:rsidR="00526FF1">
        <w:rPr>
          <w:sz w:val="24"/>
          <w:szCs w:val="24"/>
        </w:rPr>
        <w:t>in re</w:t>
      </w:r>
      <w:bookmarkStart w:id="0" w:name="_GoBack"/>
      <w:bookmarkEnd w:id="0"/>
      <w:r w:rsidR="00526FF1">
        <w:rPr>
          <w:sz w:val="24"/>
          <w:szCs w:val="24"/>
        </w:rPr>
        <w:t xml:space="preserve">lation to </w:t>
      </w:r>
      <w:r w:rsidR="006A2BEF">
        <w:rPr>
          <w:sz w:val="24"/>
          <w:szCs w:val="24"/>
        </w:rPr>
        <w:t xml:space="preserve">new applications for </w:t>
      </w:r>
      <w:r w:rsidR="00526FF1">
        <w:rPr>
          <w:sz w:val="24"/>
          <w:szCs w:val="24"/>
        </w:rPr>
        <w:t xml:space="preserve">a </w:t>
      </w:r>
      <w:r w:rsidR="000934B1">
        <w:rPr>
          <w:sz w:val="24"/>
        </w:rPr>
        <w:t xml:space="preserve">Working </w:t>
      </w:r>
      <w:r w:rsidR="006A2BEF">
        <w:rPr>
          <w:sz w:val="24"/>
        </w:rPr>
        <w:t xml:space="preserve">Holiday </w:t>
      </w:r>
      <w:r w:rsidR="00526FF1">
        <w:rPr>
          <w:sz w:val="24"/>
        </w:rPr>
        <w:t xml:space="preserve">(Temporary) (Class TZ) </w:t>
      </w:r>
      <w:r w:rsidR="006A2BEF">
        <w:rPr>
          <w:sz w:val="24"/>
        </w:rPr>
        <w:t>visa</w:t>
      </w:r>
      <w:r w:rsidR="006A2BEF">
        <w:rPr>
          <w:sz w:val="24"/>
          <w:szCs w:val="24"/>
        </w:rPr>
        <w:t xml:space="preserve"> made on or after 1 July 2019. Applications made before 1</w:t>
      </w:r>
      <w:r w:rsidR="00526FF1">
        <w:rPr>
          <w:sz w:val="24"/>
          <w:szCs w:val="24"/>
        </w:rPr>
        <w:t> </w:t>
      </w:r>
      <w:r w:rsidR="006A2BEF">
        <w:rPr>
          <w:sz w:val="24"/>
          <w:szCs w:val="24"/>
        </w:rPr>
        <w:t xml:space="preserve">July 2019 are subject to the requirements set out </w:t>
      </w:r>
      <w:r w:rsidR="00526FF1">
        <w:rPr>
          <w:sz w:val="24"/>
          <w:szCs w:val="24"/>
        </w:rPr>
        <w:t>in</w:t>
      </w:r>
      <w:r w:rsidR="006A2BEF">
        <w:rPr>
          <w:sz w:val="24"/>
          <w:szCs w:val="24"/>
        </w:rPr>
        <w:t xml:space="preserve"> LIN </w:t>
      </w:r>
      <w:r w:rsidR="006A2BEF">
        <w:rPr>
          <w:sz w:val="24"/>
        </w:rPr>
        <w:t>18/</w:t>
      </w:r>
      <w:r w:rsidR="000934B1">
        <w:rPr>
          <w:sz w:val="24"/>
        </w:rPr>
        <w:t>173</w:t>
      </w:r>
      <w:r w:rsidR="006A2BEF">
        <w:rPr>
          <w:sz w:val="24"/>
        </w:rPr>
        <w:t>.</w:t>
      </w:r>
    </w:p>
    <w:p w14:paraId="254F7B93" w14:textId="1004CEDF" w:rsidR="00193A68" w:rsidRDefault="00D60CC8" w:rsidP="00F336E2">
      <w:pPr>
        <w:numPr>
          <w:ilvl w:val="0"/>
          <w:numId w:val="9"/>
        </w:numPr>
        <w:tabs>
          <w:tab w:val="left" w:pos="567"/>
        </w:tabs>
        <w:spacing w:before="360" w:line="360" w:lineRule="auto"/>
        <w:ind w:left="567" w:hanging="567"/>
        <w:jc w:val="both"/>
        <w:rPr>
          <w:i/>
          <w:sz w:val="24"/>
          <w:szCs w:val="24"/>
        </w:rPr>
      </w:pPr>
      <w:r w:rsidRPr="00193A68">
        <w:rPr>
          <w:sz w:val="24"/>
          <w:szCs w:val="24"/>
        </w:rPr>
        <w:t>Consultation was undertaken before the instrument was made as follows:</w:t>
      </w:r>
      <w:r w:rsidR="006C22B0" w:rsidRPr="00193A68">
        <w:rPr>
          <w:sz w:val="24"/>
          <w:szCs w:val="24"/>
        </w:rPr>
        <w:t xml:space="preserve"> </w:t>
      </w:r>
    </w:p>
    <w:p w14:paraId="75447F28" w14:textId="2B0C6E3B" w:rsidR="00FE5CA7" w:rsidRPr="00290168" w:rsidRDefault="00FE5CA7" w:rsidP="00290168">
      <w:pPr>
        <w:numPr>
          <w:ilvl w:val="0"/>
          <w:numId w:val="13"/>
        </w:numPr>
        <w:spacing w:line="360" w:lineRule="auto"/>
        <w:ind w:left="1134" w:hanging="567"/>
        <w:jc w:val="both"/>
        <w:rPr>
          <w:sz w:val="24"/>
          <w:szCs w:val="24"/>
        </w:rPr>
      </w:pPr>
      <w:r>
        <w:rPr>
          <w:sz w:val="24"/>
          <w:szCs w:val="24"/>
        </w:rPr>
        <w:t xml:space="preserve">Previously, the Department had consulted with tourism industry stakeholders through the Tourism Visa Advisory Group in relation to a decision to increase the </w:t>
      </w:r>
      <w:r w:rsidR="007C268C">
        <w:rPr>
          <w:sz w:val="24"/>
          <w:szCs w:val="24"/>
        </w:rPr>
        <w:t xml:space="preserve">eligible </w:t>
      </w:r>
      <w:r>
        <w:rPr>
          <w:sz w:val="24"/>
          <w:szCs w:val="24"/>
        </w:rPr>
        <w:t xml:space="preserve">age for </w:t>
      </w:r>
      <w:r w:rsidR="00290168">
        <w:rPr>
          <w:sz w:val="24"/>
          <w:szCs w:val="24"/>
        </w:rPr>
        <w:t xml:space="preserve">Subclass 417 (Working Holiday) visa applicants. Additionally, the Department consulted with </w:t>
      </w:r>
      <w:r w:rsidR="00290168" w:rsidRPr="00290168">
        <w:rPr>
          <w:sz w:val="24"/>
          <w:szCs w:val="24"/>
        </w:rPr>
        <w:t xml:space="preserve">the Department of Employment, the Department of Foreign Affairs and Trade, the Department of Finance, </w:t>
      </w:r>
      <w:r w:rsidR="006D102D">
        <w:rPr>
          <w:sz w:val="24"/>
          <w:szCs w:val="24"/>
        </w:rPr>
        <w:t xml:space="preserve">the Department of the </w:t>
      </w:r>
      <w:r w:rsidR="00290168" w:rsidRPr="00290168">
        <w:rPr>
          <w:sz w:val="24"/>
          <w:szCs w:val="24"/>
        </w:rPr>
        <w:t xml:space="preserve">Treasury, </w:t>
      </w:r>
      <w:r w:rsidR="006D102D">
        <w:rPr>
          <w:sz w:val="24"/>
          <w:szCs w:val="24"/>
        </w:rPr>
        <w:t xml:space="preserve">the </w:t>
      </w:r>
      <w:r w:rsidR="00290168" w:rsidRPr="00290168">
        <w:rPr>
          <w:sz w:val="24"/>
          <w:szCs w:val="24"/>
        </w:rPr>
        <w:t xml:space="preserve">Department of Agriculture and Tourism Australia </w:t>
      </w:r>
      <w:r w:rsidR="00290168">
        <w:rPr>
          <w:sz w:val="24"/>
          <w:szCs w:val="24"/>
        </w:rPr>
        <w:t xml:space="preserve">on the increase </w:t>
      </w:r>
      <w:r w:rsidR="00D96E7F">
        <w:rPr>
          <w:sz w:val="24"/>
          <w:szCs w:val="24"/>
        </w:rPr>
        <w:t xml:space="preserve">of the </w:t>
      </w:r>
      <w:r w:rsidR="00290168">
        <w:rPr>
          <w:sz w:val="24"/>
          <w:szCs w:val="24"/>
        </w:rPr>
        <w:t>eligible age.</w:t>
      </w:r>
    </w:p>
    <w:p w14:paraId="5FCF09AE" w14:textId="5A2AFA4D" w:rsidR="00FE5CA7" w:rsidRPr="00FE5CA7" w:rsidRDefault="00557025" w:rsidP="00FE5CA7">
      <w:pPr>
        <w:numPr>
          <w:ilvl w:val="0"/>
          <w:numId w:val="13"/>
        </w:numPr>
        <w:spacing w:line="360" w:lineRule="auto"/>
        <w:ind w:left="1134" w:hanging="567"/>
        <w:jc w:val="both"/>
        <w:rPr>
          <w:sz w:val="24"/>
          <w:szCs w:val="24"/>
        </w:rPr>
      </w:pPr>
      <w:r>
        <w:rPr>
          <w:sz w:val="24"/>
          <w:szCs w:val="24"/>
        </w:rPr>
        <w:t>The Department (with support from the Department of Foreign Affairs and Trade) commenced bilateral negotiations with the Government of France to secure an agreement for the implementation of the age increase.</w:t>
      </w:r>
      <w:r w:rsidR="00F75795">
        <w:rPr>
          <w:sz w:val="24"/>
          <w:szCs w:val="24"/>
        </w:rPr>
        <w:t xml:space="preserve"> In-principle agreement with the Government of France was reached in late 2018.</w:t>
      </w:r>
      <w:r w:rsidR="00C62FF6">
        <w:rPr>
          <w:sz w:val="24"/>
          <w:szCs w:val="24"/>
        </w:rPr>
        <w:t xml:space="preserve"> Official confirmation by France was received on 24 June 2019.</w:t>
      </w:r>
    </w:p>
    <w:p w14:paraId="24B344A2" w14:textId="77777777" w:rsidR="00193A68" w:rsidRPr="001841F7" w:rsidRDefault="00546F77" w:rsidP="00F336E2">
      <w:pPr>
        <w:numPr>
          <w:ilvl w:val="0"/>
          <w:numId w:val="9"/>
        </w:numPr>
        <w:tabs>
          <w:tab w:val="left" w:pos="567"/>
        </w:tabs>
        <w:spacing w:before="360" w:line="360" w:lineRule="auto"/>
        <w:ind w:left="567" w:hanging="567"/>
        <w:jc w:val="both"/>
        <w:rPr>
          <w:i/>
          <w:sz w:val="24"/>
          <w:szCs w:val="24"/>
        </w:rPr>
      </w:pPr>
      <w:r w:rsidRPr="00193A68">
        <w:rPr>
          <w:sz w:val="24"/>
          <w:szCs w:val="24"/>
        </w:rPr>
        <w:t xml:space="preserve">The Office of </w:t>
      </w:r>
      <w:r w:rsidRPr="00A01B3D">
        <w:rPr>
          <w:sz w:val="24"/>
          <w:szCs w:val="24"/>
        </w:rPr>
        <w:t xml:space="preserve">Best Practice Regulation </w:t>
      </w:r>
      <w:r w:rsidR="000D246E" w:rsidRPr="00A01B3D">
        <w:rPr>
          <w:sz w:val="24"/>
          <w:szCs w:val="24"/>
        </w:rPr>
        <w:t xml:space="preserve">(OBPR) </w:t>
      </w:r>
      <w:r w:rsidRPr="00A01B3D">
        <w:rPr>
          <w:sz w:val="24"/>
          <w:szCs w:val="24"/>
        </w:rPr>
        <w:t>has advised that a Regulat</w:t>
      </w:r>
      <w:r w:rsidR="00911D5A" w:rsidRPr="00A01B3D">
        <w:rPr>
          <w:sz w:val="24"/>
          <w:szCs w:val="24"/>
        </w:rPr>
        <w:t>ory</w:t>
      </w:r>
      <w:r w:rsidRPr="00A01B3D">
        <w:rPr>
          <w:sz w:val="24"/>
          <w:szCs w:val="24"/>
        </w:rPr>
        <w:t xml:space="preserve"> Impact Statement is not required (OBPR Reference </w:t>
      </w:r>
      <w:r w:rsidR="00A01B3D" w:rsidRPr="00EF518F">
        <w:rPr>
          <w:sz w:val="24"/>
          <w:szCs w:val="24"/>
        </w:rPr>
        <w:t>22248</w:t>
      </w:r>
      <w:r w:rsidRPr="00A01B3D">
        <w:rPr>
          <w:sz w:val="24"/>
          <w:szCs w:val="24"/>
        </w:rPr>
        <w:t>)</w:t>
      </w:r>
      <w:r w:rsidR="000B29BF" w:rsidRPr="00A01B3D">
        <w:rPr>
          <w:sz w:val="24"/>
          <w:szCs w:val="24"/>
        </w:rPr>
        <w:t>.</w:t>
      </w:r>
    </w:p>
    <w:p w14:paraId="0C5CCE53" w14:textId="77777777" w:rsidR="001841F7" w:rsidRPr="00FE019F" w:rsidRDefault="001841F7" w:rsidP="00361986">
      <w:pPr>
        <w:numPr>
          <w:ilvl w:val="0"/>
          <w:numId w:val="9"/>
        </w:numPr>
        <w:tabs>
          <w:tab w:val="left" w:pos="567"/>
        </w:tabs>
        <w:spacing w:before="360" w:line="360" w:lineRule="auto"/>
        <w:ind w:left="567" w:hanging="567"/>
        <w:jc w:val="both"/>
        <w:rPr>
          <w:i/>
          <w:sz w:val="24"/>
          <w:szCs w:val="24"/>
        </w:rPr>
      </w:pPr>
      <w:r>
        <w:rPr>
          <w:sz w:val="24"/>
          <w:szCs w:val="24"/>
        </w:rPr>
        <w:t xml:space="preserve">The </w:t>
      </w:r>
      <w:r w:rsidR="00417400">
        <w:rPr>
          <w:sz w:val="24"/>
          <w:szCs w:val="24"/>
        </w:rPr>
        <w:t>officer (</w:t>
      </w:r>
      <w:r>
        <w:rPr>
          <w:sz w:val="24"/>
          <w:szCs w:val="24"/>
        </w:rPr>
        <w:t>Senior Executive Service, Band</w:t>
      </w:r>
      <w:r w:rsidR="00DA5C4A">
        <w:rPr>
          <w:sz w:val="24"/>
          <w:szCs w:val="24"/>
        </w:rPr>
        <w:t xml:space="preserve"> one</w:t>
      </w:r>
      <w:r>
        <w:rPr>
          <w:sz w:val="24"/>
          <w:szCs w:val="24"/>
        </w:rPr>
        <w:t xml:space="preserve">, </w:t>
      </w:r>
      <w:r w:rsidR="00EC4110">
        <w:rPr>
          <w:sz w:val="24"/>
          <w:szCs w:val="24"/>
        </w:rPr>
        <w:t>Immigration and Visa Services Division</w:t>
      </w:r>
      <w:r w:rsidR="00417400">
        <w:rPr>
          <w:sz w:val="24"/>
          <w:szCs w:val="24"/>
        </w:rPr>
        <w:t>) who made the instrument</w:t>
      </w:r>
      <w:r>
        <w:rPr>
          <w:sz w:val="24"/>
          <w:szCs w:val="24"/>
        </w:rPr>
        <w:t xml:space="preserve"> was delegated the powers </w:t>
      </w:r>
      <w:r w:rsidR="00417400">
        <w:rPr>
          <w:sz w:val="24"/>
          <w:szCs w:val="24"/>
        </w:rPr>
        <w:t xml:space="preserve">required to make the instrument </w:t>
      </w:r>
      <w:r>
        <w:rPr>
          <w:sz w:val="24"/>
          <w:szCs w:val="24"/>
        </w:rPr>
        <w:t>in</w:t>
      </w:r>
      <w:r w:rsidR="00417400">
        <w:rPr>
          <w:sz w:val="24"/>
          <w:szCs w:val="24"/>
        </w:rPr>
        <w:t xml:space="preserve"> </w:t>
      </w:r>
      <w:r w:rsidR="00D16C2F" w:rsidRPr="00D16C2F">
        <w:rPr>
          <w:i/>
          <w:sz w:val="24"/>
          <w:szCs w:val="24"/>
        </w:rPr>
        <w:t>Minister – Delegations Instrument No. 5 of 2018 (Instrument Making Powers) (MHA No. 5 of 2018)</w:t>
      </w:r>
      <w:r>
        <w:rPr>
          <w:sz w:val="24"/>
          <w:szCs w:val="24"/>
        </w:rPr>
        <w:t>, signed on</w:t>
      </w:r>
      <w:r w:rsidR="00DA5C4A">
        <w:rPr>
          <w:sz w:val="24"/>
          <w:szCs w:val="24"/>
        </w:rPr>
        <w:t xml:space="preserve"> </w:t>
      </w:r>
      <w:r w:rsidR="00D16C2F">
        <w:rPr>
          <w:sz w:val="24"/>
          <w:szCs w:val="24"/>
        </w:rPr>
        <w:t>10 April 2018</w:t>
      </w:r>
      <w:r w:rsidR="00DA5C4A">
        <w:rPr>
          <w:sz w:val="24"/>
          <w:szCs w:val="24"/>
        </w:rPr>
        <w:t>.</w:t>
      </w:r>
    </w:p>
    <w:p w14:paraId="5F6406F7" w14:textId="77777777" w:rsidR="002A06A8" w:rsidRPr="0049196B" w:rsidRDefault="002A06A8" w:rsidP="002A06A8">
      <w:pPr>
        <w:numPr>
          <w:ilvl w:val="0"/>
          <w:numId w:val="9"/>
        </w:numPr>
        <w:tabs>
          <w:tab w:val="left" w:pos="567"/>
        </w:tabs>
        <w:spacing w:before="360" w:line="360" w:lineRule="auto"/>
        <w:ind w:left="567" w:hanging="567"/>
        <w:jc w:val="both"/>
        <w:rPr>
          <w:i/>
          <w:sz w:val="24"/>
          <w:szCs w:val="24"/>
        </w:rPr>
      </w:pPr>
      <w:r w:rsidRPr="0049196B">
        <w:rPr>
          <w:sz w:val="24"/>
          <w:szCs w:val="24"/>
        </w:rPr>
        <w:lastRenderedPageBreak/>
        <w:t xml:space="preserve">Under section 10 of the </w:t>
      </w:r>
      <w:r w:rsidRPr="0049196B">
        <w:rPr>
          <w:i/>
          <w:sz w:val="24"/>
          <w:szCs w:val="24"/>
        </w:rPr>
        <w:t>Legislation (Exemptions and Other Matters) Regulation 2015</w:t>
      </w:r>
      <w:r w:rsidRPr="0049196B">
        <w:rPr>
          <w:sz w:val="24"/>
          <w:szCs w:val="24"/>
        </w:rPr>
        <w:t xml:space="preserve">, the </w:t>
      </w:r>
      <w:r w:rsidR="005F686B" w:rsidRPr="0049196B">
        <w:rPr>
          <w:sz w:val="24"/>
          <w:szCs w:val="24"/>
        </w:rPr>
        <w:t>i</w:t>
      </w:r>
      <w:r w:rsidRPr="0049196B">
        <w:rPr>
          <w:sz w:val="24"/>
          <w:szCs w:val="24"/>
        </w:rPr>
        <w:t>nstrument is exempt from disallowance and therefore a Statement of Compati</w:t>
      </w:r>
      <w:r w:rsidR="00DA5C4A" w:rsidRPr="0049196B">
        <w:rPr>
          <w:sz w:val="24"/>
          <w:szCs w:val="24"/>
        </w:rPr>
        <w:t xml:space="preserve">bility with Human Rights is not </w:t>
      </w:r>
      <w:r w:rsidRPr="0049196B">
        <w:rPr>
          <w:sz w:val="24"/>
          <w:szCs w:val="24"/>
        </w:rPr>
        <w:t>required.</w:t>
      </w:r>
    </w:p>
    <w:p w14:paraId="1B6C1025" w14:textId="77777777" w:rsidR="005C07E5" w:rsidRPr="00271451" w:rsidRDefault="005C07E5" w:rsidP="001E219C">
      <w:pPr>
        <w:numPr>
          <w:ilvl w:val="0"/>
          <w:numId w:val="9"/>
        </w:numPr>
        <w:tabs>
          <w:tab w:val="left" w:pos="567"/>
        </w:tabs>
        <w:spacing w:before="360" w:line="360" w:lineRule="auto"/>
        <w:ind w:left="567" w:hanging="567"/>
        <w:jc w:val="both"/>
        <w:rPr>
          <w:sz w:val="24"/>
          <w:szCs w:val="24"/>
        </w:rPr>
      </w:pPr>
      <w:r w:rsidRPr="00271451">
        <w:rPr>
          <w:sz w:val="24"/>
          <w:szCs w:val="24"/>
        </w:rPr>
        <w:t>The</w:t>
      </w:r>
      <w:r w:rsidRPr="00271451">
        <w:rPr>
          <w:sz w:val="24"/>
        </w:rPr>
        <w:t xml:space="preserve"> </w:t>
      </w:r>
      <w:r w:rsidR="005F686B" w:rsidRPr="00271451">
        <w:rPr>
          <w:sz w:val="24"/>
        </w:rPr>
        <w:t>i</w:t>
      </w:r>
      <w:r w:rsidRPr="00271451">
        <w:rPr>
          <w:sz w:val="24"/>
        </w:rPr>
        <w:t xml:space="preserve">nstrument </w:t>
      </w:r>
      <w:r w:rsidR="00D60CC8" w:rsidRPr="00271451">
        <w:rPr>
          <w:sz w:val="24"/>
        </w:rPr>
        <w:t xml:space="preserve">commences </w:t>
      </w:r>
      <w:r w:rsidRPr="00271451">
        <w:rPr>
          <w:sz w:val="24"/>
        </w:rPr>
        <w:t xml:space="preserve">on </w:t>
      </w:r>
      <w:r w:rsidR="00271451" w:rsidRPr="00271451">
        <w:rPr>
          <w:sz w:val="24"/>
        </w:rPr>
        <w:t>1 July 2019</w:t>
      </w:r>
      <w:r w:rsidRPr="00271451">
        <w:rPr>
          <w:sz w:val="24"/>
        </w:rPr>
        <w:t>.</w:t>
      </w:r>
    </w:p>
    <w:sectPr w:rsidR="005C07E5" w:rsidRPr="00271451" w:rsidSect="00C85D16">
      <w:headerReference w:type="default" r:id="rId8"/>
      <w:pgSz w:w="11906" w:h="16838"/>
      <w:pgMar w:top="1560" w:right="1416" w:bottom="1134" w:left="1418" w:header="426"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C66CD" w14:textId="77777777" w:rsidR="00C048BE" w:rsidRDefault="00C048BE">
      <w:r>
        <w:separator/>
      </w:r>
    </w:p>
  </w:endnote>
  <w:endnote w:type="continuationSeparator" w:id="0">
    <w:p w14:paraId="457F8C55" w14:textId="77777777" w:rsidR="00C048BE" w:rsidRDefault="00C0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4D066" w14:textId="77777777" w:rsidR="00C048BE" w:rsidRDefault="00C048BE">
      <w:r>
        <w:separator/>
      </w:r>
    </w:p>
  </w:footnote>
  <w:footnote w:type="continuationSeparator" w:id="0">
    <w:p w14:paraId="51929300" w14:textId="77777777" w:rsidR="00C048BE" w:rsidRDefault="00C04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A3319" w14:textId="547E5C1F" w:rsidR="001D091B" w:rsidRPr="006C22B0" w:rsidRDefault="00B52BE5" w:rsidP="001D091B">
    <w:pPr>
      <w:pStyle w:val="Header"/>
      <w:jc w:val="right"/>
      <w:rPr>
        <w:rFonts w:ascii="Times New Roman" w:hAnsi="Times New Roman"/>
        <w:sz w:val="22"/>
        <w:szCs w:val="22"/>
      </w:rPr>
    </w:pPr>
    <w:r>
      <w:rPr>
        <w:rFonts w:ascii="Times New Roman" w:hAnsi="Times New Roman"/>
        <w:sz w:val="22"/>
        <w:szCs w:val="22"/>
      </w:rPr>
      <w:t>LIN 19/183</w:t>
    </w:r>
  </w:p>
  <w:p w14:paraId="43A7282A" w14:textId="77777777" w:rsidR="00546F77" w:rsidRPr="001D091B" w:rsidRDefault="00546F77" w:rsidP="001D0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81FFC"/>
    <w:multiLevelType w:val="hybridMultilevel"/>
    <w:tmpl w:val="40A20E04"/>
    <w:lvl w:ilvl="0" w:tplc="0C09000F">
      <w:start w:val="1"/>
      <w:numFmt w:val="decimal"/>
      <w:lvlText w:val="%1."/>
      <w:lvlJc w:val="left"/>
      <w:pPr>
        <w:tabs>
          <w:tab w:val="num" w:pos="720"/>
        </w:tabs>
        <w:ind w:left="720" w:hanging="360"/>
      </w:pPr>
    </w:lvl>
    <w:lvl w:ilvl="1" w:tplc="FFB2E388">
      <w:start w:val="1"/>
      <w:numFmt w:val="lowerLetter"/>
      <w:lvlText w:val="%2."/>
      <w:lvlJc w:val="left"/>
      <w:pPr>
        <w:tabs>
          <w:tab w:val="num" w:pos="1440"/>
        </w:tabs>
        <w:ind w:left="1440" w:hanging="360"/>
      </w:pPr>
      <w:rPr>
        <w:rFonts w:hint="default"/>
        <w:i w:val="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E532FA0"/>
    <w:multiLevelType w:val="multilevel"/>
    <w:tmpl w:val="688402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00F3EB4"/>
    <w:multiLevelType w:val="hybridMultilevel"/>
    <w:tmpl w:val="5D18D96A"/>
    <w:lvl w:ilvl="0" w:tplc="0C09000F">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75B3044"/>
    <w:multiLevelType w:val="hybridMultilevel"/>
    <w:tmpl w:val="070E1FB8"/>
    <w:lvl w:ilvl="0" w:tplc="EEB68044">
      <w:start w:val="1"/>
      <w:numFmt w:val="decimal"/>
      <w:lvlText w:val="%1."/>
      <w:lvlJc w:val="left"/>
      <w:pPr>
        <w:ind w:left="72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0C0A8D"/>
    <w:multiLevelType w:val="hybridMultilevel"/>
    <w:tmpl w:val="038C5F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6A4E24"/>
    <w:multiLevelType w:val="hybridMultilevel"/>
    <w:tmpl w:val="F20AF5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A730128"/>
    <w:multiLevelType w:val="hybridMultilevel"/>
    <w:tmpl w:val="FC4EDDB6"/>
    <w:lvl w:ilvl="0" w:tplc="0C09000F">
      <w:start w:val="1"/>
      <w:numFmt w:val="decimal"/>
      <w:lvlText w:val="%1."/>
      <w:lvlJc w:val="left"/>
      <w:pPr>
        <w:tabs>
          <w:tab w:val="num" w:pos="698"/>
        </w:tabs>
        <w:ind w:left="698" w:hanging="360"/>
      </w:pPr>
    </w:lvl>
    <w:lvl w:ilvl="1" w:tplc="0C090019" w:tentative="1">
      <w:start w:val="1"/>
      <w:numFmt w:val="lowerLetter"/>
      <w:lvlText w:val="%2."/>
      <w:lvlJc w:val="left"/>
      <w:pPr>
        <w:tabs>
          <w:tab w:val="num" w:pos="1418"/>
        </w:tabs>
        <w:ind w:left="1418" w:hanging="360"/>
      </w:pPr>
    </w:lvl>
    <w:lvl w:ilvl="2" w:tplc="0C09001B" w:tentative="1">
      <w:start w:val="1"/>
      <w:numFmt w:val="lowerRoman"/>
      <w:lvlText w:val="%3."/>
      <w:lvlJc w:val="right"/>
      <w:pPr>
        <w:tabs>
          <w:tab w:val="num" w:pos="2138"/>
        </w:tabs>
        <w:ind w:left="2138" w:hanging="180"/>
      </w:pPr>
    </w:lvl>
    <w:lvl w:ilvl="3" w:tplc="0C09000F" w:tentative="1">
      <w:start w:val="1"/>
      <w:numFmt w:val="decimal"/>
      <w:lvlText w:val="%4."/>
      <w:lvlJc w:val="left"/>
      <w:pPr>
        <w:tabs>
          <w:tab w:val="num" w:pos="2858"/>
        </w:tabs>
        <w:ind w:left="2858" w:hanging="360"/>
      </w:pPr>
    </w:lvl>
    <w:lvl w:ilvl="4" w:tplc="0C090019" w:tentative="1">
      <w:start w:val="1"/>
      <w:numFmt w:val="lowerLetter"/>
      <w:lvlText w:val="%5."/>
      <w:lvlJc w:val="left"/>
      <w:pPr>
        <w:tabs>
          <w:tab w:val="num" w:pos="3578"/>
        </w:tabs>
        <w:ind w:left="3578" w:hanging="360"/>
      </w:pPr>
    </w:lvl>
    <w:lvl w:ilvl="5" w:tplc="0C09001B" w:tentative="1">
      <w:start w:val="1"/>
      <w:numFmt w:val="lowerRoman"/>
      <w:lvlText w:val="%6."/>
      <w:lvlJc w:val="right"/>
      <w:pPr>
        <w:tabs>
          <w:tab w:val="num" w:pos="4298"/>
        </w:tabs>
        <w:ind w:left="4298" w:hanging="180"/>
      </w:pPr>
    </w:lvl>
    <w:lvl w:ilvl="6" w:tplc="0C09000F" w:tentative="1">
      <w:start w:val="1"/>
      <w:numFmt w:val="decimal"/>
      <w:lvlText w:val="%7."/>
      <w:lvlJc w:val="left"/>
      <w:pPr>
        <w:tabs>
          <w:tab w:val="num" w:pos="5018"/>
        </w:tabs>
        <w:ind w:left="5018" w:hanging="360"/>
      </w:pPr>
    </w:lvl>
    <w:lvl w:ilvl="7" w:tplc="0C090019" w:tentative="1">
      <w:start w:val="1"/>
      <w:numFmt w:val="lowerLetter"/>
      <w:lvlText w:val="%8."/>
      <w:lvlJc w:val="left"/>
      <w:pPr>
        <w:tabs>
          <w:tab w:val="num" w:pos="5738"/>
        </w:tabs>
        <w:ind w:left="5738" w:hanging="360"/>
      </w:pPr>
    </w:lvl>
    <w:lvl w:ilvl="8" w:tplc="0C09001B" w:tentative="1">
      <w:start w:val="1"/>
      <w:numFmt w:val="lowerRoman"/>
      <w:lvlText w:val="%9."/>
      <w:lvlJc w:val="right"/>
      <w:pPr>
        <w:tabs>
          <w:tab w:val="num" w:pos="6458"/>
        </w:tabs>
        <w:ind w:left="6458" w:hanging="180"/>
      </w:pPr>
    </w:lvl>
  </w:abstractNum>
  <w:abstractNum w:abstractNumId="7" w15:restartNumberingAfterBreak="0">
    <w:nsid w:val="4E513158"/>
    <w:multiLevelType w:val="hybridMultilevel"/>
    <w:tmpl w:val="99ACD52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51D92E6A"/>
    <w:multiLevelType w:val="hybridMultilevel"/>
    <w:tmpl w:val="A1E8D5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48D7949"/>
    <w:multiLevelType w:val="hybridMultilevel"/>
    <w:tmpl w:val="8DC07B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3CE1E26"/>
    <w:multiLevelType w:val="hybridMultilevel"/>
    <w:tmpl w:val="85048458"/>
    <w:lvl w:ilvl="0" w:tplc="0C09000F">
      <w:start w:val="1"/>
      <w:numFmt w:val="decimal"/>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1" w15:restartNumberingAfterBreak="0">
    <w:nsid w:val="6CB7796A"/>
    <w:multiLevelType w:val="singleLevel"/>
    <w:tmpl w:val="3E6ACC2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F2D692E"/>
    <w:multiLevelType w:val="hybridMultilevel"/>
    <w:tmpl w:val="A42E21F4"/>
    <w:lvl w:ilvl="0" w:tplc="0C090019">
      <w:start w:val="1"/>
      <w:numFmt w:val="lowerLetter"/>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F619F9"/>
    <w:multiLevelType w:val="hybridMultilevel"/>
    <w:tmpl w:val="53D68F3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69723E"/>
    <w:multiLevelType w:val="singleLevel"/>
    <w:tmpl w:val="0ED8E5EC"/>
    <w:lvl w:ilvl="0">
      <w:start w:val="4"/>
      <w:numFmt w:val="decimal"/>
      <w:lvlText w:val="(%1)"/>
      <w:lvlJc w:val="left"/>
      <w:pPr>
        <w:tabs>
          <w:tab w:val="num" w:pos="720"/>
        </w:tabs>
        <w:ind w:left="720" w:hanging="720"/>
      </w:pPr>
      <w:rPr>
        <w:rFonts w:hint="default"/>
      </w:rPr>
    </w:lvl>
  </w:abstractNum>
  <w:num w:numId="1">
    <w:abstractNumId w:val="14"/>
  </w:num>
  <w:num w:numId="2">
    <w:abstractNumId w:val="11"/>
  </w:num>
  <w:num w:numId="3">
    <w:abstractNumId w:val="6"/>
  </w:num>
  <w:num w:numId="4">
    <w:abstractNumId w:val="0"/>
  </w:num>
  <w:num w:numId="5">
    <w:abstractNumId w:val="1"/>
  </w:num>
  <w:num w:numId="6">
    <w:abstractNumId w:val="7"/>
  </w:num>
  <w:num w:numId="7">
    <w:abstractNumId w:val="12"/>
  </w:num>
  <w:num w:numId="8">
    <w:abstractNumId w:val="2"/>
  </w:num>
  <w:num w:numId="9">
    <w:abstractNumId w:val="3"/>
  </w:num>
  <w:num w:numId="10">
    <w:abstractNumId w:val="10"/>
  </w:num>
  <w:num w:numId="11">
    <w:abstractNumId w:val="9"/>
  </w:num>
  <w:num w:numId="12">
    <w:abstractNumId w:val="8"/>
  </w:num>
  <w:num w:numId="13">
    <w:abstractNumId w:val="13"/>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6A"/>
    <w:rsid w:val="00012DE8"/>
    <w:rsid w:val="00025B5D"/>
    <w:rsid w:val="000371B3"/>
    <w:rsid w:val="000665BF"/>
    <w:rsid w:val="000904AF"/>
    <w:rsid w:val="000934B1"/>
    <w:rsid w:val="000B29BF"/>
    <w:rsid w:val="000D1E10"/>
    <w:rsid w:val="000D246E"/>
    <w:rsid w:val="000E442C"/>
    <w:rsid w:val="000F0A84"/>
    <w:rsid w:val="000F4BFC"/>
    <w:rsid w:val="00115919"/>
    <w:rsid w:val="00162BD5"/>
    <w:rsid w:val="001841F7"/>
    <w:rsid w:val="00184C44"/>
    <w:rsid w:val="00193A68"/>
    <w:rsid w:val="001C07CD"/>
    <w:rsid w:val="001C5BF3"/>
    <w:rsid w:val="001D091B"/>
    <w:rsid w:val="001D0DD5"/>
    <w:rsid w:val="001D2FBD"/>
    <w:rsid w:val="001E219C"/>
    <w:rsid w:val="001F04E7"/>
    <w:rsid w:val="001F4EC7"/>
    <w:rsid w:val="00215D47"/>
    <w:rsid w:val="00215DF3"/>
    <w:rsid w:val="00222312"/>
    <w:rsid w:val="00231FFD"/>
    <w:rsid w:val="00236827"/>
    <w:rsid w:val="00244AA0"/>
    <w:rsid w:val="00253CAF"/>
    <w:rsid w:val="0026747D"/>
    <w:rsid w:val="0027119B"/>
    <w:rsid w:val="00271451"/>
    <w:rsid w:val="00290168"/>
    <w:rsid w:val="002A06A8"/>
    <w:rsid w:val="002B7AF6"/>
    <w:rsid w:val="002C1AFB"/>
    <w:rsid w:val="002C53C4"/>
    <w:rsid w:val="00302251"/>
    <w:rsid w:val="00330F55"/>
    <w:rsid w:val="003348B8"/>
    <w:rsid w:val="00361986"/>
    <w:rsid w:val="0036537A"/>
    <w:rsid w:val="00397982"/>
    <w:rsid w:val="003A53F3"/>
    <w:rsid w:val="003B63E4"/>
    <w:rsid w:val="003C5137"/>
    <w:rsid w:val="003D47CE"/>
    <w:rsid w:val="003D7768"/>
    <w:rsid w:val="00406A59"/>
    <w:rsid w:val="00417400"/>
    <w:rsid w:val="00430906"/>
    <w:rsid w:val="00465BCD"/>
    <w:rsid w:val="00472707"/>
    <w:rsid w:val="00474812"/>
    <w:rsid w:val="0048113B"/>
    <w:rsid w:val="0049196B"/>
    <w:rsid w:val="004C4B3E"/>
    <w:rsid w:val="004C6E73"/>
    <w:rsid w:val="004D6A29"/>
    <w:rsid w:val="004F5740"/>
    <w:rsid w:val="00526FF1"/>
    <w:rsid w:val="00542D46"/>
    <w:rsid w:val="00546F77"/>
    <w:rsid w:val="00554524"/>
    <w:rsid w:val="00557025"/>
    <w:rsid w:val="00567814"/>
    <w:rsid w:val="005971D7"/>
    <w:rsid w:val="005B2BF1"/>
    <w:rsid w:val="005C07E5"/>
    <w:rsid w:val="005E22A3"/>
    <w:rsid w:val="005F686B"/>
    <w:rsid w:val="00610658"/>
    <w:rsid w:val="006146DA"/>
    <w:rsid w:val="00641022"/>
    <w:rsid w:val="0064639B"/>
    <w:rsid w:val="00671004"/>
    <w:rsid w:val="006A2BEF"/>
    <w:rsid w:val="006A3828"/>
    <w:rsid w:val="006B78DA"/>
    <w:rsid w:val="006C1428"/>
    <w:rsid w:val="006C22B0"/>
    <w:rsid w:val="006C508E"/>
    <w:rsid w:val="006D102D"/>
    <w:rsid w:val="006F7EE4"/>
    <w:rsid w:val="0070010D"/>
    <w:rsid w:val="007030F4"/>
    <w:rsid w:val="00706DEF"/>
    <w:rsid w:val="0071413D"/>
    <w:rsid w:val="00715E24"/>
    <w:rsid w:val="0072078D"/>
    <w:rsid w:val="007369BE"/>
    <w:rsid w:val="007A5A26"/>
    <w:rsid w:val="007C268C"/>
    <w:rsid w:val="007D7D13"/>
    <w:rsid w:val="007E0AFF"/>
    <w:rsid w:val="00813F4A"/>
    <w:rsid w:val="00843107"/>
    <w:rsid w:val="00854256"/>
    <w:rsid w:val="008B29A7"/>
    <w:rsid w:val="008B531A"/>
    <w:rsid w:val="008C3954"/>
    <w:rsid w:val="00911D5A"/>
    <w:rsid w:val="0094678B"/>
    <w:rsid w:val="009B2428"/>
    <w:rsid w:val="009B65C4"/>
    <w:rsid w:val="009D0462"/>
    <w:rsid w:val="009D7DD8"/>
    <w:rsid w:val="009E3B49"/>
    <w:rsid w:val="00A01B3D"/>
    <w:rsid w:val="00A03F71"/>
    <w:rsid w:val="00A31178"/>
    <w:rsid w:val="00A31276"/>
    <w:rsid w:val="00A40F42"/>
    <w:rsid w:val="00A4261F"/>
    <w:rsid w:val="00A905C6"/>
    <w:rsid w:val="00A9347E"/>
    <w:rsid w:val="00AC48D9"/>
    <w:rsid w:val="00AE32B0"/>
    <w:rsid w:val="00AE3D02"/>
    <w:rsid w:val="00B52BE5"/>
    <w:rsid w:val="00B70E55"/>
    <w:rsid w:val="00B95124"/>
    <w:rsid w:val="00B97255"/>
    <w:rsid w:val="00BC008B"/>
    <w:rsid w:val="00BE62F6"/>
    <w:rsid w:val="00BF2A49"/>
    <w:rsid w:val="00BF3D6A"/>
    <w:rsid w:val="00BF3FFC"/>
    <w:rsid w:val="00BF4868"/>
    <w:rsid w:val="00BF6A03"/>
    <w:rsid w:val="00C048BE"/>
    <w:rsid w:val="00C62FF6"/>
    <w:rsid w:val="00C85D16"/>
    <w:rsid w:val="00CB5977"/>
    <w:rsid w:val="00CD3E97"/>
    <w:rsid w:val="00D16C2F"/>
    <w:rsid w:val="00D22275"/>
    <w:rsid w:val="00D263E5"/>
    <w:rsid w:val="00D60CC8"/>
    <w:rsid w:val="00D838FF"/>
    <w:rsid w:val="00D85646"/>
    <w:rsid w:val="00D96E7F"/>
    <w:rsid w:val="00DA476A"/>
    <w:rsid w:val="00DA4B5B"/>
    <w:rsid w:val="00DA5C4A"/>
    <w:rsid w:val="00DB634D"/>
    <w:rsid w:val="00DC344E"/>
    <w:rsid w:val="00E1110E"/>
    <w:rsid w:val="00E13D25"/>
    <w:rsid w:val="00E2158B"/>
    <w:rsid w:val="00E3263F"/>
    <w:rsid w:val="00E3297D"/>
    <w:rsid w:val="00E32FDC"/>
    <w:rsid w:val="00E472C4"/>
    <w:rsid w:val="00E60355"/>
    <w:rsid w:val="00E8404A"/>
    <w:rsid w:val="00E86C02"/>
    <w:rsid w:val="00E872F9"/>
    <w:rsid w:val="00EC0201"/>
    <w:rsid w:val="00EC2CC3"/>
    <w:rsid w:val="00EC4110"/>
    <w:rsid w:val="00ED27C4"/>
    <w:rsid w:val="00EE1C5E"/>
    <w:rsid w:val="00EF1B80"/>
    <w:rsid w:val="00EF4C7D"/>
    <w:rsid w:val="00EF518F"/>
    <w:rsid w:val="00F20E05"/>
    <w:rsid w:val="00F336E2"/>
    <w:rsid w:val="00F64AC1"/>
    <w:rsid w:val="00F75795"/>
    <w:rsid w:val="00F841B0"/>
    <w:rsid w:val="00F85B02"/>
    <w:rsid w:val="00FE019F"/>
    <w:rsid w:val="00FE5C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7F69B7"/>
  <w15:chartTrackingRefBased/>
  <w15:docId w15:val="{C6C6F284-8E28-4148-A7DA-85968AA9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4"/>
      <w:u w:val="single"/>
    </w:rPr>
  </w:style>
  <w:style w:type="paragraph" w:styleId="Heading2">
    <w:name w:val="heading 2"/>
    <w:basedOn w:val="Normal"/>
    <w:next w:val="Normal"/>
    <w:qFormat/>
    <w:pPr>
      <w:keepNext/>
      <w:ind w:left="1440" w:hanging="1440"/>
      <w:jc w:val="center"/>
      <w:outlineLvl w:val="1"/>
    </w:pPr>
    <w:rPr>
      <w:sz w:val="24"/>
    </w:rPr>
  </w:style>
  <w:style w:type="paragraph" w:styleId="Heading3">
    <w:name w:val="heading 3"/>
    <w:basedOn w:val="Normal"/>
    <w:next w:val="Normal"/>
    <w:qFormat/>
    <w:pPr>
      <w:keepNext/>
      <w:ind w:left="1440" w:hanging="1440"/>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hanging="22"/>
      <w:jc w:val="both"/>
    </w:pPr>
    <w:rPr>
      <w:sz w:val="24"/>
    </w:rPr>
  </w:style>
  <w:style w:type="paragraph" w:styleId="BodyTextIndent2">
    <w:name w:val="Body Text Indent 2"/>
    <w:basedOn w:val="Normal"/>
    <w:pPr>
      <w:ind w:left="1134" w:hanging="1134"/>
      <w:jc w:val="both"/>
    </w:pPr>
    <w:rPr>
      <w:sz w:val="24"/>
    </w:rPr>
  </w:style>
  <w:style w:type="paragraph" w:styleId="BodyText">
    <w:name w:val="Body Text"/>
    <w:basedOn w:val="Normal"/>
    <w:pPr>
      <w:jc w:val="both"/>
    </w:pPr>
    <w:rPr>
      <w:sz w:val="24"/>
    </w:rPr>
  </w:style>
  <w:style w:type="paragraph" w:styleId="BodyTextIndent3">
    <w:name w:val="Body Text Indent 3"/>
    <w:basedOn w:val="Normal"/>
    <w:pPr>
      <w:ind w:left="1843" w:hanging="1843"/>
      <w:jc w:val="both"/>
    </w:pPr>
    <w:rPr>
      <w:sz w:val="24"/>
    </w:rPr>
  </w:style>
  <w:style w:type="paragraph" w:styleId="Header">
    <w:name w:val="header"/>
    <w:basedOn w:val="Normal"/>
    <w:link w:val="HeaderChar"/>
    <w:pPr>
      <w:tabs>
        <w:tab w:val="center" w:pos="4320"/>
        <w:tab w:val="right" w:pos="8640"/>
      </w:tabs>
    </w:pPr>
    <w:rPr>
      <w:rFonts w:ascii="Arial" w:hAnsi="Arial"/>
      <w:sz w:val="24"/>
    </w:rPr>
  </w:style>
  <w:style w:type="paragraph" w:styleId="BalloonText">
    <w:name w:val="Balloon Text"/>
    <w:basedOn w:val="Normal"/>
    <w:semiHidden/>
    <w:rsid w:val="001D0DD5"/>
    <w:rPr>
      <w:rFonts w:ascii="Tahoma" w:hAnsi="Tahoma" w:cs="Tahoma"/>
      <w:sz w:val="16"/>
      <w:szCs w:val="16"/>
    </w:rPr>
  </w:style>
  <w:style w:type="paragraph" w:styleId="Footer">
    <w:name w:val="footer"/>
    <w:basedOn w:val="Normal"/>
    <w:rsid w:val="00F64AC1"/>
    <w:pPr>
      <w:tabs>
        <w:tab w:val="center" w:pos="4153"/>
        <w:tab w:val="right" w:pos="8306"/>
      </w:tabs>
    </w:pPr>
  </w:style>
  <w:style w:type="paragraph" w:customStyle="1" w:styleId="CharChar">
    <w:name w:val="Char Char"/>
    <w:basedOn w:val="Normal"/>
    <w:rsid w:val="00E8404A"/>
    <w:pPr>
      <w:spacing w:before="120" w:after="120"/>
    </w:pPr>
    <w:rPr>
      <w:rFonts w:ascii="Arial" w:hAnsi="Arial"/>
      <w:sz w:val="22"/>
      <w:lang w:eastAsia="en-US"/>
    </w:rPr>
  </w:style>
  <w:style w:type="paragraph" w:customStyle="1" w:styleId="DefaultParagraphFont1CharChar1">
    <w:name w:val="Default Paragraph Font1 Char Char1"/>
    <w:aliases w:val=" Char Char1 Char Char1, Char1 Char Char Char Char Char Char"/>
    <w:basedOn w:val="Normal"/>
    <w:rsid w:val="00BF4868"/>
    <w:pPr>
      <w:spacing w:after="160" w:line="240" w:lineRule="exact"/>
    </w:pPr>
    <w:rPr>
      <w:rFonts w:ascii="Arial" w:hAnsi="Arial"/>
      <w:sz w:val="22"/>
      <w:lang w:val="en-US" w:eastAsia="en-US"/>
    </w:rPr>
  </w:style>
  <w:style w:type="character" w:customStyle="1" w:styleId="HeaderChar">
    <w:name w:val="Header Char"/>
    <w:link w:val="Header"/>
    <w:rsid w:val="001D091B"/>
    <w:rPr>
      <w:rFonts w:ascii="Arial" w:hAnsi="Arial"/>
      <w:sz w:val="24"/>
    </w:rPr>
  </w:style>
  <w:style w:type="character" w:styleId="CommentReference">
    <w:name w:val="annotation reference"/>
    <w:basedOn w:val="DefaultParagraphFont"/>
    <w:uiPriority w:val="99"/>
    <w:semiHidden/>
    <w:unhideWhenUsed/>
    <w:rsid w:val="007A5A26"/>
    <w:rPr>
      <w:sz w:val="16"/>
      <w:szCs w:val="16"/>
    </w:rPr>
  </w:style>
  <w:style w:type="paragraph" w:styleId="CommentText">
    <w:name w:val="annotation text"/>
    <w:basedOn w:val="Normal"/>
    <w:link w:val="CommentTextChar"/>
    <w:uiPriority w:val="99"/>
    <w:semiHidden/>
    <w:unhideWhenUsed/>
    <w:rsid w:val="007A5A26"/>
  </w:style>
  <w:style w:type="character" w:customStyle="1" w:styleId="CommentTextChar">
    <w:name w:val="Comment Text Char"/>
    <w:basedOn w:val="DefaultParagraphFont"/>
    <w:link w:val="CommentText"/>
    <w:uiPriority w:val="99"/>
    <w:semiHidden/>
    <w:rsid w:val="007A5A26"/>
  </w:style>
  <w:style w:type="paragraph" w:styleId="CommentSubject">
    <w:name w:val="annotation subject"/>
    <w:basedOn w:val="CommentText"/>
    <w:next w:val="CommentText"/>
    <w:link w:val="CommentSubjectChar"/>
    <w:uiPriority w:val="99"/>
    <w:semiHidden/>
    <w:unhideWhenUsed/>
    <w:rsid w:val="007A5A26"/>
    <w:rPr>
      <w:b/>
      <w:bCs/>
    </w:rPr>
  </w:style>
  <w:style w:type="character" w:customStyle="1" w:styleId="CommentSubjectChar">
    <w:name w:val="Comment Subject Char"/>
    <w:basedOn w:val="CommentTextChar"/>
    <w:link w:val="CommentSubject"/>
    <w:uiPriority w:val="99"/>
    <w:semiHidden/>
    <w:rsid w:val="007A5A26"/>
    <w:rPr>
      <w:b/>
      <w:bCs/>
    </w:rPr>
  </w:style>
  <w:style w:type="paragraph" w:customStyle="1" w:styleId="CharChar0">
    <w:name w:val="Char Char"/>
    <w:basedOn w:val="Normal"/>
    <w:rsid w:val="006A2BEF"/>
    <w:pPr>
      <w:spacing w:before="120" w:after="120"/>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17CC6-F37E-4EFE-807F-401D876F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Cluster 3</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Rachael Aeschlimann</dc:creator>
  <cp:keywords/>
  <cp:lastModifiedBy>Grace LIM</cp:lastModifiedBy>
  <cp:revision>3</cp:revision>
  <cp:lastPrinted>2019-06-04T05:55:00Z</cp:lastPrinted>
  <dcterms:created xsi:type="dcterms:W3CDTF">2019-06-26T02:02:00Z</dcterms:created>
  <dcterms:modified xsi:type="dcterms:W3CDTF">2019-06-26T03:52:00Z</dcterms:modified>
</cp:coreProperties>
</file>