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04BA1" w14:textId="77777777" w:rsidR="00A46CED" w:rsidRPr="00747AA9" w:rsidRDefault="00A46CED" w:rsidP="00A65BE4">
      <w:pPr>
        <w:pStyle w:val="Heading5"/>
        <w:ind w:left="0" w:firstLine="0"/>
        <w:jc w:val="center"/>
        <w:rPr>
          <w:sz w:val="28"/>
          <w:szCs w:val="28"/>
        </w:rPr>
      </w:pPr>
      <w:r w:rsidRPr="00747AA9">
        <w:rPr>
          <w:sz w:val="28"/>
          <w:szCs w:val="28"/>
        </w:rPr>
        <w:t>EXPLANATORY STATEMENT</w:t>
      </w:r>
    </w:p>
    <w:p w14:paraId="46EF1553" w14:textId="77777777" w:rsidR="00201F66" w:rsidRPr="00747AA9" w:rsidRDefault="00201F66" w:rsidP="00747AA9">
      <w:pPr>
        <w:pStyle w:val="ShortT"/>
        <w:spacing w:before="240"/>
        <w:rPr>
          <w:sz w:val="28"/>
          <w:szCs w:val="28"/>
        </w:rPr>
      </w:pPr>
      <w:r w:rsidRPr="00747AA9">
        <w:rPr>
          <w:sz w:val="28"/>
          <w:szCs w:val="28"/>
        </w:rPr>
        <w:t>Treatment Benefits (Special Access) Rules 2019</w:t>
      </w:r>
    </w:p>
    <w:p w14:paraId="3157F637" w14:textId="77777777" w:rsidR="00201F66" w:rsidRDefault="00201F66" w:rsidP="00201F66">
      <w:pPr>
        <w:rPr>
          <w:color w:val="000000"/>
          <w:u w:val="single"/>
        </w:rPr>
      </w:pPr>
    </w:p>
    <w:p w14:paraId="1385030B" w14:textId="77777777" w:rsidR="00201F66" w:rsidRPr="00747AA9" w:rsidRDefault="00201F66" w:rsidP="00201F66">
      <w:pPr>
        <w:rPr>
          <w:color w:val="000000"/>
          <w:sz w:val="24"/>
          <w:szCs w:val="24"/>
          <w:u w:val="single"/>
        </w:rPr>
      </w:pPr>
      <w:r w:rsidRPr="00747AA9">
        <w:rPr>
          <w:color w:val="000000"/>
          <w:sz w:val="24"/>
          <w:szCs w:val="24"/>
          <w:u w:val="single"/>
        </w:rPr>
        <w:t>Instrument 2019 No. M20</w:t>
      </w:r>
    </w:p>
    <w:p w14:paraId="1F3E0461" w14:textId="77777777" w:rsidR="00A46CED" w:rsidRPr="000A51A1" w:rsidRDefault="00A46CED" w:rsidP="003572D7">
      <w:pPr>
        <w:pStyle w:val="ActHead5"/>
        <w:rPr>
          <w:b w:val="0"/>
          <w:color w:val="000000"/>
          <w:szCs w:val="24"/>
        </w:rPr>
      </w:pPr>
      <w:r w:rsidRPr="000A51A1">
        <w:rPr>
          <w:color w:val="000000"/>
          <w:szCs w:val="24"/>
        </w:rPr>
        <w:t>EMPOWERING PROVISION</w:t>
      </w:r>
      <w:r w:rsidR="00955001">
        <w:rPr>
          <w:color w:val="000000"/>
          <w:szCs w:val="24"/>
        </w:rPr>
        <w:t>S</w:t>
      </w:r>
    </w:p>
    <w:p w14:paraId="293ACA0B" w14:textId="65D0425D" w:rsidR="00237F9B" w:rsidRPr="00201F66" w:rsidRDefault="00201F66" w:rsidP="00237F9B">
      <w:pPr>
        <w:spacing w:before="240"/>
        <w:rPr>
          <w:color w:val="000000"/>
          <w:sz w:val="24"/>
          <w:szCs w:val="24"/>
          <w:lang w:val="en-GB"/>
        </w:rPr>
      </w:pPr>
      <w:r w:rsidRPr="00C53F44">
        <w:rPr>
          <w:sz w:val="24"/>
          <w:szCs w:val="24"/>
        </w:rPr>
        <w:t xml:space="preserve">Section 63 of the </w:t>
      </w:r>
      <w:r w:rsidRPr="00C53F44">
        <w:rPr>
          <w:i/>
          <w:sz w:val="24"/>
          <w:szCs w:val="24"/>
        </w:rPr>
        <w:t xml:space="preserve">Treatment Benefits (Special Access) Act 2019 </w:t>
      </w:r>
    </w:p>
    <w:p w14:paraId="4F65C271" w14:textId="77777777" w:rsidR="00F62677" w:rsidRDefault="00A46CED" w:rsidP="002A6225">
      <w:pPr>
        <w:pStyle w:val="ActHead5"/>
        <w:rPr>
          <w:color w:val="000000"/>
          <w:szCs w:val="24"/>
        </w:rPr>
      </w:pPr>
      <w:r w:rsidRPr="000A51A1">
        <w:rPr>
          <w:color w:val="000000"/>
          <w:szCs w:val="24"/>
        </w:rPr>
        <w:t>PURPOSE</w:t>
      </w:r>
    </w:p>
    <w:p w14:paraId="75419A94" w14:textId="258FA215" w:rsidR="00ED029B" w:rsidRPr="009941CE" w:rsidRDefault="00246A13" w:rsidP="00ED029B">
      <w:pPr>
        <w:shd w:val="clear" w:color="auto" w:fill="FFFFFF"/>
        <w:spacing w:before="100" w:beforeAutospacing="1" w:after="100" w:afterAutospacing="1"/>
        <w:rPr>
          <w:color w:val="000000"/>
          <w:sz w:val="24"/>
          <w:szCs w:val="24"/>
        </w:rPr>
      </w:pPr>
      <w:r w:rsidRPr="0087325C">
        <w:rPr>
          <w:sz w:val="24"/>
          <w:szCs w:val="24"/>
        </w:rPr>
        <w:t xml:space="preserve">The </w:t>
      </w:r>
      <w:r w:rsidRPr="0087325C">
        <w:rPr>
          <w:i/>
          <w:sz w:val="24"/>
          <w:szCs w:val="24"/>
        </w:rPr>
        <w:t>Treatment Benefits (Special Access) Act 2019</w:t>
      </w:r>
      <w:r w:rsidRPr="0087325C">
        <w:rPr>
          <w:sz w:val="24"/>
          <w:szCs w:val="24"/>
        </w:rPr>
        <w:t xml:space="preserve"> </w:t>
      </w:r>
      <w:r>
        <w:rPr>
          <w:sz w:val="24"/>
          <w:szCs w:val="24"/>
        </w:rPr>
        <w:t xml:space="preserve">(the </w:t>
      </w:r>
      <w:r w:rsidR="009E66CE">
        <w:rPr>
          <w:sz w:val="24"/>
          <w:szCs w:val="24"/>
        </w:rPr>
        <w:t xml:space="preserve">Treatment Benefits </w:t>
      </w:r>
      <w:r>
        <w:rPr>
          <w:sz w:val="24"/>
          <w:szCs w:val="24"/>
        </w:rPr>
        <w:t xml:space="preserve">Act) </w:t>
      </w:r>
      <w:r w:rsidRPr="0087325C">
        <w:rPr>
          <w:sz w:val="24"/>
          <w:szCs w:val="24"/>
        </w:rPr>
        <w:t xml:space="preserve">enables </w:t>
      </w:r>
      <w:r>
        <w:rPr>
          <w:sz w:val="24"/>
          <w:szCs w:val="24"/>
        </w:rPr>
        <w:t>members of</w:t>
      </w:r>
      <w:r w:rsidRPr="0087325C">
        <w:rPr>
          <w:sz w:val="24"/>
          <w:szCs w:val="24"/>
        </w:rPr>
        <w:t xml:space="preserve"> Australian </w:t>
      </w:r>
      <w:r w:rsidR="00ED029B" w:rsidRPr="009941CE">
        <w:rPr>
          <w:sz w:val="24"/>
          <w:szCs w:val="24"/>
        </w:rPr>
        <w:t>Civilian Surgical Medical Teams (CSMTs)</w:t>
      </w:r>
      <w:r w:rsidR="00ED029B">
        <w:rPr>
          <w:sz w:val="24"/>
          <w:szCs w:val="24"/>
        </w:rPr>
        <w:t xml:space="preserve"> </w:t>
      </w:r>
      <w:r w:rsidRPr="0087325C">
        <w:rPr>
          <w:sz w:val="24"/>
          <w:szCs w:val="24"/>
        </w:rPr>
        <w:t xml:space="preserve">that provided medical aid, training and treatment to local Vietnamese people during the Vietnam War to receive additional health support through a Department of Veterans’ </w:t>
      </w:r>
      <w:r>
        <w:rPr>
          <w:sz w:val="24"/>
          <w:szCs w:val="24"/>
        </w:rPr>
        <w:t xml:space="preserve">Affairs </w:t>
      </w:r>
      <w:r w:rsidR="006A499A">
        <w:rPr>
          <w:sz w:val="24"/>
          <w:szCs w:val="24"/>
        </w:rPr>
        <w:t xml:space="preserve">(DVA) </w:t>
      </w:r>
      <w:r w:rsidR="00BE4E22">
        <w:rPr>
          <w:sz w:val="24"/>
          <w:szCs w:val="24"/>
        </w:rPr>
        <w:t>Health Card for all Conditions (</w:t>
      </w:r>
      <w:r>
        <w:rPr>
          <w:sz w:val="24"/>
          <w:szCs w:val="24"/>
        </w:rPr>
        <w:t>Gold Card</w:t>
      </w:r>
      <w:r w:rsidR="00BE4E22">
        <w:rPr>
          <w:sz w:val="24"/>
          <w:szCs w:val="24"/>
        </w:rPr>
        <w:t>)</w:t>
      </w:r>
      <w:r>
        <w:rPr>
          <w:sz w:val="24"/>
          <w:szCs w:val="24"/>
        </w:rPr>
        <w:t xml:space="preserve">. </w:t>
      </w:r>
      <w:r w:rsidR="00ED029B" w:rsidRPr="009941CE">
        <w:rPr>
          <w:sz w:val="24"/>
          <w:szCs w:val="24"/>
        </w:rPr>
        <w:t xml:space="preserve">Eligible CSMT members will have access to treatment for any injury or disease, </w:t>
      </w:r>
      <w:r w:rsidR="00ED029B" w:rsidRPr="004A7045">
        <w:rPr>
          <w:rFonts w:eastAsia="Calibri"/>
          <w:sz w:val="24"/>
          <w:szCs w:val="24"/>
          <w:lang w:eastAsia="en-US"/>
        </w:rPr>
        <w:t>including those unrelated to their CSMT work performed in South Vietnam</w:t>
      </w:r>
      <w:r w:rsidR="00ED029B" w:rsidRPr="009941CE">
        <w:rPr>
          <w:sz w:val="24"/>
          <w:szCs w:val="24"/>
        </w:rPr>
        <w:t xml:space="preserve">. </w:t>
      </w:r>
    </w:p>
    <w:p w14:paraId="0E5463E6" w14:textId="4F57B525" w:rsidR="007C30E2" w:rsidRPr="00B71CA4" w:rsidRDefault="00025B5A" w:rsidP="00246A13">
      <w:pPr>
        <w:spacing w:before="240"/>
        <w:rPr>
          <w:sz w:val="24"/>
          <w:szCs w:val="24"/>
        </w:rPr>
      </w:pPr>
      <w:r w:rsidRPr="00C53F44">
        <w:rPr>
          <w:color w:val="000000"/>
          <w:sz w:val="24"/>
          <w:szCs w:val="24"/>
        </w:rPr>
        <w:t>Section 63</w:t>
      </w:r>
      <w:r w:rsidR="00CB65E2" w:rsidRPr="00C53F44">
        <w:rPr>
          <w:color w:val="000000"/>
          <w:sz w:val="24"/>
          <w:szCs w:val="24"/>
        </w:rPr>
        <w:t xml:space="preserve"> of the </w:t>
      </w:r>
      <w:r w:rsidR="009E66CE">
        <w:rPr>
          <w:sz w:val="24"/>
          <w:szCs w:val="24"/>
        </w:rPr>
        <w:t xml:space="preserve">Treatment Benefits </w:t>
      </w:r>
      <w:r w:rsidR="00246A13">
        <w:rPr>
          <w:color w:val="000000"/>
          <w:sz w:val="24"/>
          <w:szCs w:val="24"/>
        </w:rPr>
        <w:t>Act</w:t>
      </w:r>
      <w:r w:rsidR="00CB65E2" w:rsidRPr="00C53F44">
        <w:rPr>
          <w:color w:val="000000"/>
          <w:sz w:val="24"/>
          <w:szCs w:val="24"/>
        </w:rPr>
        <w:t xml:space="preserve"> </w:t>
      </w:r>
      <w:r w:rsidRPr="00B71CA4">
        <w:rPr>
          <w:sz w:val="24"/>
          <w:szCs w:val="24"/>
        </w:rPr>
        <w:t xml:space="preserve">provides for the making of rules by the Minister by legislative instrument. </w:t>
      </w:r>
    </w:p>
    <w:p w14:paraId="0990E77E" w14:textId="47C35064" w:rsidR="00025B5A" w:rsidRPr="00B71CA4" w:rsidRDefault="00025B5A" w:rsidP="00025B5A">
      <w:pPr>
        <w:spacing w:before="240"/>
        <w:rPr>
          <w:sz w:val="24"/>
          <w:szCs w:val="24"/>
        </w:rPr>
      </w:pPr>
      <w:r w:rsidRPr="00B71CA4">
        <w:rPr>
          <w:sz w:val="24"/>
          <w:szCs w:val="24"/>
        </w:rPr>
        <w:t>Sub</w:t>
      </w:r>
      <w:r w:rsidR="007C30E2" w:rsidRPr="00B71CA4">
        <w:rPr>
          <w:sz w:val="24"/>
          <w:szCs w:val="24"/>
        </w:rPr>
        <w:t>section 63</w:t>
      </w:r>
      <w:r w:rsidRPr="00B71CA4">
        <w:rPr>
          <w:sz w:val="24"/>
          <w:szCs w:val="24"/>
        </w:rPr>
        <w:t>(1) provides that the rules may prescribe matters required or permitted by th</w:t>
      </w:r>
      <w:r w:rsidR="009E66CE">
        <w:rPr>
          <w:sz w:val="24"/>
          <w:szCs w:val="24"/>
        </w:rPr>
        <w:t>is</w:t>
      </w:r>
      <w:r w:rsidRPr="00B71CA4">
        <w:rPr>
          <w:sz w:val="24"/>
          <w:szCs w:val="24"/>
        </w:rPr>
        <w:t xml:space="preserve"> Act to be prescribed by the rules, or matters necessary or convenient to be prescribed for carrying o</w:t>
      </w:r>
      <w:r w:rsidR="00B5581E">
        <w:rPr>
          <w:sz w:val="24"/>
          <w:szCs w:val="24"/>
        </w:rPr>
        <w:t>ut or giving effect to the Act.</w:t>
      </w:r>
    </w:p>
    <w:p w14:paraId="170D93BC" w14:textId="613ADD6B" w:rsidR="00025B5A" w:rsidRPr="00B71CA4" w:rsidRDefault="00025B5A" w:rsidP="00025B5A">
      <w:pPr>
        <w:pStyle w:val="subsection"/>
        <w:rPr>
          <w:sz w:val="24"/>
          <w:szCs w:val="24"/>
        </w:rPr>
      </w:pPr>
      <w:r w:rsidRPr="00B71CA4">
        <w:rPr>
          <w:sz w:val="24"/>
          <w:szCs w:val="24"/>
        </w:rPr>
        <w:t>Subclause</w:t>
      </w:r>
      <w:r w:rsidR="007C30E2" w:rsidRPr="00B71CA4">
        <w:rPr>
          <w:sz w:val="24"/>
          <w:szCs w:val="24"/>
        </w:rPr>
        <w:t xml:space="preserve"> 63</w:t>
      </w:r>
      <w:r w:rsidRPr="00B71CA4">
        <w:rPr>
          <w:sz w:val="24"/>
          <w:szCs w:val="24"/>
        </w:rPr>
        <w:t>(2) provides that rules may not do any of the following:</w:t>
      </w:r>
    </w:p>
    <w:p w14:paraId="7EE9474B" w14:textId="77777777" w:rsidR="00025B5A" w:rsidRPr="00B71CA4" w:rsidRDefault="00025B5A" w:rsidP="00C53F44">
      <w:pPr>
        <w:pStyle w:val="paragraph"/>
        <w:numPr>
          <w:ilvl w:val="0"/>
          <w:numId w:val="39"/>
        </w:numPr>
        <w:spacing w:before="0"/>
        <w:rPr>
          <w:sz w:val="24"/>
          <w:szCs w:val="24"/>
        </w:rPr>
      </w:pPr>
      <w:r w:rsidRPr="00B71CA4">
        <w:rPr>
          <w:sz w:val="24"/>
          <w:szCs w:val="24"/>
        </w:rPr>
        <w:t>create an offence or civil penalty;</w:t>
      </w:r>
    </w:p>
    <w:p w14:paraId="56610AB2" w14:textId="77777777" w:rsidR="00025B5A" w:rsidRPr="00B71CA4" w:rsidRDefault="00025B5A" w:rsidP="00025B5A">
      <w:pPr>
        <w:pStyle w:val="paragraph"/>
        <w:numPr>
          <w:ilvl w:val="0"/>
          <w:numId w:val="39"/>
        </w:numPr>
        <w:rPr>
          <w:sz w:val="24"/>
          <w:szCs w:val="24"/>
        </w:rPr>
      </w:pPr>
      <w:r w:rsidRPr="00B71CA4">
        <w:rPr>
          <w:sz w:val="24"/>
          <w:szCs w:val="24"/>
        </w:rPr>
        <w:t>provide powers of arrest or detention, or entry, search or seizure;</w:t>
      </w:r>
    </w:p>
    <w:p w14:paraId="63E431A4" w14:textId="77777777" w:rsidR="00025B5A" w:rsidRPr="00B71CA4" w:rsidRDefault="00025B5A" w:rsidP="00025B5A">
      <w:pPr>
        <w:pStyle w:val="paragraph"/>
        <w:numPr>
          <w:ilvl w:val="0"/>
          <w:numId w:val="39"/>
        </w:numPr>
        <w:rPr>
          <w:sz w:val="24"/>
          <w:szCs w:val="24"/>
        </w:rPr>
      </w:pPr>
      <w:r w:rsidRPr="00B71CA4">
        <w:rPr>
          <w:sz w:val="24"/>
          <w:szCs w:val="24"/>
        </w:rPr>
        <w:t>impose a tax;</w:t>
      </w:r>
    </w:p>
    <w:p w14:paraId="44515EC2" w14:textId="77777777" w:rsidR="00025B5A" w:rsidRPr="00B71CA4" w:rsidRDefault="00025B5A" w:rsidP="00025B5A">
      <w:pPr>
        <w:pStyle w:val="paragraph"/>
        <w:numPr>
          <w:ilvl w:val="0"/>
          <w:numId w:val="39"/>
        </w:numPr>
        <w:rPr>
          <w:sz w:val="24"/>
          <w:szCs w:val="24"/>
        </w:rPr>
      </w:pPr>
      <w:r w:rsidRPr="00B71CA4">
        <w:rPr>
          <w:sz w:val="24"/>
          <w:szCs w:val="24"/>
        </w:rPr>
        <w:t>set an amount to be appropriated from the Consolidated Revenue Fund under an appropriation in this Act;</w:t>
      </w:r>
    </w:p>
    <w:p w14:paraId="00AD0DD3" w14:textId="77777777" w:rsidR="00025B5A" w:rsidRPr="00B71CA4" w:rsidRDefault="00025B5A" w:rsidP="00025B5A">
      <w:pPr>
        <w:pStyle w:val="paragraph"/>
        <w:numPr>
          <w:ilvl w:val="0"/>
          <w:numId w:val="39"/>
        </w:numPr>
        <w:rPr>
          <w:sz w:val="24"/>
          <w:szCs w:val="24"/>
        </w:rPr>
      </w:pPr>
      <w:r w:rsidRPr="00B71CA4">
        <w:rPr>
          <w:sz w:val="24"/>
          <w:szCs w:val="24"/>
        </w:rPr>
        <w:t>directly amend the text of this Act.</w:t>
      </w:r>
    </w:p>
    <w:p w14:paraId="09F806DC" w14:textId="77777777" w:rsidR="00025B5A" w:rsidRPr="00B71CA4" w:rsidRDefault="00025B5A" w:rsidP="000423AC">
      <w:pPr>
        <w:spacing w:before="240"/>
        <w:rPr>
          <w:sz w:val="24"/>
          <w:szCs w:val="24"/>
        </w:rPr>
      </w:pPr>
      <w:r w:rsidRPr="00B71CA4">
        <w:rPr>
          <w:sz w:val="24"/>
          <w:szCs w:val="24"/>
        </w:rPr>
        <w:t>This reflects the types of matters that, by way of policy, should not be prescribed in rules.</w:t>
      </w:r>
    </w:p>
    <w:p w14:paraId="02849EF5" w14:textId="195C6A3B" w:rsidR="0007228E" w:rsidRPr="0087325C" w:rsidRDefault="00692374" w:rsidP="0007228E">
      <w:pPr>
        <w:spacing w:before="240"/>
        <w:rPr>
          <w:color w:val="000000"/>
          <w:sz w:val="24"/>
          <w:szCs w:val="24"/>
        </w:rPr>
      </w:pPr>
      <w:r w:rsidRPr="0087325C">
        <w:rPr>
          <w:color w:val="000000"/>
          <w:sz w:val="24"/>
          <w:szCs w:val="24"/>
        </w:rPr>
        <w:t xml:space="preserve">The purpose of the </w:t>
      </w:r>
      <w:r w:rsidR="00681DE0">
        <w:rPr>
          <w:color w:val="000000"/>
          <w:sz w:val="24"/>
          <w:szCs w:val="24"/>
        </w:rPr>
        <w:t>rules</w:t>
      </w:r>
      <w:r w:rsidRPr="0087325C">
        <w:rPr>
          <w:color w:val="000000"/>
          <w:sz w:val="24"/>
          <w:szCs w:val="24"/>
        </w:rPr>
        <w:t xml:space="preserve"> is to set out the conditions an eligible person and any attendant must satisfy in order to be paid travel expenses in respect of travel for treatment</w:t>
      </w:r>
      <w:r w:rsidR="00246A13">
        <w:rPr>
          <w:color w:val="000000"/>
          <w:sz w:val="24"/>
          <w:szCs w:val="24"/>
        </w:rPr>
        <w:t xml:space="preserve"> of the eligible person. The </w:t>
      </w:r>
      <w:r w:rsidR="00681DE0">
        <w:rPr>
          <w:color w:val="000000"/>
          <w:sz w:val="24"/>
          <w:szCs w:val="24"/>
        </w:rPr>
        <w:t>r</w:t>
      </w:r>
      <w:r w:rsidR="00246A13">
        <w:rPr>
          <w:color w:val="000000"/>
          <w:sz w:val="24"/>
          <w:szCs w:val="24"/>
        </w:rPr>
        <w:t xml:space="preserve">ules also </w:t>
      </w:r>
      <w:r w:rsidRPr="0087325C">
        <w:rPr>
          <w:color w:val="000000"/>
          <w:sz w:val="24"/>
          <w:szCs w:val="24"/>
        </w:rPr>
        <w:t>set out the leve</w:t>
      </w:r>
      <w:r w:rsidR="00246A13">
        <w:rPr>
          <w:color w:val="000000"/>
          <w:sz w:val="24"/>
          <w:szCs w:val="24"/>
        </w:rPr>
        <w:t>ls of payments that may be made</w:t>
      </w:r>
      <w:r w:rsidRPr="0087325C">
        <w:rPr>
          <w:color w:val="000000"/>
          <w:sz w:val="24"/>
          <w:szCs w:val="24"/>
        </w:rPr>
        <w:t xml:space="preserve"> and provide for associated matters </w:t>
      </w:r>
      <w:r w:rsidR="0007228E">
        <w:rPr>
          <w:color w:val="000000"/>
          <w:sz w:val="24"/>
          <w:szCs w:val="24"/>
        </w:rPr>
        <w:t xml:space="preserve">(e.g. indexation of payments). </w:t>
      </w:r>
      <w:r w:rsidR="0007228E" w:rsidRPr="0087325C">
        <w:rPr>
          <w:color w:val="000000"/>
          <w:sz w:val="24"/>
          <w:szCs w:val="24"/>
        </w:rPr>
        <w:t>Travel expenses are reimbursements of the costs of transport, accommodation and meals incu</w:t>
      </w:r>
      <w:r w:rsidR="00246A13">
        <w:rPr>
          <w:color w:val="000000"/>
          <w:sz w:val="24"/>
          <w:szCs w:val="24"/>
        </w:rPr>
        <w:t>rred by an eligible person and any attendant</w:t>
      </w:r>
      <w:r w:rsidR="0007228E" w:rsidRPr="0087325C">
        <w:rPr>
          <w:color w:val="000000"/>
          <w:sz w:val="24"/>
          <w:szCs w:val="24"/>
        </w:rPr>
        <w:t xml:space="preserve"> in the course of travelling for treatment.</w:t>
      </w:r>
    </w:p>
    <w:p w14:paraId="77E38B0A" w14:textId="60116141" w:rsidR="00ED029B" w:rsidRDefault="00ED029B" w:rsidP="00ED029B">
      <w:pPr>
        <w:spacing w:before="240"/>
        <w:rPr>
          <w:sz w:val="24"/>
          <w:szCs w:val="24"/>
        </w:rPr>
      </w:pPr>
      <w:r w:rsidRPr="005C6A64">
        <w:rPr>
          <w:color w:val="000000"/>
          <w:sz w:val="24"/>
          <w:szCs w:val="24"/>
        </w:rPr>
        <w:t>CSMT</w:t>
      </w:r>
      <w:r>
        <w:rPr>
          <w:color w:val="000000"/>
          <w:sz w:val="24"/>
          <w:szCs w:val="24"/>
        </w:rPr>
        <w:t xml:space="preserve"> members</w:t>
      </w:r>
      <w:r w:rsidRPr="008E6D48">
        <w:rPr>
          <w:sz w:val="24"/>
          <w:szCs w:val="24"/>
        </w:rPr>
        <w:t xml:space="preserve"> eligible for </w:t>
      </w:r>
      <w:r>
        <w:rPr>
          <w:sz w:val="24"/>
          <w:szCs w:val="24"/>
        </w:rPr>
        <w:t>medical treatment under the Treatment Benefits Act</w:t>
      </w:r>
      <w:r w:rsidRPr="008E6D48">
        <w:rPr>
          <w:sz w:val="24"/>
          <w:szCs w:val="24"/>
        </w:rPr>
        <w:t xml:space="preserve"> will have access to all medical services available under the Gold Card.</w:t>
      </w:r>
      <w:r w:rsidRPr="0075305A">
        <w:rPr>
          <w:sz w:val="24"/>
          <w:szCs w:val="24"/>
        </w:rPr>
        <w:t xml:space="preserve"> The provision of treatment for </w:t>
      </w:r>
      <w:r>
        <w:rPr>
          <w:sz w:val="24"/>
          <w:szCs w:val="24"/>
        </w:rPr>
        <w:t xml:space="preserve">eligible </w:t>
      </w:r>
      <w:r w:rsidRPr="0075305A">
        <w:rPr>
          <w:sz w:val="24"/>
          <w:szCs w:val="24"/>
        </w:rPr>
        <w:t>CSMT members</w:t>
      </w:r>
      <w:r>
        <w:rPr>
          <w:sz w:val="24"/>
          <w:szCs w:val="24"/>
        </w:rPr>
        <w:t xml:space="preserve"> under the Treatment Benefits Act</w:t>
      </w:r>
      <w:r w:rsidRPr="0075305A">
        <w:rPr>
          <w:sz w:val="24"/>
          <w:szCs w:val="24"/>
        </w:rPr>
        <w:t xml:space="preserve"> has been modelled on the provision of treatment available </w:t>
      </w:r>
      <w:r w:rsidR="000423AC">
        <w:rPr>
          <w:sz w:val="24"/>
          <w:szCs w:val="24"/>
        </w:rPr>
        <w:t>to</w:t>
      </w:r>
      <w:r w:rsidRPr="0075305A">
        <w:rPr>
          <w:sz w:val="24"/>
          <w:szCs w:val="24"/>
        </w:rPr>
        <w:t xml:space="preserve"> persons eligible under the </w:t>
      </w:r>
      <w:r w:rsidR="00BE4E22" w:rsidRPr="0075305A">
        <w:rPr>
          <w:i/>
          <w:sz w:val="24"/>
          <w:szCs w:val="24"/>
        </w:rPr>
        <w:t>Australian Participants in British Nuclear Tests and British Commonwealth Occupation Force (Treatment) Act 2006</w:t>
      </w:r>
      <w:r w:rsidR="00BE4E22">
        <w:rPr>
          <w:i/>
          <w:sz w:val="24"/>
          <w:szCs w:val="24"/>
        </w:rPr>
        <w:t xml:space="preserve"> </w:t>
      </w:r>
      <w:r w:rsidR="00BE4E22">
        <w:rPr>
          <w:sz w:val="24"/>
          <w:szCs w:val="24"/>
        </w:rPr>
        <w:t>(British Nuclear Test Act).</w:t>
      </w:r>
    </w:p>
    <w:p w14:paraId="4089C984" w14:textId="02F76A28" w:rsidR="00ED029B" w:rsidRPr="007F15D3" w:rsidRDefault="00ED029B" w:rsidP="00ED029B">
      <w:pPr>
        <w:spacing w:before="240"/>
        <w:rPr>
          <w:sz w:val="24"/>
          <w:szCs w:val="24"/>
        </w:rPr>
      </w:pPr>
      <w:r>
        <w:rPr>
          <w:sz w:val="24"/>
          <w:szCs w:val="24"/>
        </w:rPr>
        <w:lastRenderedPageBreak/>
        <w:t>The</w:t>
      </w:r>
      <w:r>
        <w:rPr>
          <w:color w:val="000000"/>
          <w:sz w:val="24"/>
          <w:szCs w:val="24"/>
        </w:rPr>
        <w:t xml:space="preserve"> </w:t>
      </w:r>
      <w:r w:rsidRPr="0075305A">
        <w:rPr>
          <w:i/>
          <w:sz w:val="24"/>
          <w:szCs w:val="24"/>
        </w:rPr>
        <w:t xml:space="preserve">Australian Participants in British Nuclear Tests and British Commonwealth Occupation Force (Treatment) </w:t>
      </w:r>
      <w:r>
        <w:rPr>
          <w:i/>
          <w:sz w:val="24"/>
          <w:szCs w:val="24"/>
        </w:rPr>
        <w:t xml:space="preserve">Regulations 2007 </w:t>
      </w:r>
      <w:r w:rsidR="00242BEA">
        <w:rPr>
          <w:sz w:val="24"/>
          <w:szCs w:val="24"/>
        </w:rPr>
        <w:t>(</w:t>
      </w:r>
      <w:r w:rsidR="00BE4E22">
        <w:rPr>
          <w:sz w:val="24"/>
          <w:szCs w:val="24"/>
        </w:rPr>
        <w:t xml:space="preserve">British Nuclear Test </w:t>
      </w:r>
      <w:r w:rsidR="00242BEA">
        <w:rPr>
          <w:sz w:val="24"/>
          <w:szCs w:val="24"/>
        </w:rPr>
        <w:t xml:space="preserve">Regulations) </w:t>
      </w:r>
      <w:r>
        <w:rPr>
          <w:sz w:val="24"/>
          <w:szCs w:val="24"/>
        </w:rPr>
        <w:t xml:space="preserve">provide for travel expenses in relation to persons eligible for treatment under the </w:t>
      </w:r>
      <w:r w:rsidR="00BE4E22">
        <w:rPr>
          <w:sz w:val="24"/>
          <w:szCs w:val="24"/>
        </w:rPr>
        <w:t xml:space="preserve">British Nuclear Test </w:t>
      </w:r>
      <w:r>
        <w:rPr>
          <w:sz w:val="24"/>
          <w:szCs w:val="24"/>
        </w:rPr>
        <w:t>Act.</w:t>
      </w:r>
      <w:r w:rsidR="00681DE0">
        <w:rPr>
          <w:sz w:val="24"/>
          <w:szCs w:val="24"/>
        </w:rPr>
        <w:t xml:space="preserve"> The r</w:t>
      </w:r>
      <w:r w:rsidR="00D607C7">
        <w:rPr>
          <w:sz w:val="24"/>
          <w:szCs w:val="24"/>
        </w:rPr>
        <w:t xml:space="preserve">ules </w:t>
      </w:r>
      <w:r w:rsidR="00242BEA">
        <w:rPr>
          <w:sz w:val="24"/>
          <w:szCs w:val="24"/>
        </w:rPr>
        <w:t>have b</w:t>
      </w:r>
      <w:r w:rsidR="00681DE0">
        <w:rPr>
          <w:sz w:val="24"/>
          <w:szCs w:val="24"/>
        </w:rPr>
        <w:t xml:space="preserve">een modelled on the </w:t>
      </w:r>
      <w:r w:rsidR="00BE4E22">
        <w:rPr>
          <w:sz w:val="24"/>
          <w:szCs w:val="24"/>
        </w:rPr>
        <w:t xml:space="preserve">British Nuclear Test </w:t>
      </w:r>
      <w:r w:rsidR="00681DE0">
        <w:rPr>
          <w:sz w:val="24"/>
          <w:szCs w:val="24"/>
        </w:rPr>
        <w:t>r</w:t>
      </w:r>
      <w:r w:rsidR="00242BEA">
        <w:rPr>
          <w:sz w:val="24"/>
          <w:szCs w:val="24"/>
        </w:rPr>
        <w:t>egulations</w:t>
      </w:r>
      <w:r w:rsidR="00242BEA">
        <w:rPr>
          <w:color w:val="000000"/>
          <w:sz w:val="24"/>
          <w:szCs w:val="24"/>
          <w:lang w:val="en-US"/>
        </w:rPr>
        <w:t xml:space="preserve">. This </w:t>
      </w:r>
      <w:r w:rsidR="00D607C7" w:rsidRPr="001F305D">
        <w:rPr>
          <w:color w:val="000000"/>
          <w:sz w:val="24"/>
          <w:szCs w:val="24"/>
          <w:lang w:val="en-US"/>
        </w:rPr>
        <w:t>will ensure cons</w:t>
      </w:r>
      <w:r w:rsidR="00D607C7">
        <w:rPr>
          <w:color w:val="000000"/>
          <w:sz w:val="24"/>
          <w:szCs w:val="24"/>
          <w:lang w:val="en-US"/>
        </w:rPr>
        <w:t xml:space="preserve">istency for travel expenses related to treatment provided to </w:t>
      </w:r>
      <w:r w:rsidR="00D607C7" w:rsidRPr="001F305D">
        <w:rPr>
          <w:color w:val="000000"/>
          <w:sz w:val="24"/>
          <w:szCs w:val="24"/>
          <w:lang w:val="en-US"/>
        </w:rPr>
        <w:t xml:space="preserve">Gold Card holders under </w:t>
      </w:r>
      <w:r w:rsidR="00D607C7">
        <w:rPr>
          <w:color w:val="000000"/>
          <w:sz w:val="24"/>
          <w:szCs w:val="24"/>
          <w:lang w:val="en-US"/>
        </w:rPr>
        <w:t xml:space="preserve">the Treatment Benefits Act and the </w:t>
      </w:r>
      <w:r w:rsidR="00BE4E22">
        <w:rPr>
          <w:sz w:val="24"/>
          <w:szCs w:val="24"/>
        </w:rPr>
        <w:t xml:space="preserve">British Nuclear Test </w:t>
      </w:r>
      <w:r w:rsidR="00D607C7">
        <w:rPr>
          <w:sz w:val="24"/>
          <w:szCs w:val="24"/>
        </w:rPr>
        <w:t>Act</w:t>
      </w:r>
      <w:r w:rsidR="00D607C7">
        <w:rPr>
          <w:color w:val="000000"/>
          <w:sz w:val="24"/>
          <w:szCs w:val="24"/>
          <w:lang w:val="en-US"/>
        </w:rPr>
        <w:t>.</w:t>
      </w:r>
    </w:p>
    <w:p w14:paraId="2ED96AC4" w14:textId="77777777" w:rsidR="00AB4669" w:rsidRDefault="00AB4669" w:rsidP="00AB4669">
      <w:pPr>
        <w:autoSpaceDE w:val="0"/>
        <w:autoSpaceDN w:val="0"/>
        <w:adjustRightInd w:val="0"/>
        <w:rPr>
          <w:i/>
          <w:sz w:val="24"/>
          <w:szCs w:val="24"/>
        </w:rPr>
      </w:pPr>
    </w:p>
    <w:p w14:paraId="02AED2CC" w14:textId="766B9EF3" w:rsidR="00CB65E2" w:rsidRPr="00C53F44" w:rsidRDefault="00CB65E2" w:rsidP="00246A13">
      <w:pPr>
        <w:spacing w:before="240"/>
        <w:rPr>
          <w:color w:val="000000"/>
          <w:sz w:val="24"/>
          <w:szCs w:val="24"/>
        </w:rPr>
      </w:pPr>
      <w:r w:rsidRPr="00C53F44">
        <w:rPr>
          <w:color w:val="000000"/>
          <w:sz w:val="24"/>
          <w:szCs w:val="24"/>
        </w:rPr>
        <w:t xml:space="preserve">Details of the </w:t>
      </w:r>
      <w:r w:rsidR="00B71CA4" w:rsidRPr="00C53F44">
        <w:rPr>
          <w:color w:val="000000"/>
          <w:sz w:val="24"/>
          <w:szCs w:val="24"/>
        </w:rPr>
        <w:t>r</w:t>
      </w:r>
      <w:r w:rsidR="007C30E2" w:rsidRPr="00C53F44">
        <w:rPr>
          <w:color w:val="000000"/>
          <w:sz w:val="24"/>
          <w:szCs w:val="24"/>
        </w:rPr>
        <w:t>ules</w:t>
      </w:r>
      <w:r w:rsidRPr="00C53F44">
        <w:rPr>
          <w:color w:val="000000"/>
          <w:sz w:val="24"/>
          <w:szCs w:val="24"/>
        </w:rPr>
        <w:t xml:space="preserve"> are included in </w:t>
      </w:r>
      <w:r w:rsidRPr="00C53F44">
        <w:rPr>
          <w:color w:val="000000"/>
          <w:sz w:val="24"/>
          <w:szCs w:val="24"/>
          <w:u w:val="single"/>
        </w:rPr>
        <w:t>Attachment</w:t>
      </w:r>
      <w:r w:rsidR="006A499A">
        <w:rPr>
          <w:color w:val="000000"/>
          <w:sz w:val="24"/>
          <w:szCs w:val="24"/>
          <w:u w:val="single"/>
        </w:rPr>
        <w:t xml:space="preserve"> A</w:t>
      </w:r>
      <w:r w:rsidRPr="00C53F44">
        <w:rPr>
          <w:color w:val="000000"/>
          <w:sz w:val="24"/>
          <w:szCs w:val="24"/>
          <w:u w:val="single"/>
        </w:rPr>
        <w:t>.</w:t>
      </w:r>
    </w:p>
    <w:p w14:paraId="1D9392B1" w14:textId="527CD10D" w:rsidR="00C463C6" w:rsidRPr="005358D3" w:rsidRDefault="00246A13" w:rsidP="003572D7">
      <w:pPr>
        <w:pStyle w:val="ActHead5"/>
        <w:rPr>
          <w:b w:val="0"/>
        </w:rPr>
      </w:pPr>
      <w:r>
        <w:t>CO</w:t>
      </w:r>
      <w:r w:rsidR="00C463C6" w:rsidRPr="005358D3">
        <w:t>NSULTATION</w:t>
      </w:r>
    </w:p>
    <w:p w14:paraId="416F4084" w14:textId="77777777" w:rsidR="00654B0D" w:rsidRDefault="00654B0D" w:rsidP="003572D7">
      <w:pPr>
        <w:spacing w:before="240"/>
        <w:rPr>
          <w:sz w:val="24"/>
          <w:szCs w:val="24"/>
        </w:rPr>
      </w:pPr>
      <w:r w:rsidRPr="005358D3">
        <w:rPr>
          <w:sz w:val="24"/>
          <w:szCs w:val="24"/>
        </w:rPr>
        <w:t xml:space="preserve">Section 17 of the </w:t>
      </w:r>
      <w:r w:rsidRPr="005D4EAF">
        <w:rPr>
          <w:i/>
          <w:sz w:val="24"/>
          <w:szCs w:val="24"/>
        </w:rPr>
        <w:t>Legislation Act 2003</w:t>
      </w:r>
      <w:r w:rsidRPr="005358D3">
        <w:rPr>
          <w:sz w:val="24"/>
          <w:szCs w:val="24"/>
        </w:rPr>
        <w:t xml:space="preserve"> requires the rule-maker to be satisfied that any consultation that is considered appropriate and reasonably practicable to undertake, has been undertaken. </w:t>
      </w:r>
    </w:p>
    <w:p w14:paraId="405765D2" w14:textId="19BDCC96" w:rsidR="00B32D2F" w:rsidRPr="000C6AFA" w:rsidRDefault="00B32D2F" w:rsidP="00747AA9">
      <w:pPr>
        <w:tabs>
          <w:tab w:val="left" w:pos="426"/>
        </w:tabs>
        <w:spacing w:before="240"/>
        <w:rPr>
          <w:sz w:val="24"/>
          <w:szCs w:val="24"/>
        </w:rPr>
      </w:pPr>
      <w:r>
        <w:rPr>
          <w:color w:val="000000"/>
          <w:sz w:val="24"/>
          <w:szCs w:val="24"/>
        </w:rPr>
        <w:t>C</w:t>
      </w:r>
      <w:r w:rsidRPr="000C6AFA">
        <w:rPr>
          <w:color w:val="000000"/>
          <w:sz w:val="24"/>
          <w:szCs w:val="24"/>
        </w:rPr>
        <w:t xml:space="preserve">onsultation was undertaken within </w:t>
      </w:r>
      <w:r w:rsidR="006A499A">
        <w:rPr>
          <w:color w:val="000000"/>
          <w:sz w:val="24"/>
          <w:szCs w:val="24"/>
        </w:rPr>
        <w:t xml:space="preserve">DVA </w:t>
      </w:r>
      <w:r>
        <w:rPr>
          <w:color w:val="000000"/>
          <w:sz w:val="24"/>
          <w:szCs w:val="24"/>
        </w:rPr>
        <w:t>with the Veterans’ Services Design</w:t>
      </w:r>
      <w:r w:rsidRPr="000C6AFA">
        <w:rPr>
          <w:color w:val="000000"/>
          <w:sz w:val="24"/>
          <w:szCs w:val="24"/>
        </w:rPr>
        <w:t xml:space="preserve"> Division. </w:t>
      </w:r>
    </w:p>
    <w:p w14:paraId="73953A03" w14:textId="77777777" w:rsidR="00B32D2F" w:rsidRPr="000C6AFA" w:rsidRDefault="00B32D2F" w:rsidP="00747AA9">
      <w:pPr>
        <w:spacing w:before="240"/>
        <w:ind w:right="-568"/>
        <w:rPr>
          <w:color w:val="000000"/>
          <w:sz w:val="24"/>
          <w:szCs w:val="24"/>
        </w:rPr>
      </w:pPr>
      <w:r w:rsidRPr="000C6AFA">
        <w:rPr>
          <w:color w:val="000000"/>
          <w:sz w:val="24"/>
          <w:szCs w:val="24"/>
        </w:rPr>
        <w:t>Consultation was by way of phone calls, email correspondence and meetings.</w:t>
      </w:r>
    </w:p>
    <w:p w14:paraId="1CE48435" w14:textId="77777777" w:rsidR="00B32D2F" w:rsidRDefault="00B32D2F" w:rsidP="00747AA9">
      <w:pPr>
        <w:spacing w:before="240"/>
        <w:ind w:right="-568"/>
        <w:rPr>
          <w:color w:val="000000"/>
          <w:sz w:val="24"/>
          <w:szCs w:val="24"/>
        </w:rPr>
      </w:pPr>
      <w:r w:rsidRPr="000C6AFA">
        <w:rPr>
          <w:color w:val="000000"/>
          <w:sz w:val="24"/>
          <w:szCs w:val="24"/>
        </w:rPr>
        <w:t xml:space="preserve">External stakeholders will be notified of the changes in accordance with a communication plan to be implemented prior to the commencement date.  </w:t>
      </w:r>
    </w:p>
    <w:p w14:paraId="644D1F2E" w14:textId="215E5728" w:rsidR="00B32D2F" w:rsidRPr="000C6AFA" w:rsidRDefault="00B32D2F" w:rsidP="00747AA9">
      <w:pPr>
        <w:spacing w:before="240"/>
        <w:ind w:right="-568"/>
        <w:rPr>
          <w:color w:val="000000"/>
          <w:sz w:val="24"/>
          <w:szCs w:val="24"/>
        </w:rPr>
      </w:pPr>
      <w:r w:rsidRPr="000C6AFA">
        <w:rPr>
          <w:color w:val="000000"/>
          <w:sz w:val="24"/>
          <w:szCs w:val="24"/>
        </w:rPr>
        <w:t xml:space="preserve">The </w:t>
      </w:r>
      <w:r>
        <w:rPr>
          <w:color w:val="000000"/>
          <w:sz w:val="24"/>
          <w:szCs w:val="24"/>
        </w:rPr>
        <w:t xml:space="preserve">measure is </w:t>
      </w:r>
      <w:r w:rsidRPr="000C6AFA">
        <w:rPr>
          <w:color w:val="000000"/>
          <w:sz w:val="24"/>
          <w:szCs w:val="24"/>
        </w:rPr>
        <w:t xml:space="preserve">beneficial in nature in terms of the impact on </w:t>
      </w:r>
      <w:r>
        <w:rPr>
          <w:color w:val="000000"/>
          <w:sz w:val="24"/>
          <w:szCs w:val="24"/>
        </w:rPr>
        <w:t>eligible persons</w:t>
      </w:r>
      <w:r w:rsidR="006A499A">
        <w:rPr>
          <w:color w:val="000000"/>
          <w:sz w:val="24"/>
          <w:szCs w:val="24"/>
        </w:rPr>
        <w:t xml:space="preserve"> under the Treatment Benefits Act</w:t>
      </w:r>
      <w:r w:rsidRPr="000C6AFA">
        <w:rPr>
          <w:color w:val="000000"/>
          <w:sz w:val="24"/>
          <w:szCs w:val="24"/>
        </w:rPr>
        <w:t xml:space="preserve">.  </w:t>
      </w:r>
    </w:p>
    <w:p w14:paraId="32EF1901" w14:textId="77777777" w:rsidR="00B32D2F" w:rsidRPr="000C6AFA" w:rsidRDefault="00B32D2F" w:rsidP="00747AA9">
      <w:pPr>
        <w:spacing w:before="240"/>
        <w:ind w:right="-568"/>
        <w:rPr>
          <w:color w:val="000000"/>
          <w:sz w:val="24"/>
          <w:szCs w:val="24"/>
        </w:rPr>
      </w:pPr>
      <w:r w:rsidRPr="000C6AFA">
        <w:rPr>
          <w:color w:val="000000"/>
          <w:sz w:val="24"/>
          <w:szCs w:val="24"/>
        </w:rPr>
        <w:t xml:space="preserve">In these circumstances, it is considered that the requirements of section 17 of the </w:t>
      </w:r>
      <w:r w:rsidRPr="000C6AFA">
        <w:rPr>
          <w:i/>
          <w:color w:val="000000"/>
          <w:sz w:val="24"/>
          <w:szCs w:val="24"/>
        </w:rPr>
        <w:t xml:space="preserve">Legislation Act 2003 </w:t>
      </w:r>
      <w:r w:rsidRPr="000C6AFA">
        <w:rPr>
          <w:color w:val="000000"/>
          <w:sz w:val="24"/>
          <w:szCs w:val="24"/>
        </w:rPr>
        <w:t xml:space="preserve">have been fulfilled. </w:t>
      </w:r>
    </w:p>
    <w:p w14:paraId="33ABA1E8" w14:textId="77777777" w:rsidR="00C463C6" w:rsidRPr="005358D3" w:rsidRDefault="00C463C6" w:rsidP="003572D7">
      <w:pPr>
        <w:pStyle w:val="ActHead5"/>
        <w:rPr>
          <w:b w:val="0"/>
          <w:szCs w:val="24"/>
        </w:rPr>
      </w:pPr>
      <w:r w:rsidRPr="005358D3">
        <w:rPr>
          <w:szCs w:val="24"/>
        </w:rPr>
        <w:t>RETROSPECTIVITY</w:t>
      </w:r>
    </w:p>
    <w:p w14:paraId="5A6F1BB8" w14:textId="77777777" w:rsidR="00C463C6" w:rsidRDefault="00165110" w:rsidP="003572D7">
      <w:pPr>
        <w:spacing w:before="240"/>
        <w:rPr>
          <w:sz w:val="24"/>
          <w:szCs w:val="24"/>
        </w:rPr>
      </w:pPr>
      <w:r w:rsidRPr="00BF246B">
        <w:rPr>
          <w:sz w:val="24"/>
          <w:szCs w:val="24"/>
        </w:rPr>
        <w:t>None</w:t>
      </w:r>
      <w:r w:rsidR="00213C94" w:rsidRPr="00BF246B">
        <w:rPr>
          <w:sz w:val="24"/>
          <w:szCs w:val="24"/>
        </w:rPr>
        <w:t>.</w:t>
      </w:r>
    </w:p>
    <w:p w14:paraId="738744E5" w14:textId="77777777" w:rsidR="00C463C6" w:rsidRDefault="00AB0E22" w:rsidP="003572D7">
      <w:pPr>
        <w:pStyle w:val="ActHead5"/>
        <w:rPr>
          <w:b w:val="0"/>
          <w:color w:val="000000"/>
          <w:szCs w:val="24"/>
        </w:rPr>
      </w:pPr>
      <w:r>
        <w:rPr>
          <w:color w:val="000000"/>
          <w:szCs w:val="24"/>
        </w:rPr>
        <w:t xml:space="preserve">DOCUMENTS INCORPORATED BY </w:t>
      </w:r>
      <w:r w:rsidR="00C463C6" w:rsidRPr="000A51A1">
        <w:rPr>
          <w:color w:val="000000"/>
          <w:szCs w:val="24"/>
        </w:rPr>
        <w:t>REFERENCE</w:t>
      </w:r>
    </w:p>
    <w:p w14:paraId="276B0A57" w14:textId="77777777" w:rsidR="00237F9B" w:rsidRPr="00BF246B" w:rsidRDefault="00237F9B" w:rsidP="00237F9B">
      <w:pPr>
        <w:spacing w:before="240"/>
        <w:rPr>
          <w:sz w:val="24"/>
          <w:szCs w:val="24"/>
        </w:rPr>
      </w:pPr>
      <w:r w:rsidRPr="00BF246B">
        <w:rPr>
          <w:sz w:val="24"/>
          <w:szCs w:val="24"/>
        </w:rPr>
        <w:t>None.</w:t>
      </w:r>
    </w:p>
    <w:p w14:paraId="50787CE7" w14:textId="77777777" w:rsidR="00EE12FC" w:rsidRDefault="00252833" w:rsidP="003572D7">
      <w:pPr>
        <w:pStyle w:val="ActHead5"/>
        <w:rPr>
          <w:b w:val="0"/>
          <w:color w:val="000000"/>
          <w:szCs w:val="24"/>
        </w:rPr>
      </w:pPr>
      <w:r>
        <w:rPr>
          <w:color w:val="000000"/>
          <w:szCs w:val="24"/>
        </w:rPr>
        <w:t>REGULATORY IMPACT</w:t>
      </w:r>
    </w:p>
    <w:p w14:paraId="395C86D4" w14:textId="77777777" w:rsidR="000B23AF" w:rsidRDefault="009E03FD" w:rsidP="003572D7">
      <w:pPr>
        <w:spacing w:before="240"/>
        <w:rPr>
          <w:i/>
          <w:color w:val="000000"/>
          <w:sz w:val="24"/>
          <w:szCs w:val="24"/>
        </w:rPr>
      </w:pPr>
      <w:r w:rsidRPr="00840C08">
        <w:rPr>
          <w:color w:val="000000"/>
          <w:sz w:val="24"/>
          <w:szCs w:val="24"/>
        </w:rPr>
        <w:t>None</w:t>
      </w:r>
      <w:r w:rsidR="000B23AF">
        <w:rPr>
          <w:color w:val="000000"/>
          <w:sz w:val="24"/>
          <w:szCs w:val="24"/>
        </w:rPr>
        <w:t>.</w:t>
      </w:r>
      <w:r w:rsidR="001E7FBB">
        <w:rPr>
          <w:color w:val="000000"/>
          <w:sz w:val="24"/>
          <w:szCs w:val="24"/>
        </w:rPr>
        <w:t xml:space="preserve"> </w:t>
      </w:r>
    </w:p>
    <w:p w14:paraId="2DAD55D9" w14:textId="77777777" w:rsidR="00C463C6" w:rsidRPr="00234E3F" w:rsidRDefault="00C463C6" w:rsidP="003572D7">
      <w:pPr>
        <w:pStyle w:val="ActHead5"/>
        <w:rPr>
          <w:color w:val="000000"/>
          <w:szCs w:val="24"/>
        </w:rPr>
      </w:pPr>
      <w:r w:rsidRPr="000A51A1">
        <w:rPr>
          <w:color w:val="000000"/>
          <w:szCs w:val="24"/>
        </w:rPr>
        <w:t>HUMAN RIGHTS STATEMENT</w:t>
      </w:r>
    </w:p>
    <w:p w14:paraId="6DC32FB5" w14:textId="77777777" w:rsidR="006564DE" w:rsidRDefault="00C463C6" w:rsidP="003572D7">
      <w:pPr>
        <w:spacing w:before="240"/>
        <w:jc w:val="both"/>
        <w:rPr>
          <w:sz w:val="24"/>
          <w:szCs w:val="24"/>
        </w:rPr>
      </w:pPr>
      <w:r w:rsidRPr="000A51A1">
        <w:rPr>
          <w:sz w:val="24"/>
          <w:szCs w:val="24"/>
        </w:rPr>
        <w:t xml:space="preserve">Prepared in accordance with Part 3 of the </w:t>
      </w:r>
      <w:r w:rsidRPr="000A51A1">
        <w:rPr>
          <w:i/>
          <w:sz w:val="24"/>
          <w:szCs w:val="24"/>
        </w:rPr>
        <w:t>Human Rights (Parliamentary Scrutiny) Act 2011</w:t>
      </w:r>
      <w:r w:rsidRPr="000A51A1">
        <w:rPr>
          <w:sz w:val="24"/>
          <w:szCs w:val="24"/>
        </w:rPr>
        <w:t>.</w:t>
      </w:r>
      <w:r w:rsidR="006564DE">
        <w:rPr>
          <w:sz w:val="24"/>
          <w:szCs w:val="24"/>
        </w:rPr>
        <w:t xml:space="preserve">  </w:t>
      </w:r>
    </w:p>
    <w:p w14:paraId="477A2C19" w14:textId="77777777" w:rsidR="0094125D" w:rsidRPr="00DD18D7" w:rsidRDefault="0094125D" w:rsidP="0094125D">
      <w:pPr>
        <w:spacing w:before="240"/>
        <w:rPr>
          <w:i/>
          <w:sz w:val="24"/>
          <w:szCs w:val="24"/>
        </w:rPr>
      </w:pPr>
      <w:r w:rsidRPr="00DD18D7">
        <w:rPr>
          <w:i/>
          <w:sz w:val="24"/>
          <w:szCs w:val="24"/>
        </w:rPr>
        <w:t>Human rights implications</w:t>
      </w:r>
    </w:p>
    <w:p w14:paraId="68CBE0C5" w14:textId="77777777" w:rsidR="009E66CE" w:rsidRPr="00F37E0D" w:rsidRDefault="009E66CE" w:rsidP="009E66CE">
      <w:pPr>
        <w:spacing w:before="120" w:after="120"/>
        <w:rPr>
          <w:sz w:val="24"/>
          <w:szCs w:val="24"/>
        </w:rPr>
      </w:pPr>
      <w:r w:rsidRPr="006564DE">
        <w:rPr>
          <w:sz w:val="24"/>
          <w:szCs w:val="24"/>
        </w:rPr>
        <w:t xml:space="preserve">The attached legislative instrument engages </w:t>
      </w:r>
      <w:r>
        <w:rPr>
          <w:sz w:val="24"/>
          <w:szCs w:val="24"/>
        </w:rPr>
        <w:t xml:space="preserve">and promotes </w:t>
      </w:r>
      <w:r w:rsidRPr="006564DE">
        <w:rPr>
          <w:sz w:val="24"/>
          <w:szCs w:val="24"/>
        </w:rPr>
        <w:t>the Right to Health</w:t>
      </w:r>
      <w:r>
        <w:rPr>
          <w:sz w:val="24"/>
          <w:szCs w:val="24"/>
        </w:rPr>
        <w:t>. The Right to Health is</w:t>
      </w:r>
      <w:r w:rsidRPr="006564DE">
        <w:rPr>
          <w:sz w:val="24"/>
          <w:szCs w:val="24"/>
        </w:rPr>
        <w:t xml:space="preserve"> contained in article 12(1) of the International Covenant on Economic Social and Cultural Rights</w:t>
      </w:r>
      <w:r>
        <w:rPr>
          <w:sz w:val="24"/>
          <w:szCs w:val="24"/>
        </w:rPr>
        <w:t xml:space="preserve"> (ICESCR)</w:t>
      </w:r>
      <w:r w:rsidRPr="006564DE">
        <w:rPr>
          <w:sz w:val="24"/>
          <w:szCs w:val="24"/>
        </w:rPr>
        <w:t>.</w:t>
      </w:r>
      <w:r>
        <w:rPr>
          <w:sz w:val="24"/>
          <w:szCs w:val="24"/>
        </w:rPr>
        <w:t xml:space="preserve"> </w:t>
      </w:r>
      <w:r w:rsidRPr="00F37E0D">
        <w:rPr>
          <w:sz w:val="24"/>
          <w:szCs w:val="24"/>
        </w:rPr>
        <w:t>Article 12 of the ICESCR refers to the “the right of everyone to the enjoyment of the highest attainable standard of physical and mental health”.</w:t>
      </w:r>
    </w:p>
    <w:p w14:paraId="18D441FB" w14:textId="77777777" w:rsidR="0094125D" w:rsidRPr="00C51B43" w:rsidRDefault="0094125D" w:rsidP="00742C38">
      <w:pPr>
        <w:pStyle w:val="NormalWeb"/>
        <w:spacing w:before="240" w:beforeAutospacing="0" w:after="0" w:afterAutospacing="0"/>
        <w:textAlignment w:val="top"/>
        <w:rPr>
          <w:i/>
          <w:color w:val="000000"/>
          <w:lang w:val="en-US"/>
        </w:rPr>
      </w:pPr>
      <w:r w:rsidRPr="00C51B43">
        <w:rPr>
          <w:i/>
          <w:color w:val="000000"/>
          <w:lang w:val="en-US"/>
        </w:rPr>
        <w:lastRenderedPageBreak/>
        <w:t>Overview</w:t>
      </w:r>
    </w:p>
    <w:p w14:paraId="4C603FA9" w14:textId="78A65C75" w:rsidR="00AE4C50" w:rsidRPr="00AE4C50" w:rsidRDefault="0094125D" w:rsidP="00EE39A8">
      <w:pPr>
        <w:spacing w:before="240" w:after="240"/>
      </w:pPr>
      <w:r w:rsidRPr="000C3472">
        <w:rPr>
          <w:sz w:val="24"/>
          <w:szCs w:val="24"/>
        </w:rPr>
        <w:t xml:space="preserve">The instrument </w:t>
      </w:r>
      <w:r w:rsidRPr="00F16CA3">
        <w:rPr>
          <w:color w:val="000000"/>
          <w:sz w:val="24"/>
          <w:szCs w:val="24"/>
        </w:rPr>
        <w:t xml:space="preserve">sets out the conditions an eligible person </w:t>
      </w:r>
      <w:r w:rsidR="00AE4C50">
        <w:rPr>
          <w:color w:val="000000"/>
          <w:sz w:val="24"/>
          <w:szCs w:val="24"/>
        </w:rPr>
        <w:t xml:space="preserve">under the Treatment Benefits Act </w:t>
      </w:r>
      <w:r w:rsidRPr="00F16CA3">
        <w:rPr>
          <w:color w:val="000000"/>
          <w:sz w:val="24"/>
          <w:szCs w:val="24"/>
        </w:rPr>
        <w:t>and any attendant must satisfy in order to be paid travel ex</w:t>
      </w:r>
      <w:r w:rsidR="0050481F">
        <w:rPr>
          <w:color w:val="000000"/>
          <w:sz w:val="24"/>
          <w:szCs w:val="24"/>
        </w:rPr>
        <w:t>penses in respect of travel for</w:t>
      </w:r>
      <w:r>
        <w:rPr>
          <w:color w:val="000000"/>
          <w:sz w:val="24"/>
          <w:szCs w:val="24"/>
        </w:rPr>
        <w:t xml:space="preserve"> </w:t>
      </w:r>
      <w:r w:rsidR="0083033C">
        <w:rPr>
          <w:color w:val="000000"/>
          <w:sz w:val="24"/>
          <w:szCs w:val="24"/>
        </w:rPr>
        <w:t>treatment and</w:t>
      </w:r>
      <w:r w:rsidRPr="00F16CA3">
        <w:rPr>
          <w:color w:val="000000"/>
          <w:sz w:val="24"/>
          <w:szCs w:val="24"/>
        </w:rPr>
        <w:t xml:space="preserve"> the levels of payments </w:t>
      </w:r>
      <w:r w:rsidR="0083033C">
        <w:rPr>
          <w:color w:val="000000"/>
          <w:sz w:val="24"/>
          <w:szCs w:val="24"/>
        </w:rPr>
        <w:t>of those travelling expenses.</w:t>
      </w:r>
      <w:r w:rsidR="00DD18D7" w:rsidRPr="00F16CA3">
        <w:rPr>
          <w:color w:val="000000"/>
          <w:sz w:val="24"/>
          <w:szCs w:val="24"/>
        </w:rPr>
        <w:t xml:space="preserve"> Travel expenses are reimbursements of the costs of transport, accommodation and meals </w:t>
      </w:r>
      <w:r w:rsidR="00742C38">
        <w:rPr>
          <w:color w:val="000000"/>
          <w:sz w:val="24"/>
          <w:szCs w:val="24"/>
        </w:rPr>
        <w:t>incurred by an eligible person and any attendant</w:t>
      </w:r>
      <w:r w:rsidR="00DD18D7" w:rsidRPr="00F16CA3">
        <w:rPr>
          <w:color w:val="000000"/>
          <w:sz w:val="24"/>
          <w:szCs w:val="24"/>
        </w:rPr>
        <w:t xml:space="preserve"> in the course of travelling for treatment</w:t>
      </w:r>
      <w:r w:rsidR="00742C38">
        <w:rPr>
          <w:color w:val="000000"/>
          <w:sz w:val="24"/>
          <w:szCs w:val="24"/>
        </w:rPr>
        <w:t xml:space="preserve"> of an eligible person</w:t>
      </w:r>
      <w:r w:rsidR="00742C38" w:rsidRPr="009E66CE">
        <w:rPr>
          <w:color w:val="000000"/>
          <w:sz w:val="24"/>
          <w:szCs w:val="24"/>
        </w:rPr>
        <w:t xml:space="preserve">. </w:t>
      </w:r>
      <w:r w:rsidR="00AE4C50" w:rsidRPr="00AE4C50">
        <w:rPr>
          <w:sz w:val="24"/>
          <w:szCs w:val="24"/>
        </w:rPr>
        <w:t xml:space="preserve">The </w:t>
      </w:r>
      <w:r w:rsidR="00AE4C50">
        <w:rPr>
          <w:sz w:val="24"/>
          <w:szCs w:val="24"/>
        </w:rPr>
        <w:t xml:space="preserve">treatment </w:t>
      </w:r>
      <w:r w:rsidR="00D37820">
        <w:rPr>
          <w:sz w:val="24"/>
          <w:szCs w:val="24"/>
        </w:rPr>
        <w:t xml:space="preserve">for all conditions </w:t>
      </w:r>
      <w:r w:rsidR="00AE4C50" w:rsidRPr="00AE4C50">
        <w:rPr>
          <w:sz w:val="24"/>
          <w:szCs w:val="24"/>
        </w:rPr>
        <w:t xml:space="preserve">is provided </w:t>
      </w:r>
      <w:r w:rsidR="00D37820" w:rsidRPr="00AE4C50">
        <w:rPr>
          <w:sz w:val="24"/>
          <w:szCs w:val="24"/>
        </w:rPr>
        <w:t xml:space="preserve">to </w:t>
      </w:r>
      <w:r w:rsidR="00D37820">
        <w:rPr>
          <w:sz w:val="24"/>
          <w:szCs w:val="24"/>
        </w:rPr>
        <w:t>an</w:t>
      </w:r>
      <w:r w:rsidR="00D37820" w:rsidRPr="00AE4C50">
        <w:rPr>
          <w:sz w:val="24"/>
          <w:szCs w:val="24"/>
        </w:rPr>
        <w:t xml:space="preserve"> eligible person </w:t>
      </w:r>
      <w:r w:rsidR="00AE4C50" w:rsidRPr="00AE4C50">
        <w:rPr>
          <w:sz w:val="24"/>
          <w:szCs w:val="24"/>
        </w:rPr>
        <w:t>via a Gold Card.</w:t>
      </w:r>
    </w:p>
    <w:p w14:paraId="313BE5F4" w14:textId="77777777" w:rsidR="00AE4C50" w:rsidRPr="00F37E0D" w:rsidRDefault="00AE4C50" w:rsidP="00AE4C50">
      <w:pPr>
        <w:rPr>
          <w:i/>
          <w:sz w:val="24"/>
        </w:rPr>
      </w:pPr>
      <w:r w:rsidRPr="00F37E0D">
        <w:rPr>
          <w:i/>
          <w:sz w:val="24"/>
        </w:rPr>
        <w:t>Conclusion</w:t>
      </w:r>
    </w:p>
    <w:p w14:paraId="61F187D9" w14:textId="7DE98559" w:rsidR="00AE4C50" w:rsidRDefault="00AE4C50" w:rsidP="00AE4C50">
      <w:pPr>
        <w:spacing w:before="240"/>
        <w:rPr>
          <w:sz w:val="24"/>
          <w:szCs w:val="24"/>
        </w:rPr>
      </w:pPr>
      <w:r w:rsidRPr="000A51A1">
        <w:rPr>
          <w:sz w:val="24"/>
          <w:szCs w:val="24"/>
        </w:rPr>
        <w:t xml:space="preserve">The attached instrument </w:t>
      </w:r>
      <w:r>
        <w:rPr>
          <w:sz w:val="24"/>
          <w:szCs w:val="24"/>
        </w:rPr>
        <w:t xml:space="preserve">engages with and promotes the </w:t>
      </w:r>
      <w:r w:rsidR="006A499A">
        <w:rPr>
          <w:sz w:val="24"/>
          <w:szCs w:val="24"/>
        </w:rPr>
        <w:t>R</w:t>
      </w:r>
      <w:r>
        <w:rPr>
          <w:sz w:val="24"/>
          <w:szCs w:val="24"/>
        </w:rPr>
        <w:t xml:space="preserve">ight to </w:t>
      </w:r>
      <w:r w:rsidR="006A499A">
        <w:rPr>
          <w:sz w:val="24"/>
          <w:szCs w:val="24"/>
        </w:rPr>
        <w:t>H</w:t>
      </w:r>
      <w:r>
        <w:rPr>
          <w:sz w:val="24"/>
          <w:szCs w:val="24"/>
        </w:rPr>
        <w:t>ealth. Accordingly, the attached instrument is considered to be “human rights compatible”.</w:t>
      </w:r>
    </w:p>
    <w:p w14:paraId="6DE9D779" w14:textId="77777777" w:rsidR="009A7B2C" w:rsidRDefault="009A7B2C" w:rsidP="00AF6325">
      <w:pPr>
        <w:pStyle w:val="Default"/>
        <w:autoSpaceDE/>
        <w:autoSpaceDN/>
        <w:adjustRightInd/>
        <w:rPr>
          <w:lang w:val="en-US"/>
        </w:rPr>
      </w:pPr>
    </w:p>
    <w:p w14:paraId="4D79CCF1" w14:textId="77777777" w:rsidR="001F3C07" w:rsidRDefault="001F3C07" w:rsidP="00AF6325">
      <w:pPr>
        <w:pStyle w:val="Default"/>
        <w:autoSpaceDE/>
        <w:autoSpaceDN/>
        <w:adjustRightInd/>
        <w:rPr>
          <w:lang w:val="en-US"/>
        </w:rPr>
      </w:pPr>
    </w:p>
    <w:p w14:paraId="38782039" w14:textId="77777777" w:rsidR="0050481F" w:rsidRPr="0050481F" w:rsidRDefault="0050481F" w:rsidP="0050481F">
      <w:pPr>
        <w:pStyle w:val="Default"/>
        <w:rPr>
          <w:bCs/>
        </w:rPr>
      </w:pPr>
      <w:r w:rsidRPr="000423AC">
        <w:rPr>
          <w:bCs/>
        </w:rPr>
        <w:t>Darren Chester</w:t>
      </w:r>
    </w:p>
    <w:p w14:paraId="7378F94E" w14:textId="51D718E1" w:rsidR="0050481F" w:rsidRPr="0050481F" w:rsidRDefault="0050481F" w:rsidP="0050481F">
      <w:pPr>
        <w:pStyle w:val="Default"/>
        <w:rPr>
          <w:bCs/>
        </w:rPr>
      </w:pPr>
      <w:r w:rsidRPr="0050481F">
        <w:rPr>
          <w:bCs/>
        </w:rPr>
        <w:t>Minister for Veterans</w:t>
      </w:r>
      <w:r w:rsidR="00F71151">
        <w:rPr>
          <w:bCs/>
        </w:rPr>
        <w:t xml:space="preserve"> and Defence Personnel</w:t>
      </w:r>
      <w:bookmarkStart w:id="0" w:name="_GoBack"/>
      <w:bookmarkEnd w:id="0"/>
    </w:p>
    <w:p w14:paraId="030113EF" w14:textId="77777777" w:rsidR="0050481F" w:rsidRDefault="0050481F" w:rsidP="0050481F">
      <w:pPr>
        <w:pStyle w:val="Default"/>
        <w:rPr>
          <w:bCs/>
        </w:rPr>
      </w:pPr>
      <w:r w:rsidRPr="0050481F">
        <w:rPr>
          <w:bCs/>
        </w:rPr>
        <w:t>Rule-Maker</w:t>
      </w:r>
    </w:p>
    <w:p w14:paraId="320A97E0" w14:textId="77777777" w:rsidR="00737AA8" w:rsidRPr="00394452" w:rsidRDefault="00737AA8" w:rsidP="00044D28">
      <w:pPr>
        <w:pStyle w:val="ActHead5"/>
        <w:jc w:val="right"/>
        <w:rPr>
          <w:b w:val="0"/>
          <w:color w:val="000000"/>
          <w:szCs w:val="24"/>
        </w:rPr>
      </w:pPr>
      <w:r w:rsidRPr="00394452">
        <w:rPr>
          <w:color w:val="000000"/>
          <w:szCs w:val="24"/>
        </w:rPr>
        <w:t xml:space="preserve">FURTHER EXPLANATION OF PROVISIONS </w:t>
      </w:r>
    </w:p>
    <w:p w14:paraId="5B714C6F" w14:textId="77777777" w:rsidR="00737AA8" w:rsidRPr="00394452" w:rsidRDefault="00737AA8" w:rsidP="00044D28">
      <w:pPr>
        <w:pStyle w:val="Default"/>
        <w:autoSpaceDE/>
        <w:adjustRightInd/>
        <w:jc w:val="right"/>
      </w:pPr>
      <w:r w:rsidRPr="00394452">
        <w:t xml:space="preserve">See: </w:t>
      </w:r>
      <w:r w:rsidRPr="00394452">
        <w:rPr>
          <w:u w:val="single"/>
        </w:rPr>
        <w:t>Attachment A</w:t>
      </w:r>
    </w:p>
    <w:p w14:paraId="18DB8EC9" w14:textId="77777777" w:rsidR="004D54AE" w:rsidRDefault="004D54AE">
      <w:pPr>
        <w:rPr>
          <w:color w:val="000000"/>
          <w:sz w:val="24"/>
          <w:szCs w:val="24"/>
          <w:u w:val="single"/>
        </w:rPr>
      </w:pPr>
      <w:r>
        <w:rPr>
          <w:color w:val="000000"/>
          <w:sz w:val="24"/>
          <w:szCs w:val="24"/>
          <w:u w:val="single"/>
        </w:rPr>
        <w:br w:type="page"/>
      </w:r>
    </w:p>
    <w:p w14:paraId="23519382" w14:textId="0BFA354D" w:rsidR="008F4629" w:rsidRDefault="008F4629" w:rsidP="008F4629">
      <w:pPr>
        <w:rPr>
          <w:color w:val="000000"/>
          <w:sz w:val="24"/>
          <w:szCs w:val="24"/>
          <w:u w:val="single"/>
        </w:rPr>
      </w:pPr>
      <w:r w:rsidRPr="00252833">
        <w:rPr>
          <w:color w:val="000000"/>
          <w:sz w:val="24"/>
          <w:szCs w:val="24"/>
          <w:u w:val="single"/>
        </w:rPr>
        <w:t>Attachment A</w:t>
      </w:r>
    </w:p>
    <w:p w14:paraId="0B94964E" w14:textId="77777777" w:rsidR="00C655EE" w:rsidRDefault="00C655EE" w:rsidP="008F4629">
      <w:pPr>
        <w:spacing w:before="240"/>
        <w:rPr>
          <w:b/>
          <w:color w:val="000000"/>
          <w:sz w:val="24"/>
          <w:szCs w:val="24"/>
        </w:rPr>
      </w:pPr>
      <w:r>
        <w:rPr>
          <w:b/>
          <w:color w:val="000000"/>
          <w:sz w:val="24"/>
          <w:szCs w:val="24"/>
        </w:rPr>
        <w:t xml:space="preserve">FURTHER EXPLANATION OF PROVISIONS  </w:t>
      </w:r>
    </w:p>
    <w:p w14:paraId="5E56EB07" w14:textId="68CD240C" w:rsidR="00CC09ED" w:rsidRPr="002769D1" w:rsidRDefault="00CC09ED" w:rsidP="003572D7">
      <w:pPr>
        <w:pStyle w:val="ActHead5"/>
        <w:rPr>
          <w:b w:val="0"/>
          <w:color w:val="000000"/>
          <w:szCs w:val="24"/>
          <w:u w:val="single"/>
        </w:rPr>
      </w:pPr>
      <w:r w:rsidRPr="002769D1">
        <w:rPr>
          <w:b w:val="0"/>
          <w:color w:val="000000"/>
          <w:szCs w:val="24"/>
          <w:u w:val="single"/>
        </w:rPr>
        <w:t>Section 1</w:t>
      </w:r>
      <w:r w:rsidR="003E048A" w:rsidRPr="00F16CA3">
        <w:rPr>
          <w:b w:val="0"/>
          <w:szCs w:val="24"/>
          <w:u w:val="single"/>
        </w:rPr>
        <w:t xml:space="preserve"> –</w:t>
      </w:r>
      <w:r w:rsidR="003E048A">
        <w:rPr>
          <w:b w:val="0"/>
          <w:szCs w:val="24"/>
          <w:u w:val="single"/>
        </w:rPr>
        <w:t xml:space="preserve"> Name</w:t>
      </w:r>
    </w:p>
    <w:p w14:paraId="47834A54" w14:textId="02AD9123" w:rsidR="00237F9B" w:rsidRDefault="00E26562" w:rsidP="00237F9B">
      <w:pPr>
        <w:spacing w:before="240"/>
        <w:rPr>
          <w:color w:val="000000"/>
          <w:sz w:val="24"/>
          <w:szCs w:val="24"/>
          <w:lang w:val="en-GB"/>
        </w:rPr>
      </w:pPr>
      <w:r w:rsidRPr="00E26562">
        <w:rPr>
          <w:color w:val="000000"/>
          <w:sz w:val="24"/>
          <w:szCs w:val="24"/>
          <w:lang w:val="en-US"/>
        </w:rPr>
        <w:t xml:space="preserve">This section </w:t>
      </w:r>
      <w:r w:rsidR="002B51D4">
        <w:rPr>
          <w:color w:val="000000"/>
          <w:sz w:val="24"/>
          <w:szCs w:val="24"/>
          <w:lang w:val="en-US"/>
        </w:rPr>
        <w:t xml:space="preserve">provides the </w:t>
      </w:r>
      <w:r w:rsidR="006E0168">
        <w:rPr>
          <w:color w:val="000000"/>
          <w:sz w:val="24"/>
          <w:szCs w:val="24"/>
          <w:lang w:val="en-US"/>
        </w:rPr>
        <w:t xml:space="preserve">name </w:t>
      </w:r>
      <w:r w:rsidR="006E0168" w:rsidRPr="00892228">
        <w:rPr>
          <w:color w:val="000000"/>
          <w:sz w:val="24"/>
          <w:szCs w:val="24"/>
        </w:rPr>
        <w:t xml:space="preserve">of </w:t>
      </w:r>
      <w:r w:rsidRPr="00892228">
        <w:rPr>
          <w:color w:val="000000"/>
          <w:sz w:val="24"/>
          <w:szCs w:val="24"/>
        </w:rPr>
        <w:t xml:space="preserve">the </w:t>
      </w:r>
      <w:r w:rsidR="005473B8" w:rsidRPr="00892228">
        <w:rPr>
          <w:color w:val="000000"/>
          <w:sz w:val="24"/>
          <w:szCs w:val="24"/>
        </w:rPr>
        <w:t xml:space="preserve">instrument </w:t>
      </w:r>
      <w:r w:rsidR="002B51D4" w:rsidRPr="00892228">
        <w:rPr>
          <w:color w:val="000000"/>
          <w:sz w:val="24"/>
          <w:szCs w:val="24"/>
        </w:rPr>
        <w:t xml:space="preserve">is </w:t>
      </w:r>
      <w:r w:rsidR="0083033C" w:rsidRPr="004650DE">
        <w:rPr>
          <w:color w:val="000000"/>
          <w:sz w:val="24"/>
          <w:szCs w:val="24"/>
          <w:lang w:val="en-GB"/>
        </w:rPr>
        <w:t xml:space="preserve">the </w:t>
      </w:r>
      <w:r w:rsidR="0083033C" w:rsidRPr="00F16CA3">
        <w:rPr>
          <w:i/>
          <w:sz w:val="24"/>
          <w:szCs w:val="24"/>
        </w:rPr>
        <w:fldChar w:fldCharType="begin"/>
      </w:r>
      <w:r w:rsidR="0083033C" w:rsidRPr="00F16CA3">
        <w:rPr>
          <w:i/>
          <w:sz w:val="24"/>
          <w:szCs w:val="24"/>
        </w:rPr>
        <w:instrText xml:space="preserve"> STYLEREF  ShortT </w:instrText>
      </w:r>
      <w:r w:rsidR="0083033C" w:rsidRPr="00F16CA3">
        <w:rPr>
          <w:i/>
          <w:sz w:val="24"/>
          <w:szCs w:val="24"/>
        </w:rPr>
        <w:fldChar w:fldCharType="separate"/>
      </w:r>
      <w:r w:rsidR="005E7935">
        <w:rPr>
          <w:i/>
          <w:noProof/>
          <w:sz w:val="24"/>
          <w:szCs w:val="24"/>
        </w:rPr>
        <w:t>Treatment Benefits (Special Access) Rules 2019</w:t>
      </w:r>
      <w:r w:rsidR="0083033C" w:rsidRPr="00F16CA3">
        <w:rPr>
          <w:i/>
          <w:sz w:val="24"/>
          <w:szCs w:val="24"/>
        </w:rPr>
        <w:fldChar w:fldCharType="end"/>
      </w:r>
      <w:r w:rsidR="00237F9B" w:rsidRPr="00A0366F">
        <w:rPr>
          <w:color w:val="000000"/>
          <w:sz w:val="24"/>
          <w:szCs w:val="24"/>
          <w:lang w:val="en-GB"/>
        </w:rPr>
        <w:t>.</w:t>
      </w:r>
    </w:p>
    <w:p w14:paraId="12C749BE" w14:textId="500F1869" w:rsidR="00CC09ED" w:rsidRPr="002769D1" w:rsidRDefault="00E26562" w:rsidP="002769D1">
      <w:pPr>
        <w:pStyle w:val="ActHead5"/>
        <w:rPr>
          <w:b w:val="0"/>
          <w:color w:val="000000"/>
          <w:szCs w:val="24"/>
          <w:u w:val="single"/>
        </w:rPr>
      </w:pPr>
      <w:r w:rsidRPr="002769D1">
        <w:rPr>
          <w:b w:val="0"/>
          <w:color w:val="000000"/>
          <w:szCs w:val="24"/>
          <w:u w:val="single"/>
        </w:rPr>
        <w:t>Section 2</w:t>
      </w:r>
      <w:r w:rsidR="003E048A" w:rsidRPr="00F16CA3">
        <w:rPr>
          <w:b w:val="0"/>
          <w:szCs w:val="24"/>
          <w:u w:val="single"/>
        </w:rPr>
        <w:t xml:space="preserve"> –</w:t>
      </w:r>
      <w:r w:rsidR="003E048A">
        <w:rPr>
          <w:b w:val="0"/>
          <w:szCs w:val="24"/>
          <w:u w:val="single"/>
        </w:rPr>
        <w:t xml:space="preserve"> Commencement</w:t>
      </w:r>
    </w:p>
    <w:p w14:paraId="0264AD9B" w14:textId="57A58B1C" w:rsidR="007C7B5A" w:rsidRDefault="00225896" w:rsidP="003572D7">
      <w:pPr>
        <w:spacing w:before="240"/>
        <w:rPr>
          <w:color w:val="000000"/>
          <w:sz w:val="24"/>
          <w:szCs w:val="24"/>
          <w:lang w:val="en-GB"/>
        </w:rPr>
      </w:pPr>
      <w:r w:rsidRPr="006E0168">
        <w:rPr>
          <w:color w:val="000000"/>
          <w:sz w:val="24"/>
          <w:szCs w:val="24"/>
          <w:lang w:val="en-US"/>
        </w:rPr>
        <w:t xml:space="preserve">This </w:t>
      </w:r>
      <w:r w:rsidR="006E0168">
        <w:rPr>
          <w:color w:val="000000"/>
          <w:sz w:val="24"/>
          <w:szCs w:val="24"/>
          <w:lang w:val="en-US"/>
        </w:rPr>
        <w:t xml:space="preserve">section provides the </w:t>
      </w:r>
      <w:r w:rsidR="00313B04">
        <w:rPr>
          <w:color w:val="000000"/>
          <w:sz w:val="24"/>
          <w:szCs w:val="24"/>
          <w:lang w:val="en-GB"/>
        </w:rPr>
        <w:t>i</w:t>
      </w:r>
      <w:r w:rsidR="00313B04" w:rsidRPr="00AF4A81">
        <w:rPr>
          <w:color w:val="000000"/>
          <w:sz w:val="24"/>
          <w:szCs w:val="24"/>
          <w:lang w:val="en-GB"/>
        </w:rPr>
        <w:t xml:space="preserve">nstrument </w:t>
      </w:r>
      <w:r w:rsidR="00CD7462">
        <w:rPr>
          <w:color w:val="000000"/>
          <w:sz w:val="24"/>
          <w:szCs w:val="24"/>
          <w:lang w:val="en-GB"/>
        </w:rPr>
        <w:t>commence</w:t>
      </w:r>
      <w:r w:rsidR="0083033C">
        <w:rPr>
          <w:color w:val="000000"/>
          <w:sz w:val="24"/>
          <w:szCs w:val="24"/>
          <w:lang w:val="en-GB"/>
        </w:rPr>
        <w:t>s</w:t>
      </w:r>
      <w:r w:rsidR="00CD7462">
        <w:rPr>
          <w:color w:val="000000"/>
          <w:sz w:val="24"/>
          <w:szCs w:val="24"/>
          <w:lang w:val="en-GB"/>
        </w:rPr>
        <w:t xml:space="preserve"> on </w:t>
      </w:r>
      <w:r w:rsidR="00237F9B">
        <w:rPr>
          <w:color w:val="000000"/>
          <w:sz w:val="24"/>
          <w:szCs w:val="24"/>
          <w:lang w:val="en-GB"/>
        </w:rPr>
        <w:t>1 July</w:t>
      </w:r>
      <w:r w:rsidR="008440A4">
        <w:rPr>
          <w:color w:val="000000"/>
          <w:sz w:val="24"/>
          <w:szCs w:val="24"/>
          <w:lang w:val="en-GB"/>
        </w:rPr>
        <w:t> </w:t>
      </w:r>
      <w:r w:rsidR="00237F9B">
        <w:rPr>
          <w:color w:val="000000"/>
          <w:sz w:val="24"/>
          <w:szCs w:val="24"/>
          <w:lang w:val="en-GB"/>
        </w:rPr>
        <w:t>2019</w:t>
      </w:r>
      <w:r w:rsidR="007C7B5A">
        <w:rPr>
          <w:color w:val="000000"/>
          <w:sz w:val="24"/>
          <w:szCs w:val="24"/>
          <w:lang w:val="en-GB"/>
        </w:rPr>
        <w:t>.</w:t>
      </w:r>
    </w:p>
    <w:p w14:paraId="6B64D3E5" w14:textId="0C721AB8" w:rsidR="00E26562" w:rsidRPr="003E048A" w:rsidRDefault="00E26562" w:rsidP="002769D1">
      <w:pPr>
        <w:pStyle w:val="ActHead5"/>
        <w:rPr>
          <w:b w:val="0"/>
          <w:color w:val="000000"/>
          <w:szCs w:val="24"/>
          <w:u w:val="single"/>
        </w:rPr>
      </w:pPr>
      <w:r w:rsidRPr="003E048A">
        <w:rPr>
          <w:b w:val="0"/>
          <w:color w:val="000000"/>
          <w:szCs w:val="24"/>
          <w:u w:val="single"/>
        </w:rPr>
        <w:t xml:space="preserve">Section </w:t>
      </w:r>
      <w:r w:rsidR="0084545A" w:rsidRPr="003E048A">
        <w:rPr>
          <w:b w:val="0"/>
          <w:color w:val="000000"/>
          <w:szCs w:val="24"/>
          <w:u w:val="single"/>
        </w:rPr>
        <w:t>3</w:t>
      </w:r>
      <w:r w:rsidR="003E048A" w:rsidRPr="00C53F44">
        <w:rPr>
          <w:b w:val="0"/>
          <w:szCs w:val="24"/>
          <w:u w:val="single"/>
        </w:rPr>
        <w:t xml:space="preserve"> –</w:t>
      </w:r>
      <w:r w:rsidR="003E048A">
        <w:rPr>
          <w:b w:val="0"/>
          <w:szCs w:val="24"/>
          <w:u w:val="single"/>
        </w:rPr>
        <w:t xml:space="preserve"> Authority</w:t>
      </w:r>
    </w:p>
    <w:p w14:paraId="1D719C32" w14:textId="363DF3A7" w:rsidR="0083033C" w:rsidRPr="00C53F44" w:rsidRDefault="00B10FD1" w:rsidP="00C53F44">
      <w:pPr>
        <w:spacing w:before="240"/>
        <w:rPr>
          <w:sz w:val="24"/>
          <w:szCs w:val="24"/>
        </w:rPr>
      </w:pPr>
      <w:r w:rsidRPr="00C53F44">
        <w:rPr>
          <w:sz w:val="24"/>
          <w:szCs w:val="24"/>
        </w:rPr>
        <w:t xml:space="preserve">This section sets out </w:t>
      </w:r>
      <w:r w:rsidR="0083033C" w:rsidRPr="00C53F44">
        <w:rPr>
          <w:sz w:val="24"/>
          <w:szCs w:val="24"/>
        </w:rPr>
        <w:t xml:space="preserve">section 63 of the </w:t>
      </w:r>
      <w:r w:rsidR="0083033C" w:rsidRPr="00C53F44">
        <w:rPr>
          <w:i/>
          <w:sz w:val="24"/>
          <w:szCs w:val="24"/>
        </w:rPr>
        <w:t>Treatment Benefits (Special Access) Act 2019</w:t>
      </w:r>
    </w:p>
    <w:p w14:paraId="1621E811" w14:textId="41B437E3" w:rsidR="00237F9B" w:rsidRPr="00C53F44" w:rsidRDefault="00B10FD1" w:rsidP="00C53F44">
      <w:r w:rsidRPr="00C53F44">
        <w:rPr>
          <w:sz w:val="24"/>
          <w:szCs w:val="24"/>
        </w:rPr>
        <w:t>authorises the making of the instrument</w:t>
      </w:r>
      <w:r w:rsidR="003E048A">
        <w:rPr>
          <w:sz w:val="24"/>
          <w:szCs w:val="24"/>
        </w:rPr>
        <w:t xml:space="preserve">. </w:t>
      </w:r>
    </w:p>
    <w:p w14:paraId="7F188B5F" w14:textId="77777777" w:rsidR="003E048A" w:rsidRPr="00C53F44" w:rsidRDefault="003E048A" w:rsidP="00C53F44">
      <w:pPr>
        <w:spacing w:before="240"/>
        <w:rPr>
          <w:sz w:val="24"/>
          <w:szCs w:val="24"/>
          <w:u w:val="single"/>
        </w:rPr>
      </w:pPr>
      <w:r w:rsidRPr="00C53F44">
        <w:rPr>
          <w:sz w:val="24"/>
          <w:szCs w:val="24"/>
          <w:u w:val="single"/>
        </w:rPr>
        <w:t>Section 4 – Definitions</w:t>
      </w:r>
    </w:p>
    <w:p w14:paraId="6BA7B08C" w14:textId="28DE355D" w:rsidR="003E048A" w:rsidRPr="00C53F44" w:rsidRDefault="003E048A" w:rsidP="00C53F44">
      <w:pPr>
        <w:spacing w:before="240"/>
        <w:rPr>
          <w:sz w:val="24"/>
          <w:szCs w:val="24"/>
        </w:rPr>
      </w:pPr>
      <w:r w:rsidRPr="00C53F44">
        <w:rPr>
          <w:sz w:val="24"/>
          <w:szCs w:val="24"/>
        </w:rPr>
        <w:t xml:space="preserve">This section sets out the definitions used in the </w:t>
      </w:r>
      <w:r w:rsidR="00681DE0">
        <w:rPr>
          <w:sz w:val="24"/>
          <w:szCs w:val="24"/>
        </w:rPr>
        <w:t>r</w:t>
      </w:r>
      <w:r>
        <w:rPr>
          <w:sz w:val="24"/>
          <w:szCs w:val="24"/>
        </w:rPr>
        <w:t>ules</w:t>
      </w:r>
      <w:r w:rsidRPr="00C53F44">
        <w:rPr>
          <w:sz w:val="24"/>
          <w:szCs w:val="24"/>
        </w:rPr>
        <w:t>.</w:t>
      </w:r>
    </w:p>
    <w:p w14:paraId="4EF9A368" w14:textId="521F44E4" w:rsidR="003E048A" w:rsidRPr="003E048A" w:rsidRDefault="001D658E" w:rsidP="00C53F44">
      <w:pPr>
        <w:pStyle w:val="ActHead5"/>
        <w:spacing w:after="240"/>
        <w:rPr>
          <w:b w:val="0"/>
          <w:color w:val="000000"/>
          <w:szCs w:val="24"/>
          <w:u w:val="single"/>
        </w:rPr>
      </w:pPr>
      <w:r w:rsidRPr="00C53F44">
        <w:rPr>
          <w:b w:val="0"/>
          <w:color w:val="000000"/>
          <w:szCs w:val="24"/>
          <w:u w:val="single"/>
          <w:lang w:val="en-GB"/>
        </w:rPr>
        <w:t xml:space="preserve">Section </w:t>
      </w:r>
      <w:r w:rsidR="003E048A">
        <w:rPr>
          <w:b w:val="0"/>
          <w:color w:val="000000"/>
          <w:szCs w:val="24"/>
          <w:u w:val="single"/>
        </w:rPr>
        <w:t>5</w:t>
      </w:r>
      <w:r w:rsidR="003E048A" w:rsidRPr="003E048A">
        <w:rPr>
          <w:b w:val="0"/>
          <w:szCs w:val="24"/>
          <w:u w:val="single"/>
        </w:rPr>
        <w:t xml:space="preserve"> –</w:t>
      </w:r>
      <w:r w:rsidR="003E048A">
        <w:rPr>
          <w:b w:val="0"/>
          <w:szCs w:val="24"/>
          <w:u w:val="single"/>
        </w:rPr>
        <w:t xml:space="preserve"> Composition</w:t>
      </w:r>
    </w:p>
    <w:p w14:paraId="0564AFF8" w14:textId="2AC38AF8" w:rsidR="003E048A" w:rsidRPr="00C53F44" w:rsidRDefault="005B7CF2" w:rsidP="00C53F44">
      <w:pPr>
        <w:rPr>
          <w:sz w:val="24"/>
          <w:szCs w:val="24"/>
        </w:rPr>
      </w:pPr>
      <w:r w:rsidRPr="00C53F44">
        <w:rPr>
          <w:sz w:val="24"/>
          <w:szCs w:val="24"/>
        </w:rPr>
        <w:t>S</w:t>
      </w:r>
      <w:r w:rsidR="003E048A" w:rsidRPr="00C53F44">
        <w:rPr>
          <w:sz w:val="24"/>
          <w:szCs w:val="24"/>
        </w:rPr>
        <w:t>ub</w:t>
      </w:r>
      <w:r w:rsidRPr="00C53F44">
        <w:rPr>
          <w:sz w:val="24"/>
          <w:szCs w:val="24"/>
        </w:rPr>
        <w:t>section 5</w:t>
      </w:r>
      <w:r w:rsidR="003E048A" w:rsidRPr="00C53F44">
        <w:rPr>
          <w:sz w:val="24"/>
          <w:szCs w:val="24"/>
        </w:rPr>
        <w:t>(1</w:t>
      </w:r>
      <w:r w:rsidRPr="00C53F44">
        <w:rPr>
          <w:sz w:val="24"/>
          <w:szCs w:val="24"/>
        </w:rPr>
        <w:t xml:space="preserve">) </w:t>
      </w:r>
      <w:r w:rsidR="003E048A" w:rsidRPr="00C53F44">
        <w:rPr>
          <w:sz w:val="24"/>
          <w:szCs w:val="24"/>
        </w:rPr>
        <w:t>defines “travel expenses” as amounts required to reimburse in whole or part, expenditure on:</w:t>
      </w:r>
    </w:p>
    <w:p w14:paraId="074E0BB2" w14:textId="77777777" w:rsidR="003E048A" w:rsidRPr="00C53F44" w:rsidRDefault="003E048A" w:rsidP="00C53F44">
      <w:pPr>
        <w:pStyle w:val="ListParagraph"/>
        <w:numPr>
          <w:ilvl w:val="0"/>
          <w:numId w:val="33"/>
        </w:numPr>
        <w:rPr>
          <w:sz w:val="24"/>
          <w:szCs w:val="24"/>
        </w:rPr>
      </w:pPr>
      <w:r w:rsidRPr="00C53F44">
        <w:rPr>
          <w:rFonts w:ascii="Times New Roman" w:hAnsi="Times New Roman"/>
          <w:sz w:val="24"/>
          <w:szCs w:val="24"/>
        </w:rPr>
        <w:t>transport</w:t>
      </w:r>
    </w:p>
    <w:p w14:paraId="58235A0C" w14:textId="77777777" w:rsidR="003E048A" w:rsidRPr="00C53F44" w:rsidRDefault="003E048A" w:rsidP="00C53F44">
      <w:pPr>
        <w:pStyle w:val="ListParagraph"/>
        <w:numPr>
          <w:ilvl w:val="0"/>
          <w:numId w:val="33"/>
        </w:numPr>
        <w:rPr>
          <w:sz w:val="24"/>
          <w:szCs w:val="24"/>
        </w:rPr>
      </w:pPr>
      <w:r w:rsidRPr="00C53F44">
        <w:rPr>
          <w:rFonts w:ascii="Times New Roman" w:hAnsi="Times New Roman"/>
          <w:sz w:val="24"/>
          <w:szCs w:val="24"/>
        </w:rPr>
        <w:t>accommodation; or</w:t>
      </w:r>
    </w:p>
    <w:p w14:paraId="5F425989" w14:textId="77777777" w:rsidR="003E048A" w:rsidRPr="00C53F44" w:rsidRDefault="003E048A" w:rsidP="00C53F44">
      <w:pPr>
        <w:pStyle w:val="ListParagraph"/>
        <w:numPr>
          <w:ilvl w:val="0"/>
          <w:numId w:val="33"/>
        </w:numPr>
        <w:rPr>
          <w:sz w:val="24"/>
          <w:szCs w:val="24"/>
        </w:rPr>
      </w:pPr>
      <w:r w:rsidRPr="00C53F44">
        <w:rPr>
          <w:rFonts w:ascii="Times New Roman" w:hAnsi="Times New Roman"/>
          <w:sz w:val="24"/>
          <w:szCs w:val="24"/>
        </w:rPr>
        <w:t>meals.</w:t>
      </w:r>
    </w:p>
    <w:p w14:paraId="1C4004C3" w14:textId="3DFD46DA" w:rsidR="003E048A" w:rsidRPr="00C53F44" w:rsidRDefault="003E048A" w:rsidP="00C53F44">
      <w:pPr>
        <w:spacing w:before="240"/>
        <w:rPr>
          <w:sz w:val="24"/>
          <w:szCs w:val="24"/>
        </w:rPr>
      </w:pPr>
      <w:r w:rsidRPr="00C53F44">
        <w:rPr>
          <w:sz w:val="24"/>
          <w:szCs w:val="24"/>
        </w:rPr>
        <w:t xml:space="preserve">The expenditure must have been “necessarily incurred” by </w:t>
      </w:r>
      <w:r w:rsidR="005B7CF2" w:rsidRPr="00C53F44">
        <w:rPr>
          <w:sz w:val="24"/>
          <w:szCs w:val="24"/>
        </w:rPr>
        <w:t xml:space="preserve">or on behalf of </w:t>
      </w:r>
      <w:r w:rsidRPr="00C53F44">
        <w:rPr>
          <w:sz w:val="24"/>
          <w:szCs w:val="24"/>
        </w:rPr>
        <w:t xml:space="preserve">an eligible person </w:t>
      </w:r>
      <w:r w:rsidR="005B7CF2" w:rsidRPr="00C53F44">
        <w:rPr>
          <w:sz w:val="24"/>
          <w:szCs w:val="24"/>
        </w:rPr>
        <w:t>in connection with obtaining treatment, see section 22 of the Act.</w:t>
      </w:r>
    </w:p>
    <w:p w14:paraId="3462A6E6" w14:textId="3647823F" w:rsidR="003E048A" w:rsidRPr="00C53F44" w:rsidRDefault="005B7CF2" w:rsidP="00747AA9">
      <w:pPr>
        <w:spacing w:before="240"/>
        <w:rPr>
          <w:sz w:val="24"/>
          <w:szCs w:val="24"/>
        </w:rPr>
      </w:pPr>
      <w:r w:rsidRPr="00C53F44">
        <w:rPr>
          <w:sz w:val="24"/>
          <w:szCs w:val="24"/>
        </w:rPr>
        <w:t>S</w:t>
      </w:r>
      <w:r w:rsidR="003E048A" w:rsidRPr="00C53F44">
        <w:rPr>
          <w:sz w:val="24"/>
          <w:szCs w:val="24"/>
        </w:rPr>
        <w:t>ub</w:t>
      </w:r>
      <w:r w:rsidRPr="00C53F44">
        <w:rPr>
          <w:sz w:val="24"/>
          <w:szCs w:val="24"/>
        </w:rPr>
        <w:t>section 5</w:t>
      </w:r>
      <w:r w:rsidR="003E048A" w:rsidRPr="00C53F44">
        <w:rPr>
          <w:sz w:val="24"/>
          <w:szCs w:val="24"/>
        </w:rPr>
        <w:t>(2</w:t>
      </w:r>
      <w:r w:rsidRPr="00C53F44">
        <w:rPr>
          <w:sz w:val="24"/>
          <w:szCs w:val="24"/>
        </w:rPr>
        <w:t xml:space="preserve">) </w:t>
      </w:r>
      <w:r w:rsidR="003E048A" w:rsidRPr="00C53F44">
        <w:rPr>
          <w:sz w:val="24"/>
          <w:szCs w:val="24"/>
        </w:rPr>
        <w:t>provides that the amount of travelling expenses payable to an eligible person is not to exceed an amount calculated by the Repatriation Commission (</w:t>
      </w:r>
      <w:r w:rsidR="006A499A">
        <w:rPr>
          <w:sz w:val="24"/>
          <w:szCs w:val="24"/>
        </w:rPr>
        <w:t xml:space="preserve">the </w:t>
      </w:r>
      <w:r w:rsidR="003E048A" w:rsidRPr="00C53F44">
        <w:rPr>
          <w:sz w:val="24"/>
          <w:szCs w:val="24"/>
        </w:rPr>
        <w:t>Commission) as the cost of travel by the most appropriate form of transport over the relevant distance.</w:t>
      </w:r>
      <w:r w:rsidR="00732B05" w:rsidRPr="00C53F44">
        <w:rPr>
          <w:sz w:val="24"/>
          <w:szCs w:val="24"/>
        </w:rPr>
        <w:t xml:space="preserve"> </w:t>
      </w:r>
      <w:r w:rsidR="003E048A" w:rsidRPr="00C53F44">
        <w:rPr>
          <w:sz w:val="24"/>
          <w:szCs w:val="24"/>
        </w:rPr>
        <w:t>Sub</w:t>
      </w:r>
      <w:r w:rsidRPr="00C53F44">
        <w:rPr>
          <w:sz w:val="24"/>
          <w:szCs w:val="24"/>
        </w:rPr>
        <w:t>section</w:t>
      </w:r>
      <w:r w:rsidR="003E048A" w:rsidRPr="00C53F44">
        <w:rPr>
          <w:sz w:val="24"/>
          <w:szCs w:val="24"/>
        </w:rPr>
        <w:t xml:space="preserve"> </w:t>
      </w:r>
      <w:r w:rsidRPr="00C53F44">
        <w:rPr>
          <w:sz w:val="24"/>
          <w:szCs w:val="24"/>
        </w:rPr>
        <w:t>5</w:t>
      </w:r>
      <w:r w:rsidR="003E048A" w:rsidRPr="00C53F44">
        <w:rPr>
          <w:sz w:val="24"/>
          <w:szCs w:val="24"/>
        </w:rPr>
        <w:t>(2) is subject to sub</w:t>
      </w:r>
      <w:r w:rsidRPr="00C53F44">
        <w:rPr>
          <w:sz w:val="24"/>
          <w:szCs w:val="24"/>
        </w:rPr>
        <w:t>sections 5</w:t>
      </w:r>
      <w:r w:rsidR="003E048A" w:rsidRPr="00C53F44">
        <w:rPr>
          <w:sz w:val="24"/>
          <w:szCs w:val="24"/>
        </w:rPr>
        <w:t xml:space="preserve">(3) and </w:t>
      </w:r>
      <w:r w:rsidR="006A499A">
        <w:rPr>
          <w:sz w:val="24"/>
          <w:szCs w:val="24"/>
        </w:rPr>
        <w:t>5</w:t>
      </w:r>
      <w:r w:rsidR="003E048A" w:rsidRPr="00C53F44">
        <w:rPr>
          <w:sz w:val="24"/>
          <w:szCs w:val="24"/>
        </w:rPr>
        <w:t>(4)</w:t>
      </w:r>
      <w:r w:rsidR="00732B05" w:rsidRPr="00C53F44">
        <w:rPr>
          <w:sz w:val="24"/>
          <w:szCs w:val="24"/>
        </w:rPr>
        <w:t>.</w:t>
      </w:r>
    </w:p>
    <w:p w14:paraId="4F43CF29" w14:textId="7CCB0E73" w:rsidR="003E048A" w:rsidRPr="00C53F44" w:rsidRDefault="00EC4A1B" w:rsidP="00747AA9">
      <w:pPr>
        <w:spacing w:before="240"/>
        <w:rPr>
          <w:sz w:val="24"/>
          <w:szCs w:val="24"/>
        </w:rPr>
      </w:pPr>
      <w:r w:rsidRPr="00C53F44">
        <w:rPr>
          <w:sz w:val="24"/>
          <w:szCs w:val="24"/>
        </w:rPr>
        <w:t>S</w:t>
      </w:r>
      <w:r w:rsidR="003E048A" w:rsidRPr="00C53F44">
        <w:rPr>
          <w:sz w:val="24"/>
          <w:szCs w:val="24"/>
        </w:rPr>
        <w:t>ub</w:t>
      </w:r>
      <w:r w:rsidR="005B7CF2" w:rsidRPr="00C53F44">
        <w:rPr>
          <w:sz w:val="24"/>
          <w:szCs w:val="24"/>
        </w:rPr>
        <w:t>section 5</w:t>
      </w:r>
      <w:r w:rsidR="003E048A" w:rsidRPr="00C53F44">
        <w:rPr>
          <w:sz w:val="24"/>
          <w:szCs w:val="24"/>
        </w:rPr>
        <w:t>(3</w:t>
      </w:r>
      <w:r w:rsidRPr="00C53F44">
        <w:rPr>
          <w:sz w:val="24"/>
          <w:szCs w:val="24"/>
        </w:rPr>
        <w:t xml:space="preserve">) </w:t>
      </w:r>
      <w:r w:rsidR="003E048A" w:rsidRPr="00C53F44">
        <w:rPr>
          <w:sz w:val="24"/>
          <w:szCs w:val="24"/>
        </w:rPr>
        <w:t>provides that if the expenditure by an eligible person on travel is less than the amount calculated by the Commission then the person’s travel expenses are to be an amount equal to the person’s expenditure.</w:t>
      </w:r>
    </w:p>
    <w:p w14:paraId="7E699B43" w14:textId="3058DF31" w:rsidR="003E048A" w:rsidRPr="00C53F44" w:rsidRDefault="00EC4A1B" w:rsidP="00747AA9">
      <w:pPr>
        <w:spacing w:before="240"/>
        <w:rPr>
          <w:sz w:val="24"/>
          <w:szCs w:val="24"/>
        </w:rPr>
      </w:pPr>
      <w:r w:rsidRPr="00C53F44">
        <w:rPr>
          <w:sz w:val="24"/>
          <w:szCs w:val="24"/>
        </w:rPr>
        <w:t>S</w:t>
      </w:r>
      <w:r w:rsidR="003E048A" w:rsidRPr="00C53F44">
        <w:rPr>
          <w:sz w:val="24"/>
          <w:szCs w:val="24"/>
        </w:rPr>
        <w:t>ub</w:t>
      </w:r>
      <w:r w:rsidR="005B7CF2" w:rsidRPr="00C53F44">
        <w:rPr>
          <w:sz w:val="24"/>
          <w:szCs w:val="24"/>
        </w:rPr>
        <w:t>section</w:t>
      </w:r>
      <w:r w:rsidR="003E048A" w:rsidRPr="00C53F44">
        <w:rPr>
          <w:sz w:val="24"/>
          <w:szCs w:val="24"/>
        </w:rPr>
        <w:t xml:space="preserve"> </w:t>
      </w:r>
      <w:r w:rsidR="005B7CF2" w:rsidRPr="00C53F44">
        <w:rPr>
          <w:sz w:val="24"/>
          <w:szCs w:val="24"/>
        </w:rPr>
        <w:t>5</w:t>
      </w:r>
      <w:r w:rsidR="003E048A" w:rsidRPr="00C53F44">
        <w:rPr>
          <w:sz w:val="24"/>
          <w:szCs w:val="24"/>
        </w:rPr>
        <w:t>(4)</w:t>
      </w:r>
      <w:r w:rsidRPr="00C53F44">
        <w:rPr>
          <w:sz w:val="24"/>
          <w:szCs w:val="24"/>
        </w:rPr>
        <w:t xml:space="preserve"> </w:t>
      </w:r>
      <w:r w:rsidR="003E048A" w:rsidRPr="00C53F44">
        <w:rPr>
          <w:sz w:val="24"/>
          <w:szCs w:val="24"/>
        </w:rPr>
        <w:t>enables the parking fees of an eligible person to be paid if the fees were necessarily incurred at or near the place to which the person travelled for treatment.</w:t>
      </w:r>
    </w:p>
    <w:p w14:paraId="13A48169" w14:textId="23308D87" w:rsidR="005F664C" w:rsidRPr="00F16CA3" w:rsidRDefault="005F664C" w:rsidP="005F664C">
      <w:pPr>
        <w:pStyle w:val="ActHead5"/>
        <w:spacing w:after="240"/>
        <w:rPr>
          <w:b w:val="0"/>
          <w:color w:val="000000"/>
          <w:szCs w:val="24"/>
          <w:u w:val="single"/>
        </w:rPr>
      </w:pPr>
      <w:r w:rsidRPr="00F16CA3">
        <w:rPr>
          <w:b w:val="0"/>
          <w:color w:val="000000"/>
          <w:szCs w:val="24"/>
          <w:u w:val="single"/>
          <w:lang w:val="en-GB"/>
        </w:rPr>
        <w:t xml:space="preserve">Section </w:t>
      </w:r>
      <w:r>
        <w:rPr>
          <w:b w:val="0"/>
          <w:color w:val="000000"/>
          <w:szCs w:val="24"/>
          <w:u w:val="single"/>
        </w:rPr>
        <w:t>6</w:t>
      </w:r>
      <w:r w:rsidRPr="00F16CA3">
        <w:rPr>
          <w:b w:val="0"/>
          <w:szCs w:val="24"/>
          <w:u w:val="single"/>
        </w:rPr>
        <w:t xml:space="preserve"> – </w:t>
      </w:r>
      <w:r>
        <w:rPr>
          <w:b w:val="0"/>
          <w:szCs w:val="24"/>
          <w:u w:val="single"/>
        </w:rPr>
        <w:t xml:space="preserve">Forms of transport </w:t>
      </w:r>
    </w:p>
    <w:p w14:paraId="38989ACD" w14:textId="3025E00F" w:rsidR="003E048A" w:rsidRPr="00C53F44" w:rsidRDefault="002E2B94" w:rsidP="00C53F44">
      <w:pPr>
        <w:rPr>
          <w:sz w:val="24"/>
          <w:szCs w:val="24"/>
        </w:rPr>
      </w:pPr>
      <w:r w:rsidRPr="00C53F44">
        <w:rPr>
          <w:sz w:val="24"/>
          <w:szCs w:val="24"/>
        </w:rPr>
        <w:t>S</w:t>
      </w:r>
      <w:r w:rsidR="005B7CF2" w:rsidRPr="00C53F44">
        <w:rPr>
          <w:sz w:val="24"/>
          <w:szCs w:val="24"/>
        </w:rPr>
        <w:t>ection</w:t>
      </w:r>
      <w:r w:rsidR="003E048A" w:rsidRPr="00C53F44">
        <w:rPr>
          <w:sz w:val="24"/>
          <w:szCs w:val="24"/>
        </w:rPr>
        <w:t xml:space="preserve"> </w:t>
      </w:r>
      <w:r w:rsidR="005F664C" w:rsidRPr="00C53F44">
        <w:rPr>
          <w:sz w:val="24"/>
          <w:szCs w:val="24"/>
        </w:rPr>
        <w:t xml:space="preserve">6 </w:t>
      </w:r>
      <w:r w:rsidR="003E048A" w:rsidRPr="00C53F44">
        <w:rPr>
          <w:sz w:val="24"/>
          <w:szCs w:val="24"/>
        </w:rPr>
        <w:t>provides the criteria by which the Commission is to determine the most appropriate form of transport over the relevant distance.</w:t>
      </w:r>
    </w:p>
    <w:p w14:paraId="0959ADB2" w14:textId="124C33BE" w:rsidR="002E2B94" w:rsidRPr="00F16CA3" w:rsidRDefault="002E2B94" w:rsidP="002E2B94">
      <w:pPr>
        <w:pStyle w:val="ActHead5"/>
        <w:spacing w:after="240"/>
        <w:rPr>
          <w:b w:val="0"/>
          <w:color w:val="000000"/>
          <w:szCs w:val="24"/>
          <w:u w:val="single"/>
        </w:rPr>
      </w:pPr>
      <w:r w:rsidRPr="00F16CA3">
        <w:rPr>
          <w:b w:val="0"/>
          <w:color w:val="000000"/>
          <w:szCs w:val="24"/>
          <w:u w:val="single"/>
          <w:lang w:val="en-GB"/>
        </w:rPr>
        <w:t xml:space="preserve">Section </w:t>
      </w:r>
      <w:r>
        <w:rPr>
          <w:b w:val="0"/>
          <w:color w:val="000000"/>
          <w:szCs w:val="24"/>
          <w:u w:val="single"/>
        </w:rPr>
        <w:t>7</w:t>
      </w:r>
      <w:r w:rsidRPr="00F16CA3">
        <w:rPr>
          <w:b w:val="0"/>
          <w:szCs w:val="24"/>
          <w:u w:val="single"/>
        </w:rPr>
        <w:t xml:space="preserve"> – </w:t>
      </w:r>
      <w:r>
        <w:rPr>
          <w:b w:val="0"/>
          <w:szCs w:val="24"/>
          <w:u w:val="single"/>
        </w:rPr>
        <w:t xml:space="preserve">Relevant distance </w:t>
      </w:r>
    </w:p>
    <w:p w14:paraId="6D8C8BBA" w14:textId="1EDFAAFD" w:rsidR="003E048A" w:rsidRPr="00C53F44" w:rsidRDefault="002E2B94" w:rsidP="00C53F44">
      <w:pPr>
        <w:rPr>
          <w:sz w:val="24"/>
          <w:szCs w:val="24"/>
        </w:rPr>
      </w:pPr>
      <w:r w:rsidRPr="00C53F44">
        <w:rPr>
          <w:sz w:val="24"/>
          <w:szCs w:val="24"/>
        </w:rPr>
        <w:t>S</w:t>
      </w:r>
      <w:r w:rsidR="005B7CF2" w:rsidRPr="00C53F44">
        <w:rPr>
          <w:sz w:val="24"/>
          <w:szCs w:val="24"/>
        </w:rPr>
        <w:t>ection</w:t>
      </w:r>
      <w:r w:rsidR="003E048A" w:rsidRPr="00C53F44">
        <w:rPr>
          <w:sz w:val="24"/>
          <w:szCs w:val="24"/>
        </w:rPr>
        <w:t xml:space="preserve"> </w:t>
      </w:r>
      <w:r w:rsidRPr="00C53F44">
        <w:rPr>
          <w:sz w:val="24"/>
          <w:szCs w:val="24"/>
        </w:rPr>
        <w:t xml:space="preserve">7 </w:t>
      </w:r>
      <w:r w:rsidR="003E048A" w:rsidRPr="00C53F44">
        <w:rPr>
          <w:sz w:val="24"/>
          <w:szCs w:val="24"/>
        </w:rPr>
        <w:t xml:space="preserve">sets out the means for calculating “relevant distance” for travel for treatment.  </w:t>
      </w:r>
    </w:p>
    <w:p w14:paraId="055200E4" w14:textId="5EC35FD4" w:rsidR="003E048A" w:rsidRPr="00C53F44" w:rsidRDefault="003E048A" w:rsidP="00747AA9">
      <w:pPr>
        <w:spacing w:before="240"/>
        <w:rPr>
          <w:sz w:val="24"/>
          <w:szCs w:val="24"/>
        </w:rPr>
      </w:pPr>
      <w:r w:rsidRPr="00C53F44">
        <w:rPr>
          <w:sz w:val="24"/>
          <w:szCs w:val="24"/>
        </w:rPr>
        <w:t xml:space="preserve">An eligible person will be </w:t>
      </w:r>
      <w:r w:rsidR="00F01ED7">
        <w:rPr>
          <w:sz w:val="24"/>
          <w:szCs w:val="24"/>
        </w:rPr>
        <w:t>eligible</w:t>
      </w:r>
      <w:r w:rsidRPr="00C53F44">
        <w:rPr>
          <w:sz w:val="24"/>
          <w:szCs w:val="24"/>
        </w:rPr>
        <w:t xml:space="preserve"> to travel expenses for travel by the most appropriate form of transport over the relevant distance (sub</w:t>
      </w:r>
      <w:r w:rsidR="005B7CF2" w:rsidRPr="00C53F44">
        <w:rPr>
          <w:sz w:val="24"/>
          <w:szCs w:val="24"/>
        </w:rPr>
        <w:t>section</w:t>
      </w:r>
      <w:r w:rsidRPr="00C53F44">
        <w:rPr>
          <w:sz w:val="24"/>
          <w:szCs w:val="24"/>
        </w:rPr>
        <w:t xml:space="preserve"> </w:t>
      </w:r>
      <w:r w:rsidR="002E2B94" w:rsidRPr="00C53F44">
        <w:rPr>
          <w:sz w:val="24"/>
          <w:szCs w:val="24"/>
        </w:rPr>
        <w:t>5</w:t>
      </w:r>
      <w:r w:rsidRPr="00C53F44">
        <w:rPr>
          <w:sz w:val="24"/>
          <w:szCs w:val="24"/>
        </w:rPr>
        <w:t>(2)).</w:t>
      </w:r>
    </w:p>
    <w:p w14:paraId="131AF72D" w14:textId="0584F801" w:rsidR="002E2B94" w:rsidRDefault="002E2B94" w:rsidP="00747AA9">
      <w:pPr>
        <w:pStyle w:val="BodyTextIndent3"/>
        <w:spacing w:before="240"/>
        <w:ind w:left="0"/>
        <w:rPr>
          <w:sz w:val="24"/>
          <w:szCs w:val="24"/>
        </w:rPr>
      </w:pPr>
      <w:r>
        <w:rPr>
          <w:sz w:val="24"/>
          <w:szCs w:val="24"/>
        </w:rPr>
        <w:t xml:space="preserve">Paragraph 7(a) applies to travel for treatment where the distance for </w:t>
      </w:r>
      <w:r w:rsidR="00F01ED7">
        <w:rPr>
          <w:sz w:val="24"/>
          <w:szCs w:val="24"/>
        </w:rPr>
        <w:t xml:space="preserve">the travel is more than 50 km. </w:t>
      </w:r>
      <w:r>
        <w:rPr>
          <w:sz w:val="24"/>
          <w:szCs w:val="24"/>
        </w:rPr>
        <w:t xml:space="preserve">The effect of this paragraph is that the relevant distance for travel (in respect of which travel expenses are reimbursable) is, if the distance from the residence of the </w:t>
      </w:r>
      <w:r w:rsidR="00F01ED7">
        <w:rPr>
          <w:sz w:val="24"/>
          <w:szCs w:val="24"/>
        </w:rPr>
        <w:t>eligible</w:t>
      </w:r>
      <w:r>
        <w:rPr>
          <w:sz w:val="24"/>
          <w:szCs w:val="24"/>
        </w:rPr>
        <w:t xml:space="preserve"> person to a treatment location is more than 50 km, the greater of:</w:t>
      </w:r>
    </w:p>
    <w:p w14:paraId="075277C4" w14:textId="705C74B1" w:rsidR="002E2B94" w:rsidRPr="00B83692" w:rsidRDefault="002E2B94" w:rsidP="00747AA9">
      <w:pPr>
        <w:pStyle w:val="Default"/>
        <w:numPr>
          <w:ilvl w:val="0"/>
          <w:numId w:val="34"/>
        </w:numPr>
        <w:spacing w:before="240"/>
      </w:pPr>
      <w:r w:rsidRPr="00B83692">
        <w:t xml:space="preserve">the distance determined by the Commission to be the distance between the </w:t>
      </w:r>
      <w:r>
        <w:t xml:space="preserve">eligible </w:t>
      </w:r>
      <w:r w:rsidRPr="00B83692">
        <w:t xml:space="preserve">person’s residence and the closest practical treatment location; and </w:t>
      </w:r>
    </w:p>
    <w:p w14:paraId="01C94A29" w14:textId="77777777" w:rsidR="002E2B94" w:rsidRPr="00B83692" w:rsidRDefault="002E2B94" w:rsidP="002E2B94">
      <w:pPr>
        <w:pStyle w:val="Default"/>
        <w:numPr>
          <w:ilvl w:val="0"/>
          <w:numId w:val="34"/>
        </w:numPr>
      </w:pPr>
      <w:r w:rsidRPr="00B83692">
        <w:t>50 km.</w:t>
      </w:r>
    </w:p>
    <w:p w14:paraId="6A1DC51E" w14:textId="39289703" w:rsidR="003E048A" w:rsidRPr="00C53F44" w:rsidRDefault="003E048A" w:rsidP="00747AA9">
      <w:pPr>
        <w:spacing w:before="240"/>
        <w:rPr>
          <w:sz w:val="24"/>
          <w:szCs w:val="24"/>
        </w:rPr>
      </w:pPr>
      <w:r w:rsidRPr="00C53F44">
        <w:rPr>
          <w:sz w:val="24"/>
          <w:szCs w:val="24"/>
        </w:rPr>
        <w:t>If an eligible person travels for treatment over a distance not exceeding 50 kms</w:t>
      </w:r>
      <w:r w:rsidR="00822630" w:rsidRPr="00C53F44">
        <w:rPr>
          <w:sz w:val="24"/>
          <w:szCs w:val="24"/>
        </w:rPr>
        <w:t>,</w:t>
      </w:r>
      <w:r w:rsidRPr="00C53F44">
        <w:rPr>
          <w:sz w:val="24"/>
          <w:szCs w:val="24"/>
        </w:rPr>
        <w:t xml:space="preserve"> the relevant distance is the distance from the person’s residence to the treatment-location (regardless of whether the treatment-location is the closest practical treatment-location).  </w:t>
      </w:r>
    </w:p>
    <w:p w14:paraId="7A2AEC64" w14:textId="5D47C0DC" w:rsidR="00822630" w:rsidRPr="00F16CA3" w:rsidRDefault="00822630" w:rsidP="00822630">
      <w:pPr>
        <w:pStyle w:val="ActHead5"/>
        <w:spacing w:after="240"/>
        <w:rPr>
          <w:b w:val="0"/>
          <w:color w:val="000000"/>
          <w:szCs w:val="24"/>
          <w:u w:val="single"/>
        </w:rPr>
      </w:pPr>
      <w:r w:rsidRPr="00F16CA3">
        <w:rPr>
          <w:b w:val="0"/>
          <w:color w:val="000000"/>
          <w:szCs w:val="24"/>
          <w:u w:val="single"/>
          <w:lang w:val="en-GB"/>
        </w:rPr>
        <w:t xml:space="preserve">Section </w:t>
      </w:r>
      <w:r>
        <w:rPr>
          <w:b w:val="0"/>
          <w:color w:val="000000"/>
          <w:szCs w:val="24"/>
          <w:u w:val="single"/>
        </w:rPr>
        <w:t>8</w:t>
      </w:r>
      <w:r w:rsidRPr="00F16CA3">
        <w:rPr>
          <w:b w:val="0"/>
          <w:szCs w:val="24"/>
          <w:u w:val="single"/>
        </w:rPr>
        <w:t xml:space="preserve"> – </w:t>
      </w:r>
      <w:r>
        <w:rPr>
          <w:b w:val="0"/>
          <w:szCs w:val="24"/>
          <w:u w:val="single"/>
        </w:rPr>
        <w:t>Cost of transport</w:t>
      </w:r>
    </w:p>
    <w:p w14:paraId="56DE0E8E" w14:textId="4BFFD498" w:rsidR="003E048A" w:rsidRDefault="00822630" w:rsidP="00C53F44">
      <w:pPr>
        <w:rPr>
          <w:sz w:val="24"/>
          <w:szCs w:val="24"/>
        </w:rPr>
      </w:pPr>
      <w:r w:rsidRPr="00C53F44">
        <w:rPr>
          <w:sz w:val="24"/>
          <w:szCs w:val="24"/>
        </w:rPr>
        <w:t>S</w:t>
      </w:r>
      <w:r w:rsidR="005B7CF2" w:rsidRPr="00C53F44">
        <w:rPr>
          <w:sz w:val="24"/>
          <w:szCs w:val="24"/>
        </w:rPr>
        <w:t>ection</w:t>
      </w:r>
      <w:r w:rsidR="003E048A" w:rsidRPr="00C53F44">
        <w:rPr>
          <w:sz w:val="24"/>
          <w:szCs w:val="24"/>
        </w:rPr>
        <w:t xml:space="preserve"> </w:t>
      </w:r>
      <w:r w:rsidRPr="00C53F44">
        <w:rPr>
          <w:sz w:val="24"/>
          <w:szCs w:val="24"/>
        </w:rPr>
        <w:t xml:space="preserve">8 </w:t>
      </w:r>
      <w:r w:rsidR="003E048A" w:rsidRPr="00C53F44">
        <w:rPr>
          <w:sz w:val="24"/>
          <w:szCs w:val="24"/>
        </w:rPr>
        <w:t>provides that the cost of transport for travel between two places over the most direct route between the places is:</w:t>
      </w:r>
    </w:p>
    <w:p w14:paraId="73D67C2D" w14:textId="1ACBB4EF" w:rsidR="00822630" w:rsidRPr="00C53F44" w:rsidRDefault="00822630" w:rsidP="00747AA9">
      <w:pPr>
        <w:pStyle w:val="ListParagraph"/>
        <w:numPr>
          <w:ilvl w:val="0"/>
          <w:numId w:val="35"/>
        </w:numPr>
        <w:spacing w:before="240"/>
        <w:rPr>
          <w:sz w:val="24"/>
          <w:szCs w:val="24"/>
        </w:rPr>
      </w:pPr>
      <w:r w:rsidRPr="00C53F44">
        <w:rPr>
          <w:rFonts w:ascii="Times New Roman" w:hAnsi="Times New Roman"/>
          <w:sz w:val="24"/>
          <w:szCs w:val="24"/>
        </w:rPr>
        <w:t xml:space="preserve">for travel by private motor vehicle – </w:t>
      </w:r>
      <w:r w:rsidR="00F363D4">
        <w:rPr>
          <w:rFonts w:ascii="Times New Roman" w:hAnsi="Times New Roman"/>
          <w:sz w:val="24"/>
          <w:szCs w:val="24"/>
        </w:rPr>
        <w:t>36</w:t>
      </w:r>
      <w:r w:rsidRPr="00C53F44">
        <w:rPr>
          <w:rFonts w:ascii="Times New Roman" w:hAnsi="Times New Roman"/>
          <w:sz w:val="24"/>
          <w:szCs w:val="24"/>
        </w:rPr>
        <w:t xml:space="preserve"> cents per kilometre and the costs</w:t>
      </w:r>
      <w:r w:rsidR="00682E37" w:rsidRPr="00C53F44">
        <w:rPr>
          <w:rFonts w:ascii="Times New Roman" w:hAnsi="Times New Roman"/>
          <w:sz w:val="24"/>
          <w:szCs w:val="24"/>
        </w:rPr>
        <w:t xml:space="preserve"> necessarily incurred for tolls;</w:t>
      </w:r>
      <w:r w:rsidR="00682E37">
        <w:rPr>
          <w:rFonts w:ascii="Times New Roman" w:hAnsi="Times New Roman"/>
          <w:sz w:val="24"/>
          <w:szCs w:val="24"/>
        </w:rPr>
        <w:t xml:space="preserve"> and</w:t>
      </w:r>
    </w:p>
    <w:p w14:paraId="0666B14E" w14:textId="77777777" w:rsidR="00822630" w:rsidRPr="00C53F44" w:rsidRDefault="00822630" w:rsidP="00C53F44">
      <w:pPr>
        <w:pStyle w:val="ListParagraph"/>
        <w:numPr>
          <w:ilvl w:val="0"/>
          <w:numId w:val="35"/>
        </w:numPr>
        <w:rPr>
          <w:sz w:val="24"/>
          <w:szCs w:val="24"/>
        </w:rPr>
      </w:pPr>
      <w:r w:rsidRPr="00C53F44">
        <w:rPr>
          <w:rFonts w:ascii="Times New Roman" w:hAnsi="Times New Roman"/>
          <w:sz w:val="24"/>
          <w:szCs w:val="24"/>
        </w:rPr>
        <w:t>for travel by other means – the costs necessarily incurred by the eligible person.</w:t>
      </w:r>
    </w:p>
    <w:p w14:paraId="30EE5D00" w14:textId="77777777" w:rsidR="00822630" w:rsidRDefault="00822630" w:rsidP="00822630">
      <w:pPr>
        <w:spacing w:before="240"/>
        <w:rPr>
          <w:sz w:val="24"/>
          <w:szCs w:val="24"/>
        </w:rPr>
      </w:pPr>
      <w:r>
        <w:rPr>
          <w:sz w:val="24"/>
          <w:szCs w:val="24"/>
        </w:rPr>
        <w:t xml:space="preserve">The note in section 8 refers the reader to subsection 22(4) of the Act which provides that travelling expenses incurred for travel outside Australia are not payable. </w:t>
      </w:r>
    </w:p>
    <w:p w14:paraId="4372A370" w14:textId="25F597EC" w:rsidR="00822630" w:rsidRDefault="00822630" w:rsidP="00822630">
      <w:pPr>
        <w:spacing w:before="240"/>
        <w:rPr>
          <w:sz w:val="24"/>
          <w:szCs w:val="24"/>
        </w:rPr>
      </w:pPr>
      <w:r w:rsidRPr="00D53C13">
        <w:rPr>
          <w:sz w:val="24"/>
          <w:szCs w:val="24"/>
        </w:rPr>
        <w:t xml:space="preserve">The example in </w:t>
      </w:r>
      <w:r>
        <w:rPr>
          <w:sz w:val="24"/>
          <w:szCs w:val="24"/>
        </w:rPr>
        <w:t>section 8</w:t>
      </w:r>
      <w:r w:rsidRPr="00D53C13">
        <w:rPr>
          <w:sz w:val="24"/>
          <w:szCs w:val="24"/>
        </w:rPr>
        <w:t xml:space="preserve"> illustrates </w:t>
      </w:r>
      <w:r>
        <w:rPr>
          <w:sz w:val="24"/>
          <w:szCs w:val="24"/>
        </w:rPr>
        <w:t xml:space="preserve">the </w:t>
      </w:r>
      <w:r w:rsidR="006A10E7">
        <w:rPr>
          <w:sz w:val="24"/>
          <w:szCs w:val="24"/>
        </w:rPr>
        <w:t>travelling expenses</w:t>
      </w:r>
      <w:r>
        <w:rPr>
          <w:sz w:val="24"/>
          <w:szCs w:val="24"/>
        </w:rPr>
        <w:t xml:space="preserve"> </w:t>
      </w:r>
      <w:r w:rsidR="006A10E7">
        <w:rPr>
          <w:sz w:val="24"/>
          <w:szCs w:val="24"/>
        </w:rPr>
        <w:t xml:space="preserve">payable </w:t>
      </w:r>
      <w:r>
        <w:rPr>
          <w:sz w:val="24"/>
          <w:szCs w:val="24"/>
        </w:rPr>
        <w:t xml:space="preserve">where an eligible person and their attendant drive by private motor vehicle to an appointment 100km from home and return on the same day. </w:t>
      </w:r>
    </w:p>
    <w:p w14:paraId="0CE9B871" w14:textId="63200FEE" w:rsidR="00682E37" w:rsidRPr="00F16CA3" w:rsidRDefault="00682E37" w:rsidP="00682E37">
      <w:pPr>
        <w:pStyle w:val="ActHead5"/>
        <w:spacing w:after="240"/>
        <w:rPr>
          <w:b w:val="0"/>
          <w:color w:val="000000"/>
          <w:szCs w:val="24"/>
          <w:u w:val="single"/>
        </w:rPr>
      </w:pPr>
      <w:r w:rsidRPr="00F16CA3">
        <w:rPr>
          <w:b w:val="0"/>
          <w:color w:val="000000"/>
          <w:szCs w:val="24"/>
          <w:u w:val="single"/>
          <w:lang w:val="en-GB"/>
        </w:rPr>
        <w:t xml:space="preserve">Section </w:t>
      </w:r>
      <w:r>
        <w:rPr>
          <w:b w:val="0"/>
          <w:color w:val="000000"/>
          <w:szCs w:val="24"/>
          <w:u w:val="single"/>
        </w:rPr>
        <w:t>9</w:t>
      </w:r>
      <w:r w:rsidRPr="00F16CA3">
        <w:rPr>
          <w:b w:val="0"/>
          <w:szCs w:val="24"/>
          <w:u w:val="single"/>
        </w:rPr>
        <w:t xml:space="preserve"> – </w:t>
      </w:r>
      <w:r>
        <w:rPr>
          <w:b w:val="0"/>
          <w:szCs w:val="24"/>
          <w:u w:val="single"/>
        </w:rPr>
        <w:t>Accommodation and meals</w:t>
      </w:r>
    </w:p>
    <w:p w14:paraId="6E3D7324" w14:textId="32968A27" w:rsidR="003E048A" w:rsidRDefault="00682E37" w:rsidP="00C53F44">
      <w:pPr>
        <w:rPr>
          <w:sz w:val="24"/>
          <w:szCs w:val="24"/>
        </w:rPr>
      </w:pPr>
      <w:r w:rsidRPr="00C53F44">
        <w:rPr>
          <w:sz w:val="24"/>
          <w:szCs w:val="24"/>
        </w:rPr>
        <w:t>S</w:t>
      </w:r>
      <w:r w:rsidR="003E048A" w:rsidRPr="00C53F44">
        <w:rPr>
          <w:sz w:val="24"/>
          <w:szCs w:val="24"/>
        </w:rPr>
        <w:t>ub</w:t>
      </w:r>
      <w:r w:rsidR="005B7CF2" w:rsidRPr="00C53F44">
        <w:rPr>
          <w:sz w:val="24"/>
          <w:szCs w:val="24"/>
        </w:rPr>
        <w:t>section</w:t>
      </w:r>
      <w:r w:rsidR="003E048A" w:rsidRPr="00C53F44">
        <w:rPr>
          <w:sz w:val="24"/>
          <w:szCs w:val="24"/>
        </w:rPr>
        <w:t xml:space="preserve"> </w:t>
      </w:r>
      <w:r w:rsidRPr="00C53F44">
        <w:rPr>
          <w:sz w:val="24"/>
          <w:szCs w:val="24"/>
        </w:rPr>
        <w:t>9</w:t>
      </w:r>
      <w:r w:rsidR="003E048A" w:rsidRPr="00C53F44">
        <w:rPr>
          <w:sz w:val="24"/>
          <w:szCs w:val="24"/>
        </w:rPr>
        <w:t>(1)</w:t>
      </w:r>
      <w:r w:rsidRPr="00C53F44">
        <w:rPr>
          <w:sz w:val="24"/>
          <w:szCs w:val="24"/>
        </w:rPr>
        <w:t xml:space="preserve"> </w:t>
      </w:r>
      <w:r w:rsidR="003E048A" w:rsidRPr="00C53F44">
        <w:rPr>
          <w:sz w:val="24"/>
          <w:szCs w:val="24"/>
        </w:rPr>
        <w:t>prescribes the amounts to be reimbursed for the costs of accommodation and meals in commercial, subsidised and private accommodation namely:</w:t>
      </w:r>
    </w:p>
    <w:p w14:paraId="650A368E" w14:textId="64E87EF2" w:rsidR="003E048A" w:rsidRPr="00C53F44" w:rsidRDefault="003E048A" w:rsidP="00747AA9">
      <w:pPr>
        <w:pStyle w:val="ListParagraph"/>
        <w:numPr>
          <w:ilvl w:val="0"/>
          <w:numId w:val="36"/>
        </w:numPr>
        <w:spacing w:before="240"/>
        <w:rPr>
          <w:sz w:val="24"/>
          <w:szCs w:val="24"/>
        </w:rPr>
      </w:pPr>
      <w:r w:rsidRPr="00C53F44">
        <w:rPr>
          <w:rFonts w:ascii="Times New Roman" w:hAnsi="Times New Roman"/>
          <w:sz w:val="24"/>
          <w:szCs w:val="24"/>
        </w:rPr>
        <w:t>for commercial accommodation not in a capital city (e.g. motel, hotel) - $1</w:t>
      </w:r>
      <w:r w:rsidR="00F363D4">
        <w:rPr>
          <w:rFonts w:ascii="Times New Roman" w:hAnsi="Times New Roman"/>
          <w:sz w:val="24"/>
          <w:szCs w:val="24"/>
        </w:rPr>
        <w:t>48.6</w:t>
      </w:r>
      <w:r w:rsidRPr="00C53F44">
        <w:rPr>
          <w:rFonts w:ascii="Times New Roman" w:hAnsi="Times New Roman"/>
          <w:sz w:val="24"/>
          <w:szCs w:val="24"/>
        </w:rPr>
        <w:t>0.</w:t>
      </w:r>
    </w:p>
    <w:p w14:paraId="53DBC5F1" w14:textId="6D39D30E" w:rsidR="003E048A" w:rsidRPr="00C53F44" w:rsidRDefault="003E048A" w:rsidP="00C53F44">
      <w:pPr>
        <w:pStyle w:val="ListParagraph"/>
        <w:numPr>
          <w:ilvl w:val="0"/>
          <w:numId w:val="36"/>
        </w:numPr>
        <w:rPr>
          <w:sz w:val="24"/>
          <w:szCs w:val="24"/>
        </w:rPr>
      </w:pPr>
      <w:r w:rsidRPr="00C53F44">
        <w:rPr>
          <w:rFonts w:ascii="Times New Roman" w:hAnsi="Times New Roman"/>
          <w:sz w:val="24"/>
          <w:szCs w:val="24"/>
        </w:rPr>
        <w:t>for commercial accommodation in a capital city - $1</w:t>
      </w:r>
      <w:r w:rsidR="00F363D4">
        <w:rPr>
          <w:rFonts w:ascii="Times New Roman" w:hAnsi="Times New Roman"/>
          <w:sz w:val="24"/>
          <w:szCs w:val="24"/>
        </w:rPr>
        <w:t>76.50</w:t>
      </w:r>
      <w:r w:rsidRPr="00C53F44">
        <w:rPr>
          <w:rFonts w:ascii="Times New Roman" w:hAnsi="Times New Roman"/>
          <w:sz w:val="24"/>
          <w:szCs w:val="24"/>
        </w:rPr>
        <w:t>.</w:t>
      </w:r>
    </w:p>
    <w:p w14:paraId="31459F05" w14:textId="0E0A421D" w:rsidR="003E048A" w:rsidRPr="00C53F44" w:rsidRDefault="003E048A" w:rsidP="00C53F44">
      <w:pPr>
        <w:pStyle w:val="ListParagraph"/>
        <w:numPr>
          <w:ilvl w:val="0"/>
          <w:numId w:val="36"/>
        </w:numPr>
        <w:rPr>
          <w:sz w:val="24"/>
          <w:szCs w:val="24"/>
        </w:rPr>
      </w:pPr>
      <w:r w:rsidRPr="00C53F44">
        <w:rPr>
          <w:rFonts w:ascii="Times New Roman" w:hAnsi="Times New Roman"/>
          <w:sz w:val="24"/>
          <w:szCs w:val="24"/>
        </w:rPr>
        <w:t>for subsidised accommodation (e.g. hostel) - $</w:t>
      </w:r>
      <w:r w:rsidR="00F363D4">
        <w:rPr>
          <w:rFonts w:ascii="Times New Roman" w:hAnsi="Times New Roman"/>
          <w:sz w:val="24"/>
          <w:szCs w:val="24"/>
        </w:rPr>
        <w:t>92</w:t>
      </w:r>
      <w:r w:rsidRPr="00C53F44">
        <w:rPr>
          <w:rFonts w:ascii="Times New Roman" w:hAnsi="Times New Roman"/>
          <w:sz w:val="24"/>
          <w:szCs w:val="24"/>
        </w:rPr>
        <w:t>.80.</w:t>
      </w:r>
    </w:p>
    <w:p w14:paraId="56F24EF1" w14:textId="4E139B2B" w:rsidR="003E048A" w:rsidRPr="00C53F44" w:rsidRDefault="003E048A" w:rsidP="00C53F44">
      <w:pPr>
        <w:pStyle w:val="ListParagraph"/>
        <w:numPr>
          <w:ilvl w:val="0"/>
          <w:numId w:val="36"/>
        </w:numPr>
        <w:rPr>
          <w:sz w:val="24"/>
          <w:szCs w:val="24"/>
        </w:rPr>
      </w:pPr>
      <w:r w:rsidRPr="00C53F44">
        <w:rPr>
          <w:rFonts w:ascii="Times New Roman" w:hAnsi="Times New Roman"/>
          <w:sz w:val="24"/>
          <w:szCs w:val="24"/>
        </w:rPr>
        <w:t>for private accommodation (e.g. private home) - $</w:t>
      </w:r>
      <w:r w:rsidR="00F363D4">
        <w:rPr>
          <w:rFonts w:ascii="Times New Roman" w:hAnsi="Times New Roman"/>
          <w:sz w:val="24"/>
          <w:szCs w:val="24"/>
        </w:rPr>
        <w:t>46</w:t>
      </w:r>
      <w:r w:rsidRPr="00C53F44">
        <w:rPr>
          <w:rFonts w:ascii="Times New Roman" w:hAnsi="Times New Roman"/>
          <w:sz w:val="24"/>
          <w:szCs w:val="24"/>
        </w:rPr>
        <w:t>.40.</w:t>
      </w:r>
    </w:p>
    <w:p w14:paraId="28CB625F" w14:textId="5CBF447F" w:rsidR="003E048A" w:rsidRPr="00C53F44" w:rsidRDefault="00682E37" w:rsidP="00C53F44">
      <w:pPr>
        <w:spacing w:before="240"/>
        <w:rPr>
          <w:sz w:val="24"/>
          <w:szCs w:val="24"/>
        </w:rPr>
      </w:pPr>
      <w:r w:rsidRPr="00C53F44">
        <w:rPr>
          <w:sz w:val="24"/>
          <w:szCs w:val="24"/>
        </w:rPr>
        <w:t>S</w:t>
      </w:r>
      <w:r w:rsidR="003E048A" w:rsidRPr="00C53F44">
        <w:rPr>
          <w:sz w:val="24"/>
          <w:szCs w:val="24"/>
        </w:rPr>
        <w:t>ub</w:t>
      </w:r>
      <w:r w:rsidR="005B7CF2" w:rsidRPr="00C53F44">
        <w:rPr>
          <w:sz w:val="24"/>
          <w:szCs w:val="24"/>
        </w:rPr>
        <w:t>section</w:t>
      </w:r>
      <w:r w:rsidR="003E048A" w:rsidRPr="00C53F44">
        <w:rPr>
          <w:sz w:val="24"/>
          <w:szCs w:val="24"/>
        </w:rPr>
        <w:t xml:space="preserve"> </w:t>
      </w:r>
      <w:r w:rsidRPr="00C53F44">
        <w:rPr>
          <w:sz w:val="24"/>
          <w:szCs w:val="24"/>
        </w:rPr>
        <w:t>9</w:t>
      </w:r>
      <w:r w:rsidR="003E048A" w:rsidRPr="00C53F44">
        <w:rPr>
          <w:sz w:val="24"/>
          <w:szCs w:val="24"/>
        </w:rPr>
        <w:t>(2)</w:t>
      </w:r>
      <w:r>
        <w:rPr>
          <w:sz w:val="24"/>
          <w:szCs w:val="24"/>
        </w:rPr>
        <w:t xml:space="preserve"> </w:t>
      </w:r>
      <w:r w:rsidR="003E048A" w:rsidRPr="00C53F44">
        <w:rPr>
          <w:sz w:val="24"/>
          <w:szCs w:val="24"/>
        </w:rPr>
        <w:t>prescribes the amount of $</w:t>
      </w:r>
      <w:r w:rsidR="00F363D4">
        <w:rPr>
          <w:sz w:val="24"/>
          <w:szCs w:val="24"/>
        </w:rPr>
        <w:t>241.7</w:t>
      </w:r>
      <w:r w:rsidR="003E048A" w:rsidRPr="00C53F44">
        <w:rPr>
          <w:sz w:val="24"/>
          <w:szCs w:val="24"/>
        </w:rPr>
        <w:t>0 to be reimbursed for the costs of commercial accommodation (including meals) for a night where an eligible person shares the accommodation with his or her attendant.</w:t>
      </w:r>
    </w:p>
    <w:p w14:paraId="4436F5C6" w14:textId="0649A26A" w:rsidR="003E048A" w:rsidRPr="00C53F44" w:rsidRDefault="00682E37" w:rsidP="00C53F44">
      <w:pPr>
        <w:spacing w:before="240"/>
        <w:rPr>
          <w:sz w:val="24"/>
          <w:szCs w:val="24"/>
        </w:rPr>
      </w:pPr>
      <w:r w:rsidRPr="00C53F44">
        <w:rPr>
          <w:sz w:val="24"/>
          <w:szCs w:val="24"/>
        </w:rPr>
        <w:t>S</w:t>
      </w:r>
      <w:r w:rsidR="003E048A" w:rsidRPr="00C53F44">
        <w:rPr>
          <w:sz w:val="24"/>
          <w:szCs w:val="24"/>
        </w:rPr>
        <w:t>ub</w:t>
      </w:r>
      <w:r w:rsidR="005B7CF2" w:rsidRPr="00C53F44">
        <w:rPr>
          <w:sz w:val="24"/>
          <w:szCs w:val="24"/>
        </w:rPr>
        <w:t>section</w:t>
      </w:r>
      <w:r w:rsidR="003E048A" w:rsidRPr="00C53F44">
        <w:rPr>
          <w:sz w:val="24"/>
          <w:szCs w:val="24"/>
        </w:rPr>
        <w:t xml:space="preserve"> </w:t>
      </w:r>
      <w:r w:rsidRPr="00C53F44">
        <w:rPr>
          <w:sz w:val="24"/>
          <w:szCs w:val="24"/>
        </w:rPr>
        <w:t>9</w:t>
      </w:r>
      <w:r w:rsidR="003E048A" w:rsidRPr="00C53F44">
        <w:rPr>
          <w:sz w:val="24"/>
          <w:szCs w:val="24"/>
        </w:rPr>
        <w:t>(</w:t>
      </w:r>
      <w:r w:rsidR="003E6250">
        <w:rPr>
          <w:sz w:val="24"/>
          <w:szCs w:val="24"/>
        </w:rPr>
        <w:t>3</w:t>
      </w:r>
      <w:r w:rsidR="003E048A" w:rsidRPr="00C53F44">
        <w:rPr>
          <w:sz w:val="24"/>
          <w:szCs w:val="24"/>
        </w:rPr>
        <w:t>)</w:t>
      </w:r>
      <w:r>
        <w:rPr>
          <w:sz w:val="24"/>
          <w:szCs w:val="24"/>
        </w:rPr>
        <w:t xml:space="preserve"> </w:t>
      </w:r>
      <w:r w:rsidR="003E048A" w:rsidRPr="00C53F44">
        <w:rPr>
          <w:sz w:val="24"/>
          <w:szCs w:val="24"/>
        </w:rPr>
        <w:t>sets out the amounts that are to be reimbursed for the cost of meals during the course of travel on a day on which overnight accommodation is not required, namely:</w:t>
      </w:r>
    </w:p>
    <w:p w14:paraId="38DD48A8" w14:textId="4A00213D" w:rsidR="003E048A" w:rsidRPr="00C53F44" w:rsidRDefault="003E048A" w:rsidP="00C53F44">
      <w:pPr>
        <w:pStyle w:val="ListParagraph"/>
        <w:numPr>
          <w:ilvl w:val="0"/>
          <w:numId w:val="37"/>
        </w:numPr>
        <w:rPr>
          <w:sz w:val="24"/>
          <w:szCs w:val="24"/>
        </w:rPr>
      </w:pPr>
      <w:r w:rsidRPr="00C53F44">
        <w:rPr>
          <w:rFonts w:ascii="Times New Roman" w:hAnsi="Times New Roman"/>
          <w:sz w:val="24"/>
          <w:szCs w:val="24"/>
        </w:rPr>
        <w:t>where the distance from the eligible person’s residence to the relevant destination exceeds 50 km but not 200 km - $1</w:t>
      </w:r>
      <w:r w:rsidR="00F363D4">
        <w:rPr>
          <w:rFonts w:ascii="Times New Roman" w:hAnsi="Times New Roman"/>
          <w:sz w:val="24"/>
          <w:szCs w:val="24"/>
        </w:rPr>
        <w:t>4.8</w:t>
      </w:r>
      <w:r w:rsidRPr="00C53F44">
        <w:rPr>
          <w:rFonts w:ascii="Times New Roman" w:hAnsi="Times New Roman"/>
          <w:sz w:val="24"/>
          <w:szCs w:val="24"/>
        </w:rPr>
        <w:t>0 each day.</w:t>
      </w:r>
    </w:p>
    <w:p w14:paraId="1C393864" w14:textId="36D30D31" w:rsidR="003E048A" w:rsidRPr="00C53F44" w:rsidRDefault="003E048A" w:rsidP="00C53F44">
      <w:pPr>
        <w:pStyle w:val="ListParagraph"/>
        <w:numPr>
          <w:ilvl w:val="0"/>
          <w:numId w:val="37"/>
        </w:numPr>
        <w:rPr>
          <w:sz w:val="24"/>
          <w:szCs w:val="24"/>
        </w:rPr>
      </w:pPr>
      <w:r w:rsidRPr="00C53F44">
        <w:rPr>
          <w:rFonts w:ascii="Times New Roman" w:hAnsi="Times New Roman"/>
          <w:sz w:val="24"/>
          <w:szCs w:val="24"/>
        </w:rPr>
        <w:t>where the distance from the eligible person’s residence to the relevant destination exceeds 200 km - $</w:t>
      </w:r>
      <w:r w:rsidR="00F363D4">
        <w:rPr>
          <w:rFonts w:ascii="Times New Roman" w:hAnsi="Times New Roman"/>
          <w:sz w:val="24"/>
          <w:szCs w:val="24"/>
        </w:rPr>
        <w:t>30.00</w:t>
      </w:r>
      <w:r w:rsidRPr="00C53F44">
        <w:rPr>
          <w:rFonts w:ascii="Times New Roman" w:hAnsi="Times New Roman"/>
          <w:sz w:val="24"/>
          <w:szCs w:val="24"/>
        </w:rPr>
        <w:t xml:space="preserve"> each day.</w:t>
      </w:r>
    </w:p>
    <w:p w14:paraId="453037BB" w14:textId="50D004AC" w:rsidR="006A499A" w:rsidRPr="00601285" w:rsidRDefault="006A499A" w:rsidP="00601285">
      <w:pPr>
        <w:spacing w:before="240"/>
        <w:rPr>
          <w:sz w:val="24"/>
          <w:szCs w:val="24"/>
        </w:rPr>
      </w:pPr>
      <w:r w:rsidRPr="00601285">
        <w:rPr>
          <w:sz w:val="24"/>
          <w:szCs w:val="24"/>
        </w:rPr>
        <w:t xml:space="preserve">The example in section 9 illustrates the travelling expenses </w:t>
      </w:r>
      <w:r w:rsidR="006A10E7">
        <w:rPr>
          <w:sz w:val="24"/>
          <w:szCs w:val="24"/>
        </w:rPr>
        <w:t xml:space="preserve">payable </w:t>
      </w:r>
      <w:r w:rsidRPr="00601285">
        <w:rPr>
          <w:sz w:val="24"/>
          <w:szCs w:val="24"/>
        </w:rPr>
        <w:t>where an eligible person and their attendant drive by private mot</w:t>
      </w:r>
      <w:r w:rsidR="006A10E7" w:rsidRPr="00601285">
        <w:rPr>
          <w:sz w:val="24"/>
          <w:szCs w:val="24"/>
        </w:rPr>
        <w:t xml:space="preserve">or vehicle to an appointment 300 </w:t>
      </w:r>
      <w:r w:rsidRPr="00601285">
        <w:rPr>
          <w:sz w:val="24"/>
          <w:szCs w:val="24"/>
        </w:rPr>
        <w:t>km from home</w:t>
      </w:r>
      <w:r w:rsidR="006A10E7">
        <w:rPr>
          <w:sz w:val="24"/>
          <w:szCs w:val="24"/>
        </w:rPr>
        <w:t>, stay overnight in non-shared commercial accommodation</w:t>
      </w:r>
      <w:r w:rsidR="006A10E7" w:rsidRPr="00601285">
        <w:rPr>
          <w:sz w:val="24"/>
          <w:szCs w:val="24"/>
        </w:rPr>
        <w:t xml:space="preserve"> and return the next</w:t>
      </w:r>
      <w:r w:rsidRPr="00601285">
        <w:rPr>
          <w:sz w:val="24"/>
          <w:szCs w:val="24"/>
        </w:rPr>
        <w:t xml:space="preserve"> day. </w:t>
      </w:r>
    </w:p>
    <w:p w14:paraId="1582AB41" w14:textId="11BD67D7" w:rsidR="000975A8" w:rsidRPr="00F16CA3" w:rsidRDefault="000975A8" w:rsidP="00C53F44">
      <w:pPr>
        <w:pStyle w:val="ActHead5"/>
        <w:spacing w:after="240"/>
        <w:rPr>
          <w:b w:val="0"/>
          <w:color w:val="000000"/>
          <w:szCs w:val="24"/>
          <w:u w:val="single"/>
        </w:rPr>
      </w:pPr>
      <w:r w:rsidRPr="00F16CA3">
        <w:rPr>
          <w:b w:val="0"/>
          <w:color w:val="000000"/>
          <w:szCs w:val="24"/>
          <w:u w:val="single"/>
          <w:lang w:val="en-GB"/>
        </w:rPr>
        <w:t xml:space="preserve">Section </w:t>
      </w:r>
      <w:r>
        <w:rPr>
          <w:b w:val="0"/>
          <w:color w:val="000000"/>
          <w:szCs w:val="24"/>
          <w:u w:val="single"/>
        </w:rPr>
        <w:t>10</w:t>
      </w:r>
      <w:r w:rsidRPr="00F16CA3">
        <w:rPr>
          <w:b w:val="0"/>
          <w:szCs w:val="24"/>
          <w:u w:val="single"/>
        </w:rPr>
        <w:t xml:space="preserve"> – </w:t>
      </w:r>
      <w:r>
        <w:rPr>
          <w:b w:val="0"/>
          <w:szCs w:val="24"/>
          <w:u w:val="single"/>
        </w:rPr>
        <w:t>Attendant entitlements</w:t>
      </w:r>
    </w:p>
    <w:p w14:paraId="5A350242" w14:textId="715BB4B7" w:rsidR="003E048A" w:rsidRPr="00C53F44" w:rsidRDefault="000975A8" w:rsidP="00C53F44">
      <w:pPr>
        <w:rPr>
          <w:sz w:val="24"/>
          <w:szCs w:val="24"/>
        </w:rPr>
      </w:pPr>
      <w:r w:rsidRPr="00C53F44">
        <w:rPr>
          <w:sz w:val="24"/>
          <w:szCs w:val="24"/>
        </w:rPr>
        <w:t>S</w:t>
      </w:r>
      <w:r w:rsidR="003E048A" w:rsidRPr="00C53F44">
        <w:rPr>
          <w:sz w:val="24"/>
          <w:szCs w:val="24"/>
        </w:rPr>
        <w:t>ub</w:t>
      </w:r>
      <w:r w:rsidR="005B7CF2" w:rsidRPr="00C53F44">
        <w:rPr>
          <w:sz w:val="24"/>
          <w:szCs w:val="24"/>
        </w:rPr>
        <w:t>section</w:t>
      </w:r>
      <w:r w:rsidRPr="00C53F44">
        <w:rPr>
          <w:sz w:val="24"/>
          <w:szCs w:val="24"/>
        </w:rPr>
        <w:t xml:space="preserve"> 10(1) </w:t>
      </w:r>
      <w:r w:rsidR="003E048A" w:rsidRPr="00C53F44">
        <w:rPr>
          <w:sz w:val="24"/>
          <w:szCs w:val="24"/>
        </w:rPr>
        <w:t>describes the travel expenses payable to an attendant in addition to those payable when the attendant tr</w:t>
      </w:r>
      <w:r w:rsidRPr="00C53F44">
        <w:rPr>
          <w:sz w:val="24"/>
          <w:szCs w:val="24"/>
        </w:rPr>
        <w:t xml:space="preserve">avels with an eligible person. </w:t>
      </w:r>
      <w:r w:rsidR="003E048A" w:rsidRPr="00C53F44">
        <w:rPr>
          <w:sz w:val="24"/>
          <w:szCs w:val="24"/>
        </w:rPr>
        <w:t>Additional travel expenses are payable for an attendant to return home after accompanying an eligible person to an institution (e.g. hospital) where the eligible person ha</w:t>
      </w:r>
      <w:r w:rsidRPr="00C53F44">
        <w:rPr>
          <w:sz w:val="24"/>
          <w:szCs w:val="24"/>
        </w:rPr>
        <w:t xml:space="preserve">s been admitted for treatment. </w:t>
      </w:r>
      <w:r w:rsidR="003E048A" w:rsidRPr="00C53F44">
        <w:rPr>
          <w:sz w:val="24"/>
          <w:szCs w:val="24"/>
        </w:rPr>
        <w:t>Travel expenses are also payable for an attendant to return to the institution to accompany the eligible person on their homeward journey after discharge.</w:t>
      </w:r>
    </w:p>
    <w:p w14:paraId="3EA48514" w14:textId="77EB6485" w:rsidR="003E048A" w:rsidRPr="00C53F44" w:rsidRDefault="000975A8" w:rsidP="00C53F44">
      <w:pPr>
        <w:spacing w:before="240"/>
        <w:rPr>
          <w:sz w:val="24"/>
          <w:szCs w:val="24"/>
        </w:rPr>
      </w:pPr>
      <w:r w:rsidRPr="00C53F44">
        <w:rPr>
          <w:sz w:val="24"/>
          <w:szCs w:val="24"/>
        </w:rPr>
        <w:t>S</w:t>
      </w:r>
      <w:r w:rsidR="003E048A" w:rsidRPr="00C53F44">
        <w:rPr>
          <w:sz w:val="24"/>
          <w:szCs w:val="24"/>
        </w:rPr>
        <w:t>ub</w:t>
      </w:r>
      <w:r w:rsidR="005B7CF2" w:rsidRPr="00C53F44">
        <w:rPr>
          <w:sz w:val="24"/>
          <w:szCs w:val="24"/>
        </w:rPr>
        <w:t>section</w:t>
      </w:r>
      <w:r w:rsidRPr="00C53F44">
        <w:rPr>
          <w:sz w:val="24"/>
          <w:szCs w:val="24"/>
        </w:rPr>
        <w:t xml:space="preserve"> 10</w:t>
      </w:r>
      <w:r w:rsidR="003E048A" w:rsidRPr="00C53F44">
        <w:rPr>
          <w:sz w:val="24"/>
          <w:szCs w:val="24"/>
        </w:rPr>
        <w:t>(2</w:t>
      </w:r>
      <w:r w:rsidRPr="00C53F44">
        <w:rPr>
          <w:sz w:val="24"/>
          <w:szCs w:val="24"/>
        </w:rPr>
        <w:t xml:space="preserve">) </w:t>
      </w:r>
      <w:r w:rsidR="003E048A" w:rsidRPr="00C53F44">
        <w:rPr>
          <w:sz w:val="24"/>
          <w:szCs w:val="24"/>
        </w:rPr>
        <w:t>provides that the travel expenses payable to an attendant under sub</w:t>
      </w:r>
      <w:r w:rsidR="005B7CF2" w:rsidRPr="00C53F44">
        <w:rPr>
          <w:sz w:val="24"/>
          <w:szCs w:val="24"/>
        </w:rPr>
        <w:t>section</w:t>
      </w:r>
      <w:r w:rsidRPr="00C53F44">
        <w:rPr>
          <w:sz w:val="24"/>
          <w:szCs w:val="24"/>
        </w:rPr>
        <w:t xml:space="preserve"> 10</w:t>
      </w:r>
      <w:r w:rsidR="003E048A" w:rsidRPr="00C53F44">
        <w:rPr>
          <w:sz w:val="24"/>
          <w:szCs w:val="24"/>
        </w:rPr>
        <w:t xml:space="preserve">(1) are based on the same mode of transport as that used to accompany the eligible person and include any applicable amounts for accommodation and meals. </w:t>
      </w:r>
    </w:p>
    <w:p w14:paraId="489227B5" w14:textId="7272812A" w:rsidR="003E048A" w:rsidRPr="00C53F44" w:rsidRDefault="000975A8" w:rsidP="00C53F44">
      <w:pPr>
        <w:spacing w:before="240"/>
        <w:rPr>
          <w:sz w:val="24"/>
          <w:szCs w:val="24"/>
        </w:rPr>
      </w:pPr>
      <w:r w:rsidRPr="00C53F44">
        <w:rPr>
          <w:sz w:val="24"/>
          <w:szCs w:val="24"/>
        </w:rPr>
        <w:t>S</w:t>
      </w:r>
      <w:r w:rsidR="003E048A" w:rsidRPr="00C53F44">
        <w:rPr>
          <w:sz w:val="24"/>
          <w:szCs w:val="24"/>
        </w:rPr>
        <w:t>ub</w:t>
      </w:r>
      <w:r w:rsidR="005B7CF2" w:rsidRPr="00C53F44">
        <w:rPr>
          <w:sz w:val="24"/>
          <w:szCs w:val="24"/>
        </w:rPr>
        <w:t>section</w:t>
      </w:r>
      <w:r w:rsidRPr="00C53F44">
        <w:rPr>
          <w:sz w:val="24"/>
          <w:szCs w:val="24"/>
        </w:rPr>
        <w:t xml:space="preserve"> 10(3) </w:t>
      </w:r>
      <w:r w:rsidR="003E048A" w:rsidRPr="00C53F44">
        <w:rPr>
          <w:sz w:val="24"/>
          <w:szCs w:val="24"/>
        </w:rPr>
        <w:t>applies to the situation where an attendant stays in commercial, subsidised or private accommodation while the eligible person the attendant accompanies is in hospital or some other i</w:t>
      </w:r>
      <w:r w:rsidRPr="00C53F44">
        <w:rPr>
          <w:sz w:val="24"/>
          <w:szCs w:val="24"/>
        </w:rPr>
        <w:t xml:space="preserve">nstitution. </w:t>
      </w:r>
      <w:r w:rsidR="003E048A" w:rsidRPr="00C53F44">
        <w:rPr>
          <w:sz w:val="24"/>
          <w:szCs w:val="24"/>
        </w:rPr>
        <w:t>In this situation the travelling expenses payable to the attendant are worked out in accordance with sub</w:t>
      </w:r>
      <w:r w:rsidR="005B7CF2" w:rsidRPr="00C53F44">
        <w:rPr>
          <w:sz w:val="24"/>
          <w:szCs w:val="24"/>
        </w:rPr>
        <w:t>section</w:t>
      </w:r>
      <w:r w:rsidRPr="00C53F44">
        <w:rPr>
          <w:sz w:val="24"/>
          <w:szCs w:val="24"/>
        </w:rPr>
        <w:t xml:space="preserve"> 10</w:t>
      </w:r>
      <w:r w:rsidR="003E048A" w:rsidRPr="00C53F44">
        <w:rPr>
          <w:sz w:val="24"/>
          <w:szCs w:val="24"/>
        </w:rPr>
        <w:t>(4).</w:t>
      </w:r>
    </w:p>
    <w:p w14:paraId="2A0A239F" w14:textId="75F9E6FA" w:rsidR="003E048A" w:rsidRPr="00C53F44" w:rsidRDefault="000975A8" w:rsidP="00C53F44">
      <w:pPr>
        <w:spacing w:before="240"/>
        <w:rPr>
          <w:sz w:val="24"/>
          <w:szCs w:val="24"/>
        </w:rPr>
      </w:pPr>
      <w:r w:rsidRPr="00C53F44">
        <w:rPr>
          <w:sz w:val="24"/>
          <w:szCs w:val="24"/>
        </w:rPr>
        <w:t>S</w:t>
      </w:r>
      <w:r w:rsidR="003E048A" w:rsidRPr="00C53F44">
        <w:rPr>
          <w:sz w:val="24"/>
          <w:szCs w:val="24"/>
        </w:rPr>
        <w:t>ub</w:t>
      </w:r>
      <w:r w:rsidR="005B7CF2" w:rsidRPr="00C53F44">
        <w:rPr>
          <w:sz w:val="24"/>
          <w:szCs w:val="24"/>
        </w:rPr>
        <w:t>section</w:t>
      </w:r>
      <w:r w:rsidRPr="00C53F44">
        <w:rPr>
          <w:sz w:val="24"/>
          <w:szCs w:val="24"/>
        </w:rPr>
        <w:t xml:space="preserve"> 10</w:t>
      </w:r>
      <w:r w:rsidR="003E048A" w:rsidRPr="00C53F44">
        <w:rPr>
          <w:sz w:val="24"/>
          <w:szCs w:val="24"/>
        </w:rPr>
        <w:t>(4</w:t>
      </w:r>
      <w:r w:rsidRPr="00C53F44">
        <w:rPr>
          <w:sz w:val="24"/>
          <w:szCs w:val="24"/>
        </w:rPr>
        <w:t xml:space="preserve">) </w:t>
      </w:r>
      <w:r w:rsidR="003E048A" w:rsidRPr="00C53F44">
        <w:rPr>
          <w:sz w:val="24"/>
          <w:szCs w:val="24"/>
        </w:rPr>
        <w:t>sets out the method of calculating the payment under sub</w:t>
      </w:r>
      <w:r w:rsidR="005B7CF2" w:rsidRPr="00C53F44">
        <w:rPr>
          <w:sz w:val="24"/>
          <w:szCs w:val="24"/>
        </w:rPr>
        <w:t>section</w:t>
      </w:r>
      <w:r w:rsidRPr="00C53F44">
        <w:rPr>
          <w:sz w:val="24"/>
          <w:szCs w:val="24"/>
        </w:rPr>
        <w:t xml:space="preserve"> 10</w:t>
      </w:r>
      <w:r w:rsidR="003E048A" w:rsidRPr="00C53F44">
        <w:rPr>
          <w:sz w:val="24"/>
          <w:szCs w:val="24"/>
        </w:rPr>
        <w:t>(3) (known in practice as the ‘contributing allowance’) for the accommodation costs of an attendant who remains near the hospital or other institution to which the elig</w:t>
      </w:r>
      <w:r w:rsidRPr="00C53F44">
        <w:rPr>
          <w:sz w:val="24"/>
          <w:szCs w:val="24"/>
        </w:rPr>
        <w:t xml:space="preserve">ible person has been admitted. </w:t>
      </w:r>
      <w:r w:rsidR="003E048A" w:rsidRPr="00C53F44">
        <w:rPr>
          <w:sz w:val="24"/>
          <w:szCs w:val="24"/>
        </w:rPr>
        <w:t>This payment is the lesser of:</w:t>
      </w:r>
    </w:p>
    <w:p w14:paraId="62054E92" w14:textId="77777777" w:rsidR="003E048A" w:rsidRPr="00C53F44" w:rsidRDefault="003E048A" w:rsidP="00747AA9">
      <w:pPr>
        <w:pStyle w:val="ListParagraph"/>
        <w:numPr>
          <w:ilvl w:val="0"/>
          <w:numId w:val="38"/>
        </w:numPr>
        <w:spacing w:before="240"/>
        <w:rPr>
          <w:sz w:val="24"/>
          <w:szCs w:val="24"/>
        </w:rPr>
      </w:pPr>
      <w:r w:rsidRPr="00C53F44">
        <w:rPr>
          <w:rFonts w:ascii="Times New Roman" w:hAnsi="Times New Roman"/>
          <w:sz w:val="24"/>
          <w:szCs w:val="24"/>
        </w:rPr>
        <w:t>the actual cost of the attendant’s accommodation while the eligible person is in the institution; and</w:t>
      </w:r>
    </w:p>
    <w:p w14:paraId="00A41FA5" w14:textId="77777777" w:rsidR="003E048A" w:rsidRPr="00C53F44" w:rsidRDefault="003E048A" w:rsidP="00C53F44">
      <w:pPr>
        <w:pStyle w:val="ListParagraph"/>
        <w:numPr>
          <w:ilvl w:val="0"/>
          <w:numId w:val="38"/>
        </w:numPr>
        <w:rPr>
          <w:sz w:val="24"/>
          <w:szCs w:val="24"/>
        </w:rPr>
      </w:pPr>
      <w:r w:rsidRPr="00C53F44">
        <w:rPr>
          <w:rFonts w:ascii="Times New Roman" w:hAnsi="Times New Roman"/>
          <w:sz w:val="24"/>
          <w:szCs w:val="24"/>
        </w:rPr>
        <w:t>the transport expenses (excluding accommodation and meal costs) that would have been payable to the attendant if the attendant had returned home and returned to the institution using a private motor vehicle.</w:t>
      </w:r>
    </w:p>
    <w:p w14:paraId="7A91DC9A" w14:textId="306FEC7B" w:rsidR="006A10E7" w:rsidRPr="00601285" w:rsidRDefault="006A10E7" w:rsidP="00601285">
      <w:pPr>
        <w:spacing w:before="240"/>
        <w:rPr>
          <w:sz w:val="24"/>
          <w:szCs w:val="24"/>
        </w:rPr>
      </w:pPr>
      <w:r w:rsidRPr="00601285">
        <w:rPr>
          <w:sz w:val="24"/>
          <w:szCs w:val="24"/>
        </w:rPr>
        <w:t>The example in section 10 illustrates the travelling expenses</w:t>
      </w:r>
      <w:r>
        <w:rPr>
          <w:sz w:val="24"/>
          <w:szCs w:val="24"/>
        </w:rPr>
        <w:t xml:space="preserve"> payable</w:t>
      </w:r>
      <w:r w:rsidRPr="00601285">
        <w:rPr>
          <w:sz w:val="24"/>
          <w:szCs w:val="24"/>
        </w:rPr>
        <w:t xml:space="preserve"> where an eligible person and their attendant drive by private motor vehicle to an appointment </w:t>
      </w:r>
      <w:r>
        <w:rPr>
          <w:sz w:val="24"/>
          <w:szCs w:val="24"/>
        </w:rPr>
        <w:t xml:space="preserve">in a capital city </w:t>
      </w:r>
      <w:r w:rsidRPr="00601285">
        <w:rPr>
          <w:sz w:val="24"/>
          <w:szCs w:val="24"/>
        </w:rPr>
        <w:t>300 km from home and stay overnight in non-shared commercial accommodation. The eligible person is admitted to a hospital the next morning. The attendant returns home and comes back to collect the eligible person, staying in commercial accommodation the night before the eligible person is discharged.</w:t>
      </w:r>
    </w:p>
    <w:p w14:paraId="373A5156" w14:textId="11AC9E78" w:rsidR="000975A8" w:rsidRPr="00F16CA3" w:rsidRDefault="000975A8" w:rsidP="000975A8">
      <w:pPr>
        <w:pStyle w:val="ActHead5"/>
        <w:spacing w:after="240"/>
        <w:rPr>
          <w:b w:val="0"/>
          <w:color w:val="000000"/>
          <w:szCs w:val="24"/>
          <w:u w:val="single"/>
        </w:rPr>
      </w:pPr>
      <w:r w:rsidRPr="00F16CA3">
        <w:rPr>
          <w:b w:val="0"/>
          <w:color w:val="000000"/>
          <w:szCs w:val="24"/>
          <w:u w:val="single"/>
          <w:lang w:val="en-GB"/>
        </w:rPr>
        <w:t xml:space="preserve">Section </w:t>
      </w:r>
      <w:r>
        <w:rPr>
          <w:b w:val="0"/>
          <w:color w:val="000000"/>
          <w:szCs w:val="24"/>
          <w:u w:val="single"/>
        </w:rPr>
        <w:t>11</w:t>
      </w:r>
      <w:r w:rsidRPr="00F16CA3">
        <w:rPr>
          <w:b w:val="0"/>
          <w:szCs w:val="24"/>
          <w:u w:val="single"/>
        </w:rPr>
        <w:t xml:space="preserve"> – </w:t>
      </w:r>
      <w:r>
        <w:rPr>
          <w:b w:val="0"/>
          <w:szCs w:val="24"/>
          <w:u w:val="single"/>
        </w:rPr>
        <w:t xml:space="preserve">Travelling expenses to more than one location within the same city or town </w:t>
      </w:r>
    </w:p>
    <w:p w14:paraId="47A641EF" w14:textId="078C6337" w:rsidR="002663DB" w:rsidRDefault="005B7CF2" w:rsidP="00C53F44">
      <w:pPr>
        <w:rPr>
          <w:sz w:val="24"/>
          <w:szCs w:val="24"/>
        </w:rPr>
      </w:pPr>
      <w:r w:rsidRPr="00C53F44">
        <w:rPr>
          <w:sz w:val="24"/>
          <w:szCs w:val="24"/>
        </w:rPr>
        <w:t>Section</w:t>
      </w:r>
      <w:r w:rsidR="00DF589E">
        <w:rPr>
          <w:sz w:val="24"/>
          <w:szCs w:val="24"/>
        </w:rPr>
        <w:t xml:space="preserve"> 11</w:t>
      </w:r>
      <w:r w:rsidR="000975A8" w:rsidRPr="00C53F44">
        <w:rPr>
          <w:sz w:val="24"/>
          <w:szCs w:val="24"/>
        </w:rPr>
        <w:t xml:space="preserve"> </w:t>
      </w:r>
      <w:r w:rsidR="003E048A" w:rsidRPr="00C53F44">
        <w:rPr>
          <w:sz w:val="24"/>
          <w:szCs w:val="24"/>
        </w:rPr>
        <w:t>provides for the situation where an eligible person travels to different treatment-locat</w:t>
      </w:r>
      <w:r w:rsidR="002663DB">
        <w:rPr>
          <w:sz w:val="24"/>
          <w:szCs w:val="24"/>
        </w:rPr>
        <w:t>ions in the same city or town</w:t>
      </w:r>
      <w:r w:rsidR="003D266A">
        <w:rPr>
          <w:sz w:val="24"/>
          <w:szCs w:val="24"/>
        </w:rPr>
        <w:t xml:space="preserve"> (treatment city or town)</w:t>
      </w:r>
      <w:r w:rsidR="002663DB">
        <w:rPr>
          <w:sz w:val="24"/>
          <w:szCs w:val="24"/>
        </w:rPr>
        <w:t xml:space="preserve">. </w:t>
      </w:r>
      <w:r w:rsidR="003E048A" w:rsidRPr="00C53F44">
        <w:rPr>
          <w:sz w:val="24"/>
          <w:szCs w:val="24"/>
        </w:rPr>
        <w:t>In this situation</w:t>
      </w:r>
      <w:r w:rsidR="002663DB">
        <w:rPr>
          <w:sz w:val="24"/>
          <w:szCs w:val="24"/>
        </w:rPr>
        <w:t>,</w:t>
      </w:r>
      <w:r w:rsidR="003E048A" w:rsidRPr="00C53F44">
        <w:rPr>
          <w:sz w:val="24"/>
          <w:szCs w:val="24"/>
        </w:rPr>
        <w:t xml:space="preserve"> the travel expenses</w:t>
      </w:r>
      <w:r w:rsidR="002663DB">
        <w:rPr>
          <w:sz w:val="24"/>
          <w:szCs w:val="24"/>
        </w:rPr>
        <w:t>:</w:t>
      </w:r>
    </w:p>
    <w:p w14:paraId="2135E40C" w14:textId="2BFB05A2" w:rsidR="002663DB" w:rsidRPr="002663DB" w:rsidRDefault="001A24CC" w:rsidP="002663DB">
      <w:pPr>
        <w:pStyle w:val="ListParagraph"/>
        <w:numPr>
          <w:ilvl w:val="0"/>
          <w:numId w:val="40"/>
        </w:numPr>
        <w:spacing w:before="240"/>
        <w:rPr>
          <w:rFonts w:ascii="Times New Roman" w:hAnsi="Times New Roman"/>
          <w:sz w:val="24"/>
          <w:szCs w:val="24"/>
        </w:rPr>
      </w:pPr>
      <w:r>
        <w:rPr>
          <w:rFonts w:ascii="Times New Roman" w:hAnsi="Times New Roman"/>
          <w:sz w:val="24"/>
          <w:szCs w:val="24"/>
        </w:rPr>
        <w:t>subject to section 7</w:t>
      </w:r>
      <w:r w:rsidR="0026049F">
        <w:rPr>
          <w:rFonts w:ascii="Times New Roman" w:hAnsi="Times New Roman"/>
          <w:sz w:val="24"/>
          <w:szCs w:val="24"/>
        </w:rPr>
        <w:t xml:space="preserve"> of this instrument</w:t>
      </w:r>
      <w:r>
        <w:rPr>
          <w:rFonts w:ascii="Times New Roman" w:hAnsi="Times New Roman"/>
          <w:sz w:val="24"/>
          <w:szCs w:val="24"/>
        </w:rPr>
        <w:t xml:space="preserve">, </w:t>
      </w:r>
      <w:r w:rsidR="003E048A" w:rsidRPr="002663DB">
        <w:rPr>
          <w:rFonts w:ascii="Times New Roman" w:hAnsi="Times New Roman"/>
          <w:sz w:val="24"/>
          <w:szCs w:val="24"/>
        </w:rPr>
        <w:t xml:space="preserve">for the journey from the person’s residence </w:t>
      </w:r>
      <w:r w:rsidR="003D266A">
        <w:rPr>
          <w:rFonts w:ascii="Times New Roman" w:hAnsi="Times New Roman"/>
          <w:sz w:val="24"/>
          <w:szCs w:val="24"/>
        </w:rPr>
        <w:t xml:space="preserve">(whether or not in the treatment city or town) </w:t>
      </w:r>
      <w:r w:rsidR="003E048A" w:rsidRPr="002663DB">
        <w:rPr>
          <w:rFonts w:ascii="Times New Roman" w:hAnsi="Times New Roman"/>
          <w:sz w:val="24"/>
          <w:szCs w:val="24"/>
        </w:rPr>
        <w:t xml:space="preserve">to the </w:t>
      </w:r>
      <w:r w:rsidR="0026049F">
        <w:rPr>
          <w:rFonts w:ascii="Times New Roman" w:hAnsi="Times New Roman"/>
          <w:sz w:val="24"/>
          <w:szCs w:val="24"/>
        </w:rPr>
        <w:t xml:space="preserve">first treatment location in the </w:t>
      </w:r>
      <w:r w:rsidR="003D266A">
        <w:rPr>
          <w:rFonts w:ascii="Times New Roman" w:hAnsi="Times New Roman"/>
          <w:sz w:val="24"/>
          <w:szCs w:val="24"/>
        </w:rPr>
        <w:t xml:space="preserve">treatment </w:t>
      </w:r>
      <w:r w:rsidR="003E048A" w:rsidRPr="002663DB">
        <w:rPr>
          <w:rFonts w:ascii="Times New Roman" w:hAnsi="Times New Roman"/>
          <w:sz w:val="24"/>
          <w:szCs w:val="24"/>
        </w:rPr>
        <w:t xml:space="preserve">city or town </w:t>
      </w:r>
      <w:r w:rsidR="0026049F">
        <w:rPr>
          <w:rFonts w:ascii="Times New Roman" w:hAnsi="Times New Roman"/>
          <w:sz w:val="24"/>
          <w:szCs w:val="24"/>
        </w:rPr>
        <w:t xml:space="preserve">and from the last treatment location to the person’s residence, </w:t>
      </w:r>
      <w:r w:rsidR="003E048A" w:rsidRPr="002663DB">
        <w:rPr>
          <w:rFonts w:ascii="Times New Roman" w:hAnsi="Times New Roman"/>
          <w:sz w:val="24"/>
          <w:szCs w:val="24"/>
        </w:rPr>
        <w:t>are to be the greatest amo</w:t>
      </w:r>
      <w:r w:rsidR="000975A8" w:rsidRPr="002663DB">
        <w:rPr>
          <w:rFonts w:ascii="Times New Roman" w:hAnsi="Times New Roman"/>
          <w:sz w:val="24"/>
          <w:szCs w:val="24"/>
        </w:rPr>
        <w:t>unt payable under section 22</w:t>
      </w:r>
      <w:r w:rsidR="003E048A" w:rsidRPr="002663DB">
        <w:rPr>
          <w:rFonts w:ascii="Times New Roman" w:hAnsi="Times New Roman"/>
          <w:sz w:val="24"/>
          <w:szCs w:val="24"/>
        </w:rPr>
        <w:t xml:space="preserve"> of the Act</w:t>
      </w:r>
      <w:r w:rsidR="002663DB" w:rsidRPr="002663DB">
        <w:rPr>
          <w:rFonts w:ascii="Times New Roman" w:hAnsi="Times New Roman"/>
          <w:sz w:val="24"/>
          <w:szCs w:val="24"/>
        </w:rPr>
        <w:t>;</w:t>
      </w:r>
      <w:r w:rsidR="003E048A" w:rsidRPr="002663DB">
        <w:rPr>
          <w:rFonts w:ascii="Times New Roman" w:hAnsi="Times New Roman"/>
          <w:sz w:val="24"/>
          <w:szCs w:val="24"/>
        </w:rPr>
        <w:t xml:space="preserve"> and </w:t>
      </w:r>
    </w:p>
    <w:p w14:paraId="335E9FEF" w14:textId="5813EE51" w:rsidR="003E048A" w:rsidRPr="002663DB" w:rsidRDefault="003E048A" w:rsidP="002663DB">
      <w:pPr>
        <w:pStyle w:val="ListParagraph"/>
        <w:numPr>
          <w:ilvl w:val="0"/>
          <w:numId w:val="40"/>
        </w:numPr>
        <w:rPr>
          <w:rFonts w:ascii="Times New Roman" w:hAnsi="Times New Roman"/>
          <w:sz w:val="24"/>
          <w:szCs w:val="24"/>
        </w:rPr>
      </w:pPr>
      <w:r w:rsidRPr="002663DB">
        <w:rPr>
          <w:rFonts w:ascii="Times New Roman" w:hAnsi="Times New Roman"/>
          <w:sz w:val="24"/>
          <w:szCs w:val="24"/>
        </w:rPr>
        <w:t xml:space="preserve">for the journey from one treatment location in the </w:t>
      </w:r>
      <w:r w:rsidR="003D266A">
        <w:rPr>
          <w:rFonts w:ascii="Times New Roman" w:hAnsi="Times New Roman"/>
          <w:sz w:val="24"/>
          <w:szCs w:val="24"/>
        </w:rPr>
        <w:t xml:space="preserve">treatment </w:t>
      </w:r>
      <w:r w:rsidRPr="002663DB">
        <w:rPr>
          <w:rFonts w:ascii="Times New Roman" w:hAnsi="Times New Roman"/>
          <w:sz w:val="24"/>
          <w:szCs w:val="24"/>
        </w:rPr>
        <w:t>city or town to the next are to be the greatest</w:t>
      </w:r>
      <w:r w:rsidR="000975A8" w:rsidRPr="002663DB">
        <w:rPr>
          <w:rFonts w:ascii="Times New Roman" w:hAnsi="Times New Roman"/>
          <w:sz w:val="24"/>
          <w:szCs w:val="24"/>
        </w:rPr>
        <w:t xml:space="preserve"> amount payable under section 22</w:t>
      </w:r>
      <w:r w:rsidRPr="002663DB">
        <w:rPr>
          <w:rFonts w:ascii="Times New Roman" w:hAnsi="Times New Roman"/>
          <w:sz w:val="24"/>
          <w:szCs w:val="24"/>
        </w:rPr>
        <w:t xml:space="preserve"> of the Act.</w:t>
      </w:r>
    </w:p>
    <w:p w14:paraId="0E086A0F" w14:textId="55225A38" w:rsidR="004F11FB" w:rsidRDefault="006A499A" w:rsidP="003D266A">
      <w:pPr>
        <w:pStyle w:val="subsection"/>
        <w:tabs>
          <w:tab w:val="clear" w:pos="1021"/>
          <w:tab w:val="right" w:pos="284"/>
        </w:tabs>
        <w:ind w:left="0" w:firstLine="0"/>
        <w:rPr>
          <w:sz w:val="24"/>
          <w:szCs w:val="24"/>
        </w:rPr>
      </w:pPr>
      <w:r w:rsidRPr="002B2708">
        <w:rPr>
          <w:sz w:val="24"/>
          <w:szCs w:val="24"/>
        </w:rPr>
        <w:t xml:space="preserve">The example in </w:t>
      </w:r>
      <w:r w:rsidR="006A10E7" w:rsidRPr="002B2708">
        <w:rPr>
          <w:sz w:val="24"/>
          <w:szCs w:val="24"/>
        </w:rPr>
        <w:t>section 11</w:t>
      </w:r>
      <w:r w:rsidRPr="002B2708">
        <w:rPr>
          <w:sz w:val="24"/>
          <w:szCs w:val="24"/>
        </w:rPr>
        <w:t xml:space="preserve"> illustrates </w:t>
      </w:r>
      <w:r w:rsidR="001A24CC" w:rsidRPr="002B2708">
        <w:rPr>
          <w:sz w:val="24"/>
          <w:szCs w:val="24"/>
        </w:rPr>
        <w:t xml:space="preserve">how travelling expenses are calculated when </w:t>
      </w:r>
      <w:r w:rsidR="006A10E7" w:rsidRPr="002B2708">
        <w:rPr>
          <w:sz w:val="24"/>
          <w:szCs w:val="24"/>
        </w:rPr>
        <w:t xml:space="preserve">an eligible person </w:t>
      </w:r>
      <w:r w:rsidR="00B529ED">
        <w:rPr>
          <w:sz w:val="24"/>
          <w:szCs w:val="24"/>
        </w:rPr>
        <w:t xml:space="preserve">travels to different treatment </w:t>
      </w:r>
      <w:r w:rsidR="00840BF7" w:rsidRPr="00C53F44">
        <w:rPr>
          <w:sz w:val="24"/>
          <w:szCs w:val="24"/>
        </w:rPr>
        <w:t>locat</w:t>
      </w:r>
      <w:r w:rsidR="00840BF7">
        <w:rPr>
          <w:sz w:val="24"/>
          <w:szCs w:val="24"/>
        </w:rPr>
        <w:t>ions in the same city or town</w:t>
      </w:r>
      <w:r w:rsidR="00624082">
        <w:rPr>
          <w:sz w:val="24"/>
          <w:szCs w:val="24"/>
        </w:rPr>
        <w:t xml:space="preserve">. </w:t>
      </w:r>
      <w:r w:rsidR="001A24CC" w:rsidRPr="002B2708">
        <w:rPr>
          <w:sz w:val="24"/>
          <w:szCs w:val="24"/>
        </w:rPr>
        <w:t>The person</w:t>
      </w:r>
      <w:r w:rsidR="006A10E7" w:rsidRPr="002B2708">
        <w:rPr>
          <w:sz w:val="24"/>
          <w:szCs w:val="24"/>
        </w:rPr>
        <w:t xml:space="preserve"> will be paid for the travel </w:t>
      </w:r>
      <w:r w:rsidR="00B529ED">
        <w:rPr>
          <w:sz w:val="24"/>
          <w:szCs w:val="24"/>
        </w:rPr>
        <w:t xml:space="preserve">from the person’s home (whether in that city or town or another city or town) </w:t>
      </w:r>
      <w:r w:rsidR="00624082">
        <w:rPr>
          <w:sz w:val="24"/>
          <w:szCs w:val="24"/>
        </w:rPr>
        <w:t xml:space="preserve">to the first treatment location </w:t>
      </w:r>
      <w:r w:rsidR="006A10E7" w:rsidRPr="002B2708">
        <w:rPr>
          <w:sz w:val="24"/>
          <w:szCs w:val="24"/>
        </w:rPr>
        <w:t xml:space="preserve">and </w:t>
      </w:r>
      <w:r w:rsidR="0026049F">
        <w:rPr>
          <w:sz w:val="24"/>
          <w:szCs w:val="24"/>
        </w:rPr>
        <w:t xml:space="preserve">for travel from the last treatment location to the person’s home, and </w:t>
      </w:r>
      <w:r w:rsidR="006A10E7" w:rsidRPr="002B2708">
        <w:rPr>
          <w:sz w:val="24"/>
          <w:szCs w:val="24"/>
        </w:rPr>
        <w:t xml:space="preserve">for the travel </w:t>
      </w:r>
      <w:r w:rsidR="002B2708" w:rsidRPr="002B2708">
        <w:rPr>
          <w:sz w:val="24"/>
          <w:szCs w:val="24"/>
        </w:rPr>
        <w:t xml:space="preserve">between the </w:t>
      </w:r>
      <w:r w:rsidR="00B529ED">
        <w:rPr>
          <w:sz w:val="24"/>
          <w:szCs w:val="24"/>
        </w:rPr>
        <w:t xml:space="preserve">different treatment </w:t>
      </w:r>
      <w:r w:rsidR="00840BF7">
        <w:rPr>
          <w:sz w:val="24"/>
          <w:szCs w:val="24"/>
        </w:rPr>
        <w:t xml:space="preserve">locations. </w:t>
      </w:r>
    </w:p>
    <w:p w14:paraId="08A80F9C" w14:textId="6C1EDF3E" w:rsidR="00840BF7" w:rsidRPr="00BF6FAB" w:rsidRDefault="00840BF7" w:rsidP="00840BF7">
      <w:pPr>
        <w:pStyle w:val="subsection"/>
        <w:tabs>
          <w:tab w:val="clear" w:pos="1021"/>
          <w:tab w:val="right" w:pos="284"/>
        </w:tabs>
        <w:ind w:left="0" w:firstLine="0"/>
        <w:rPr>
          <w:sz w:val="24"/>
          <w:szCs w:val="24"/>
        </w:rPr>
      </w:pPr>
      <w:r>
        <w:rPr>
          <w:sz w:val="24"/>
          <w:szCs w:val="24"/>
        </w:rPr>
        <w:t xml:space="preserve">Further, </w:t>
      </w:r>
      <w:r w:rsidRPr="00BF6FAB">
        <w:rPr>
          <w:sz w:val="24"/>
          <w:szCs w:val="24"/>
        </w:rPr>
        <w:t xml:space="preserve">the example illustrates how section 7 applies where the distance travelled </w:t>
      </w:r>
      <w:r>
        <w:rPr>
          <w:sz w:val="24"/>
          <w:szCs w:val="24"/>
        </w:rPr>
        <w:t xml:space="preserve">from the person’s home </w:t>
      </w:r>
      <w:r w:rsidR="0026049F">
        <w:rPr>
          <w:sz w:val="24"/>
          <w:szCs w:val="24"/>
        </w:rPr>
        <w:t xml:space="preserve">to a </w:t>
      </w:r>
      <w:r w:rsidR="00B529ED">
        <w:rPr>
          <w:sz w:val="24"/>
          <w:szCs w:val="24"/>
        </w:rPr>
        <w:t xml:space="preserve">treatment </w:t>
      </w:r>
      <w:r>
        <w:rPr>
          <w:sz w:val="24"/>
          <w:szCs w:val="24"/>
        </w:rPr>
        <w:t xml:space="preserve">location </w:t>
      </w:r>
      <w:r w:rsidRPr="00BF6FAB">
        <w:rPr>
          <w:sz w:val="24"/>
          <w:szCs w:val="24"/>
        </w:rPr>
        <w:t xml:space="preserve">is more than 50km. </w:t>
      </w:r>
      <w:r>
        <w:rPr>
          <w:sz w:val="24"/>
          <w:szCs w:val="24"/>
        </w:rPr>
        <w:t xml:space="preserve">In such a case, the </w:t>
      </w:r>
      <w:r w:rsidRPr="00BF6FAB">
        <w:rPr>
          <w:sz w:val="24"/>
          <w:szCs w:val="24"/>
        </w:rPr>
        <w:t xml:space="preserve">Commission </w:t>
      </w:r>
      <w:r>
        <w:rPr>
          <w:sz w:val="24"/>
          <w:szCs w:val="24"/>
        </w:rPr>
        <w:t xml:space="preserve">is required under section 7 to </w:t>
      </w:r>
      <w:r w:rsidRPr="00BF6FAB">
        <w:rPr>
          <w:sz w:val="24"/>
          <w:szCs w:val="24"/>
        </w:rPr>
        <w:t>determine the distance between a person</w:t>
      </w:r>
      <w:r>
        <w:rPr>
          <w:sz w:val="24"/>
          <w:szCs w:val="24"/>
        </w:rPr>
        <w:t xml:space="preserve">’s </w:t>
      </w:r>
      <w:r w:rsidRPr="00BF6FAB">
        <w:rPr>
          <w:sz w:val="24"/>
          <w:szCs w:val="24"/>
        </w:rPr>
        <w:t xml:space="preserve">residence and the closest practical treatment location </w:t>
      </w:r>
      <w:r>
        <w:rPr>
          <w:sz w:val="24"/>
          <w:szCs w:val="24"/>
        </w:rPr>
        <w:t>in determining the amount of travelling expenses.</w:t>
      </w:r>
      <w:r w:rsidRPr="00BF6FAB">
        <w:rPr>
          <w:sz w:val="24"/>
          <w:szCs w:val="24"/>
        </w:rPr>
        <w:t xml:space="preserve"> </w:t>
      </w:r>
    </w:p>
    <w:p w14:paraId="0476D94A" w14:textId="268FB64F" w:rsidR="004F11FB" w:rsidRPr="00624082" w:rsidRDefault="00840BF7" w:rsidP="004F11FB">
      <w:pPr>
        <w:pStyle w:val="subsection"/>
        <w:tabs>
          <w:tab w:val="clear" w:pos="1021"/>
          <w:tab w:val="right" w:pos="284"/>
        </w:tabs>
        <w:ind w:left="0" w:firstLine="0"/>
        <w:rPr>
          <w:sz w:val="24"/>
          <w:szCs w:val="24"/>
        </w:rPr>
      </w:pPr>
      <w:r w:rsidRPr="003D266A">
        <w:rPr>
          <w:sz w:val="24"/>
          <w:szCs w:val="24"/>
        </w:rPr>
        <w:t xml:space="preserve">In the example, the </w:t>
      </w:r>
      <w:r w:rsidR="004F11FB" w:rsidRPr="003D266A">
        <w:rPr>
          <w:sz w:val="24"/>
          <w:szCs w:val="24"/>
        </w:rPr>
        <w:t xml:space="preserve">person travels </w:t>
      </w:r>
      <w:r w:rsidR="0007226D">
        <w:rPr>
          <w:sz w:val="24"/>
          <w:szCs w:val="24"/>
        </w:rPr>
        <w:t>9</w:t>
      </w:r>
      <w:r w:rsidR="004F11FB" w:rsidRPr="003D266A">
        <w:rPr>
          <w:sz w:val="24"/>
          <w:szCs w:val="24"/>
        </w:rPr>
        <w:t xml:space="preserve">0 km from their residence in a country town to a medical practice in a capital city for treatment. They then travel 10 km to another medical practice </w:t>
      </w:r>
      <w:r w:rsidR="00624082">
        <w:rPr>
          <w:sz w:val="24"/>
          <w:szCs w:val="24"/>
        </w:rPr>
        <w:t xml:space="preserve">in that capital city </w:t>
      </w:r>
      <w:r w:rsidR="004F11FB" w:rsidRPr="003D266A">
        <w:rPr>
          <w:sz w:val="24"/>
          <w:szCs w:val="24"/>
        </w:rPr>
        <w:t xml:space="preserve">for a medical examination. The person then returns home later that day travelling another </w:t>
      </w:r>
      <w:r w:rsidR="0007226D">
        <w:rPr>
          <w:sz w:val="24"/>
          <w:szCs w:val="24"/>
        </w:rPr>
        <w:t>10</w:t>
      </w:r>
      <w:r w:rsidR="004F11FB" w:rsidRPr="003D266A">
        <w:rPr>
          <w:sz w:val="24"/>
          <w:szCs w:val="24"/>
        </w:rPr>
        <w:t xml:space="preserve">0km. They claim travelling expenses for </w:t>
      </w:r>
      <w:r w:rsidR="0007226D">
        <w:rPr>
          <w:sz w:val="24"/>
          <w:szCs w:val="24"/>
        </w:rPr>
        <w:t xml:space="preserve">200 </w:t>
      </w:r>
      <w:r w:rsidR="004F11FB" w:rsidRPr="003D266A">
        <w:rPr>
          <w:sz w:val="24"/>
          <w:szCs w:val="24"/>
        </w:rPr>
        <w:t>km in total (</w:t>
      </w:r>
      <w:r w:rsidR="0007226D">
        <w:rPr>
          <w:sz w:val="24"/>
          <w:szCs w:val="24"/>
        </w:rPr>
        <w:t>9</w:t>
      </w:r>
      <w:r w:rsidR="004F11FB" w:rsidRPr="003D266A">
        <w:rPr>
          <w:sz w:val="24"/>
          <w:szCs w:val="24"/>
        </w:rPr>
        <w:t>0+10+</w:t>
      </w:r>
      <w:r w:rsidR="0007226D">
        <w:rPr>
          <w:sz w:val="24"/>
          <w:szCs w:val="24"/>
        </w:rPr>
        <w:t>10</w:t>
      </w:r>
      <w:r w:rsidR="004F11FB" w:rsidRPr="003D266A">
        <w:rPr>
          <w:sz w:val="24"/>
          <w:szCs w:val="24"/>
        </w:rPr>
        <w:t xml:space="preserve">0km). </w:t>
      </w:r>
      <w:r w:rsidRPr="003D266A">
        <w:rPr>
          <w:sz w:val="24"/>
          <w:szCs w:val="24"/>
        </w:rPr>
        <w:t>T</w:t>
      </w:r>
      <w:r w:rsidR="004F11FB" w:rsidRPr="003D266A">
        <w:rPr>
          <w:sz w:val="24"/>
          <w:szCs w:val="24"/>
        </w:rPr>
        <w:t xml:space="preserve">he Commission determines </w:t>
      </w:r>
      <w:r w:rsidRPr="003D266A">
        <w:rPr>
          <w:sz w:val="24"/>
          <w:szCs w:val="24"/>
        </w:rPr>
        <w:t xml:space="preserve">under section 7 </w:t>
      </w:r>
      <w:r w:rsidR="004F11FB" w:rsidRPr="003D266A">
        <w:rPr>
          <w:sz w:val="24"/>
          <w:szCs w:val="24"/>
        </w:rPr>
        <w:t xml:space="preserve">that the </w:t>
      </w:r>
      <w:r w:rsidRPr="003D266A">
        <w:rPr>
          <w:sz w:val="24"/>
          <w:szCs w:val="24"/>
        </w:rPr>
        <w:t>distance between the person’s</w:t>
      </w:r>
      <w:r w:rsidR="004F11FB" w:rsidRPr="003D266A">
        <w:rPr>
          <w:sz w:val="24"/>
          <w:szCs w:val="24"/>
        </w:rPr>
        <w:t xml:space="preserve"> residence and the closest practical treatment location is 60km.</w:t>
      </w:r>
      <w:r w:rsidRPr="00624082">
        <w:rPr>
          <w:sz w:val="24"/>
          <w:szCs w:val="24"/>
        </w:rPr>
        <w:t xml:space="preserve"> In such a case, t</w:t>
      </w:r>
      <w:r w:rsidR="004F11FB" w:rsidRPr="00624082">
        <w:rPr>
          <w:sz w:val="24"/>
          <w:szCs w:val="24"/>
        </w:rPr>
        <w:t xml:space="preserve">he Commission will seek additional information from the person about why they </w:t>
      </w:r>
      <w:r w:rsidR="00B529ED" w:rsidRPr="00624082">
        <w:rPr>
          <w:sz w:val="24"/>
          <w:szCs w:val="24"/>
        </w:rPr>
        <w:t xml:space="preserve">travelled to a treatment </w:t>
      </w:r>
      <w:r w:rsidRPr="00624082">
        <w:rPr>
          <w:sz w:val="24"/>
          <w:szCs w:val="24"/>
        </w:rPr>
        <w:t xml:space="preserve">location </w:t>
      </w:r>
      <w:r w:rsidR="00B529ED" w:rsidRPr="00624082">
        <w:rPr>
          <w:sz w:val="24"/>
          <w:szCs w:val="24"/>
        </w:rPr>
        <w:t xml:space="preserve">that was not the closest practical treatment location. </w:t>
      </w:r>
    </w:p>
    <w:p w14:paraId="18F21B32" w14:textId="7AF25FA2" w:rsidR="000975A8" w:rsidRPr="00C53F44" w:rsidRDefault="000975A8" w:rsidP="00601285">
      <w:pPr>
        <w:spacing w:before="240"/>
        <w:rPr>
          <w:sz w:val="24"/>
          <w:szCs w:val="24"/>
          <w:u w:val="single"/>
        </w:rPr>
      </w:pPr>
      <w:r w:rsidRPr="000975A8">
        <w:rPr>
          <w:color w:val="000000"/>
          <w:sz w:val="24"/>
          <w:szCs w:val="24"/>
          <w:u w:val="single"/>
          <w:lang w:val="en-GB"/>
        </w:rPr>
        <w:t xml:space="preserve">Section </w:t>
      </w:r>
      <w:r w:rsidRPr="00C53F44">
        <w:rPr>
          <w:color w:val="000000"/>
          <w:sz w:val="24"/>
          <w:szCs w:val="24"/>
          <w:u w:val="single"/>
        </w:rPr>
        <w:t>1</w:t>
      </w:r>
      <w:r w:rsidR="00DF589E">
        <w:rPr>
          <w:color w:val="000000"/>
          <w:sz w:val="24"/>
          <w:szCs w:val="24"/>
          <w:u w:val="single"/>
        </w:rPr>
        <w:t>2</w:t>
      </w:r>
      <w:r w:rsidRPr="000975A8">
        <w:rPr>
          <w:sz w:val="24"/>
          <w:szCs w:val="24"/>
          <w:u w:val="single"/>
        </w:rPr>
        <w:t xml:space="preserve"> –</w:t>
      </w:r>
      <w:r w:rsidRPr="00C53F44">
        <w:rPr>
          <w:sz w:val="24"/>
          <w:szCs w:val="24"/>
          <w:u w:val="single"/>
        </w:rPr>
        <w:t xml:space="preserve"> </w:t>
      </w:r>
      <w:r w:rsidR="00DF589E">
        <w:rPr>
          <w:sz w:val="24"/>
          <w:szCs w:val="24"/>
          <w:u w:val="single"/>
        </w:rPr>
        <w:t>Annual increase in rates</w:t>
      </w:r>
      <w:r w:rsidRPr="00C53F44">
        <w:rPr>
          <w:sz w:val="24"/>
          <w:szCs w:val="24"/>
          <w:u w:val="single"/>
        </w:rPr>
        <w:t xml:space="preserve"> </w:t>
      </w:r>
    </w:p>
    <w:p w14:paraId="502A66FF" w14:textId="65400D4A" w:rsidR="003E048A" w:rsidRPr="00C53F44" w:rsidRDefault="005B7CF2" w:rsidP="00C53F44">
      <w:pPr>
        <w:spacing w:before="240"/>
        <w:rPr>
          <w:sz w:val="24"/>
          <w:szCs w:val="24"/>
        </w:rPr>
      </w:pPr>
      <w:r w:rsidRPr="00C53F44">
        <w:rPr>
          <w:sz w:val="24"/>
          <w:szCs w:val="24"/>
        </w:rPr>
        <w:t>Section</w:t>
      </w:r>
      <w:r w:rsidR="003E048A" w:rsidRPr="00C53F44">
        <w:rPr>
          <w:sz w:val="24"/>
          <w:szCs w:val="24"/>
        </w:rPr>
        <w:t xml:space="preserve"> </w:t>
      </w:r>
      <w:r w:rsidR="000975A8" w:rsidRPr="00C53F44">
        <w:rPr>
          <w:sz w:val="24"/>
          <w:szCs w:val="24"/>
        </w:rPr>
        <w:t xml:space="preserve">12 </w:t>
      </w:r>
      <w:r w:rsidR="003E048A" w:rsidRPr="00C53F44">
        <w:rPr>
          <w:sz w:val="24"/>
          <w:szCs w:val="24"/>
        </w:rPr>
        <w:t>requires travel expense</w:t>
      </w:r>
      <w:r w:rsidR="00601285">
        <w:rPr>
          <w:sz w:val="24"/>
          <w:szCs w:val="24"/>
        </w:rPr>
        <w:t xml:space="preserve"> rates </w:t>
      </w:r>
      <w:r w:rsidR="003E048A" w:rsidRPr="00C53F44">
        <w:rPr>
          <w:sz w:val="24"/>
          <w:szCs w:val="24"/>
        </w:rPr>
        <w:t xml:space="preserve"> to be increased on </w:t>
      </w:r>
      <w:r w:rsidR="00601285">
        <w:rPr>
          <w:sz w:val="24"/>
          <w:szCs w:val="24"/>
        </w:rPr>
        <w:t xml:space="preserve">the anniversary of </w:t>
      </w:r>
      <w:r w:rsidR="003E048A" w:rsidRPr="00C53F44">
        <w:rPr>
          <w:sz w:val="24"/>
          <w:szCs w:val="24"/>
        </w:rPr>
        <w:t xml:space="preserve">1 July </w:t>
      </w:r>
      <w:r w:rsidR="00601285">
        <w:rPr>
          <w:sz w:val="24"/>
          <w:szCs w:val="24"/>
        </w:rPr>
        <w:t xml:space="preserve">2019 </w:t>
      </w:r>
      <w:r w:rsidR="003E048A" w:rsidRPr="00C53F44">
        <w:rPr>
          <w:sz w:val="24"/>
          <w:szCs w:val="24"/>
        </w:rPr>
        <w:t xml:space="preserve">in accordance with </w:t>
      </w:r>
      <w:r w:rsidRPr="00C53F44">
        <w:rPr>
          <w:sz w:val="24"/>
          <w:szCs w:val="24"/>
        </w:rPr>
        <w:t>section</w:t>
      </w:r>
      <w:r w:rsidR="003E048A" w:rsidRPr="00C53F44">
        <w:rPr>
          <w:sz w:val="24"/>
          <w:szCs w:val="24"/>
        </w:rPr>
        <w:t xml:space="preserve"> </w:t>
      </w:r>
      <w:r w:rsidR="000975A8" w:rsidRPr="00C53F44">
        <w:rPr>
          <w:sz w:val="24"/>
          <w:szCs w:val="24"/>
        </w:rPr>
        <w:t>13</w:t>
      </w:r>
      <w:r w:rsidR="003E048A" w:rsidRPr="00C53F44">
        <w:rPr>
          <w:sz w:val="24"/>
          <w:szCs w:val="24"/>
        </w:rPr>
        <w:t>.</w:t>
      </w:r>
      <w:r w:rsidR="00601285">
        <w:rPr>
          <w:sz w:val="24"/>
          <w:szCs w:val="24"/>
        </w:rPr>
        <w:t xml:space="preserve"> Those travel expense rates are the private motor vehicle rate (section 8) and the rates for accommodation and meals (section 9).</w:t>
      </w:r>
    </w:p>
    <w:p w14:paraId="47F7F27B" w14:textId="4F5CAE9F" w:rsidR="000975A8" w:rsidRPr="00F16CA3" w:rsidRDefault="000975A8" w:rsidP="00C53F44">
      <w:pPr>
        <w:spacing w:before="240"/>
        <w:rPr>
          <w:sz w:val="24"/>
          <w:szCs w:val="24"/>
          <w:u w:val="single"/>
        </w:rPr>
      </w:pPr>
      <w:r w:rsidRPr="00F16CA3">
        <w:rPr>
          <w:color w:val="000000"/>
          <w:sz w:val="24"/>
          <w:szCs w:val="24"/>
          <w:u w:val="single"/>
          <w:lang w:val="en-GB"/>
        </w:rPr>
        <w:t xml:space="preserve">Section </w:t>
      </w:r>
      <w:r w:rsidR="00DF589E">
        <w:rPr>
          <w:color w:val="000000"/>
          <w:sz w:val="24"/>
          <w:szCs w:val="24"/>
          <w:u w:val="single"/>
        </w:rPr>
        <w:t>13</w:t>
      </w:r>
      <w:r w:rsidRPr="00F16CA3">
        <w:rPr>
          <w:sz w:val="24"/>
          <w:szCs w:val="24"/>
          <w:u w:val="single"/>
        </w:rPr>
        <w:t xml:space="preserve"> – </w:t>
      </w:r>
      <w:r w:rsidR="00DF589E">
        <w:rPr>
          <w:sz w:val="24"/>
          <w:szCs w:val="24"/>
          <w:u w:val="single"/>
        </w:rPr>
        <w:t>Calculation of increase</w:t>
      </w:r>
      <w:r w:rsidRPr="00F16CA3">
        <w:rPr>
          <w:sz w:val="24"/>
          <w:szCs w:val="24"/>
          <w:u w:val="single"/>
        </w:rPr>
        <w:t xml:space="preserve"> </w:t>
      </w:r>
    </w:p>
    <w:p w14:paraId="6F980322" w14:textId="1C2ECF39" w:rsidR="00C70DD8" w:rsidRDefault="005B7CF2" w:rsidP="004A01A4">
      <w:pPr>
        <w:spacing w:before="240"/>
        <w:rPr>
          <w:sz w:val="24"/>
          <w:szCs w:val="24"/>
        </w:rPr>
      </w:pPr>
      <w:r w:rsidRPr="00C53F44">
        <w:rPr>
          <w:sz w:val="24"/>
          <w:szCs w:val="24"/>
        </w:rPr>
        <w:t>Section</w:t>
      </w:r>
      <w:r w:rsidR="003E048A" w:rsidRPr="00C53F44">
        <w:rPr>
          <w:sz w:val="24"/>
          <w:szCs w:val="24"/>
        </w:rPr>
        <w:t xml:space="preserve"> </w:t>
      </w:r>
      <w:r w:rsidR="002663DB">
        <w:rPr>
          <w:sz w:val="24"/>
          <w:szCs w:val="24"/>
        </w:rPr>
        <w:t xml:space="preserve">13 </w:t>
      </w:r>
      <w:r w:rsidR="003E048A" w:rsidRPr="00C53F44">
        <w:rPr>
          <w:sz w:val="24"/>
          <w:szCs w:val="24"/>
        </w:rPr>
        <w:t xml:space="preserve">establishes the method for calculating increases for the various </w:t>
      </w:r>
      <w:r w:rsidR="003E6250">
        <w:rPr>
          <w:sz w:val="24"/>
          <w:szCs w:val="24"/>
        </w:rPr>
        <w:t xml:space="preserve">rates of </w:t>
      </w:r>
      <w:r w:rsidR="003E048A" w:rsidRPr="00C53F44">
        <w:rPr>
          <w:sz w:val="24"/>
          <w:szCs w:val="24"/>
        </w:rPr>
        <w:t xml:space="preserve">travel expenses payable under the </w:t>
      </w:r>
      <w:r w:rsidR="00681DE0">
        <w:rPr>
          <w:sz w:val="24"/>
          <w:szCs w:val="24"/>
        </w:rPr>
        <w:t>r</w:t>
      </w:r>
      <w:r w:rsidR="00DF589E" w:rsidRPr="00C53F44">
        <w:rPr>
          <w:sz w:val="24"/>
          <w:szCs w:val="24"/>
        </w:rPr>
        <w:t>ules</w:t>
      </w:r>
      <w:r w:rsidR="003E048A" w:rsidRPr="00C53F44">
        <w:rPr>
          <w:sz w:val="24"/>
          <w:szCs w:val="24"/>
        </w:rPr>
        <w:t xml:space="preserve"> using the ‘All Groups Consumer Price Index’.</w:t>
      </w:r>
      <w:r w:rsidR="00601285">
        <w:rPr>
          <w:sz w:val="24"/>
          <w:szCs w:val="24"/>
        </w:rPr>
        <w:t xml:space="preserve"> </w:t>
      </w:r>
    </w:p>
    <w:p w14:paraId="05BE1B72" w14:textId="68F2DF34" w:rsidR="003E048A" w:rsidRDefault="00C70DD8" w:rsidP="00C53F44">
      <w:pPr>
        <w:spacing w:before="240"/>
        <w:rPr>
          <w:sz w:val="24"/>
          <w:szCs w:val="24"/>
        </w:rPr>
      </w:pPr>
      <w:r w:rsidRPr="004A01A4">
        <w:rPr>
          <w:sz w:val="24"/>
          <w:szCs w:val="24"/>
        </w:rPr>
        <w:t>If for a relevant financial year, the latest CPI number is greater than the earlier</w:t>
      </w:r>
      <w:r>
        <w:rPr>
          <w:sz w:val="24"/>
          <w:szCs w:val="24"/>
        </w:rPr>
        <w:t xml:space="preserve"> </w:t>
      </w:r>
      <w:r w:rsidRPr="00244D5E">
        <w:rPr>
          <w:sz w:val="24"/>
          <w:szCs w:val="24"/>
        </w:rPr>
        <w:t>CPI number, a rate is taken to increase, on 1 July of the next financial year, in</w:t>
      </w:r>
      <w:r>
        <w:rPr>
          <w:sz w:val="24"/>
          <w:szCs w:val="24"/>
        </w:rPr>
        <w:t xml:space="preserve"> accordance with </w:t>
      </w:r>
      <w:r w:rsidR="00601285">
        <w:rPr>
          <w:sz w:val="24"/>
          <w:szCs w:val="24"/>
        </w:rPr>
        <w:t>the formula:</w:t>
      </w:r>
    </w:p>
    <w:p w14:paraId="54B24648" w14:textId="77777777" w:rsidR="00601285" w:rsidRPr="00244D5E" w:rsidRDefault="00601285" w:rsidP="00601285">
      <w:pPr>
        <w:autoSpaceDE w:val="0"/>
        <w:autoSpaceDN w:val="0"/>
        <w:adjustRightInd w:val="0"/>
        <w:jc w:val="center"/>
        <w:rPr>
          <w:sz w:val="24"/>
          <w:szCs w:val="24"/>
        </w:rPr>
      </w:pPr>
    </w:p>
    <w:p w14:paraId="563F2B78" w14:textId="77777777" w:rsidR="00601285" w:rsidRPr="00244D5E" w:rsidRDefault="00601285" w:rsidP="00601285">
      <w:pPr>
        <w:autoSpaceDE w:val="0"/>
        <w:autoSpaceDN w:val="0"/>
        <w:adjustRightInd w:val="0"/>
        <w:jc w:val="center"/>
        <w:rPr>
          <w:sz w:val="24"/>
          <w:szCs w:val="24"/>
        </w:rPr>
      </w:pPr>
      <w:r w:rsidRPr="00244D5E">
        <w:rPr>
          <w:noProof/>
          <w:sz w:val="24"/>
          <w:szCs w:val="24"/>
        </w:rPr>
        <w:drawing>
          <wp:inline distT="0" distB="0" distL="0" distR="0" wp14:anchorId="7B6893E9" wp14:editId="75FF5285">
            <wp:extent cx="2238375" cy="395605"/>
            <wp:effectExtent l="0" t="0" r="952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375" cy="395605"/>
                    </a:xfrm>
                    <a:prstGeom prst="rect">
                      <a:avLst/>
                    </a:prstGeom>
                    <a:noFill/>
                    <a:ln>
                      <a:noFill/>
                    </a:ln>
                  </pic:spPr>
                </pic:pic>
              </a:graphicData>
            </a:graphic>
          </wp:inline>
        </w:drawing>
      </w:r>
    </w:p>
    <w:p w14:paraId="5BA80E88" w14:textId="2A44C0A7" w:rsidR="00601285" w:rsidRDefault="00601285" w:rsidP="00747AA9">
      <w:pPr>
        <w:autoSpaceDE w:val="0"/>
        <w:autoSpaceDN w:val="0"/>
        <w:adjustRightInd w:val="0"/>
        <w:spacing w:before="240"/>
        <w:rPr>
          <w:sz w:val="24"/>
          <w:szCs w:val="24"/>
        </w:rPr>
      </w:pPr>
      <w:r>
        <w:rPr>
          <w:sz w:val="24"/>
          <w:szCs w:val="24"/>
        </w:rPr>
        <w:t>where:</w:t>
      </w:r>
    </w:p>
    <w:p w14:paraId="5E41230C" w14:textId="77777777" w:rsidR="00601285" w:rsidRPr="00244D5E" w:rsidRDefault="00601285" w:rsidP="00601285">
      <w:pPr>
        <w:autoSpaceDE w:val="0"/>
        <w:autoSpaceDN w:val="0"/>
        <w:adjustRightInd w:val="0"/>
        <w:spacing w:before="240"/>
        <w:ind w:firstLine="851"/>
        <w:rPr>
          <w:sz w:val="24"/>
          <w:szCs w:val="24"/>
        </w:rPr>
      </w:pPr>
      <w:r w:rsidRPr="003E6250">
        <w:rPr>
          <w:bCs/>
          <w:i/>
          <w:iCs/>
          <w:sz w:val="24"/>
          <w:szCs w:val="24"/>
        </w:rPr>
        <w:t>CPI number</w:t>
      </w:r>
      <w:r w:rsidRPr="00244D5E">
        <w:rPr>
          <w:b/>
          <w:bCs/>
          <w:i/>
          <w:iCs/>
          <w:sz w:val="24"/>
          <w:szCs w:val="24"/>
        </w:rPr>
        <w:t xml:space="preserve"> </w:t>
      </w:r>
      <w:r w:rsidRPr="00244D5E">
        <w:rPr>
          <w:sz w:val="24"/>
          <w:szCs w:val="24"/>
        </w:rPr>
        <w:t>means the All Groups Consumer Price Index number (that is, the</w:t>
      </w:r>
    </w:p>
    <w:p w14:paraId="03EA5B67" w14:textId="77777777" w:rsidR="00601285" w:rsidRPr="00244D5E" w:rsidRDefault="00601285" w:rsidP="00601285">
      <w:pPr>
        <w:autoSpaceDE w:val="0"/>
        <w:autoSpaceDN w:val="0"/>
        <w:adjustRightInd w:val="0"/>
        <w:ind w:firstLine="851"/>
        <w:rPr>
          <w:sz w:val="24"/>
          <w:szCs w:val="24"/>
        </w:rPr>
      </w:pPr>
      <w:r w:rsidRPr="00244D5E">
        <w:rPr>
          <w:sz w:val="24"/>
          <w:szCs w:val="24"/>
        </w:rPr>
        <w:t>weighted average of the 8 Australian capital cities) published by the Australian</w:t>
      </w:r>
    </w:p>
    <w:p w14:paraId="50C1424D" w14:textId="77777777" w:rsidR="00601285" w:rsidRPr="00244D5E" w:rsidRDefault="00601285" w:rsidP="00601285">
      <w:pPr>
        <w:autoSpaceDE w:val="0"/>
        <w:autoSpaceDN w:val="0"/>
        <w:adjustRightInd w:val="0"/>
        <w:ind w:firstLine="851"/>
        <w:rPr>
          <w:sz w:val="24"/>
          <w:szCs w:val="24"/>
        </w:rPr>
      </w:pPr>
      <w:r w:rsidRPr="00244D5E">
        <w:rPr>
          <w:sz w:val="24"/>
          <w:szCs w:val="24"/>
        </w:rPr>
        <w:t>Statistician.</w:t>
      </w:r>
    </w:p>
    <w:p w14:paraId="2119738B" w14:textId="77777777" w:rsidR="00601285" w:rsidRPr="00244D5E" w:rsidRDefault="00601285" w:rsidP="00601285">
      <w:pPr>
        <w:autoSpaceDE w:val="0"/>
        <w:autoSpaceDN w:val="0"/>
        <w:adjustRightInd w:val="0"/>
        <w:spacing w:before="240"/>
        <w:ind w:firstLine="851"/>
        <w:rPr>
          <w:sz w:val="24"/>
          <w:szCs w:val="24"/>
        </w:rPr>
      </w:pPr>
      <w:r w:rsidRPr="003E6250">
        <w:rPr>
          <w:bCs/>
          <w:i/>
          <w:iCs/>
          <w:sz w:val="24"/>
          <w:szCs w:val="24"/>
        </w:rPr>
        <w:t>earlier CPI number</w:t>
      </w:r>
      <w:r w:rsidRPr="00244D5E">
        <w:rPr>
          <w:sz w:val="24"/>
          <w:szCs w:val="24"/>
        </w:rPr>
        <w:t>, for a financial year, means the CPI number for the last</w:t>
      </w:r>
    </w:p>
    <w:p w14:paraId="687260BA" w14:textId="77777777" w:rsidR="00601285" w:rsidRPr="00244D5E" w:rsidRDefault="00601285" w:rsidP="00601285">
      <w:pPr>
        <w:autoSpaceDE w:val="0"/>
        <w:autoSpaceDN w:val="0"/>
        <w:adjustRightInd w:val="0"/>
        <w:ind w:firstLine="851"/>
        <w:rPr>
          <w:sz w:val="24"/>
          <w:szCs w:val="24"/>
        </w:rPr>
      </w:pPr>
      <w:r w:rsidRPr="00244D5E">
        <w:rPr>
          <w:sz w:val="24"/>
          <w:szCs w:val="24"/>
        </w:rPr>
        <w:t>March quarter before the beginning of the financial year.</w:t>
      </w:r>
    </w:p>
    <w:p w14:paraId="06F5B97C" w14:textId="77777777" w:rsidR="00601285" w:rsidRPr="00244D5E" w:rsidRDefault="00601285" w:rsidP="00601285">
      <w:pPr>
        <w:autoSpaceDE w:val="0"/>
        <w:autoSpaceDN w:val="0"/>
        <w:adjustRightInd w:val="0"/>
        <w:spacing w:before="240"/>
        <w:ind w:firstLine="851"/>
        <w:rPr>
          <w:sz w:val="24"/>
          <w:szCs w:val="24"/>
        </w:rPr>
      </w:pPr>
      <w:r w:rsidRPr="003E6250">
        <w:rPr>
          <w:bCs/>
          <w:i/>
          <w:iCs/>
          <w:sz w:val="24"/>
          <w:szCs w:val="24"/>
        </w:rPr>
        <w:t>latest CPI number</w:t>
      </w:r>
      <w:r w:rsidRPr="00244D5E">
        <w:rPr>
          <w:sz w:val="24"/>
          <w:szCs w:val="24"/>
        </w:rPr>
        <w:t>, for a financial year, means the CPI number for the last</w:t>
      </w:r>
    </w:p>
    <w:p w14:paraId="1BD96B78" w14:textId="77777777" w:rsidR="00601285" w:rsidRPr="00244D5E" w:rsidRDefault="00601285" w:rsidP="00601285">
      <w:pPr>
        <w:autoSpaceDE w:val="0"/>
        <w:autoSpaceDN w:val="0"/>
        <w:adjustRightInd w:val="0"/>
        <w:ind w:firstLine="851"/>
        <w:rPr>
          <w:sz w:val="24"/>
          <w:szCs w:val="24"/>
        </w:rPr>
      </w:pPr>
      <w:r w:rsidRPr="00244D5E">
        <w:rPr>
          <w:sz w:val="24"/>
          <w:szCs w:val="24"/>
        </w:rPr>
        <w:t>March quarter before the end of the financial year.</w:t>
      </w:r>
    </w:p>
    <w:p w14:paraId="7EFC8E84" w14:textId="77777777" w:rsidR="00601285" w:rsidRPr="00244D5E" w:rsidRDefault="00601285" w:rsidP="00601285">
      <w:pPr>
        <w:autoSpaceDE w:val="0"/>
        <w:autoSpaceDN w:val="0"/>
        <w:adjustRightInd w:val="0"/>
        <w:spacing w:before="240"/>
        <w:ind w:firstLine="851"/>
        <w:rPr>
          <w:sz w:val="24"/>
          <w:szCs w:val="24"/>
        </w:rPr>
      </w:pPr>
      <w:r w:rsidRPr="003E6250">
        <w:rPr>
          <w:bCs/>
          <w:i/>
          <w:iCs/>
          <w:sz w:val="24"/>
          <w:szCs w:val="24"/>
        </w:rPr>
        <w:t>rate</w:t>
      </w:r>
      <w:r w:rsidRPr="00244D5E">
        <w:rPr>
          <w:b/>
          <w:bCs/>
          <w:i/>
          <w:iCs/>
          <w:sz w:val="24"/>
          <w:szCs w:val="24"/>
        </w:rPr>
        <w:t xml:space="preserve"> </w:t>
      </w:r>
      <w:r w:rsidRPr="00244D5E">
        <w:rPr>
          <w:sz w:val="24"/>
          <w:szCs w:val="24"/>
        </w:rPr>
        <w:t>means a rate prescribed by section</w:t>
      </w:r>
      <w:r>
        <w:rPr>
          <w:sz w:val="24"/>
          <w:szCs w:val="24"/>
        </w:rPr>
        <w:t> 8</w:t>
      </w:r>
      <w:r w:rsidRPr="00244D5E">
        <w:rPr>
          <w:sz w:val="24"/>
          <w:szCs w:val="24"/>
        </w:rPr>
        <w:t xml:space="preserve"> or subsection</w:t>
      </w:r>
      <w:r>
        <w:rPr>
          <w:sz w:val="24"/>
          <w:szCs w:val="24"/>
        </w:rPr>
        <w:t> 9</w:t>
      </w:r>
      <w:r w:rsidRPr="00244D5E">
        <w:rPr>
          <w:sz w:val="24"/>
          <w:szCs w:val="24"/>
        </w:rPr>
        <w:t>(1), (2) or (3).</w:t>
      </w:r>
    </w:p>
    <w:p w14:paraId="39F45970" w14:textId="77777777" w:rsidR="00601285" w:rsidRPr="00244D5E" w:rsidRDefault="00601285" w:rsidP="00601285">
      <w:pPr>
        <w:autoSpaceDE w:val="0"/>
        <w:autoSpaceDN w:val="0"/>
        <w:adjustRightInd w:val="0"/>
        <w:spacing w:before="240"/>
        <w:ind w:left="851"/>
        <w:rPr>
          <w:sz w:val="24"/>
          <w:szCs w:val="24"/>
        </w:rPr>
      </w:pPr>
      <w:r w:rsidRPr="003E6250">
        <w:rPr>
          <w:bCs/>
          <w:i/>
          <w:iCs/>
          <w:sz w:val="24"/>
          <w:szCs w:val="24"/>
        </w:rPr>
        <w:t>relevant financial year</w:t>
      </w:r>
      <w:r w:rsidRPr="00244D5E">
        <w:rPr>
          <w:b/>
          <w:bCs/>
          <w:i/>
          <w:iCs/>
          <w:sz w:val="24"/>
          <w:szCs w:val="24"/>
        </w:rPr>
        <w:t xml:space="preserve"> </w:t>
      </w:r>
      <w:r w:rsidRPr="00244D5E">
        <w:rPr>
          <w:sz w:val="24"/>
          <w:szCs w:val="24"/>
        </w:rPr>
        <w:t>means a financial year beginning on or after 1 July 2019.</w:t>
      </w:r>
    </w:p>
    <w:p w14:paraId="6E17DE59" w14:textId="77777777" w:rsidR="00601285" w:rsidRPr="00244D5E" w:rsidRDefault="00601285" w:rsidP="00601285">
      <w:pPr>
        <w:autoSpaceDE w:val="0"/>
        <w:autoSpaceDN w:val="0"/>
        <w:adjustRightInd w:val="0"/>
        <w:spacing w:before="240"/>
        <w:ind w:firstLine="851"/>
        <w:rPr>
          <w:sz w:val="24"/>
          <w:szCs w:val="24"/>
        </w:rPr>
      </w:pPr>
      <w:r w:rsidRPr="003E6250">
        <w:rPr>
          <w:bCs/>
          <w:i/>
          <w:iCs/>
          <w:sz w:val="24"/>
          <w:szCs w:val="24"/>
        </w:rPr>
        <w:t>relevant rate</w:t>
      </w:r>
      <w:r w:rsidRPr="00244D5E">
        <w:rPr>
          <w:sz w:val="24"/>
          <w:szCs w:val="24"/>
        </w:rPr>
        <w:t>, for a financial year, means the rate applying in the financial year.</w:t>
      </w:r>
    </w:p>
    <w:p w14:paraId="2605C2D1" w14:textId="0D92A639" w:rsidR="003D5936" w:rsidRDefault="003D5936" w:rsidP="00747AA9">
      <w:pPr>
        <w:autoSpaceDE w:val="0"/>
        <w:autoSpaceDN w:val="0"/>
        <w:adjustRightInd w:val="0"/>
        <w:spacing w:before="240"/>
        <w:rPr>
          <w:sz w:val="24"/>
          <w:szCs w:val="24"/>
        </w:rPr>
      </w:pPr>
      <w:r>
        <w:rPr>
          <w:sz w:val="24"/>
          <w:szCs w:val="24"/>
        </w:rPr>
        <w:t xml:space="preserve">The earliest </w:t>
      </w:r>
      <w:r w:rsidR="003E6250">
        <w:rPr>
          <w:sz w:val="24"/>
          <w:szCs w:val="24"/>
        </w:rPr>
        <w:t>a rate increase</w:t>
      </w:r>
      <w:r>
        <w:rPr>
          <w:sz w:val="24"/>
          <w:szCs w:val="24"/>
        </w:rPr>
        <w:t xml:space="preserve"> could take place </w:t>
      </w:r>
      <w:r w:rsidR="003E6250">
        <w:rPr>
          <w:sz w:val="24"/>
          <w:szCs w:val="24"/>
        </w:rPr>
        <w:t>is</w:t>
      </w:r>
      <w:r>
        <w:rPr>
          <w:sz w:val="24"/>
          <w:szCs w:val="24"/>
        </w:rPr>
        <w:t xml:space="preserve"> 1 July 2020.</w:t>
      </w:r>
    </w:p>
    <w:p w14:paraId="3382A0A4" w14:textId="77777777" w:rsidR="00536304" w:rsidRDefault="00536304" w:rsidP="004A01A4">
      <w:pPr>
        <w:spacing w:before="240"/>
        <w:rPr>
          <w:sz w:val="24"/>
          <w:szCs w:val="24"/>
        </w:rPr>
      </w:pPr>
      <w:r w:rsidRPr="004A01A4">
        <w:rPr>
          <w:sz w:val="24"/>
          <w:szCs w:val="24"/>
        </w:rPr>
        <w:t xml:space="preserve">The section </w:t>
      </w:r>
      <w:r w:rsidR="00C70DD8" w:rsidRPr="004A01A4">
        <w:rPr>
          <w:sz w:val="24"/>
          <w:szCs w:val="24"/>
        </w:rPr>
        <w:t xml:space="preserve">contains provisions for rounding </w:t>
      </w:r>
      <w:r w:rsidRPr="004A01A4">
        <w:rPr>
          <w:sz w:val="24"/>
          <w:szCs w:val="24"/>
        </w:rPr>
        <w:t xml:space="preserve">up amounts calculated using the formula. </w:t>
      </w:r>
    </w:p>
    <w:p w14:paraId="59006A4B" w14:textId="4A51A120" w:rsidR="00536304" w:rsidRPr="004A01A4" w:rsidRDefault="00536304" w:rsidP="004A01A4">
      <w:pPr>
        <w:spacing w:before="240"/>
        <w:rPr>
          <w:sz w:val="24"/>
          <w:szCs w:val="24"/>
        </w:rPr>
      </w:pPr>
      <w:r w:rsidRPr="004A01A4">
        <w:rPr>
          <w:sz w:val="24"/>
          <w:szCs w:val="24"/>
        </w:rPr>
        <w:t>The section provides that if the Australian Statistician publishes for a particular March quarter a CPI number in substitution for a CPI number previously published by the Australian Statistician for the quarter, the publication of the later CPI number is to be disregarded for th</w:t>
      </w:r>
      <w:r w:rsidR="003E6250">
        <w:rPr>
          <w:sz w:val="24"/>
          <w:szCs w:val="24"/>
        </w:rPr>
        <w:t>e</w:t>
      </w:r>
      <w:r w:rsidRPr="004A01A4">
        <w:rPr>
          <w:sz w:val="24"/>
          <w:szCs w:val="24"/>
        </w:rPr>
        <w:t xml:space="preserve"> section. In addition, the section provides that if the Australian Statistician changes the reference base for the Consumer Price Index, then, in applying th</w:t>
      </w:r>
      <w:r w:rsidR="003E6250">
        <w:rPr>
          <w:sz w:val="24"/>
          <w:szCs w:val="24"/>
        </w:rPr>
        <w:t>e</w:t>
      </w:r>
      <w:r w:rsidRPr="004A01A4">
        <w:rPr>
          <w:sz w:val="24"/>
          <w:szCs w:val="24"/>
        </w:rPr>
        <w:t xml:space="preserve"> section after the change is made, regard is to be had only to numbers published in terms of the new reference base.</w:t>
      </w:r>
    </w:p>
    <w:p w14:paraId="6056C843" w14:textId="0C246AA4" w:rsidR="003B794E" w:rsidRPr="005B7CF2" w:rsidRDefault="003B794E" w:rsidP="004A01A4">
      <w:pPr>
        <w:spacing w:before="240"/>
      </w:pPr>
    </w:p>
    <w:sectPr w:rsidR="003B794E" w:rsidRPr="005B7CF2" w:rsidSect="00F117DD">
      <w:headerReference w:type="even" r:id="rId9"/>
      <w:headerReference w:type="default" r:id="rId10"/>
      <w:footerReference w:type="default" r:id="rId11"/>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EFB57" w14:textId="77777777" w:rsidR="00DB200D" w:rsidRDefault="00DB200D">
      <w:r>
        <w:separator/>
      </w:r>
    </w:p>
  </w:endnote>
  <w:endnote w:type="continuationSeparator" w:id="0">
    <w:p w14:paraId="6C68D399" w14:textId="77777777" w:rsidR="00DB200D" w:rsidRDefault="00DB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W1)">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5B43" w14:textId="77777777" w:rsidR="00F117DD" w:rsidRDefault="00F117DD">
    <w:pPr>
      <w:pStyle w:val="Footer"/>
      <w:jc w:val="right"/>
    </w:pPr>
    <w:r>
      <w:fldChar w:fldCharType="begin"/>
    </w:r>
    <w:r>
      <w:instrText xml:space="preserve"> PAGE   \* MERGEFORMAT </w:instrText>
    </w:r>
    <w:r>
      <w:fldChar w:fldCharType="separate"/>
    </w:r>
    <w:r w:rsidR="00F71151">
      <w:rPr>
        <w:noProof/>
      </w:rPr>
      <w:t>3</w:t>
    </w:r>
    <w:r>
      <w:rPr>
        <w:noProof/>
      </w:rPr>
      <w:fldChar w:fldCharType="end"/>
    </w:r>
  </w:p>
  <w:p w14:paraId="4B80E039" w14:textId="77777777" w:rsidR="00F117DD" w:rsidRDefault="00F11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81C61" w14:textId="77777777" w:rsidR="00DB200D" w:rsidRDefault="00DB200D">
      <w:r>
        <w:separator/>
      </w:r>
    </w:p>
  </w:footnote>
  <w:footnote w:type="continuationSeparator" w:id="0">
    <w:p w14:paraId="130A8E24" w14:textId="77777777" w:rsidR="00DB200D" w:rsidRDefault="00DB2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1622" w14:textId="77777777" w:rsidR="0086040A" w:rsidRDefault="008604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7EEBC5" w14:textId="77777777" w:rsidR="0086040A" w:rsidRDefault="0086040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7E8CC" w14:textId="77777777" w:rsidR="0086040A" w:rsidRDefault="0086040A">
    <w:pPr>
      <w:pStyle w:val="Header"/>
      <w:framePr w:wrap="around" w:vAnchor="text" w:hAnchor="margin" w:xAlign="right" w:y="1"/>
      <w:rPr>
        <w:rStyle w:val="PageNumber"/>
      </w:rPr>
    </w:pPr>
  </w:p>
  <w:p w14:paraId="781AB898" w14:textId="77777777" w:rsidR="0086040A" w:rsidRDefault="0086040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2658"/>
    <w:multiLevelType w:val="hybridMultilevel"/>
    <w:tmpl w:val="4664D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49063E"/>
    <w:multiLevelType w:val="hybridMultilevel"/>
    <w:tmpl w:val="9A401C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1960C63"/>
    <w:multiLevelType w:val="hybridMultilevel"/>
    <w:tmpl w:val="22BE5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F00DA4"/>
    <w:multiLevelType w:val="hybridMultilevel"/>
    <w:tmpl w:val="1302A69A"/>
    <w:lvl w:ilvl="0" w:tplc="0C090001">
      <w:start w:val="1"/>
      <w:numFmt w:val="bullet"/>
      <w:lvlText w:val=""/>
      <w:lvlJc w:val="left"/>
      <w:pPr>
        <w:tabs>
          <w:tab w:val="num" w:pos="2421"/>
        </w:tabs>
        <w:ind w:left="2421" w:hanging="360"/>
      </w:pPr>
      <w:rPr>
        <w:rFonts w:ascii="Symbol" w:hAnsi="Symbol" w:hint="default"/>
      </w:rPr>
    </w:lvl>
    <w:lvl w:ilvl="1" w:tplc="0C090003" w:tentative="1">
      <w:start w:val="1"/>
      <w:numFmt w:val="bullet"/>
      <w:lvlText w:val="o"/>
      <w:lvlJc w:val="left"/>
      <w:pPr>
        <w:tabs>
          <w:tab w:val="num" w:pos="3141"/>
        </w:tabs>
        <w:ind w:left="3141" w:hanging="360"/>
      </w:pPr>
      <w:rPr>
        <w:rFonts w:ascii="Courier New" w:hAnsi="Courier New" w:cs="Courier New" w:hint="default"/>
      </w:rPr>
    </w:lvl>
    <w:lvl w:ilvl="2" w:tplc="0C090005" w:tentative="1">
      <w:start w:val="1"/>
      <w:numFmt w:val="bullet"/>
      <w:lvlText w:val=""/>
      <w:lvlJc w:val="left"/>
      <w:pPr>
        <w:tabs>
          <w:tab w:val="num" w:pos="3861"/>
        </w:tabs>
        <w:ind w:left="3861" w:hanging="360"/>
      </w:pPr>
      <w:rPr>
        <w:rFonts w:ascii="Wingdings" w:hAnsi="Wingdings" w:hint="default"/>
      </w:rPr>
    </w:lvl>
    <w:lvl w:ilvl="3" w:tplc="0C090001" w:tentative="1">
      <w:start w:val="1"/>
      <w:numFmt w:val="bullet"/>
      <w:lvlText w:val=""/>
      <w:lvlJc w:val="left"/>
      <w:pPr>
        <w:tabs>
          <w:tab w:val="num" w:pos="4581"/>
        </w:tabs>
        <w:ind w:left="4581" w:hanging="360"/>
      </w:pPr>
      <w:rPr>
        <w:rFonts w:ascii="Symbol" w:hAnsi="Symbol" w:hint="default"/>
      </w:rPr>
    </w:lvl>
    <w:lvl w:ilvl="4" w:tplc="0C090003" w:tentative="1">
      <w:start w:val="1"/>
      <w:numFmt w:val="bullet"/>
      <w:lvlText w:val="o"/>
      <w:lvlJc w:val="left"/>
      <w:pPr>
        <w:tabs>
          <w:tab w:val="num" w:pos="5301"/>
        </w:tabs>
        <w:ind w:left="5301" w:hanging="360"/>
      </w:pPr>
      <w:rPr>
        <w:rFonts w:ascii="Courier New" w:hAnsi="Courier New" w:cs="Courier New" w:hint="default"/>
      </w:rPr>
    </w:lvl>
    <w:lvl w:ilvl="5" w:tplc="0C090005" w:tentative="1">
      <w:start w:val="1"/>
      <w:numFmt w:val="bullet"/>
      <w:lvlText w:val=""/>
      <w:lvlJc w:val="left"/>
      <w:pPr>
        <w:tabs>
          <w:tab w:val="num" w:pos="6021"/>
        </w:tabs>
        <w:ind w:left="6021" w:hanging="360"/>
      </w:pPr>
      <w:rPr>
        <w:rFonts w:ascii="Wingdings" w:hAnsi="Wingdings" w:hint="default"/>
      </w:rPr>
    </w:lvl>
    <w:lvl w:ilvl="6" w:tplc="0C090001" w:tentative="1">
      <w:start w:val="1"/>
      <w:numFmt w:val="bullet"/>
      <w:lvlText w:val=""/>
      <w:lvlJc w:val="left"/>
      <w:pPr>
        <w:tabs>
          <w:tab w:val="num" w:pos="6741"/>
        </w:tabs>
        <w:ind w:left="6741" w:hanging="360"/>
      </w:pPr>
      <w:rPr>
        <w:rFonts w:ascii="Symbol" w:hAnsi="Symbol" w:hint="default"/>
      </w:rPr>
    </w:lvl>
    <w:lvl w:ilvl="7" w:tplc="0C090003" w:tentative="1">
      <w:start w:val="1"/>
      <w:numFmt w:val="bullet"/>
      <w:lvlText w:val="o"/>
      <w:lvlJc w:val="left"/>
      <w:pPr>
        <w:tabs>
          <w:tab w:val="num" w:pos="7461"/>
        </w:tabs>
        <w:ind w:left="7461" w:hanging="360"/>
      </w:pPr>
      <w:rPr>
        <w:rFonts w:ascii="Courier New" w:hAnsi="Courier New" w:cs="Courier New" w:hint="default"/>
      </w:rPr>
    </w:lvl>
    <w:lvl w:ilvl="8" w:tplc="0C090005" w:tentative="1">
      <w:start w:val="1"/>
      <w:numFmt w:val="bullet"/>
      <w:lvlText w:val=""/>
      <w:lvlJc w:val="left"/>
      <w:pPr>
        <w:tabs>
          <w:tab w:val="num" w:pos="8181"/>
        </w:tabs>
        <w:ind w:left="8181" w:hanging="360"/>
      </w:pPr>
      <w:rPr>
        <w:rFonts w:ascii="Wingdings" w:hAnsi="Wingdings" w:hint="default"/>
      </w:rPr>
    </w:lvl>
  </w:abstractNum>
  <w:abstractNum w:abstractNumId="4" w15:restartNumberingAfterBreak="0">
    <w:nsid w:val="046120F4"/>
    <w:multiLevelType w:val="hybridMultilevel"/>
    <w:tmpl w:val="638672EE"/>
    <w:lvl w:ilvl="0" w:tplc="C1AA23BC">
      <w:start w:val="1"/>
      <w:numFmt w:val="lowerLetter"/>
      <w:lvlText w:val="(%1)"/>
      <w:lvlJc w:val="left"/>
      <w:pPr>
        <w:ind w:left="1440" w:hanging="360"/>
      </w:pPr>
      <w:rPr>
        <w:rFonts w:hint="default"/>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488119E"/>
    <w:multiLevelType w:val="hybridMultilevel"/>
    <w:tmpl w:val="427E6AFE"/>
    <w:lvl w:ilvl="0" w:tplc="7B9A503A">
      <w:start w:val="8"/>
      <w:numFmt w:val="decimal"/>
      <w:lvlText w:val="%1"/>
      <w:lvlJc w:val="left"/>
      <w:pPr>
        <w:ind w:left="5038" w:hanging="360"/>
      </w:pPr>
      <w:rPr>
        <w:rFonts w:hint="default"/>
      </w:rPr>
    </w:lvl>
    <w:lvl w:ilvl="1" w:tplc="0C090019" w:tentative="1">
      <w:start w:val="1"/>
      <w:numFmt w:val="lowerLetter"/>
      <w:lvlText w:val="%2."/>
      <w:lvlJc w:val="left"/>
      <w:pPr>
        <w:ind w:left="5758" w:hanging="360"/>
      </w:pPr>
    </w:lvl>
    <w:lvl w:ilvl="2" w:tplc="0C09001B" w:tentative="1">
      <w:start w:val="1"/>
      <w:numFmt w:val="lowerRoman"/>
      <w:lvlText w:val="%3."/>
      <w:lvlJc w:val="right"/>
      <w:pPr>
        <w:ind w:left="6478" w:hanging="180"/>
      </w:pPr>
    </w:lvl>
    <w:lvl w:ilvl="3" w:tplc="0C09000F" w:tentative="1">
      <w:start w:val="1"/>
      <w:numFmt w:val="decimal"/>
      <w:lvlText w:val="%4."/>
      <w:lvlJc w:val="left"/>
      <w:pPr>
        <w:ind w:left="7198" w:hanging="360"/>
      </w:pPr>
    </w:lvl>
    <w:lvl w:ilvl="4" w:tplc="0C090019" w:tentative="1">
      <w:start w:val="1"/>
      <w:numFmt w:val="lowerLetter"/>
      <w:lvlText w:val="%5."/>
      <w:lvlJc w:val="left"/>
      <w:pPr>
        <w:ind w:left="7918" w:hanging="360"/>
      </w:pPr>
    </w:lvl>
    <w:lvl w:ilvl="5" w:tplc="0C09001B" w:tentative="1">
      <w:start w:val="1"/>
      <w:numFmt w:val="lowerRoman"/>
      <w:lvlText w:val="%6."/>
      <w:lvlJc w:val="right"/>
      <w:pPr>
        <w:ind w:left="8638" w:hanging="180"/>
      </w:pPr>
    </w:lvl>
    <w:lvl w:ilvl="6" w:tplc="0C09000F" w:tentative="1">
      <w:start w:val="1"/>
      <w:numFmt w:val="decimal"/>
      <w:lvlText w:val="%7."/>
      <w:lvlJc w:val="left"/>
      <w:pPr>
        <w:ind w:left="9358" w:hanging="360"/>
      </w:pPr>
    </w:lvl>
    <w:lvl w:ilvl="7" w:tplc="0C090019" w:tentative="1">
      <w:start w:val="1"/>
      <w:numFmt w:val="lowerLetter"/>
      <w:lvlText w:val="%8."/>
      <w:lvlJc w:val="left"/>
      <w:pPr>
        <w:ind w:left="10078" w:hanging="360"/>
      </w:pPr>
    </w:lvl>
    <w:lvl w:ilvl="8" w:tplc="0C09001B" w:tentative="1">
      <w:start w:val="1"/>
      <w:numFmt w:val="lowerRoman"/>
      <w:lvlText w:val="%9."/>
      <w:lvlJc w:val="right"/>
      <w:pPr>
        <w:ind w:left="10798" w:hanging="180"/>
      </w:pPr>
    </w:lvl>
  </w:abstractNum>
  <w:abstractNum w:abstractNumId="6" w15:restartNumberingAfterBreak="0">
    <w:nsid w:val="0B805454"/>
    <w:multiLevelType w:val="hybridMultilevel"/>
    <w:tmpl w:val="73307156"/>
    <w:lvl w:ilvl="0" w:tplc="7EF281F8">
      <w:start w:val="1"/>
      <w:numFmt w:val="lowerLetter"/>
      <w:lvlText w:val="(%1)"/>
      <w:lvlJc w:val="left"/>
      <w:pPr>
        <w:ind w:left="1080" w:hanging="360"/>
      </w:pPr>
      <w:rPr>
        <w:rFonts w:cs="Times New Roman" w:hint="default"/>
        <w:sz w:val="24"/>
        <w:szCs w:val="24"/>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7" w15:restartNumberingAfterBreak="0">
    <w:nsid w:val="0F1E317D"/>
    <w:multiLevelType w:val="hybridMultilevel"/>
    <w:tmpl w:val="D438F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FB7937"/>
    <w:multiLevelType w:val="hybridMultilevel"/>
    <w:tmpl w:val="00FAD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E332C2"/>
    <w:multiLevelType w:val="hybridMultilevel"/>
    <w:tmpl w:val="0DCCA6A4"/>
    <w:lvl w:ilvl="0" w:tplc="D722C4D8">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144D05F8"/>
    <w:multiLevelType w:val="hybridMultilevel"/>
    <w:tmpl w:val="A6F6AEB0"/>
    <w:lvl w:ilvl="0" w:tplc="0C090001">
      <w:start w:val="1"/>
      <w:numFmt w:val="bullet"/>
      <w:lvlText w:val=""/>
      <w:lvlJc w:val="left"/>
      <w:pPr>
        <w:tabs>
          <w:tab w:val="num" w:pos="2421"/>
        </w:tabs>
        <w:ind w:left="2421" w:hanging="360"/>
      </w:pPr>
      <w:rPr>
        <w:rFonts w:ascii="Symbol" w:hAnsi="Symbol" w:hint="default"/>
      </w:rPr>
    </w:lvl>
    <w:lvl w:ilvl="1" w:tplc="0C090003" w:tentative="1">
      <w:start w:val="1"/>
      <w:numFmt w:val="bullet"/>
      <w:lvlText w:val="o"/>
      <w:lvlJc w:val="left"/>
      <w:pPr>
        <w:tabs>
          <w:tab w:val="num" w:pos="3141"/>
        </w:tabs>
        <w:ind w:left="3141" w:hanging="360"/>
      </w:pPr>
      <w:rPr>
        <w:rFonts w:ascii="Courier New" w:hAnsi="Courier New" w:cs="Courier New" w:hint="default"/>
      </w:rPr>
    </w:lvl>
    <w:lvl w:ilvl="2" w:tplc="0C090005" w:tentative="1">
      <w:start w:val="1"/>
      <w:numFmt w:val="bullet"/>
      <w:lvlText w:val=""/>
      <w:lvlJc w:val="left"/>
      <w:pPr>
        <w:tabs>
          <w:tab w:val="num" w:pos="3861"/>
        </w:tabs>
        <w:ind w:left="3861" w:hanging="360"/>
      </w:pPr>
      <w:rPr>
        <w:rFonts w:ascii="Wingdings" w:hAnsi="Wingdings" w:hint="default"/>
      </w:rPr>
    </w:lvl>
    <w:lvl w:ilvl="3" w:tplc="0C090001" w:tentative="1">
      <w:start w:val="1"/>
      <w:numFmt w:val="bullet"/>
      <w:lvlText w:val=""/>
      <w:lvlJc w:val="left"/>
      <w:pPr>
        <w:tabs>
          <w:tab w:val="num" w:pos="4581"/>
        </w:tabs>
        <w:ind w:left="4581" w:hanging="360"/>
      </w:pPr>
      <w:rPr>
        <w:rFonts w:ascii="Symbol" w:hAnsi="Symbol" w:hint="default"/>
      </w:rPr>
    </w:lvl>
    <w:lvl w:ilvl="4" w:tplc="0C090003" w:tentative="1">
      <w:start w:val="1"/>
      <w:numFmt w:val="bullet"/>
      <w:lvlText w:val="o"/>
      <w:lvlJc w:val="left"/>
      <w:pPr>
        <w:tabs>
          <w:tab w:val="num" w:pos="5301"/>
        </w:tabs>
        <w:ind w:left="5301" w:hanging="360"/>
      </w:pPr>
      <w:rPr>
        <w:rFonts w:ascii="Courier New" w:hAnsi="Courier New" w:cs="Courier New" w:hint="default"/>
      </w:rPr>
    </w:lvl>
    <w:lvl w:ilvl="5" w:tplc="0C090005" w:tentative="1">
      <w:start w:val="1"/>
      <w:numFmt w:val="bullet"/>
      <w:lvlText w:val=""/>
      <w:lvlJc w:val="left"/>
      <w:pPr>
        <w:tabs>
          <w:tab w:val="num" w:pos="6021"/>
        </w:tabs>
        <w:ind w:left="6021" w:hanging="360"/>
      </w:pPr>
      <w:rPr>
        <w:rFonts w:ascii="Wingdings" w:hAnsi="Wingdings" w:hint="default"/>
      </w:rPr>
    </w:lvl>
    <w:lvl w:ilvl="6" w:tplc="0C090001" w:tentative="1">
      <w:start w:val="1"/>
      <w:numFmt w:val="bullet"/>
      <w:lvlText w:val=""/>
      <w:lvlJc w:val="left"/>
      <w:pPr>
        <w:tabs>
          <w:tab w:val="num" w:pos="6741"/>
        </w:tabs>
        <w:ind w:left="6741" w:hanging="360"/>
      </w:pPr>
      <w:rPr>
        <w:rFonts w:ascii="Symbol" w:hAnsi="Symbol" w:hint="default"/>
      </w:rPr>
    </w:lvl>
    <w:lvl w:ilvl="7" w:tplc="0C090003" w:tentative="1">
      <w:start w:val="1"/>
      <w:numFmt w:val="bullet"/>
      <w:lvlText w:val="o"/>
      <w:lvlJc w:val="left"/>
      <w:pPr>
        <w:tabs>
          <w:tab w:val="num" w:pos="7461"/>
        </w:tabs>
        <w:ind w:left="7461" w:hanging="360"/>
      </w:pPr>
      <w:rPr>
        <w:rFonts w:ascii="Courier New" w:hAnsi="Courier New" w:cs="Courier New" w:hint="default"/>
      </w:rPr>
    </w:lvl>
    <w:lvl w:ilvl="8" w:tplc="0C090005" w:tentative="1">
      <w:start w:val="1"/>
      <w:numFmt w:val="bullet"/>
      <w:lvlText w:val=""/>
      <w:lvlJc w:val="left"/>
      <w:pPr>
        <w:tabs>
          <w:tab w:val="num" w:pos="8181"/>
        </w:tabs>
        <w:ind w:left="8181" w:hanging="360"/>
      </w:pPr>
      <w:rPr>
        <w:rFonts w:ascii="Wingdings" w:hAnsi="Wingdings" w:hint="default"/>
      </w:rPr>
    </w:lvl>
  </w:abstractNum>
  <w:abstractNum w:abstractNumId="11" w15:restartNumberingAfterBreak="0">
    <w:nsid w:val="21CF4186"/>
    <w:multiLevelType w:val="hybridMultilevel"/>
    <w:tmpl w:val="C0169410"/>
    <w:lvl w:ilvl="0" w:tplc="C1AA23BC">
      <w:start w:val="1"/>
      <w:numFmt w:val="low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71452BC"/>
    <w:multiLevelType w:val="hybridMultilevel"/>
    <w:tmpl w:val="329A8A6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2953116E"/>
    <w:multiLevelType w:val="hybridMultilevel"/>
    <w:tmpl w:val="FC8E9D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9038F0"/>
    <w:multiLevelType w:val="hybridMultilevel"/>
    <w:tmpl w:val="CF046DF4"/>
    <w:lvl w:ilvl="0" w:tplc="7B24A8F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3AD2555"/>
    <w:multiLevelType w:val="hybridMultilevel"/>
    <w:tmpl w:val="4F387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332ACA"/>
    <w:multiLevelType w:val="hybridMultilevel"/>
    <w:tmpl w:val="EF96F93A"/>
    <w:lvl w:ilvl="0" w:tplc="C1AA23BC">
      <w:start w:val="1"/>
      <w:numFmt w:val="low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E3B15A9"/>
    <w:multiLevelType w:val="hybridMultilevel"/>
    <w:tmpl w:val="6EA41E6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61002"/>
    <w:multiLevelType w:val="hybridMultilevel"/>
    <w:tmpl w:val="F2FC6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D47E1"/>
    <w:multiLevelType w:val="hybridMultilevel"/>
    <w:tmpl w:val="A9DAC46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D1C034D"/>
    <w:multiLevelType w:val="hybridMultilevel"/>
    <w:tmpl w:val="5498D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233E90"/>
    <w:multiLevelType w:val="hybridMultilevel"/>
    <w:tmpl w:val="A47CCE66"/>
    <w:lvl w:ilvl="0" w:tplc="0040FE3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F7168FD"/>
    <w:multiLevelType w:val="hybridMultilevel"/>
    <w:tmpl w:val="EF5A0CB6"/>
    <w:lvl w:ilvl="0" w:tplc="0C090001">
      <w:start w:val="1"/>
      <w:numFmt w:val="bullet"/>
      <w:lvlText w:val=""/>
      <w:lvlJc w:val="left"/>
      <w:pPr>
        <w:tabs>
          <w:tab w:val="num" w:pos="2421"/>
        </w:tabs>
        <w:ind w:left="2421" w:hanging="360"/>
      </w:pPr>
      <w:rPr>
        <w:rFonts w:ascii="Symbol" w:hAnsi="Symbol" w:hint="default"/>
      </w:rPr>
    </w:lvl>
    <w:lvl w:ilvl="1" w:tplc="0C090003" w:tentative="1">
      <w:start w:val="1"/>
      <w:numFmt w:val="bullet"/>
      <w:lvlText w:val="o"/>
      <w:lvlJc w:val="left"/>
      <w:pPr>
        <w:tabs>
          <w:tab w:val="num" w:pos="3141"/>
        </w:tabs>
        <w:ind w:left="3141" w:hanging="360"/>
      </w:pPr>
      <w:rPr>
        <w:rFonts w:ascii="Courier New" w:hAnsi="Courier New" w:cs="Courier New" w:hint="default"/>
      </w:rPr>
    </w:lvl>
    <w:lvl w:ilvl="2" w:tplc="0C090005" w:tentative="1">
      <w:start w:val="1"/>
      <w:numFmt w:val="bullet"/>
      <w:lvlText w:val=""/>
      <w:lvlJc w:val="left"/>
      <w:pPr>
        <w:tabs>
          <w:tab w:val="num" w:pos="3861"/>
        </w:tabs>
        <w:ind w:left="3861" w:hanging="360"/>
      </w:pPr>
      <w:rPr>
        <w:rFonts w:ascii="Wingdings" w:hAnsi="Wingdings" w:hint="default"/>
      </w:rPr>
    </w:lvl>
    <w:lvl w:ilvl="3" w:tplc="0C090001" w:tentative="1">
      <w:start w:val="1"/>
      <w:numFmt w:val="bullet"/>
      <w:lvlText w:val=""/>
      <w:lvlJc w:val="left"/>
      <w:pPr>
        <w:tabs>
          <w:tab w:val="num" w:pos="4581"/>
        </w:tabs>
        <w:ind w:left="4581" w:hanging="360"/>
      </w:pPr>
      <w:rPr>
        <w:rFonts w:ascii="Symbol" w:hAnsi="Symbol" w:hint="default"/>
      </w:rPr>
    </w:lvl>
    <w:lvl w:ilvl="4" w:tplc="0C090003" w:tentative="1">
      <w:start w:val="1"/>
      <w:numFmt w:val="bullet"/>
      <w:lvlText w:val="o"/>
      <w:lvlJc w:val="left"/>
      <w:pPr>
        <w:tabs>
          <w:tab w:val="num" w:pos="5301"/>
        </w:tabs>
        <w:ind w:left="5301" w:hanging="360"/>
      </w:pPr>
      <w:rPr>
        <w:rFonts w:ascii="Courier New" w:hAnsi="Courier New" w:cs="Courier New" w:hint="default"/>
      </w:rPr>
    </w:lvl>
    <w:lvl w:ilvl="5" w:tplc="0C090005" w:tentative="1">
      <w:start w:val="1"/>
      <w:numFmt w:val="bullet"/>
      <w:lvlText w:val=""/>
      <w:lvlJc w:val="left"/>
      <w:pPr>
        <w:tabs>
          <w:tab w:val="num" w:pos="6021"/>
        </w:tabs>
        <w:ind w:left="6021" w:hanging="360"/>
      </w:pPr>
      <w:rPr>
        <w:rFonts w:ascii="Wingdings" w:hAnsi="Wingdings" w:hint="default"/>
      </w:rPr>
    </w:lvl>
    <w:lvl w:ilvl="6" w:tplc="0C090001" w:tentative="1">
      <w:start w:val="1"/>
      <w:numFmt w:val="bullet"/>
      <w:lvlText w:val=""/>
      <w:lvlJc w:val="left"/>
      <w:pPr>
        <w:tabs>
          <w:tab w:val="num" w:pos="6741"/>
        </w:tabs>
        <w:ind w:left="6741" w:hanging="360"/>
      </w:pPr>
      <w:rPr>
        <w:rFonts w:ascii="Symbol" w:hAnsi="Symbol" w:hint="default"/>
      </w:rPr>
    </w:lvl>
    <w:lvl w:ilvl="7" w:tplc="0C090003" w:tentative="1">
      <w:start w:val="1"/>
      <w:numFmt w:val="bullet"/>
      <w:lvlText w:val="o"/>
      <w:lvlJc w:val="left"/>
      <w:pPr>
        <w:tabs>
          <w:tab w:val="num" w:pos="7461"/>
        </w:tabs>
        <w:ind w:left="7461" w:hanging="360"/>
      </w:pPr>
      <w:rPr>
        <w:rFonts w:ascii="Courier New" w:hAnsi="Courier New" w:cs="Courier New" w:hint="default"/>
      </w:rPr>
    </w:lvl>
    <w:lvl w:ilvl="8" w:tplc="0C090005" w:tentative="1">
      <w:start w:val="1"/>
      <w:numFmt w:val="bullet"/>
      <w:lvlText w:val=""/>
      <w:lvlJc w:val="left"/>
      <w:pPr>
        <w:tabs>
          <w:tab w:val="num" w:pos="8181"/>
        </w:tabs>
        <w:ind w:left="8181" w:hanging="360"/>
      </w:pPr>
      <w:rPr>
        <w:rFonts w:ascii="Wingdings" w:hAnsi="Wingdings" w:hint="default"/>
      </w:rPr>
    </w:lvl>
  </w:abstractNum>
  <w:abstractNum w:abstractNumId="23" w15:restartNumberingAfterBreak="0">
    <w:nsid w:val="50DE1959"/>
    <w:multiLevelType w:val="hybridMultilevel"/>
    <w:tmpl w:val="A79CB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B13467"/>
    <w:multiLevelType w:val="hybridMultilevel"/>
    <w:tmpl w:val="DBB8C4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EB0AAE"/>
    <w:multiLevelType w:val="hybridMultilevel"/>
    <w:tmpl w:val="D7F6B4BE"/>
    <w:lvl w:ilvl="0" w:tplc="0C090001">
      <w:start w:val="1"/>
      <w:numFmt w:val="bullet"/>
      <w:lvlText w:val=""/>
      <w:lvlJc w:val="left"/>
      <w:pPr>
        <w:tabs>
          <w:tab w:val="num" w:pos="2421"/>
        </w:tabs>
        <w:ind w:left="2421" w:hanging="360"/>
      </w:pPr>
      <w:rPr>
        <w:rFonts w:ascii="Symbol" w:hAnsi="Symbol" w:hint="default"/>
      </w:rPr>
    </w:lvl>
    <w:lvl w:ilvl="1" w:tplc="0C090003" w:tentative="1">
      <w:start w:val="1"/>
      <w:numFmt w:val="bullet"/>
      <w:lvlText w:val="o"/>
      <w:lvlJc w:val="left"/>
      <w:pPr>
        <w:tabs>
          <w:tab w:val="num" w:pos="3141"/>
        </w:tabs>
        <w:ind w:left="3141" w:hanging="360"/>
      </w:pPr>
      <w:rPr>
        <w:rFonts w:ascii="Courier New" w:hAnsi="Courier New" w:cs="Courier New" w:hint="default"/>
      </w:rPr>
    </w:lvl>
    <w:lvl w:ilvl="2" w:tplc="0C090005" w:tentative="1">
      <w:start w:val="1"/>
      <w:numFmt w:val="bullet"/>
      <w:lvlText w:val=""/>
      <w:lvlJc w:val="left"/>
      <w:pPr>
        <w:tabs>
          <w:tab w:val="num" w:pos="3861"/>
        </w:tabs>
        <w:ind w:left="3861" w:hanging="360"/>
      </w:pPr>
      <w:rPr>
        <w:rFonts w:ascii="Wingdings" w:hAnsi="Wingdings" w:hint="default"/>
      </w:rPr>
    </w:lvl>
    <w:lvl w:ilvl="3" w:tplc="0C090001" w:tentative="1">
      <w:start w:val="1"/>
      <w:numFmt w:val="bullet"/>
      <w:lvlText w:val=""/>
      <w:lvlJc w:val="left"/>
      <w:pPr>
        <w:tabs>
          <w:tab w:val="num" w:pos="4581"/>
        </w:tabs>
        <w:ind w:left="4581" w:hanging="360"/>
      </w:pPr>
      <w:rPr>
        <w:rFonts w:ascii="Symbol" w:hAnsi="Symbol" w:hint="default"/>
      </w:rPr>
    </w:lvl>
    <w:lvl w:ilvl="4" w:tplc="0C090003" w:tentative="1">
      <w:start w:val="1"/>
      <w:numFmt w:val="bullet"/>
      <w:lvlText w:val="o"/>
      <w:lvlJc w:val="left"/>
      <w:pPr>
        <w:tabs>
          <w:tab w:val="num" w:pos="5301"/>
        </w:tabs>
        <w:ind w:left="5301" w:hanging="360"/>
      </w:pPr>
      <w:rPr>
        <w:rFonts w:ascii="Courier New" w:hAnsi="Courier New" w:cs="Courier New" w:hint="default"/>
      </w:rPr>
    </w:lvl>
    <w:lvl w:ilvl="5" w:tplc="0C090005" w:tentative="1">
      <w:start w:val="1"/>
      <w:numFmt w:val="bullet"/>
      <w:lvlText w:val=""/>
      <w:lvlJc w:val="left"/>
      <w:pPr>
        <w:tabs>
          <w:tab w:val="num" w:pos="6021"/>
        </w:tabs>
        <w:ind w:left="6021" w:hanging="360"/>
      </w:pPr>
      <w:rPr>
        <w:rFonts w:ascii="Wingdings" w:hAnsi="Wingdings" w:hint="default"/>
      </w:rPr>
    </w:lvl>
    <w:lvl w:ilvl="6" w:tplc="0C090001" w:tentative="1">
      <w:start w:val="1"/>
      <w:numFmt w:val="bullet"/>
      <w:lvlText w:val=""/>
      <w:lvlJc w:val="left"/>
      <w:pPr>
        <w:tabs>
          <w:tab w:val="num" w:pos="6741"/>
        </w:tabs>
        <w:ind w:left="6741" w:hanging="360"/>
      </w:pPr>
      <w:rPr>
        <w:rFonts w:ascii="Symbol" w:hAnsi="Symbol" w:hint="default"/>
      </w:rPr>
    </w:lvl>
    <w:lvl w:ilvl="7" w:tplc="0C090003" w:tentative="1">
      <w:start w:val="1"/>
      <w:numFmt w:val="bullet"/>
      <w:lvlText w:val="o"/>
      <w:lvlJc w:val="left"/>
      <w:pPr>
        <w:tabs>
          <w:tab w:val="num" w:pos="7461"/>
        </w:tabs>
        <w:ind w:left="7461" w:hanging="360"/>
      </w:pPr>
      <w:rPr>
        <w:rFonts w:ascii="Courier New" w:hAnsi="Courier New" w:cs="Courier New" w:hint="default"/>
      </w:rPr>
    </w:lvl>
    <w:lvl w:ilvl="8" w:tplc="0C090005" w:tentative="1">
      <w:start w:val="1"/>
      <w:numFmt w:val="bullet"/>
      <w:lvlText w:val=""/>
      <w:lvlJc w:val="left"/>
      <w:pPr>
        <w:tabs>
          <w:tab w:val="num" w:pos="8181"/>
        </w:tabs>
        <w:ind w:left="8181" w:hanging="360"/>
      </w:pPr>
      <w:rPr>
        <w:rFonts w:ascii="Wingdings" w:hAnsi="Wingdings" w:hint="default"/>
      </w:rPr>
    </w:lvl>
  </w:abstractNum>
  <w:abstractNum w:abstractNumId="26" w15:restartNumberingAfterBreak="0">
    <w:nsid w:val="572028E0"/>
    <w:multiLevelType w:val="hybridMultilevel"/>
    <w:tmpl w:val="DBB8C47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32C4A6B"/>
    <w:multiLevelType w:val="hybridMultilevel"/>
    <w:tmpl w:val="6AA6BD26"/>
    <w:lvl w:ilvl="0" w:tplc="0C090001">
      <w:start w:val="1"/>
      <w:numFmt w:val="bullet"/>
      <w:lvlText w:val=""/>
      <w:lvlJc w:val="left"/>
      <w:pPr>
        <w:tabs>
          <w:tab w:val="num" w:pos="2421"/>
        </w:tabs>
        <w:ind w:left="2421" w:hanging="360"/>
      </w:pPr>
      <w:rPr>
        <w:rFonts w:ascii="Symbol" w:hAnsi="Symbol" w:hint="default"/>
      </w:rPr>
    </w:lvl>
    <w:lvl w:ilvl="1" w:tplc="0C090003" w:tentative="1">
      <w:start w:val="1"/>
      <w:numFmt w:val="bullet"/>
      <w:lvlText w:val="o"/>
      <w:lvlJc w:val="left"/>
      <w:pPr>
        <w:tabs>
          <w:tab w:val="num" w:pos="3141"/>
        </w:tabs>
        <w:ind w:left="3141" w:hanging="360"/>
      </w:pPr>
      <w:rPr>
        <w:rFonts w:ascii="Courier New" w:hAnsi="Courier New" w:cs="Courier New" w:hint="default"/>
      </w:rPr>
    </w:lvl>
    <w:lvl w:ilvl="2" w:tplc="0C090005" w:tentative="1">
      <w:start w:val="1"/>
      <w:numFmt w:val="bullet"/>
      <w:lvlText w:val=""/>
      <w:lvlJc w:val="left"/>
      <w:pPr>
        <w:tabs>
          <w:tab w:val="num" w:pos="3861"/>
        </w:tabs>
        <w:ind w:left="3861" w:hanging="360"/>
      </w:pPr>
      <w:rPr>
        <w:rFonts w:ascii="Wingdings" w:hAnsi="Wingdings" w:hint="default"/>
      </w:rPr>
    </w:lvl>
    <w:lvl w:ilvl="3" w:tplc="0C090001" w:tentative="1">
      <w:start w:val="1"/>
      <w:numFmt w:val="bullet"/>
      <w:lvlText w:val=""/>
      <w:lvlJc w:val="left"/>
      <w:pPr>
        <w:tabs>
          <w:tab w:val="num" w:pos="4581"/>
        </w:tabs>
        <w:ind w:left="4581" w:hanging="360"/>
      </w:pPr>
      <w:rPr>
        <w:rFonts w:ascii="Symbol" w:hAnsi="Symbol" w:hint="default"/>
      </w:rPr>
    </w:lvl>
    <w:lvl w:ilvl="4" w:tplc="0C090003" w:tentative="1">
      <w:start w:val="1"/>
      <w:numFmt w:val="bullet"/>
      <w:lvlText w:val="o"/>
      <w:lvlJc w:val="left"/>
      <w:pPr>
        <w:tabs>
          <w:tab w:val="num" w:pos="5301"/>
        </w:tabs>
        <w:ind w:left="5301" w:hanging="360"/>
      </w:pPr>
      <w:rPr>
        <w:rFonts w:ascii="Courier New" w:hAnsi="Courier New" w:cs="Courier New" w:hint="default"/>
      </w:rPr>
    </w:lvl>
    <w:lvl w:ilvl="5" w:tplc="0C090005" w:tentative="1">
      <w:start w:val="1"/>
      <w:numFmt w:val="bullet"/>
      <w:lvlText w:val=""/>
      <w:lvlJc w:val="left"/>
      <w:pPr>
        <w:tabs>
          <w:tab w:val="num" w:pos="6021"/>
        </w:tabs>
        <w:ind w:left="6021" w:hanging="360"/>
      </w:pPr>
      <w:rPr>
        <w:rFonts w:ascii="Wingdings" w:hAnsi="Wingdings" w:hint="default"/>
      </w:rPr>
    </w:lvl>
    <w:lvl w:ilvl="6" w:tplc="0C090001" w:tentative="1">
      <w:start w:val="1"/>
      <w:numFmt w:val="bullet"/>
      <w:lvlText w:val=""/>
      <w:lvlJc w:val="left"/>
      <w:pPr>
        <w:tabs>
          <w:tab w:val="num" w:pos="6741"/>
        </w:tabs>
        <w:ind w:left="6741" w:hanging="360"/>
      </w:pPr>
      <w:rPr>
        <w:rFonts w:ascii="Symbol" w:hAnsi="Symbol" w:hint="default"/>
      </w:rPr>
    </w:lvl>
    <w:lvl w:ilvl="7" w:tplc="0C090003" w:tentative="1">
      <w:start w:val="1"/>
      <w:numFmt w:val="bullet"/>
      <w:lvlText w:val="o"/>
      <w:lvlJc w:val="left"/>
      <w:pPr>
        <w:tabs>
          <w:tab w:val="num" w:pos="7461"/>
        </w:tabs>
        <w:ind w:left="7461" w:hanging="360"/>
      </w:pPr>
      <w:rPr>
        <w:rFonts w:ascii="Courier New" w:hAnsi="Courier New" w:cs="Courier New" w:hint="default"/>
      </w:rPr>
    </w:lvl>
    <w:lvl w:ilvl="8" w:tplc="0C090005" w:tentative="1">
      <w:start w:val="1"/>
      <w:numFmt w:val="bullet"/>
      <w:lvlText w:val=""/>
      <w:lvlJc w:val="left"/>
      <w:pPr>
        <w:tabs>
          <w:tab w:val="num" w:pos="8181"/>
        </w:tabs>
        <w:ind w:left="8181" w:hanging="360"/>
      </w:pPr>
      <w:rPr>
        <w:rFonts w:ascii="Wingdings" w:hAnsi="Wingdings" w:hint="default"/>
      </w:rPr>
    </w:lvl>
  </w:abstractNum>
  <w:abstractNum w:abstractNumId="28" w15:restartNumberingAfterBreak="0">
    <w:nsid w:val="64000FE5"/>
    <w:multiLevelType w:val="hybridMultilevel"/>
    <w:tmpl w:val="D2F0E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457A7D"/>
    <w:multiLevelType w:val="hybridMultilevel"/>
    <w:tmpl w:val="A2788724"/>
    <w:lvl w:ilvl="0" w:tplc="0C090001">
      <w:start w:val="1"/>
      <w:numFmt w:val="bullet"/>
      <w:lvlText w:val=""/>
      <w:lvlJc w:val="left"/>
      <w:pPr>
        <w:tabs>
          <w:tab w:val="num" w:pos="2415"/>
        </w:tabs>
        <w:ind w:left="2415" w:hanging="360"/>
      </w:pPr>
      <w:rPr>
        <w:rFonts w:ascii="Symbol" w:hAnsi="Symbol" w:hint="default"/>
      </w:rPr>
    </w:lvl>
    <w:lvl w:ilvl="1" w:tplc="0C090003" w:tentative="1">
      <w:start w:val="1"/>
      <w:numFmt w:val="bullet"/>
      <w:lvlText w:val="o"/>
      <w:lvlJc w:val="left"/>
      <w:pPr>
        <w:tabs>
          <w:tab w:val="num" w:pos="3135"/>
        </w:tabs>
        <w:ind w:left="3135" w:hanging="360"/>
      </w:pPr>
      <w:rPr>
        <w:rFonts w:ascii="Courier New" w:hAnsi="Courier New" w:cs="Courier New" w:hint="default"/>
      </w:rPr>
    </w:lvl>
    <w:lvl w:ilvl="2" w:tplc="0C090005" w:tentative="1">
      <w:start w:val="1"/>
      <w:numFmt w:val="bullet"/>
      <w:lvlText w:val=""/>
      <w:lvlJc w:val="left"/>
      <w:pPr>
        <w:tabs>
          <w:tab w:val="num" w:pos="3855"/>
        </w:tabs>
        <w:ind w:left="3855" w:hanging="360"/>
      </w:pPr>
      <w:rPr>
        <w:rFonts w:ascii="Wingdings" w:hAnsi="Wingdings" w:hint="default"/>
      </w:rPr>
    </w:lvl>
    <w:lvl w:ilvl="3" w:tplc="0C090001" w:tentative="1">
      <w:start w:val="1"/>
      <w:numFmt w:val="bullet"/>
      <w:lvlText w:val=""/>
      <w:lvlJc w:val="left"/>
      <w:pPr>
        <w:tabs>
          <w:tab w:val="num" w:pos="4575"/>
        </w:tabs>
        <w:ind w:left="4575" w:hanging="360"/>
      </w:pPr>
      <w:rPr>
        <w:rFonts w:ascii="Symbol" w:hAnsi="Symbol" w:hint="default"/>
      </w:rPr>
    </w:lvl>
    <w:lvl w:ilvl="4" w:tplc="0C090003" w:tentative="1">
      <w:start w:val="1"/>
      <w:numFmt w:val="bullet"/>
      <w:lvlText w:val="o"/>
      <w:lvlJc w:val="left"/>
      <w:pPr>
        <w:tabs>
          <w:tab w:val="num" w:pos="5295"/>
        </w:tabs>
        <w:ind w:left="5295" w:hanging="360"/>
      </w:pPr>
      <w:rPr>
        <w:rFonts w:ascii="Courier New" w:hAnsi="Courier New" w:cs="Courier New" w:hint="default"/>
      </w:rPr>
    </w:lvl>
    <w:lvl w:ilvl="5" w:tplc="0C090005" w:tentative="1">
      <w:start w:val="1"/>
      <w:numFmt w:val="bullet"/>
      <w:lvlText w:val=""/>
      <w:lvlJc w:val="left"/>
      <w:pPr>
        <w:tabs>
          <w:tab w:val="num" w:pos="6015"/>
        </w:tabs>
        <w:ind w:left="6015" w:hanging="360"/>
      </w:pPr>
      <w:rPr>
        <w:rFonts w:ascii="Wingdings" w:hAnsi="Wingdings" w:hint="default"/>
      </w:rPr>
    </w:lvl>
    <w:lvl w:ilvl="6" w:tplc="0C090001" w:tentative="1">
      <w:start w:val="1"/>
      <w:numFmt w:val="bullet"/>
      <w:lvlText w:val=""/>
      <w:lvlJc w:val="left"/>
      <w:pPr>
        <w:tabs>
          <w:tab w:val="num" w:pos="6735"/>
        </w:tabs>
        <w:ind w:left="6735" w:hanging="360"/>
      </w:pPr>
      <w:rPr>
        <w:rFonts w:ascii="Symbol" w:hAnsi="Symbol" w:hint="default"/>
      </w:rPr>
    </w:lvl>
    <w:lvl w:ilvl="7" w:tplc="0C090003" w:tentative="1">
      <w:start w:val="1"/>
      <w:numFmt w:val="bullet"/>
      <w:lvlText w:val="o"/>
      <w:lvlJc w:val="left"/>
      <w:pPr>
        <w:tabs>
          <w:tab w:val="num" w:pos="7455"/>
        </w:tabs>
        <w:ind w:left="7455" w:hanging="360"/>
      </w:pPr>
      <w:rPr>
        <w:rFonts w:ascii="Courier New" w:hAnsi="Courier New" w:cs="Courier New" w:hint="default"/>
      </w:rPr>
    </w:lvl>
    <w:lvl w:ilvl="8" w:tplc="0C090005" w:tentative="1">
      <w:start w:val="1"/>
      <w:numFmt w:val="bullet"/>
      <w:lvlText w:val=""/>
      <w:lvlJc w:val="left"/>
      <w:pPr>
        <w:tabs>
          <w:tab w:val="num" w:pos="8175"/>
        </w:tabs>
        <w:ind w:left="8175" w:hanging="360"/>
      </w:pPr>
      <w:rPr>
        <w:rFonts w:ascii="Wingdings" w:hAnsi="Wingdings" w:hint="default"/>
      </w:rPr>
    </w:lvl>
  </w:abstractNum>
  <w:abstractNum w:abstractNumId="30" w15:restartNumberingAfterBreak="0">
    <w:nsid w:val="655D77EC"/>
    <w:multiLevelType w:val="hybridMultilevel"/>
    <w:tmpl w:val="DAE890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2B3D0D"/>
    <w:multiLevelType w:val="hybridMultilevel"/>
    <w:tmpl w:val="D2803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A35C14"/>
    <w:multiLevelType w:val="hybridMultilevel"/>
    <w:tmpl w:val="295C2F6C"/>
    <w:lvl w:ilvl="0" w:tplc="CA940B4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C96EFC"/>
    <w:multiLevelType w:val="hybridMultilevel"/>
    <w:tmpl w:val="83AAA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F30067"/>
    <w:multiLevelType w:val="hybridMultilevel"/>
    <w:tmpl w:val="5FE4163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295D88"/>
    <w:multiLevelType w:val="hybridMultilevel"/>
    <w:tmpl w:val="270ED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341682"/>
    <w:multiLevelType w:val="hybridMultilevel"/>
    <w:tmpl w:val="70BC6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614228"/>
    <w:multiLevelType w:val="hybridMultilevel"/>
    <w:tmpl w:val="65E2E618"/>
    <w:lvl w:ilvl="0" w:tplc="7262B712">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AFC6233"/>
    <w:multiLevelType w:val="hybridMultilevel"/>
    <w:tmpl w:val="A47CCE66"/>
    <w:lvl w:ilvl="0" w:tplc="0040FE3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BF64DAB"/>
    <w:multiLevelType w:val="hybridMultilevel"/>
    <w:tmpl w:val="AEECFFE2"/>
    <w:lvl w:ilvl="0" w:tplc="7EF281F8">
      <w:start w:val="1"/>
      <w:numFmt w:val="lowerLetter"/>
      <w:lvlText w:val="(%1)"/>
      <w:lvlJc w:val="left"/>
      <w:pPr>
        <w:ind w:left="1860" w:hanging="360"/>
      </w:pPr>
      <w:rPr>
        <w:rFonts w:cs="Times New Roman" w:hint="default"/>
        <w:sz w:val="24"/>
        <w:szCs w:val="24"/>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num w:numId="1">
    <w:abstractNumId w:val="23"/>
  </w:num>
  <w:num w:numId="2">
    <w:abstractNumId w:val="28"/>
  </w:num>
  <w:num w:numId="3">
    <w:abstractNumId w:val="4"/>
  </w:num>
  <w:num w:numId="4">
    <w:abstractNumId w:val="1"/>
  </w:num>
  <w:num w:numId="5">
    <w:abstractNumId w:val="16"/>
  </w:num>
  <w:num w:numId="6">
    <w:abstractNumId w:val="37"/>
  </w:num>
  <w:num w:numId="7">
    <w:abstractNumId w:val="1"/>
  </w:num>
  <w:num w:numId="8">
    <w:abstractNumId w:val="24"/>
  </w:num>
  <w:num w:numId="9">
    <w:abstractNumId w:val="19"/>
  </w:num>
  <w:num w:numId="10">
    <w:abstractNumId w:val="26"/>
  </w:num>
  <w:num w:numId="11">
    <w:abstractNumId w:val="32"/>
  </w:num>
  <w:num w:numId="12">
    <w:abstractNumId w:val="11"/>
  </w:num>
  <w:num w:numId="13">
    <w:abstractNumId w:val="31"/>
  </w:num>
  <w:num w:numId="14">
    <w:abstractNumId w:val="36"/>
  </w:num>
  <w:num w:numId="15">
    <w:abstractNumId w:val="17"/>
  </w:num>
  <w:num w:numId="16">
    <w:abstractNumId w:val="34"/>
  </w:num>
  <w:num w:numId="17">
    <w:abstractNumId w:val="6"/>
  </w:num>
  <w:num w:numId="18">
    <w:abstractNumId w:val="5"/>
  </w:num>
  <w:num w:numId="19">
    <w:abstractNumId w:val="14"/>
  </w:num>
  <w:num w:numId="20">
    <w:abstractNumId w:val="39"/>
  </w:num>
  <w:num w:numId="21">
    <w:abstractNumId w:val="1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5"/>
  </w:num>
  <w:num w:numId="25">
    <w:abstractNumId w:val="21"/>
  </w:num>
  <w:num w:numId="26">
    <w:abstractNumId w:val="38"/>
  </w:num>
  <w:num w:numId="27">
    <w:abstractNumId w:val="22"/>
  </w:num>
  <w:num w:numId="28">
    <w:abstractNumId w:val="3"/>
  </w:num>
  <w:num w:numId="29">
    <w:abstractNumId w:val="29"/>
  </w:num>
  <w:num w:numId="30">
    <w:abstractNumId w:val="25"/>
  </w:num>
  <w:num w:numId="31">
    <w:abstractNumId w:val="27"/>
  </w:num>
  <w:num w:numId="32">
    <w:abstractNumId w:val="10"/>
  </w:num>
  <w:num w:numId="33">
    <w:abstractNumId w:val="18"/>
  </w:num>
  <w:num w:numId="34">
    <w:abstractNumId w:val="30"/>
  </w:num>
  <w:num w:numId="35">
    <w:abstractNumId w:val="33"/>
  </w:num>
  <w:num w:numId="36">
    <w:abstractNumId w:val="2"/>
  </w:num>
  <w:num w:numId="37">
    <w:abstractNumId w:val="15"/>
  </w:num>
  <w:num w:numId="38">
    <w:abstractNumId w:val="7"/>
  </w:num>
  <w:num w:numId="39">
    <w:abstractNumId w:val="20"/>
  </w:num>
  <w:num w:numId="40">
    <w:abstractNumId w:val="8"/>
  </w:num>
  <w:num w:numId="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1C"/>
    <w:rsid w:val="00000A0E"/>
    <w:rsid w:val="000014AB"/>
    <w:rsid w:val="00002080"/>
    <w:rsid w:val="00002733"/>
    <w:rsid w:val="00003071"/>
    <w:rsid w:val="000040AD"/>
    <w:rsid w:val="0000547E"/>
    <w:rsid w:val="00006423"/>
    <w:rsid w:val="0001186B"/>
    <w:rsid w:val="00011DDE"/>
    <w:rsid w:val="00012639"/>
    <w:rsid w:val="00012AE1"/>
    <w:rsid w:val="00013226"/>
    <w:rsid w:val="000158AF"/>
    <w:rsid w:val="00016800"/>
    <w:rsid w:val="000205CC"/>
    <w:rsid w:val="00020DEC"/>
    <w:rsid w:val="00022087"/>
    <w:rsid w:val="000243EA"/>
    <w:rsid w:val="00024CF9"/>
    <w:rsid w:val="00025B5A"/>
    <w:rsid w:val="00026F8A"/>
    <w:rsid w:val="00027354"/>
    <w:rsid w:val="0003109C"/>
    <w:rsid w:val="00031AD3"/>
    <w:rsid w:val="00031CB8"/>
    <w:rsid w:val="000366B4"/>
    <w:rsid w:val="000401EC"/>
    <w:rsid w:val="00040D79"/>
    <w:rsid w:val="000423AC"/>
    <w:rsid w:val="000432EB"/>
    <w:rsid w:val="0004373B"/>
    <w:rsid w:val="0004464A"/>
    <w:rsid w:val="00044D28"/>
    <w:rsid w:val="0004659E"/>
    <w:rsid w:val="00047158"/>
    <w:rsid w:val="00047B5B"/>
    <w:rsid w:val="000511F7"/>
    <w:rsid w:val="00051783"/>
    <w:rsid w:val="00052CD8"/>
    <w:rsid w:val="00054856"/>
    <w:rsid w:val="000558E0"/>
    <w:rsid w:val="000574F4"/>
    <w:rsid w:val="00057DC0"/>
    <w:rsid w:val="00057F41"/>
    <w:rsid w:val="000610D8"/>
    <w:rsid w:val="00062BA6"/>
    <w:rsid w:val="00063C64"/>
    <w:rsid w:val="00063E97"/>
    <w:rsid w:val="00064780"/>
    <w:rsid w:val="000654EA"/>
    <w:rsid w:val="00065ED7"/>
    <w:rsid w:val="00066861"/>
    <w:rsid w:val="00066DD9"/>
    <w:rsid w:val="000709DE"/>
    <w:rsid w:val="00070A7F"/>
    <w:rsid w:val="00072229"/>
    <w:rsid w:val="0007226D"/>
    <w:rsid w:val="0007228E"/>
    <w:rsid w:val="00072489"/>
    <w:rsid w:val="00072A88"/>
    <w:rsid w:val="000730CC"/>
    <w:rsid w:val="0007316C"/>
    <w:rsid w:val="000733D6"/>
    <w:rsid w:val="00074815"/>
    <w:rsid w:val="000752DB"/>
    <w:rsid w:val="00077226"/>
    <w:rsid w:val="000774EF"/>
    <w:rsid w:val="00077EE8"/>
    <w:rsid w:val="000805C9"/>
    <w:rsid w:val="0008108C"/>
    <w:rsid w:val="00081245"/>
    <w:rsid w:val="0008163A"/>
    <w:rsid w:val="00084603"/>
    <w:rsid w:val="00084727"/>
    <w:rsid w:val="00087775"/>
    <w:rsid w:val="00090DAB"/>
    <w:rsid w:val="00095359"/>
    <w:rsid w:val="00095A60"/>
    <w:rsid w:val="00096ABB"/>
    <w:rsid w:val="000975A8"/>
    <w:rsid w:val="000A16F1"/>
    <w:rsid w:val="000A47BF"/>
    <w:rsid w:val="000A51A1"/>
    <w:rsid w:val="000B23AF"/>
    <w:rsid w:val="000B3138"/>
    <w:rsid w:val="000B41AE"/>
    <w:rsid w:val="000B5FC1"/>
    <w:rsid w:val="000B6741"/>
    <w:rsid w:val="000C0274"/>
    <w:rsid w:val="000C036A"/>
    <w:rsid w:val="000C3472"/>
    <w:rsid w:val="000C57B3"/>
    <w:rsid w:val="000C641F"/>
    <w:rsid w:val="000C73EC"/>
    <w:rsid w:val="000C7517"/>
    <w:rsid w:val="000C79C9"/>
    <w:rsid w:val="000D19DD"/>
    <w:rsid w:val="000D5D6A"/>
    <w:rsid w:val="000D5F20"/>
    <w:rsid w:val="000D6659"/>
    <w:rsid w:val="000D75AE"/>
    <w:rsid w:val="000D79E4"/>
    <w:rsid w:val="000E38B3"/>
    <w:rsid w:val="000E3B0F"/>
    <w:rsid w:val="000E534A"/>
    <w:rsid w:val="000E5597"/>
    <w:rsid w:val="000E654D"/>
    <w:rsid w:val="000E7301"/>
    <w:rsid w:val="000F14AF"/>
    <w:rsid w:val="000F2361"/>
    <w:rsid w:val="000F5A6D"/>
    <w:rsid w:val="00100A0E"/>
    <w:rsid w:val="001016B5"/>
    <w:rsid w:val="00103736"/>
    <w:rsid w:val="00104087"/>
    <w:rsid w:val="00105D3B"/>
    <w:rsid w:val="00106761"/>
    <w:rsid w:val="00106F87"/>
    <w:rsid w:val="001074D3"/>
    <w:rsid w:val="00110368"/>
    <w:rsid w:val="0011715D"/>
    <w:rsid w:val="00121FE8"/>
    <w:rsid w:val="00122C91"/>
    <w:rsid w:val="00125221"/>
    <w:rsid w:val="00125D76"/>
    <w:rsid w:val="00130A65"/>
    <w:rsid w:val="001313FB"/>
    <w:rsid w:val="00132A77"/>
    <w:rsid w:val="00133275"/>
    <w:rsid w:val="001341EF"/>
    <w:rsid w:val="001354D6"/>
    <w:rsid w:val="0013646D"/>
    <w:rsid w:val="00136C1B"/>
    <w:rsid w:val="00136ED6"/>
    <w:rsid w:val="00136FCC"/>
    <w:rsid w:val="00137D82"/>
    <w:rsid w:val="00137FF7"/>
    <w:rsid w:val="00140DA0"/>
    <w:rsid w:val="00140EA8"/>
    <w:rsid w:val="00140FD6"/>
    <w:rsid w:val="00143F97"/>
    <w:rsid w:val="001447A2"/>
    <w:rsid w:val="001479C0"/>
    <w:rsid w:val="001515CB"/>
    <w:rsid w:val="0015394B"/>
    <w:rsid w:val="00154563"/>
    <w:rsid w:val="00154F4C"/>
    <w:rsid w:val="0015539B"/>
    <w:rsid w:val="00156582"/>
    <w:rsid w:val="001565F4"/>
    <w:rsid w:val="00160CAE"/>
    <w:rsid w:val="00163448"/>
    <w:rsid w:val="001636D6"/>
    <w:rsid w:val="00165110"/>
    <w:rsid w:val="001656A5"/>
    <w:rsid w:val="00165A52"/>
    <w:rsid w:val="00166059"/>
    <w:rsid w:val="0017161B"/>
    <w:rsid w:val="00171F90"/>
    <w:rsid w:val="0017299C"/>
    <w:rsid w:val="00174743"/>
    <w:rsid w:val="00175B17"/>
    <w:rsid w:val="00176453"/>
    <w:rsid w:val="00181BC8"/>
    <w:rsid w:val="00185B49"/>
    <w:rsid w:val="00186477"/>
    <w:rsid w:val="00186B51"/>
    <w:rsid w:val="00190664"/>
    <w:rsid w:val="00190C67"/>
    <w:rsid w:val="00191665"/>
    <w:rsid w:val="00192C84"/>
    <w:rsid w:val="00192DB7"/>
    <w:rsid w:val="00193318"/>
    <w:rsid w:val="00193AB5"/>
    <w:rsid w:val="00197294"/>
    <w:rsid w:val="001A0406"/>
    <w:rsid w:val="001A1EFE"/>
    <w:rsid w:val="001A24CC"/>
    <w:rsid w:val="001A5AC2"/>
    <w:rsid w:val="001A600E"/>
    <w:rsid w:val="001A6348"/>
    <w:rsid w:val="001A6E6F"/>
    <w:rsid w:val="001A7A0A"/>
    <w:rsid w:val="001A7E8B"/>
    <w:rsid w:val="001B0E1C"/>
    <w:rsid w:val="001B1F6E"/>
    <w:rsid w:val="001B655F"/>
    <w:rsid w:val="001C1AE8"/>
    <w:rsid w:val="001C1BBF"/>
    <w:rsid w:val="001C48E6"/>
    <w:rsid w:val="001C77FF"/>
    <w:rsid w:val="001C7A3D"/>
    <w:rsid w:val="001D1DE9"/>
    <w:rsid w:val="001D217D"/>
    <w:rsid w:val="001D24F8"/>
    <w:rsid w:val="001D3597"/>
    <w:rsid w:val="001D50DC"/>
    <w:rsid w:val="001D59D5"/>
    <w:rsid w:val="001D658E"/>
    <w:rsid w:val="001E2E41"/>
    <w:rsid w:val="001E2EE6"/>
    <w:rsid w:val="001E48FA"/>
    <w:rsid w:val="001E6E9E"/>
    <w:rsid w:val="001E7FBB"/>
    <w:rsid w:val="001F17EA"/>
    <w:rsid w:val="001F1906"/>
    <w:rsid w:val="001F3C07"/>
    <w:rsid w:val="001F597C"/>
    <w:rsid w:val="001F7913"/>
    <w:rsid w:val="001F7C01"/>
    <w:rsid w:val="00201CDD"/>
    <w:rsid w:val="00201F66"/>
    <w:rsid w:val="002045CB"/>
    <w:rsid w:val="002052B5"/>
    <w:rsid w:val="00211CCB"/>
    <w:rsid w:val="00213C94"/>
    <w:rsid w:val="00213D0B"/>
    <w:rsid w:val="002152FA"/>
    <w:rsid w:val="002176BD"/>
    <w:rsid w:val="002209DB"/>
    <w:rsid w:val="002227E6"/>
    <w:rsid w:val="00223183"/>
    <w:rsid w:val="0022426C"/>
    <w:rsid w:val="00225896"/>
    <w:rsid w:val="00226671"/>
    <w:rsid w:val="00230544"/>
    <w:rsid w:val="002306E2"/>
    <w:rsid w:val="00231D8E"/>
    <w:rsid w:val="00234E3F"/>
    <w:rsid w:val="00235686"/>
    <w:rsid w:val="00237F9B"/>
    <w:rsid w:val="00240148"/>
    <w:rsid w:val="00240DD4"/>
    <w:rsid w:val="00241F5B"/>
    <w:rsid w:val="00242BEA"/>
    <w:rsid w:val="00243ED5"/>
    <w:rsid w:val="002460A1"/>
    <w:rsid w:val="00246A13"/>
    <w:rsid w:val="00246A36"/>
    <w:rsid w:val="00247817"/>
    <w:rsid w:val="00247B03"/>
    <w:rsid w:val="00251233"/>
    <w:rsid w:val="00251242"/>
    <w:rsid w:val="00251A9D"/>
    <w:rsid w:val="00252833"/>
    <w:rsid w:val="002547BF"/>
    <w:rsid w:val="00254B98"/>
    <w:rsid w:val="00256423"/>
    <w:rsid w:val="00257688"/>
    <w:rsid w:val="0026049F"/>
    <w:rsid w:val="002627BD"/>
    <w:rsid w:val="0026280B"/>
    <w:rsid w:val="002663DB"/>
    <w:rsid w:val="00266585"/>
    <w:rsid w:val="00267D03"/>
    <w:rsid w:val="00271030"/>
    <w:rsid w:val="0027123B"/>
    <w:rsid w:val="00271D16"/>
    <w:rsid w:val="00272369"/>
    <w:rsid w:val="00275194"/>
    <w:rsid w:val="00275C89"/>
    <w:rsid w:val="00275EBF"/>
    <w:rsid w:val="002764FA"/>
    <w:rsid w:val="002769D1"/>
    <w:rsid w:val="00276A27"/>
    <w:rsid w:val="00280121"/>
    <w:rsid w:val="0028231F"/>
    <w:rsid w:val="002830B1"/>
    <w:rsid w:val="002836E5"/>
    <w:rsid w:val="00283AFE"/>
    <w:rsid w:val="0028521F"/>
    <w:rsid w:val="0028583E"/>
    <w:rsid w:val="0028631D"/>
    <w:rsid w:val="00286B26"/>
    <w:rsid w:val="00292B01"/>
    <w:rsid w:val="00293884"/>
    <w:rsid w:val="0029448B"/>
    <w:rsid w:val="00294EC6"/>
    <w:rsid w:val="002964D5"/>
    <w:rsid w:val="00296C41"/>
    <w:rsid w:val="002A0F6D"/>
    <w:rsid w:val="002A1E3E"/>
    <w:rsid w:val="002A26F7"/>
    <w:rsid w:val="002A421C"/>
    <w:rsid w:val="002A6225"/>
    <w:rsid w:val="002B2270"/>
    <w:rsid w:val="002B2708"/>
    <w:rsid w:val="002B412A"/>
    <w:rsid w:val="002B44CF"/>
    <w:rsid w:val="002B4D20"/>
    <w:rsid w:val="002B51D4"/>
    <w:rsid w:val="002B6886"/>
    <w:rsid w:val="002C1164"/>
    <w:rsid w:val="002C42B2"/>
    <w:rsid w:val="002C6150"/>
    <w:rsid w:val="002C6EAF"/>
    <w:rsid w:val="002C6EBC"/>
    <w:rsid w:val="002D24FD"/>
    <w:rsid w:val="002D425F"/>
    <w:rsid w:val="002D68BB"/>
    <w:rsid w:val="002E2061"/>
    <w:rsid w:val="002E2B94"/>
    <w:rsid w:val="002E3F46"/>
    <w:rsid w:val="002E5DF6"/>
    <w:rsid w:val="002F142C"/>
    <w:rsid w:val="002F21D8"/>
    <w:rsid w:val="002F3C8A"/>
    <w:rsid w:val="002F5C84"/>
    <w:rsid w:val="002F7590"/>
    <w:rsid w:val="002F77F9"/>
    <w:rsid w:val="00300A2A"/>
    <w:rsid w:val="00303F1C"/>
    <w:rsid w:val="00306BCB"/>
    <w:rsid w:val="00307276"/>
    <w:rsid w:val="003103A1"/>
    <w:rsid w:val="00312A75"/>
    <w:rsid w:val="00312F0F"/>
    <w:rsid w:val="00313B04"/>
    <w:rsid w:val="00315603"/>
    <w:rsid w:val="0032115B"/>
    <w:rsid w:val="003246D8"/>
    <w:rsid w:val="00325513"/>
    <w:rsid w:val="00327866"/>
    <w:rsid w:val="003310F6"/>
    <w:rsid w:val="00331266"/>
    <w:rsid w:val="003313FE"/>
    <w:rsid w:val="003324D0"/>
    <w:rsid w:val="00332B93"/>
    <w:rsid w:val="00333CC9"/>
    <w:rsid w:val="00334EC5"/>
    <w:rsid w:val="00335C89"/>
    <w:rsid w:val="00337797"/>
    <w:rsid w:val="0034008D"/>
    <w:rsid w:val="00340723"/>
    <w:rsid w:val="00340D63"/>
    <w:rsid w:val="0034243A"/>
    <w:rsid w:val="00343524"/>
    <w:rsid w:val="0034499E"/>
    <w:rsid w:val="0034541F"/>
    <w:rsid w:val="00346F27"/>
    <w:rsid w:val="003471F6"/>
    <w:rsid w:val="0035256D"/>
    <w:rsid w:val="00353F13"/>
    <w:rsid w:val="00354733"/>
    <w:rsid w:val="00355E84"/>
    <w:rsid w:val="003572D7"/>
    <w:rsid w:val="00361C23"/>
    <w:rsid w:val="00364E8E"/>
    <w:rsid w:val="0036527B"/>
    <w:rsid w:val="0036568B"/>
    <w:rsid w:val="003657A8"/>
    <w:rsid w:val="00372073"/>
    <w:rsid w:val="00373E65"/>
    <w:rsid w:val="00376C26"/>
    <w:rsid w:val="00380F92"/>
    <w:rsid w:val="00382A82"/>
    <w:rsid w:val="00382D20"/>
    <w:rsid w:val="00383540"/>
    <w:rsid w:val="00383947"/>
    <w:rsid w:val="0038413A"/>
    <w:rsid w:val="00392CC4"/>
    <w:rsid w:val="00395767"/>
    <w:rsid w:val="00396095"/>
    <w:rsid w:val="00396EED"/>
    <w:rsid w:val="003974B5"/>
    <w:rsid w:val="0039797F"/>
    <w:rsid w:val="003A129D"/>
    <w:rsid w:val="003A5090"/>
    <w:rsid w:val="003A5A70"/>
    <w:rsid w:val="003A697B"/>
    <w:rsid w:val="003A75BB"/>
    <w:rsid w:val="003B316F"/>
    <w:rsid w:val="003B38E4"/>
    <w:rsid w:val="003B6020"/>
    <w:rsid w:val="003B794E"/>
    <w:rsid w:val="003C0FA8"/>
    <w:rsid w:val="003C1913"/>
    <w:rsid w:val="003C31D1"/>
    <w:rsid w:val="003C610B"/>
    <w:rsid w:val="003D096E"/>
    <w:rsid w:val="003D266A"/>
    <w:rsid w:val="003D2BDB"/>
    <w:rsid w:val="003D3203"/>
    <w:rsid w:val="003D4773"/>
    <w:rsid w:val="003D5936"/>
    <w:rsid w:val="003D7FC7"/>
    <w:rsid w:val="003E048A"/>
    <w:rsid w:val="003E4B49"/>
    <w:rsid w:val="003E4EBD"/>
    <w:rsid w:val="003E6250"/>
    <w:rsid w:val="003E7674"/>
    <w:rsid w:val="003F1995"/>
    <w:rsid w:val="003F27D5"/>
    <w:rsid w:val="003F524F"/>
    <w:rsid w:val="003F58C1"/>
    <w:rsid w:val="003F6014"/>
    <w:rsid w:val="003F7BDC"/>
    <w:rsid w:val="00401EED"/>
    <w:rsid w:val="00402131"/>
    <w:rsid w:val="004022B7"/>
    <w:rsid w:val="00402957"/>
    <w:rsid w:val="004059FE"/>
    <w:rsid w:val="00405D66"/>
    <w:rsid w:val="00405E1F"/>
    <w:rsid w:val="0040678B"/>
    <w:rsid w:val="00407C33"/>
    <w:rsid w:val="004105F3"/>
    <w:rsid w:val="004122C9"/>
    <w:rsid w:val="00412C4B"/>
    <w:rsid w:val="00413A19"/>
    <w:rsid w:val="00413CAD"/>
    <w:rsid w:val="00415464"/>
    <w:rsid w:val="004163F1"/>
    <w:rsid w:val="00416C24"/>
    <w:rsid w:val="004173D1"/>
    <w:rsid w:val="00420F81"/>
    <w:rsid w:val="00422D43"/>
    <w:rsid w:val="00423145"/>
    <w:rsid w:val="0042338C"/>
    <w:rsid w:val="00425DB9"/>
    <w:rsid w:val="004273B5"/>
    <w:rsid w:val="0043252A"/>
    <w:rsid w:val="00432B1B"/>
    <w:rsid w:val="00433117"/>
    <w:rsid w:val="00433AF7"/>
    <w:rsid w:val="00434C6C"/>
    <w:rsid w:val="00435CF7"/>
    <w:rsid w:val="00435D9C"/>
    <w:rsid w:val="00441BDA"/>
    <w:rsid w:val="004435EB"/>
    <w:rsid w:val="00443851"/>
    <w:rsid w:val="004455BA"/>
    <w:rsid w:val="00446192"/>
    <w:rsid w:val="00446EEB"/>
    <w:rsid w:val="00452DE5"/>
    <w:rsid w:val="004541A9"/>
    <w:rsid w:val="00454B09"/>
    <w:rsid w:val="00455F01"/>
    <w:rsid w:val="0045771D"/>
    <w:rsid w:val="00460414"/>
    <w:rsid w:val="00462BA0"/>
    <w:rsid w:val="00470EF4"/>
    <w:rsid w:val="0047316E"/>
    <w:rsid w:val="004812ED"/>
    <w:rsid w:val="00485511"/>
    <w:rsid w:val="00486B36"/>
    <w:rsid w:val="00490DD8"/>
    <w:rsid w:val="00491DEF"/>
    <w:rsid w:val="00492924"/>
    <w:rsid w:val="004931B4"/>
    <w:rsid w:val="0049323A"/>
    <w:rsid w:val="004935DE"/>
    <w:rsid w:val="0049372D"/>
    <w:rsid w:val="00494DC0"/>
    <w:rsid w:val="00495825"/>
    <w:rsid w:val="0049621C"/>
    <w:rsid w:val="004969B4"/>
    <w:rsid w:val="004A01A4"/>
    <w:rsid w:val="004A0327"/>
    <w:rsid w:val="004A0C66"/>
    <w:rsid w:val="004A10D0"/>
    <w:rsid w:val="004A1C4D"/>
    <w:rsid w:val="004A1E56"/>
    <w:rsid w:val="004A4058"/>
    <w:rsid w:val="004A5029"/>
    <w:rsid w:val="004A555F"/>
    <w:rsid w:val="004B062A"/>
    <w:rsid w:val="004B15E5"/>
    <w:rsid w:val="004B18C9"/>
    <w:rsid w:val="004B5483"/>
    <w:rsid w:val="004B5617"/>
    <w:rsid w:val="004B590C"/>
    <w:rsid w:val="004B6F13"/>
    <w:rsid w:val="004B7136"/>
    <w:rsid w:val="004C00A8"/>
    <w:rsid w:val="004C0B2B"/>
    <w:rsid w:val="004C0C2B"/>
    <w:rsid w:val="004C13F2"/>
    <w:rsid w:val="004C28E8"/>
    <w:rsid w:val="004C486C"/>
    <w:rsid w:val="004C4D8C"/>
    <w:rsid w:val="004C567F"/>
    <w:rsid w:val="004C5C1D"/>
    <w:rsid w:val="004D0FF0"/>
    <w:rsid w:val="004D17C1"/>
    <w:rsid w:val="004D202E"/>
    <w:rsid w:val="004D29BD"/>
    <w:rsid w:val="004D31A1"/>
    <w:rsid w:val="004D37E2"/>
    <w:rsid w:val="004D4026"/>
    <w:rsid w:val="004D4631"/>
    <w:rsid w:val="004D54AE"/>
    <w:rsid w:val="004E074D"/>
    <w:rsid w:val="004E1605"/>
    <w:rsid w:val="004E1938"/>
    <w:rsid w:val="004E1954"/>
    <w:rsid w:val="004E2C3D"/>
    <w:rsid w:val="004E2E48"/>
    <w:rsid w:val="004E4EF9"/>
    <w:rsid w:val="004E520C"/>
    <w:rsid w:val="004E5D5C"/>
    <w:rsid w:val="004E7829"/>
    <w:rsid w:val="004F08DF"/>
    <w:rsid w:val="004F11FB"/>
    <w:rsid w:val="004F16E1"/>
    <w:rsid w:val="004F2131"/>
    <w:rsid w:val="004F5152"/>
    <w:rsid w:val="004F5F77"/>
    <w:rsid w:val="004F5F9F"/>
    <w:rsid w:val="004F6DDB"/>
    <w:rsid w:val="004F7198"/>
    <w:rsid w:val="00501537"/>
    <w:rsid w:val="0050454C"/>
    <w:rsid w:val="0050481F"/>
    <w:rsid w:val="005108A4"/>
    <w:rsid w:val="005112F3"/>
    <w:rsid w:val="005117B7"/>
    <w:rsid w:val="005135F7"/>
    <w:rsid w:val="00514970"/>
    <w:rsid w:val="0051550C"/>
    <w:rsid w:val="0051644F"/>
    <w:rsid w:val="00516F63"/>
    <w:rsid w:val="005221D6"/>
    <w:rsid w:val="00524297"/>
    <w:rsid w:val="0052566A"/>
    <w:rsid w:val="0052754C"/>
    <w:rsid w:val="00527B26"/>
    <w:rsid w:val="00527E40"/>
    <w:rsid w:val="00530351"/>
    <w:rsid w:val="005304D3"/>
    <w:rsid w:val="0053232C"/>
    <w:rsid w:val="005358D3"/>
    <w:rsid w:val="00535C9A"/>
    <w:rsid w:val="00535DCD"/>
    <w:rsid w:val="00536304"/>
    <w:rsid w:val="005449D1"/>
    <w:rsid w:val="00544B00"/>
    <w:rsid w:val="00546FF2"/>
    <w:rsid w:val="005473B8"/>
    <w:rsid w:val="00547C56"/>
    <w:rsid w:val="00550C1E"/>
    <w:rsid w:val="0055210C"/>
    <w:rsid w:val="0055300E"/>
    <w:rsid w:val="00555358"/>
    <w:rsid w:val="00555D49"/>
    <w:rsid w:val="0055602D"/>
    <w:rsid w:val="005567C7"/>
    <w:rsid w:val="00560818"/>
    <w:rsid w:val="0056106C"/>
    <w:rsid w:val="0056254B"/>
    <w:rsid w:val="005636D1"/>
    <w:rsid w:val="005655B1"/>
    <w:rsid w:val="0057058A"/>
    <w:rsid w:val="00570C9E"/>
    <w:rsid w:val="00573C0A"/>
    <w:rsid w:val="005756A3"/>
    <w:rsid w:val="005759DB"/>
    <w:rsid w:val="00576651"/>
    <w:rsid w:val="00583420"/>
    <w:rsid w:val="00585AE8"/>
    <w:rsid w:val="00586163"/>
    <w:rsid w:val="00586BF3"/>
    <w:rsid w:val="0058781A"/>
    <w:rsid w:val="00590EDA"/>
    <w:rsid w:val="00591EAA"/>
    <w:rsid w:val="005924B5"/>
    <w:rsid w:val="00592574"/>
    <w:rsid w:val="0059340C"/>
    <w:rsid w:val="00594B29"/>
    <w:rsid w:val="005A176E"/>
    <w:rsid w:val="005A4E8E"/>
    <w:rsid w:val="005A546D"/>
    <w:rsid w:val="005A7238"/>
    <w:rsid w:val="005A7347"/>
    <w:rsid w:val="005A749D"/>
    <w:rsid w:val="005A787E"/>
    <w:rsid w:val="005B01E4"/>
    <w:rsid w:val="005B185A"/>
    <w:rsid w:val="005B2166"/>
    <w:rsid w:val="005B23B8"/>
    <w:rsid w:val="005B3751"/>
    <w:rsid w:val="005B51BF"/>
    <w:rsid w:val="005B5513"/>
    <w:rsid w:val="005B7319"/>
    <w:rsid w:val="005B7930"/>
    <w:rsid w:val="005B7CF2"/>
    <w:rsid w:val="005C0777"/>
    <w:rsid w:val="005C422F"/>
    <w:rsid w:val="005C42D7"/>
    <w:rsid w:val="005C5B89"/>
    <w:rsid w:val="005C64A2"/>
    <w:rsid w:val="005C681A"/>
    <w:rsid w:val="005C6D27"/>
    <w:rsid w:val="005C7326"/>
    <w:rsid w:val="005C7F9A"/>
    <w:rsid w:val="005D0247"/>
    <w:rsid w:val="005D4EAF"/>
    <w:rsid w:val="005D76C7"/>
    <w:rsid w:val="005D7B4C"/>
    <w:rsid w:val="005E0C01"/>
    <w:rsid w:val="005E112C"/>
    <w:rsid w:val="005E132D"/>
    <w:rsid w:val="005E65E1"/>
    <w:rsid w:val="005E68AC"/>
    <w:rsid w:val="005E6D76"/>
    <w:rsid w:val="005E7935"/>
    <w:rsid w:val="005F316F"/>
    <w:rsid w:val="005F61FC"/>
    <w:rsid w:val="005F664C"/>
    <w:rsid w:val="005F69BA"/>
    <w:rsid w:val="005F7AFE"/>
    <w:rsid w:val="00600C8F"/>
    <w:rsid w:val="00601285"/>
    <w:rsid w:val="006013E0"/>
    <w:rsid w:val="00602DFC"/>
    <w:rsid w:val="00603D2D"/>
    <w:rsid w:val="00606447"/>
    <w:rsid w:val="006101A2"/>
    <w:rsid w:val="00610304"/>
    <w:rsid w:val="006122DD"/>
    <w:rsid w:val="00612455"/>
    <w:rsid w:val="00613DD3"/>
    <w:rsid w:val="0062345C"/>
    <w:rsid w:val="00624082"/>
    <w:rsid w:val="006241B9"/>
    <w:rsid w:val="006253BF"/>
    <w:rsid w:val="00626F6A"/>
    <w:rsid w:val="006303F9"/>
    <w:rsid w:val="00630FB7"/>
    <w:rsid w:val="006310CA"/>
    <w:rsid w:val="00632B62"/>
    <w:rsid w:val="00633915"/>
    <w:rsid w:val="00634E10"/>
    <w:rsid w:val="00640AF3"/>
    <w:rsid w:val="00642E88"/>
    <w:rsid w:val="006430F9"/>
    <w:rsid w:val="0064322D"/>
    <w:rsid w:val="00643829"/>
    <w:rsid w:val="00644BEB"/>
    <w:rsid w:val="006463E6"/>
    <w:rsid w:val="00646E94"/>
    <w:rsid w:val="00647262"/>
    <w:rsid w:val="00647825"/>
    <w:rsid w:val="0064784E"/>
    <w:rsid w:val="00651C29"/>
    <w:rsid w:val="0065342B"/>
    <w:rsid w:val="00653765"/>
    <w:rsid w:val="00654B0D"/>
    <w:rsid w:val="006564DE"/>
    <w:rsid w:val="00657137"/>
    <w:rsid w:val="00660115"/>
    <w:rsid w:val="0066013F"/>
    <w:rsid w:val="00660301"/>
    <w:rsid w:val="0066186E"/>
    <w:rsid w:val="00663F48"/>
    <w:rsid w:val="00666B60"/>
    <w:rsid w:val="006670D9"/>
    <w:rsid w:val="00670853"/>
    <w:rsid w:val="006746CC"/>
    <w:rsid w:val="00676248"/>
    <w:rsid w:val="006765A6"/>
    <w:rsid w:val="00676D15"/>
    <w:rsid w:val="00677DC4"/>
    <w:rsid w:val="00681C63"/>
    <w:rsid w:val="00681DE0"/>
    <w:rsid w:val="00681F75"/>
    <w:rsid w:val="00682154"/>
    <w:rsid w:val="00682AE1"/>
    <w:rsid w:val="00682E37"/>
    <w:rsid w:val="006849C9"/>
    <w:rsid w:val="00684CF9"/>
    <w:rsid w:val="00691AE3"/>
    <w:rsid w:val="0069218A"/>
    <w:rsid w:val="00692374"/>
    <w:rsid w:val="00693959"/>
    <w:rsid w:val="00696E2E"/>
    <w:rsid w:val="00697719"/>
    <w:rsid w:val="006A024E"/>
    <w:rsid w:val="006A0DE7"/>
    <w:rsid w:val="006A10E7"/>
    <w:rsid w:val="006A425C"/>
    <w:rsid w:val="006A458F"/>
    <w:rsid w:val="006A499A"/>
    <w:rsid w:val="006B225B"/>
    <w:rsid w:val="006B2392"/>
    <w:rsid w:val="006B5581"/>
    <w:rsid w:val="006B5ADF"/>
    <w:rsid w:val="006B6757"/>
    <w:rsid w:val="006C0CD9"/>
    <w:rsid w:val="006C346E"/>
    <w:rsid w:val="006C4624"/>
    <w:rsid w:val="006C48C8"/>
    <w:rsid w:val="006C5691"/>
    <w:rsid w:val="006C5FD8"/>
    <w:rsid w:val="006C76E6"/>
    <w:rsid w:val="006D078D"/>
    <w:rsid w:val="006D196A"/>
    <w:rsid w:val="006D1E1A"/>
    <w:rsid w:val="006D3080"/>
    <w:rsid w:val="006D67D3"/>
    <w:rsid w:val="006D73D4"/>
    <w:rsid w:val="006E0168"/>
    <w:rsid w:val="006E1048"/>
    <w:rsid w:val="006E2B64"/>
    <w:rsid w:val="006E325B"/>
    <w:rsid w:val="006E36C4"/>
    <w:rsid w:val="006E63ED"/>
    <w:rsid w:val="006E6C05"/>
    <w:rsid w:val="006F0F38"/>
    <w:rsid w:val="006F11F2"/>
    <w:rsid w:val="006F28EE"/>
    <w:rsid w:val="006F3AFF"/>
    <w:rsid w:val="006F6DD8"/>
    <w:rsid w:val="0070122A"/>
    <w:rsid w:val="00703CF6"/>
    <w:rsid w:val="00704C77"/>
    <w:rsid w:val="007055D3"/>
    <w:rsid w:val="0071077A"/>
    <w:rsid w:val="007109A9"/>
    <w:rsid w:val="00711233"/>
    <w:rsid w:val="0071139A"/>
    <w:rsid w:val="00711F0C"/>
    <w:rsid w:val="00714705"/>
    <w:rsid w:val="00714B4E"/>
    <w:rsid w:val="00717DE5"/>
    <w:rsid w:val="00723EE2"/>
    <w:rsid w:val="007250CB"/>
    <w:rsid w:val="007250FB"/>
    <w:rsid w:val="00727931"/>
    <w:rsid w:val="00727DE6"/>
    <w:rsid w:val="00730365"/>
    <w:rsid w:val="00731096"/>
    <w:rsid w:val="00732B05"/>
    <w:rsid w:val="007343E1"/>
    <w:rsid w:val="00734B6F"/>
    <w:rsid w:val="00735829"/>
    <w:rsid w:val="00735B58"/>
    <w:rsid w:val="007368F5"/>
    <w:rsid w:val="00736CE4"/>
    <w:rsid w:val="00737AA8"/>
    <w:rsid w:val="00737E1E"/>
    <w:rsid w:val="0074173E"/>
    <w:rsid w:val="007424A8"/>
    <w:rsid w:val="00742793"/>
    <w:rsid w:val="00742C38"/>
    <w:rsid w:val="00743B01"/>
    <w:rsid w:val="0074586D"/>
    <w:rsid w:val="00747AA9"/>
    <w:rsid w:val="0075004F"/>
    <w:rsid w:val="00750C7C"/>
    <w:rsid w:val="00750D8C"/>
    <w:rsid w:val="00752449"/>
    <w:rsid w:val="007533ED"/>
    <w:rsid w:val="00753CEA"/>
    <w:rsid w:val="00755776"/>
    <w:rsid w:val="007571A1"/>
    <w:rsid w:val="0076028C"/>
    <w:rsid w:val="00760851"/>
    <w:rsid w:val="007630A5"/>
    <w:rsid w:val="0076327B"/>
    <w:rsid w:val="0076567B"/>
    <w:rsid w:val="00770B1A"/>
    <w:rsid w:val="00770D5F"/>
    <w:rsid w:val="00773B66"/>
    <w:rsid w:val="0077506E"/>
    <w:rsid w:val="007750BE"/>
    <w:rsid w:val="00777955"/>
    <w:rsid w:val="00777E89"/>
    <w:rsid w:val="0078010C"/>
    <w:rsid w:val="0078071A"/>
    <w:rsid w:val="00780DA0"/>
    <w:rsid w:val="00781A8A"/>
    <w:rsid w:val="007832AE"/>
    <w:rsid w:val="00783D26"/>
    <w:rsid w:val="0078696D"/>
    <w:rsid w:val="00787DA5"/>
    <w:rsid w:val="0079477E"/>
    <w:rsid w:val="00795C37"/>
    <w:rsid w:val="00797977"/>
    <w:rsid w:val="007A34BB"/>
    <w:rsid w:val="007A3A67"/>
    <w:rsid w:val="007A4FCA"/>
    <w:rsid w:val="007A7D6B"/>
    <w:rsid w:val="007A7F9D"/>
    <w:rsid w:val="007B04F4"/>
    <w:rsid w:val="007B0DF2"/>
    <w:rsid w:val="007B461F"/>
    <w:rsid w:val="007B58AA"/>
    <w:rsid w:val="007B7D6D"/>
    <w:rsid w:val="007C151D"/>
    <w:rsid w:val="007C30E2"/>
    <w:rsid w:val="007C4DA5"/>
    <w:rsid w:val="007C6E83"/>
    <w:rsid w:val="007C7B5A"/>
    <w:rsid w:val="007D037B"/>
    <w:rsid w:val="007D0792"/>
    <w:rsid w:val="007D34F0"/>
    <w:rsid w:val="007D4192"/>
    <w:rsid w:val="007D494D"/>
    <w:rsid w:val="007D690A"/>
    <w:rsid w:val="007E0588"/>
    <w:rsid w:val="007E19B1"/>
    <w:rsid w:val="007E32B5"/>
    <w:rsid w:val="007E564A"/>
    <w:rsid w:val="007F01EF"/>
    <w:rsid w:val="007F0AD4"/>
    <w:rsid w:val="007F0F6E"/>
    <w:rsid w:val="007F2393"/>
    <w:rsid w:val="007F2F7E"/>
    <w:rsid w:val="007F5D11"/>
    <w:rsid w:val="0080057F"/>
    <w:rsid w:val="00801491"/>
    <w:rsid w:val="00801DCC"/>
    <w:rsid w:val="008058EB"/>
    <w:rsid w:val="00805AD7"/>
    <w:rsid w:val="00807155"/>
    <w:rsid w:val="00810FD9"/>
    <w:rsid w:val="0081381D"/>
    <w:rsid w:val="00813C8C"/>
    <w:rsid w:val="00813CA1"/>
    <w:rsid w:val="00814B99"/>
    <w:rsid w:val="008153A0"/>
    <w:rsid w:val="00815B01"/>
    <w:rsid w:val="00815D9E"/>
    <w:rsid w:val="00821188"/>
    <w:rsid w:val="00822630"/>
    <w:rsid w:val="0082276A"/>
    <w:rsid w:val="00825D39"/>
    <w:rsid w:val="0083033C"/>
    <w:rsid w:val="00830CA0"/>
    <w:rsid w:val="0083175F"/>
    <w:rsid w:val="008322B5"/>
    <w:rsid w:val="0083258A"/>
    <w:rsid w:val="008335DE"/>
    <w:rsid w:val="00834C09"/>
    <w:rsid w:val="00840BF7"/>
    <w:rsid w:val="00840C08"/>
    <w:rsid w:val="00841355"/>
    <w:rsid w:val="00841864"/>
    <w:rsid w:val="008440A4"/>
    <w:rsid w:val="00844BE9"/>
    <w:rsid w:val="008451B8"/>
    <w:rsid w:val="0084545A"/>
    <w:rsid w:val="008464ED"/>
    <w:rsid w:val="008466A6"/>
    <w:rsid w:val="00847503"/>
    <w:rsid w:val="008475F1"/>
    <w:rsid w:val="008500CC"/>
    <w:rsid w:val="00853ADC"/>
    <w:rsid w:val="00853E7C"/>
    <w:rsid w:val="008549D9"/>
    <w:rsid w:val="00854A8C"/>
    <w:rsid w:val="00855474"/>
    <w:rsid w:val="00856B4D"/>
    <w:rsid w:val="00856FFA"/>
    <w:rsid w:val="0086040A"/>
    <w:rsid w:val="00860C4E"/>
    <w:rsid w:val="0086187F"/>
    <w:rsid w:val="00861CB1"/>
    <w:rsid w:val="00862099"/>
    <w:rsid w:val="00863F49"/>
    <w:rsid w:val="00864B6E"/>
    <w:rsid w:val="008675CA"/>
    <w:rsid w:val="00867920"/>
    <w:rsid w:val="00870E18"/>
    <w:rsid w:val="00873F0E"/>
    <w:rsid w:val="0087419B"/>
    <w:rsid w:val="00874667"/>
    <w:rsid w:val="00875A82"/>
    <w:rsid w:val="008761CE"/>
    <w:rsid w:val="00880B5F"/>
    <w:rsid w:val="00882025"/>
    <w:rsid w:val="00882255"/>
    <w:rsid w:val="00884184"/>
    <w:rsid w:val="00884F6F"/>
    <w:rsid w:val="0089070F"/>
    <w:rsid w:val="0089111A"/>
    <w:rsid w:val="00891413"/>
    <w:rsid w:val="00891FFC"/>
    <w:rsid w:val="00892228"/>
    <w:rsid w:val="008924A5"/>
    <w:rsid w:val="00893D67"/>
    <w:rsid w:val="008A0B60"/>
    <w:rsid w:val="008A2816"/>
    <w:rsid w:val="008A2C96"/>
    <w:rsid w:val="008A2E5F"/>
    <w:rsid w:val="008A3EC8"/>
    <w:rsid w:val="008A453B"/>
    <w:rsid w:val="008A4B55"/>
    <w:rsid w:val="008A5181"/>
    <w:rsid w:val="008A52D5"/>
    <w:rsid w:val="008A64F8"/>
    <w:rsid w:val="008A6BA2"/>
    <w:rsid w:val="008B0A11"/>
    <w:rsid w:val="008B15D7"/>
    <w:rsid w:val="008B2D34"/>
    <w:rsid w:val="008B36CD"/>
    <w:rsid w:val="008B5A5F"/>
    <w:rsid w:val="008B6AA8"/>
    <w:rsid w:val="008B75CA"/>
    <w:rsid w:val="008C03B0"/>
    <w:rsid w:val="008D03AA"/>
    <w:rsid w:val="008D06DA"/>
    <w:rsid w:val="008D16A0"/>
    <w:rsid w:val="008D2A55"/>
    <w:rsid w:val="008D2FA9"/>
    <w:rsid w:val="008D4396"/>
    <w:rsid w:val="008D49D1"/>
    <w:rsid w:val="008D57A0"/>
    <w:rsid w:val="008E23A6"/>
    <w:rsid w:val="008E2875"/>
    <w:rsid w:val="008E2A7E"/>
    <w:rsid w:val="008E2D4B"/>
    <w:rsid w:val="008E367F"/>
    <w:rsid w:val="008E417A"/>
    <w:rsid w:val="008E51CD"/>
    <w:rsid w:val="008E5A48"/>
    <w:rsid w:val="008E6F7B"/>
    <w:rsid w:val="008E7E5F"/>
    <w:rsid w:val="008F12C6"/>
    <w:rsid w:val="008F20CD"/>
    <w:rsid w:val="008F216A"/>
    <w:rsid w:val="008F235B"/>
    <w:rsid w:val="008F326E"/>
    <w:rsid w:val="008F4629"/>
    <w:rsid w:val="008F726F"/>
    <w:rsid w:val="00901747"/>
    <w:rsid w:val="009040DA"/>
    <w:rsid w:val="00910060"/>
    <w:rsid w:val="0091184D"/>
    <w:rsid w:val="00912795"/>
    <w:rsid w:val="009129D1"/>
    <w:rsid w:val="00912C76"/>
    <w:rsid w:val="00912D5B"/>
    <w:rsid w:val="0091314C"/>
    <w:rsid w:val="00913741"/>
    <w:rsid w:val="00916127"/>
    <w:rsid w:val="0091666C"/>
    <w:rsid w:val="00920538"/>
    <w:rsid w:val="00920F6B"/>
    <w:rsid w:val="00921F1E"/>
    <w:rsid w:val="009223D3"/>
    <w:rsid w:val="00923959"/>
    <w:rsid w:val="00923BEF"/>
    <w:rsid w:val="00925724"/>
    <w:rsid w:val="00926682"/>
    <w:rsid w:val="009302A9"/>
    <w:rsid w:val="009306E2"/>
    <w:rsid w:val="00931C78"/>
    <w:rsid w:val="00933698"/>
    <w:rsid w:val="0094113F"/>
    <w:rsid w:val="0094125D"/>
    <w:rsid w:val="00942EC3"/>
    <w:rsid w:val="0094492A"/>
    <w:rsid w:val="00944AC4"/>
    <w:rsid w:val="00945A09"/>
    <w:rsid w:val="00947502"/>
    <w:rsid w:val="00947DBA"/>
    <w:rsid w:val="009510D5"/>
    <w:rsid w:val="00951386"/>
    <w:rsid w:val="009519F0"/>
    <w:rsid w:val="00951DCF"/>
    <w:rsid w:val="009521C5"/>
    <w:rsid w:val="009534ED"/>
    <w:rsid w:val="00955001"/>
    <w:rsid w:val="0095508A"/>
    <w:rsid w:val="009570D1"/>
    <w:rsid w:val="009600C6"/>
    <w:rsid w:val="00962766"/>
    <w:rsid w:val="00962901"/>
    <w:rsid w:val="0096354E"/>
    <w:rsid w:val="009651A8"/>
    <w:rsid w:val="009658C8"/>
    <w:rsid w:val="0096789E"/>
    <w:rsid w:val="00971E04"/>
    <w:rsid w:val="009722D3"/>
    <w:rsid w:val="00972A10"/>
    <w:rsid w:val="00972A76"/>
    <w:rsid w:val="00975341"/>
    <w:rsid w:val="00976C83"/>
    <w:rsid w:val="0097753D"/>
    <w:rsid w:val="00987A8C"/>
    <w:rsid w:val="00987AAD"/>
    <w:rsid w:val="0099096E"/>
    <w:rsid w:val="0099382A"/>
    <w:rsid w:val="009A1222"/>
    <w:rsid w:val="009A2377"/>
    <w:rsid w:val="009A41E8"/>
    <w:rsid w:val="009A443D"/>
    <w:rsid w:val="009A5F6C"/>
    <w:rsid w:val="009A6967"/>
    <w:rsid w:val="009A71A5"/>
    <w:rsid w:val="009A7B2C"/>
    <w:rsid w:val="009B0510"/>
    <w:rsid w:val="009B2293"/>
    <w:rsid w:val="009B2411"/>
    <w:rsid w:val="009B25DA"/>
    <w:rsid w:val="009B25FC"/>
    <w:rsid w:val="009B37AC"/>
    <w:rsid w:val="009B3894"/>
    <w:rsid w:val="009B4303"/>
    <w:rsid w:val="009B438C"/>
    <w:rsid w:val="009B4E23"/>
    <w:rsid w:val="009B5D59"/>
    <w:rsid w:val="009B7CBB"/>
    <w:rsid w:val="009C0796"/>
    <w:rsid w:val="009C1972"/>
    <w:rsid w:val="009D419D"/>
    <w:rsid w:val="009D4374"/>
    <w:rsid w:val="009D594D"/>
    <w:rsid w:val="009D5A0A"/>
    <w:rsid w:val="009D7791"/>
    <w:rsid w:val="009E01F3"/>
    <w:rsid w:val="009E03FD"/>
    <w:rsid w:val="009E1CA6"/>
    <w:rsid w:val="009E216C"/>
    <w:rsid w:val="009E5038"/>
    <w:rsid w:val="009E6212"/>
    <w:rsid w:val="009E66CE"/>
    <w:rsid w:val="009E7B94"/>
    <w:rsid w:val="009F10A2"/>
    <w:rsid w:val="009F2599"/>
    <w:rsid w:val="009F377D"/>
    <w:rsid w:val="009F452D"/>
    <w:rsid w:val="009F6B11"/>
    <w:rsid w:val="009F71BA"/>
    <w:rsid w:val="009F746B"/>
    <w:rsid w:val="009F7B95"/>
    <w:rsid w:val="00A05D10"/>
    <w:rsid w:val="00A11575"/>
    <w:rsid w:val="00A1652A"/>
    <w:rsid w:val="00A16A98"/>
    <w:rsid w:val="00A20DB5"/>
    <w:rsid w:val="00A258A9"/>
    <w:rsid w:val="00A25EE1"/>
    <w:rsid w:val="00A260AC"/>
    <w:rsid w:val="00A26552"/>
    <w:rsid w:val="00A27643"/>
    <w:rsid w:val="00A27C3C"/>
    <w:rsid w:val="00A3097B"/>
    <w:rsid w:val="00A314CF"/>
    <w:rsid w:val="00A3364B"/>
    <w:rsid w:val="00A33F10"/>
    <w:rsid w:val="00A34150"/>
    <w:rsid w:val="00A349AF"/>
    <w:rsid w:val="00A35C72"/>
    <w:rsid w:val="00A44D2E"/>
    <w:rsid w:val="00A46CED"/>
    <w:rsid w:val="00A47A31"/>
    <w:rsid w:val="00A50CD7"/>
    <w:rsid w:val="00A50E82"/>
    <w:rsid w:val="00A516FC"/>
    <w:rsid w:val="00A52153"/>
    <w:rsid w:val="00A602A0"/>
    <w:rsid w:val="00A61E18"/>
    <w:rsid w:val="00A64DCF"/>
    <w:rsid w:val="00A65BE4"/>
    <w:rsid w:val="00A665D8"/>
    <w:rsid w:val="00A70E85"/>
    <w:rsid w:val="00A73022"/>
    <w:rsid w:val="00A733F6"/>
    <w:rsid w:val="00A748C0"/>
    <w:rsid w:val="00A7572E"/>
    <w:rsid w:val="00A75BE3"/>
    <w:rsid w:val="00A770F4"/>
    <w:rsid w:val="00A81EE2"/>
    <w:rsid w:val="00A84CC0"/>
    <w:rsid w:val="00A84E5B"/>
    <w:rsid w:val="00A85B8A"/>
    <w:rsid w:val="00A86F11"/>
    <w:rsid w:val="00A875E2"/>
    <w:rsid w:val="00A92F12"/>
    <w:rsid w:val="00A94293"/>
    <w:rsid w:val="00A952F0"/>
    <w:rsid w:val="00A9540E"/>
    <w:rsid w:val="00A954F7"/>
    <w:rsid w:val="00A956D3"/>
    <w:rsid w:val="00A96AF3"/>
    <w:rsid w:val="00A96CB6"/>
    <w:rsid w:val="00A96FBD"/>
    <w:rsid w:val="00A97A53"/>
    <w:rsid w:val="00AA09DF"/>
    <w:rsid w:val="00AA206C"/>
    <w:rsid w:val="00AA27E1"/>
    <w:rsid w:val="00AA3C9D"/>
    <w:rsid w:val="00AA5D3C"/>
    <w:rsid w:val="00AA68CB"/>
    <w:rsid w:val="00AB0E22"/>
    <w:rsid w:val="00AB15D2"/>
    <w:rsid w:val="00AB171C"/>
    <w:rsid w:val="00AB2E8E"/>
    <w:rsid w:val="00AB319B"/>
    <w:rsid w:val="00AB4669"/>
    <w:rsid w:val="00AB6126"/>
    <w:rsid w:val="00AC5257"/>
    <w:rsid w:val="00AC7574"/>
    <w:rsid w:val="00AD1952"/>
    <w:rsid w:val="00AD2762"/>
    <w:rsid w:val="00AD33A2"/>
    <w:rsid w:val="00AD368C"/>
    <w:rsid w:val="00AD5AEB"/>
    <w:rsid w:val="00AD5C1D"/>
    <w:rsid w:val="00AD6960"/>
    <w:rsid w:val="00AE3181"/>
    <w:rsid w:val="00AE4BE8"/>
    <w:rsid w:val="00AE4C50"/>
    <w:rsid w:val="00AE69CA"/>
    <w:rsid w:val="00AE6E8C"/>
    <w:rsid w:val="00AF116A"/>
    <w:rsid w:val="00AF4157"/>
    <w:rsid w:val="00AF6325"/>
    <w:rsid w:val="00B012E2"/>
    <w:rsid w:val="00B03617"/>
    <w:rsid w:val="00B03962"/>
    <w:rsid w:val="00B0702A"/>
    <w:rsid w:val="00B10066"/>
    <w:rsid w:val="00B10FD1"/>
    <w:rsid w:val="00B12B69"/>
    <w:rsid w:val="00B1547C"/>
    <w:rsid w:val="00B15901"/>
    <w:rsid w:val="00B16CF7"/>
    <w:rsid w:val="00B202E2"/>
    <w:rsid w:val="00B23CBB"/>
    <w:rsid w:val="00B27063"/>
    <w:rsid w:val="00B30144"/>
    <w:rsid w:val="00B323FD"/>
    <w:rsid w:val="00B32B31"/>
    <w:rsid w:val="00B32CCD"/>
    <w:rsid w:val="00B32D2F"/>
    <w:rsid w:val="00B32D56"/>
    <w:rsid w:val="00B34CC0"/>
    <w:rsid w:val="00B34E0F"/>
    <w:rsid w:val="00B35ABA"/>
    <w:rsid w:val="00B376E4"/>
    <w:rsid w:val="00B40E29"/>
    <w:rsid w:val="00B42A85"/>
    <w:rsid w:val="00B42CB9"/>
    <w:rsid w:val="00B433C2"/>
    <w:rsid w:val="00B43ECD"/>
    <w:rsid w:val="00B44765"/>
    <w:rsid w:val="00B50444"/>
    <w:rsid w:val="00B529ED"/>
    <w:rsid w:val="00B52F44"/>
    <w:rsid w:val="00B539DB"/>
    <w:rsid w:val="00B5581E"/>
    <w:rsid w:val="00B642C0"/>
    <w:rsid w:val="00B64409"/>
    <w:rsid w:val="00B64AEB"/>
    <w:rsid w:val="00B652F6"/>
    <w:rsid w:val="00B65F16"/>
    <w:rsid w:val="00B71CA4"/>
    <w:rsid w:val="00B71ECD"/>
    <w:rsid w:val="00B7346F"/>
    <w:rsid w:val="00B74973"/>
    <w:rsid w:val="00B756DD"/>
    <w:rsid w:val="00B80734"/>
    <w:rsid w:val="00B80AA0"/>
    <w:rsid w:val="00B80F66"/>
    <w:rsid w:val="00B834A3"/>
    <w:rsid w:val="00B83780"/>
    <w:rsid w:val="00B91592"/>
    <w:rsid w:val="00B94ABF"/>
    <w:rsid w:val="00B954E3"/>
    <w:rsid w:val="00B96635"/>
    <w:rsid w:val="00B977C0"/>
    <w:rsid w:val="00BA03A7"/>
    <w:rsid w:val="00BA3394"/>
    <w:rsid w:val="00BA33C7"/>
    <w:rsid w:val="00BA3E5E"/>
    <w:rsid w:val="00BA4776"/>
    <w:rsid w:val="00BA4E53"/>
    <w:rsid w:val="00BA7EB4"/>
    <w:rsid w:val="00BB1CE8"/>
    <w:rsid w:val="00BB39FF"/>
    <w:rsid w:val="00BB54DD"/>
    <w:rsid w:val="00BB6421"/>
    <w:rsid w:val="00BB65EA"/>
    <w:rsid w:val="00BB68FB"/>
    <w:rsid w:val="00BB6AC0"/>
    <w:rsid w:val="00BB7F8A"/>
    <w:rsid w:val="00BC3CE0"/>
    <w:rsid w:val="00BC4984"/>
    <w:rsid w:val="00BC4CB1"/>
    <w:rsid w:val="00BC4E3B"/>
    <w:rsid w:val="00BC6951"/>
    <w:rsid w:val="00BC724D"/>
    <w:rsid w:val="00BC7B6E"/>
    <w:rsid w:val="00BD0A3E"/>
    <w:rsid w:val="00BD1502"/>
    <w:rsid w:val="00BD296D"/>
    <w:rsid w:val="00BD2E9B"/>
    <w:rsid w:val="00BD3900"/>
    <w:rsid w:val="00BD6345"/>
    <w:rsid w:val="00BD6529"/>
    <w:rsid w:val="00BD7C52"/>
    <w:rsid w:val="00BE2412"/>
    <w:rsid w:val="00BE2FE2"/>
    <w:rsid w:val="00BE37DD"/>
    <w:rsid w:val="00BE4E22"/>
    <w:rsid w:val="00BE52A1"/>
    <w:rsid w:val="00BE6F9A"/>
    <w:rsid w:val="00BF2148"/>
    <w:rsid w:val="00BF246B"/>
    <w:rsid w:val="00BF5861"/>
    <w:rsid w:val="00BF6E32"/>
    <w:rsid w:val="00C004A9"/>
    <w:rsid w:val="00C012B0"/>
    <w:rsid w:val="00C017DF"/>
    <w:rsid w:val="00C04CEF"/>
    <w:rsid w:val="00C05D6B"/>
    <w:rsid w:val="00C06C75"/>
    <w:rsid w:val="00C070F9"/>
    <w:rsid w:val="00C10806"/>
    <w:rsid w:val="00C10D99"/>
    <w:rsid w:val="00C14130"/>
    <w:rsid w:val="00C162D7"/>
    <w:rsid w:val="00C162EC"/>
    <w:rsid w:val="00C17972"/>
    <w:rsid w:val="00C23129"/>
    <w:rsid w:val="00C238D1"/>
    <w:rsid w:val="00C23B1E"/>
    <w:rsid w:val="00C259A3"/>
    <w:rsid w:val="00C30D4E"/>
    <w:rsid w:val="00C4163E"/>
    <w:rsid w:val="00C4196B"/>
    <w:rsid w:val="00C421C3"/>
    <w:rsid w:val="00C4513E"/>
    <w:rsid w:val="00C4527C"/>
    <w:rsid w:val="00C463C6"/>
    <w:rsid w:val="00C46797"/>
    <w:rsid w:val="00C50C7A"/>
    <w:rsid w:val="00C51B43"/>
    <w:rsid w:val="00C53B8A"/>
    <w:rsid w:val="00C53F44"/>
    <w:rsid w:val="00C5441F"/>
    <w:rsid w:val="00C5588C"/>
    <w:rsid w:val="00C55A85"/>
    <w:rsid w:val="00C567C5"/>
    <w:rsid w:val="00C578E6"/>
    <w:rsid w:val="00C60038"/>
    <w:rsid w:val="00C601E7"/>
    <w:rsid w:val="00C6052B"/>
    <w:rsid w:val="00C60879"/>
    <w:rsid w:val="00C60CE4"/>
    <w:rsid w:val="00C632DE"/>
    <w:rsid w:val="00C63BAC"/>
    <w:rsid w:val="00C63C5D"/>
    <w:rsid w:val="00C63CAA"/>
    <w:rsid w:val="00C63DD8"/>
    <w:rsid w:val="00C650B0"/>
    <w:rsid w:val="00C65175"/>
    <w:rsid w:val="00C655EE"/>
    <w:rsid w:val="00C65D99"/>
    <w:rsid w:val="00C66973"/>
    <w:rsid w:val="00C70DD8"/>
    <w:rsid w:val="00C7142F"/>
    <w:rsid w:val="00C74362"/>
    <w:rsid w:val="00C81200"/>
    <w:rsid w:val="00C81DFE"/>
    <w:rsid w:val="00C84145"/>
    <w:rsid w:val="00C96D40"/>
    <w:rsid w:val="00C97C9A"/>
    <w:rsid w:val="00CA1BD0"/>
    <w:rsid w:val="00CA24F9"/>
    <w:rsid w:val="00CA58A1"/>
    <w:rsid w:val="00CA6051"/>
    <w:rsid w:val="00CA7B39"/>
    <w:rsid w:val="00CB033A"/>
    <w:rsid w:val="00CB1040"/>
    <w:rsid w:val="00CB1769"/>
    <w:rsid w:val="00CB1BF5"/>
    <w:rsid w:val="00CB2589"/>
    <w:rsid w:val="00CB4D92"/>
    <w:rsid w:val="00CB4E40"/>
    <w:rsid w:val="00CB4FE3"/>
    <w:rsid w:val="00CB5933"/>
    <w:rsid w:val="00CB65E2"/>
    <w:rsid w:val="00CB67FE"/>
    <w:rsid w:val="00CB6CA3"/>
    <w:rsid w:val="00CB77B3"/>
    <w:rsid w:val="00CB7E85"/>
    <w:rsid w:val="00CC09ED"/>
    <w:rsid w:val="00CC19A8"/>
    <w:rsid w:val="00CC32EA"/>
    <w:rsid w:val="00CC3F6A"/>
    <w:rsid w:val="00CC4D93"/>
    <w:rsid w:val="00CC7CB5"/>
    <w:rsid w:val="00CD12FF"/>
    <w:rsid w:val="00CD22BE"/>
    <w:rsid w:val="00CD3AF8"/>
    <w:rsid w:val="00CD5596"/>
    <w:rsid w:val="00CD5EF3"/>
    <w:rsid w:val="00CD678F"/>
    <w:rsid w:val="00CD7462"/>
    <w:rsid w:val="00CE3161"/>
    <w:rsid w:val="00CE7B32"/>
    <w:rsid w:val="00CE7F0A"/>
    <w:rsid w:val="00CF02A9"/>
    <w:rsid w:val="00CF1961"/>
    <w:rsid w:val="00CF1CD2"/>
    <w:rsid w:val="00CF21A2"/>
    <w:rsid w:val="00CF30B5"/>
    <w:rsid w:val="00CF53B7"/>
    <w:rsid w:val="00CF62BA"/>
    <w:rsid w:val="00CF726E"/>
    <w:rsid w:val="00CF7D3F"/>
    <w:rsid w:val="00D02D8D"/>
    <w:rsid w:val="00D04048"/>
    <w:rsid w:val="00D048FD"/>
    <w:rsid w:val="00D04B2A"/>
    <w:rsid w:val="00D07CC4"/>
    <w:rsid w:val="00D11AEA"/>
    <w:rsid w:val="00D14D2E"/>
    <w:rsid w:val="00D15129"/>
    <w:rsid w:val="00D1521E"/>
    <w:rsid w:val="00D157F3"/>
    <w:rsid w:val="00D15E47"/>
    <w:rsid w:val="00D160C9"/>
    <w:rsid w:val="00D166E0"/>
    <w:rsid w:val="00D177C1"/>
    <w:rsid w:val="00D209C8"/>
    <w:rsid w:val="00D21402"/>
    <w:rsid w:val="00D21C8A"/>
    <w:rsid w:val="00D220F4"/>
    <w:rsid w:val="00D25944"/>
    <w:rsid w:val="00D30965"/>
    <w:rsid w:val="00D31D3A"/>
    <w:rsid w:val="00D3288C"/>
    <w:rsid w:val="00D33CE3"/>
    <w:rsid w:val="00D37820"/>
    <w:rsid w:val="00D41E54"/>
    <w:rsid w:val="00D4304A"/>
    <w:rsid w:val="00D446AF"/>
    <w:rsid w:val="00D46762"/>
    <w:rsid w:val="00D50096"/>
    <w:rsid w:val="00D5098D"/>
    <w:rsid w:val="00D50DAD"/>
    <w:rsid w:val="00D51D27"/>
    <w:rsid w:val="00D51E27"/>
    <w:rsid w:val="00D53C13"/>
    <w:rsid w:val="00D57863"/>
    <w:rsid w:val="00D607C7"/>
    <w:rsid w:val="00D60891"/>
    <w:rsid w:val="00D63E32"/>
    <w:rsid w:val="00D651E4"/>
    <w:rsid w:val="00D65C17"/>
    <w:rsid w:val="00D714D5"/>
    <w:rsid w:val="00D71C6F"/>
    <w:rsid w:val="00D74EDA"/>
    <w:rsid w:val="00D75480"/>
    <w:rsid w:val="00D76577"/>
    <w:rsid w:val="00D775CF"/>
    <w:rsid w:val="00D8013F"/>
    <w:rsid w:val="00D80DC3"/>
    <w:rsid w:val="00D83DD3"/>
    <w:rsid w:val="00D852B3"/>
    <w:rsid w:val="00D85705"/>
    <w:rsid w:val="00D8579B"/>
    <w:rsid w:val="00D8653E"/>
    <w:rsid w:val="00D902CD"/>
    <w:rsid w:val="00D9120E"/>
    <w:rsid w:val="00D91B8F"/>
    <w:rsid w:val="00D92F0E"/>
    <w:rsid w:val="00D9498C"/>
    <w:rsid w:val="00D97456"/>
    <w:rsid w:val="00DA37BE"/>
    <w:rsid w:val="00DA441E"/>
    <w:rsid w:val="00DA5ECF"/>
    <w:rsid w:val="00DB200D"/>
    <w:rsid w:val="00DB2EBA"/>
    <w:rsid w:val="00DB3594"/>
    <w:rsid w:val="00DB46E0"/>
    <w:rsid w:val="00DB5299"/>
    <w:rsid w:val="00DB52D8"/>
    <w:rsid w:val="00DB7F33"/>
    <w:rsid w:val="00DC13E9"/>
    <w:rsid w:val="00DC5837"/>
    <w:rsid w:val="00DC60EC"/>
    <w:rsid w:val="00DC66A6"/>
    <w:rsid w:val="00DD0405"/>
    <w:rsid w:val="00DD15BC"/>
    <w:rsid w:val="00DD18D7"/>
    <w:rsid w:val="00DD1A79"/>
    <w:rsid w:val="00DD47BD"/>
    <w:rsid w:val="00DD648E"/>
    <w:rsid w:val="00DE0D34"/>
    <w:rsid w:val="00DE2271"/>
    <w:rsid w:val="00DE27AC"/>
    <w:rsid w:val="00DE5D01"/>
    <w:rsid w:val="00DE74EF"/>
    <w:rsid w:val="00DE7730"/>
    <w:rsid w:val="00DF1A7A"/>
    <w:rsid w:val="00DF589E"/>
    <w:rsid w:val="00DF5F2D"/>
    <w:rsid w:val="00DF7F53"/>
    <w:rsid w:val="00E02E58"/>
    <w:rsid w:val="00E03F21"/>
    <w:rsid w:val="00E0427B"/>
    <w:rsid w:val="00E04B22"/>
    <w:rsid w:val="00E05534"/>
    <w:rsid w:val="00E11028"/>
    <w:rsid w:val="00E13CE2"/>
    <w:rsid w:val="00E1467D"/>
    <w:rsid w:val="00E20694"/>
    <w:rsid w:val="00E207FB"/>
    <w:rsid w:val="00E22223"/>
    <w:rsid w:val="00E22FF7"/>
    <w:rsid w:val="00E24697"/>
    <w:rsid w:val="00E25590"/>
    <w:rsid w:val="00E25892"/>
    <w:rsid w:val="00E26562"/>
    <w:rsid w:val="00E27377"/>
    <w:rsid w:val="00E30754"/>
    <w:rsid w:val="00E30F50"/>
    <w:rsid w:val="00E31404"/>
    <w:rsid w:val="00E31DFE"/>
    <w:rsid w:val="00E3289D"/>
    <w:rsid w:val="00E374BF"/>
    <w:rsid w:val="00E40888"/>
    <w:rsid w:val="00E41757"/>
    <w:rsid w:val="00E41850"/>
    <w:rsid w:val="00E43693"/>
    <w:rsid w:val="00E44D5A"/>
    <w:rsid w:val="00E45DE4"/>
    <w:rsid w:val="00E508D8"/>
    <w:rsid w:val="00E508D9"/>
    <w:rsid w:val="00E51904"/>
    <w:rsid w:val="00E529D3"/>
    <w:rsid w:val="00E52E5E"/>
    <w:rsid w:val="00E53777"/>
    <w:rsid w:val="00E53DAE"/>
    <w:rsid w:val="00E57819"/>
    <w:rsid w:val="00E627FC"/>
    <w:rsid w:val="00E6348B"/>
    <w:rsid w:val="00E64563"/>
    <w:rsid w:val="00E64EE3"/>
    <w:rsid w:val="00E65278"/>
    <w:rsid w:val="00E67599"/>
    <w:rsid w:val="00E72B8B"/>
    <w:rsid w:val="00E731EE"/>
    <w:rsid w:val="00E740E6"/>
    <w:rsid w:val="00E75DF4"/>
    <w:rsid w:val="00E80335"/>
    <w:rsid w:val="00E8210B"/>
    <w:rsid w:val="00E85771"/>
    <w:rsid w:val="00E8693C"/>
    <w:rsid w:val="00E9062D"/>
    <w:rsid w:val="00E90ADB"/>
    <w:rsid w:val="00E911C7"/>
    <w:rsid w:val="00E91270"/>
    <w:rsid w:val="00E91D05"/>
    <w:rsid w:val="00E94F01"/>
    <w:rsid w:val="00E96BBE"/>
    <w:rsid w:val="00E9790F"/>
    <w:rsid w:val="00EA29E4"/>
    <w:rsid w:val="00EA394B"/>
    <w:rsid w:val="00EA39E7"/>
    <w:rsid w:val="00EA74D0"/>
    <w:rsid w:val="00EA7528"/>
    <w:rsid w:val="00EB00D2"/>
    <w:rsid w:val="00EB0976"/>
    <w:rsid w:val="00EB0EA7"/>
    <w:rsid w:val="00EB1781"/>
    <w:rsid w:val="00EB63A4"/>
    <w:rsid w:val="00EB72A8"/>
    <w:rsid w:val="00EC0307"/>
    <w:rsid w:val="00EC14DA"/>
    <w:rsid w:val="00EC1A36"/>
    <w:rsid w:val="00EC35E3"/>
    <w:rsid w:val="00EC4A1B"/>
    <w:rsid w:val="00ED029B"/>
    <w:rsid w:val="00ED058A"/>
    <w:rsid w:val="00ED150E"/>
    <w:rsid w:val="00ED182C"/>
    <w:rsid w:val="00ED1E5D"/>
    <w:rsid w:val="00ED4324"/>
    <w:rsid w:val="00ED543E"/>
    <w:rsid w:val="00ED703E"/>
    <w:rsid w:val="00EE12FC"/>
    <w:rsid w:val="00EE23CD"/>
    <w:rsid w:val="00EE2E95"/>
    <w:rsid w:val="00EE39A8"/>
    <w:rsid w:val="00EE3D15"/>
    <w:rsid w:val="00EE4ECD"/>
    <w:rsid w:val="00EE5B9B"/>
    <w:rsid w:val="00EF0E22"/>
    <w:rsid w:val="00EF6107"/>
    <w:rsid w:val="00EF7633"/>
    <w:rsid w:val="00F01781"/>
    <w:rsid w:val="00F01ED7"/>
    <w:rsid w:val="00F01F79"/>
    <w:rsid w:val="00F0233C"/>
    <w:rsid w:val="00F02E9E"/>
    <w:rsid w:val="00F03C8E"/>
    <w:rsid w:val="00F04F5D"/>
    <w:rsid w:val="00F06A12"/>
    <w:rsid w:val="00F114A7"/>
    <w:rsid w:val="00F117DD"/>
    <w:rsid w:val="00F11BA0"/>
    <w:rsid w:val="00F12C24"/>
    <w:rsid w:val="00F12EE9"/>
    <w:rsid w:val="00F13833"/>
    <w:rsid w:val="00F14D88"/>
    <w:rsid w:val="00F15D60"/>
    <w:rsid w:val="00F173AF"/>
    <w:rsid w:val="00F176FE"/>
    <w:rsid w:val="00F20CAE"/>
    <w:rsid w:val="00F21CB9"/>
    <w:rsid w:val="00F222D2"/>
    <w:rsid w:val="00F22659"/>
    <w:rsid w:val="00F23C73"/>
    <w:rsid w:val="00F24377"/>
    <w:rsid w:val="00F25B1E"/>
    <w:rsid w:val="00F262CF"/>
    <w:rsid w:val="00F3149B"/>
    <w:rsid w:val="00F31569"/>
    <w:rsid w:val="00F31B64"/>
    <w:rsid w:val="00F31E0A"/>
    <w:rsid w:val="00F32CCD"/>
    <w:rsid w:val="00F3516A"/>
    <w:rsid w:val="00F363D4"/>
    <w:rsid w:val="00F37302"/>
    <w:rsid w:val="00F41C03"/>
    <w:rsid w:val="00F43798"/>
    <w:rsid w:val="00F46C18"/>
    <w:rsid w:val="00F50C05"/>
    <w:rsid w:val="00F5143A"/>
    <w:rsid w:val="00F52B43"/>
    <w:rsid w:val="00F52CA7"/>
    <w:rsid w:val="00F575D4"/>
    <w:rsid w:val="00F62677"/>
    <w:rsid w:val="00F6350C"/>
    <w:rsid w:val="00F6564D"/>
    <w:rsid w:val="00F70854"/>
    <w:rsid w:val="00F71151"/>
    <w:rsid w:val="00F742D4"/>
    <w:rsid w:val="00F75BDD"/>
    <w:rsid w:val="00F763BB"/>
    <w:rsid w:val="00F81597"/>
    <w:rsid w:val="00F91865"/>
    <w:rsid w:val="00F96712"/>
    <w:rsid w:val="00F96A52"/>
    <w:rsid w:val="00F96B20"/>
    <w:rsid w:val="00F97A14"/>
    <w:rsid w:val="00FA2188"/>
    <w:rsid w:val="00FA4307"/>
    <w:rsid w:val="00FA749F"/>
    <w:rsid w:val="00FB1E1C"/>
    <w:rsid w:val="00FB1E84"/>
    <w:rsid w:val="00FB330D"/>
    <w:rsid w:val="00FB4B09"/>
    <w:rsid w:val="00FC354B"/>
    <w:rsid w:val="00FC5653"/>
    <w:rsid w:val="00FC79A8"/>
    <w:rsid w:val="00FD0A62"/>
    <w:rsid w:val="00FD0B9F"/>
    <w:rsid w:val="00FD0CFB"/>
    <w:rsid w:val="00FD29A9"/>
    <w:rsid w:val="00FD5590"/>
    <w:rsid w:val="00FD5F33"/>
    <w:rsid w:val="00FD6499"/>
    <w:rsid w:val="00FD697F"/>
    <w:rsid w:val="00FE2866"/>
    <w:rsid w:val="00FE35AA"/>
    <w:rsid w:val="00FF0340"/>
    <w:rsid w:val="00FF5107"/>
    <w:rsid w:val="00FF69A2"/>
    <w:rsid w:val="00FF7A36"/>
    <w:rsid w:val="00FF7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AE5BC"/>
  <w15:chartTrackingRefBased/>
  <w15:docId w15:val="{A131A54C-2AFA-4B18-84C8-7FFE8407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FFA"/>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pPr>
      <w:keepNext/>
      <w:ind w:firstLine="1134"/>
      <w:outlineLvl w:val="5"/>
    </w:pPr>
    <w:rPr>
      <w:sz w:val="28"/>
      <w:szCs w:val="28"/>
      <w:lang w:val="en-GB" w:eastAsia="en-US"/>
    </w:rPr>
  </w:style>
  <w:style w:type="paragraph" w:styleId="Heading7">
    <w:name w:val="heading 7"/>
    <w:basedOn w:val="Normal"/>
    <w:next w:val="Normal"/>
    <w:qFormat/>
    <w:rsid w:val="00E02E58"/>
    <w:pPr>
      <w:keepNext/>
      <w:ind w:left="709"/>
      <w:outlineLvl w:val="6"/>
    </w:pPr>
    <w:rPr>
      <w:sz w:val="28"/>
      <w:szCs w:val="28"/>
    </w:rPr>
  </w:style>
  <w:style w:type="paragraph" w:styleId="Heading8">
    <w:name w:val="heading 8"/>
    <w:basedOn w:val="Normal"/>
    <w:next w:val="Normal"/>
    <w:qFormat/>
    <w:rsid w:val="00632B62"/>
    <w:pPr>
      <w:keepNext/>
      <w:ind w:left="273" w:firstLine="436"/>
      <w:outlineLvl w:val="7"/>
    </w:pPr>
    <w:rPr>
      <w:color w:val="000000"/>
      <w:sz w:val="28"/>
      <w:szCs w:val="28"/>
    </w:rPr>
  </w:style>
  <w:style w:type="paragraph" w:styleId="Heading9">
    <w:name w:val="heading 9"/>
    <w:basedOn w:val="Normal"/>
    <w:next w:val="Normal"/>
    <w:qFormat/>
    <w:rsid w:val="00632B62"/>
    <w:pPr>
      <w:keepNext/>
      <w:autoSpaceDE w:val="0"/>
      <w:autoSpaceDN w:val="0"/>
      <w:adjustRightInd w:val="0"/>
      <w:ind w:firstLine="709"/>
      <w:outlineLvl w:val="8"/>
    </w:pPr>
    <w:rPr>
      <w:color w:val="000000"/>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uiPriority w:val="99"/>
    <w:pPr>
      <w:ind w:left="426" w:hanging="426"/>
    </w:pPr>
    <w:rPr>
      <w:color w:val="0000FF"/>
      <w:sz w:val="24"/>
    </w:rPr>
  </w:style>
  <w:style w:type="character" w:styleId="Strong">
    <w:name w:val="Strong"/>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 w:val="24"/>
      <w:szCs w:val="24"/>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customStyle="1" w:styleId="Normal1">
    <w:name w:val="Normal1"/>
    <w:basedOn w:val="Normal"/>
    <w:link w:val="normalChar"/>
    <w:pPr>
      <w:spacing w:before="100" w:beforeAutospacing="1" w:after="100" w:afterAutospacing="1"/>
    </w:pPr>
    <w:rPr>
      <w:sz w:val="24"/>
      <w:szCs w:val="24"/>
      <w:lang w:val="en-US" w:eastAsia="en-US"/>
    </w:rPr>
  </w:style>
  <w:style w:type="character" w:customStyle="1" w:styleId="normalChar">
    <w:name w:val="normal Char"/>
    <w:link w:val="Normal1"/>
    <w:locked/>
    <w:rPr>
      <w:sz w:val="24"/>
      <w:szCs w:val="24"/>
      <w:lang w:val="en-US" w:eastAsia="en-US" w:bidi="ar-SA"/>
    </w:rPr>
  </w:style>
  <w:style w:type="paragraph" w:customStyle="1" w:styleId="Default">
    <w:name w:val="Default"/>
    <w:pPr>
      <w:autoSpaceDE w:val="0"/>
      <w:autoSpaceDN w:val="0"/>
      <w:adjustRightInd w:val="0"/>
    </w:pPr>
    <w:rPr>
      <w:color w:val="000000"/>
      <w:sz w:val="24"/>
      <w:szCs w:val="24"/>
    </w:rPr>
  </w:style>
  <w:style w:type="character" w:styleId="Hyperlink">
    <w:name w:val="Hyperlink"/>
    <w:rPr>
      <w:strike w:val="0"/>
      <w:dstrike w:val="0"/>
      <w:color w:val="0072BC"/>
      <w:u w:val="none"/>
      <w:effect w:val="none"/>
    </w:rPr>
  </w:style>
  <w:style w:type="paragraph" w:styleId="BodyText">
    <w:name w:val="Body Text"/>
    <w:basedOn w:val="Normal"/>
    <w:rsid w:val="00065ED7"/>
    <w:pPr>
      <w:spacing w:after="120"/>
    </w:pPr>
  </w:style>
  <w:style w:type="paragraph" w:customStyle="1" w:styleId="definition">
    <w:name w:val="definition"/>
    <w:basedOn w:val="Normal"/>
    <w:rsid w:val="00760851"/>
    <w:pPr>
      <w:spacing w:before="100" w:beforeAutospacing="1" w:after="100" w:afterAutospacing="1"/>
    </w:pPr>
    <w:rPr>
      <w:sz w:val="24"/>
      <w:szCs w:val="24"/>
    </w:rPr>
  </w:style>
  <w:style w:type="paragraph" w:customStyle="1" w:styleId="LogoHeader">
    <w:name w:val="LogoHeader"/>
    <w:basedOn w:val="Normal"/>
    <w:link w:val="LogoHeaderChar"/>
    <w:rsid w:val="00F222D2"/>
    <w:pPr>
      <w:keepLines/>
    </w:pPr>
    <w:rPr>
      <w:rFonts w:ascii="Univers" w:hAnsi="Univers"/>
      <w:sz w:val="24"/>
      <w:lang w:val="en-GB" w:eastAsia="en-US"/>
    </w:rPr>
  </w:style>
  <w:style w:type="character" w:customStyle="1" w:styleId="LogoHeaderChar">
    <w:name w:val="LogoHeader Char"/>
    <w:link w:val="LogoHeader"/>
    <w:rsid w:val="00F222D2"/>
    <w:rPr>
      <w:rFonts w:ascii="Univers" w:hAnsi="Univers"/>
      <w:sz w:val="24"/>
      <w:lang w:val="en-GB" w:eastAsia="en-US" w:bidi="ar-SA"/>
    </w:rPr>
  </w:style>
  <w:style w:type="paragraph" w:styleId="BodyText2">
    <w:name w:val="Body Text 2"/>
    <w:basedOn w:val="Normal"/>
    <w:rsid w:val="004A10D0"/>
    <w:pPr>
      <w:spacing w:after="120" w:line="480" w:lineRule="auto"/>
    </w:pPr>
  </w:style>
  <w:style w:type="paragraph" w:styleId="BodyText3">
    <w:name w:val="Body Text 3"/>
    <w:basedOn w:val="Normal"/>
    <w:rsid w:val="00F13833"/>
    <w:pPr>
      <w:spacing w:before="40"/>
      <w:jc w:val="both"/>
    </w:pPr>
    <w:rPr>
      <w:sz w:val="28"/>
      <w:szCs w:val="28"/>
    </w:rPr>
  </w:style>
  <w:style w:type="character" w:customStyle="1" w:styleId="st1">
    <w:name w:val="st1"/>
    <w:basedOn w:val="DefaultParagraphFont"/>
    <w:rsid w:val="00BE2FE2"/>
  </w:style>
  <w:style w:type="character" w:customStyle="1" w:styleId="grame">
    <w:name w:val="grame"/>
    <w:basedOn w:val="DefaultParagraphFont"/>
    <w:rsid w:val="003F7BDC"/>
  </w:style>
  <w:style w:type="character" w:styleId="FollowedHyperlink">
    <w:name w:val="FollowedHyperlink"/>
    <w:rsid w:val="009E5038"/>
    <w:rPr>
      <w:color w:val="800080"/>
      <w:u w:val="single"/>
    </w:rPr>
  </w:style>
  <w:style w:type="paragraph" w:styleId="ListParagraph">
    <w:name w:val="List Paragraph"/>
    <w:aliases w:val="List Bullet Cab,CAB - List Bullet,Bullet point,L,List Paragraph1,List Paragraph11,Recommendation,Executive Summary List,Numbered Point,Bullet Points,Body text,Bullets,CV text,Dot pt,F5 List Paragraph,FooterText,List Paragraph111,列"/>
    <w:basedOn w:val="Normal"/>
    <w:link w:val="ListParagraphChar"/>
    <w:uiPriority w:val="34"/>
    <w:qFormat/>
    <w:rsid w:val="00226671"/>
    <w:pPr>
      <w:ind w:left="720"/>
    </w:pPr>
    <w:rPr>
      <w:rFonts w:ascii="Calibri" w:eastAsia="Calibri" w:hAnsi="Calibri"/>
      <w:sz w:val="22"/>
      <w:szCs w:val="22"/>
      <w:lang w:eastAsia="en-US"/>
    </w:rPr>
  </w:style>
  <w:style w:type="character" w:customStyle="1" w:styleId="CommentTextChar">
    <w:name w:val="Comment Text Char"/>
    <w:link w:val="CommentText"/>
    <w:rsid w:val="00CF726E"/>
  </w:style>
  <w:style w:type="paragraph" w:customStyle="1" w:styleId="CABNETParagraphAtt">
    <w:name w:val="CABNET Paragraph Att"/>
    <w:basedOn w:val="Normal"/>
    <w:link w:val="CABNETParagraphAttChar"/>
    <w:qFormat/>
    <w:rsid w:val="006A024E"/>
    <w:pPr>
      <w:spacing w:before="120" w:after="120"/>
    </w:pPr>
    <w:rPr>
      <w:sz w:val="24"/>
      <w:szCs w:val="24"/>
    </w:rPr>
  </w:style>
  <w:style w:type="character" w:customStyle="1" w:styleId="CABNETParagraphAttChar">
    <w:name w:val="CABNET Paragraph Att Char"/>
    <w:link w:val="CABNETParagraphAtt"/>
    <w:rsid w:val="006A024E"/>
    <w:rPr>
      <w:sz w:val="24"/>
      <w:szCs w:val="24"/>
    </w:rPr>
  </w:style>
  <w:style w:type="character" w:customStyle="1" w:styleId="BodyTextIndent2Char">
    <w:name w:val="Body Text Indent 2 Char"/>
    <w:link w:val="BodyTextIndent2"/>
    <w:uiPriority w:val="99"/>
    <w:rsid w:val="00F173AF"/>
    <w:rPr>
      <w:color w:val="0000FF"/>
      <w:sz w:val="24"/>
    </w:rPr>
  </w:style>
  <w:style w:type="paragraph" w:styleId="Footer">
    <w:name w:val="footer"/>
    <w:basedOn w:val="Normal"/>
    <w:link w:val="FooterChar"/>
    <w:uiPriority w:val="99"/>
    <w:rsid w:val="00F117DD"/>
    <w:pPr>
      <w:tabs>
        <w:tab w:val="center" w:pos="4513"/>
        <w:tab w:val="right" w:pos="9026"/>
      </w:tabs>
    </w:pPr>
  </w:style>
  <w:style w:type="character" w:customStyle="1" w:styleId="FooterChar">
    <w:name w:val="Footer Char"/>
    <w:basedOn w:val="DefaultParagraphFont"/>
    <w:link w:val="Footer"/>
    <w:uiPriority w:val="99"/>
    <w:rsid w:val="00F117DD"/>
  </w:style>
  <w:style w:type="paragraph" w:styleId="FootnoteText">
    <w:name w:val="footnote text"/>
    <w:basedOn w:val="Normal"/>
    <w:link w:val="FootnoteTextChar"/>
    <w:unhideWhenUsed/>
    <w:rsid w:val="001E7FBB"/>
  </w:style>
  <w:style w:type="character" w:customStyle="1" w:styleId="FootnoteTextChar">
    <w:name w:val="Footnote Text Char"/>
    <w:basedOn w:val="DefaultParagraphFont"/>
    <w:link w:val="FootnoteText"/>
    <w:rsid w:val="001E7FBB"/>
  </w:style>
  <w:style w:type="character" w:styleId="FootnoteReference">
    <w:name w:val="footnote reference"/>
    <w:unhideWhenUsed/>
    <w:rsid w:val="001E7FBB"/>
    <w:rPr>
      <w:vertAlign w:val="superscript"/>
    </w:rPr>
  </w:style>
  <w:style w:type="character" w:customStyle="1" w:styleId="legsubtitle1">
    <w:name w:val="legsubtitle1"/>
    <w:rsid w:val="00433AF7"/>
    <w:rPr>
      <w:b/>
      <w:bCs/>
    </w:rPr>
  </w:style>
  <w:style w:type="character" w:customStyle="1" w:styleId="HeaderChar">
    <w:name w:val="Header Char"/>
    <w:link w:val="Header"/>
    <w:uiPriority w:val="99"/>
    <w:rsid w:val="00AD1952"/>
  </w:style>
  <w:style w:type="paragraph" w:styleId="PlainText">
    <w:name w:val="Plain Text"/>
    <w:basedOn w:val="Normal"/>
    <w:link w:val="PlainTextChar"/>
    <w:uiPriority w:val="99"/>
    <w:unhideWhenUsed/>
    <w:rsid w:val="00697719"/>
    <w:rPr>
      <w:rFonts w:ascii="Calibri" w:eastAsia="Calibri" w:hAnsi="Calibri" w:cs="Consolas"/>
      <w:sz w:val="22"/>
      <w:szCs w:val="21"/>
      <w:lang w:eastAsia="en-US"/>
    </w:rPr>
  </w:style>
  <w:style w:type="character" w:customStyle="1" w:styleId="PlainTextChar">
    <w:name w:val="Plain Text Char"/>
    <w:link w:val="PlainText"/>
    <w:uiPriority w:val="99"/>
    <w:rsid w:val="00697719"/>
    <w:rPr>
      <w:rFonts w:ascii="Calibri" w:eastAsia="Calibri" w:hAnsi="Calibri" w:cs="Consolas"/>
      <w:sz w:val="22"/>
      <w:szCs w:val="21"/>
      <w:lang w:eastAsia="en-US"/>
    </w:rPr>
  </w:style>
  <w:style w:type="character" w:customStyle="1" w:styleId="ActHead5Char">
    <w:name w:val="ActHead 5 Char"/>
    <w:aliases w:val="s Char"/>
    <w:link w:val="ActHead5"/>
    <w:locked/>
    <w:rsid w:val="003572D7"/>
    <w:rPr>
      <w:b/>
      <w:kern w:val="28"/>
      <w:sz w:val="24"/>
    </w:rPr>
  </w:style>
  <w:style w:type="paragraph" w:customStyle="1" w:styleId="ActHead5">
    <w:name w:val="ActHead 5"/>
    <w:aliases w:val="s"/>
    <w:basedOn w:val="Normal"/>
    <w:next w:val="Normal"/>
    <w:link w:val="ActHead5Char"/>
    <w:qFormat/>
    <w:rsid w:val="003572D7"/>
    <w:pPr>
      <w:keepNext/>
      <w:keepLines/>
      <w:spacing w:before="280"/>
      <w:ind w:left="1134" w:hanging="1134"/>
      <w:outlineLvl w:val="4"/>
    </w:pPr>
    <w:rPr>
      <w:b/>
      <w:kern w:val="28"/>
      <w:sz w:val="24"/>
    </w:rPr>
  </w:style>
  <w:style w:type="character" w:customStyle="1" w:styleId="ListParagraphChar">
    <w:name w:val="List Paragraph Char"/>
    <w:aliases w:val="List Bullet Cab Char,CAB - List Bullet Char,Bullet point Char,L Char,List Paragraph1 Char,List Paragraph11 Char,Recommendation Char,Executive Summary List Char,Numbered Point Char,Bullet Points Char,Body text Char,Bullets Char,列 Char"/>
    <w:basedOn w:val="DefaultParagraphFont"/>
    <w:link w:val="ListParagraph"/>
    <w:uiPriority w:val="34"/>
    <w:qFormat/>
    <w:locked/>
    <w:rsid w:val="008A3EC8"/>
    <w:rPr>
      <w:rFonts w:ascii="Calibri" w:eastAsia="Calibri" w:hAnsi="Calibri"/>
      <w:sz w:val="22"/>
      <w:szCs w:val="22"/>
      <w:lang w:eastAsia="en-US"/>
    </w:rPr>
  </w:style>
  <w:style w:type="character" w:customStyle="1" w:styleId="StyleArial10pt">
    <w:name w:val="Style Arial 10 pt"/>
    <w:basedOn w:val="DefaultParagraphFont"/>
    <w:uiPriority w:val="99"/>
    <w:rsid w:val="00DE74EF"/>
    <w:rPr>
      <w:rFonts w:ascii="Arial" w:hAnsi="Arial" w:cs="Times New Roman"/>
      <w:sz w:val="20"/>
    </w:rPr>
  </w:style>
  <w:style w:type="paragraph" w:customStyle="1" w:styleId="Commissionerstitles">
    <w:name w:val="Commissioners titles"/>
    <w:basedOn w:val="Normal"/>
    <w:rsid w:val="008D06DA"/>
    <w:pPr>
      <w:tabs>
        <w:tab w:val="left" w:pos="2268"/>
        <w:tab w:val="left" w:pos="3969"/>
      </w:tabs>
      <w:jc w:val="center"/>
    </w:pPr>
    <w:rPr>
      <w:rFonts w:ascii="Arial (W1)" w:hAnsi="Arial (W1)"/>
      <w:caps/>
      <w:sz w:val="28"/>
    </w:rPr>
  </w:style>
  <w:style w:type="paragraph" w:customStyle="1" w:styleId="ShortT">
    <w:name w:val="ShortT"/>
    <w:basedOn w:val="Normal"/>
    <w:next w:val="Normal"/>
    <w:qFormat/>
    <w:rsid w:val="00201F66"/>
    <w:rPr>
      <w:b/>
      <w:sz w:val="40"/>
    </w:rPr>
  </w:style>
  <w:style w:type="paragraph" w:styleId="NoSpacing">
    <w:name w:val="No Spacing"/>
    <w:uiPriority w:val="1"/>
    <w:qFormat/>
    <w:rsid w:val="00585AE8"/>
    <w:rPr>
      <w:rFonts w:asciiTheme="minorHAnsi" w:eastAsiaTheme="minorHAnsi" w:hAnsiTheme="minorHAnsi" w:cstheme="minorBidi"/>
      <w:sz w:val="22"/>
      <w:szCs w:val="22"/>
      <w:lang w:eastAsia="en-US"/>
    </w:rPr>
  </w:style>
  <w:style w:type="paragraph" w:customStyle="1" w:styleId="subsection">
    <w:name w:val="subsection"/>
    <w:aliases w:val="ss"/>
    <w:basedOn w:val="Normal"/>
    <w:link w:val="subsectionChar"/>
    <w:rsid w:val="0083033C"/>
    <w:pPr>
      <w:tabs>
        <w:tab w:val="right" w:pos="1021"/>
      </w:tabs>
      <w:spacing w:before="180"/>
      <w:ind w:left="1134" w:hanging="1134"/>
    </w:pPr>
    <w:rPr>
      <w:sz w:val="22"/>
    </w:rPr>
  </w:style>
  <w:style w:type="character" w:customStyle="1" w:styleId="subsectionChar">
    <w:name w:val="subsection Char"/>
    <w:aliases w:val="ss Char"/>
    <w:link w:val="subsection"/>
    <w:locked/>
    <w:rsid w:val="0083033C"/>
    <w:rPr>
      <w:sz w:val="22"/>
    </w:rPr>
  </w:style>
  <w:style w:type="paragraph" w:customStyle="1" w:styleId="paragraph">
    <w:name w:val="paragraph"/>
    <w:aliases w:val="a"/>
    <w:basedOn w:val="Normal"/>
    <w:link w:val="paragraphChar"/>
    <w:rsid w:val="00025B5A"/>
    <w:pPr>
      <w:tabs>
        <w:tab w:val="right" w:pos="1531"/>
      </w:tabs>
      <w:spacing w:before="40"/>
      <w:ind w:left="1644" w:hanging="1644"/>
    </w:pPr>
    <w:rPr>
      <w:sz w:val="22"/>
    </w:rPr>
  </w:style>
  <w:style w:type="character" w:customStyle="1" w:styleId="paragraphChar">
    <w:name w:val="paragraph Char"/>
    <w:aliases w:val="a Char"/>
    <w:link w:val="paragraph"/>
    <w:rsid w:val="00025B5A"/>
    <w:rPr>
      <w:sz w:val="22"/>
    </w:rPr>
  </w:style>
  <w:style w:type="paragraph" w:customStyle="1" w:styleId="Definition0">
    <w:name w:val="Definition"/>
    <w:aliases w:val="dd"/>
    <w:basedOn w:val="Normal"/>
    <w:rsid w:val="007C30E2"/>
    <w:pPr>
      <w:spacing w:before="180"/>
      <w:ind w:left="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8434">
      <w:bodyDiv w:val="1"/>
      <w:marLeft w:val="0"/>
      <w:marRight w:val="0"/>
      <w:marTop w:val="0"/>
      <w:marBottom w:val="0"/>
      <w:divBdr>
        <w:top w:val="none" w:sz="0" w:space="0" w:color="auto"/>
        <w:left w:val="none" w:sz="0" w:space="0" w:color="auto"/>
        <w:bottom w:val="none" w:sz="0" w:space="0" w:color="auto"/>
        <w:right w:val="none" w:sz="0" w:space="0" w:color="auto"/>
      </w:divBdr>
    </w:div>
    <w:div w:id="123429693">
      <w:bodyDiv w:val="1"/>
      <w:marLeft w:val="0"/>
      <w:marRight w:val="0"/>
      <w:marTop w:val="0"/>
      <w:marBottom w:val="0"/>
      <w:divBdr>
        <w:top w:val="none" w:sz="0" w:space="0" w:color="auto"/>
        <w:left w:val="none" w:sz="0" w:space="0" w:color="auto"/>
        <w:bottom w:val="none" w:sz="0" w:space="0" w:color="auto"/>
        <w:right w:val="none" w:sz="0" w:space="0" w:color="auto"/>
      </w:divBdr>
    </w:div>
    <w:div w:id="129369878">
      <w:bodyDiv w:val="1"/>
      <w:marLeft w:val="0"/>
      <w:marRight w:val="0"/>
      <w:marTop w:val="0"/>
      <w:marBottom w:val="0"/>
      <w:divBdr>
        <w:top w:val="none" w:sz="0" w:space="0" w:color="auto"/>
        <w:left w:val="none" w:sz="0" w:space="0" w:color="auto"/>
        <w:bottom w:val="none" w:sz="0" w:space="0" w:color="auto"/>
        <w:right w:val="none" w:sz="0" w:space="0" w:color="auto"/>
      </w:divBdr>
    </w:div>
    <w:div w:id="146476316">
      <w:bodyDiv w:val="1"/>
      <w:marLeft w:val="0"/>
      <w:marRight w:val="0"/>
      <w:marTop w:val="0"/>
      <w:marBottom w:val="0"/>
      <w:divBdr>
        <w:top w:val="none" w:sz="0" w:space="0" w:color="auto"/>
        <w:left w:val="none" w:sz="0" w:space="0" w:color="auto"/>
        <w:bottom w:val="none" w:sz="0" w:space="0" w:color="auto"/>
        <w:right w:val="none" w:sz="0" w:space="0" w:color="auto"/>
      </w:divBdr>
      <w:divsChild>
        <w:div w:id="738406263">
          <w:marLeft w:val="0"/>
          <w:marRight w:val="0"/>
          <w:marTop w:val="0"/>
          <w:marBottom w:val="0"/>
          <w:divBdr>
            <w:top w:val="none" w:sz="0" w:space="0" w:color="auto"/>
            <w:left w:val="none" w:sz="0" w:space="0" w:color="auto"/>
            <w:bottom w:val="none" w:sz="0" w:space="0" w:color="auto"/>
            <w:right w:val="none" w:sz="0" w:space="0" w:color="auto"/>
          </w:divBdr>
          <w:divsChild>
            <w:div w:id="18446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6275">
      <w:bodyDiv w:val="1"/>
      <w:marLeft w:val="0"/>
      <w:marRight w:val="0"/>
      <w:marTop w:val="0"/>
      <w:marBottom w:val="0"/>
      <w:divBdr>
        <w:top w:val="none" w:sz="0" w:space="0" w:color="auto"/>
        <w:left w:val="none" w:sz="0" w:space="0" w:color="auto"/>
        <w:bottom w:val="none" w:sz="0" w:space="0" w:color="auto"/>
        <w:right w:val="none" w:sz="0" w:space="0" w:color="auto"/>
      </w:divBdr>
      <w:divsChild>
        <w:div w:id="1461606883">
          <w:marLeft w:val="0"/>
          <w:marRight w:val="0"/>
          <w:marTop w:val="0"/>
          <w:marBottom w:val="0"/>
          <w:divBdr>
            <w:top w:val="none" w:sz="0" w:space="0" w:color="auto"/>
            <w:left w:val="none" w:sz="0" w:space="0" w:color="auto"/>
            <w:bottom w:val="none" w:sz="0" w:space="0" w:color="auto"/>
            <w:right w:val="none" w:sz="0" w:space="0" w:color="auto"/>
          </w:divBdr>
          <w:divsChild>
            <w:div w:id="8547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268">
      <w:bodyDiv w:val="1"/>
      <w:marLeft w:val="0"/>
      <w:marRight w:val="0"/>
      <w:marTop w:val="0"/>
      <w:marBottom w:val="0"/>
      <w:divBdr>
        <w:top w:val="none" w:sz="0" w:space="0" w:color="auto"/>
        <w:left w:val="none" w:sz="0" w:space="0" w:color="auto"/>
        <w:bottom w:val="none" w:sz="0" w:space="0" w:color="auto"/>
        <w:right w:val="none" w:sz="0" w:space="0" w:color="auto"/>
      </w:divBdr>
    </w:div>
    <w:div w:id="309408657">
      <w:bodyDiv w:val="1"/>
      <w:marLeft w:val="0"/>
      <w:marRight w:val="0"/>
      <w:marTop w:val="0"/>
      <w:marBottom w:val="0"/>
      <w:divBdr>
        <w:top w:val="none" w:sz="0" w:space="0" w:color="auto"/>
        <w:left w:val="none" w:sz="0" w:space="0" w:color="auto"/>
        <w:bottom w:val="none" w:sz="0" w:space="0" w:color="auto"/>
        <w:right w:val="none" w:sz="0" w:space="0" w:color="auto"/>
      </w:divBdr>
    </w:div>
    <w:div w:id="316885569">
      <w:bodyDiv w:val="1"/>
      <w:marLeft w:val="0"/>
      <w:marRight w:val="0"/>
      <w:marTop w:val="0"/>
      <w:marBottom w:val="0"/>
      <w:divBdr>
        <w:top w:val="none" w:sz="0" w:space="0" w:color="auto"/>
        <w:left w:val="none" w:sz="0" w:space="0" w:color="auto"/>
        <w:bottom w:val="none" w:sz="0" w:space="0" w:color="auto"/>
        <w:right w:val="none" w:sz="0" w:space="0" w:color="auto"/>
      </w:divBdr>
    </w:div>
    <w:div w:id="330571502">
      <w:bodyDiv w:val="1"/>
      <w:marLeft w:val="0"/>
      <w:marRight w:val="0"/>
      <w:marTop w:val="0"/>
      <w:marBottom w:val="0"/>
      <w:divBdr>
        <w:top w:val="none" w:sz="0" w:space="0" w:color="auto"/>
        <w:left w:val="none" w:sz="0" w:space="0" w:color="auto"/>
        <w:bottom w:val="none" w:sz="0" w:space="0" w:color="auto"/>
        <w:right w:val="none" w:sz="0" w:space="0" w:color="auto"/>
      </w:divBdr>
    </w:div>
    <w:div w:id="445808492">
      <w:bodyDiv w:val="1"/>
      <w:marLeft w:val="0"/>
      <w:marRight w:val="0"/>
      <w:marTop w:val="0"/>
      <w:marBottom w:val="0"/>
      <w:divBdr>
        <w:top w:val="none" w:sz="0" w:space="0" w:color="auto"/>
        <w:left w:val="none" w:sz="0" w:space="0" w:color="auto"/>
        <w:bottom w:val="none" w:sz="0" w:space="0" w:color="auto"/>
        <w:right w:val="none" w:sz="0" w:space="0" w:color="auto"/>
      </w:divBdr>
    </w:div>
    <w:div w:id="481459947">
      <w:bodyDiv w:val="1"/>
      <w:marLeft w:val="0"/>
      <w:marRight w:val="0"/>
      <w:marTop w:val="0"/>
      <w:marBottom w:val="0"/>
      <w:divBdr>
        <w:top w:val="none" w:sz="0" w:space="0" w:color="auto"/>
        <w:left w:val="none" w:sz="0" w:space="0" w:color="auto"/>
        <w:bottom w:val="none" w:sz="0" w:space="0" w:color="auto"/>
        <w:right w:val="none" w:sz="0" w:space="0" w:color="auto"/>
      </w:divBdr>
      <w:divsChild>
        <w:div w:id="677462748">
          <w:marLeft w:val="0"/>
          <w:marRight w:val="0"/>
          <w:marTop w:val="0"/>
          <w:marBottom w:val="0"/>
          <w:divBdr>
            <w:top w:val="none" w:sz="0" w:space="0" w:color="auto"/>
            <w:left w:val="none" w:sz="0" w:space="0" w:color="auto"/>
            <w:bottom w:val="none" w:sz="0" w:space="0" w:color="auto"/>
            <w:right w:val="none" w:sz="0" w:space="0" w:color="auto"/>
          </w:divBdr>
          <w:divsChild>
            <w:div w:id="78261993">
              <w:marLeft w:val="0"/>
              <w:marRight w:val="0"/>
              <w:marTop w:val="0"/>
              <w:marBottom w:val="0"/>
              <w:divBdr>
                <w:top w:val="none" w:sz="0" w:space="0" w:color="auto"/>
                <w:left w:val="none" w:sz="0" w:space="0" w:color="auto"/>
                <w:bottom w:val="none" w:sz="0" w:space="0" w:color="auto"/>
                <w:right w:val="none" w:sz="0" w:space="0" w:color="auto"/>
              </w:divBdr>
              <w:divsChild>
                <w:div w:id="1849557643">
                  <w:marLeft w:val="0"/>
                  <w:marRight w:val="0"/>
                  <w:marTop w:val="0"/>
                  <w:marBottom w:val="0"/>
                  <w:divBdr>
                    <w:top w:val="none" w:sz="0" w:space="0" w:color="auto"/>
                    <w:left w:val="none" w:sz="0" w:space="0" w:color="auto"/>
                    <w:bottom w:val="none" w:sz="0" w:space="0" w:color="auto"/>
                    <w:right w:val="none" w:sz="0" w:space="0" w:color="auto"/>
                  </w:divBdr>
                  <w:divsChild>
                    <w:div w:id="230622341">
                      <w:marLeft w:val="0"/>
                      <w:marRight w:val="0"/>
                      <w:marTop w:val="0"/>
                      <w:marBottom w:val="0"/>
                      <w:divBdr>
                        <w:top w:val="none" w:sz="0" w:space="0" w:color="auto"/>
                        <w:left w:val="none" w:sz="0" w:space="0" w:color="auto"/>
                        <w:bottom w:val="none" w:sz="0" w:space="0" w:color="auto"/>
                        <w:right w:val="none" w:sz="0" w:space="0" w:color="auto"/>
                      </w:divBdr>
                      <w:divsChild>
                        <w:div w:id="20183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4376">
      <w:bodyDiv w:val="1"/>
      <w:marLeft w:val="0"/>
      <w:marRight w:val="0"/>
      <w:marTop w:val="0"/>
      <w:marBottom w:val="0"/>
      <w:divBdr>
        <w:top w:val="none" w:sz="0" w:space="0" w:color="auto"/>
        <w:left w:val="none" w:sz="0" w:space="0" w:color="auto"/>
        <w:bottom w:val="none" w:sz="0" w:space="0" w:color="auto"/>
        <w:right w:val="none" w:sz="0" w:space="0" w:color="auto"/>
      </w:divBdr>
    </w:div>
    <w:div w:id="784807618">
      <w:bodyDiv w:val="1"/>
      <w:marLeft w:val="0"/>
      <w:marRight w:val="0"/>
      <w:marTop w:val="0"/>
      <w:marBottom w:val="0"/>
      <w:divBdr>
        <w:top w:val="none" w:sz="0" w:space="0" w:color="auto"/>
        <w:left w:val="none" w:sz="0" w:space="0" w:color="auto"/>
        <w:bottom w:val="none" w:sz="0" w:space="0" w:color="auto"/>
        <w:right w:val="none" w:sz="0" w:space="0" w:color="auto"/>
      </w:divBdr>
      <w:divsChild>
        <w:div w:id="1224026887">
          <w:marLeft w:val="0"/>
          <w:marRight w:val="0"/>
          <w:marTop w:val="0"/>
          <w:marBottom w:val="0"/>
          <w:divBdr>
            <w:top w:val="none" w:sz="0" w:space="0" w:color="auto"/>
            <w:left w:val="none" w:sz="0" w:space="0" w:color="auto"/>
            <w:bottom w:val="none" w:sz="0" w:space="0" w:color="auto"/>
            <w:right w:val="none" w:sz="0" w:space="0" w:color="auto"/>
          </w:divBdr>
          <w:divsChild>
            <w:div w:id="1901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15">
      <w:bodyDiv w:val="1"/>
      <w:marLeft w:val="0"/>
      <w:marRight w:val="0"/>
      <w:marTop w:val="0"/>
      <w:marBottom w:val="0"/>
      <w:divBdr>
        <w:top w:val="none" w:sz="0" w:space="0" w:color="auto"/>
        <w:left w:val="none" w:sz="0" w:space="0" w:color="auto"/>
        <w:bottom w:val="none" w:sz="0" w:space="0" w:color="auto"/>
        <w:right w:val="none" w:sz="0" w:space="0" w:color="auto"/>
      </w:divBdr>
    </w:div>
    <w:div w:id="1072511469">
      <w:bodyDiv w:val="1"/>
      <w:marLeft w:val="0"/>
      <w:marRight w:val="0"/>
      <w:marTop w:val="0"/>
      <w:marBottom w:val="0"/>
      <w:divBdr>
        <w:top w:val="none" w:sz="0" w:space="0" w:color="auto"/>
        <w:left w:val="none" w:sz="0" w:space="0" w:color="auto"/>
        <w:bottom w:val="none" w:sz="0" w:space="0" w:color="auto"/>
        <w:right w:val="none" w:sz="0" w:space="0" w:color="auto"/>
      </w:divBdr>
    </w:div>
    <w:div w:id="1117682814">
      <w:bodyDiv w:val="1"/>
      <w:marLeft w:val="0"/>
      <w:marRight w:val="0"/>
      <w:marTop w:val="0"/>
      <w:marBottom w:val="0"/>
      <w:divBdr>
        <w:top w:val="none" w:sz="0" w:space="0" w:color="auto"/>
        <w:left w:val="none" w:sz="0" w:space="0" w:color="auto"/>
        <w:bottom w:val="none" w:sz="0" w:space="0" w:color="auto"/>
        <w:right w:val="none" w:sz="0" w:space="0" w:color="auto"/>
      </w:divBdr>
      <w:divsChild>
        <w:div w:id="1748651232">
          <w:marLeft w:val="0"/>
          <w:marRight w:val="0"/>
          <w:marTop w:val="0"/>
          <w:marBottom w:val="0"/>
          <w:divBdr>
            <w:top w:val="none" w:sz="0" w:space="0" w:color="auto"/>
            <w:left w:val="none" w:sz="0" w:space="0" w:color="auto"/>
            <w:bottom w:val="none" w:sz="0" w:space="0" w:color="auto"/>
            <w:right w:val="none" w:sz="0" w:space="0" w:color="auto"/>
          </w:divBdr>
          <w:divsChild>
            <w:div w:id="10095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7959">
      <w:bodyDiv w:val="1"/>
      <w:marLeft w:val="0"/>
      <w:marRight w:val="0"/>
      <w:marTop w:val="0"/>
      <w:marBottom w:val="0"/>
      <w:divBdr>
        <w:top w:val="none" w:sz="0" w:space="0" w:color="auto"/>
        <w:left w:val="none" w:sz="0" w:space="0" w:color="auto"/>
        <w:bottom w:val="none" w:sz="0" w:space="0" w:color="auto"/>
        <w:right w:val="none" w:sz="0" w:space="0" w:color="auto"/>
      </w:divBdr>
    </w:div>
    <w:div w:id="1468626387">
      <w:bodyDiv w:val="1"/>
      <w:marLeft w:val="0"/>
      <w:marRight w:val="0"/>
      <w:marTop w:val="0"/>
      <w:marBottom w:val="0"/>
      <w:divBdr>
        <w:top w:val="none" w:sz="0" w:space="0" w:color="auto"/>
        <w:left w:val="none" w:sz="0" w:space="0" w:color="auto"/>
        <w:bottom w:val="none" w:sz="0" w:space="0" w:color="auto"/>
        <w:right w:val="none" w:sz="0" w:space="0" w:color="auto"/>
      </w:divBdr>
    </w:div>
    <w:div w:id="1513451072">
      <w:bodyDiv w:val="1"/>
      <w:marLeft w:val="0"/>
      <w:marRight w:val="0"/>
      <w:marTop w:val="0"/>
      <w:marBottom w:val="0"/>
      <w:divBdr>
        <w:top w:val="none" w:sz="0" w:space="0" w:color="auto"/>
        <w:left w:val="none" w:sz="0" w:space="0" w:color="auto"/>
        <w:bottom w:val="none" w:sz="0" w:space="0" w:color="auto"/>
        <w:right w:val="none" w:sz="0" w:space="0" w:color="auto"/>
      </w:divBdr>
      <w:divsChild>
        <w:div w:id="2036955293">
          <w:marLeft w:val="0"/>
          <w:marRight w:val="0"/>
          <w:marTop w:val="0"/>
          <w:marBottom w:val="0"/>
          <w:divBdr>
            <w:top w:val="none" w:sz="0" w:space="0" w:color="auto"/>
            <w:left w:val="none" w:sz="0" w:space="0" w:color="auto"/>
            <w:bottom w:val="none" w:sz="0" w:space="0" w:color="auto"/>
            <w:right w:val="none" w:sz="0" w:space="0" w:color="auto"/>
          </w:divBdr>
          <w:divsChild>
            <w:div w:id="32315443">
              <w:marLeft w:val="0"/>
              <w:marRight w:val="0"/>
              <w:marTop w:val="0"/>
              <w:marBottom w:val="0"/>
              <w:divBdr>
                <w:top w:val="none" w:sz="0" w:space="0" w:color="auto"/>
                <w:left w:val="none" w:sz="0" w:space="0" w:color="auto"/>
                <w:bottom w:val="none" w:sz="0" w:space="0" w:color="auto"/>
                <w:right w:val="none" w:sz="0" w:space="0" w:color="auto"/>
              </w:divBdr>
              <w:divsChild>
                <w:div w:id="1762095656">
                  <w:marLeft w:val="0"/>
                  <w:marRight w:val="0"/>
                  <w:marTop w:val="100"/>
                  <w:marBottom w:val="100"/>
                  <w:divBdr>
                    <w:top w:val="none" w:sz="0" w:space="0" w:color="auto"/>
                    <w:left w:val="none" w:sz="0" w:space="0" w:color="auto"/>
                    <w:bottom w:val="none" w:sz="0" w:space="0" w:color="auto"/>
                    <w:right w:val="none" w:sz="0" w:space="0" w:color="auto"/>
                  </w:divBdr>
                  <w:divsChild>
                    <w:div w:id="418185896">
                      <w:marLeft w:val="0"/>
                      <w:marRight w:val="0"/>
                      <w:marTop w:val="0"/>
                      <w:marBottom w:val="0"/>
                      <w:divBdr>
                        <w:top w:val="none" w:sz="0" w:space="0" w:color="auto"/>
                        <w:left w:val="none" w:sz="0" w:space="0" w:color="auto"/>
                        <w:bottom w:val="none" w:sz="0" w:space="0" w:color="auto"/>
                        <w:right w:val="none" w:sz="0" w:space="0" w:color="auto"/>
                      </w:divBdr>
                      <w:divsChild>
                        <w:div w:id="365301938">
                          <w:marLeft w:val="0"/>
                          <w:marRight w:val="0"/>
                          <w:marTop w:val="0"/>
                          <w:marBottom w:val="0"/>
                          <w:divBdr>
                            <w:top w:val="none" w:sz="0" w:space="0" w:color="auto"/>
                            <w:left w:val="none" w:sz="0" w:space="0" w:color="auto"/>
                            <w:bottom w:val="none" w:sz="0" w:space="0" w:color="auto"/>
                            <w:right w:val="none" w:sz="0" w:space="0" w:color="auto"/>
                          </w:divBdr>
                          <w:divsChild>
                            <w:div w:id="698895613">
                              <w:marLeft w:val="0"/>
                              <w:marRight w:val="0"/>
                              <w:marTop w:val="0"/>
                              <w:marBottom w:val="0"/>
                              <w:divBdr>
                                <w:top w:val="none" w:sz="0" w:space="0" w:color="auto"/>
                                <w:left w:val="none" w:sz="0" w:space="0" w:color="auto"/>
                                <w:bottom w:val="none" w:sz="0" w:space="0" w:color="auto"/>
                                <w:right w:val="none" w:sz="0" w:space="0" w:color="auto"/>
                              </w:divBdr>
                              <w:divsChild>
                                <w:div w:id="449058285">
                                  <w:marLeft w:val="0"/>
                                  <w:marRight w:val="0"/>
                                  <w:marTop w:val="0"/>
                                  <w:marBottom w:val="0"/>
                                  <w:divBdr>
                                    <w:top w:val="none" w:sz="0" w:space="0" w:color="auto"/>
                                    <w:left w:val="none" w:sz="0" w:space="0" w:color="auto"/>
                                    <w:bottom w:val="none" w:sz="0" w:space="0" w:color="auto"/>
                                    <w:right w:val="none" w:sz="0" w:space="0" w:color="auto"/>
                                  </w:divBdr>
                                  <w:divsChild>
                                    <w:div w:id="623073046">
                                      <w:marLeft w:val="0"/>
                                      <w:marRight w:val="0"/>
                                      <w:marTop w:val="0"/>
                                      <w:marBottom w:val="0"/>
                                      <w:divBdr>
                                        <w:top w:val="none" w:sz="0" w:space="0" w:color="auto"/>
                                        <w:left w:val="none" w:sz="0" w:space="0" w:color="auto"/>
                                        <w:bottom w:val="none" w:sz="0" w:space="0" w:color="auto"/>
                                        <w:right w:val="none" w:sz="0" w:space="0" w:color="auto"/>
                                      </w:divBdr>
                                      <w:divsChild>
                                        <w:div w:id="927614064">
                                          <w:marLeft w:val="0"/>
                                          <w:marRight w:val="0"/>
                                          <w:marTop w:val="0"/>
                                          <w:marBottom w:val="360"/>
                                          <w:divBdr>
                                            <w:top w:val="none" w:sz="0" w:space="0" w:color="auto"/>
                                            <w:left w:val="none" w:sz="0" w:space="0" w:color="auto"/>
                                            <w:bottom w:val="none" w:sz="0" w:space="0" w:color="auto"/>
                                            <w:right w:val="none" w:sz="0" w:space="0" w:color="auto"/>
                                          </w:divBdr>
                                          <w:divsChild>
                                            <w:div w:id="2060204354">
                                              <w:marLeft w:val="0"/>
                                              <w:marRight w:val="0"/>
                                              <w:marTop w:val="0"/>
                                              <w:marBottom w:val="0"/>
                                              <w:divBdr>
                                                <w:top w:val="none" w:sz="0" w:space="0" w:color="auto"/>
                                                <w:left w:val="none" w:sz="0" w:space="0" w:color="auto"/>
                                                <w:bottom w:val="none" w:sz="0" w:space="0" w:color="auto"/>
                                                <w:right w:val="none" w:sz="0" w:space="0" w:color="auto"/>
                                              </w:divBdr>
                                              <w:divsChild>
                                                <w:div w:id="1086460796">
                                                  <w:marLeft w:val="0"/>
                                                  <w:marRight w:val="0"/>
                                                  <w:marTop w:val="0"/>
                                                  <w:marBottom w:val="0"/>
                                                  <w:divBdr>
                                                    <w:top w:val="none" w:sz="0" w:space="0" w:color="auto"/>
                                                    <w:left w:val="none" w:sz="0" w:space="0" w:color="auto"/>
                                                    <w:bottom w:val="none" w:sz="0" w:space="0" w:color="auto"/>
                                                    <w:right w:val="none" w:sz="0" w:space="0" w:color="auto"/>
                                                  </w:divBdr>
                                                  <w:divsChild>
                                                    <w:div w:id="169757109">
                                                      <w:marLeft w:val="5370"/>
                                                      <w:marRight w:val="0"/>
                                                      <w:marTop w:val="120"/>
                                                      <w:marBottom w:val="0"/>
                                                      <w:divBdr>
                                                        <w:top w:val="none" w:sz="0" w:space="0" w:color="auto"/>
                                                        <w:left w:val="none" w:sz="0" w:space="0" w:color="auto"/>
                                                        <w:bottom w:val="none" w:sz="0" w:space="0" w:color="auto"/>
                                                        <w:right w:val="none" w:sz="0" w:space="0" w:color="auto"/>
                                                      </w:divBdr>
                                                      <w:divsChild>
                                                        <w:div w:id="12345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3351500">
      <w:bodyDiv w:val="1"/>
      <w:marLeft w:val="0"/>
      <w:marRight w:val="0"/>
      <w:marTop w:val="0"/>
      <w:marBottom w:val="0"/>
      <w:divBdr>
        <w:top w:val="none" w:sz="0" w:space="0" w:color="auto"/>
        <w:left w:val="none" w:sz="0" w:space="0" w:color="auto"/>
        <w:bottom w:val="none" w:sz="0" w:space="0" w:color="auto"/>
        <w:right w:val="none" w:sz="0" w:space="0" w:color="auto"/>
      </w:divBdr>
    </w:div>
    <w:div w:id="1573661924">
      <w:bodyDiv w:val="1"/>
      <w:marLeft w:val="0"/>
      <w:marRight w:val="0"/>
      <w:marTop w:val="0"/>
      <w:marBottom w:val="0"/>
      <w:divBdr>
        <w:top w:val="none" w:sz="0" w:space="0" w:color="auto"/>
        <w:left w:val="none" w:sz="0" w:space="0" w:color="auto"/>
        <w:bottom w:val="none" w:sz="0" w:space="0" w:color="auto"/>
        <w:right w:val="none" w:sz="0" w:space="0" w:color="auto"/>
      </w:divBdr>
      <w:divsChild>
        <w:div w:id="337267356">
          <w:marLeft w:val="0"/>
          <w:marRight w:val="0"/>
          <w:marTop w:val="0"/>
          <w:marBottom w:val="0"/>
          <w:divBdr>
            <w:top w:val="none" w:sz="0" w:space="0" w:color="auto"/>
            <w:left w:val="none" w:sz="0" w:space="0" w:color="auto"/>
            <w:bottom w:val="none" w:sz="0" w:space="0" w:color="auto"/>
            <w:right w:val="none" w:sz="0" w:space="0" w:color="auto"/>
          </w:divBdr>
          <w:divsChild>
            <w:div w:id="708261789">
              <w:marLeft w:val="0"/>
              <w:marRight w:val="0"/>
              <w:marTop w:val="0"/>
              <w:marBottom w:val="0"/>
              <w:divBdr>
                <w:top w:val="none" w:sz="0" w:space="0" w:color="auto"/>
                <w:left w:val="none" w:sz="0" w:space="0" w:color="auto"/>
                <w:bottom w:val="none" w:sz="0" w:space="0" w:color="auto"/>
                <w:right w:val="none" w:sz="0" w:space="0" w:color="auto"/>
              </w:divBdr>
              <w:divsChild>
                <w:div w:id="123620652">
                  <w:marLeft w:val="0"/>
                  <w:marRight w:val="0"/>
                  <w:marTop w:val="100"/>
                  <w:marBottom w:val="100"/>
                  <w:divBdr>
                    <w:top w:val="none" w:sz="0" w:space="0" w:color="auto"/>
                    <w:left w:val="none" w:sz="0" w:space="0" w:color="auto"/>
                    <w:bottom w:val="none" w:sz="0" w:space="0" w:color="auto"/>
                    <w:right w:val="none" w:sz="0" w:space="0" w:color="auto"/>
                  </w:divBdr>
                  <w:divsChild>
                    <w:div w:id="1235778385">
                      <w:marLeft w:val="0"/>
                      <w:marRight w:val="0"/>
                      <w:marTop w:val="0"/>
                      <w:marBottom w:val="0"/>
                      <w:divBdr>
                        <w:top w:val="none" w:sz="0" w:space="0" w:color="auto"/>
                        <w:left w:val="none" w:sz="0" w:space="0" w:color="auto"/>
                        <w:bottom w:val="none" w:sz="0" w:space="0" w:color="auto"/>
                        <w:right w:val="none" w:sz="0" w:space="0" w:color="auto"/>
                      </w:divBdr>
                      <w:divsChild>
                        <w:div w:id="603922389">
                          <w:marLeft w:val="0"/>
                          <w:marRight w:val="0"/>
                          <w:marTop w:val="0"/>
                          <w:marBottom w:val="0"/>
                          <w:divBdr>
                            <w:top w:val="none" w:sz="0" w:space="0" w:color="auto"/>
                            <w:left w:val="none" w:sz="0" w:space="0" w:color="auto"/>
                            <w:bottom w:val="none" w:sz="0" w:space="0" w:color="auto"/>
                            <w:right w:val="none" w:sz="0" w:space="0" w:color="auto"/>
                          </w:divBdr>
                          <w:divsChild>
                            <w:div w:id="1435588171">
                              <w:marLeft w:val="0"/>
                              <w:marRight w:val="0"/>
                              <w:marTop w:val="0"/>
                              <w:marBottom w:val="0"/>
                              <w:divBdr>
                                <w:top w:val="none" w:sz="0" w:space="0" w:color="auto"/>
                                <w:left w:val="none" w:sz="0" w:space="0" w:color="auto"/>
                                <w:bottom w:val="none" w:sz="0" w:space="0" w:color="auto"/>
                                <w:right w:val="none" w:sz="0" w:space="0" w:color="auto"/>
                              </w:divBdr>
                              <w:divsChild>
                                <w:div w:id="2064324021">
                                  <w:marLeft w:val="0"/>
                                  <w:marRight w:val="0"/>
                                  <w:marTop w:val="0"/>
                                  <w:marBottom w:val="0"/>
                                  <w:divBdr>
                                    <w:top w:val="none" w:sz="0" w:space="0" w:color="auto"/>
                                    <w:left w:val="none" w:sz="0" w:space="0" w:color="auto"/>
                                    <w:bottom w:val="none" w:sz="0" w:space="0" w:color="auto"/>
                                    <w:right w:val="none" w:sz="0" w:space="0" w:color="auto"/>
                                  </w:divBdr>
                                  <w:divsChild>
                                    <w:div w:id="1444685927">
                                      <w:marLeft w:val="0"/>
                                      <w:marRight w:val="0"/>
                                      <w:marTop w:val="0"/>
                                      <w:marBottom w:val="0"/>
                                      <w:divBdr>
                                        <w:top w:val="none" w:sz="0" w:space="0" w:color="auto"/>
                                        <w:left w:val="none" w:sz="0" w:space="0" w:color="auto"/>
                                        <w:bottom w:val="none" w:sz="0" w:space="0" w:color="auto"/>
                                        <w:right w:val="none" w:sz="0" w:space="0" w:color="auto"/>
                                      </w:divBdr>
                                      <w:divsChild>
                                        <w:div w:id="527530795">
                                          <w:marLeft w:val="0"/>
                                          <w:marRight w:val="0"/>
                                          <w:marTop w:val="0"/>
                                          <w:marBottom w:val="360"/>
                                          <w:divBdr>
                                            <w:top w:val="none" w:sz="0" w:space="0" w:color="auto"/>
                                            <w:left w:val="none" w:sz="0" w:space="0" w:color="auto"/>
                                            <w:bottom w:val="none" w:sz="0" w:space="0" w:color="auto"/>
                                            <w:right w:val="none" w:sz="0" w:space="0" w:color="auto"/>
                                          </w:divBdr>
                                          <w:divsChild>
                                            <w:div w:id="1267273196">
                                              <w:marLeft w:val="0"/>
                                              <w:marRight w:val="0"/>
                                              <w:marTop w:val="0"/>
                                              <w:marBottom w:val="0"/>
                                              <w:divBdr>
                                                <w:top w:val="none" w:sz="0" w:space="0" w:color="auto"/>
                                                <w:left w:val="none" w:sz="0" w:space="0" w:color="auto"/>
                                                <w:bottom w:val="none" w:sz="0" w:space="0" w:color="auto"/>
                                                <w:right w:val="none" w:sz="0" w:space="0" w:color="auto"/>
                                              </w:divBdr>
                                              <w:divsChild>
                                                <w:div w:id="855268097">
                                                  <w:marLeft w:val="0"/>
                                                  <w:marRight w:val="0"/>
                                                  <w:marTop w:val="0"/>
                                                  <w:marBottom w:val="0"/>
                                                  <w:divBdr>
                                                    <w:top w:val="none" w:sz="0" w:space="0" w:color="auto"/>
                                                    <w:left w:val="none" w:sz="0" w:space="0" w:color="auto"/>
                                                    <w:bottom w:val="none" w:sz="0" w:space="0" w:color="auto"/>
                                                    <w:right w:val="none" w:sz="0" w:space="0" w:color="auto"/>
                                                  </w:divBdr>
                                                  <w:divsChild>
                                                    <w:div w:id="1587878361">
                                                      <w:marLeft w:val="5370"/>
                                                      <w:marRight w:val="0"/>
                                                      <w:marTop w:val="120"/>
                                                      <w:marBottom w:val="0"/>
                                                      <w:divBdr>
                                                        <w:top w:val="none" w:sz="0" w:space="0" w:color="auto"/>
                                                        <w:left w:val="none" w:sz="0" w:space="0" w:color="auto"/>
                                                        <w:bottom w:val="none" w:sz="0" w:space="0" w:color="auto"/>
                                                        <w:right w:val="none" w:sz="0" w:space="0" w:color="auto"/>
                                                      </w:divBdr>
                                                      <w:divsChild>
                                                        <w:div w:id="5378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6598170">
      <w:bodyDiv w:val="1"/>
      <w:marLeft w:val="0"/>
      <w:marRight w:val="0"/>
      <w:marTop w:val="0"/>
      <w:marBottom w:val="0"/>
      <w:divBdr>
        <w:top w:val="none" w:sz="0" w:space="0" w:color="auto"/>
        <w:left w:val="none" w:sz="0" w:space="0" w:color="auto"/>
        <w:bottom w:val="none" w:sz="0" w:space="0" w:color="auto"/>
        <w:right w:val="none" w:sz="0" w:space="0" w:color="auto"/>
      </w:divBdr>
    </w:div>
    <w:div w:id="1644845213">
      <w:bodyDiv w:val="1"/>
      <w:marLeft w:val="0"/>
      <w:marRight w:val="0"/>
      <w:marTop w:val="0"/>
      <w:marBottom w:val="0"/>
      <w:divBdr>
        <w:top w:val="none" w:sz="0" w:space="0" w:color="auto"/>
        <w:left w:val="none" w:sz="0" w:space="0" w:color="auto"/>
        <w:bottom w:val="none" w:sz="0" w:space="0" w:color="auto"/>
        <w:right w:val="none" w:sz="0" w:space="0" w:color="auto"/>
      </w:divBdr>
      <w:divsChild>
        <w:div w:id="1974166674">
          <w:marLeft w:val="0"/>
          <w:marRight w:val="0"/>
          <w:marTop w:val="0"/>
          <w:marBottom w:val="0"/>
          <w:divBdr>
            <w:top w:val="none" w:sz="0" w:space="0" w:color="auto"/>
            <w:left w:val="none" w:sz="0" w:space="0" w:color="auto"/>
            <w:bottom w:val="none" w:sz="0" w:space="0" w:color="auto"/>
            <w:right w:val="none" w:sz="0" w:space="0" w:color="auto"/>
          </w:divBdr>
          <w:divsChild>
            <w:div w:id="17593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1911">
      <w:bodyDiv w:val="1"/>
      <w:marLeft w:val="0"/>
      <w:marRight w:val="0"/>
      <w:marTop w:val="0"/>
      <w:marBottom w:val="0"/>
      <w:divBdr>
        <w:top w:val="none" w:sz="0" w:space="0" w:color="auto"/>
        <w:left w:val="none" w:sz="0" w:space="0" w:color="auto"/>
        <w:bottom w:val="none" w:sz="0" w:space="0" w:color="auto"/>
        <w:right w:val="none" w:sz="0" w:space="0" w:color="auto"/>
      </w:divBdr>
    </w:div>
    <w:div w:id="1767387800">
      <w:bodyDiv w:val="1"/>
      <w:marLeft w:val="0"/>
      <w:marRight w:val="0"/>
      <w:marTop w:val="0"/>
      <w:marBottom w:val="0"/>
      <w:divBdr>
        <w:top w:val="none" w:sz="0" w:space="0" w:color="auto"/>
        <w:left w:val="none" w:sz="0" w:space="0" w:color="auto"/>
        <w:bottom w:val="none" w:sz="0" w:space="0" w:color="auto"/>
        <w:right w:val="none" w:sz="0" w:space="0" w:color="auto"/>
      </w:divBdr>
    </w:div>
    <w:div w:id="1860850233">
      <w:bodyDiv w:val="1"/>
      <w:marLeft w:val="0"/>
      <w:marRight w:val="0"/>
      <w:marTop w:val="0"/>
      <w:marBottom w:val="0"/>
      <w:divBdr>
        <w:top w:val="none" w:sz="0" w:space="0" w:color="auto"/>
        <w:left w:val="none" w:sz="0" w:space="0" w:color="auto"/>
        <w:bottom w:val="none" w:sz="0" w:space="0" w:color="auto"/>
        <w:right w:val="none" w:sz="0" w:space="0" w:color="auto"/>
      </w:divBdr>
    </w:div>
    <w:div w:id="2018070277">
      <w:bodyDiv w:val="1"/>
      <w:marLeft w:val="0"/>
      <w:marRight w:val="0"/>
      <w:marTop w:val="0"/>
      <w:marBottom w:val="0"/>
      <w:divBdr>
        <w:top w:val="none" w:sz="0" w:space="0" w:color="auto"/>
        <w:left w:val="none" w:sz="0" w:space="0" w:color="auto"/>
        <w:bottom w:val="none" w:sz="0" w:space="0" w:color="auto"/>
        <w:right w:val="none" w:sz="0" w:space="0" w:color="auto"/>
      </w:divBdr>
    </w:div>
    <w:div w:id="2070758664">
      <w:bodyDiv w:val="1"/>
      <w:marLeft w:val="0"/>
      <w:marRight w:val="0"/>
      <w:marTop w:val="0"/>
      <w:marBottom w:val="0"/>
      <w:divBdr>
        <w:top w:val="none" w:sz="0" w:space="0" w:color="auto"/>
        <w:left w:val="none" w:sz="0" w:space="0" w:color="auto"/>
        <w:bottom w:val="none" w:sz="0" w:space="0" w:color="auto"/>
        <w:right w:val="none" w:sz="0" w:space="0" w:color="auto"/>
      </w:divBdr>
    </w:div>
    <w:div w:id="210071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D7E0-08CF-44CE-9E9E-D314EC3B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16606</CharactersWithSpaces>
  <SharedDoc>false</SharedDoc>
  <HLinks>
    <vt:vector size="12" baseType="variant">
      <vt:variant>
        <vt:i4>2949170</vt:i4>
      </vt:variant>
      <vt:variant>
        <vt:i4>3</vt:i4>
      </vt:variant>
      <vt:variant>
        <vt:i4>0</vt:i4>
      </vt:variant>
      <vt:variant>
        <vt:i4>5</vt:i4>
      </vt:variant>
      <vt:variant>
        <vt:lpwstr>https://www.aqf.edu.au/sites/aqf/files/aqf-2nd-edition-january-2013.pdf</vt:lpwstr>
      </vt:variant>
      <vt:variant>
        <vt:lpwstr/>
      </vt:variant>
      <vt:variant>
        <vt:i4>2949170</vt:i4>
      </vt:variant>
      <vt:variant>
        <vt:i4>0</vt:i4>
      </vt:variant>
      <vt:variant>
        <vt:i4>0</vt:i4>
      </vt:variant>
      <vt:variant>
        <vt:i4>5</vt:i4>
      </vt:variant>
      <vt:variant>
        <vt:lpwstr>https://www.aqf.edu.au/sites/aqf/files/aqf-2nd-edition-january-2013.pdf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cp:lastModifiedBy>Wright, Michael</cp:lastModifiedBy>
  <cp:revision>6</cp:revision>
  <cp:lastPrinted>2019-04-28T22:28:00Z</cp:lastPrinted>
  <dcterms:created xsi:type="dcterms:W3CDTF">2019-05-21T23:03:00Z</dcterms:created>
  <dcterms:modified xsi:type="dcterms:W3CDTF">2019-06-17T04:44:00Z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2093511220</vt:i4>
  </property>
</Properties>
</file>