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D3952" w14:textId="77777777" w:rsidR="00840A14" w:rsidRPr="00171117" w:rsidRDefault="00840A14" w:rsidP="00840A14">
      <w:pPr>
        <w:rPr>
          <w:color w:val="000000"/>
        </w:rPr>
      </w:pPr>
      <w:bookmarkStart w:id="0" w:name="_Toc168113228"/>
      <w:r w:rsidRPr="00171117">
        <w:rPr>
          <w:noProof/>
          <w:color w:val="000000"/>
        </w:rPr>
        <w:drawing>
          <wp:inline distT="0" distB="0" distL="0" distR="0" wp14:anchorId="42A8A398" wp14:editId="5A98D296">
            <wp:extent cx="1419225" cy="1104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171CEBC6" w14:textId="77777777" w:rsidR="00840A14" w:rsidRPr="00EC746D" w:rsidRDefault="00840A14" w:rsidP="00840A14">
      <w:pPr>
        <w:spacing w:before="480"/>
        <w:rPr>
          <w:rFonts w:ascii="Arial" w:hAnsi="Arial" w:cs="Arial"/>
          <w:b/>
          <w:bCs/>
          <w:color w:val="000000"/>
          <w:sz w:val="40"/>
          <w:szCs w:val="40"/>
          <w:lang w:eastAsia="en-US"/>
        </w:rPr>
      </w:pPr>
      <w:r w:rsidRPr="00EC746D">
        <w:rPr>
          <w:rFonts w:ascii="Arial" w:hAnsi="Arial" w:cs="Arial"/>
          <w:b/>
          <w:bCs/>
          <w:color w:val="000000"/>
          <w:sz w:val="40"/>
          <w:szCs w:val="40"/>
          <w:lang w:eastAsia="en-US"/>
        </w:rPr>
        <w:t xml:space="preserve">Insurance (prudential standard) determination No. </w:t>
      </w:r>
      <w:r>
        <w:rPr>
          <w:rFonts w:ascii="Arial" w:hAnsi="Arial" w:cs="Arial"/>
          <w:b/>
          <w:bCs/>
          <w:color w:val="000000"/>
          <w:sz w:val="40"/>
          <w:szCs w:val="40"/>
          <w:lang w:eastAsia="en-US"/>
        </w:rPr>
        <w:t xml:space="preserve">12 </w:t>
      </w:r>
      <w:r w:rsidRPr="00EC746D">
        <w:rPr>
          <w:rFonts w:ascii="Arial" w:hAnsi="Arial" w:cs="Arial"/>
          <w:b/>
          <w:bCs/>
          <w:color w:val="000000"/>
          <w:sz w:val="40"/>
          <w:szCs w:val="40"/>
          <w:lang w:eastAsia="en-US"/>
        </w:rPr>
        <w:t xml:space="preserve">of </w:t>
      </w:r>
      <w:r>
        <w:rPr>
          <w:rFonts w:ascii="Arial" w:hAnsi="Arial" w:cs="Arial"/>
          <w:b/>
          <w:bCs/>
          <w:color w:val="000000"/>
          <w:sz w:val="40"/>
          <w:szCs w:val="40"/>
          <w:lang w:eastAsia="en-US"/>
        </w:rPr>
        <w:t>2019</w:t>
      </w:r>
    </w:p>
    <w:p w14:paraId="4B8DD93B" w14:textId="77777777" w:rsidR="00840A14" w:rsidRPr="00604B17" w:rsidRDefault="00840A14" w:rsidP="00840A14">
      <w:pPr>
        <w:spacing w:before="480"/>
        <w:rPr>
          <w:rFonts w:ascii="Arial" w:hAnsi="Arial" w:cs="Arial"/>
          <w:b/>
          <w:bCs/>
          <w:color w:val="000000"/>
          <w:sz w:val="28"/>
          <w:szCs w:val="28"/>
          <w:lang w:eastAsia="en-US"/>
        </w:rPr>
      </w:pPr>
      <w:r w:rsidRPr="00604B17">
        <w:rPr>
          <w:rFonts w:ascii="Arial" w:hAnsi="Arial" w:cs="Arial"/>
          <w:b/>
          <w:bCs/>
          <w:color w:val="000000"/>
          <w:sz w:val="28"/>
          <w:szCs w:val="28"/>
          <w:lang w:eastAsia="en-US"/>
        </w:rPr>
        <w:t>Prudential Standard GPS 110 Capital Adequacy</w:t>
      </w:r>
    </w:p>
    <w:p w14:paraId="1BD37F28" w14:textId="77777777" w:rsidR="00840A14" w:rsidRPr="00171117" w:rsidRDefault="00840A14" w:rsidP="00840A14">
      <w:pPr>
        <w:pStyle w:val="ActTitle"/>
        <w:rPr>
          <w:color w:val="000000"/>
        </w:rPr>
      </w:pPr>
      <w:r w:rsidRPr="00171117">
        <w:rPr>
          <w:color w:val="000000"/>
        </w:rPr>
        <w:t>Insurance Act 1973</w:t>
      </w:r>
    </w:p>
    <w:p w14:paraId="1BC1E964" w14:textId="77777777" w:rsidR="00840A14" w:rsidRPr="00171117" w:rsidRDefault="00840A14" w:rsidP="00840A14">
      <w:pPr>
        <w:pStyle w:val="IntroTo"/>
        <w:ind w:left="0" w:firstLine="0"/>
        <w:jc w:val="both"/>
        <w:rPr>
          <w:szCs w:val="24"/>
        </w:rPr>
      </w:pPr>
      <w:r w:rsidRPr="00171117">
        <w:rPr>
          <w:szCs w:val="24"/>
        </w:rPr>
        <w:t>I,</w:t>
      </w:r>
      <w:r>
        <w:rPr>
          <w:szCs w:val="24"/>
        </w:rPr>
        <w:t xml:space="preserve"> Pat Brennan</w:t>
      </w:r>
      <w:r w:rsidRPr="00171117">
        <w:rPr>
          <w:szCs w:val="24"/>
        </w:rPr>
        <w:t>, delegate of APRA:</w:t>
      </w:r>
    </w:p>
    <w:p w14:paraId="79235C38" w14:textId="77777777" w:rsidR="00840A14" w:rsidRPr="00171117" w:rsidRDefault="00840A14" w:rsidP="00840A14">
      <w:pPr>
        <w:pStyle w:val="IntroTo"/>
        <w:ind w:left="0" w:firstLine="0"/>
        <w:jc w:val="both"/>
        <w:rPr>
          <w:szCs w:val="24"/>
        </w:rPr>
      </w:pPr>
    </w:p>
    <w:p w14:paraId="5C95C7B4" w14:textId="77777777" w:rsidR="00840A14" w:rsidRPr="00171117" w:rsidRDefault="00840A14" w:rsidP="00840A14">
      <w:pPr>
        <w:pStyle w:val="IntroTo"/>
        <w:numPr>
          <w:ilvl w:val="0"/>
          <w:numId w:val="29"/>
        </w:numPr>
        <w:ind w:left="567" w:hanging="567"/>
        <w:jc w:val="both"/>
        <w:rPr>
          <w:color w:val="000000"/>
          <w:szCs w:val="24"/>
        </w:rPr>
      </w:pPr>
      <w:r w:rsidRPr="00171117">
        <w:rPr>
          <w:color w:val="000000"/>
          <w:szCs w:val="24"/>
        </w:rPr>
        <w:t xml:space="preserve">under subsection 32(4) of the </w:t>
      </w:r>
      <w:r w:rsidRPr="00171117">
        <w:rPr>
          <w:i/>
          <w:color w:val="000000"/>
          <w:szCs w:val="24"/>
        </w:rPr>
        <w:t>Insurance Act 1973</w:t>
      </w:r>
      <w:r w:rsidRPr="00171117">
        <w:rPr>
          <w:color w:val="000000"/>
          <w:szCs w:val="24"/>
        </w:rPr>
        <w:t xml:space="preserve"> (the Act) REVOKE Insurance (prudential standard) determination No. </w:t>
      </w:r>
      <w:r>
        <w:rPr>
          <w:color w:val="000000"/>
          <w:szCs w:val="24"/>
        </w:rPr>
        <w:t>3 of 2014</w:t>
      </w:r>
      <w:r w:rsidRPr="00171117">
        <w:rPr>
          <w:color w:val="000000"/>
          <w:szCs w:val="24"/>
        </w:rPr>
        <w:t xml:space="preserve">, including </w:t>
      </w:r>
      <w:r w:rsidRPr="00171117">
        <w:rPr>
          <w:i/>
          <w:color w:val="000000"/>
          <w:szCs w:val="24"/>
        </w:rPr>
        <w:t xml:space="preserve">Prudential Standard GPS </w:t>
      </w:r>
      <w:r>
        <w:rPr>
          <w:i/>
          <w:color w:val="000000"/>
          <w:szCs w:val="24"/>
        </w:rPr>
        <w:t>110</w:t>
      </w:r>
      <w:r w:rsidRPr="00171117">
        <w:rPr>
          <w:i/>
          <w:color w:val="000000"/>
          <w:szCs w:val="24"/>
        </w:rPr>
        <w:t xml:space="preserve"> </w:t>
      </w:r>
      <w:r>
        <w:rPr>
          <w:i/>
          <w:color w:val="000000"/>
          <w:szCs w:val="24"/>
        </w:rPr>
        <w:t>Capital Adequacy</w:t>
      </w:r>
      <w:r w:rsidRPr="00171117">
        <w:rPr>
          <w:color w:val="000000"/>
          <w:szCs w:val="24"/>
        </w:rPr>
        <w:t>, made under that Determination; and</w:t>
      </w:r>
    </w:p>
    <w:p w14:paraId="791B2BDD" w14:textId="77777777" w:rsidR="00840A14" w:rsidRPr="00171117" w:rsidRDefault="00840A14" w:rsidP="00840A14">
      <w:pPr>
        <w:pStyle w:val="IntroTo"/>
        <w:numPr>
          <w:ilvl w:val="0"/>
          <w:numId w:val="29"/>
        </w:numPr>
        <w:spacing w:before="120"/>
        <w:ind w:left="567" w:hanging="567"/>
        <w:jc w:val="both"/>
        <w:rPr>
          <w:color w:val="000000"/>
          <w:szCs w:val="24"/>
        </w:rPr>
      </w:pPr>
      <w:r w:rsidRPr="00171117">
        <w:rPr>
          <w:color w:val="000000"/>
          <w:szCs w:val="24"/>
        </w:rPr>
        <w:t xml:space="preserve">under subsection 32(1) of the </w:t>
      </w:r>
      <w:r>
        <w:rPr>
          <w:color w:val="000000"/>
          <w:szCs w:val="24"/>
        </w:rPr>
        <w:t>Act</w:t>
      </w:r>
      <w:r w:rsidRPr="00171117">
        <w:rPr>
          <w:color w:val="000000"/>
          <w:szCs w:val="24"/>
        </w:rPr>
        <w:t xml:space="preserve"> DETERMINE </w:t>
      </w:r>
      <w:r w:rsidRPr="00171117">
        <w:rPr>
          <w:i/>
          <w:color w:val="000000"/>
          <w:szCs w:val="24"/>
        </w:rPr>
        <w:t xml:space="preserve">Prudential Standard GPS </w:t>
      </w:r>
      <w:r>
        <w:rPr>
          <w:i/>
          <w:color w:val="000000"/>
          <w:szCs w:val="24"/>
        </w:rPr>
        <w:t>110</w:t>
      </w:r>
      <w:r w:rsidRPr="00171117">
        <w:rPr>
          <w:i/>
          <w:color w:val="000000"/>
          <w:szCs w:val="24"/>
        </w:rPr>
        <w:t xml:space="preserve"> </w:t>
      </w:r>
      <w:r>
        <w:rPr>
          <w:i/>
          <w:color w:val="000000"/>
          <w:szCs w:val="24"/>
        </w:rPr>
        <w:t>Capital Adequacy</w:t>
      </w:r>
      <w:r w:rsidRPr="00171117">
        <w:rPr>
          <w:color w:val="000000"/>
          <w:szCs w:val="24"/>
        </w:rPr>
        <w:t>, in the form set out in the Schedule, which applies to:</w:t>
      </w:r>
    </w:p>
    <w:p w14:paraId="226EB792" w14:textId="77777777" w:rsidR="00840A14" w:rsidRPr="00171117" w:rsidRDefault="00840A14" w:rsidP="00840A14">
      <w:pPr>
        <w:pStyle w:val="IntroTo"/>
        <w:numPr>
          <w:ilvl w:val="1"/>
          <w:numId w:val="29"/>
        </w:numPr>
        <w:tabs>
          <w:tab w:val="left" w:pos="1134"/>
        </w:tabs>
        <w:spacing w:before="120"/>
        <w:ind w:left="1134" w:hanging="425"/>
        <w:jc w:val="both"/>
        <w:rPr>
          <w:color w:val="000000"/>
          <w:szCs w:val="24"/>
        </w:rPr>
      </w:pPr>
      <w:r w:rsidRPr="00171117">
        <w:rPr>
          <w:color w:val="000000"/>
          <w:szCs w:val="24"/>
        </w:rPr>
        <w:t>all general insurers and authorised NOHCs; and</w:t>
      </w:r>
    </w:p>
    <w:p w14:paraId="0C85204D" w14:textId="77777777" w:rsidR="00840A14" w:rsidRPr="00171117" w:rsidRDefault="00840A14" w:rsidP="00840A14">
      <w:pPr>
        <w:pStyle w:val="IntroTo"/>
        <w:numPr>
          <w:ilvl w:val="1"/>
          <w:numId w:val="29"/>
        </w:numPr>
        <w:tabs>
          <w:tab w:val="left" w:pos="1134"/>
        </w:tabs>
        <w:spacing w:before="120"/>
        <w:ind w:left="1134" w:hanging="425"/>
        <w:jc w:val="both"/>
        <w:rPr>
          <w:color w:val="000000"/>
          <w:szCs w:val="24"/>
        </w:rPr>
      </w:pPr>
      <w:r w:rsidRPr="00171117">
        <w:rPr>
          <w:color w:val="000000"/>
          <w:szCs w:val="24"/>
        </w:rPr>
        <w:t>a subsidiary of a general insurer or authorised NOHC, where that subsidiary is a parent entity of a Level 2 insurance group.</w:t>
      </w:r>
    </w:p>
    <w:p w14:paraId="6A34EFA7" w14:textId="77777777" w:rsidR="00840A14" w:rsidRPr="00171117" w:rsidRDefault="00840A14" w:rsidP="00840A14">
      <w:pPr>
        <w:jc w:val="both"/>
      </w:pPr>
    </w:p>
    <w:p w14:paraId="0BDAD707" w14:textId="77777777" w:rsidR="00840A14" w:rsidRPr="00171117" w:rsidRDefault="00840A14" w:rsidP="00840A14">
      <w:pPr>
        <w:jc w:val="both"/>
      </w:pPr>
      <w:r w:rsidRPr="00171117">
        <w:t xml:space="preserve">This instrument </w:t>
      </w:r>
      <w:r>
        <w:t>commences on 1 July 2019</w:t>
      </w:r>
      <w:r w:rsidRPr="00171117">
        <w:t>.</w:t>
      </w:r>
    </w:p>
    <w:p w14:paraId="6577D699" w14:textId="77777777" w:rsidR="00840A14" w:rsidRPr="00171117" w:rsidRDefault="00840A14" w:rsidP="00840A14">
      <w:pPr>
        <w:jc w:val="both"/>
      </w:pPr>
    </w:p>
    <w:p w14:paraId="4170881E" w14:textId="77777777" w:rsidR="00840A14" w:rsidRPr="00171117" w:rsidRDefault="00840A14" w:rsidP="00840A14">
      <w:pPr>
        <w:jc w:val="both"/>
      </w:pPr>
      <w:r>
        <w:t>Dated: 19 June 2019</w:t>
      </w:r>
    </w:p>
    <w:p w14:paraId="1522CD41" w14:textId="77777777" w:rsidR="00840A14" w:rsidRDefault="00840A14" w:rsidP="00840A14">
      <w:pPr>
        <w:jc w:val="both"/>
      </w:pPr>
    </w:p>
    <w:p w14:paraId="7328EEBB" w14:textId="77777777" w:rsidR="00840A14" w:rsidRDefault="00840A14" w:rsidP="00840A14">
      <w:pPr>
        <w:jc w:val="both"/>
      </w:pPr>
      <w:r>
        <w:t>[Signed]</w:t>
      </w:r>
    </w:p>
    <w:p w14:paraId="045B7E03" w14:textId="77777777" w:rsidR="00840A14" w:rsidRDefault="00840A14" w:rsidP="00840A14">
      <w:pPr>
        <w:jc w:val="both"/>
      </w:pPr>
    </w:p>
    <w:p w14:paraId="44FDF927" w14:textId="77777777" w:rsidR="00840A14" w:rsidRDefault="00840A14" w:rsidP="00840A14">
      <w:pPr>
        <w:jc w:val="both"/>
      </w:pPr>
    </w:p>
    <w:p w14:paraId="5E4C329F" w14:textId="77777777" w:rsidR="00840A14" w:rsidRDefault="00840A14" w:rsidP="00840A14">
      <w:pPr>
        <w:jc w:val="both"/>
      </w:pPr>
      <w:r>
        <w:t>Pat Brennan</w:t>
      </w:r>
    </w:p>
    <w:p w14:paraId="2C3ED55B" w14:textId="77777777" w:rsidR="00840A14" w:rsidRDefault="00840A14" w:rsidP="00840A14">
      <w:pPr>
        <w:jc w:val="both"/>
      </w:pPr>
      <w:r>
        <w:t>Executive General Manager</w:t>
      </w:r>
    </w:p>
    <w:p w14:paraId="018BC480" w14:textId="77777777" w:rsidR="00840A14" w:rsidRPr="00E1060A" w:rsidRDefault="00840A14" w:rsidP="00840A14">
      <w:pPr>
        <w:jc w:val="both"/>
      </w:pPr>
      <w:r>
        <w:t xml:space="preserve">Policy and Advice Division </w:t>
      </w:r>
    </w:p>
    <w:p w14:paraId="69FE1E11" w14:textId="77777777" w:rsidR="00840A14" w:rsidRPr="00A81435" w:rsidRDefault="00840A14" w:rsidP="00840A14">
      <w:pPr>
        <w:jc w:val="both"/>
      </w:pPr>
    </w:p>
    <w:p w14:paraId="54D45B86" w14:textId="77777777" w:rsidR="00840A14" w:rsidRPr="00171117" w:rsidRDefault="00840A14" w:rsidP="00840A14">
      <w:pPr>
        <w:jc w:val="both"/>
        <w:rPr>
          <w:color w:val="000000"/>
        </w:rPr>
      </w:pPr>
    </w:p>
    <w:p w14:paraId="71C817D1" w14:textId="77777777" w:rsidR="00840A14" w:rsidRDefault="00840A14" w:rsidP="00840A14">
      <w:pPr>
        <w:spacing w:after="120" w:line="288" w:lineRule="auto"/>
        <w:rPr>
          <w:b/>
          <w:color w:val="000000"/>
          <w:szCs w:val="24"/>
          <w:lang w:eastAsia="en-US"/>
        </w:rPr>
      </w:pPr>
      <w:r>
        <w:rPr>
          <w:color w:val="000000"/>
        </w:rPr>
        <w:br w:type="page"/>
      </w:r>
    </w:p>
    <w:p w14:paraId="24469B99" w14:textId="77777777" w:rsidR="00840A14" w:rsidRDefault="00840A14" w:rsidP="00840A14">
      <w:pPr>
        <w:pStyle w:val="IH"/>
        <w:ind w:left="0" w:firstLine="0"/>
        <w:rPr>
          <w:rFonts w:ascii="Times New Roman" w:hAnsi="Times New Roman"/>
          <w:color w:val="000000"/>
        </w:rPr>
      </w:pPr>
      <w:bookmarkStart w:id="1" w:name="_GoBack"/>
      <w:bookmarkEnd w:id="1"/>
    </w:p>
    <w:p w14:paraId="43CBFAFF" w14:textId="77777777" w:rsidR="00840A14" w:rsidRPr="00171117" w:rsidRDefault="00840A14" w:rsidP="00840A14">
      <w:pPr>
        <w:pStyle w:val="IH"/>
        <w:spacing w:before="0"/>
        <w:ind w:left="0" w:firstLine="0"/>
        <w:rPr>
          <w:rFonts w:ascii="Times New Roman" w:hAnsi="Times New Roman"/>
          <w:color w:val="000000"/>
        </w:rPr>
      </w:pPr>
      <w:r>
        <w:rPr>
          <w:rFonts w:ascii="Times New Roman" w:hAnsi="Times New Roman"/>
          <w:color w:val="000000"/>
        </w:rPr>
        <w:t>I</w:t>
      </w:r>
      <w:r w:rsidRPr="00171117">
        <w:rPr>
          <w:rFonts w:ascii="Times New Roman" w:hAnsi="Times New Roman"/>
          <w:color w:val="000000"/>
        </w:rPr>
        <w:t>nterpretation</w:t>
      </w:r>
    </w:p>
    <w:p w14:paraId="0368EE3E" w14:textId="77777777" w:rsidR="00840A14" w:rsidRPr="00171117" w:rsidRDefault="00840A14" w:rsidP="00840A14">
      <w:pPr>
        <w:pStyle w:val="IP"/>
        <w:rPr>
          <w:color w:val="000000"/>
        </w:rPr>
      </w:pPr>
      <w:r w:rsidRPr="00171117">
        <w:rPr>
          <w:color w:val="000000"/>
        </w:rPr>
        <w:t>In this Determination:</w:t>
      </w:r>
    </w:p>
    <w:p w14:paraId="6B887FB0" w14:textId="77777777" w:rsidR="00840A14" w:rsidRPr="00171117" w:rsidRDefault="00840A14" w:rsidP="00840A14">
      <w:pPr>
        <w:pStyle w:val="IntroTo"/>
        <w:spacing w:before="120"/>
        <w:ind w:left="0" w:firstLine="0"/>
        <w:jc w:val="both"/>
        <w:rPr>
          <w:color w:val="000000"/>
          <w:szCs w:val="24"/>
        </w:rPr>
      </w:pPr>
      <w:r w:rsidRPr="00171117">
        <w:rPr>
          <w:b/>
          <w:i/>
          <w:color w:val="000000"/>
          <w:szCs w:val="24"/>
        </w:rPr>
        <w:t>APRA</w:t>
      </w:r>
      <w:r w:rsidRPr="00171117">
        <w:rPr>
          <w:color w:val="000000"/>
          <w:szCs w:val="24"/>
        </w:rPr>
        <w:t xml:space="preserve"> means the Australian Prudential Regulation Authority.</w:t>
      </w:r>
    </w:p>
    <w:p w14:paraId="6E97617F" w14:textId="77777777" w:rsidR="00840A14" w:rsidRPr="00171117" w:rsidRDefault="00840A14" w:rsidP="00840A14">
      <w:pPr>
        <w:pStyle w:val="IntroTo"/>
        <w:spacing w:before="120"/>
        <w:ind w:left="0" w:firstLine="0"/>
        <w:jc w:val="both"/>
        <w:rPr>
          <w:color w:val="000000"/>
          <w:szCs w:val="24"/>
        </w:rPr>
      </w:pPr>
      <w:r w:rsidRPr="00171117">
        <w:rPr>
          <w:b/>
          <w:i/>
          <w:color w:val="000000"/>
          <w:szCs w:val="24"/>
        </w:rPr>
        <w:t>authorised NOHC</w:t>
      </w:r>
      <w:r w:rsidRPr="00171117">
        <w:rPr>
          <w:color w:val="000000"/>
          <w:szCs w:val="24"/>
        </w:rPr>
        <w:t xml:space="preserve"> has the meaning given in section 3 of the Act.</w:t>
      </w:r>
    </w:p>
    <w:p w14:paraId="408427F8" w14:textId="77777777" w:rsidR="00840A14" w:rsidRPr="00171117" w:rsidRDefault="00840A14" w:rsidP="00840A14">
      <w:pPr>
        <w:pStyle w:val="IntroTo"/>
        <w:spacing w:before="120"/>
        <w:ind w:left="0" w:firstLine="0"/>
        <w:jc w:val="both"/>
        <w:rPr>
          <w:color w:val="000000"/>
          <w:szCs w:val="24"/>
        </w:rPr>
      </w:pPr>
      <w:r w:rsidRPr="00171117">
        <w:rPr>
          <w:b/>
          <w:i/>
          <w:color w:val="000000"/>
          <w:szCs w:val="24"/>
        </w:rPr>
        <w:t xml:space="preserve">general insurer </w:t>
      </w:r>
      <w:r w:rsidRPr="00171117">
        <w:rPr>
          <w:color w:val="000000"/>
          <w:szCs w:val="24"/>
        </w:rPr>
        <w:t>has the meaning given in section 11 of the Act.</w:t>
      </w:r>
    </w:p>
    <w:p w14:paraId="28FE1F0D" w14:textId="77777777" w:rsidR="00840A14" w:rsidRPr="00171117" w:rsidRDefault="00840A14" w:rsidP="00840A14">
      <w:pPr>
        <w:pStyle w:val="IntroTo"/>
        <w:spacing w:before="120"/>
        <w:ind w:left="0" w:firstLine="0"/>
        <w:jc w:val="both"/>
        <w:rPr>
          <w:color w:val="000000"/>
          <w:szCs w:val="24"/>
        </w:rPr>
      </w:pPr>
      <w:r w:rsidRPr="00171117">
        <w:rPr>
          <w:b/>
          <w:i/>
          <w:color w:val="000000"/>
          <w:szCs w:val="24"/>
        </w:rPr>
        <w:t>Level 2 insurance group</w:t>
      </w:r>
      <w:r w:rsidRPr="00171117">
        <w:rPr>
          <w:color w:val="000000"/>
          <w:szCs w:val="24"/>
        </w:rPr>
        <w:t xml:space="preserve"> has the meaning given in </w:t>
      </w:r>
      <w:r w:rsidRPr="00171117">
        <w:rPr>
          <w:i/>
          <w:color w:val="000000"/>
          <w:szCs w:val="24"/>
        </w:rPr>
        <w:t>Prudential Standard GPS 001 Definitions</w:t>
      </w:r>
      <w:r>
        <w:rPr>
          <w:i/>
          <w:color w:val="000000"/>
          <w:szCs w:val="24"/>
        </w:rPr>
        <w:t>.</w:t>
      </w:r>
    </w:p>
    <w:p w14:paraId="37F9F3EA" w14:textId="77777777" w:rsidR="00840A14" w:rsidRPr="00171117" w:rsidRDefault="00840A14" w:rsidP="00840A14">
      <w:pPr>
        <w:pStyle w:val="IntroTo"/>
        <w:spacing w:before="120"/>
        <w:ind w:left="0" w:firstLine="0"/>
        <w:jc w:val="both"/>
        <w:rPr>
          <w:color w:val="000000"/>
          <w:szCs w:val="24"/>
        </w:rPr>
      </w:pPr>
      <w:r w:rsidRPr="00171117">
        <w:rPr>
          <w:b/>
          <w:i/>
          <w:color w:val="000000"/>
          <w:szCs w:val="24"/>
        </w:rPr>
        <w:t>parent entity</w:t>
      </w:r>
      <w:r w:rsidRPr="00171117">
        <w:rPr>
          <w:color w:val="000000"/>
          <w:szCs w:val="24"/>
        </w:rPr>
        <w:t xml:space="preserve"> has the meaning given in </w:t>
      </w:r>
      <w:r w:rsidRPr="00171117">
        <w:rPr>
          <w:i/>
          <w:color w:val="000000"/>
          <w:szCs w:val="24"/>
        </w:rPr>
        <w:t>Prudential Standard GPS 001 Definitions</w:t>
      </w:r>
      <w:r>
        <w:rPr>
          <w:i/>
          <w:color w:val="000000"/>
          <w:szCs w:val="24"/>
        </w:rPr>
        <w:t>.</w:t>
      </w:r>
    </w:p>
    <w:p w14:paraId="0B0F28B6" w14:textId="77777777" w:rsidR="00840A14" w:rsidRPr="00F14F1D" w:rsidRDefault="00840A14" w:rsidP="00840A14">
      <w:pPr>
        <w:pStyle w:val="IntroTo"/>
        <w:spacing w:before="120"/>
        <w:ind w:left="0" w:firstLine="0"/>
        <w:jc w:val="both"/>
        <w:rPr>
          <w:color w:val="000000"/>
          <w:szCs w:val="24"/>
          <w:u w:val="single"/>
        </w:rPr>
      </w:pPr>
      <w:r>
        <w:rPr>
          <w:b/>
          <w:i/>
          <w:color w:val="000000"/>
          <w:szCs w:val="24"/>
        </w:rPr>
        <w:t xml:space="preserve">Prudential Standard GPS 001 Definitions </w:t>
      </w:r>
      <w:r>
        <w:rPr>
          <w:color w:val="000000"/>
          <w:szCs w:val="24"/>
        </w:rPr>
        <w:t xml:space="preserve">is a reference to </w:t>
      </w:r>
      <w:r>
        <w:rPr>
          <w:i/>
          <w:color w:val="000000"/>
          <w:szCs w:val="24"/>
        </w:rPr>
        <w:t xml:space="preserve">Prudential Standard GPS 001 Definitions </w:t>
      </w:r>
      <w:r>
        <w:rPr>
          <w:color w:val="000000"/>
          <w:szCs w:val="24"/>
        </w:rPr>
        <w:t xml:space="preserve">determined under Insurance (prudential standard) determination No. 2 of 2018 </w:t>
      </w:r>
      <w:r w:rsidRPr="00F14F1D">
        <w:rPr>
          <w:color w:val="000000"/>
          <w:szCs w:val="24"/>
        </w:rPr>
        <w:t>a</w:t>
      </w:r>
      <w:r>
        <w:rPr>
          <w:color w:val="000000"/>
          <w:szCs w:val="24"/>
        </w:rPr>
        <w:t>s</w:t>
      </w:r>
      <w:r w:rsidRPr="00F14F1D">
        <w:rPr>
          <w:color w:val="000000"/>
          <w:szCs w:val="24"/>
        </w:rPr>
        <w:t xml:space="preserve"> in force from time to time.</w:t>
      </w:r>
    </w:p>
    <w:p w14:paraId="5F997348" w14:textId="77777777" w:rsidR="00840A14" w:rsidRPr="00171117" w:rsidRDefault="00840A14" w:rsidP="00840A14">
      <w:pPr>
        <w:pStyle w:val="IntroTo"/>
        <w:spacing w:before="120"/>
        <w:ind w:left="0" w:firstLine="0"/>
        <w:jc w:val="both"/>
        <w:rPr>
          <w:color w:val="000000"/>
          <w:szCs w:val="24"/>
        </w:rPr>
      </w:pPr>
      <w:r w:rsidRPr="00171117">
        <w:rPr>
          <w:b/>
          <w:i/>
          <w:color w:val="000000"/>
          <w:szCs w:val="24"/>
        </w:rPr>
        <w:t>subsidiary</w:t>
      </w:r>
      <w:r w:rsidRPr="00171117">
        <w:rPr>
          <w:color w:val="000000"/>
          <w:szCs w:val="24"/>
        </w:rPr>
        <w:t xml:space="preserve"> has the meaning given in </w:t>
      </w:r>
      <w:r w:rsidRPr="00171117">
        <w:rPr>
          <w:i/>
          <w:color w:val="000000"/>
          <w:szCs w:val="24"/>
        </w:rPr>
        <w:t>Prudential Standard GPS 001 Definitions</w:t>
      </w:r>
      <w:r>
        <w:rPr>
          <w:i/>
          <w:color w:val="000000"/>
          <w:szCs w:val="24"/>
        </w:rPr>
        <w:t>.</w:t>
      </w:r>
    </w:p>
    <w:p w14:paraId="1CE86E98" w14:textId="77777777" w:rsidR="00840A14" w:rsidRPr="00171117" w:rsidRDefault="00840A14" w:rsidP="00840A14">
      <w:pPr>
        <w:pStyle w:val="AS"/>
        <w:ind w:left="0" w:firstLine="0"/>
        <w:rPr>
          <w:rStyle w:val="CharSchText"/>
        </w:rPr>
      </w:pPr>
      <w:r w:rsidRPr="00171117">
        <w:rPr>
          <w:rStyle w:val="CharSchNo"/>
          <w:color w:val="000000"/>
        </w:rPr>
        <w:t xml:space="preserve">Schedule </w:t>
      </w:r>
    </w:p>
    <w:p w14:paraId="1BE7841A" w14:textId="77777777" w:rsidR="00840A14" w:rsidRPr="00171117" w:rsidRDefault="00840A14" w:rsidP="00840A14">
      <w:pPr>
        <w:pStyle w:val="ASref"/>
        <w:rPr>
          <w:color w:val="000000"/>
        </w:rPr>
      </w:pPr>
    </w:p>
    <w:p w14:paraId="1DCE876F" w14:textId="77777777" w:rsidR="00840A14" w:rsidRDefault="00840A14" w:rsidP="00840A14">
      <w:pPr>
        <w:rPr>
          <w:bCs/>
        </w:rPr>
      </w:pPr>
      <w:r w:rsidRPr="00171117">
        <w:rPr>
          <w:i/>
          <w:color w:val="000000"/>
        </w:rPr>
        <w:t xml:space="preserve">Prudential Standard GPS </w:t>
      </w:r>
      <w:r>
        <w:rPr>
          <w:i/>
          <w:color w:val="000000"/>
        </w:rPr>
        <w:t>110</w:t>
      </w:r>
      <w:r w:rsidRPr="00171117">
        <w:rPr>
          <w:color w:val="000000"/>
        </w:rPr>
        <w:t xml:space="preserve"> </w:t>
      </w:r>
      <w:r>
        <w:rPr>
          <w:i/>
          <w:color w:val="000000"/>
        </w:rPr>
        <w:t>Capital Adequacy</w:t>
      </w:r>
      <w:r w:rsidRPr="00171117">
        <w:rPr>
          <w:i/>
          <w:color w:val="000000"/>
        </w:rPr>
        <w:t xml:space="preserve"> </w:t>
      </w:r>
      <w:r w:rsidRPr="00171117">
        <w:rPr>
          <w:bCs/>
        </w:rPr>
        <w:t xml:space="preserve">comprises the </w:t>
      </w:r>
      <w:r>
        <w:rPr>
          <w:bCs/>
        </w:rPr>
        <w:t>document commencing</w:t>
      </w:r>
      <w:r w:rsidRPr="00171117">
        <w:rPr>
          <w:bCs/>
        </w:rPr>
        <w:t xml:space="preserve"> on the following page.</w:t>
      </w:r>
      <w:bookmarkEnd w:id="0"/>
    </w:p>
    <w:p w14:paraId="17785FC1" w14:textId="0F816294" w:rsidR="00CD3781" w:rsidRDefault="00CD3781" w:rsidP="00840A14">
      <w:pPr>
        <w:rPr>
          <w:bCs/>
        </w:rPr>
      </w:pPr>
    </w:p>
    <w:p w14:paraId="2635BE27" w14:textId="2D40229B" w:rsidR="00CD3781" w:rsidRDefault="00CD3781" w:rsidP="000B5A34">
      <w:pPr>
        <w:jc w:val="right"/>
      </w:pPr>
    </w:p>
    <w:p w14:paraId="24A56575" w14:textId="77777777" w:rsidR="00CD3781" w:rsidRPr="00CD3781" w:rsidRDefault="00CD3781" w:rsidP="00CD3781">
      <w:pPr>
        <w:sectPr w:rsidR="00CD3781" w:rsidRPr="00CD3781" w:rsidSect="000B5A34">
          <w:footerReference w:type="default" r:id="rId14"/>
          <w:type w:val="continuous"/>
          <w:pgSz w:w="11906" w:h="16838"/>
          <w:pgMar w:top="1440" w:right="1800" w:bottom="1440" w:left="1800" w:header="708" w:footer="708" w:gutter="0"/>
          <w:pgNumType w:start="1"/>
          <w:cols w:space="708"/>
          <w:titlePg/>
          <w:docGrid w:linePitch="360"/>
        </w:sectPr>
      </w:pPr>
    </w:p>
    <w:p w14:paraId="2166DEF3" w14:textId="7F2A0DE9" w:rsidR="0090341D" w:rsidRPr="00964AF1" w:rsidRDefault="0090341D" w:rsidP="00840A14">
      <w:pPr>
        <w:pStyle w:val="Heading5"/>
        <w:tabs>
          <w:tab w:val="left" w:pos="3261"/>
          <w:tab w:val="left" w:pos="4111"/>
        </w:tabs>
        <w:spacing w:after="360"/>
        <w:jc w:val="both"/>
      </w:pPr>
      <w:r w:rsidRPr="00964AF1">
        <w:rPr>
          <w:noProof/>
        </w:rPr>
        <w:drawing>
          <wp:inline distT="0" distB="0" distL="0" distR="0" wp14:anchorId="2166DFD9" wp14:editId="2166DFDA">
            <wp:extent cx="1414780" cy="110426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1414780" cy="1104265"/>
                    </a:xfrm>
                    <a:prstGeom prst="rect">
                      <a:avLst/>
                    </a:prstGeom>
                    <a:noFill/>
                    <a:ln w="9525">
                      <a:noFill/>
                      <a:miter lim="800000"/>
                      <a:headEnd/>
                      <a:tailEnd/>
                    </a:ln>
                  </pic:spPr>
                </pic:pic>
              </a:graphicData>
            </a:graphic>
          </wp:inline>
        </w:drawing>
      </w:r>
    </w:p>
    <w:p w14:paraId="2166DEF4" w14:textId="77777777" w:rsidR="0090341D" w:rsidRPr="00964AF1" w:rsidRDefault="0090341D" w:rsidP="0090341D">
      <w:pPr>
        <w:pStyle w:val="Heading5"/>
        <w:spacing w:before="120" w:after="360"/>
        <w:jc w:val="both"/>
        <w:rPr>
          <w:rFonts w:ascii="Arial" w:hAnsi="Arial" w:cs="Arial"/>
          <w:sz w:val="40"/>
          <w:szCs w:val="40"/>
        </w:rPr>
      </w:pPr>
      <w:r w:rsidRPr="00964AF1">
        <w:rPr>
          <w:rFonts w:ascii="Arial" w:hAnsi="Arial" w:cs="Arial"/>
          <w:sz w:val="40"/>
          <w:szCs w:val="40"/>
        </w:rPr>
        <w:t xml:space="preserve">Prudential Standard GPS 110 </w:t>
      </w:r>
    </w:p>
    <w:p w14:paraId="2166DEF5" w14:textId="77777777" w:rsidR="0090341D" w:rsidRPr="00964AF1" w:rsidRDefault="0090341D" w:rsidP="0090341D">
      <w:pPr>
        <w:pStyle w:val="Heading1"/>
        <w:spacing w:before="120" w:after="360"/>
        <w:jc w:val="both"/>
        <w:rPr>
          <w:sz w:val="40"/>
          <w:szCs w:val="40"/>
        </w:rPr>
      </w:pPr>
      <w:r w:rsidRPr="00964AF1">
        <w:rPr>
          <w:sz w:val="40"/>
          <w:szCs w:val="40"/>
        </w:rPr>
        <w:t xml:space="preserve">Capital Adequacy </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25"/>
      </w:tblGrid>
      <w:tr w:rsidR="0090341D" w:rsidRPr="00964AF1" w14:paraId="2166DF02" w14:textId="77777777" w:rsidTr="00FE48D9">
        <w:tc>
          <w:tcPr>
            <w:tcW w:w="8525" w:type="dxa"/>
            <w:shd w:val="pct10" w:color="auto" w:fill="FFFFFF"/>
          </w:tcPr>
          <w:p w14:paraId="2166DEF6" w14:textId="77777777" w:rsidR="0090341D" w:rsidRPr="00964AF1" w:rsidRDefault="0090341D" w:rsidP="00FE48D9">
            <w:pPr>
              <w:pStyle w:val="Heading3"/>
              <w:spacing w:before="120" w:after="360"/>
              <w:jc w:val="both"/>
              <w:rPr>
                <w:sz w:val="32"/>
                <w:szCs w:val="32"/>
              </w:rPr>
            </w:pPr>
            <w:r w:rsidRPr="00964AF1">
              <w:rPr>
                <w:sz w:val="32"/>
                <w:szCs w:val="32"/>
              </w:rPr>
              <w:t>Objective and key requirements of this Prudential Standard</w:t>
            </w:r>
          </w:p>
          <w:p w14:paraId="2166DEF7" w14:textId="77777777" w:rsidR="0090341D" w:rsidRPr="00964AF1" w:rsidRDefault="0090341D" w:rsidP="00FE48D9">
            <w:pPr>
              <w:spacing w:after="240"/>
              <w:jc w:val="both"/>
            </w:pPr>
            <w:r w:rsidRPr="00964AF1">
              <w:t xml:space="preserve">This Prudential Standard </w:t>
            </w:r>
            <w:r>
              <w:t>requires a</w:t>
            </w:r>
            <w:r w:rsidRPr="00964AF1">
              <w:t xml:space="preserve"> general insurer </w:t>
            </w:r>
            <w:r>
              <w:t>or</w:t>
            </w:r>
            <w:r w:rsidRPr="00964AF1">
              <w:t xml:space="preserve"> Level 2 insurance group</w:t>
            </w:r>
            <w:r>
              <w:t xml:space="preserve"> to</w:t>
            </w:r>
            <w:r w:rsidRPr="00964AF1">
              <w:t xml:space="preserve"> maintain adequate capital against the risks associated with </w:t>
            </w:r>
            <w:r>
              <w:t>its</w:t>
            </w:r>
            <w:r w:rsidRPr="00964AF1">
              <w:t xml:space="preserve"> activities. </w:t>
            </w:r>
          </w:p>
          <w:p w14:paraId="2166DEF8" w14:textId="0396020F" w:rsidR="0090341D" w:rsidRPr="00964AF1" w:rsidRDefault="0090341D" w:rsidP="00FE48D9">
            <w:pPr>
              <w:spacing w:after="240"/>
              <w:jc w:val="both"/>
            </w:pPr>
            <w:r>
              <w:rPr>
                <w:szCs w:val="24"/>
              </w:rPr>
              <w:t>The ultimate responsibility for the prudent management of capital of a general insurer or Level 2 insurance group rests with its Board of directors. The Board must ensure that the general insurer or Level 2 insurance group maintains an adequate level and quality of capital commensurate with the scale, nature and complexity of its business and risk profile, such that it is able to meet its obligations under a wide range of circumstances.</w:t>
            </w:r>
            <w:r w:rsidRPr="002D7A1F" w:rsidDel="00AC47EE">
              <w:rPr>
                <w:szCs w:val="24"/>
              </w:rPr>
              <w:t xml:space="preserve"> </w:t>
            </w:r>
          </w:p>
          <w:p w14:paraId="2166DEF9" w14:textId="77777777" w:rsidR="0090341D" w:rsidRPr="00964AF1" w:rsidRDefault="0090341D" w:rsidP="00FE48D9">
            <w:pPr>
              <w:spacing w:after="240"/>
              <w:jc w:val="both"/>
            </w:pPr>
            <w:r w:rsidRPr="00964AF1">
              <w:t xml:space="preserve">The key requirements of this Prudential Standard are that a general insurer </w:t>
            </w:r>
            <w:r>
              <w:t>or</w:t>
            </w:r>
            <w:r w:rsidRPr="00964AF1">
              <w:t xml:space="preserve"> Level 2 insurance group must:</w:t>
            </w:r>
          </w:p>
          <w:p w14:paraId="2166DEFA" w14:textId="77777777" w:rsidR="0090341D" w:rsidRPr="00964AF1" w:rsidRDefault="0090341D" w:rsidP="00FE48D9">
            <w:pPr>
              <w:pStyle w:val="NoSpacing"/>
              <w:jc w:val="both"/>
            </w:pPr>
            <w:r w:rsidRPr="00964AF1">
              <w:t>have an Internal Capital Adequacy Assessment Process;</w:t>
            </w:r>
          </w:p>
          <w:p w14:paraId="2166DEFB" w14:textId="77777777" w:rsidR="0090341D" w:rsidRPr="00964AF1" w:rsidRDefault="0090341D" w:rsidP="00FE48D9">
            <w:pPr>
              <w:pStyle w:val="NoSpacing"/>
              <w:jc w:val="both"/>
            </w:pPr>
            <w:r w:rsidRPr="00964AF1">
              <w:t>maintain required levels of capital;</w:t>
            </w:r>
          </w:p>
          <w:p w14:paraId="2166DEFC" w14:textId="77777777" w:rsidR="0090341D" w:rsidRPr="00964AF1" w:rsidRDefault="0090341D" w:rsidP="00FE48D9">
            <w:pPr>
              <w:pStyle w:val="NoSpacing"/>
              <w:jc w:val="both"/>
            </w:pPr>
            <w:r w:rsidRPr="00964AF1">
              <w:t>determine its prescribed capital amount having regard to a range of risk factors that may adversely impact a general insurer or Level 2 insurance group’s a</w:t>
            </w:r>
            <w:r>
              <w:t>bility to meet its obligations.</w:t>
            </w:r>
            <w:r w:rsidRPr="00964AF1">
              <w:t xml:space="preserve"> These factors include insurance risk, insurance concentration risk, asset risk, asset concentration risk and operational risk</w:t>
            </w:r>
            <w:r>
              <w:t>;</w:t>
            </w:r>
            <w:r w:rsidRPr="00964AF1">
              <w:t xml:space="preserve"> </w:t>
            </w:r>
          </w:p>
          <w:p w14:paraId="2166DEFD" w14:textId="77777777" w:rsidR="0090341D" w:rsidRPr="00964AF1" w:rsidRDefault="0090341D" w:rsidP="00FE48D9">
            <w:pPr>
              <w:pStyle w:val="NoSpacing"/>
              <w:jc w:val="both"/>
            </w:pPr>
            <w:r w:rsidRPr="00964AF1">
              <w:t>comply with any supervisory adjustment to capital imposed by APRA;</w:t>
            </w:r>
          </w:p>
          <w:p w14:paraId="2166DEFE" w14:textId="77777777" w:rsidR="0090341D" w:rsidRPr="00964AF1" w:rsidRDefault="0090341D" w:rsidP="00FE48D9">
            <w:pPr>
              <w:pStyle w:val="NoSpacing"/>
              <w:jc w:val="both"/>
            </w:pPr>
            <w:r w:rsidRPr="00964AF1">
              <w:t xml:space="preserve">make certain public disclosures about the capital adequacy position of the general insurer or Level 2 insurance group; </w:t>
            </w:r>
          </w:p>
          <w:p w14:paraId="2166DEFF" w14:textId="77777777" w:rsidR="0090341D" w:rsidRPr="00964AF1" w:rsidRDefault="0090341D" w:rsidP="00FE48D9">
            <w:pPr>
              <w:pStyle w:val="NoSpacing"/>
              <w:jc w:val="both"/>
            </w:pPr>
            <w:r w:rsidRPr="00964AF1">
              <w:lastRenderedPageBreak/>
              <w:t>seek APRA’s consent for certain planned capital reductions of the general insurer or Level 2 insurance group; and</w:t>
            </w:r>
          </w:p>
          <w:p w14:paraId="2166DF00" w14:textId="77777777" w:rsidR="0090341D" w:rsidRPr="00964AF1" w:rsidRDefault="0090341D" w:rsidP="00FE48D9">
            <w:pPr>
              <w:pStyle w:val="NoSpacing"/>
              <w:spacing w:after="0"/>
              <w:jc w:val="both"/>
              <w:rPr>
                <w:szCs w:val="24"/>
              </w:rPr>
            </w:pPr>
            <w:r w:rsidRPr="00964AF1">
              <w:t>inform APRA of any significant adverse changes in the general insurer or Level 2 insurance group’s capital position.</w:t>
            </w:r>
          </w:p>
          <w:p w14:paraId="2166DF01" w14:textId="77777777" w:rsidR="0090341D" w:rsidRPr="00964AF1" w:rsidRDefault="0090341D" w:rsidP="00FE48D9">
            <w:pPr>
              <w:jc w:val="both"/>
            </w:pPr>
          </w:p>
        </w:tc>
      </w:tr>
    </w:tbl>
    <w:p w14:paraId="2166DF03" w14:textId="4E0CB901" w:rsidR="0090341D" w:rsidRPr="00964AF1" w:rsidRDefault="0090341D" w:rsidP="0090341D">
      <w:pPr>
        <w:pStyle w:val="Heading"/>
        <w:spacing w:before="120" w:after="240"/>
        <w:jc w:val="both"/>
        <w:rPr>
          <w:rFonts w:ascii="Arial" w:hAnsi="Arial"/>
          <w:i/>
          <w:sz w:val="24"/>
          <w:szCs w:val="24"/>
        </w:rPr>
      </w:pPr>
      <w:r w:rsidRPr="00964AF1">
        <w:rPr>
          <w:rFonts w:ascii="Arial" w:hAnsi="Arial"/>
          <w:bCs/>
          <w:sz w:val="24"/>
          <w:szCs w:val="24"/>
        </w:rPr>
        <w:lastRenderedPageBreak/>
        <w:t xml:space="preserve">Authority </w:t>
      </w:r>
    </w:p>
    <w:p w14:paraId="2166DF04" w14:textId="77777777" w:rsidR="0090341D" w:rsidRPr="00964AF1" w:rsidRDefault="0090341D" w:rsidP="000369F0">
      <w:pPr>
        <w:pStyle w:val="BodyText"/>
      </w:pPr>
      <w:r w:rsidRPr="00964AF1">
        <w:t xml:space="preserve">This Prudential Standard is made under section 32 of the </w:t>
      </w:r>
      <w:r w:rsidRPr="00964AF1">
        <w:rPr>
          <w:i/>
        </w:rPr>
        <w:t>Insurance Act 1973</w:t>
      </w:r>
      <w:r w:rsidRPr="00964AF1">
        <w:t xml:space="preserve"> (</w:t>
      </w:r>
      <w:r w:rsidRPr="0040541F">
        <w:t>the Act</w:t>
      </w:r>
      <w:r w:rsidRPr="00964AF1">
        <w:t>).</w:t>
      </w:r>
    </w:p>
    <w:p w14:paraId="2166DF05" w14:textId="77777777" w:rsidR="0090341D" w:rsidRPr="00964AF1" w:rsidRDefault="0090341D" w:rsidP="0090341D">
      <w:pPr>
        <w:pStyle w:val="Heading"/>
        <w:spacing w:before="120" w:after="240"/>
        <w:jc w:val="both"/>
        <w:rPr>
          <w:rFonts w:ascii="Arial" w:hAnsi="Arial"/>
          <w:bCs/>
          <w:sz w:val="24"/>
          <w:szCs w:val="24"/>
        </w:rPr>
      </w:pPr>
      <w:r w:rsidRPr="00964AF1">
        <w:rPr>
          <w:rFonts w:ascii="Arial" w:hAnsi="Arial"/>
          <w:bCs/>
          <w:sz w:val="24"/>
          <w:szCs w:val="24"/>
        </w:rPr>
        <w:t>Application</w:t>
      </w:r>
    </w:p>
    <w:p w14:paraId="2166DF06" w14:textId="77777777" w:rsidR="0090341D" w:rsidRPr="00964AF1" w:rsidRDefault="0090341D" w:rsidP="000369F0">
      <w:pPr>
        <w:pStyle w:val="BodyText"/>
      </w:pPr>
      <w:r w:rsidRPr="00964AF1">
        <w:t>This Prudential Standard applies to each:</w:t>
      </w:r>
    </w:p>
    <w:p w14:paraId="2166DF07" w14:textId="77777777" w:rsidR="0090341D" w:rsidRPr="00964AF1" w:rsidRDefault="0090341D" w:rsidP="001F13C6">
      <w:pPr>
        <w:pStyle w:val="BodyText"/>
        <w:numPr>
          <w:ilvl w:val="0"/>
          <w:numId w:val="10"/>
        </w:numPr>
        <w:ind w:left="1134" w:hanging="567"/>
      </w:pPr>
      <w:r w:rsidRPr="00964AF1">
        <w:rPr>
          <w:b/>
        </w:rPr>
        <w:t xml:space="preserve">general insurer </w:t>
      </w:r>
      <w:r w:rsidRPr="00964AF1">
        <w:t>authorised under the Act (</w:t>
      </w:r>
      <w:r w:rsidRPr="00964AF1">
        <w:rPr>
          <w:b/>
        </w:rPr>
        <w:t>insurer</w:t>
      </w:r>
      <w:r w:rsidRPr="00D44885">
        <w:t>)</w:t>
      </w:r>
      <w:r w:rsidRPr="00964AF1">
        <w:t xml:space="preserve">; and </w:t>
      </w:r>
    </w:p>
    <w:p w14:paraId="2166DF08" w14:textId="77777777" w:rsidR="0090341D" w:rsidRPr="00964AF1" w:rsidRDefault="0090341D" w:rsidP="001F13C6">
      <w:pPr>
        <w:pStyle w:val="BodyText"/>
        <w:numPr>
          <w:ilvl w:val="0"/>
          <w:numId w:val="10"/>
        </w:numPr>
        <w:ind w:left="1134" w:hanging="567"/>
      </w:pPr>
      <w:r w:rsidRPr="00964AF1">
        <w:rPr>
          <w:b/>
        </w:rPr>
        <w:t>Level 2 insurance group</w:t>
      </w:r>
      <w:r w:rsidRPr="00964AF1">
        <w:t xml:space="preserve"> as defined in </w:t>
      </w:r>
      <w:r w:rsidRPr="00964AF1">
        <w:rPr>
          <w:i/>
        </w:rPr>
        <w:t xml:space="preserve">Prudential Standard GPS 001 </w:t>
      </w:r>
      <w:r>
        <w:rPr>
          <w:i/>
        </w:rPr>
        <w:t xml:space="preserve">Definitions </w:t>
      </w:r>
      <w:r w:rsidRPr="00964AF1">
        <w:t>(</w:t>
      </w:r>
      <w:r w:rsidRPr="003F1620">
        <w:t>GPS 001</w:t>
      </w:r>
      <w:r w:rsidRPr="00C56264">
        <w:t>)</w:t>
      </w:r>
      <w:r w:rsidRPr="009F7035">
        <w:t>.</w:t>
      </w:r>
      <w:r w:rsidRPr="00964AF1">
        <w:t xml:space="preserve"> </w:t>
      </w:r>
    </w:p>
    <w:p w14:paraId="2166DF09" w14:textId="77777777" w:rsidR="0090341D" w:rsidRPr="00964AF1" w:rsidRDefault="0090341D" w:rsidP="000369F0">
      <w:pPr>
        <w:pStyle w:val="BodyText"/>
        <w:numPr>
          <w:ilvl w:val="0"/>
          <w:numId w:val="0"/>
        </w:numPr>
        <w:ind w:left="567"/>
      </w:pPr>
      <w:r w:rsidRPr="00964AF1">
        <w:t xml:space="preserve">Where a requirement applies to a Level 2 insurance group, the requirement is imposed on the </w:t>
      </w:r>
      <w:r w:rsidRPr="00964AF1">
        <w:rPr>
          <w:b/>
        </w:rPr>
        <w:t>parent entity</w:t>
      </w:r>
      <w:r w:rsidRPr="00964AF1">
        <w:t xml:space="preserve"> of the Level 2 insurance group</w:t>
      </w:r>
      <w:r>
        <w:t>.</w:t>
      </w:r>
    </w:p>
    <w:p w14:paraId="2166DF0A" w14:textId="4849811A" w:rsidR="0090341D" w:rsidRPr="00964AF1" w:rsidRDefault="0090341D" w:rsidP="000369F0">
      <w:pPr>
        <w:pStyle w:val="BodyText"/>
      </w:pPr>
      <w:bookmarkStart w:id="2" w:name="OLE_LINK4"/>
      <w:r>
        <w:t>T</w:t>
      </w:r>
      <w:r w:rsidRPr="00964AF1">
        <w:t>his Prudential Standard applies to insurers and Level 2 insurance groups (</w:t>
      </w:r>
      <w:r w:rsidRPr="00964AF1">
        <w:rPr>
          <w:b/>
        </w:rPr>
        <w:t>regulated institutions</w:t>
      </w:r>
      <w:r w:rsidRPr="00964AF1">
        <w:t xml:space="preserve">) from </w:t>
      </w:r>
      <w:r w:rsidRPr="00766A98">
        <w:t>1</w:t>
      </w:r>
      <w:r w:rsidR="00EE3D00">
        <w:t xml:space="preserve"> </w:t>
      </w:r>
      <w:r w:rsidR="00E1060A">
        <w:t>July 2019</w:t>
      </w:r>
      <w:r w:rsidRPr="00964AF1">
        <w:t>.</w:t>
      </w:r>
    </w:p>
    <w:p w14:paraId="2166DF0B" w14:textId="77777777" w:rsidR="0090341D" w:rsidRPr="00964AF1" w:rsidRDefault="0090341D" w:rsidP="0090341D">
      <w:pPr>
        <w:pStyle w:val="Heading"/>
        <w:spacing w:before="120" w:after="240"/>
        <w:jc w:val="both"/>
        <w:rPr>
          <w:rFonts w:ascii="Arial" w:hAnsi="Arial"/>
          <w:bCs/>
          <w:sz w:val="24"/>
          <w:szCs w:val="24"/>
        </w:rPr>
      </w:pPr>
      <w:r w:rsidRPr="00964AF1">
        <w:rPr>
          <w:rFonts w:ascii="Arial" w:hAnsi="Arial"/>
          <w:bCs/>
          <w:sz w:val="24"/>
          <w:szCs w:val="24"/>
        </w:rPr>
        <w:t>Interpretation</w:t>
      </w:r>
    </w:p>
    <w:p w14:paraId="2166DF0C" w14:textId="77777777" w:rsidR="0090341D" w:rsidRPr="00361F35" w:rsidRDefault="0090341D" w:rsidP="000369F0">
      <w:pPr>
        <w:pStyle w:val="BodyText"/>
        <w:rPr>
          <w:rFonts w:ascii="Arial" w:hAnsi="Arial"/>
        </w:rPr>
      </w:pPr>
      <w:r>
        <w:t>Terms that are</w:t>
      </w:r>
      <w:r w:rsidRPr="00964AF1">
        <w:t xml:space="preserve"> defined in </w:t>
      </w:r>
      <w:r w:rsidRPr="00771389">
        <w:t>GPS 001</w:t>
      </w:r>
      <w:r>
        <w:t xml:space="preserve"> appear in bold the first time they are used in this Prudential Standard</w:t>
      </w:r>
      <w:r w:rsidRPr="00964AF1">
        <w:t>.</w:t>
      </w:r>
    </w:p>
    <w:p w14:paraId="2166DF0D" w14:textId="77777777" w:rsidR="0090341D" w:rsidRPr="00964AF1" w:rsidRDefault="0090341D" w:rsidP="0090341D">
      <w:pPr>
        <w:pStyle w:val="Heading"/>
        <w:spacing w:before="120" w:after="240"/>
        <w:jc w:val="both"/>
        <w:rPr>
          <w:rFonts w:ascii="Arial" w:hAnsi="Arial"/>
          <w:bCs/>
          <w:sz w:val="24"/>
          <w:szCs w:val="24"/>
        </w:rPr>
      </w:pPr>
      <w:r w:rsidRPr="00964AF1">
        <w:rPr>
          <w:rFonts w:ascii="Arial" w:hAnsi="Arial"/>
          <w:bCs/>
          <w:sz w:val="24"/>
          <w:szCs w:val="24"/>
        </w:rPr>
        <w:t>Responsibility for capital management</w:t>
      </w:r>
    </w:p>
    <w:p w14:paraId="2166DF0E" w14:textId="77777777" w:rsidR="0090341D" w:rsidRPr="00964AF1" w:rsidRDefault="0090341D" w:rsidP="000369F0">
      <w:pPr>
        <w:pStyle w:val="BodyText"/>
      </w:pPr>
      <w:r w:rsidRPr="00964AF1">
        <w:t xml:space="preserve">Capital is the cornerstone of a regulated institution’s financial </w:t>
      </w:r>
      <w:r>
        <w:t>strength</w:t>
      </w:r>
      <w:r w:rsidRPr="00964AF1">
        <w:t xml:space="preserve">. It supports a regulated institution’s operations by providing a buffer to absorb unanticipated losses from its activities and, in the event of </w:t>
      </w:r>
      <w:r>
        <w:t>such losses</w:t>
      </w:r>
      <w:r w:rsidRPr="00964AF1">
        <w:t>, enables the regulated institution to</w:t>
      </w:r>
      <w:r>
        <w:t xml:space="preserve"> continue to</w:t>
      </w:r>
      <w:r w:rsidRPr="00964AF1">
        <w:t xml:space="preserve"> meet its insurance obligations.</w:t>
      </w:r>
    </w:p>
    <w:p w14:paraId="2166DF0F" w14:textId="44E0A35F" w:rsidR="0090341D" w:rsidRPr="00964AF1" w:rsidRDefault="0090341D" w:rsidP="000369F0">
      <w:pPr>
        <w:pStyle w:val="BodyText"/>
      </w:pPr>
      <w:bookmarkStart w:id="3" w:name="_Ref309735178"/>
      <w:r w:rsidRPr="00964AF1">
        <w:lastRenderedPageBreak/>
        <w:t xml:space="preserve">As a consequence of the key role played by capital in the financial </w:t>
      </w:r>
      <w:r>
        <w:t>strength</w:t>
      </w:r>
      <w:r w:rsidRPr="00964AF1">
        <w:t xml:space="preserve"> of a regulated institution, the </w:t>
      </w:r>
      <w:r w:rsidRPr="003F65C2">
        <w:rPr>
          <w:b/>
        </w:rPr>
        <w:t>Board</w:t>
      </w:r>
      <w:r w:rsidRPr="00964AF1">
        <w:t xml:space="preserve"> of a regulated institution must ensure that the regulated institution has capital that is adequate for the scale, nature and complexity of its business and </w:t>
      </w:r>
      <w:r>
        <w:t xml:space="preserve">its </w:t>
      </w:r>
      <w:r w:rsidRPr="00964AF1">
        <w:t>risk profile, such that it is able to meet its obligations under a wide range of circumstances.</w:t>
      </w:r>
      <w:bookmarkEnd w:id="3"/>
    </w:p>
    <w:p w14:paraId="2166DF10" w14:textId="5B8F3278" w:rsidR="0090341D" w:rsidRPr="00964AF1" w:rsidRDefault="0090341D" w:rsidP="000369F0">
      <w:pPr>
        <w:pStyle w:val="BodyText"/>
      </w:pPr>
      <w:r w:rsidRPr="00964AF1">
        <w:t xml:space="preserve">In addition to the requirements in paragraph </w:t>
      </w:r>
      <w:r w:rsidR="00EF23D2">
        <w:fldChar w:fldCharType="begin"/>
      </w:r>
      <w:r>
        <w:instrText xml:space="preserve"> REF _Ref309735178 \r \h </w:instrText>
      </w:r>
      <w:r w:rsidR="00EF23D2">
        <w:fldChar w:fldCharType="separate"/>
      </w:r>
      <w:r w:rsidR="00E00455">
        <w:t>6</w:t>
      </w:r>
      <w:r w:rsidR="00EF23D2">
        <w:fldChar w:fldCharType="end"/>
      </w:r>
      <w:r w:rsidRPr="00964AF1">
        <w:t>, the Board of the parent entity of a Level 2 insurance group must also have regard to:</w:t>
      </w:r>
      <w:r w:rsidRPr="00964AF1">
        <w:tab/>
      </w:r>
    </w:p>
    <w:p w14:paraId="2166DF11" w14:textId="77777777" w:rsidR="0090341D" w:rsidRPr="00964AF1" w:rsidRDefault="0090341D" w:rsidP="00E81D82">
      <w:pPr>
        <w:pStyle w:val="ListParagraph"/>
        <w:numPr>
          <w:ilvl w:val="0"/>
          <w:numId w:val="6"/>
        </w:numPr>
        <w:ind w:left="1134" w:hanging="567"/>
        <w:jc w:val="both"/>
        <w:rPr>
          <w:szCs w:val="24"/>
        </w:rPr>
      </w:pPr>
      <w:r w:rsidRPr="00964AF1">
        <w:rPr>
          <w:szCs w:val="24"/>
        </w:rPr>
        <w:t>the potential for risk to compound across the group;</w:t>
      </w:r>
    </w:p>
    <w:p w14:paraId="2166DF12" w14:textId="77777777" w:rsidR="0090341D" w:rsidRPr="00964AF1" w:rsidRDefault="0090341D" w:rsidP="00E81D82">
      <w:pPr>
        <w:pStyle w:val="ListParagraph"/>
        <w:numPr>
          <w:ilvl w:val="0"/>
          <w:numId w:val="6"/>
        </w:numPr>
        <w:ind w:left="1134" w:hanging="567"/>
        <w:jc w:val="both"/>
        <w:rPr>
          <w:szCs w:val="24"/>
        </w:rPr>
      </w:pPr>
      <w:r w:rsidRPr="00964AF1">
        <w:rPr>
          <w:szCs w:val="24"/>
        </w:rPr>
        <w:t>concentration of capital and risk within individual entities in the group;</w:t>
      </w:r>
    </w:p>
    <w:p w14:paraId="2166DF13" w14:textId="77777777" w:rsidR="0090341D" w:rsidRPr="00964AF1" w:rsidRDefault="0090341D" w:rsidP="00E81D82">
      <w:pPr>
        <w:pStyle w:val="ListParagraph"/>
        <w:numPr>
          <w:ilvl w:val="0"/>
          <w:numId w:val="6"/>
        </w:numPr>
        <w:ind w:left="1134" w:hanging="567"/>
        <w:jc w:val="both"/>
        <w:rPr>
          <w:szCs w:val="24"/>
        </w:rPr>
      </w:pPr>
      <w:r w:rsidRPr="00964AF1">
        <w:rPr>
          <w:szCs w:val="24"/>
        </w:rPr>
        <w:t>guarantees and other commitments between entities in the group;</w:t>
      </w:r>
    </w:p>
    <w:p w14:paraId="2166DF14" w14:textId="77777777" w:rsidR="0090341D" w:rsidRPr="00964AF1" w:rsidRDefault="0090341D" w:rsidP="00E81D82">
      <w:pPr>
        <w:pStyle w:val="ListParagraph"/>
        <w:numPr>
          <w:ilvl w:val="0"/>
          <w:numId w:val="6"/>
        </w:numPr>
        <w:ind w:left="1134" w:hanging="567"/>
        <w:jc w:val="both"/>
        <w:rPr>
          <w:szCs w:val="24"/>
        </w:rPr>
      </w:pPr>
      <w:r w:rsidRPr="00964AF1">
        <w:rPr>
          <w:szCs w:val="24"/>
        </w:rPr>
        <w:t>the capital needs of individual entities in the group;</w:t>
      </w:r>
    </w:p>
    <w:p w14:paraId="2166DF15" w14:textId="77777777" w:rsidR="0090341D" w:rsidRPr="00964AF1" w:rsidRDefault="0090341D" w:rsidP="00E81D82">
      <w:pPr>
        <w:pStyle w:val="ListParagraph"/>
        <w:numPr>
          <w:ilvl w:val="0"/>
          <w:numId w:val="6"/>
        </w:numPr>
        <w:ind w:left="1134" w:hanging="567"/>
        <w:jc w:val="both"/>
        <w:rPr>
          <w:szCs w:val="24"/>
        </w:rPr>
      </w:pPr>
      <w:r w:rsidRPr="00964AF1">
        <w:rPr>
          <w:szCs w:val="24"/>
        </w:rPr>
        <w:t>the nature of capital held by the group, including its maturity, servicing costs and any double counting of capital within the group; and</w:t>
      </w:r>
    </w:p>
    <w:p w14:paraId="2166DF16" w14:textId="77777777" w:rsidR="0090341D" w:rsidRPr="00964AF1" w:rsidRDefault="0090341D" w:rsidP="00E81D82">
      <w:pPr>
        <w:pStyle w:val="ListParagraph"/>
        <w:numPr>
          <w:ilvl w:val="0"/>
          <w:numId w:val="6"/>
        </w:numPr>
        <w:ind w:left="1134" w:hanging="567"/>
        <w:jc w:val="both"/>
        <w:rPr>
          <w:szCs w:val="24"/>
        </w:rPr>
      </w:pPr>
      <w:r w:rsidRPr="00964AF1">
        <w:rPr>
          <w:szCs w:val="24"/>
        </w:rPr>
        <w:t xml:space="preserve">the ability to readily transfer surplus or free capital within the group and the </w:t>
      </w:r>
      <w:r>
        <w:rPr>
          <w:szCs w:val="24"/>
        </w:rPr>
        <w:t>nature</w:t>
      </w:r>
      <w:r w:rsidRPr="00964AF1">
        <w:rPr>
          <w:szCs w:val="24"/>
        </w:rPr>
        <w:t xml:space="preserve"> of capital </w:t>
      </w:r>
      <w:r>
        <w:rPr>
          <w:szCs w:val="24"/>
        </w:rPr>
        <w:t xml:space="preserve">that may </w:t>
      </w:r>
      <w:r w:rsidRPr="00964AF1">
        <w:rPr>
          <w:szCs w:val="24"/>
        </w:rPr>
        <w:t>be available to individual entities from other entities in the group</w:t>
      </w:r>
      <w:r>
        <w:rPr>
          <w:szCs w:val="24"/>
        </w:rPr>
        <w:t>,</w:t>
      </w:r>
      <w:r w:rsidRPr="00964AF1">
        <w:rPr>
          <w:szCs w:val="24"/>
        </w:rPr>
        <w:t xml:space="preserve"> if required.</w:t>
      </w:r>
    </w:p>
    <w:p w14:paraId="2166DF17" w14:textId="77777777" w:rsidR="0090341D" w:rsidRPr="00964AF1" w:rsidRDefault="0090341D" w:rsidP="0090341D">
      <w:pPr>
        <w:pStyle w:val="Heading"/>
        <w:spacing w:before="120" w:after="240"/>
        <w:jc w:val="both"/>
        <w:rPr>
          <w:rFonts w:ascii="Arial" w:hAnsi="Arial"/>
          <w:bCs/>
          <w:sz w:val="24"/>
          <w:szCs w:val="24"/>
        </w:rPr>
      </w:pPr>
      <w:r w:rsidRPr="00964AF1">
        <w:rPr>
          <w:rFonts w:ascii="Arial" w:hAnsi="Arial"/>
          <w:bCs/>
          <w:sz w:val="24"/>
          <w:szCs w:val="24"/>
        </w:rPr>
        <w:t>Internal Capital Adequacy Assessment Process</w:t>
      </w:r>
    </w:p>
    <w:p w14:paraId="2166DF18" w14:textId="77777777" w:rsidR="0090341D" w:rsidRPr="00964AF1" w:rsidRDefault="0090341D" w:rsidP="000369F0">
      <w:pPr>
        <w:pStyle w:val="BodyText"/>
      </w:pPr>
      <w:r w:rsidRPr="00964AF1">
        <w:t xml:space="preserve">A regulated institution (except </w:t>
      </w:r>
      <w:r>
        <w:t>an insurer</w:t>
      </w:r>
      <w:r w:rsidRPr="00964AF1">
        <w:t xml:space="preserve"> in </w:t>
      </w:r>
      <w:r w:rsidRPr="002167C7">
        <w:t>run-off</w:t>
      </w:r>
      <w:r w:rsidR="00735499" w:rsidRPr="002167C7">
        <w:rPr>
          <w:rStyle w:val="FootnoteReference"/>
        </w:rPr>
        <w:footnoteReference w:id="1"/>
      </w:r>
      <w:r w:rsidRPr="00964AF1">
        <w:t xml:space="preserve">) must have in place an </w:t>
      </w:r>
      <w:r w:rsidRPr="00964AF1">
        <w:rPr>
          <w:b/>
        </w:rPr>
        <w:t>Internal Capital Adequacy Assessment Process</w:t>
      </w:r>
      <w:r w:rsidRPr="00964AF1">
        <w:t xml:space="preserve"> (</w:t>
      </w:r>
      <w:r w:rsidRPr="003F1620">
        <w:t>ICAAP</w:t>
      </w:r>
      <w:r w:rsidRPr="00964AF1">
        <w:t>) that must:</w:t>
      </w:r>
    </w:p>
    <w:p w14:paraId="2166DF19" w14:textId="77777777" w:rsidR="0090341D" w:rsidRPr="00964AF1" w:rsidRDefault="0090341D" w:rsidP="00E81D82">
      <w:pPr>
        <w:pStyle w:val="ListParagraph"/>
        <w:numPr>
          <w:ilvl w:val="0"/>
          <w:numId w:val="13"/>
        </w:numPr>
        <w:ind w:left="1134" w:hanging="567"/>
        <w:jc w:val="both"/>
        <w:rPr>
          <w:szCs w:val="24"/>
        </w:rPr>
      </w:pPr>
      <w:r w:rsidRPr="00964AF1">
        <w:rPr>
          <w:szCs w:val="24"/>
        </w:rPr>
        <w:lastRenderedPageBreak/>
        <w:t>be adequately documented, with the documentation made available to APRA on request; and</w:t>
      </w:r>
    </w:p>
    <w:p w14:paraId="2166DF1A" w14:textId="1E410C5D" w:rsidR="0090341D" w:rsidRPr="00964AF1" w:rsidRDefault="0090341D" w:rsidP="00E81D82">
      <w:pPr>
        <w:pStyle w:val="ListParagraph"/>
        <w:numPr>
          <w:ilvl w:val="0"/>
          <w:numId w:val="13"/>
        </w:numPr>
        <w:ind w:left="1134" w:hanging="567"/>
        <w:jc w:val="both"/>
        <w:rPr>
          <w:szCs w:val="24"/>
        </w:rPr>
      </w:pPr>
      <w:r w:rsidRPr="00964AF1">
        <w:rPr>
          <w:szCs w:val="24"/>
        </w:rPr>
        <w:t xml:space="preserve">be approved by the Board initially, and when significant changes are made. </w:t>
      </w:r>
    </w:p>
    <w:p w14:paraId="0F68D317" w14:textId="7A093494" w:rsidR="002718F0" w:rsidRDefault="0090341D" w:rsidP="000369F0">
      <w:pPr>
        <w:pStyle w:val="BodyText"/>
      </w:pPr>
      <w:r>
        <w:t xml:space="preserve">A regulated institution’s ICAAP must be appropriate to the regulated institution’s size, business mix and complexity of its operations </w:t>
      </w:r>
      <w:r w:rsidRPr="007172DB">
        <w:t>and group structure (as applicable).</w:t>
      </w:r>
    </w:p>
    <w:p w14:paraId="2166DF1C" w14:textId="4084125E" w:rsidR="0090341D" w:rsidRDefault="0090341D" w:rsidP="000369F0">
      <w:pPr>
        <w:pStyle w:val="BodyText"/>
      </w:pPr>
      <w:r w:rsidRPr="00964AF1">
        <w:t>A regulated institution that is part of a group may rely on the ICAAP of the group provided that the Board of the regulated institution</w:t>
      </w:r>
      <w:r>
        <w:rPr>
          <w:rStyle w:val="FootnoteReference"/>
        </w:rPr>
        <w:footnoteReference w:id="2"/>
      </w:r>
      <w:r w:rsidRPr="00964AF1">
        <w:t xml:space="preserve"> is satisfied that the group ICAAP meets the criteria in paragraph </w:t>
      </w:r>
      <w:r w:rsidR="00EF23D2">
        <w:fldChar w:fldCharType="begin"/>
      </w:r>
      <w:r>
        <w:instrText xml:space="preserve"> REF _Ref309734930 \r \h </w:instrText>
      </w:r>
      <w:r w:rsidR="00EF23D2">
        <w:fldChar w:fldCharType="separate"/>
      </w:r>
      <w:r w:rsidR="00E00455">
        <w:t>11</w:t>
      </w:r>
      <w:r w:rsidR="00EF23D2">
        <w:fldChar w:fldCharType="end"/>
      </w:r>
      <w:r w:rsidRPr="00964AF1">
        <w:t xml:space="preserve"> of this </w:t>
      </w:r>
      <w:r>
        <w:t>Prudential S</w:t>
      </w:r>
      <w:r w:rsidRPr="00964AF1">
        <w:t xml:space="preserve">tandard in respect of the regulated </w:t>
      </w:r>
      <w:r>
        <w:t>institution</w:t>
      </w:r>
      <w:r w:rsidRPr="00964AF1">
        <w:t>.</w:t>
      </w:r>
    </w:p>
    <w:p w14:paraId="2166DF1D" w14:textId="77777777" w:rsidR="0090341D" w:rsidRPr="00964AF1" w:rsidRDefault="0090341D" w:rsidP="000369F0">
      <w:pPr>
        <w:pStyle w:val="BodyText"/>
      </w:pPr>
      <w:bookmarkStart w:id="4" w:name="_Ref309734930"/>
      <w:r w:rsidRPr="00964AF1">
        <w:t>The ICAAP must include at a minimum:</w:t>
      </w:r>
      <w:bookmarkEnd w:id="4"/>
      <w:r w:rsidRPr="00964AF1">
        <w:t xml:space="preserve"> </w:t>
      </w:r>
    </w:p>
    <w:p w14:paraId="2166DF1E" w14:textId="77777777" w:rsidR="0090341D" w:rsidRPr="00964AF1" w:rsidRDefault="0090341D" w:rsidP="00E81D82">
      <w:pPr>
        <w:pStyle w:val="ListParagraph"/>
        <w:numPr>
          <w:ilvl w:val="0"/>
          <w:numId w:val="8"/>
        </w:numPr>
        <w:ind w:left="1134" w:hanging="567"/>
        <w:jc w:val="both"/>
        <w:rPr>
          <w:szCs w:val="24"/>
        </w:rPr>
      </w:pPr>
      <w:r w:rsidRPr="00964AF1">
        <w:rPr>
          <w:szCs w:val="24"/>
        </w:rPr>
        <w:t xml:space="preserve">adequate </w:t>
      </w:r>
      <w:r>
        <w:rPr>
          <w:szCs w:val="24"/>
        </w:rPr>
        <w:t xml:space="preserve">policies, procedures, </w:t>
      </w:r>
      <w:r w:rsidRPr="00964AF1">
        <w:rPr>
          <w:szCs w:val="24"/>
        </w:rPr>
        <w:t>systems</w:t>
      </w:r>
      <w:r>
        <w:rPr>
          <w:szCs w:val="24"/>
        </w:rPr>
        <w:t>, controls</w:t>
      </w:r>
      <w:r w:rsidRPr="00964AF1">
        <w:rPr>
          <w:szCs w:val="24"/>
        </w:rPr>
        <w:t xml:space="preserve"> and </w:t>
      </w:r>
      <w:r>
        <w:rPr>
          <w:szCs w:val="24"/>
        </w:rPr>
        <w:t xml:space="preserve">personnel </w:t>
      </w:r>
      <w:r w:rsidRPr="00964AF1">
        <w:rPr>
          <w:szCs w:val="24"/>
        </w:rPr>
        <w:t>to identify, measure, monitor and manage the risks arising from the regulated institution’s activities on a continuous basis</w:t>
      </w:r>
      <w:r>
        <w:rPr>
          <w:szCs w:val="24"/>
        </w:rPr>
        <w:t>, and the capital held against such risks;</w:t>
      </w:r>
      <w:r w:rsidRPr="00964AF1">
        <w:rPr>
          <w:szCs w:val="24"/>
        </w:rPr>
        <w:t xml:space="preserve"> </w:t>
      </w:r>
    </w:p>
    <w:p w14:paraId="2166DF1F" w14:textId="3CCDB977" w:rsidR="0090341D" w:rsidRPr="001242EC" w:rsidRDefault="0090341D" w:rsidP="001242EC">
      <w:pPr>
        <w:pStyle w:val="ListParagraph"/>
        <w:numPr>
          <w:ilvl w:val="0"/>
          <w:numId w:val="8"/>
        </w:numPr>
        <w:ind w:left="1134" w:hanging="567"/>
        <w:rPr>
          <w:szCs w:val="24"/>
        </w:rPr>
      </w:pPr>
      <w:r w:rsidRPr="00964AF1">
        <w:rPr>
          <w:szCs w:val="24"/>
        </w:rPr>
        <w:t>a strategy for ensuring adequate capital is maintained over time, including specific capital targets set out in the context of the regulated institution’s risk profile</w:t>
      </w:r>
      <w:r>
        <w:rPr>
          <w:szCs w:val="24"/>
        </w:rPr>
        <w:t>,</w:t>
      </w:r>
      <w:r w:rsidRPr="00964AF1">
        <w:rPr>
          <w:szCs w:val="24"/>
        </w:rPr>
        <w:t xml:space="preserve"> the Board</w:t>
      </w:r>
      <w:r w:rsidR="00113473">
        <w:rPr>
          <w:szCs w:val="24"/>
        </w:rPr>
        <w:t>’s</w:t>
      </w:r>
      <w:r w:rsidR="0094615B">
        <w:rPr>
          <w:szCs w:val="24"/>
        </w:rPr>
        <w:t xml:space="preserve"> </w:t>
      </w:r>
      <w:r w:rsidRPr="001242EC">
        <w:rPr>
          <w:szCs w:val="24"/>
        </w:rPr>
        <w:t>risk appetite and regulatory capital requirements. This includes plans for how target levels of capital are to be met and the means available for sourcing additional capital where required;</w:t>
      </w:r>
    </w:p>
    <w:p w14:paraId="2166DF20" w14:textId="77777777" w:rsidR="0090341D" w:rsidRDefault="0090341D" w:rsidP="00E81D82">
      <w:pPr>
        <w:pStyle w:val="ListParagraph"/>
        <w:numPr>
          <w:ilvl w:val="0"/>
          <w:numId w:val="8"/>
        </w:numPr>
        <w:ind w:left="1134" w:hanging="567"/>
        <w:jc w:val="both"/>
        <w:rPr>
          <w:szCs w:val="24"/>
        </w:rPr>
      </w:pPr>
      <w:r w:rsidRPr="00964AF1">
        <w:rPr>
          <w:szCs w:val="24"/>
        </w:rPr>
        <w:t xml:space="preserve">actions and procedures for monitoring the regulated institution’s compliance with its </w:t>
      </w:r>
      <w:r>
        <w:rPr>
          <w:szCs w:val="24"/>
        </w:rPr>
        <w:t xml:space="preserve">regulatory </w:t>
      </w:r>
      <w:r w:rsidRPr="00964AF1">
        <w:rPr>
          <w:szCs w:val="24"/>
        </w:rPr>
        <w:t>capital requirements and capital targets</w:t>
      </w:r>
      <w:r>
        <w:rPr>
          <w:szCs w:val="24"/>
        </w:rPr>
        <w:t xml:space="preserve">. This </w:t>
      </w:r>
      <w:r w:rsidRPr="00964AF1">
        <w:rPr>
          <w:szCs w:val="24"/>
        </w:rPr>
        <w:t xml:space="preserve"> includ</w:t>
      </w:r>
      <w:r>
        <w:rPr>
          <w:szCs w:val="24"/>
        </w:rPr>
        <w:t>es</w:t>
      </w:r>
      <w:r w:rsidRPr="00964AF1">
        <w:rPr>
          <w:szCs w:val="24"/>
        </w:rPr>
        <w:t xml:space="preserve"> the setting of triggers to alert management to, and </w:t>
      </w:r>
      <w:r>
        <w:rPr>
          <w:szCs w:val="24"/>
        </w:rPr>
        <w:t xml:space="preserve">specified actions to </w:t>
      </w:r>
      <w:r w:rsidRPr="00964AF1">
        <w:rPr>
          <w:szCs w:val="24"/>
        </w:rPr>
        <w:t>avert</w:t>
      </w:r>
      <w:r>
        <w:rPr>
          <w:szCs w:val="24"/>
        </w:rPr>
        <w:t xml:space="preserve"> and rectify</w:t>
      </w:r>
      <w:r w:rsidRPr="00964AF1">
        <w:rPr>
          <w:szCs w:val="24"/>
        </w:rPr>
        <w:t xml:space="preserve">, potential breaches of </w:t>
      </w:r>
      <w:r>
        <w:rPr>
          <w:szCs w:val="24"/>
        </w:rPr>
        <w:t>the regulatory capital</w:t>
      </w:r>
      <w:r w:rsidRPr="00964AF1">
        <w:rPr>
          <w:szCs w:val="24"/>
        </w:rPr>
        <w:t xml:space="preserve"> requirements;</w:t>
      </w:r>
    </w:p>
    <w:p w14:paraId="2166DF21" w14:textId="77777777" w:rsidR="0090341D" w:rsidRPr="00964AF1" w:rsidRDefault="0090341D" w:rsidP="00E81D82">
      <w:pPr>
        <w:pStyle w:val="ListParagraph"/>
        <w:numPr>
          <w:ilvl w:val="0"/>
          <w:numId w:val="8"/>
        </w:numPr>
        <w:ind w:left="1134" w:hanging="567"/>
        <w:jc w:val="both"/>
        <w:rPr>
          <w:szCs w:val="24"/>
        </w:rPr>
      </w:pPr>
      <w:r>
        <w:rPr>
          <w:szCs w:val="24"/>
        </w:rPr>
        <w:lastRenderedPageBreak/>
        <w:t>stress testing and scenario analysis relating to potential risk exposures and available capital resources;</w:t>
      </w:r>
    </w:p>
    <w:p w14:paraId="2166DF22" w14:textId="36926EC9" w:rsidR="0090341D" w:rsidRDefault="0090341D" w:rsidP="00E81D82">
      <w:pPr>
        <w:pStyle w:val="ListParagraph"/>
        <w:numPr>
          <w:ilvl w:val="0"/>
          <w:numId w:val="8"/>
        </w:numPr>
        <w:ind w:left="1134" w:hanging="567"/>
        <w:jc w:val="both"/>
        <w:rPr>
          <w:szCs w:val="24"/>
        </w:rPr>
      </w:pPr>
      <w:r w:rsidRPr="00964AF1">
        <w:rPr>
          <w:szCs w:val="24"/>
        </w:rPr>
        <w:t xml:space="preserve">processes for reporting on the ICAAP and its outcomes to the Board </w:t>
      </w:r>
      <w:r w:rsidR="001A3038">
        <w:rPr>
          <w:szCs w:val="24"/>
        </w:rPr>
        <w:t xml:space="preserve">and </w:t>
      </w:r>
      <w:r w:rsidRPr="00964AF1">
        <w:rPr>
          <w:szCs w:val="24"/>
        </w:rPr>
        <w:t xml:space="preserve"> senior management</w:t>
      </w:r>
      <w:r w:rsidR="00AF7900">
        <w:rPr>
          <w:szCs w:val="24"/>
        </w:rPr>
        <w:t xml:space="preserve"> </w:t>
      </w:r>
      <w:r w:rsidR="001A3038">
        <w:rPr>
          <w:szCs w:val="24"/>
        </w:rPr>
        <w:t xml:space="preserve">of the regulated institution, and for ensuring that </w:t>
      </w:r>
      <w:r>
        <w:rPr>
          <w:szCs w:val="24"/>
        </w:rPr>
        <w:t>the ICAAP is taken into account in making business decisions</w:t>
      </w:r>
      <w:r w:rsidRPr="00964AF1">
        <w:rPr>
          <w:szCs w:val="24"/>
        </w:rPr>
        <w:t xml:space="preserve">; </w:t>
      </w:r>
    </w:p>
    <w:p w14:paraId="2166DF23" w14:textId="77777777" w:rsidR="0090341D" w:rsidRPr="00964AF1" w:rsidRDefault="0090341D" w:rsidP="00E81D82">
      <w:pPr>
        <w:pStyle w:val="ListParagraph"/>
        <w:numPr>
          <w:ilvl w:val="0"/>
          <w:numId w:val="8"/>
        </w:numPr>
        <w:ind w:left="1134" w:hanging="567"/>
        <w:jc w:val="both"/>
        <w:rPr>
          <w:szCs w:val="24"/>
        </w:rPr>
      </w:pPr>
      <w:r>
        <w:rPr>
          <w:szCs w:val="24"/>
        </w:rPr>
        <w:t>policies to address the capital impact of material risks not covered by explicit regulatory capital requirements; and</w:t>
      </w:r>
    </w:p>
    <w:p w14:paraId="2166DF24" w14:textId="77777777" w:rsidR="0090341D" w:rsidRPr="00964AF1" w:rsidRDefault="0090341D" w:rsidP="00E81D82">
      <w:pPr>
        <w:pStyle w:val="ListParagraph"/>
        <w:numPr>
          <w:ilvl w:val="0"/>
          <w:numId w:val="8"/>
        </w:numPr>
        <w:ind w:left="1134" w:hanging="567"/>
        <w:jc w:val="both"/>
        <w:rPr>
          <w:szCs w:val="24"/>
        </w:rPr>
      </w:pPr>
      <w:r w:rsidRPr="00964AF1">
        <w:rPr>
          <w:szCs w:val="24"/>
        </w:rPr>
        <w:t xml:space="preserve">an </w:t>
      </w:r>
      <w:r>
        <w:rPr>
          <w:szCs w:val="24"/>
        </w:rPr>
        <w:t>‘</w:t>
      </w:r>
      <w:r w:rsidRPr="00D52D01">
        <w:rPr>
          <w:szCs w:val="24"/>
        </w:rPr>
        <w:t>ICAAP summary statement</w:t>
      </w:r>
      <w:r>
        <w:rPr>
          <w:szCs w:val="24"/>
        </w:rPr>
        <w:t>’</w:t>
      </w:r>
      <w:r w:rsidRPr="00964AF1">
        <w:rPr>
          <w:b/>
          <w:szCs w:val="24"/>
        </w:rPr>
        <w:t xml:space="preserve"> </w:t>
      </w:r>
      <w:r w:rsidRPr="00964AF1">
        <w:rPr>
          <w:szCs w:val="24"/>
        </w:rPr>
        <w:t xml:space="preserve">as defined in paragraph </w:t>
      </w:r>
      <w:r w:rsidR="00EF23D2">
        <w:fldChar w:fldCharType="begin"/>
      </w:r>
      <w:r>
        <w:rPr>
          <w:szCs w:val="24"/>
        </w:rPr>
        <w:instrText xml:space="preserve"> REF _Ref321994657 \r \h </w:instrText>
      </w:r>
      <w:r w:rsidR="00EF23D2">
        <w:fldChar w:fldCharType="separate"/>
      </w:r>
      <w:r w:rsidR="00E00455">
        <w:rPr>
          <w:szCs w:val="24"/>
        </w:rPr>
        <w:t>12</w:t>
      </w:r>
      <w:r w:rsidR="00EF23D2">
        <w:fldChar w:fldCharType="end"/>
      </w:r>
      <w:r w:rsidRPr="00964AF1">
        <w:rPr>
          <w:szCs w:val="24"/>
        </w:rPr>
        <w:t>.</w:t>
      </w:r>
    </w:p>
    <w:p w14:paraId="2166DF25" w14:textId="77777777" w:rsidR="0090341D" w:rsidRDefault="0090341D" w:rsidP="000369F0">
      <w:pPr>
        <w:pStyle w:val="BodyText"/>
      </w:pPr>
      <w:bookmarkStart w:id="5" w:name="_Ref309735195"/>
      <w:bookmarkStart w:id="6" w:name="_Ref321994657"/>
      <w:r w:rsidRPr="00964AF1">
        <w:t xml:space="preserve">The ICAAP summary statement is a high level document that describes and summarises the capital assessment and management processes of the regulated institution. It must outline at a minimum the aspects of the ICAAP listed in paragraph </w:t>
      </w:r>
      <w:r w:rsidR="00EF23D2">
        <w:fldChar w:fldCharType="begin"/>
      </w:r>
      <w:r>
        <w:instrText xml:space="preserve"> REF _Ref309734930 \r \h </w:instrText>
      </w:r>
      <w:r w:rsidR="00EF23D2">
        <w:fldChar w:fldCharType="separate"/>
      </w:r>
      <w:r w:rsidR="00E00455">
        <w:t>11</w:t>
      </w:r>
      <w:r w:rsidR="00EF23D2">
        <w:fldChar w:fldCharType="end"/>
      </w:r>
      <w:r w:rsidRPr="00964AF1">
        <w:t xml:space="preserve"> (a) to (</w:t>
      </w:r>
      <w:r>
        <w:t>f</w:t>
      </w:r>
      <w:r w:rsidRPr="00964AF1">
        <w:t xml:space="preserve">) and </w:t>
      </w:r>
      <w:r>
        <w:t xml:space="preserve">this </w:t>
      </w:r>
      <w:r w:rsidRPr="00964AF1">
        <w:t>paragraph.</w:t>
      </w:r>
      <w:bookmarkEnd w:id="5"/>
      <w:r>
        <w:t xml:space="preserve"> The ICAAP summary statement must also include:</w:t>
      </w:r>
      <w:bookmarkEnd w:id="6"/>
    </w:p>
    <w:p w14:paraId="2166DF26" w14:textId="77777777" w:rsidR="0090341D" w:rsidRDefault="0090341D" w:rsidP="00113473">
      <w:pPr>
        <w:pStyle w:val="BodyText"/>
        <w:numPr>
          <w:ilvl w:val="0"/>
          <w:numId w:val="21"/>
        </w:numPr>
        <w:ind w:left="1134" w:hanging="567"/>
      </w:pPr>
      <w:r>
        <w:t>a statement of the objectives of the ICAAP, the expected level of financial soundness associated with the capital targets and the time horizon over which the ICAAP applies;</w:t>
      </w:r>
    </w:p>
    <w:p w14:paraId="2166DF27" w14:textId="77777777" w:rsidR="0090341D" w:rsidRDefault="0090341D" w:rsidP="00113473">
      <w:pPr>
        <w:pStyle w:val="BodyText"/>
        <w:numPr>
          <w:ilvl w:val="0"/>
          <w:numId w:val="21"/>
        </w:numPr>
        <w:ind w:left="1134" w:hanging="567"/>
      </w:pPr>
      <w:r>
        <w:t>a description of the key assumptions and methodologies utilised by the regulated institution in its ICAAP, including stress testing and scenario analysis;</w:t>
      </w:r>
    </w:p>
    <w:p w14:paraId="2166DF28" w14:textId="77777777" w:rsidR="0090341D" w:rsidRDefault="0090341D" w:rsidP="00113473">
      <w:pPr>
        <w:pStyle w:val="BodyText"/>
        <w:numPr>
          <w:ilvl w:val="0"/>
          <w:numId w:val="21"/>
        </w:numPr>
        <w:ind w:left="1134" w:hanging="567"/>
      </w:pPr>
      <w:r>
        <w:t xml:space="preserve">triggers for reviewing the ICAAP in light of changes to business operations, regulatory, economic and financial market conditions, </w:t>
      </w:r>
      <w:r w:rsidRPr="007172DB">
        <w:t>group structure (as applicable)</w:t>
      </w:r>
      <w:r w:rsidRPr="00361EFE">
        <w:t xml:space="preserve"> and</w:t>
      </w:r>
      <w:r>
        <w:t xml:space="preserve"> other factors affecting the regulated institution’s risk profile and capital resources;</w:t>
      </w:r>
    </w:p>
    <w:p w14:paraId="2166DF29" w14:textId="259C0DF8" w:rsidR="0090341D" w:rsidRDefault="0090341D" w:rsidP="00113473">
      <w:pPr>
        <w:pStyle w:val="BodyText"/>
        <w:numPr>
          <w:ilvl w:val="0"/>
          <w:numId w:val="21"/>
        </w:numPr>
        <w:ind w:left="1134" w:hanging="567"/>
      </w:pPr>
      <w:r>
        <w:t>a summary of the regulated institution’s policy for reviewing its ICAAP, including who is responsible for the review, details of the frequency and scope of the review, and mechanisms for reporting on the review and its outcomes to the Board and senior management</w:t>
      </w:r>
      <w:r w:rsidR="00AF7900">
        <w:t>;</w:t>
      </w:r>
    </w:p>
    <w:p w14:paraId="2166DF2A" w14:textId="77777777" w:rsidR="0090341D" w:rsidRDefault="0090341D" w:rsidP="00113473">
      <w:pPr>
        <w:pStyle w:val="BodyText"/>
        <w:numPr>
          <w:ilvl w:val="0"/>
          <w:numId w:val="21"/>
        </w:numPr>
        <w:ind w:left="1134" w:hanging="567"/>
      </w:pPr>
      <w:r>
        <w:lastRenderedPageBreak/>
        <w:t>a description of the basis of measurement of capital used in the ICAAP, and an explanation of the differences where this basis differs from that used for regulatory capital; and</w:t>
      </w:r>
    </w:p>
    <w:p w14:paraId="2166DF2B" w14:textId="77777777" w:rsidR="0090341D" w:rsidRPr="00964AF1" w:rsidRDefault="0090341D" w:rsidP="00113473">
      <w:pPr>
        <w:pStyle w:val="BodyText"/>
        <w:numPr>
          <w:ilvl w:val="0"/>
          <w:numId w:val="21"/>
        </w:numPr>
        <w:ind w:left="1134" w:hanging="567"/>
      </w:pPr>
      <w:r>
        <w:t>references to supporting documentation and analysis, as relevant.</w:t>
      </w:r>
    </w:p>
    <w:p w14:paraId="2166DF2C" w14:textId="77777777" w:rsidR="0090341D" w:rsidRDefault="0090341D" w:rsidP="000369F0">
      <w:pPr>
        <w:pStyle w:val="BodyText"/>
      </w:pPr>
      <w:bookmarkStart w:id="7" w:name="_Ref309734947"/>
      <w:r w:rsidRPr="00964AF1">
        <w:t xml:space="preserve">A regulated institution must ensure its ICAAP is subject to </w:t>
      </w:r>
      <w:r>
        <w:t xml:space="preserve">regular and </w:t>
      </w:r>
      <w:r w:rsidRPr="00964AF1">
        <w:t xml:space="preserve">robust review </w:t>
      </w:r>
      <w:r>
        <w:t>by appropriately qualified persons who are operationally independent of the conduct of capital management</w:t>
      </w:r>
      <w:r w:rsidRPr="00964AF1">
        <w:t xml:space="preserve">. The frequency and scope of the review must be appropriate to the regulated institution, having regard to </w:t>
      </w:r>
      <w:r>
        <w:t>its</w:t>
      </w:r>
      <w:r w:rsidRPr="00964AF1">
        <w:t xml:space="preserve"> size, business mix</w:t>
      </w:r>
      <w:r>
        <w:t>,</w:t>
      </w:r>
      <w:r w:rsidRPr="00964AF1">
        <w:t xml:space="preserve"> complexity of its operations</w:t>
      </w:r>
      <w:r>
        <w:t xml:space="preserve"> </w:t>
      </w:r>
      <w:r w:rsidRPr="007172DB">
        <w:t>and group structure (as applicable), and</w:t>
      </w:r>
      <w:r w:rsidRPr="00964AF1">
        <w:t xml:space="preserve"> the nature and extent of any changes that have occurred or are likely to occur in its business profile or its risk appetite. </w:t>
      </w:r>
      <w:r>
        <w:t>A review must be conducted at least every three years. The review must be sufficient to reach a view on whether the ICAAP is adequate and effective.</w:t>
      </w:r>
      <w:r w:rsidRPr="00964AF1" w:rsidDel="00A21006">
        <w:t xml:space="preserve"> </w:t>
      </w:r>
    </w:p>
    <w:bookmarkEnd w:id="7"/>
    <w:p w14:paraId="2166DF2D" w14:textId="77777777" w:rsidR="0090341D" w:rsidRDefault="0090341D" w:rsidP="000369F0">
      <w:pPr>
        <w:pStyle w:val="BodyText"/>
      </w:pPr>
      <w:r w:rsidRPr="00964AF1">
        <w:t>A regulated institution must, on an annual basis, provide a report on the implementation of its ICAAP to APRA (</w:t>
      </w:r>
      <w:r w:rsidRPr="00AF19DF">
        <w:t>ICAAP report</w:t>
      </w:r>
      <w:r w:rsidRPr="00964AF1">
        <w:t xml:space="preserve">). </w:t>
      </w:r>
      <w:r>
        <w:t>A copy of the ICAAP report must be provided to APRA no later than three months from the date on which the report has been prepared.</w:t>
      </w:r>
      <w:r w:rsidRPr="00964AF1">
        <w:t xml:space="preserve"> </w:t>
      </w:r>
    </w:p>
    <w:p w14:paraId="2166DF2E" w14:textId="77777777" w:rsidR="0090341D" w:rsidRPr="00964AF1" w:rsidRDefault="0090341D" w:rsidP="000369F0">
      <w:pPr>
        <w:pStyle w:val="BodyText"/>
      </w:pPr>
      <w:r w:rsidRPr="00964AF1">
        <w:t>The ICAAP report must include:</w:t>
      </w:r>
    </w:p>
    <w:p w14:paraId="2166DF2F" w14:textId="77777777" w:rsidR="0090341D" w:rsidRPr="00964AF1" w:rsidRDefault="0090341D" w:rsidP="00E81D82">
      <w:pPr>
        <w:pStyle w:val="ListParagraph"/>
        <w:numPr>
          <w:ilvl w:val="0"/>
          <w:numId w:val="14"/>
        </w:numPr>
        <w:ind w:left="1134" w:hanging="567"/>
        <w:jc w:val="both"/>
        <w:rPr>
          <w:szCs w:val="24"/>
        </w:rPr>
      </w:pPr>
      <w:r w:rsidRPr="00964AF1">
        <w:rPr>
          <w:szCs w:val="24"/>
        </w:rPr>
        <w:t xml:space="preserve">detailed information on current and three-year projected capital levels relative to minimum </w:t>
      </w:r>
      <w:r>
        <w:rPr>
          <w:szCs w:val="24"/>
        </w:rPr>
        <w:t xml:space="preserve">regulatory capital </w:t>
      </w:r>
      <w:r w:rsidRPr="00964AF1">
        <w:rPr>
          <w:szCs w:val="24"/>
        </w:rPr>
        <w:t>requirements and target levels;</w:t>
      </w:r>
    </w:p>
    <w:p w14:paraId="2166DF30" w14:textId="77777777" w:rsidR="0090341D" w:rsidRPr="00964AF1" w:rsidRDefault="0090341D" w:rsidP="00E81D82">
      <w:pPr>
        <w:pStyle w:val="ListParagraph"/>
        <w:numPr>
          <w:ilvl w:val="0"/>
          <w:numId w:val="14"/>
        </w:numPr>
        <w:ind w:left="1134" w:hanging="567"/>
        <w:jc w:val="both"/>
        <w:rPr>
          <w:szCs w:val="24"/>
        </w:rPr>
      </w:pPr>
      <w:r w:rsidRPr="00964AF1">
        <w:rPr>
          <w:szCs w:val="24"/>
        </w:rPr>
        <w:t xml:space="preserve">detailed information on the actual outcomes of applying the ICAAP over the period, relative to the planned outcomes in the previous ICAAP report (including analysis of </w:t>
      </w:r>
      <w:r>
        <w:rPr>
          <w:szCs w:val="24"/>
        </w:rPr>
        <w:t xml:space="preserve">the regulated institution’s </w:t>
      </w:r>
      <w:r w:rsidRPr="00964AF1">
        <w:rPr>
          <w:szCs w:val="24"/>
        </w:rPr>
        <w:t xml:space="preserve">actual capital position relative to minimum </w:t>
      </w:r>
      <w:r>
        <w:rPr>
          <w:szCs w:val="24"/>
        </w:rPr>
        <w:t xml:space="preserve">regulatory capital </w:t>
      </w:r>
      <w:r w:rsidRPr="00964AF1">
        <w:rPr>
          <w:szCs w:val="24"/>
        </w:rPr>
        <w:t>requirement</w:t>
      </w:r>
      <w:r>
        <w:rPr>
          <w:szCs w:val="24"/>
        </w:rPr>
        <w:t>s</w:t>
      </w:r>
      <w:r w:rsidRPr="00964AF1">
        <w:rPr>
          <w:szCs w:val="24"/>
        </w:rPr>
        <w:t xml:space="preserve"> and </w:t>
      </w:r>
      <w:r>
        <w:rPr>
          <w:szCs w:val="24"/>
        </w:rPr>
        <w:t xml:space="preserve">capital </w:t>
      </w:r>
      <w:r w:rsidRPr="00964AF1">
        <w:rPr>
          <w:szCs w:val="24"/>
        </w:rPr>
        <w:t>target</w:t>
      </w:r>
      <w:r>
        <w:rPr>
          <w:szCs w:val="24"/>
        </w:rPr>
        <w:t>s,</w:t>
      </w:r>
      <w:r w:rsidRPr="00964AF1">
        <w:rPr>
          <w:szCs w:val="24"/>
        </w:rPr>
        <w:t xml:space="preserve"> and </w:t>
      </w:r>
      <w:r>
        <w:rPr>
          <w:szCs w:val="24"/>
        </w:rPr>
        <w:t xml:space="preserve">actual-versus-planned </w:t>
      </w:r>
      <w:r w:rsidRPr="00964AF1">
        <w:rPr>
          <w:szCs w:val="24"/>
        </w:rPr>
        <w:t>capital management actions);</w:t>
      </w:r>
    </w:p>
    <w:p w14:paraId="2166DF31" w14:textId="77777777" w:rsidR="0090341D" w:rsidRDefault="0090341D" w:rsidP="00E81D82">
      <w:pPr>
        <w:pStyle w:val="ListParagraph"/>
        <w:numPr>
          <w:ilvl w:val="0"/>
          <w:numId w:val="14"/>
        </w:numPr>
        <w:ind w:left="1134" w:hanging="567"/>
        <w:jc w:val="both"/>
        <w:rPr>
          <w:szCs w:val="24"/>
        </w:rPr>
      </w:pPr>
      <w:r w:rsidRPr="00964AF1">
        <w:rPr>
          <w:szCs w:val="24"/>
        </w:rPr>
        <w:t xml:space="preserve">description of </w:t>
      </w:r>
      <w:r>
        <w:rPr>
          <w:szCs w:val="24"/>
        </w:rPr>
        <w:t>material</w:t>
      </w:r>
      <w:r w:rsidRPr="00964AF1">
        <w:rPr>
          <w:szCs w:val="24"/>
        </w:rPr>
        <w:t xml:space="preserve"> changes to the ICAAP since the previous ICAAP report;</w:t>
      </w:r>
    </w:p>
    <w:p w14:paraId="2166DF32" w14:textId="77777777" w:rsidR="0090341D" w:rsidRDefault="0090341D" w:rsidP="00E81D82">
      <w:pPr>
        <w:pStyle w:val="ListParagraph"/>
        <w:numPr>
          <w:ilvl w:val="0"/>
          <w:numId w:val="14"/>
        </w:numPr>
        <w:ind w:left="1134" w:hanging="567"/>
        <w:jc w:val="both"/>
        <w:rPr>
          <w:szCs w:val="24"/>
        </w:rPr>
      </w:pPr>
      <w:r>
        <w:rPr>
          <w:szCs w:val="24"/>
        </w:rPr>
        <w:lastRenderedPageBreak/>
        <w:t>detail and outcomes of stress testing and scenario analysis used in undertaking the ICAAP;</w:t>
      </w:r>
    </w:p>
    <w:p w14:paraId="2166DF33" w14:textId="77777777" w:rsidR="0090341D" w:rsidRDefault="0090341D" w:rsidP="00E81D82">
      <w:pPr>
        <w:pStyle w:val="ListParagraph"/>
        <w:numPr>
          <w:ilvl w:val="0"/>
          <w:numId w:val="14"/>
        </w:numPr>
        <w:ind w:left="1134" w:hanging="567"/>
        <w:jc w:val="both"/>
        <w:rPr>
          <w:szCs w:val="24"/>
        </w:rPr>
      </w:pPr>
      <w:r>
        <w:rPr>
          <w:szCs w:val="24"/>
        </w:rPr>
        <w:t>a breakdown of capital usage over the planning horizon, as relevant, by material:</w:t>
      </w:r>
    </w:p>
    <w:p w14:paraId="2166DF34" w14:textId="77777777" w:rsidR="0090341D" w:rsidRDefault="0090341D" w:rsidP="0090341D">
      <w:pPr>
        <w:spacing w:after="240"/>
        <w:ind w:left="1701" w:hanging="567"/>
        <w:jc w:val="both"/>
        <w:rPr>
          <w:szCs w:val="24"/>
        </w:rPr>
      </w:pPr>
      <w:r>
        <w:rPr>
          <w:szCs w:val="24"/>
        </w:rPr>
        <w:t>(i)</w:t>
      </w:r>
      <w:r>
        <w:rPr>
          <w:szCs w:val="24"/>
        </w:rPr>
        <w:tab/>
        <w:t>business activity;</w:t>
      </w:r>
    </w:p>
    <w:p w14:paraId="2166DF35" w14:textId="77777777" w:rsidR="0090341D" w:rsidRDefault="0090341D" w:rsidP="0090341D">
      <w:pPr>
        <w:spacing w:after="240"/>
        <w:ind w:left="1701" w:hanging="567"/>
        <w:jc w:val="both"/>
        <w:rPr>
          <w:szCs w:val="24"/>
        </w:rPr>
      </w:pPr>
      <w:r w:rsidRPr="007172DB">
        <w:rPr>
          <w:szCs w:val="24"/>
        </w:rPr>
        <w:t>(ii)</w:t>
      </w:r>
      <w:r w:rsidRPr="007172DB">
        <w:rPr>
          <w:szCs w:val="24"/>
        </w:rPr>
        <w:tab/>
        <w:t>group members (as applicable);</w:t>
      </w:r>
    </w:p>
    <w:p w14:paraId="2166DF36" w14:textId="77777777" w:rsidR="0090341D" w:rsidRDefault="0090341D" w:rsidP="0090341D">
      <w:pPr>
        <w:spacing w:after="240"/>
        <w:ind w:left="1701" w:hanging="567"/>
        <w:jc w:val="both"/>
        <w:rPr>
          <w:szCs w:val="24"/>
        </w:rPr>
      </w:pPr>
      <w:r>
        <w:rPr>
          <w:szCs w:val="24"/>
        </w:rPr>
        <w:t>(iii)</w:t>
      </w:r>
      <w:r>
        <w:rPr>
          <w:szCs w:val="24"/>
        </w:rPr>
        <w:tab/>
        <w:t>geographic spread of exposures; and</w:t>
      </w:r>
    </w:p>
    <w:p w14:paraId="2166DF37" w14:textId="77777777" w:rsidR="0090341D" w:rsidRDefault="0090341D" w:rsidP="0090341D">
      <w:pPr>
        <w:spacing w:after="240"/>
        <w:ind w:left="1701" w:hanging="567"/>
        <w:jc w:val="both"/>
        <w:rPr>
          <w:szCs w:val="24"/>
        </w:rPr>
      </w:pPr>
      <w:r>
        <w:rPr>
          <w:szCs w:val="24"/>
        </w:rPr>
        <w:t>(iv)</w:t>
      </w:r>
      <w:r>
        <w:rPr>
          <w:szCs w:val="24"/>
        </w:rPr>
        <w:tab/>
        <w:t>risk types;</w:t>
      </w:r>
    </w:p>
    <w:p w14:paraId="2166DF38" w14:textId="77777777" w:rsidR="0090341D" w:rsidRPr="00A21006" w:rsidRDefault="0090341D" w:rsidP="00E81D82">
      <w:pPr>
        <w:pStyle w:val="ListParagraph"/>
        <w:numPr>
          <w:ilvl w:val="0"/>
          <w:numId w:val="14"/>
        </w:numPr>
        <w:ind w:left="1134" w:hanging="567"/>
        <w:jc w:val="both"/>
        <w:rPr>
          <w:szCs w:val="24"/>
        </w:rPr>
      </w:pPr>
      <w:r>
        <w:rPr>
          <w:szCs w:val="24"/>
        </w:rPr>
        <w:t>an assessment of anticipated changes in the regulated institution’s risk profile or capital management processes over the planning horizon;</w:t>
      </w:r>
    </w:p>
    <w:p w14:paraId="2166DF39" w14:textId="77777777" w:rsidR="0090341D" w:rsidRDefault="0090341D" w:rsidP="00E81D82">
      <w:pPr>
        <w:pStyle w:val="ListParagraph"/>
        <w:numPr>
          <w:ilvl w:val="0"/>
          <w:numId w:val="14"/>
        </w:numPr>
        <w:ind w:left="1134" w:hanging="567"/>
        <w:jc w:val="both"/>
        <w:rPr>
          <w:szCs w:val="24"/>
        </w:rPr>
      </w:pPr>
      <w:r w:rsidRPr="00964AF1">
        <w:rPr>
          <w:szCs w:val="24"/>
        </w:rPr>
        <w:t>details of any review of the</w:t>
      </w:r>
      <w:r w:rsidRPr="00A21006">
        <w:rPr>
          <w:b/>
          <w:szCs w:val="24"/>
        </w:rPr>
        <w:t xml:space="preserve"> </w:t>
      </w:r>
      <w:r w:rsidRPr="00B25967">
        <w:rPr>
          <w:szCs w:val="24"/>
        </w:rPr>
        <w:t>ICAAP since</w:t>
      </w:r>
      <w:r w:rsidRPr="00964AF1">
        <w:rPr>
          <w:szCs w:val="24"/>
        </w:rPr>
        <w:t xml:space="preserve"> the previous </w:t>
      </w:r>
      <w:r>
        <w:rPr>
          <w:szCs w:val="24"/>
        </w:rPr>
        <w:t xml:space="preserve">ICAAP </w:t>
      </w:r>
      <w:r w:rsidRPr="00964AF1">
        <w:rPr>
          <w:szCs w:val="24"/>
        </w:rPr>
        <w:t>report, including any recommendations for change and how those r</w:t>
      </w:r>
      <w:r w:rsidRPr="00A21006">
        <w:rPr>
          <w:szCs w:val="24"/>
        </w:rPr>
        <w:t>ecommendations</w:t>
      </w:r>
      <w:r w:rsidRPr="00964AF1">
        <w:rPr>
          <w:szCs w:val="24"/>
        </w:rPr>
        <w:t xml:space="preserve"> have been</w:t>
      </w:r>
      <w:r>
        <w:rPr>
          <w:szCs w:val="24"/>
        </w:rPr>
        <w:t>, or are being,</w:t>
      </w:r>
      <w:r w:rsidRPr="00964AF1">
        <w:rPr>
          <w:szCs w:val="24"/>
        </w:rPr>
        <w:t xml:space="preserve"> addressed</w:t>
      </w:r>
      <w:r>
        <w:rPr>
          <w:szCs w:val="24"/>
        </w:rPr>
        <w:t>; and</w:t>
      </w:r>
    </w:p>
    <w:p w14:paraId="2166DF3A" w14:textId="77777777" w:rsidR="0090341D" w:rsidRDefault="0090341D" w:rsidP="00E81D82">
      <w:pPr>
        <w:pStyle w:val="ListParagraph"/>
        <w:numPr>
          <w:ilvl w:val="0"/>
          <w:numId w:val="14"/>
        </w:numPr>
        <w:ind w:left="1134" w:hanging="567"/>
        <w:jc w:val="both"/>
        <w:rPr>
          <w:szCs w:val="24"/>
        </w:rPr>
      </w:pPr>
      <w:r>
        <w:rPr>
          <w:szCs w:val="24"/>
        </w:rPr>
        <w:t>references to supporting documentation and analysis, as relevant.</w:t>
      </w:r>
    </w:p>
    <w:p w14:paraId="2166DF3B" w14:textId="5B3A019E" w:rsidR="0090341D" w:rsidRDefault="0090341D" w:rsidP="000369F0">
      <w:pPr>
        <w:pStyle w:val="BodyText"/>
      </w:pPr>
      <w:r>
        <w:t>The ICAAP report submitted to APRA by the regulated institution must be accompanied by a declaration approved by the Board and signed by the CEO stating whether:</w:t>
      </w:r>
    </w:p>
    <w:p w14:paraId="2166DF3C" w14:textId="77777777" w:rsidR="0090341D" w:rsidRDefault="0090341D" w:rsidP="00113473">
      <w:pPr>
        <w:pStyle w:val="BodyText"/>
        <w:numPr>
          <w:ilvl w:val="0"/>
          <w:numId w:val="22"/>
        </w:numPr>
        <w:ind w:left="1134" w:hanging="567"/>
      </w:pPr>
      <w:r>
        <w:t>capital management has been undertaken by the regulated institution in accordance with the ICAAP over the period and, if not, a description of, and explanation for, deviations;</w:t>
      </w:r>
    </w:p>
    <w:p w14:paraId="2166DF3D" w14:textId="77777777" w:rsidR="0090341D" w:rsidRDefault="0090341D" w:rsidP="00113473">
      <w:pPr>
        <w:pStyle w:val="BodyText"/>
        <w:numPr>
          <w:ilvl w:val="0"/>
          <w:numId w:val="22"/>
        </w:numPr>
        <w:ind w:left="1134" w:hanging="567"/>
      </w:pPr>
      <w:r>
        <w:t xml:space="preserve">the regulated institution has assessed the capital targets contained in its ICAAP </w:t>
      </w:r>
      <w:r w:rsidRPr="007172DB">
        <w:t>to be adequate given the size, business mix and complexity of its operations, and specifically for Level 2 insurance groups, given the location of operations of group members and the complexity of the group structure; and</w:t>
      </w:r>
    </w:p>
    <w:p w14:paraId="2166DF3E" w14:textId="77777777" w:rsidR="0090341D" w:rsidRPr="00A21006" w:rsidRDefault="0090341D" w:rsidP="00113473">
      <w:pPr>
        <w:pStyle w:val="BodyText"/>
        <w:numPr>
          <w:ilvl w:val="0"/>
          <w:numId w:val="22"/>
        </w:numPr>
        <w:ind w:left="1134" w:hanging="567"/>
      </w:pPr>
      <w:r>
        <w:t>the information included in the ICAAP report is accurate in all material respects.</w:t>
      </w:r>
    </w:p>
    <w:p w14:paraId="2166DF3F" w14:textId="77777777" w:rsidR="0090341D" w:rsidRPr="00964AF1" w:rsidRDefault="0090341D" w:rsidP="0090341D">
      <w:pPr>
        <w:pStyle w:val="Heading"/>
        <w:spacing w:before="120" w:after="240"/>
        <w:jc w:val="both"/>
        <w:rPr>
          <w:rFonts w:ascii="Arial" w:hAnsi="Arial"/>
          <w:bCs/>
          <w:sz w:val="24"/>
          <w:szCs w:val="24"/>
        </w:rPr>
      </w:pPr>
      <w:r w:rsidRPr="00964AF1">
        <w:rPr>
          <w:rFonts w:ascii="Arial" w:hAnsi="Arial"/>
          <w:bCs/>
          <w:sz w:val="24"/>
          <w:szCs w:val="24"/>
        </w:rPr>
        <w:lastRenderedPageBreak/>
        <w:t xml:space="preserve">Capital base  </w:t>
      </w:r>
    </w:p>
    <w:bookmarkEnd w:id="2"/>
    <w:p w14:paraId="2166DF40" w14:textId="77777777" w:rsidR="0090341D" w:rsidRPr="00964AF1" w:rsidRDefault="0090341D" w:rsidP="000369F0">
      <w:pPr>
        <w:pStyle w:val="BodyText"/>
      </w:pPr>
      <w:r w:rsidRPr="00964AF1">
        <w:t xml:space="preserve">In assessing the adequacy of a regulated institution’s </w:t>
      </w:r>
      <w:r w:rsidRPr="00A44BD5">
        <w:rPr>
          <w:b/>
        </w:rPr>
        <w:t>capital base</w:t>
      </w:r>
      <w:r w:rsidRPr="00964AF1">
        <w:t xml:space="preserve">, attention must be paid not only to the risks it is likely to face, but also to the quality of the support provided by various forms of capital. In assessing the quality of support provided by a particular form of capital, regard must be had to the extent to which it:  </w:t>
      </w:r>
    </w:p>
    <w:p w14:paraId="2166DF41" w14:textId="77777777" w:rsidR="0090341D" w:rsidRPr="00964AF1" w:rsidRDefault="0090341D" w:rsidP="000369F0">
      <w:pPr>
        <w:pStyle w:val="bullet"/>
      </w:pPr>
      <w:r w:rsidRPr="00964AF1">
        <w:t>provides a permanent and unrestricted commitment of funds;</w:t>
      </w:r>
    </w:p>
    <w:p w14:paraId="2166DF42" w14:textId="77777777" w:rsidR="0090341D" w:rsidRPr="00964AF1" w:rsidRDefault="0090341D" w:rsidP="000369F0">
      <w:pPr>
        <w:pStyle w:val="bullet"/>
      </w:pPr>
      <w:r w:rsidRPr="00964AF1">
        <w:t>is freely available to absorb losses;</w:t>
      </w:r>
    </w:p>
    <w:p w14:paraId="2166DF43" w14:textId="77777777" w:rsidR="0090341D" w:rsidRPr="00964AF1" w:rsidRDefault="0090341D" w:rsidP="000369F0">
      <w:pPr>
        <w:pStyle w:val="bullet"/>
      </w:pPr>
      <w:r w:rsidRPr="00964AF1">
        <w:t>does not impose any unavoidable servicing charges against earnings; and</w:t>
      </w:r>
    </w:p>
    <w:p w14:paraId="2166DF44" w14:textId="77777777" w:rsidR="0090341D" w:rsidRPr="00964AF1" w:rsidRDefault="0090341D" w:rsidP="000369F0">
      <w:pPr>
        <w:pStyle w:val="bullet"/>
      </w:pPr>
      <w:r w:rsidRPr="00964AF1">
        <w:t>ranks behind the claims of policyholders and creditors</w:t>
      </w:r>
      <w:r w:rsidRPr="00964AF1">
        <w:rPr>
          <w:b/>
        </w:rPr>
        <w:t xml:space="preserve"> </w:t>
      </w:r>
      <w:r w:rsidRPr="00964AF1">
        <w:t>in the event of the winding-up of the regulated institution.</w:t>
      </w:r>
    </w:p>
    <w:p w14:paraId="2166DF45" w14:textId="77777777" w:rsidR="0090341D" w:rsidRPr="00964AF1" w:rsidRDefault="0090341D" w:rsidP="000369F0">
      <w:pPr>
        <w:pStyle w:val="BodyText"/>
      </w:pPr>
      <w:r w:rsidRPr="00964AF1">
        <w:t xml:space="preserve">Not all </w:t>
      </w:r>
      <w:r>
        <w:t>forms</w:t>
      </w:r>
      <w:r w:rsidRPr="00964AF1">
        <w:t xml:space="preserve"> of capital meet these criteria equally. Due to the need to ensure that the capital base of a regulated institution provides adequate support for its activities, APRA imposes some restrictions on the composition of the capital base. The forms of capital deemed eligible for inclusion in the capital base, and the conditions </w:t>
      </w:r>
      <w:r>
        <w:t xml:space="preserve">as to </w:t>
      </w:r>
      <w:r w:rsidRPr="00964AF1">
        <w:t xml:space="preserve">their inclusion, are specified in </w:t>
      </w:r>
      <w:r w:rsidRPr="00964AF1">
        <w:rPr>
          <w:i/>
        </w:rPr>
        <w:t xml:space="preserve">Prudential Standard GPS 112 Capital Adequacy: Measurement of Capital </w:t>
      </w:r>
      <w:r w:rsidRPr="00964AF1">
        <w:t>(</w:t>
      </w:r>
      <w:r w:rsidRPr="00AF19DF">
        <w:t>GPS 112</w:t>
      </w:r>
      <w:r w:rsidRPr="00964AF1">
        <w:t>). GPS 112 defines the different categories and components of the capital base</w:t>
      </w:r>
      <w:r>
        <w:t>,</w:t>
      </w:r>
      <w:r w:rsidRPr="00964AF1">
        <w:t xml:space="preserve"> </w:t>
      </w:r>
      <w:r>
        <w:t>and the restrictions on the quality of the capital that is used to meet the required level of capital for regulatory purposes</w:t>
      </w:r>
      <w:r w:rsidRPr="00964AF1">
        <w:t>.</w:t>
      </w:r>
    </w:p>
    <w:p w14:paraId="2166DF46" w14:textId="77777777" w:rsidR="0090341D" w:rsidRPr="00964AF1" w:rsidRDefault="0090341D" w:rsidP="000369F0">
      <w:pPr>
        <w:pStyle w:val="BodyText"/>
      </w:pPr>
      <w:r w:rsidRPr="00964AF1">
        <w:t xml:space="preserve">A regulated institution’s balance sheet may contain certain assets (such as deferred tax assets, goodwill and other intangibles) that are acceptable from an accounting perspective. However, for supervisory purposes, such assets are either generally not available, or of questionable value, should the regulated institution encounter difficulties. A regulated institution is therefore required to </w:t>
      </w:r>
      <w:r>
        <w:t>make certain adjustments in determining the capital base</w:t>
      </w:r>
      <w:r w:rsidRPr="00964AF1">
        <w:t xml:space="preserve">. Details of these </w:t>
      </w:r>
      <w:r>
        <w:t>adjustments</w:t>
      </w:r>
      <w:r w:rsidRPr="00964AF1">
        <w:t xml:space="preserve"> are </w:t>
      </w:r>
      <w:r>
        <w:t>specified</w:t>
      </w:r>
      <w:r w:rsidRPr="00964AF1">
        <w:t xml:space="preserve"> in GPS 112.</w:t>
      </w:r>
    </w:p>
    <w:p w14:paraId="2166DF47" w14:textId="77777777" w:rsidR="0090341D" w:rsidRPr="00795E99" w:rsidRDefault="0090341D" w:rsidP="0090341D">
      <w:pPr>
        <w:pStyle w:val="Heading"/>
        <w:spacing w:before="120" w:after="240"/>
        <w:jc w:val="both"/>
        <w:rPr>
          <w:rFonts w:ascii="Arial" w:hAnsi="Arial"/>
          <w:bCs/>
          <w:sz w:val="24"/>
          <w:szCs w:val="24"/>
        </w:rPr>
      </w:pPr>
      <w:r w:rsidRPr="00795E99">
        <w:rPr>
          <w:rFonts w:ascii="Arial" w:hAnsi="Arial"/>
          <w:bCs/>
          <w:sz w:val="24"/>
          <w:szCs w:val="24"/>
        </w:rPr>
        <w:t>Prudential Capital Requirement</w:t>
      </w:r>
    </w:p>
    <w:p w14:paraId="2166DF48" w14:textId="77777777" w:rsidR="0090341D" w:rsidRPr="00964AF1" w:rsidRDefault="0090341D" w:rsidP="000369F0">
      <w:pPr>
        <w:pStyle w:val="BodyText"/>
      </w:pPr>
      <w:r w:rsidRPr="00964AF1">
        <w:lastRenderedPageBreak/>
        <w:t xml:space="preserve">This Prudential Standard establishes a risk-based approach </w:t>
      </w:r>
      <w:r>
        <w:t>for</w:t>
      </w:r>
      <w:r w:rsidRPr="00964AF1">
        <w:t xml:space="preserve"> measur</w:t>
      </w:r>
      <w:r>
        <w:t>ing</w:t>
      </w:r>
      <w:r w:rsidRPr="00964AF1">
        <w:t xml:space="preserve"> the capital adequacy of a regulated institution. The required level of capital for regulatory purposes is referred to as the </w:t>
      </w:r>
      <w:r w:rsidRPr="00964AF1">
        <w:rPr>
          <w:b/>
        </w:rPr>
        <w:t>Prudential Capital Requirement</w:t>
      </w:r>
      <w:r w:rsidRPr="00964AF1">
        <w:t xml:space="preserve"> (</w:t>
      </w:r>
      <w:r w:rsidRPr="00AF19DF">
        <w:t>PCR</w:t>
      </w:r>
      <w:r w:rsidRPr="00964AF1">
        <w:t xml:space="preserve">). The PCR is intended to </w:t>
      </w:r>
      <w:r>
        <w:t>take account of</w:t>
      </w:r>
      <w:r w:rsidRPr="00964AF1">
        <w:t xml:space="preserve"> the full range of risks to which a regulated institution is exposed.  </w:t>
      </w:r>
    </w:p>
    <w:p w14:paraId="2166DF49" w14:textId="77777777" w:rsidR="0090341D" w:rsidRPr="00964AF1" w:rsidRDefault="0090341D" w:rsidP="000369F0">
      <w:pPr>
        <w:pStyle w:val="BodyText"/>
      </w:pPr>
      <w:r w:rsidRPr="00964AF1">
        <w:t xml:space="preserve">A regulated institution must ensure that it has a capital base, at all times, in excess of </w:t>
      </w:r>
      <w:r>
        <w:t>its</w:t>
      </w:r>
      <w:r w:rsidRPr="00964AF1">
        <w:t xml:space="preserve"> PCR.</w:t>
      </w:r>
      <w:r w:rsidRPr="00964AF1">
        <w:rPr>
          <w:rStyle w:val="FootnoteReference"/>
        </w:rPr>
        <w:footnoteReference w:id="3"/>
      </w:r>
      <w:r w:rsidRPr="00964AF1">
        <w:t xml:space="preserve">  </w:t>
      </w:r>
    </w:p>
    <w:p w14:paraId="2166DF4A" w14:textId="77777777" w:rsidR="0090341D" w:rsidRPr="00964AF1" w:rsidRDefault="0090341D" w:rsidP="000369F0">
      <w:pPr>
        <w:pStyle w:val="BodyText"/>
      </w:pPr>
      <w:r w:rsidRPr="00964AF1">
        <w:t xml:space="preserve">The PCR for a regulated institution equals:  </w:t>
      </w:r>
    </w:p>
    <w:p w14:paraId="2166DF4B" w14:textId="77777777" w:rsidR="0090341D" w:rsidRPr="00964AF1" w:rsidRDefault="0090341D" w:rsidP="00113473">
      <w:pPr>
        <w:pStyle w:val="BodyText"/>
        <w:numPr>
          <w:ilvl w:val="0"/>
          <w:numId w:val="9"/>
        </w:numPr>
        <w:ind w:left="1134" w:hanging="567"/>
      </w:pPr>
      <w:r w:rsidRPr="00964AF1">
        <w:t xml:space="preserve">a </w:t>
      </w:r>
      <w:r w:rsidRPr="001930FB">
        <w:rPr>
          <w:b/>
        </w:rPr>
        <w:t>prescribed capital amount</w:t>
      </w:r>
      <w:r w:rsidRPr="00964AF1">
        <w:t xml:space="preserve"> determined either:</w:t>
      </w:r>
      <w:r w:rsidRPr="00964AF1">
        <w:tab/>
      </w:r>
    </w:p>
    <w:p w14:paraId="2166DF4C" w14:textId="77777777" w:rsidR="0090341D" w:rsidRPr="00964AF1" w:rsidRDefault="0090341D" w:rsidP="00113473">
      <w:pPr>
        <w:pStyle w:val="BodyText"/>
        <w:numPr>
          <w:ilvl w:val="0"/>
          <w:numId w:val="0"/>
        </w:numPr>
        <w:ind w:left="1701" w:hanging="567"/>
      </w:pPr>
      <w:r w:rsidRPr="00964AF1">
        <w:t>(i)</w:t>
      </w:r>
      <w:r w:rsidRPr="00964AF1">
        <w:tab/>
        <w:t xml:space="preserve">by applying the </w:t>
      </w:r>
      <w:r>
        <w:t>‘</w:t>
      </w:r>
      <w:r w:rsidRPr="00BE6A10">
        <w:t>Standard Method</w:t>
      </w:r>
      <w:r>
        <w:t>’</w:t>
      </w:r>
      <w:r w:rsidRPr="00964AF1">
        <w:t xml:space="preserve"> set out in this Prudential Standard; or </w:t>
      </w:r>
    </w:p>
    <w:p w14:paraId="2166DF4D" w14:textId="77777777" w:rsidR="0090341D" w:rsidRPr="00964AF1" w:rsidRDefault="0090341D" w:rsidP="00113473">
      <w:pPr>
        <w:pStyle w:val="BodyText"/>
        <w:numPr>
          <w:ilvl w:val="0"/>
          <w:numId w:val="0"/>
        </w:numPr>
        <w:ind w:left="1701" w:hanging="567"/>
      </w:pPr>
      <w:r w:rsidRPr="00964AF1">
        <w:t>(ii)</w:t>
      </w:r>
      <w:r w:rsidRPr="00964AF1">
        <w:tab/>
        <w:t xml:space="preserve">by using an internal model developed by the regulated institution to  reflect the circumstances of its business – the </w:t>
      </w:r>
      <w:r w:rsidRPr="00964AF1">
        <w:rPr>
          <w:b/>
        </w:rPr>
        <w:t>Internal Model-based Method</w:t>
      </w:r>
      <w:r w:rsidRPr="00964AF1">
        <w:t xml:space="preserve"> (</w:t>
      </w:r>
      <w:r w:rsidRPr="00AF19DF">
        <w:t>IMB Method</w:t>
      </w:r>
      <w:r w:rsidRPr="00D44885">
        <w:t>)</w:t>
      </w:r>
      <w:r w:rsidRPr="009F7035">
        <w:t>;</w:t>
      </w:r>
      <w:r w:rsidRPr="00964AF1">
        <w:t xml:space="preserve"> or </w:t>
      </w:r>
    </w:p>
    <w:p w14:paraId="2166DF4E" w14:textId="77777777" w:rsidR="0090341D" w:rsidRPr="00964AF1" w:rsidRDefault="0090341D" w:rsidP="00113473">
      <w:pPr>
        <w:pStyle w:val="BodyText"/>
        <w:numPr>
          <w:ilvl w:val="0"/>
          <w:numId w:val="0"/>
        </w:numPr>
        <w:ind w:left="1701" w:hanging="567"/>
      </w:pPr>
      <w:r w:rsidRPr="00964AF1">
        <w:t xml:space="preserve">(iii) </w:t>
      </w:r>
      <w:r w:rsidRPr="00964AF1">
        <w:tab/>
        <w:t>by using a combination of the methods specified in (i) or (ii) above; plus</w:t>
      </w:r>
    </w:p>
    <w:p w14:paraId="2166DF50" w14:textId="77777777" w:rsidR="0090341D" w:rsidRPr="00964AF1" w:rsidRDefault="0090341D" w:rsidP="00113473">
      <w:pPr>
        <w:pStyle w:val="BodyText"/>
        <w:numPr>
          <w:ilvl w:val="0"/>
          <w:numId w:val="9"/>
        </w:numPr>
        <w:ind w:left="1134" w:hanging="567"/>
      </w:pPr>
      <w:r w:rsidRPr="00964AF1">
        <w:t xml:space="preserve">any </w:t>
      </w:r>
      <w:r w:rsidRPr="00964AF1">
        <w:rPr>
          <w:b/>
        </w:rPr>
        <w:t>supervisory adjustment</w:t>
      </w:r>
      <w:r w:rsidRPr="00964AF1">
        <w:t xml:space="preserve"> determined by APRA under paragraph </w:t>
      </w:r>
      <w:r w:rsidR="00EF23D2">
        <w:fldChar w:fldCharType="begin"/>
      </w:r>
      <w:r>
        <w:instrText xml:space="preserve"> REF _Ref309734998 \r \h </w:instrText>
      </w:r>
      <w:r w:rsidR="00EF23D2">
        <w:fldChar w:fldCharType="separate"/>
      </w:r>
      <w:r w:rsidR="00E00455">
        <w:t>36</w:t>
      </w:r>
      <w:r w:rsidR="00EF23D2">
        <w:fldChar w:fldCharType="end"/>
      </w:r>
      <w:r w:rsidRPr="00964AF1">
        <w:t xml:space="preserve">. </w:t>
      </w:r>
    </w:p>
    <w:p w14:paraId="2166DF51" w14:textId="77777777" w:rsidR="0090341D" w:rsidRPr="00964AF1" w:rsidRDefault="0090341D" w:rsidP="000369F0">
      <w:pPr>
        <w:pStyle w:val="BodyText"/>
      </w:pPr>
      <w:r w:rsidRPr="00964AF1">
        <w:t>Regardless of the outcome of the method used for determining the prescribed capital amount, a regulated institution’s prescribed capital amount cannot be:</w:t>
      </w:r>
    </w:p>
    <w:p w14:paraId="2166DF52" w14:textId="77777777" w:rsidR="0090341D" w:rsidRPr="00964AF1" w:rsidRDefault="0090341D" w:rsidP="00113473">
      <w:pPr>
        <w:pStyle w:val="BodyText"/>
        <w:numPr>
          <w:ilvl w:val="0"/>
          <w:numId w:val="15"/>
        </w:numPr>
        <w:ind w:left="1134" w:hanging="567"/>
      </w:pPr>
      <w:r w:rsidRPr="00964AF1">
        <w:t xml:space="preserve">in the case of a regulated institution other than a </w:t>
      </w:r>
      <w:r w:rsidRPr="00964AF1">
        <w:rPr>
          <w:b/>
        </w:rPr>
        <w:t>Category D insurer</w:t>
      </w:r>
      <w:r w:rsidRPr="00964AF1">
        <w:t xml:space="preserve"> or </w:t>
      </w:r>
      <w:r w:rsidRPr="00964AF1">
        <w:rPr>
          <w:b/>
        </w:rPr>
        <w:t>Category E insurer</w:t>
      </w:r>
      <w:r w:rsidRPr="00964AF1">
        <w:t>, less than $5 million; and</w:t>
      </w:r>
    </w:p>
    <w:p w14:paraId="2166DF53" w14:textId="77777777" w:rsidR="0090341D" w:rsidRPr="00964AF1" w:rsidRDefault="0090341D" w:rsidP="00113473">
      <w:pPr>
        <w:pStyle w:val="BodyText"/>
        <w:numPr>
          <w:ilvl w:val="0"/>
          <w:numId w:val="15"/>
        </w:numPr>
        <w:ind w:left="1134" w:hanging="567"/>
      </w:pPr>
      <w:r w:rsidRPr="00964AF1">
        <w:t>in the case of a Category D insurer or Category E insurer, less than $2 million.</w:t>
      </w:r>
    </w:p>
    <w:p w14:paraId="2166DF54" w14:textId="77777777" w:rsidR="0090341D" w:rsidRPr="00964AF1" w:rsidRDefault="0090341D" w:rsidP="0090341D">
      <w:pPr>
        <w:pStyle w:val="Heading"/>
        <w:spacing w:before="120" w:after="240"/>
        <w:jc w:val="both"/>
        <w:rPr>
          <w:rFonts w:ascii="Arial" w:hAnsi="Arial"/>
          <w:bCs/>
          <w:sz w:val="24"/>
          <w:szCs w:val="24"/>
        </w:rPr>
      </w:pPr>
      <w:r w:rsidRPr="00964AF1">
        <w:rPr>
          <w:rFonts w:ascii="Arial" w:hAnsi="Arial"/>
          <w:bCs/>
          <w:sz w:val="24"/>
          <w:szCs w:val="24"/>
        </w:rPr>
        <w:t>Standard Method</w:t>
      </w:r>
    </w:p>
    <w:p w14:paraId="2166DF55" w14:textId="77777777" w:rsidR="0090341D" w:rsidRPr="00964AF1" w:rsidRDefault="0090341D" w:rsidP="000369F0">
      <w:pPr>
        <w:pStyle w:val="BodyText"/>
        <w:rPr>
          <w:i/>
        </w:rPr>
      </w:pPr>
      <w:r w:rsidRPr="00964AF1">
        <w:lastRenderedPageBreak/>
        <w:t>For regulated institutions using the Standard Method, the prescribed capital amount is determined as:</w:t>
      </w:r>
      <w:r w:rsidRPr="00964AF1">
        <w:rPr>
          <w:i/>
        </w:rPr>
        <w:t xml:space="preserve"> </w:t>
      </w:r>
    </w:p>
    <w:p w14:paraId="2166DF56" w14:textId="77777777" w:rsidR="0090341D" w:rsidRPr="00964AF1" w:rsidRDefault="0090341D" w:rsidP="00E81D82">
      <w:pPr>
        <w:pStyle w:val="ListParagraph"/>
        <w:numPr>
          <w:ilvl w:val="0"/>
          <w:numId w:val="7"/>
        </w:numPr>
        <w:ind w:left="1134" w:hanging="567"/>
        <w:jc w:val="both"/>
        <w:rPr>
          <w:i/>
          <w:szCs w:val="24"/>
        </w:rPr>
      </w:pPr>
      <w:r w:rsidRPr="00964AF1">
        <w:rPr>
          <w:szCs w:val="24"/>
        </w:rPr>
        <w:t>the</w:t>
      </w:r>
      <w:r w:rsidRPr="00964AF1">
        <w:rPr>
          <w:i/>
          <w:szCs w:val="24"/>
        </w:rPr>
        <w:t xml:space="preserve"> </w:t>
      </w:r>
      <w:r w:rsidRPr="00964AF1">
        <w:rPr>
          <w:b/>
          <w:szCs w:val="24"/>
        </w:rPr>
        <w:t>Insurance Risk Charge</w:t>
      </w:r>
      <w:r w:rsidRPr="00D44885">
        <w:rPr>
          <w:szCs w:val="24"/>
        </w:rPr>
        <w:t>;</w:t>
      </w:r>
      <w:r w:rsidRPr="00964AF1">
        <w:rPr>
          <w:i/>
          <w:szCs w:val="24"/>
        </w:rPr>
        <w:t xml:space="preserve"> </w:t>
      </w:r>
      <w:r w:rsidRPr="00964AF1">
        <w:rPr>
          <w:szCs w:val="24"/>
        </w:rPr>
        <w:t>plus</w:t>
      </w:r>
    </w:p>
    <w:p w14:paraId="2166DF57" w14:textId="77777777" w:rsidR="0090341D" w:rsidRPr="00964AF1" w:rsidRDefault="0090341D" w:rsidP="00E81D82">
      <w:pPr>
        <w:pStyle w:val="ListParagraph"/>
        <w:numPr>
          <w:ilvl w:val="0"/>
          <w:numId w:val="7"/>
        </w:numPr>
        <w:ind w:left="1134" w:hanging="567"/>
        <w:jc w:val="both"/>
        <w:rPr>
          <w:i/>
          <w:szCs w:val="24"/>
        </w:rPr>
      </w:pPr>
      <w:r w:rsidRPr="00964AF1">
        <w:rPr>
          <w:szCs w:val="24"/>
        </w:rPr>
        <w:t>the</w:t>
      </w:r>
      <w:r w:rsidRPr="00964AF1">
        <w:rPr>
          <w:i/>
          <w:szCs w:val="24"/>
        </w:rPr>
        <w:t xml:space="preserve"> </w:t>
      </w:r>
      <w:r w:rsidRPr="00964AF1">
        <w:rPr>
          <w:b/>
          <w:szCs w:val="24"/>
        </w:rPr>
        <w:t>Insurance Concentration Risk Charge</w:t>
      </w:r>
      <w:r w:rsidRPr="00D44885">
        <w:rPr>
          <w:szCs w:val="24"/>
        </w:rPr>
        <w:t>;</w:t>
      </w:r>
      <w:r w:rsidRPr="00964AF1">
        <w:rPr>
          <w:i/>
          <w:szCs w:val="24"/>
        </w:rPr>
        <w:t xml:space="preserve"> </w:t>
      </w:r>
      <w:r w:rsidRPr="00964AF1">
        <w:rPr>
          <w:szCs w:val="24"/>
        </w:rPr>
        <w:t>plus</w:t>
      </w:r>
      <w:r w:rsidRPr="00964AF1">
        <w:rPr>
          <w:b/>
          <w:i/>
          <w:szCs w:val="24"/>
        </w:rPr>
        <w:t xml:space="preserve"> </w:t>
      </w:r>
    </w:p>
    <w:p w14:paraId="2166DF58" w14:textId="77777777" w:rsidR="0090341D" w:rsidRPr="00964AF1" w:rsidRDefault="0090341D" w:rsidP="00E81D82">
      <w:pPr>
        <w:pStyle w:val="ListParagraph"/>
        <w:numPr>
          <w:ilvl w:val="0"/>
          <w:numId w:val="7"/>
        </w:numPr>
        <w:ind w:left="1134" w:hanging="567"/>
        <w:jc w:val="both"/>
        <w:rPr>
          <w:szCs w:val="24"/>
        </w:rPr>
      </w:pPr>
      <w:r w:rsidRPr="00964AF1">
        <w:rPr>
          <w:szCs w:val="24"/>
        </w:rPr>
        <w:t xml:space="preserve">the </w:t>
      </w:r>
      <w:r w:rsidRPr="00964AF1">
        <w:rPr>
          <w:b/>
          <w:szCs w:val="24"/>
        </w:rPr>
        <w:t>Asset Risk Charge</w:t>
      </w:r>
      <w:r w:rsidRPr="00964AF1">
        <w:rPr>
          <w:szCs w:val="24"/>
        </w:rPr>
        <w:t>; plus</w:t>
      </w:r>
    </w:p>
    <w:p w14:paraId="2166DF59" w14:textId="78F7D673" w:rsidR="0090341D" w:rsidRPr="00964AF1" w:rsidRDefault="0090341D" w:rsidP="00E81D82">
      <w:pPr>
        <w:pStyle w:val="ListParagraph"/>
        <w:numPr>
          <w:ilvl w:val="0"/>
          <w:numId w:val="7"/>
        </w:numPr>
        <w:ind w:left="1134" w:hanging="567"/>
        <w:jc w:val="both"/>
        <w:rPr>
          <w:szCs w:val="24"/>
        </w:rPr>
      </w:pPr>
      <w:r w:rsidRPr="00964AF1">
        <w:rPr>
          <w:szCs w:val="24"/>
        </w:rPr>
        <w:t xml:space="preserve">the </w:t>
      </w:r>
      <w:r w:rsidRPr="00964AF1">
        <w:rPr>
          <w:b/>
          <w:szCs w:val="24"/>
        </w:rPr>
        <w:t>Asset Concentration Risk Charge</w:t>
      </w:r>
      <w:r w:rsidRPr="00964AF1">
        <w:rPr>
          <w:szCs w:val="24"/>
        </w:rPr>
        <w:t>; plus</w:t>
      </w:r>
    </w:p>
    <w:p w14:paraId="2166DF5A" w14:textId="77777777" w:rsidR="0090341D" w:rsidRPr="00964AF1" w:rsidRDefault="0090341D" w:rsidP="00E81D82">
      <w:pPr>
        <w:pStyle w:val="ListParagraph"/>
        <w:numPr>
          <w:ilvl w:val="0"/>
          <w:numId w:val="7"/>
        </w:numPr>
        <w:ind w:left="1134" w:hanging="567"/>
        <w:jc w:val="both"/>
        <w:rPr>
          <w:szCs w:val="24"/>
        </w:rPr>
      </w:pPr>
      <w:r w:rsidRPr="00964AF1">
        <w:rPr>
          <w:szCs w:val="24"/>
        </w:rPr>
        <w:t xml:space="preserve">the </w:t>
      </w:r>
      <w:r w:rsidRPr="00964AF1">
        <w:rPr>
          <w:b/>
          <w:szCs w:val="24"/>
        </w:rPr>
        <w:t>Operational Risk Charge</w:t>
      </w:r>
      <w:r w:rsidRPr="00964AF1">
        <w:rPr>
          <w:szCs w:val="24"/>
        </w:rPr>
        <w:t>; less</w:t>
      </w:r>
    </w:p>
    <w:p w14:paraId="2166DF5B" w14:textId="77777777" w:rsidR="0090341D" w:rsidRDefault="0090341D" w:rsidP="00E81D82">
      <w:pPr>
        <w:pStyle w:val="ListParagraph"/>
        <w:numPr>
          <w:ilvl w:val="0"/>
          <w:numId w:val="7"/>
        </w:numPr>
        <w:ind w:left="1134" w:hanging="567"/>
        <w:jc w:val="both"/>
        <w:rPr>
          <w:szCs w:val="24"/>
        </w:rPr>
      </w:pPr>
      <w:r w:rsidRPr="00964AF1">
        <w:rPr>
          <w:szCs w:val="24"/>
        </w:rPr>
        <w:t xml:space="preserve">an </w:t>
      </w:r>
      <w:r>
        <w:rPr>
          <w:szCs w:val="24"/>
        </w:rPr>
        <w:t>‘</w:t>
      </w:r>
      <w:r w:rsidRPr="00AF19DF">
        <w:rPr>
          <w:szCs w:val="24"/>
        </w:rPr>
        <w:t>aggregation benefit</w:t>
      </w:r>
      <w:r>
        <w:rPr>
          <w:szCs w:val="24"/>
        </w:rPr>
        <w:t xml:space="preserve">’, as defined in paragraph </w:t>
      </w:r>
      <w:r w:rsidR="00EF23D2">
        <w:rPr>
          <w:szCs w:val="24"/>
        </w:rPr>
        <w:fldChar w:fldCharType="begin"/>
      </w:r>
      <w:r>
        <w:rPr>
          <w:szCs w:val="24"/>
        </w:rPr>
        <w:instrText xml:space="preserve"> REF _Ref333862998 \r \h </w:instrText>
      </w:r>
      <w:r w:rsidR="00EF23D2">
        <w:rPr>
          <w:szCs w:val="24"/>
        </w:rPr>
      </w:r>
      <w:r w:rsidR="00EF23D2">
        <w:rPr>
          <w:szCs w:val="24"/>
        </w:rPr>
        <w:fldChar w:fldCharType="separate"/>
      </w:r>
      <w:r w:rsidR="00E00455">
        <w:rPr>
          <w:szCs w:val="24"/>
        </w:rPr>
        <w:t>31</w:t>
      </w:r>
      <w:r w:rsidR="00EF23D2">
        <w:rPr>
          <w:szCs w:val="24"/>
        </w:rPr>
        <w:fldChar w:fldCharType="end"/>
      </w:r>
      <w:r w:rsidRPr="00964AF1">
        <w:rPr>
          <w:szCs w:val="24"/>
        </w:rPr>
        <w:t>.</w:t>
      </w:r>
    </w:p>
    <w:p w14:paraId="2166DF5C" w14:textId="77777777" w:rsidR="0090341D" w:rsidRDefault="0090341D" w:rsidP="000369F0">
      <w:pPr>
        <w:pStyle w:val="BodyText"/>
      </w:pPr>
      <w:r w:rsidRPr="00964AF1">
        <w:t xml:space="preserve">The </w:t>
      </w:r>
      <w:r w:rsidRPr="00A44BD5">
        <w:t>prescribed capital amount</w:t>
      </w:r>
      <w:r w:rsidRPr="00964AF1">
        <w:rPr>
          <w:b/>
        </w:rPr>
        <w:t xml:space="preserve"> </w:t>
      </w:r>
      <w:r w:rsidRPr="00964AF1">
        <w:t xml:space="preserve">in respect of a regulated institution </w:t>
      </w:r>
      <w:r>
        <w:t xml:space="preserve">determined under the Standard Method </w:t>
      </w:r>
      <w:r w:rsidRPr="00964AF1">
        <w:t xml:space="preserve">is intended to be sufficient, such that if a regulated institution was to start the year with a </w:t>
      </w:r>
      <w:r w:rsidRPr="00A44BD5">
        <w:t>capital base</w:t>
      </w:r>
      <w:r w:rsidRPr="00964AF1">
        <w:t xml:space="preserve"> equal t</w:t>
      </w:r>
      <w:r>
        <w:t>o the prescribed capital amount</w:t>
      </w:r>
      <w:r w:rsidRPr="00964AF1">
        <w:t xml:space="preserve"> and losses occurred at the 99.5 per cent confidence level</w:t>
      </w:r>
      <w:r>
        <w:t>,</w:t>
      </w:r>
      <w:r w:rsidRPr="00964AF1">
        <w:t xml:space="preserve"> then the assets remaining would be </w:t>
      </w:r>
      <w:r>
        <w:t xml:space="preserve">at least </w:t>
      </w:r>
      <w:r w:rsidRPr="00964AF1">
        <w:t xml:space="preserve">sufficient to provide for the central estimate of the </w:t>
      </w:r>
      <w:r>
        <w:t xml:space="preserve">insurance </w:t>
      </w:r>
      <w:r w:rsidRPr="00964AF1">
        <w:t>liabilities</w:t>
      </w:r>
      <w:r>
        <w:t xml:space="preserve"> and other liabilities at the end of the year. The other liabilities to be provided for exclude those liabilities that satisfy the criteria for inclusion in the capital base.</w:t>
      </w:r>
    </w:p>
    <w:p w14:paraId="2166DF5D" w14:textId="77777777" w:rsidR="0090341D" w:rsidRPr="00A21006" w:rsidRDefault="0090341D" w:rsidP="0090341D">
      <w:pPr>
        <w:pStyle w:val="Heading4"/>
        <w:spacing w:before="120" w:after="240"/>
        <w:jc w:val="both"/>
        <w:rPr>
          <w:rFonts w:ascii="Arial" w:hAnsi="Arial" w:cs="Arial"/>
          <w:b w:val="0"/>
          <w:sz w:val="24"/>
          <w:szCs w:val="26"/>
        </w:rPr>
      </w:pPr>
      <w:r w:rsidRPr="00B35269">
        <w:rPr>
          <w:rFonts w:ascii="Arial" w:hAnsi="Arial" w:cs="Arial"/>
          <w:b w:val="0"/>
          <w:sz w:val="24"/>
          <w:szCs w:val="26"/>
        </w:rPr>
        <w:t>Insurance Risk Charge</w:t>
      </w:r>
    </w:p>
    <w:p w14:paraId="2166DF5E" w14:textId="1DBF8F4A" w:rsidR="0090341D" w:rsidRPr="00964AF1" w:rsidRDefault="0090341D" w:rsidP="000369F0">
      <w:pPr>
        <w:pStyle w:val="BodyText"/>
      </w:pPr>
      <w:r>
        <w:t xml:space="preserve">The Insurance Risk Charge relates to the risk that the value of net insurance liabilities </w:t>
      </w:r>
      <w:r w:rsidRPr="00964AF1">
        <w:t xml:space="preserve">determined in accordance with </w:t>
      </w:r>
      <w:r w:rsidRPr="00964AF1">
        <w:rPr>
          <w:i/>
        </w:rPr>
        <w:t xml:space="preserve">Prudential Standard GPS </w:t>
      </w:r>
      <w:r w:rsidR="0058346F" w:rsidRPr="00964AF1">
        <w:rPr>
          <w:i/>
        </w:rPr>
        <w:t>3</w:t>
      </w:r>
      <w:r w:rsidR="0058346F">
        <w:rPr>
          <w:i/>
        </w:rPr>
        <w:t>4</w:t>
      </w:r>
      <w:r w:rsidR="0058346F" w:rsidRPr="00964AF1">
        <w:rPr>
          <w:i/>
        </w:rPr>
        <w:t xml:space="preserve">0 </w:t>
      </w:r>
      <w:r w:rsidR="0058346F" w:rsidRPr="0058346F">
        <w:rPr>
          <w:i/>
        </w:rPr>
        <w:t>Insurance Liability Valuation</w:t>
      </w:r>
      <w:r w:rsidR="0058346F" w:rsidRPr="0058346F" w:rsidDel="0058346F">
        <w:rPr>
          <w:i/>
        </w:rPr>
        <w:t xml:space="preserve"> </w:t>
      </w:r>
      <w:r w:rsidRPr="00964AF1">
        <w:t>(</w:t>
      </w:r>
      <w:r w:rsidRPr="00147C58">
        <w:t>GPS 3</w:t>
      </w:r>
      <w:r w:rsidR="0058346F">
        <w:t>4</w:t>
      </w:r>
      <w:r w:rsidRPr="00147C58">
        <w:t>0</w:t>
      </w:r>
      <w:r w:rsidRPr="00964AF1">
        <w:t>)</w:t>
      </w:r>
      <w:r>
        <w:t xml:space="preserve"> is insufficient to cover associated net claim payments and associated claim expenses as they fall due. </w:t>
      </w:r>
      <w:r w:rsidRPr="00964AF1">
        <w:t>The method for determining the Insurance Risk Charge is set out in </w:t>
      </w:r>
      <w:r w:rsidRPr="00964AF1">
        <w:rPr>
          <w:i/>
        </w:rPr>
        <w:t>Prudential Standard GPS 115 Capital Adequacy: Insurance Risk Charge</w:t>
      </w:r>
      <w:r w:rsidRPr="00964AF1">
        <w:t>.</w:t>
      </w:r>
    </w:p>
    <w:p w14:paraId="2166DF5F" w14:textId="77777777" w:rsidR="0090341D" w:rsidRPr="00A21006" w:rsidRDefault="0090341D" w:rsidP="0090341D">
      <w:pPr>
        <w:pStyle w:val="Heading4"/>
        <w:spacing w:before="120" w:after="240"/>
        <w:jc w:val="both"/>
        <w:rPr>
          <w:rFonts w:ascii="Arial" w:hAnsi="Arial" w:cs="Arial"/>
          <w:b w:val="0"/>
          <w:sz w:val="24"/>
          <w:szCs w:val="26"/>
        </w:rPr>
      </w:pPr>
      <w:r w:rsidRPr="00B35269">
        <w:rPr>
          <w:rFonts w:ascii="Arial" w:hAnsi="Arial" w:cs="Arial"/>
          <w:b w:val="0"/>
          <w:sz w:val="24"/>
          <w:szCs w:val="26"/>
        </w:rPr>
        <w:t>Insurance Concentration Risk Charge</w:t>
      </w:r>
    </w:p>
    <w:p w14:paraId="2166DF60" w14:textId="77777777" w:rsidR="0090341D" w:rsidRPr="00964AF1" w:rsidRDefault="0090341D" w:rsidP="000369F0">
      <w:pPr>
        <w:pStyle w:val="BodyText"/>
      </w:pPr>
      <w:r w:rsidRPr="00964AF1">
        <w:t xml:space="preserve">The Insurance Concentration Risk Charge for a regulated institution represents the net financial impact on the regulated institution from either a single large event, or </w:t>
      </w:r>
      <w:r w:rsidRPr="00964AF1">
        <w:lastRenderedPageBreak/>
        <w:t xml:space="preserve">a series of smaller events, within a one year period. The determination of the </w:t>
      </w:r>
      <w:r>
        <w:t xml:space="preserve">Insurance Concentration Risk Charge </w:t>
      </w:r>
      <w:r w:rsidRPr="00964AF1">
        <w:t xml:space="preserve">is based on the formulae and requirements set out in </w:t>
      </w:r>
      <w:r w:rsidRPr="00964AF1">
        <w:rPr>
          <w:i/>
        </w:rPr>
        <w:t xml:space="preserve">Prudential Standard GPS 116 Capital Adequacy: Insurance Concentration Risk </w:t>
      </w:r>
      <w:r w:rsidRPr="00147C58">
        <w:rPr>
          <w:i/>
        </w:rPr>
        <w:t>Charge</w:t>
      </w:r>
      <w:r w:rsidRPr="00147C58">
        <w:t xml:space="preserve"> (GPS 116</w:t>
      </w:r>
      <w:r w:rsidRPr="00964AF1">
        <w:t xml:space="preserve">). For </w:t>
      </w:r>
      <w:r w:rsidRPr="008239E4">
        <w:rPr>
          <w:b/>
        </w:rPr>
        <w:t>lenders mortgage insurers</w:t>
      </w:r>
      <w:r w:rsidRPr="00964AF1">
        <w:t>, additional requirements for calculating the Insurance Concentration Risk Charge are also set out in GPS 116.</w:t>
      </w:r>
    </w:p>
    <w:p w14:paraId="2166DF61" w14:textId="77777777" w:rsidR="0090341D" w:rsidRPr="00A21006" w:rsidRDefault="0090341D" w:rsidP="0090341D">
      <w:pPr>
        <w:pStyle w:val="Heading4"/>
        <w:spacing w:before="120" w:after="240"/>
        <w:jc w:val="both"/>
        <w:rPr>
          <w:rFonts w:ascii="Arial" w:hAnsi="Arial" w:cs="Arial"/>
          <w:b w:val="0"/>
          <w:sz w:val="24"/>
          <w:szCs w:val="26"/>
        </w:rPr>
      </w:pPr>
      <w:r w:rsidRPr="00B35269">
        <w:rPr>
          <w:rFonts w:ascii="Arial" w:hAnsi="Arial" w:cs="Arial"/>
          <w:b w:val="0"/>
          <w:sz w:val="24"/>
          <w:szCs w:val="26"/>
        </w:rPr>
        <w:t>Asset Risk Charge</w:t>
      </w:r>
    </w:p>
    <w:p w14:paraId="2166DF62" w14:textId="77777777" w:rsidR="0090341D" w:rsidRPr="00964AF1" w:rsidRDefault="0090341D" w:rsidP="000369F0">
      <w:pPr>
        <w:pStyle w:val="BodyText"/>
        <w:rPr>
          <w:i/>
        </w:rPr>
      </w:pPr>
      <w:r w:rsidRPr="00964AF1">
        <w:t xml:space="preserve">The Asset Risk Charge relates to the risk of adverse movements in the value of a regulated institution’s on-balance sheet </w:t>
      </w:r>
      <w:r>
        <w:t>and</w:t>
      </w:r>
      <w:r w:rsidRPr="00964AF1">
        <w:t xml:space="preserve"> off-balance sheet exposures. The method for determining the Asset Risk Charge is set out in </w:t>
      </w:r>
      <w:r w:rsidRPr="00964AF1">
        <w:rPr>
          <w:i/>
        </w:rPr>
        <w:t xml:space="preserve">Prudential Standard GPS 114 Capital Adequacy: Asset Risk Charge </w:t>
      </w:r>
      <w:r w:rsidRPr="00147C58">
        <w:t>(GPS 114)</w:t>
      </w:r>
      <w:r w:rsidRPr="00147C58">
        <w:rPr>
          <w:i/>
        </w:rPr>
        <w:t>.</w:t>
      </w:r>
      <w:r w:rsidRPr="00147C58">
        <w:t xml:space="preserve"> Asset risk can be derived from a number of sources, including market risk and credit risk. For the purposes of this Prudential Standard and GPS 114, assets and exposures must be valued in accordance with the relevant reporting standards made under the </w:t>
      </w:r>
      <w:r w:rsidRPr="00147C58">
        <w:rPr>
          <w:i/>
        </w:rPr>
        <w:t xml:space="preserve">Financial Sector (Collection of Data) Act 2001 </w:t>
      </w:r>
      <w:r w:rsidRPr="00147C58">
        <w:t>(Collection of Data Act</w:t>
      </w:r>
      <w:r w:rsidRPr="006F0BDE">
        <w:t>)</w:t>
      </w:r>
      <w:r w:rsidRPr="00964AF1">
        <w:rPr>
          <w:i/>
        </w:rPr>
        <w:t xml:space="preserve">. </w:t>
      </w:r>
    </w:p>
    <w:p w14:paraId="2166DF63" w14:textId="77777777" w:rsidR="0090341D" w:rsidRPr="00A21006" w:rsidRDefault="0090341D" w:rsidP="0090341D">
      <w:pPr>
        <w:pStyle w:val="Heading4"/>
        <w:spacing w:before="120" w:after="240"/>
        <w:jc w:val="both"/>
        <w:rPr>
          <w:rFonts w:ascii="Arial" w:hAnsi="Arial" w:cs="Arial"/>
          <w:b w:val="0"/>
          <w:sz w:val="24"/>
          <w:szCs w:val="26"/>
        </w:rPr>
      </w:pPr>
      <w:r w:rsidRPr="00B35269">
        <w:rPr>
          <w:rFonts w:ascii="Arial" w:hAnsi="Arial" w:cs="Arial"/>
          <w:b w:val="0"/>
          <w:sz w:val="24"/>
          <w:szCs w:val="26"/>
        </w:rPr>
        <w:t>Asset Concentration Risk Charge</w:t>
      </w:r>
    </w:p>
    <w:p w14:paraId="2166DF64" w14:textId="77777777" w:rsidR="0090341D" w:rsidRPr="00964AF1" w:rsidRDefault="0090341D" w:rsidP="000369F0">
      <w:pPr>
        <w:pStyle w:val="BodyText"/>
      </w:pPr>
      <w:r w:rsidRPr="00964AF1">
        <w:t xml:space="preserve">The Asset Concentration Risk Charge relates to the risk resulting from concentrations in individual assets or large exposures to individual counterparties or groups of related counterparties. The method for determining </w:t>
      </w:r>
      <w:r>
        <w:t xml:space="preserve">the </w:t>
      </w:r>
      <w:r w:rsidRPr="00964AF1">
        <w:t xml:space="preserve">Asset Concentration Risk Charge is set out in </w:t>
      </w:r>
      <w:r w:rsidRPr="00964AF1">
        <w:rPr>
          <w:i/>
        </w:rPr>
        <w:t>Prudential Standard GPS 117 Capital Adequacy: Asset Concentration Risk Charge</w:t>
      </w:r>
      <w:r w:rsidRPr="00964AF1">
        <w:t>.</w:t>
      </w:r>
    </w:p>
    <w:p w14:paraId="2166DF65" w14:textId="77777777" w:rsidR="0090341D" w:rsidRPr="00A21006" w:rsidRDefault="0090341D" w:rsidP="0090341D">
      <w:pPr>
        <w:pStyle w:val="Heading4"/>
        <w:spacing w:before="120" w:after="240"/>
        <w:jc w:val="both"/>
        <w:rPr>
          <w:rFonts w:ascii="Arial" w:hAnsi="Arial" w:cs="Arial"/>
          <w:b w:val="0"/>
          <w:sz w:val="24"/>
          <w:szCs w:val="26"/>
        </w:rPr>
      </w:pPr>
      <w:r w:rsidRPr="00B35269">
        <w:rPr>
          <w:rFonts w:ascii="Arial" w:hAnsi="Arial" w:cs="Arial"/>
          <w:b w:val="0"/>
          <w:sz w:val="24"/>
          <w:szCs w:val="26"/>
        </w:rPr>
        <w:t>Operational Risk Charge</w:t>
      </w:r>
    </w:p>
    <w:p w14:paraId="2166DF66" w14:textId="77777777" w:rsidR="0090341D" w:rsidRPr="00964AF1" w:rsidRDefault="0090341D" w:rsidP="000369F0">
      <w:pPr>
        <w:pStyle w:val="BodyText"/>
      </w:pPr>
      <w:r w:rsidRPr="00964AF1">
        <w:t xml:space="preserve">The Operational Risk Charge relates to the risk of loss resulting from inadequate or failed internal processes, people and systems or from external events. The method for determining the Operational Risk Charge is set out in </w:t>
      </w:r>
      <w:r w:rsidRPr="00964AF1">
        <w:rPr>
          <w:i/>
        </w:rPr>
        <w:t>Prudential Standard GPS 118 Capital Adequacy: Operational Risk Charge</w:t>
      </w:r>
      <w:r w:rsidRPr="00964AF1">
        <w:t>.</w:t>
      </w:r>
    </w:p>
    <w:p w14:paraId="2166DF67" w14:textId="77777777" w:rsidR="0090341D" w:rsidRPr="00A21006" w:rsidRDefault="0090341D" w:rsidP="0090341D">
      <w:pPr>
        <w:pStyle w:val="Heading4"/>
        <w:spacing w:before="120" w:after="240"/>
        <w:jc w:val="both"/>
        <w:rPr>
          <w:rFonts w:ascii="Arial" w:hAnsi="Arial" w:cs="Arial"/>
          <w:b w:val="0"/>
          <w:sz w:val="24"/>
          <w:szCs w:val="26"/>
        </w:rPr>
      </w:pPr>
      <w:r w:rsidRPr="00B35269">
        <w:rPr>
          <w:rFonts w:ascii="Arial" w:hAnsi="Arial" w:cs="Arial"/>
          <w:b w:val="0"/>
          <w:sz w:val="24"/>
          <w:szCs w:val="26"/>
        </w:rPr>
        <w:lastRenderedPageBreak/>
        <w:t>Aggregation benefit</w:t>
      </w:r>
    </w:p>
    <w:p w14:paraId="2166DF68" w14:textId="77777777" w:rsidR="0090341D" w:rsidRPr="00964AF1" w:rsidRDefault="0090341D" w:rsidP="000369F0">
      <w:pPr>
        <w:pStyle w:val="BodyText"/>
      </w:pPr>
      <w:bookmarkStart w:id="8" w:name="_Ref333862998"/>
      <w:r w:rsidRPr="00964AF1">
        <w:t>The aggregation benefit makes an explicit allowance for diversification between asset risk and the sum of insurance risk and insurance concentration risk in the calculation of the prescribed capital amount.</w:t>
      </w:r>
      <w:bookmarkEnd w:id="8"/>
      <w:r w:rsidRPr="00964AF1">
        <w:t xml:space="preserve"> </w:t>
      </w:r>
    </w:p>
    <w:p w14:paraId="2166DF69" w14:textId="77777777" w:rsidR="0090341D" w:rsidRPr="00964AF1" w:rsidRDefault="0090341D" w:rsidP="000369F0">
      <w:pPr>
        <w:pStyle w:val="BodyText"/>
      </w:pPr>
      <w:r w:rsidRPr="00964AF1">
        <w:t>The aggregation benefit formula is:</w:t>
      </w:r>
    </w:p>
    <w:p w14:paraId="2166DF6A" w14:textId="77777777" w:rsidR="0090341D" w:rsidRPr="004B3CB6" w:rsidRDefault="0090341D" w:rsidP="0090341D">
      <w:pPr>
        <w:tabs>
          <w:tab w:val="left" w:pos="567"/>
        </w:tabs>
        <w:ind w:left="567"/>
        <w:jc w:val="both"/>
        <w:rPr>
          <w:rFonts w:ascii="Cambria Math" w:hAnsi="Cambria Math"/>
          <w:szCs w:val="24"/>
        </w:rPr>
      </w:pPr>
      <m:oMathPara>
        <m:oMathParaPr>
          <m:jc m:val="left"/>
        </m:oMathParaPr>
        <m:oMath>
          <m:r>
            <m:rPr>
              <m:sty m:val="p"/>
            </m:rPr>
            <w:rPr>
              <w:rFonts w:ascii="Cambria Math" w:hAnsi="Cambria Math"/>
              <w:szCs w:val="24"/>
            </w:rPr>
            <m:t>Aggregation benefit =</m:t>
          </m:r>
          <m:d>
            <m:dPr>
              <m:ctrlPr>
                <w:rPr>
                  <w:rFonts w:ascii="Cambria Math" w:hAnsi="Cambria Math"/>
                  <w:szCs w:val="24"/>
                </w:rPr>
              </m:ctrlPr>
            </m:dPr>
            <m:e>
              <m:r>
                <m:rPr>
                  <m:sty m:val="p"/>
                </m:rPr>
                <w:rPr>
                  <w:rFonts w:ascii="Cambria Math" w:hAnsi="Cambria Math"/>
                  <w:szCs w:val="24"/>
                </w:rPr>
                <m:t>A+I</m:t>
              </m:r>
            </m:e>
          </m:d>
          <m:r>
            <m:rPr>
              <m:sty m:val="p"/>
            </m:rPr>
            <w:rPr>
              <w:rFonts w:ascii="Cambria Math" w:hAnsi="Cambria Math"/>
              <w:szCs w:val="24"/>
            </w:rPr>
            <m:t xml:space="preserve">- </m:t>
          </m:r>
          <m:rad>
            <m:radPr>
              <m:degHide m:val="1"/>
              <m:ctrlPr>
                <w:rPr>
                  <w:rFonts w:ascii="Cambria Math" w:hAnsi="Cambria Math"/>
                  <w:szCs w:val="24"/>
                </w:rPr>
              </m:ctrlPr>
            </m:radPr>
            <m:deg/>
            <m:e>
              <m:sSup>
                <m:sSupPr>
                  <m:ctrlPr>
                    <w:rPr>
                      <w:rFonts w:ascii="Cambria Math" w:hAnsi="Cambria Math"/>
                      <w:szCs w:val="24"/>
                    </w:rPr>
                  </m:ctrlPr>
                </m:sSupPr>
                <m:e>
                  <m:r>
                    <m:rPr>
                      <m:sty m:val="p"/>
                    </m:rPr>
                    <w:rPr>
                      <w:rFonts w:ascii="Cambria Math" w:hAnsi="Cambria Math"/>
                      <w:szCs w:val="24"/>
                    </w:rPr>
                    <m:t>A</m:t>
                  </m:r>
                </m:e>
                <m:sup>
                  <m:r>
                    <m:rPr>
                      <m:sty m:val="p"/>
                    </m:rPr>
                    <w:rPr>
                      <w:rFonts w:ascii="Cambria Math" w:hAnsi="Cambria Math"/>
                      <w:szCs w:val="24"/>
                    </w:rPr>
                    <m:t>2</m:t>
                  </m:r>
                </m:sup>
              </m:sSup>
              <m:r>
                <m:rPr>
                  <m:sty m:val="p"/>
                </m:rPr>
                <w:rPr>
                  <w:rFonts w:ascii="Cambria Math" w:hAnsi="Cambria Math"/>
                  <w:szCs w:val="24"/>
                </w:rPr>
                <m:t xml:space="preserve">+ </m:t>
              </m:r>
              <m:sSup>
                <m:sSupPr>
                  <m:ctrlPr>
                    <w:rPr>
                      <w:rFonts w:ascii="Cambria Math" w:hAnsi="Cambria Math"/>
                      <w:szCs w:val="24"/>
                    </w:rPr>
                  </m:ctrlPr>
                </m:sSupPr>
                <m:e>
                  <m:r>
                    <m:rPr>
                      <m:sty m:val="p"/>
                    </m:rPr>
                    <w:rPr>
                      <w:rFonts w:ascii="Cambria Math" w:hAnsi="Cambria Math"/>
                      <w:szCs w:val="24"/>
                    </w:rPr>
                    <m:t>I</m:t>
                  </m:r>
                </m:e>
                <m:sup>
                  <m:r>
                    <m:rPr>
                      <m:sty m:val="p"/>
                    </m:rPr>
                    <w:rPr>
                      <w:rFonts w:ascii="Cambria Math" w:hAnsi="Cambria Math"/>
                      <w:szCs w:val="24"/>
                    </w:rPr>
                    <m:t>2</m:t>
                  </m:r>
                </m:sup>
              </m:sSup>
              <m:r>
                <m:rPr>
                  <m:sty m:val="p"/>
                </m:rPr>
                <w:rPr>
                  <w:rFonts w:ascii="Cambria Math" w:hAnsi="Cambria Math"/>
                  <w:szCs w:val="24"/>
                </w:rPr>
                <m:t xml:space="preserve">+ 2 </m:t>
              </m:r>
              <m:r>
                <m:rPr>
                  <m:sty m:val="p"/>
                </m:rPr>
                <w:rPr>
                  <w:rFonts w:ascii="Cambria Math" w:hAnsi="Cambria Math" w:hint="eastAsia"/>
                  <w:szCs w:val="24"/>
                </w:rPr>
                <m:t>×</m:t>
              </m:r>
              <m:r>
                <m:rPr>
                  <m:sty m:val="p"/>
                </m:rPr>
                <w:rPr>
                  <w:rFonts w:ascii="Cambria Math" w:hAnsi="Cambria Math"/>
                  <w:szCs w:val="24"/>
                </w:rPr>
                <m:t xml:space="preserve">correlation </m:t>
              </m:r>
              <m:r>
                <m:rPr>
                  <m:sty m:val="p"/>
                </m:rPr>
                <w:rPr>
                  <w:rFonts w:ascii="Cambria Math" w:hAnsi="Cambria Math" w:hint="eastAsia"/>
                  <w:szCs w:val="24"/>
                </w:rPr>
                <m:t>×</m:t>
              </m:r>
              <m:r>
                <m:rPr>
                  <m:sty m:val="p"/>
                </m:rPr>
                <w:rPr>
                  <w:rFonts w:ascii="Cambria Math" w:hAnsi="Cambria Math"/>
                  <w:szCs w:val="24"/>
                </w:rPr>
                <m:t xml:space="preserve">A </m:t>
              </m:r>
              <m:r>
                <m:rPr>
                  <m:sty m:val="p"/>
                </m:rPr>
                <w:rPr>
                  <w:rFonts w:ascii="Cambria Math" w:hAnsi="Cambria Math" w:hint="eastAsia"/>
                  <w:szCs w:val="24"/>
                </w:rPr>
                <m:t>×</m:t>
              </m:r>
              <m:r>
                <m:rPr>
                  <m:sty m:val="p"/>
                </m:rPr>
                <w:rPr>
                  <w:rFonts w:ascii="Cambria Math" w:hAnsi="Cambria Math"/>
                  <w:szCs w:val="24"/>
                </w:rPr>
                <m:t>I</m:t>
              </m:r>
            </m:e>
          </m:rad>
        </m:oMath>
      </m:oMathPara>
    </w:p>
    <w:p w14:paraId="2166DF6B" w14:textId="77777777" w:rsidR="0090341D" w:rsidRPr="00964AF1" w:rsidRDefault="0090341D" w:rsidP="0090341D">
      <w:pPr>
        <w:jc w:val="both"/>
        <w:rPr>
          <w:szCs w:val="24"/>
        </w:rPr>
      </w:pPr>
    </w:p>
    <w:p w14:paraId="2166DF6C" w14:textId="77777777" w:rsidR="0090341D" w:rsidRPr="00964AF1" w:rsidRDefault="0090341D" w:rsidP="0090341D">
      <w:pPr>
        <w:ind w:left="567"/>
        <w:jc w:val="both"/>
        <w:rPr>
          <w:szCs w:val="24"/>
        </w:rPr>
      </w:pPr>
      <w:r w:rsidRPr="00964AF1">
        <w:rPr>
          <w:szCs w:val="24"/>
        </w:rPr>
        <w:t>where:</w:t>
      </w:r>
    </w:p>
    <w:p w14:paraId="2166DF6D" w14:textId="77777777" w:rsidR="0090341D" w:rsidRPr="00964AF1" w:rsidRDefault="0090341D" w:rsidP="0090341D">
      <w:pPr>
        <w:ind w:left="567"/>
        <w:jc w:val="both"/>
        <w:rPr>
          <w:szCs w:val="24"/>
        </w:rPr>
      </w:pPr>
    </w:p>
    <w:p w14:paraId="2166DF6E" w14:textId="77777777" w:rsidR="0090341D" w:rsidRPr="00964AF1" w:rsidRDefault="0090341D" w:rsidP="00E81D82">
      <w:pPr>
        <w:pStyle w:val="ListParagraph"/>
        <w:numPr>
          <w:ilvl w:val="0"/>
          <w:numId w:val="18"/>
        </w:numPr>
        <w:ind w:left="1134" w:hanging="567"/>
        <w:jc w:val="both"/>
        <w:rPr>
          <w:szCs w:val="24"/>
        </w:rPr>
      </w:pPr>
      <w:r w:rsidRPr="00964AF1">
        <w:rPr>
          <w:szCs w:val="24"/>
        </w:rPr>
        <w:t xml:space="preserve">‘A’ is the Asset Risk Charge; </w:t>
      </w:r>
    </w:p>
    <w:p w14:paraId="2166DF6F" w14:textId="77777777" w:rsidR="0090341D" w:rsidRPr="00964AF1" w:rsidRDefault="0090341D" w:rsidP="00E81D82">
      <w:pPr>
        <w:pStyle w:val="ListParagraph"/>
        <w:numPr>
          <w:ilvl w:val="0"/>
          <w:numId w:val="18"/>
        </w:numPr>
        <w:ind w:left="1134" w:hanging="567"/>
        <w:jc w:val="both"/>
        <w:rPr>
          <w:szCs w:val="24"/>
        </w:rPr>
      </w:pPr>
      <w:r w:rsidRPr="00964AF1">
        <w:rPr>
          <w:szCs w:val="24"/>
        </w:rPr>
        <w:t>‘I’ is the sum of the Insurance Risk Charge and Insurance Concentration Risk Charge; and</w:t>
      </w:r>
    </w:p>
    <w:p w14:paraId="2166DF70" w14:textId="77777777" w:rsidR="0090341D" w:rsidRPr="00964AF1" w:rsidRDefault="0090341D" w:rsidP="00E81D82">
      <w:pPr>
        <w:pStyle w:val="ListParagraph"/>
        <w:numPr>
          <w:ilvl w:val="0"/>
          <w:numId w:val="18"/>
        </w:numPr>
        <w:ind w:left="1134" w:hanging="567"/>
        <w:jc w:val="both"/>
        <w:rPr>
          <w:szCs w:val="24"/>
        </w:rPr>
      </w:pPr>
      <w:r w:rsidRPr="00964AF1">
        <w:rPr>
          <w:szCs w:val="24"/>
        </w:rPr>
        <w:t>‘correlation’ is:</w:t>
      </w:r>
    </w:p>
    <w:p w14:paraId="2166DF71" w14:textId="77777777" w:rsidR="0090341D" w:rsidRPr="00964AF1" w:rsidRDefault="0090341D" w:rsidP="00E81D82">
      <w:pPr>
        <w:pStyle w:val="ListParagraph"/>
        <w:numPr>
          <w:ilvl w:val="0"/>
          <w:numId w:val="19"/>
        </w:numPr>
        <w:ind w:left="1701" w:hanging="567"/>
        <w:jc w:val="both"/>
        <w:rPr>
          <w:szCs w:val="24"/>
        </w:rPr>
      </w:pPr>
      <w:r>
        <w:rPr>
          <w:szCs w:val="24"/>
        </w:rPr>
        <w:t>20 per cent</w:t>
      </w:r>
      <w:r w:rsidRPr="00964AF1">
        <w:rPr>
          <w:szCs w:val="24"/>
        </w:rPr>
        <w:t xml:space="preserve"> for all </w:t>
      </w:r>
      <w:r>
        <w:rPr>
          <w:szCs w:val="24"/>
        </w:rPr>
        <w:t>insurers</w:t>
      </w:r>
      <w:r w:rsidRPr="00964AF1">
        <w:rPr>
          <w:szCs w:val="24"/>
        </w:rPr>
        <w:t xml:space="preserve"> except </w:t>
      </w:r>
      <w:r w:rsidRPr="008239E4">
        <w:rPr>
          <w:szCs w:val="24"/>
        </w:rPr>
        <w:t>lenders mortgage insurers</w:t>
      </w:r>
      <w:r w:rsidRPr="00964AF1">
        <w:rPr>
          <w:szCs w:val="24"/>
        </w:rPr>
        <w:t xml:space="preserve">; </w:t>
      </w:r>
    </w:p>
    <w:p w14:paraId="2166DF72" w14:textId="77777777" w:rsidR="0090341D" w:rsidRPr="00CB38FC" w:rsidRDefault="0090341D" w:rsidP="00E81D82">
      <w:pPr>
        <w:pStyle w:val="ListParagraph"/>
        <w:numPr>
          <w:ilvl w:val="0"/>
          <w:numId w:val="20"/>
        </w:numPr>
        <w:ind w:left="1701" w:hanging="567"/>
        <w:jc w:val="both"/>
        <w:rPr>
          <w:szCs w:val="24"/>
        </w:rPr>
      </w:pPr>
      <w:r>
        <w:rPr>
          <w:szCs w:val="24"/>
        </w:rPr>
        <w:t>50 per cent</w:t>
      </w:r>
      <w:r w:rsidRPr="00964AF1">
        <w:rPr>
          <w:szCs w:val="24"/>
        </w:rPr>
        <w:t xml:space="preserve"> for </w:t>
      </w:r>
      <w:r w:rsidRPr="00CB38FC">
        <w:rPr>
          <w:szCs w:val="24"/>
        </w:rPr>
        <w:t>lenders mortgage insurers</w:t>
      </w:r>
      <w:r>
        <w:rPr>
          <w:szCs w:val="24"/>
        </w:rPr>
        <w:t>; or</w:t>
      </w:r>
    </w:p>
    <w:p w14:paraId="2166DF73" w14:textId="77777777" w:rsidR="0090341D" w:rsidRPr="00CB38FC" w:rsidRDefault="0090341D" w:rsidP="00E81D82">
      <w:pPr>
        <w:pStyle w:val="ListParagraph"/>
        <w:numPr>
          <w:ilvl w:val="0"/>
          <w:numId w:val="20"/>
        </w:numPr>
        <w:ind w:left="1701" w:hanging="567"/>
        <w:jc w:val="both"/>
        <w:rPr>
          <w:szCs w:val="24"/>
        </w:rPr>
      </w:pPr>
      <w:r w:rsidRPr="00F149B6">
        <w:rPr>
          <w:rFonts w:cs="Today SB"/>
          <w:color w:val="000000"/>
          <w:szCs w:val="24"/>
        </w:rPr>
        <w:t>the weighted average of the factors in sub-paragraphs (i) and (ii) for Level 2 insurance groups. The weighting of the factors must be by the size of the insurance risk charges for the non-lenders mortgage insurance and lenders mortgage insurance business, respectively</w:t>
      </w:r>
      <w:r w:rsidRPr="00CB38FC">
        <w:rPr>
          <w:szCs w:val="24"/>
        </w:rPr>
        <w:t xml:space="preserve">. </w:t>
      </w:r>
    </w:p>
    <w:p w14:paraId="2166DF74" w14:textId="77777777" w:rsidR="0090341D" w:rsidRPr="00CB38FC" w:rsidRDefault="0090341D" w:rsidP="000369F0">
      <w:pPr>
        <w:pStyle w:val="BodyText"/>
      </w:pPr>
      <w:r>
        <w:t>The Asset Concentration Risk Charge and the Operational Risk Charge are not included in the calculation of the aggregation benefit.</w:t>
      </w:r>
    </w:p>
    <w:p w14:paraId="2166DF75" w14:textId="77777777" w:rsidR="0090341D" w:rsidRPr="00A21006" w:rsidRDefault="0090341D" w:rsidP="0090341D">
      <w:pPr>
        <w:pStyle w:val="Heading"/>
        <w:spacing w:before="120" w:after="240"/>
        <w:jc w:val="both"/>
        <w:rPr>
          <w:rFonts w:ascii="Arial" w:hAnsi="Arial" w:cs="Arial"/>
          <w:b w:val="0"/>
          <w:bCs/>
          <w:i/>
          <w:sz w:val="24"/>
          <w:szCs w:val="26"/>
        </w:rPr>
      </w:pPr>
      <w:r w:rsidRPr="00B35269">
        <w:rPr>
          <w:rFonts w:ascii="Arial" w:hAnsi="Arial" w:cs="Arial"/>
          <w:b w:val="0"/>
          <w:bCs/>
          <w:i/>
          <w:sz w:val="24"/>
          <w:szCs w:val="26"/>
        </w:rPr>
        <w:t xml:space="preserve">APRA may adjust the Standard Method for calculating the prescribed capital amount </w:t>
      </w:r>
    </w:p>
    <w:p w14:paraId="2166DF76" w14:textId="77777777" w:rsidR="0090341D" w:rsidRPr="00964AF1" w:rsidRDefault="0090341D" w:rsidP="000369F0">
      <w:pPr>
        <w:pStyle w:val="BodyText"/>
        <w:rPr>
          <w:rFonts w:ascii="Arial" w:hAnsi="Arial" w:cs="Arial"/>
          <w:b/>
        </w:rPr>
      </w:pPr>
      <w:bookmarkStart w:id="9" w:name="_Ref325976452"/>
      <w:r w:rsidRPr="00964AF1">
        <w:lastRenderedPageBreak/>
        <w:t xml:space="preserve">If APRA is of the view that the </w:t>
      </w:r>
      <w:r>
        <w:t>S</w:t>
      </w:r>
      <w:r w:rsidRPr="00964AF1">
        <w:t xml:space="preserve">tandard </w:t>
      </w:r>
      <w:r>
        <w:t>M</w:t>
      </w:r>
      <w:r w:rsidRPr="00964AF1">
        <w:t xml:space="preserve">ethod for calculating the </w:t>
      </w:r>
      <w:r w:rsidRPr="001D4ACE">
        <w:t>prescribed capital amount</w:t>
      </w:r>
      <w:r w:rsidRPr="00964AF1">
        <w:t xml:space="preserve"> does not produce an appropriate outcome in respect of a regulated institution, </w:t>
      </w:r>
      <w:r w:rsidRPr="00EB1DF3">
        <w:t xml:space="preserve">or a </w:t>
      </w:r>
      <w:r>
        <w:t>regulated institution</w:t>
      </w:r>
      <w:r w:rsidRPr="00EB1DF3">
        <w:t xml:space="preserve"> has used inappropriate judgement or estimation in calculating the prescribed capital amount, </w:t>
      </w:r>
      <w:r w:rsidRPr="00964AF1">
        <w:t>APRA may</w:t>
      </w:r>
      <w:r w:rsidRPr="00204399">
        <w:t>, in writing, adjust any aspect of the prescribed capital amount calculation for that regulated institution</w:t>
      </w:r>
      <w:r w:rsidRPr="00964AF1">
        <w:t xml:space="preserve">. </w:t>
      </w:r>
      <w:r w:rsidRPr="00EB1DF3">
        <w:t xml:space="preserve">If such an adjustment is applied to a </w:t>
      </w:r>
      <w:r>
        <w:t xml:space="preserve">regulated institution </w:t>
      </w:r>
      <w:r w:rsidRPr="00EB1DF3">
        <w:t xml:space="preserve">under this paragraph, </w:t>
      </w:r>
      <w:r>
        <w:t>the regulated institution</w:t>
      </w:r>
      <w:r w:rsidRPr="00EB1DF3">
        <w:t xml:space="preserve"> must comply with the adjusted calculation.</w:t>
      </w:r>
      <w:bookmarkEnd w:id="9"/>
      <w:r w:rsidRPr="00EB1DF3">
        <w:t xml:space="preserve">  </w:t>
      </w:r>
    </w:p>
    <w:p w14:paraId="2166DF77" w14:textId="77777777" w:rsidR="0090341D" w:rsidRPr="00964AF1" w:rsidRDefault="0090341D" w:rsidP="0090341D">
      <w:pPr>
        <w:pStyle w:val="Heading"/>
        <w:spacing w:before="120" w:after="240"/>
        <w:jc w:val="both"/>
        <w:rPr>
          <w:rFonts w:ascii="Arial" w:hAnsi="Arial"/>
          <w:bCs/>
          <w:sz w:val="24"/>
          <w:szCs w:val="24"/>
        </w:rPr>
      </w:pPr>
      <w:r w:rsidRPr="00964AF1">
        <w:rPr>
          <w:rFonts w:ascii="Arial" w:hAnsi="Arial"/>
          <w:bCs/>
          <w:sz w:val="24"/>
          <w:szCs w:val="24"/>
        </w:rPr>
        <w:t>Internal Model-based Method</w:t>
      </w:r>
    </w:p>
    <w:p w14:paraId="2166DF78" w14:textId="77777777" w:rsidR="0090341D" w:rsidRPr="00964AF1" w:rsidRDefault="0090341D" w:rsidP="000369F0">
      <w:pPr>
        <w:pStyle w:val="BodyText"/>
      </w:pPr>
      <w:r w:rsidRPr="00964AF1">
        <w:t xml:space="preserve">A regulated institution may use </w:t>
      </w:r>
      <w:r>
        <w:t>its ow</w:t>
      </w:r>
      <w:r w:rsidRPr="00964AF1">
        <w:t>n internal capital measurement model to calculate the prescribed capital amount. Use of the IMB Method is conditional on APRA’s approval</w:t>
      </w:r>
      <w:r>
        <w:t>.</w:t>
      </w:r>
      <w:r w:rsidRPr="00964AF1">
        <w:rPr>
          <w:rStyle w:val="FootnoteReference"/>
        </w:rPr>
        <w:footnoteReference w:id="4"/>
      </w:r>
      <w:r w:rsidRPr="00964AF1">
        <w:t xml:space="preserve"> APRA approval requires a regulated institution to satisfy a range of criteria, as set out in </w:t>
      </w:r>
      <w:r w:rsidRPr="00964AF1">
        <w:rPr>
          <w:i/>
        </w:rPr>
        <w:t>Prudential Standard GPS 113 Capital Adequacy: Internal Model-based Method</w:t>
      </w:r>
      <w:r w:rsidRPr="00964AF1">
        <w:t xml:space="preserve"> (</w:t>
      </w:r>
      <w:r w:rsidRPr="00147C58">
        <w:t>GPS 113</w:t>
      </w:r>
      <w:r w:rsidRPr="00964AF1">
        <w:t xml:space="preserve">). Regulated institutions </w:t>
      </w:r>
      <w:r>
        <w:t>that</w:t>
      </w:r>
      <w:r w:rsidRPr="00964AF1">
        <w:t xml:space="preserve"> do not use an internal model that meets the criteria specified in GPS 113 must use the Standard Method described </w:t>
      </w:r>
      <w:r>
        <w:t>in this Prudential Standard</w:t>
      </w:r>
      <w:r w:rsidRPr="00964AF1">
        <w:t>.</w:t>
      </w:r>
    </w:p>
    <w:p w14:paraId="2166DF79" w14:textId="77777777" w:rsidR="0090341D" w:rsidRPr="00964AF1" w:rsidRDefault="0090341D" w:rsidP="0090341D">
      <w:pPr>
        <w:pStyle w:val="Heading"/>
        <w:spacing w:before="120" w:after="240"/>
        <w:jc w:val="both"/>
        <w:rPr>
          <w:rFonts w:ascii="Arial" w:hAnsi="Arial"/>
          <w:bCs/>
          <w:sz w:val="24"/>
          <w:szCs w:val="24"/>
        </w:rPr>
      </w:pPr>
      <w:r w:rsidRPr="00964AF1">
        <w:rPr>
          <w:rFonts w:ascii="Arial" w:hAnsi="Arial"/>
          <w:bCs/>
          <w:sz w:val="24"/>
          <w:szCs w:val="24"/>
        </w:rPr>
        <w:t>Supervisory adjustment</w:t>
      </w:r>
    </w:p>
    <w:p w14:paraId="2166DF7A" w14:textId="77777777" w:rsidR="0090341D" w:rsidRPr="00964AF1" w:rsidRDefault="0090341D" w:rsidP="000369F0">
      <w:pPr>
        <w:pStyle w:val="BodyText"/>
      </w:pPr>
      <w:bookmarkStart w:id="10" w:name="_Ref309734998"/>
      <w:r w:rsidRPr="00964AF1">
        <w:t xml:space="preserve">APRA recognises that any measure </w:t>
      </w:r>
      <w:r>
        <w:t xml:space="preserve">of the adequacy </w:t>
      </w:r>
      <w:r w:rsidRPr="00964AF1">
        <w:t>of a regulated institution’s capital</w:t>
      </w:r>
      <w:r>
        <w:t xml:space="preserve"> </w:t>
      </w:r>
      <w:r w:rsidRPr="00964AF1">
        <w:t>involves judgement and estimation</w:t>
      </w:r>
      <w:r>
        <w:t xml:space="preserve">, including </w:t>
      </w:r>
      <w:r w:rsidRPr="00964AF1">
        <w:t>quantification of risks that may be difficult to quantify. If APRA is of the view that there are prudential reasons for doing so, APRA may, in writing, determine a supervisory adjustment to be included in the PCR of the regulated institution.</w:t>
      </w:r>
      <w:bookmarkEnd w:id="10"/>
      <w:r w:rsidRPr="00964AF1">
        <w:t xml:space="preserve"> </w:t>
      </w:r>
    </w:p>
    <w:p w14:paraId="2166DF7B" w14:textId="77777777" w:rsidR="0090341D" w:rsidRPr="00964AF1" w:rsidRDefault="0090341D" w:rsidP="0090341D">
      <w:pPr>
        <w:pStyle w:val="Heading"/>
        <w:spacing w:before="120" w:after="240"/>
        <w:jc w:val="both"/>
        <w:rPr>
          <w:rFonts w:ascii="Arial" w:hAnsi="Arial"/>
          <w:bCs/>
          <w:sz w:val="24"/>
          <w:szCs w:val="24"/>
        </w:rPr>
      </w:pPr>
      <w:r w:rsidRPr="00964AF1">
        <w:rPr>
          <w:rFonts w:ascii="Arial" w:hAnsi="Arial"/>
          <w:bCs/>
          <w:sz w:val="24"/>
          <w:szCs w:val="24"/>
        </w:rPr>
        <w:t>Category C insurers</w:t>
      </w:r>
    </w:p>
    <w:p w14:paraId="2166DF7C" w14:textId="74AF58D7" w:rsidR="0090341D" w:rsidRPr="00964AF1" w:rsidRDefault="0090341D" w:rsidP="000369F0">
      <w:pPr>
        <w:pStyle w:val="BodyText"/>
      </w:pPr>
      <w:bookmarkStart w:id="11" w:name="_Ref309734981"/>
      <w:r w:rsidRPr="00964AF1">
        <w:t xml:space="preserve">By the nature of its Australian balance sheet, a </w:t>
      </w:r>
      <w:r w:rsidRPr="00964AF1">
        <w:rPr>
          <w:b/>
        </w:rPr>
        <w:t>Category C insurer</w:t>
      </w:r>
      <w:r w:rsidRPr="00964AF1">
        <w:t xml:space="preserve"> will not typically have capital instruments of the type specified in GPS 112. Category C insurers are </w:t>
      </w:r>
      <w:r w:rsidRPr="00964AF1">
        <w:lastRenderedPageBreak/>
        <w:t>nevertheless required to meet a variant of the PCR. Specifically, Category C insurers are required to maintain assets in Australia</w:t>
      </w:r>
      <w:r w:rsidRPr="00964AF1">
        <w:rPr>
          <w:rStyle w:val="FootnoteReference"/>
        </w:rPr>
        <w:footnoteReference w:id="5"/>
      </w:r>
      <w:r w:rsidRPr="00964AF1">
        <w:t xml:space="preserve"> that exceed their liabilities in Australia (adjusted for any surplus or deficit of technical provisions as required by GPS</w:t>
      </w:r>
      <w:r w:rsidR="0040509E">
        <w:t xml:space="preserve"> </w:t>
      </w:r>
      <w:r w:rsidR="004F5ECF">
        <w:t>340</w:t>
      </w:r>
      <w:r w:rsidRPr="00964AF1">
        <w:t>) (</w:t>
      </w:r>
      <w:r>
        <w:t xml:space="preserve">adjusted </w:t>
      </w:r>
      <w:r w:rsidRPr="00147C58">
        <w:t>net assets in Australia</w:t>
      </w:r>
      <w:r w:rsidRPr="00964AF1">
        <w:t>) by an amount that is greater than the PCR determined by this Prudential Standard.</w:t>
      </w:r>
      <w:bookmarkEnd w:id="11"/>
      <w:r w:rsidRPr="00964AF1">
        <w:t xml:space="preserve">  </w:t>
      </w:r>
    </w:p>
    <w:p w14:paraId="2166DF7D" w14:textId="37CB49AB" w:rsidR="0090341D" w:rsidRPr="00964AF1" w:rsidRDefault="0090341D" w:rsidP="000369F0">
      <w:pPr>
        <w:pStyle w:val="BodyText"/>
      </w:pPr>
      <w:bookmarkStart w:id="12" w:name="_Ref324335904"/>
      <w:r w:rsidRPr="00964AF1">
        <w:t>References to the capital base of a regulated institution elsewhere in this Prudential Standard are, where they are being applied to a Category C insurer, to be read as referring to ‘</w:t>
      </w:r>
      <w:r>
        <w:t xml:space="preserve">adjusted </w:t>
      </w:r>
      <w:r w:rsidRPr="00964AF1">
        <w:t>net assets in Australia’ of that insurer.</w:t>
      </w:r>
      <w:bookmarkEnd w:id="12"/>
    </w:p>
    <w:p w14:paraId="2166DF7E" w14:textId="0507E782" w:rsidR="0090341D" w:rsidRPr="00964AF1" w:rsidRDefault="0090341D" w:rsidP="000369F0">
      <w:pPr>
        <w:pStyle w:val="BodyText"/>
      </w:pPr>
      <w:bookmarkStart w:id="13" w:name="_Ref309734988"/>
      <w:r w:rsidRPr="00964AF1">
        <w:t xml:space="preserve">For further detail regarding the treatment of Category C insurers, refer to </w:t>
      </w:r>
      <w:r w:rsidRPr="00964AF1">
        <w:rPr>
          <w:i/>
        </w:rPr>
        <w:t>Prudential Standard GPS 120</w:t>
      </w:r>
      <w:r w:rsidRPr="00964AF1">
        <w:t xml:space="preserve"> </w:t>
      </w:r>
      <w:r w:rsidRPr="00964AF1">
        <w:rPr>
          <w:i/>
        </w:rPr>
        <w:t>Assets in Australia</w:t>
      </w:r>
      <w:r w:rsidRPr="00964AF1">
        <w:t>.</w:t>
      </w:r>
      <w:bookmarkEnd w:id="13"/>
    </w:p>
    <w:p w14:paraId="2166DF7F" w14:textId="77777777" w:rsidR="0090341D" w:rsidRPr="00964AF1" w:rsidRDefault="0090341D" w:rsidP="0090341D">
      <w:pPr>
        <w:pStyle w:val="Heading"/>
        <w:spacing w:before="120" w:after="240"/>
        <w:jc w:val="both"/>
        <w:rPr>
          <w:rFonts w:ascii="Arial" w:hAnsi="Arial"/>
          <w:bCs/>
          <w:sz w:val="24"/>
          <w:szCs w:val="24"/>
        </w:rPr>
      </w:pPr>
      <w:r w:rsidRPr="00964AF1">
        <w:rPr>
          <w:rFonts w:ascii="Arial" w:hAnsi="Arial"/>
          <w:bCs/>
          <w:sz w:val="24"/>
          <w:szCs w:val="24"/>
        </w:rPr>
        <w:t>Disclosure</w:t>
      </w:r>
    </w:p>
    <w:p w14:paraId="2166DF80" w14:textId="77777777" w:rsidR="0090341D" w:rsidRPr="00964AF1" w:rsidRDefault="0090341D" w:rsidP="000369F0">
      <w:pPr>
        <w:pStyle w:val="BodyText"/>
      </w:pPr>
      <w:bookmarkStart w:id="14" w:name="_Ref309735063"/>
      <w:r w:rsidRPr="00964AF1">
        <w:t xml:space="preserve">To improve </w:t>
      </w:r>
      <w:r>
        <w:t xml:space="preserve">the </w:t>
      </w:r>
      <w:r w:rsidRPr="00964AF1">
        <w:t>understanding of its capital adequacy position</w:t>
      </w:r>
      <w:r>
        <w:t xml:space="preserve"> by policyholders and other market participants</w:t>
      </w:r>
      <w:r w:rsidRPr="00964AF1">
        <w:t>, a regulated institution must publish, at least annually, the following items:</w:t>
      </w:r>
      <w:bookmarkEnd w:id="14"/>
    </w:p>
    <w:p w14:paraId="2166DF81" w14:textId="77777777" w:rsidR="0090341D" w:rsidRPr="00964AF1" w:rsidRDefault="0090341D" w:rsidP="00E81D82">
      <w:pPr>
        <w:pStyle w:val="ListParagraph"/>
        <w:numPr>
          <w:ilvl w:val="0"/>
          <w:numId w:val="11"/>
        </w:numPr>
        <w:ind w:left="1134" w:hanging="567"/>
        <w:jc w:val="both"/>
        <w:rPr>
          <w:szCs w:val="24"/>
        </w:rPr>
      </w:pPr>
      <w:r w:rsidRPr="00964AF1">
        <w:rPr>
          <w:szCs w:val="24"/>
        </w:rPr>
        <w:t xml:space="preserve">the amount of </w:t>
      </w:r>
      <w:r w:rsidRPr="00496D52">
        <w:rPr>
          <w:b/>
          <w:szCs w:val="24"/>
        </w:rPr>
        <w:t xml:space="preserve">Common </w:t>
      </w:r>
      <w:r>
        <w:rPr>
          <w:b/>
          <w:szCs w:val="24"/>
        </w:rPr>
        <w:t>E</w:t>
      </w:r>
      <w:r w:rsidRPr="00496D52">
        <w:rPr>
          <w:b/>
          <w:szCs w:val="24"/>
        </w:rPr>
        <w:t>quity Tier 1</w:t>
      </w:r>
      <w:r w:rsidRPr="00964AF1">
        <w:rPr>
          <w:szCs w:val="24"/>
        </w:rPr>
        <w:t xml:space="preserve"> </w:t>
      </w:r>
      <w:r>
        <w:rPr>
          <w:b/>
          <w:szCs w:val="24"/>
        </w:rPr>
        <w:t>C</w:t>
      </w:r>
      <w:r w:rsidRPr="00F149B6">
        <w:rPr>
          <w:b/>
          <w:szCs w:val="24"/>
        </w:rPr>
        <w:t>apital</w:t>
      </w:r>
      <w:r w:rsidRPr="00964AF1">
        <w:rPr>
          <w:szCs w:val="24"/>
        </w:rPr>
        <w:t>;</w:t>
      </w:r>
    </w:p>
    <w:p w14:paraId="2166DF82" w14:textId="77777777" w:rsidR="0090341D" w:rsidRPr="00964AF1" w:rsidRDefault="0090341D" w:rsidP="00E81D82">
      <w:pPr>
        <w:pStyle w:val="ListParagraph"/>
        <w:numPr>
          <w:ilvl w:val="0"/>
          <w:numId w:val="11"/>
        </w:numPr>
        <w:ind w:left="1134" w:hanging="567"/>
        <w:jc w:val="both"/>
        <w:rPr>
          <w:szCs w:val="24"/>
        </w:rPr>
      </w:pPr>
      <w:r w:rsidRPr="00964AF1">
        <w:rPr>
          <w:szCs w:val="24"/>
        </w:rPr>
        <w:t xml:space="preserve">the aggregate amount of any </w:t>
      </w:r>
      <w:r>
        <w:rPr>
          <w:szCs w:val="24"/>
        </w:rPr>
        <w:t xml:space="preserve">regulatory </w:t>
      </w:r>
      <w:r>
        <w:t xml:space="preserve">adjustments applied in the calculation of </w:t>
      </w:r>
      <w:r>
        <w:rPr>
          <w:szCs w:val="24"/>
        </w:rPr>
        <w:t>C</w:t>
      </w:r>
      <w:r w:rsidRPr="00964AF1">
        <w:rPr>
          <w:szCs w:val="24"/>
        </w:rPr>
        <w:t xml:space="preserve">ommon </w:t>
      </w:r>
      <w:r>
        <w:rPr>
          <w:szCs w:val="24"/>
        </w:rPr>
        <w:t>E</w:t>
      </w:r>
      <w:r w:rsidRPr="00964AF1">
        <w:rPr>
          <w:szCs w:val="24"/>
        </w:rPr>
        <w:t xml:space="preserve">quity Tier 1 </w:t>
      </w:r>
      <w:r>
        <w:rPr>
          <w:szCs w:val="24"/>
        </w:rPr>
        <w:t>C</w:t>
      </w:r>
      <w:r w:rsidRPr="00964AF1">
        <w:rPr>
          <w:szCs w:val="24"/>
        </w:rPr>
        <w:t>apital;</w:t>
      </w:r>
    </w:p>
    <w:p w14:paraId="2166DF83" w14:textId="77777777" w:rsidR="0090341D" w:rsidRPr="00964AF1" w:rsidRDefault="0090341D" w:rsidP="00E81D82">
      <w:pPr>
        <w:pStyle w:val="ListParagraph"/>
        <w:numPr>
          <w:ilvl w:val="0"/>
          <w:numId w:val="11"/>
        </w:numPr>
        <w:ind w:left="1134" w:hanging="567"/>
        <w:jc w:val="both"/>
        <w:rPr>
          <w:szCs w:val="24"/>
        </w:rPr>
      </w:pPr>
      <w:r w:rsidRPr="00964AF1">
        <w:rPr>
          <w:szCs w:val="24"/>
        </w:rPr>
        <w:t xml:space="preserve">the amount of </w:t>
      </w:r>
      <w:r w:rsidRPr="00496D52">
        <w:rPr>
          <w:b/>
          <w:szCs w:val="24"/>
        </w:rPr>
        <w:t>Additional Tier 1</w:t>
      </w:r>
      <w:r w:rsidRPr="00964AF1">
        <w:rPr>
          <w:szCs w:val="24"/>
        </w:rPr>
        <w:t xml:space="preserve"> </w:t>
      </w:r>
      <w:r>
        <w:rPr>
          <w:b/>
          <w:szCs w:val="24"/>
        </w:rPr>
        <w:t>C</w:t>
      </w:r>
      <w:r w:rsidRPr="00F149B6">
        <w:rPr>
          <w:b/>
          <w:szCs w:val="24"/>
        </w:rPr>
        <w:t>apital</w:t>
      </w:r>
      <w:r w:rsidRPr="00964AF1">
        <w:rPr>
          <w:szCs w:val="24"/>
        </w:rPr>
        <w:t>;</w:t>
      </w:r>
    </w:p>
    <w:p w14:paraId="2166DF84" w14:textId="77777777" w:rsidR="0090341D" w:rsidRPr="00964AF1" w:rsidRDefault="0090341D" w:rsidP="00E81D82">
      <w:pPr>
        <w:pStyle w:val="ListParagraph"/>
        <w:numPr>
          <w:ilvl w:val="0"/>
          <w:numId w:val="11"/>
        </w:numPr>
        <w:ind w:left="1134" w:hanging="567"/>
        <w:jc w:val="both"/>
        <w:rPr>
          <w:szCs w:val="24"/>
        </w:rPr>
      </w:pPr>
      <w:r w:rsidRPr="00964AF1">
        <w:rPr>
          <w:szCs w:val="24"/>
        </w:rPr>
        <w:t>the aggregate amount of any</w:t>
      </w:r>
      <w:r>
        <w:rPr>
          <w:szCs w:val="24"/>
        </w:rPr>
        <w:t xml:space="preserve"> regulatory</w:t>
      </w:r>
      <w:r w:rsidRPr="00964AF1">
        <w:rPr>
          <w:szCs w:val="24"/>
        </w:rPr>
        <w:t xml:space="preserve"> </w:t>
      </w:r>
      <w:r>
        <w:t xml:space="preserve">adjustments applied in the calculation of </w:t>
      </w:r>
      <w:r>
        <w:rPr>
          <w:szCs w:val="24"/>
        </w:rPr>
        <w:t>A</w:t>
      </w:r>
      <w:r w:rsidRPr="00964AF1">
        <w:rPr>
          <w:szCs w:val="24"/>
        </w:rPr>
        <w:t xml:space="preserve">dditional Tier 1 </w:t>
      </w:r>
      <w:r>
        <w:rPr>
          <w:szCs w:val="24"/>
        </w:rPr>
        <w:t>C</w:t>
      </w:r>
      <w:r w:rsidRPr="00964AF1">
        <w:rPr>
          <w:szCs w:val="24"/>
        </w:rPr>
        <w:t>apital;</w:t>
      </w:r>
    </w:p>
    <w:p w14:paraId="2166DF85" w14:textId="77777777" w:rsidR="0090341D" w:rsidRPr="00964AF1" w:rsidRDefault="0090341D" w:rsidP="00E81D82">
      <w:pPr>
        <w:pStyle w:val="ListParagraph"/>
        <w:numPr>
          <w:ilvl w:val="0"/>
          <w:numId w:val="11"/>
        </w:numPr>
        <w:ind w:left="1134" w:hanging="567"/>
        <w:jc w:val="both"/>
        <w:rPr>
          <w:szCs w:val="24"/>
        </w:rPr>
      </w:pPr>
      <w:r w:rsidRPr="00964AF1">
        <w:rPr>
          <w:szCs w:val="24"/>
        </w:rPr>
        <w:t xml:space="preserve">the amount of </w:t>
      </w:r>
      <w:r w:rsidRPr="00496D52">
        <w:rPr>
          <w:b/>
          <w:szCs w:val="24"/>
        </w:rPr>
        <w:t xml:space="preserve">Tier 2 </w:t>
      </w:r>
      <w:r>
        <w:rPr>
          <w:b/>
          <w:szCs w:val="24"/>
        </w:rPr>
        <w:t>C</w:t>
      </w:r>
      <w:r w:rsidRPr="00496D52">
        <w:rPr>
          <w:b/>
          <w:szCs w:val="24"/>
        </w:rPr>
        <w:t>apital</w:t>
      </w:r>
      <w:r w:rsidRPr="00964AF1">
        <w:rPr>
          <w:szCs w:val="24"/>
        </w:rPr>
        <w:t>;</w:t>
      </w:r>
    </w:p>
    <w:p w14:paraId="2166DF86" w14:textId="77777777" w:rsidR="0090341D" w:rsidRPr="00964AF1" w:rsidRDefault="0090341D" w:rsidP="00E81D82">
      <w:pPr>
        <w:pStyle w:val="ListParagraph"/>
        <w:numPr>
          <w:ilvl w:val="0"/>
          <w:numId w:val="11"/>
        </w:numPr>
        <w:ind w:left="1134" w:hanging="567"/>
        <w:jc w:val="both"/>
        <w:rPr>
          <w:szCs w:val="24"/>
        </w:rPr>
      </w:pPr>
      <w:r w:rsidRPr="00964AF1">
        <w:rPr>
          <w:szCs w:val="24"/>
        </w:rPr>
        <w:lastRenderedPageBreak/>
        <w:t>the aggregate amount of any</w:t>
      </w:r>
      <w:r>
        <w:rPr>
          <w:szCs w:val="24"/>
        </w:rPr>
        <w:t xml:space="preserve"> regulatory</w:t>
      </w:r>
      <w:r w:rsidRPr="00964AF1">
        <w:rPr>
          <w:szCs w:val="24"/>
        </w:rPr>
        <w:t xml:space="preserve"> </w:t>
      </w:r>
      <w:r>
        <w:t>adjustments applied in the calculation of</w:t>
      </w:r>
      <w:r w:rsidRPr="00964AF1">
        <w:rPr>
          <w:szCs w:val="24"/>
        </w:rPr>
        <w:t xml:space="preserve"> Tier 2 </w:t>
      </w:r>
      <w:r>
        <w:rPr>
          <w:szCs w:val="24"/>
        </w:rPr>
        <w:t>C</w:t>
      </w:r>
      <w:r w:rsidRPr="00964AF1">
        <w:rPr>
          <w:szCs w:val="24"/>
        </w:rPr>
        <w:t>apital;</w:t>
      </w:r>
    </w:p>
    <w:p w14:paraId="2166DF87" w14:textId="77777777" w:rsidR="0090341D" w:rsidRPr="00964AF1" w:rsidRDefault="0090341D" w:rsidP="00E81D82">
      <w:pPr>
        <w:pStyle w:val="ListParagraph"/>
        <w:numPr>
          <w:ilvl w:val="0"/>
          <w:numId w:val="11"/>
        </w:numPr>
        <w:ind w:left="1134" w:hanging="567"/>
        <w:jc w:val="both"/>
        <w:rPr>
          <w:szCs w:val="24"/>
        </w:rPr>
      </w:pPr>
      <w:r>
        <w:rPr>
          <w:szCs w:val="24"/>
        </w:rPr>
        <w:t xml:space="preserve">the </w:t>
      </w:r>
      <w:r w:rsidRPr="00964AF1">
        <w:rPr>
          <w:szCs w:val="24"/>
        </w:rPr>
        <w:t>total capital base derived from the items (a) to (f);</w:t>
      </w:r>
    </w:p>
    <w:p w14:paraId="2166DF88" w14:textId="77777777" w:rsidR="0090341D" w:rsidRPr="00964AF1" w:rsidRDefault="0090341D" w:rsidP="00E81D82">
      <w:pPr>
        <w:pStyle w:val="ListParagraph"/>
        <w:numPr>
          <w:ilvl w:val="0"/>
          <w:numId w:val="11"/>
        </w:numPr>
        <w:ind w:left="1134" w:hanging="567"/>
        <w:jc w:val="both"/>
        <w:rPr>
          <w:szCs w:val="24"/>
        </w:rPr>
      </w:pPr>
      <w:r>
        <w:rPr>
          <w:szCs w:val="24"/>
        </w:rPr>
        <w:t>the</w:t>
      </w:r>
      <w:r w:rsidRPr="00964AF1">
        <w:rPr>
          <w:szCs w:val="24"/>
        </w:rPr>
        <w:t xml:space="preserve"> prescribed capital amount;</w:t>
      </w:r>
    </w:p>
    <w:p w14:paraId="2166DF89" w14:textId="77777777" w:rsidR="0090341D" w:rsidRPr="00964AF1" w:rsidRDefault="0090341D" w:rsidP="00E81D82">
      <w:pPr>
        <w:pStyle w:val="ListParagraph"/>
        <w:numPr>
          <w:ilvl w:val="0"/>
          <w:numId w:val="11"/>
        </w:numPr>
        <w:ind w:left="1134" w:hanging="567"/>
        <w:jc w:val="both"/>
        <w:rPr>
          <w:szCs w:val="24"/>
        </w:rPr>
      </w:pPr>
      <w:r w:rsidRPr="00964AF1">
        <w:rPr>
          <w:szCs w:val="24"/>
        </w:rPr>
        <w:t xml:space="preserve">the components of </w:t>
      </w:r>
      <w:r>
        <w:rPr>
          <w:szCs w:val="24"/>
        </w:rPr>
        <w:t xml:space="preserve">the </w:t>
      </w:r>
      <w:r w:rsidRPr="00964AF1">
        <w:rPr>
          <w:szCs w:val="24"/>
        </w:rPr>
        <w:t>prescribed capital amount</w:t>
      </w:r>
      <w:r>
        <w:rPr>
          <w:rStyle w:val="FootnoteReference"/>
          <w:szCs w:val="24"/>
        </w:rPr>
        <w:footnoteReference w:id="6"/>
      </w:r>
      <w:r w:rsidRPr="00964AF1">
        <w:rPr>
          <w:szCs w:val="24"/>
        </w:rPr>
        <w:t>; and</w:t>
      </w:r>
    </w:p>
    <w:p w14:paraId="2166DF8A" w14:textId="77777777" w:rsidR="0090341D" w:rsidRPr="00964AF1" w:rsidRDefault="0090341D" w:rsidP="00E81D82">
      <w:pPr>
        <w:pStyle w:val="ListParagraph"/>
        <w:numPr>
          <w:ilvl w:val="0"/>
          <w:numId w:val="11"/>
        </w:numPr>
        <w:ind w:left="1134" w:hanging="567"/>
        <w:jc w:val="both"/>
        <w:rPr>
          <w:szCs w:val="24"/>
        </w:rPr>
      </w:pPr>
      <w:r>
        <w:rPr>
          <w:szCs w:val="24"/>
        </w:rPr>
        <w:t xml:space="preserve">the </w:t>
      </w:r>
      <w:r w:rsidRPr="00964AF1">
        <w:rPr>
          <w:szCs w:val="24"/>
        </w:rPr>
        <w:t>capital adequacy multiple (item (g) divided by item (h)).</w:t>
      </w:r>
    </w:p>
    <w:p w14:paraId="2166DF8B" w14:textId="77777777" w:rsidR="0090341D" w:rsidRPr="00964AF1" w:rsidRDefault="0090341D" w:rsidP="000369F0">
      <w:pPr>
        <w:pStyle w:val="BodyText"/>
      </w:pPr>
      <w:bookmarkStart w:id="15" w:name="_Ref309735074"/>
      <w:r w:rsidRPr="00964AF1">
        <w:t xml:space="preserve">A regulated institution must publish the information specified in paragraph </w:t>
      </w:r>
      <w:r w:rsidR="00EF23D2">
        <w:fldChar w:fldCharType="begin"/>
      </w:r>
      <w:r>
        <w:instrText xml:space="preserve"> REF _Ref309735063 \r \h </w:instrText>
      </w:r>
      <w:r w:rsidR="00EF23D2">
        <w:fldChar w:fldCharType="separate"/>
      </w:r>
      <w:r w:rsidR="00E00455">
        <w:t>40</w:t>
      </w:r>
      <w:r w:rsidR="00EF23D2">
        <w:fldChar w:fldCharType="end"/>
      </w:r>
      <w:r w:rsidRPr="00964AF1">
        <w:t xml:space="preserve">  so that it is readily accessible to both policyholders and other market participants.</w:t>
      </w:r>
      <w:bookmarkEnd w:id="15"/>
    </w:p>
    <w:p w14:paraId="2166DF8C" w14:textId="77777777" w:rsidR="0090341D" w:rsidRPr="00964AF1" w:rsidRDefault="0090341D" w:rsidP="000369F0">
      <w:pPr>
        <w:pStyle w:val="BodyText"/>
      </w:pPr>
      <w:r w:rsidRPr="00964AF1">
        <w:t xml:space="preserve">A regulated institution must not disclose any supervisory adjustment </w:t>
      </w:r>
      <w:r>
        <w:t xml:space="preserve">determined by APRA in accordance with paragraph </w:t>
      </w:r>
      <w:r w:rsidR="00EF23D2">
        <w:fldChar w:fldCharType="begin"/>
      </w:r>
      <w:r>
        <w:instrText xml:space="preserve"> REF _Ref309734998 \r \h </w:instrText>
      </w:r>
      <w:r w:rsidR="00EF23D2">
        <w:fldChar w:fldCharType="separate"/>
      </w:r>
      <w:r w:rsidR="00E00455">
        <w:t>36</w:t>
      </w:r>
      <w:r w:rsidR="00EF23D2">
        <w:fldChar w:fldCharType="end"/>
      </w:r>
      <w:r w:rsidRPr="00964AF1">
        <w:t>.</w:t>
      </w:r>
    </w:p>
    <w:p w14:paraId="2166DF8D" w14:textId="77777777" w:rsidR="0090341D" w:rsidRPr="00964AF1" w:rsidRDefault="0090341D" w:rsidP="000369F0">
      <w:pPr>
        <w:pStyle w:val="BodyText"/>
      </w:pPr>
      <w:r w:rsidRPr="00964AF1">
        <w:t xml:space="preserve">Compliance with paragraphs </w:t>
      </w:r>
      <w:r w:rsidR="00EF23D2">
        <w:fldChar w:fldCharType="begin"/>
      </w:r>
      <w:r>
        <w:instrText xml:space="preserve"> REF _Ref309735063 \r \h </w:instrText>
      </w:r>
      <w:r w:rsidR="00EF23D2">
        <w:fldChar w:fldCharType="separate"/>
      </w:r>
      <w:r w:rsidR="00E00455">
        <w:t>40</w:t>
      </w:r>
      <w:r w:rsidR="00EF23D2">
        <w:fldChar w:fldCharType="end"/>
      </w:r>
      <w:r w:rsidRPr="00964AF1">
        <w:t xml:space="preserve"> and </w:t>
      </w:r>
      <w:r w:rsidR="00EF23D2">
        <w:fldChar w:fldCharType="begin"/>
      </w:r>
      <w:r>
        <w:instrText xml:space="preserve"> REF _Ref309735074 \r \h </w:instrText>
      </w:r>
      <w:r w:rsidR="00EF23D2">
        <w:fldChar w:fldCharType="separate"/>
      </w:r>
      <w:r w:rsidR="00E00455">
        <w:t>41</w:t>
      </w:r>
      <w:r w:rsidR="00EF23D2">
        <w:fldChar w:fldCharType="end"/>
      </w:r>
      <w:r w:rsidRPr="00964AF1">
        <w:t xml:space="preserve"> by Level 2 insurance groups does not replace the obligation of insurers to comply with the disclosure requirements of this Prudential Standard. However, the parent entity of the Level 2 insurance group may make the disclosures required by this Prudential Standard on behalf of each insurer within the group. </w:t>
      </w:r>
    </w:p>
    <w:p w14:paraId="2166DF8E" w14:textId="77777777" w:rsidR="0090341D" w:rsidRPr="00964AF1" w:rsidRDefault="0090341D" w:rsidP="0090341D">
      <w:pPr>
        <w:keepNext/>
        <w:spacing w:before="120" w:after="240"/>
        <w:jc w:val="both"/>
        <w:outlineLvl w:val="2"/>
        <w:rPr>
          <w:rFonts w:ascii="Arial" w:hAnsi="Arial" w:cs="Arial"/>
          <w:b/>
          <w:bCs/>
          <w:szCs w:val="26"/>
        </w:rPr>
      </w:pPr>
      <w:r w:rsidRPr="00964AF1">
        <w:rPr>
          <w:rFonts w:ascii="Arial" w:hAnsi="Arial" w:cs="Arial"/>
          <w:b/>
          <w:bCs/>
          <w:szCs w:val="26"/>
        </w:rPr>
        <w:t>Reductions in capital</w:t>
      </w:r>
      <w:r>
        <w:rPr>
          <w:rFonts w:ascii="Arial" w:hAnsi="Arial" w:cs="Arial"/>
          <w:b/>
          <w:bCs/>
          <w:szCs w:val="26"/>
        </w:rPr>
        <w:t xml:space="preserve"> base</w:t>
      </w:r>
    </w:p>
    <w:p w14:paraId="2166DF8F" w14:textId="77777777" w:rsidR="0090341D" w:rsidRPr="00964AF1" w:rsidRDefault="0090341D" w:rsidP="000369F0">
      <w:pPr>
        <w:pStyle w:val="BodyText"/>
      </w:pPr>
      <w:bookmarkStart w:id="16" w:name="_Ref309735147"/>
      <w:r w:rsidRPr="00964AF1">
        <w:t xml:space="preserve">A regulated institution must obtain APRA’s written </w:t>
      </w:r>
      <w:r>
        <w:t>approval</w:t>
      </w:r>
      <w:r w:rsidRPr="00964AF1">
        <w:t xml:space="preserve"> prior to making any planned reduction in </w:t>
      </w:r>
      <w:r>
        <w:t>the</w:t>
      </w:r>
      <w:r w:rsidRPr="00964AF1">
        <w:t xml:space="preserve"> capital base. </w:t>
      </w:r>
      <w:bookmarkEnd w:id="16"/>
    </w:p>
    <w:p w14:paraId="2166DF90" w14:textId="77777777" w:rsidR="0090341D" w:rsidRPr="00964AF1" w:rsidRDefault="0090341D" w:rsidP="000369F0">
      <w:pPr>
        <w:pStyle w:val="BodyText"/>
      </w:pPr>
      <w:r w:rsidRPr="00964AF1">
        <w:t>A reduction in a regulated institution’s capital base includes:</w:t>
      </w:r>
    </w:p>
    <w:p w14:paraId="2166DF91" w14:textId="77777777" w:rsidR="0090341D" w:rsidRPr="00964AF1" w:rsidRDefault="0090341D" w:rsidP="000369F0">
      <w:pPr>
        <w:pStyle w:val="BodyText"/>
        <w:numPr>
          <w:ilvl w:val="0"/>
          <w:numId w:val="16"/>
        </w:numPr>
      </w:pPr>
      <w:r w:rsidRPr="00DC7E46">
        <w:lastRenderedPageBreak/>
        <w:t xml:space="preserve">a </w:t>
      </w:r>
      <w:r>
        <w:t xml:space="preserve">share </w:t>
      </w:r>
      <w:r w:rsidRPr="00DC7E46">
        <w:t xml:space="preserve">buyback or the redemption, repurchase or repayment of any qualifying Common Equity Tier 1 </w:t>
      </w:r>
      <w:r>
        <w:t>C</w:t>
      </w:r>
      <w:r w:rsidRPr="00DC7E46">
        <w:t xml:space="preserve">apital, Additional Tier 1 </w:t>
      </w:r>
      <w:r>
        <w:t>C</w:t>
      </w:r>
      <w:r w:rsidRPr="00DC7E46">
        <w:t xml:space="preserve">apital and Tier 2 </w:t>
      </w:r>
      <w:r>
        <w:t>C</w:t>
      </w:r>
      <w:r w:rsidRPr="00DC7E46">
        <w:t xml:space="preserve">apital instruments issued by the </w:t>
      </w:r>
      <w:r>
        <w:t>regulated institution</w:t>
      </w:r>
      <w:r w:rsidRPr="00964AF1">
        <w:t xml:space="preserve">; </w:t>
      </w:r>
    </w:p>
    <w:p w14:paraId="2166DF92" w14:textId="77777777" w:rsidR="0090341D" w:rsidRPr="00964AF1" w:rsidRDefault="0090341D" w:rsidP="000369F0">
      <w:pPr>
        <w:pStyle w:val="BodyText"/>
        <w:numPr>
          <w:ilvl w:val="0"/>
          <w:numId w:val="16"/>
        </w:numPr>
      </w:pPr>
      <w:r w:rsidRPr="00964AF1">
        <w:t xml:space="preserve">trading in the regulated institution’s own shares or capital instruments outside of any arrangement agreed upon with APRA in accordance with GPS 112; </w:t>
      </w:r>
      <w:r>
        <w:t>and</w:t>
      </w:r>
    </w:p>
    <w:p w14:paraId="2166DF93" w14:textId="76B4E24C" w:rsidR="0090341D" w:rsidRDefault="0090341D" w:rsidP="000369F0">
      <w:pPr>
        <w:pStyle w:val="BodyText"/>
        <w:numPr>
          <w:ilvl w:val="0"/>
          <w:numId w:val="16"/>
        </w:numPr>
      </w:pPr>
      <w:r>
        <w:t xml:space="preserve">the aggregate amount </w:t>
      </w:r>
      <w:r w:rsidRPr="00964AF1">
        <w:t>of dividend</w:t>
      </w:r>
      <w:r>
        <w:t xml:space="preserve"> payments</w:t>
      </w:r>
      <w:r w:rsidRPr="00964AF1">
        <w:t xml:space="preserve"> on </w:t>
      </w:r>
      <w:r>
        <w:t>ordinary</w:t>
      </w:r>
      <w:r w:rsidRPr="00964AF1">
        <w:t xml:space="preserve"> shares that exceed</w:t>
      </w:r>
      <w:r>
        <w:t>s</w:t>
      </w:r>
      <w:r w:rsidRPr="00964AF1">
        <w:t xml:space="preserve"> </w:t>
      </w:r>
      <w:r w:rsidRPr="000C48F9">
        <w:t xml:space="preserve">a regulated institution’s after-tax earnings (as reported to APRA in the regulated institution’s </w:t>
      </w:r>
      <w:r w:rsidRPr="000C48F9">
        <w:rPr>
          <w:b/>
        </w:rPr>
        <w:t>statutory accounts</w:t>
      </w:r>
      <w:r w:rsidRPr="000C48F9">
        <w:t>)</w:t>
      </w:r>
      <w:r w:rsidRPr="00964AF1">
        <w:t xml:space="preserve">, after </w:t>
      </w:r>
      <w:r>
        <w:t>taking into account</w:t>
      </w:r>
      <w:r w:rsidRPr="00964AF1">
        <w:t xml:space="preserve"> any payments on more senior capital instruments, in the financial year</w:t>
      </w:r>
      <w:r>
        <w:rPr>
          <w:rStyle w:val="FootnoteReference"/>
        </w:rPr>
        <w:footnoteReference w:id="7"/>
      </w:r>
      <w:r w:rsidRPr="00964AF1">
        <w:t xml:space="preserve"> to which they relate</w:t>
      </w:r>
      <w:r>
        <w:t>.</w:t>
      </w:r>
    </w:p>
    <w:p w14:paraId="2166DF94" w14:textId="36B7A352" w:rsidR="0090341D" w:rsidRDefault="0090341D" w:rsidP="000369F0">
      <w:pPr>
        <w:pStyle w:val="BodyText"/>
      </w:pPr>
      <w:bookmarkStart w:id="17" w:name="_Ref309735155"/>
      <w:r w:rsidRPr="00964AF1">
        <w:t xml:space="preserve">A regulated institution proposing a capital reduction must provide APRA with </w:t>
      </w:r>
      <w:r w:rsidRPr="005F0DA4">
        <w:t xml:space="preserve">a forecast showing the projected future capital position </w:t>
      </w:r>
      <w:r>
        <w:t xml:space="preserve">(including PCR) </w:t>
      </w:r>
      <w:r w:rsidRPr="005F0DA4">
        <w:t>after the proposed capital reductions. The forecast shoul</w:t>
      </w:r>
      <w:r>
        <w:t>d extend for at least two years</w:t>
      </w:r>
      <w:r w:rsidRPr="00964AF1">
        <w:t>.</w:t>
      </w:r>
      <w:bookmarkEnd w:id="17"/>
    </w:p>
    <w:p w14:paraId="2166DF95" w14:textId="3F3A2FF3" w:rsidR="0090341D" w:rsidRPr="00EB1DF3" w:rsidRDefault="0090341D" w:rsidP="000369F0">
      <w:pPr>
        <w:pStyle w:val="BodyText"/>
      </w:pPr>
      <w:bookmarkStart w:id="18" w:name="_Ref337457553"/>
      <w:r>
        <w:t>A</w:t>
      </w:r>
      <w:r w:rsidRPr="00EB1DF3">
        <w:t xml:space="preserve"> </w:t>
      </w:r>
      <w:r>
        <w:t>regulated institution</w:t>
      </w:r>
      <w:r w:rsidRPr="00EB1DF3">
        <w:t xml:space="preserve"> must satisfy APRA that its capital base</w:t>
      </w:r>
      <w:r>
        <w:t xml:space="preserve"> </w:t>
      </w:r>
      <w:r w:rsidRPr="00EB1DF3">
        <w:t xml:space="preserve">will remain adequate for its future needs after </w:t>
      </w:r>
      <w:r>
        <w:t>a</w:t>
      </w:r>
      <w:r w:rsidRPr="00EB1DF3">
        <w:t xml:space="preserve"> proposed reduction.</w:t>
      </w:r>
      <w:bookmarkEnd w:id="18"/>
    </w:p>
    <w:p w14:paraId="2166DF96" w14:textId="77777777" w:rsidR="0090341D" w:rsidRPr="00A21006" w:rsidRDefault="0090341D" w:rsidP="0090341D">
      <w:pPr>
        <w:pStyle w:val="Heading4"/>
        <w:spacing w:before="120" w:after="240"/>
        <w:jc w:val="both"/>
        <w:rPr>
          <w:rFonts w:ascii="Arial" w:hAnsi="Arial" w:cs="Arial"/>
          <w:b w:val="0"/>
          <w:sz w:val="24"/>
          <w:szCs w:val="26"/>
        </w:rPr>
      </w:pPr>
      <w:r w:rsidRPr="00B35269">
        <w:rPr>
          <w:rFonts w:ascii="Arial" w:hAnsi="Arial" w:cs="Arial"/>
          <w:b w:val="0"/>
          <w:sz w:val="24"/>
          <w:szCs w:val="26"/>
        </w:rPr>
        <w:t>Reductions in capital for run-off insurers</w:t>
      </w:r>
    </w:p>
    <w:p w14:paraId="2166DF97" w14:textId="77777777" w:rsidR="0090341D" w:rsidRPr="00964AF1" w:rsidRDefault="0090341D" w:rsidP="000369F0">
      <w:pPr>
        <w:pStyle w:val="BodyText"/>
      </w:pPr>
      <w:r w:rsidRPr="00964AF1">
        <w:t xml:space="preserve">This paragraph applies to </w:t>
      </w:r>
      <w:r w:rsidRPr="00964AF1">
        <w:rPr>
          <w:b/>
        </w:rPr>
        <w:t xml:space="preserve">run-off insurers </w:t>
      </w:r>
      <w:r w:rsidRPr="00964AF1">
        <w:t>planning a reduction in capital. The insurer must submit to APRA:</w:t>
      </w:r>
    </w:p>
    <w:p w14:paraId="2166DF98" w14:textId="77777777" w:rsidR="0090341D" w:rsidRPr="00964AF1" w:rsidRDefault="0090341D" w:rsidP="00E81D82">
      <w:pPr>
        <w:pStyle w:val="ListParagraph"/>
        <w:numPr>
          <w:ilvl w:val="0"/>
          <w:numId w:val="12"/>
        </w:numPr>
        <w:ind w:left="1134" w:hanging="567"/>
        <w:jc w:val="both"/>
        <w:rPr>
          <w:szCs w:val="24"/>
        </w:rPr>
      </w:pPr>
      <w:r w:rsidRPr="00964AF1">
        <w:rPr>
          <w:szCs w:val="24"/>
        </w:rPr>
        <w:t>documents clearly setting out and evidencing its current financial position; and</w:t>
      </w:r>
    </w:p>
    <w:p w14:paraId="2166DF99" w14:textId="7EFD2893" w:rsidR="0090341D" w:rsidRPr="00964AF1" w:rsidRDefault="0090341D" w:rsidP="00E81D82">
      <w:pPr>
        <w:pStyle w:val="ListParagraph"/>
        <w:numPr>
          <w:ilvl w:val="0"/>
          <w:numId w:val="12"/>
        </w:numPr>
        <w:ind w:left="1134" w:hanging="567"/>
        <w:jc w:val="both"/>
        <w:rPr>
          <w:szCs w:val="24"/>
        </w:rPr>
      </w:pPr>
      <w:r>
        <w:rPr>
          <w:szCs w:val="24"/>
        </w:rPr>
        <w:t xml:space="preserve">documents setting out the projected capital position </w:t>
      </w:r>
      <w:r w:rsidRPr="00964AF1">
        <w:rPr>
          <w:szCs w:val="24"/>
        </w:rPr>
        <w:t>with insurance liabilities valued in accordance with the methodology set out in GPS</w:t>
      </w:r>
      <w:r w:rsidR="008A77CB">
        <w:rPr>
          <w:szCs w:val="24"/>
        </w:rPr>
        <w:t xml:space="preserve"> </w:t>
      </w:r>
      <w:r w:rsidR="004F5ECF">
        <w:rPr>
          <w:szCs w:val="24"/>
        </w:rPr>
        <w:t>340</w:t>
      </w:r>
      <w:r w:rsidRPr="00964AF1">
        <w:rPr>
          <w:szCs w:val="24"/>
        </w:rPr>
        <w:t xml:space="preserve">, except that the </w:t>
      </w:r>
      <w:r w:rsidRPr="00964AF1">
        <w:rPr>
          <w:szCs w:val="24"/>
        </w:rPr>
        <w:lastRenderedPageBreak/>
        <w:t>valuation must demonstrate that the tangible assets</w:t>
      </w:r>
      <w:r>
        <w:rPr>
          <w:rStyle w:val="FootnoteReference"/>
          <w:szCs w:val="24"/>
        </w:rPr>
        <w:footnoteReference w:id="8"/>
      </w:r>
      <w:r w:rsidRPr="00964AF1">
        <w:rPr>
          <w:szCs w:val="24"/>
        </w:rPr>
        <w:t xml:space="preserve"> of the insurer, after the proposed capital reduction, are sufficient to cover its insurance liabilities to a 99.5 per cent level of sufficiency, plus any other liabilities, as calculated by its </w:t>
      </w:r>
      <w:r w:rsidRPr="00964AF1">
        <w:rPr>
          <w:b/>
          <w:szCs w:val="24"/>
        </w:rPr>
        <w:t>Appointed Actuary</w:t>
      </w:r>
      <w:r w:rsidRPr="00964AF1">
        <w:rPr>
          <w:szCs w:val="24"/>
        </w:rPr>
        <w:t>.</w:t>
      </w:r>
      <w:r w:rsidRPr="00964AF1">
        <w:rPr>
          <w:szCs w:val="24"/>
          <w:vertAlign w:val="superscript"/>
        </w:rPr>
        <w:footnoteReference w:id="9"/>
      </w:r>
    </w:p>
    <w:p w14:paraId="2166DF9A" w14:textId="77777777" w:rsidR="0090341D" w:rsidRPr="00A21006" w:rsidRDefault="0090341D" w:rsidP="0090341D">
      <w:pPr>
        <w:pStyle w:val="Heading4"/>
        <w:spacing w:before="120" w:after="240"/>
        <w:jc w:val="both"/>
        <w:rPr>
          <w:rFonts w:ascii="Arial" w:hAnsi="Arial" w:cs="Arial"/>
          <w:b w:val="0"/>
          <w:sz w:val="24"/>
          <w:szCs w:val="26"/>
        </w:rPr>
      </w:pPr>
      <w:r w:rsidRPr="00B35269">
        <w:rPr>
          <w:rFonts w:ascii="Arial" w:hAnsi="Arial" w:cs="Arial"/>
          <w:b w:val="0"/>
          <w:sz w:val="24"/>
          <w:szCs w:val="26"/>
        </w:rPr>
        <w:t>Category C insurers</w:t>
      </w:r>
    </w:p>
    <w:p w14:paraId="2166DF9B" w14:textId="77777777" w:rsidR="0090341D" w:rsidRPr="00964AF1" w:rsidRDefault="0090341D" w:rsidP="000369F0">
      <w:pPr>
        <w:pStyle w:val="BodyText"/>
      </w:pPr>
      <w:bookmarkStart w:id="19" w:name="_Ref309735162"/>
      <w:r w:rsidRPr="00964AF1">
        <w:t>Any repatriation of assets in Australia, whether direct or indirect</w:t>
      </w:r>
      <w:r w:rsidRPr="00964AF1">
        <w:rPr>
          <w:rStyle w:val="FootnoteReference"/>
        </w:rPr>
        <w:footnoteReference w:id="10"/>
      </w:r>
      <w:r w:rsidRPr="00964AF1">
        <w:t xml:space="preserve">, by a Category C insurer that will result in a reduction in its net assets in Australia must be subject to APRA’s prior consent consistent with the requirements of paragraphs </w:t>
      </w:r>
      <w:r w:rsidR="00EF23D2">
        <w:fldChar w:fldCharType="begin"/>
      </w:r>
      <w:r>
        <w:instrText xml:space="preserve"> REF _Ref309735147 \r \h </w:instrText>
      </w:r>
      <w:r w:rsidR="00EF23D2">
        <w:fldChar w:fldCharType="separate"/>
      </w:r>
      <w:r w:rsidR="00E00455">
        <w:t>44</w:t>
      </w:r>
      <w:r w:rsidR="00EF23D2">
        <w:fldChar w:fldCharType="end"/>
      </w:r>
      <w:r w:rsidRPr="00964AF1">
        <w:t xml:space="preserve"> to</w:t>
      </w:r>
      <w:r>
        <w:t xml:space="preserve"> </w:t>
      </w:r>
      <w:r w:rsidR="00EF23D2">
        <w:fldChar w:fldCharType="begin"/>
      </w:r>
      <w:r>
        <w:instrText xml:space="preserve"> REF _Ref337457553 \r \h </w:instrText>
      </w:r>
      <w:r w:rsidR="00EF23D2">
        <w:fldChar w:fldCharType="separate"/>
      </w:r>
      <w:r w:rsidR="00E00455">
        <w:t>47</w:t>
      </w:r>
      <w:r w:rsidR="00EF23D2">
        <w:fldChar w:fldCharType="end"/>
      </w:r>
      <w:r w:rsidRPr="00964AF1">
        <w:t>.</w:t>
      </w:r>
      <w:bookmarkEnd w:id="19"/>
    </w:p>
    <w:p w14:paraId="2166DF9C" w14:textId="487B3936" w:rsidR="0090341D" w:rsidRPr="00964AF1" w:rsidRDefault="0090341D" w:rsidP="000369F0">
      <w:pPr>
        <w:pStyle w:val="BodyText"/>
      </w:pPr>
      <w:r w:rsidRPr="00964AF1">
        <w:t xml:space="preserve">Paragraph </w:t>
      </w:r>
      <w:r w:rsidR="00EF23D2">
        <w:fldChar w:fldCharType="begin"/>
      </w:r>
      <w:r>
        <w:instrText xml:space="preserve"> REF _Ref309735162 \r \h </w:instrText>
      </w:r>
      <w:r w:rsidR="00EF23D2">
        <w:fldChar w:fldCharType="separate"/>
      </w:r>
      <w:r w:rsidR="00E00455">
        <w:t>49</w:t>
      </w:r>
      <w:r w:rsidR="00EF23D2">
        <w:fldChar w:fldCharType="end"/>
      </w:r>
      <w:r w:rsidRPr="00964AF1">
        <w:t xml:space="preserve"> does not apply to any repatriation of assets in Australia out of the current year profits of a Category C insurer where the assets being repatriated to the head office of the Category C insurer or any other branch or </w:t>
      </w:r>
      <w:r w:rsidRPr="00FC73DD">
        <w:rPr>
          <w:b/>
        </w:rPr>
        <w:t>related entity</w:t>
      </w:r>
      <w:r w:rsidRPr="00964AF1">
        <w:t xml:space="preserve"> of the Category C insurer do not exceed the Category C insurer’s after-tax earnings in the year to which they relate (i.e. a repatriation of assets not wholly or partly funded from retained earnings).</w:t>
      </w:r>
    </w:p>
    <w:p w14:paraId="2166DF9D" w14:textId="77777777" w:rsidR="0090341D" w:rsidRPr="00964AF1" w:rsidRDefault="0090341D" w:rsidP="0090341D">
      <w:pPr>
        <w:pStyle w:val="Heading4"/>
        <w:keepNext w:val="0"/>
        <w:spacing w:before="120" w:after="240"/>
        <w:jc w:val="both"/>
        <w:rPr>
          <w:rFonts w:ascii="Arial" w:hAnsi="Arial" w:cs="Arial"/>
          <w:i w:val="0"/>
          <w:sz w:val="24"/>
          <w:szCs w:val="24"/>
        </w:rPr>
      </w:pPr>
      <w:r w:rsidRPr="00964AF1">
        <w:rPr>
          <w:rFonts w:ascii="Arial" w:hAnsi="Arial" w:cs="Arial"/>
          <w:i w:val="0"/>
          <w:sz w:val="24"/>
          <w:szCs w:val="24"/>
        </w:rPr>
        <w:t>Materiality</w:t>
      </w:r>
    </w:p>
    <w:p w14:paraId="2166DF9E" w14:textId="77777777" w:rsidR="0090341D" w:rsidRPr="00964AF1" w:rsidRDefault="0090341D" w:rsidP="000369F0">
      <w:pPr>
        <w:pStyle w:val="BodyText"/>
      </w:pPr>
      <w:r w:rsidRPr="00964AF1">
        <w:t>A regulated institution must take into account materiality when calculating its capital base and prescribed capital amount. Particular values or components are considered material to the overall result of a calculation if misstating or omitting them would produce results likely to be misleading to the users of the information.</w:t>
      </w:r>
    </w:p>
    <w:p w14:paraId="2166DF9F" w14:textId="77777777" w:rsidR="0090341D" w:rsidRPr="00964AF1" w:rsidRDefault="0090341D" w:rsidP="0090341D">
      <w:pPr>
        <w:pStyle w:val="Heading4"/>
        <w:keepNext w:val="0"/>
        <w:spacing w:before="120" w:after="240"/>
        <w:jc w:val="both"/>
      </w:pPr>
      <w:r w:rsidRPr="00964AF1">
        <w:rPr>
          <w:rFonts w:ascii="Arial" w:hAnsi="Arial" w:cs="Arial"/>
          <w:i w:val="0"/>
          <w:sz w:val="24"/>
          <w:szCs w:val="24"/>
        </w:rPr>
        <w:lastRenderedPageBreak/>
        <w:t>Notification requirements</w:t>
      </w:r>
    </w:p>
    <w:p w14:paraId="6ACE649C" w14:textId="77777777" w:rsidR="00C66A04" w:rsidRPr="00964AF1" w:rsidRDefault="00C66A04" w:rsidP="00C66A04">
      <w:pPr>
        <w:pStyle w:val="BodyText"/>
      </w:pPr>
      <w:r w:rsidRPr="00964AF1">
        <w:t>A regulated institution must inform APRA as soon as practicable of:</w:t>
      </w:r>
    </w:p>
    <w:p w14:paraId="0AF6A8E4" w14:textId="77777777" w:rsidR="00C66A04" w:rsidRPr="00964AF1" w:rsidRDefault="00C66A04" w:rsidP="00C66A04">
      <w:pPr>
        <w:pStyle w:val="BodyText"/>
        <w:numPr>
          <w:ilvl w:val="0"/>
          <w:numId w:val="17"/>
        </w:numPr>
        <w:ind w:left="1134" w:hanging="567"/>
      </w:pPr>
      <w:r w:rsidRPr="00964AF1">
        <w:t>any breach or prospective breach of its PCR;</w:t>
      </w:r>
    </w:p>
    <w:p w14:paraId="33B9DBD1" w14:textId="77777777" w:rsidR="00C66A04" w:rsidRPr="00964AF1" w:rsidRDefault="00C66A04" w:rsidP="00C66A04">
      <w:pPr>
        <w:pStyle w:val="BodyText"/>
        <w:numPr>
          <w:ilvl w:val="0"/>
          <w:numId w:val="17"/>
        </w:numPr>
        <w:ind w:left="1134" w:hanging="567"/>
      </w:pPr>
      <w:r w:rsidRPr="00964AF1">
        <w:t>any significant departure from its ICAAP; or</w:t>
      </w:r>
    </w:p>
    <w:p w14:paraId="7C32A21C" w14:textId="77777777" w:rsidR="00C66A04" w:rsidRPr="00964AF1" w:rsidRDefault="00C66A04" w:rsidP="00C66A04">
      <w:pPr>
        <w:pStyle w:val="BodyText"/>
        <w:numPr>
          <w:ilvl w:val="0"/>
          <w:numId w:val="17"/>
        </w:numPr>
        <w:ind w:left="1134" w:hanging="567"/>
      </w:pPr>
      <w:r w:rsidRPr="00964AF1">
        <w:t xml:space="preserve">any </w:t>
      </w:r>
      <w:r>
        <w:t>significant</w:t>
      </w:r>
      <w:r w:rsidRPr="00964AF1">
        <w:t xml:space="preserve"> adverse changes in the capital base or PCR.</w:t>
      </w:r>
    </w:p>
    <w:p w14:paraId="3D820D6C" w14:textId="77777777" w:rsidR="00C66A04" w:rsidRPr="00964AF1" w:rsidRDefault="00C66A04" w:rsidP="00C66A04">
      <w:pPr>
        <w:pStyle w:val="BodyText"/>
        <w:numPr>
          <w:ilvl w:val="0"/>
          <w:numId w:val="0"/>
        </w:numPr>
        <w:ind w:left="567"/>
      </w:pPr>
      <w:r w:rsidRPr="00964AF1">
        <w:t>The notice must include any remedial actions taken or planned to be taken to address the situation, and the timing of these actions.</w:t>
      </w:r>
    </w:p>
    <w:p w14:paraId="2166DFA5" w14:textId="77777777" w:rsidR="0090341D" w:rsidRPr="0082675B" w:rsidRDefault="0090341D" w:rsidP="0090341D">
      <w:pPr>
        <w:pStyle w:val="GPSHeading"/>
      </w:pPr>
      <w:r w:rsidRPr="00964AF1">
        <w:t xml:space="preserve">Adjustments and </w:t>
      </w:r>
      <w:r w:rsidRPr="0082675B">
        <w:t>exclusions</w:t>
      </w:r>
    </w:p>
    <w:p w14:paraId="2166DFA6" w14:textId="77777777" w:rsidR="0090341D" w:rsidRPr="00964AF1" w:rsidRDefault="0090341D" w:rsidP="000369F0">
      <w:pPr>
        <w:pStyle w:val="BodyText"/>
      </w:pPr>
      <w:r w:rsidRPr="0082675B">
        <w:t>APRA may, by notice in writing to</w:t>
      </w:r>
      <w:r w:rsidRPr="00964AF1">
        <w:t xml:space="preserve"> </w:t>
      </w:r>
      <w:r>
        <w:t xml:space="preserve">a </w:t>
      </w:r>
      <w:r w:rsidRPr="00964AF1">
        <w:t>regulated institution, adjust or exclude a specific requirement in this Prudential Standard in relation to that regulated institution.</w:t>
      </w:r>
    </w:p>
    <w:p w14:paraId="2166DFA7" w14:textId="24E1A68C" w:rsidR="0090341D" w:rsidRPr="00274853" w:rsidRDefault="0090341D" w:rsidP="0090341D">
      <w:pPr>
        <w:pStyle w:val="GPSHeading"/>
        <w:rPr>
          <w:rFonts w:cs="Arial"/>
        </w:rPr>
      </w:pPr>
      <w:bookmarkStart w:id="20" w:name="_Toc307393539"/>
      <w:r w:rsidRPr="004E0209">
        <w:rPr>
          <w:rFonts w:cs="Arial"/>
        </w:rPr>
        <w:t xml:space="preserve">Determinations made under previous </w:t>
      </w:r>
      <w:r>
        <w:rPr>
          <w:rFonts w:cs="Arial"/>
        </w:rPr>
        <w:t>p</w:t>
      </w:r>
      <w:r w:rsidRPr="004E0209">
        <w:rPr>
          <w:rFonts w:cs="Arial"/>
        </w:rPr>
        <w:t xml:space="preserve">rudential </w:t>
      </w:r>
      <w:bookmarkEnd w:id="20"/>
      <w:r>
        <w:rPr>
          <w:rFonts w:cs="Arial"/>
        </w:rPr>
        <w:t>s</w:t>
      </w:r>
      <w:r w:rsidRPr="004E0209">
        <w:rPr>
          <w:rFonts w:cs="Arial"/>
        </w:rPr>
        <w:t>tandards</w:t>
      </w:r>
    </w:p>
    <w:p w14:paraId="08844E69" w14:textId="36226B5C" w:rsidR="00BD13C1" w:rsidRDefault="00FB423D" w:rsidP="000369F0">
      <w:pPr>
        <w:pStyle w:val="BodyText"/>
        <w:numPr>
          <w:ilvl w:val="0"/>
          <w:numId w:val="27"/>
        </w:numPr>
      </w:pPr>
      <w:r>
        <w:t>An exercise of APRA’s discretion under</w:t>
      </w:r>
      <w:r w:rsidR="00BC331B">
        <w:t xml:space="preserve"> </w:t>
      </w:r>
      <w:r w:rsidR="00BD13C1">
        <w:t xml:space="preserve">a previous version of this </w:t>
      </w:r>
      <w:r w:rsidR="00F858DE" w:rsidRPr="006C1A44">
        <w:t>Prudential Standard</w:t>
      </w:r>
      <w:r w:rsidR="00446500">
        <w:t xml:space="preserve"> continue</w:t>
      </w:r>
      <w:r w:rsidR="00025BFA">
        <w:t>s</w:t>
      </w:r>
      <w:r w:rsidR="00446500">
        <w:t xml:space="preserve"> to have effect under this Prudential Standard</w:t>
      </w:r>
      <w:r>
        <w:t xml:space="preserve">. </w:t>
      </w:r>
      <w:r w:rsidR="00CC13E6">
        <w:t>For the purposes of this paragraph, ‘</w:t>
      </w:r>
      <w:r w:rsidR="00BD13C1">
        <w:t>a</w:t>
      </w:r>
      <w:r w:rsidR="00CC13E6">
        <w:t xml:space="preserve"> previous version of this Prudential Standard’ means</w:t>
      </w:r>
      <w:r w:rsidR="00BD13C1">
        <w:t>:</w:t>
      </w:r>
    </w:p>
    <w:p w14:paraId="28BFA5CE" w14:textId="1A16C209" w:rsidR="00BD13C1" w:rsidRDefault="00CC13E6" w:rsidP="00BD13C1">
      <w:pPr>
        <w:pStyle w:val="BodyText"/>
        <w:numPr>
          <w:ilvl w:val="0"/>
          <w:numId w:val="30"/>
        </w:numPr>
      </w:pPr>
      <w:r>
        <w:rPr>
          <w:i/>
        </w:rPr>
        <w:t xml:space="preserve">Prudential Standard GPS 110 Capital Adequacy </w:t>
      </w:r>
      <w:r>
        <w:t>made on 3 December 2014</w:t>
      </w:r>
      <w:r w:rsidR="00BD13C1">
        <w:t>; and</w:t>
      </w:r>
    </w:p>
    <w:p w14:paraId="2166DFA8" w14:textId="761EA324" w:rsidR="00FB423D" w:rsidRPr="001930FB" w:rsidRDefault="00BD13C1" w:rsidP="00BD13C1">
      <w:pPr>
        <w:pStyle w:val="BodyText"/>
        <w:numPr>
          <w:ilvl w:val="0"/>
          <w:numId w:val="30"/>
        </w:numPr>
      </w:pPr>
      <w:r>
        <w:rPr>
          <w:i/>
        </w:rPr>
        <w:t xml:space="preserve">Prudential Standard GPS 110 Capital Adequacy made </w:t>
      </w:r>
      <w:r w:rsidRPr="001930FB">
        <w:t>on 30 November 2012.</w:t>
      </w:r>
      <w:r w:rsidR="00CC13E6" w:rsidRPr="001930FB">
        <w:t xml:space="preserve"> </w:t>
      </w:r>
    </w:p>
    <w:p w14:paraId="2166DFA9" w14:textId="77777777" w:rsidR="00F372E7" w:rsidRPr="00826B93" w:rsidRDefault="00F372E7" w:rsidP="000369F0">
      <w:pPr>
        <w:pStyle w:val="BodyText"/>
        <w:numPr>
          <w:ilvl w:val="0"/>
          <w:numId w:val="28"/>
        </w:numPr>
      </w:pPr>
      <w:r w:rsidRPr="009119EC">
        <w:br w:type="page"/>
      </w:r>
    </w:p>
    <w:p w14:paraId="2166DFAA" w14:textId="77777777" w:rsidR="00F372E7" w:rsidRPr="00677B5E" w:rsidRDefault="00B5086C" w:rsidP="00B5086C">
      <w:pPr>
        <w:pStyle w:val="Header"/>
        <w:spacing w:before="120" w:after="240"/>
        <w:jc w:val="both"/>
        <w:rPr>
          <w:rFonts w:ascii="Arial" w:hAnsi="Arial" w:cs="Arial"/>
          <w:b/>
          <w:bCs/>
        </w:rPr>
      </w:pPr>
      <w:r w:rsidRPr="00677B5E">
        <w:rPr>
          <w:rFonts w:ascii="Arial" w:hAnsi="Arial" w:cs="Arial"/>
          <w:b/>
          <w:bCs/>
        </w:rPr>
        <w:lastRenderedPageBreak/>
        <w:t>Attachment A</w:t>
      </w:r>
    </w:p>
    <w:p w14:paraId="2166DFAB" w14:textId="77777777" w:rsidR="00B5086C" w:rsidRDefault="00B5086C" w:rsidP="00B5086C">
      <w:pPr>
        <w:pStyle w:val="Header"/>
        <w:spacing w:before="120" w:after="240"/>
        <w:jc w:val="both"/>
        <w:rPr>
          <w:rFonts w:ascii="Arial" w:hAnsi="Arial" w:cs="Arial"/>
          <w:b/>
          <w:bCs/>
        </w:rPr>
      </w:pPr>
      <w:r w:rsidRPr="00677B5E">
        <w:rPr>
          <w:rFonts w:ascii="Arial" w:hAnsi="Arial" w:cs="Arial"/>
          <w:b/>
          <w:bCs/>
        </w:rPr>
        <w:t>Run</w:t>
      </w:r>
      <w:r w:rsidR="00A37F51" w:rsidRPr="00677B5E">
        <w:rPr>
          <w:rFonts w:ascii="Arial" w:hAnsi="Arial" w:cs="Arial"/>
          <w:b/>
          <w:bCs/>
        </w:rPr>
        <w:t>-</w:t>
      </w:r>
      <w:r w:rsidRPr="00677B5E">
        <w:rPr>
          <w:rFonts w:ascii="Arial" w:hAnsi="Arial" w:cs="Arial"/>
          <w:b/>
          <w:bCs/>
        </w:rPr>
        <w:t>off plan</w:t>
      </w:r>
    </w:p>
    <w:p w14:paraId="2166DFAC" w14:textId="6A165592" w:rsidR="00B5086C" w:rsidRPr="005B5DD2" w:rsidRDefault="00B5086C" w:rsidP="000369F0">
      <w:pPr>
        <w:pStyle w:val="NormaltextCharCharCharCharChar"/>
        <w:numPr>
          <w:ilvl w:val="0"/>
          <w:numId w:val="23"/>
        </w:numPr>
      </w:pPr>
      <w:bookmarkStart w:id="21" w:name="_Ref316892685"/>
      <w:r w:rsidRPr="005B5DD2">
        <w:t xml:space="preserve">Subject to </w:t>
      </w:r>
      <w:r w:rsidR="0058346F">
        <w:t xml:space="preserve">Attachment A </w:t>
      </w:r>
      <w:r w:rsidRPr="00B8785E">
        <w:t xml:space="preserve">paragraphs </w:t>
      </w:r>
      <w:r w:rsidR="006A43BF">
        <w:t xml:space="preserve">14 to 17 </w:t>
      </w:r>
      <w:r w:rsidRPr="00E1060A">
        <w:t xml:space="preserve">of </w:t>
      </w:r>
      <w:r w:rsidR="009B01E2" w:rsidRPr="00E1060A">
        <w:t>C</w:t>
      </w:r>
      <w:r w:rsidRPr="00E1060A">
        <w:t>PS 320, a run-off insurer must at all</w:t>
      </w:r>
      <w:r w:rsidRPr="005B5DD2">
        <w:t xml:space="preserve"> times maintain a </w:t>
      </w:r>
      <w:r>
        <w:t>‘</w:t>
      </w:r>
      <w:r w:rsidRPr="005B5DD2">
        <w:t>run-off plan</w:t>
      </w:r>
      <w:r>
        <w:t>’</w:t>
      </w:r>
      <w:r w:rsidRPr="005B5DD2">
        <w:t xml:space="preserve"> (including a description of the </w:t>
      </w:r>
      <w:r>
        <w:t xml:space="preserve">run-off </w:t>
      </w:r>
      <w:r w:rsidRPr="005B5DD2">
        <w:t>insurer’s approach to capital management)</w:t>
      </w:r>
      <w:r>
        <w:t>,</w:t>
      </w:r>
      <w:r w:rsidRPr="005B5DD2">
        <w:t xml:space="preserve"> unless otherwise agreed to by APRA.</w:t>
      </w:r>
      <w:bookmarkEnd w:id="21"/>
      <w:r w:rsidRPr="005B5DD2">
        <w:t xml:space="preserve"> </w:t>
      </w:r>
    </w:p>
    <w:p w14:paraId="2166DFAD" w14:textId="7260C952" w:rsidR="00B5086C" w:rsidRPr="005B5DD2" w:rsidRDefault="00B5086C" w:rsidP="000369F0">
      <w:pPr>
        <w:pStyle w:val="NormaltextCharCharCharCharChar"/>
        <w:numPr>
          <w:ilvl w:val="0"/>
          <w:numId w:val="23"/>
        </w:numPr>
      </w:pPr>
      <w:r w:rsidRPr="005B5DD2">
        <w:t>The run-off plan must be approved by the Board</w:t>
      </w:r>
      <w:r w:rsidR="00764D8E">
        <w:t>:</w:t>
      </w:r>
    </w:p>
    <w:p w14:paraId="2166DFAE" w14:textId="77777777" w:rsidR="00B5086C" w:rsidRPr="005B5DD2" w:rsidRDefault="00B5086C" w:rsidP="000369F0">
      <w:pPr>
        <w:pStyle w:val="BodyText"/>
        <w:numPr>
          <w:ilvl w:val="0"/>
          <w:numId w:val="24"/>
        </w:numPr>
      </w:pPr>
      <w:r w:rsidRPr="005B5DD2">
        <w:t>prior to its adoption; and</w:t>
      </w:r>
    </w:p>
    <w:p w14:paraId="2166DFAF" w14:textId="77777777" w:rsidR="00B5086C" w:rsidRPr="005B5DD2" w:rsidRDefault="00B5086C" w:rsidP="000369F0">
      <w:pPr>
        <w:pStyle w:val="BodyText"/>
        <w:numPr>
          <w:ilvl w:val="0"/>
          <w:numId w:val="24"/>
        </w:numPr>
      </w:pPr>
      <w:r w:rsidRPr="005B5DD2">
        <w:t>at any time it is amended during its operational cycle.</w:t>
      </w:r>
    </w:p>
    <w:p w14:paraId="2166DFB0" w14:textId="3DA2C96D" w:rsidR="00B5086C" w:rsidRPr="005B5DD2" w:rsidRDefault="00B5086C" w:rsidP="000369F0">
      <w:pPr>
        <w:pStyle w:val="NormaltextCharCharCharCharChar"/>
        <w:numPr>
          <w:ilvl w:val="0"/>
          <w:numId w:val="23"/>
        </w:numPr>
      </w:pPr>
      <w:bookmarkStart w:id="22" w:name="_Ref333241301"/>
      <w:r w:rsidRPr="005B5DD2">
        <w:t xml:space="preserve">The </w:t>
      </w:r>
      <w:r>
        <w:t xml:space="preserve">run-off </w:t>
      </w:r>
      <w:r w:rsidRPr="005B5DD2">
        <w:t xml:space="preserve">insurer’s run-off plan must be a three-year rolling plan and the </w:t>
      </w:r>
      <w:r>
        <w:t xml:space="preserve">run-off </w:t>
      </w:r>
      <w:r w:rsidRPr="005B5DD2">
        <w:t xml:space="preserve">insurer must review it at least annually (or as close to annually as is practicable). Under </w:t>
      </w:r>
      <w:r w:rsidR="009B01E2">
        <w:t>C</w:t>
      </w:r>
      <w:r w:rsidRPr="00EF17F3">
        <w:t>PS 3</w:t>
      </w:r>
      <w:r>
        <w:t>2</w:t>
      </w:r>
      <w:r w:rsidRPr="00EF17F3">
        <w:t>0</w:t>
      </w:r>
      <w:r w:rsidRPr="005B5DD2">
        <w:t xml:space="preserve">, the </w:t>
      </w:r>
      <w:r w:rsidRPr="00DF11B4">
        <w:t>Appointed Actuary</w:t>
      </w:r>
      <w:r w:rsidRPr="005B5DD2">
        <w:t xml:space="preserve"> of the </w:t>
      </w:r>
      <w:r>
        <w:t xml:space="preserve">run-off </w:t>
      </w:r>
      <w:r w:rsidRPr="005B5DD2">
        <w:t xml:space="preserve">insurer must also review the run-off plan according to the requirements of </w:t>
      </w:r>
      <w:r w:rsidR="009B01E2">
        <w:t>C</w:t>
      </w:r>
      <w:r w:rsidRPr="005B5DD2">
        <w:t>PS 3</w:t>
      </w:r>
      <w:r>
        <w:t>2</w:t>
      </w:r>
      <w:r w:rsidRPr="005B5DD2">
        <w:t>0.</w:t>
      </w:r>
      <w:bookmarkEnd w:id="22"/>
    </w:p>
    <w:p w14:paraId="2166DFB1" w14:textId="280556E4" w:rsidR="00B5086C" w:rsidRPr="005B5DD2" w:rsidRDefault="00B5086C" w:rsidP="000369F0">
      <w:pPr>
        <w:pStyle w:val="NormaltextCharCharCharCharChar"/>
        <w:numPr>
          <w:ilvl w:val="0"/>
          <w:numId w:val="23"/>
        </w:numPr>
      </w:pPr>
      <w:bookmarkStart w:id="23" w:name="_Ref316898895"/>
      <w:r w:rsidRPr="005B5DD2">
        <w:t xml:space="preserve">The </w:t>
      </w:r>
      <w:r>
        <w:t xml:space="preserve">run-off </w:t>
      </w:r>
      <w:r w:rsidRPr="005B5DD2">
        <w:t>insurer must submit to APRA:</w:t>
      </w:r>
      <w:bookmarkEnd w:id="23"/>
    </w:p>
    <w:p w14:paraId="2166DFB2" w14:textId="77777777" w:rsidR="00B5086C" w:rsidRPr="005B5DD2" w:rsidRDefault="00B5086C" w:rsidP="000369F0">
      <w:pPr>
        <w:pStyle w:val="NormaltextCharCharCharCharChar"/>
        <w:numPr>
          <w:ilvl w:val="0"/>
          <w:numId w:val="25"/>
        </w:numPr>
      </w:pPr>
      <w:r w:rsidRPr="005B5DD2">
        <w:t xml:space="preserve">a run-off plan after each annual review; and </w:t>
      </w:r>
    </w:p>
    <w:p w14:paraId="2166DFB3" w14:textId="510A809E" w:rsidR="00B5086C" w:rsidRPr="005B5DD2" w:rsidRDefault="00B5086C" w:rsidP="000369F0">
      <w:pPr>
        <w:pStyle w:val="NormaltextCharCharCharCharChar"/>
        <w:numPr>
          <w:ilvl w:val="0"/>
          <w:numId w:val="25"/>
        </w:numPr>
      </w:pPr>
      <w:r w:rsidRPr="005B5DD2">
        <w:t xml:space="preserve">any amended run-off plan within 10 business days of Board </w:t>
      </w:r>
      <w:r w:rsidR="008A77CB">
        <w:t>approval</w:t>
      </w:r>
      <w:r w:rsidR="00764D8E">
        <w:t>.</w:t>
      </w:r>
    </w:p>
    <w:p w14:paraId="2166DFB4" w14:textId="77777777" w:rsidR="00B5086C" w:rsidRPr="005B5DD2" w:rsidRDefault="00B5086C" w:rsidP="000369F0">
      <w:pPr>
        <w:pStyle w:val="NormaltextCharCharCharCharChar"/>
        <w:numPr>
          <w:ilvl w:val="0"/>
          <w:numId w:val="23"/>
        </w:numPr>
      </w:pPr>
      <w:r w:rsidRPr="005B5DD2">
        <w:t>APRA may</w:t>
      </w:r>
      <w:r w:rsidRPr="00677B5E">
        <w:t>, in writing, specify</w:t>
      </w:r>
      <w:r w:rsidRPr="005B5DD2">
        <w:t xml:space="preserve"> that a run-off plan be:</w:t>
      </w:r>
    </w:p>
    <w:p w14:paraId="2166DFB5" w14:textId="77777777" w:rsidR="00B5086C" w:rsidRPr="005B5DD2" w:rsidRDefault="00B5086C" w:rsidP="000369F0">
      <w:pPr>
        <w:pStyle w:val="NormaltextCharCharCharCharChar"/>
        <w:numPr>
          <w:ilvl w:val="1"/>
          <w:numId w:val="25"/>
        </w:numPr>
      </w:pPr>
      <w:r w:rsidRPr="005B5DD2">
        <w:t>a rolling plan of more or less than three years; and</w:t>
      </w:r>
    </w:p>
    <w:p w14:paraId="2166DFB6" w14:textId="3BC35B55" w:rsidR="00B5086C" w:rsidRPr="005B5DD2" w:rsidRDefault="00B5086C" w:rsidP="000369F0">
      <w:pPr>
        <w:pStyle w:val="NormaltextCharCharCharCharChar"/>
        <w:numPr>
          <w:ilvl w:val="1"/>
          <w:numId w:val="25"/>
        </w:numPr>
      </w:pPr>
      <w:r w:rsidRPr="005B5DD2">
        <w:t xml:space="preserve">reviewed less frequently than as required in </w:t>
      </w:r>
      <w:r w:rsidRPr="00FE10B5">
        <w:t xml:space="preserve">paragraph </w:t>
      </w:r>
      <w:r w:rsidR="007E6933" w:rsidRPr="006B545D">
        <w:fldChar w:fldCharType="begin"/>
      </w:r>
      <w:r w:rsidR="007E6933" w:rsidRPr="006B545D">
        <w:instrText xml:space="preserve"> REF _Ref333241301 \r \h </w:instrText>
      </w:r>
      <w:r w:rsidR="007E6933" w:rsidRPr="006B545D">
        <w:fldChar w:fldCharType="separate"/>
      </w:r>
      <w:r w:rsidR="00E00455">
        <w:t>3</w:t>
      </w:r>
      <w:r w:rsidR="007E6933" w:rsidRPr="006B545D">
        <w:fldChar w:fldCharType="end"/>
      </w:r>
      <w:r w:rsidR="007E6933" w:rsidRPr="006B545D">
        <w:t xml:space="preserve"> </w:t>
      </w:r>
      <w:r w:rsidR="00FE10B5">
        <w:t>of this Attachment</w:t>
      </w:r>
      <w:r w:rsidR="00883364">
        <w:t>;</w:t>
      </w:r>
    </w:p>
    <w:p w14:paraId="2166DFB7" w14:textId="77777777" w:rsidR="00B5086C" w:rsidRPr="005B5DD2" w:rsidRDefault="00B5086C" w:rsidP="000369F0">
      <w:pPr>
        <w:pStyle w:val="NormaltextCharCharCharCharChar"/>
        <w:tabs>
          <w:tab w:val="clear" w:pos="851"/>
        </w:tabs>
        <w:ind w:left="567" w:firstLine="0"/>
      </w:pPr>
      <w:r w:rsidRPr="005B5DD2">
        <w:t>if, having regard to the particular circumstances of the</w:t>
      </w:r>
      <w:r>
        <w:t xml:space="preserve"> run-off</w:t>
      </w:r>
      <w:r w:rsidRPr="005B5DD2">
        <w:t xml:space="preserve"> insurer, APRA considers it unnecessary for the purposes of the prudential supervision of the </w:t>
      </w:r>
      <w:r>
        <w:t xml:space="preserve">run-off </w:t>
      </w:r>
      <w:r w:rsidRPr="005B5DD2">
        <w:t>insurer.</w:t>
      </w:r>
    </w:p>
    <w:p w14:paraId="2166DFB8" w14:textId="77777777" w:rsidR="00B5086C" w:rsidRDefault="00B5086C" w:rsidP="000369F0">
      <w:pPr>
        <w:pStyle w:val="NormaltextCharCharCharCharChar"/>
        <w:numPr>
          <w:ilvl w:val="0"/>
          <w:numId w:val="23"/>
        </w:numPr>
      </w:pPr>
      <w:r w:rsidRPr="005B5DD2">
        <w:t>A</w:t>
      </w:r>
      <w:r>
        <w:t xml:space="preserve"> run-off</w:t>
      </w:r>
      <w:r w:rsidRPr="005B5DD2">
        <w:t xml:space="preserve"> insurer that is both a </w:t>
      </w:r>
      <w:r w:rsidRPr="005C65F8">
        <w:t>Category C insurer</w:t>
      </w:r>
      <w:r w:rsidRPr="005B5DD2">
        <w:rPr>
          <w:b/>
        </w:rPr>
        <w:t xml:space="preserve"> </w:t>
      </w:r>
      <w:r w:rsidRPr="005B5DD2">
        <w:t xml:space="preserve">and a run-off insurer must prepare a run-off plan in respect of the Australian branch operation but with consideration </w:t>
      </w:r>
      <w:r w:rsidRPr="005B5DD2">
        <w:lastRenderedPageBreak/>
        <w:t xml:space="preserve">given to the ability of the insurer to </w:t>
      </w:r>
      <w:r>
        <w:t xml:space="preserve">transfer assets into Australia in order to ensure that the requirements </w:t>
      </w:r>
      <w:r w:rsidR="008A6A02">
        <w:t>of this Prudential Standard</w:t>
      </w:r>
      <w:r w:rsidRPr="00B156BC">
        <w:rPr>
          <w:i/>
        </w:rPr>
        <w:t xml:space="preserve"> </w:t>
      </w:r>
      <w:r>
        <w:t>are met</w:t>
      </w:r>
      <w:r w:rsidRPr="005B5DD2">
        <w:t>.</w:t>
      </w:r>
    </w:p>
    <w:p w14:paraId="2166DFB9" w14:textId="340FDEBE" w:rsidR="00C13D82" w:rsidRPr="00C13D82" w:rsidRDefault="00B5086C" w:rsidP="000369F0">
      <w:pPr>
        <w:pStyle w:val="NormaltextCharCharCharCharChar"/>
        <w:numPr>
          <w:ilvl w:val="0"/>
          <w:numId w:val="23"/>
        </w:numPr>
      </w:pPr>
      <w:bookmarkStart w:id="24" w:name="_Ref361131513"/>
      <w:r>
        <w:t>A run-off plan must include the</w:t>
      </w:r>
      <w:r w:rsidRPr="005B5DD2">
        <w:t xml:space="preserve"> matters listed </w:t>
      </w:r>
      <w:r>
        <w:t>in</w:t>
      </w:r>
      <w:r w:rsidRPr="005B5DD2">
        <w:t xml:space="preserve"> </w:t>
      </w:r>
      <w:r w:rsidR="007E6933">
        <w:t xml:space="preserve">paragraph </w:t>
      </w:r>
      <w:r w:rsidR="007E6933" w:rsidRPr="006B545D">
        <w:fldChar w:fldCharType="begin"/>
      </w:r>
      <w:r w:rsidR="007E6933" w:rsidRPr="006B545D">
        <w:instrText xml:space="preserve"> REF _Ref361131449 \r \h </w:instrText>
      </w:r>
      <w:r w:rsidR="007E6933" w:rsidRPr="006B545D">
        <w:fldChar w:fldCharType="separate"/>
      </w:r>
      <w:r w:rsidR="00E00455">
        <w:t>8</w:t>
      </w:r>
      <w:r w:rsidR="007E6933" w:rsidRPr="006B545D">
        <w:fldChar w:fldCharType="end"/>
      </w:r>
      <w:r w:rsidR="007E6933">
        <w:t xml:space="preserve"> of this Attachment</w:t>
      </w:r>
      <w:r w:rsidRPr="005B5DD2">
        <w:t>.</w:t>
      </w:r>
      <w:bookmarkEnd w:id="24"/>
    </w:p>
    <w:p w14:paraId="2166DFBA" w14:textId="77777777" w:rsidR="00677B5E" w:rsidRDefault="00677B5E">
      <w:pPr>
        <w:rPr>
          <w:rFonts w:ascii="Arial" w:hAnsi="Arial"/>
          <w:b/>
          <w:lang w:val="en-US"/>
        </w:rPr>
      </w:pPr>
      <w:r>
        <w:br w:type="page"/>
      </w:r>
    </w:p>
    <w:p w14:paraId="2166DFBB" w14:textId="77777777" w:rsidR="00C13D82" w:rsidRPr="005B5DD2" w:rsidRDefault="00C13D82" w:rsidP="00C13D82">
      <w:pPr>
        <w:pStyle w:val="PSHeading3"/>
        <w:spacing w:before="120"/>
      </w:pPr>
      <w:r w:rsidRPr="00677B5E">
        <w:lastRenderedPageBreak/>
        <w:t>Matters to be included in a run-off plan</w:t>
      </w:r>
    </w:p>
    <w:p w14:paraId="2166DFBC" w14:textId="77777777" w:rsidR="00C13D82" w:rsidRPr="00C13D82" w:rsidRDefault="00C13D82" w:rsidP="000369F0">
      <w:pPr>
        <w:pStyle w:val="NormaltextCharCharCharCharChar"/>
        <w:numPr>
          <w:ilvl w:val="0"/>
          <w:numId w:val="23"/>
        </w:numPr>
      </w:pPr>
      <w:bookmarkStart w:id="25" w:name="_Ref361131449"/>
      <w:r>
        <w:t xml:space="preserve">For the purposes of </w:t>
      </w:r>
      <w:r w:rsidRPr="00FE10B5">
        <w:t xml:space="preserve">paragraph </w:t>
      </w:r>
      <w:r w:rsidR="007E6933" w:rsidRPr="006B545D">
        <w:fldChar w:fldCharType="begin"/>
      </w:r>
      <w:r w:rsidR="007E6933" w:rsidRPr="006B545D">
        <w:instrText xml:space="preserve"> REF _Ref361131513 \r \h  \* MERGEFORMAT </w:instrText>
      </w:r>
      <w:r w:rsidR="007E6933" w:rsidRPr="006B545D">
        <w:fldChar w:fldCharType="separate"/>
      </w:r>
      <w:r w:rsidR="00E00455">
        <w:t>7</w:t>
      </w:r>
      <w:r w:rsidR="007E6933" w:rsidRPr="006B545D">
        <w:fldChar w:fldCharType="end"/>
      </w:r>
      <w:r w:rsidR="007E6933" w:rsidRPr="006B545D">
        <w:rPr>
          <w:b/>
        </w:rPr>
        <w:t xml:space="preserve"> </w:t>
      </w:r>
      <w:r w:rsidRPr="00C13D82">
        <w:t xml:space="preserve">of this </w:t>
      </w:r>
      <w:r w:rsidR="00FE10B5">
        <w:t>Attachment</w:t>
      </w:r>
      <w:r w:rsidRPr="00C13D82">
        <w:t>, the following matters must be included in a run-off plan, where relevant:</w:t>
      </w:r>
      <w:bookmarkEnd w:id="25"/>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4500"/>
      </w:tblGrid>
      <w:tr w:rsidR="00C13D82" w:rsidRPr="00733ED0" w14:paraId="2166DFBF" w14:textId="77777777" w:rsidTr="00B77DE6">
        <w:trPr>
          <w:trHeight w:val="524"/>
        </w:trPr>
        <w:tc>
          <w:tcPr>
            <w:tcW w:w="4968" w:type="dxa"/>
            <w:shd w:val="clear" w:color="auto" w:fill="C0C0C0"/>
          </w:tcPr>
          <w:p w14:paraId="2166DFBD" w14:textId="77777777" w:rsidR="00C13D82" w:rsidRPr="00733ED0" w:rsidRDefault="00C13D82" w:rsidP="00B77DE6">
            <w:pPr>
              <w:autoSpaceDE w:val="0"/>
              <w:autoSpaceDN w:val="0"/>
              <w:adjustRightInd w:val="0"/>
              <w:spacing w:after="240"/>
              <w:jc w:val="center"/>
              <w:rPr>
                <w:b/>
                <w:color w:val="000000"/>
              </w:rPr>
            </w:pPr>
            <w:r w:rsidRPr="00733ED0">
              <w:rPr>
                <w:b/>
                <w:color w:val="000000"/>
              </w:rPr>
              <w:t xml:space="preserve">Matters to be addressed in a run-off plan (to be prepared by run-off insurer) </w:t>
            </w:r>
          </w:p>
        </w:tc>
        <w:tc>
          <w:tcPr>
            <w:tcW w:w="4500" w:type="dxa"/>
            <w:shd w:val="clear" w:color="auto" w:fill="C0C0C0"/>
          </w:tcPr>
          <w:p w14:paraId="2166DFBE" w14:textId="77777777" w:rsidR="00C13D82" w:rsidRPr="00733ED0" w:rsidRDefault="00C13D82" w:rsidP="00B77DE6">
            <w:pPr>
              <w:autoSpaceDE w:val="0"/>
              <w:autoSpaceDN w:val="0"/>
              <w:adjustRightInd w:val="0"/>
              <w:spacing w:after="240"/>
              <w:jc w:val="center"/>
              <w:rPr>
                <w:b/>
                <w:color w:val="000000"/>
              </w:rPr>
            </w:pPr>
            <w:r w:rsidRPr="00733ED0">
              <w:rPr>
                <w:b/>
                <w:color w:val="000000"/>
              </w:rPr>
              <w:t>Areas to be reviewed and assessed by Appointed Actuary</w:t>
            </w:r>
            <w:r w:rsidRPr="00733ED0">
              <w:rPr>
                <w:rStyle w:val="FootnoteReference"/>
                <w:b/>
                <w:color w:val="000000"/>
              </w:rPr>
              <w:footnoteReference w:id="11"/>
            </w:r>
          </w:p>
        </w:tc>
      </w:tr>
      <w:tr w:rsidR="00C13D82" w:rsidRPr="00733ED0" w14:paraId="2166DFC2" w14:textId="77777777" w:rsidTr="00B77DE6">
        <w:trPr>
          <w:trHeight w:val="539"/>
        </w:trPr>
        <w:tc>
          <w:tcPr>
            <w:tcW w:w="4968" w:type="dxa"/>
          </w:tcPr>
          <w:p w14:paraId="2166DFC0" w14:textId="77777777" w:rsidR="00C13D82" w:rsidRPr="00733ED0" w:rsidRDefault="00C13D82" w:rsidP="00E81D82">
            <w:pPr>
              <w:numPr>
                <w:ilvl w:val="0"/>
                <w:numId w:val="26"/>
              </w:numPr>
              <w:tabs>
                <w:tab w:val="clear" w:pos="360"/>
                <w:tab w:val="num" w:pos="567"/>
              </w:tabs>
              <w:autoSpaceDE w:val="0"/>
              <w:autoSpaceDN w:val="0"/>
              <w:adjustRightInd w:val="0"/>
              <w:spacing w:after="240"/>
              <w:ind w:left="567" w:hanging="567"/>
              <w:jc w:val="both"/>
              <w:rPr>
                <w:color w:val="000000"/>
              </w:rPr>
            </w:pPr>
            <w:r w:rsidRPr="00733ED0">
              <w:rPr>
                <w:color w:val="000000"/>
              </w:rPr>
              <w:t xml:space="preserve">Business overview, including details of significant changes to the </w:t>
            </w:r>
            <w:r>
              <w:rPr>
                <w:color w:val="000000"/>
              </w:rPr>
              <w:t xml:space="preserve">run-off </w:t>
            </w:r>
            <w:r w:rsidRPr="00733ED0">
              <w:rPr>
                <w:color w:val="000000"/>
              </w:rPr>
              <w:t>insurer’s liability portfolio, assets, capital position or operating environment</w:t>
            </w:r>
          </w:p>
        </w:tc>
        <w:tc>
          <w:tcPr>
            <w:tcW w:w="4500" w:type="dxa"/>
          </w:tcPr>
          <w:p w14:paraId="2166DFC1" w14:textId="77777777" w:rsidR="00C13D82" w:rsidRPr="00733ED0" w:rsidRDefault="00C13D82" w:rsidP="00B77DE6">
            <w:pPr>
              <w:autoSpaceDE w:val="0"/>
              <w:autoSpaceDN w:val="0"/>
              <w:adjustRightInd w:val="0"/>
              <w:spacing w:after="240"/>
              <w:rPr>
                <w:color w:val="000000"/>
              </w:rPr>
            </w:pPr>
            <w:r w:rsidRPr="00733ED0">
              <w:rPr>
                <w:color w:val="000000"/>
              </w:rPr>
              <w:t>Significant issues or material anomalies</w:t>
            </w:r>
          </w:p>
        </w:tc>
      </w:tr>
      <w:tr w:rsidR="00C13D82" w:rsidRPr="00733ED0" w14:paraId="2166DFC5" w14:textId="77777777" w:rsidTr="00B77DE6">
        <w:trPr>
          <w:trHeight w:val="524"/>
        </w:trPr>
        <w:tc>
          <w:tcPr>
            <w:tcW w:w="4968" w:type="dxa"/>
          </w:tcPr>
          <w:p w14:paraId="2166DFC3" w14:textId="77777777" w:rsidR="00C13D82" w:rsidRPr="00733ED0" w:rsidRDefault="00C13D82" w:rsidP="00E81D82">
            <w:pPr>
              <w:numPr>
                <w:ilvl w:val="0"/>
                <w:numId w:val="26"/>
              </w:numPr>
              <w:tabs>
                <w:tab w:val="clear" w:pos="360"/>
                <w:tab w:val="num" w:pos="567"/>
              </w:tabs>
              <w:autoSpaceDE w:val="0"/>
              <w:autoSpaceDN w:val="0"/>
              <w:adjustRightInd w:val="0"/>
              <w:spacing w:after="240"/>
              <w:ind w:left="567" w:hanging="567"/>
              <w:jc w:val="both"/>
              <w:rPr>
                <w:color w:val="000000"/>
              </w:rPr>
            </w:pPr>
            <w:r w:rsidRPr="00733ED0">
              <w:rPr>
                <w:color w:val="000000"/>
              </w:rPr>
              <w:t>Details of the</w:t>
            </w:r>
            <w:r>
              <w:rPr>
                <w:color w:val="000000"/>
              </w:rPr>
              <w:t xml:space="preserve"> run-off</w:t>
            </w:r>
            <w:r w:rsidRPr="00733ED0">
              <w:rPr>
                <w:color w:val="000000"/>
              </w:rPr>
              <w:t xml:space="preserve"> insurer’s recent experience, including the profitability for the most recent year</w:t>
            </w:r>
          </w:p>
        </w:tc>
        <w:tc>
          <w:tcPr>
            <w:tcW w:w="4500" w:type="dxa"/>
          </w:tcPr>
          <w:p w14:paraId="2166DFC4" w14:textId="77777777" w:rsidR="00C13D82" w:rsidRPr="00733ED0" w:rsidRDefault="00C13D82" w:rsidP="00B77DE6">
            <w:pPr>
              <w:autoSpaceDE w:val="0"/>
              <w:autoSpaceDN w:val="0"/>
              <w:adjustRightInd w:val="0"/>
              <w:spacing w:after="240"/>
              <w:rPr>
                <w:color w:val="000000"/>
              </w:rPr>
            </w:pPr>
            <w:r w:rsidRPr="00733ED0">
              <w:rPr>
                <w:color w:val="000000"/>
              </w:rPr>
              <w:t>Significant variations between actual and expected experience</w:t>
            </w:r>
            <w:r>
              <w:rPr>
                <w:color w:val="000000"/>
              </w:rPr>
              <w:t>,</w:t>
            </w:r>
            <w:r w:rsidRPr="00733ED0">
              <w:rPr>
                <w:color w:val="000000"/>
              </w:rPr>
              <w:t xml:space="preserve"> and the adequacy of past estimates  </w:t>
            </w:r>
          </w:p>
        </w:tc>
      </w:tr>
      <w:tr w:rsidR="00C13D82" w:rsidRPr="00733ED0" w14:paraId="2166DFC8" w14:textId="77777777" w:rsidTr="00B77DE6">
        <w:trPr>
          <w:trHeight w:val="524"/>
        </w:trPr>
        <w:tc>
          <w:tcPr>
            <w:tcW w:w="4968" w:type="dxa"/>
          </w:tcPr>
          <w:p w14:paraId="2166DFC6" w14:textId="77777777" w:rsidR="00C13D82" w:rsidRPr="00733ED0" w:rsidRDefault="00C13D82" w:rsidP="00E81D82">
            <w:pPr>
              <w:numPr>
                <w:ilvl w:val="0"/>
                <w:numId w:val="26"/>
              </w:numPr>
              <w:tabs>
                <w:tab w:val="clear" w:pos="360"/>
                <w:tab w:val="num" w:pos="567"/>
              </w:tabs>
              <w:autoSpaceDE w:val="0"/>
              <w:autoSpaceDN w:val="0"/>
              <w:adjustRightInd w:val="0"/>
              <w:spacing w:after="240"/>
              <w:ind w:left="567" w:hanging="567"/>
              <w:jc w:val="both"/>
              <w:rPr>
                <w:color w:val="000000"/>
              </w:rPr>
            </w:pPr>
            <w:r w:rsidRPr="00733ED0">
              <w:rPr>
                <w:color w:val="000000"/>
              </w:rPr>
              <w:t xml:space="preserve">Assessment of the </w:t>
            </w:r>
            <w:r>
              <w:rPr>
                <w:color w:val="000000"/>
              </w:rPr>
              <w:t xml:space="preserve">run-off </w:t>
            </w:r>
            <w:r w:rsidRPr="00733ED0">
              <w:rPr>
                <w:color w:val="000000"/>
              </w:rPr>
              <w:t>insurer’s expected future claims run-off experience on a rolling three</w:t>
            </w:r>
            <w:r>
              <w:rPr>
                <w:color w:val="000000"/>
              </w:rPr>
              <w:t>-</w:t>
            </w:r>
            <w:r w:rsidRPr="00733ED0">
              <w:rPr>
                <w:color w:val="000000"/>
              </w:rPr>
              <w:t>year basis</w:t>
            </w:r>
          </w:p>
        </w:tc>
        <w:tc>
          <w:tcPr>
            <w:tcW w:w="4500" w:type="dxa"/>
          </w:tcPr>
          <w:p w14:paraId="2166DFC7" w14:textId="77777777" w:rsidR="00C13D82" w:rsidRPr="00733ED0" w:rsidRDefault="00C13D82" w:rsidP="00B77DE6">
            <w:pPr>
              <w:autoSpaceDE w:val="0"/>
              <w:autoSpaceDN w:val="0"/>
              <w:adjustRightInd w:val="0"/>
              <w:spacing w:after="240"/>
              <w:rPr>
                <w:color w:val="000000"/>
              </w:rPr>
            </w:pPr>
            <w:r w:rsidRPr="00733ED0">
              <w:rPr>
                <w:color w:val="000000"/>
              </w:rPr>
              <w:t>Appropriateness of the insurer’s expected future claims run-off assessment</w:t>
            </w:r>
          </w:p>
        </w:tc>
      </w:tr>
      <w:tr w:rsidR="00C13D82" w:rsidRPr="00733ED0" w14:paraId="2166DFCB" w14:textId="77777777" w:rsidTr="00B77DE6">
        <w:trPr>
          <w:trHeight w:val="524"/>
        </w:trPr>
        <w:tc>
          <w:tcPr>
            <w:tcW w:w="4968" w:type="dxa"/>
          </w:tcPr>
          <w:p w14:paraId="2166DFC9" w14:textId="77777777" w:rsidR="00C13D82" w:rsidRPr="00733ED0" w:rsidRDefault="00C13D82" w:rsidP="00E81D82">
            <w:pPr>
              <w:numPr>
                <w:ilvl w:val="0"/>
                <w:numId w:val="26"/>
              </w:numPr>
              <w:tabs>
                <w:tab w:val="clear" w:pos="360"/>
                <w:tab w:val="num" w:pos="567"/>
              </w:tabs>
              <w:autoSpaceDE w:val="0"/>
              <w:autoSpaceDN w:val="0"/>
              <w:adjustRightInd w:val="0"/>
              <w:spacing w:after="240"/>
              <w:ind w:left="567" w:hanging="567"/>
              <w:jc w:val="both"/>
              <w:rPr>
                <w:color w:val="000000"/>
              </w:rPr>
            </w:pPr>
            <w:r w:rsidRPr="00733ED0">
              <w:rPr>
                <w:color w:val="000000"/>
              </w:rPr>
              <w:t xml:space="preserve">Details of the </w:t>
            </w:r>
            <w:r>
              <w:rPr>
                <w:color w:val="000000"/>
              </w:rPr>
              <w:t xml:space="preserve">run-off </w:t>
            </w:r>
            <w:r w:rsidRPr="00733ED0">
              <w:rPr>
                <w:color w:val="000000"/>
              </w:rPr>
              <w:t>insurer’s asset and liability management processes, including the insurer’s investment and liquidity strategies</w:t>
            </w:r>
          </w:p>
        </w:tc>
        <w:tc>
          <w:tcPr>
            <w:tcW w:w="4500" w:type="dxa"/>
          </w:tcPr>
          <w:p w14:paraId="2166DFCA" w14:textId="77777777" w:rsidR="00C13D82" w:rsidRPr="00733ED0" w:rsidRDefault="00C13D82" w:rsidP="00B77DE6">
            <w:pPr>
              <w:autoSpaceDE w:val="0"/>
              <w:autoSpaceDN w:val="0"/>
              <w:adjustRightInd w:val="0"/>
              <w:spacing w:after="240"/>
              <w:rPr>
                <w:color w:val="000000"/>
              </w:rPr>
            </w:pPr>
            <w:r w:rsidRPr="00733ED0">
              <w:rPr>
                <w:color w:val="000000"/>
              </w:rPr>
              <w:t>Appropriateness of the insurer’s asset and liability management processes, and investment and liquidity strategies, in light of the expected future claims run-off</w:t>
            </w:r>
          </w:p>
        </w:tc>
      </w:tr>
      <w:tr w:rsidR="00C13D82" w:rsidRPr="00733ED0" w14:paraId="2166DFCE" w14:textId="77777777" w:rsidTr="00B77DE6">
        <w:trPr>
          <w:trHeight w:val="524"/>
        </w:trPr>
        <w:tc>
          <w:tcPr>
            <w:tcW w:w="4968" w:type="dxa"/>
          </w:tcPr>
          <w:p w14:paraId="2166DFCC" w14:textId="77777777" w:rsidR="00C13D82" w:rsidRPr="006A11CC" w:rsidRDefault="00C13D82" w:rsidP="00E81D82">
            <w:pPr>
              <w:numPr>
                <w:ilvl w:val="0"/>
                <w:numId w:val="26"/>
              </w:numPr>
              <w:tabs>
                <w:tab w:val="clear" w:pos="360"/>
                <w:tab w:val="num" w:pos="567"/>
              </w:tabs>
              <w:autoSpaceDE w:val="0"/>
              <w:autoSpaceDN w:val="0"/>
              <w:adjustRightInd w:val="0"/>
              <w:spacing w:after="240"/>
              <w:ind w:left="567" w:hanging="567"/>
              <w:jc w:val="both"/>
              <w:rPr>
                <w:color w:val="000000"/>
              </w:rPr>
            </w:pPr>
            <w:r w:rsidRPr="006A11CC">
              <w:rPr>
                <w:color w:val="000000"/>
              </w:rPr>
              <w:t>Details of the run-off insurer’s current and projected future capital adequacy and a discussion of the insurer’s approach to capital management</w:t>
            </w:r>
          </w:p>
        </w:tc>
        <w:tc>
          <w:tcPr>
            <w:tcW w:w="4500" w:type="dxa"/>
          </w:tcPr>
          <w:p w14:paraId="2166DFCD" w14:textId="77777777" w:rsidR="00C13D82" w:rsidRPr="006A11CC" w:rsidRDefault="00C13D82" w:rsidP="00B77DE6">
            <w:pPr>
              <w:autoSpaceDE w:val="0"/>
              <w:autoSpaceDN w:val="0"/>
              <w:adjustRightInd w:val="0"/>
              <w:spacing w:after="240"/>
              <w:rPr>
                <w:color w:val="000000"/>
              </w:rPr>
            </w:pPr>
            <w:r w:rsidRPr="006A11CC">
              <w:rPr>
                <w:color w:val="000000"/>
              </w:rPr>
              <w:t>Appropriateness and reasonableness of the assumptions used for the capital projections and for scenario/stress</w:t>
            </w:r>
            <w:r>
              <w:rPr>
                <w:color w:val="000000"/>
              </w:rPr>
              <w:t>-</w:t>
            </w:r>
            <w:r w:rsidRPr="006A11CC">
              <w:rPr>
                <w:color w:val="000000"/>
              </w:rPr>
              <w:t>testing</w:t>
            </w:r>
          </w:p>
        </w:tc>
      </w:tr>
      <w:tr w:rsidR="00C13D82" w:rsidRPr="00733ED0" w14:paraId="2166DFD1" w14:textId="77777777" w:rsidTr="00B77DE6">
        <w:trPr>
          <w:trHeight w:val="524"/>
        </w:trPr>
        <w:tc>
          <w:tcPr>
            <w:tcW w:w="4968" w:type="dxa"/>
          </w:tcPr>
          <w:p w14:paraId="2166DFCF" w14:textId="77777777" w:rsidR="00C13D82" w:rsidRPr="00733ED0" w:rsidRDefault="00C13D82" w:rsidP="00E81D82">
            <w:pPr>
              <w:numPr>
                <w:ilvl w:val="0"/>
                <w:numId w:val="26"/>
              </w:numPr>
              <w:tabs>
                <w:tab w:val="clear" w:pos="360"/>
                <w:tab w:val="num" w:pos="567"/>
              </w:tabs>
              <w:autoSpaceDE w:val="0"/>
              <w:autoSpaceDN w:val="0"/>
              <w:adjustRightInd w:val="0"/>
              <w:spacing w:after="240"/>
              <w:ind w:left="567" w:hanging="567"/>
              <w:jc w:val="both"/>
              <w:rPr>
                <w:color w:val="000000"/>
              </w:rPr>
            </w:pPr>
            <w:r w:rsidRPr="00733ED0">
              <w:rPr>
                <w:color w:val="000000"/>
              </w:rPr>
              <w:t>Assessment of the suitability and adequacy of reinsurance arrangements, including recoverability of reinsurance, documentation of reinsurance arrangements and the existence and impact of any limited risk transfer arrangements</w:t>
            </w:r>
          </w:p>
        </w:tc>
        <w:tc>
          <w:tcPr>
            <w:tcW w:w="4500" w:type="dxa"/>
          </w:tcPr>
          <w:p w14:paraId="2166DFD0" w14:textId="77777777" w:rsidR="00C13D82" w:rsidRPr="00733ED0" w:rsidRDefault="00C13D82" w:rsidP="00B77DE6">
            <w:pPr>
              <w:autoSpaceDE w:val="0"/>
              <w:autoSpaceDN w:val="0"/>
              <w:adjustRightInd w:val="0"/>
              <w:spacing w:after="240"/>
              <w:rPr>
                <w:color w:val="000000"/>
              </w:rPr>
            </w:pPr>
            <w:r w:rsidRPr="00733ED0">
              <w:rPr>
                <w:color w:val="000000"/>
              </w:rPr>
              <w:t>Appropriateness of the insurer’s reinsurance arrangements in light of the expected future claims run-off</w:t>
            </w:r>
          </w:p>
        </w:tc>
      </w:tr>
      <w:tr w:rsidR="00C13D82" w:rsidRPr="00733ED0" w14:paraId="2166DFD4" w14:textId="77777777" w:rsidTr="00B77DE6">
        <w:trPr>
          <w:trHeight w:val="539"/>
        </w:trPr>
        <w:tc>
          <w:tcPr>
            <w:tcW w:w="4968" w:type="dxa"/>
          </w:tcPr>
          <w:p w14:paraId="2166DFD2" w14:textId="77777777" w:rsidR="00C13D82" w:rsidRPr="00733ED0" w:rsidRDefault="00C13D82" w:rsidP="00E81D82">
            <w:pPr>
              <w:numPr>
                <w:ilvl w:val="0"/>
                <w:numId w:val="26"/>
              </w:numPr>
              <w:tabs>
                <w:tab w:val="clear" w:pos="360"/>
                <w:tab w:val="num" w:pos="567"/>
              </w:tabs>
              <w:autoSpaceDE w:val="0"/>
              <w:autoSpaceDN w:val="0"/>
              <w:adjustRightInd w:val="0"/>
              <w:spacing w:after="240"/>
              <w:ind w:left="567" w:hanging="567"/>
              <w:jc w:val="both"/>
              <w:rPr>
                <w:color w:val="000000"/>
              </w:rPr>
            </w:pPr>
            <w:r w:rsidRPr="00733ED0">
              <w:rPr>
                <w:color w:val="000000"/>
              </w:rPr>
              <w:t>Details of the</w:t>
            </w:r>
            <w:r>
              <w:rPr>
                <w:color w:val="000000"/>
              </w:rPr>
              <w:t xml:space="preserve"> run-off</w:t>
            </w:r>
            <w:r w:rsidRPr="00733ED0">
              <w:rPr>
                <w:color w:val="000000"/>
              </w:rPr>
              <w:t xml:space="preserve"> insurer’s risk management framework</w:t>
            </w:r>
          </w:p>
        </w:tc>
        <w:tc>
          <w:tcPr>
            <w:tcW w:w="4500" w:type="dxa"/>
          </w:tcPr>
          <w:p w14:paraId="2166DFD3" w14:textId="77777777" w:rsidR="00C13D82" w:rsidRPr="00733ED0" w:rsidRDefault="00C13D82" w:rsidP="00B77DE6">
            <w:pPr>
              <w:autoSpaceDE w:val="0"/>
              <w:autoSpaceDN w:val="0"/>
              <w:adjustRightInd w:val="0"/>
              <w:spacing w:after="240"/>
              <w:rPr>
                <w:color w:val="000000"/>
              </w:rPr>
            </w:pPr>
            <w:r w:rsidRPr="00733ED0">
              <w:rPr>
                <w:color w:val="000000"/>
              </w:rPr>
              <w:t>Suitability and adequacy of the risk management framework</w:t>
            </w:r>
          </w:p>
        </w:tc>
      </w:tr>
    </w:tbl>
    <w:p w14:paraId="2166DFD5" w14:textId="77777777" w:rsidR="00C13D82" w:rsidRDefault="00C13D82" w:rsidP="00C13D82"/>
    <w:p w14:paraId="2166DFD6" w14:textId="77777777" w:rsidR="00C13D82" w:rsidRPr="00B5086C" w:rsidRDefault="00C13D82" w:rsidP="000369F0">
      <w:pPr>
        <w:pStyle w:val="NormaltextCharCharCharCharChar"/>
        <w:tabs>
          <w:tab w:val="clear" w:pos="851"/>
        </w:tabs>
        <w:ind w:left="0" w:firstLine="0"/>
      </w:pPr>
    </w:p>
    <w:sectPr w:rsidR="00C13D82" w:rsidRPr="00B5086C" w:rsidSect="004B3569">
      <w:headerReference w:type="default" r:id="rId15"/>
      <w:footerReference w:type="default" r:id="rId16"/>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66DFDD" w14:textId="77777777" w:rsidR="003D79DA" w:rsidRDefault="003D79DA">
      <w:r>
        <w:separator/>
      </w:r>
    </w:p>
  </w:endnote>
  <w:endnote w:type="continuationSeparator" w:id="0">
    <w:p w14:paraId="2166DFDE" w14:textId="77777777" w:rsidR="003D79DA" w:rsidRDefault="003D7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oday SB">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6DFE2" w14:textId="48184F28" w:rsidR="000F2AFE" w:rsidRPr="000F2AFE" w:rsidRDefault="000F2AFE">
    <w:pPr>
      <w:pStyle w:val="Footer"/>
      <w:jc w:val="right"/>
      <w:rPr>
        <w:b/>
      </w:rPr>
    </w:pPr>
  </w:p>
  <w:p w14:paraId="2166DFE3" w14:textId="77777777" w:rsidR="000F2AFE" w:rsidRDefault="000F2AFE" w:rsidP="000F2AFE">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rPr>
      <w:id w:val="-2066950204"/>
      <w:docPartObj>
        <w:docPartGallery w:val="Page Numbers (Bottom of Page)"/>
        <w:docPartUnique/>
      </w:docPartObj>
    </w:sdtPr>
    <w:sdtEndPr/>
    <w:sdtContent>
      <w:sdt>
        <w:sdtPr>
          <w:rPr>
            <w:b/>
          </w:rPr>
          <w:id w:val="-594021046"/>
          <w:docPartObj>
            <w:docPartGallery w:val="Page Numbers (Top of Page)"/>
            <w:docPartUnique/>
          </w:docPartObj>
        </w:sdtPr>
        <w:sdtEndPr/>
        <w:sdtContent>
          <w:p w14:paraId="776064FD" w14:textId="77777777" w:rsidR="00840A14" w:rsidRPr="000F2AFE" w:rsidRDefault="00840A14">
            <w:pPr>
              <w:pStyle w:val="Footer"/>
              <w:jc w:val="right"/>
              <w:rPr>
                <w:b/>
              </w:rPr>
            </w:pPr>
            <w:r w:rsidRPr="000F2AFE">
              <w:rPr>
                <w:b/>
              </w:rPr>
              <w:t xml:space="preserve">GPS 110 - </w:t>
            </w:r>
            <w:r w:rsidRPr="000F2AFE">
              <w:rPr>
                <w:b/>
                <w:bCs/>
                <w:szCs w:val="24"/>
              </w:rPr>
              <w:fldChar w:fldCharType="begin"/>
            </w:r>
            <w:r w:rsidRPr="000F2AFE">
              <w:rPr>
                <w:b/>
                <w:bCs/>
              </w:rPr>
              <w:instrText xml:space="preserve"> PAGE </w:instrText>
            </w:r>
            <w:r w:rsidRPr="000F2AFE">
              <w:rPr>
                <w:b/>
                <w:bCs/>
                <w:szCs w:val="24"/>
              </w:rPr>
              <w:fldChar w:fldCharType="separate"/>
            </w:r>
            <w:r w:rsidR="00590C5E">
              <w:rPr>
                <w:b/>
                <w:bCs/>
                <w:noProof/>
              </w:rPr>
              <w:t>4</w:t>
            </w:r>
            <w:r w:rsidRPr="000F2AFE">
              <w:rPr>
                <w:b/>
                <w:bCs/>
                <w:szCs w:val="24"/>
              </w:rPr>
              <w:fldChar w:fldCharType="end"/>
            </w:r>
          </w:p>
        </w:sdtContent>
      </w:sdt>
    </w:sdtContent>
  </w:sdt>
  <w:p w14:paraId="480F46A7" w14:textId="77777777" w:rsidR="00840A14" w:rsidRDefault="00840A14" w:rsidP="000F2AFE">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66DFDB" w14:textId="77777777" w:rsidR="003D79DA" w:rsidRDefault="003D79DA">
      <w:r>
        <w:separator/>
      </w:r>
    </w:p>
  </w:footnote>
  <w:footnote w:type="continuationSeparator" w:id="0">
    <w:p w14:paraId="2166DFDC" w14:textId="77777777" w:rsidR="003D79DA" w:rsidRDefault="003D79DA">
      <w:r>
        <w:continuationSeparator/>
      </w:r>
    </w:p>
  </w:footnote>
  <w:footnote w:id="1">
    <w:p w14:paraId="2166DFE4" w14:textId="77777777" w:rsidR="00735499" w:rsidRPr="00735499" w:rsidRDefault="00735499" w:rsidP="00A37F51">
      <w:pPr>
        <w:pStyle w:val="FootnoteText"/>
        <w:tabs>
          <w:tab w:val="left" w:pos="567"/>
        </w:tabs>
        <w:ind w:left="567" w:hanging="567"/>
        <w:jc w:val="both"/>
        <w:rPr>
          <w:rFonts w:ascii="Times New Roman" w:hAnsi="Times New Roman"/>
        </w:rPr>
      </w:pPr>
      <w:r w:rsidRPr="00735499">
        <w:rPr>
          <w:rStyle w:val="FootnoteReference"/>
          <w:rFonts w:ascii="Times New Roman" w:hAnsi="Times New Roman"/>
        </w:rPr>
        <w:footnoteRef/>
      </w:r>
      <w:r w:rsidRPr="00735499">
        <w:rPr>
          <w:rFonts w:ascii="Times New Roman" w:hAnsi="Times New Roman"/>
        </w:rPr>
        <w:t xml:space="preserve"> </w:t>
      </w:r>
      <w:r w:rsidRPr="00735499">
        <w:rPr>
          <w:rFonts w:ascii="Times New Roman" w:hAnsi="Times New Roman"/>
        </w:rPr>
        <w:tab/>
      </w:r>
      <w:r w:rsidR="00F060C6">
        <w:rPr>
          <w:rFonts w:ascii="Times New Roman" w:hAnsi="Times New Roman"/>
        </w:rPr>
        <w:t xml:space="preserve">A </w:t>
      </w:r>
      <w:r w:rsidR="00F060C6" w:rsidRPr="00A37F51">
        <w:rPr>
          <w:rFonts w:ascii="Times New Roman" w:hAnsi="Times New Roman"/>
          <w:b/>
        </w:rPr>
        <w:t>run-off insurer</w:t>
      </w:r>
      <w:r w:rsidR="00F060C6">
        <w:rPr>
          <w:rFonts w:ascii="Times New Roman" w:hAnsi="Times New Roman"/>
        </w:rPr>
        <w:t xml:space="preserve"> is not required to have in place an Internal Capital Adequacy Assessment Process if it meets the requirements set out in Attachment A of this Prudential Standard. The requirements in Attachment A also replace the business plan requirements set out in </w:t>
      </w:r>
      <w:r w:rsidR="00F060C6">
        <w:rPr>
          <w:rFonts w:ascii="Times New Roman" w:hAnsi="Times New Roman"/>
          <w:i/>
        </w:rPr>
        <w:t>Prudential Standard CPS 220 Risk Management</w:t>
      </w:r>
      <w:r w:rsidR="00F060C6">
        <w:rPr>
          <w:rFonts w:ascii="Times New Roman" w:hAnsi="Times New Roman"/>
        </w:rPr>
        <w:t>.</w:t>
      </w:r>
    </w:p>
  </w:footnote>
  <w:footnote w:id="2">
    <w:p w14:paraId="2166DFE5" w14:textId="4FF74AC0" w:rsidR="0090341D" w:rsidRDefault="0090341D" w:rsidP="0090341D">
      <w:pPr>
        <w:ind w:left="567" w:hanging="567"/>
        <w:jc w:val="both"/>
      </w:pPr>
      <w:r w:rsidRPr="003C2C64">
        <w:rPr>
          <w:rStyle w:val="FootnoteReference"/>
          <w:sz w:val="20"/>
        </w:rPr>
        <w:footnoteRef/>
      </w:r>
      <w:r>
        <w:t xml:space="preserve"> </w:t>
      </w:r>
      <w:r>
        <w:tab/>
      </w:r>
      <w:r w:rsidRPr="00DD4E1F">
        <w:rPr>
          <w:sz w:val="20"/>
        </w:rPr>
        <w:t>For the purposes of this paragraph, the Board</w:t>
      </w:r>
      <w:r w:rsidR="00764D8E">
        <w:rPr>
          <w:sz w:val="20"/>
        </w:rPr>
        <w:t xml:space="preserve"> </w:t>
      </w:r>
      <w:r w:rsidRPr="00DD4E1F">
        <w:rPr>
          <w:sz w:val="20"/>
        </w:rPr>
        <w:t xml:space="preserve">of a </w:t>
      </w:r>
      <w:r w:rsidRPr="00D52D01">
        <w:rPr>
          <w:b/>
          <w:sz w:val="20"/>
        </w:rPr>
        <w:t>Category C insurer</w:t>
      </w:r>
      <w:r w:rsidRPr="00DD4E1F">
        <w:rPr>
          <w:sz w:val="20"/>
        </w:rPr>
        <w:t xml:space="preserve"> refers to the </w:t>
      </w:r>
      <w:r w:rsidRPr="00DD4E1F">
        <w:rPr>
          <w:b/>
          <w:sz w:val="20"/>
        </w:rPr>
        <w:t>senior officer outside Australia</w:t>
      </w:r>
      <w:r w:rsidRPr="00DD4E1F">
        <w:rPr>
          <w:sz w:val="20"/>
        </w:rPr>
        <w:t xml:space="preserve"> and </w:t>
      </w:r>
      <w:r w:rsidRPr="00D52D01">
        <w:rPr>
          <w:sz w:val="20"/>
        </w:rPr>
        <w:t>Agent in Australia</w:t>
      </w:r>
      <w:r w:rsidRPr="00DD4E1F">
        <w:rPr>
          <w:sz w:val="20"/>
        </w:rPr>
        <w:t xml:space="preserve"> (as defined in </w:t>
      </w:r>
      <w:r>
        <w:rPr>
          <w:sz w:val="20"/>
        </w:rPr>
        <w:t>s</w:t>
      </w:r>
      <w:r w:rsidRPr="00DD4E1F">
        <w:rPr>
          <w:sz w:val="20"/>
        </w:rPr>
        <w:t>ection 118 of the Act).</w:t>
      </w:r>
    </w:p>
    <w:p w14:paraId="2166DFE6" w14:textId="77777777" w:rsidR="0090341D" w:rsidRDefault="0090341D" w:rsidP="0090341D">
      <w:pPr>
        <w:pStyle w:val="FootnoteText"/>
        <w:jc w:val="both"/>
      </w:pPr>
    </w:p>
  </w:footnote>
  <w:footnote w:id="3">
    <w:p w14:paraId="2166DFE7" w14:textId="77777777" w:rsidR="0090341D" w:rsidRPr="00964AF1" w:rsidRDefault="0090341D" w:rsidP="0090341D">
      <w:pPr>
        <w:pStyle w:val="FootnoteText"/>
        <w:ind w:left="567" w:hanging="567"/>
        <w:jc w:val="both"/>
        <w:rPr>
          <w:rFonts w:ascii="Times New Roman" w:hAnsi="Times New Roman"/>
        </w:rPr>
      </w:pPr>
      <w:r w:rsidRPr="00964AF1">
        <w:rPr>
          <w:rStyle w:val="FootnoteReference"/>
          <w:rFonts w:ascii="Times New Roman" w:hAnsi="Times New Roman"/>
        </w:rPr>
        <w:footnoteRef/>
      </w:r>
      <w:r w:rsidRPr="00964AF1">
        <w:rPr>
          <w:rFonts w:ascii="Times New Roman" w:hAnsi="Times New Roman"/>
        </w:rPr>
        <w:t xml:space="preserve"> </w:t>
      </w:r>
      <w:r w:rsidRPr="00964AF1">
        <w:rPr>
          <w:rFonts w:ascii="Times New Roman" w:hAnsi="Times New Roman"/>
        </w:rPr>
        <w:tab/>
        <w:t xml:space="preserve">However, this does not apply to Category C insurers: refer to </w:t>
      </w:r>
      <w:r w:rsidRPr="00152482">
        <w:rPr>
          <w:rFonts w:ascii="Times New Roman" w:hAnsi="Times New Roman"/>
        </w:rPr>
        <w:t xml:space="preserve">paragraphs </w:t>
      </w:r>
      <w:r w:rsidR="00EF23D2">
        <w:rPr>
          <w:rFonts w:ascii="Times New Roman" w:hAnsi="Times New Roman"/>
        </w:rPr>
        <w:fldChar w:fldCharType="begin"/>
      </w:r>
      <w:r>
        <w:rPr>
          <w:rFonts w:ascii="Times New Roman" w:hAnsi="Times New Roman"/>
        </w:rPr>
        <w:instrText xml:space="preserve"> REF _Ref309734981 \r \h </w:instrText>
      </w:r>
      <w:r w:rsidR="00EF23D2">
        <w:rPr>
          <w:rFonts w:ascii="Times New Roman" w:hAnsi="Times New Roman"/>
        </w:rPr>
      </w:r>
      <w:r w:rsidR="00EF23D2">
        <w:rPr>
          <w:rFonts w:ascii="Times New Roman" w:hAnsi="Times New Roman"/>
        </w:rPr>
        <w:fldChar w:fldCharType="separate"/>
      </w:r>
      <w:r w:rsidR="00E00455">
        <w:rPr>
          <w:rFonts w:ascii="Times New Roman" w:hAnsi="Times New Roman"/>
        </w:rPr>
        <w:t>37</w:t>
      </w:r>
      <w:r w:rsidR="00EF23D2">
        <w:rPr>
          <w:rFonts w:ascii="Times New Roman" w:hAnsi="Times New Roman"/>
        </w:rPr>
        <w:fldChar w:fldCharType="end"/>
      </w:r>
      <w:r w:rsidRPr="00152482">
        <w:rPr>
          <w:rFonts w:ascii="Times New Roman" w:hAnsi="Times New Roman"/>
        </w:rPr>
        <w:t xml:space="preserve"> to </w:t>
      </w:r>
      <w:r w:rsidR="00EF23D2">
        <w:rPr>
          <w:rFonts w:ascii="Times New Roman" w:hAnsi="Times New Roman"/>
        </w:rPr>
        <w:fldChar w:fldCharType="begin"/>
      </w:r>
      <w:r>
        <w:rPr>
          <w:rFonts w:ascii="Times New Roman" w:hAnsi="Times New Roman"/>
        </w:rPr>
        <w:instrText xml:space="preserve"> REF _Ref309734988 \r \h </w:instrText>
      </w:r>
      <w:r w:rsidR="00EF23D2">
        <w:rPr>
          <w:rFonts w:ascii="Times New Roman" w:hAnsi="Times New Roman"/>
        </w:rPr>
      </w:r>
      <w:r w:rsidR="00EF23D2">
        <w:rPr>
          <w:rFonts w:ascii="Times New Roman" w:hAnsi="Times New Roman"/>
        </w:rPr>
        <w:fldChar w:fldCharType="separate"/>
      </w:r>
      <w:r w:rsidR="00E00455">
        <w:rPr>
          <w:rFonts w:ascii="Times New Roman" w:hAnsi="Times New Roman"/>
        </w:rPr>
        <w:t>39</w:t>
      </w:r>
      <w:r w:rsidR="00EF23D2">
        <w:rPr>
          <w:rFonts w:ascii="Times New Roman" w:hAnsi="Times New Roman"/>
        </w:rPr>
        <w:fldChar w:fldCharType="end"/>
      </w:r>
      <w:r w:rsidRPr="00152482">
        <w:rPr>
          <w:rFonts w:ascii="Times New Roman" w:hAnsi="Times New Roman"/>
        </w:rPr>
        <w:t>.</w:t>
      </w:r>
      <w:r w:rsidRPr="00964AF1">
        <w:rPr>
          <w:rFonts w:ascii="Times New Roman" w:hAnsi="Times New Roman"/>
        </w:rPr>
        <w:t xml:space="preserve">  </w:t>
      </w:r>
    </w:p>
  </w:footnote>
  <w:footnote w:id="4">
    <w:p w14:paraId="2166DFE8" w14:textId="77777777" w:rsidR="0090341D" w:rsidRPr="00964AF1" w:rsidRDefault="0090341D" w:rsidP="0090341D">
      <w:pPr>
        <w:pStyle w:val="FootnoteText"/>
        <w:ind w:left="567" w:hanging="567"/>
        <w:jc w:val="both"/>
        <w:rPr>
          <w:rFonts w:ascii="Times New Roman" w:hAnsi="Times New Roman"/>
        </w:rPr>
      </w:pPr>
      <w:r w:rsidRPr="00964AF1">
        <w:rPr>
          <w:rStyle w:val="FootnoteReference"/>
          <w:rFonts w:ascii="Times New Roman" w:hAnsi="Times New Roman"/>
        </w:rPr>
        <w:footnoteRef/>
      </w:r>
      <w:r w:rsidRPr="00964AF1">
        <w:rPr>
          <w:rFonts w:ascii="Times New Roman" w:hAnsi="Times New Roman"/>
        </w:rPr>
        <w:t xml:space="preserve"> </w:t>
      </w:r>
      <w:r w:rsidRPr="00964AF1">
        <w:rPr>
          <w:rFonts w:ascii="Times New Roman" w:hAnsi="Times New Roman"/>
        </w:rPr>
        <w:tab/>
        <w:t>Approval will take the form of a modification to this Prudential Standard pursuant to subsection 32(3A) of the Act, which permits APRA to modify a prudential standard to replace particular requirements in the standard with an in-house capital adequacy model.</w:t>
      </w:r>
    </w:p>
  </w:footnote>
  <w:footnote w:id="5">
    <w:p w14:paraId="2166DFE9" w14:textId="77777777" w:rsidR="0090341D" w:rsidRDefault="0090341D" w:rsidP="0090341D">
      <w:pPr>
        <w:pStyle w:val="FootnoteText"/>
        <w:ind w:left="567" w:hanging="567"/>
        <w:jc w:val="both"/>
        <w:rPr>
          <w:rFonts w:ascii="Times New Roman" w:hAnsi="Times New Roman"/>
        </w:rPr>
      </w:pPr>
      <w:r w:rsidRPr="00964AF1">
        <w:rPr>
          <w:rStyle w:val="FootnoteReference"/>
          <w:rFonts w:ascii="Times New Roman" w:hAnsi="Times New Roman"/>
        </w:rPr>
        <w:footnoteRef/>
      </w:r>
      <w:r w:rsidRPr="00964AF1">
        <w:rPr>
          <w:rFonts w:ascii="Times New Roman" w:hAnsi="Times New Roman"/>
        </w:rPr>
        <w:t xml:space="preserve"> </w:t>
      </w:r>
      <w:r w:rsidRPr="00964AF1">
        <w:rPr>
          <w:rFonts w:ascii="Times New Roman" w:hAnsi="Times New Roman"/>
        </w:rPr>
        <w:tab/>
        <w:t xml:space="preserve">An asset will not be counted as an asset in Australia for the purpose of this paragraph if </w:t>
      </w:r>
      <w:r w:rsidRPr="00964AF1">
        <w:rPr>
          <w:rFonts w:ascii="Times New Roman" w:hAnsi="Times New Roman"/>
          <w:i/>
        </w:rPr>
        <w:t xml:space="preserve">Prudential Standard GPS 120 Assets in Australia </w:t>
      </w:r>
      <w:r w:rsidRPr="00964AF1">
        <w:rPr>
          <w:rFonts w:ascii="Times New Roman" w:hAnsi="Times New Roman"/>
        </w:rPr>
        <w:t xml:space="preserve">excludes it from being an asset in Australia for the purpose of paragraph 28(a) of the Act, or it is not otherwise an asset in Australia within the meaning of paragraph 28(a) of the Act. </w:t>
      </w:r>
    </w:p>
  </w:footnote>
  <w:footnote w:id="6">
    <w:p w14:paraId="2166DFEA" w14:textId="77777777" w:rsidR="0090341D" w:rsidRDefault="0090341D" w:rsidP="0090341D">
      <w:pPr>
        <w:pStyle w:val="FootnoteText"/>
        <w:ind w:left="567" w:hanging="567"/>
        <w:jc w:val="both"/>
      </w:pPr>
      <w:r w:rsidRPr="00B0639A">
        <w:rPr>
          <w:rStyle w:val="FootnoteReference"/>
          <w:rFonts w:ascii="Times New Roman" w:hAnsi="Times New Roman"/>
        </w:rPr>
        <w:footnoteRef/>
      </w:r>
      <w:r>
        <w:t xml:space="preserve"> </w:t>
      </w:r>
      <w:r>
        <w:tab/>
      </w:r>
      <w:r w:rsidRPr="00306015">
        <w:rPr>
          <w:rFonts w:ascii="Times New Roman" w:hAnsi="Times New Roman"/>
        </w:rPr>
        <w:t xml:space="preserve">This item must separately identify any transition amount approved by APRA under the </w:t>
      </w:r>
      <w:r w:rsidRPr="001B4146">
        <w:rPr>
          <w:rFonts w:ascii="Times New Roman" w:hAnsi="Times New Roman"/>
          <w:b/>
        </w:rPr>
        <w:t>capital standards</w:t>
      </w:r>
      <w:r w:rsidRPr="00306015">
        <w:rPr>
          <w:rFonts w:ascii="Times New Roman" w:hAnsi="Times New Roman"/>
        </w:rPr>
        <w:t>.</w:t>
      </w:r>
    </w:p>
  </w:footnote>
  <w:footnote w:id="7">
    <w:p w14:paraId="2166DFEB" w14:textId="77777777" w:rsidR="0090341D" w:rsidRDefault="0090341D" w:rsidP="0090341D">
      <w:pPr>
        <w:pStyle w:val="FootnoteText"/>
        <w:tabs>
          <w:tab w:val="left" w:pos="567"/>
        </w:tabs>
        <w:ind w:left="567" w:hanging="567"/>
        <w:jc w:val="both"/>
      </w:pPr>
      <w:r w:rsidRPr="008239B7">
        <w:rPr>
          <w:rStyle w:val="FootnoteReference"/>
          <w:rFonts w:ascii="Times New Roman" w:hAnsi="Times New Roman"/>
        </w:rPr>
        <w:footnoteRef/>
      </w:r>
      <w:r w:rsidRPr="008239B7">
        <w:rPr>
          <w:rFonts w:ascii="Times New Roman" w:hAnsi="Times New Roman"/>
        </w:rPr>
        <w:t xml:space="preserve"> </w:t>
      </w:r>
      <w:r>
        <w:tab/>
      </w:r>
      <w:r w:rsidRPr="008239B7">
        <w:rPr>
          <w:rFonts w:ascii="Times New Roman" w:hAnsi="Times New Roman"/>
        </w:rPr>
        <w:t>‘</w:t>
      </w:r>
      <w:r>
        <w:rPr>
          <w:rFonts w:ascii="Times New Roman" w:hAnsi="Times New Roman"/>
        </w:rPr>
        <w:t>F</w:t>
      </w:r>
      <w:r w:rsidRPr="008239B7">
        <w:rPr>
          <w:rFonts w:ascii="Times New Roman" w:hAnsi="Times New Roman"/>
        </w:rPr>
        <w:t xml:space="preserve">inancial year’ </w:t>
      </w:r>
      <w:r>
        <w:rPr>
          <w:rFonts w:ascii="Times New Roman" w:hAnsi="Times New Roman"/>
        </w:rPr>
        <w:t>means the last four quarters for which the insurer was required to submit quarterly returns, or the last two six monthly periods for which the Level 2 insurance group was required to submit semi</w:t>
      </w:r>
      <w:r w:rsidRPr="00C555CB">
        <w:rPr>
          <w:rFonts w:ascii="Times New Roman" w:hAnsi="Times New Roman"/>
          <w:b/>
        </w:rPr>
        <w:t>-</w:t>
      </w:r>
      <w:r>
        <w:rPr>
          <w:rFonts w:ascii="Times New Roman" w:hAnsi="Times New Roman"/>
        </w:rPr>
        <w:t>annual returns, in accordance with reporting standards made under the Collection of Data Act, to APRA preceding the date of the proposed dividend.</w:t>
      </w:r>
      <w:r w:rsidRPr="00D113D8">
        <w:rPr>
          <w:rFonts w:ascii="Times New Roman" w:hAnsi="Times New Roman"/>
        </w:rPr>
        <w:t xml:space="preserve"> </w:t>
      </w:r>
      <w:r w:rsidRPr="008239B7">
        <w:rPr>
          <w:rFonts w:ascii="Times New Roman" w:hAnsi="Times New Roman"/>
        </w:rPr>
        <w:t>For avoidance of doubt, the definition of ‘financial year’ in GPS 001 does not apply for the purposes of this paragraph.</w:t>
      </w:r>
    </w:p>
  </w:footnote>
  <w:footnote w:id="8">
    <w:p w14:paraId="2166DFEC" w14:textId="77777777" w:rsidR="0090341D" w:rsidRDefault="0090341D" w:rsidP="0090341D">
      <w:pPr>
        <w:pStyle w:val="FootnoteText"/>
        <w:ind w:left="567" w:hanging="567"/>
        <w:jc w:val="both"/>
      </w:pPr>
      <w:r w:rsidRPr="00B0639A">
        <w:rPr>
          <w:rStyle w:val="FootnoteReference"/>
          <w:rFonts w:ascii="Times New Roman" w:hAnsi="Times New Roman"/>
        </w:rPr>
        <w:footnoteRef/>
      </w:r>
      <w:r>
        <w:t xml:space="preserve"> </w:t>
      </w:r>
      <w:r>
        <w:tab/>
      </w:r>
      <w:r w:rsidRPr="009E433F">
        <w:rPr>
          <w:rFonts w:ascii="Times New Roman" w:hAnsi="Times New Roman"/>
        </w:rPr>
        <w:t>Measured in accordance with the Collection of Data Act</w:t>
      </w:r>
      <w:r>
        <w:rPr>
          <w:rFonts w:ascii="Times New Roman" w:hAnsi="Times New Roman"/>
        </w:rPr>
        <w:t>.</w:t>
      </w:r>
    </w:p>
  </w:footnote>
  <w:footnote w:id="9">
    <w:p w14:paraId="2166DFED" w14:textId="5CFB7872" w:rsidR="0090341D" w:rsidRPr="00964AF1" w:rsidRDefault="0090341D" w:rsidP="0090341D">
      <w:pPr>
        <w:pStyle w:val="FootnoteText"/>
        <w:ind w:left="567" w:hanging="567"/>
        <w:jc w:val="both"/>
        <w:rPr>
          <w:rFonts w:ascii="Times New Roman" w:hAnsi="Times New Roman"/>
          <w:i/>
        </w:rPr>
      </w:pPr>
      <w:r w:rsidRPr="00964AF1">
        <w:rPr>
          <w:rStyle w:val="FootnoteReference"/>
          <w:rFonts w:ascii="Times New Roman" w:hAnsi="Times New Roman"/>
        </w:rPr>
        <w:footnoteRef/>
      </w:r>
      <w:r w:rsidRPr="00964AF1">
        <w:rPr>
          <w:rFonts w:ascii="Times New Roman" w:hAnsi="Times New Roman"/>
        </w:rPr>
        <w:t xml:space="preserve"> </w:t>
      </w:r>
      <w:r w:rsidRPr="00964AF1">
        <w:rPr>
          <w:rFonts w:ascii="Times New Roman" w:hAnsi="Times New Roman"/>
        </w:rPr>
        <w:tab/>
        <w:t xml:space="preserve">Where an insurer does not have an Appointed Actuary, the insurer must ensure that the actuary engaged to provide this valuation meets the fit and proper criteria applicable to an Appointed Actuary under </w:t>
      </w:r>
      <w:r w:rsidRPr="00964AF1">
        <w:rPr>
          <w:rFonts w:ascii="Times New Roman" w:hAnsi="Times New Roman"/>
          <w:i/>
        </w:rPr>
        <w:t xml:space="preserve">Prudential Standard </w:t>
      </w:r>
      <w:r w:rsidR="007233D7">
        <w:rPr>
          <w:rFonts w:ascii="Times New Roman" w:hAnsi="Times New Roman"/>
          <w:i/>
        </w:rPr>
        <w:t>C</w:t>
      </w:r>
      <w:r w:rsidRPr="00964AF1">
        <w:rPr>
          <w:rFonts w:ascii="Times New Roman" w:hAnsi="Times New Roman"/>
          <w:i/>
        </w:rPr>
        <w:t>PS 520 Fit and Proper.</w:t>
      </w:r>
    </w:p>
  </w:footnote>
  <w:footnote w:id="10">
    <w:p w14:paraId="2166DFEE" w14:textId="77777777" w:rsidR="0090341D" w:rsidRPr="00964AF1" w:rsidRDefault="0090341D" w:rsidP="0090341D">
      <w:pPr>
        <w:pStyle w:val="FootnoteText"/>
        <w:ind w:left="567" w:hanging="567"/>
        <w:jc w:val="both"/>
        <w:rPr>
          <w:rFonts w:ascii="Times New Roman" w:hAnsi="Times New Roman"/>
        </w:rPr>
      </w:pPr>
      <w:r w:rsidRPr="00964AF1">
        <w:rPr>
          <w:rStyle w:val="FootnoteReference"/>
          <w:rFonts w:ascii="Times New Roman" w:hAnsi="Times New Roman"/>
        </w:rPr>
        <w:footnoteRef/>
      </w:r>
      <w:r w:rsidRPr="00964AF1">
        <w:rPr>
          <w:rFonts w:ascii="Times New Roman" w:hAnsi="Times New Roman"/>
        </w:rPr>
        <w:t xml:space="preserve"> </w:t>
      </w:r>
      <w:r w:rsidRPr="00964AF1">
        <w:rPr>
          <w:rFonts w:ascii="Times New Roman" w:hAnsi="Times New Roman"/>
        </w:rPr>
        <w:tab/>
        <w:t>For example, the head office of a Category C insurer might cause a liability of another offshore branch to become a liability of the Category C insurer in Australia. If this change is unfunded, there will effectively be a weakening of the net assets in Australia of the Category C insurer but not an actual direct repatriation of assets. APRA will view this as amounting to an indirect repatriation of assets from Australia.</w:t>
      </w:r>
    </w:p>
  </w:footnote>
  <w:footnote w:id="11">
    <w:p w14:paraId="2166DFEF" w14:textId="36489F4E" w:rsidR="00C13D82" w:rsidRPr="00C13D82" w:rsidRDefault="00C13D82" w:rsidP="00C13D82">
      <w:pPr>
        <w:pStyle w:val="FootnoteText"/>
        <w:ind w:left="567" w:hanging="567"/>
        <w:rPr>
          <w:rFonts w:ascii="Times New Roman" w:hAnsi="Times New Roman"/>
        </w:rPr>
      </w:pPr>
      <w:r w:rsidRPr="00C13D82">
        <w:rPr>
          <w:rStyle w:val="FootnoteReference"/>
          <w:rFonts w:ascii="Times New Roman" w:hAnsi="Times New Roman"/>
        </w:rPr>
        <w:footnoteRef/>
      </w:r>
      <w:r w:rsidRPr="00C13D82">
        <w:rPr>
          <w:rFonts w:ascii="Times New Roman" w:hAnsi="Times New Roman"/>
        </w:rPr>
        <w:t xml:space="preserve"> </w:t>
      </w:r>
      <w:r w:rsidRPr="00C13D82">
        <w:rPr>
          <w:rFonts w:ascii="Times New Roman" w:hAnsi="Times New Roman"/>
        </w:rPr>
        <w:tab/>
        <w:t xml:space="preserve">A review of the run-off plan by the Appointed Actuary is required under </w:t>
      </w:r>
      <w:r w:rsidR="009B01E2">
        <w:rPr>
          <w:rFonts w:ascii="Times New Roman" w:hAnsi="Times New Roman"/>
        </w:rPr>
        <w:t>C</w:t>
      </w:r>
      <w:r w:rsidRPr="00C13D82">
        <w:rPr>
          <w:rFonts w:ascii="Times New Roman" w:hAnsi="Times New Roman"/>
        </w:rPr>
        <w:t>PS 320.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D67C2B" w14:textId="77777777" w:rsidR="000B5A34" w:rsidRDefault="000B5A34" w:rsidP="00E1060A">
    <w:pPr>
      <w:pStyle w:val="Header"/>
      <w:jc w:val="right"/>
    </w:pPr>
    <w:r>
      <w:t>July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34124"/>
    <w:multiLevelType w:val="hybridMultilevel"/>
    <w:tmpl w:val="4A5C01B0"/>
    <w:lvl w:ilvl="0" w:tplc="15BC0FA6">
      <w:start w:val="1"/>
      <w:numFmt w:val="lowerLetter"/>
      <w:lvlText w:val="(%1)"/>
      <w:lvlJc w:val="left"/>
      <w:pPr>
        <w:ind w:left="1080" w:hanging="360"/>
      </w:pPr>
      <w:rPr>
        <w:rFonts w:ascii="Times New Roman" w:eastAsia="Times New Roman" w:hAnsi="Times New Roman" w:cs="Times New Roman"/>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D8671CB"/>
    <w:multiLevelType w:val="hybridMultilevel"/>
    <w:tmpl w:val="AE52EA72"/>
    <w:lvl w:ilvl="0" w:tplc="99085F52">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26A22A9"/>
    <w:multiLevelType w:val="hybridMultilevel"/>
    <w:tmpl w:val="F8CE81C0"/>
    <w:lvl w:ilvl="0" w:tplc="C57224C2">
      <w:start w:val="1"/>
      <w:numFmt w:val="decimal"/>
      <w:pStyle w:val="ListParagraph"/>
      <w:lvlText w:val="%1."/>
      <w:lvlJc w:val="left"/>
      <w:pPr>
        <w:ind w:left="1778" w:hanging="360"/>
      </w:pPr>
      <w:rPr>
        <w:rFonts w:ascii="Times New Roman" w:hAnsi="Times New Roman" w:cs="Times New Roman" w:hint="default"/>
      </w:rPr>
    </w:lvl>
    <w:lvl w:ilvl="1" w:tplc="67F6A29C">
      <w:start w:val="1"/>
      <w:numFmt w:val="lowerLetter"/>
      <w:lvlText w:val="(%2)"/>
      <w:lvlJc w:val="left"/>
      <w:pPr>
        <w:ind w:left="2160" w:hanging="360"/>
      </w:pPr>
      <w:rPr>
        <w:rFonts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12D47222"/>
    <w:multiLevelType w:val="multilevel"/>
    <w:tmpl w:val="04D25A64"/>
    <w:lvl w:ilvl="0">
      <w:start w:val="1"/>
      <w:numFmt w:val="decimal"/>
      <w:lvlText w:val="%1."/>
      <w:lvlJc w:val="left"/>
      <w:pPr>
        <w:tabs>
          <w:tab w:val="num" w:pos="567"/>
        </w:tabs>
        <w:ind w:left="567" w:hanging="567"/>
      </w:pPr>
      <w:rPr>
        <w:rFonts w:ascii="Times New Roman" w:hAnsi="Times New Roman" w:hint="default"/>
        <w:b w:val="0"/>
        <w:i w:val="0"/>
        <w:sz w:val="24"/>
        <w:szCs w:val="24"/>
      </w:rPr>
    </w:lvl>
    <w:lvl w:ilvl="1">
      <w:start w:val="1"/>
      <w:numFmt w:val="lowerLetter"/>
      <w:lvlText w:val="%2."/>
      <w:lvlJc w:val="left"/>
      <w:pPr>
        <w:ind w:left="1440" w:hanging="360"/>
      </w:pPr>
    </w:lvl>
    <w:lvl w:ilvl="2">
      <w:start w:val="2"/>
      <w:numFmt w:val="lowerRoman"/>
      <w:lvlText w:val="(%3)"/>
      <w:lvlJc w:val="left"/>
      <w:pPr>
        <w:ind w:left="2700" w:hanging="72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212C5C73"/>
    <w:multiLevelType w:val="hybridMultilevel"/>
    <w:tmpl w:val="AE52EA72"/>
    <w:lvl w:ilvl="0" w:tplc="99085F52">
      <w:start w:val="1"/>
      <w:numFmt w:val="lowerLetter"/>
      <w:lvlText w:val="(%1)"/>
      <w:lvlJc w:val="left"/>
      <w:pPr>
        <w:ind w:left="927" w:hanging="360"/>
      </w:pPr>
      <w:rPr>
        <w:rFonts w:hint="default"/>
        <w:i w:val="0"/>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5" w15:restartNumberingAfterBreak="0">
    <w:nsid w:val="23412BA2"/>
    <w:multiLevelType w:val="hybridMultilevel"/>
    <w:tmpl w:val="9F76DDDE"/>
    <w:lvl w:ilvl="0" w:tplc="F99A0FDA">
      <w:start w:val="1"/>
      <w:numFmt w:val="lowerLetter"/>
      <w:lvlText w:val="(%1)"/>
      <w:lvlJc w:val="left"/>
      <w:pPr>
        <w:ind w:left="942" w:hanging="375"/>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6" w15:restartNumberingAfterBreak="0">
    <w:nsid w:val="2BB73F7E"/>
    <w:multiLevelType w:val="hybridMultilevel"/>
    <w:tmpl w:val="5AF6FD1A"/>
    <w:lvl w:ilvl="0" w:tplc="46F47C70">
      <w:start w:val="2"/>
      <w:numFmt w:val="lowerRoman"/>
      <w:lvlText w:val="(%1)"/>
      <w:lvlJc w:val="left"/>
      <w:pPr>
        <w:ind w:left="2007" w:hanging="720"/>
      </w:pPr>
      <w:rPr>
        <w:rFonts w:hint="default"/>
      </w:rPr>
    </w:lvl>
    <w:lvl w:ilvl="1" w:tplc="0C090019" w:tentative="1">
      <w:start w:val="1"/>
      <w:numFmt w:val="lowerLetter"/>
      <w:lvlText w:val="%2."/>
      <w:lvlJc w:val="left"/>
      <w:pPr>
        <w:ind w:left="2367" w:hanging="360"/>
      </w:pPr>
    </w:lvl>
    <w:lvl w:ilvl="2" w:tplc="0C09001B" w:tentative="1">
      <w:start w:val="1"/>
      <w:numFmt w:val="lowerRoman"/>
      <w:lvlText w:val="%3."/>
      <w:lvlJc w:val="right"/>
      <w:pPr>
        <w:ind w:left="3087" w:hanging="180"/>
      </w:pPr>
    </w:lvl>
    <w:lvl w:ilvl="3" w:tplc="0C09000F" w:tentative="1">
      <w:start w:val="1"/>
      <w:numFmt w:val="decimal"/>
      <w:lvlText w:val="%4."/>
      <w:lvlJc w:val="left"/>
      <w:pPr>
        <w:ind w:left="3807" w:hanging="360"/>
      </w:pPr>
    </w:lvl>
    <w:lvl w:ilvl="4" w:tplc="0C090019" w:tentative="1">
      <w:start w:val="1"/>
      <w:numFmt w:val="lowerLetter"/>
      <w:lvlText w:val="%5."/>
      <w:lvlJc w:val="left"/>
      <w:pPr>
        <w:ind w:left="4527" w:hanging="360"/>
      </w:pPr>
    </w:lvl>
    <w:lvl w:ilvl="5" w:tplc="0C09001B" w:tentative="1">
      <w:start w:val="1"/>
      <w:numFmt w:val="lowerRoman"/>
      <w:lvlText w:val="%6."/>
      <w:lvlJc w:val="right"/>
      <w:pPr>
        <w:ind w:left="5247" w:hanging="180"/>
      </w:pPr>
    </w:lvl>
    <w:lvl w:ilvl="6" w:tplc="0C09000F" w:tentative="1">
      <w:start w:val="1"/>
      <w:numFmt w:val="decimal"/>
      <w:lvlText w:val="%7."/>
      <w:lvlJc w:val="left"/>
      <w:pPr>
        <w:ind w:left="5967" w:hanging="360"/>
      </w:pPr>
    </w:lvl>
    <w:lvl w:ilvl="7" w:tplc="0C090019" w:tentative="1">
      <w:start w:val="1"/>
      <w:numFmt w:val="lowerLetter"/>
      <w:lvlText w:val="%8."/>
      <w:lvlJc w:val="left"/>
      <w:pPr>
        <w:ind w:left="6687" w:hanging="360"/>
      </w:pPr>
    </w:lvl>
    <w:lvl w:ilvl="8" w:tplc="0C09001B" w:tentative="1">
      <w:start w:val="1"/>
      <w:numFmt w:val="lowerRoman"/>
      <w:lvlText w:val="%9."/>
      <w:lvlJc w:val="right"/>
      <w:pPr>
        <w:ind w:left="7407" w:hanging="180"/>
      </w:pPr>
    </w:lvl>
  </w:abstractNum>
  <w:abstractNum w:abstractNumId="7" w15:restartNumberingAfterBreak="0">
    <w:nsid w:val="2E3C7D37"/>
    <w:multiLevelType w:val="hybridMultilevel"/>
    <w:tmpl w:val="FCF87878"/>
    <w:lvl w:ilvl="0" w:tplc="6E866CB8">
      <w:start w:val="1"/>
      <w:numFmt w:val="lowerLetter"/>
      <w:lvlText w:val="(%1)"/>
      <w:lvlJc w:val="left"/>
      <w:pPr>
        <w:tabs>
          <w:tab w:val="num" w:pos="1134"/>
        </w:tabs>
        <w:ind w:left="1134" w:hanging="567"/>
      </w:pPr>
      <w:rPr>
        <w:rFonts w:ascii="Times New Roman" w:hAnsi="Times New Roman" w:hint="default"/>
        <w:b w:val="0"/>
        <w:i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37A873A2"/>
    <w:multiLevelType w:val="hybridMultilevel"/>
    <w:tmpl w:val="B524D77C"/>
    <w:lvl w:ilvl="0" w:tplc="67F6A29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9E24AE6"/>
    <w:multiLevelType w:val="hybridMultilevel"/>
    <w:tmpl w:val="4B6245AE"/>
    <w:lvl w:ilvl="0" w:tplc="FC0ACD4C">
      <w:start w:val="1"/>
      <w:numFmt w:val="bullet"/>
      <w:pStyle w:val="NoSpacing"/>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A0F113A"/>
    <w:multiLevelType w:val="hybridMultilevel"/>
    <w:tmpl w:val="F74242E6"/>
    <w:lvl w:ilvl="0" w:tplc="67F6A29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D482A94"/>
    <w:multiLevelType w:val="hybridMultilevel"/>
    <w:tmpl w:val="4ED0D814"/>
    <w:lvl w:ilvl="0" w:tplc="FFFFFFFF">
      <w:start w:val="1"/>
      <w:numFmt w:val="lowerLetter"/>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610"/>
        </w:tabs>
        <w:ind w:left="610" w:hanging="360"/>
      </w:pPr>
    </w:lvl>
    <w:lvl w:ilvl="2" w:tplc="FFFFFFFF" w:tentative="1">
      <w:start w:val="1"/>
      <w:numFmt w:val="lowerRoman"/>
      <w:lvlText w:val="%3."/>
      <w:lvlJc w:val="right"/>
      <w:pPr>
        <w:tabs>
          <w:tab w:val="num" w:pos="1330"/>
        </w:tabs>
        <w:ind w:left="1330" w:hanging="180"/>
      </w:pPr>
    </w:lvl>
    <w:lvl w:ilvl="3" w:tplc="FFFFFFFF" w:tentative="1">
      <w:start w:val="1"/>
      <w:numFmt w:val="decimal"/>
      <w:lvlText w:val="%4."/>
      <w:lvlJc w:val="left"/>
      <w:pPr>
        <w:tabs>
          <w:tab w:val="num" w:pos="2050"/>
        </w:tabs>
        <w:ind w:left="2050" w:hanging="360"/>
      </w:pPr>
    </w:lvl>
    <w:lvl w:ilvl="4" w:tplc="FFFFFFFF" w:tentative="1">
      <w:start w:val="1"/>
      <w:numFmt w:val="lowerLetter"/>
      <w:lvlText w:val="%5."/>
      <w:lvlJc w:val="left"/>
      <w:pPr>
        <w:tabs>
          <w:tab w:val="num" w:pos="2770"/>
        </w:tabs>
        <w:ind w:left="2770" w:hanging="360"/>
      </w:pPr>
    </w:lvl>
    <w:lvl w:ilvl="5" w:tplc="FFFFFFFF" w:tentative="1">
      <w:start w:val="1"/>
      <w:numFmt w:val="lowerRoman"/>
      <w:lvlText w:val="%6."/>
      <w:lvlJc w:val="right"/>
      <w:pPr>
        <w:tabs>
          <w:tab w:val="num" w:pos="3490"/>
        </w:tabs>
        <w:ind w:left="3490" w:hanging="180"/>
      </w:pPr>
    </w:lvl>
    <w:lvl w:ilvl="6" w:tplc="FFFFFFFF" w:tentative="1">
      <w:start w:val="1"/>
      <w:numFmt w:val="decimal"/>
      <w:lvlText w:val="%7."/>
      <w:lvlJc w:val="left"/>
      <w:pPr>
        <w:tabs>
          <w:tab w:val="num" w:pos="4210"/>
        </w:tabs>
        <w:ind w:left="4210" w:hanging="360"/>
      </w:pPr>
    </w:lvl>
    <w:lvl w:ilvl="7" w:tplc="FFFFFFFF" w:tentative="1">
      <w:start w:val="1"/>
      <w:numFmt w:val="lowerLetter"/>
      <w:lvlText w:val="%8."/>
      <w:lvlJc w:val="left"/>
      <w:pPr>
        <w:tabs>
          <w:tab w:val="num" w:pos="4930"/>
        </w:tabs>
        <w:ind w:left="4930" w:hanging="360"/>
      </w:pPr>
    </w:lvl>
    <w:lvl w:ilvl="8" w:tplc="FFFFFFFF" w:tentative="1">
      <w:start w:val="1"/>
      <w:numFmt w:val="lowerRoman"/>
      <w:lvlText w:val="%9."/>
      <w:lvlJc w:val="right"/>
      <w:pPr>
        <w:tabs>
          <w:tab w:val="num" w:pos="5650"/>
        </w:tabs>
        <w:ind w:left="5650" w:hanging="180"/>
      </w:pPr>
    </w:lvl>
  </w:abstractNum>
  <w:abstractNum w:abstractNumId="12" w15:restartNumberingAfterBreak="0">
    <w:nsid w:val="45FE70FC"/>
    <w:multiLevelType w:val="singleLevel"/>
    <w:tmpl w:val="7B7CDF48"/>
    <w:lvl w:ilvl="0">
      <w:start w:val="1"/>
      <w:numFmt w:val="decimal"/>
      <w:pStyle w:val="BodyText"/>
      <w:lvlText w:val="%1."/>
      <w:lvlJc w:val="left"/>
      <w:pPr>
        <w:tabs>
          <w:tab w:val="num" w:pos="567"/>
        </w:tabs>
        <w:ind w:left="567" w:hanging="567"/>
      </w:pPr>
      <w:rPr>
        <w:rFonts w:ascii="Times New Roman" w:hAnsi="Times New Roman"/>
        <w:b w:val="0"/>
        <w:i w:val="0"/>
      </w:rPr>
    </w:lvl>
  </w:abstractNum>
  <w:abstractNum w:abstractNumId="13" w15:restartNumberingAfterBreak="0">
    <w:nsid w:val="4A7B19B0"/>
    <w:multiLevelType w:val="hybridMultilevel"/>
    <w:tmpl w:val="AE52EA72"/>
    <w:lvl w:ilvl="0" w:tplc="99085F52">
      <w:start w:val="1"/>
      <w:numFmt w:val="lowerLetter"/>
      <w:lvlText w:val="(%1)"/>
      <w:lvlJc w:val="left"/>
      <w:pPr>
        <w:ind w:left="927" w:hanging="360"/>
      </w:pPr>
      <w:rPr>
        <w:rFonts w:hint="default"/>
        <w:i w:val="0"/>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4" w15:restartNumberingAfterBreak="0">
    <w:nsid w:val="4F1D453C"/>
    <w:multiLevelType w:val="hybridMultilevel"/>
    <w:tmpl w:val="07303C3E"/>
    <w:lvl w:ilvl="0" w:tplc="03A2C6F4">
      <w:start w:val="1"/>
      <w:numFmt w:val="lowerLetter"/>
      <w:lvlText w:val="(%1)"/>
      <w:lvlJc w:val="left"/>
      <w:pPr>
        <w:ind w:left="1077" w:hanging="360"/>
      </w:pPr>
      <w:rPr>
        <w:rFonts w:hint="default"/>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5" w15:restartNumberingAfterBreak="0">
    <w:nsid w:val="538A14A8"/>
    <w:multiLevelType w:val="hybridMultilevel"/>
    <w:tmpl w:val="DDFCC090"/>
    <w:lvl w:ilvl="0" w:tplc="41907E00">
      <w:start w:val="1"/>
      <w:numFmt w:val="lowerLetter"/>
      <w:lvlText w:val="(%1)"/>
      <w:lvlJc w:val="left"/>
      <w:pPr>
        <w:ind w:left="720" w:hanging="360"/>
      </w:pPr>
      <w:rPr>
        <w:rFonts w:hint="default"/>
        <w:color w:val="auto"/>
      </w:rPr>
    </w:lvl>
    <w:lvl w:ilvl="1" w:tplc="989E7CA8">
      <w:start w:val="1"/>
      <w:numFmt w:val="lowerRoman"/>
      <w:lvlText w:val="(%2)"/>
      <w:lvlJc w:val="center"/>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570779C"/>
    <w:multiLevelType w:val="hybridMultilevel"/>
    <w:tmpl w:val="B8566B16"/>
    <w:lvl w:ilvl="0" w:tplc="8E68B6AE">
      <w:start w:val="1"/>
      <w:numFmt w:val="lowerLetter"/>
      <w:lvlText w:val="(%1)"/>
      <w:lvlJc w:val="left"/>
      <w:pPr>
        <w:ind w:left="1437" w:hanging="87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7" w15:restartNumberingAfterBreak="0">
    <w:nsid w:val="60E4644D"/>
    <w:multiLevelType w:val="hybridMultilevel"/>
    <w:tmpl w:val="B5B6A6D8"/>
    <w:lvl w:ilvl="0" w:tplc="D3AE3B48">
      <w:start w:val="1"/>
      <w:numFmt w:val="lowerLetter"/>
      <w:lvlText w:val="(%1)"/>
      <w:lvlJc w:val="left"/>
      <w:pPr>
        <w:ind w:left="927" w:hanging="360"/>
      </w:pPr>
      <w:rPr>
        <w:rFonts w:hint="default"/>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8" w15:restartNumberingAfterBreak="0">
    <w:nsid w:val="644B66D8"/>
    <w:multiLevelType w:val="singleLevel"/>
    <w:tmpl w:val="37C634A0"/>
    <w:lvl w:ilvl="0">
      <w:start w:val="1"/>
      <w:numFmt w:val="bullet"/>
      <w:pStyle w:val="Bullets"/>
      <w:lvlText w:val=""/>
      <w:lvlJc w:val="left"/>
      <w:pPr>
        <w:tabs>
          <w:tab w:val="num" w:pos="851"/>
        </w:tabs>
        <w:ind w:left="851" w:hanging="851"/>
      </w:pPr>
      <w:rPr>
        <w:rFonts w:ascii="Symbol" w:hAnsi="Symbol" w:hint="default"/>
      </w:rPr>
    </w:lvl>
  </w:abstractNum>
  <w:abstractNum w:abstractNumId="19" w15:restartNumberingAfterBreak="0">
    <w:nsid w:val="695E767D"/>
    <w:multiLevelType w:val="hybridMultilevel"/>
    <w:tmpl w:val="F0A80008"/>
    <w:lvl w:ilvl="0" w:tplc="DBBC7714">
      <w:start w:val="1"/>
      <w:numFmt w:val="lowerLetter"/>
      <w:lvlText w:val="(%1)"/>
      <w:lvlJc w:val="left"/>
      <w:pPr>
        <w:tabs>
          <w:tab w:val="num" w:pos="1134"/>
        </w:tabs>
        <w:ind w:left="1134" w:hanging="567"/>
      </w:pPr>
      <w:rPr>
        <w:rFonts w:ascii="Times New Roman" w:hAnsi="Times New Roman" w:hint="default"/>
        <w:b w:val="0"/>
        <w:i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6C554A8B"/>
    <w:multiLevelType w:val="hybridMultilevel"/>
    <w:tmpl w:val="F74242E6"/>
    <w:lvl w:ilvl="0" w:tplc="67F6A29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C886196"/>
    <w:multiLevelType w:val="hybridMultilevel"/>
    <w:tmpl w:val="1F0EE7B2"/>
    <w:lvl w:ilvl="0" w:tplc="6E66AA20">
      <w:start w:val="1"/>
      <w:numFmt w:val="lowerLetter"/>
      <w:lvlText w:val="(%1)"/>
      <w:lvlJc w:val="left"/>
      <w:pPr>
        <w:ind w:left="720" w:hanging="360"/>
      </w:pPr>
      <w:rPr>
        <w:rFonts w:ascii="Times New Roman" w:hAnsi="Times New Roman" w:hint="default"/>
        <w:b w:val="0"/>
        <w:i w:val="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DD314EF"/>
    <w:multiLevelType w:val="singleLevel"/>
    <w:tmpl w:val="05EC9F4A"/>
    <w:lvl w:ilvl="0">
      <w:start w:val="1"/>
      <w:numFmt w:val="lowerLetter"/>
      <w:pStyle w:val="bullet"/>
      <w:lvlText w:val="(%1)"/>
      <w:lvlJc w:val="left"/>
      <w:pPr>
        <w:tabs>
          <w:tab w:val="num" w:pos="1134"/>
        </w:tabs>
        <w:ind w:left="1134" w:hanging="567"/>
      </w:pPr>
      <w:rPr>
        <w:rFonts w:hint="default"/>
        <w:sz w:val="24"/>
        <w:szCs w:val="24"/>
      </w:rPr>
    </w:lvl>
  </w:abstractNum>
  <w:abstractNum w:abstractNumId="23" w15:restartNumberingAfterBreak="0">
    <w:nsid w:val="6E062765"/>
    <w:multiLevelType w:val="hybridMultilevel"/>
    <w:tmpl w:val="EB9691DE"/>
    <w:lvl w:ilvl="0" w:tplc="E9E6AA90">
      <w:start w:val="9"/>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4" w15:restartNumberingAfterBreak="0">
    <w:nsid w:val="6EF44432"/>
    <w:multiLevelType w:val="hybridMultilevel"/>
    <w:tmpl w:val="F74242E6"/>
    <w:lvl w:ilvl="0" w:tplc="67F6A29C">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F1305C3"/>
    <w:multiLevelType w:val="hybridMultilevel"/>
    <w:tmpl w:val="54DE3EAC"/>
    <w:lvl w:ilvl="0" w:tplc="5DE6D7A4">
      <w:start w:val="1"/>
      <w:numFmt w:val="lowerLetter"/>
      <w:lvlText w:val="(%1)"/>
      <w:lvlJc w:val="left"/>
      <w:pPr>
        <w:ind w:left="1077" w:hanging="360"/>
      </w:pPr>
      <w:rPr>
        <w:rFonts w:hint="default"/>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26" w15:restartNumberingAfterBreak="0">
    <w:nsid w:val="74E4161B"/>
    <w:multiLevelType w:val="hybridMultilevel"/>
    <w:tmpl w:val="F74242E6"/>
    <w:lvl w:ilvl="0" w:tplc="67F6A29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9840EEF"/>
    <w:multiLevelType w:val="hybridMultilevel"/>
    <w:tmpl w:val="4A5C01B0"/>
    <w:lvl w:ilvl="0" w:tplc="15BC0FA6">
      <w:start w:val="1"/>
      <w:numFmt w:val="lowerLetter"/>
      <w:lvlText w:val="(%1)"/>
      <w:lvlJc w:val="left"/>
      <w:pPr>
        <w:ind w:left="1080" w:hanging="360"/>
      </w:pPr>
      <w:rPr>
        <w:rFonts w:ascii="Times New Roman" w:eastAsia="Times New Roman" w:hAnsi="Times New Roman" w:cs="Times New Roman"/>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7CBD26EE"/>
    <w:multiLevelType w:val="hybridMultilevel"/>
    <w:tmpl w:val="BE6E15DC"/>
    <w:lvl w:ilvl="0" w:tplc="3ACAE5E8">
      <w:start w:val="1"/>
      <w:numFmt w:val="lowerLetter"/>
      <w:lvlText w:val="(%1)"/>
      <w:lvlJc w:val="left"/>
      <w:pPr>
        <w:tabs>
          <w:tab w:val="num" w:pos="1134"/>
        </w:tabs>
        <w:ind w:left="1134" w:hanging="567"/>
      </w:pPr>
      <w:rPr>
        <w:rFonts w:ascii="Times New Roman" w:hAnsi="Times New Roman" w:hint="default"/>
        <w:b w:val="0"/>
        <w:i w:val="0"/>
        <w:sz w:val="24"/>
        <w:szCs w:val="24"/>
      </w:rPr>
    </w:lvl>
    <w:lvl w:ilvl="1" w:tplc="E93AEED0">
      <w:start w:val="1"/>
      <w:numFmt w:val="lowerLetter"/>
      <w:lvlText w:val="(%2)"/>
      <w:lvlJc w:val="left"/>
      <w:pPr>
        <w:tabs>
          <w:tab w:val="num" w:pos="1134"/>
        </w:tabs>
        <w:ind w:left="1134" w:hanging="567"/>
      </w:pPr>
      <w:rPr>
        <w:rFonts w:ascii="Times New Roman" w:hAnsi="Times New Roman" w:hint="default"/>
        <w:b w:val="0"/>
        <w:i w:val="0"/>
        <w:sz w:val="24"/>
        <w:szCs w:val="2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22"/>
  </w:num>
  <w:num w:numId="2">
    <w:abstractNumId w:val="12"/>
  </w:num>
  <w:num w:numId="3">
    <w:abstractNumId w:val="18"/>
  </w:num>
  <w:num w:numId="4">
    <w:abstractNumId w:val="9"/>
  </w:num>
  <w:num w:numId="5">
    <w:abstractNumId w:val="2"/>
  </w:num>
  <w:num w:numId="6">
    <w:abstractNumId w:val="26"/>
  </w:num>
  <w:num w:numId="7">
    <w:abstractNumId w:val="1"/>
  </w:num>
  <w:num w:numId="8">
    <w:abstractNumId w:val="10"/>
  </w:num>
  <w:num w:numId="9">
    <w:abstractNumId w:val="0"/>
  </w:num>
  <w:num w:numId="10">
    <w:abstractNumId w:val="8"/>
  </w:num>
  <w:num w:numId="11">
    <w:abstractNumId w:val="4"/>
  </w:num>
  <w:num w:numId="12">
    <w:abstractNumId w:val="13"/>
  </w:num>
  <w:num w:numId="13">
    <w:abstractNumId w:val="20"/>
  </w:num>
  <w:num w:numId="14">
    <w:abstractNumId w:val="24"/>
  </w:num>
  <w:num w:numId="15">
    <w:abstractNumId w:val="27"/>
  </w:num>
  <w:num w:numId="16">
    <w:abstractNumId w:val="7"/>
  </w:num>
  <w:num w:numId="17">
    <w:abstractNumId w:val="21"/>
  </w:num>
  <w:num w:numId="18">
    <w:abstractNumId w:val="17"/>
  </w:num>
  <w:num w:numId="19">
    <w:abstractNumId w:val="23"/>
  </w:num>
  <w:num w:numId="20">
    <w:abstractNumId w:val="6"/>
  </w:num>
  <w:num w:numId="21">
    <w:abstractNumId w:val="25"/>
  </w:num>
  <w:num w:numId="22">
    <w:abstractNumId w:val="14"/>
  </w:num>
  <w:num w:numId="23">
    <w:abstractNumId w:val="3"/>
  </w:num>
  <w:num w:numId="24">
    <w:abstractNumId w:val="19"/>
  </w:num>
  <w:num w:numId="25">
    <w:abstractNumId w:val="28"/>
  </w:num>
  <w:num w:numId="26">
    <w:abstractNumId w:val="11"/>
  </w:num>
  <w:num w:numId="27">
    <w:abstractNumId w:val="12"/>
    <w:lvlOverride w:ilvl="0">
      <w:startOverride w:val="54"/>
    </w:lvlOverride>
  </w:num>
  <w:num w:numId="28">
    <w:abstractNumId w:val="5"/>
  </w:num>
  <w:num w:numId="29">
    <w:abstractNumId w:val="15"/>
  </w:num>
  <w:num w:numId="30">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noPunctuationKerning/>
  <w:characterSpacingControl w:val="doNotCompress"/>
  <w:hdrShapeDefaults>
    <o:shapedefaults v:ext="edit" spidmax="466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EB3"/>
    <w:rsid w:val="00000181"/>
    <w:rsid w:val="000007D2"/>
    <w:rsid w:val="000009CF"/>
    <w:rsid w:val="00001020"/>
    <w:rsid w:val="000010FE"/>
    <w:rsid w:val="0000117B"/>
    <w:rsid w:val="000013F2"/>
    <w:rsid w:val="00002379"/>
    <w:rsid w:val="00002A99"/>
    <w:rsid w:val="00002BDF"/>
    <w:rsid w:val="00003569"/>
    <w:rsid w:val="000038A9"/>
    <w:rsid w:val="000045E3"/>
    <w:rsid w:val="000047BA"/>
    <w:rsid w:val="0000495F"/>
    <w:rsid w:val="000059F3"/>
    <w:rsid w:val="00007443"/>
    <w:rsid w:val="00011096"/>
    <w:rsid w:val="00012416"/>
    <w:rsid w:val="000127BD"/>
    <w:rsid w:val="00012E35"/>
    <w:rsid w:val="00012EC6"/>
    <w:rsid w:val="000133E6"/>
    <w:rsid w:val="0001354E"/>
    <w:rsid w:val="000137FB"/>
    <w:rsid w:val="00013EDC"/>
    <w:rsid w:val="000140C0"/>
    <w:rsid w:val="00015FC8"/>
    <w:rsid w:val="00016524"/>
    <w:rsid w:val="000166CE"/>
    <w:rsid w:val="00016CB9"/>
    <w:rsid w:val="00016EFE"/>
    <w:rsid w:val="00016FAC"/>
    <w:rsid w:val="00020C00"/>
    <w:rsid w:val="00021761"/>
    <w:rsid w:val="00022AD8"/>
    <w:rsid w:val="00023228"/>
    <w:rsid w:val="00025741"/>
    <w:rsid w:val="00025A5E"/>
    <w:rsid w:val="00025BFA"/>
    <w:rsid w:val="00025C0F"/>
    <w:rsid w:val="00025F42"/>
    <w:rsid w:val="00026B50"/>
    <w:rsid w:val="0003081F"/>
    <w:rsid w:val="00030CD4"/>
    <w:rsid w:val="00031900"/>
    <w:rsid w:val="000325F4"/>
    <w:rsid w:val="00035786"/>
    <w:rsid w:val="000369F0"/>
    <w:rsid w:val="00036D06"/>
    <w:rsid w:val="00036E3C"/>
    <w:rsid w:val="00037970"/>
    <w:rsid w:val="00037BBF"/>
    <w:rsid w:val="000407FC"/>
    <w:rsid w:val="000410FA"/>
    <w:rsid w:val="00041663"/>
    <w:rsid w:val="00042437"/>
    <w:rsid w:val="000424BD"/>
    <w:rsid w:val="000433BD"/>
    <w:rsid w:val="000434DF"/>
    <w:rsid w:val="0004398C"/>
    <w:rsid w:val="00043DFE"/>
    <w:rsid w:val="00043FC5"/>
    <w:rsid w:val="00044216"/>
    <w:rsid w:val="00045121"/>
    <w:rsid w:val="0004543C"/>
    <w:rsid w:val="00045BE4"/>
    <w:rsid w:val="00046924"/>
    <w:rsid w:val="00046A34"/>
    <w:rsid w:val="00046E40"/>
    <w:rsid w:val="0005115F"/>
    <w:rsid w:val="00051520"/>
    <w:rsid w:val="00051527"/>
    <w:rsid w:val="000520D1"/>
    <w:rsid w:val="00052B98"/>
    <w:rsid w:val="00053726"/>
    <w:rsid w:val="000542C3"/>
    <w:rsid w:val="000542DD"/>
    <w:rsid w:val="000543D5"/>
    <w:rsid w:val="00055490"/>
    <w:rsid w:val="00055703"/>
    <w:rsid w:val="00055736"/>
    <w:rsid w:val="00055ED3"/>
    <w:rsid w:val="00056744"/>
    <w:rsid w:val="00056C87"/>
    <w:rsid w:val="00056D69"/>
    <w:rsid w:val="000576B8"/>
    <w:rsid w:val="00057E74"/>
    <w:rsid w:val="00060A6F"/>
    <w:rsid w:val="0006158B"/>
    <w:rsid w:val="00061C49"/>
    <w:rsid w:val="0006447B"/>
    <w:rsid w:val="00064AA4"/>
    <w:rsid w:val="00065DCC"/>
    <w:rsid w:val="00065E39"/>
    <w:rsid w:val="0006661E"/>
    <w:rsid w:val="000669DD"/>
    <w:rsid w:val="000672B4"/>
    <w:rsid w:val="0006749F"/>
    <w:rsid w:val="00067BF2"/>
    <w:rsid w:val="000709BB"/>
    <w:rsid w:val="00070A64"/>
    <w:rsid w:val="000724DD"/>
    <w:rsid w:val="00072670"/>
    <w:rsid w:val="00073642"/>
    <w:rsid w:val="00074CEF"/>
    <w:rsid w:val="000752AA"/>
    <w:rsid w:val="0007696C"/>
    <w:rsid w:val="000776E4"/>
    <w:rsid w:val="00077E5D"/>
    <w:rsid w:val="000803A2"/>
    <w:rsid w:val="00080412"/>
    <w:rsid w:val="0008065F"/>
    <w:rsid w:val="00080C74"/>
    <w:rsid w:val="00080CB9"/>
    <w:rsid w:val="00081517"/>
    <w:rsid w:val="0008156C"/>
    <w:rsid w:val="00081802"/>
    <w:rsid w:val="00082EB7"/>
    <w:rsid w:val="00082F0F"/>
    <w:rsid w:val="000832B9"/>
    <w:rsid w:val="00083E13"/>
    <w:rsid w:val="00084293"/>
    <w:rsid w:val="00084953"/>
    <w:rsid w:val="00084EC3"/>
    <w:rsid w:val="0008532D"/>
    <w:rsid w:val="0008673E"/>
    <w:rsid w:val="00086B36"/>
    <w:rsid w:val="00087323"/>
    <w:rsid w:val="00087C88"/>
    <w:rsid w:val="00087D10"/>
    <w:rsid w:val="00090027"/>
    <w:rsid w:val="0009046B"/>
    <w:rsid w:val="00090479"/>
    <w:rsid w:val="00090CF1"/>
    <w:rsid w:val="00090F82"/>
    <w:rsid w:val="00090FA1"/>
    <w:rsid w:val="00091055"/>
    <w:rsid w:val="00091096"/>
    <w:rsid w:val="00091168"/>
    <w:rsid w:val="00091E65"/>
    <w:rsid w:val="0009258D"/>
    <w:rsid w:val="00092987"/>
    <w:rsid w:val="00092F86"/>
    <w:rsid w:val="00092FED"/>
    <w:rsid w:val="0009340B"/>
    <w:rsid w:val="00096C18"/>
    <w:rsid w:val="00097B6A"/>
    <w:rsid w:val="000A02A1"/>
    <w:rsid w:val="000A0374"/>
    <w:rsid w:val="000A0F02"/>
    <w:rsid w:val="000A20E4"/>
    <w:rsid w:val="000A3E82"/>
    <w:rsid w:val="000A3F41"/>
    <w:rsid w:val="000A40A1"/>
    <w:rsid w:val="000A4D35"/>
    <w:rsid w:val="000A4DCD"/>
    <w:rsid w:val="000A5299"/>
    <w:rsid w:val="000A52DE"/>
    <w:rsid w:val="000A564F"/>
    <w:rsid w:val="000A5A7F"/>
    <w:rsid w:val="000A5C78"/>
    <w:rsid w:val="000A6F8A"/>
    <w:rsid w:val="000A731A"/>
    <w:rsid w:val="000A7B32"/>
    <w:rsid w:val="000A7CAF"/>
    <w:rsid w:val="000B18F9"/>
    <w:rsid w:val="000B2E37"/>
    <w:rsid w:val="000B3FAA"/>
    <w:rsid w:val="000B5A34"/>
    <w:rsid w:val="000B626E"/>
    <w:rsid w:val="000B7F41"/>
    <w:rsid w:val="000C06DF"/>
    <w:rsid w:val="000C0DE8"/>
    <w:rsid w:val="000C104A"/>
    <w:rsid w:val="000C18D2"/>
    <w:rsid w:val="000C1A14"/>
    <w:rsid w:val="000C1E0C"/>
    <w:rsid w:val="000C2675"/>
    <w:rsid w:val="000C2704"/>
    <w:rsid w:val="000C48F9"/>
    <w:rsid w:val="000C4D9C"/>
    <w:rsid w:val="000C55CD"/>
    <w:rsid w:val="000C5960"/>
    <w:rsid w:val="000C5D25"/>
    <w:rsid w:val="000C5F5C"/>
    <w:rsid w:val="000C65FB"/>
    <w:rsid w:val="000C7553"/>
    <w:rsid w:val="000D0248"/>
    <w:rsid w:val="000D0417"/>
    <w:rsid w:val="000D0AC1"/>
    <w:rsid w:val="000D0CFD"/>
    <w:rsid w:val="000D2272"/>
    <w:rsid w:val="000D2B6F"/>
    <w:rsid w:val="000D2D28"/>
    <w:rsid w:val="000D3C73"/>
    <w:rsid w:val="000D5B21"/>
    <w:rsid w:val="000D5E6B"/>
    <w:rsid w:val="000D61BD"/>
    <w:rsid w:val="000D62E7"/>
    <w:rsid w:val="000D693F"/>
    <w:rsid w:val="000D6AF7"/>
    <w:rsid w:val="000D6DF2"/>
    <w:rsid w:val="000D7CE1"/>
    <w:rsid w:val="000E08A6"/>
    <w:rsid w:val="000E30AC"/>
    <w:rsid w:val="000E34B9"/>
    <w:rsid w:val="000E401B"/>
    <w:rsid w:val="000E441F"/>
    <w:rsid w:val="000E4BAD"/>
    <w:rsid w:val="000E4E2F"/>
    <w:rsid w:val="000E4F04"/>
    <w:rsid w:val="000E4FC9"/>
    <w:rsid w:val="000E511D"/>
    <w:rsid w:val="000E5392"/>
    <w:rsid w:val="000E5C35"/>
    <w:rsid w:val="000E5CFC"/>
    <w:rsid w:val="000E6442"/>
    <w:rsid w:val="000E6A01"/>
    <w:rsid w:val="000E710D"/>
    <w:rsid w:val="000E7282"/>
    <w:rsid w:val="000E79B2"/>
    <w:rsid w:val="000E7EDC"/>
    <w:rsid w:val="000E7FA8"/>
    <w:rsid w:val="000F0B6F"/>
    <w:rsid w:val="000F1144"/>
    <w:rsid w:val="000F1E83"/>
    <w:rsid w:val="000F2375"/>
    <w:rsid w:val="000F2AFE"/>
    <w:rsid w:val="000F307B"/>
    <w:rsid w:val="000F4D87"/>
    <w:rsid w:val="000F517F"/>
    <w:rsid w:val="000F539E"/>
    <w:rsid w:val="000F574D"/>
    <w:rsid w:val="000F614D"/>
    <w:rsid w:val="000F617D"/>
    <w:rsid w:val="000F68B3"/>
    <w:rsid w:val="000F75DC"/>
    <w:rsid w:val="001003AB"/>
    <w:rsid w:val="00100697"/>
    <w:rsid w:val="00101133"/>
    <w:rsid w:val="00101165"/>
    <w:rsid w:val="00101614"/>
    <w:rsid w:val="0010268E"/>
    <w:rsid w:val="0010365D"/>
    <w:rsid w:val="00103A96"/>
    <w:rsid w:val="00103C04"/>
    <w:rsid w:val="00103C7A"/>
    <w:rsid w:val="00104730"/>
    <w:rsid w:val="00104EC5"/>
    <w:rsid w:val="00106136"/>
    <w:rsid w:val="00107099"/>
    <w:rsid w:val="0010771A"/>
    <w:rsid w:val="00107A4F"/>
    <w:rsid w:val="00110475"/>
    <w:rsid w:val="00111A6A"/>
    <w:rsid w:val="00112A7A"/>
    <w:rsid w:val="00112F64"/>
    <w:rsid w:val="00113473"/>
    <w:rsid w:val="00113B7A"/>
    <w:rsid w:val="00113F5B"/>
    <w:rsid w:val="00114090"/>
    <w:rsid w:val="0011525B"/>
    <w:rsid w:val="0011592E"/>
    <w:rsid w:val="00120ADB"/>
    <w:rsid w:val="00120E70"/>
    <w:rsid w:val="0012167A"/>
    <w:rsid w:val="00121A69"/>
    <w:rsid w:val="001236E8"/>
    <w:rsid w:val="00123E04"/>
    <w:rsid w:val="001242EC"/>
    <w:rsid w:val="00124D5E"/>
    <w:rsid w:val="00124F48"/>
    <w:rsid w:val="001251E7"/>
    <w:rsid w:val="00125F18"/>
    <w:rsid w:val="00125F2C"/>
    <w:rsid w:val="00126EA2"/>
    <w:rsid w:val="00127605"/>
    <w:rsid w:val="00130362"/>
    <w:rsid w:val="00130C82"/>
    <w:rsid w:val="00130F06"/>
    <w:rsid w:val="001319F2"/>
    <w:rsid w:val="001326C4"/>
    <w:rsid w:val="001328EF"/>
    <w:rsid w:val="0013330B"/>
    <w:rsid w:val="001343FF"/>
    <w:rsid w:val="001348AA"/>
    <w:rsid w:val="00135A69"/>
    <w:rsid w:val="00135C8C"/>
    <w:rsid w:val="0013604C"/>
    <w:rsid w:val="00136375"/>
    <w:rsid w:val="001365C4"/>
    <w:rsid w:val="0013678C"/>
    <w:rsid w:val="00136AC2"/>
    <w:rsid w:val="00136B65"/>
    <w:rsid w:val="00136FED"/>
    <w:rsid w:val="001405DA"/>
    <w:rsid w:val="00140D3C"/>
    <w:rsid w:val="00141164"/>
    <w:rsid w:val="00142588"/>
    <w:rsid w:val="001427B2"/>
    <w:rsid w:val="0014541A"/>
    <w:rsid w:val="0014565E"/>
    <w:rsid w:val="00145794"/>
    <w:rsid w:val="00145925"/>
    <w:rsid w:val="00145B91"/>
    <w:rsid w:val="00146011"/>
    <w:rsid w:val="00146695"/>
    <w:rsid w:val="001471F1"/>
    <w:rsid w:val="0014799D"/>
    <w:rsid w:val="00147C58"/>
    <w:rsid w:val="00150C39"/>
    <w:rsid w:val="00150C91"/>
    <w:rsid w:val="00152482"/>
    <w:rsid w:val="001527EE"/>
    <w:rsid w:val="00152AE0"/>
    <w:rsid w:val="00152F9C"/>
    <w:rsid w:val="0015307F"/>
    <w:rsid w:val="001532B2"/>
    <w:rsid w:val="0015359A"/>
    <w:rsid w:val="00154F00"/>
    <w:rsid w:val="00155107"/>
    <w:rsid w:val="00155413"/>
    <w:rsid w:val="001555FF"/>
    <w:rsid w:val="00156228"/>
    <w:rsid w:val="001562DC"/>
    <w:rsid w:val="001564F0"/>
    <w:rsid w:val="00156EE1"/>
    <w:rsid w:val="00157128"/>
    <w:rsid w:val="00157335"/>
    <w:rsid w:val="001608F1"/>
    <w:rsid w:val="00160F66"/>
    <w:rsid w:val="00161067"/>
    <w:rsid w:val="001610C2"/>
    <w:rsid w:val="00161375"/>
    <w:rsid w:val="00161573"/>
    <w:rsid w:val="00161817"/>
    <w:rsid w:val="00161881"/>
    <w:rsid w:val="001637B9"/>
    <w:rsid w:val="001640A6"/>
    <w:rsid w:val="00164498"/>
    <w:rsid w:val="00164B6A"/>
    <w:rsid w:val="00164E10"/>
    <w:rsid w:val="00165A44"/>
    <w:rsid w:val="001662CB"/>
    <w:rsid w:val="0016678B"/>
    <w:rsid w:val="0016720F"/>
    <w:rsid w:val="00167428"/>
    <w:rsid w:val="001674FA"/>
    <w:rsid w:val="001702DD"/>
    <w:rsid w:val="001704D3"/>
    <w:rsid w:val="00170906"/>
    <w:rsid w:val="00170F92"/>
    <w:rsid w:val="00171FB2"/>
    <w:rsid w:val="00172C8D"/>
    <w:rsid w:val="00172EB9"/>
    <w:rsid w:val="00173330"/>
    <w:rsid w:val="001733A8"/>
    <w:rsid w:val="00173A5D"/>
    <w:rsid w:val="00173B55"/>
    <w:rsid w:val="00173E9E"/>
    <w:rsid w:val="00173F45"/>
    <w:rsid w:val="00174A4D"/>
    <w:rsid w:val="00176870"/>
    <w:rsid w:val="00176ECC"/>
    <w:rsid w:val="001816C2"/>
    <w:rsid w:val="00183434"/>
    <w:rsid w:val="001839CF"/>
    <w:rsid w:val="001844DB"/>
    <w:rsid w:val="00185F19"/>
    <w:rsid w:val="001860BA"/>
    <w:rsid w:val="0018648E"/>
    <w:rsid w:val="00186A49"/>
    <w:rsid w:val="00186D59"/>
    <w:rsid w:val="00186E5D"/>
    <w:rsid w:val="001925E3"/>
    <w:rsid w:val="001929DE"/>
    <w:rsid w:val="001930FB"/>
    <w:rsid w:val="001931C1"/>
    <w:rsid w:val="00193452"/>
    <w:rsid w:val="0019382F"/>
    <w:rsid w:val="001948CD"/>
    <w:rsid w:val="00194B75"/>
    <w:rsid w:val="0019683C"/>
    <w:rsid w:val="00196DBD"/>
    <w:rsid w:val="00197647"/>
    <w:rsid w:val="001976F4"/>
    <w:rsid w:val="00197866"/>
    <w:rsid w:val="00197E8B"/>
    <w:rsid w:val="001A06E1"/>
    <w:rsid w:val="001A0B31"/>
    <w:rsid w:val="001A1DA0"/>
    <w:rsid w:val="001A299D"/>
    <w:rsid w:val="001A2B4F"/>
    <w:rsid w:val="001A3038"/>
    <w:rsid w:val="001A4F02"/>
    <w:rsid w:val="001A63BA"/>
    <w:rsid w:val="001A6985"/>
    <w:rsid w:val="001A6AE4"/>
    <w:rsid w:val="001A6B6A"/>
    <w:rsid w:val="001A7143"/>
    <w:rsid w:val="001A71BA"/>
    <w:rsid w:val="001A72A3"/>
    <w:rsid w:val="001A78D1"/>
    <w:rsid w:val="001A7EE8"/>
    <w:rsid w:val="001B0093"/>
    <w:rsid w:val="001B010B"/>
    <w:rsid w:val="001B1351"/>
    <w:rsid w:val="001B2AAC"/>
    <w:rsid w:val="001B38C1"/>
    <w:rsid w:val="001B40B2"/>
    <w:rsid w:val="001B4146"/>
    <w:rsid w:val="001B4FC4"/>
    <w:rsid w:val="001B598A"/>
    <w:rsid w:val="001B6ACC"/>
    <w:rsid w:val="001B7352"/>
    <w:rsid w:val="001B7CE7"/>
    <w:rsid w:val="001C20D2"/>
    <w:rsid w:val="001C2223"/>
    <w:rsid w:val="001C24DD"/>
    <w:rsid w:val="001C25D8"/>
    <w:rsid w:val="001C2946"/>
    <w:rsid w:val="001C29AA"/>
    <w:rsid w:val="001C3A5A"/>
    <w:rsid w:val="001C4082"/>
    <w:rsid w:val="001C4693"/>
    <w:rsid w:val="001C55E8"/>
    <w:rsid w:val="001C5B82"/>
    <w:rsid w:val="001C5C18"/>
    <w:rsid w:val="001C6078"/>
    <w:rsid w:val="001C695E"/>
    <w:rsid w:val="001D0034"/>
    <w:rsid w:val="001D0280"/>
    <w:rsid w:val="001D077C"/>
    <w:rsid w:val="001D0AF0"/>
    <w:rsid w:val="001D198E"/>
    <w:rsid w:val="001D2B98"/>
    <w:rsid w:val="001D38B0"/>
    <w:rsid w:val="001D3B54"/>
    <w:rsid w:val="001D480A"/>
    <w:rsid w:val="001D4ACE"/>
    <w:rsid w:val="001D676D"/>
    <w:rsid w:val="001D717A"/>
    <w:rsid w:val="001D7703"/>
    <w:rsid w:val="001E103A"/>
    <w:rsid w:val="001E1D5A"/>
    <w:rsid w:val="001E2473"/>
    <w:rsid w:val="001E2DB7"/>
    <w:rsid w:val="001E2F2C"/>
    <w:rsid w:val="001E33F5"/>
    <w:rsid w:val="001E3EB2"/>
    <w:rsid w:val="001E40F7"/>
    <w:rsid w:val="001E4C2A"/>
    <w:rsid w:val="001E4F99"/>
    <w:rsid w:val="001E5E6D"/>
    <w:rsid w:val="001E61E7"/>
    <w:rsid w:val="001E651B"/>
    <w:rsid w:val="001E791A"/>
    <w:rsid w:val="001E79F3"/>
    <w:rsid w:val="001E7D65"/>
    <w:rsid w:val="001F0D99"/>
    <w:rsid w:val="001F100C"/>
    <w:rsid w:val="001F13C6"/>
    <w:rsid w:val="001F149A"/>
    <w:rsid w:val="001F1854"/>
    <w:rsid w:val="001F2509"/>
    <w:rsid w:val="001F26D3"/>
    <w:rsid w:val="001F2C0D"/>
    <w:rsid w:val="001F2C6A"/>
    <w:rsid w:val="001F45B7"/>
    <w:rsid w:val="001F473E"/>
    <w:rsid w:val="001F4967"/>
    <w:rsid w:val="001F49A2"/>
    <w:rsid w:val="001F4CAE"/>
    <w:rsid w:val="001F543D"/>
    <w:rsid w:val="001F5600"/>
    <w:rsid w:val="001F57EE"/>
    <w:rsid w:val="001F6227"/>
    <w:rsid w:val="001F6635"/>
    <w:rsid w:val="001F687B"/>
    <w:rsid w:val="001F7194"/>
    <w:rsid w:val="00200E41"/>
    <w:rsid w:val="00201157"/>
    <w:rsid w:val="00201226"/>
    <w:rsid w:val="00201831"/>
    <w:rsid w:val="00201899"/>
    <w:rsid w:val="0020209A"/>
    <w:rsid w:val="0020210B"/>
    <w:rsid w:val="002021BC"/>
    <w:rsid w:val="0020222E"/>
    <w:rsid w:val="00202AB6"/>
    <w:rsid w:val="00202C62"/>
    <w:rsid w:val="00203BEB"/>
    <w:rsid w:val="00204399"/>
    <w:rsid w:val="00206E06"/>
    <w:rsid w:val="002071A6"/>
    <w:rsid w:val="002101DE"/>
    <w:rsid w:val="002101FF"/>
    <w:rsid w:val="00210897"/>
    <w:rsid w:val="002108FB"/>
    <w:rsid w:val="00211D6B"/>
    <w:rsid w:val="00211EC5"/>
    <w:rsid w:val="002126CB"/>
    <w:rsid w:val="00212E16"/>
    <w:rsid w:val="00213A77"/>
    <w:rsid w:val="00213A84"/>
    <w:rsid w:val="00213B7C"/>
    <w:rsid w:val="00213CA0"/>
    <w:rsid w:val="00213F39"/>
    <w:rsid w:val="00214B08"/>
    <w:rsid w:val="00215053"/>
    <w:rsid w:val="00215DD5"/>
    <w:rsid w:val="00215E1C"/>
    <w:rsid w:val="002162C3"/>
    <w:rsid w:val="002167B0"/>
    <w:rsid w:val="002167C7"/>
    <w:rsid w:val="00217188"/>
    <w:rsid w:val="0021783A"/>
    <w:rsid w:val="00220E3E"/>
    <w:rsid w:val="00221176"/>
    <w:rsid w:val="00222292"/>
    <w:rsid w:val="002223EF"/>
    <w:rsid w:val="00223441"/>
    <w:rsid w:val="00223D52"/>
    <w:rsid w:val="00224320"/>
    <w:rsid w:val="00224E1A"/>
    <w:rsid w:val="0022630D"/>
    <w:rsid w:val="002265FA"/>
    <w:rsid w:val="00226695"/>
    <w:rsid w:val="00226727"/>
    <w:rsid w:val="00226740"/>
    <w:rsid w:val="00226A4E"/>
    <w:rsid w:val="002273B9"/>
    <w:rsid w:val="0022746A"/>
    <w:rsid w:val="00227DC5"/>
    <w:rsid w:val="00231162"/>
    <w:rsid w:val="002311C5"/>
    <w:rsid w:val="002313D6"/>
    <w:rsid w:val="00231414"/>
    <w:rsid w:val="002336EA"/>
    <w:rsid w:val="0023373F"/>
    <w:rsid w:val="00233EB3"/>
    <w:rsid w:val="00234867"/>
    <w:rsid w:val="0023513F"/>
    <w:rsid w:val="002351EF"/>
    <w:rsid w:val="0023564E"/>
    <w:rsid w:val="00236802"/>
    <w:rsid w:val="00236BDD"/>
    <w:rsid w:val="00236D6E"/>
    <w:rsid w:val="002370AB"/>
    <w:rsid w:val="002374A4"/>
    <w:rsid w:val="00237942"/>
    <w:rsid w:val="00240493"/>
    <w:rsid w:val="0024170F"/>
    <w:rsid w:val="0024278C"/>
    <w:rsid w:val="0024331B"/>
    <w:rsid w:val="0024398B"/>
    <w:rsid w:val="00244287"/>
    <w:rsid w:val="0024453D"/>
    <w:rsid w:val="002455C1"/>
    <w:rsid w:val="00245B4D"/>
    <w:rsid w:val="00245D12"/>
    <w:rsid w:val="00246244"/>
    <w:rsid w:val="0024637C"/>
    <w:rsid w:val="002464D4"/>
    <w:rsid w:val="00246B37"/>
    <w:rsid w:val="00247DB1"/>
    <w:rsid w:val="00250AE5"/>
    <w:rsid w:val="00250D63"/>
    <w:rsid w:val="00250F4E"/>
    <w:rsid w:val="0025190F"/>
    <w:rsid w:val="0025302C"/>
    <w:rsid w:val="00254CEC"/>
    <w:rsid w:val="00254E90"/>
    <w:rsid w:val="00255074"/>
    <w:rsid w:val="00255A2F"/>
    <w:rsid w:val="002567D0"/>
    <w:rsid w:val="0025732E"/>
    <w:rsid w:val="002577AA"/>
    <w:rsid w:val="00257A9D"/>
    <w:rsid w:val="00257E98"/>
    <w:rsid w:val="002613E2"/>
    <w:rsid w:val="00261AED"/>
    <w:rsid w:val="002631F8"/>
    <w:rsid w:val="00263CD4"/>
    <w:rsid w:val="00265070"/>
    <w:rsid w:val="002650B2"/>
    <w:rsid w:val="002653F8"/>
    <w:rsid w:val="0026634A"/>
    <w:rsid w:val="002663FA"/>
    <w:rsid w:val="002664F2"/>
    <w:rsid w:val="00266511"/>
    <w:rsid w:val="0026771D"/>
    <w:rsid w:val="002677F6"/>
    <w:rsid w:val="00267B86"/>
    <w:rsid w:val="00270465"/>
    <w:rsid w:val="002705CC"/>
    <w:rsid w:val="002718F0"/>
    <w:rsid w:val="00271A49"/>
    <w:rsid w:val="00271B3D"/>
    <w:rsid w:val="0027286B"/>
    <w:rsid w:val="0027306F"/>
    <w:rsid w:val="002730A0"/>
    <w:rsid w:val="00273783"/>
    <w:rsid w:val="0027385F"/>
    <w:rsid w:val="002740AB"/>
    <w:rsid w:val="002747F8"/>
    <w:rsid w:val="002749D8"/>
    <w:rsid w:val="00274D08"/>
    <w:rsid w:val="00275A45"/>
    <w:rsid w:val="00275EA5"/>
    <w:rsid w:val="002767B5"/>
    <w:rsid w:val="00276CF7"/>
    <w:rsid w:val="002771E1"/>
    <w:rsid w:val="0027741F"/>
    <w:rsid w:val="00277594"/>
    <w:rsid w:val="00277655"/>
    <w:rsid w:val="00277801"/>
    <w:rsid w:val="002801F7"/>
    <w:rsid w:val="0028130C"/>
    <w:rsid w:val="00281A32"/>
    <w:rsid w:val="00282056"/>
    <w:rsid w:val="00282654"/>
    <w:rsid w:val="002836BE"/>
    <w:rsid w:val="00283A9F"/>
    <w:rsid w:val="00284159"/>
    <w:rsid w:val="002874D6"/>
    <w:rsid w:val="002901B0"/>
    <w:rsid w:val="00290CDF"/>
    <w:rsid w:val="00293F53"/>
    <w:rsid w:val="00294F3D"/>
    <w:rsid w:val="0029560E"/>
    <w:rsid w:val="00296C0D"/>
    <w:rsid w:val="00297038"/>
    <w:rsid w:val="00297267"/>
    <w:rsid w:val="00297628"/>
    <w:rsid w:val="002A0F77"/>
    <w:rsid w:val="002A170B"/>
    <w:rsid w:val="002A1B92"/>
    <w:rsid w:val="002A1D40"/>
    <w:rsid w:val="002A1F75"/>
    <w:rsid w:val="002A208C"/>
    <w:rsid w:val="002A22EA"/>
    <w:rsid w:val="002A3270"/>
    <w:rsid w:val="002A38E8"/>
    <w:rsid w:val="002A39E6"/>
    <w:rsid w:val="002A4F87"/>
    <w:rsid w:val="002A55ED"/>
    <w:rsid w:val="002A6015"/>
    <w:rsid w:val="002A67A4"/>
    <w:rsid w:val="002A6FAF"/>
    <w:rsid w:val="002A73FD"/>
    <w:rsid w:val="002A7445"/>
    <w:rsid w:val="002A752E"/>
    <w:rsid w:val="002B045D"/>
    <w:rsid w:val="002B0747"/>
    <w:rsid w:val="002B0E7E"/>
    <w:rsid w:val="002B13C4"/>
    <w:rsid w:val="002B179C"/>
    <w:rsid w:val="002B1DD6"/>
    <w:rsid w:val="002B1E22"/>
    <w:rsid w:val="002B354E"/>
    <w:rsid w:val="002B41EF"/>
    <w:rsid w:val="002B4458"/>
    <w:rsid w:val="002B47E4"/>
    <w:rsid w:val="002B4DE5"/>
    <w:rsid w:val="002B5344"/>
    <w:rsid w:val="002B53E8"/>
    <w:rsid w:val="002B589C"/>
    <w:rsid w:val="002B5A79"/>
    <w:rsid w:val="002B5E05"/>
    <w:rsid w:val="002B7505"/>
    <w:rsid w:val="002C0D31"/>
    <w:rsid w:val="002C2793"/>
    <w:rsid w:val="002C3218"/>
    <w:rsid w:val="002C3225"/>
    <w:rsid w:val="002C3E2F"/>
    <w:rsid w:val="002C4494"/>
    <w:rsid w:val="002C4764"/>
    <w:rsid w:val="002C6B09"/>
    <w:rsid w:val="002C73F4"/>
    <w:rsid w:val="002C7AA0"/>
    <w:rsid w:val="002D0C18"/>
    <w:rsid w:val="002D1562"/>
    <w:rsid w:val="002D16B4"/>
    <w:rsid w:val="002D171C"/>
    <w:rsid w:val="002D18DA"/>
    <w:rsid w:val="002D2CB2"/>
    <w:rsid w:val="002D2F4B"/>
    <w:rsid w:val="002D36A6"/>
    <w:rsid w:val="002D4B80"/>
    <w:rsid w:val="002D5080"/>
    <w:rsid w:val="002D529E"/>
    <w:rsid w:val="002D5CD4"/>
    <w:rsid w:val="002D60F7"/>
    <w:rsid w:val="002D6896"/>
    <w:rsid w:val="002D78F6"/>
    <w:rsid w:val="002E0253"/>
    <w:rsid w:val="002E0B90"/>
    <w:rsid w:val="002E0C59"/>
    <w:rsid w:val="002E15CF"/>
    <w:rsid w:val="002E17A5"/>
    <w:rsid w:val="002E1D9F"/>
    <w:rsid w:val="002E2237"/>
    <w:rsid w:val="002E290B"/>
    <w:rsid w:val="002E37BB"/>
    <w:rsid w:val="002E3C4F"/>
    <w:rsid w:val="002E429C"/>
    <w:rsid w:val="002E432E"/>
    <w:rsid w:val="002E5B3A"/>
    <w:rsid w:val="002E773A"/>
    <w:rsid w:val="002F2A50"/>
    <w:rsid w:val="002F2BCB"/>
    <w:rsid w:val="002F36A3"/>
    <w:rsid w:val="002F4784"/>
    <w:rsid w:val="002F4ADA"/>
    <w:rsid w:val="002F5362"/>
    <w:rsid w:val="002F5B72"/>
    <w:rsid w:val="002F5D3E"/>
    <w:rsid w:val="002F7102"/>
    <w:rsid w:val="00300A01"/>
    <w:rsid w:val="00300DC1"/>
    <w:rsid w:val="0030102A"/>
    <w:rsid w:val="0030127A"/>
    <w:rsid w:val="00302445"/>
    <w:rsid w:val="00302BDA"/>
    <w:rsid w:val="00303A95"/>
    <w:rsid w:val="00304372"/>
    <w:rsid w:val="0030559B"/>
    <w:rsid w:val="00305D6C"/>
    <w:rsid w:val="00306015"/>
    <w:rsid w:val="00306304"/>
    <w:rsid w:val="00306483"/>
    <w:rsid w:val="0030701E"/>
    <w:rsid w:val="00307972"/>
    <w:rsid w:val="00307B0F"/>
    <w:rsid w:val="00307FD5"/>
    <w:rsid w:val="0031083F"/>
    <w:rsid w:val="00310895"/>
    <w:rsid w:val="00311514"/>
    <w:rsid w:val="00311ABE"/>
    <w:rsid w:val="00311D98"/>
    <w:rsid w:val="0031266B"/>
    <w:rsid w:val="003156E4"/>
    <w:rsid w:val="00316517"/>
    <w:rsid w:val="00316CB9"/>
    <w:rsid w:val="003176BE"/>
    <w:rsid w:val="003202A4"/>
    <w:rsid w:val="00320414"/>
    <w:rsid w:val="00321A4C"/>
    <w:rsid w:val="003223E8"/>
    <w:rsid w:val="003225D4"/>
    <w:rsid w:val="00322814"/>
    <w:rsid w:val="0032295E"/>
    <w:rsid w:val="0032316C"/>
    <w:rsid w:val="003241BD"/>
    <w:rsid w:val="003252CD"/>
    <w:rsid w:val="0032576A"/>
    <w:rsid w:val="003257D0"/>
    <w:rsid w:val="003259BF"/>
    <w:rsid w:val="00325C3A"/>
    <w:rsid w:val="00327D43"/>
    <w:rsid w:val="00327F0B"/>
    <w:rsid w:val="00327F66"/>
    <w:rsid w:val="00330776"/>
    <w:rsid w:val="00330892"/>
    <w:rsid w:val="003308ED"/>
    <w:rsid w:val="003312AF"/>
    <w:rsid w:val="00331462"/>
    <w:rsid w:val="00331759"/>
    <w:rsid w:val="00332830"/>
    <w:rsid w:val="00332ED7"/>
    <w:rsid w:val="003338B5"/>
    <w:rsid w:val="0033423C"/>
    <w:rsid w:val="00336A65"/>
    <w:rsid w:val="00337750"/>
    <w:rsid w:val="00337CB6"/>
    <w:rsid w:val="00340268"/>
    <w:rsid w:val="00341082"/>
    <w:rsid w:val="003418EE"/>
    <w:rsid w:val="00341D8A"/>
    <w:rsid w:val="00341F34"/>
    <w:rsid w:val="00342D85"/>
    <w:rsid w:val="00343A94"/>
    <w:rsid w:val="0034485E"/>
    <w:rsid w:val="0034491F"/>
    <w:rsid w:val="00344A78"/>
    <w:rsid w:val="00345345"/>
    <w:rsid w:val="00345F13"/>
    <w:rsid w:val="00346080"/>
    <w:rsid w:val="00346C7D"/>
    <w:rsid w:val="00346DBD"/>
    <w:rsid w:val="00346DD9"/>
    <w:rsid w:val="003470C4"/>
    <w:rsid w:val="003479D8"/>
    <w:rsid w:val="003501FE"/>
    <w:rsid w:val="003504F4"/>
    <w:rsid w:val="00350508"/>
    <w:rsid w:val="0035067E"/>
    <w:rsid w:val="00350C32"/>
    <w:rsid w:val="003516A7"/>
    <w:rsid w:val="003518DA"/>
    <w:rsid w:val="00352B05"/>
    <w:rsid w:val="00352D32"/>
    <w:rsid w:val="003539C1"/>
    <w:rsid w:val="00354479"/>
    <w:rsid w:val="00354E12"/>
    <w:rsid w:val="00355372"/>
    <w:rsid w:val="00356298"/>
    <w:rsid w:val="003563CE"/>
    <w:rsid w:val="00356405"/>
    <w:rsid w:val="00356E7E"/>
    <w:rsid w:val="00357BBA"/>
    <w:rsid w:val="00357D83"/>
    <w:rsid w:val="0036094F"/>
    <w:rsid w:val="00360ECA"/>
    <w:rsid w:val="00361EFE"/>
    <w:rsid w:val="00361F35"/>
    <w:rsid w:val="00362325"/>
    <w:rsid w:val="003628CD"/>
    <w:rsid w:val="00363559"/>
    <w:rsid w:val="00363CCA"/>
    <w:rsid w:val="0036477B"/>
    <w:rsid w:val="0036503D"/>
    <w:rsid w:val="003650D6"/>
    <w:rsid w:val="003652B9"/>
    <w:rsid w:val="0036692E"/>
    <w:rsid w:val="0036752B"/>
    <w:rsid w:val="00367B49"/>
    <w:rsid w:val="00370168"/>
    <w:rsid w:val="00370546"/>
    <w:rsid w:val="003705A0"/>
    <w:rsid w:val="00370C86"/>
    <w:rsid w:val="00371F8F"/>
    <w:rsid w:val="00372057"/>
    <w:rsid w:val="00372297"/>
    <w:rsid w:val="00373D6E"/>
    <w:rsid w:val="0037473A"/>
    <w:rsid w:val="00375867"/>
    <w:rsid w:val="00375B85"/>
    <w:rsid w:val="003765EC"/>
    <w:rsid w:val="00376690"/>
    <w:rsid w:val="0037670E"/>
    <w:rsid w:val="0037742E"/>
    <w:rsid w:val="00377718"/>
    <w:rsid w:val="00377FCA"/>
    <w:rsid w:val="00380762"/>
    <w:rsid w:val="00381E12"/>
    <w:rsid w:val="00382556"/>
    <w:rsid w:val="00383352"/>
    <w:rsid w:val="00383A42"/>
    <w:rsid w:val="003845A3"/>
    <w:rsid w:val="003848C4"/>
    <w:rsid w:val="00384FEE"/>
    <w:rsid w:val="0038536D"/>
    <w:rsid w:val="003854EA"/>
    <w:rsid w:val="00386E4D"/>
    <w:rsid w:val="0038700B"/>
    <w:rsid w:val="00390149"/>
    <w:rsid w:val="00390593"/>
    <w:rsid w:val="00390E01"/>
    <w:rsid w:val="003912CD"/>
    <w:rsid w:val="00391407"/>
    <w:rsid w:val="00391A62"/>
    <w:rsid w:val="00391BBD"/>
    <w:rsid w:val="00392579"/>
    <w:rsid w:val="0039261C"/>
    <w:rsid w:val="00392E88"/>
    <w:rsid w:val="00393D7E"/>
    <w:rsid w:val="00393DE9"/>
    <w:rsid w:val="00393E42"/>
    <w:rsid w:val="0039449C"/>
    <w:rsid w:val="00394863"/>
    <w:rsid w:val="00394A9B"/>
    <w:rsid w:val="0039525D"/>
    <w:rsid w:val="00395749"/>
    <w:rsid w:val="0039574D"/>
    <w:rsid w:val="00396652"/>
    <w:rsid w:val="00396D06"/>
    <w:rsid w:val="003A0287"/>
    <w:rsid w:val="003A0BA2"/>
    <w:rsid w:val="003A165B"/>
    <w:rsid w:val="003A1CF7"/>
    <w:rsid w:val="003A3E53"/>
    <w:rsid w:val="003A3E66"/>
    <w:rsid w:val="003A5A9D"/>
    <w:rsid w:val="003A6027"/>
    <w:rsid w:val="003A6317"/>
    <w:rsid w:val="003A63B8"/>
    <w:rsid w:val="003A6668"/>
    <w:rsid w:val="003A6892"/>
    <w:rsid w:val="003B0FEB"/>
    <w:rsid w:val="003B1132"/>
    <w:rsid w:val="003B1CFF"/>
    <w:rsid w:val="003B27DA"/>
    <w:rsid w:val="003B292A"/>
    <w:rsid w:val="003B2AA4"/>
    <w:rsid w:val="003B31A9"/>
    <w:rsid w:val="003B3269"/>
    <w:rsid w:val="003B33D9"/>
    <w:rsid w:val="003B5A7B"/>
    <w:rsid w:val="003B5FC3"/>
    <w:rsid w:val="003B60E4"/>
    <w:rsid w:val="003B6AF0"/>
    <w:rsid w:val="003B70F3"/>
    <w:rsid w:val="003B7259"/>
    <w:rsid w:val="003B72DD"/>
    <w:rsid w:val="003B7784"/>
    <w:rsid w:val="003B79BB"/>
    <w:rsid w:val="003C1B9D"/>
    <w:rsid w:val="003C1E39"/>
    <w:rsid w:val="003C20E7"/>
    <w:rsid w:val="003C2C64"/>
    <w:rsid w:val="003C2CC5"/>
    <w:rsid w:val="003C2F9D"/>
    <w:rsid w:val="003C4185"/>
    <w:rsid w:val="003C418E"/>
    <w:rsid w:val="003C4215"/>
    <w:rsid w:val="003C4487"/>
    <w:rsid w:val="003C47D5"/>
    <w:rsid w:val="003C4EC1"/>
    <w:rsid w:val="003C5DAA"/>
    <w:rsid w:val="003C74F2"/>
    <w:rsid w:val="003D0086"/>
    <w:rsid w:val="003D0B65"/>
    <w:rsid w:val="003D16E6"/>
    <w:rsid w:val="003D2732"/>
    <w:rsid w:val="003D2C30"/>
    <w:rsid w:val="003D2C91"/>
    <w:rsid w:val="003D2FCC"/>
    <w:rsid w:val="003D418C"/>
    <w:rsid w:val="003D42D9"/>
    <w:rsid w:val="003D47EE"/>
    <w:rsid w:val="003D6184"/>
    <w:rsid w:val="003D61BC"/>
    <w:rsid w:val="003D6754"/>
    <w:rsid w:val="003D76AC"/>
    <w:rsid w:val="003D779F"/>
    <w:rsid w:val="003D79DA"/>
    <w:rsid w:val="003D7AE8"/>
    <w:rsid w:val="003E03BA"/>
    <w:rsid w:val="003E0D5F"/>
    <w:rsid w:val="003E17F4"/>
    <w:rsid w:val="003E24A1"/>
    <w:rsid w:val="003E2961"/>
    <w:rsid w:val="003E2F37"/>
    <w:rsid w:val="003E336A"/>
    <w:rsid w:val="003E3A53"/>
    <w:rsid w:val="003E41E8"/>
    <w:rsid w:val="003E62E8"/>
    <w:rsid w:val="003E674F"/>
    <w:rsid w:val="003E6C4B"/>
    <w:rsid w:val="003E7437"/>
    <w:rsid w:val="003E75E1"/>
    <w:rsid w:val="003F03A7"/>
    <w:rsid w:val="003F0997"/>
    <w:rsid w:val="003F0FE8"/>
    <w:rsid w:val="003F11FC"/>
    <w:rsid w:val="003F1620"/>
    <w:rsid w:val="003F1630"/>
    <w:rsid w:val="003F1658"/>
    <w:rsid w:val="003F28CB"/>
    <w:rsid w:val="003F33EC"/>
    <w:rsid w:val="003F34E8"/>
    <w:rsid w:val="003F425E"/>
    <w:rsid w:val="003F440E"/>
    <w:rsid w:val="003F553F"/>
    <w:rsid w:val="003F5C6B"/>
    <w:rsid w:val="003F5CF7"/>
    <w:rsid w:val="003F5F4A"/>
    <w:rsid w:val="003F65C2"/>
    <w:rsid w:val="003F6E7F"/>
    <w:rsid w:val="003F6EEF"/>
    <w:rsid w:val="003F717E"/>
    <w:rsid w:val="003F7E02"/>
    <w:rsid w:val="004012D4"/>
    <w:rsid w:val="00401707"/>
    <w:rsid w:val="0040201F"/>
    <w:rsid w:val="0040278B"/>
    <w:rsid w:val="00402916"/>
    <w:rsid w:val="00402A43"/>
    <w:rsid w:val="004039BA"/>
    <w:rsid w:val="004039DA"/>
    <w:rsid w:val="00403D53"/>
    <w:rsid w:val="0040479B"/>
    <w:rsid w:val="00404871"/>
    <w:rsid w:val="0040509E"/>
    <w:rsid w:val="0040541F"/>
    <w:rsid w:val="0040588A"/>
    <w:rsid w:val="00405B0F"/>
    <w:rsid w:val="00405E29"/>
    <w:rsid w:val="00406006"/>
    <w:rsid w:val="00407695"/>
    <w:rsid w:val="00407ABE"/>
    <w:rsid w:val="0041144F"/>
    <w:rsid w:val="004118D4"/>
    <w:rsid w:val="00411A42"/>
    <w:rsid w:val="00411C69"/>
    <w:rsid w:val="00412911"/>
    <w:rsid w:val="00412AED"/>
    <w:rsid w:val="00413819"/>
    <w:rsid w:val="0041382D"/>
    <w:rsid w:val="00413BB5"/>
    <w:rsid w:val="00414136"/>
    <w:rsid w:val="00414ED2"/>
    <w:rsid w:val="0041514C"/>
    <w:rsid w:val="00415436"/>
    <w:rsid w:val="00415458"/>
    <w:rsid w:val="00415E28"/>
    <w:rsid w:val="004162D8"/>
    <w:rsid w:val="0041678A"/>
    <w:rsid w:val="00416C13"/>
    <w:rsid w:val="00417081"/>
    <w:rsid w:val="00420242"/>
    <w:rsid w:val="00420919"/>
    <w:rsid w:val="00420F9B"/>
    <w:rsid w:val="00421228"/>
    <w:rsid w:val="00421D0C"/>
    <w:rsid w:val="00421D21"/>
    <w:rsid w:val="00421FAB"/>
    <w:rsid w:val="0042265F"/>
    <w:rsid w:val="00423F59"/>
    <w:rsid w:val="0042499A"/>
    <w:rsid w:val="004249F5"/>
    <w:rsid w:val="00425274"/>
    <w:rsid w:val="00425EB2"/>
    <w:rsid w:val="00426107"/>
    <w:rsid w:val="004261D9"/>
    <w:rsid w:val="00426F20"/>
    <w:rsid w:val="00427874"/>
    <w:rsid w:val="00427CA2"/>
    <w:rsid w:val="00431C58"/>
    <w:rsid w:val="00431C8C"/>
    <w:rsid w:val="00432403"/>
    <w:rsid w:val="0043251A"/>
    <w:rsid w:val="0043280A"/>
    <w:rsid w:val="00432A91"/>
    <w:rsid w:val="00432C7F"/>
    <w:rsid w:val="00433E2A"/>
    <w:rsid w:val="00433F42"/>
    <w:rsid w:val="00434057"/>
    <w:rsid w:val="0043463F"/>
    <w:rsid w:val="00434C7B"/>
    <w:rsid w:val="00435488"/>
    <w:rsid w:val="004361E0"/>
    <w:rsid w:val="00436661"/>
    <w:rsid w:val="00437110"/>
    <w:rsid w:val="004377EA"/>
    <w:rsid w:val="00437B1D"/>
    <w:rsid w:val="00437EBC"/>
    <w:rsid w:val="00440240"/>
    <w:rsid w:val="0044054D"/>
    <w:rsid w:val="0044060E"/>
    <w:rsid w:val="00440A5F"/>
    <w:rsid w:val="0044175A"/>
    <w:rsid w:val="00441AC8"/>
    <w:rsid w:val="00442FC7"/>
    <w:rsid w:val="00443891"/>
    <w:rsid w:val="00443AA6"/>
    <w:rsid w:val="0044444A"/>
    <w:rsid w:val="00444655"/>
    <w:rsid w:val="00446500"/>
    <w:rsid w:val="00446A9B"/>
    <w:rsid w:val="0044740E"/>
    <w:rsid w:val="00447CF2"/>
    <w:rsid w:val="0045032E"/>
    <w:rsid w:val="00451271"/>
    <w:rsid w:val="00451664"/>
    <w:rsid w:val="004517D3"/>
    <w:rsid w:val="004519CB"/>
    <w:rsid w:val="0045281E"/>
    <w:rsid w:val="0045346F"/>
    <w:rsid w:val="00454323"/>
    <w:rsid w:val="00454EA9"/>
    <w:rsid w:val="00455D32"/>
    <w:rsid w:val="00455E64"/>
    <w:rsid w:val="0045690E"/>
    <w:rsid w:val="00456CB4"/>
    <w:rsid w:val="00460BC9"/>
    <w:rsid w:val="00461B91"/>
    <w:rsid w:val="00461FF0"/>
    <w:rsid w:val="00462B47"/>
    <w:rsid w:val="0046426D"/>
    <w:rsid w:val="00464844"/>
    <w:rsid w:val="004648BE"/>
    <w:rsid w:val="00464CAB"/>
    <w:rsid w:val="004659A4"/>
    <w:rsid w:val="00465BC0"/>
    <w:rsid w:val="0046665F"/>
    <w:rsid w:val="00466ECB"/>
    <w:rsid w:val="004673D2"/>
    <w:rsid w:val="004676B2"/>
    <w:rsid w:val="004700D5"/>
    <w:rsid w:val="004709E5"/>
    <w:rsid w:val="00470AD0"/>
    <w:rsid w:val="00472256"/>
    <w:rsid w:val="0047356B"/>
    <w:rsid w:val="004737E8"/>
    <w:rsid w:val="00475278"/>
    <w:rsid w:val="004757FD"/>
    <w:rsid w:val="00475860"/>
    <w:rsid w:val="00476094"/>
    <w:rsid w:val="004767E8"/>
    <w:rsid w:val="0047698D"/>
    <w:rsid w:val="00476A8F"/>
    <w:rsid w:val="004773A4"/>
    <w:rsid w:val="00477C31"/>
    <w:rsid w:val="004807AB"/>
    <w:rsid w:val="00480DE7"/>
    <w:rsid w:val="0048268E"/>
    <w:rsid w:val="0048278F"/>
    <w:rsid w:val="004828F1"/>
    <w:rsid w:val="0048320D"/>
    <w:rsid w:val="00483FBD"/>
    <w:rsid w:val="004844E6"/>
    <w:rsid w:val="00484683"/>
    <w:rsid w:val="00485B15"/>
    <w:rsid w:val="00485BAA"/>
    <w:rsid w:val="004864F0"/>
    <w:rsid w:val="00486792"/>
    <w:rsid w:val="00486D6D"/>
    <w:rsid w:val="0048761D"/>
    <w:rsid w:val="004877C0"/>
    <w:rsid w:val="00491075"/>
    <w:rsid w:val="004934B9"/>
    <w:rsid w:val="004954BD"/>
    <w:rsid w:val="0049562B"/>
    <w:rsid w:val="00495B74"/>
    <w:rsid w:val="004962E6"/>
    <w:rsid w:val="00496D52"/>
    <w:rsid w:val="0049764A"/>
    <w:rsid w:val="004A0028"/>
    <w:rsid w:val="004A0EF3"/>
    <w:rsid w:val="004A0F27"/>
    <w:rsid w:val="004A187B"/>
    <w:rsid w:val="004A1C18"/>
    <w:rsid w:val="004A1C6C"/>
    <w:rsid w:val="004A1E8A"/>
    <w:rsid w:val="004A2449"/>
    <w:rsid w:val="004A2BFF"/>
    <w:rsid w:val="004A318B"/>
    <w:rsid w:val="004A391F"/>
    <w:rsid w:val="004A3F69"/>
    <w:rsid w:val="004A4075"/>
    <w:rsid w:val="004A431A"/>
    <w:rsid w:val="004A4388"/>
    <w:rsid w:val="004A4694"/>
    <w:rsid w:val="004A4D1E"/>
    <w:rsid w:val="004A587E"/>
    <w:rsid w:val="004A6140"/>
    <w:rsid w:val="004A6908"/>
    <w:rsid w:val="004A6E56"/>
    <w:rsid w:val="004A6FE7"/>
    <w:rsid w:val="004A7348"/>
    <w:rsid w:val="004B064B"/>
    <w:rsid w:val="004B06A0"/>
    <w:rsid w:val="004B1115"/>
    <w:rsid w:val="004B121D"/>
    <w:rsid w:val="004B1999"/>
    <w:rsid w:val="004B1D8C"/>
    <w:rsid w:val="004B1DE1"/>
    <w:rsid w:val="004B3569"/>
    <w:rsid w:val="004B3B89"/>
    <w:rsid w:val="004B3CB6"/>
    <w:rsid w:val="004B3EF0"/>
    <w:rsid w:val="004B406A"/>
    <w:rsid w:val="004B5F88"/>
    <w:rsid w:val="004B6745"/>
    <w:rsid w:val="004B7231"/>
    <w:rsid w:val="004C08E9"/>
    <w:rsid w:val="004C1A56"/>
    <w:rsid w:val="004C3142"/>
    <w:rsid w:val="004C330A"/>
    <w:rsid w:val="004C3433"/>
    <w:rsid w:val="004C34A2"/>
    <w:rsid w:val="004C3652"/>
    <w:rsid w:val="004C3766"/>
    <w:rsid w:val="004C3B8D"/>
    <w:rsid w:val="004C3C45"/>
    <w:rsid w:val="004C3E8D"/>
    <w:rsid w:val="004C5217"/>
    <w:rsid w:val="004C5AA3"/>
    <w:rsid w:val="004C65FE"/>
    <w:rsid w:val="004C6B83"/>
    <w:rsid w:val="004C6C73"/>
    <w:rsid w:val="004C6F1E"/>
    <w:rsid w:val="004C797E"/>
    <w:rsid w:val="004C7B67"/>
    <w:rsid w:val="004D0E3E"/>
    <w:rsid w:val="004D15B2"/>
    <w:rsid w:val="004D2007"/>
    <w:rsid w:val="004D22C0"/>
    <w:rsid w:val="004D24F1"/>
    <w:rsid w:val="004D2A83"/>
    <w:rsid w:val="004D2CCF"/>
    <w:rsid w:val="004D3429"/>
    <w:rsid w:val="004D3B01"/>
    <w:rsid w:val="004D56A5"/>
    <w:rsid w:val="004D6431"/>
    <w:rsid w:val="004D6F82"/>
    <w:rsid w:val="004D74E7"/>
    <w:rsid w:val="004D7AD1"/>
    <w:rsid w:val="004D7C1C"/>
    <w:rsid w:val="004E1346"/>
    <w:rsid w:val="004E1648"/>
    <w:rsid w:val="004E1C9A"/>
    <w:rsid w:val="004E267B"/>
    <w:rsid w:val="004E2BAB"/>
    <w:rsid w:val="004E3619"/>
    <w:rsid w:val="004E3E32"/>
    <w:rsid w:val="004E51F4"/>
    <w:rsid w:val="004E5213"/>
    <w:rsid w:val="004E5789"/>
    <w:rsid w:val="004E5793"/>
    <w:rsid w:val="004E6CF9"/>
    <w:rsid w:val="004E7F13"/>
    <w:rsid w:val="004F15D4"/>
    <w:rsid w:val="004F2334"/>
    <w:rsid w:val="004F3009"/>
    <w:rsid w:val="004F397E"/>
    <w:rsid w:val="004F4AED"/>
    <w:rsid w:val="004F5B58"/>
    <w:rsid w:val="004F5ECF"/>
    <w:rsid w:val="004F6C36"/>
    <w:rsid w:val="004F77F3"/>
    <w:rsid w:val="004F7AFF"/>
    <w:rsid w:val="004F7C6B"/>
    <w:rsid w:val="004F7EEA"/>
    <w:rsid w:val="0050013F"/>
    <w:rsid w:val="005013C9"/>
    <w:rsid w:val="00501F2D"/>
    <w:rsid w:val="0050230F"/>
    <w:rsid w:val="0050232E"/>
    <w:rsid w:val="0050327D"/>
    <w:rsid w:val="00503894"/>
    <w:rsid w:val="00503935"/>
    <w:rsid w:val="005051A9"/>
    <w:rsid w:val="00505826"/>
    <w:rsid w:val="005058D1"/>
    <w:rsid w:val="005102A7"/>
    <w:rsid w:val="005103B8"/>
    <w:rsid w:val="005108C0"/>
    <w:rsid w:val="00510910"/>
    <w:rsid w:val="00511B3C"/>
    <w:rsid w:val="00511F81"/>
    <w:rsid w:val="00513E87"/>
    <w:rsid w:val="00513FD1"/>
    <w:rsid w:val="00515030"/>
    <w:rsid w:val="005153C7"/>
    <w:rsid w:val="00515784"/>
    <w:rsid w:val="00515C9B"/>
    <w:rsid w:val="005163F9"/>
    <w:rsid w:val="00516CBF"/>
    <w:rsid w:val="00516EDE"/>
    <w:rsid w:val="005175B3"/>
    <w:rsid w:val="00517AE7"/>
    <w:rsid w:val="00520284"/>
    <w:rsid w:val="00520F0D"/>
    <w:rsid w:val="00522055"/>
    <w:rsid w:val="00522D38"/>
    <w:rsid w:val="00522D89"/>
    <w:rsid w:val="005239BC"/>
    <w:rsid w:val="00524261"/>
    <w:rsid w:val="00525CE6"/>
    <w:rsid w:val="00526533"/>
    <w:rsid w:val="00527880"/>
    <w:rsid w:val="005302C6"/>
    <w:rsid w:val="00530823"/>
    <w:rsid w:val="005308D4"/>
    <w:rsid w:val="00530CCE"/>
    <w:rsid w:val="00531808"/>
    <w:rsid w:val="00531947"/>
    <w:rsid w:val="0053234D"/>
    <w:rsid w:val="00532583"/>
    <w:rsid w:val="00532E7C"/>
    <w:rsid w:val="00533C6D"/>
    <w:rsid w:val="00534893"/>
    <w:rsid w:val="005357EC"/>
    <w:rsid w:val="00535D19"/>
    <w:rsid w:val="00536BF0"/>
    <w:rsid w:val="00540058"/>
    <w:rsid w:val="0054060D"/>
    <w:rsid w:val="00540B1B"/>
    <w:rsid w:val="0054114D"/>
    <w:rsid w:val="00541DCE"/>
    <w:rsid w:val="00542CE5"/>
    <w:rsid w:val="0054398E"/>
    <w:rsid w:val="00543D27"/>
    <w:rsid w:val="00544206"/>
    <w:rsid w:val="005463BE"/>
    <w:rsid w:val="00547798"/>
    <w:rsid w:val="00547D63"/>
    <w:rsid w:val="0055000E"/>
    <w:rsid w:val="005502B6"/>
    <w:rsid w:val="0055070B"/>
    <w:rsid w:val="00550892"/>
    <w:rsid w:val="005513FC"/>
    <w:rsid w:val="0055143C"/>
    <w:rsid w:val="005522E9"/>
    <w:rsid w:val="00552C9D"/>
    <w:rsid w:val="00553107"/>
    <w:rsid w:val="005536A9"/>
    <w:rsid w:val="0055498D"/>
    <w:rsid w:val="00554BCB"/>
    <w:rsid w:val="00554D10"/>
    <w:rsid w:val="00554E93"/>
    <w:rsid w:val="00555F5E"/>
    <w:rsid w:val="005560C1"/>
    <w:rsid w:val="005564B6"/>
    <w:rsid w:val="0055708A"/>
    <w:rsid w:val="00557A26"/>
    <w:rsid w:val="00557C56"/>
    <w:rsid w:val="00560A9B"/>
    <w:rsid w:val="00560C21"/>
    <w:rsid w:val="00560D6B"/>
    <w:rsid w:val="00560D96"/>
    <w:rsid w:val="00560FF1"/>
    <w:rsid w:val="00561488"/>
    <w:rsid w:val="005618B2"/>
    <w:rsid w:val="00562CA2"/>
    <w:rsid w:val="00562EA8"/>
    <w:rsid w:val="00563665"/>
    <w:rsid w:val="005654B8"/>
    <w:rsid w:val="005655E8"/>
    <w:rsid w:val="00565E80"/>
    <w:rsid w:val="0056655E"/>
    <w:rsid w:val="00566809"/>
    <w:rsid w:val="00566A5D"/>
    <w:rsid w:val="00566E44"/>
    <w:rsid w:val="00567BC6"/>
    <w:rsid w:val="00571881"/>
    <w:rsid w:val="00573323"/>
    <w:rsid w:val="00573E31"/>
    <w:rsid w:val="00574A1D"/>
    <w:rsid w:val="0057671A"/>
    <w:rsid w:val="005770A8"/>
    <w:rsid w:val="00577BF9"/>
    <w:rsid w:val="00581DFD"/>
    <w:rsid w:val="005820B2"/>
    <w:rsid w:val="00582671"/>
    <w:rsid w:val="00582816"/>
    <w:rsid w:val="005829BB"/>
    <w:rsid w:val="00582F34"/>
    <w:rsid w:val="0058346F"/>
    <w:rsid w:val="00584509"/>
    <w:rsid w:val="00584DCA"/>
    <w:rsid w:val="005851A1"/>
    <w:rsid w:val="00585309"/>
    <w:rsid w:val="00585C07"/>
    <w:rsid w:val="005876D0"/>
    <w:rsid w:val="00587BAE"/>
    <w:rsid w:val="00590BD2"/>
    <w:rsid w:val="00590C5E"/>
    <w:rsid w:val="00591A26"/>
    <w:rsid w:val="00591BC6"/>
    <w:rsid w:val="0059252D"/>
    <w:rsid w:val="00593325"/>
    <w:rsid w:val="005942A8"/>
    <w:rsid w:val="00594425"/>
    <w:rsid w:val="00595E95"/>
    <w:rsid w:val="005962BF"/>
    <w:rsid w:val="0059676D"/>
    <w:rsid w:val="00596862"/>
    <w:rsid w:val="005976E3"/>
    <w:rsid w:val="005A041F"/>
    <w:rsid w:val="005A1262"/>
    <w:rsid w:val="005A1F2E"/>
    <w:rsid w:val="005A2491"/>
    <w:rsid w:val="005A31E8"/>
    <w:rsid w:val="005A3695"/>
    <w:rsid w:val="005A3AAF"/>
    <w:rsid w:val="005A3B27"/>
    <w:rsid w:val="005A3D21"/>
    <w:rsid w:val="005A3D69"/>
    <w:rsid w:val="005A45E3"/>
    <w:rsid w:val="005A4D09"/>
    <w:rsid w:val="005A6556"/>
    <w:rsid w:val="005A6E2E"/>
    <w:rsid w:val="005A6F65"/>
    <w:rsid w:val="005A7EAF"/>
    <w:rsid w:val="005B1245"/>
    <w:rsid w:val="005B1F2B"/>
    <w:rsid w:val="005B29A3"/>
    <w:rsid w:val="005B3245"/>
    <w:rsid w:val="005B3443"/>
    <w:rsid w:val="005B3AA1"/>
    <w:rsid w:val="005B4D6D"/>
    <w:rsid w:val="005B571B"/>
    <w:rsid w:val="005B5B43"/>
    <w:rsid w:val="005B5E99"/>
    <w:rsid w:val="005B6C0B"/>
    <w:rsid w:val="005B6F6C"/>
    <w:rsid w:val="005C0168"/>
    <w:rsid w:val="005C0728"/>
    <w:rsid w:val="005C1559"/>
    <w:rsid w:val="005C1632"/>
    <w:rsid w:val="005C1DE6"/>
    <w:rsid w:val="005C1FC7"/>
    <w:rsid w:val="005C2630"/>
    <w:rsid w:val="005C34C5"/>
    <w:rsid w:val="005C3B7D"/>
    <w:rsid w:val="005C4ABB"/>
    <w:rsid w:val="005C4BC8"/>
    <w:rsid w:val="005C5194"/>
    <w:rsid w:val="005C53EE"/>
    <w:rsid w:val="005C5955"/>
    <w:rsid w:val="005C607C"/>
    <w:rsid w:val="005C62AB"/>
    <w:rsid w:val="005C65F8"/>
    <w:rsid w:val="005C66BF"/>
    <w:rsid w:val="005C6882"/>
    <w:rsid w:val="005C73DF"/>
    <w:rsid w:val="005C78DB"/>
    <w:rsid w:val="005C7A7F"/>
    <w:rsid w:val="005C7FF9"/>
    <w:rsid w:val="005D0075"/>
    <w:rsid w:val="005D0124"/>
    <w:rsid w:val="005D0369"/>
    <w:rsid w:val="005D03C7"/>
    <w:rsid w:val="005D0663"/>
    <w:rsid w:val="005D074D"/>
    <w:rsid w:val="005D152E"/>
    <w:rsid w:val="005D2BEB"/>
    <w:rsid w:val="005D2CC6"/>
    <w:rsid w:val="005D2E59"/>
    <w:rsid w:val="005D30AC"/>
    <w:rsid w:val="005D3588"/>
    <w:rsid w:val="005D4235"/>
    <w:rsid w:val="005D4431"/>
    <w:rsid w:val="005D46B5"/>
    <w:rsid w:val="005D4CC5"/>
    <w:rsid w:val="005D62F4"/>
    <w:rsid w:val="005D63C1"/>
    <w:rsid w:val="005D6448"/>
    <w:rsid w:val="005D68F5"/>
    <w:rsid w:val="005D6931"/>
    <w:rsid w:val="005D6BA5"/>
    <w:rsid w:val="005D6DB3"/>
    <w:rsid w:val="005D7039"/>
    <w:rsid w:val="005D7354"/>
    <w:rsid w:val="005D7A51"/>
    <w:rsid w:val="005E00E6"/>
    <w:rsid w:val="005E11A0"/>
    <w:rsid w:val="005E19ED"/>
    <w:rsid w:val="005E1DFF"/>
    <w:rsid w:val="005E1EDF"/>
    <w:rsid w:val="005E25B0"/>
    <w:rsid w:val="005E2D38"/>
    <w:rsid w:val="005E2E32"/>
    <w:rsid w:val="005E3F3F"/>
    <w:rsid w:val="005E4A27"/>
    <w:rsid w:val="005E4F0E"/>
    <w:rsid w:val="005E58BA"/>
    <w:rsid w:val="005E5C4E"/>
    <w:rsid w:val="005E6468"/>
    <w:rsid w:val="005E718B"/>
    <w:rsid w:val="005F0C89"/>
    <w:rsid w:val="005F0C99"/>
    <w:rsid w:val="005F0DAF"/>
    <w:rsid w:val="005F1071"/>
    <w:rsid w:val="005F1353"/>
    <w:rsid w:val="005F1370"/>
    <w:rsid w:val="005F1E30"/>
    <w:rsid w:val="005F200B"/>
    <w:rsid w:val="005F2793"/>
    <w:rsid w:val="005F2EC8"/>
    <w:rsid w:val="005F2F04"/>
    <w:rsid w:val="005F309F"/>
    <w:rsid w:val="005F4431"/>
    <w:rsid w:val="005F4AEC"/>
    <w:rsid w:val="005F4B2A"/>
    <w:rsid w:val="005F5BA4"/>
    <w:rsid w:val="005F6070"/>
    <w:rsid w:val="005F62E9"/>
    <w:rsid w:val="00600F6A"/>
    <w:rsid w:val="00601399"/>
    <w:rsid w:val="00602253"/>
    <w:rsid w:val="00602646"/>
    <w:rsid w:val="006026AA"/>
    <w:rsid w:val="00602A1D"/>
    <w:rsid w:val="00602BFE"/>
    <w:rsid w:val="00603041"/>
    <w:rsid w:val="00603A92"/>
    <w:rsid w:val="00603C46"/>
    <w:rsid w:val="006041A9"/>
    <w:rsid w:val="0060499D"/>
    <w:rsid w:val="00604A94"/>
    <w:rsid w:val="00604B17"/>
    <w:rsid w:val="00605856"/>
    <w:rsid w:val="00610236"/>
    <w:rsid w:val="00610692"/>
    <w:rsid w:val="00610A33"/>
    <w:rsid w:val="00610D06"/>
    <w:rsid w:val="00611401"/>
    <w:rsid w:val="00611644"/>
    <w:rsid w:val="00611E55"/>
    <w:rsid w:val="00611FC6"/>
    <w:rsid w:val="00612CBE"/>
    <w:rsid w:val="00612F83"/>
    <w:rsid w:val="0061373F"/>
    <w:rsid w:val="00614D4F"/>
    <w:rsid w:val="00615462"/>
    <w:rsid w:val="0061567B"/>
    <w:rsid w:val="00615C40"/>
    <w:rsid w:val="00616E96"/>
    <w:rsid w:val="0062039F"/>
    <w:rsid w:val="00621542"/>
    <w:rsid w:val="0062193D"/>
    <w:rsid w:val="00621E57"/>
    <w:rsid w:val="00622597"/>
    <w:rsid w:val="006229AA"/>
    <w:rsid w:val="00623908"/>
    <w:rsid w:val="006239C3"/>
    <w:rsid w:val="00623B08"/>
    <w:rsid w:val="00624832"/>
    <w:rsid w:val="006248B0"/>
    <w:rsid w:val="0062564E"/>
    <w:rsid w:val="0062680D"/>
    <w:rsid w:val="006268B2"/>
    <w:rsid w:val="0062692D"/>
    <w:rsid w:val="00626D27"/>
    <w:rsid w:val="006272A8"/>
    <w:rsid w:val="00630BD6"/>
    <w:rsid w:val="00632E41"/>
    <w:rsid w:val="00633605"/>
    <w:rsid w:val="00633762"/>
    <w:rsid w:val="00633F49"/>
    <w:rsid w:val="00634DAD"/>
    <w:rsid w:val="00634F6E"/>
    <w:rsid w:val="006360A1"/>
    <w:rsid w:val="0063625C"/>
    <w:rsid w:val="00636465"/>
    <w:rsid w:val="00636D97"/>
    <w:rsid w:val="00637693"/>
    <w:rsid w:val="00637CD7"/>
    <w:rsid w:val="00637FA2"/>
    <w:rsid w:val="00640125"/>
    <w:rsid w:val="00640620"/>
    <w:rsid w:val="006416C6"/>
    <w:rsid w:val="00641933"/>
    <w:rsid w:val="00641BCC"/>
    <w:rsid w:val="006437B7"/>
    <w:rsid w:val="00643EA9"/>
    <w:rsid w:val="006443C5"/>
    <w:rsid w:val="0064604D"/>
    <w:rsid w:val="00646149"/>
    <w:rsid w:val="006462EA"/>
    <w:rsid w:val="00646772"/>
    <w:rsid w:val="0064685A"/>
    <w:rsid w:val="00646AAD"/>
    <w:rsid w:val="0065010C"/>
    <w:rsid w:val="00650682"/>
    <w:rsid w:val="006511F0"/>
    <w:rsid w:val="00651F9E"/>
    <w:rsid w:val="006520A7"/>
    <w:rsid w:val="00652CD8"/>
    <w:rsid w:val="00653292"/>
    <w:rsid w:val="00653FCB"/>
    <w:rsid w:val="00654415"/>
    <w:rsid w:val="00654D4B"/>
    <w:rsid w:val="00655BA4"/>
    <w:rsid w:val="0065611F"/>
    <w:rsid w:val="0065653F"/>
    <w:rsid w:val="00657137"/>
    <w:rsid w:val="00657268"/>
    <w:rsid w:val="00657458"/>
    <w:rsid w:val="006607AE"/>
    <w:rsid w:val="00661343"/>
    <w:rsid w:val="00661A94"/>
    <w:rsid w:val="006638E7"/>
    <w:rsid w:val="00664289"/>
    <w:rsid w:val="00664BC8"/>
    <w:rsid w:val="00664CD2"/>
    <w:rsid w:val="00666148"/>
    <w:rsid w:val="00667A12"/>
    <w:rsid w:val="00667F29"/>
    <w:rsid w:val="0067045C"/>
    <w:rsid w:val="00671BF1"/>
    <w:rsid w:val="00671F40"/>
    <w:rsid w:val="00673FC9"/>
    <w:rsid w:val="00674FE3"/>
    <w:rsid w:val="006755A7"/>
    <w:rsid w:val="006757D5"/>
    <w:rsid w:val="00676F6D"/>
    <w:rsid w:val="00677B5E"/>
    <w:rsid w:val="00677F5D"/>
    <w:rsid w:val="0068024B"/>
    <w:rsid w:val="0068095F"/>
    <w:rsid w:val="006834B7"/>
    <w:rsid w:val="006834E8"/>
    <w:rsid w:val="00684728"/>
    <w:rsid w:val="00686D23"/>
    <w:rsid w:val="0068749B"/>
    <w:rsid w:val="0068756C"/>
    <w:rsid w:val="00690010"/>
    <w:rsid w:val="006903D8"/>
    <w:rsid w:val="00690C72"/>
    <w:rsid w:val="0069114E"/>
    <w:rsid w:val="00691AA3"/>
    <w:rsid w:val="00692107"/>
    <w:rsid w:val="006929D7"/>
    <w:rsid w:val="00693ED6"/>
    <w:rsid w:val="006946E8"/>
    <w:rsid w:val="00695199"/>
    <w:rsid w:val="006951C3"/>
    <w:rsid w:val="006952E7"/>
    <w:rsid w:val="00695470"/>
    <w:rsid w:val="00695723"/>
    <w:rsid w:val="00696902"/>
    <w:rsid w:val="00696B89"/>
    <w:rsid w:val="00697536"/>
    <w:rsid w:val="006976E9"/>
    <w:rsid w:val="006977D5"/>
    <w:rsid w:val="006A05A8"/>
    <w:rsid w:val="006A1622"/>
    <w:rsid w:val="006A1C52"/>
    <w:rsid w:val="006A1FC3"/>
    <w:rsid w:val="006A2470"/>
    <w:rsid w:val="006A2D55"/>
    <w:rsid w:val="006A2E6B"/>
    <w:rsid w:val="006A33A5"/>
    <w:rsid w:val="006A43BF"/>
    <w:rsid w:val="006A55B8"/>
    <w:rsid w:val="006A60E8"/>
    <w:rsid w:val="006A6500"/>
    <w:rsid w:val="006B047D"/>
    <w:rsid w:val="006B0A2A"/>
    <w:rsid w:val="006B11B4"/>
    <w:rsid w:val="006B13E8"/>
    <w:rsid w:val="006B14BB"/>
    <w:rsid w:val="006B1ACE"/>
    <w:rsid w:val="006B2EA9"/>
    <w:rsid w:val="006B545D"/>
    <w:rsid w:val="006B63EF"/>
    <w:rsid w:val="006B7625"/>
    <w:rsid w:val="006C0050"/>
    <w:rsid w:val="006C015A"/>
    <w:rsid w:val="006C0819"/>
    <w:rsid w:val="006C08E5"/>
    <w:rsid w:val="006C0A5C"/>
    <w:rsid w:val="006C0B16"/>
    <w:rsid w:val="006C0C2C"/>
    <w:rsid w:val="006C1A44"/>
    <w:rsid w:val="006C1D86"/>
    <w:rsid w:val="006C203D"/>
    <w:rsid w:val="006C27EE"/>
    <w:rsid w:val="006C2DC5"/>
    <w:rsid w:val="006C3196"/>
    <w:rsid w:val="006C3427"/>
    <w:rsid w:val="006C379C"/>
    <w:rsid w:val="006C3A13"/>
    <w:rsid w:val="006C4480"/>
    <w:rsid w:val="006C5D76"/>
    <w:rsid w:val="006D08E5"/>
    <w:rsid w:val="006D1CA7"/>
    <w:rsid w:val="006D3F56"/>
    <w:rsid w:val="006D4D05"/>
    <w:rsid w:val="006D57A4"/>
    <w:rsid w:val="006D5BD7"/>
    <w:rsid w:val="006D69A1"/>
    <w:rsid w:val="006D7054"/>
    <w:rsid w:val="006D70CC"/>
    <w:rsid w:val="006D7839"/>
    <w:rsid w:val="006D794C"/>
    <w:rsid w:val="006D79D2"/>
    <w:rsid w:val="006D7EF9"/>
    <w:rsid w:val="006E150C"/>
    <w:rsid w:val="006E2952"/>
    <w:rsid w:val="006E4AD8"/>
    <w:rsid w:val="006E56EF"/>
    <w:rsid w:val="006E5E79"/>
    <w:rsid w:val="006E62DA"/>
    <w:rsid w:val="006F0AB4"/>
    <w:rsid w:val="006F0BDE"/>
    <w:rsid w:val="006F1675"/>
    <w:rsid w:val="006F1764"/>
    <w:rsid w:val="006F1E29"/>
    <w:rsid w:val="006F21F0"/>
    <w:rsid w:val="006F3F1E"/>
    <w:rsid w:val="006F484F"/>
    <w:rsid w:val="006F485C"/>
    <w:rsid w:val="006F4EAC"/>
    <w:rsid w:val="006F6272"/>
    <w:rsid w:val="006F6807"/>
    <w:rsid w:val="006F6EAE"/>
    <w:rsid w:val="006F7B27"/>
    <w:rsid w:val="006F7C06"/>
    <w:rsid w:val="00701222"/>
    <w:rsid w:val="007013DC"/>
    <w:rsid w:val="00701B10"/>
    <w:rsid w:val="00701DF5"/>
    <w:rsid w:val="00702216"/>
    <w:rsid w:val="00702DA9"/>
    <w:rsid w:val="00702EFA"/>
    <w:rsid w:val="0070388E"/>
    <w:rsid w:val="00704CCE"/>
    <w:rsid w:val="00705283"/>
    <w:rsid w:val="007059F0"/>
    <w:rsid w:val="00706595"/>
    <w:rsid w:val="00706B03"/>
    <w:rsid w:val="0070767D"/>
    <w:rsid w:val="007077FE"/>
    <w:rsid w:val="00707AF2"/>
    <w:rsid w:val="00710439"/>
    <w:rsid w:val="00711420"/>
    <w:rsid w:val="00711A17"/>
    <w:rsid w:val="00712292"/>
    <w:rsid w:val="00713684"/>
    <w:rsid w:val="00714F8C"/>
    <w:rsid w:val="00715389"/>
    <w:rsid w:val="0071586F"/>
    <w:rsid w:val="00715CEC"/>
    <w:rsid w:val="0071705B"/>
    <w:rsid w:val="007172DB"/>
    <w:rsid w:val="007214D6"/>
    <w:rsid w:val="007217B3"/>
    <w:rsid w:val="007220B1"/>
    <w:rsid w:val="00722AE8"/>
    <w:rsid w:val="00722E8C"/>
    <w:rsid w:val="00722FB6"/>
    <w:rsid w:val="00723078"/>
    <w:rsid w:val="007233D7"/>
    <w:rsid w:val="00724118"/>
    <w:rsid w:val="0072470A"/>
    <w:rsid w:val="00724B4B"/>
    <w:rsid w:val="00724F71"/>
    <w:rsid w:val="00725A97"/>
    <w:rsid w:val="007265D6"/>
    <w:rsid w:val="00726DE2"/>
    <w:rsid w:val="00726E06"/>
    <w:rsid w:val="00727694"/>
    <w:rsid w:val="00727BF9"/>
    <w:rsid w:val="00727CD2"/>
    <w:rsid w:val="007305A8"/>
    <w:rsid w:val="00730614"/>
    <w:rsid w:val="0073177D"/>
    <w:rsid w:val="00731D5B"/>
    <w:rsid w:val="007331C4"/>
    <w:rsid w:val="00733454"/>
    <w:rsid w:val="007346AA"/>
    <w:rsid w:val="00735035"/>
    <w:rsid w:val="00735075"/>
    <w:rsid w:val="00735499"/>
    <w:rsid w:val="007355FA"/>
    <w:rsid w:val="00735679"/>
    <w:rsid w:val="007375D6"/>
    <w:rsid w:val="0073776E"/>
    <w:rsid w:val="00737CF4"/>
    <w:rsid w:val="00740EA3"/>
    <w:rsid w:val="0074101C"/>
    <w:rsid w:val="0074155F"/>
    <w:rsid w:val="00742E3A"/>
    <w:rsid w:val="00743618"/>
    <w:rsid w:val="00743A4B"/>
    <w:rsid w:val="00744456"/>
    <w:rsid w:val="00745353"/>
    <w:rsid w:val="00745914"/>
    <w:rsid w:val="00745A9A"/>
    <w:rsid w:val="00745BB8"/>
    <w:rsid w:val="0074739E"/>
    <w:rsid w:val="00750291"/>
    <w:rsid w:val="00750821"/>
    <w:rsid w:val="00750A3B"/>
    <w:rsid w:val="00750DA8"/>
    <w:rsid w:val="007515B5"/>
    <w:rsid w:val="00751A79"/>
    <w:rsid w:val="00752264"/>
    <w:rsid w:val="007522B1"/>
    <w:rsid w:val="0075266F"/>
    <w:rsid w:val="00752C10"/>
    <w:rsid w:val="00753A62"/>
    <w:rsid w:val="00753E09"/>
    <w:rsid w:val="007540A9"/>
    <w:rsid w:val="007540C8"/>
    <w:rsid w:val="00754A5B"/>
    <w:rsid w:val="00755095"/>
    <w:rsid w:val="0075660D"/>
    <w:rsid w:val="007579B3"/>
    <w:rsid w:val="00757A66"/>
    <w:rsid w:val="00757C6A"/>
    <w:rsid w:val="00757EC4"/>
    <w:rsid w:val="0076099C"/>
    <w:rsid w:val="007615A5"/>
    <w:rsid w:val="00761B21"/>
    <w:rsid w:val="00761BE6"/>
    <w:rsid w:val="00761DD2"/>
    <w:rsid w:val="007637D5"/>
    <w:rsid w:val="00763CD8"/>
    <w:rsid w:val="00764443"/>
    <w:rsid w:val="00764D8E"/>
    <w:rsid w:val="00764E53"/>
    <w:rsid w:val="0076589C"/>
    <w:rsid w:val="00766A98"/>
    <w:rsid w:val="00770071"/>
    <w:rsid w:val="0077061D"/>
    <w:rsid w:val="00770766"/>
    <w:rsid w:val="00771389"/>
    <w:rsid w:val="007717DE"/>
    <w:rsid w:val="00773104"/>
    <w:rsid w:val="00773788"/>
    <w:rsid w:val="00773AE8"/>
    <w:rsid w:val="00773D9B"/>
    <w:rsid w:val="00774927"/>
    <w:rsid w:val="00776BB0"/>
    <w:rsid w:val="00777058"/>
    <w:rsid w:val="00780A59"/>
    <w:rsid w:val="00780BBE"/>
    <w:rsid w:val="00780BF8"/>
    <w:rsid w:val="00781DBE"/>
    <w:rsid w:val="0078465E"/>
    <w:rsid w:val="007849F5"/>
    <w:rsid w:val="00784A84"/>
    <w:rsid w:val="00784B0B"/>
    <w:rsid w:val="0078537D"/>
    <w:rsid w:val="00786E8A"/>
    <w:rsid w:val="00787312"/>
    <w:rsid w:val="00790542"/>
    <w:rsid w:val="00790B1D"/>
    <w:rsid w:val="0079180C"/>
    <w:rsid w:val="00791CC7"/>
    <w:rsid w:val="00792270"/>
    <w:rsid w:val="0079260D"/>
    <w:rsid w:val="00792944"/>
    <w:rsid w:val="00793004"/>
    <w:rsid w:val="00794D9A"/>
    <w:rsid w:val="0079585E"/>
    <w:rsid w:val="007958A7"/>
    <w:rsid w:val="00795D41"/>
    <w:rsid w:val="00795E99"/>
    <w:rsid w:val="0079614F"/>
    <w:rsid w:val="0079640F"/>
    <w:rsid w:val="007968D5"/>
    <w:rsid w:val="00796D4A"/>
    <w:rsid w:val="0079715F"/>
    <w:rsid w:val="007A0476"/>
    <w:rsid w:val="007A0548"/>
    <w:rsid w:val="007A0A37"/>
    <w:rsid w:val="007A11B0"/>
    <w:rsid w:val="007A26EC"/>
    <w:rsid w:val="007A2A3D"/>
    <w:rsid w:val="007A2D18"/>
    <w:rsid w:val="007A2DBF"/>
    <w:rsid w:val="007A3BCB"/>
    <w:rsid w:val="007A6439"/>
    <w:rsid w:val="007A683F"/>
    <w:rsid w:val="007A69F4"/>
    <w:rsid w:val="007A6F12"/>
    <w:rsid w:val="007A7954"/>
    <w:rsid w:val="007A7DAF"/>
    <w:rsid w:val="007B10CE"/>
    <w:rsid w:val="007B41C1"/>
    <w:rsid w:val="007B41CC"/>
    <w:rsid w:val="007B54F5"/>
    <w:rsid w:val="007B5814"/>
    <w:rsid w:val="007B5C6C"/>
    <w:rsid w:val="007B6E1F"/>
    <w:rsid w:val="007B6E70"/>
    <w:rsid w:val="007B709E"/>
    <w:rsid w:val="007B75CA"/>
    <w:rsid w:val="007B7985"/>
    <w:rsid w:val="007C01F9"/>
    <w:rsid w:val="007C0613"/>
    <w:rsid w:val="007C0DDA"/>
    <w:rsid w:val="007C1656"/>
    <w:rsid w:val="007C1DFF"/>
    <w:rsid w:val="007C3822"/>
    <w:rsid w:val="007C4766"/>
    <w:rsid w:val="007C49F2"/>
    <w:rsid w:val="007C5D82"/>
    <w:rsid w:val="007C7376"/>
    <w:rsid w:val="007C7763"/>
    <w:rsid w:val="007C7808"/>
    <w:rsid w:val="007C7B47"/>
    <w:rsid w:val="007C7BDD"/>
    <w:rsid w:val="007D0115"/>
    <w:rsid w:val="007D01D2"/>
    <w:rsid w:val="007D22C3"/>
    <w:rsid w:val="007D2F13"/>
    <w:rsid w:val="007D3886"/>
    <w:rsid w:val="007D3E3C"/>
    <w:rsid w:val="007D4343"/>
    <w:rsid w:val="007D4712"/>
    <w:rsid w:val="007D4917"/>
    <w:rsid w:val="007D4F41"/>
    <w:rsid w:val="007D5044"/>
    <w:rsid w:val="007D5AFA"/>
    <w:rsid w:val="007D7015"/>
    <w:rsid w:val="007D7A08"/>
    <w:rsid w:val="007E0485"/>
    <w:rsid w:val="007E04F8"/>
    <w:rsid w:val="007E05C5"/>
    <w:rsid w:val="007E0F88"/>
    <w:rsid w:val="007E155F"/>
    <w:rsid w:val="007E2747"/>
    <w:rsid w:val="007E30D0"/>
    <w:rsid w:val="007E3578"/>
    <w:rsid w:val="007E395B"/>
    <w:rsid w:val="007E3B33"/>
    <w:rsid w:val="007E4C2E"/>
    <w:rsid w:val="007E4E7A"/>
    <w:rsid w:val="007E59A6"/>
    <w:rsid w:val="007E691D"/>
    <w:rsid w:val="007E6933"/>
    <w:rsid w:val="007E6B31"/>
    <w:rsid w:val="007E6B3C"/>
    <w:rsid w:val="007E78E7"/>
    <w:rsid w:val="007F0729"/>
    <w:rsid w:val="007F0A6F"/>
    <w:rsid w:val="007F0ABE"/>
    <w:rsid w:val="007F1D2D"/>
    <w:rsid w:val="007F1FEF"/>
    <w:rsid w:val="007F2569"/>
    <w:rsid w:val="007F334A"/>
    <w:rsid w:val="007F34EE"/>
    <w:rsid w:val="007F3A26"/>
    <w:rsid w:val="007F40B2"/>
    <w:rsid w:val="007F411F"/>
    <w:rsid w:val="007F4782"/>
    <w:rsid w:val="007F4D9F"/>
    <w:rsid w:val="007F58A0"/>
    <w:rsid w:val="007F65F5"/>
    <w:rsid w:val="007F67AF"/>
    <w:rsid w:val="007F7D96"/>
    <w:rsid w:val="00800E71"/>
    <w:rsid w:val="008011D9"/>
    <w:rsid w:val="00801292"/>
    <w:rsid w:val="00801469"/>
    <w:rsid w:val="008014F1"/>
    <w:rsid w:val="00801AFD"/>
    <w:rsid w:val="00802120"/>
    <w:rsid w:val="00802B83"/>
    <w:rsid w:val="00802D8A"/>
    <w:rsid w:val="00803110"/>
    <w:rsid w:val="00803CF4"/>
    <w:rsid w:val="008048BC"/>
    <w:rsid w:val="00806EC9"/>
    <w:rsid w:val="00806F57"/>
    <w:rsid w:val="00807C98"/>
    <w:rsid w:val="00807EEF"/>
    <w:rsid w:val="00810109"/>
    <w:rsid w:val="0081038B"/>
    <w:rsid w:val="00810898"/>
    <w:rsid w:val="00810D4A"/>
    <w:rsid w:val="00810ECA"/>
    <w:rsid w:val="00810FA2"/>
    <w:rsid w:val="00811E18"/>
    <w:rsid w:val="00812F35"/>
    <w:rsid w:val="00813789"/>
    <w:rsid w:val="008140E8"/>
    <w:rsid w:val="0081441E"/>
    <w:rsid w:val="00814BCF"/>
    <w:rsid w:val="00814F81"/>
    <w:rsid w:val="008150C8"/>
    <w:rsid w:val="00815143"/>
    <w:rsid w:val="008152B1"/>
    <w:rsid w:val="00816F4A"/>
    <w:rsid w:val="00817A59"/>
    <w:rsid w:val="0082029F"/>
    <w:rsid w:val="0082085E"/>
    <w:rsid w:val="0082131D"/>
    <w:rsid w:val="008239E4"/>
    <w:rsid w:val="00823FF5"/>
    <w:rsid w:val="0082424E"/>
    <w:rsid w:val="008246C0"/>
    <w:rsid w:val="00825685"/>
    <w:rsid w:val="00826111"/>
    <w:rsid w:val="008265E1"/>
    <w:rsid w:val="0082675B"/>
    <w:rsid w:val="0082696D"/>
    <w:rsid w:val="00826B93"/>
    <w:rsid w:val="00826DDA"/>
    <w:rsid w:val="00827B8D"/>
    <w:rsid w:val="00830CDD"/>
    <w:rsid w:val="00831CA3"/>
    <w:rsid w:val="008335FB"/>
    <w:rsid w:val="0083434F"/>
    <w:rsid w:val="00834535"/>
    <w:rsid w:val="00834728"/>
    <w:rsid w:val="00834F93"/>
    <w:rsid w:val="00834F9B"/>
    <w:rsid w:val="00836FF7"/>
    <w:rsid w:val="008370FB"/>
    <w:rsid w:val="00837573"/>
    <w:rsid w:val="00840A14"/>
    <w:rsid w:val="00840AB1"/>
    <w:rsid w:val="0084132C"/>
    <w:rsid w:val="0084187F"/>
    <w:rsid w:val="00842D7C"/>
    <w:rsid w:val="00842ED0"/>
    <w:rsid w:val="00845DA3"/>
    <w:rsid w:val="00846128"/>
    <w:rsid w:val="00846462"/>
    <w:rsid w:val="00846508"/>
    <w:rsid w:val="0084742D"/>
    <w:rsid w:val="00847D90"/>
    <w:rsid w:val="008514D2"/>
    <w:rsid w:val="008519DA"/>
    <w:rsid w:val="008526C1"/>
    <w:rsid w:val="008546BE"/>
    <w:rsid w:val="00854AA4"/>
    <w:rsid w:val="00854C22"/>
    <w:rsid w:val="00856BFE"/>
    <w:rsid w:val="00857464"/>
    <w:rsid w:val="00857863"/>
    <w:rsid w:val="00857CE0"/>
    <w:rsid w:val="00857F81"/>
    <w:rsid w:val="00860935"/>
    <w:rsid w:val="00860A54"/>
    <w:rsid w:val="00860BC3"/>
    <w:rsid w:val="00861FCE"/>
    <w:rsid w:val="00862BFE"/>
    <w:rsid w:val="00864062"/>
    <w:rsid w:val="008642F9"/>
    <w:rsid w:val="008644BC"/>
    <w:rsid w:val="008656A8"/>
    <w:rsid w:val="008659CC"/>
    <w:rsid w:val="00867279"/>
    <w:rsid w:val="008676FF"/>
    <w:rsid w:val="00867AD0"/>
    <w:rsid w:val="00867C85"/>
    <w:rsid w:val="0087002B"/>
    <w:rsid w:val="00870132"/>
    <w:rsid w:val="00870543"/>
    <w:rsid w:val="0087174F"/>
    <w:rsid w:val="008718B8"/>
    <w:rsid w:val="00871B2A"/>
    <w:rsid w:val="00871BD2"/>
    <w:rsid w:val="00871D6C"/>
    <w:rsid w:val="008733F5"/>
    <w:rsid w:val="00873AD4"/>
    <w:rsid w:val="008742AE"/>
    <w:rsid w:val="00874986"/>
    <w:rsid w:val="00874A42"/>
    <w:rsid w:val="008750CE"/>
    <w:rsid w:val="00875B83"/>
    <w:rsid w:val="00875BBB"/>
    <w:rsid w:val="008808E9"/>
    <w:rsid w:val="008816D9"/>
    <w:rsid w:val="00881D4D"/>
    <w:rsid w:val="00881E3C"/>
    <w:rsid w:val="00882840"/>
    <w:rsid w:val="00883364"/>
    <w:rsid w:val="008834F0"/>
    <w:rsid w:val="008848C5"/>
    <w:rsid w:val="00885943"/>
    <w:rsid w:val="00885AAB"/>
    <w:rsid w:val="00886ACE"/>
    <w:rsid w:val="00890A51"/>
    <w:rsid w:val="00891898"/>
    <w:rsid w:val="00892426"/>
    <w:rsid w:val="00892654"/>
    <w:rsid w:val="008926F6"/>
    <w:rsid w:val="00893A18"/>
    <w:rsid w:val="00893BB4"/>
    <w:rsid w:val="00895D16"/>
    <w:rsid w:val="00895F48"/>
    <w:rsid w:val="008965C3"/>
    <w:rsid w:val="00896B5E"/>
    <w:rsid w:val="00897022"/>
    <w:rsid w:val="00897349"/>
    <w:rsid w:val="008A076B"/>
    <w:rsid w:val="008A083C"/>
    <w:rsid w:val="008A0B77"/>
    <w:rsid w:val="008A16CC"/>
    <w:rsid w:val="008A249D"/>
    <w:rsid w:val="008A24EC"/>
    <w:rsid w:val="008A2C0C"/>
    <w:rsid w:val="008A3AC3"/>
    <w:rsid w:val="008A41D1"/>
    <w:rsid w:val="008A4429"/>
    <w:rsid w:val="008A461C"/>
    <w:rsid w:val="008A5558"/>
    <w:rsid w:val="008A6A02"/>
    <w:rsid w:val="008A6DA3"/>
    <w:rsid w:val="008A7330"/>
    <w:rsid w:val="008A75AE"/>
    <w:rsid w:val="008A77CB"/>
    <w:rsid w:val="008A7DFE"/>
    <w:rsid w:val="008B1B9C"/>
    <w:rsid w:val="008B22D4"/>
    <w:rsid w:val="008B22E3"/>
    <w:rsid w:val="008B2590"/>
    <w:rsid w:val="008B262F"/>
    <w:rsid w:val="008B2D21"/>
    <w:rsid w:val="008B300F"/>
    <w:rsid w:val="008B31CA"/>
    <w:rsid w:val="008B36FE"/>
    <w:rsid w:val="008B3793"/>
    <w:rsid w:val="008B3861"/>
    <w:rsid w:val="008B4A61"/>
    <w:rsid w:val="008B4B33"/>
    <w:rsid w:val="008B4DED"/>
    <w:rsid w:val="008B5E06"/>
    <w:rsid w:val="008B5EF0"/>
    <w:rsid w:val="008B65C3"/>
    <w:rsid w:val="008B6C9B"/>
    <w:rsid w:val="008B70FC"/>
    <w:rsid w:val="008B79EC"/>
    <w:rsid w:val="008C0350"/>
    <w:rsid w:val="008C0630"/>
    <w:rsid w:val="008C2351"/>
    <w:rsid w:val="008C3FE8"/>
    <w:rsid w:val="008C4B76"/>
    <w:rsid w:val="008C4D27"/>
    <w:rsid w:val="008C5156"/>
    <w:rsid w:val="008C5900"/>
    <w:rsid w:val="008C59A0"/>
    <w:rsid w:val="008C5AA3"/>
    <w:rsid w:val="008C68DE"/>
    <w:rsid w:val="008C6AB8"/>
    <w:rsid w:val="008C7147"/>
    <w:rsid w:val="008D08BA"/>
    <w:rsid w:val="008D09DE"/>
    <w:rsid w:val="008D0F0A"/>
    <w:rsid w:val="008D1247"/>
    <w:rsid w:val="008D1781"/>
    <w:rsid w:val="008D1A6C"/>
    <w:rsid w:val="008D1D48"/>
    <w:rsid w:val="008D1E21"/>
    <w:rsid w:val="008D1EAE"/>
    <w:rsid w:val="008D219A"/>
    <w:rsid w:val="008D2697"/>
    <w:rsid w:val="008D497E"/>
    <w:rsid w:val="008D5F2D"/>
    <w:rsid w:val="008D77F0"/>
    <w:rsid w:val="008D7E1E"/>
    <w:rsid w:val="008E17DD"/>
    <w:rsid w:val="008E29C0"/>
    <w:rsid w:val="008E405F"/>
    <w:rsid w:val="008E59BA"/>
    <w:rsid w:val="008E6022"/>
    <w:rsid w:val="008E6642"/>
    <w:rsid w:val="008E78B4"/>
    <w:rsid w:val="008E79DB"/>
    <w:rsid w:val="008F10F1"/>
    <w:rsid w:val="008F17D8"/>
    <w:rsid w:val="008F1BB5"/>
    <w:rsid w:val="008F2367"/>
    <w:rsid w:val="008F277F"/>
    <w:rsid w:val="008F2789"/>
    <w:rsid w:val="008F312C"/>
    <w:rsid w:val="008F33EB"/>
    <w:rsid w:val="008F4392"/>
    <w:rsid w:val="008F4AF3"/>
    <w:rsid w:val="008F5942"/>
    <w:rsid w:val="008F6526"/>
    <w:rsid w:val="008F708B"/>
    <w:rsid w:val="008F745C"/>
    <w:rsid w:val="008F7621"/>
    <w:rsid w:val="008F7FA3"/>
    <w:rsid w:val="009004A0"/>
    <w:rsid w:val="0090053C"/>
    <w:rsid w:val="009011E6"/>
    <w:rsid w:val="00901CA9"/>
    <w:rsid w:val="00902B47"/>
    <w:rsid w:val="0090332D"/>
    <w:rsid w:val="0090341D"/>
    <w:rsid w:val="00903553"/>
    <w:rsid w:val="009061DC"/>
    <w:rsid w:val="00906E9E"/>
    <w:rsid w:val="009103DE"/>
    <w:rsid w:val="00910C3C"/>
    <w:rsid w:val="009118AA"/>
    <w:rsid w:val="009119EC"/>
    <w:rsid w:val="00911A37"/>
    <w:rsid w:val="00913D18"/>
    <w:rsid w:val="00913E8B"/>
    <w:rsid w:val="00914511"/>
    <w:rsid w:val="00914A37"/>
    <w:rsid w:val="00914D0B"/>
    <w:rsid w:val="00915C38"/>
    <w:rsid w:val="00916446"/>
    <w:rsid w:val="00916AAE"/>
    <w:rsid w:val="00917327"/>
    <w:rsid w:val="0092077E"/>
    <w:rsid w:val="00920BD1"/>
    <w:rsid w:val="0092178A"/>
    <w:rsid w:val="009230CA"/>
    <w:rsid w:val="009230D5"/>
    <w:rsid w:val="00923D40"/>
    <w:rsid w:val="00925FEB"/>
    <w:rsid w:val="009274E3"/>
    <w:rsid w:val="00930144"/>
    <w:rsid w:val="00930C10"/>
    <w:rsid w:val="00930E16"/>
    <w:rsid w:val="00930FFC"/>
    <w:rsid w:val="009312C8"/>
    <w:rsid w:val="009342B3"/>
    <w:rsid w:val="00936028"/>
    <w:rsid w:val="009368AA"/>
    <w:rsid w:val="009369EC"/>
    <w:rsid w:val="00936AE0"/>
    <w:rsid w:val="00936CA1"/>
    <w:rsid w:val="00940C5F"/>
    <w:rsid w:val="00940EC9"/>
    <w:rsid w:val="00940EDF"/>
    <w:rsid w:val="00941331"/>
    <w:rsid w:val="00941D82"/>
    <w:rsid w:val="00941E4D"/>
    <w:rsid w:val="009422F5"/>
    <w:rsid w:val="009428E0"/>
    <w:rsid w:val="00942A3B"/>
    <w:rsid w:val="00943146"/>
    <w:rsid w:val="00943F8A"/>
    <w:rsid w:val="00944249"/>
    <w:rsid w:val="009449C6"/>
    <w:rsid w:val="009450B4"/>
    <w:rsid w:val="009457A0"/>
    <w:rsid w:val="0094615B"/>
    <w:rsid w:val="00946E88"/>
    <w:rsid w:val="00947004"/>
    <w:rsid w:val="0094799E"/>
    <w:rsid w:val="00952AB0"/>
    <w:rsid w:val="00953054"/>
    <w:rsid w:val="009536D3"/>
    <w:rsid w:val="009539EC"/>
    <w:rsid w:val="009544ED"/>
    <w:rsid w:val="00954753"/>
    <w:rsid w:val="009551E6"/>
    <w:rsid w:val="00955F62"/>
    <w:rsid w:val="009565E9"/>
    <w:rsid w:val="0095660F"/>
    <w:rsid w:val="009602E8"/>
    <w:rsid w:val="00960C48"/>
    <w:rsid w:val="00960F9A"/>
    <w:rsid w:val="0096220D"/>
    <w:rsid w:val="00962BC1"/>
    <w:rsid w:val="00963457"/>
    <w:rsid w:val="00963961"/>
    <w:rsid w:val="00963FF2"/>
    <w:rsid w:val="0096419F"/>
    <w:rsid w:val="00964AF1"/>
    <w:rsid w:val="00964F3B"/>
    <w:rsid w:val="009654B4"/>
    <w:rsid w:val="00966996"/>
    <w:rsid w:val="00967093"/>
    <w:rsid w:val="009672BF"/>
    <w:rsid w:val="00967E37"/>
    <w:rsid w:val="009701AE"/>
    <w:rsid w:val="0097043E"/>
    <w:rsid w:val="00970D93"/>
    <w:rsid w:val="00970DF9"/>
    <w:rsid w:val="00971034"/>
    <w:rsid w:val="00971195"/>
    <w:rsid w:val="009717C0"/>
    <w:rsid w:val="00971A8F"/>
    <w:rsid w:val="00972179"/>
    <w:rsid w:val="009736E5"/>
    <w:rsid w:val="00973B50"/>
    <w:rsid w:val="00973EF8"/>
    <w:rsid w:val="009749BD"/>
    <w:rsid w:val="00975522"/>
    <w:rsid w:val="00976005"/>
    <w:rsid w:val="0097631D"/>
    <w:rsid w:val="00976AC0"/>
    <w:rsid w:val="00977727"/>
    <w:rsid w:val="00977CD2"/>
    <w:rsid w:val="00980E51"/>
    <w:rsid w:val="00981BFA"/>
    <w:rsid w:val="00981CEE"/>
    <w:rsid w:val="00981F58"/>
    <w:rsid w:val="00982898"/>
    <w:rsid w:val="00982AD9"/>
    <w:rsid w:val="009854B9"/>
    <w:rsid w:val="009868C9"/>
    <w:rsid w:val="00986B53"/>
    <w:rsid w:val="009877EE"/>
    <w:rsid w:val="0099055F"/>
    <w:rsid w:val="00990ACD"/>
    <w:rsid w:val="0099108B"/>
    <w:rsid w:val="009917CF"/>
    <w:rsid w:val="00991924"/>
    <w:rsid w:val="00991AAF"/>
    <w:rsid w:val="00992D65"/>
    <w:rsid w:val="00993DD4"/>
    <w:rsid w:val="009958E0"/>
    <w:rsid w:val="00995A37"/>
    <w:rsid w:val="00995C70"/>
    <w:rsid w:val="0099658C"/>
    <w:rsid w:val="009967CB"/>
    <w:rsid w:val="009972C7"/>
    <w:rsid w:val="00997B7A"/>
    <w:rsid w:val="009A0C97"/>
    <w:rsid w:val="009A0CF8"/>
    <w:rsid w:val="009A1D3C"/>
    <w:rsid w:val="009A2479"/>
    <w:rsid w:val="009A4788"/>
    <w:rsid w:val="009A51D8"/>
    <w:rsid w:val="009A5799"/>
    <w:rsid w:val="009A5F74"/>
    <w:rsid w:val="009A641E"/>
    <w:rsid w:val="009A664C"/>
    <w:rsid w:val="009A6DBB"/>
    <w:rsid w:val="009A7B03"/>
    <w:rsid w:val="009B01E2"/>
    <w:rsid w:val="009B0D9C"/>
    <w:rsid w:val="009B2169"/>
    <w:rsid w:val="009B2F66"/>
    <w:rsid w:val="009B31E2"/>
    <w:rsid w:val="009B381E"/>
    <w:rsid w:val="009B5735"/>
    <w:rsid w:val="009B5CB4"/>
    <w:rsid w:val="009B6557"/>
    <w:rsid w:val="009B6ABA"/>
    <w:rsid w:val="009B7097"/>
    <w:rsid w:val="009B7200"/>
    <w:rsid w:val="009B7FB6"/>
    <w:rsid w:val="009C112A"/>
    <w:rsid w:val="009C1905"/>
    <w:rsid w:val="009C22C6"/>
    <w:rsid w:val="009C24EB"/>
    <w:rsid w:val="009C2EB1"/>
    <w:rsid w:val="009C4268"/>
    <w:rsid w:val="009C4802"/>
    <w:rsid w:val="009C5638"/>
    <w:rsid w:val="009C633C"/>
    <w:rsid w:val="009C6BDD"/>
    <w:rsid w:val="009C6DBE"/>
    <w:rsid w:val="009C6DC6"/>
    <w:rsid w:val="009C753A"/>
    <w:rsid w:val="009D0A86"/>
    <w:rsid w:val="009D149C"/>
    <w:rsid w:val="009D1A7D"/>
    <w:rsid w:val="009D1E14"/>
    <w:rsid w:val="009D26AE"/>
    <w:rsid w:val="009D3AEB"/>
    <w:rsid w:val="009D3EFB"/>
    <w:rsid w:val="009D529C"/>
    <w:rsid w:val="009D58DD"/>
    <w:rsid w:val="009D6E1D"/>
    <w:rsid w:val="009D70E5"/>
    <w:rsid w:val="009D71D1"/>
    <w:rsid w:val="009D734F"/>
    <w:rsid w:val="009D776F"/>
    <w:rsid w:val="009E0F70"/>
    <w:rsid w:val="009E0F95"/>
    <w:rsid w:val="009E1318"/>
    <w:rsid w:val="009E1D6E"/>
    <w:rsid w:val="009E1E5A"/>
    <w:rsid w:val="009E23EC"/>
    <w:rsid w:val="009E25FF"/>
    <w:rsid w:val="009E3492"/>
    <w:rsid w:val="009E3D54"/>
    <w:rsid w:val="009E3D9B"/>
    <w:rsid w:val="009E3EE7"/>
    <w:rsid w:val="009E433F"/>
    <w:rsid w:val="009E4FDE"/>
    <w:rsid w:val="009E5DD0"/>
    <w:rsid w:val="009E6397"/>
    <w:rsid w:val="009E6AF8"/>
    <w:rsid w:val="009F006F"/>
    <w:rsid w:val="009F0222"/>
    <w:rsid w:val="009F096B"/>
    <w:rsid w:val="009F0FD6"/>
    <w:rsid w:val="009F2249"/>
    <w:rsid w:val="009F2E53"/>
    <w:rsid w:val="009F4C39"/>
    <w:rsid w:val="009F5128"/>
    <w:rsid w:val="009F5D76"/>
    <w:rsid w:val="009F6C81"/>
    <w:rsid w:val="009F7035"/>
    <w:rsid w:val="009F714F"/>
    <w:rsid w:val="009F71C8"/>
    <w:rsid w:val="00A006D4"/>
    <w:rsid w:val="00A016EB"/>
    <w:rsid w:val="00A019E8"/>
    <w:rsid w:val="00A01C78"/>
    <w:rsid w:val="00A02144"/>
    <w:rsid w:val="00A029D4"/>
    <w:rsid w:val="00A02FFC"/>
    <w:rsid w:val="00A04C7B"/>
    <w:rsid w:val="00A04EEA"/>
    <w:rsid w:val="00A05C53"/>
    <w:rsid w:val="00A05E5F"/>
    <w:rsid w:val="00A05F9F"/>
    <w:rsid w:val="00A0769E"/>
    <w:rsid w:val="00A07E60"/>
    <w:rsid w:val="00A113F1"/>
    <w:rsid w:val="00A1199B"/>
    <w:rsid w:val="00A146B0"/>
    <w:rsid w:val="00A15771"/>
    <w:rsid w:val="00A15D3B"/>
    <w:rsid w:val="00A16123"/>
    <w:rsid w:val="00A16EE1"/>
    <w:rsid w:val="00A17121"/>
    <w:rsid w:val="00A17F06"/>
    <w:rsid w:val="00A20364"/>
    <w:rsid w:val="00A205C9"/>
    <w:rsid w:val="00A21006"/>
    <w:rsid w:val="00A21447"/>
    <w:rsid w:val="00A22207"/>
    <w:rsid w:val="00A2239A"/>
    <w:rsid w:val="00A235F9"/>
    <w:rsid w:val="00A23B44"/>
    <w:rsid w:val="00A23DAA"/>
    <w:rsid w:val="00A2498F"/>
    <w:rsid w:val="00A2554B"/>
    <w:rsid w:val="00A25B38"/>
    <w:rsid w:val="00A26E56"/>
    <w:rsid w:val="00A27061"/>
    <w:rsid w:val="00A27D8F"/>
    <w:rsid w:val="00A30315"/>
    <w:rsid w:val="00A314D1"/>
    <w:rsid w:val="00A32332"/>
    <w:rsid w:val="00A323EF"/>
    <w:rsid w:val="00A3247C"/>
    <w:rsid w:val="00A32A28"/>
    <w:rsid w:val="00A32AF3"/>
    <w:rsid w:val="00A336D5"/>
    <w:rsid w:val="00A33FB3"/>
    <w:rsid w:val="00A34DF1"/>
    <w:rsid w:val="00A35097"/>
    <w:rsid w:val="00A371D1"/>
    <w:rsid w:val="00A37F51"/>
    <w:rsid w:val="00A402B2"/>
    <w:rsid w:val="00A40656"/>
    <w:rsid w:val="00A40A41"/>
    <w:rsid w:val="00A40B74"/>
    <w:rsid w:val="00A410DD"/>
    <w:rsid w:val="00A42094"/>
    <w:rsid w:val="00A42148"/>
    <w:rsid w:val="00A4234B"/>
    <w:rsid w:val="00A42E3A"/>
    <w:rsid w:val="00A43943"/>
    <w:rsid w:val="00A44BD5"/>
    <w:rsid w:val="00A455FA"/>
    <w:rsid w:val="00A461E9"/>
    <w:rsid w:val="00A4624C"/>
    <w:rsid w:val="00A46E5C"/>
    <w:rsid w:val="00A47B33"/>
    <w:rsid w:val="00A47C4D"/>
    <w:rsid w:val="00A505AA"/>
    <w:rsid w:val="00A50A21"/>
    <w:rsid w:val="00A514BF"/>
    <w:rsid w:val="00A518B0"/>
    <w:rsid w:val="00A51ADE"/>
    <w:rsid w:val="00A51FD7"/>
    <w:rsid w:val="00A5244D"/>
    <w:rsid w:val="00A532AF"/>
    <w:rsid w:val="00A537DC"/>
    <w:rsid w:val="00A539BC"/>
    <w:rsid w:val="00A5658A"/>
    <w:rsid w:val="00A6093E"/>
    <w:rsid w:val="00A60E83"/>
    <w:rsid w:val="00A6239F"/>
    <w:rsid w:val="00A63150"/>
    <w:rsid w:val="00A63E18"/>
    <w:rsid w:val="00A63E6A"/>
    <w:rsid w:val="00A64008"/>
    <w:rsid w:val="00A644CC"/>
    <w:rsid w:val="00A64992"/>
    <w:rsid w:val="00A64C64"/>
    <w:rsid w:val="00A651B3"/>
    <w:rsid w:val="00A65719"/>
    <w:rsid w:val="00A66398"/>
    <w:rsid w:val="00A6690F"/>
    <w:rsid w:val="00A66DEC"/>
    <w:rsid w:val="00A675B2"/>
    <w:rsid w:val="00A67B8C"/>
    <w:rsid w:val="00A701D2"/>
    <w:rsid w:val="00A70500"/>
    <w:rsid w:val="00A70993"/>
    <w:rsid w:val="00A709EB"/>
    <w:rsid w:val="00A71A86"/>
    <w:rsid w:val="00A71D29"/>
    <w:rsid w:val="00A73C9A"/>
    <w:rsid w:val="00A746D7"/>
    <w:rsid w:val="00A74B0C"/>
    <w:rsid w:val="00A756CE"/>
    <w:rsid w:val="00A760F7"/>
    <w:rsid w:val="00A764F9"/>
    <w:rsid w:val="00A76D8C"/>
    <w:rsid w:val="00A7771F"/>
    <w:rsid w:val="00A779CB"/>
    <w:rsid w:val="00A77EED"/>
    <w:rsid w:val="00A77F80"/>
    <w:rsid w:val="00A80D6C"/>
    <w:rsid w:val="00A81435"/>
    <w:rsid w:val="00A819B3"/>
    <w:rsid w:val="00A821A1"/>
    <w:rsid w:val="00A82979"/>
    <w:rsid w:val="00A83D03"/>
    <w:rsid w:val="00A844BA"/>
    <w:rsid w:val="00A848AB"/>
    <w:rsid w:val="00A85511"/>
    <w:rsid w:val="00A85D5B"/>
    <w:rsid w:val="00A86DCC"/>
    <w:rsid w:val="00A871CB"/>
    <w:rsid w:val="00A875DC"/>
    <w:rsid w:val="00A87BAD"/>
    <w:rsid w:val="00A90EB0"/>
    <w:rsid w:val="00A9152C"/>
    <w:rsid w:val="00A916C3"/>
    <w:rsid w:val="00A9234B"/>
    <w:rsid w:val="00A927A3"/>
    <w:rsid w:val="00A94BFD"/>
    <w:rsid w:val="00A953D4"/>
    <w:rsid w:val="00A965D5"/>
    <w:rsid w:val="00AA0604"/>
    <w:rsid w:val="00AA0C3D"/>
    <w:rsid w:val="00AA0DB3"/>
    <w:rsid w:val="00AA13AD"/>
    <w:rsid w:val="00AA29B9"/>
    <w:rsid w:val="00AA2E1B"/>
    <w:rsid w:val="00AA303D"/>
    <w:rsid w:val="00AA374B"/>
    <w:rsid w:val="00AA3881"/>
    <w:rsid w:val="00AA398B"/>
    <w:rsid w:val="00AA3F1E"/>
    <w:rsid w:val="00AA4AFB"/>
    <w:rsid w:val="00AA4BE9"/>
    <w:rsid w:val="00AA51BD"/>
    <w:rsid w:val="00AA541B"/>
    <w:rsid w:val="00AA59B0"/>
    <w:rsid w:val="00AA6D94"/>
    <w:rsid w:val="00AB08E8"/>
    <w:rsid w:val="00AB0DA9"/>
    <w:rsid w:val="00AB1A9A"/>
    <w:rsid w:val="00AB1FDC"/>
    <w:rsid w:val="00AB297B"/>
    <w:rsid w:val="00AB2EFC"/>
    <w:rsid w:val="00AB4F5F"/>
    <w:rsid w:val="00AB6306"/>
    <w:rsid w:val="00AB6EF7"/>
    <w:rsid w:val="00AB78DA"/>
    <w:rsid w:val="00AC110D"/>
    <w:rsid w:val="00AC13AC"/>
    <w:rsid w:val="00AC1902"/>
    <w:rsid w:val="00AC19AE"/>
    <w:rsid w:val="00AC1E2D"/>
    <w:rsid w:val="00AC2036"/>
    <w:rsid w:val="00AC3A2D"/>
    <w:rsid w:val="00AC64ED"/>
    <w:rsid w:val="00AC6BA7"/>
    <w:rsid w:val="00AC7BF1"/>
    <w:rsid w:val="00AD1BFF"/>
    <w:rsid w:val="00AD1F19"/>
    <w:rsid w:val="00AD24BF"/>
    <w:rsid w:val="00AD3D9D"/>
    <w:rsid w:val="00AD5F50"/>
    <w:rsid w:val="00AD6612"/>
    <w:rsid w:val="00AD6A42"/>
    <w:rsid w:val="00AD6A76"/>
    <w:rsid w:val="00AD779B"/>
    <w:rsid w:val="00AD7AD5"/>
    <w:rsid w:val="00AD7AF9"/>
    <w:rsid w:val="00AD7EE9"/>
    <w:rsid w:val="00AD7F45"/>
    <w:rsid w:val="00AE032A"/>
    <w:rsid w:val="00AE0380"/>
    <w:rsid w:val="00AE091C"/>
    <w:rsid w:val="00AE12F8"/>
    <w:rsid w:val="00AE2885"/>
    <w:rsid w:val="00AE3587"/>
    <w:rsid w:val="00AE35BE"/>
    <w:rsid w:val="00AE3D8E"/>
    <w:rsid w:val="00AE5508"/>
    <w:rsid w:val="00AE5939"/>
    <w:rsid w:val="00AE5ADB"/>
    <w:rsid w:val="00AE65BF"/>
    <w:rsid w:val="00AE6826"/>
    <w:rsid w:val="00AE76B7"/>
    <w:rsid w:val="00AE7818"/>
    <w:rsid w:val="00AE7B18"/>
    <w:rsid w:val="00AF0442"/>
    <w:rsid w:val="00AF19DF"/>
    <w:rsid w:val="00AF1D3D"/>
    <w:rsid w:val="00AF1E21"/>
    <w:rsid w:val="00AF268D"/>
    <w:rsid w:val="00AF2776"/>
    <w:rsid w:val="00AF2D1D"/>
    <w:rsid w:val="00AF3B6C"/>
    <w:rsid w:val="00AF3BE4"/>
    <w:rsid w:val="00AF461D"/>
    <w:rsid w:val="00AF46B6"/>
    <w:rsid w:val="00AF475F"/>
    <w:rsid w:val="00AF47A8"/>
    <w:rsid w:val="00AF52BB"/>
    <w:rsid w:val="00AF63D7"/>
    <w:rsid w:val="00AF7900"/>
    <w:rsid w:val="00B00163"/>
    <w:rsid w:val="00B02B01"/>
    <w:rsid w:val="00B03D50"/>
    <w:rsid w:val="00B045D4"/>
    <w:rsid w:val="00B04C69"/>
    <w:rsid w:val="00B054C4"/>
    <w:rsid w:val="00B0574C"/>
    <w:rsid w:val="00B0639A"/>
    <w:rsid w:val="00B064BF"/>
    <w:rsid w:val="00B0762A"/>
    <w:rsid w:val="00B07E5A"/>
    <w:rsid w:val="00B07E9E"/>
    <w:rsid w:val="00B101C4"/>
    <w:rsid w:val="00B1097C"/>
    <w:rsid w:val="00B10998"/>
    <w:rsid w:val="00B11247"/>
    <w:rsid w:val="00B115CA"/>
    <w:rsid w:val="00B11A83"/>
    <w:rsid w:val="00B11BF8"/>
    <w:rsid w:val="00B11C0E"/>
    <w:rsid w:val="00B11E75"/>
    <w:rsid w:val="00B12B53"/>
    <w:rsid w:val="00B13229"/>
    <w:rsid w:val="00B146BE"/>
    <w:rsid w:val="00B1479A"/>
    <w:rsid w:val="00B14FF7"/>
    <w:rsid w:val="00B161EA"/>
    <w:rsid w:val="00B17A7C"/>
    <w:rsid w:val="00B20163"/>
    <w:rsid w:val="00B2099A"/>
    <w:rsid w:val="00B20BDA"/>
    <w:rsid w:val="00B20F2B"/>
    <w:rsid w:val="00B210A2"/>
    <w:rsid w:val="00B22762"/>
    <w:rsid w:val="00B22E64"/>
    <w:rsid w:val="00B22FB0"/>
    <w:rsid w:val="00B231CA"/>
    <w:rsid w:val="00B231D1"/>
    <w:rsid w:val="00B236B2"/>
    <w:rsid w:val="00B23DBE"/>
    <w:rsid w:val="00B23F0D"/>
    <w:rsid w:val="00B2481F"/>
    <w:rsid w:val="00B2526F"/>
    <w:rsid w:val="00B25319"/>
    <w:rsid w:val="00B256A5"/>
    <w:rsid w:val="00B25967"/>
    <w:rsid w:val="00B25E0D"/>
    <w:rsid w:val="00B25F67"/>
    <w:rsid w:val="00B263A6"/>
    <w:rsid w:val="00B27788"/>
    <w:rsid w:val="00B30F63"/>
    <w:rsid w:val="00B31467"/>
    <w:rsid w:val="00B31C77"/>
    <w:rsid w:val="00B31D41"/>
    <w:rsid w:val="00B326FF"/>
    <w:rsid w:val="00B32DB0"/>
    <w:rsid w:val="00B33949"/>
    <w:rsid w:val="00B34393"/>
    <w:rsid w:val="00B35269"/>
    <w:rsid w:val="00B3608F"/>
    <w:rsid w:val="00B361A8"/>
    <w:rsid w:val="00B36B4E"/>
    <w:rsid w:val="00B37842"/>
    <w:rsid w:val="00B37B10"/>
    <w:rsid w:val="00B37B21"/>
    <w:rsid w:val="00B37B85"/>
    <w:rsid w:val="00B40C9C"/>
    <w:rsid w:val="00B40E46"/>
    <w:rsid w:val="00B41DD4"/>
    <w:rsid w:val="00B42205"/>
    <w:rsid w:val="00B42586"/>
    <w:rsid w:val="00B431E2"/>
    <w:rsid w:val="00B43701"/>
    <w:rsid w:val="00B43C2C"/>
    <w:rsid w:val="00B43C65"/>
    <w:rsid w:val="00B43FAE"/>
    <w:rsid w:val="00B44161"/>
    <w:rsid w:val="00B4538A"/>
    <w:rsid w:val="00B457E8"/>
    <w:rsid w:val="00B45F0F"/>
    <w:rsid w:val="00B463F2"/>
    <w:rsid w:val="00B46415"/>
    <w:rsid w:val="00B46498"/>
    <w:rsid w:val="00B465C2"/>
    <w:rsid w:val="00B465EF"/>
    <w:rsid w:val="00B467F5"/>
    <w:rsid w:val="00B46D27"/>
    <w:rsid w:val="00B46DE0"/>
    <w:rsid w:val="00B474A9"/>
    <w:rsid w:val="00B5086C"/>
    <w:rsid w:val="00B5141A"/>
    <w:rsid w:val="00B51839"/>
    <w:rsid w:val="00B518CB"/>
    <w:rsid w:val="00B52433"/>
    <w:rsid w:val="00B528C2"/>
    <w:rsid w:val="00B52A10"/>
    <w:rsid w:val="00B536E7"/>
    <w:rsid w:val="00B5377F"/>
    <w:rsid w:val="00B53BBA"/>
    <w:rsid w:val="00B54276"/>
    <w:rsid w:val="00B542CC"/>
    <w:rsid w:val="00B54711"/>
    <w:rsid w:val="00B5485E"/>
    <w:rsid w:val="00B55F63"/>
    <w:rsid w:val="00B56CD5"/>
    <w:rsid w:val="00B6018C"/>
    <w:rsid w:val="00B606DD"/>
    <w:rsid w:val="00B61BCE"/>
    <w:rsid w:val="00B61C4B"/>
    <w:rsid w:val="00B61EB3"/>
    <w:rsid w:val="00B61EEC"/>
    <w:rsid w:val="00B629CD"/>
    <w:rsid w:val="00B6316A"/>
    <w:rsid w:val="00B647DB"/>
    <w:rsid w:val="00B6711E"/>
    <w:rsid w:val="00B673D8"/>
    <w:rsid w:val="00B67950"/>
    <w:rsid w:val="00B67C78"/>
    <w:rsid w:val="00B67CDB"/>
    <w:rsid w:val="00B70277"/>
    <w:rsid w:val="00B70311"/>
    <w:rsid w:val="00B70B70"/>
    <w:rsid w:val="00B70EB5"/>
    <w:rsid w:val="00B7190D"/>
    <w:rsid w:val="00B732A5"/>
    <w:rsid w:val="00B735F7"/>
    <w:rsid w:val="00B737AE"/>
    <w:rsid w:val="00B741F4"/>
    <w:rsid w:val="00B74356"/>
    <w:rsid w:val="00B7567C"/>
    <w:rsid w:val="00B75FD9"/>
    <w:rsid w:val="00B75FF5"/>
    <w:rsid w:val="00B763C3"/>
    <w:rsid w:val="00B76789"/>
    <w:rsid w:val="00B76D02"/>
    <w:rsid w:val="00B77064"/>
    <w:rsid w:val="00B774CC"/>
    <w:rsid w:val="00B77C36"/>
    <w:rsid w:val="00B800D7"/>
    <w:rsid w:val="00B8264E"/>
    <w:rsid w:val="00B82D7B"/>
    <w:rsid w:val="00B84074"/>
    <w:rsid w:val="00B84CEA"/>
    <w:rsid w:val="00B86574"/>
    <w:rsid w:val="00B8758D"/>
    <w:rsid w:val="00B90D04"/>
    <w:rsid w:val="00B91A48"/>
    <w:rsid w:val="00B92E78"/>
    <w:rsid w:val="00B939B0"/>
    <w:rsid w:val="00B93C21"/>
    <w:rsid w:val="00B9435D"/>
    <w:rsid w:val="00B94660"/>
    <w:rsid w:val="00B94EAF"/>
    <w:rsid w:val="00B94F45"/>
    <w:rsid w:val="00B95207"/>
    <w:rsid w:val="00B95A16"/>
    <w:rsid w:val="00B96501"/>
    <w:rsid w:val="00B96976"/>
    <w:rsid w:val="00B969FE"/>
    <w:rsid w:val="00B96E1C"/>
    <w:rsid w:val="00B973E6"/>
    <w:rsid w:val="00B9786C"/>
    <w:rsid w:val="00B97B2B"/>
    <w:rsid w:val="00B97EC7"/>
    <w:rsid w:val="00BA1D65"/>
    <w:rsid w:val="00BA2303"/>
    <w:rsid w:val="00BA2507"/>
    <w:rsid w:val="00BA27CF"/>
    <w:rsid w:val="00BA2D02"/>
    <w:rsid w:val="00BA389A"/>
    <w:rsid w:val="00BA3CA9"/>
    <w:rsid w:val="00BA3E48"/>
    <w:rsid w:val="00BA4103"/>
    <w:rsid w:val="00BA4B2F"/>
    <w:rsid w:val="00BA55F4"/>
    <w:rsid w:val="00BA60C2"/>
    <w:rsid w:val="00BA672C"/>
    <w:rsid w:val="00BA71D6"/>
    <w:rsid w:val="00BA7E2C"/>
    <w:rsid w:val="00BA7FC6"/>
    <w:rsid w:val="00BB0662"/>
    <w:rsid w:val="00BB1028"/>
    <w:rsid w:val="00BB1185"/>
    <w:rsid w:val="00BB1794"/>
    <w:rsid w:val="00BB185C"/>
    <w:rsid w:val="00BB2007"/>
    <w:rsid w:val="00BB2219"/>
    <w:rsid w:val="00BB270F"/>
    <w:rsid w:val="00BB280D"/>
    <w:rsid w:val="00BB2AA4"/>
    <w:rsid w:val="00BB3122"/>
    <w:rsid w:val="00BB413E"/>
    <w:rsid w:val="00BB444E"/>
    <w:rsid w:val="00BB462D"/>
    <w:rsid w:val="00BB4D1B"/>
    <w:rsid w:val="00BB5177"/>
    <w:rsid w:val="00BB5220"/>
    <w:rsid w:val="00BB65AD"/>
    <w:rsid w:val="00BB710B"/>
    <w:rsid w:val="00BB718C"/>
    <w:rsid w:val="00BB725D"/>
    <w:rsid w:val="00BB74BD"/>
    <w:rsid w:val="00BC259A"/>
    <w:rsid w:val="00BC27DC"/>
    <w:rsid w:val="00BC331B"/>
    <w:rsid w:val="00BC3D6B"/>
    <w:rsid w:val="00BC41E6"/>
    <w:rsid w:val="00BC449B"/>
    <w:rsid w:val="00BC5442"/>
    <w:rsid w:val="00BC5968"/>
    <w:rsid w:val="00BC5AC4"/>
    <w:rsid w:val="00BC7E5D"/>
    <w:rsid w:val="00BD047F"/>
    <w:rsid w:val="00BD0F50"/>
    <w:rsid w:val="00BD0F83"/>
    <w:rsid w:val="00BD13C1"/>
    <w:rsid w:val="00BD1528"/>
    <w:rsid w:val="00BD192B"/>
    <w:rsid w:val="00BD1BBF"/>
    <w:rsid w:val="00BD1D76"/>
    <w:rsid w:val="00BD1FF6"/>
    <w:rsid w:val="00BD24D2"/>
    <w:rsid w:val="00BD2AE3"/>
    <w:rsid w:val="00BD3E47"/>
    <w:rsid w:val="00BD3F33"/>
    <w:rsid w:val="00BD40CA"/>
    <w:rsid w:val="00BD439B"/>
    <w:rsid w:val="00BD4868"/>
    <w:rsid w:val="00BD4869"/>
    <w:rsid w:val="00BD5352"/>
    <w:rsid w:val="00BD58C0"/>
    <w:rsid w:val="00BD5999"/>
    <w:rsid w:val="00BD5A40"/>
    <w:rsid w:val="00BD60AB"/>
    <w:rsid w:val="00BD6CFB"/>
    <w:rsid w:val="00BD707C"/>
    <w:rsid w:val="00BE03CD"/>
    <w:rsid w:val="00BE095F"/>
    <w:rsid w:val="00BE099C"/>
    <w:rsid w:val="00BE0D5D"/>
    <w:rsid w:val="00BE15AA"/>
    <w:rsid w:val="00BE1D8F"/>
    <w:rsid w:val="00BE2C39"/>
    <w:rsid w:val="00BE3EC5"/>
    <w:rsid w:val="00BE3F06"/>
    <w:rsid w:val="00BE4EBD"/>
    <w:rsid w:val="00BE611D"/>
    <w:rsid w:val="00BE650B"/>
    <w:rsid w:val="00BF0EE6"/>
    <w:rsid w:val="00BF1943"/>
    <w:rsid w:val="00BF27FC"/>
    <w:rsid w:val="00BF3D99"/>
    <w:rsid w:val="00BF3F2B"/>
    <w:rsid w:val="00BF4253"/>
    <w:rsid w:val="00BF4EB0"/>
    <w:rsid w:val="00BF5E2E"/>
    <w:rsid w:val="00BF618B"/>
    <w:rsid w:val="00BF6A78"/>
    <w:rsid w:val="00BF6C81"/>
    <w:rsid w:val="00BF6FE0"/>
    <w:rsid w:val="00C004BE"/>
    <w:rsid w:val="00C00E43"/>
    <w:rsid w:val="00C00E9B"/>
    <w:rsid w:val="00C02242"/>
    <w:rsid w:val="00C02EB4"/>
    <w:rsid w:val="00C031BA"/>
    <w:rsid w:val="00C0345F"/>
    <w:rsid w:val="00C0402E"/>
    <w:rsid w:val="00C04182"/>
    <w:rsid w:val="00C04A48"/>
    <w:rsid w:val="00C07191"/>
    <w:rsid w:val="00C1061D"/>
    <w:rsid w:val="00C108AF"/>
    <w:rsid w:val="00C1095F"/>
    <w:rsid w:val="00C10C70"/>
    <w:rsid w:val="00C110C8"/>
    <w:rsid w:val="00C12644"/>
    <w:rsid w:val="00C12725"/>
    <w:rsid w:val="00C13D82"/>
    <w:rsid w:val="00C14FD4"/>
    <w:rsid w:val="00C1573F"/>
    <w:rsid w:val="00C1740A"/>
    <w:rsid w:val="00C1741E"/>
    <w:rsid w:val="00C1752D"/>
    <w:rsid w:val="00C17A2A"/>
    <w:rsid w:val="00C17EDB"/>
    <w:rsid w:val="00C20346"/>
    <w:rsid w:val="00C21226"/>
    <w:rsid w:val="00C21970"/>
    <w:rsid w:val="00C22495"/>
    <w:rsid w:val="00C224A5"/>
    <w:rsid w:val="00C22731"/>
    <w:rsid w:val="00C22ACD"/>
    <w:rsid w:val="00C22F88"/>
    <w:rsid w:val="00C23063"/>
    <w:rsid w:val="00C2338A"/>
    <w:rsid w:val="00C23484"/>
    <w:rsid w:val="00C234A1"/>
    <w:rsid w:val="00C244DE"/>
    <w:rsid w:val="00C248D4"/>
    <w:rsid w:val="00C249A3"/>
    <w:rsid w:val="00C252D4"/>
    <w:rsid w:val="00C2581A"/>
    <w:rsid w:val="00C26128"/>
    <w:rsid w:val="00C261A7"/>
    <w:rsid w:val="00C264FE"/>
    <w:rsid w:val="00C26983"/>
    <w:rsid w:val="00C30CFA"/>
    <w:rsid w:val="00C30EB6"/>
    <w:rsid w:val="00C31C40"/>
    <w:rsid w:val="00C33EBE"/>
    <w:rsid w:val="00C34125"/>
    <w:rsid w:val="00C34C98"/>
    <w:rsid w:val="00C35157"/>
    <w:rsid w:val="00C355C6"/>
    <w:rsid w:val="00C35951"/>
    <w:rsid w:val="00C371FD"/>
    <w:rsid w:val="00C37849"/>
    <w:rsid w:val="00C400AC"/>
    <w:rsid w:val="00C403D1"/>
    <w:rsid w:val="00C40576"/>
    <w:rsid w:val="00C41674"/>
    <w:rsid w:val="00C416D5"/>
    <w:rsid w:val="00C41F6D"/>
    <w:rsid w:val="00C42001"/>
    <w:rsid w:val="00C42283"/>
    <w:rsid w:val="00C42827"/>
    <w:rsid w:val="00C43A26"/>
    <w:rsid w:val="00C44417"/>
    <w:rsid w:val="00C4468B"/>
    <w:rsid w:val="00C449EE"/>
    <w:rsid w:val="00C46059"/>
    <w:rsid w:val="00C46262"/>
    <w:rsid w:val="00C46A19"/>
    <w:rsid w:val="00C47639"/>
    <w:rsid w:val="00C476A0"/>
    <w:rsid w:val="00C47C7A"/>
    <w:rsid w:val="00C53B0B"/>
    <w:rsid w:val="00C5489C"/>
    <w:rsid w:val="00C5507A"/>
    <w:rsid w:val="00C55E24"/>
    <w:rsid w:val="00C56264"/>
    <w:rsid w:val="00C56438"/>
    <w:rsid w:val="00C56839"/>
    <w:rsid w:val="00C5775A"/>
    <w:rsid w:val="00C630E9"/>
    <w:rsid w:val="00C642C2"/>
    <w:rsid w:val="00C6486F"/>
    <w:rsid w:val="00C64B01"/>
    <w:rsid w:val="00C64C94"/>
    <w:rsid w:val="00C64E92"/>
    <w:rsid w:val="00C656AE"/>
    <w:rsid w:val="00C656CA"/>
    <w:rsid w:val="00C65FDA"/>
    <w:rsid w:val="00C66147"/>
    <w:rsid w:val="00C66339"/>
    <w:rsid w:val="00C66A04"/>
    <w:rsid w:val="00C66E03"/>
    <w:rsid w:val="00C67365"/>
    <w:rsid w:val="00C6791C"/>
    <w:rsid w:val="00C67B8F"/>
    <w:rsid w:val="00C70628"/>
    <w:rsid w:val="00C7066A"/>
    <w:rsid w:val="00C7096C"/>
    <w:rsid w:val="00C70B10"/>
    <w:rsid w:val="00C71091"/>
    <w:rsid w:val="00C711F1"/>
    <w:rsid w:val="00C726DD"/>
    <w:rsid w:val="00C72792"/>
    <w:rsid w:val="00C72CC5"/>
    <w:rsid w:val="00C73129"/>
    <w:rsid w:val="00C732B9"/>
    <w:rsid w:val="00C7399A"/>
    <w:rsid w:val="00C7408E"/>
    <w:rsid w:val="00C7454F"/>
    <w:rsid w:val="00C7528D"/>
    <w:rsid w:val="00C75447"/>
    <w:rsid w:val="00C75885"/>
    <w:rsid w:val="00C7589B"/>
    <w:rsid w:val="00C75E2F"/>
    <w:rsid w:val="00C7636C"/>
    <w:rsid w:val="00C77456"/>
    <w:rsid w:val="00C7753E"/>
    <w:rsid w:val="00C77542"/>
    <w:rsid w:val="00C77F3B"/>
    <w:rsid w:val="00C81838"/>
    <w:rsid w:val="00C82155"/>
    <w:rsid w:val="00C8279B"/>
    <w:rsid w:val="00C83115"/>
    <w:rsid w:val="00C831B4"/>
    <w:rsid w:val="00C834BD"/>
    <w:rsid w:val="00C83596"/>
    <w:rsid w:val="00C835F9"/>
    <w:rsid w:val="00C8360A"/>
    <w:rsid w:val="00C84D05"/>
    <w:rsid w:val="00C8506A"/>
    <w:rsid w:val="00C855F0"/>
    <w:rsid w:val="00C8564F"/>
    <w:rsid w:val="00C8638E"/>
    <w:rsid w:val="00C8676C"/>
    <w:rsid w:val="00C86AB4"/>
    <w:rsid w:val="00C86B46"/>
    <w:rsid w:val="00C86BF0"/>
    <w:rsid w:val="00C87C53"/>
    <w:rsid w:val="00C90D84"/>
    <w:rsid w:val="00C921AC"/>
    <w:rsid w:val="00C922AD"/>
    <w:rsid w:val="00C931DC"/>
    <w:rsid w:val="00C93BFF"/>
    <w:rsid w:val="00C9426A"/>
    <w:rsid w:val="00C94708"/>
    <w:rsid w:val="00C94970"/>
    <w:rsid w:val="00C94A14"/>
    <w:rsid w:val="00C94E38"/>
    <w:rsid w:val="00C94FED"/>
    <w:rsid w:val="00C9535F"/>
    <w:rsid w:val="00C96570"/>
    <w:rsid w:val="00C965E8"/>
    <w:rsid w:val="00C97928"/>
    <w:rsid w:val="00C97E72"/>
    <w:rsid w:val="00C97FB1"/>
    <w:rsid w:val="00CA02DB"/>
    <w:rsid w:val="00CA05F3"/>
    <w:rsid w:val="00CA08E7"/>
    <w:rsid w:val="00CA0F79"/>
    <w:rsid w:val="00CA160B"/>
    <w:rsid w:val="00CA1EA9"/>
    <w:rsid w:val="00CA2B7A"/>
    <w:rsid w:val="00CA3849"/>
    <w:rsid w:val="00CA7056"/>
    <w:rsid w:val="00CA72C6"/>
    <w:rsid w:val="00CA7675"/>
    <w:rsid w:val="00CA77E9"/>
    <w:rsid w:val="00CA790F"/>
    <w:rsid w:val="00CA7BFD"/>
    <w:rsid w:val="00CA7FE1"/>
    <w:rsid w:val="00CB1E49"/>
    <w:rsid w:val="00CB33C1"/>
    <w:rsid w:val="00CB38FC"/>
    <w:rsid w:val="00CB4C13"/>
    <w:rsid w:val="00CB4E6E"/>
    <w:rsid w:val="00CB6172"/>
    <w:rsid w:val="00CB6286"/>
    <w:rsid w:val="00CB634E"/>
    <w:rsid w:val="00CB7EF7"/>
    <w:rsid w:val="00CC13E6"/>
    <w:rsid w:val="00CC2A0A"/>
    <w:rsid w:val="00CC34CC"/>
    <w:rsid w:val="00CC3600"/>
    <w:rsid w:val="00CC3634"/>
    <w:rsid w:val="00CC5F75"/>
    <w:rsid w:val="00CC64E2"/>
    <w:rsid w:val="00CC6EEC"/>
    <w:rsid w:val="00CD086E"/>
    <w:rsid w:val="00CD0E84"/>
    <w:rsid w:val="00CD130F"/>
    <w:rsid w:val="00CD1858"/>
    <w:rsid w:val="00CD21EA"/>
    <w:rsid w:val="00CD221A"/>
    <w:rsid w:val="00CD30C1"/>
    <w:rsid w:val="00CD3781"/>
    <w:rsid w:val="00CD392E"/>
    <w:rsid w:val="00CD3B5B"/>
    <w:rsid w:val="00CD3DCB"/>
    <w:rsid w:val="00CD3F6C"/>
    <w:rsid w:val="00CD58A1"/>
    <w:rsid w:val="00CD5934"/>
    <w:rsid w:val="00CD6495"/>
    <w:rsid w:val="00CD7558"/>
    <w:rsid w:val="00CD7B4A"/>
    <w:rsid w:val="00CE0093"/>
    <w:rsid w:val="00CE168E"/>
    <w:rsid w:val="00CE18E3"/>
    <w:rsid w:val="00CE2AC2"/>
    <w:rsid w:val="00CE2EFD"/>
    <w:rsid w:val="00CE3421"/>
    <w:rsid w:val="00CE4099"/>
    <w:rsid w:val="00CE4456"/>
    <w:rsid w:val="00CE57E6"/>
    <w:rsid w:val="00CE59B8"/>
    <w:rsid w:val="00CE5D29"/>
    <w:rsid w:val="00CE6914"/>
    <w:rsid w:val="00CE69FA"/>
    <w:rsid w:val="00CE6B5C"/>
    <w:rsid w:val="00CE6BDE"/>
    <w:rsid w:val="00CE74EB"/>
    <w:rsid w:val="00CE75AA"/>
    <w:rsid w:val="00CE7AE8"/>
    <w:rsid w:val="00CE7DD9"/>
    <w:rsid w:val="00CF0D62"/>
    <w:rsid w:val="00CF0DAC"/>
    <w:rsid w:val="00CF0E23"/>
    <w:rsid w:val="00CF1B7C"/>
    <w:rsid w:val="00CF20F4"/>
    <w:rsid w:val="00CF24C8"/>
    <w:rsid w:val="00CF2999"/>
    <w:rsid w:val="00CF2C37"/>
    <w:rsid w:val="00CF344B"/>
    <w:rsid w:val="00CF40CE"/>
    <w:rsid w:val="00CF4255"/>
    <w:rsid w:val="00CF4DB5"/>
    <w:rsid w:val="00CF4F05"/>
    <w:rsid w:val="00CF6000"/>
    <w:rsid w:val="00CF6696"/>
    <w:rsid w:val="00CF75EF"/>
    <w:rsid w:val="00CF79F9"/>
    <w:rsid w:val="00CF7BF6"/>
    <w:rsid w:val="00CF7C53"/>
    <w:rsid w:val="00CF7E64"/>
    <w:rsid w:val="00D00392"/>
    <w:rsid w:val="00D013A8"/>
    <w:rsid w:val="00D01F1E"/>
    <w:rsid w:val="00D02EEC"/>
    <w:rsid w:val="00D03E95"/>
    <w:rsid w:val="00D041A0"/>
    <w:rsid w:val="00D041A5"/>
    <w:rsid w:val="00D0492A"/>
    <w:rsid w:val="00D04CBB"/>
    <w:rsid w:val="00D04FBD"/>
    <w:rsid w:val="00D05ED7"/>
    <w:rsid w:val="00D068F8"/>
    <w:rsid w:val="00D07593"/>
    <w:rsid w:val="00D07DDE"/>
    <w:rsid w:val="00D10164"/>
    <w:rsid w:val="00D102D6"/>
    <w:rsid w:val="00D113D8"/>
    <w:rsid w:val="00D1148C"/>
    <w:rsid w:val="00D11CB7"/>
    <w:rsid w:val="00D121C2"/>
    <w:rsid w:val="00D125E1"/>
    <w:rsid w:val="00D1338C"/>
    <w:rsid w:val="00D14F02"/>
    <w:rsid w:val="00D15456"/>
    <w:rsid w:val="00D155A6"/>
    <w:rsid w:val="00D15CF2"/>
    <w:rsid w:val="00D16E44"/>
    <w:rsid w:val="00D171D5"/>
    <w:rsid w:val="00D1779D"/>
    <w:rsid w:val="00D20786"/>
    <w:rsid w:val="00D20F6F"/>
    <w:rsid w:val="00D216FD"/>
    <w:rsid w:val="00D2192F"/>
    <w:rsid w:val="00D21CE5"/>
    <w:rsid w:val="00D21FE3"/>
    <w:rsid w:val="00D2210F"/>
    <w:rsid w:val="00D2250F"/>
    <w:rsid w:val="00D22AE9"/>
    <w:rsid w:val="00D23550"/>
    <w:rsid w:val="00D2371F"/>
    <w:rsid w:val="00D23C93"/>
    <w:rsid w:val="00D2417A"/>
    <w:rsid w:val="00D246E6"/>
    <w:rsid w:val="00D253A5"/>
    <w:rsid w:val="00D2568B"/>
    <w:rsid w:val="00D26802"/>
    <w:rsid w:val="00D26AF0"/>
    <w:rsid w:val="00D26BE2"/>
    <w:rsid w:val="00D328A1"/>
    <w:rsid w:val="00D32B56"/>
    <w:rsid w:val="00D33795"/>
    <w:rsid w:val="00D34528"/>
    <w:rsid w:val="00D34C68"/>
    <w:rsid w:val="00D35289"/>
    <w:rsid w:val="00D36AB8"/>
    <w:rsid w:val="00D37C42"/>
    <w:rsid w:val="00D412DF"/>
    <w:rsid w:val="00D41E7C"/>
    <w:rsid w:val="00D429BD"/>
    <w:rsid w:val="00D42A77"/>
    <w:rsid w:val="00D438B8"/>
    <w:rsid w:val="00D43978"/>
    <w:rsid w:val="00D439ED"/>
    <w:rsid w:val="00D44873"/>
    <w:rsid w:val="00D44885"/>
    <w:rsid w:val="00D44E8F"/>
    <w:rsid w:val="00D44F32"/>
    <w:rsid w:val="00D44F59"/>
    <w:rsid w:val="00D4536B"/>
    <w:rsid w:val="00D4552D"/>
    <w:rsid w:val="00D46090"/>
    <w:rsid w:val="00D50861"/>
    <w:rsid w:val="00D51076"/>
    <w:rsid w:val="00D515C4"/>
    <w:rsid w:val="00D52C1D"/>
    <w:rsid w:val="00D52D01"/>
    <w:rsid w:val="00D535FC"/>
    <w:rsid w:val="00D539BD"/>
    <w:rsid w:val="00D540F6"/>
    <w:rsid w:val="00D54586"/>
    <w:rsid w:val="00D548F5"/>
    <w:rsid w:val="00D57222"/>
    <w:rsid w:val="00D57E5A"/>
    <w:rsid w:val="00D604BF"/>
    <w:rsid w:val="00D60DDC"/>
    <w:rsid w:val="00D60F94"/>
    <w:rsid w:val="00D612C1"/>
    <w:rsid w:val="00D62595"/>
    <w:rsid w:val="00D62C14"/>
    <w:rsid w:val="00D6315F"/>
    <w:rsid w:val="00D63272"/>
    <w:rsid w:val="00D662CD"/>
    <w:rsid w:val="00D66F8A"/>
    <w:rsid w:val="00D70242"/>
    <w:rsid w:val="00D70259"/>
    <w:rsid w:val="00D70BB3"/>
    <w:rsid w:val="00D70D7A"/>
    <w:rsid w:val="00D71F61"/>
    <w:rsid w:val="00D7226A"/>
    <w:rsid w:val="00D722EB"/>
    <w:rsid w:val="00D73D77"/>
    <w:rsid w:val="00D74771"/>
    <w:rsid w:val="00D7526D"/>
    <w:rsid w:val="00D75A35"/>
    <w:rsid w:val="00D75EA4"/>
    <w:rsid w:val="00D775E2"/>
    <w:rsid w:val="00D8134F"/>
    <w:rsid w:val="00D8150B"/>
    <w:rsid w:val="00D81A31"/>
    <w:rsid w:val="00D8226B"/>
    <w:rsid w:val="00D82AA8"/>
    <w:rsid w:val="00D83519"/>
    <w:rsid w:val="00D8376E"/>
    <w:rsid w:val="00D83C1F"/>
    <w:rsid w:val="00D850F6"/>
    <w:rsid w:val="00D85127"/>
    <w:rsid w:val="00D855D3"/>
    <w:rsid w:val="00D85A9D"/>
    <w:rsid w:val="00D8607D"/>
    <w:rsid w:val="00D86262"/>
    <w:rsid w:val="00D8741C"/>
    <w:rsid w:val="00D87B4C"/>
    <w:rsid w:val="00D901D8"/>
    <w:rsid w:val="00D91A7B"/>
    <w:rsid w:val="00D9398A"/>
    <w:rsid w:val="00D9554B"/>
    <w:rsid w:val="00D9581C"/>
    <w:rsid w:val="00D96BD5"/>
    <w:rsid w:val="00D97253"/>
    <w:rsid w:val="00D97843"/>
    <w:rsid w:val="00DA08A8"/>
    <w:rsid w:val="00DA174F"/>
    <w:rsid w:val="00DA23DA"/>
    <w:rsid w:val="00DA31DB"/>
    <w:rsid w:val="00DA3A42"/>
    <w:rsid w:val="00DA481E"/>
    <w:rsid w:val="00DA5C53"/>
    <w:rsid w:val="00DA5FA4"/>
    <w:rsid w:val="00DA698E"/>
    <w:rsid w:val="00DA7B06"/>
    <w:rsid w:val="00DA7DD9"/>
    <w:rsid w:val="00DB100B"/>
    <w:rsid w:val="00DB1384"/>
    <w:rsid w:val="00DB138E"/>
    <w:rsid w:val="00DB1C9B"/>
    <w:rsid w:val="00DB256D"/>
    <w:rsid w:val="00DB2C0D"/>
    <w:rsid w:val="00DB38FD"/>
    <w:rsid w:val="00DB461B"/>
    <w:rsid w:val="00DB4F2A"/>
    <w:rsid w:val="00DB564D"/>
    <w:rsid w:val="00DB57A5"/>
    <w:rsid w:val="00DB5DF6"/>
    <w:rsid w:val="00DB6F46"/>
    <w:rsid w:val="00DB72CE"/>
    <w:rsid w:val="00DB76D9"/>
    <w:rsid w:val="00DC003C"/>
    <w:rsid w:val="00DC02A1"/>
    <w:rsid w:val="00DC356C"/>
    <w:rsid w:val="00DC3820"/>
    <w:rsid w:val="00DC3DC3"/>
    <w:rsid w:val="00DC4236"/>
    <w:rsid w:val="00DC51BD"/>
    <w:rsid w:val="00DC5A80"/>
    <w:rsid w:val="00DC5F77"/>
    <w:rsid w:val="00DD27AC"/>
    <w:rsid w:val="00DD3BA2"/>
    <w:rsid w:val="00DD4E1F"/>
    <w:rsid w:val="00DD5118"/>
    <w:rsid w:val="00DD524A"/>
    <w:rsid w:val="00DD5D44"/>
    <w:rsid w:val="00DD6BCC"/>
    <w:rsid w:val="00DD75C9"/>
    <w:rsid w:val="00DD792F"/>
    <w:rsid w:val="00DE01FE"/>
    <w:rsid w:val="00DE036B"/>
    <w:rsid w:val="00DE0E74"/>
    <w:rsid w:val="00DE2B3B"/>
    <w:rsid w:val="00DE44F6"/>
    <w:rsid w:val="00DE475A"/>
    <w:rsid w:val="00DE475F"/>
    <w:rsid w:val="00DE4CED"/>
    <w:rsid w:val="00DE5031"/>
    <w:rsid w:val="00DE584F"/>
    <w:rsid w:val="00DE5ED4"/>
    <w:rsid w:val="00DE60FB"/>
    <w:rsid w:val="00DE67CD"/>
    <w:rsid w:val="00DE71E1"/>
    <w:rsid w:val="00DE73FB"/>
    <w:rsid w:val="00DE75FD"/>
    <w:rsid w:val="00DE7F18"/>
    <w:rsid w:val="00DF0185"/>
    <w:rsid w:val="00DF21B4"/>
    <w:rsid w:val="00DF299D"/>
    <w:rsid w:val="00DF2DAE"/>
    <w:rsid w:val="00DF32E4"/>
    <w:rsid w:val="00DF36C4"/>
    <w:rsid w:val="00DF5011"/>
    <w:rsid w:val="00DF51C7"/>
    <w:rsid w:val="00DF6E88"/>
    <w:rsid w:val="00DF6ECD"/>
    <w:rsid w:val="00DF7A38"/>
    <w:rsid w:val="00DF7EE2"/>
    <w:rsid w:val="00E0034D"/>
    <w:rsid w:val="00E00455"/>
    <w:rsid w:val="00E020CF"/>
    <w:rsid w:val="00E02D7A"/>
    <w:rsid w:val="00E03735"/>
    <w:rsid w:val="00E0381E"/>
    <w:rsid w:val="00E04311"/>
    <w:rsid w:val="00E0451C"/>
    <w:rsid w:val="00E045D4"/>
    <w:rsid w:val="00E04620"/>
    <w:rsid w:val="00E047DB"/>
    <w:rsid w:val="00E04D7C"/>
    <w:rsid w:val="00E05D28"/>
    <w:rsid w:val="00E0639A"/>
    <w:rsid w:val="00E06EB2"/>
    <w:rsid w:val="00E0743E"/>
    <w:rsid w:val="00E101C2"/>
    <w:rsid w:val="00E10420"/>
    <w:rsid w:val="00E1060A"/>
    <w:rsid w:val="00E10667"/>
    <w:rsid w:val="00E107ED"/>
    <w:rsid w:val="00E109A5"/>
    <w:rsid w:val="00E10A02"/>
    <w:rsid w:val="00E10B13"/>
    <w:rsid w:val="00E114D6"/>
    <w:rsid w:val="00E117A8"/>
    <w:rsid w:val="00E11D74"/>
    <w:rsid w:val="00E11F17"/>
    <w:rsid w:val="00E12C14"/>
    <w:rsid w:val="00E12CF9"/>
    <w:rsid w:val="00E12DA8"/>
    <w:rsid w:val="00E13740"/>
    <w:rsid w:val="00E1383F"/>
    <w:rsid w:val="00E13D34"/>
    <w:rsid w:val="00E14558"/>
    <w:rsid w:val="00E149F2"/>
    <w:rsid w:val="00E14ACD"/>
    <w:rsid w:val="00E14FB5"/>
    <w:rsid w:val="00E1523E"/>
    <w:rsid w:val="00E16494"/>
    <w:rsid w:val="00E168B1"/>
    <w:rsid w:val="00E17341"/>
    <w:rsid w:val="00E200AF"/>
    <w:rsid w:val="00E2038E"/>
    <w:rsid w:val="00E2058A"/>
    <w:rsid w:val="00E20A06"/>
    <w:rsid w:val="00E20D8A"/>
    <w:rsid w:val="00E2117A"/>
    <w:rsid w:val="00E2161D"/>
    <w:rsid w:val="00E21CEC"/>
    <w:rsid w:val="00E21F2D"/>
    <w:rsid w:val="00E2221B"/>
    <w:rsid w:val="00E22961"/>
    <w:rsid w:val="00E22F4C"/>
    <w:rsid w:val="00E23202"/>
    <w:rsid w:val="00E235E2"/>
    <w:rsid w:val="00E23630"/>
    <w:rsid w:val="00E258D3"/>
    <w:rsid w:val="00E267D0"/>
    <w:rsid w:val="00E27865"/>
    <w:rsid w:val="00E27AF9"/>
    <w:rsid w:val="00E30504"/>
    <w:rsid w:val="00E30559"/>
    <w:rsid w:val="00E30596"/>
    <w:rsid w:val="00E3107F"/>
    <w:rsid w:val="00E32AAF"/>
    <w:rsid w:val="00E32FC1"/>
    <w:rsid w:val="00E3503F"/>
    <w:rsid w:val="00E3587C"/>
    <w:rsid w:val="00E365ED"/>
    <w:rsid w:val="00E37BDF"/>
    <w:rsid w:val="00E4007B"/>
    <w:rsid w:val="00E40A5B"/>
    <w:rsid w:val="00E40F75"/>
    <w:rsid w:val="00E41120"/>
    <w:rsid w:val="00E43AD1"/>
    <w:rsid w:val="00E44E5C"/>
    <w:rsid w:val="00E45381"/>
    <w:rsid w:val="00E45CF1"/>
    <w:rsid w:val="00E464DE"/>
    <w:rsid w:val="00E46506"/>
    <w:rsid w:val="00E46C3B"/>
    <w:rsid w:val="00E46CE0"/>
    <w:rsid w:val="00E47C99"/>
    <w:rsid w:val="00E505F0"/>
    <w:rsid w:val="00E5150F"/>
    <w:rsid w:val="00E5163E"/>
    <w:rsid w:val="00E5227B"/>
    <w:rsid w:val="00E535B5"/>
    <w:rsid w:val="00E53B87"/>
    <w:rsid w:val="00E54213"/>
    <w:rsid w:val="00E545AB"/>
    <w:rsid w:val="00E548D0"/>
    <w:rsid w:val="00E55621"/>
    <w:rsid w:val="00E557A5"/>
    <w:rsid w:val="00E5585A"/>
    <w:rsid w:val="00E55917"/>
    <w:rsid w:val="00E56463"/>
    <w:rsid w:val="00E57FD1"/>
    <w:rsid w:val="00E60139"/>
    <w:rsid w:val="00E605A3"/>
    <w:rsid w:val="00E60EE2"/>
    <w:rsid w:val="00E614E4"/>
    <w:rsid w:val="00E61A79"/>
    <w:rsid w:val="00E623DD"/>
    <w:rsid w:val="00E62D8F"/>
    <w:rsid w:val="00E63651"/>
    <w:rsid w:val="00E63654"/>
    <w:rsid w:val="00E64622"/>
    <w:rsid w:val="00E649BA"/>
    <w:rsid w:val="00E64C2F"/>
    <w:rsid w:val="00E6531E"/>
    <w:rsid w:val="00E65616"/>
    <w:rsid w:val="00E65990"/>
    <w:rsid w:val="00E66344"/>
    <w:rsid w:val="00E66803"/>
    <w:rsid w:val="00E66DF8"/>
    <w:rsid w:val="00E67052"/>
    <w:rsid w:val="00E674B1"/>
    <w:rsid w:val="00E70091"/>
    <w:rsid w:val="00E71D7B"/>
    <w:rsid w:val="00E7285D"/>
    <w:rsid w:val="00E73AF6"/>
    <w:rsid w:val="00E73EE6"/>
    <w:rsid w:val="00E75021"/>
    <w:rsid w:val="00E760C3"/>
    <w:rsid w:val="00E76291"/>
    <w:rsid w:val="00E76556"/>
    <w:rsid w:val="00E76EB6"/>
    <w:rsid w:val="00E772DA"/>
    <w:rsid w:val="00E77BA1"/>
    <w:rsid w:val="00E81A6B"/>
    <w:rsid w:val="00E81D62"/>
    <w:rsid w:val="00E81D82"/>
    <w:rsid w:val="00E81F31"/>
    <w:rsid w:val="00E82A13"/>
    <w:rsid w:val="00E83657"/>
    <w:rsid w:val="00E8418E"/>
    <w:rsid w:val="00E84483"/>
    <w:rsid w:val="00E8505B"/>
    <w:rsid w:val="00E855A3"/>
    <w:rsid w:val="00E86C20"/>
    <w:rsid w:val="00E87601"/>
    <w:rsid w:val="00E90AFA"/>
    <w:rsid w:val="00E90E14"/>
    <w:rsid w:val="00E917DE"/>
    <w:rsid w:val="00E917F1"/>
    <w:rsid w:val="00E91F68"/>
    <w:rsid w:val="00E9230F"/>
    <w:rsid w:val="00E93923"/>
    <w:rsid w:val="00E9619A"/>
    <w:rsid w:val="00E970DD"/>
    <w:rsid w:val="00EA11AD"/>
    <w:rsid w:val="00EA244A"/>
    <w:rsid w:val="00EA3146"/>
    <w:rsid w:val="00EA334C"/>
    <w:rsid w:val="00EA3E47"/>
    <w:rsid w:val="00EA3F49"/>
    <w:rsid w:val="00EA46BC"/>
    <w:rsid w:val="00EA51D1"/>
    <w:rsid w:val="00EA65F3"/>
    <w:rsid w:val="00EB08AE"/>
    <w:rsid w:val="00EB08B8"/>
    <w:rsid w:val="00EB1103"/>
    <w:rsid w:val="00EB20C9"/>
    <w:rsid w:val="00EB233D"/>
    <w:rsid w:val="00EB31A2"/>
    <w:rsid w:val="00EB334E"/>
    <w:rsid w:val="00EB3669"/>
    <w:rsid w:val="00EB3C65"/>
    <w:rsid w:val="00EB40DC"/>
    <w:rsid w:val="00EB464C"/>
    <w:rsid w:val="00EB4FEB"/>
    <w:rsid w:val="00EB51E4"/>
    <w:rsid w:val="00EB522F"/>
    <w:rsid w:val="00EB573E"/>
    <w:rsid w:val="00EB5CE5"/>
    <w:rsid w:val="00EB674A"/>
    <w:rsid w:val="00EB6EEF"/>
    <w:rsid w:val="00EB75DF"/>
    <w:rsid w:val="00EB78E1"/>
    <w:rsid w:val="00EC03D6"/>
    <w:rsid w:val="00EC04AE"/>
    <w:rsid w:val="00EC060B"/>
    <w:rsid w:val="00EC0854"/>
    <w:rsid w:val="00EC0C0C"/>
    <w:rsid w:val="00EC1389"/>
    <w:rsid w:val="00EC1FBD"/>
    <w:rsid w:val="00EC3910"/>
    <w:rsid w:val="00EC42A3"/>
    <w:rsid w:val="00EC4558"/>
    <w:rsid w:val="00EC4582"/>
    <w:rsid w:val="00EC58A9"/>
    <w:rsid w:val="00EC5A08"/>
    <w:rsid w:val="00EC6F59"/>
    <w:rsid w:val="00EC738E"/>
    <w:rsid w:val="00EC75D7"/>
    <w:rsid w:val="00EC77FD"/>
    <w:rsid w:val="00ED045F"/>
    <w:rsid w:val="00ED0594"/>
    <w:rsid w:val="00ED0DB3"/>
    <w:rsid w:val="00ED107B"/>
    <w:rsid w:val="00ED1150"/>
    <w:rsid w:val="00ED135E"/>
    <w:rsid w:val="00ED196D"/>
    <w:rsid w:val="00ED1D77"/>
    <w:rsid w:val="00ED2561"/>
    <w:rsid w:val="00ED31CB"/>
    <w:rsid w:val="00ED51B4"/>
    <w:rsid w:val="00ED53BF"/>
    <w:rsid w:val="00ED565A"/>
    <w:rsid w:val="00ED593E"/>
    <w:rsid w:val="00ED610B"/>
    <w:rsid w:val="00ED61D9"/>
    <w:rsid w:val="00ED6475"/>
    <w:rsid w:val="00EE0C0C"/>
    <w:rsid w:val="00EE0C3D"/>
    <w:rsid w:val="00EE0CA1"/>
    <w:rsid w:val="00EE0D6D"/>
    <w:rsid w:val="00EE12CC"/>
    <w:rsid w:val="00EE1335"/>
    <w:rsid w:val="00EE1456"/>
    <w:rsid w:val="00EE222F"/>
    <w:rsid w:val="00EE2347"/>
    <w:rsid w:val="00EE27E8"/>
    <w:rsid w:val="00EE2800"/>
    <w:rsid w:val="00EE3D00"/>
    <w:rsid w:val="00EE4003"/>
    <w:rsid w:val="00EE44C9"/>
    <w:rsid w:val="00EE4586"/>
    <w:rsid w:val="00EE5043"/>
    <w:rsid w:val="00EE53F7"/>
    <w:rsid w:val="00EE544C"/>
    <w:rsid w:val="00EE660F"/>
    <w:rsid w:val="00EE71B2"/>
    <w:rsid w:val="00EE7D7F"/>
    <w:rsid w:val="00EF0E78"/>
    <w:rsid w:val="00EF10A4"/>
    <w:rsid w:val="00EF12B4"/>
    <w:rsid w:val="00EF17A7"/>
    <w:rsid w:val="00EF1F91"/>
    <w:rsid w:val="00EF23D2"/>
    <w:rsid w:val="00EF25DF"/>
    <w:rsid w:val="00EF3E07"/>
    <w:rsid w:val="00EF4F9D"/>
    <w:rsid w:val="00EF5C0D"/>
    <w:rsid w:val="00EF673E"/>
    <w:rsid w:val="00EF70C2"/>
    <w:rsid w:val="00EF7270"/>
    <w:rsid w:val="00EF72FE"/>
    <w:rsid w:val="00EF7C65"/>
    <w:rsid w:val="00EF7CE5"/>
    <w:rsid w:val="00F0117C"/>
    <w:rsid w:val="00F04226"/>
    <w:rsid w:val="00F0472D"/>
    <w:rsid w:val="00F06000"/>
    <w:rsid w:val="00F060C6"/>
    <w:rsid w:val="00F062DD"/>
    <w:rsid w:val="00F078F7"/>
    <w:rsid w:val="00F1027A"/>
    <w:rsid w:val="00F10F62"/>
    <w:rsid w:val="00F1104C"/>
    <w:rsid w:val="00F126B3"/>
    <w:rsid w:val="00F12723"/>
    <w:rsid w:val="00F12D10"/>
    <w:rsid w:val="00F13B1F"/>
    <w:rsid w:val="00F13FD8"/>
    <w:rsid w:val="00F149B6"/>
    <w:rsid w:val="00F14B7B"/>
    <w:rsid w:val="00F14EB7"/>
    <w:rsid w:val="00F1547B"/>
    <w:rsid w:val="00F17944"/>
    <w:rsid w:val="00F2222A"/>
    <w:rsid w:val="00F2261F"/>
    <w:rsid w:val="00F22C4F"/>
    <w:rsid w:val="00F236D3"/>
    <w:rsid w:val="00F23821"/>
    <w:rsid w:val="00F23925"/>
    <w:rsid w:val="00F23B08"/>
    <w:rsid w:val="00F24708"/>
    <w:rsid w:val="00F2676B"/>
    <w:rsid w:val="00F267DF"/>
    <w:rsid w:val="00F26E24"/>
    <w:rsid w:val="00F30F8F"/>
    <w:rsid w:val="00F310AD"/>
    <w:rsid w:val="00F32290"/>
    <w:rsid w:val="00F3346E"/>
    <w:rsid w:val="00F3366A"/>
    <w:rsid w:val="00F35145"/>
    <w:rsid w:val="00F35F2C"/>
    <w:rsid w:val="00F36811"/>
    <w:rsid w:val="00F36B29"/>
    <w:rsid w:val="00F3715C"/>
    <w:rsid w:val="00F372A5"/>
    <w:rsid w:val="00F372E7"/>
    <w:rsid w:val="00F37F96"/>
    <w:rsid w:val="00F400CC"/>
    <w:rsid w:val="00F40431"/>
    <w:rsid w:val="00F406F1"/>
    <w:rsid w:val="00F41C8E"/>
    <w:rsid w:val="00F425C7"/>
    <w:rsid w:val="00F43DDC"/>
    <w:rsid w:val="00F44592"/>
    <w:rsid w:val="00F4469E"/>
    <w:rsid w:val="00F446BF"/>
    <w:rsid w:val="00F45BC6"/>
    <w:rsid w:val="00F46A5B"/>
    <w:rsid w:val="00F46E2C"/>
    <w:rsid w:val="00F470ED"/>
    <w:rsid w:val="00F47149"/>
    <w:rsid w:val="00F507AD"/>
    <w:rsid w:val="00F51403"/>
    <w:rsid w:val="00F51786"/>
    <w:rsid w:val="00F51BF7"/>
    <w:rsid w:val="00F53E23"/>
    <w:rsid w:val="00F53F3F"/>
    <w:rsid w:val="00F54189"/>
    <w:rsid w:val="00F5443C"/>
    <w:rsid w:val="00F548B1"/>
    <w:rsid w:val="00F5615B"/>
    <w:rsid w:val="00F5629F"/>
    <w:rsid w:val="00F56F57"/>
    <w:rsid w:val="00F5782A"/>
    <w:rsid w:val="00F57E83"/>
    <w:rsid w:val="00F61AA0"/>
    <w:rsid w:val="00F61AC6"/>
    <w:rsid w:val="00F61F69"/>
    <w:rsid w:val="00F62B41"/>
    <w:rsid w:val="00F63F04"/>
    <w:rsid w:val="00F64B94"/>
    <w:rsid w:val="00F65233"/>
    <w:rsid w:val="00F6575E"/>
    <w:rsid w:val="00F65818"/>
    <w:rsid w:val="00F658AE"/>
    <w:rsid w:val="00F66AB1"/>
    <w:rsid w:val="00F672E8"/>
    <w:rsid w:val="00F67C9C"/>
    <w:rsid w:val="00F67D70"/>
    <w:rsid w:val="00F70227"/>
    <w:rsid w:val="00F71172"/>
    <w:rsid w:val="00F717A9"/>
    <w:rsid w:val="00F71A7D"/>
    <w:rsid w:val="00F71D5D"/>
    <w:rsid w:val="00F71F98"/>
    <w:rsid w:val="00F71FF4"/>
    <w:rsid w:val="00F723FC"/>
    <w:rsid w:val="00F728D2"/>
    <w:rsid w:val="00F75AE4"/>
    <w:rsid w:val="00F76870"/>
    <w:rsid w:val="00F76B57"/>
    <w:rsid w:val="00F76E79"/>
    <w:rsid w:val="00F76EC8"/>
    <w:rsid w:val="00F77469"/>
    <w:rsid w:val="00F778D9"/>
    <w:rsid w:val="00F77BBE"/>
    <w:rsid w:val="00F8006F"/>
    <w:rsid w:val="00F80DBB"/>
    <w:rsid w:val="00F80E85"/>
    <w:rsid w:val="00F81370"/>
    <w:rsid w:val="00F81532"/>
    <w:rsid w:val="00F8196D"/>
    <w:rsid w:val="00F81C24"/>
    <w:rsid w:val="00F82AFC"/>
    <w:rsid w:val="00F844CC"/>
    <w:rsid w:val="00F84C9E"/>
    <w:rsid w:val="00F84D9D"/>
    <w:rsid w:val="00F85259"/>
    <w:rsid w:val="00F85277"/>
    <w:rsid w:val="00F8547E"/>
    <w:rsid w:val="00F858DE"/>
    <w:rsid w:val="00F8700C"/>
    <w:rsid w:val="00F91741"/>
    <w:rsid w:val="00F91A1B"/>
    <w:rsid w:val="00F9350D"/>
    <w:rsid w:val="00F93D45"/>
    <w:rsid w:val="00F9458C"/>
    <w:rsid w:val="00F94D10"/>
    <w:rsid w:val="00F95524"/>
    <w:rsid w:val="00F95628"/>
    <w:rsid w:val="00F960B9"/>
    <w:rsid w:val="00F96713"/>
    <w:rsid w:val="00F9671B"/>
    <w:rsid w:val="00F96D4C"/>
    <w:rsid w:val="00F9742B"/>
    <w:rsid w:val="00FA07C2"/>
    <w:rsid w:val="00FA162B"/>
    <w:rsid w:val="00FA1872"/>
    <w:rsid w:val="00FA1C1D"/>
    <w:rsid w:val="00FA1E12"/>
    <w:rsid w:val="00FA2373"/>
    <w:rsid w:val="00FA2411"/>
    <w:rsid w:val="00FA29FC"/>
    <w:rsid w:val="00FA3A48"/>
    <w:rsid w:val="00FA445C"/>
    <w:rsid w:val="00FA44F6"/>
    <w:rsid w:val="00FA496D"/>
    <w:rsid w:val="00FA61DE"/>
    <w:rsid w:val="00FA61F7"/>
    <w:rsid w:val="00FA62CF"/>
    <w:rsid w:val="00FA6424"/>
    <w:rsid w:val="00FA64B0"/>
    <w:rsid w:val="00FA684C"/>
    <w:rsid w:val="00FA6CAF"/>
    <w:rsid w:val="00FA7519"/>
    <w:rsid w:val="00FA7663"/>
    <w:rsid w:val="00FA7C64"/>
    <w:rsid w:val="00FA7CD3"/>
    <w:rsid w:val="00FB0D59"/>
    <w:rsid w:val="00FB12D3"/>
    <w:rsid w:val="00FB2E21"/>
    <w:rsid w:val="00FB30C4"/>
    <w:rsid w:val="00FB3FEA"/>
    <w:rsid w:val="00FB423D"/>
    <w:rsid w:val="00FB4A8B"/>
    <w:rsid w:val="00FB4E06"/>
    <w:rsid w:val="00FB5030"/>
    <w:rsid w:val="00FB50FF"/>
    <w:rsid w:val="00FB5989"/>
    <w:rsid w:val="00FB6205"/>
    <w:rsid w:val="00FB7581"/>
    <w:rsid w:val="00FB77AB"/>
    <w:rsid w:val="00FB7828"/>
    <w:rsid w:val="00FB7979"/>
    <w:rsid w:val="00FC0B0E"/>
    <w:rsid w:val="00FC1284"/>
    <w:rsid w:val="00FC1887"/>
    <w:rsid w:val="00FC4CB4"/>
    <w:rsid w:val="00FC4DDB"/>
    <w:rsid w:val="00FC5501"/>
    <w:rsid w:val="00FC5999"/>
    <w:rsid w:val="00FC5AE6"/>
    <w:rsid w:val="00FC60B3"/>
    <w:rsid w:val="00FC63D8"/>
    <w:rsid w:val="00FC67D3"/>
    <w:rsid w:val="00FC6860"/>
    <w:rsid w:val="00FC6CD0"/>
    <w:rsid w:val="00FC7806"/>
    <w:rsid w:val="00FD0993"/>
    <w:rsid w:val="00FD145C"/>
    <w:rsid w:val="00FD16C2"/>
    <w:rsid w:val="00FD1F5B"/>
    <w:rsid w:val="00FD2F69"/>
    <w:rsid w:val="00FD34BC"/>
    <w:rsid w:val="00FD38A1"/>
    <w:rsid w:val="00FD3D8D"/>
    <w:rsid w:val="00FD4E3E"/>
    <w:rsid w:val="00FD511D"/>
    <w:rsid w:val="00FD53AF"/>
    <w:rsid w:val="00FD542F"/>
    <w:rsid w:val="00FD573C"/>
    <w:rsid w:val="00FD6CE3"/>
    <w:rsid w:val="00FD6F68"/>
    <w:rsid w:val="00FD7967"/>
    <w:rsid w:val="00FD7CA1"/>
    <w:rsid w:val="00FE03B3"/>
    <w:rsid w:val="00FE10B5"/>
    <w:rsid w:val="00FE13BB"/>
    <w:rsid w:val="00FE2C5A"/>
    <w:rsid w:val="00FE2DC0"/>
    <w:rsid w:val="00FE5959"/>
    <w:rsid w:val="00FE7A41"/>
    <w:rsid w:val="00FE7E2B"/>
    <w:rsid w:val="00FF0661"/>
    <w:rsid w:val="00FF0A10"/>
    <w:rsid w:val="00FF0E39"/>
    <w:rsid w:val="00FF16A9"/>
    <w:rsid w:val="00FF1709"/>
    <w:rsid w:val="00FF2784"/>
    <w:rsid w:val="00FF27A0"/>
    <w:rsid w:val="00FF2CD6"/>
    <w:rsid w:val="00FF2F2E"/>
    <w:rsid w:val="00FF33C3"/>
    <w:rsid w:val="00FF4728"/>
    <w:rsid w:val="00FF5EF7"/>
    <w:rsid w:val="00FF6261"/>
    <w:rsid w:val="00FF64A6"/>
    <w:rsid w:val="00FF661E"/>
    <w:rsid w:val="00FF75B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6945"/>
    <o:shapelayout v:ext="edit">
      <o:idmap v:ext="edit" data="1"/>
    </o:shapelayout>
  </w:shapeDefaults>
  <w:decimalSymbol w:val="."/>
  <w:listSeparator w:val=","/>
  <w14:docId w14:val="2166D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6B4"/>
    <w:rPr>
      <w:sz w:val="24"/>
    </w:rPr>
  </w:style>
  <w:style w:type="paragraph" w:styleId="Heading1">
    <w:name w:val="heading 1"/>
    <w:basedOn w:val="Normal"/>
    <w:next w:val="Normal"/>
    <w:qFormat/>
    <w:rsid w:val="00B9435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9435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9435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2D16B4"/>
    <w:pPr>
      <w:keepNext/>
      <w:outlineLvl w:val="3"/>
    </w:pPr>
    <w:rPr>
      <w:b/>
      <w:i/>
      <w:sz w:val="32"/>
    </w:rPr>
  </w:style>
  <w:style w:type="paragraph" w:styleId="Heading5">
    <w:name w:val="heading 5"/>
    <w:basedOn w:val="Normal"/>
    <w:next w:val="Normal"/>
    <w:qFormat/>
    <w:rsid w:val="002D16B4"/>
    <w:pPr>
      <w:keepNext/>
      <w:outlineLvl w:val="4"/>
    </w:pPr>
    <w:rPr>
      <w:b/>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B9435D"/>
    <w:rPr>
      <w:b/>
      <w:sz w:val="26"/>
    </w:rPr>
  </w:style>
  <w:style w:type="paragraph" w:customStyle="1" w:styleId="SubHeading">
    <w:name w:val="Sub Heading"/>
    <w:basedOn w:val="Normal"/>
    <w:rsid w:val="00B9435D"/>
    <w:rPr>
      <w:b/>
    </w:rPr>
  </w:style>
  <w:style w:type="paragraph" w:styleId="BodyText">
    <w:name w:val="Body Text"/>
    <w:basedOn w:val="Normal"/>
    <w:link w:val="BodyTextChar"/>
    <w:autoRedefine/>
    <w:rsid w:val="000369F0"/>
    <w:pPr>
      <w:numPr>
        <w:numId w:val="2"/>
      </w:numPr>
      <w:spacing w:after="240"/>
      <w:jc w:val="both"/>
    </w:pPr>
    <w:rPr>
      <w:szCs w:val="24"/>
    </w:rPr>
  </w:style>
  <w:style w:type="character" w:styleId="CommentReference">
    <w:name w:val="annotation reference"/>
    <w:basedOn w:val="DefaultParagraphFont"/>
    <w:uiPriority w:val="99"/>
    <w:semiHidden/>
    <w:rsid w:val="002D16B4"/>
    <w:rPr>
      <w:sz w:val="16"/>
    </w:rPr>
  </w:style>
  <w:style w:type="paragraph" w:styleId="FootnoteText">
    <w:name w:val="footnote text"/>
    <w:basedOn w:val="Normal"/>
    <w:link w:val="FootnoteTextChar"/>
    <w:rsid w:val="002D16B4"/>
    <w:rPr>
      <w:rFonts w:ascii="Arial" w:hAnsi="Arial"/>
      <w:sz w:val="20"/>
    </w:rPr>
  </w:style>
  <w:style w:type="paragraph" w:customStyle="1" w:styleId="bullet">
    <w:name w:val="bullet"/>
    <w:basedOn w:val="BodyText"/>
    <w:rsid w:val="002D16B4"/>
    <w:pPr>
      <w:numPr>
        <w:numId w:val="1"/>
      </w:numPr>
    </w:pPr>
  </w:style>
  <w:style w:type="character" w:styleId="FootnoteReference">
    <w:name w:val="footnote reference"/>
    <w:basedOn w:val="DefaultParagraphFont"/>
    <w:rsid w:val="002D16B4"/>
    <w:rPr>
      <w:vertAlign w:val="superscript"/>
    </w:rPr>
  </w:style>
  <w:style w:type="character" w:customStyle="1" w:styleId="StyleBodyText13ptCharCharChar">
    <w:name w:val="Style Body Text + 13 pt Char Char Char"/>
    <w:basedOn w:val="DefaultParagraphFont"/>
    <w:rsid w:val="002D16B4"/>
    <w:rPr>
      <w:sz w:val="24"/>
      <w:lang w:val="en-AU" w:eastAsia="en-AU" w:bidi="ar-SA"/>
    </w:rPr>
  </w:style>
  <w:style w:type="paragraph" w:styleId="BalloonText">
    <w:name w:val="Balloon Text"/>
    <w:basedOn w:val="Normal"/>
    <w:semiHidden/>
    <w:rsid w:val="00B11C0E"/>
    <w:rPr>
      <w:rFonts w:ascii="Tahoma" w:hAnsi="Tahoma" w:cs="Tahoma"/>
      <w:sz w:val="16"/>
      <w:szCs w:val="16"/>
    </w:rPr>
  </w:style>
  <w:style w:type="paragraph" w:styleId="Header">
    <w:name w:val="header"/>
    <w:basedOn w:val="Normal"/>
    <w:link w:val="HeaderChar"/>
    <w:rsid w:val="003A0287"/>
    <w:pPr>
      <w:tabs>
        <w:tab w:val="center" w:pos="4153"/>
        <w:tab w:val="right" w:pos="8306"/>
      </w:tabs>
    </w:pPr>
  </w:style>
  <w:style w:type="paragraph" w:styleId="Footer">
    <w:name w:val="footer"/>
    <w:basedOn w:val="Normal"/>
    <w:link w:val="FooterChar"/>
    <w:uiPriority w:val="99"/>
    <w:rsid w:val="003A0287"/>
    <w:pPr>
      <w:tabs>
        <w:tab w:val="center" w:pos="4153"/>
        <w:tab w:val="right" w:pos="8306"/>
      </w:tabs>
    </w:pPr>
  </w:style>
  <w:style w:type="paragraph" w:styleId="CommentText">
    <w:name w:val="annotation text"/>
    <w:basedOn w:val="Normal"/>
    <w:semiHidden/>
    <w:rsid w:val="00EA65F3"/>
    <w:rPr>
      <w:sz w:val="20"/>
    </w:rPr>
  </w:style>
  <w:style w:type="paragraph" w:styleId="CommentSubject">
    <w:name w:val="annotation subject"/>
    <w:basedOn w:val="CommentText"/>
    <w:next w:val="CommentText"/>
    <w:semiHidden/>
    <w:rsid w:val="00EA65F3"/>
    <w:rPr>
      <w:b/>
      <w:bCs/>
    </w:rPr>
  </w:style>
  <w:style w:type="character" w:styleId="PageNumber">
    <w:name w:val="page number"/>
    <w:basedOn w:val="DefaultParagraphFont"/>
    <w:rsid w:val="00896B5E"/>
  </w:style>
  <w:style w:type="paragraph" w:customStyle="1" w:styleId="Normalalpha">
    <w:name w:val="Normal alpha"/>
    <w:basedOn w:val="Normal"/>
    <w:rsid w:val="00725A97"/>
    <w:pPr>
      <w:spacing w:after="240"/>
      <w:jc w:val="both"/>
    </w:pPr>
  </w:style>
  <w:style w:type="table" w:styleId="TableGrid">
    <w:name w:val="Table Grid"/>
    <w:basedOn w:val="TableNormal"/>
    <w:rsid w:val="00725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4B3569"/>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4B3569"/>
    <w:rPr>
      <w:rFonts w:ascii="Arial" w:hAnsi="Arial" w:cs="Arial"/>
      <w:b/>
      <w:bCs/>
      <w:kern w:val="28"/>
      <w:sz w:val="32"/>
      <w:szCs w:val="32"/>
    </w:rPr>
  </w:style>
  <w:style w:type="paragraph" w:customStyle="1" w:styleId="ActTitle">
    <w:name w:val="Act Title"/>
    <w:basedOn w:val="Normal"/>
    <w:next w:val="IntroTo"/>
    <w:rsid w:val="004B3569"/>
    <w:pPr>
      <w:pBdr>
        <w:bottom w:val="single" w:sz="4" w:space="3" w:color="auto"/>
      </w:pBdr>
      <w:spacing w:before="480" w:after="240"/>
    </w:pPr>
    <w:rPr>
      <w:rFonts w:ascii="Arial" w:hAnsi="Arial"/>
      <w:i/>
      <w:iCs/>
      <w:sz w:val="28"/>
    </w:rPr>
  </w:style>
  <w:style w:type="paragraph" w:customStyle="1" w:styleId="IntroTo">
    <w:name w:val="IntroTo:"/>
    <w:basedOn w:val="Normal"/>
    <w:rsid w:val="004B3569"/>
    <w:pPr>
      <w:ind w:left="720" w:hanging="720"/>
    </w:pPr>
    <w:rPr>
      <w:lang w:eastAsia="en-US"/>
    </w:rPr>
  </w:style>
  <w:style w:type="paragraph" w:customStyle="1" w:styleId="IH">
    <w:name w:val="IH"/>
    <w:aliases w:val="Interpretation heading"/>
    <w:basedOn w:val="Normal"/>
    <w:next w:val="Normal"/>
    <w:rsid w:val="004B3569"/>
    <w:pPr>
      <w:keepNext/>
      <w:spacing w:before="480"/>
      <w:ind w:left="964" w:hanging="964"/>
    </w:pPr>
    <w:rPr>
      <w:rFonts w:ascii="Arial" w:hAnsi="Arial"/>
      <w:b/>
      <w:szCs w:val="24"/>
      <w:lang w:eastAsia="en-US"/>
    </w:rPr>
  </w:style>
  <w:style w:type="paragraph" w:customStyle="1" w:styleId="IP">
    <w:name w:val="IP"/>
    <w:aliases w:val="Interpretation paragraph"/>
    <w:basedOn w:val="Normal"/>
    <w:next w:val="Normal"/>
    <w:rsid w:val="004B3569"/>
    <w:pPr>
      <w:keepNext/>
      <w:tabs>
        <w:tab w:val="right" w:pos="794"/>
      </w:tabs>
      <w:spacing w:before="120" w:line="260" w:lineRule="exact"/>
      <w:ind w:left="964" w:hanging="964"/>
      <w:jc w:val="both"/>
    </w:pPr>
    <w:rPr>
      <w:szCs w:val="24"/>
      <w:lang w:eastAsia="en-US"/>
    </w:rPr>
  </w:style>
  <w:style w:type="paragraph" w:customStyle="1" w:styleId="AS">
    <w:name w:val="AS"/>
    <w:aliases w:val="Schedule title Amendment"/>
    <w:basedOn w:val="Normal"/>
    <w:next w:val="Normal"/>
    <w:rsid w:val="004B3569"/>
    <w:pPr>
      <w:keepNext/>
      <w:autoSpaceDE w:val="0"/>
      <w:autoSpaceDN w:val="0"/>
      <w:spacing w:before="480"/>
      <w:ind w:left="2410" w:hanging="2410"/>
    </w:pPr>
    <w:rPr>
      <w:rFonts w:ascii="Arial" w:hAnsi="Arial" w:cs="Arial"/>
      <w:b/>
      <w:bCs/>
      <w:sz w:val="32"/>
      <w:szCs w:val="32"/>
    </w:rPr>
  </w:style>
  <w:style w:type="character" w:customStyle="1" w:styleId="CharSchNo">
    <w:name w:val="CharSchNo"/>
    <w:basedOn w:val="DefaultParagraphFont"/>
    <w:rsid w:val="004B3569"/>
  </w:style>
  <w:style w:type="character" w:customStyle="1" w:styleId="Heading4Char">
    <w:name w:val="Heading 4 Char"/>
    <w:basedOn w:val="DefaultParagraphFont"/>
    <w:link w:val="Heading4"/>
    <w:rsid w:val="00CF79F9"/>
    <w:rPr>
      <w:b/>
      <w:i/>
      <w:sz w:val="32"/>
    </w:rPr>
  </w:style>
  <w:style w:type="character" w:customStyle="1" w:styleId="FootnoteTextChar">
    <w:name w:val="Footnote Text Char"/>
    <w:basedOn w:val="DefaultParagraphFont"/>
    <w:link w:val="FootnoteText"/>
    <w:uiPriority w:val="99"/>
    <w:rsid w:val="00CF79F9"/>
    <w:rPr>
      <w:rFonts w:ascii="Arial" w:hAnsi="Arial"/>
    </w:rPr>
  </w:style>
  <w:style w:type="paragraph" w:customStyle="1" w:styleId="Bullets">
    <w:name w:val="Bullets"/>
    <w:basedOn w:val="Normal"/>
    <w:rsid w:val="00C77456"/>
    <w:pPr>
      <w:numPr>
        <w:numId w:val="3"/>
      </w:numPr>
      <w:spacing w:after="120"/>
      <w:jc w:val="both"/>
    </w:pPr>
    <w:rPr>
      <w:rFonts w:ascii="Arial" w:hAnsi="Arial"/>
      <w:sz w:val="22"/>
      <w:lang w:val="en-GB" w:eastAsia="en-US"/>
    </w:rPr>
  </w:style>
  <w:style w:type="paragraph" w:styleId="NoSpacing">
    <w:name w:val="No Spacing"/>
    <w:aliases w:val="Normal bullet list"/>
    <w:uiPriority w:val="1"/>
    <w:qFormat/>
    <w:rsid w:val="004934B9"/>
    <w:pPr>
      <w:numPr>
        <w:numId w:val="4"/>
      </w:numPr>
      <w:spacing w:after="240"/>
      <w:ind w:left="567" w:hanging="567"/>
    </w:pPr>
    <w:rPr>
      <w:sz w:val="24"/>
    </w:rPr>
  </w:style>
  <w:style w:type="character" w:customStyle="1" w:styleId="BodyTextChar">
    <w:name w:val="Body Text Char"/>
    <w:basedOn w:val="DefaultParagraphFont"/>
    <w:link w:val="BodyText"/>
    <w:rsid w:val="000369F0"/>
    <w:rPr>
      <w:sz w:val="24"/>
      <w:szCs w:val="24"/>
    </w:rPr>
  </w:style>
  <w:style w:type="paragraph" w:styleId="ListParagraph">
    <w:name w:val="List Paragraph"/>
    <w:basedOn w:val="Normal"/>
    <w:uiPriority w:val="34"/>
    <w:qFormat/>
    <w:rsid w:val="00F9671B"/>
    <w:pPr>
      <w:numPr>
        <w:numId w:val="5"/>
      </w:numPr>
      <w:spacing w:after="240"/>
    </w:pPr>
  </w:style>
  <w:style w:type="paragraph" w:styleId="Revision">
    <w:name w:val="Revision"/>
    <w:hidden/>
    <w:uiPriority w:val="99"/>
    <w:semiHidden/>
    <w:rsid w:val="005A3B27"/>
    <w:rPr>
      <w:sz w:val="24"/>
    </w:rPr>
  </w:style>
  <w:style w:type="paragraph" w:customStyle="1" w:styleId="GPSHeading">
    <w:name w:val="GPS Heading"/>
    <w:basedOn w:val="Heading"/>
    <w:link w:val="GPSHeadingChar"/>
    <w:qFormat/>
    <w:rsid w:val="003D7AE8"/>
    <w:pPr>
      <w:spacing w:before="120" w:after="240"/>
    </w:pPr>
    <w:rPr>
      <w:rFonts w:ascii="Arial" w:hAnsi="Arial"/>
      <w:bCs/>
      <w:sz w:val="24"/>
      <w:szCs w:val="24"/>
    </w:rPr>
  </w:style>
  <w:style w:type="character" w:customStyle="1" w:styleId="GPSHeadingChar">
    <w:name w:val="GPS Heading Char"/>
    <w:basedOn w:val="DefaultParagraphFont"/>
    <w:link w:val="GPSHeading"/>
    <w:rsid w:val="003D7AE8"/>
    <w:rPr>
      <w:rFonts w:ascii="Arial" w:hAnsi="Arial"/>
      <w:b/>
      <w:bCs/>
      <w:sz w:val="24"/>
      <w:szCs w:val="24"/>
    </w:rPr>
  </w:style>
  <w:style w:type="paragraph" w:customStyle="1" w:styleId="ASref">
    <w:name w:val="AS ref"/>
    <w:basedOn w:val="Normal"/>
    <w:next w:val="Normal"/>
    <w:rsid w:val="003D79DA"/>
    <w:pPr>
      <w:keepNext/>
      <w:autoSpaceDE w:val="0"/>
      <w:autoSpaceDN w:val="0"/>
      <w:spacing w:before="60" w:line="200" w:lineRule="exact"/>
      <w:ind w:left="2410"/>
    </w:pPr>
    <w:rPr>
      <w:rFonts w:ascii="Arial" w:hAnsi="Arial" w:cs="Arial"/>
      <w:sz w:val="18"/>
      <w:szCs w:val="18"/>
    </w:rPr>
  </w:style>
  <w:style w:type="character" w:customStyle="1" w:styleId="CharSchText">
    <w:name w:val="CharSchText"/>
    <w:basedOn w:val="DefaultParagraphFont"/>
    <w:rsid w:val="003D79DA"/>
  </w:style>
  <w:style w:type="paragraph" w:customStyle="1" w:styleId="Non-numberedchapterheading">
    <w:name w:val="Non-numbered chapter heading"/>
    <w:basedOn w:val="Heading5"/>
    <w:rsid w:val="00B5086C"/>
    <w:pPr>
      <w:keepLines/>
      <w:spacing w:before="120" w:after="120" w:line="288" w:lineRule="auto"/>
      <w:ind w:left="360" w:hanging="360"/>
      <w:contextualSpacing/>
    </w:pPr>
    <w:rPr>
      <w:rFonts w:ascii="Trebuchet MS" w:hAnsi="Trebuchet MS"/>
      <w:sz w:val="24"/>
      <w:szCs w:val="22"/>
      <w:lang w:eastAsia="en-US"/>
    </w:rPr>
  </w:style>
  <w:style w:type="paragraph" w:customStyle="1" w:styleId="NormaltextCharCharCharCharChar">
    <w:name w:val="Normal text Char Char Char Char Char"/>
    <w:basedOn w:val="BodyText"/>
    <w:link w:val="NormaltextCharCharCharCharCharChar"/>
    <w:rsid w:val="00B5086C"/>
    <w:pPr>
      <w:numPr>
        <w:numId w:val="0"/>
      </w:numPr>
      <w:tabs>
        <w:tab w:val="num" w:pos="851"/>
      </w:tabs>
      <w:ind w:left="851" w:hanging="851"/>
    </w:pPr>
  </w:style>
  <w:style w:type="character" w:customStyle="1" w:styleId="NormaltextCharCharCharCharCharChar">
    <w:name w:val="Normal text Char Char Char Char Char Char"/>
    <w:basedOn w:val="BodyTextChar"/>
    <w:link w:val="NormaltextCharCharCharCharChar"/>
    <w:rsid w:val="00B5086C"/>
    <w:rPr>
      <w:sz w:val="24"/>
      <w:szCs w:val="24"/>
    </w:rPr>
  </w:style>
  <w:style w:type="paragraph" w:customStyle="1" w:styleId="PSHeading3">
    <w:name w:val="PS Heading 3"/>
    <w:basedOn w:val="Normal"/>
    <w:rsid w:val="00C13D82"/>
    <w:pPr>
      <w:keepNext/>
      <w:widowControl w:val="0"/>
      <w:spacing w:after="240"/>
      <w:outlineLvl w:val="0"/>
    </w:pPr>
    <w:rPr>
      <w:rFonts w:ascii="Arial" w:hAnsi="Arial"/>
      <w:b/>
      <w:lang w:val="en-US"/>
    </w:rPr>
  </w:style>
  <w:style w:type="paragraph" w:customStyle="1" w:styleId="Default">
    <w:name w:val="Default"/>
    <w:rsid w:val="00204399"/>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0F2AFE"/>
    <w:rPr>
      <w:sz w:val="24"/>
    </w:rPr>
  </w:style>
  <w:style w:type="character" w:customStyle="1" w:styleId="HeaderChar">
    <w:name w:val="Header Char"/>
    <w:link w:val="Header"/>
    <w:rsid w:val="00BB270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03585">
      <w:bodyDiv w:val="1"/>
      <w:marLeft w:val="0"/>
      <w:marRight w:val="0"/>
      <w:marTop w:val="0"/>
      <w:marBottom w:val="0"/>
      <w:divBdr>
        <w:top w:val="none" w:sz="0" w:space="0" w:color="auto"/>
        <w:left w:val="none" w:sz="0" w:space="0" w:color="auto"/>
        <w:bottom w:val="none" w:sz="0" w:space="0" w:color="auto"/>
        <w:right w:val="none" w:sz="0" w:space="0" w:color="auto"/>
      </w:divBdr>
    </w:div>
    <w:div w:id="251864140">
      <w:bodyDiv w:val="1"/>
      <w:marLeft w:val="0"/>
      <w:marRight w:val="0"/>
      <w:marTop w:val="0"/>
      <w:marBottom w:val="0"/>
      <w:divBdr>
        <w:top w:val="none" w:sz="0" w:space="0" w:color="auto"/>
        <w:left w:val="none" w:sz="0" w:space="0" w:color="auto"/>
        <w:bottom w:val="none" w:sz="0" w:space="0" w:color="auto"/>
        <w:right w:val="none" w:sz="0" w:space="0" w:color="auto"/>
      </w:divBdr>
    </w:div>
    <w:div w:id="140491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Prudential standard development</TermName>
          <TermId xmlns="http://schemas.microsoft.com/office/infopath/2007/PartnerControls">fbeb3364-1425-47e2-8200-3b7f3a245dfe</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Prudential standard</TermName>
          <TermId xmlns="http://schemas.microsoft.com/office/infopath/2007/PartnerControls">6ce5a155-9ab2-41e3-9b2a-5baab4b7f1d1</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UNCLASSIFIED</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 xsi:nil="tru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0e1556d2-3fe8-443a-ada7-3620563b46b3</TermId>
        </TermInfo>
      </Terms>
    </j163382b748246d3b6e7caae71dbeeb0>
    <TaxCatchAll xmlns="814d62cb-2db6-4c25-ab62-b9075facbc11">
      <Value>137</Value>
      <Value>83</Value>
      <Value>134</Value>
      <Value>228</Value>
      <Value>26</Value>
      <Value>93</Value>
      <Value>24</Value>
      <Value>142</Value>
      <Value>158</Value>
      <Value>4</Value>
      <Value>1</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 xsi:nil="true"/>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PAD300</TermName>
          <TermId xmlns="http://schemas.microsoft.com/office/infopath/2007/PartnerControls">98bbdbe4-d019-48eb-87c4-aa31a7f2f98f</TermId>
        </TermInfo>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Resolution ＆ Corporate</TermName>
          <TermId xmlns="http://schemas.microsoft.com/office/infopath/2007/PartnerControls">696624b1-19f4-47b2-a07b-57868a922a96</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s>
    </p10c80fc2da942ae8f2ea9b33b6ea0ba>
    <i08e72d8ce2b4ffa9361f9f4e0a63abc xmlns="814d62cb-2db6-4c25-ab62-b9075facbc11">
      <Terms xmlns="http://schemas.microsoft.com/office/infopath/2007/PartnerControls">
        <TermInfo xmlns="http://schemas.microsoft.com/office/infopath/2007/PartnerControls">
          <TermName xmlns="http://schemas.microsoft.com/office/infopath/2007/PartnerControls">2019</TermName>
          <TermId xmlns="http://schemas.microsoft.com/office/infopath/2007/PartnerControls">7f488d12-1aa7-4fe3-8821-bfe8262e80d0</TermId>
        </TermInfo>
      </Term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_dlc_DocId xmlns="814d62cb-2db6-4c25-ab62-b9075facbc11">5JENXJJSCC7A-445999044-10846</_dlc_DocId>
    <_dlc_DocIdUrl xmlns="814d62cb-2db6-4c25-ab62-b9075facbc11">
      <Url>https://im/teams/LEGAL/_layouts/15/DocIdRedir.aspx?ID=5JENXJJSCC7A-445999044-10846</Url>
      <Description>5JENXJJSCC7A-445999044-10846</Description>
    </_dlc_DocIdUrl>
  </documentManagement>
</p:properties>
</file>

<file path=customXml/item3.xml><?xml version="1.0" encoding="utf-8"?>
<?mso-contentType ?>
<SharedContentType xmlns="Microsoft.SharePoint.Taxonomy.ContentTypeSync" SourceId="8aef97a4-ded2-4e4a-9fbc-e666dae3ecd2" ContentTypeId="0x0101008CA7A4F8331B45C7B0D3158B4994D0CA02"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49" ma:contentTypeDescription="Create a new document." ma:contentTypeScope="" ma:versionID="294f2abc41bb7dd035804e5b1d716973">
  <xsd:schema xmlns:xsd="http://www.w3.org/2001/XMLSchema" xmlns:xs="http://www.w3.org/2001/XMLSchema" xmlns:p="http://schemas.microsoft.com/office/2006/metadata/properties" xmlns:ns1="814d62cb-2db6-4c25-ab62-b9075facbc11" targetNamespace="http://schemas.microsoft.com/office/2006/metadata/properties" ma:root="true" ma:fieldsID="f09e4a90de645c7ef264041fb58de94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DLM: For Official Use Only" ma:hidden="true" ma:internalName="APRASecurityClassification" ma:readOnly="false">
      <xsd:simpleType>
        <xsd:restriction base="dms:Choice">
          <xsd:enumeration value="UNCLASSIFIED"/>
          <xsd:enumeration value="DLM: For Official Use Only"/>
          <xsd:enumeration value="DLM: Sensitive"/>
          <xsd:enumeration value="DLM: Sensitive: Legal"/>
          <xsd:enumeration value="DLM: Sensitive: Personal"/>
          <xsd:enumeration value="PROTECTED"/>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FC6F1-63B6-4B91-B139-D43A794269E8}">
  <ds:schemaRefs>
    <ds:schemaRef ds:uri="http://schemas.microsoft.com/sharepoint/v3/contenttype/forms"/>
  </ds:schemaRefs>
</ds:datastoreItem>
</file>

<file path=customXml/itemProps2.xml><?xml version="1.0" encoding="utf-8"?>
<ds:datastoreItem xmlns:ds="http://schemas.openxmlformats.org/officeDocument/2006/customXml" ds:itemID="{3D4215E5-D857-42CB-9161-BEEBC930AC9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14d62cb-2db6-4c25-ab62-b9075facbc11"/>
    <ds:schemaRef ds:uri="http://www.w3.org/XML/1998/namespace"/>
    <ds:schemaRef ds:uri="http://purl.org/dc/dcmitype/"/>
  </ds:schemaRefs>
</ds:datastoreItem>
</file>

<file path=customXml/itemProps3.xml><?xml version="1.0" encoding="utf-8"?>
<ds:datastoreItem xmlns:ds="http://schemas.openxmlformats.org/officeDocument/2006/customXml" ds:itemID="{38CFA90A-AB95-42DA-8481-5599015C67F9}">
  <ds:schemaRefs>
    <ds:schemaRef ds:uri="Microsoft.SharePoint.Taxonomy.ContentTypeSync"/>
  </ds:schemaRefs>
</ds:datastoreItem>
</file>

<file path=customXml/itemProps4.xml><?xml version="1.0" encoding="utf-8"?>
<ds:datastoreItem xmlns:ds="http://schemas.openxmlformats.org/officeDocument/2006/customXml" ds:itemID="{AC1AD64F-9EA3-44E8-82D9-321BF9D4F91E}">
  <ds:schemaRefs>
    <ds:schemaRef ds:uri="http://schemas.microsoft.com/sharepoint/events"/>
  </ds:schemaRefs>
</ds:datastoreItem>
</file>

<file path=customXml/itemProps5.xml><?xml version="1.0" encoding="utf-8"?>
<ds:datastoreItem xmlns:ds="http://schemas.openxmlformats.org/officeDocument/2006/customXml" ds:itemID="{555C92DC-3B5E-4568-A909-34412330D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2B40299-C879-4586-9350-54FF4EC96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4901</Words>
  <Characters>26519</Characters>
  <Application>Microsoft Office Word</Application>
  <DocSecurity>0</DocSecurity>
  <Lines>564</Lines>
  <Paragraphs>280</Paragraphs>
  <ScaleCrop>false</ScaleCrop>
  <HeadingPairs>
    <vt:vector size="2" baseType="variant">
      <vt:variant>
        <vt:lpstr>Title</vt:lpstr>
      </vt:variant>
      <vt:variant>
        <vt:i4>1</vt:i4>
      </vt:variant>
    </vt:vector>
  </HeadingPairs>
  <TitlesOfParts>
    <vt:vector size="1" baseType="lpstr">
      <vt:lpstr>GPS 110</vt:lpstr>
    </vt:vector>
  </TitlesOfParts>
  <LinksUpToDate>false</LinksUpToDate>
  <CharactersWithSpaces>31140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GPS 110</dc:title>
  <dc:creator/>
  <cp:keywords>[SEC=UNCLASSIFIED]</cp:keywords>
  <cp:lastModifiedBy/>
  <cp:revision>1</cp:revision>
  <dcterms:created xsi:type="dcterms:W3CDTF">2019-06-21T05:28:00Z</dcterms:created>
  <dcterms:modified xsi:type="dcterms:W3CDTF">2019-06-21T05:28:00Z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UNCLASSIFIED</vt:lpwstr>
  </property>
  <property fmtid="{D5CDD505-2E9C-101B-9397-08002B2CF9AE}" pid="3" name="PM_Caveats_Count">
    <vt:lpwstr>0</vt:lpwstr>
  </property>
  <property fmtid="{D5CDD505-2E9C-101B-9397-08002B2CF9AE}" pid="4" name="PM_Originator_Hash_SHA1">
    <vt:lpwstr>A1D55FE21516A40B041E98377D2D0DCD58D5850A</vt:lpwstr>
  </property>
  <property fmtid="{D5CDD505-2E9C-101B-9397-08002B2CF9AE}" pid="5" name="PM_SecurityClassification">
    <vt:lpwstr>UNCLASSIFIED</vt:lpwstr>
  </property>
  <property fmtid="{D5CDD505-2E9C-101B-9397-08002B2CF9AE}" pid="6" name="PM_DisplayValueSecClassificationWithQualifier">
    <vt:lpwstr>UNCLASSIFIED</vt:lpwstr>
  </property>
  <property fmtid="{D5CDD505-2E9C-101B-9397-08002B2CF9AE}" pid="7" name="PM_Qualifier">
    <vt:lpwstr/>
  </property>
  <property fmtid="{D5CDD505-2E9C-101B-9397-08002B2CF9AE}" pid="8" name="PM_Hash_SHA1">
    <vt:lpwstr>5B7ADDFFFBC0F65DDFBFCE04CD89531348359090</vt:lpwstr>
  </property>
  <property fmtid="{D5CDD505-2E9C-101B-9397-08002B2CF9AE}" pid="9" name="PM_ProtectiveMarkingImage_Header">
    <vt:lpwstr>C:\Program Files (x86)\Common Files\janusNET Shared\janusSEAL\Images\DocumentSlashBlue.png</vt:lpwstr>
  </property>
  <property fmtid="{D5CDD505-2E9C-101B-9397-08002B2CF9AE}" pid="10" name="PM_InsertionValue">
    <vt:lpwstr>UNCLASSIFIED</vt:lpwstr>
  </property>
  <property fmtid="{D5CDD505-2E9C-101B-9397-08002B2CF9AE}" pid="11" name="PM_ProtectiveMarkingValue_Header">
    <vt:lpwstr>UNCLASSIFIED</vt:lpwstr>
  </property>
  <property fmtid="{D5CDD505-2E9C-101B-9397-08002B2CF9AE}" pid="12" name="PM_ProtectiveMarkingImage_Footer">
    <vt:lpwstr>C:\Program Files (x86)\Common Files\janusNET Shared\janusSEAL\Images\DocumentSlashBlue.png</vt:lpwstr>
  </property>
  <property fmtid="{D5CDD505-2E9C-101B-9397-08002B2CF9AE}" pid="13" name="PM_Namespace">
    <vt:lpwstr>gov.au</vt:lpwstr>
  </property>
  <property fmtid="{D5CDD505-2E9C-101B-9397-08002B2CF9AE}" pid="14" name="PM_Version">
    <vt:lpwstr>2012.3</vt:lpwstr>
  </property>
  <property fmtid="{D5CDD505-2E9C-101B-9397-08002B2CF9AE}" pid="15" name="PM_Originating_FileId">
    <vt:lpwstr>658A84D220EE4C8F99680BCE940AE6BD</vt:lpwstr>
  </property>
  <property fmtid="{D5CDD505-2E9C-101B-9397-08002B2CF9AE}" pid="16" name="PM_OriginationTimeStamp">
    <vt:lpwstr>2018-11-06T05:55:23Z</vt:lpwstr>
  </property>
  <property fmtid="{D5CDD505-2E9C-101B-9397-08002B2CF9AE}" pid="17" name="PM_Hash_Version">
    <vt:lpwstr>2016.1</vt:lpwstr>
  </property>
  <property fmtid="{D5CDD505-2E9C-101B-9397-08002B2CF9AE}" pid="18" name="PM_Hash_Salt_Prev">
    <vt:lpwstr>C5BFD07BFD8B9FEF250440F812ADB3AA</vt:lpwstr>
  </property>
  <property fmtid="{D5CDD505-2E9C-101B-9397-08002B2CF9AE}" pid="19" name="PM_Hash_Salt">
    <vt:lpwstr>C5BFD07BFD8B9FEF250440F812ADB3AA</vt:lpwstr>
  </property>
  <property fmtid="{D5CDD505-2E9C-101B-9397-08002B2CF9AE}" pid="20" name="ContentTypeId">
    <vt:lpwstr>0x0101008CA7A4F8331B45C7B0D3158B4994D0CA0200577EC0F5A1FBFC498F9A8436B963F8A6</vt:lpwstr>
  </property>
  <property fmtid="{D5CDD505-2E9C-101B-9397-08002B2CF9AE}" pid="21" name="APRAPeriod">
    <vt:lpwstr/>
  </property>
  <property fmtid="{D5CDD505-2E9C-101B-9397-08002B2CF9AE}" pid="22" name="APRAYear">
    <vt:lpwstr>228;#2019|7f488d12-1aa7-4fe3-8821-bfe8262e80d0</vt:lpwstr>
  </property>
  <property fmtid="{D5CDD505-2E9C-101B-9397-08002B2CF9AE}" pid="23" name="APRAIndustry">
    <vt:lpwstr/>
  </property>
  <property fmtid="{D5CDD505-2E9C-101B-9397-08002B2CF9AE}" pid="24" name="APRACategory">
    <vt:lpwstr/>
  </property>
  <property fmtid="{D5CDD505-2E9C-101B-9397-08002B2CF9AE}" pid="25" name="APRAPRSG">
    <vt:lpwstr/>
  </property>
  <property fmtid="{D5CDD505-2E9C-101B-9397-08002B2CF9AE}" pid="26" name="_dlc_DocIdItemGuid">
    <vt:lpwstr>6fe5128f-9269-4990-b91d-6d61c8e1097f</vt:lpwstr>
  </property>
  <property fmtid="{D5CDD505-2E9C-101B-9397-08002B2CF9AE}" pid="27" name="IsLocked">
    <vt:lpwstr>Yes</vt:lpwstr>
  </property>
  <property fmtid="{D5CDD505-2E9C-101B-9397-08002B2CF9AE}" pid="28" name="APRACostCentre">
    <vt:lpwstr>158;#PAD300|98bbdbe4-d019-48eb-87c4-aa31a7f2f98f;#24;#Legal - ADI|652d8d2a-ab45-47b4-ac6e-fe6ac9299b39;#26;#Legal - Insurance: General|8229dc1a-d7f2-47b2-844a-b026fed0c13d;#93;#Legal - Insurance: Health|21611e62-d688-4f0d-8807-02701cc43699;#83;#Legal - Insurance: Life|56f18b50-6605-4f3f-97e3-cad1cb5394e0;#4;#Legal - Resolution ＆ Corporate|696624b1-19f4-47b2-a07b-57868a922a96;#134;#Legal - Superannuation|cce3181d-fd23-4eee-94d3-c66abc2350cf</vt:lpwstr>
  </property>
  <property fmtid="{D5CDD505-2E9C-101B-9397-08002B2CF9AE}" pid="29" name="IT system type">
    <vt:lpwstr/>
  </property>
  <property fmtid="{D5CDD505-2E9C-101B-9397-08002B2CF9AE}" pid="30" name="APRADocumentType">
    <vt:lpwstr>142;#Prudential standard|6ce5a155-9ab2-41e3-9b2a-5baab4b7f1d1</vt:lpwstr>
  </property>
  <property fmtid="{D5CDD505-2E9C-101B-9397-08002B2CF9AE}" pid="31" name="APRAStatus">
    <vt:lpwstr>1;#Draft|0e1556d2-3fe8-443a-ada7-3620563b46b3</vt:lpwstr>
  </property>
  <property fmtid="{D5CDD505-2E9C-101B-9397-08002B2CF9AE}" pid="32" name="APRAActivity">
    <vt:lpwstr>137;#Prudential standard development|fbeb3364-1425-47e2-8200-3b7f3a245dfe</vt:lpwstr>
  </property>
  <property fmtid="{D5CDD505-2E9C-101B-9397-08002B2CF9AE}" pid="33" name="APRAEntityAdviceSupport">
    <vt:lpwstr/>
  </property>
  <property fmtid="{D5CDD505-2E9C-101B-9397-08002B2CF9AE}" pid="34" name="APRALegislation">
    <vt:lpwstr/>
  </property>
  <property fmtid="{D5CDD505-2E9C-101B-9397-08002B2CF9AE}" pid="35" name="APRAExternalOrganisation">
    <vt:lpwstr/>
  </property>
  <property fmtid="{D5CDD505-2E9C-101B-9397-08002B2CF9AE}" pid="36" name="APRAIRTR">
    <vt:lpwstr/>
  </property>
  <property fmtid="{D5CDD505-2E9C-101B-9397-08002B2CF9AE}" pid="37" name="RecordPoint_WorkflowType">
    <vt:lpwstr>ActiveSubmitStub</vt:lpwstr>
  </property>
  <property fmtid="{D5CDD505-2E9C-101B-9397-08002B2CF9AE}" pid="38" name="RecordPoint_ActiveItemWebId">
    <vt:lpwstr>{75a71c27-8d66-4282-ae60-1bfc22a83be1}</vt:lpwstr>
  </property>
  <property fmtid="{D5CDD505-2E9C-101B-9397-08002B2CF9AE}" pid="39" name="RecordPoint_ActiveItemSiteId">
    <vt:lpwstr>{88691c01-5bbb-4215-adc0-66cb7065b0af}</vt:lpwstr>
  </property>
  <property fmtid="{D5CDD505-2E9C-101B-9397-08002B2CF9AE}" pid="40" name="RecordPoint_ActiveItemListId">
    <vt:lpwstr>{0e59e171-09d8-4401-800a-327154450cb3}</vt:lpwstr>
  </property>
  <property fmtid="{D5CDD505-2E9C-101B-9397-08002B2CF9AE}" pid="41" name="RecordPoint_ActiveItemUniqueId">
    <vt:lpwstr>{6fe5128f-9269-4990-b91d-6d61c8e1097f}</vt:lpwstr>
  </property>
  <property fmtid="{D5CDD505-2E9C-101B-9397-08002B2CF9AE}" pid="42" name="RecordPoint_RecordNumberSubmitted">
    <vt:lpwstr/>
  </property>
  <property fmtid="{D5CDD505-2E9C-101B-9397-08002B2CF9AE}" pid="43" name="RecordPoint_SubmissionCompleted">
    <vt:lpwstr/>
  </property>
  <property fmtid="{D5CDD505-2E9C-101B-9397-08002B2CF9AE}" pid="44" name="RecordPoint_SubmissionDate">
    <vt:lpwstr/>
  </property>
  <property fmtid="{D5CDD505-2E9C-101B-9397-08002B2CF9AE}" pid="45" name="RecordPoint_ActiveItemMoved">
    <vt:lpwstr/>
  </property>
  <property fmtid="{D5CDD505-2E9C-101B-9397-08002B2CF9AE}" pid="46" name="RecordPoint_RecordFormat">
    <vt:lpwstr/>
  </property>
</Properties>
</file>