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9194E" w14:textId="76C871A9" w:rsidR="002436BD" w:rsidRPr="009A270F" w:rsidRDefault="002436BD" w:rsidP="00D85E77">
      <w:pPr>
        <w:pStyle w:val="Heading"/>
        <w:spacing w:after="240"/>
        <w:jc w:val="center"/>
        <w:rPr>
          <w:rFonts w:ascii="Times New Roman" w:hAnsi="Times New Roman"/>
          <w:sz w:val="24"/>
          <w:szCs w:val="24"/>
        </w:rPr>
      </w:pPr>
      <w:bookmarkStart w:id="0" w:name="_GoBack"/>
      <w:bookmarkEnd w:id="0"/>
      <w:r w:rsidRPr="009A270F">
        <w:rPr>
          <w:rFonts w:ascii="Times New Roman" w:hAnsi="Times New Roman"/>
          <w:sz w:val="24"/>
          <w:szCs w:val="24"/>
        </w:rPr>
        <w:t>Banking (</w:t>
      </w:r>
      <w:r w:rsidR="00462901" w:rsidRPr="009A270F">
        <w:rPr>
          <w:rFonts w:ascii="Times New Roman" w:hAnsi="Times New Roman"/>
          <w:sz w:val="24"/>
          <w:szCs w:val="24"/>
        </w:rPr>
        <w:t>executive accountability regime</w:t>
      </w:r>
      <w:r w:rsidRPr="009A270F">
        <w:rPr>
          <w:rFonts w:ascii="Times New Roman" w:hAnsi="Times New Roman"/>
          <w:sz w:val="24"/>
          <w:szCs w:val="24"/>
        </w:rPr>
        <w:t xml:space="preserve">) determination No. </w:t>
      </w:r>
      <w:r w:rsidR="00BD44F0" w:rsidRPr="009A270F">
        <w:rPr>
          <w:rFonts w:ascii="Times New Roman" w:hAnsi="Times New Roman"/>
          <w:sz w:val="24"/>
          <w:szCs w:val="24"/>
        </w:rPr>
        <w:t>1</w:t>
      </w:r>
      <w:r w:rsidRPr="009A270F">
        <w:rPr>
          <w:rFonts w:ascii="Times New Roman" w:hAnsi="Times New Roman"/>
          <w:sz w:val="24"/>
          <w:szCs w:val="24"/>
        </w:rPr>
        <w:t xml:space="preserve"> of 20</w:t>
      </w:r>
      <w:r w:rsidR="00BD44F0" w:rsidRPr="009A270F">
        <w:rPr>
          <w:rFonts w:ascii="Times New Roman" w:hAnsi="Times New Roman"/>
          <w:sz w:val="24"/>
          <w:szCs w:val="24"/>
        </w:rPr>
        <w:t>19</w:t>
      </w:r>
    </w:p>
    <w:p w14:paraId="753CBC9E" w14:textId="77777777" w:rsidR="002436BD" w:rsidRPr="002C6D26" w:rsidRDefault="002436BD" w:rsidP="00D85E77">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361D0032" w14:textId="77777777" w:rsidR="002436BD" w:rsidRPr="002C6D26" w:rsidRDefault="002436BD" w:rsidP="00D85E77">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119D4F51" w14:textId="767CC2B0" w:rsidR="002436BD" w:rsidRPr="002C6D26" w:rsidRDefault="002436BD" w:rsidP="00D85E77">
      <w:pPr>
        <w:pStyle w:val="Heading"/>
        <w:tabs>
          <w:tab w:val="left" w:pos="360"/>
        </w:tabs>
        <w:spacing w:after="240"/>
        <w:jc w:val="center"/>
        <w:rPr>
          <w:rFonts w:ascii="Times New Roman" w:hAnsi="Times New Roman"/>
          <w:b w:val="0"/>
          <w:sz w:val="24"/>
          <w:szCs w:val="24"/>
        </w:rPr>
      </w:pPr>
      <w:r w:rsidRPr="002C6D26">
        <w:rPr>
          <w:rFonts w:ascii="Times New Roman" w:hAnsi="Times New Roman"/>
          <w:b w:val="0"/>
          <w:i/>
          <w:sz w:val="24"/>
          <w:szCs w:val="24"/>
        </w:rPr>
        <w:t>Banking Act 1959</w:t>
      </w:r>
      <w:r w:rsidRPr="002C6D26">
        <w:rPr>
          <w:rFonts w:ascii="Times New Roman" w:hAnsi="Times New Roman"/>
          <w:b w:val="0"/>
          <w:sz w:val="24"/>
          <w:szCs w:val="24"/>
        </w:rPr>
        <w:t xml:space="preserve">, </w:t>
      </w:r>
      <w:r w:rsidR="008B3579">
        <w:rPr>
          <w:rFonts w:ascii="Times New Roman" w:hAnsi="Times New Roman"/>
          <w:b w:val="0"/>
          <w:color w:val="000000"/>
          <w:sz w:val="24"/>
          <w:szCs w:val="24"/>
        </w:rPr>
        <w:t>paragraph</w:t>
      </w:r>
      <w:r w:rsidR="008B3579" w:rsidRPr="00BD44F0">
        <w:rPr>
          <w:rFonts w:ascii="Times New Roman" w:hAnsi="Times New Roman"/>
          <w:b w:val="0"/>
          <w:color w:val="000000"/>
          <w:sz w:val="24"/>
          <w:szCs w:val="24"/>
        </w:rPr>
        <w:t xml:space="preserve"> </w:t>
      </w:r>
      <w:r w:rsidR="00BD44F0" w:rsidRPr="00BD44F0">
        <w:rPr>
          <w:rFonts w:ascii="Times New Roman" w:hAnsi="Times New Roman"/>
          <w:b w:val="0"/>
          <w:color w:val="000000"/>
          <w:sz w:val="24"/>
          <w:szCs w:val="24"/>
        </w:rPr>
        <w:t>37EA(4)(b)</w:t>
      </w:r>
    </w:p>
    <w:p w14:paraId="5AF87F09" w14:textId="554FD45A" w:rsidR="002436BD" w:rsidRPr="002C6D26" w:rsidRDefault="002436BD" w:rsidP="00BD44F0">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U</w:t>
      </w:r>
      <w:r w:rsidRPr="00BD44F0">
        <w:rPr>
          <w:rFonts w:ascii="Times New Roman" w:hAnsi="Times New Roman"/>
          <w:sz w:val="24"/>
          <w:szCs w:val="24"/>
        </w:rPr>
        <w:t xml:space="preserve">nder </w:t>
      </w:r>
      <w:r w:rsidR="008B3579">
        <w:rPr>
          <w:rFonts w:ascii="Times New Roman" w:hAnsi="Times New Roman"/>
          <w:color w:val="000000"/>
          <w:sz w:val="24"/>
          <w:szCs w:val="24"/>
        </w:rPr>
        <w:t>paragraph</w:t>
      </w:r>
      <w:r w:rsidR="008B3579" w:rsidRPr="00BD44F0">
        <w:rPr>
          <w:rFonts w:ascii="Times New Roman" w:hAnsi="Times New Roman"/>
          <w:color w:val="000000"/>
          <w:sz w:val="24"/>
          <w:szCs w:val="24"/>
        </w:rPr>
        <w:t xml:space="preserve"> </w:t>
      </w:r>
      <w:r w:rsidR="00BD44F0" w:rsidRPr="00BD44F0">
        <w:rPr>
          <w:rFonts w:ascii="Times New Roman" w:hAnsi="Times New Roman"/>
          <w:color w:val="000000"/>
          <w:sz w:val="24"/>
          <w:szCs w:val="24"/>
        </w:rPr>
        <w:t>37EA(4)(b)</w:t>
      </w:r>
      <w:r w:rsidRPr="002C6D26">
        <w:rPr>
          <w:rFonts w:ascii="Times New Roman" w:hAnsi="Times New Roman"/>
          <w:sz w:val="24"/>
          <w:szCs w:val="24"/>
        </w:rPr>
        <w:t xml:space="preserve"> of the </w:t>
      </w:r>
      <w:r w:rsidRPr="002C6D26">
        <w:rPr>
          <w:rFonts w:ascii="Times New Roman" w:hAnsi="Times New Roman"/>
          <w:i/>
          <w:sz w:val="24"/>
          <w:szCs w:val="24"/>
        </w:rPr>
        <w:t>Banking Act 1959</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has the power to determine </w:t>
      </w:r>
      <w:r w:rsidR="008B3579">
        <w:rPr>
          <w:rFonts w:ascii="Times New Roman" w:hAnsi="Times New Roman"/>
          <w:sz w:val="24"/>
          <w:szCs w:val="24"/>
        </w:rPr>
        <w:t xml:space="preserve">that </w:t>
      </w:r>
      <w:r w:rsidR="00BD44F0" w:rsidRPr="00BD44F0">
        <w:rPr>
          <w:rFonts w:ascii="Times New Roman" w:hAnsi="Times New Roman"/>
          <w:sz w:val="24"/>
          <w:szCs w:val="24"/>
        </w:rPr>
        <w:t>remuneration of a particular kind</w:t>
      </w:r>
      <w:r w:rsidR="00821E5B">
        <w:rPr>
          <w:rFonts w:ascii="Times New Roman" w:hAnsi="Times New Roman"/>
          <w:sz w:val="24"/>
          <w:szCs w:val="24"/>
        </w:rPr>
        <w:t xml:space="preserve"> </w:t>
      </w:r>
      <w:r w:rsidR="00BD44F0" w:rsidRPr="00BD44F0">
        <w:rPr>
          <w:rFonts w:ascii="Times New Roman" w:hAnsi="Times New Roman"/>
          <w:sz w:val="24"/>
          <w:szCs w:val="24"/>
        </w:rPr>
        <w:t xml:space="preserve">is </w:t>
      </w:r>
      <w:r w:rsidR="00BD44F0">
        <w:rPr>
          <w:rFonts w:ascii="Times New Roman" w:hAnsi="Times New Roman"/>
          <w:sz w:val="24"/>
          <w:szCs w:val="24"/>
        </w:rPr>
        <w:t xml:space="preserve">not </w:t>
      </w:r>
      <w:r w:rsidR="00BD44F0" w:rsidRPr="00BD44F0">
        <w:rPr>
          <w:rFonts w:ascii="Times New Roman" w:hAnsi="Times New Roman"/>
          <w:sz w:val="24"/>
          <w:szCs w:val="24"/>
        </w:rPr>
        <w:t>variable remuneration</w:t>
      </w:r>
      <w:r w:rsidRPr="007428D4">
        <w:rPr>
          <w:rFonts w:ascii="Times New Roman" w:hAnsi="Times New Roman"/>
          <w:sz w:val="24"/>
          <w:szCs w:val="24"/>
        </w:rPr>
        <w:t>.</w:t>
      </w:r>
    </w:p>
    <w:p w14:paraId="313F641A" w14:textId="330DA356" w:rsidR="002436BD" w:rsidRDefault="002436BD" w:rsidP="00D85E77">
      <w:pPr>
        <w:widowControl w:val="0"/>
        <w:spacing w:after="240"/>
        <w:jc w:val="both"/>
        <w:rPr>
          <w:rFonts w:ascii="Times New Roman" w:hAnsi="Times New Roman"/>
          <w:sz w:val="24"/>
          <w:szCs w:val="24"/>
        </w:rPr>
      </w:pPr>
      <w:r>
        <w:rPr>
          <w:rFonts w:ascii="Times New Roman" w:hAnsi="Times New Roman"/>
          <w:sz w:val="24"/>
          <w:szCs w:val="24"/>
        </w:rPr>
        <w:t xml:space="preserve">On </w:t>
      </w:r>
      <w:r w:rsidR="008F0AB5" w:rsidRPr="001874AE">
        <w:rPr>
          <w:rFonts w:ascii="Times New Roman" w:hAnsi="Times New Roman"/>
          <w:sz w:val="24"/>
          <w:szCs w:val="24"/>
        </w:rPr>
        <w:t>1</w:t>
      </w:r>
      <w:r w:rsidR="00462901" w:rsidRPr="001874AE">
        <w:rPr>
          <w:rFonts w:ascii="Times New Roman" w:hAnsi="Times New Roman"/>
          <w:sz w:val="24"/>
          <w:szCs w:val="24"/>
        </w:rPr>
        <w:t>2</w:t>
      </w:r>
      <w:r w:rsidR="008D5AA7" w:rsidRPr="008F0AB5">
        <w:rPr>
          <w:rFonts w:ascii="Times New Roman" w:hAnsi="Times New Roman"/>
          <w:sz w:val="24"/>
          <w:szCs w:val="24"/>
        </w:rPr>
        <w:t xml:space="preserve"> June 2019</w:t>
      </w:r>
      <w:r w:rsidRPr="008F0AB5">
        <w:rPr>
          <w:rFonts w:ascii="Times New Roman" w:hAnsi="Times New Roman"/>
          <w:sz w:val="24"/>
          <w:szCs w:val="24"/>
        </w:rPr>
        <w:t>,</w:t>
      </w:r>
      <w:r>
        <w:rPr>
          <w:rFonts w:ascii="Times New Roman" w:hAnsi="Times New Roman"/>
          <w:sz w:val="24"/>
          <w:szCs w:val="24"/>
        </w:rPr>
        <w:t xml:space="preserve"> APRA made </w:t>
      </w:r>
      <w:r w:rsidRPr="002C6D26">
        <w:rPr>
          <w:rFonts w:ascii="Times New Roman" w:hAnsi="Times New Roman"/>
          <w:sz w:val="24"/>
          <w:szCs w:val="24"/>
        </w:rPr>
        <w:t>Banking (</w:t>
      </w:r>
      <w:r w:rsidR="00462901" w:rsidRPr="00462901">
        <w:rPr>
          <w:rFonts w:ascii="Times New Roman" w:hAnsi="Times New Roman"/>
          <w:sz w:val="24"/>
          <w:szCs w:val="24"/>
        </w:rPr>
        <w:t>executive accountability regime</w:t>
      </w:r>
      <w:r w:rsidRPr="002C6D26">
        <w:rPr>
          <w:rFonts w:ascii="Times New Roman" w:hAnsi="Times New Roman"/>
          <w:sz w:val="24"/>
          <w:szCs w:val="24"/>
        </w:rPr>
        <w:t xml:space="preserve">) determination No. </w:t>
      </w:r>
      <w:r w:rsidR="00D63014">
        <w:rPr>
          <w:rFonts w:ascii="Times New Roman" w:hAnsi="Times New Roman"/>
          <w:sz w:val="24"/>
          <w:szCs w:val="24"/>
        </w:rPr>
        <w:t>1</w:t>
      </w:r>
      <w:r w:rsidRPr="002C6D26">
        <w:rPr>
          <w:rFonts w:ascii="Times New Roman" w:hAnsi="Times New Roman"/>
          <w:sz w:val="24"/>
          <w:szCs w:val="24"/>
        </w:rPr>
        <w:t xml:space="preserve"> of 20</w:t>
      </w:r>
      <w:r w:rsidR="00D63014">
        <w:rPr>
          <w:rFonts w:ascii="Times New Roman" w:hAnsi="Times New Roman"/>
          <w:sz w:val="24"/>
          <w:szCs w:val="24"/>
        </w:rPr>
        <w:t>19</w:t>
      </w:r>
      <w:r w:rsidRPr="002C6D26">
        <w:rPr>
          <w:rFonts w:ascii="Times New Roman" w:hAnsi="Times New Roman"/>
          <w:sz w:val="24"/>
          <w:szCs w:val="24"/>
        </w:rPr>
        <w:t xml:space="preserve"> </w:t>
      </w:r>
      <w:r>
        <w:rPr>
          <w:rFonts w:ascii="Times New Roman" w:hAnsi="Times New Roman"/>
          <w:sz w:val="24"/>
          <w:szCs w:val="24"/>
        </w:rPr>
        <w:t>(the instrument)</w:t>
      </w:r>
      <w:r w:rsidR="00246723">
        <w:rPr>
          <w:rFonts w:ascii="Times New Roman" w:hAnsi="Times New Roman"/>
          <w:sz w:val="24"/>
          <w:szCs w:val="24"/>
        </w:rPr>
        <w:t>.</w:t>
      </w:r>
      <w:r w:rsidR="00D63014">
        <w:rPr>
          <w:rFonts w:ascii="Times New Roman" w:hAnsi="Times New Roman"/>
          <w:sz w:val="24"/>
          <w:szCs w:val="24"/>
        </w:rPr>
        <w:t xml:space="preserve"> </w:t>
      </w:r>
      <w:r w:rsidR="00246723">
        <w:rPr>
          <w:rFonts w:ascii="Times New Roman" w:hAnsi="Times New Roman"/>
          <w:sz w:val="24"/>
          <w:szCs w:val="24"/>
        </w:rPr>
        <w:t>The instrument commences on</w:t>
      </w:r>
      <w:r w:rsidRPr="002C6D26">
        <w:rPr>
          <w:rFonts w:ascii="Times New Roman" w:hAnsi="Times New Roman"/>
          <w:sz w:val="24"/>
          <w:szCs w:val="24"/>
        </w:rPr>
        <w:t xml:space="preserve"> </w:t>
      </w:r>
      <w:r w:rsidR="00D63014">
        <w:rPr>
          <w:rFonts w:ascii="Times New Roman" w:hAnsi="Times New Roman"/>
          <w:sz w:val="24"/>
          <w:szCs w:val="24"/>
        </w:rPr>
        <w:t>1 July 2019</w:t>
      </w:r>
      <w:r w:rsidRPr="002C6D26">
        <w:rPr>
          <w:rFonts w:ascii="Times New Roman" w:hAnsi="Times New Roman"/>
          <w:sz w:val="24"/>
          <w:szCs w:val="24"/>
        </w:rPr>
        <w:t>.</w:t>
      </w:r>
    </w:p>
    <w:p w14:paraId="64AE87C7" w14:textId="77777777" w:rsidR="002436BD" w:rsidRDefault="002436BD" w:rsidP="00D85E77">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169BCA04" w14:textId="3FD47402" w:rsidR="00310CF8" w:rsidRPr="00470375" w:rsidRDefault="00D55C4E" w:rsidP="00D85E77">
      <w:pPr>
        <w:pStyle w:val="Heading"/>
        <w:keepNext/>
        <w:spacing w:after="240"/>
        <w:outlineLvl w:val="0"/>
        <w:rPr>
          <w:rFonts w:ascii="Times New Roman" w:hAnsi="Times New Roman"/>
          <w:b w:val="0"/>
          <w:sz w:val="24"/>
          <w:szCs w:val="24"/>
        </w:rPr>
      </w:pPr>
      <w:r>
        <w:rPr>
          <w:rFonts w:ascii="Times New Roman" w:hAnsi="Times New Roman"/>
          <w:b w:val="0"/>
          <w:sz w:val="24"/>
          <w:szCs w:val="24"/>
        </w:rPr>
        <w:t>The Banking Executive Accountability Regime</w:t>
      </w:r>
      <w:r w:rsidR="001B4918">
        <w:rPr>
          <w:rFonts w:ascii="Times New Roman" w:hAnsi="Times New Roman"/>
          <w:b w:val="0"/>
          <w:sz w:val="24"/>
          <w:szCs w:val="24"/>
        </w:rPr>
        <w:t xml:space="preserve"> (BEAR)</w:t>
      </w:r>
      <w:r w:rsidR="008B3579">
        <w:rPr>
          <w:rFonts w:ascii="Times New Roman" w:hAnsi="Times New Roman"/>
          <w:b w:val="0"/>
          <w:sz w:val="24"/>
          <w:szCs w:val="24"/>
        </w:rPr>
        <w:t xml:space="preserve"> set out in Part IIAA of the Act</w:t>
      </w:r>
      <w:r w:rsidR="001B4918">
        <w:rPr>
          <w:rFonts w:ascii="Times New Roman" w:hAnsi="Times New Roman"/>
          <w:b w:val="0"/>
          <w:sz w:val="24"/>
          <w:szCs w:val="24"/>
        </w:rPr>
        <w:t xml:space="preserve"> imposes deferred remuneration obligations on</w:t>
      </w:r>
      <w:r>
        <w:rPr>
          <w:rFonts w:ascii="Times New Roman" w:hAnsi="Times New Roman"/>
          <w:b w:val="0"/>
          <w:sz w:val="24"/>
          <w:szCs w:val="24"/>
        </w:rPr>
        <w:t xml:space="preserve"> authorised deposit-taking institution</w:t>
      </w:r>
      <w:r w:rsidR="00B56742">
        <w:rPr>
          <w:rFonts w:ascii="Times New Roman" w:hAnsi="Times New Roman"/>
          <w:b w:val="0"/>
          <w:sz w:val="24"/>
          <w:szCs w:val="24"/>
        </w:rPr>
        <w:t>s</w:t>
      </w:r>
      <w:r>
        <w:rPr>
          <w:rFonts w:ascii="Times New Roman" w:hAnsi="Times New Roman"/>
          <w:b w:val="0"/>
          <w:sz w:val="24"/>
          <w:szCs w:val="24"/>
        </w:rPr>
        <w:t xml:space="preserve"> (ADI</w:t>
      </w:r>
      <w:r w:rsidR="001B4918">
        <w:rPr>
          <w:rFonts w:ascii="Times New Roman" w:hAnsi="Times New Roman"/>
          <w:b w:val="0"/>
          <w:sz w:val="24"/>
          <w:szCs w:val="24"/>
        </w:rPr>
        <w:t>s</w:t>
      </w:r>
      <w:r>
        <w:rPr>
          <w:rFonts w:ascii="Times New Roman" w:hAnsi="Times New Roman"/>
          <w:b w:val="0"/>
          <w:sz w:val="24"/>
          <w:szCs w:val="24"/>
        </w:rPr>
        <w:t>)</w:t>
      </w:r>
      <w:r w:rsidR="00C16202">
        <w:rPr>
          <w:rFonts w:ascii="Times New Roman" w:hAnsi="Times New Roman"/>
          <w:b w:val="0"/>
          <w:sz w:val="24"/>
          <w:szCs w:val="24"/>
        </w:rPr>
        <w:t>, which</w:t>
      </w:r>
      <w:r w:rsidR="00EF6835">
        <w:rPr>
          <w:rFonts w:ascii="Times New Roman" w:hAnsi="Times New Roman"/>
          <w:b w:val="0"/>
          <w:sz w:val="24"/>
          <w:szCs w:val="24"/>
        </w:rPr>
        <w:t>,</w:t>
      </w:r>
      <w:r w:rsidR="00A2331D">
        <w:rPr>
          <w:rFonts w:ascii="Times New Roman" w:hAnsi="Times New Roman"/>
          <w:b w:val="0"/>
          <w:sz w:val="24"/>
          <w:szCs w:val="24"/>
        </w:rPr>
        <w:t xml:space="preserve"> among other things,</w:t>
      </w:r>
      <w:r w:rsidR="00D24D43">
        <w:rPr>
          <w:rFonts w:ascii="Times New Roman" w:hAnsi="Times New Roman"/>
          <w:b w:val="0"/>
          <w:sz w:val="24"/>
          <w:szCs w:val="24"/>
        </w:rPr>
        <w:t xml:space="preserve"> </w:t>
      </w:r>
      <w:r w:rsidR="00C16202">
        <w:rPr>
          <w:rFonts w:ascii="Times New Roman" w:hAnsi="Times New Roman"/>
          <w:b w:val="0"/>
          <w:sz w:val="24"/>
          <w:szCs w:val="24"/>
        </w:rPr>
        <w:t xml:space="preserve">require ADIs to </w:t>
      </w:r>
      <w:r w:rsidR="00D24D43">
        <w:rPr>
          <w:rFonts w:ascii="Times New Roman" w:hAnsi="Times New Roman"/>
          <w:b w:val="0"/>
          <w:sz w:val="24"/>
          <w:szCs w:val="24"/>
        </w:rPr>
        <w:t xml:space="preserve">defer a specified minimum portion of the variable remuneration of its accountable persons for a </w:t>
      </w:r>
      <w:r w:rsidR="00EF6835">
        <w:rPr>
          <w:rFonts w:ascii="Times New Roman" w:hAnsi="Times New Roman"/>
          <w:b w:val="0"/>
          <w:sz w:val="24"/>
          <w:szCs w:val="24"/>
        </w:rPr>
        <w:t xml:space="preserve">prescribed </w:t>
      </w:r>
      <w:r w:rsidR="00D24D43">
        <w:rPr>
          <w:rFonts w:ascii="Times New Roman" w:hAnsi="Times New Roman"/>
          <w:b w:val="0"/>
          <w:sz w:val="24"/>
          <w:szCs w:val="24"/>
        </w:rPr>
        <w:t>minimum period of time</w:t>
      </w:r>
      <w:r>
        <w:rPr>
          <w:rFonts w:ascii="Times New Roman" w:hAnsi="Times New Roman"/>
          <w:b w:val="0"/>
          <w:sz w:val="24"/>
          <w:szCs w:val="24"/>
        </w:rPr>
        <w:t>.</w:t>
      </w:r>
    </w:p>
    <w:p w14:paraId="71A1C46E" w14:textId="77777777" w:rsidR="002436BD" w:rsidRPr="00915716" w:rsidRDefault="002436BD" w:rsidP="00D85E77">
      <w:pPr>
        <w:pStyle w:val="Heading"/>
        <w:keepNext/>
        <w:numPr>
          <w:ilvl w:val="0"/>
          <w:numId w:val="2"/>
        </w:numPr>
        <w:spacing w:after="240"/>
        <w:ind w:left="0" w:firstLine="0"/>
        <w:outlineLvl w:val="0"/>
        <w:rPr>
          <w:rFonts w:ascii="Times New Roman" w:hAnsi="Times New Roman"/>
          <w:sz w:val="24"/>
          <w:szCs w:val="24"/>
        </w:rPr>
      </w:pPr>
      <w:bookmarkStart w:id="4" w:name="bkBackground"/>
      <w:bookmarkEnd w:id="4"/>
      <w:r w:rsidRPr="00915716">
        <w:rPr>
          <w:rFonts w:ascii="Times New Roman" w:hAnsi="Times New Roman"/>
          <w:sz w:val="24"/>
          <w:szCs w:val="24"/>
        </w:rPr>
        <w:t xml:space="preserve">Purpose </w:t>
      </w:r>
      <w:r w:rsidR="00DF524E" w:rsidRPr="00915716">
        <w:rPr>
          <w:rFonts w:ascii="Times New Roman" w:hAnsi="Times New Roman"/>
          <w:sz w:val="24"/>
          <w:szCs w:val="24"/>
        </w:rPr>
        <w:t xml:space="preserve">and operation </w:t>
      </w:r>
      <w:r w:rsidRPr="00915716">
        <w:rPr>
          <w:rFonts w:ascii="Times New Roman" w:hAnsi="Times New Roman"/>
          <w:sz w:val="24"/>
          <w:szCs w:val="24"/>
        </w:rPr>
        <w:t>of the instrument</w:t>
      </w:r>
    </w:p>
    <w:p w14:paraId="58C485A8" w14:textId="7BFFB81B" w:rsidR="00EF6835" w:rsidRDefault="00EF6835" w:rsidP="00D85E77">
      <w:pPr>
        <w:pStyle w:val="Heading"/>
        <w:spacing w:after="240"/>
        <w:rPr>
          <w:rFonts w:ascii="Times New Roman" w:hAnsi="Times New Roman"/>
          <w:b w:val="0"/>
          <w:sz w:val="24"/>
          <w:szCs w:val="24"/>
        </w:rPr>
      </w:pPr>
      <w:bookmarkStart w:id="5" w:name="bkPurpose"/>
      <w:bookmarkEnd w:id="5"/>
      <w:r>
        <w:rPr>
          <w:rFonts w:ascii="Times New Roman" w:hAnsi="Times New Roman"/>
          <w:b w:val="0"/>
          <w:sz w:val="24"/>
          <w:szCs w:val="24"/>
        </w:rPr>
        <w:t xml:space="preserve">The </w:t>
      </w:r>
      <w:r w:rsidR="006B5937">
        <w:rPr>
          <w:rFonts w:ascii="Times New Roman" w:hAnsi="Times New Roman"/>
          <w:b w:val="0"/>
          <w:sz w:val="24"/>
          <w:szCs w:val="24"/>
        </w:rPr>
        <w:t xml:space="preserve">deferred remuneration obligations under the </w:t>
      </w:r>
      <w:r>
        <w:rPr>
          <w:rFonts w:ascii="Times New Roman" w:hAnsi="Times New Roman"/>
          <w:b w:val="0"/>
          <w:sz w:val="24"/>
          <w:szCs w:val="24"/>
        </w:rPr>
        <w:t xml:space="preserve">BEAR </w:t>
      </w:r>
      <w:r w:rsidR="006B5937">
        <w:rPr>
          <w:rFonts w:ascii="Times New Roman" w:hAnsi="Times New Roman"/>
          <w:b w:val="0"/>
          <w:sz w:val="24"/>
          <w:szCs w:val="24"/>
        </w:rPr>
        <w:t>are</w:t>
      </w:r>
      <w:r>
        <w:rPr>
          <w:rFonts w:ascii="Times New Roman" w:hAnsi="Times New Roman"/>
          <w:b w:val="0"/>
          <w:sz w:val="24"/>
          <w:szCs w:val="24"/>
        </w:rPr>
        <w:t xml:space="preserve"> intended to </w:t>
      </w:r>
      <w:r w:rsidR="006B5937">
        <w:rPr>
          <w:rFonts w:ascii="Times New Roman" w:hAnsi="Times New Roman"/>
          <w:b w:val="0"/>
          <w:sz w:val="24"/>
          <w:szCs w:val="24"/>
        </w:rPr>
        <w:t xml:space="preserve">apply to </w:t>
      </w:r>
      <w:r w:rsidR="00C16202">
        <w:rPr>
          <w:rFonts w:ascii="Times New Roman" w:hAnsi="Times New Roman"/>
          <w:b w:val="0"/>
          <w:sz w:val="24"/>
          <w:szCs w:val="24"/>
        </w:rPr>
        <w:t xml:space="preserve">an accountable person’s variable remuneration </w:t>
      </w:r>
      <w:r w:rsidR="007843DF">
        <w:rPr>
          <w:rFonts w:ascii="Times New Roman" w:hAnsi="Times New Roman"/>
          <w:b w:val="0"/>
          <w:sz w:val="24"/>
          <w:szCs w:val="24"/>
        </w:rPr>
        <w:t xml:space="preserve">but only </w:t>
      </w:r>
      <w:r w:rsidR="00C16202">
        <w:rPr>
          <w:rFonts w:ascii="Times New Roman" w:hAnsi="Times New Roman"/>
          <w:b w:val="0"/>
          <w:sz w:val="24"/>
          <w:szCs w:val="24"/>
        </w:rPr>
        <w:t xml:space="preserve">in relation to the </w:t>
      </w:r>
      <w:r w:rsidR="00F273DB">
        <w:rPr>
          <w:rFonts w:ascii="Times New Roman" w:hAnsi="Times New Roman"/>
          <w:b w:val="0"/>
          <w:sz w:val="24"/>
          <w:szCs w:val="24"/>
        </w:rPr>
        <w:t>individual</w:t>
      </w:r>
      <w:r w:rsidR="007843DF">
        <w:rPr>
          <w:rFonts w:ascii="Times New Roman" w:hAnsi="Times New Roman"/>
          <w:b w:val="0"/>
          <w:sz w:val="24"/>
          <w:szCs w:val="24"/>
        </w:rPr>
        <w:t xml:space="preserve">’s accountable person role. That is, where an individual has both an accountable person role and another role, the </w:t>
      </w:r>
      <w:r w:rsidR="00F273DB">
        <w:rPr>
          <w:rFonts w:ascii="Times New Roman" w:hAnsi="Times New Roman"/>
          <w:b w:val="0"/>
          <w:sz w:val="24"/>
          <w:szCs w:val="24"/>
        </w:rPr>
        <w:t>portion</w:t>
      </w:r>
      <w:r w:rsidR="007843DF">
        <w:rPr>
          <w:rFonts w:ascii="Times New Roman" w:hAnsi="Times New Roman"/>
          <w:b w:val="0"/>
          <w:sz w:val="24"/>
          <w:szCs w:val="24"/>
        </w:rPr>
        <w:t xml:space="preserve"> of the individual’s variable remuneration </w:t>
      </w:r>
      <w:r w:rsidR="00F32E00">
        <w:rPr>
          <w:rFonts w:ascii="Times New Roman" w:hAnsi="Times New Roman"/>
          <w:b w:val="0"/>
          <w:sz w:val="24"/>
          <w:szCs w:val="24"/>
        </w:rPr>
        <w:t>that does not relate to the individual’s accountable person role</w:t>
      </w:r>
      <w:r w:rsidR="007843DF">
        <w:rPr>
          <w:rFonts w:ascii="Times New Roman" w:hAnsi="Times New Roman"/>
          <w:b w:val="0"/>
          <w:sz w:val="24"/>
          <w:szCs w:val="24"/>
        </w:rPr>
        <w:t xml:space="preserve"> </w:t>
      </w:r>
      <w:r w:rsidR="00F273DB">
        <w:rPr>
          <w:rFonts w:ascii="Times New Roman" w:hAnsi="Times New Roman"/>
          <w:b w:val="0"/>
          <w:sz w:val="24"/>
          <w:szCs w:val="24"/>
        </w:rPr>
        <w:t xml:space="preserve">is </w:t>
      </w:r>
      <w:r w:rsidR="00EF5F65">
        <w:rPr>
          <w:rFonts w:ascii="Times New Roman" w:hAnsi="Times New Roman"/>
          <w:b w:val="0"/>
          <w:sz w:val="24"/>
          <w:szCs w:val="24"/>
        </w:rPr>
        <w:t xml:space="preserve">not </w:t>
      </w:r>
      <w:r w:rsidR="00F273DB">
        <w:rPr>
          <w:rFonts w:ascii="Times New Roman" w:hAnsi="Times New Roman"/>
          <w:b w:val="0"/>
          <w:sz w:val="24"/>
          <w:szCs w:val="24"/>
        </w:rPr>
        <w:t>subject to the deferred remuneration obligations.</w:t>
      </w:r>
    </w:p>
    <w:p w14:paraId="04E42345" w14:textId="680DB54C" w:rsidR="00E43E53" w:rsidRDefault="00EF5F65" w:rsidP="00D85E77">
      <w:pPr>
        <w:pStyle w:val="Heading"/>
        <w:spacing w:after="240"/>
        <w:rPr>
          <w:rFonts w:ascii="Times New Roman" w:hAnsi="Times New Roman"/>
          <w:b w:val="0"/>
          <w:sz w:val="24"/>
          <w:szCs w:val="24"/>
        </w:rPr>
      </w:pPr>
      <w:r>
        <w:rPr>
          <w:rFonts w:ascii="Times New Roman" w:hAnsi="Times New Roman"/>
          <w:b w:val="0"/>
          <w:sz w:val="24"/>
          <w:szCs w:val="24"/>
        </w:rPr>
        <w:t xml:space="preserve">There are </w:t>
      </w:r>
      <w:r w:rsidR="00F32E00">
        <w:rPr>
          <w:rFonts w:ascii="Times New Roman" w:hAnsi="Times New Roman"/>
          <w:b w:val="0"/>
          <w:sz w:val="24"/>
          <w:szCs w:val="24"/>
        </w:rPr>
        <w:t xml:space="preserve">already </w:t>
      </w:r>
      <w:r>
        <w:rPr>
          <w:rFonts w:ascii="Times New Roman" w:hAnsi="Times New Roman"/>
          <w:b w:val="0"/>
          <w:sz w:val="24"/>
          <w:szCs w:val="24"/>
        </w:rPr>
        <w:t>provisions within the BEAR t</w:t>
      </w:r>
      <w:r w:rsidR="00E43E53">
        <w:rPr>
          <w:rFonts w:ascii="Times New Roman" w:hAnsi="Times New Roman"/>
          <w:b w:val="0"/>
          <w:sz w:val="24"/>
          <w:szCs w:val="24"/>
        </w:rPr>
        <w:t xml:space="preserve">hat </w:t>
      </w:r>
      <w:r>
        <w:rPr>
          <w:rFonts w:ascii="Times New Roman" w:hAnsi="Times New Roman"/>
          <w:b w:val="0"/>
          <w:sz w:val="24"/>
          <w:szCs w:val="24"/>
        </w:rPr>
        <w:t>exclude</w:t>
      </w:r>
      <w:r w:rsidRPr="00EF5F65">
        <w:rPr>
          <w:rFonts w:ascii="Times New Roman" w:hAnsi="Times New Roman"/>
          <w:b w:val="0"/>
          <w:sz w:val="24"/>
          <w:szCs w:val="24"/>
        </w:rPr>
        <w:t xml:space="preserve"> </w:t>
      </w:r>
      <w:r>
        <w:rPr>
          <w:rFonts w:ascii="Times New Roman" w:hAnsi="Times New Roman"/>
          <w:b w:val="0"/>
          <w:sz w:val="24"/>
          <w:szCs w:val="24"/>
        </w:rPr>
        <w:t xml:space="preserve">the portion </w:t>
      </w:r>
      <w:r w:rsidR="00F32E00">
        <w:rPr>
          <w:rFonts w:ascii="Times New Roman" w:hAnsi="Times New Roman"/>
          <w:b w:val="0"/>
          <w:sz w:val="24"/>
          <w:szCs w:val="24"/>
        </w:rPr>
        <w:t>of an individual’s variable remuneration that does not relate to the individual’s accountable person role from</w:t>
      </w:r>
      <w:r>
        <w:rPr>
          <w:rFonts w:ascii="Times New Roman" w:hAnsi="Times New Roman"/>
          <w:b w:val="0"/>
          <w:sz w:val="24"/>
          <w:szCs w:val="24"/>
        </w:rPr>
        <w:t xml:space="preserve"> the deferred remuneration obligations</w:t>
      </w:r>
      <w:r w:rsidR="00E43E53">
        <w:rPr>
          <w:rFonts w:ascii="Times New Roman" w:hAnsi="Times New Roman"/>
          <w:b w:val="0"/>
          <w:sz w:val="24"/>
          <w:szCs w:val="24"/>
        </w:rPr>
        <w:t xml:space="preserve"> under certain circumstances</w:t>
      </w:r>
      <w:r w:rsidR="00F32E00">
        <w:rPr>
          <w:rFonts w:ascii="Times New Roman" w:hAnsi="Times New Roman"/>
          <w:b w:val="0"/>
          <w:sz w:val="24"/>
          <w:szCs w:val="24"/>
        </w:rPr>
        <w:t>. However, t</w:t>
      </w:r>
      <w:r w:rsidR="00214B2C" w:rsidRPr="00214B2C">
        <w:rPr>
          <w:rFonts w:ascii="Times New Roman" w:hAnsi="Times New Roman"/>
          <w:b w:val="0"/>
          <w:sz w:val="24"/>
          <w:szCs w:val="24"/>
        </w:rPr>
        <w:t xml:space="preserve">he </w:t>
      </w:r>
      <w:r w:rsidR="00214B2C">
        <w:rPr>
          <w:rFonts w:ascii="Times New Roman" w:hAnsi="Times New Roman"/>
          <w:b w:val="0"/>
          <w:sz w:val="24"/>
          <w:szCs w:val="24"/>
        </w:rPr>
        <w:t xml:space="preserve">varied and diverse remuneration practices of the </w:t>
      </w:r>
      <w:r w:rsidR="004C0070">
        <w:rPr>
          <w:rFonts w:ascii="Times New Roman" w:hAnsi="Times New Roman"/>
          <w:b w:val="0"/>
          <w:sz w:val="24"/>
          <w:szCs w:val="24"/>
        </w:rPr>
        <w:t>financial services</w:t>
      </w:r>
      <w:r w:rsidR="00214B2C">
        <w:rPr>
          <w:rFonts w:ascii="Times New Roman" w:hAnsi="Times New Roman"/>
          <w:b w:val="0"/>
          <w:sz w:val="24"/>
          <w:szCs w:val="24"/>
        </w:rPr>
        <w:t xml:space="preserve"> sector </w:t>
      </w:r>
      <w:r w:rsidR="00F32E00">
        <w:rPr>
          <w:rFonts w:ascii="Times New Roman" w:hAnsi="Times New Roman"/>
          <w:b w:val="0"/>
          <w:sz w:val="24"/>
          <w:szCs w:val="24"/>
        </w:rPr>
        <w:t xml:space="preserve">still </w:t>
      </w:r>
      <w:r w:rsidR="00214B2C">
        <w:rPr>
          <w:rFonts w:ascii="Times New Roman" w:hAnsi="Times New Roman"/>
          <w:b w:val="0"/>
          <w:sz w:val="24"/>
          <w:szCs w:val="24"/>
        </w:rPr>
        <w:t>mea</w:t>
      </w:r>
      <w:r w:rsidR="00A2331D">
        <w:rPr>
          <w:rFonts w:ascii="Times New Roman" w:hAnsi="Times New Roman"/>
          <w:b w:val="0"/>
          <w:sz w:val="24"/>
          <w:szCs w:val="24"/>
        </w:rPr>
        <w:t xml:space="preserve">ns that the deferred remuneration obligations may unintentionally apply to a broader scope of an accountable person’s variable </w:t>
      </w:r>
      <w:r w:rsidR="00796BCB">
        <w:rPr>
          <w:rFonts w:ascii="Times New Roman" w:hAnsi="Times New Roman"/>
          <w:b w:val="0"/>
          <w:sz w:val="24"/>
          <w:szCs w:val="24"/>
        </w:rPr>
        <w:t>remuneration depending on the corporat</w:t>
      </w:r>
      <w:r w:rsidR="00FC5476">
        <w:rPr>
          <w:rFonts w:ascii="Times New Roman" w:hAnsi="Times New Roman"/>
          <w:b w:val="0"/>
          <w:sz w:val="24"/>
          <w:szCs w:val="24"/>
        </w:rPr>
        <w:t>e</w:t>
      </w:r>
      <w:r w:rsidR="00796BCB">
        <w:rPr>
          <w:rFonts w:ascii="Times New Roman" w:hAnsi="Times New Roman"/>
          <w:b w:val="0"/>
          <w:sz w:val="24"/>
          <w:szCs w:val="24"/>
        </w:rPr>
        <w:t xml:space="preserve"> </w:t>
      </w:r>
      <w:r w:rsidR="005C1574">
        <w:rPr>
          <w:rFonts w:ascii="Times New Roman" w:hAnsi="Times New Roman"/>
          <w:b w:val="0"/>
          <w:sz w:val="24"/>
          <w:szCs w:val="24"/>
        </w:rPr>
        <w:t xml:space="preserve">group </w:t>
      </w:r>
      <w:r w:rsidR="00796BCB">
        <w:rPr>
          <w:rFonts w:ascii="Times New Roman" w:hAnsi="Times New Roman"/>
          <w:b w:val="0"/>
          <w:sz w:val="24"/>
          <w:szCs w:val="24"/>
        </w:rPr>
        <w:t xml:space="preserve">structure </w:t>
      </w:r>
      <w:r w:rsidR="00FC5476">
        <w:rPr>
          <w:rFonts w:ascii="Times New Roman" w:hAnsi="Times New Roman"/>
          <w:b w:val="0"/>
          <w:sz w:val="24"/>
          <w:szCs w:val="24"/>
        </w:rPr>
        <w:t>to</w:t>
      </w:r>
      <w:r w:rsidR="00796BCB">
        <w:rPr>
          <w:rFonts w:ascii="Times New Roman" w:hAnsi="Times New Roman"/>
          <w:b w:val="0"/>
          <w:sz w:val="24"/>
          <w:szCs w:val="24"/>
        </w:rPr>
        <w:t xml:space="preserve"> which the ADI belongs.</w:t>
      </w:r>
    </w:p>
    <w:p w14:paraId="39AA86F4" w14:textId="70F10BC8" w:rsidR="00EC6919" w:rsidRDefault="00EC6919" w:rsidP="00D85E77">
      <w:pPr>
        <w:pStyle w:val="Heading"/>
        <w:spacing w:after="240"/>
        <w:rPr>
          <w:rFonts w:ascii="Times New Roman" w:hAnsi="Times New Roman"/>
          <w:b w:val="0"/>
          <w:sz w:val="24"/>
          <w:szCs w:val="24"/>
        </w:rPr>
      </w:pPr>
      <w:r>
        <w:rPr>
          <w:rFonts w:ascii="Times New Roman" w:hAnsi="Times New Roman"/>
          <w:b w:val="0"/>
          <w:sz w:val="24"/>
          <w:szCs w:val="24"/>
        </w:rPr>
        <w:t xml:space="preserve">Further, in relation to foreign ADIs, </w:t>
      </w:r>
      <w:r w:rsidR="00E43E53">
        <w:rPr>
          <w:rFonts w:ascii="Times New Roman" w:hAnsi="Times New Roman"/>
          <w:b w:val="0"/>
          <w:sz w:val="24"/>
          <w:szCs w:val="24"/>
        </w:rPr>
        <w:t>the deferred remuneration obligations may</w:t>
      </w:r>
      <w:r w:rsidR="00CA083A">
        <w:rPr>
          <w:rFonts w:ascii="Times New Roman" w:hAnsi="Times New Roman"/>
          <w:b w:val="0"/>
          <w:sz w:val="24"/>
          <w:szCs w:val="24"/>
        </w:rPr>
        <w:t xml:space="preserve"> have </w:t>
      </w:r>
      <w:r w:rsidR="00E43E53">
        <w:rPr>
          <w:rFonts w:ascii="Times New Roman" w:hAnsi="Times New Roman"/>
          <w:b w:val="0"/>
          <w:sz w:val="24"/>
          <w:szCs w:val="24"/>
        </w:rPr>
        <w:t>a</w:t>
      </w:r>
      <w:r w:rsidR="00CE66B6">
        <w:rPr>
          <w:rFonts w:ascii="Times New Roman" w:hAnsi="Times New Roman"/>
          <w:b w:val="0"/>
          <w:sz w:val="24"/>
          <w:szCs w:val="24"/>
        </w:rPr>
        <w:t xml:space="preserve"> </w:t>
      </w:r>
      <w:r w:rsidR="00E43E53">
        <w:rPr>
          <w:rFonts w:ascii="Times New Roman" w:hAnsi="Times New Roman"/>
          <w:b w:val="0"/>
          <w:sz w:val="24"/>
          <w:szCs w:val="24"/>
        </w:rPr>
        <w:t xml:space="preserve">broader </w:t>
      </w:r>
      <w:r w:rsidR="00CE66B6">
        <w:rPr>
          <w:rFonts w:ascii="Times New Roman" w:hAnsi="Times New Roman"/>
          <w:b w:val="0"/>
          <w:sz w:val="24"/>
          <w:szCs w:val="24"/>
        </w:rPr>
        <w:t xml:space="preserve">than intended </w:t>
      </w:r>
      <w:r w:rsidR="00CA083A">
        <w:rPr>
          <w:rFonts w:ascii="Times New Roman" w:hAnsi="Times New Roman"/>
          <w:b w:val="0"/>
          <w:sz w:val="24"/>
          <w:szCs w:val="24"/>
        </w:rPr>
        <w:t>application</w:t>
      </w:r>
      <w:r w:rsidR="00CE66B6">
        <w:rPr>
          <w:rFonts w:ascii="Times New Roman" w:hAnsi="Times New Roman"/>
          <w:b w:val="0"/>
          <w:sz w:val="24"/>
          <w:szCs w:val="24"/>
        </w:rPr>
        <w:t xml:space="preserve"> and when </w:t>
      </w:r>
      <w:r w:rsidR="00CA083A">
        <w:rPr>
          <w:rFonts w:ascii="Times New Roman" w:hAnsi="Times New Roman"/>
          <w:b w:val="0"/>
          <w:sz w:val="24"/>
          <w:szCs w:val="24"/>
        </w:rPr>
        <w:t>compared to all other obligations under the BEAR</w:t>
      </w:r>
      <w:r w:rsidR="00CE66B6">
        <w:rPr>
          <w:rFonts w:ascii="Times New Roman" w:hAnsi="Times New Roman"/>
          <w:b w:val="0"/>
          <w:sz w:val="24"/>
          <w:szCs w:val="24"/>
        </w:rPr>
        <w:t xml:space="preserve"> for such ADIs</w:t>
      </w:r>
      <w:r w:rsidR="00CA083A">
        <w:rPr>
          <w:rFonts w:ascii="Times New Roman" w:hAnsi="Times New Roman"/>
          <w:b w:val="0"/>
          <w:sz w:val="24"/>
          <w:szCs w:val="24"/>
        </w:rPr>
        <w:t>.</w:t>
      </w:r>
    </w:p>
    <w:p w14:paraId="173E9365" w14:textId="6A5DFC6D" w:rsidR="004C0070" w:rsidRDefault="004C0070" w:rsidP="00D85E77">
      <w:pPr>
        <w:pStyle w:val="Heading"/>
        <w:spacing w:after="240"/>
        <w:rPr>
          <w:rFonts w:ascii="Times New Roman" w:hAnsi="Times New Roman"/>
          <w:b w:val="0"/>
          <w:sz w:val="24"/>
          <w:szCs w:val="24"/>
        </w:rPr>
      </w:pPr>
      <w:r>
        <w:rPr>
          <w:rFonts w:ascii="Times New Roman" w:hAnsi="Times New Roman"/>
          <w:b w:val="0"/>
          <w:sz w:val="24"/>
          <w:szCs w:val="24"/>
        </w:rPr>
        <w:t>The operation of t</w:t>
      </w:r>
      <w:r w:rsidRPr="004C0070">
        <w:rPr>
          <w:rFonts w:ascii="Times New Roman" w:hAnsi="Times New Roman"/>
          <w:b w:val="0"/>
          <w:sz w:val="24"/>
          <w:szCs w:val="24"/>
        </w:rPr>
        <w:t xml:space="preserve">he instrument would ensure consistency of approach across various </w:t>
      </w:r>
      <w:r w:rsidR="00565D20">
        <w:rPr>
          <w:rFonts w:ascii="Times New Roman" w:hAnsi="Times New Roman"/>
          <w:b w:val="0"/>
          <w:sz w:val="24"/>
          <w:szCs w:val="24"/>
        </w:rPr>
        <w:t>corporate group</w:t>
      </w:r>
      <w:r w:rsidR="00565D20" w:rsidRPr="004C0070">
        <w:rPr>
          <w:rFonts w:ascii="Times New Roman" w:hAnsi="Times New Roman"/>
          <w:b w:val="0"/>
          <w:sz w:val="24"/>
          <w:szCs w:val="24"/>
        </w:rPr>
        <w:t xml:space="preserve"> </w:t>
      </w:r>
      <w:r w:rsidRPr="004C0070">
        <w:rPr>
          <w:rFonts w:ascii="Times New Roman" w:hAnsi="Times New Roman"/>
          <w:b w:val="0"/>
          <w:sz w:val="24"/>
          <w:szCs w:val="24"/>
        </w:rPr>
        <w:t xml:space="preserve">structures </w:t>
      </w:r>
      <w:r w:rsidR="006238CB">
        <w:rPr>
          <w:rFonts w:ascii="Times New Roman" w:hAnsi="Times New Roman"/>
          <w:b w:val="0"/>
          <w:sz w:val="24"/>
          <w:szCs w:val="24"/>
        </w:rPr>
        <w:t xml:space="preserve">to the extent possible </w:t>
      </w:r>
      <w:r w:rsidRPr="004C0070">
        <w:rPr>
          <w:rFonts w:ascii="Times New Roman" w:hAnsi="Times New Roman"/>
          <w:b w:val="0"/>
          <w:sz w:val="24"/>
          <w:szCs w:val="24"/>
        </w:rPr>
        <w:t xml:space="preserve">such that no ADI would be disadvantaged because of the corporate </w:t>
      </w:r>
      <w:r w:rsidR="00565D20">
        <w:rPr>
          <w:rFonts w:ascii="Times New Roman" w:hAnsi="Times New Roman"/>
          <w:b w:val="0"/>
          <w:sz w:val="24"/>
          <w:szCs w:val="24"/>
        </w:rPr>
        <w:t xml:space="preserve">group </w:t>
      </w:r>
      <w:r w:rsidRPr="004C0070">
        <w:rPr>
          <w:rFonts w:ascii="Times New Roman" w:hAnsi="Times New Roman"/>
          <w:b w:val="0"/>
          <w:sz w:val="24"/>
          <w:szCs w:val="24"/>
        </w:rPr>
        <w:t>structure to which it belongs</w:t>
      </w:r>
      <w:r w:rsidR="00CA083A">
        <w:rPr>
          <w:rFonts w:ascii="Times New Roman" w:hAnsi="Times New Roman"/>
          <w:b w:val="0"/>
          <w:sz w:val="24"/>
          <w:szCs w:val="24"/>
        </w:rPr>
        <w:t xml:space="preserve"> and </w:t>
      </w:r>
      <w:r w:rsidR="00CE66B6">
        <w:rPr>
          <w:rFonts w:ascii="Times New Roman" w:hAnsi="Times New Roman"/>
          <w:b w:val="0"/>
          <w:sz w:val="24"/>
          <w:szCs w:val="24"/>
        </w:rPr>
        <w:t xml:space="preserve">better </w:t>
      </w:r>
      <w:r w:rsidR="00CA083A">
        <w:rPr>
          <w:rFonts w:ascii="Times New Roman" w:hAnsi="Times New Roman"/>
          <w:b w:val="0"/>
          <w:sz w:val="24"/>
          <w:szCs w:val="24"/>
        </w:rPr>
        <w:t>alignment with the intent of the BEAR.</w:t>
      </w:r>
    </w:p>
    <w:p w14:paraId="02C6F0B6" w14:textId="77777777" w:rsidR="00462901" w:rsidRDefault="00462901" w:rsidP="00D85E77">
      <w:pPr>
        <w:pStyle w:val="Heading"/>
        <w:spacing w:after="240"/>
        <w:rPr>
          <w:rFonts w:ascii="Times New Roman" w:hAnsi="Times New Roman"/>
          <w:b w:val="0"/>
          <w:sz w:val="24"/>
          <w:szCs w:val="24"/>
        </w:rPr>
      </w:pPr>
    </w:p>
    <w:p w14:paraId="03FA7546" w14:textId="77777777" w:rsidR="00C14502" w:rsidRDefault="00C14502" w:rsidP="00D85E77">
      <w:pPr>
        <w:pStyle w:val="Heading"/>
        <w:spacing w:after="240"/>
        <w:rPr>
          <w:rFonts w:ascii="Times New Roman" w:hAnsi="Times New Roman"/>
          <w:b w:val="0"/>
          <w:sz w:val="24"/>
          <w:szCs w:val="24"/>
        </w:rPr>
      </w:pPr>
    </w:p>
    <w:p w14:paraId="63BA98A8" w14:textId="77777777" w:rsidR="002436BD" w:rsidRDefault="002436BD" w:rsidP="00D85E77">
      <w:pPr>
        <w:pStyle w:val="Heading"/>
        <w:numPr>
          <w:ilvl w:val="0"/>
          <w:numId w:val="2"/>
        </w:numPr>
        <w:spacing w:after="240"/>
        <w:rPr>
          <w:rFonts w:ascii="Times New Roman" w:hAnsi="Times New Roman"/>
          <w:sz w:val="24"/>
          <w:szCs w:val="24"/>
        </w:rPr>
      </w:pPr>
      <w:bookmarkStart w:id="6" w:name="bkoperation"/>
      <w:bookmarkStart w:id="7" w:name="bkConsultationNo"/>
      <w:bookmarkEnd w:id="6"/>
      <w:bookmarkEnd w:id="7"/>
      <w:r w:rsidRPr="002C6D26">
        <w:rPr>
          <w:rFonts w:ascii="Times New Roman" w:hAnsi="Times New Roman"/>
          <w:sz w:val="24"/>
          <w:szCs w:val="24"/>
        </w:rPr>
        <w:lastRenderedPageBreak/>
        <w:t>Consultation</w:t>
      </w:r>
    </w:p>
    <w:p w14:paraId="17702219" w14:textId="09475506" w:rsidR="002436BD" w:rsidRDefault="002436BD" w:rsidP="00D85E77">
      <w:pPr>
        <w:pStyle w:val="Heading"/>
        <w:tabs>
          <w:tab w:val="left" w:pos="360"/>
        </w:tabs>
        <w:spacing w:after="240"/>
        <w:rPr>
          <w:rFonts w:ascii="Times New Roman" w:hAnsi="Times New Roman"/>
          <w:b w:val="0"/>
          <w:sz w:val="24"/>
          <w:szCs w:val="24"/>
        </w:rPr>
      </w:pPr>
      <w:r w:rsidRPr="00622D66">
        <w:rPr>
          <w:rFonts w:ascii="Times New Roman" w:hAnsi="Times New Roman"/>
          <w:b w:val="0"/>
          <w:sz w:val="24"/>
          <w:szCs w:val="24"/>
        </w:rPr>
        <w:t xml:space="preserve">APRA undertook </w:t>
      </w:r>
      <w:r w:rsidR="00CE66B6" w:rsidRPr="00622D66">
        <w:rPr>
          <w:rFonts w:ascii="Times New Roman" w:hAnsi="Times New Roman"/>
          <w:b w:val="0"/>
          <w:sz w:val="24"/>
          <w:szCs w:val="24"/>
        </w:rPr>
        <w:t>a</w:t>
      </w:r>
      <w:r w:rsidRPr="00622D66">
        <w:rPr>
          <w:rFonts w:ascii="Times New Roman" w:hAnsi="Times New Roman"/>
          <w:b w:val="0"/>
          <w:sz w:val="24"/>
          <w:szCs w:val="24"/>
        </w:rPr>
        <w:t xml:space="preserve"> </w:t>
      </w:r>
      <w:r w:rsidR="00622D66" w:rsidRPr="00622D66">
        <w:rPr>
          <w:rFonts w:ascii="Times New Roman" w:hAnsi="Times New Roman"/>
          <w:b w:val="0"/>
          <w:sz w:val="24"/>
          <w:szCs w:val="24"/>
        </w:rPr>
        <w:t xml:space="preserve">public </w:t>
      </w:r>
      <w:r w:rsidRPr="00622D66">
        <w:rPr>
          <w:rFonts w:ascii="Times New Roman" w:hAnsi="Times New Roman"/>
          <w:b w:val="0"/>
          <w:sz w:val="24"/>
          <w:szCs w:val="24"/>
        </w:rPr>
        <w:t>consultation on its proposed</w:t>
      </w:r>
      <w:r w:rsidR="00462901">
        <w:rPr>
          <w:rFonts w:ascii="Times New Roman" w:hAnsi="Times New Roman"/>
          <w:b w:val="0"/>
          <w:sz w:val="24"/>
          <w:szCs w:val="24"/>
        </w:rPr>
        <w:t xml:space="preserve"> schedule to the</w:t>
      </w:r>
      <w:r w:rsidR="00CE66B6" w:rsidRPr="00622D66">
        <w:rPr>
          <w:rFonts w:ascii="Times New Roman" w:hAnsi="Times New Roman"/>
          <w:b w:val="0"/>
          <w:sz w:val="24"/>
          <w:szCs w:val="24"/>
        </w:rPr>
        <w:t xml:space="preserve"> determination</w:t>
      </w:r>
      <w:r w:rsidRPr="00622D66">
        <w:rPr>
          <w:rFonts w:ascii="Times New Roman" w:hAnsi="Times New Roman"/>
          <w:b w:val="0"/>
          <w:sz w:val="24"/>
          <w:szCs w:val="24"/>
        </w:rPr>
        <w:t xml:space="preserve"> between </w:t>
      </w:r>
      <w:r w:rsidR="00A378DE" w:rsidRPr="00622D66">
        <w:rPr>
          <w:rFonts w:ascii="Times New Roman" w:hAnsi="Times New Roman"/>
          <w:b w:val="0"/>
          <w:sz w:val="24"/>
          <w:szCs w:val="24"/>
        </w:rPr>
        <w:t>1 April</w:t>
      </w:r>
      <w:r w:rsidR="00CE66B6" w:rsidRPr="00622D66">
        <w:rPr>
          <w:rFonts w:ascii="Times New Roman" w:hAnsi="Times New Roman"/>
          <w:b w:val="0"/>
          <w:sz w:val="24"/>
          <w:szCs w:val="24"/>
        </w:rPr>
        <w:t xml:space="preserve"> 2019</w:t>
      </w:r>
      <w:r w:rsidRPr="00622D66">
        <w:rPr>
          <w:rFonts w:ascii="Times New Roman" w:hAnsi="Times New Roman"/>
          <w:b w:val="0"/>
          <w:sz w:val="24"/>
          <w:szCs w:val="24"/>
        </w:rPr>
        <w:t xml:space="preserve"> </w:t>
      </w:r>
      <w:r w:rsidR="00CE66B6" w:rsidRPr="00622D66">
        <w:rPr>
          <w:rFonts w:ascii="Times New Roman" w:hAnsi="Times New Roman"/>
          <w:b w:val="0"/>
          <w:sz w:val="24"/>
          <w:szCs w:val="24"/>
        </w:rPr>
        <w:t>and</w:t>
      </w:r>
      <w:r w:rsidRPr="00622D66">
        <w:rPr>
          <w:rFonts w:ascii="Times New Roman" w:hAnsi="Times New Roman"/>
          <w:b w:val="0"/>
          <w:sz w:val="24"/>
          <w:szCs w:val="24"/>
        </w:rPr>
        <w:t xml:space="preserve"> </w:t>
      </w:r>
      <w:r w:rsidR="00A378DE" w:rsidRPr="00622D66">
        <w:rPr>
          <w:rFonts w:ascii="Times New Roman" w:hAnsi="Times New Roman"/>
          <w:b w:val="0"/>
          <w:sz w:val="24"/>
          <w:szCs w:val="24"/>
        </w:rPr>
        <w:t>30</w:t>
      </w:r>
      <w:r w:rsidR="00CE66B6" w:rsidRPr="00622D66">
        <w:rPr>
          <w:rFonts w:ascii="Times New Roman" w:hAnsi="Times New Roman"/>
          <w:b w:val="0"/>
          <w:sz w:val="24"/>
          <w:szCs w:val="24"/>
        </w:rPr>
        <w:t xml:space="preserve"> April 2019</w:t>
      </w:r>
      <w:r w:rsidRPr="00622D66">
        <w:rPr>
          <w:rFonts w:ascii="Times New Roman" w:hAnsi="Times New Roman"/>
          <w:b w:val="0"/>
          <w:sz w:val="24"/>
          <w:szCs w:val="24"/>
        </w:rPr>
        <w:t xml:space="preserve">. </w:t>
      </w:r>
      <w:r w:rsidR="00622D66" w:rsidRPr="00622D66">
        <w:rPr>
          <w:rFonts w:ascii="Times New Roman" w:hAnsi="Times New Roman"/>
          <w:b w:val="0"/>
          <w:sz w:val="24"/>
          <w:szCs w:val="24"/>
        </w:rPr>
        <w:t>APRA received a total of s</w:t>
      </w:r>
      <w:r w:rsidR="00EF0502">
        <w:rPr>
          <w:rFonts w:ascii="Times New Roman" w:hAnsi="Times New Roman"/>
          <w:b w:val="0"/>
          <w:sz w:val="24"/>
          <w:szCs w:val="24"/>
        </w:rPr>
        <w:t>even</w:t>
      </w:r>
      <w:r w:rsidR="00622D66" w:rsidRPr="00622D66">
        <w:rPr>
          <w:rFonts w:ascii="Times New Roman" w:hAnsi="Times New Roman"/>
          <w:b w:val="0"/>
          <w:sz w:val="24"/>
          <w:szCs w:val="24"/>
        </w:rPr>
        <w:t xml:space="preserve"> s</w:t>
      </w:r>
      <w:r w:rsidRPr="00622D66">
        <w:rPr>
          <w:rFonts w:ascii="Times New Roman" w:hAnsi="Times New Roman"/>
          <w:b w:val="0"/>
          <w:sz w:val="24"/>
          <w:szCs w:val="24"/>
        </w:rPr>
        <w:t>ubmissions from ADIs, industry bodies, and other interested parties</w:t>
      </w:r>
      <w:r w:rsidR="00622D66" w:rsidRPr="00622D66">
        <w:rPr>
          <w:rFonts w:ascii="Times New Roman" w:hAnsi="Times New Roman"/>
          <w:b w:val="0"/>
          <w:sz w:val="24"/>
          <w:szCs w:val="24"/>
        </w:rPr>
        <w:t>.</w:t>
      </w:r>
      <w:r w:rsidRPr="00622D66">
        <w:rPr>
          <w:rFonts w:ascii="Times New Roman" w:hAnsi="Times New Roman"/>
          <w:b w:val="0"/>
          <w:sz w:val="24"/>
          <w:szCs w:val="24"/>
        </w:rPr>
        <w:t xml:space="preserve"> </w:t>
      </w:r>
      <w:r w:rsidR="00262870">
        <w:rPr>
          <w:rFonts w:ascii="Times New Roman" w:hAnsi="Times New Roman"/>
          <w:b w:val="0"/>
          <w:sz w:val="24"/>
          <w:szCs w:val="24"/>
        </w:rPr>
        <w:t xml:space="preserve">Whilst a number of issues have been raised, they do not raise any </w:t>
      </w:r>
      <w:r w:rsidR="007E472C" w:rsidRPr="00622D66">
        <w:rPr>
          <w:rFonts w:ascii="Times New Roman" w:hAnsi="Times New Roman"/>
          <w:b w:val="0"/>
          <w:sz w:val="24"/>
          <w:szCs w:val="24"/>
        </w:rPr>
        <w:t>significant concerns</w:t>
      </w:r>
      <w:r w:rsidR="00262870">
        <w:rPr>
          <w:rFonts w:ascii="Times New Roman" w:hAnsi="Times New Roman"/>
          <w:b w:val="0"/>
          <w:sz w:val="24"/>
          <w:szCs w:val="24"/>
        </w:rPr>
        <w:t xml:space="preserve"> and have not resulted</w:t>
      </w:r>
      <w:r w:rsidR="007E472C" w:rsidRPr="00622D66">
        <w:rPr>
          <w:rFonts w:ascii="Times New Roman" w:hAnsi="Times New Roman"/>
          <w:b w:val="0"/>
          <w:sz w:val="24"/>
          <w:szCs w:val="24"/>
        </w:rPr>
        <w:t xml:space="preserve"> </w:t>
      </w:r>
      <w:r w:rsidR="00262870">
        <w:rPr>
          <w:rFonts w:ascii="Times New Roman" w:hAnsi="Times New Roman"/>
          <w:b w:val="0"/>
          <w:sz w:val="24"/>
          <w:szCs w:val="24"/>
        </w:rPr>
        <w:t xml:space="preserve">in material changes </w:t>
      </w:r>
      <w:r w:rsidR="00FC56F5" w:rsidRPr="00622D66">
        <w:rPr>
          <w:rFonts w:ascii="Times New Roman" w:hAnsi="Times New Roman"/>
          <w:b w:val="0"/>
          <w:sz w:val="24"/>
          <w:szCs w:val="24"/>
        </w:rPr>
        <w:t>to APRA’s</w:t>
      </w:r>
      <w:r w:rsidR="007E472C" w:rsidRPr="00622D66">
        <w:rPr>
          <w:rFonts w:ascii="Times New Roman" w:hAnsi="Times New Roman"/>
          <w:b w:val="0"/>
          <w:sz w:val="24"/>
          <w:szCs w:val="24"/>
        </w:rPr>
        <w:t xml:space="preserve"> proposal.</w:t>
      </w:r>
      <w:r w:rsidR="00622D66">
        <w:rPr>
          <w:rFonts w:ascii="Times New Roman" w:hAnsi="Times New Roman"/>
          <w:b w:val="0"/>
          <w:sz w:val="24"/>
          <w:szCs w:val="24"/>
        </w:rPr>
        <w:t xml:space="preserve"> </w:t>
      </w:r>
    </w:p>
    <w:p w14:paraId="447C7920" w14:textId="77777777" w:rsidR="002436BD" w:rsidRDefault="00DF524E" w:rsidP="00D85E77">
      <w:pPr>
        <w:pStyle w:val="Heading"/>
        <w:tabs>
          <w:tab w:val="left" w:pos="360"/>
        </w:tabs>
        <w:spacing w:after="240"/>
        <w:rPr>
          <w:rFonts w:ascii="Times New Roman" w:hAnsi="Times New Roman"/>
          <w:sz w:val="24"/>
          <w:szCs w:val="24"/>
        </w:rPr>
      </w:pPr>
      <w:bookmarkStart w:id="8" w:name="bkConsultation"/>
      <w:bookmarkStart w:id="9" w:name="bkRISNO"/>
      <w:bookmarkStart w:id="10" w:name="bkRIS"/>
      <w:bookmarkEnd w:id="8"/>
      <w:bookmarkEnd w:id="9"/>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0"/>
    <w:p w14:paraId="34B6CC7E" w14:textId="77777777" w:rsidR="00D3484E" w:rsidRDefault="00D3484E" w:rsidP="00D85E77">
      <w:pPr>
        <w:pStyle w:val="Heading"/>
        <w:spacing w:after="240"/>
        <w:rPr>
          <w:rFonts w:ascii="Times New Roman" w:hAnsi="Times New Roman"/>
          <w:b w:val="0"/>
          <w:sz w:val="24"/>
          <w:szCs w:val="24"/>
        </w:rPr>
      </w:pPr>
      <w:r w:rsidRPr="00D3484E">
        <w:rPr>
          <w:rFonts w:ascii="Times New Roman" w:hAnsi="Times New Roman"/>
          <w:b w:val="0"/>
          <w:sz w:val="24"/>
          <w:szCs w:val="24"/>
        </w:rPr>
        <w:t xml:space="preserve">The Office of Best Practice Regulation </w:t>
      </w:r>
      <w:r>
        <w:rPr>
          <w:rFonts w:ascii="Times New Roman" w:hAnsi="Times New Roman"/>
          <w:b w:val="0"/>
          <w:sz w:val="24"/>
          <w:szCs w:val="24"/>
        </w:rPr>
        <w:t>h</w:t>
      </w:r>
      <w:r w:rsidRPr="00D3484E">
        <w:rPr>
          <w:rFonts w:ascii="Times New Roman" w:hAnsi="Times New Roman"/>
          <w:b w:val="0"/>
          <w:sz w:val="24"/>
          <w:szCs w:val="24"/>
        </w:rPr>
        <w:t xml:space="preserve">as advised that a Regulation Impact Statement </w:t>
      </w:r>
      <w:r>
        <w:rPr>
          <w:rFonts w:ascii="Times New Roman" w:hAnsi="Times New Roman"/>
          <w:b w:val="0"/>
          <w:sz w:val="24"/>
          <w:szCs w:val="24"/>
        </w:rPr>
        <w:t>is not required for this legislative instrument</w:t>
      </w:r>
      <w:r w:rsidRPr="00D3484E">
        <w:rPr>
          <w:rFonts w:ascii="Times New Roman" w:hAnsi="Times New Roman"/>
          <w:b w:val="0"/>
          <w:sz w:val="24"/>
          <w:szCs w:val="24"/>
        </w:rPr>
        <w:t>.</w:t>
      </w:r>
    </w:p>
    <w:p w14:paraId="63CFBA9D" w14:textId="77777777" w:rsidR="002436BD" w:rsidRPr="00B3165F" w:rsidRDefault="00DF524E" w:rsidP="00D85E77">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33371425" w14:textId="77777777" w:rsidR="002436BD" w:rsidRDefault="0030506B" w:rsidP="00D85E77">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630C93A0" w14:textId="791B655B" w:rsidR="00AF347A" w:rsidRDefault="00AF347A">
      <w:r>
        <w:br w:type="page"/>
      </w:r>
    </w:p>
    <w:p w14:paraId="5F9A3CA4" w14:textId="77777777" w:rsidR="00AF347A" w:rsidRPr="001F0F77" w:rsidRDefault="00AF347A" w:rsidP="00AF347A">
      <w:pPr>
        <w:jc w:val="both"/>
        <w:rPr>
          <w:rFonts w:ascii="Times New Roman" w:hAnsi="Times New Roman"/>
          <w:sz w:val="24"/>
          <w:szCs w:val="24"/>
        </w:rPr>
      </w:pPr>
      <w:r w:rsidRPr="001F0F77">
        <w:rPr>
          <w:rFonts w:ascii="Times New Roman" w:hAnsi="Times New Roman"/>
          <w:sz w:val="24"/>
          <w:szCs w:val="24"/>
          <w:u w:val="single"/>
          <w:lang w:val="en-GB"/>
        </w:rPr>
        <w:lastRenderedPageBreak/>
        <w:t>ATTACHMENT A</w:t>
      </w:r>
    </w:p>
    <w:p w14:paraId="7A20AAB7" w14:textId="77777777" w:rsidR="00395C13" w:rsidRPr="001F0F77" w:rsidRDefault="00395C13" w:rsidP="00395C13">
      <w:pPr>
        <w:shd w:val="clear" w:color="auto" w:fill="FFFFFF"/>
        <w:spacing w:before="100" w:beforeAutospacing="1" w:after="240"/>
        <w:jc w:val="center"/>
        <w:rPr>
          <w:rFonts w:ascii="Times New Roman" w:hAnsi="Times New Roman"/>
          <w:sz w:val="24"/>
          <w:szCs w:val="24"/>
          <w:lang w:val="en-US"/>
        </w:rPr>
      </w:pPr>
      <w:r w:rsidRPr="001F0F77">
        <w:rPr>
          <w:rFonts w:ascii="Times New Roman" w:hAnsi="Times New Roman"/>
          <w:b/>
          <w:bCs/>
          <w:sz w:val="24"/>
          <w:szCs w:val="24"/>
        </w:rPr>
        <w:t>Statement of Compatibility with Human Rights</w:t>
      </w:r>
    </w:p>
    <w:p w14:paraId="52421A3A" w14:textId="77777777" w:rsidR="00395C13" w:rsidRPr="001F0F77" w:rsidRDefault="00395C13" w:rsidP="001F0F77">
      <w:pPr>
        <w:shd w:val="clear" w:color="auto" w:fill="FFFFFF"/>
        <w:spacing w:before="100" w:beforeAutospacing="1" w:after="240"/>
        <w:jc w:val="both"/>
        <w:rPr>
          <w:rFonts w:ascii="Times New Roman" w:hAnsi="Times New Roman"/>
          <w:sz w:val="24"/>
          <w:szCs w:val="24"/>
          <w:lang w:val="en-US"/>
        </w:rPr>
      </w:pPr>
      <w:r w:rsidRPr="001F0F77">
        <w:rPr>
          <w:rFonts w:ascii="Times New Roman" w:hAnsi="Times New Roman"/>
          <w:sz w:val="24"/>
          <w:szCs w:val="24"/>
        </w:rPr>
        <w:t xml:space="preserve">Prepared in accordance with Part 3 of the </w:t>
      </w:r>
      <w:r w:rsidRPr="001F0F77">
        <w:rPr>
          <w:rFonts w:ascii="Times New Roman" w:hAnsi="Times New Roman"/>
          <w:i/>
          <w:iCs/>
          <w:sz w:val="24"/>
          <w:szCs w:val="24"/>
        </w:rPr>
        <w:t>Human Rights (Parliamentary Scrutiny) Act 2011</w:t>
      </w:r>
    </w:p>
    <w:p w14:paraId="4CF504B4" w14:textId="10957AF5" w:rsidR="00395C13" w:rsidRPr="001F0F77" w:rsidRDefault="00395C13" w:rsidP="00395C13">
      <w:pPr>
        <w:shd w:val="clear" w:color="auto" w:fill="FFFFFF"/>
        <w:spacing w:before="100" w:beforeAutospacing="1" w:after="240"/>
        <w:jc w:val="both"/>
        <w:rPr>
          <w:rFonts w:ascii="Times New Roman" w:hAnsi="Times New Roman"/>
          <w:b/>
          <w:bCs/>
          <w:sz w:val="24"/>
          <w:szCs w:val="24"/>
        </w:rPr>
      </w:pPr>
      <w:r w:rsidRPr="001F0F77">
        <w:rPr>
          <w:rFonts w:ascii="Times New Roman" w:hAnsi="Times New Roman"/>
          <w:b/>
          <w:bCs/>
          <w:sz w:val="24"/>
          <w:szCs w:val="24"/>
        </w:rPr>
        <w:t>Banking (</w:t>
      </w:r>
      <w:r w:rsidR="00462901" w:rsidRPr="001F0F77">
        <w:rPr>
          <w:rFonts w:ascii="Times New Roman" w:hAnsi="Times New Roman"/>
          <w:b/>
          <w:bCs/>
          <w:sz w:val="24"/>
          <w:szCs w:val="24"/>
        </w:rPr>
        <w:t>executive accountability regime</w:t>
      </w:r>
      <w:r w:rsidRPr="001F0F77">
        <w:rPr>
          <w:rFonts w:ascii="Times New Roman" w:hAnsi="Times New Roman"/>
          <w:b/>
          <w:bCs/>
          <w:sz w:val="24"/>
          <w:szCs w:val="24"/>
        </w:rPr>
        <w:t>) determination No. 1 of 2019</w:t>
      </w:r>
    </w:p>
    <w:p w14:paraId="6EC23ADD" w14:textId="77777777" w:rsidR="00395C13" w:rsidRPr="001F0F77" w:rsidRDefault="00395C13" w:rsidP="00395C13">
      <w:pPr>
        <w:shd w:val="clear" w:color="auto" w:fill="FFFFFF"/>
        <w:spacing w:before="100" w:beforeAutospacing="1" w:after="240"/>
        <w:jc w:val="both"/>
        <w:rPr>
          <w:rFonts w:ascii="Times New Roman" w:hAnsi="Times New Roman"/>
          <w:sz w:val="24"/>
          <w:szCs w:val="24"/>
          <w:lang w:val="en-US"/>
        </w:rPr>
      </w:pPr>
      <w:r w:rsidRPr="001F0F77">
        <w:rPr>
          <w:rFonts w:ascii="Times New Roman" w:hAnsi="Times New Roman"/>
          <w:sz w:val="24"/>
          <w:szCs w:val="24"/>
        </w:rPr>
        <w:t xml:space="preserve">The legislative instrument is compatible with the human rights and freedoms recognised or declared in the international instrument listed in section 3 of the </w:t>
      </w:r>
      <w:r w:rsidRPr="001F0F77">
        <w:rPr>
          <w:rFonts w:ascii="Times New Roman" w:hAnsi="Times New Roman"/>
          <w:i/>
          <w:iCs/>
          <w:sz w:val="24"/>
          <w:szCs w:val="24"/>
        </w:rPr>
        <w:t>Human Rights (Parliamentary Scrutiny) Act 2011</w:t>
      </w:r>
      <w:r w:rsidRPr="001F0F77">
        <w:rPr>
          <w:rFonts w:ascii="Times New Roman" w:hAnsi="Times New Roman"/>
          <w:sz w:val="24"/>
          <w:szCs w:val="24"/>
        </w:rPr>
        <w:t xml:space="preserve"> (HRPS Act).</w:t>
      </w:r>
    </w:p>
    <w:p w14:paraId="2C592972" w14:textId="77777777" w:rsidR="00395C13" w:rsidRPr="001F0F77" w:rsidRDefault="00395C13" w:rsidP="00395C13">
      <w:pPr>
        <w:shd w:val="clear" w:color="auto" w:fill="FFFFFF"/>
        <w:spacing w:before="100" w:beforeAutospacing="1" w:after="240"/>
        <w:jc w:val="both"/>
        <w:rPr>
          <w:rFonts w:ascii="Times New Roman" w:hAnsi="Times New Roman"/>
          <w:sz w:val="24"/>
          <w:szCs w:val="24"/>
          <w:lang w:val="en-US"/>
        </w:rPr>
      </w:pPr>
      <w:r w:rsidRPr="001F0F77">
        <w:rPr>
          <w:rFonts w:ascii="Times New Roman" w:hAnsi="Times New Roman"/>
          <w:b/>
          <w:bCs/>
          <w:sz w:val="24"/>
          <w:szCs w:val="24"/>
        </w:rPr>
        <w:t>Overview of the Legislative Instrument</w:t>
      </w:r>
    </w:p>
    <w:p w14:paraId="7397C950" w14:textId="0E8DB101" w:rsidR="00395C13" w:rsidRPr="001F0F77" w:rsidRDefault="00395C13" w:rsidP="00395C13">
      <w:pPr>
        <w:spacing w:after="240"/>
        <w:jc w:val="both"/>
        <w:rPr>
          <w:rFonts w:ascii="Times New Roman" w:hAnsi="Times New Roman"/>
          <w:sz w:val="24"/>
          <w:szCs w:val="24"/>
        </w:rPr>
      </w:pPr>
      <w:r w:rsidRPr="001F0F77">
        <w:rPr>
          <w:rFonts w:ascii="Times New Roman" w:hAnsi="Times New Roman"/>
          <w:sz w:val="24"/>
          <w:szCs w:val="24"/>
        </w:rPr>
        <w:t xml:space="preserve">The purpose of the instrument is to </w:t>
      </w:r>
      <w:r w:rsidR="00CC3B51" w:rsidRPr="001F0F77">
        <w:rPr>
          <w:rFonts w:ascii="Times New Roman" w:hAnsi="Times New Roman"/>
          <w:sz w:val="24"/>
          <w:szCs w:val="24"/>
        </w:rPr>
        <w:t xml:space="preserve">ensure consistency of approach to applying the deferred remuneration obligations under the BEAR across various organisational structures </w:t>
      </w:r>
      <w:r w:rsidR="006238CB" w:rsidRPr="001F0F77">
        <w:rPr>
          <w:rFonts w:ascii="Times New Roman" w:hAnsi="Times New Roman"/>
          <w:sz w:val="24"/>
          <w:szCs w:val="24"/>
        </w:rPr>
        <w:t xml:space="preserve">to the extent possible </w:t>
      </w:r>
      <w:r w:rsidR="00CC3B51" w:rsidRPr="001F0F77">
        <w:rPr>
          <w:rFonts w:ascii="Times New Roman" w:hAnsi="Times New Roman"/>
          <w:sz w:val="24"/>
          <w:szCs w:val="24"/>
        </w:rPr>
        <w:t>such that no ADI, including foreign ADIs, would be disadvantaged because of the corporate structure to which it belongs.</w:t>
      </w:r>
    </w:p>
    <w:p w14:paraId="6D14CCDF" w14:textId="77777777" w:rsidR="00395C13" w:rsidRPr="001F0F77" w:rsidRDefault="00395C13" w:rsidP="00395C13">
      <w:pPr>
        <w:keepNext/>
        <w:shd w:val="clear" w:color="auto" w:fill="FFFFFF"/>
        <w:spacing w:before="100" w:beforeAutospacing="1" w:after="240"/>
        <w:jc w:val="both"/>
        <w:rPr>
          <w:rFonts w:ascii="Times New Roman" w:hAnsi="Times New Roman"/>
          <w:sz w:val="24"/>
          <w:szCs w:val="24"/>
          <w:lang w:val="en-US"/>
        </w:rPr>
      </w:pPr>
      <w:r w:rsidRPr="001F0F77">
        <w:rPr>
          <w:rFonts w:ascii="Times New Roman" w:hAnsi="Times New Roman"/>
          <w:b/>
          <w:bCs/>
          <w:sz w:val="24"/>
          <w:szCs w:val="24"/>
        </w:rPr>
        <w:t>Human rights implications</w:t>
      </w:r>
    </w:p>
    <w:p w14:paraId="52046B44" w14:textId="4997F0F4" w:rsidR="00395C13" w:rsidRPr="001F0F77" w:rsidRDefault="00395C13" w:rsidP="00395C13">
      <w:pPr>
        <w:keepNext/>
        <w:shd w:val="clear" w:color="auto" w:fill="FFFFFF"/>
        <w:spacing w:before="100" w:beforeAutospacing="1" w:after="240"/>
        <w:jc w:val="both"/>
        <w:rPr>
          <w:rFonts w:ascii="Times New Roman" w:hAnsi="Times New Roman"/>
          <w:sz w:val="24"/>
          <w:szCs w:val="24"/>
        </w:rPr>
      </w:pPr>
      <w:r w:rsidRPr="001F0F77">
        <w:rPr>
          <w:rFonts w:ascii="Times New Roman" w:hAnsi="Times New Roman"/>
          <w:sz w:val="24"/>
          <w:szCs w:val="24"/>
        </w:rPr>
        <w:t>APRA has assessed the instrument and is of the view that it does not engage any of the applicable rights or freedoms recognised or declared in the international instruments listed in section 3 of the HRPS Act. Accordingly, in APRA’s assessment, the instrument is compatible with human rights.</w:t>
      </w:r>
    </w:p>
    <w:p w14:paraId="0E93EB0B" w14:textId="77777777" w:rsidR="00395C13" w:rsidRPr="001F0F77" w:rsidRDefault="00395C13" w:rsidP="00395C13">
      <w:pPr>
        <w:shd w:val="clear" w:color="auto" w:fill="FFFFFF"/>
        <w:spacing w:before="100" w:beforeAutospacing="1" w:after="240"/>
        <w:jc w:val="both"/>
        <w:rPr>
          <w:rFonts w:ascii="Times New Roman" w:hAnsi="Times New Roman"/>
          <w:sz w:val="24"/>
          <w:szCs w:val="24"/>
          <w:lang w:val="en-US"/>
        </w:rPr>
      </w:pPr>
      <w:r w:rsidRPr="001F0F77">
        <w:rPr>
          <w:rFonts w:ascii="Times New Roman" w:hAnsi="Times New Roman"/>
          <w:b/>
          <w:bCs/>
          <w:sz w:val="24"/>
          <w:szCs w:val="24"/>
        </w:rPr>
        <w:t>Conclusion</w:t>
      </w:r>
    </w:p>
    <w:p w14:paraId="772249A7" w14:textId="5BACC894" w:rsidR="00AF347A" w:rsidRPr="001F0F77" w:rsidRDefault="00395C13" w:rsidP="00395C13">
      <w:pPr>
        <w:rPr>
          <w:sz w:val="24"/>
          <w:szCs w:val="24"/>
        </w:rPr>
      </w:pPr>
      <w:r w:rsidRPr="001F0F77">
        <w:rPr>
          <w:rFonts w:ascii="Times New Roman" w:hAnsi="Times New Roman"/>
          <w:sz w:val="24"/>
          <w:szCs w:val="24"/>
        </w:rPr>
        <w:t>The instrument is compatible with human rights as it does not raise any human rights issues.</w:t>
      </w:r>
    </w:p>
    <w:p w14:paraId="2B0C3A56" w14:textId="77777777" w:rsidR="00B04B20" w:rsidRPr="001F0F77" w:rsidRDefault="00B04B20" w:rsidP="00D85E77">
      <w:pPr>
        <w:spacing w:after="240"/>
        <w:jc w:val="both"/>
        <w:rPr>
          <w:sz w:val="24"/>
          <w:szCs w:val="24"/>
        </w:rPr>
      </w:pPr>
    </w:p>
    <w:sectPr w:rsidR="00B04B20" w:rsidRPr="001F0F77" w:rsidSect="003D5032">
      <w:headerReference w:type="even" r:id="rId13"/>
      <w:headerReference w:type="default" r:id="rId14"/>
      <w:footerReference w:type="even" r:id="rId15"/>
      <w:footerReference w:type="default" r:id="rId16"/>
      <w:headerReference w:type="first" r:id="rId17"/>
      <w:footerReference w:type="first" r:id="rId18"/>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2B675" w14:textId="77777777" w:rsidR="003802D4" w:rsidRDefault="003802D4" w:rsidP="00D85E77">
      <w:r>
        <w:separator/>
      </w:r>
    </w:p>
  </w:endnote>
  <w:endnote w:type="continuationSeparator" w:id="0">
    <w:p w14:paraId="02F4C82B" w14:textId="77777777" w:rsidR="003802D4" w:rsidRDefault="003802D4" w:rsidP="00D8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5C0AB" w14:textId="77777777" w:rsidR="008D4478" w:rsidRDefault="008D44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rPr>
        <w:rFonts w:ascii="Times New Roman" w:hAnsi="Times New Roman"/>
        <w:sz w:val="24"/>
        <w:szCs w:val="24"/>
      </w:rPr>
    </w:sdtEndPr>
    <w:sdtContent>
      <w:p w14:paraId="095C3545" w14:textId="77777777" w:rsidR="00D85E77" w:rsidRPr="00D85E77" w:rsidRDefault="00D85E77" w:rsidP="00D85E77">
        <w:pPr>
          <w:pStyle w:val="Footer"/>
          <w:jc w:val="center"/>
          <w:rPr>
            <w:rFonts w:ascii="Times New Roman" w:hAnsi="Times New Roman"/>
            <w:sz w:val="24"/>
            <w:szCs w:val="24"/>
          </w:rPr>
        </w:pPr>
        <w:r w:rsidRPr="00D85E77">
          <w:rPr>
            <w:rFonts w:ascii="Times New Roman" w:hAnsi="Times New Roman"/>
            <w:bCs/>
            <w:sz w:val="24"/>
            <w:szCs w:val="24"/>
          </w:rPr>
          <w:fldChar w:fldCharType="begin"/>
        </w:r>
        <w:r w:rsidRPr="00D85E77">
          <w:rPr>
            <w:rFonts w:ascii="Times New Roman" w:hAnsi="Times New Roman"/>
            <w:bCs/>
            <w:sz w:val="24"/>
            <w:szCs w:val="24"/>
          </w:rPr>
          <w:instrText xml:space="preserve"> PAGE </w:instrText>
        </w:r>
        <w:r w:rsidRPr="00D85E77">
          <w:rPr>
            <w:rFonts w:ascii="Times New Roman" w:hAnsi="Times New Roman"/>
            <w:bCs/>
            <w:sz w:val="24"/>
            <w:szCs w:val="24"/>
          </w:rPr>
          <w:fldChar w:fldCharType="separate"/>
        </w:r>
        <w:r w:rsidR="00B8497D">
          <w:rPr>
            <w:rFonts w:ascii="Times New Roman" w:hAnsi="Times New Roman"/>
            <w:bCs/>
            <w:noProof/>
            <w:sz w:val="24"/>
            <w:szCs w:val="24"/>
          </w:rPr>
          <w:t>3</w:t>
        </w:r>
        <w:r w:rsidRPr="00D85E77">
          <w:rPr>
            <w:rFonts w:ascii="Times New Roman" w:hAnsi="Times New Roman"/>
            <w:bCs/>
            <w:sz w:val="24"/>
            <w:szCs w:val="24"/>
          </w:rPr>
          <w:fldChar w:fldCharType="end"/>
        </w:r>
      </w:p>
    </w:sdtContent>
  </w:sdt>
  <w:p w14:paraId="3174513B" w14:textId="77777777" w:rsidR="00D85E77" w:rsidRDefault="00D85E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DA262" w14:textId="77777777" w:rsidR="008D4478" w:rsidRDefault="008D44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DB7B5" w14:textId="77777777" w:rsidR="003802D4" w:rsidRDefault="003802D4" w:rsidP="00D85E77">
      <w:r>
        <w:separator/>
      </w:r>
    </w:p>
  </w:footnote>
  <w:footnote w:type="continuationSeparator" w:id="0">
    <w:p w14:paraId="3ABB8600" w14:textId="77777777" w:rsidR="003802D4" w:rsidRDefault="003802D4" w:rsidP="00D85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095A1" w14:textId="77777777" w:rsidR="008D4478" w:rsidRDefault="008D44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2D0A6" w14:textId="77777777" w:rsidR="008D4478" w:rsidRDefault="008D44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DD3E4" w14:textId="77777777" w:rsidR="008D4478" w:rsidRDefault="008D44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5C49"/>
    <w:multiLevelType w:val="hybridMultilevel"/>
    <w:tmpl w:val="3722923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C44575"/>
    <w:multiLevelType w:val="hybridMultilevel"/>
    <w:tmpl w:val="6A2200F8"/>
    <w:lvl w:ilvl="0" w:tplc="F1F253D4">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61DA3D61"/>
    <w:multiLevelType w:val="hybridMultilevel"/>
    <w:tmpl w:val="F208E238"/>
    <w:lvl w:ilvl="0" w:tplc="8C88B6BC">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D4"/>
    <w:rsid w:val="000401FC"/>
    <w:rsid w:val="000B60B3"/>
    <w:rsid w:val="000E369C"/>
    <w:rsid w:val="00130004"/>
    <w:rsid w:val="00157D65"/>
    <w:rsid w:val="00182FA1"/>
    <w:rsid w:val="001874AE"/>
    <w:rsid w:val="001B4918"/>
    <w:rsid w:val="001F0F77"/>
    <w:rsid w:val="00214B2C"/>
    <w:rsid w:val="002436BD"/>
    <w:rsid w:val="00246723"/>
    <w:rsid w:val="00257C00"/>
    <w:rsid w:val="00262870"/>
    <w:rsid w:val="002A73BD"/>
    <w:rsid w:val="002F2C92"/>
    <w:rsid w:val="002F6506"/>
    <w:rsid w:val="003002A0"/>
    <w:rsid w:val="0030506B"/>
    <w:rsid w:val="00310CF8"/>
    <w:rsid w:val="00316546"/>
    <w:rsid w:val="00350C12"/>
    <w:rsid w:val="00354CB8"/>
    <w:rsid w:val="003802D4"/>
    <w:rsid w:val="003866AD"/>
    <w:rsid w:val="00395C13"/>
    <w:rsid w:val="003A52A5"/>
    <w:rsid w:val="003D5032"/>
    <w:rsid w:val="0040175E"/>
    <w:rsid w:val="00422164"/>
    <w:rsid w:val="0043124A"/>
    <w:rsid w:val="00443A02"/>
    <w:rsid w:val="00444768"/>
    <w:rsid w:val="00462901"/>
    <w:rsid w:val="004819AE"/>
    <w:rsid w:val="004C0070"/>
    <w:rsid w:val="004C3D07"/>
    <w:rsid w:val="004E2008"/>
    <w:rsid w:val="0056141D"/>
    <w:rsid w:val="00565D20"/>
    <w:rsid w:val="005B0BAF"/>
    <w:rsid w:val="005C1574"/>
    <w:rsid w:val="005E5910"/>
    <w:rsid w:val="00622480"/>
    <w:rsid w:val="00622D66"/>
    <w:rsid w:val="006238CB"/>
    <w:rsid w:val="00647D58"/>
    <w:rsid w:val="00657678"/>
    <w:rsid w:val="00682865"/>
    <w:rsid w:val="00684F73"/>
    <w:rsid w:val="0069678B"/>
    <w:rsid w:val="006B093F"/>
    <w:rsid w:val="006B5937"/>
    <w:rsid w:val="006D2741"/>
    <w:rsid w:val="007031F4"/>
    <w:rsid w:val="007049CF"/>
    <w:rsid w:val="00712E1A"/>
    <w:rsid w:val="007368AD"/>
    <w:rsid w:val="007428D4"/>
    <w:rsid w:val="00747AFF"/>
    <w:rsid w:val="00761B22"/>
    <w:rsid w:val="007843DF"/>
    <w:rsid w:val="00785CDC"/>
    <w:rsid w:val="00796BCB"/>
    <w:rsid w:val="007C2298"/>
    <w:rsid w:val="007E472C"/>
    <w:rsid w:val="007E4B2A"/>
    <w:rsid w:val="00821E5B"/>
    <w:rsid w:val="00830F66"/>
    <w:rsid w:val="008B3579"/>
    <w:rsid w:val="008C7A61"/>
    <w:rsid w:val="008D4478"/>
    <w:rsid w:val="008D5AA7"/>
    <w:rsid w:val="008F0AB5"/>
    <w:rsid w:val="00915716"/>
    <w:rsid w:val="00932EFA"/>
    <w:rsid w:val="0093357F"/>
    <w:rsid w:val="009460E1"/>
    <w:rsid w:val="00967D16"/>
    <w:rsid w:val="009A270F"/>
    <w:rsid w:val="009B2829"/>
    <w:rsid w:val="009C5368"/>
    <w:rsid w:val="00A061BE"/>
    <w:rsid w:val="00A2331D"/>
    <w:rsid w:val="00A279AF"/>
    <w:rsid w:val="00A378DE"/>
    <w:rsid w:val="00A4133B"/>
    <w:rsid w:val="00A63A2B"/>
    <w:rsid w:val="00AA1493"/>
    <w:rsid w:val="00AA3E4A"/>
    <w:rsid w:val="00AC2517"/>
    <w:rsid w:val="00AC7A56"/>
    <w:rsid w:val="00AF347A"/>
    <w:rsid w:val="00B04B20"/>
    <w:rsid w:val="00B14231"/>
    <w:rsid w:val="00B1637D"/>
    <w:rsid w:val="00B56742"/>
    <w:rsid w:val="00B64B2E"/>
    <w:rsid w:val="00B76FA0"/>
    <w:rsid w:val="00B8497D"/>
    <w:rsid w:val="00B85B6E"/>
    <w:rsid w:val="00BB1678"/>
    <w:rsid w:val="00BB5772"/>
    <w:rsid w:val="00BD44F0"/>
    <w:rsid w:val="00BE36B6"/>
    <w:rsid w:val="00BF2953"/>
    <w:rsid w:val="00C07C96"/>
    <w:rsid w:val="00C10F8F"/>
    <w:rsid w:val="00C14502"/>
    <w:rsid w:val="00C16202"/>
    <w:rsid w:val="00C302FA"/>
    <w:rsid w:val="00C5794D"/>
    <w:rsid w:val="00C841F9"/>
    <w:rsid w:val="00C948AA"/>
    <w:rsid w:val="00CA083A"/>
    <w:rsid w:val="00CA6CB3"/>
    <w:rsid w:val="00CB384A"/>
    <w:rsid w:val="00CC3797"/>
    <w:rsid w:val="00CC3B51"/>
    <w:rsid w:val="00CD1947"/>
    <w:rsid w:val="00CE3EF2"/>
    <w:rsid w:val="00CE66B6"/>
    <w:rsid w:val="00CF14EE"/>
    <w:rsid w:val="00D119F5"/>
    <w:rsid w:val="00D24D43"/>
    <w:rsid w:val="00D3484E"/>
    <w:rsid w:val="00D53B59"/>
    <w:rsid w:val="00D55C4E"/>
    <w:rsid w:val="00D63014"/>
    <w:rsid w:val="00D64906"/>
    <w:rsid w:val="00D83531"/>
    <w:rsid w:val="00D85E77"/>
    <w:rsid w:val="00D87E36"/>
    <w:rsid w:val="00DF524E"/>
    <w:rsid w:val="00DF6FFE"/>
    <w:rsid w:val="00E15497"/>
    <w:rsid w:val="00E154A3"/>
    <w:rsid w:val="00E16789"/>
    <w:rsid w:val="00E201A8"/>
    <w:rsid w:val="00E43E53"/>
    <w:rsid w:val="00E52DFE"/>
    <w:rsid w:val="00E61B19"/>
    <w:rsid w:val="00E86AB6"/>
    <w:rsid w:val="00E90C89"/>
    <w:rsid w:val="00EC5653"/>
    <w:rsid w:val="00EC6919"/>
    <w:rsid w:val="00EF0502"/>
    <w:rsid w:val="00EF5F65"/>
    <w:rsid w:val="00EF6835"/>
    <w:rsid w:val="00F273DB"/>
    <w:rsid w:val="00F32E00"/>
    <w:rsid w:val="00F436BC"/>
    <w:rsid w:val="00F7706D"/>
    <w:rsid w:val="00F86822"/>
    <w:rsid w:val="00FA5345"/>
    <w:rsid w:val="00FA69B0"/>
    <w:rsid w:val="00FC5476"/>
    <w:rsid w:val="00FC5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E3F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85E77"/>
    <w:pPr>
      <w:tabs>
        <w:tab w:val="center" w:pos="4513"/>
        <w:tab w:val="right" w:pos="9026"/>
      </w:tabs>
    </w:pPr>
  </w:style>
  <w:style w:type="character" w:customStyle="1" w:styleId="HeaderChar">
    <w:name w:val="Header Char"/>
    <w:basedOn w:val="DefaultParagraphFont"/>
    <w:link w:val="Header"/>
    <w:uiPriority w:val="99"/>
    <w:rsid w:val="00D85E77"/>
    <w:rPr>
      <w:rFonts w:ascii="Trebuchet MS" w:eastAsia="Times New Roman" w:hAnsi="Trebuchet MS"/>
      <w:sz w:val="22"/>
    </w:rPr>
  </w:style>
  <w:style w:type="paragraph" w:styleId="Footer">
    <w:name w:val="footer"/>
    <w:basedOn w:val="Normal"/>
    <w:link w:val="FooterChar"/>
    <w:uiPriority w:val="99"/>
    <w:unhideWhenUsed/>
    <w:rsid w:val="00D85E77"/>
    <w:pPr>
      <w:tabs>
        <w:tab w:val="center" w:pos="4513"/>
        <w:tab w:val="right" w:pos="9026"/>
      </w:tabs>
    </w:pPr>
  </w:style>
  <w:style w:type="character" w:customStyle="1" w:styleId="FooterChar">
    <w:name w:val="Footer Char"/>
    <w:basedOn w:val="DefaultParagraphFont"/>
    <w:link w:val="Footer"/>
    <w:uiPriority w:val="99"/>
    <w:rsid w:val="00D85E77"/>
    <w:rPr>
      <w:rFonts w:ascii="Trebuchet MS" w:eastAsia="Times New Roman" w:hAnsi="Trebuchet MS"/>
      <w:sz w:val="22"/>
    </w:rPr>
  </w:style>
  <w:style w:type="paragraph" w:styleId="FootnoteText">
    <w:name w:val="footnote text"/>
    <w:basedOn w:val="Normal"/>
    <w:link w:val="FootnoteTextChar"/>
    <w:uiPriority w:val="99"/>
    <w:semiHidden/>
    <w:unhideWhenUsed/>
    <w:rsid w:val="004819AE"/>
    <w:rPr>
      <w:sz w:val="20"/>
    </w:rPr>
  </w:style>
  <w:style w:type="character" w:customStyle="1" w:styleId="FootnoteTextChar">
    <w:name w:val="Footnote Text Char"/>
    <w:basedOn w:val="DefaultParagraphFont"/>
    <w:link w:val="FootnoteText"/>
    <w:uiPriority w:val="99"/>
    <w:semiHidden/>
    <w:rsid w:val="004819AE"/>
    <w:rPr>
      <w:rFonts w:ascii="Trebuchet MS" w:eastAsia="Times New Roman" w:hAnsi="Trebuchet MS"/>
    </w:rPr>
  </w:style>
  <w:style w:type="character" w:styleId="FootnoteReference">
    <w:name w:val="footnote reference"/>
    <w:basedOn w:val="DefaultParagraphFont"/>
    <w:uiPriority w:val="99"/>
    <w:semiHidden/>
    <w:unhideWhenUsed/>
    <w:rsid w:val="004819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UNCLASSIFIED</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5JENXJJSCC7A-445999044-10829</_dlc_DocId>
    <APRAOwner xmlns="814d62cb-2db6-4c25-ab62-b9075facbc11">
      <UserInfo>
        <DisplayName/>
        <AccountId>119</AccountId>
        <AccountType/>
      </UserInfo>
    </APRAOwner>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APRADescription xmlns="814d62cb-2db6-4c25-ab62-b9075facbc11" xsi:nil="true"/>
    <APRAActivityID xmlns="814d62cb-2db6-4c25-ab62-b9075facbc11" xsi:nil="true"/>
    <APRAApprovedBy xmlns="814d62cb-2db6-4c25-ab62-b9075facbc11">
      <UserInfo>
        <DisplayName/>
        <AccountId xsi:nil="true"/>
        <AccountType/>
      </UserInfo>
    </APRAApprovedBy>
    <APRAMeetingNumber xmlns="814d62cb-2db6-4c25-ab62-b9075facbc11" xsi:nil="true"/>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7f488d12-1aa7-4fe3-8821-bfe8262e80d0</TermId>
        </TermInfo>
      </Terms>
    </i08e72d8ce2b4ffa9361f9f4e0a63abc>
    <APRAKeywords xmlns="814d62cb-2db6-4c25-ab62-b9075facbc11">Explanatory statement; example; new prudential standard</APRAKeywords>
    <APRAMeetingDate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https://im/teams/LEGAL/_layouts/15/DocIdRedir.aspx?ID=5JENXJJSCC7A-445999044-10829</Url>
      <Description>5JENXJJSCC7A-445999044-10829</Description>
    </_dlc_DocIdUrl>
    <j724204a644741eb9f777fcb03fe8840 xmlns="814d62cb-2db6-4c25-ab62-b9075facbc11">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08ee26fa-56a7-449f-a5fa-3e3f5ef21754</TermId>
        </TermInfo>
      </Terms>
    </j724204a644741eb9f777fcb03fe8840>
    <APRADate xmlns="814d62cb-2db6-4c25-ab62-b9075facbc11">2017-07-26T14:00:00+00:00</APRADat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APRAApprovalDate xmlns="814d62cb-2db6-4c25-ab62-b9075facbc11" xsi:nil="true"/>
    <TaxCatchAll xmlns="814d62cb-2db6-4c25-ab62-b9075facbc11">
      <Value>83</Value>
      <Value>234</Value>
      <Value>26</Value>
      <Value>134</Value>
      <Value>228</Value>
      <Value>672</Value>
      <Value>93</Value>
      <Value>24</Value>
      <Value>158</Value>
      <Value>4</Value>
      <Value>19</Value>
      <Value>136</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9" ma:contentTypeDescription="Create a new document." ma:contentTypeScope="" ma:versionID="294f2abc41bb7dd035804e5b1d716973">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6FE53-EA24-4D8E-9FA6-B21897148A48}">
  <ds:schemaRefs>
    <ds:schemaRef ds:uri="http://schemas.microsoft.com/sharepoint/v3/contenttype/forms"/>
  </ds:schemaRefs>
</ds:datastoreItem>
</file>

<file path=customXml/itemProps2.xml><?xml version="1.0" encoding="utf-8"?>
<ds:datastoreItem xmlns:ds="http://schemas.openxmlformats.org/officeDocument/2006/customXml" ds:itemID="{4896E715-42E0-456B-A42E-57B3237334ED}">
  <ds:schemaRefs>
    <ds:schemaRef ds:uri="http://schemas.microsoft.com/sharepoint/events"/>
  </ds:schemaRefs>
</ds:datastoreItem>
</file>

<file path=customXml/itemProps3.xml><?xml version="1.0" encoding="utf-8"?>
<ds:datastoreItem xmlns:ds="http://schemas.openxmlformats.org/officeDocument/2006/customXml" ds:itemID="{63A3A2F5-FBCB-4EE5-BD28-6DA0C60A6B75}">
  <ds:schemaRefs>
    <ds:schemaRef ds:uri="Microsoft.SharePoint.Taxonomy.ContentTypeSync"/>
  </ds:schemaRefs>
</ds:datastoreItem>
</file>

<file path=customXml/itemProps4.xml><?xml version="1.0" encoding="utf-8"?>
<ds:datastoreItem xmlns:ds="http://schemas.openxmlformats.org/officeDocument/2006/customXml" ds:itemID="{00C9DFD7-CBD6-47EF-875A-8803A98910C8}">
  <ds:schemaRef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D32BDF12-9524-4B3F-93ED-9F4586565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E9F604-D453-4639-9A98-8863287F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3803</Characters>
  <Application>Microsoft Office Word</Application>
  <DocSecurity>0</DocSecurity>
  <Lines>74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(executive accountability regime) determination No. 1 of 2019</dc:title>
  <dc:subject/>
  <dc:creator/>
  <cp:keywords>[SEC=UNCLASSIFIED]</cp:keywords>
  <cp:lastModifiedBy/>
  <cp:revision>1</cp:revision>
  <dcterms:created xsi:type="dcterms:W3CDTF">2019-06-13T01:27:00Z</dcterms:created>
  <dcterms:modified xsi:type="dcterms:W3CDTF">2019-06-13T01:27:00Z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Yes</vt:lpwstr>
  </property>
  <property fmtid="{D5CDD505-2E9C-101B-9397-08002B2CF9AE}" pid="3" name="RecordPoint_SubmissionDate">
    <vt:lpwstr/>
  </property>
  <property fmtid="{D5CDD505-2E9C-101B-9397-08002B2CF9AE}" pid="4" name="PM_Originator_Hash_SHA1">
    <vt:lpwstr>932A4D8DEB30F49B5D888DC2081C7FEE0B1F315D</vt:lpwstr>
  </property>
  <property fmtid="{D5CDD505-2E9C-101B-9397-08002B2CF9AE}" pid="5" name="RecordPoint_RecordNumberSubmitted">
    <vt:lpwstr/>
  </property>
  <property fmtid="{D5CDD505-2E9C-101B-9397-08002B2CF9AE}" pid="6" name="PM_ProtectiveMarkingImage_Header">
    <vt:lpwstr>C:\Program Files (x86)\Common Files\janusNET Shared\janusSEAL\Images\DocumentSlashBlue.png</vt:lpwstr>
  </property>
  <property fmtid="{D5CDD505-2E9C-101B-9397-08002B2CF9AE}" pid="7"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Life|56f18b50-6605-4f3f-97e3-cad1cb5394e0;#4;#Legal - Resolution ＆ Corporate|696624b1-19f4-47b2-a07b-57868a922a96;#134;#Legal - Superannuation|cce3181d-fd23-4eee-94d3-c66abc2350cf</vt:lpwstr>
  </property>
  <property fmtid="{D5CDD505-2E9C-101B-9397-08002B2CF9AE}" pid="8" name="ContentTypeId">
    <vt:lpwstr>0x0101008CA7A4F8331B45C7B0D3158B4994D0CA0200577EC0F5A1FBFC498F9A8436B963F8A6</vt:lpwstr>
  </property>
  <property fmtid="{D5CDD505-2E9C-101B-9397-08002B2CF9AE}" pid="9" name="PM_ProtectiveMarkingImage_Footer">
    <vt:lpwstr>C:\Program Files (x86)\Common Files\janusNET Shared\janusSEAL\Images\DocumentSlashBlue.png</vt:lpwstr>
  </property>
  <property fmtid="{D5CDD505-2E9C-101B-9397-08002B2CF9AE}" pid="10" name="RecordPoint_WorkflowType">
    <vt:lpwstr>ActiveSubmitStub</vt:lpwstr>
  </property>
  <property fmtid="{D5CDD505-2E9C-101B-9397-08002B2CF9AE}" pid="11" name="PM_DisplayValueSecClassificationWithQualifier">
    <vt:lpwstr>UNCLASSIFIED</vt:lpwstr>
  </property>
  <property fmtid="{D5CDD505-2E9C-101B-9397-08002B2CF9AE}" pid="12" name="PM_ProtectiveMarkingValue_Header">
    <vt:lpwstr>UNCLASSIFIED</vt:lpwstr>
  </property>
  <property fmtid="{D5CDD505-2E9C-101B-9397-08002B2CF9AE}" pid="13" name="PM_Hash_Version">
    <vt:lpwstr>2016.1</vt:lpwstr>
  </property>
  <property fmtid="{D5CDD505-2E9C-101B-9397-08002B2CF9AE}" pid="14" name="IT system type">
    <vt:lpwstr/>
  </property>
  <property fmtid="{D5CDD505-2E9C-101B-9397-08002B2CF9AE}" pid="15" name="PM_Hash_SHA1">
    <vt:lpwstr>1446B5E771A042FE7EBE9039065E6F0A38134D8E</vt:lpwstr>
  </property>
  <property fmtid="{D5CDD505-2E9C-101B-9397-08002B2CF9AE}" pid="16" name="PM_Originating_FileId">
    <vt:lpwstr>F5A18DAB8C524AA98B567E1C7690008C</vt:lpwstr>
  </property>
  <property fmtid="{D5CDD505-2E9C-101B-9397-08002B2CF9AE}" pid="17" name="_dlc_DocIdItemGuid">
    <vt:lpwstr>0e282009-f9a1-4c1f-9ba2-3e14bb177a10</vt:lpwstr>
  </property>
  <property fmtid="{D5CDD505-2E9C-101B-9397-08002B2CF9AE}" pid="18" name="APRACategory">
    <vt:lpwstr>672;#Governance|08ee26fa-56a7-449f-a5fa-3e3f5ef21754</vt:lpwstr>
  </property>
  <property fmtid="{D5CDD505-2E9C-101B-9397-08002B2CF9AE}" pid="19" name="PM_Version">
    <vt:lpwstr>2012.3</vt:lpwstr>
  </property>
  <property fmtid="{D5CDD505-2E9C-101B-9397-08002B2CF9AE}" pid="20" name="PM_Hash_Salt_Prev">
    <vt:lpwstr>3680D3E932AE77F284832D3DE4C1CDCD</vt:lpwstr>
  </property>
  <property fmtid="{D5CDD505-2E9C-101B-9397-08002B2CF9AE}" pid="21" name="APRAPRSG">
    <vt:lpwstr/>
  </property>
  <property fmtid="{D5CDD505-2E9C-101B-9397-08002B2CF9AE}" pid="22" name="APRADocumentType">
    <vt:lpwstr>234;#Explanatory statement|b22f2e2f-3f73-411b-9a7c-34264d26fa25</vt:lpwstr>
  </property>
  <property fmtid="{D5CDD505-2E9C-101B-9397-08002B2CF9AE}" pid="23" name="APRAStatus">
    <vt:lpwstr>19;#Final|84d6b2d0-8498-4d62-bf46-bab38babbe9e</vt:lpwstr>
  </property>
  <property fmtid="{D5CDD505-2E9C-101B-9397-08002B2CF9AE}" pid="24" name="RecordPoint_ActiveItemSiteId">
    <vt:lpwstr>{88691c01-5bbb-4215-adc0-66cb7065b0af}</vt:lpwstr>
  </property>
  <property fmtid="{D5CDD505-2E9C-101B-9397-08002B2CF9AE}" pid="25" name="PM_Qualifier">
    <vt:lpwstr/>
  </property>
  <property fmtid="{D5CDD505-2E9C-101B-9397-08002B2CF9AE}" pid="26" name="APRAActivity">
    <vt:lpwstr>136;#Prudential policy development|4cf81ba0-32a2-4f8f-8216-9e632903331b</vt:lpwstr>
  </property>
  <property fmtid="{D5CDD505-2E9C-101B-9397-08002B2CF9AE}" pid="27" name="APRAEntityAdviceSupport">
    <vt:lpwstr/>
  </property>
  <property fmtid="{D5CDD505-2E9C-101B-9397-08002B2CF9AE}" pid="28" name="RecordPoint_ActiveItemListId">
    <vt:lpwstr>{0e59e171-09d8-4401-800a-327154450cb3}</vt:lpwstr>
  </property>
  <property fmtid="{D5CDD505-2E9C-101B-9397-08002B2CF9AE}" pid="29" name="APRAYear">
    <vt:lpwstr>228;#2019|7f488d12-1aa7-4fe3-8821-bfe8262e80d0</vt:lpwstr>
  </property>
  <property fmtid="{D5CDD505-2E9C-101B-9397-08002B2CF9AE}" pid="30" name="APRAIndustry">
    <vt:lpwstr/>
  </property>
  <property fmtid="{D5CDD505-2E9C-101B-9397-08002B2CF9AE}" pid="31" name="APRALegislation">
    <vt:lpwstr/>
  </property>
  <property fmtid="{D5CDD505-2E9C-101B-9397-08002B2CF9AE}" pid="32" name="RecordPoint_ActiveItemUniqueId">
    <vt:lpwstr>{0e282009-f9a1-4c1f-9ba2-3e14bb177a10}</vt:lpwstr>
  </property>
  <property fmtid="{D5CDD505-2E9C-101B-9397-08002B2CF9AE}" pid="33" name="RecordPoint_SubmissionCompleted">
    <vt:lpwstr/>
  </property>
  <property fmtid="{D5CDD505-2E9C-101B-9397-08002B2CF9AE}" pid="34" name="RecordPoint_ActiveItemMoved">
    <vt:lpwstr/>
  </property>
  <property fmtid="{D5CDD505-2E9C-101B-9397-08002B2CF9AE}" pid="35" name="RecordPoint_RecordFormat">
    <vt:lpwstr/>
  </property>
  <property fmtid="{D5CDD505-2E9C-101B-9397-08002B2CF9AE}" pid="36" name="PM_ProtectiveMarkingValue_Footer">
    <vt:lpwstr>UNCLASSIFIED</vt:lpwstr>
  </property>
  <property fmtid="{D5CDD505-2E9C-101B-9397-08002B2CF9AE}" pid="37" name="PM_InsertionValue">
    <vt:lpwstr>UNCLASSIFIED</vt:lpwstr>
  </property>
  <property fmtid="{D5CDD505-2E9C-101B-9397-08002B2CF9AE}" pid="38" name="PM_MinimumSecurityClassification">
    <vt:lpwstr/>
  </property>
  <property fmtid="{D5CDD505-2E9C-101B-9397-08002B2CF9AE}" pid="39" name="APRAExternalOrganisation">
    <vt:lpwstr/>
  </property>
  <property fmtid="{D5CDD505-2E9C-101B-9397-08002B2CF9AE}" pid="40" name="PM_SecurityClassification">
    <vt:lpwstr>UNCLASSIFIED</vt:lpwstr>
  </property>
  <property fmtid="{D5CDD505-2E9C-101B-9397-08002B2CF9AE}" pid="41" name="PM_OriginationTimeStamp">
    <vt:lpwstr>2017-07-27T01:11:02Z</vt:lpwstr>
  </property>
  <property fmtid="{D5CDD505-2E9C-101B-9397-08002B2CF9AE}" pid="42" name="PM_Hash_Salt">
    <vt:lpwstr>3680D3E932AE77F284832D3DE4C1CDCD</vt:lpwstr>
  </property>
  <property fmtid="{D5CDD505-2E9C-101B-9397-08002B2CF9AE}" pid="43" name="APRAIRTR">
    <vt:lpwstr/>
  </property>
  <property fmtid="{D5CDD505-2E9C-101B-9397-08002B2CF9AE}" pid="44" name="APRAPeriod">
    <vt:lpwstr/>
  </property>
  <property fmtid="{D5CDD505-2E9C-101B-9397-08002B2CF9AE}" pid="45" name="PM_Caveats_Count">
    <vt:lpwstr>0</vt:lpwstr>
  </property>
  <property fmtid="{D5CDD505-2E9C-101B-9397-08002B2CF9AE}" pid="46" name="RecordPoint_ActiveItemWebId">
    <vt:lpwstr>{75a71c27-8d66-4282-ae60-1bfc22a83be1}</vt:lpwstr>
  </property>
  <property fmtid="{D5CDD505-2E9C-101B-9397-08002B2CF9AE}" pid="47" name="PM_Namespace">
    <vt:lpwstr>gov.au</vt:lpwstr>
  </property>
</Properties>
</file>