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D1" w:rsidRDefault="00FC24D1" w:rsidP="00FC24D1">
      <w:pPr>
        <w:pStyle w:val="BlockText-Plain"/>
        <w:tabs>
          <w:tab w:val="left" w:pos="7380"/>
        </w:tabs>
        <w:spacing w:after="120"/>
      </w:pPr>
      <w:r w:rsidRPr="000D4FC9">
        <w:t>This Determination a</w:t>
      </w:r>
      <w:r>
        <w:t>mends Defence Determination 2016/19</w:t>
      </w:r>
      <w:r w:rsidRPr="000D4FC9">
        <w:t xml:space="preserve">, </w:t>
      </w:r>
      <w:r w:rsidRPr="009035DB">
        <w:rPr>
          <w:i/>
        </w:rPr>
        <w:t>Conditions of service</w:t>
      </w:r>
      <w:r>
        <w:t xml:space="preserve"> (the Principal Determination)</w:t>
      </w:r>
      <w:r w:rsidRPr="000D4FC9">
        <w:t xml:space="preserve">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w:t>
      </w:r>
    </w:p>
    <w:p w:rsidR="00FC24D1" w:rsidRDefault="00FC24D1" w:rsidP="00FC24D1">
      <w:pPr>
        <w:pStyle w:val="BlockText-Plain"/>
        <w:tabs>
          <w:tab w:val="left" w:pos="7380"/>
        </w:tabs>
        <w:spacing w:after="120"/>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t>ation principles in the AIA Act</w:t>
      </w:r>
      <w:r w:rsidRPr="000D4FC9">
        <w:t xml:space="preserve">. </w:t>
      </w:r>
    </w:p>
    <w:p w:rsidR="00FC24D1" w:rsidRPr="001D0BF0" w:rsidRDefault="00FC24D1" w:rsidP="00FC24D1">
      <w:pPr>
        <w:pStyle w:val="BlockText-Plain"/>
        <w:tabs>
          <w:tab w:val="left" w:pos="7380"/>
        </w:tabs>
      </w:pPr>
      <w:r w:rsidRPr="001D0BF0">
        <w:t xml:space="preserve">Chapter </w:t>
      </w:r>
      <w:r>
        <w:t xml:space="preserve">15 </w:t>
      </w:r>
      <w:r w:rsidRPr="001D0BF0">
        <w:t xml:space="preserve">of the Principal Determination sets out provisions dealing with </w:t>
      </w:r>
      <w:r>
        <w:t>living and working on long-term posting overseas</w:t>
      </w:r>
      <w:r w:rsidRPr="001D0BF0">
        <w:t xml:space="preserve"> for members of the Australian Defence Force (ADF). </w:t>
      </w:r>
    </w:p>
    <w:p w:rsidR="00FC24D1" w:rsidRDefault="00FC24D1" w:rsidP="00FC24D1">
      <w:pPr>
        <w:pStyle w:val="BlockText-Plain"/>
      </w:pPr>
      <w:r>
        <w:t>This Determination has the following purposes.</w:t>
      </w:r>
    </w:p>
    <w:p w:rsidR="00FC24D1" w:rsidRDefault="00FC24D1" w:rsidP="00FC24D1">
      <w:pPr>
        <w:pStyle w:val="BlockText-Plain"/>
        <w:numPr>
          <w:ilvl w:val="0"/>
          <w:numId w:val="1"/>
        </w:numPr>
      </w:pPr>
      <w:r>
        <w:t>To provide for a close relative of a member to visit the location of a member's spouse or partner who has a serious illness or very serious illness.</w:t>
      </w:r>
    </w:p>
    <w:p w:rsidR="00FC24D1" w:rsidRDefault="00FC24D1" w:rsidP="00FC24D1">
      <w:pPr>
        <w:pStyle w:val="BlockText-Plain"/>
        <w:numPr>
          <w:ilvl w:val="0"/>
          <w:numId w:val="1"/>
        </w:numPr>
      </w:pPr>
      <w:r>
        <w:t>To provide for a member or their spouse or partner to visit the location of a close relative who has a serious illness or very serious illness.</w:t>
      </w:r>
    </w:p>
    <w:p w:rsidR="00FC24D1" w:rsidRDefault="00FC24D1" w:rsidP="00FC24D1">
      <w:pPr>
        <w:pStyle w:val="BlockText-Plain"/>
        <w:numPr>
          <w:ilvl w:val="0"/>
          <w:numId w:val="1"/>
        </w:numPr>
      </w:pPr>
      <w:r>
        <w:t>To provide for a member, or their spouse or partner, to attend a funeral in another location.</w:t>
      </w:r>
    </w:p>
    <w:p w:rsidR="00FC24D1" w:rsidRDefault="00FC24D1" w:rsidP="00FC24D1">
      <w:pPr>
        <w:pStyle w:val="BlockText-Plain"/>
        <w:numPr>
          <w:ilvl w:val="0"/>
          <w:numId w:val="1"/>
        </w:numPr>
      </w:pPr>
      <w:r>
        <w:t xml:space="preserve">To make technical changes and to improve the clarity of </w:t>
      </w:r>
      <w:r>
        <w:rPr>
          <w:snapToGrid w:val="0"/>
        </w:rPr>
        <w:t>Chapter 15 Part 3 Division 6 of the Principal Determination.</w:t>
      </w:r>
    </w:p>
    <w:p w:rsidR="00FC24D1" w:rsidRDefault="00FC24D1" w:rsidP="00FC24D1">
      <w:pPr>
        <w:pStyle w:val="BlockText-Plain"/>
        <w:numPr>
          <w:ilvl w:val="0"/>
          <w:numId w:val="1"/>
        </w:numPr>
      </w:pPr>
      <w:r>
        <w:t>To insert an approved club for Madrid, Spain.</w:t>
      </w:r>
    </w:p>
    <w:p w:rsidR="00FC24D1" w:rsidRDefault="00FC24D1" w:rsidP="00FC24D1">
      <w:pPr>
        <w:pStyle w:val="BlockText-Plain"/>
        <w:rPr>
          <w:snapToGrid w:val="0"/>
        </w:rPr>
      </w:pPr>
      <w:r>
        <w:rPr>
          <w:snapToGrid w:val="0"/>
        </w:rPr>
        <w:t>Section 1 of this Determination sets out the manner in which this Determination may be cited.</w:t>
      </w:r>
    </w:p>
    <w:p w:rsidR="00FC24D1" w:rsidRDefault="00FC24D1" w:rsidP="00FC24D1">
      <w:pPr>
        <w:pStyle w:val="BlockText-Plain"/>
      </w:pPr>
      <w:r>
        <w:t>Section 2 provides that this instrument commences on 13 June 2019.</w:t>
      </w:r>
    </w:p>
    <w:p w:rsidR="00FC24D1" w:rsidRPr="00AB19FC" w:rsidRDefault="00FC24D1" w:rsidP="00FC24D1">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FC24D1" w:rsidRDefault="00FC24D1" w:rsidP="00FC24D1">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FC24D1" w:rsidRPr="001F0932" w:rsidRDefault="00FC24D1" w:rsidP="00FC24D1">
      <w:pPr>
        <w:pStyle w:val="BlockText-Plain"/>
        <w:rPr>
          <w:i/>
          <w:snapToGrid w:val="0"/>
          <w:u w:val="single"/>
        </w:rPr>
      </w:pPr>
      <w:r w:rsidRPr="00340370">
        <w:rPr>
          <w:i/>
          <w:snapToGrid w:val="0"/>
          <w:u w:val="single"/>
        </w:rPr>
        <w:t xml:space="preserve">Schedule 1 – </w:t>
      </w:r>
      <w:r w:rsidRPr="001F0932">
        <w:rPr>
          <w:i/>
          <w:snapToGrid w:val="0"/>
          <w:u w:val="single"/>
        </w:rPr>
        <w:t xml:space="preserve">Travel </w:t>
      </w:r>
      <w:r>
        <w:rPr>
          <w:i/>
          <w:snapToGrid w:val="0"/>
          <w:u w:val="single"/>
        </w:rPr>
        <w:t xml:space="preserve">for </w:t>
      </w:r>
      <w:r w:rsidRPr="001F0932">
        <w:rPr>
          <w:i/>
          <w:snapToGrid w:val="0"/>
          <w:u w:val="single"/>
        </w:rPr>
        <w:t>compassionate reasons amendments</w:t>
      </w:r>
    </w:p>
    <w:p w:rsidR="00FC24D1" w:rsidRDefault="00FC24D1" w:rsidP="00FC24D1">
      <w:pPr>
        <w:pStyle w:val="BlockText-Plain"/>
        <w:rPr>
          <w:snapToGrid w:val="0"/>
        </w:rPr>
      </w:pPr>
      <w:r>
        <w:rPr>
          <w:snapToGrid w:val="0"/>
        </w:rPr>
        <w:t>Section 1 omits and substitutes item 1 of the table in section 1.3.72 of the Principal Determination which provided the meanings for serious illness. The item provides the meaning for compassionate leave under Chapter 5 Part 9 Division 2 and has been amended to provide the meaning for travel for compassionate leave under Chapter 15 Part 3 Division 6.</w:t>
      </w:r>
    </w:p>
    <w:p w:rsidR="00FC24D1" w:rsidRDefault="00FC24D1" w:rsidP="00FC24D1">
      <w:pPr>
        <w:pStyle w:val="BlockText-Plain"/>
        <w:rPr>
          <w:snapToGrid w:val="0"/>
        </w:rPr>
      </w:pPr>
      <w:r>
        <w:rPr>
          <w:snapToGrid w:val="0"/>
        </w:rPr>
        <w:t>Section 2 omits the entry for ‘Very seriously ill’ from the table in section 15.3.31 of the Principal Determination. The phrase will no longer be used in the Division and has been replaced by the phrase ‘very serious illness’ which is already defined in Chapter 1 of the Principal Determination.</w:t>
      </w:r>
    </w:p>
    <w:p w:rsidR="00FC24D1" w:rsidRDefault="00FC24D1" w:rsidP="00FC24D1">
      <w:pPr>
        <w:pStyle w:val="BlockText-Plain"/>
        <w:rPr>
          <w:snapToGrid w:val="0"/>
        </w:rPr>
      </w:pPr>
      <w:r>
        <w:rPr>
          <w:snapToGrid w:val="0"/>
        </w:rPr>
        <w:t>Section 3 omits the entry for ‘Seriously ill’ from the table in section 15.3.31 of the Principal Determination. The phrase will no longer be used in the Division and has been replaced by the phrase ‘Serious illness’ which is already defined in Chapter 1 of the Principal Determination.</w:t>
      </w:r>
    </w:p>
    <w:p w:rsidR="00FC24D1" w:rsidRDefault="00FC24D1" w:rsidP="00FC24D1">
      <w:pPr>
        <w:pStyle w:val="BlockText-Plain"/>
        <w:rPr>
          <w:snapToGrid w:val="0"/>
        </w:rPr>
      </w:pPr>
      <w:r>
        <w:rPr>
          <w:snapToGrid w:val="0"/>
        </w:rPr>
        <w:t>Section 4 omits and substitutes section 15.3.32 of the Principal Determination, which specified who the Division applies to. The amended section 15.3.32 specifies to whom a benefit provided under the Division may be paid, being either the service provider or their agent, or the person who incurred the cost.</w:t>
      </w:r>
    </w:p>
    <w:p w:rsidR="00FC24D1" w:rsidRDefault="00FC24D1" w:rsidP="00FC24D1">
      <w:pPr>
        <w:pStyle w:val="BlockText-Plain"/>
        <w:rPr>
          <w:snapToGrid w:val="0"/>
        </w:rPr>
      </w:pPr>
      <w:r>
        <w:rPr>
          <w:snapToGrid w:val="0"/>
        </w:rPr>
        <w:lastRenderedPageBreak/>
        <w:t>Section 5 omits and substitutes section 15.3.33 of the Principal Determination, which provides a close relative the reimbursement of costs of travel associated with visiting a person overseas who has a serious illness if approved by the CDF. The section has been amended to extend the benefit to a close relative who is to visit a person who has a serious illness and to clarify that the conditions must exist before the benefit can be provided. The amendment also requires the CDF to consider certain factors when determining whether the benefit should be paid. This removes the need for subsection 4, which dealt with who should receive the benefit.</w:t>
      </w:r>
    </w:p>
    <w:p w:rsidR="00FC24D1" w:rsidRDefault="00FC24D1" w:rsidP="00FC24D1">
      <w:pPr>
        <w:pStyle w:val="BlockText-Plain"/>
        <w:rPr>
          <w:snapToGrid w:val="0"/>
        </w:rPr>
      </w:pPr>
      <w:r>
        <w:rPr>
          <w:snapToGrid w:val="0"/>
        </w:rPr>
        <w:t xml:space="preserve">Section 6 omits and substitutes section 15.3.34 of the Principal Determination. The section has been amended for clarity and the policy intent has not been changed. </w:t>
      </w:r>
    </w:p>
    <w:p w:rsidR="00FC24D1" w:rsidRDefault="00FC24D1" w:rsidP="00FC24D1">
      <w:pPr>
        <w:pStyle w:val="BlockText-Plain"/>
        <w:rPr>
          <w:snapToGrid w:val="0"/>
        </w:rPr>
      </w:pPr>
      <w:r>
        <w:rPr>
          <w:snapToGrid w:val="0"/>
        </w:rPr>
        <w:t xml:space="preserve">Section 7 omits and substitutes section 15.3.35 of the Principal Determination, which provided benefits for a member and their spouse or partner to visit a close relative who is seriously ill or if they have died. The section has been amended to expand the benefit to include a close relative who has a serious illness. The section also provides the conditions for the member, or the member's spouse or partner, to have the cost of travel approved by the CDF as well as providing that the benefit may be approved on multiple occasions for the same close relative who continues to have a serious illness. The section also clarifies the amount of the benefit payable. If the close relative is in Australia, the benefit provided is the same as provided in sections 15.3.33 and 15.3.34.  If the close relative is outside Australia, the benefit is the cost of travel that exceeds the costs of the allowable travel costs that would be incurred if the member were to travel from Sydney to the location of the close relative overseas. This provides parity with similar provisions for members in Australia who are required to travel overseas to visit a close relative who is seriously ill. </w:t>
      </w:r>
    </w:p>
    <w:p w:rsidR="00FC24D1" w:rsidRDefault="00FC24D1" w:rsidP="00FC24D1">
      <w:pPr>
        <w:pStyle w:val="BlockText-Plain"/>
        <w:rPr>
          <w:i/>
          <w:snapToGrid w:val="0"/>
          <w:u w:val="single"/>
        </w:rPr>
      </w:pPr>
      <w:r>
        <w:rPr>
          <w:i/>
          <w:snapToGrid w:val="0"/>
          <w:u w:val="single"/>
        </w:rPr>
        <w:t>Schedule 2 – Approved club amendments</w:t>
      </w:r>
    </w:p>
    <w:p w:rsidR="00FC24D1" w:rsidRPr="001F0932" w:rsidRDefault="00FC24D1" w:rsidP="00FC24D1">
      <w:pPr>
        <w:pStyle w:val="BlockText-Plain"/>
        <w:rPr>
          <w:snapToGrid w:val="0"/>
        </w:rPr>
      </w:pPr>
      <w:r w:rsidRPr="001F0932">
        <w:rPr>
          <w:snapToGrid w:val="0"/>
        </w:rPr>
        <w:t xml:space="preserve">Section 1 </w:t>
      </w:r>
      <w:r>
        <w:rPr>
          <w:snapToGrid w:val="0"/>
        </w:rPr>
        <w:t>amends the table provided at section 15.8.7 of the Principal Determination, which lists approved clubs for a member’s location. Approved clubs are used for the provision of benefits under section 15.8.4 of the Principal Determination. The section inserts an approved club for Madrid, Spain.</w:t>
      </w:r>
    </w:p>
    <w:p w:rsidR="00FC24D1" w:rsidRDefault="00FC24D1" w:rsidP="00FC24D1">
      <w:pPr>
        <w:pStyle w:val="BlockText-Plain"/>
        <w:rPr>
          <w:i/>
          <w:snapToGrid w:val="0"/>
          <w:u w:val="single"/>
        </w:rPr>
      </w:pPr>
      <w:r>
        <w:rPr>
          <w:i/>
          <w:snapToGrid w:val="0"/>
          <w:u w:val="single"/>
        </w:rPr>
        <w:t>Schedule 3 – Transitional provisions</w:t>
      </w:r>
    </w:p>
    <w:p w:rsidR="00FC24D1" w:rsidRDefault="00FC24D1" w:rsidP="00FC24D1">
      <w:pPr>
        <w:pStyle w:val="BlockText-Plain"/>
        <w:rPr>
          <w:snapToGrid w:val="0"/>
        </w:rPr>
      </w:pPr>
      <w:r w:rsidRPr="00862DB0">
        <w:rPr>
          <w:snapToGrid w:val="0"/>
        </w:rPr>
        <w:t>Section 1 provi</w:t>
      </w:r>
      <w:r>
        <w:rPr>
          <w:snapToGrid w:val="0"/>
        </w:rPr>
        <w:t>d</w:t>
      </w:r>
      <w:r w:rsidRPr="00862DB0">
        <w:rPr>
          <w:snapToGrid w:val="0"/>
        </w:rPr>
        <w:t>es a trans</w:t>
      </w:r>
      <w:r>
        <w:rPr>
          <w:snapToGrid w:val="0"/>
        </w:rPr>
        <w:t>itional provision for a member who was posted overseas between 13 May 2018 and the commencement of this Determination. The transitional provision will provide for a member to be reimbursed the lesser of what they paid or the allowable travel cost for travelling overseas to visit a close relative who has or had a serious illness or very serious illness.</w:t>
      </w:r>
    </w:p>
    <w:p w:rsidR="00FC24D1" w:rsidRDefault="00FC24D1" w:rsidP="00FC24D1">
      <w:pPr>
        <w:pStyle w:val="BlockText-Plain"/>
        <w:rPr>
          <w:snapToGrid w:val="0"/>
        </w:rPr>
      </w:pPr>
      <w:r>
        <w:rPr>
          <w:snapToGrid w:val="0"/>
        </w:rPr>
        <w:t>Section 2 provides a transitional provision for a member who was posted overseas between 13 May 2018 and the commencement of this Determination. The transitional provision will provide for a member to be reimbursed the lesser of what they paid or the allowable travel cost for travelling overseas to attend the funeral of a close relative.</w:t>
      </w:r>
    </w:p>
    <w:p w:rsidR="00FC24D1" w:rsidRPr="00164458" w:rsidRDefault="00FC24D1" w:rsidP="00FC24D1">
      <w:pPr>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t xml:space="preserve">Criteria are provided for the exercise of discretions under the Principal Determination, as amended by this Determination. Adverse decisions may be subject to inquiry under the ADF redress of grievance system under Part 7 of the </w:t>
      </w:r>
      <w:r w:rsidRPr="001F0932">
        <w:rPr>
          <w:rFonts w:ascii="Arial" w:eastAsia="Times New Roman" w:hAnsi="Arial" w:cs="Times New Roman"/>
          <w:i/>
          <w:snapToGrid w:val="0"/>
          <w:sz w:val="20"/>
          <w:lang w:eastAsia="en-AU"/>
        </w:rPr>
        <w:t>Defence Regulation 2016</w:t>
      </w:r>
      <w:r w:rsidRPr="00164458">
        <w:rPr>
          <w:rFonts w:ascii="Arial" w:eastAsia="Times New Roman" w:hAnsi="Arial" w:cs="Times New Roman"/>
          <w:snapToGrid w:val="0"/>
          <w:sz w:val="20"/>
          <w:lang w:eastAsia="en-AU"/>
        </w:rPr>
        <w:t xml:space="preserve">. Also, a person may make a complaint to the Defence Force Ombudsman. </w:t>
      </w:r>
    </w:p>
    <w:p w:rsidR="001402F6" w:rsidRDefault="001402F6">
      <w:pPr>
        <w:rPr>
          <w:rFonts w:ascii="Arial" w:eastAsia="Times New Roman" w:hAnsi="Arial" w:cs="Times New Roman"/>
          <w:b/>
          <w:color w:val="000000"/>
          <w:sz w:val="20"/>
          <w:szCs w:val="20"/>
          <w:lang w:eastAsia="en-AU"/>
        </w:rPr>
      </w:pPr>
      <w:r>
        <w:rPr>
          <w:b/>
          <w:color w:val="000000"/>
        </w:rPr>
        <w:br w:type="page"/>
      </w:r>
    </w:p>
    <w:p w:rsidR="00FC24D1" w:rsidRPr="00527ADF" w:rsidRDefault="00FC24D1" w:rsidP="00FC24D1">
      <w:pPr>
        <w:pStyle w:val="BlockText-Plain"/>
        <w:jc w:val="center"/>
        <w:rPr>
          <w:snapToGrid w:val="0"/>
          <w:color w:val="000000"/>
        </w:rPr>
      </w:pPr>
      <w:r w:rsidRPr="00527ADF">
        <w:rPr>
          <w:b/>
          <w:color w:val="000000"/>
        </w:rPr>
        <w:lastRenderedPageBreak/>
        <w:t>Consultation</w:t>
      </w:r>
    </w:p>
    <w:p w:rsidR="00FC24D1" w:rsidRPr="00164458" w:rsidRDefault="00FC24D1" w:rsidP="00FC24D1">
      <w:pPr>
        <w:autoSpaceDE w:val="0"/>
        <w:autoSpaceDN w:val="0"/>
        <w:adjustRightInd w:val="0"/>
        <w:spacing w:line="240" w:lineRule="auto"/>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t>Before this Determination was made, consultation was undertaken with Navy, Army and Air Force. Defence Community Organisation, the Overseas Administration Team and the Directorate of Attaché and Overseas Management were also consulted and agreed with the proposed changes. The rule maker was satisfied that further external consultation was not required</w:t>
      </w:r>
      <w:r>
        <w:rPr>
          <w:rFonts w:ascii="Arial" w:eastAsia="Times New Roman" w:hAnsi="Arial" w:cs="Times New Roman"/>
          <w:snapToGrid w:val="0"/>
          <w:sz w:val="20"/>
          <w:lang w:eastAsia="en-AU"/>
        </w:rPr>
        <w:t>.</w:t>
      </w:r>
    </w:p>
    <w:p w:rsidR="00FC24D1" w:rsidRPr="00CA5BE0" w:rsidRDefault="00FC24D1" w:rsidP="00FC24D1">
      <w:pPr>
        <w:autoSpaceDE w:val="0"/>
        <w:autoSpaceDN w:val="0"/>
        <w:adjustRightInd w:val="0"/>
        <w:spacing w:line="240" w:lineRule="auto"/>
        <w:rPr>
          <w:snapToGrid w:val="0"/>
          <w:sz w:val="20"/>
        </w:rPr>
      </w:pPr>
    </w:p>
    <w:p w:rsidR="00FC24D1" w:rsidRDefault="00FC24D1" w:rsidP="00FC24D1">
      <w:pPr>
        <w:pStyle w:val="BlockText-Plain"/>
      </w:pPr>
    </w:p>
    <w:p w:rsidR="00FC24D1" w:rsidRDefault="00FC24D1" w:rsidP="00FC24D1">
      <w:pPr>
        <w:pStyle w:val="BlockText-Plain"/>
        <w:jc w:val="right"/>
      </w:pPr>
      <w:r>
        <w:rPr>
          <w:b/>
        </w:rPr>
        <w:t>Authority:</w:t>
      </w:r>
      <w:r>
        <w:t xml:space="preserve">  Section 58B of the </w:t>
      </w:r>
      <w:r>
        <w:br/>
      </w:r>
      <w:r>
        <w:rPr>
          <w:i/>
        </w:rPr>
        <w:t>Defence Act 1903</w:t>
      </w:r>
    </w:p>
    <w:p w:rsidR="00FC24D1" w:rsidRDefault="00FC24D1">
      <w:pPr>
        <w:sectPr w:rsidR="00FC24D1" w:rsidSect="001402F6">
          <w:headerReference w:type="first" r:id="rId7"/>
          <w:pgSz w:w="11906" w:h="16838"/>
          <w:pgMar w:top="1440" w:right="1841" w:bottom="1440" w:left="1440" w:header="708" w:footer="708" w:gutter="0"/>
          <w:cols w:space="708"/>
          <w:titlePg/>
          <w:docGrid w:linePitch="360"/>
        </w:sectPr>
      </w:pPr>
    </w:p>
    <w:p w:rsidR="00FC24D1" w:rsidRPr="00164458" w:rsidRDefault="00FC24D1" w:rsidP="00FC24D1">
      <w:pPr>
        <w:autoSpaceDE w:val="0"/>
        <w:autoSpaceDN w:val="0"/>
        <w:adjustRightInd w:val="0"/>
        <w:jc w:val="center"/>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lastRenderedPageBreak/>
        <w:t xml:space="preserve">This Determination is compatible with the human rights and freedoms recognised or declared in the international instruments listed in section 3 of the </w:t>
      </w:r>
      <w:r w:rsidRPr="00164458">
        <w:rPr>
          <w:rFonts w:ascii="Arial" w:eastAsia="Times New Roman" w:hAnsi="Arial" w:cs="Times New Roman"/>
          <w:i/>
          <w:snapToGrid w:val="0"/>
          <w:sz w:val="20"/>
          <w:lang w:eastAsia="en-AU"/>
        </w:rPr>
        <w:t>Human Rights (Parliamentary Scrutiny) Act 2011</w:t>
      </w:r>
      <w:r w:rsidRPr="00164458">
        <w:rPr>
          <w:rFonts w:ascii="Arial" w:eastAsia="Times New Roman" w:hAnsi="Arial" w:cs="Times New Roman"/>
          <w:snapToGrid w:val="0"/>
          <w:sz w:val="20"/>
          <w:lang w:eastAsia="en-AU"/>
        </w:rPr>
        <w:t>.</w:t>
      </w:r>
    </w:p>
    <w:p w:rsidR="00FC24D1" w:rsidRPr="00164458" w:rsidRDefault="00FC24D1" w:rsidP="00FC24D1">
      <w:pPr>
        <w:rPr>
          <w:rFonts w:ascii="Arial" w:eastAsia="Times New Roman" w:hAnsi="Arial" w:cs="Times New Roman"/>
          <w:b/>
          <w:snapToGrid w:val="0"/>
          <w:sz w:val="20"/>
          <w:lang w:eastAsia="en-AU"/>
        </w:rPr>
      </w:pPr>
      <w:r w:rsidRPr="00164458">
        <w:rPr>
          <w:rFonts w:ascii="Arial" w:eastAsia="Times New Roman" w:hAnsi="Arial" w:cs="Times New Roman"/>
          <w:b/>
          <w:snapToGrid w:val="0"/>
          <w:sz w:val="20"/>
          <w:lang w:eastAsia="en-AU"/>
        </w:rPr>
        <w:t>Overview of the Determination</w:t>
      </w:r>
    </w:p>
    <w:p w:rsidR="00FC24D1" w:rsidRPr="00164458" w:rsidRDefault="00FC24D1" w:rsidP="00FC24D1">
      <w:pPr>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t>This Determination makes technical amendments to Defence Determination 2016/19, Conditions of service.</w:t>
      </w:r>
    </w:p>
    <w:p w:rsidR="00FC24D1" w:rsidRDefault="00FC24D1" w:rsidP="00FC24D1">
      <w:pPr>
        <w:pStyle w:val="BlockText-Plain"/>
      </w:pPr>
      <w:r>
        <w:t>This Determination has the following purposes.</w:t>
      </w:r>
    </w:p>
    <w:p w:rsidR="00FC24D1" w:rsidRDefault="00FC24D1" w:rsidP="00FC24D1">
      <w:pPr>
        <w:pStyle w:val="BlockText-Plain"/>
        <w:numPr>
          <w:ilvl w:val="0"/>
          <w:numId w:val="1"/>
        </w:numPr>
      </w:pPr>
      <w:r>
        <w:t>To provide for a close relative of a member to visit the location of a member's spouse or partner who has a serious illness or very serious illness.</w:t>
      </w:r>
    </w:p>
    <w:p w:rsidR="00FC24D1" w:rsidRDefault="00FC24D1" w:rsidP="00FC24D1">
      <w:pPr>
        <w:pStyle w:val="BlockText-Plain"/>
        <w:numPr>
          <w:ilvl w:val="0"/>
          <w:numId w:val="1"/>
        </w:numPr>
      </w:pPr>
      <w:r>
        <w:t>To provide for a member or their spouse or partner to visit the location of a close relative who has a serious illness or very serious illness.</w:t>
      </w:r>
    </w:p>
    <w:p w:rsidR="00FC24D1" w:rsidRDefault="00FC24D1" w:rsidP="00FC24D1">
      <w:pPr>
        <w:pStyle w:val="BlockText-Plain"/>
        <w:numPr>
          <w:ilvl w:val="0"/>
          <w:numId w:val="1"/>
        </w:numPr>
      </w:pPr>
      <w:r>
        <w:t>To provide for a member, or their spouse or partner, to attend a funeral in another location.</w:t>
      </w:r>
    </w:p>
    <w:p w:rsidR="00FC24D1" w:rsidRDefault="00FC24D1" w:rsidP="00FC24D1">
      <w:pPr>
        <w:pStyle w:val="BlockText-Plain"/>
        <w:numPr>
          <w:ilvl w:val="0"/>
          <w:numId w:val="1"/>
        </w:numPr>
      </w:pPr>
      <w:r>
        <w:t xml:space="preserve">To make technical changes and to improve the clarity of </w:t>
      </w:r>
      <w:r>
        <w:rPr>
          <w:snapToGrid w:val="0"/>
        </w:rPr>
        <w:t>Chapter 15 Part 3 Division 6 of the Principal Determination.</w:t>
      </w:r>
    </w:p>
    <w:p w:rsidR="00FC24D1" w:rsidRDefault="00FC24D1" w:rsidP="00FC24D1">
      <w:pPr>
        <w:pStyle w:val="BlockText-Plain"/>
        <w:numPr>
          <w:ilvl w:val="0"/>
          <w:numId w:val="1"/>
        </w:numPr>
      </w:pPr>
      <w:r>
        <w:t>To insert an approved club for Madrid, Spain.</w:t>
      </w:r>
    </w:p>
    <w:p w:rsidR="00FC24D1" w:rsidRPr="00164458" w:rsidRDefault="00FC24D1" w:rsidP="00FC24D1">
      <w:pPr>
        <w:rPr>
          <w:rFonts w:ascii="Arial" w:eastAsia="Times New Roman" w:hAnsi="Arial" w:cs="Times New Roman"/>
          <w:b/>
          <w:snapToGrid w:val="0"/>
          <w:sz w:val="20"/>
          <w:lang w:eastAsia="en-AU"/>
        </w:rPr>
      </w:pPr>
      <w:r w:rsidRPr="00164458">
        <w:rPr>
          <w:rFonts w:ascii="Arial" w:eastAsia="Times New Roman" w:hAnsi="Arial" w:cs="Times New Roman"/>
          <w:b/>
          <w:snapToGrid w:val="0"/>
          <w:sz w:val="20"/>
          <w:lang w:eastAsia="en-AU"/>
        </w:rPr>
        <w:t>Human rights implications</w:t>
      </w:r>
    </w:p>
    <w:p w:rsidR="00FC24D1" w:rsidRPr="00164458" w:rsidRDefault="00FC24D1" w:rsidP="00FC24D1">
      <w:pPr>
        <w:shd w:val="clear" w:color="auto" w:fill="FFFFFF"/>
        <w:spacing w:before="100" w:beforeAutospacing="1" w:line="240" w:lineRule="auto"/>
        <w:rPr>
          <w:rFonts w:ascii="Arial" w:eastAsia="Times New Roman" w:hAnsi="Arial" w:cs="Times New Roman"/>
          <w:i/>
          <w:snapToGrid w:val="0"/>
          <w:sz w:val="20"/>
          <w:lang w:eastAsia="en-AU"/>
        </w:rPr>
      </w:pPr>
      <w:r w:rsidRPr="00164458">
        <w:rPr>
          <w:rFonts w:ascii="Arial" w:eastAsia="Times New Roman" w:hAnsi="Arial" w:cs="Times New Roman"/>
          <w:i/>
          <w:snapToGrid w:val="0"/>
          <w:sz w:val="20"/>
          <w:lang w:eastAsia="en-AU"/>
        </w:rPr>
        <w:t>Right to the enjoyment of just and favourable conditions of work</w:t>
      </w:r>
    </w:p>
    <w:p w:rsidR="00FC24D1" w:rsidRPr="00164458" w:rsidRDefault="00FC24D1" w:rsidP="00FC24D1">
      <w:pPr>
        <w:shd w:val="clear" w:color="auto" w:fill="FFFFFF"/>
        <w:spacing w:before="100" w:beforeAutospacing="1" w:line="240" w:lineRule="auto"/>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t xml:space="preserve">The protection of a person's right to just and favourable conditions of work engages Article 7 of the </w:t>
      </w:r>
      <w:r w:rsidRPr="00164458">
        <w:rPr>
          <w:rFonts w:ascii="Arial" w:eastAsia="Times New Roman" w:hAnsi="Arial" w:cs="Times New Roman"/>
          <w:i/>
          <w:snapToGrid w:val="0"/>
          <w:sz w:val="20"/>
          <w:lang w:eastAsia="en-AU"/>
        </w:rPr>
        <w:t>International Covenant on Economic, Social and Cultural Rights</w:t>
      </w:r>
      <w:r w:rsidRPr="00164458">
        <w:rPr>
          <w:rFonts w:ascii="Arial" w:eastAsia="Times New Roman" w:hAnsi="Arial" w:cs="Times New Roman"/>
          <w:snapToGrid w:val="0"/>
          <w:sz w:val="20"/>
          <w:lang w:eastAsia="en-AU"/>
        </w:rPr>
        <w:t>. Article 7 guarantees just and favourable conditions of work, including remuneration, safe and healthy conditions, equal opportunity and reasonable limitations.</w:t>
      </w:r>
    </w:p>
    <w:p w:rsidR="00FC24D1" w:rsidRPr="00164458" w:rsidRDefault="00FC24D1" w:rsidP="00FC24D1">
      <w:pPr>
        <w:shd w:val="clear" w:color="auto" w:fill="FFFFFF"/>
        <w:spacing w:before="100" w:beforeAutospacing="1" w:after="100" w:afterAutospacing="1" w:line="240" w:lineRule="auto"/>
        <w:rPr>
          <w:rFonts w:ascii="Arial" w:eastAsia="Times New Roman" w:hAnsi="Arial" w:cs="Times New Roman"/>
          <w:i/>
          <w:snapToGrid w:val="0"/>
          <w:sz w:val="20"/>
          <w:lang w:eastAsia="en-AU"/>
        </w:rPr>
      </w:pPr>
      <w:r w:rsidRPr="00164458">
        <w:rPr>
          <w:rFonts w:ascii="Arial" w:eastAsia="Times New Roman" w:hAnsi="Arial" w:cs="Times New Roman"/>
          <w:i/>
          <w:snapToGrid w:val="0"/>
          <w:sz w:val="20"/>
          <w:lang w:eastAsia="en-AU"/>
        </w:rPr>
        <w:t>The protection of a person's right to care for dependants</w:t>
      </w:r>
    </w:p>
    <w:p w:rsidR="00FC24D1" w:rsidRPr="00164458" w:rsidRDefault="00FC24D1" w:rsidP="00FC24D1">
      <w:pPr>
        <w:shd w:val="clear" w:color="auto" w:fill="FFFFFF"/>
        <w:spacing w:before="100" w:beforeAutospacing="1" w:after="100" w:afterAutospacing="1" w:line="240" w:lineRule="auto"/>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t xml:space="preserve">The protection of a person's right to care for dependants engages Article 10 of the </w:t>
      </w:r>
      <w:r w:rsidRPr="00164458">
        <w:rPr>
          <w:rFonts w:ascii="Arial" w:eastAsia="Times New Roman" w:hAnsi="Arial" w:cs="Times New Roman"/>
          <w:i/>
          <w:snapToGrid w:val="0"/>
          <w:sz w:val="20"/>
          <w:lang w:eastAsia="en-AU"/>
        </w:rPr>
        <w:t>International Covenant on Economic, Social and Cultural Rights</w:t>
      </w:r>
      <w:r w:rsidRPr="00164458">
        <w:rPr>
          <w:rFonts w:ascii="Arial" w:eastAsia="Times New Roman" w:hAnsi="Arial" w:cs="Times New Roman"/>
          <w:snapToGrid w:val="0"/>
          <w:sz w:val="20"/>
          <w:lang w:eastAsia="en-AU"/>
        </w:rPr>
        <w:t xml:space="preserve">. Article 10 guarantees the widest possible protection and assistance to families, including their responsibility for the education and care of dependent children. </w:t>
      </w:r>
    </w:p>
    <w:p w:rsidR="00FC24D1" w:rsidRPr="00164458" w:rsidRDefault="00FC24D1" w:rsidP="00FC24D1">
      <w:pPr>
        <w:spacing w:line="240" w:lineRule="auto"/>
        <w:rPr>
          <w:rFonts w:ascii="Arial" w:eastAsia="Times New Roman" w:hAnsi="Arial" w:cs="Times New Roman"/>
          <w:snapToGrid w:val="0"/>
          <w:sz w:val="20"/>
          <w:lang w:eastAsia="en-AU"/>
        </w:rPr>
      </w:pPr>
      <w:r>
        <w:rPr>
          <w:rFonts w:ascii="Arial" w:eastAsia="Times New Roman" w:hAnsi="Arial" w:cs="Times New Roman"/>
          <w:snapToGrid w:val="0"/>
          <w:sz w:val="20"/>
          <w:lang w:eastAsia="en-AU"/>
        </w:rPr>
        <w:t>Schedule 1 of this</w:t>
      </w:r>
      <w:r w:rsidRPr="00164458">
        <w:rPr>
          <w:rFonts w:ascii="Arial" w:eastAsia="Times New Roman" w:hAnsi="Arial" w:cs="Times New Roman"/>
          <w:snapToGrid w:val="0"/>
          <w:sz w:val="20"/>
          <w:lang w:eastAsia="en-AU"/>
        </w:rPr>
        <w:t xml:space="preserve"> Determination provides for a member of the Australian Defence Force the right to remuneration by providing for a close relative of a member to visit a member's spouse or partner who has a serious illness or a very serious illness overseas. The Determination also provides for a member or their spouse or partner to visit a close relative overseas who has a serious illness or a very serious illness.</w:t>
      </w:r>
    </w:p>
    <w:p w:rsidR="00FC24D1" w:rsidRDefault="00FC24D1" w:rsidP="00FC24D1">
      <w:pPr>
        <w:pStyle w:val="BlockText-Plain"/>
        <w:rPr>
          <w:snapToGrid w:val="0"/>
        </w:rPr>
      </w:pPr>
      <w:r>
        <w:rPr>
          <w:snapToGrid w:val="0"/>
        </w:rPr>
        <w:t>T</w:t>
      </w:r>
      <w:r w:rsidRPr="00164458">
        <w:rPr>
          <w:snapToGrid w:val="0"/>
        </w:rPr>
        <w:t>ransitional provision</w:t>
      </w:r>
      <w:r>
        <w:rPr>
          <w:snapToGrid w:val="0"/>
        </w:rPr>
        <w:t>s</w:t>
      </w:r>
      <w:r w:rsidRPr="00164458">
        <w:rPr>
          <w:snapToGrid w:val="0"/>
        </w:rPr>
        <w:t xml:space="preserve"> ha</w:t>
      </w:r>
      <w:r>
        <w:rPr>
          <w:snapToGrid w:val="0"/>
        </w:rPr>
        <w:t>ve</w:t>
      </w:r>
      <w:r w:rsidRPr="00164458">
        <w:rPr>
          <w:snapToGrid w:val="0"/>
        </w:rPr>
        <w:t xml:space="preserve"> been included for a member to be reimbursed the allowable </w:t>
      </w:r>
      <w:r>
        <w:rPr>
          <w:snapToGrid w:val="0"/>
        </w:rPr>
        <w:t>travel cost when they had a close relative who has a serious illness or very serious illness overseas and the member and their spouse or partner travelled to visit the close relative or child. The transitional provision also provides for a member to be reimbursed the allowable travel cost when they had a close relative, or child who is a dependant, who died and the member and their spouse or partner travelled to attend the funeral.</w:t>
      </w:r>
    </w:p>
    <w:p w:rsidR="00FC24D1" w:rsidRDefault="00FC24D1" w:rsidP="00FC24D1">
      <w:pPr>
        <w:pStyle w:val="BlockText-Plain"/>
        <w:rPr>
          <w:snapToGrid w:val="0"/>
        </w:rPr>
      </w:pPr>
      <w:r>
        <w:rPr>
          <w:snapToGrid w:val="0"/>
        </w:rPr>
        <w:t>Schedule 2 of this Determination inserts an approved club for Madrid, Spain into the Principal Determination.  This amendment does not engage human rights.</w:t>
      </w:r>
    </w:p>
    <w:p w:rsidR="00FC24D1" w:rsidRPr="00164458" w:rsidRDefault="00FC24D1" w:rsidP="00FC24D1">
      <w:pPr>
        <w:rPr>
          <w:rFonts w:ascii="Arial" w:eastAsia="Times New Roman" w:hAnsi="Arial" w:cs="Times New Roman"/>
          <w:b/>
          <w:snapToGrid w:val="0"/>
          <w:sz w:val="20"/>
          <w:lang w:eastAsia="en-AU"/>
        </w:rPr>
      </w:pPr>
      <w:r w:rsidRPr="00164458">
        <w:rPr>
          <w:rFonts w:ascii="Arial" w:eastAsia="Times New Roman" w:hAnsi="Arial" w:cs="Times New Roman"/>
          <w:b/>
          <w:snapToGrid w:val="0"/>
          <w:sz w:val="20"/>
          <w:lang w:eastAsia="en-AU"/>
        </w:rPr>
        <w:t>Conclusion</w:t>
      </w:r>
      <w:bookmarkStart w:id="0" w:name="_GoBack"/>
      <w:bookmarkEnd w:id="0"/>
    </w:p>
    <w:p w:rsidR="00FC24D1" w:rsidRPr="00164458" w:rsidRDefault="00FC24D1" w:rsidP="00FC24D1">
      <w:pPr>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lastRenderedPageBreak/>
        <w:t>This Determination is compatible with human rights because it advances the protection of human rights.</w:t>
      </w:r>
    </w:p>
    <w:p w:rsidR="00FC24D1" w:rsidRPr="00164458" w:rsidRDefault="00FC24D1" w:rsidP="00FC24D1">
      <w:pPr>
        <w:jc w:val="center"/>
        <w:rPr>
          <w:rFonts w:ascii="Arial" w:eastAsia="Times New Roman" w:hAnsi="Arial" w:cs="Times New Roman"/>
          <w:snapToGrid w:val="0"/>
          <w:sz w:val="20"/>
          <w:lang w:eastAsia="en-AU"/>
        </w:rPr>
      </w:pPr>
      <w:r w:rsidRPr="00164458">
        <w:rPr>
          <w:rFonts w:ascii="Arial" w:eastAsia="Times New Roman" w:hAnsi="Arial" w:cs="Times New Roman"/>
          <w:snapToGrid w:val="0"/>
          <w:sz w:val="20"/>
          <w:lang w:eastAsia="en-AU"/>
        </w:rPr>
        <w:t xml:space="preserve">Louise </w:t>
      </w:r>
      <w:r>
        <w:rPr>
          <w:rFonts w:ascii="Arial" w:eastAsia="Times New Roman" w:hAnsi="Arial" w:cs="Times New Roman"/>
          <w:snapToGrid w:val="0"/>
          <w:sz w:val="20"/>
          <w:lang w:eastAsia="en-AU"/>
        </w:rPr>
        <w:t>Judith Memmolo</w:t>
      </w:r>
      <w:r w:rsidRPr="00164458">
        <w:rPr>
          <w:rFonts w:ascii="Arial" w:eastAsia="Times New Roman" w:hAnsi="Arial" w:cs="Times New Roman"/>
          <w:snapToGrid w:val="0"/>
          <w:sz w:val="20"/>
          <w:lang w:eastAsia="en-AU"/>
        </w:rPr>
        <w:t>,</w:t>
      </w:r>
      <w:r>
        <w:rPr>
          <w:rFonts w:ascii="Arial" w:eastAsia="Times New Roman" w:hAnsi="Arial" w:cs="Times New Roman"/>
          <w:snapToGrid w:val="0"/>
          <w:sz w:val="20"/>
          <w:lang w:eastAsia="en-AU"/>
        </w:rPr>
        <w:t xml:space="preserve"> Acting </w:t>
      </w:r>
      <w:r w:rsidRPr="00164458">
        <w:rPr>
          <w:rFonts w:ascii="Arial" w:eastAsia="Times New Roman" w:hAnsi="Arial" w:cs="Times New Roman"/>
          <w:snapToGrid w:val="0"/>
          <w:sz w:val="20"/>
          <w:lang w:eastAsia="en-AU"/>
        </w:rPr>
        <w:t>Assistant Secretary People Policy and Employment Conditions</w:t>
      </w:r>
    </w:p>
    <w:p w:rsidR="00FC24D1" w:rsidRDefault="00FC24D1" w:rsidP="00FC24D1">
      <w:pPr>
        <w:pStyle w:val="Sectiontext"/>
      </w:pPr>
    </w:p>
    <w:p w:rsidR="00E27EAA" w:rsidRDefault="00200A45" w:rsidP="00FC24D1"/>
    <w:sectPr w:rsidR="00E27EAA" w:rsidSect="00FC24D1">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45" w:rsidRDefault="00200A45" w:rsidP="00FC24D1">
      <w:pPr>
        <w:spacing w:after="0" w:line="240" w:lineRule="auto"/>
      </w:pPr>
      <w:r>
        <w:separator/>
      </w:r>
    </w:p>
  </w:endnote>
  <w:endnote w:type="continuationSeparator" w:id="0">
    <w:p w:rsidR="00200A45" w:rsidRDefault="00200A45" w:rsidP="00FC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45" w:rsidRDefault="00200A45" w:rsidP="00FC24D1">
      <w:pPr>
        <w:spacing w:after="0" w:line="240" w:lineRule="auto"/>
      </w:pPr>
      <w:r>
        <w:separator/>
      </w:r>
    </w:p>
  </w:footnote>
  <w:footnote w:type="continuationSeparator" w:id="0">
    <w:p w:rsidR="00200A45" w:rsidRDefault="00200A45" w:rsidP="00FC2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F6" w:rsidRDefault="001402F6" w:rsidP="001402F6">
    <w:pPr>
      <w:pStyle w:val="ActHead6"/>
    </w:pPr>
    <w:r>
      <w:t>EXPLANATORY STATEMENT</w:t>
    </w:r>
  </w:p>
  <w:p w:rsidR="001402F6" w:rsidRDefault="001402F6" w:rsidP="001402F6">
    <w:pPr>
      <w:pStyle w:val="ActHead7"/>
      <w:ind w:right="379"/>
    </w:pPr>
    <w:r>
      <w:t xml:space="preserve">Defence Determination, Conditions of service </w:t>
    </w:r>
    <w:r>
      <w:rPr>
        <w:noProof/>
      </w:rPr>
      <w:t>Amendment</w:t>
    </w:r>
    <w:r>
      <w:t xml:space="preserve"> (Compassionate travel and approved clubs) Determination 2019 (No. 15)</w:t>
    </w:r>
  </w:p>
  <w:p w:rsidR="001402F6" w:rsidRDefault="00140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F6" w:rsidRDefault="001402F6" w:rsidP="001402F6">
    <w:pPr>
      <w:pStyle w:val="Sectiontext"/>
      <w:jc w:val="center"/>
    </w:pPr>
    <w:r w:rsidRPr="001402F6">
      <w:rPr>
        <w:b/>
        <w:snapToGrid w:val="0"/>
        <w:sz w:val="30"/>
        <w:szCs w:val="30"/>
      </w:rPr>
      <w:t>Statement of Compatibility with Human Rights</w:t>
    </w:r>
  </w:p>
  <w:p w:rsidR="001402F6" w:rsidRPr="001402F6" w:rsidRDefault="001402F6" w:rsidP="001402F6">
    <w:pPr>
      <w:pStyle w:val="Sectiontext"/>
      <w:jc w:val="center"/>
      <w:rPr>
        <w:i/>
        <w:snapToGrid w:val="0"/>
      </w:rPr>
    </w:pPr>
    <w:r w:rsidRPr="001402F6">
      <w:rPr>
        <w:i/>
        <w:snapToGrid w:val="0"/>
      </w:rPr>
      <w:t>Prepared in accordance with Part 3 of the Human Rights (Parliamentary Scrutiny) Act 2011</w:t>
    </w:r>
  </w:p>
  <w:p w:rsidR="001402F6" w:rsidRPr="001402F6" w:rsidRDefault="001402F6" w:rsidP="001402F6">
    <w:pPr>
      <w:pStyle w:val="Sectiontext"/>
      <w:jc w:val="center"/>
      <w:rPr>
        <w:b/>
        <w:i/>
        <w:noProof/>
      </w:rPr>
    </w:pPr>
    <w:r w:rsidRPr="001402F6">
      <w:rPr>
        <w:b/>
        <w:i/>
        <w:noProof/>
      </w:rPr>
      <w:t>Defence Determination, Conditions of service Amendment (Compassionate travel and approved clubs) Determination 2019 (No.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72664"/>
    <w:multiLevelType w:val="hybridMultilevel"/>
    <w:tmpl w:val="FB0CA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D1"/>
    <w:rsid w:val="001402F6"/>
    <w:rsid w:val="001D0386"/>
    <w:rsid w:val="00200A45"/>
    <w:rsid w:val="002E47B5"/>
    <w:rsid w:val="007B299A"/>
    <w:rsid w:val="007B4C70"/>
    <w:rsid w:val="00934493"/>
    <w:rsid w:val="009F13FE"/>
    <w:rsid w:val="00C81183"/>
    <w:rsid w:val="00FA22B5"/>
    <w:rsid w:val="00FC2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E7BDB"/>
  <w15:chartTrackingRefBased/>
  <w15:docId w15:val="{A31244EA-75A6-4981-8694-23CD7119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qFormat/>
    <w:rsid w:val="007B4C70"/>
    <w:rPr>
      <w:rFonts w:ascii="Arial" w:hAnsi="Arial"/>
      <w:b/>
      <w:color w:val="002060"/>
      <w:sz w:val="30"/>
    </w:rPr>
  </w:style>
  <w:style w:type="paragraph" w:customStyle="1" w:styleId="Divisionheading">
    <w:name w:val="Division heading"/>
    <w:basedOn w:val="Normal"/>
    <w:qFormat/>
    <w:rsid w:val="007B4C70"/>
    <w:pPr>
      <w:spacing w:after="120"/>
    </w:pPr>
    <w:rPr>
      <w:rFonts w:ascii="Arial" w:hAnsi="Arial"/>
      <w:b/>
      <w:color w:val="002060"/>
      <w:sz w:val="26"/>
    </w:rPr>
  </w:style>
  <w:style w:type="paragraph" w:customStyle="1" w:styleId="Sectionheading">
    <w:name w:val="Section heading"/>
    <w:basedOn w:val="Divisionheading"/>
    <w:qFormat/>
    <w:rsid w:val="007B4C70"/>
    <w:pPr>
      <w:spacing w:before="360"/>
    </w:pPr>
    <w:rPr>
      <w:color w:val="auto"/>
      <w:sz w:val="22"/>
    </w:rPr>
  </w:style>
  <w:style w:type="paragraph" w:customStyle="1" w:styleId="Subsection">
    <w:name w:val="Subsection"/>
    <w:basedOn w:val="Sectionheading"/>
    <w:qFormat/>
    <w:rsid w:val="007B4C70"/>
    <w:pPr>
      <w:spacing w:before="0"/>
    </w:pPr>
    <w:rPr>
      <w:b w:val="0"/>
      <w:sz w:val="20"/>
    </w:rPr>
  </w:style>
  <w:style w:type="paragraph" w:customStyle="1" w:styleId="Partheading">
    <w:name w:val="Part heading"/>
    <w:basedOn w:val="Chapterheading"/>
    <w:qFormat/>
    <w:rsid w:val="007B4C70"/>
    <w:pPr>
      <w:spacing w:after="120"/>
    </w:pPr>
    <w:rPr>
      <w:sz w:val="27"/>
    </w:rPr>
  </w:style>
  <w:style w:type="paragraph" w:customStyle="1" w:styleId="ActHead6">
    <w:name w:val="ActHead 6"/>
    <w:aliases w:val="as"/>
    <w:basedOn w:val="Normal"/>
    <w:next w:val="ActHead7"/>
    <w:qFormat/>
    <w:rsid w:val="00FC24D1"/>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7">
    <w:name w:val="ActHead 7"/>
    <w:aliases w:val="ap"/>
    <w:basedOn w:val="Normal"/>
    <w:next w:val="Normal"/>
    <w:qFormat/>
    <w:rsid w:val="00FC24D1"/>
    <w:pPr>
      <w:keepNext/>
      <w:keepLines/>
      <w:spacing w:before="280" w:after="0" w:line="240" w:lineRule="auto"/>
      <w:outlineLvl w:val="6"/>
    </w:pPr>
    <w:rPr>
      <w:rFonts w:ascii="Times New Roman" w:eastAsia="Times New Roman" w:hAnsi="Times New Roman" w:cs="Times New Roman"/>
      <w:b/>
      <w:kern w:val="28"/>
      <w:sz w:val="28"/>
      <w:szCs w:val="20"/>
      <w:lang w:eastAsia="en-AU"/>
    </w:rPr>
  </w:style>
  <w:style w:type="paragraph" w:customStyle="1" w:styleId="BlockText-Plain">
    <w:name w:val="Block Text- Plain"/>
    <w:basedOn w:val="Normal"/>
    <w:link w:val="BlockText-PlainChar"/>
    <w:rsid w:val="00FC24D1"/>
    <w:pPr>
      <w:spacing w:line="240" w:lineRule="auto"/>
    </w:pPr>
    <w:rPr>
      <w:rFonts w:ascii="Arial" w:eastAsia="Times New Roman" w:hAnsi="Arial" w:cs="Times New Roman"/>
      <w:sz w:val="20"/>
      <w:szCs w:val="20"/>
      <w:lang w:eastAsia="en-AU"/>
    </w:rPr>
  </w:style>
  <w:style w:type="character" w:customStyle="1" w:styleId="BlockText-PlainChar">
    <w:name w:val="Block Text- Plain Char"/>
    <w:basedOn w:val="DefaultParagraphFont"/>
    <w:link w:val="BlockText-Plain"/>
    <w:rsid w:val="00FC24D1"/>
    <w:rPr>
      <w:rFonts w:ascii="Arial" w:eastAsia="Times New Roman" w:hAnsi="Arial" w:cs="Times New Roman"/>
      <w:sz w:val="20"/>
      <w:szCs w:val="20"/>
      <w:lang w:eastAsia="en-AU"/>
    </w:rPr>
  </w:style>
  <w:style w:type="paragraph" w:styleId="Header">
    <w:name w:val="header"/>
    <w:basedOn w:val="Normal"/>
    <w:link w:val="HeaderChar"/>
    <w:uiPriority w:val="99"/>
    <w:unhideWhenUsed/>
    <w:rsid w:val="00FC2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4D1"/>
  </w:style>
  <w:style w:type="paragraph" w:styleId="Footer">
    <w:name w:val="footer"/>
    <w:basedOn w:val="Normal"/>
    <w:link w:val="FooterChar"/>
    <w:uiPriority w:val="99"/>
    <w:unhideWhenUsed/>
    <w:rsid w:val="00FC2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4D1"/>
  </w:style>
  <w:style w:type="paragraph" w:customStyle="1" w:styleId="Sectiontext">
    <w:name w:val="Section text"/>
    <w:basedOn w:val="Normal"/>
    <w:link w:val="SectiontextChar"/>
    <w:qFormat/>
    <w:rsid w:val="00FC24D1"/>
    <w:pPr>
      <w:spacing w:line="240" w:lineRule="auto"/>
    </w:pPr>
    <w:rPr>
      <w:rFonts w:ascii="Arial" w:eastAsia="Times New Roman" w:hAnsi="Arial" w:cs="Times New Roman"/>
      <w:sz w:val="20"/>
      <w:szCs w:val="20"/>
      <w:lang w:eastAsia="en-AU"/>
    </w:rPr>
  </w:style>
  <w:style w:type="character" w:customStyle="1" w:styleId="SectiontextChar">
    <w:name w:val="Section text Char"/>
    <w:basedOn w:val="DefaultParagraphFont"/>
    <w:link w:val="Sectiontext"/>
    <w:rsid w:val="00FC24D1"/>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D3E8DEBC</Template>
  <TotalTime>21</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Liam MR 1</dc:creator>
  <cp:keywords/>
  <dc:description/>
  <cp:lastModifiedBy>Wilson, Liam MR 1</cp:lastModifiedBy>
  <cp:revision>2</cp:revision>
  <dcterms:created xsi:type="dcterms:W3CDTF">2019-05-30T22:38:00Z</dcterms:created>
  <dcterms:modified xsi:type="dcterms:W3CDTF">2019-05-30T23:02:00Z</dcterms:modified>
</cp:coreProperties>
</file>