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918A2" w14:textId="77777777" w:rsidR="0069748D" w:rsidRPr="00795D86" w:rsidRDefault="0069748D" w:rsidP="0069748D">
      <w:pPr>
        <w:rPr>
          <w:lang w:bidi="ar-SA"/>
        </w:rPr>
      </w:pPr>
    </w:p>
    <w:p w14:paraId="0842EC07" w14:textId="77777777" w:rsidR="0069748D" w:rsidRDefault="0069748D" w:rsidP="0069748D">
      <w:pPr>
        <w:pStyle w:val="Heading2"/>
        <w:ind w:left="0" w:firstLine="0"/>
      </w:pPr>
      <w:bookmarkStart w:id="0" w:name="_Toc535499171"/>
      <w:r>
        <w:t>Explanatory Statement</w:t>
      </w:r>
      <w:bookmarkStart w:id="1" w:name="_GoBack"/>
      <w:bookmarkEnd w:id="0"/>
      <w:bookmarkEnd w:id="1"/>
    </w:p>
    <w:p w14:paraId="0A657CFF" w14:textId="77777777" w:rsidR="0069748D" w:rsidRPr="000576EB" w:rsidRDefault="0069748D" w:rsidP="0069748D">
      <w:pPr>
        <w:rPr>
          <w:b/>
          <w:lang w:val="en-AU" w:eastAsia="en-GB" w:bidi="ar-SA"/>
        </w:rPr>
      </w:pPr>
      <w:r w:rsidRPr="000576EB">
        <w:rPr>
          <w:b/>
          <w:lang w:val="en-AU" w:eastAsia="en-GB" w:bidi="ar-SA"/>
        </w:rPr>
        <w:t>1.</w:t>
      </w:r>
      <w:r w:rsidRPr="000576EB">
        <w:rPr>
          <w:b/>
          <w:lang w:val="en-AU" w:eastAsia="en-GB" w:bidi="ar-SA"/>
        </w:rPr>
        <w:tab/>
        <w:t>Authority</w:t>
      </w:r>
    </w:p>
    <w:p w14:paraId="7278FBCE" w14:textId="77777777" w:rsidR="0069748D" w:rsidRDefault="0069748D" w:rsidP="0069748D">
      <w:pPr>
        <w:rPr>
          <w:lang w:val="en-AU" w:eastAsia="en-GB" w:bidi="ar-SA"/>
        </w:rPr>
      </w:pPr>
    </w:p>
    <w:p w14:paraId="2660FE61" w14:textId="77777777" w:rsidR="0069748D" w:rsidRPr="00D13E34" w:rsidRDefault="0069748D" w:rsidP="0069748D">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720BA27B" w14:textId="77777777" w:rsidR="0069748D" w:rsidRPr="00D13E34" w:rsidRDefault="0069748D" w:rsidP="0069748D">
      <w:pPr>
        <w:widowControl/>
        <w:autoSpaceDE w:val="0"/>
        <w:autoSpaceDN w:val="0"/>
        <w:adjustRightInd w:val="0"/>
        <w:rPr>
          <w:rFonts w:eastAsia="Calibri" w:cs="Arial"/>
          <w:bCs/>
          <w:szCs w:val="22"/>
          <w:lang w:val="en-AU" w:bidi="ar-SA"/>
        </w:rPr>
      </w:pPr>
    </w:p>
    <w:p w14:paraId="43654151" w14:textId="77777777" w:rsidR="0069748D" w:rsidRPr="001B4433" w:rsidRDefault="0069748D" w:rsidP="0069748D">
      <w:pPr>
        <w:widowControl/>
        <w:autoSpaceDE w:val="0"/>
        <w:autoSpaceDN w:val="0"/>
        <w:adjustRightInd w:val="0"/>
        <w:rPr>
          <w:rFonts w:eastAsia="Calibri" w:cs="Arial"/>
          <w:bCs/>
          <w:szCs w:val="22"/>
          <w:lang w:val="en-AU" w:bidi="ar-SA"/>
        </w:rPr>
      </w:pPr>
      <w:r w:rsidRPr="001B4433">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E87AB5A" w14:textId="77777777" w:rsidR="0069748D" w:rsidRPr="001B4433" w:rsidRDefault="0069748D" w:rsidP="0069748D">
      <w:pPr>
        <w:widowControl/>
        <w:autoSpaceDE w:val="0"/>
        <w:autoSpaceDN w:val="0"/>
        <w:adjustRightInd w:val="0"/>
        <w:rPr>
          <w:rFonts w:eastAsia="Calibri" w:cs="Arial"/>
          <w:bCs/>
          <w:szCs w:val="22"/>
          <w:lang w:val="en-AU" w:bidi="ar-SA"/>
        </w:rPr>
      </w:pPr>
    </w:p>
    <w:p w14:paraId="55C556E3" w14:textId="77777777" w:rsidR="0069748D" w:rsidRPr="001B4433" w:rsidRDefault="0069748D" w:rsidP="0069748D">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Pr="001B4433">
        <w:rPr>
          <w:rFonts w:eastAsia="Calibri" w:cs="Arial"/>
          <w:bCs/>
          <w:szCs w:val="22"/>
          <w:lang w:val="en-AU" w:bidi="ar-SA"/>
        </w:rPr>
        <w:t xml:space="preserve"> accepted </w:t>
      </w:r>
      <w:r>
        <w:rPr>
          <w:rFonts w:eastAsia="Calibri" w:cs="Arial"/>
          <w:bCs/>
          <w:szCs w:val="22"/>
          <w:lang w:val="en-AU" w:bidi="ar-SA"/>
        </w:rPr>
        <w:t>a</w:t>
      </w:r>
      <w:r w:rsidRPr="001B4433">
        <w:rPr>
          <w:rFonts w:eastAsia="Calibri" w:cs="Arial"/>
          <w:bCs/>
          <w:szCs w:val="22"/>
          <w:lang w:val="en-AU" w:bidi="ar-SA"/>
        </w:rPr>
        <w:t xml:space="preserve">pplication A1149 which seeks to permit the use of steviol glycosides as a food additive – intense sweetener in fruit drinks. The Authority considered the application in accordance with Division 1 of Part 3 and has </w:t>
      </w:r>
      <w:r>
        <w:rPr>
          <w:rFonts w:eastAsia="Calibri" w:cs="Arial"/>
          <w:bCs/>
          <w:szCs w:val="22"/>
          <w:lang w:val="en-AU" w:bidi="ar-SA"/>
        </w:rPr>
        <w:t>approved</w:t>
      </w:r>
      <w:r w:rsidRPr="001B4433">
        <w:rPr>
          <w:rFonts w:eastAsia="Calibri" w:cs="Arial"/>
          <w:bCs/>
          <w:szCs w:val="22"/>
          <w:lang w:val="en-AU" w:bidi="ar-SA"/>
        </w:rPr>
        <w:t xml:space="preserve"> a draft </w:t>
      </w:r>
      <w:r>
        <w:rPr>
          <w:rFonts w:eastAsia="Calibri" w:cs="Arial"/>
          <w:bCs/>
          <w:szCs w:val="22"/>
          <w:lang w:val="en-AU" w:bidi="ar-SA"/>
        </w:rPr>
        <w:t>variation of a Standard</w:t>
      </w:r>
      <w:r w:rsidRPr="001B4433">
        <w:rPr>
          <w:rFonts w:eastAsia="Calibri" w:cs="Arial"/>
          <w:bCs/>
          <w:szCs w:val="22"/>
          <w:lang w:val="en-AU" w:bidi="ar-SA"/>
        </w:rPr>
        <w:t xml:space="preserve">. </w:t>
      </w:r>
    </w:p>
    <w:p w14:paraId="0EA32F57" w14:textId="77777777" w:rsidR="0069748D" w:rsidRDefault="0069748D" w:rsidP="0069748D">
      <w:pPr>
        <w:widowControl/>
        <w:autoSpaceDE w:val="0"/>
        <w:autoSpaceDN w:val="0"/>
        <w:adjustRightInd w:val="0"/>
        <w:rPr>
          <w:rFonts w:eastAsia="Calibri" w:cs="Arial"/>
          <w:bCs/>
          <w:szCs w:val="22"/>
          <w:lang w:val="en-AU" w:bidi="ar-SA"/>
        </w:rPr>
      </w:pPr>
    </w:p>
    <w:p w14:paraId="255BCD29" w14:textId="77777777" w:rsidR="0069748D" w:rsidRDefault="0069748D" w:rsidP="0069748D">
      <w:pPr>
        <w:widowControl/>
        <w:autoSpaceDE w:val="0"/>
        <w:autoSpaceDN w:val="0"/>
        <w:adjustRightInd w:val="0"/>
        <w:rPr>
          <w:rFonts w:eastAsia="Calibri" w:cs="Arial"/>
          <w:bCs/>
          <w:szCs w:val="22"/>
          <w:lang w:val="en-AU" w:bidi="ar-SA"/>
        </w:rPr>
      </w:pPr>
      <w:r>
        <w:rPr>
          <w:rFonts w:eastAsia="Calibri" w:cs="Arial"/>
          <w:bCs/>
          <w:szCs w:val="22"/>
          <w:lang w:val="en-AU" w:bidi="ar-SA"/>
        </w:rPr>
        <w:t>Following consideration by the Australia and New Zealand Ministerial Forum on Food regulation, section 92 of the FSANZ Act stipulates that the Authority must publish a notice about the standard or draft variation of a standard.</w:t>
      </w:r>
    </w:p>
    <w:p w14:paraId="4DDA6C58" w14:textId="77777777" w:rsidR="0069748D" w:rsidRDefault="0069748D" w:rsidP="0069748D">
      <w:pPr>
        <w:widowControl/>
        <w:autoSpaceDE w:val="0"/>
        <w:autoSpaceDN w:val="0"/>
        <w:adjustRightInd w:val="0"/>
        <w:rPr>
          <w:rFonts w:eastAsia="Calibri" w:cs="Arial"/>
          <w:bCs/>
          <w:szCs w:val="22"/>
          <w:lang w:val="en-AU" w:bidi="ar-SA"/>
        </w:rPr>
      </w:pPr>
    </w:p>
    <w:p w14:paraId="4F7B4CA0" w14:textId="77777777" w:rsidR="0069748D" w:rsidRPr="00D13E34" w:rsidRDefault="0069748D" w:rsidP="0069748D">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Section 94 of the FSANZ Act specifies that a standard, or a variation of a standard, in relation to which a notice is published under section 92 is a legislative instrument, but is not subject to parliamentary disallowance or sunsetting under the Legislation Act 2003. </w:t>
      </w:r>
    </w:p>
    <w:p w14:paraId="48377C1A" w14:textId="77777777" w:rsidR="0069748D" w:rsidRDefault="0069748D" w:rsidP="0069748D">
      <w:pPr>
        <w:rPr>
          <w:lang w:val="en-AU" w:eastAsia="en-GB" w:bidi="ar-SA"/>
        </w:rPr>
      </w:pPr>
    </w:p>
    <w:p w14:paraId="13A0D374" w14:textId="77777777" w:rsidR="0069748D" w:rsidRDefault="0069748D" w:rsidP="0069748D">
      <w:pPr>
        <w:rPr>
          <w:b/>
          <w:lang w:val="en-AU" w:eastAsia="en-GB" w:bidi="ar-SA"/>
        </w:rPr>
      </w:pPr>
      <w:r>
        <w:rPr>
          <w:b/>
          <w:lang w:val="en-AU" w:eastAsia="en-GB" w:bidi="ar-SA"/>
        </w:rPr>
        <w:t>2.</w:t>
      </w:r>
      <w:r>
        <w:rPr>
          <w:b/>
          <w:lang w:val="en-AU" w:eastAsia="en-GB" w:bidi="ar-SA"/>
        </w:rPr>
        <w:tab/>
        <w:t xml:space="preserve">Purpose </w:t>
      </w:r>
    </w:p>
    <w:p w14:paraId="1BDCD319" w14:textId="77777777" w:rsidR="0069748D" w:rsidRDefault="0069748D" w:rsidP="0069748D">
      <w:pPr>
        <w:rPr>
          <w:lang w:val="en-AU" w:eastAsia="en-GB" w:bidi="ar-SA"/>
        </w:rPr>
      </w:pPr>
    </w:p>
    <w:p w14:paraId="019B2447" w14:textId="77777777" w:rsidR="0069748D" w:rsidRDefault="0069748D" w:rsidP="0069748D">
      <w:pPr>
        <w:rPr>
          <w:lang w:val="en-AU" w:eastAsia="en-GB" w:bidi="ar-SA"/>
        </w:rPr>
      </w:pPr>
      <w:r>
        <w:rPr>
          <w:lang w:val="en-AU" w:eastAsia="en-GB" w:bidi="ar-SA"/>
        </w:rPr>
        <w:t xml:space="preserve">The Authority has approved </w:t>
      </w:r>
      <w:r w:rsidRPr="001B4433">
        <w:rPr>
          <w:lang w:val="en-AU" w:eastAsia="en-GB" w:bidi="ar-SA"/>
        </w:rPr>
        <w:t>a draft variation to the Code to permit steviol glycosides</w:t>
      </w:r>
      <w:r>
        <w:rPr>
          <w:lang w:val="en-AU" w:eastAsia="en-GB" w:bidi="ar-SA"/>
        </w:rPr>
        <w:t xml:space="preserve"> as a food additive – intense sweetener at a maximum permitted level of 200 mg/kg steviol equivalents in fruit drinks.</w:t>
      </w:r>
    </w:p>
    <w:p w14:paraId="37CB6221" w14:textId="77777777" w:rsidR="0069748D" w:rsidRDefault="0069748D" w:rsidP="0069748D">
      <w:pPr>
        <w:rPr>
          <w:lang w:val="en-AU" w:eastAsia="en-GB" w:bidi="ar-SA"/>
        </w:rPr>
      </w:pPr>
    </w:p>
    <w:p w14:paraId="10805785" w14:textId="77777777" w:rsidR="0069748D" w:rsidRPr="000576EB" w:rsidRDefault="0069748D" w:rsidP="0069748D">
      <w:pPr>
        <w:rPr>
          <w:b/>
          <w:lang w:val="en-AU" w:eastAsia="en-GB" w:bidi="ar-SA"/>
        </w:rPr>
      </w:pPr>
      <w:r w:rsidRPr="000576EB">
        <w:rPr>
          <w:b/>
          <w:lang w:val="en-AU" w:eastAsia="en-GB" w:bidi="ar-SA"/>
        </w:rPr>
        <w:t>3.</w:t>
      </w:r>
      <w:r w:rsidRPr="000576EB">
        <w:rPr>
          <w:b/>
          <w:lang w:val="en-AU" w:eastAsia="en-GB" w:bidi="ar-SA"/>
        </w:rPr>
        <w:tab/>
        <w:t>Documents incorporated by reference</w:t>
      </w:r>
    </w:p>
    <w:p w14:paraId="26AA4BDB" w14:textId="77777777" w:rsidR="0069748D" w:rsidRDefault="0069748D" w:rsidP="0069748D">
      <w:pPr>
        <w:rPr>
          <w:lang w:val="en-AU" w:eastAsia="en-GB" w:bidi="ar-SA"/>
        </w:rPr>
      </w:pPr>
    </w:p>
    <w:p w14:paraId="6E2CCF6C" w14:textId="77777777" w:rsidR="0069748D" w:rsidRPr="00D13E34" w:rsidRDefault="0069748D" w:rsidP="0069748D">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481E4B49" w14:textId="77777777" w:rsidR="0069748D" w:rsidRDefault="0069748D" w:rsidP="0069748D">
      <w:pPr>
        <w:rPr>
          <w:lang w:val="en-AU" w:eastAsia="en-GB" w:bidi="ar-SA"/>
        </w:rPr>
      </w:pPr>
    </w:p>
    <w:p w14:paraId="4D3AFC78" w14:textId="77777777" w:rsidR="0069748D" w:rsidRPr="000576EB" w:rsidRDefault="0069748D" w:rsidP="0069748D">
      <w:pPr>
        <w:rPr>
          <w:b/>
          <w:lang w:val="en-AU" w:eastAsia="en-GB" w:bidi="ar-SA"/>
        </w:rPr>
      </w:pPr>
      <w:r w:rsidRPr="000576EB">
        <w:rPr>
          <w:b/>
          <w:lang w:val="en-AU" w:eastAsia="en-GB" w:bidi="ar-SA"/>
        </w:rPr>
        <w:t>4.</w:t>
      </w:r>
      <w:r w:rsidRPr="000576EB">
        <w:rPr>
          <w:b/>
          <w:lang w:val="en-AU" w:eastAsia="en-GB" w:bidi="ar-SA"/>
        </w:rPr>
        <w:tab/>
        <w:t>Consultation</w:t>
      </w:r>
    </w:p>
    <w:p w14:paraId="6AF47656" w14:textId="77777777" w:rsidR="0069748D" w:rsidRDefault="0069748D" w:rsidP="0069748D">
      <w:pPr>
        <w:rPr>
          <w:lang w:val="en-AU" w:eastAsia="en-GB" w:bidi="ar-SA"/>
        </w:rPr>
      </w:pPr>
    </w:p>
    <w:p w14:paraId="3F6CACEA" w14:textId="77777777" w:rsidR="0069748D" w:rsidRDefault="0069748D" w:rsidP="0069748D">
      <w:r w:rsidRPr="00F634A1">
        <w:t xml:space="preserve">In accordance with the procedure in Division </w:t>
      </w:r>
      <w:r>
        <w:t xml:space="preserve">1 </w:t>
      </w:r>
      <w:r w:rsidRPr="00F634A1">
        <w:t xml:space="preserve">of Part </w:t>
      </w:r>
      <w:r>
        <w:t>3</w:t>
      </w:r>
      <w:r w:rsidRPr="00D06616">
        <w:t xml:space="preserve"> </w:t>
      </w:r>
      <w:r w:rsidRPr="00F634A1">
        <w:t xml:space="preserve">of the FSANZ Act, </w:t>
      </w:r>
      <w:r w:rsidRPr="00F634A1">
        <w:rPr>
          <w:rFonts w:eastAsia="Calibri" w:cs="Arial"/>
          <w:bCs/>
          <w:lang w:val="en-AU" w:bidi="ar-SA"/>
        </w:rPr>
        <w:t>the Authority</w:t>
      </w:r>
      <w:r w:rsidRPr="00F634A1">
        <w:t xml:space="preserve">’s consideration of </w:t>
      </w:r>
      <w:r>
        <w:t>application</w:t>
      </w:r>
      <w:r w:rsidRPr="00D06616">
        <w:t xml:space="preserve"> </w:t>
      </w:r>
      <w:r>
        <w:t xml:space="preserve">A1149 </w:t>
      </w:r>
      <w:r w:rsidRPr="00F634A1">
        <w:t xml:space="preserve">included </w:t>
      </w:r>
      <w:r w:rsidRPr="00D06616">
        <w:t>one round of public consultation</w:t>
      </w:r>
      <w:r>
        <w:t xml:space="preserve"> following an assessment and the preparation of a draft variation </w:t>
      </w:r>
      <w:r w:rsidRPr="00F634A1">
        <w:t xml:space="preserve"> </w:t>
      </w:r>
      <w:r>
        <w:t>and associated assessment summary. Submissions were called for on 9 October 2012</w:t>
      </w:r>
      <w:r w:rsidRPr="00D06616">
        <w:t xml:space="preserve"> for a </w:t>
      </w:r>
      <w:r>
        <w:t>four</w:t>
      </w:r>
      <w:r w:rsidRPr="00D06616">
        <w:t xml:space="preserve">-week consultation period. </w:t>
      </w:r>
    </w:p>
    <w:p w14:paraId="47326799" w14:textId="77777777" w:rsidR="0069748D" w:rsidRPr="00493262" w:rsidRDefault="0069748D" w:rsidP="0069748D">
      <w:pPr>
        <w:rPr>
          <w:lang w:val="en-AU"/>
        </w:rPr>
      </w:pPr>
    </w:p>
    <w:p w14:paraId="73BD2335" w14:textId="77777777" w:rsidR="0069748D" w:rsidRPr="00D06616" w:rsidRDefault="0069748D" w:rsidP="0069748D">
      <w:pPr>
        <w:rPr>
          <w:rFonts w:cs="Arial"/>
        </w:rPr>
      </w:pPr>
      <w:r w:rsidRPr="00D06616">
        <w:rPr>
          <w:rFonts w:eastAsia="Calibri" w:cs="Arial"/>
          <w:bCs/>
          <w:lang w:val="en-AU" w:bidi="ar-SA"/>
        </w:rPr>
        <w:t>A Reg</w:t>
      </w:r>
      <w:r>
        <w:rPr>
          <w:rFonts w:eastAsia="Calibri" w:cs="Arial"/>
          <w:bCs/>
          <w:lang w:val="en-AU" w:bidi="ar-SA"/>
        </w:rPr>
        <w:t>ulation Impact Statement wa</w:t>
      </w:r>
      <w:r w:rsidRPr="00D06616">
        <w:rPr>
          <w:rFonts w:eastAsia="Calibri" w:cs="Arial"/>
          <w:bCs/>
          <w:lang w:val="en-AU" w:bidi="ar-SA"/>
        </w:rPr>
        <w:t>s not required</w:t>
      </w:r>
      <w:r>
        <w:rPr>
          <w:rFonts w:eastAsia="Calibri" w:cs="Arial"/>
          <w:bCs/>
          <w:lang w:val="en-AU" w:bidi="ar-SA"/>
        </w:rPr>
        <w:t xml:space="preserve"> because the proposed variation</w:t>
      </w:r>
      <w:r w:rsidRPr="00D06616">
        <w:rPr>
          <w:rFonts w:eastAsia="Calibri" w:cs="Arial"/>
          <w:bCs/>
          <w:lang w:val="en-AU" w:bidi="ar-SA"/>
        </w:rPr>
        <w:t xml:space="preserve"> to </w:t>
      </w:r>
      <w:r>
        <w:rPr>
          <w:rFonts w:eastAsia="Calibri" w:cs="Arial"/>
          <w:bCs/>
          <w:lang w:val="en-AU" w:bidi="ar-SA"/>
        </w:rPr>
        <w:t xml:space="preserve">Schedule 15 is likely to have </w:t>
      </w:r>
      <w:r w:rsidRPr="00D06616">
        <w:t>a minor impact on business and individuals</w:t>
      </w:r>
      <w:r>
        <w:t xml:space="preserve"> and its use as a food additive is voluntary. </w:t>
      </w:r>
    </w:p>
    <w:p w14:paraId="39FCA529" w14:textId="77777777" w:rsidR="0069748D" w:rsidRDefault="0069748D" w:rsidP="0069748D">
      <w:pPr>
        <w:rPr>
          <w:color w:val="FF0000"/>
          <w:lang w:val="en-AU" w:eastAsia="en-GB" w:bidi="ar-SA"/>
        </w:rPr>
      </w:pPr>
    </w:p>
    <w:p w14:paraId="2C58E7F1" w14:textId="77777777" w:rsidR="0069748D" w:rsidRDefault="0069748D" w:rsidP="0069748D">
      <w:pPr>
        <w:widowControl/>
        <w:rPr>
          <w:rFonts w:eastAsiaTheme="minorHAnsi" w:cs="Arial"/>
          <w:b/>
          <w:bCs/>
          <w:szCs w:val="22"/>
          <w:lang w:val="en-AU" w:bidi="ar-SA"/>
        </w:rPr>
      </w:pPr>
      <w:r>
        <w:rPr>
          <w:rFonts w:eastAsiaTheme="minorHAnsi" w:cs="Arial"/>
          <w:b/>
          <w:bCs/>
          <w:szCs w:val="22"/>
          <w:lang w:val="en-AU" w:bidi="ar-SA"/>
        </w:rPr>
        <w:lastRenderedPageBreak/>
        <w:t>5.</w:t>
      </w:r>
      <w:r>
        <w:rPr>
          <w:rFonts w:eastAsiaTheme="minorHAnsi" w:cs="Arial"/>
          <w:b/>
          <w:bCs/>
          <w:szCs w:val="22"/>
          <w:lang w:val="en-AU" w:bidi="ar-SA"/>
        </w:rPr>
        <w:tab/>
        <w:t>Statement of compatibility with human rights</w:t>
      </w:r>
    </w:p>
    <w:p w14:paraId="69C6DE6B" w14:textId="77777777" w:rsidR="0069748D" w:rsidRDefault="0069748D" w:rsidP="0069748D">
      <w:pPr>
        <w:rPr>
          <w:rFonts w:eastAsiaTheme="minorHAnsi"/>
          <w:lang w:val="en-AU" w:bidi="ar-SA"/>
        </w:rPr>
      </w:pPr>
    </w:p>
    <w:p w14:paraId="0D4F8EDC" w14:textId="77777777" w:rsidR="0069748D" w:rsidRDefault="0069748D" w:rsidP="0069748D">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4028352F" w14:textId="77777777" w:rsidR="0069748D" w:rsidRDefault="0069748D" w:rsidP="0069748D">
      <w:pPr>
        <w:rPr>
          <w:rFonts w:eastAsiaTheme="minorHAnsi"/>
          <w:lang w:val="en-AU" w:bidi="ar-SA"/>
        </w:rPr>
      </w:pPr>
    </w:p>
    <w:p w14:paraId="618D2CCE" w14:textId="77777777" w:rsidR="0069748D" w:rsidRDefault="0069748D" w:rsidP="0069748D">
      <w:pPr>
        <w:rPr>
          <w:rFonts w:eastAsiaTheme="minorHAnsi"/>
          <w:lang w:val="en-AU" w:bidi="ar-SA"/>
        </w:rPr>
      </w:pPr>
    </w:p>
    <w:p w14:paraId="7FFCC7C7" w14:textId="77777777" w:rsidR="0069748D" w:rsidRPr="00432A42" w:rsidRDefault="0069748D" w:rsidP="0069748D">
      <w:pPr>
        <w:rPr>
          <w:b/>
          <w:lang w:val="en-AU" w:eastAsia="en-GB" w:bidi="ar-SA"/>
        </w:rPr>
      </w:pPr>
      <w:r w:rsidRPr="00432A42">
        <w:rPr>
          <w:b/>
        </w:rPr>
        <w:t>6.</w:t>
      </w:r>
      <w:r w:rsidRPr="00432A42">
        <w:rPr>
          <w:b/>
        </w:rPr>
        <w:tab/>
      </w:r>
      <w:r>
        <w:rPr>
          <w:b/>
          <w:lang w:val="en-AU" w:eastAsia="en-GB" w:bidi="ar-SA"/>
        </w:rPr>
        <w:t>Variation</w:t>
      </w:r>
    </w:p>
    <w:p w14:paraId="1F89218B" w14:textId="77777777" w:rsidR="0069748D" w:rsidRDefault="0069748D" w:rsidP="0069748D"/>
    <w:p w14:paraId="6AD89BE6" w14:textId="77777777" w:rsidR="0069748D" w:rsidRDefault="0069748D" w:rsidP="0069748D">
      <w:r w:rsidRPr="009606B6">
        <w:t>Item [1] amends Schedule 15 by inserting</w:t>
      </w:r>
      <w:r>
        <w:t xml:space="preserve"> </w:t>
      </w:r>
      <w:r w:rsidRPr="009606B6">
        <w:t xml:space="preserve">item </w:t>
      </w:r>
      <w:r w:rsidRPr="00B36513">
        <w:t>14.1.2.2.1 of the table to section S15</w:t>
      </w:r>
      <w:r>
        <w:t>—</w:t>
      </w:r>
      <w:r w:rsidRPr="00B36513">
        <w:t>5</w:t>
      </w:r>
      <w:r>
        <w:t xml:space="preserve"> an entry for steviol glycosides with a maximum permitted level of 200 mg/kg steviol equivalents. The effect of this amendment will be to permit, for the purposes of Standards 1.1.1 and 1.3.1, the use in fruit drink of steviol glycosides subject to a maximum permitted level of 2</w:t>
      </w:r>
      <w:r w:rsidRPr="00277FE8">
        <w:t>00 mg/kg</w:t>
      </w:r>
      <w:r>
        <w:t xml:space="preserve"> steviol equivalents</w:t>
      </w:r>
      <w:r w:rsidRPr="00277FE8">
        <w:t xml:space="preserve">. </w:t>
      </w:r>
      <w:bookmarkStart w:id="2" w:name="_Toc523922026"/>
      <w:bookmarkStart w:id="3" w:name="_Toc524356806"/>
      <w:bookmarkStart w:id="4" w:name="_Toc523922027"/>
      <w:bookmarkStart w:id="5" w:name="_Toc524356807"/>
      <w:bookmarkStart w:id="6" w:name="_Toc11735637"/>
      <w:bookmarkStart w:id="7" w:name="_Toc29883122"/>
      <w:bookmarkStart w:id="8" w:name="_Toc41906809"/>
      <w:bookmarkStart w:id="9" w:name="_Toc41907556"/>
      <w:bookmarkStart w:id="10" w:name="_Toc120358587"/>
      <w:bookmarkStart w:id="11" w:name="_Toc175381446"/>
      <w:bookmarkStart w:id="12" w:name="_Toc175381454"/>
      <w:bookmarkEnd w:id="2"/>
      <w:bookmarkEnd w:id="3"/>
      <w:bookmarkEnd w:id="4"/>
      <w:bookmarkEnd w:id="5"/>
    </w:p>
    <w:bookmarkEnd w:id="6"/>
    <w:bookmarkEnd w:id="7"/>
    <w:bookmarkEnd w:id="8"/>
    <w:bookmarkEnd w:id="9"/>
    <w:bookmarkEnd w:id="10"/>
    <w:bookmarkEnd w:id="11"/>
    <w:bookmarkEnd w:id="12"/>
    <w:p w14:paraId="12E1AE8F" w14:textId="77777777" w:rsidR="0069748D" w:rsidRPr="00B453DB" w:rsidRDefault="0069748D" w:rsidP="0069748D">
      <w:pPr>
        <w:widowControl/>
      </w:pPr>
    </w:p>
    <w:p w14:paraId="76F25BEB" w14:textId="77777777" w:rsidR="00D5526B" w:rsidRPr="003A01FB" w:rsidRDefault="00D5526B" w:rsidP="003A01FB"/>
    <w:sectPr w:rsidR="00D5526B" w:rsidRPr="003A01FB" w:rsidSect="00EB576F">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DF293" w14:textId="77777777" w:rsidR="00206B93" w:rsidRDefault="00206B93" w:rsidP="0069748D">
      <w:r>
        <w:separator/>
      </w:r>
    </w:p>
  </w:endnote>
  <w:endnote w:type="continuationSeparator" w:id="0">
    <w:p w14:paraId="46AFF5F3" w14:textId="77777777" w:rsidR="00206B93" w:rsidRDefault="00206B93" w:rsidP="0069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B575" w14:textId="77777777" w:rsidR="00206B93" w:rsidRDefault="00206B93" w:rsidP="0069748D">
      <w:r>
        <w:separator/>
      </w:r>
    </w:p>
  </w:footnote>
  <w:footnote w:type="continuationSeparator" w:id="0">
    <w:p w14:paraId="09F101C7" w14:textId="77777777" w:rsidR="00206B93" w:rsidRDefault="00206B93" w:rsidP="00697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8D"/>
    <w:rsid w:val="0000542C"/>
    <w:rsid w:val="00041643"/>
    <w:rsid w:val="000622E7"/>
    <w:rsid w:val="00066854"/>
    <w:rsid w:val="00066D85"/>
    <w:rsid w:val="000A38F8"/>
    <w:rsid w:val="000F2196"/>
    <w:rsid w:val="001734EA"/>
    <w:rsid w:val="00184403"/>
    <w:rsid w:val="00191770"/>
    <w:rsid w:val="001C5126"/>
    <w:rsid w:val="001E696B"/>
    <w:rsid w:val="00206B93"/>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9748D"/>
    <w:rsid w:val="006B6900"/>
    <w:rsid w:val="006D473E"/>
    <w:rsid w:val="007201F8"/>
    <w:rsid w:val="00793DE6"/>
    <w:rsid w:val="007A00F4"/>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36D6B"/>
  <w15:chartTrackingRefBased/>
  <w15:docId w15:val="{9AAC563B-5F1B-4BAC-A46C-2EE0EB93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69748D"/>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_dlc_DocId xmlns="ff5de93e-c5e8-4efc-a1bd-21450292fcfe">X3VAMR3A5FUY-552-7283</_dlc_DocId>
    <_dlc_DocIdUrl xmlns="ff5de93e-c5e8-4efc-a1bd-21450292fcfe">
      <Url>http://teams/Sections/RAP/_layouts/15/DocIdRedir.aspx?ID=X3VAMR3A5FUY-552-7283</Url>
      <Description>X3VAMR3A5FUY-552-7283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A652-A121-480E-A197-AC2F5412C1D5}">
  <ds:schemaRefs>
    <ds:schemaRef ds:uri="http://schemas.microsoft.com/sharepoint/v3/contenttype/forms"/>
  </ds:schemaRefs>
</ds:datastoreItem>
</file>

<file path=customXml/itemProps2.xml><?xml version="1.0" encoding="utf-8"?>
<ds:datastoreItem xmlns:ds="http://schemas.openxmlformats.org/officeDocument/2006/customXml" ds:itemID="{694B71F8-7E94-4EC8-96F2-B1FB5A86A599}">
  <ds:schemaRefs>
    <ds:schemaRef ds:uri="http://schemas.microsoft.com/sharepoint/events"/>
  </ds:schemaRefs>
</ds:datastoreItem>
</file>

<file path=customXml/itemProps3.xml><?xml version="1.0" encoding="utf-8"?>
<ds:datastoreItem xmlns:ds="http://schemas.openxmlformats.org/officeDocument/2006/customXml" ds:itemID="{7C08B56B-0A2B-474F-BB0A-89195FF502C5}">
  <ds:schemaRefs>
    <ds:schemaRef ds:uri="Microsoft.SharePoint.Taxonomy.ContentTypeSync"/>
  </ds:schemaRefs>
</ds:datastoreItem>
</file>

<file path=customXml/itemProps4.xml><?xml version="1.0" encoding="utf-8"?>
<ds:datastoreItem xmlns:ds="http://schemas.openxmlformats.org/officeDocument/2006/customXml" ds:itemID="{71A66386-D346-4A63-AA0A-B361D0F10D25}">
  <ds:schemaRefs>
    <ds:schemaRef ds:uri="ec50576e-4a27-4780-a1e1-e59563bc70b8"/>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ff5de93e-c5e8-4efc-a1bd-21450292fcfe"/>
    <ds:schemaRef ds:uri="http://www.w3.org/XML/1998/namespace"/>
    <ds:schemaRef ds:uri="http://purl.org/dc/terms/"/>
  </ds:schemaRefs>
</ds:datastoreItem>
</file>

<file path=customXml/itemProps5.xml><?xml version="1.0" encoding="utf-8"?>
<ds:datastoreItem xmlns:ds="http://schemas.openxmlformats.org/officeDocument/2006/customXml" ds:itemID="{B9B18789-6002-4DF0-9C22-8EF732B04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5B306E-474A-45F7-AAA7-7C5DC2593AC3}">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0A9F6548-6A6E-4836-8040-510FC9A8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coughc</dc:creator>
  <cp:keywords/>
  <dc:description/>
  <cp:lastModifiedBy>Joanna Richards</cp:lastModifiedBy>
  <cp:revision>2</cp:revision>
  <dcterms:created xsi:type="dcterms:W3CDTF">2019-05-10T04:17:00Z</dcterms:created>
  <dcterms:modified xsi:type="dcterms:W3CDTF">2019-05-29T21:34:00Z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e6d51e4e-a20e-474b-8391-827fd9d8b4a7</vt:lpwstr>
  </property>
  <property fmtid="{D5CDD505-2E9C-101B-9397-08002B2CF9AE}" pid="3" name="bjSaver">
    <vt:lpwstr>NSFRDT7Tn/FO0AUR+MQuRqLcq8my1dRo</vt:lpwstr>
  </property>
  <property fmtid="{D5CDD505-2E9C-101B-9397-08002B2CF9AE}" pid="4" name="ContentTypeId">
    <vt:lpwstr>0x01010004C4C934AD08B647A78FCADD498BE3190200326A638932699E48A89F1995A4895C37</vt:lpwstr>
  </property>
  <property fmtid="{D5CDD505-2E9C-101B-9397-08002B2CF9AE}" pid="5" name="_dlc_DocIdItemGuid">
    <vt:lpwstr>30131d64-57fd-44e5-aa91-a2fa6cac1ece</vt:lpwstr>
  </property>
  <property fmtid="{D5CDD505-2E9C-101B-9397-08002B2CF9AE}" pid="6" name="DisposalClass">
    <vt:lpwstr/>
  </property>
  <property fmtid="{D5CDD505-2E9C-101B-9397-08002B2CF9AE}" pid="7" name="BCS_">
    <vt:lpwstr>846;#FOOD STANDARDS:Instruments|4a8ff5e5-1f0e-4751-ab44-bc0d33b46a80</vt:lpwstr>
  </property>
  <property fmtid="{D5CDD505-2E9C-101B-9397-08002B2CF9AE}" pid="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9" name="bjDocumentLabelXML-0">
    <vt:lpwstr>ames.com/2008/01/sie/internal/label"&gt;&lt;element uid="66ddac19-06c4-4e63-b4dd-d8240d87a23f" value="" /&gt;&lt;/sisl&gt;</vt:lpwstr>
  </property>
  <property fmtid="{D5CDD505-2E9C-101B-9397-08002B2CF9AE}" pid="10" name="bjDocumentSecurityLabel">
    <vt:lpwstr>NO SECURITY CLASSIFICATION REQUIRED</vt:lpwstr>
  </property>
</Properties>
</file>