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0F3" w:rsidRDefault="004F00F3" w:rsidP="004F00F3">
      <w:pPr>
        <w:pStyle w:val="Header"/>
        <w:pBdr>
          <w:top w:val="double" w:sz="4" w:space="1" w:color="auto"/>
          <w:bottom w:val="double" w:sz="4" w:space="1" w:color="auto"/>
        </w:pBdr>
        <w:tabs>
          <w:tab w:val="clear" w:pos="4153"/>
          <w:tab w:val="clear" w:pos="8306"/>
        </w:tabs>
        <w:jc w:val="center"/>
        <w:rPr>
          <w:rFonts w:ascii="Arial" w:hAnsi="Arial" w:cs="Arial"/>
          <w:sz w:val="34"/>
          <w:szCs w:val="34"/>
        </w:rPr>
      </w:pPr>
      <w:bookmarkStart w:id="0" w:name="_GoBack"/>
      <w:bookmarkEnd w:id="0"/>
      <w:r>
        <w:rPr>
          <w:rFonts w:ascii="Arial" w:hAnsi="Arial" w:cs="Arial"/>
          <w:sz w:val="34"/>
          <w:szCs w:val="34"/>
        </w:rPr>
        <w:t>Legislative Instrument</w:t>
      </w:r>
    </w:p>
    <w:p w:rsidR="004F00F3" w:rsidRDefault="004F00F3" w:rsidP="004F00F3">
      <w:pPr>
        <w:pStyle w:val="Header"/>
        <w:pBdr>
          <w:top w:val="double" w:sz="4" w:space="1" w:color="auto"/>
          <w:bottom w:val="double" w:sz="4" w:space="1" w:color="auto"/>
        </w:pBdr>
        <w:tabs>
          <w:tab w:val="clear" w:pos="4153"/>
          <w:tab w:val="clear" w:pos="8306"/>
        </w:tabs>
        <w:jc w:val="center"/>
        <w:rPr>
          <w:rFonts w:ascii="Arial" w:hAnsi="Arial" w:cs="Arial"/>
          <w:sz w:val="34"/>
          <w:szCs w:val="34"/>
        </w:rPr>
      </w:pPr>
    </w:p>
    <w:p w:rsidR="004F00F3" w:rsidRDefault="004F00F3" w:rsidP="004F00F3">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Pr>
          <w:rFonts w:ascii="Arial" w:hAnsi="Arial" w:cs="Arial"/>
          <w:sz w:val="34"/>
          <w:szCs w:val="34"/>
        </w:rPr>
        <w:t>Goods and Services Tax: Digital Currency Conversion Determination 2019</w:t>
      </w:r>
    </w:p>
    <w:p w:rsidR="004F00F3" w:rsidRDefault="004F00F3" w:rsidP="004F00F3">
      <w:pPr>
        <w:pStyle w:val="Header"/>
        <w:pBdr>
          <w:top w:val="double" w:sz="4" w:space="1" w:color="auto"/>
          <w:bottom w:val="double" w:sz="4" w:space="1" w:color="auto"/>
        </w:pBdr>
        <w:tabs>
          <w:tab w:val="clear" w:pos="4153"/>
          <w:tab w:val="clear" w:pos="8306"/>
        </w:tabs>
        <w:jc w:val="center"/>
        <w:rPr>
          <w:rFonts w:ascii="Arial" w:hAnsi="Arial" w:cs="Arial"/>
          <w:sz w:val="34"/>
          <w:szCs w:val="34"/>
        </w:rPr>
      </w:pPr>
    </w:p>
    <w:p w:rsidR="004F00F3" w:rsidRDefault="004F00F3" w:rsidP="004F00F3">
      <w:pPr>
        <w:jc w:val="center"/>
        <w:rPr>
          <w:rFonts w:ascii="Arial" w:hAnsi="Arial" w:cs="Arial"/>
          <w:i/>
          <w:iCs/>
          <w:sz w:val="34"/>
          <w:szCs w:val="34"/>
        </w:rPr>
      </w:pPr>
    </w:p>
    <w:p w:rsidR="004F00F3" w:rsidRDefault="004F00F3" w:rsidP="004F00F3"/>
    <w:p w:rsidR="004F00F3" w:rsidRPr="00061054" w:rsidRDefault="004F00F3" w:rsidP="004F00F3">
      <w:pPr>
        <w:spacing w:after="120"/>
        <w:rPr>
          <w:rFonts w:ascii="Arial" w:hAnsi="Arial" w:cs="Arial"/>
          <w:sz w:val="22"/>
          <w:szCs w:val="22"/>
        </w:rPr>
      </w:pPr>
      <w:r w:rsidRPr="00DF4EC9">
        <w:rPr>
          <w:rFonts w:ascii="Arial" w:hAnsi="Arial" w:cs="Arial"/>
          <w:sz w:val="22"/>
          <w:szCs w:val="22"/>
        </w:rPr>
        <w:t xml:space="preserve">I, </w:t>
      </w:r>
      <w:r w:rsidRPr="00905E27">
        <w:rPr>
          <w:rFonts w:ascii="Arial" w:hAnsi="Arial" w:cs="Arial"/>
          <w:sz w:val="22"/>
          <w:szCs w:val="22"/>
        </w:rPr>
        <w:t>Timothy Dyce,</w:t>
      </w:r>
      <w:r w:rsidRPr="00E05BD7">
        <w:rPr>
          <w:rFonts w:ascii="Arial" w:hAnsi="Arial" w:cs="Arial"/>
          <w:b/>
          <w:sz w:val="22"/>
          <w:szCs w:val="22"/>
        </w:rPr>
        <w:t xml:space="preserve"> </w:t>
      </w:r>
      <w:r w:rsidRPr="00E05BD7">
        <w:rPr>
          <w:rFonts w:ascii="Arial" w:hAnsi="Arial" w:cs="Arial"/>
          <w:sz w:val="22"/>
          <w:szCs w:val="22"/>
        </w:rPr>
        <w:t xml:space="preserve">Deputy Commissioner of Taxation, make this determination under </w:t>
      </w:r>
      <w:hyperlink r:id="rId8" w:tgtFrame="_top" w:history="1">
        <w:r>
          <w:rPr>
            <w:rStyle w:val="Hyperlink"/>
            <w:rFonts w:ascii="Arial" w:hAnsi="Arial" w:cs="Arial"/>
            <w:sz w:val="22"/>
            <w:szCs w:val="22"/>
          </w:rPr>
          <w:t>subsection </w:t>
        </w:r>
        <w:r w:rsidRPr="00E05BD7">
          <w:rPr>
            <w:rStyle w:val="Hyperlink"/>
            <w:rFonts w:ascii="Arial" w:hAnsi="Arial" w:cs="Arial"/>
            <w:sz w:val="22"/>
            <w:szCs w:val="22"/>
          </w:rPr>
          <w:t>9-85(2)</w:t>
        </w:r>
      </w:hyperlink>
      <w:r w:rsidRPr="00E05BD7">
        <w:rPr>
          <w:rFonts w:ascii="Arial" w:hAnsi="Arial" w:cs="Arial"/>
          <w:sz w:val="22"/>
          <w:szCs w:val="22"/>
        </w:rPr>
        <w:t xml:space="preserve"> of the </w:t>
      </w:r>
      <w:r w:rsidRPr="00E05BD7">
        <w:rPr>
          <w:rFonts w:ascii="Arial" w:hAnsi="Arial" w:cs="Arial"/>
          <w:i/>
          <w:iCs/>
          <w:sz w:val="22"/>
          <w:szCs w:val="22"/>
        </w:rPr>
        <w:t>A New Tax System (Goods and Services Tax) Act 1999</w:t>
      </w:r>
      <w:r w:rsidRPr="00E05BD7">
        <w:rPr>
          <w:rFonts w:ascii="Arial" w:hAnsi="Arial" w:cs="Arial"/>
          <w:sz w:val="22"/>
          <w:szCs w:val="22"/>
        </w:rPr>
        <w:t xml:space="preserve"> (GST Act).</w:t>
      </w:r>
    </w:p>
    <w:p w:rsidR="004F00F3" w:rsidRPr="00014A7D" w:rsidRDefault="004F00F3" w:rsidP="004F00F3">
      <w:pPr>
        <w:rPr>
          <w:rFonts w:ascii="Arial" w:hAnsi="Arial" w:cs="Arial"/>
          <w:sz w:val="22"/>
          <w:szCs w:val="22"/>
        </w:rPr>
      </w:pPr>
    </w:p>
    <w:p w:rsidR="004F00F3" w:rsidRPr="00014A7D" w:rsidRDefault="004F00F3" w:rsidP="004F00F3">
      <w:pPr>
        <w:rPr>
          <w:rFonts w:ascii="Arial" w:hAnsi="Arial" w:cs="Arial"/>
          <w:sz w:val="22"/>
          <w:szCs w:val="22"/>
        </w:rPr>
      </w:pPr>
    </w:p>
    <w:p w:rsidR="004F00F3" w:rsidRPr="00DF4EC9" w:rsidRDefault="004F00F3" w:rsidP="004F00F3">
      <w:pPr>
        <w:rPr>
          <w:rFonts w:ascii="Arial" w:hAnsi="Arial" w:cs="Arial"/>
          <w:b/>
          <w:sz w:val="22"/>
          <w:szCs w:val="22"/>
        </w:rPr>
      </w:pPr>
      <w:r w:rsidRPr="00DF4EC9">
        <w:rPr>
          <w:rFonts w:ascii="Arial" w:hAnsi="Arial" w:cs="Arial"/>
          <w:b/>
          <w:sz w:val="22"/>
          <w:szCs w:val="22"/>
        </w:rPr>
        <w:t xml:space="preserve">Signed by </w:t>
      </w:r>
      <w:r w:rsidRPr="00757C79">
        <w:rPr>
          <w:rFonts w:ascii="Arial" w:hAnsi="Arial" w:cs="Arial"/>
          <w:b/>
          <w:sz w:val="22"/>
          <w:szCs w:val="22"/>
        </w:rPr>
        <w:t>Timothy Dyce</w:t>
      </w:r>
    </w:p>
    <w:p w:rsidR="004F00F3" w:rsidRDefault="004F00F3" w:rsidP="004F00F3">
      <w:pPr>
        <w:spacing w:after="120"/>
        <w:rPr>
          <w:rFonts w:ascii="Arial" w:hAnsi="Arial" w:cs="Arial"/>
          <w:sz w:val="22"/>
          <w:szCs w:val="22"/>
        </w:rPr>
      </w:pPr>
      <w:r w:rsidRPr="00DF4EC9">
        <w:rPr>
          <w:rFonts w:ascii="Arial" w:hAnsi="Arial" w:cs="Arial"/>
          <w:sz w:val="22"/>
          <w:szCs w:val="22"/>
        </w:rPr>
        <w:t>Deputy Commissioner of Taxation</w:t>
      </w:r>
    </w:p>
    <w:p w:rsidR="004F00F3" w:rsidRPr="00DF4EC9" w:rsidRDefault="004F00F3" w:rsidP="004F00F3">
      <w:pPr>
        <w:spacing w:after="120"/>
        <w:rPr>
          <w:rFonts w:ascii="Arial" w:hAnsi="Arial" w:cs="Arial"/>
          <w:sz w:val="22"/>
          <w:szCs w:val="22"/>
        </w:rPr>
      </w:pPr>
      <w:r w:rsidRPr="00B17AF3">
        <w:rPr>
          <w:rFonts w:ascii="Arial" w:hAnsi="Arial" w:cs="Arial"/>
          <w:sz w:val="22"/>
          <w:szCs w:val="22"/>
        </w:rPr>
        <w:t xml:space="preserve">Dated: </w:t>
      </w:r>
      <w:r>
        <w:rPr>
          <w:rFonts w:ascii="Arial" w:hAnsi="Arial" w:cs="Arial"/>
          <w:sz w:val="22"/>
          <w:szCs w:val="22"/>
        </w:rPr>
        <w:t>8 February 2019</w:t>
      </w:r>
    </w:p>
    <w:p w:rsidR="004F00F3" w:rsidRPr="00DF4EC9" w:rsidRDefault="004F00F3" w:rsidP="004F00F3">
      <w:pPr>
        <w:pBdr>
          <w:bottom w:val="double" w:sz="4" w:space="1" w:color="auto"/>
        </w:pBdr>
        <w:spacing w:after="120"/>
        <w:rPr>
          <w:sz w:val="22"/>
          <w:szCs w:val="22"/>
        </w:rPr>
      </w:pPr>
    </w:p>
    <w:p w:rsidR="004F00F3" w:rsidRPr="00DF4EC9" w:rsidRDefault="004F00F3" w:rsidP="007707CA">
      <w:pPr>
        <w:spacing w:after="120"/>
        <w:rPr>
          <w:rFonts w:ascii="Arial" w:hAnsi="Arial" w:cs="Arial"/>
          <w:sz w:val="22"/>
          <w:szCs w:val="22"/>
        </w:rPr>
      </w:pPr>
    </w:p>
    <w:p w:rsidR="004F00F3" w:rsidRPr="00E21721" w:rsidRDefault="004F00F3" w:rsidP="007707CA">
      <w:pPr>
        <w:pStyle w:val="Heading2"/>
        <w:spacing w:before="0" w:after="120"/>
        <w:rPr>
          <w:rFonts w:ascii="Arial" w:hAnsi="Arial" w:cs="Arial"/>
          <w:color w:val="auto"/>
          <w:sz w:val="22"/>
          <w:szCs w:val="22"/>
        </w:rPr>
      </w:pPr>
      <w:r w:rsidRPr="00E21721">
        <w:rPr>
          <w:rFonts w:ascii="Arial" w:hAnsi="Arial" w:cs="Arial"/>
          <w:color w:val="auto"/>
          <w:sz w:val="22"/>
          <w:szCs w:val="22"/>
        </w:rPr>
        <w:t xml:space="preserve">Name of </w:t>
      </w:r>
      <w:r>
        <w:rPr>
          <w:rFonts w:ascii="Arial" w:hAnsi="Arial" w:cs="Arial"/>
          <w:color w:val="auto"/>
          <w:sz w:val="22"/>
          <w:szCs w:val="22"/>
        </w:rPr>
        <w:t>determination</w:t>
      </w:r>
    </w:p>
    <w:p w:rsidR="004F00F3" w:rsidRPr="00F667CC" w:rsidRDefault="004F00F3" w:rsidP="007707CA">
      <w:pPr>
        <w:pStyle w:val="ListParagraph"/>
        <w:numPr>
          <w:ilvl w:val="0"/>
          <w:numId w:val="1"/>
        </w:numPr>
        <w:spacing w:after="120"/>
        <w:ind w:left="709" w:hanging="709"/>
        <w:contextualSpacing w:val="0"/>
        <w:rPr>
          <w:rFonts w:ascii="Arial" w:hAnsi="Arial" w:cs="Arial"/>
          <w:i/>
          <w:iCs/>
          <w:sz w:val="22"/>
          <w:szCs w:val="22"/>
        </w:rPr>
      </w:pPr>
      <w:r w:rsidRPr="00F667CC">
        <w:rPr>
          <w:rFonts w:ascii="Arial" w:hAnsi="Arial" w:cs="Arial"/>
          <w:sz w:val="22"/>
          <w:szCs w:val="22"/>
        </w:rPr>
        <w:t xml:space="preserve">This </w:t>
      </w:r>
      <w:r>
        <w:rPr>
          <w:rFonts w:ascii="Arial" w:hAnsi="Arial" w:cs="Arial"/>
          <w:sz w:val="22"/>
          <w:szCs w:val="22"/>
        </w:rPr>
        <w:t xml:space="preserve">determination </w:t>
      </w:r>
      <w:r w:rsidRPr="00F667CC">
        <w:rPr>
          <w:rFonts w:ascii="Arial" w:hAnsi="Arial" w:cs="Arial"/>
          <w:sz w:val="22"/>
          <w:szCs w:val="22"/>
        </w:rPr>
        <w:t xml:space="preserve">is the </w:t>
      </w:r>
      <w:r w:rsidRPr="00F667CC">
        <w:rPr>
          <w:rFonts w:ascii="Arial" w:hAnsi="Arial" w:cs="Arial"/>
          <w:i/>
          <w:iCs/>
          <w:sz w:val="22"/>
          <w:szCs w:val="22"/>
        </w:rPr>
        <w:t xml:space="preserve">Goods and Services Tax: </w:t>
      </w:r>
      <w:r>
        <w:rPr>
          <w:rFonts w:ascii="Arial" w:hAnsi="Arial" w:cs="Arial"/>
          <w:i/>
          <w:iCs/>
          <w:sz w:val="22"/>
          <w:szCs w:val="22"/>
        </w:rPr>
        <w:t xml:space="preserve">Digital </w:t>
      </w:r>
      <w:r w:rsidRPr="00F667CC">
        <w:rPr>
          <w:rFonts w:ascii="Arial" w:hAnsi="Arial" w:cs="Arial"/>
          <w:i/>
          <w:iCs/>
          <w:sz w:val="22"/>
          <w:szCs w:val="22"/>
        </w:rPr>
        <w:t xml:space="preserve">Currency Conversion Determination </w:t>
      </w:r>
      <w:r w:rsidRPr="00A47109">
        <w:rPr>
          <w:rFonts w:ascii="Arial" w:hAnsi="Arial" w:cs="Arial"/>
          <w:i/>
          <w:iCs/>
          <w:sz w:val="22"/>
          <w:szCs w:val="22"/>
        </w:rPr>
        <w:t>201</w:t>
      </w:r>
      <w:r>
        <w:rPr>
          <w:rFonts w:ascii="Arial" w:hAnsi="Arial" w:cs="Arial"/>
          <w:i/>
          <w:iCs/>
          <w:sz w:val="22"/>
          <w:szCs w:val="22"/>
        </w:rPr>
        <w:t>9</w:t>
      </w:r>
      <w:r w:rsidRPr="00A47109">
        <w:rPr>
          <w:rFonts w:ascii="Arial" w:hAnsi="Arial" w:cs="Arial"/>
          <w:i/>
          <w:iCs/>
          <w:sz w:val="22"/>
          <w:szCs w:val="22"/>
        </w:rPr>
        <w:t>.</w:t>
      </w:r>
    </w:p>
    <w:p w:rsidR="004F00F3" w:rsidRPr="00E21721" w:rsidRDefault="004F00F3" w:rsidP="007707CA">
      <w:pPr>
        <w:spacing w:after="120"/>
        <w:rPr>
          <w:rFonts w:ascii="Arial" w:hAnsi="Arial" w:cs="Arial"/>
          <w:sz w:val="22"/>
          <w:szCs w:val="22"/>
        </w:rPr>
      </w:pPr>
    </w:p>
    <w:p w:rsidR="004F00F3" w:rsidRPr="00E21721" w:rsidRDefault="004F00F3" w:rsidP="007707CA">
      <w:pPr>
        <w:pStyle w:val="Heading2"/>
        <w:spacing w:before="0" w:after="120"/>
        <w:rPr>
          <w:rFonts w:ascii="Arial" w:hAnsi="Arial" w:cs="Arial"/>
          <w:color w:val="auto"/>
          <w:sz w:val="22"/>
          <w:szCs w:val="22"/>
        </w:rPr>
      </w:pPr>
      <w:r w:rsidRPr="00E21721">
        <w:rPr>
          <w:rFonts w:ascii="Arial" w:hAnsi="Arial" w:cs="Arial"/>
          <w:color w:val="auto"/>
          <w:sz w:val="22"/>
          <w:szCs w:val="22"/>
        </w:rPr>
        <w:t>Commencement</w:t>
      </w:r>
    </w:p>
    <w:p w:rsidR="004F00F3" w:rsidRPr="00F667CC" w:rsidRDefault="004F00F3" w:rsidP="007707CA">
      <w:pPr>
        <w:pStyle w:val="ListParagraph"/>
        <w:numPr>
          <w:ilvl w:val="0"/>
          <w:numId w:val="1"/>
        </w:numPr>
        <w:spacing w:after="120"/>
        <w:ind w:left="709" w:hanging="709"/>
        <w:contextualSpacing w:val="0"/>
        <w:rPr>
          <w:rFonts w:ascii="Arial" w:hAnsi="Arial" w:cs="Arial"/>
          <w:sz w:val="22"/>
          <w:szCs w:val="22"/>
        </w:rPr>
      </w:pPr>
      <w:r w:rsidRPr="00F667CC">
        <w:rPr>
          <w:rFonts w:ascii="Arial" w:hAnsi="Arial" w:cs="Arial"/>
          <w:sz w:val="22"/>
          <w:szCs w:val="22"/>
        </w:rPr>
        <w:t xml:space="preserve">This </w:t>
      </w:r>
      <w:r>
        <w:rPr>
          <w:rFonts w:ascii="Arial" w:hAnsi="Arial" w:cs="Arial"/>
          <w:sz w:val="22"/>
          <w:szCs w:val="22"/>
        </w:rPr>
        <w:t>determination</w:t>
      </w:r>
      <w:r w:rsidRPr="00F667CC">
        <w:rPr>
          <w:rFonts w:ascii="Arial" w:hAnsi="Arial" w:cs="Arial"/>
          <w:sz w:val="22"/>
          <w:szCs w:val="22"/>
        </w:rPr>
        <w:t xml:space="preserve"> </w:t>
      </w:r>
      <w:r>
        <w:rPr>
          <w:rFonts w:ascii="Arial" w:hAnsi="Arial" w:cs="Arial"/>
          <w:sz w:val="22"/>
          <w:szCs w:val="22"/>
        </w:rPr>
        <w:t>applies on the day after it is registered</w:t>
      </w:r>
      <w:r w:rsidRPr="00F667CC">
        <w:rPr>
          <w:rFonts w:ascii="Arial" w:hAnsi="Arial" w:cs="Arial"/>
          <w:sz w:val="22"/>
          <w:szCs w:val="22"/>
        </w:rPr>
        <w:t>.</w:t>
      </w:r>
    </w:p>
    <w:p w:rsidR="004F00F3" w:rsidRPr="006A6087" w:rsidRDefault="004F00F3" w:rsidP="007707CA">
      <w:pPr>
        <w:spacing w:after="120"/>
        <w:rPr>
          <w:rFonts w:ascii="Arial" w:hAnsi="Arial" w:cs="Arial"/>
          <w:sz w:val="22"/>
          <w:szCs w:val="22"/>
        </w:rPr>
      </w:pPr>
    </w:p>
    <w:p w:rsidR="004F00F3" w:rsidRPr="006A6087" w:rsidRDefault="004F00F3" w:rsidP="007707CA">
      <w:pPr>
        <w:pStyle w:val="Heading2"/>
        <w:spacing w:before="0" w:after="120"/>
        <w:rPr>
          <w:rFonts w:ascii="Arial" w:hAnsi="Arial" w:cs="Arial"/>
          <w:color w:val="auto"/>
          <w:sz w:val="22"/>
          <w:szCs w:val="22"/>
        </w:rPr>
      </w:pPr>
      <w:r>
        <w:rPr>
          <w:rFonts w:ascii="Arial" w:hAnsi="Arial" w:cs="Arial"/>
          <w:color w:val="auto"/>
          <w:sz w:val="22"/>
          <w:szCs w:val="22"/>
        </w:rPr>
        <w:t>Application</w:t>
      </w:r>
    </w:p>
    <w:p w:rsidR="004F00F3" w:rsidRPr="00F667CC" w:rsidRDefault="004F00F3" w:rsidP="007707CA">
      <w:pPr>
        <w:pStyle w:val="ListParagraph"/>
        <w:numPr>
          <w:ilvl w:val="0"/>
          <w:numId w:val="1"/>
        </w:numPr>
        <w:spacing w:after="120"/>
        <w:ind w:left="709" w:hanging="709"/>
        <w:contextualSpacing w:val="0"/>
        <w:rPr>
          <w:rFonts w:ascii="Arial" w:hAnsi="Arial" w:cs="Arial"/>
          <w:sz w:val="22"/>
          <w:szCs w:val="22"/>
        </w:rPr>
      </w:pPr>
      <w:r w:rsidRPr="00F667CC">
        <w:rPr>
          <w:rFonts w:ascii="Arial" w:hAnsi="Arial" w:cs="Arial"/>
          <w:sz w:val="22"/>
          <w:szCs w:val="22"/>
        </w:rPr>
        <w:t xml:space="preserve">This determination applies to an entity that </w:t>
      </w:r>
      <w:r>
        <w:rPr>
          <w:rFonts w:ascii="Arial" w:hAnsi="Arial" w:cs="Arial"/>
          <w:sz w:val="22"/>
          <w:szCs w:val="22"/>
        </w:rPr>
        <w:t xml:space="preserve">in </w:t>
      </w:r>
      <w:r w:rsidRPr="00F667CC">
        <w:rPr>
          <w:rFonts w:ascii="Arial" w:hAnsi="Arial" w:cs="Arial"/>
          <w:sz w:val="22"/>
          <w:szCs w:val="22"/>
        </w:rPr>
        <w:t>work</w:t>
      </w:r>
      <w:r>
        <w:rPr>
          <w:rFonts w:ascii="Arial" w:hAnsi="Arial" w:cs="Arial"/>
          <w:sz w:val="22"/>
          <w:szCs w:val="22"/>
        </w:rPr>
        <w:t>ing</w:t>
      </w:r>
      <w:r w:rsidRPr="00F667CC">
        <w:rPr>
          <w:rFonts w:ascii="Arial" w:hAnsi="Arial" w:cs="Arial"/>
          <w:sz w:val="22"/>
          <w:szCs w:val="22"/>
        </w:rPr>
        <w:t xml:space="preserve"> out the value of a taxable supply</w:t>
      </w:r>
      <w:r>
        <w:rPr>
          <w:rFonts w:ascii="Arial" w:hAnsi="Arial" w:cs="Arial"/>
          <w:sz w:val="22"/>
          <w:szCs w:val="22"/>
        </w:rPr>
        <w:t xml:space="preserve"> that</w:t>
      </w:r>
      <w:r w:rsidRPr="009B045D">
        <w:rPr>
          <w:rFonts w:ascii="Arial" w:hAnsi="Arial" w:cs="Arial"/>
          <w:sz w:val="22"/>
          <w:szCs w:val="22"/>
        </w:rPr>
        <w:t xml:space="preserve"> </w:t>
      </w:r>
      <w:r>
        <w:rPr>
          <w:rFonts w:ascii="Arial" w:hAnsi="Arial" w:cs="Arial"/>
          <w:sz w:val="22"/>
          <w:szCs w:val="22"/>
        </w:rPr>
        <w:t>has any amount of consideration for the supply</w:t>
      </w:r>
      <w:r w:rsidRPr="00F667CC">
        <w:rPr>
          <w:rFonts w:ascii="Arial" w:hAnsi="Arial" w:cs="Arial"/>
          <w:sz w:val="22"/>
          <w:szCs w:val="22"/>
        </w:rPr>
        <w:t xml:space="preserve"> expressed in </w:t>
      </w:r>
      <w:r>
        <w:rPr>
          <w:rFonts w:ascii="Arial" w:hAnsi="Arial" w:cs="Arial"/>
          <w:sz w:val="22"/>
          <w:szCs w:val="22"/>
        </w:rPr>
        <w:t>digital</w:t>
      </w:r>
      <w:r w:rsidRPr="00F667CC">
        <w:rPr>
          <w:rFonts w:ascii="Arial" w:hAnsi="Arial" w:cs="Arial"/>
          <w:sz w:val="22"/>
          <w:szCs w:val="22"/>
        </w:rPr>
        <w:t xml:space="preserve"> currency</w:t>
      </w:r>
      <w:r>
        <w:rPr>
          <w:rFonts w:ascii="Arial" w:hAnsi="Arial" w:cs="Arial"/>
          <w:sz w:val="22"/>
          <w:szCs w:val="22"/>
        </w:rPr>
        <w:t>. That amount must be converted into</w:t>
      </w:r>
      <w:r w:rsidRPr="00F667CC">
        <w:rPr>
          <w:rFonts w:ascii="Arial" w:hAnsi="Arial" w:cs="Arial"/>
          <w:sz w:val="22"/>
          <w:szCs w:val="22"/>
        </w:rPr>
        <w:t xml:space="preserve"> Australian currency </w:t>
      </w:r>
      <w:r>
        <w:rPr>
          <w:rFonts w:ascii="Arial" w:hAnsi="Arial" w:cs="Arial"/>
          <w:sz w:val="22"/>
          <w:szCs w:val="22"/>
        </w:rPr>
        <w:t>using the method in section 4</w:t>
      </w:r>
      <w:r w:rsidRPr="00F667CC">
        <w:rPr>
          <w:rFonts w:ascii="Arial" w:hAnsi="Arial" w:cs="Arial"/>
          <w:sz w:val="22"/>
          <w:szCs w:val="22"/>
        </w:rPr>
        <w:t>.</w:t>
      </w:r>
    </w:p>
    <w:p w:rsidR="004F00F3" w:rsidRPr="001B609F" w:rsidRDefault="004F00F3" w:rsidP="007707CA">
      <w:pPr>
        <w:spacing w:after="120"/>
        <w:rPr>
          <w:rFonts w:ascii="Arial" w:hAnsi="Arial" w:cs="Arial"/>
          <w:sz w:val="22"/>
          <w:szCs w:val="22"/>
        </w:rPr>
      </w:pPr>
    </w:p>
    <w:p w:rsidR="004F00F3" w:rsidRPr="00E21721" w:rsidRDefault="004F00F3" w:rsidP="007707CA">
      <w:pPr>
        <w:pStyle w:val="Heading2"/>
        <w:spacing w:before="0" w:after="120"/>
        <w:rPr>
          <w:rFonts w:ascii="Arial" w:hAnsi="Arial" w:cs="Arial"/>
          <w:color w:val="auto"/>
          <w:sz w:val="22"/>
          <w:szCs w:val="22"/>
        </w:rPr>
      </w:pPr>
      <w:r w:rsidRPr="00E21721">
        <w:rPr>
          <w:rFonts w:ascii="Arial" w:hAnsi="Arial" w:cs="Arial"/>
          <w:color w:val="auto"/>
          <w:sz w:val="22"/>
          <w:szCs w:val="22"/>
        </w:rPr>
        <w:t>Manner in which an amount of consideration for the supply is worked out</w:t>
      </w:r>
    </w:p>
    <w:p w:rsidR="004F00F3" w:rsidRDefault="004F00F3" w:rsidP="007707CA">
      <w:pPr>
        <w:pStyle w:val="ListParagraph"/>
        <w:numPr>
          <w:ilvl w:val="0"/>
          <w:numId w:val="1"/>
        </w:numPr>
        <w:spacing w:after="120"/>
        <w:ind w:left="709" w:hanging="709"/>
        <w:contextualSpacing w:val="0"/>
        <w:rPr>
          <w:rFonts w:ascii="Arial" w:hAnsi="Arial" w:cs="Arial"/>
          <w:color w:val="000000"/>
          <w:sz w:val="22"/>
          <w:szCs w:val="20"/>
        </w:rPr>
      </w:pPr>
      <w:r>
        <w:rPr>
          <w:rFonts w:ascii="Arial" w:hAnsi="Arial" w:cs="Arial"/>
          <w:color w:val="000000"/>
          <w:sz w:val="22"/>
          <w:szCs w:val="20"/>
        </w:rPr>
        <w:t>You must</w:t>
      </w:r>
      <w:r w:rsidRPr="00F667CC">
        <w:rPr>
          <w:rFonts w:ascii="Arial" w:hAnsi="Arial" w:cs="Arial"/>
          <w:color w:val="000000"/>
          <w:sz w:val="22"/>
          <w:szCs w:val="20"/>
        </w:rPr>
        <w:t xml:space="preserve"> convert the amount of consideration </w:t>
      </w:r>
      <w:r>
        <w:rPr>
          <w:rFonts w:ascii="Arial" w:hAnsi="Arial" w:cs="Arial"/>
          <w:color w:val="000000"/>
          <w:sz w:val="22"/>
          <w:szCs w:val="20"/>
        </w:rPr>
        <w:t xml:space="preserve">expressed </w:t>
      </w:r>
      <w:r w:rsidRPr="00F667CC">
        <w:rPr>
          <w:rFonts w:ascii="Arial" w:hAnsi="Arial" w:cs="Arial"/>
          <w:color w:val="000000"/>
          <w:sz w:val="22"/>
          <w:szCs w:val="20"/>
        </w:rPr>
        <w:t xml:space="preserve">in </w:t>
      </w:r>
      <w:r>
        <w:rPr>
          <w:rFonts w:ascii="Arial" w:hAnsi="Arial" w:cs="Arial"/>
          <w:color w:val="000000"/>
          <w:sz w:val="22"/>
          <w:szCs w:val="20"/>
        </w:rPr>
        <w:t>digital</w:t>
      </w:r>
      <w:r w:rsidRPr="00F667CC">
        <w:rPr>
          <w:rFonts w:ascii="Arial" w:hAnsi="Arial" w:cs="Arial"/>
          <w:color w:val="000000"/>
          <w:sz w:val="22"/>
          <w:szCs w:val="20"/>
        </w:rPr>
        <w:t xml:space="preserve"> currency using the following formula:</w:t>
      </w:r>
    </w:p>
    <w:p w:rsidR="004F00F3" w:rsidRDefault="004F00F3" w:rsidP="007707CA">
      <w:pPr>
        <w:spacing w:after="120"/>
        <w:ind w:left="720"/>
        <w:rPr>
          <w:rFonts w:ascii="Arial" w:hAnsi="Arial" w:cs="Arial"/>
          <w:color w:val="000000"/>
          <w:sz w:val="22"/>
          <w:szCs w:val="20"/>
        </w:rPr>
      </w:pPr>
      <w:r w:rsidRPr="003A581C">
        <w:rPr>
          <w:rFonts w:ascii="Arial" w:hAnsi="Arial" w:cs="Arial"/>
          <w:color w:val="000000"/>
          <w:sz w:val="20"/>
          <w:szCs w:val="20"/>
        </w:rPr>
        <w:t xml:space="preserve">Amount </w:t>
      </w:r>
      <w:r>
        <w:rPr>
          <w:rFonts w:ascii="Arial" w:hAnsi="Arial" w:cs="Arial"/>
          <w:color w:val="000000"/>
          <w:sz w:val="20"/>
          <w:szCs w:val="20"/>
        </w:rPr>
        <w:t>of digital currency x</w:t>
      </w:r>
      <w:r w:rsidRPr="003A581C">
        <w:rPr>
          <w:rFonts w:ascii="Arial" w:hAnsi="Arial" w:cs="Arial"/>
          <w:color w:val="000000"/>
          <w:sz w:val="20"/>
          <w:szCs w:val="20"/>
        </w:rPr>
        <w:t xml:space="preserve"> your particular exch</w:t>
      </w:r>
      <w:r>
        <w:rPr>
          <w:rFonts w:ascii="Arial" w:hAnsi="Arial" w:cs="Arial"/>
          <w:color w:val="000000"/>
          <w:sz w:val="20"/>
          <w:szCs w:val="20"/>
        </w:rPr>
        <w:t>ange rate on the conversion day</w:t>
      </w:r>
    </w:p>
    <w:p w:rsidR="004F00F3" w:rsidRPr="00281014" w:rsidDel="00281014" w:rsidRDefault="004F00F3" w:rsidP="007707CA">
      <w:pPr>
        <w:spacing w:after="120"/>
        <w:rPr>
          <w:rFonts w:ascii="Arial" w:hAnsi="Arial" w:cs="Arial"/>
          <w:color w:val="000000"/>
          <w:sz w:val="22"/>
          <w:szCs w:val="20"/>
        </w:rPr>
      </w:pPr>
      <w:r w:rsidRPr="00281014" w:rsidDel="00281014">
        <w:rPr>
          <w:rFonts w:ascii="Arial" w:hAnsi="Arial" w:cs="Arial"/>
          <w:color w:val="000000"/>
          <w:sz w:val="22"/>
          <w:szCs w:val="20"/>
        </w:rPr>
        <w:t xml:space="preserve">You must use </w:t>
      </w:r>
      <w:r w:rsidRPr="00281014" w:rsidDel="00281014">
        <w:rPr>
          <w:rFonts w:ascii="Arial" w:hAnsi="Arial" w:cs="Arial"/>
          <w:sz w:val="22"/>
          <w:szCs w:val="22"/>
        </w:rPr>
        <w:t>your</w:t>
      </w:r>
      <w:r w:rsidRPr="00281014" w:rsidDel="00281014">
        <w:rPr>
          <w:rFonts w:ascii="Arial" w:hAnsi="Arial" w:cs="Arial"/>
          <w:color w:val="000000"/>
          <w:sz w:val="22"/>
          <w:szCs w:val="20"/>
        </w:rPr>
        <w:t xml:space="preserve"> particular exchange rate consistently.</w:t>
      </w:r>
    </w:p>
    <w:p w:rsidR="004F00F3" w:rsidRDefault="004F00F3" w:rsidP="007707CA">
      <w:pPr>
        <w:spacing w:after="120"/>
        <w:rPr>
          <w:rFonts w:ascii="Arial" w:hAnsi="Arial" w:cs="Arial"/>
          <w:color w:val="000000"/>
          <w:sz w:val="22"/>
          <w:szCs w:val="20"/>
        </w:rPr>
      </w:pPr>
      <w:r>
        <w:rPr>
          <w:rFonts w:ascii="Arial" w:hAnsi="Arial" w:cs="Arial"/>
          <w:color w:val="000000"/>
          <w:sz w:val="22"/>
          <w:szCs w:val="20"/>
        </w:rPr>
        <w:t xml:space="preserve">Other than an agreed rate, </w:t>
      </w:r>
      <w:r w:rsidRPr="009F1110">
        <w:rPr>
          <w:rFonts w:ascii="Arial" w:hAnsi="Arial" w:cs="Arial"/>
          <w:color w:val="000000"/>
          <w:sz w:val="22"/>
          <w:szCs w:val="20"/>
        </w:rPr>
        <w:t>your particular exchange rate</w:t>
      </w:r>
      <w:r w:rsidRPr="001B609F">
        <w:rPr>
          <w:rFonts w:ascii="Arial" w:hAnsi="Arial" w:cs="Arial"/>
          <w:color w:val="000000"/>
          <w:sz w:val="22"/>
          <w:szCs w:val="20"/>
        </w:rPr>
        <w:t xml:space="preserve"> </w:t>
      </w:r>
      <w:r>
        <w:rPr>
          <w:rFonts w:ascii="Arial" w:hAnsi="Arial" w:cs="Arial"/>
          <w:color w:val="000000"/>
          <w:sz w:val="22"/>
          <w:szCs w:val="20"/>
        </w:rPr>
        <w:t>must reflect the GST inclusive market value of the digital currency in Australian currency</w:t>
      </w:r>
      <w:r w:rsidRPr="00F667CC">
        <w:rPr>
          <w:rFonts w:ascii="Arial" w:hAnsi="Arial" w:cs="Arial"/>
          <w:color w:val="000000"/>
          <w:sz w:val="22"/>
          <w:szCs w:val="20"/>
        </w:rPr>
        <w:t>.</w:t>
      </w:r>
    </w:p>
    <w:p w:rsidR="004F00F3" w:rsidRPr="00E21721" w:rsidRDefault="004F00F3" w:rsidP="007707CA">
      <w:pPr>
        <w:spacing w:after="120"/>
        <w:rPr>
          <w:rFonts w:ascii="Arial" w:hAnsi="Arial" w:cs="Arial"/>
          <w:sz w:val="22"/>
          <w:szCs w:val="22"/>
        </w:rPr>
      </w:pPr>
    </w:p>
    <w:p w:rsidR="004F00F3" w:rsidRPr="00E21721" w:rsidRDefault="004F00F3" w:rsidP="007707CA">
      <w:pPr>
        <w:pStyle w:val="Heading2"/>
        <w:spacing w:before="0" w:after="120"/>
        <w:rPr>
          <w:rFonts w:ascii="Arial" w:hAnsi="Arial" w:cs="Arial"/>
          <w:color w:val="auto"/>
          <w:sz w:val="22"/>
          <w:szCs w:val="22"/>
        </w:rPr>
      </w:pPr>
      <w:r w:rsidRPr="00E21721">
        <w:rPr>
          <w:rFonts w:ascii="Arial" w:hAnsi="Arial" w:cs="Arial"/>
          <w:color w:val="auto"/>
          <w:sz w:val="22"/>
          <w:szCs w:val="22"/>
        </w:rPr>
        <w:lastRenderedPageBreak/>
        <w:t>Definitions</w:t>
      </w:r>
    </w:p>
    <w:p w:rsidR="004F00F3" w:rsidRDefault="004F00F3" w:rsidP="007707CA">
      <w:pPr>
        <w:pStyle w:val="ListParagraph"/>
        <w:numPr>
          <w:ilvl w:val="0"/>
          <w:numId w:val="1"/>
        </w:numPr>
        <w:spacing w:after="120"/>
        <w:ind w:left="709" w:hanging="709"/>
        <w:contextualSpacing w:val="0"/>
        <w:rPr>
          <w:rFonts w:ascii="Arial" w:hAnsi="Arial" w:cs="Arial"/>
          <w:color w:val="000000"/>
          <w:sz w:val="22"/>
          <w:szCs w:val="20"/>
        </w:rPr>
      </w:pPr>
      <w:r w:rsidRPr="00F667CC">
        <w:rPr>
          <w:rFonts w:ascii="Arial" w:hAnsi="Arial" w:cs="Arial"/>
          <w:color w:val="000000"/>
          <w:sz w:val="22"/>
          <w:szCs w:val="20"/>
        </w:rPr>
        <w:t xml:space="preserve">The following </w:t>
      </w:r>
      <w:r w:rsidRPr="00E21721">
        <w:rPr>
          <w:rFonts w:ascii="Arial" w:hAnsi="Arial" w:cs="Arial"/>
          <w:sz w:val="22"/>
          <w:szCs w:val="22"/>
        </w:rPr>
        <w:t>expressions</w:t>
      </w:r>
      <w:r w:rsidRPr="00F667CC">
        <w:rPr>
          <w:rFonts w:ascii="Arial" w:hAnsi="Arial" w:cs="Arial"/>
          <w:color w:val="000000"/>
          <w:sz w:val="22"/>
          <w:szCs w:val="20"/>
        </w:rPr>
        <w:t xml:space="preserve"> are defined for the purposes of this determination:</w:t>
      </w:r>
    </w:p>
    <w:p w:rsidR="004F00F3" w:rsidRDefault="004F00F3" w:rsidP="007707CA">
      <w:pPr>
        <w:spacing w:after="120"/>
        <w:ind w:left="709"/>
        <w:rPr>
          <w:rFonts w:ascii="Arial" w:hAnsi="Arial" w:cs="Arial"/>
          <w:color w:val="000000"/>
          <w:sz w:val="22"/>
          <w:szCs w:val="20"/>
        </w:rPr>
      </w:pPr>
      <w:r w:rsidRPr="005562A0">
        <w:rPr>
          <w:rFonts w:ascii="Arial" w:hAnsi="Arial" w:cs="Arial"/>
          <w:b/>
          <w:bCs/>
          <w:color w:val="000000"/>
          <w:sz w:val="22"/>
          <w:szCs w:val="20"/>
        </w:rPr>
        <w:t>agreed rate</w:t>
      </w:r>
      <w:r w:rsidRPr="005562A0">
        <w:rPr>
          <w:rFonts w:ascii="Arial" w:hAnsi="Arial" w:cs="Arial"/>
          <w:color w:val="000000"/>
          <w:sz w:val="22"/>
          <w:szCs w:val="20"/>
        </w:rPr>
        <w:t xml:space="preserve"> means </w:t>
      </w:r>
      <w:r>
        <w:rPr>
          <w:rFonts w:ascii="Arial" w:hAnsi="Arial" w:cs="Arial"/>
          <w:color w:val="000000"/>
          <w:sz w:val="22"/>
          <w:szCs w:val="20"/>
        </w:rPr>
        <w:t>a particular</w:t>
      </w:r>
      <w:r w:rsidRPr="005562A0">
        <w:rPr>
          <w:rFonts w:ascii="Arial" w:hAnsi="Arial" w:cs="Arial"/>
          <w:color w:val="000000"/>
          <w:sz w:val="22"/>
          <w:szCs w:val="20"/>
        </w:rPr>
        <w:t xml:space="preserve"> exchange rate agreed to between a supplier and a </w:t>
      </w:r>
      <w:r>
        <w:rPr>
          <w:rFonts w:ascii="Arial" w:hAnsi="Arial" w:cs="Arial"/>
          <w:color w:val="000000"/>
          <w:sz w:val="22"/>
          <w:szCs w:val="20"/>
        </w:rPr>
        <w:t xml:space="preserve">registered </w:t>
      </w:r>
      <w:r w:rsidRPr="005562A0">
        <w:rPr>
          <w:rFonts w:ascii="Arial" w:hAnsi="Arial" w:cs="Arial"/>
          <w:color w:val="000000"/>
          <w:sz w:val="22"/>
          <w:szCs w:val="20"/>
        </w:rPr>
        <w:t>recipient. The agreed rate only applies for supplies made under the agreement and for the period of the agreement</w:t>
      </w:r>
      <w:r w:rsidRPr="00557000">
        <w:rPr>
          <w:rFonts w:ascii="Arial" w:hAnsi="Arial" w:cs="Arial"/>
          <w:color w:val="000000"/>
          <w:szCs w:val="20"/>
        </w:rPr>
        <w:t>.</w:t>
      </w:r>
      <w:r w:rsidRPr="00557000">
        <w:rPr>
          <w:rFonts w:ascii="Arial" w:hAnsi="Arial" w:cs="Arial"/>
          <w:color w:val="000000"/>
          <w:sz w:val="22"/>
          <w:szCs w:val="20"/>
        </w:rPr>
        <w:t xml:space="preserve"> </w:t>
      </w:r>
      <w:r>
        <w:rPr>
          <w:rFonts w:ascii="Arial" w:hAnsi="Arial" w:cs="Arial"/>
          <w:color w:val="000000"/>
          <w:sz w:val="22"/>
          <w:szCs w:val="20"/>
        </w:rPr>
        <w:t xml:space="preserve">Where </w:t>
      </w:r>
      <w:r w:rsidRPr="00557000">
        <w:rPr>
          <w:rFonts w:ascii="Arial" w:hAnsi="Arial" w:cs="Arial"/>
          <w:color w:val="000000"/>
          <w:sz w:val="22"/>
          <w:szCs w:val="20"/>
        </w:rPr>
        <w:t>the supplier and the recipient are associates the agreed rat</w:t>
      </w:r>
      <w:r>
        <w:rPr>
          <w:rFonts w:ascii="Arial" w:hAnsi="Arial" w:cs="Arial"/>
          <w:color w:val="000000"/>
          <w:sz w:val="22"/>
          <w:szCs w:val="20"/>
        </w:rPr>
        <w:t>e must</w:t>
      </w:r>
      <w:r w:rsidRPr="00557000">
        <w:rPr>
          <w:rFonts w:ascii="Arial" w:hAnsi="Arial" w:cs="Arial"/>
          <w:color w:val="000000"/>
          <w:sz w:val="22"/>
          <w:szCs w:val="20"/>
        </w:rPr>
        <w:t xml:space="preserve"> reflect </w:t>
      </w:r>
      <w:r>
        <w:rPr>
          <w:rFonts w:ascii="Arial" w:hAnsi="Arial" w:cs="Arial"/>
          <w:color w:val="000000"/>
          <w:sz w:val="22"/>
          <w:szCs w:val="20"/>
        </w:rPr>
        <w:t>the</w:t>
      </w:r>
      <w:r w:rsidRPr="00557000">
        <w:rPr>
          <w:rFonts w:ascii="Arial" w:hAnsi="Arial" w:cs="Arial"/>
          <w:color w:val="000000"/>
          <w:sz w:val="22"/>
          <w:szCs w:val="20"/>
        </w:rPr>
        <w:t xml:space="preserve"> rate agreed to by parties dealing at arm's length</w:t>
      </w:r>
      <w:bookmarkStart w:id="1" w:name="#ftF7"/>
      <w:bookmarkStart w:id="2" w:name="ftF7"/>
      <w:bookmarkEnd w:id="1"/>
      <w:bookmarkEnd w:id="2"/>
      <w:r>
        <w:rPr>
          <w:rFonts w:ascii="Arial" w:hAnsi="Arial" w:cs="Arial"/>
          <w:color w:val="000000"/>
          <w:sz w:val="20"/>
          <w:szCs w:val="20"/>
        </w:rPr>
        <w:t>.</w:t>
      </w:r>
    </w:p>
    <w:p w:rsidR="004F00F3" w:rsidRDefault="004F00F3" w:rsidP="007707CA">
      <w:pPr>
        <w:spacing w:after="120"/>
        <w:ind w:left="709"/>
        <w:rPr>
          <w:rFonts w:ascii="Arial" w:hAnsi="Arial" w:cs="Arial"/>
          <w:color w:val="000000"/>
          <w:sz w:val="22"/>
          <w:szCs w:val="20"/>
        </w:rPr>
      </w:pPr>
      <w:r w:rsidRPr="005D23DC">
        <w:rPr>
          <w:rFonts w:ascii="Arial" w:hAnsi="Arial" w:cs="Arial"/>
          <w:b/>
          <w:bCs/>
          <w:color w:val="000000"/>
          <w:sz w:val="22"/>
          <w:szCs w:val="20"/>
        </w:rPr>
        <w:t>conversion day</w:t>
      </w:r>
      <w:r w:rsidRPr="005D23DC">
        <w:rPr>
          <w:rFonts w:ascii="Arial" w:hAnsi="Arial" w:cs="Arial"/>
          <w:color w:val="000000"/>
          <w:sz w:val="22"/>
          <w:szCs w:val="20"/>
        </w:rPr>
        <w:t xml:space="preserve"> is the date you use to convert digital currency into Australian currency under</w:t>
      </w:r>
      <w:r w:rsidRPr="001B609F">
        <w:rPr>
          <w:rFonts w:ascii="Arial" w:hAnsi="Arial" w:cs="Arial"/>
          <w:color w:val="000000"/>
          <w:sz w:val="22"/>
          <w:szCs w:val="20"/>
        </w:rPr>
        <w:t xml:space="preserve"> this determination:</w:t>
      </w:r>
    </w:p>
    <w:p w:rsidR="004F00F3" w:rsidRPr="00014A7D" w:rsidRDefault="004F00F3" w:rsidP="007707CA">
      <w:pPr>
        <w:spacing w:after="120"/>
        <w:ind w:left="1418" w:hanging="709"/>
        <w:rPr>
          <w:rFonts w:ascii="Arial" w:hAnsi="Arial" w:cs="Arial"/>
          <w:color w:val="000000"/>
          <w:sz w:val="22"/>
          <w:szCs w:val="20"/>
        </w:rPr>
      </w:pPr>
      <w:r w:rsidRPr="00014A7D">
        <w:rPr>
          <w:rFonts w:ascii="Arial" w:hAnsi="Arial" w:cs="Arial"/>
          <w:bCs/>
          <w:color w:val="000000"/>
          <w:sz w:val="22"/>
          <w:szCs w:val="20"/>
        </w:rPr>
        <w:t>(a)</w:t>
      </w:r>
      <w:r w:rsidRPr="00014A7D">
        <w:rPr>
          <w:rFonts w:ascii="Arial" w:hAnsi="Arial" w:cs="Arial"/>
          <w:color w:val="000000"/>
          <w:sz w:val="22"/>
          <w:szCs w:val="20"/>
        </w:rPr>
        <w:tab/>
        <w:t xml:space="preserve">when you account for GST on a basis other than cash your conversion day is </w:t>
      </w:r>
      <w:r w:rsidRPr="00610164">
        <w:rPr>
          <w:rFonts w:ascii="Arial" w:hAnsi="Arial" w:cs="Arial"/>
          <w:b/>
          <w:color w:val="000000"/>
          <w:sz w:val="22"/>
          <w:szCs w:val="20"/>
        </w:rPr>
        <w:t>the earlier of</w:t>
      </w:r>
      <w:r w:rsidRPr="00014A7D">
        <w:rPr>
          <w:rFonts w:ascii="Arial" w:hAnsi="Arial" w:cs="Arial"/>
          <w:color w:val="000000"/>
          <w:sz w:val="22"/>
          <w:szCs w:val="20"/>
        </w:rPr>
        <w:t>:</w:t>
      </w:r>
    </w:p>
    <w:p w:rsidR="004F00F3" w:rsidRPr="00014A7D" w:rsidRDefault="004F00F3" w:rsidP="007707CA">
      <w:pPr>
        <w:spacing w:after="120"/>
        <w:ind w:left="2127" w:hanging="709"/>
        <w:rPr>
          <w:rFonts w:ascii="Arial" w:hAnsi="Arial" w:cs="Arial"/>
          <w:color w:val="000000"/>
          <w:sz w:val="22"/>
          <w:szCs w:val="20"/>
        </w:rPr>
      </w:pPr>
      <w:r w:rsidRPr="00014A7D">
        <w:rPr>
          <w:rFonts w:ascii="Arial" w:hAnsi="Arial" w:cs="Arial"/>
          <w:bCs/>
          <w:color w:val="000000"/>
          <w:sz w:val="22"/>
          <w:szCs w:val="20"/>
        </w:rPr>
        <w:t>(i)</w:t>
      </w:r>
      <w:r w:rsidRPr="00014A7D">
        <w:rPr>
          <w:rFonts w:ascii="Arial" w:hAnsi="Arial" w:cs="Arial"/>
          <w:color w:val="000000"/>
          <w:sz w:val="22"/>
          <w:szCs w:val="20"/>
        </w:rPr>
        <w:tab/>
        <w:t>the day on which any of the consideration is received for the supply</w:t>
      </w:r>
      <w:r>
        <w:rPr>
          <w:rFonts w:ascii="Arial" w:hAnsi="Arial" w:cs="Arial"/>
          <w:color w:val="000000"/>
          <w:sz w:val="22"/>
          <w:szCs w:val="20"/>
        </w:rPr>
        <w:t xml:space="preserve"> </w:t>
      </w:r>
      <w:r w:rsidRPr="00014A7D">
        <w:rPr>
          <w:rFonts w:ascii="Arial" w:hAnsi="Arial" w:cs="Arial"/>
          <w:color w:val="000000"/>
          <w:sz w:val="22"/>
          <w:szCs w:val="20"/>
        </w:rPr>
        <w:t>(the receipt date); or</w:t>
      </w:r>
    </w:p>
    <w:p w:rsidR="004F00F3" w:rsidRPr="00014A7D" w:rsidRDefault="004F00F3" w:rsidP="007707CA">
      <w:pPr>
        <w:spacing w:after="120"/>
        <w:ind w:left="2127" w:hanging="709"/>
        <w:rPr>
          <w:rFonts w:ascii="Arial" w:hAnsi="Arial" w:cs="Arial"/>
          <w:color w:val="000000"/>
          <w:sz w:val="22"/>
          <w:szCs w:val="20"/>
        </w:rPr>
      </w:pPr>
      <w:r w:rsidRPr="00014A7D">
        <w:rPr>
          <w:rFonts w:ascii="Arial" w:hAnsi="Arial" w:cs="Arial"/>
          <w:bCs/>
          <w:color w:val="000000"/>
          <w:sz w:val="22"/>
          <w:szCs w:val="20"/>
        </w:rPr>
        <w:t>(ii)</w:t>
      </w:r>
      <w:r w:rsidRPr="00014A7D">
        <w:rPr>
          <w:rFonts w:ascii="Arial" w:hAnsi="Arial" w:cs="Arial"/>
          <w:bCs/>
          <w:color w:val="000000"/>
          <w:sz w:val="22"/>
          <w:szCs w:val="20"/>
        </w:rPr>
        <w:tab/>
      </w:r>
      <w:r w:rsidRPr="00014A7D">
        <w:rPr>
          <w:rFonts w:ascii="Arial" w:hAnsi="Arial" w:cs="Arial"/>
          <w:color w:val="000000"/>
          <w:sz w:val="22"/>
          <w:szCs w:val="20"/>
        </w:rPr>
        <w:t>the transaction date</w:t>
      </w:r>
      <w:r>
        <w:rPr>
          <w:rFonts w:ascii="Arial" w:hAnsi="Arial" w:cs="Arial"/>
          <w:color w:val="000000"/>
          <w:sz w:val="22"/>
          <w:szCs w:val="20"/>
        </w:rPr>
        <w:t xml:space="preserve"> or </w:t>
      </w:r>
      <w:r w:rsidRPr="00014A7D">
        <w:rPr>
          <w:rFonts w:ascii="Arial" w:hAnsi="Arial" w:cs="Arial"/>
          <w:color w:val="000000"/>
          <w:sz w:val="22"/>
          <w:szCs w:val="20"/>
        </w:rPr>
        <w:t>the invoice date (whichever you have chosen).</w:t>
      </w:r>
    </w:p>
    <w:p w:rsidR="004F00F3" w:rsidRPr="00014A7D" w:rsidRDefault="004F00F3" w:rsidP="007707CA">
      <w:pPr>
        <w:spacing w:after="120"/>
        <w:ind w:left="1418" w:hanging="709"/>
        <w:rPr>
          <w:rFonts w:ascii="Arial" w:hAnsi="Arial" w:cs="Arial"/>
          <w:color w:val="000000"/>
          <w:sz w:val="22"/>
          <w:szCs w:val="20"/>
        </w:rPr>
      </w:pPr>
      <w:r w:rsidRPr="00014A7D">
        <w:rPr>
          <w:rFonts w:ascii="Arial" w:hAnsi="Arial" w:cs="Arial"/>
          <w:bCs/>
          <w:color w:val="000000"/>
          <w:sz w:val="22"/>
          <w:szCs w:val="20"/>
        </w:rPr>
        <w:t>(b)</w:t>
      </w:r>
      <w:r w:rsidRPr="00014A7D">
        <w:rPr>
          <w:rFonts w:ascii="Arial" w:hAnsi="Arial" w:cs="Arial"/>
          <w:bCs/>
          <w:color w:val="000000"/>
          <w:sz w:val="22"/>
          <w:szCs w:val="20"/>
        </w:rPr>
        <w:tab/>
      </w:r>
      <w:r w:rsidRPr="00014A7D">
        <w:rPr>
          <w:rFonts w:ascii="Arial" w:hAnsi="Arial" w:cs="Arial"/>
          <w:color w:val="000000"/>
          <w:sz w:val="22"/>
          <w:szCs w:val="20"/>
        </w:rPr>
        <w:t>when you account for GST on a cash basis, your conversion day is:</w:t>
      </w:r>
    </w:p>
    <w:p w:rsidR="004F00F3" w:rsidRPr="00014A7D" w:rsidRDefault="004F00F3" w:rsidP="007707CA">
      <w:pPr>
        <w:spacing w:after="120"/>
        <w:ind w:left="2127" w:hanging="709"/>
        <w:rPr>
          <w:rFonts w:ascii="Arial" w:hAnsi="Arial" w:cs="Arial"/>
          <w:color w:val="000000"/>
          <w:sz w:val="22"/>
          <w:szCs w:val="20"/>
        </w:rPr>
      </w:pPr>
      <w:r w:rsidRPr="00014A7D">
        <w:rPr>
          <w:rFonts w:ascii="Arial" w:hAnsi="Arial" w:cs="Arial"/>
          <w:bCs/>
          <w:color w:val="000000"/>
          <w:sz w:val="22"/>
          <w:szCs w:val="20"/>
        </w:rPr>
        <w:t>(i)</w:t>
      </w:r>
      <w:r w:rsidRPr="00014A7D">
        <w:rPr>
          <w:rFonts w:ascii="Arial" w:hAnsi="Arial" w:cs="Arial"/>
          <w:bCs/>
          <w:color w:val="000000"/>
          <w:sz w:val="22"/>
          <w:szCs w:val="20"/>
        </w:rPr>
        <w:tab/>
      </w:r>
      <w:r w:rsidRPr="00014A7D">
        <w:rPr>
          <w:rFonts w:ascii="Arial" w:hAnsi="Arial" w:cs="Arial"/>
          <w:color w:val="000000"/>
          <w:sz w:val="22"/>
          <w:szCs w:val="20"/>
        </w:rPr>
        <w:t xml:space="preserve">the </w:t>
      </w:r>
      <w:r w:rsidRPr="00014A7D">
        <w:rPr>
          <w:rFonts w:ascii="Arial" w:hAnsi="Arial" w:cs="Arial"/>
          <w:bCs/>
          <w:color w:val="000000"/>
          <w:sz w:val="22"/>
          <w:szCs w:val="20"/>
        </w:rPr>
        <w:t>transaction</w:t>
      </w:r>
      <w:r w:rsidRPr="00014A7D">
        <w:rPr>
          <w:rFonts w:ascii="Arial" w:hAnsi="Arial" w:cs="Arial"/>
          <w:color w:val="000000"/>
          <w:sz w:val="22"/>
          <w:szCs w:val="20"/>
        </w:rPr>
        <w:t xml:space="preserve"> date; or</w:t>
      </w:r>
    </w:p>
    <w:p w:rsidR="004F00F3" w:rsidRPr="00014A7D" w:rsidRDefault="004F00F3" w:rsidP="007707CA">
      <w:pPr>
        <w:spacing w:after="120"/>
        <w:ind w:left="2127" w:hanging="709"/>
        <w:rPr>
          <w:rFonts w:ascii="Arial" w:hAnsi="Arial" w:cs="Arial"/>
          <w:color w:val="000000"/>
          <w:sz w:val="22"/>
          <w:szCs w:val="20"/>
        </w:rPr>
      </w:pPr>
      <w:r w:rsidRPr="00014A7D">
        <w:rPr>
          <w:rFonts w:ascii="Arial" w:hAnsi="Arial" w:cs="Arial"/>
          <w:bCs/>
          <w:color w:val="000000"/>
          <w:sz w:val="22"/>
          <w:szCs w:val="20"/>
        </w:rPr>
        <w:t>(ii)</w:t>
      </w:r>
      <w:r w:rsidRPr="00014A7D">
        <w:rPr>
          <w:rFonts w:ascii="Arial" w:hAnsi="Arial" w:cs="Arial"/>
          <w:bCs/>
          <w:color w:val="000000"/>
          <w:sz w:val="22"/>
          <w:szCs w:val="20"/>
        </w:rPr>
        <w:tab/>
      </w:r>
      <w:r w:rsidRPr="00014A7D">
        <w:rPr>
          <w:rFonts w:ascii="Arial" w:hAnsi="Arial" w:cs="Arial"/>
          <w:color w:val="000000"/>
          <w:sz w:val="22"/>
          <w:szCs w:val="20"/>
        </w:rPr>
        <w:t xml:space="preserve">the </w:t>
      </w:r>
      <w:r w:rsidRPr="00014A7D">
        <w:rPr>
          <w:rFonts w:ascii="Arial" w:hAnsi="Arial" w:cs="Arial"/>
          <w:bCs/>
          <w:color w:val="000000"/>
          <w:sz w:val="22"/>
          <w:szCs w:val="20"/>
        </w:rPr>
        <w:t>invoice</w:t>
      </w:r>
      <w:r w:rsidRPr="00014A7D">
        <w:rPr>
          <w:rFonts w:ascii="Arial" w:hAnsi="Arial" w:cs="Arial"/>
          <w:color w:val="000000"/>
          <w:sz w:val="22"/>
          <w:szCs w:val="20"/>
        </w:rPr>
        <w:t xml:space="preserve"> date; or</w:t>
      </w:r>
    </w:p>
    <w:p w:rsidR="004F00F3" w:rsidRPr="00014A7D" w:rsidRDefault="004F00F3" w:rsidP="007707CA">
      <w:pPr>
        <w:spacing w:after="120"/>
        <w:ind w:left="2127" w:hanging="709"/>
        <w:rPr>
          <w:rFonts w:ascii="Arial" w:hAnsi="Arial" w:cs="Arial"/>
          <w:color w:val="000000"/>
          <w:sz w:val="22"/>
          <w:szCs w:val="20"/>
        </w:rPr>
      </w:pPr>
      <w:r w:rsidRPr="00014A7D">
        <w:rPr>
          <w:rFonts w:ascii="Arial" w:hAnsi="Arial" w:cs="Arial"/>
          <w:bCs/>
          <w:color w:val="000000"/>
          <w:sz w:val="22"/>
          <w:szCs w:val="20"/>
        </w:rPr>
        <w:t>(iii)</w:t>
      </w:r>
      <w:r w:rsidRPr="00014A7D">
        <w:rPr>
          <w:rFonts w:ascii="Arial" w:hAnsi="Arial" w:cs="Arial"/>
          <w:bCs/>
          <w:color w:val="000000"/>
          <w:sz w:val="22"/>
          <w:szCs w:val="20"/>
        </w:rPr>
        <w:tab/>
      </w:r>
      <w:r w:rsidRPr="00014A7D">
        <w:rPr>
          <w:rFonts w:ascii="Arial" w:hAnsi="Arial" w:cs="Arial"/>
          <w:color w:val="000000"/>
          <w:sz w:val="22"/>
          <w:szCs w:val="20"/>
        </w:rPr>
        <w:t>the day on which any of the consideration is received for the supply.</w:t>
      </w:r>
    </w:p>
    <w:p w:rsidR="007707CA" w:rsidRDefault="004F00F3" w:rsidP="007707CA">
      <w:pPr>
        <w:spacing w:after="120"/>
        <w:ind w:left="1418" w:hanging="698"/>
        <w:rPr>
          <w:rFonts w:ascii="Arial" w:eastAsiaTheme="minorHAnsi" w:hAnsi="Arial" w:cstheme="minorBidi"/>
          <w:sz w:val="22"/>
          <w:szCs w:val="22"/>
          <w:lang w:eastAsia="en-US"/>
        </w:rPr>
      </w:pPr>
      <w:r w:rsidRPr="00A3538A">
        <w:rPr>
          <w:rFonts w:ascii="Arial" w:eastAsiaTheme="minorHAnsi" w:hAnsi="Arial" w:cstheme="minorBidi"/>
          <w:sz w:val="22"/>
          <w:szCs w:val="22"/>
          <w:lang w:eastAsia="en-US"/>
        </w:rPr>
        <w:t>(c)</w:t>
      </w:r>
      <w:r>
        <w:rPr>
          <w:rFonts w:ascii="Arial" w:eastAsiaTheme="minorHAnsi" w:hAnsi="Arial" w:cstheme="minorBidi"/>
          <w:sz w:val="22"/>
          <w:szCs w:val="22"/>
          <w:lang w:eastAsia="en-US"/>
        </w:rPr>
        <w:tab/>
      </w:r>
      <w:r w:rsidRPr="00A3538A">
        <w:rPr>
          <w:rFonts w:ascii="Arial" w:eastAsiaTheme="minorHAnsi" w:hAnsi="Arial" w:cstheme="minorBidi"/>
          <w:sz w:val="22"/>
          <w:szCs w:val="22"/>
          <w:lang w:eastAsia="en-US"/>
        </w:rPr>
        <w:t>if you are a non-resident that is not a limited registration entity, and you are making inbound intangible consumer supplies</w:t>
      </w:r>
      <w:r>
        <w:rPr>
          <w:rFonts w:ascii="Arial" w:eastAsiaTheme="minorHAnsi" w:hAnsi="Arial" w:cstheme="minorBidi"/>
          <w:sz w:val="22"/>
          <w:szCs w:val="22"/>
          <w:lang w:eastAsia="en-US"/>
        </w:rPr>
        <w:t>, offshore supplies of low value goods, or both</w:t>
      </w:r>
      <w:r w:rsidRPr="00A3538A">
        <w:rPr>
          <w:rFonts w:ascii="Arial" w:eastAsiaTheme="minorHAnsi" w:hAnsi="Arial" w:cstheme="minorBidi"/>
          <w:sz w:val="22"/>
          <w:szCs w:val="22"/>
          <w:lang w:eastAsia="en-US"/>
        </w:rPr>
        <w:t>, your conversion day is:</w:t>
      </w:r>
    </w:p>
    <w:p w:rsidR="007707CA" w:rsidRDefault="004F00F3" w:rsidP="007707CA">
      <w:pPr>
        <w:spacing w:after="120"/>
        <w:ind w:left="1418"/>
        <w:rPr>
          <w:rFonts w:ascii="Arial" w:eastAsiaTheme="minorHAnsi" w:hAnsi="Arial" w:cstheme="minorBidi"/>
          <w:sz w:val="22"/>
          <w:szCs w:val="22"/>
          <w:lang w:eastAsia="en-US"/>
        </w:rPr>
      </w:pPr>
      <w:r w:rsidRPr="00A3538A">
        <w:rPr>
          <w:rFonts w:ascii="Arial" w:eastAsiaTheme="minorHAnsi" w:hAnsi="Arial" w:cstheme="minorBidi"/>
          <w:sz w:val="22"/>
          <w:szCs w:val="22"/>
          <w:lang w:eastAsia="en-US"/>
        </w:rPr>
        <w:t>(i) a day specified in either paragraphs (a) or (b) of this definition for any types of supplies that you make (including inbound intangible consumer supplies</w:t>
      </w:r>
      <w:r>
        <w:rPr>
          <w:rFonts w:ascii="Arial" w:eastAsiaTheme="minorHAnsi" w:hAnsi="Arial" w:cstheme="minorBidi"/>
          <w:sz w:val="22"/>
          <w:szCs w:val="22"/>
          <w:lang w:eastAsia="en-US"/>
        </w:rPr>
        <w:t xml:space="preserve"> or offshore supplies of low value goods</w:t>
      </w:r>
      <w:r w:rsidRPr="00A3538A">
        <w:rPr>
          <w:rFonts w:ascii="Arial" w:eastAsiaTheme="minorHAnsi" w:hAnsi="Arial" w:cstheme="minorBidi"/>
          <w:sz w:val="22"/>
          <w:szCs w:val="22"/>
          <w:lang w:eastAsia="en-US"/>
        </w:rPr>
        <w:t>); or</w:t>
      </w:r>
    </w:p>
    <w:p w:rsidR="004F00F3" w:rsidRDefault="004F00F3" w:rsidP="007707CA">
      <w:pPr>
        <w:spacing w:after="120"/>
        <w:ind w:left="1418" w:firstLine="22"/>
        <w:rPr>
          <w:rFonts w:ascii="Arial" w:eastAsiaTheme="minorHAnsi" w:hAnsi="Arial" w:cstheme="minorBidi"/>
          <w:sz w:val="22"/>
          <w:szCs w:val="22"/>
          <w:lang w:eastAsia="en-US"/>
        </w:rPr>
      </w:pPr>
      <w:r>
        <w:rPr>
          <w:rFonts w:ascii="Arial" w:eastAsiaTheme="minorHAnsi" w:hAnsi="Arial" w:cstheme="minorBidi"/>
          <w:sz w:val="22"/>
          <w:szCs w:val="22"/>
          <w:lang w:eastAsia="en-US"/>
        </w:rPr>
        <w:t xml:space="preserve">(ii) </w:t>
      </w:r>
      <w:r w:rsidRPr="00A3538A">
        <w:rPr>
          <w:rFonts w:ascii="Arial" w:eastAsiaTheme="minorHAnsi" w:hAnsi="Arial" w:cstheme="minorBidi"/>
          <w:sz w:val="22"/>
          <w:szCs w:val="22"/>
          <w:lang w:eastAsia="en-US"/>
        </w:rPr>
        <w:t xml:space="preserve">for </w:t>
      </w:r>
      <w:r>
        <w:rPr>
          <w:rFonts w:ascii="Arial" w:eastAsiaTheme="minorHAnsi" w:hAnsi="Arial" w:cstheme="minorBidi"/>
          <w:sz w:val="22"/>
          <w:szCs w:val="22"/>
          <w:lang w:eastAsia="en-US"/>
        </w:rPr>
        <w:t xml:space="preserve">all of </w:t>
      </w:r>
      <w:r w:rsidRPr="00A3538A">
        <w:rPr>
          <w:rFonts w:ascii="Arial" w:eastAsiaTheme="minorHAnsi" w:hAnsi="Arial" w:cstheme="minorBidi"/>
          <w:sz w:val="22"/>
          <w:szCs w:val="22"/>
          <w:lang w:eastAsia="en-US"/>
        </w:rPr>
        <w:t>your inbound intangible consumer supplies</w:t>
      </w:r>
      <w:r>
        <w:rPr>
          <w:rFonts w:ascii="Arial" w:eastAsiaTheme="minorHAnsi" w:hAnsi="Arial" w:cstheme="minorBidi"/>
          <w:sz w:val="22"/>
          <w:szCs w:val="22"/>
          <w:lang w:eastAsia="en-US"/>
        </w:rPr>
        <w:t>, all of your offshore supplies of low value goods, or both:</w:t>
      </w:r>
    </w:p>
    <w:p w:rsidR="004F00F3" w:rsidRDefault="004F00F3" w:rsidP="007707CA">
      <w:pPr>
        <w:pStyle w:val="ListParagraph"/>
        <w:numPr>
          <w:ilvl w:val="0"/>
          <w:numId w:val="2"/>
        </w:numPr>
        <w:spacing w:after="120"/>
        <w:contextualSpacing w:val="0"/>
        <w:rPr>
          <w:rFonts w:ascii="Arial" w:eastAsiaTheme="minorHAnsi" w:hAnsi="Arial" w:cstheme="minorBidi"/>
          <w:sz w:val="22"/>
          <w:szCs w:val="22"/>
          <w:lang w:eastAsia="en-US"/>
        </w:rPr>
      </w:pPr>
      <w:r w:rsidRPr="00720C55">
        <w:rPr>
          <w:rFonts w:ascii="Arial" w:eastAsiaTheme="minorHAnsi" w:hAnsi="Arial" w:cstheme="minorBidi"/>
          <w:sz w:val="22"/>
          <w:szCs w:val="22"/>
          <w:lang w:eastAsia="en-US"/>
        </w:rPr>
        <w:t>the final day of the relevant tax period in which GST is payable (in which case, the conversion day for your other types of supplies is the day specified in either paragraphs (a) or (b) of this definition); or</w:t>
      </w:r>
    </w:p>
    <w:p w:rsidR="007707CA" w:rsidRDefault="004F00F3" w:rsidP="007707CA">
      <w:pPr>
        <w:pStyle w:val="ListParagraph"/>
        <w:numPr>
          <w:ilvl w:val="0"/>
          <w:numId w:val="2"/>
        </w:numPr>
        <w:spacing w:after="120"/>
        <w:contextualSpacing w:val="0"/>
        <w:rPr>
          <w:rFonts w:ascii="Arial" w:eastAsiaTheme="minorHAnsi" w:hAnsi="Arial" w:cstheme="minorBidi"/>
          <w:sz w:val="22"/>
          <w:szCs w:val="22"/>
          <w:lang w:eastAsia="en-US"/>
        </w:rPr>
      </w:pPr>
      <w:r w:rsidRPr="00720C55">
        <w:rPr>
          <w:rFonts w:ascii="Arial" w:eastAsiaTheme="minorHAnsi" w:hAnsi="Arial" w:cstheme="minorBidi"/>
          <w:sz w:val="22"/>
          <w:szCs w:val="22"/>
          <w:lang w:eastAsia="en-US"/>
        </w:rPr>
        <w:t>the earlier of the day on which you lodge your activity statement for a tax period or the due date for lodgement</w:t>
      </w:r>
      <w:r>
        <w:rPr>
          <w:rFonts w:ascii="Arial" w:eastAsiaTheme="minorHAnsi" w:hAnsi="Arial" w:cstheme="minorBidi"/>
          <w:sz w:val="22"/>
          <w:szCs w:val="22"/>
          <w:lang w:eastAsia="en-US"/>
        </w:rPr>
        <w:t xml:space="preserve"> </w:t>
      </w:r>
      <w:r w:rsidRPr="00720C55">
        <w:rPr>
          <w:rFonts w:ascii="Arial" w:eastAsiaTheme="minorHAnsi" w:hAnsi="Arial" w:cstheme="minorBidi"/>
          <w:sz w:val="22"/>
          <w:szCs w:val="22"/>
          <w:lang w:eastAsia="en-US"/>
        </w:rPr>
        <w:t xml:space="preserve">of </w:t>
      </w:r>
      <w:r>
        <w:rPr>
          <w:rFonts w:ascii="Arial" w:eastAsiaTheme="minorHAnsi" w:hAnsi="Arial" w:cstheme="minorBidi"/>
          <w:sz w:val="22"/>
          <w:szCs w:val="22"/>
          <w:lang w:eastAsia="en-US"/>
        </w:rPr>
        <w:t xml:space="preserve">that </w:t>
      </w:r>
      <w:r w:rsidRPr="00720C55">
        <w:rPr>
          <w:rFonts w:ascii="Arial" w:eastAsiaTheme="minorHAnsi" w:hAnsi="Arial" w:cstheme="minorBidi"/>
          <w:sz w:val="22"/>
          <w:szCs w:val="22"/>
          <w:lang w:eastAsia="en-US"/>
        </w:rPr>
        <w:t>activity statement (in which case, the conversion day for your other types of supplies is the day specified in either paragraphs (a) or (b) of this definition).</w:t>
      </w:r>
    </w:p>
    <w:p w:rsidR="007707CA" w:rsidRDefault="004F00F3" w:rsidP="007707CA">
      <w:pPr>
        <w:spacing w:after="120"/>
        <w:ind w:left="1418" w:hanging="698"/>
        <w:rPr>
          <w:rFonts w:ascii="Arial" w:eastAsiaTheme="minorHAnsi" w:hAnsi="Arial" w:cstheme="minorBidi"/>
          <w:sz w:val="22"/>
          <w:szCs w:val="22"/>
          <w:lang w:eastAsia="en-US"/>
        </w:rPr>
      </w:pPr>
      <w:r>
        <w:rPr>
          <w:rFonts w:ascii="Arial" w:eastAsiaTheme="minorHAnsi" w:hAnsi="Arial" w:cstheme="minorBidi"/>
          <w:sz w:val="22"/>
          <w:szCs w:val="22"/>
          <w:lang w:eastAsia="en-US"/>
        </w:rPr>
        <w:t>(d)</w:t>
      </w:r>
      <w:r>
        <w:rPr>
          <w:rFonts w:ascii="Arial" w:eastAsiaTheme="minorHAnsi" w:hAnsi="Arial" w:cstheme="minorBidi"/>
          <w:sz w:val="22"/>
          <w:szCs w:val="22"/>
          <w:lang w:eastAsia="en-US"/>
        </w:rPr>
        <w:tab/>
      </w:r>
      <w:r w:rsidRPr="00A3538A">
        <w:rPr>
          <w:rFonts w:ascii="Arial" w:eastAsiaTheme="minorHAnsi" w:hAnsi="Arial" w:cstheme="minorBidi"/>
          <w:sz w:val="22"/>
          <w:szCs w:val="22"/>
          <w:lang w:eastAsia="en-US"/>
        </w:rPr>
        <w:t>if you are a non-resident that is a limited registration entity, your conversion day</w:t>
      </w:r>
      <w:r>
        <w:rPr>
          <w:rFonts w:ascii="Arial" w:eastAsiaTheme="minorHAnsi" w:hAnsi="Arial" w:cstheme="minorBidi"/>
          <w:sz w:val="22"/>
          <w:szCs w:val="22"/>
          <w:lang w:eastAsia="en-US"/>
        </w:rPr>
        <w:t xml:space="preserve"> for all of your supplies</w:t>
      </w:r>
      <w:r w:rsidRPr="00A3538A">
        <w:rPr>
          <w:rFonts w:ascii="Arial" w:eastAsiaTheme="minorHAnsi" w:hAnsi="Arial" w:cstheme="minorBidi"/>
          <w:sz w:val="22"/>
          <w:szCs w:val="22"/>
          <w:lang w:eastAsia="en-US"/>
        </w:rPr>
        <w:t xml:space="preserve"> is:</w:t>
      </w:r>
    </w:p>
    <w:p w:rsidR="007707CA" w:rsidRDefault="004F00F3" w:rsidP="007707CA">
      <w:pPr>
        <w:numPr>
          <w:ilvl w:val="5"/>
          <w:numId w:val="4"/>
        </w:numPr>
        <w:spacing w:after="120"/>
        <w:ind w:left="2127" w:hanging="709"/>
        <w:rPr>
          <w:rFonts w:ascii="Arial" w:eastAsiaTheme="minorHAnsi" w:hAnsi="Arial" w:cstheme="minorBidi"/>
          <w:sz w:val="22"/>
          <w:szCs w:val="22"/>
          <w:lang w:eastAsia="en-US"/>
        </w:rPr>
      </w:pPr>
      <w:r w:rsidRPr="00A3538A">
        <w:rPr>
          <w:rFonts w:ascii="Arial" w:eastAsiaTheme="minorHAnsi" w:hAnsi="Arial" w:cstheme="minorBidi"/>
          <w:sz w:val="22"/>
          <w:szCs w:val="22"/>
          <w:lang w:eastAsia="en-US"/>
        </w:rPr>
        <w:t>a day specified in either paragraphs (a) or (b) of this definition; or</w:t>
      </w:r>
    </w:p>
    <w:p w:rsidR="007707CA" w:rsidRDefault="004F00F3" w:rsidP="007707CA">
      <w:pPr>
        <w:numPr>
          <w:ilvl w:val="5"/>
          <w:numId w:val="4"/>
        </w:numPr>
        <w:spacing w:after="120"/>
        <w:ind w:left="2127" w:hanging="709"/>
        <w:rPr>
          <w:rFonts w:ascii="Arial" w:eastAsiaTheme="minorHAnsi" w:hAnsi="Arial" w:cstheme="minorBidi"/>
          <w:sz w:val="22"/>
          <w:szCs w:val="22"/>
          <w:lang w:eastAsia="en-US"/>
        </w:rPr>
      </w:pPr>
      <w:r w:rsidRPr="00A3538A">
        <w:rPr>
          <w:rFonts w:ascii="Arial" w:eastAsiaTheme="minorHAnsi" w:hAnsi="Arial" w:cstheme="minorBidi"/>
          <w:sz w:val="22"/>
          <w:szCs w:val="22"/>
          <w:lang w:eastAsia="en-US"/>
        </w:rPr>
        <w:t>the final day of the relevant tax period in which GST is payable on your supplies</w:t>
      </w:r>
      <w:r>
        <w:rPr>
          <w:rFonts w:ascii="Arial" w:eastAsiaTheme="minorHAnsi" w:hAnsi="Arial" w:cstheme="minorBidi"/>
          <w:sz w:val="22"/>
          <w:szCs w:val="22"/>
          <w:lang w:eastAsia="en-US"/>
        </w:rPr>
        <w:t>; or</w:t>
      </w:r>
    </w:p>
    <w:p w:rsidR="007707CA" w:rsidRDefault="004F00F3" w:rsidP="007707CA">
      <w:pPr>
        <w:numPr>
          <w:ilvl w:val="5"/>
          <w:numId w:val="4"/>
        </w:numPr>
        <w:spacing w:after="120"/>
        <w:ind w:left="2127" w:hanging="709"/>
        <w:rPr>
          <w:rFonts w:ascii="Arial" w:eastAsiaTheme="minorHAnsi" w:hAnsi="Arial" w:cstheme="minorBidi"/>
          <w:sz w:val="22"/>
          <w:szCs w:val="22"/>
          <w:lang w:eastAsia="en-US"/>
        </w:rPr>
      </w:pPr>
      <w:r>
        <w:rPr>
          <w:rFonts w:ascii="Arial" w:eastAsiaTheme="minorHAnsi" w:hAnsi="Arial" w:cstheme="minorBidi"/>
          <w:sz w:val="22"/>
          <w:szCs w:val="22"/>
          <w:lang w:eastAsia="en-US"/>
        </w:rPr>
        <w:t>the earlier of the day on which you lodge your activity statement for a tax period or the due date for lodgement of that activity statement.</w:t>
      </w:r>
    </w:p>
    <w:p w:rsidR="004F00F3" w:rsidRPr="00631FFF" w:rsidRDefault="004F00F3" w:rsidP="007707CA">
      <w:pPr>
        <w:spacing w:after="120"/>
        <w:ind w:left="709"/>
        <w:rPr>
          <w:rFonts w:ascii="Arial" w:hAnsi="Arial" w:cs="Arial"/>
          <w:color w:val="000000"/>
          <w:sz w:val="22"/>
          <w:szCs w:val="20"/>
        </w:rPr>
      </w:pPr>
      <w:r w:rsidRPr="005D23DC">
        <w:rPr>
          <w:rFonts w:ascii="Arial" w:hAnsi="Arial" w:cs="Arial"/>
          <w:b/>
          <w:bCs/>
          <w:color w:val="000000"/>
          <w:sz w:val="22"/>
          <w:szCs w:val="20"/>
        </w:rPr>
        <w:lastRenderedPageBreak/>
        <w:t>digital currency exchange</w:t>
      </w:r>
      <w:r w:rsidRPr="00631FFF">
        <w:rPr>
          <w:rFonts w:ascii="Arial" w:hAnsi="Arial" w:cs="Arial"/>
          <w:b/>
          <w:bCs/>
          <w:color w:val="000000"/>
          <w:sz w:val="22"/>
          <w:szCs w:val="20"/>
        </w:rPr>
        <w:t xml:space="preserve"> </w:t>
      </w:r>
      <w:r w:rsidRPr="00631FFF">
        <w:rPr>
          <w:rFonts w:ascii="Arial" w:hAnsi="Arial" w:cs="Arial"/>
          <w:color w:val="000000"/>
          <w:sz w:val="22"/>
          <w:szCs w:val="20"/>
        </w:rPr>
        <w:t xml:space="preserve">means </w:t>
      </w:r>
      <w:r>
        <w:rPr>
          <w:rFonts w:ascii="Arial" w:hAnsi="Arial" w:cs="Arial"/>
          <w:color w:val="000000"/>
          <w:sz w:val="22"/>
          <w:szCs w:val="20"/>
        </w:rPr>
        <w:t>an entity</w:t>
      </w:r>
      <w:r w:rsidRPr="00631FFF">
        <w:rPr>
          <w:rFonts w:ascii="Arial" w:hAnsi="Arial" w:cs="Arial"/>
          <w:color w:val="000000"/>
          <w:sz w:val="22"/>
          <w:szCs w:val="20"/>
        </w:rPr>
        <w:t xml:space="preserve"> that provides trading platform/exchange for sellers and/or buyers of digital currency and provides exchange rates publicly.</w:t>
      </w:r>
    </w:p>
    <w:p w:rsidR="007707CA" w:rsidRDefault="004F00F3" w:rsidP="007707CA">
      <w:pPr>
        <w:spacing w:after="120"/>
        <w:ind w:left="709"/>
        <w:rPr>
          <w:rFonts w:ascii="Arial" w:hAnsi="Arial" w:cs="Arial"/>
          <w:bCs/>
          <w:color w:val="000000"/>
          <w:sz w:val="22"/>
          <w:szCs w:val="20"/>
        </w:rPr>
      </w:pPr>
      <w:r w:rsidRPr="00631FFF">
        <w:rPr>
          <w:rFonts w:ascii="Arial" w:hAnsi="Arial" w:cs="Arial"/>
          <w:b/>
          <w:bCs/>
          <w:color w:val="000000"/>
          <w:sz w:val="22"/>
          <w:szCs w:val="20"/>
        </w:rPr>
        <w:t>digital currency website</w:t>
      </w:r>
      <w:r w:rsidRPr="009967AE">
        <w:rPr>
          <w:rFonts w:ascii="Arial" w:hAnsi="Arial" w:cs="Arial"/>
          <w:bCs/>
          <w:color w:val="000000"/>
          <w:sz w:val="22"/>
          <w:szCs w:val="20"/>
        </w:rPr>
        <w:t xml:space="preserve"> means</w:t>
      </w:r>
      <w:r w:rsidRPr="00631FFF">
        <w:rPr>
          <w:rFonts w:ascii="Arial" w:hAnsi="Arial" w:cs="Arial"/>
          <w:b/>
          <w:bCs/>
          <w:color w:val="000000"/>
          <w:sz w:val="22"/>
          <w:szCs w:val="20"/>
        </w:rPr>
        <w:t xml:space="preserve"> </w:t>
      </w:r>
      <w:r w:rsidRPr="00631FFF">
        <w:rPr>
          <w:rFonts w:ascii="Arial" w:hAnsi="Arial" w:cs="Arial"/>
          <w:bCs/>
          <w:color w:val="000000"/>
          <w:sz w:val="22"/>
          <w:szCs w:val="20"/>
        </w:rPr>
        <w:t>a website that provides exchange rates publicly, without providing trading platform/exchange.</w:t>
      </w:r>
    </w:p>
    <w:p w:rsidR="004F00F3" w:rsidRDefault="004F00F3" w:rsidP="007707CA">
      <w:pPr>
        <w:spacing w:after="120"/>
        <w:ind w:left="709"/>
        <w:rPr>
          <w:rFonts w:ascii="Arial" w:hAnsi="Arial" w:cs="Arial"/>
          <w:color w:val="000000"/>
          <w:sz w:val="22"/>
          <w:szCs w:val="20"/>
        </w:rPr>
      </w:pPr>
      <w:r w:rsidRPr="005D23DC">
        <w:rPr>
          <w:rFonts w:ascii="Arial" w:hAnsi="Arial" w:cs="Arial"/>
          <w:b/>
          <w:bCs/>
          <w:color w:val="000000"/>
          <w:sz w:val="22"/>
          <w:szCs w:val="20"/>
        </w:rPr>
        <w:t>exchange rate</w:t>
      </w:r>
      <w:r w:rsidRPr="00031676">
        <w:rPr>
          <w:rFonts w:ascii="Arial" w:hAnsi="Arial" w:cs="Arial"/>
          <w:color w:val="000000"/>
          <w:sz w:val="22"/>
          <w:szCs w:val="20"/>
        </w:rPr>
        <w:t xml:space="preserve"> </w:t>
      </w:r>
      <w:r w:rsidRPr="00631FFF">
        <w:rPr>
          <w:rFonts w:ascii="Arial" w:hAnsi="Arial" w:cs="Arial"/>
          <w:color w:val="000000"/>
          <w:sz w:val="22"/>
          <w:szCs w:val="20"/>
        </w:rPr>
        <w:t xml:space="preserve">means the unit of digital currency in Australian dollars or </w:t>
      </w:r>
      <w:r>
        <w:rPr>
          <w:rFonts w:ascii="Arial" w:hAnsi="Arial" w:cs="Arial"/>
          <w:color w:val="000000"/>
          <w:sz w:val="22"/>
          <w:szCs w:val="20"/>
        </w:rPr>
        <w:t xml:space="preserve">the </w:t>
      </w:r>
      <w:r w:rsidRPr="00631FFF">
        <w:rPr>
          <w:rFonts w:ascii="Arial" w:hAnsi="Arial" w:cs="Arial"/>
          <w:color w:val="000000"/>
          <w:sz w:val="22"/>
          <w:szCs w:val="20"/>
        </w:rPr>
        <w:t>unit of digital currency in foreign currency.</w:t>
      </w:r>
    </w:p>
    <w:p w:rsidR="004F00F3" w:rsidRDefault="004F00F3" w:rsidP="007707CA">
      <w:pPr>
        <w:spacing w:after="120"/>
        <w:ind w:left="709"/>
        <w:rPr>
          <w:rFonts w:ascii="Arial" w:hAnsi="Arial" w:cs="Arial"/>
          <w:b/>
          <w:bCs/>
          <w:color w:val="000000"/>
          <w:sz w:val="22"/>
          <w:szCs w:val="20"/>
        </w:rPr>
      </w:pPr>
      <w:r w:rsidRPr="00813277">
        <w:rPr>
          <w:rFonts w:ascii="Arial" w:hAnsi="Arial" w:cs="Arial"/>
          <w:b/>
          <w:bCs/>
          <w:color w:val="000000"/>
          <w:sz w:val="22"/>
          <w:szCs w:val="20"/>
        </w:rPr>
        <w:t xml:space="preserve">foreign currency </w:t>
      </w:r>
      <w:r w:rsidRPr="00813277">
        <w:rPr>
          <w:rFonts w:ascii="Arial" w:hAnsi="Arial" w:cs="Arial"/>
          <w:bCs/>
          <w:color w:val="000000"/>
          <w:sz w:val="22"/>
          <w:szCs w:val="20"/>
        </w:rPr>
        <w:t>means a currency other than Australian currency</w:t>
      </w:r>
      <w:r w:rsidRPr="00813277">
        <w:rPr>
          <w:rFonts w:ascii="Arial" w:hAnsi="Arial" w:cs="Arial"/>
          <w:b/>
          <w:bCs/>
          <w:color w:val="000000"/>
          <w:sz w:val="22"/>
          <w:szCs w:val="20"/>
        </w:rPr>
        <w:t>.</w:t>
      </w:r>
    </w:p>
    <w:p w:rsidR="004F00F3" w:rsidRPr="006A71A5" w:rsidRDefault="004F00F3" w:rsidP="007707CA">
      <w:pPr>
        <w:pStyle w:val="ListParagraph"/>
        <w:spacing w:after="120"/>
        <w:ind w:left="0" w:firstLine="709"/>
        <w:contextualSpacing w:val="0"/>
        <w:rPr>
          <w:rFonts w:ascii="Arial" w:hAnsi="Arial" w:cs="Arial"/>
          <w:color w:val="000000"/>
          <w:sz w:val="22"/>
          <w:szCs w:val="20"/>
        </w:rPr>
      </w:pPr>
      <w:r>
        <w:rPr>
          <w:rFonts w:ascii="Arial" w:hAnsi="Arial" w:cs="Arial"/>
          <w:b/>
          <w:bCs/>
          <w:color w:val="000000"/>
          <w:sz w:val="22"/>
          <w:szCs w:val="20"/>
        </w:rPr>
        <w:t>y</w:t>
      </w:r>
      <w:r w:rsidRPr="006A71A5">
        <w:rPr>
          <w:rFonts w:ascii="Arial" w:hAnsi="Arial" w:cs="Arial"/>
          <w:b/>
          <w:bCs/>
          <w:color w:val="000000"/>
          <w:sz w:val="22"/>
          <w:szCs w:val="20"/>
        </w:rPr>
        <w:t>our particular exchange rate</w:t>
      </w:r>
      <w:r w:rsidRPr="006A71A5">
        <w:rPr>
          <w:rFonts w:ascii="Arial" w:hAnsi="Arial" w:cs="Arial"/>
          <w:color w:val="000000"/>
          <w:sz w:val="22"/>
          <w:szCs w:val="20"/>
        </w:rPr>
        <w:t xml:space="preserve"> </w:t>
      </w:r>
      <w:r>
        <w:rPr>
          <w:rFonts w:ascii="Arial" w:hAnsi="Arial" w:cs="Arial"/>
          <w:color w:val="000000"/>
          <w:sz w:val="22"/>
          <w:szCs w:val="20"/>
        </w:rPr>
        <w:t>is:</w:t>
      </w:r>
    </w:p>
    <w:p w:rsidR="007707CA" w:rsidRDefault="004F00F3" w:rsidP="007707CA">
      <w:pPr>
        <w:numPr>
          <w:ilvl w:val="0"/>
          <w:numId w:val="5"/>
        </w:numPr>
        <w:spacing w:after="120"/>
        <w:ind w:left="1418" w:hanging="709"/>
        <w:rPr>
          <w:rFonts w:ascii="Arial" w:hAnsi="Arial" w:cs="Arial"/>
          <w:color w:val="000000"/>
          <w:sz w:val="22"/>
          <w:szCs w:val="20"/>
        </w:rPr>
      </w:pPr>
      <w:r>
        <w:rPr>
          <w:rFonts w:ascii="Arial" w:hAnsi="Arial" w:cs="Arial"/>
          <w:bCs/>
          <w:color w:val="000000"/>
          <w:sz w:val="22"/>
          <w:szCs w:val="20"/>
        </w:rPr>
        <w:t>If</w:t>
      </w:r>
      <w:r w:rsidRPr="00F26B1B">
        <w:rPr>
          <w:rFonts w:ascii="Arial" w:hAnsi="Arial" w:cs="Arial"/>
          <w:bCs/>
          <w:color w:val="000000"/>
          <w:sz w:val="22"/>
          <w:szCs w:val="20"/>
        </w:rPr>
        <w:t xml:space="preserve"> </w:t>
      </w:r>
      <w:r>
        <w:rPr>
          <w:rFonts w:ascii="Arial" w:hAnsi="Arial" w:cs="Arial"/>
          <w:bCs/>
          <w:color w:val="000000"/>
          <w:sz w:val="22"/>
          <w:szCs w:val="20"/>
        </w:rPr>
        <w:t>the exchange rate is</w:t>
      </w:r>
      <w:r w:rsidRPr="00F26B1B">
        <w:rPr>
          <w:rFonts w:ascii="Arial" w:hAnsi="Arial" w:cs="Arial"/>
          <w:bCs/>
          <w:color w:val="000000"/>
          <w:sz w:val="22"/>
          <w:szCs w:val="20"/>
        </w:rPr>
        <w:t xml:space="preserve"> quoted in Australian currency, </w:t>
      </w:r>
      <w:r w:rsidRPr="00F26B1B">
        <w:rPr>
          <w:rFonts w:ascii="Arial" w:hAnsi="Arial" w:cs="Arial"/>
          <w:color w:val="000000"/>
          <w:sz w:val="22"/>
          <w:szCs w:val="20"/>
        </w:rPr>
        <w:t xml:space="preserve">the rate from a digital currency exchange, or a </w:t>
      </w:r>
      <w:r w:rsidRPr="00F26B1B">
        <w:rPr>
          <w:rFonts w:ascii="Arial" w:hAnsi="Arial" w:cs="Arial"/>
          <w:bCs/>
          <w:color w:val="000000"/>
          <w:sz w:val="22"/>
          <w:szCs w:val="20"/>
        </w:rPr>
        <w:t>digital currency website</w:t>
      </w:r>
      <w:r w:rsidRPr="00F26B1B">
        <w:rPr>
          <w:rFonts w:ascii="Arial" w:hAnsi="Arial" w:cs="Arial"/>
          <w:color w:val="000000"/>
          <w:sz w:val="22"/>
          <w:szCs w:val="20"/>
        </w:rPr>
        <w:t>, or the agreed rate, whichever you have chosen.</w:t>
      </w:r>
    </w:p>
    <w:p w:rsidR="004F00F3" w:rsidRDefault="004F00F3" w:rsidP="007707CA">
      <w:pPr>
        <w:numPr>
          <w:ilvl w:val="0"/>
          <w:numId w:val="5"/>
        </w:numPr>
        <w:spacing w:after="120"/>
        <w:ind w:left="1418" w:hanging="709"/>
        <w:rPr>
          <w:rFonts w:ascii="Arial" w:hAnsi="Arial" w:cs="Arial"/>
          <w:bCs/>
          <w:color w:val="000000"/>
          <w:sz w:val="22"/>
          <w:szCs w:val="20"/>
        </w:rPr>
      </w:pPr>
      <w:r>
        <w:rPr>
          <w:rFonts w:ascii="Arial" w:hAnsi="Arial" w:cs="Arial"/>
          <w:bCs/>
          <w:color w:val="000000"/>
          <w:sz w:val="22"/>
          <w:szCs w:val="20"/>
        </w:rPr>
        <w:t xml:space="preserve">If the exchange rate is only </w:t>
      </w:r>
      <w:r w:rsidRPr="006A71A5">
        <w:rPr>
          <w:rFonts w:ascii="Arial" w:hAnsi="Arial" w:cs="Arial"/>
          <w:bCs/>
          <w:color w:val="000000"/>
          <w:sz w:val="22"/>
          <w:szCs w:val="20"/>
        </w:rPr>
        <w:t>quoted in foreign currency</w:t>
      </w:r>
      <w:r>
        <w:rPr>
          <w:rFonts w:ascii="Arial" w:hAnsi="Arial" w:cs="Arial"/>
          <w:bCs/>
          <w:color w:val="000000"/>
          <w:sz w:val="22"/>
          <w:szCs w:val="20"/>
        </w:rPr>
        <w:t>:</w:t>
      </w:r>
    </w:p>
    <w:p w:rsidR="004F00F3" w:rsidRPr="00F26B1B" w:rsidRDefault="004F00F3" w:rsidP="007707CA">
      <w:pPr>
        <w:pStyle w:val="ListParagraph"/>
        <w:spacing w:after="120"/>
        <w:contextualSpacing w:val="0"/>
        <w:rPr>
          <w:rFonts w:ascii="Arial" w:hAnsi="Arial" w:cs="Arial"/>
          <w:bCs/>
          <w:i/>
          <w:color w:val="000000"/>
          <w:sz w:val="22"/>
          <w:szCs w:val="20"/>
        </w:rPr>
      </w:pPr>
      <w:r w:rsidRPr="00F26B1B">
        <w:rPr>
          <w:rFonts w:ascii="Arial" w:hAnsi="Arial" w:cs="Arial"/>
          <w:bCs/>
          <w:i/>
          <w:color w:val="000000"/>
          <w:sz w:val="22"/>
          <w:szCs w:val="20"/>
        </w:rPr>
        <w:t>Step 1</w:t>
      </w:r>
    </w:p>
    <w:p w:rsidR="007707CA" w:rsidRDefault="004F00F3" w:rsidP="007707CA">
      <w:pPr>
        <w:spacing w:after="120"/>
        <w:ind w:left="720"/>
        <w:rPr>
          <w:rFonts w:ascii="Arial" w:hAnsi="Arial" w:cs="Arial"/>
          <w:color w:val="000000"/>
          <w:sz w:val="22"/>
          <w:szCs w:val="20"/>
        </w:rPr>
      </w:pPr>
      <w:r w:rsidRPr="00F26B1B">
        <w:rPr>
          <w:rFonts w:ascii="Arial" w:hAnsi="Arial" w:cs="Arial"/>
          <w:bCs/>
          <w:color w:val="000000"/>
          <w:sz w:val="22"/>
          <w:szCs w:val="20"/>
        </w:rPr>
        <w:t>Choose an</w:t>
      </w:r>
      <w:r w:rsidRPr="00F26B1B">
        <w:rPr>
          <w:rFonts w:ascii="Arial" w:hAnsi="Arial" w:cs="Arial"/>
          <w:color w:val="000000"/>
          <w:sz w:val="22"/>
          <w:szCs w:val="20"/>
        </w:rPr>
        <w:t xml:space="preserve"> exchange rate</w:t>
      </w:r>
      <w:r>
        <w:rPr>
          <w:rFonts w:ascii="Arial" w:hAnsi="Arial" w:cs="Arial"/>
          <w:color w:val="000000"/>
          <w:sz w:val="22"/>
          <w:szCs w:val="20"/>
        </w:rPr>
        <w:t xml:space="preserve"> with an amount expressed in a </w:t>
      </w:r>
      <w:r w:rsidRPr="00F26B1B">
        <w:rPr>
          <w:rFonts w:ascii="Arial" w:hAnsi="Arial" w:cs="Arial"/>
          <w:color w:val="000000"/>
          <w:sz w:val="22"/>
          <w:szCs w:val="20"/>
        </w:rPr>
        <w:t xml:space="preserve">foreign currency from a digital currency exchange, or </w:t>
      </w:r>
      <w:r>
        <w:rPr>
          <w:rFonts w:ascii="Arial" w:hAnsi="Arial" w:cs="Arial"/>
          <w:color w:val="000000"/>
          <w:sz w:val="22"/>
          <w:szCs w:val="20"/>
        </w:rPr>
        <w:t>a</w:t>
      </w:r>
      <w:r w:rsidRPr="00F26B1B">
        <w:rPr>
          <w:rFonts w:ascii="Arial" w:hAnsi="Arial" w:cs="Arial"/>
          <w:color w:val="000000"/>
          <w:sz w:val="22"/>
          <w:szCs w:val="20"/>
        </w:rPr>
        <w:t xml:space="preserve"> digital currency</w:t>
      </w:r>
      <w:r>
        <w:rPr>
          <w:rFonts w:ascii="Arial" w:hAnsi="Arial" w:cs="Arial"/>
          <w:color w:val="000000"/>
          <w:sz w:val="22"/>
          <w:szCs w:val="20"/>
        </w:rPr>
        <w:t xml:space="preserve"> website</w:t>
      </w:r>
      <w:r w:rsidRPr="00F26B1B">
        <w:rPr>
          <w:rFonts w:ascii="Arial" w:hAnsi="Arial" w:cs="Arial"/>
          <w:color w:val="000000"/>
          <w:sz w:val="22"/>
          <w:szCs w:val="20"/>
        </w:rPr>
        <w:t>, or the agreed rate</w:t>
      </w:r>
      <w:r>
        <w:rPr>
          <w:rFonts w:ascii="Arial" w:hAnsi="Arial" w:cs="Arial"/>
          <w:color w:val="000000"/>
          <w:sz w:val="22"/>
          <w:szCs w:val="20"/>
        </w:rPr>
        <w:t>.</w:t>
      </w:r>
    </w:p>
    <w:p w:rsidR="004F00F3" w:rsidRPr="00F26B1B" w:rsidRDefault="004F00F3" w:rsidP="007707CA">
      <w:pPr>
        <w:spacing w:after="120"/>
        <w:ind w:left="720"/>
        <w:rPr>
          <w:rFonts w:ascii="Arial" w:hAnsi="Arial" w:cs="Arial"/>
          <w:bCs/>
          <w:i/>
          <w:color w:val="000000"/>
          <w:sz w:val="22"/>
          <w:szCs w:val="20"/>
        </w:rPr>
      </w:pPr>
      <w:r w:rsidRPr="00F26B1B">
        <w:rPr>
          <w:rFonts w:ascii="Arial" w:hAnsi="Arial" w:cs="Arial"/>
          <w:i/>
          <w:color w:val="000000"/>
          <w:sz w:val="22"/>
          <w:szCs w:val="20"/>
        </w:rPr>
        <w:t>Step</w:t>
      </w:r>
      <w:r>
        <w:rPr>
          <w:rFonts w:ascii="Arial" w:hAnsi="Arial" w:cs="Arial"/>
          <w:i/>
          <w:color w:val="000000"/>
          <w:sz w:val="22"/>
          <w:szCs w:val="20"/>
        </w:rPr>
        <w:t xml:space="preserve"> </w:t>
      </w:r>
      <w:r w:rsidRPr="00F26B1B">
        <w:rPr>
          <w:rFonts w:ascii="Arial" w:hAnsi="Arial" w:cs="Arial"/>
          <w:i/>
          <w:color w:val="000000"/>
          <w:sz w:val="22"/>
          <w:szCs w:val="20"/>
        </w:rPr>
        <w:t>2</w:t>
      </w:r>
    </w:p>
    <w:p w:rsidR="004F00F3" w:rsidRPr="00281014" w:rsidRDefault="004F00F3" w:rsidP="007707CA">
      <w:pPr>
        <w:pStyle w:val="ListParagraph"/>
        <w:spacing w:after="120"/>
        <w:contextualSpacing w:val="0"/>
        <w:rPr>
          <w:rFonts w:ascii="Arial" w:hAnsi="Arial" w:cs="Arial"/>
          <w:bCs/>
          <w:color w:val="000000"/>
          <w:sz w:val="22"/>
          <w:szCs w:val="20"/>
        </w:rPr>
      </w:pPr>
      <w:r>
        <w:rPr>
          <w:rFonts w:ascii="Arial" w:hAnsi="Arial" w:cs="Arial"/>
          <w:color w:val="000000"/>
          <w:sz w:val="22"/>
          <w:szCs w:val="20"/>
        </w:rPr>
        <w:t xml:space="preserve">On the same day, convert the amount expressed in foreign currency (from Step 1) </w:t>
      </w:r>
      <w:r w:rsidRPr="00200544">
        <w:rPr>
          <w:rFonts w:ascii="Arial" w:hAnsi="Arial" w:cs="Arial"/>
          <w:color w:val="000000"/>
          <w:sz w:val="22"/>
          <w:szCs w:val="20"/>
        </w:rPr>
        <w:t xml:space="preserve">into Australian currency </w:t>
      </w:r>
      <w:r>
        <w:rPr>
          <w:rFonts w:ascii="Arial" w:hAnsi="Arial" w:cs="Arial"/>
          <w:color w:val="000000"/>
          <w:sz w:val="22"/>
          <w:szCs w:val="20"/>
        </w:rPr>
        <w:t>using the formula at paragraph 5 of</w:t>
      </w:r>
      <w:r w:rsidRPr="00200544">
        <w:rPr>
          <w:rFonts w:ascii="Arial" w:hAnsi="Arial" w:cs="Arial"/>
          <w:color w:val="000000"/>
          <w:sz w:val="22"/>
          <w:szCs w:val="20"/>
        </w:rPr>
        <w:t xml:space="preserve"> </w:t>
      </w:r>
      <w:hyperlink r:id="rId9" w:history="1">
        <w:r w:rsidRPr="0031204C">
          <w:rPr>
            <w:rStyle w:val="Hyperlink"/>
            <w:rFonts w:ascii="Arial" w:hAnsi="Arial" w:cs="Arial"/>
            <w:i/>
            <w:iCs/>
            <w:sz w:val="22"/>
            <w:szCs w:val="20"/>
          </w:rPr>
          <w:t>Goods and Services Tax: Foreign Currency Conversion Determination 2018</w:t>
        </w:r>
        <w:r w:rsidRPr="0031204C">
          <w:rPr>
            <w:rStyle w:val="Hyperlink"/>
            <w:rFonts w:ascii="Arial" w:hAnsi="Arial" w:cs="Arial"/>
            <w:bCs/>
            <w:sz w:val="22"/>
            <w:szCs w:val="20"/>
          </w:rPr>
          <w:t>.</w:t>
        </w:r>
      </w:hyperlink>
    </w:p>
    <w:p w:rsidR="007707CA" w:rsidRDefault="004F00F3" w:rsidP="007707CA">
      <w:pPr>
        <w:spacing w:after="120"/>
        <w:ind w:left="709"/>
        <w:rPr>
          <w:rFonts w:ascii="Arial" w:hAnsi="Arial" w:cs="Arial"/>
          <w:color w:val="000000"/>
          <w:sz w:val="22"/>
          <w:szCs w:val="20"/>
        </w:rPr>
      </w:pPr>
      <w:r w:rsidRPr="001B609F">
        <w:rPr>
          <w:rFonts w:ascii="Arial" w:hAnsi="Arial" w:cs="Arial"/>
          <w:b/>
          <w:bCs/>
          <w:color w:val="000000"/>
          <w:sz w:val="22"/>
          <w:szCs w:val="20"/>
        </w:rPr>
        <w:t>transaction date</w:t>
      </w:r>
      <w:r w:rsidRPr="001B609F">
        <w:rPr>
          <w:rFonts w:ascii="Arial" w:hAnsi="Arial" w:cs="Arial"/>
          <w:color w:val="000000"/>
          <w:sz w:val="22"/>
          <w:szCs w:val="20"/>
        </w:rPr>
        <w:t xml:space="preserve"> means the date you use for </w:t>
      </w:r>
      <w:r>
        <w:rPr>
          <w:rFonts w:ascii="Arial" w:hAnsi="Arial" w:cs="Arial"/>
          <w:color w:val="000000"/>
          <w:sz w:val="22"/>
          <w:szCs w:val="20"/>
        </w:rPr>
        <w:t xml:space="preserve">digital </w:t>
      </w:r>
      <w:r w:rsidRPr="001B609F">
        <w:rPr>
          <w:rFonts w:ascii="Arial" w:hAnsi="Arial" w:cs="Arial"/>
          <w:color w:val="000000"/>
          <w:sz w:val="22"/>
          <w:szCs w:val="20"/>
        </w:rPr>
        <w:t>currency conversion in your accounting system</w:t>
      </w:r>
      <w:r>
        <w:rPr>
          <w:rFonts w:ascii="Arial" w:hAnsi="Arial" w:cs="Arial"/>
          <w:color w:val="000000"/>
          <w:sz w:val="22"/>
          <w:szCs w:val="20"/>
        </w:rPr>
        <w:t>.</w:t>
      </w:r>
    </w:p>
    <w:p w:rsidR="004F00F3" w:rsidRPr="00F667CC" w:rsidRDefault="004F00F3" w:rsidP="007707CA">
      <w:pPr>
        <w:pStyle w:val="ListParagraph"/>
        <w:numPr>
          <w:ilvl w:val="0"/>
          <w:numId w:val="1"/>
        </w:numPr>
        <w:spacing w:after="120"/>
        <w:ind w:left="709" w:hanging="709"/>
        <w:contextualSpacing w:val="0"/>
        <w:rPr>
          <w:rFonts w:ascii="Arial" w:hAnsi="Arial" w:cs="Arial"/>
          <w:sz w:val="22"/>
          <w:szCs w:val="22"/>
        </w:rPr>
      </w:pPr>
      <w:r w:rsidRPr="00F667CC">
        <w:rPr>
          <w:rFonts w:ascii="Arial" w:hAnsi="Arial" w:cs="Arial"/>
          <w:sz w:val="22"/>
          <w:szCs w:val="22"/>
        </w:rPr>
        <w:t xml:space="preserve">All other expressions in this Determination have the same meaning as in the </w:t>
      </w:r>
      <w:r w:rsidRPr="00610164">
        <w:rPr>
          <w:rFonts w:ascii="Arial" w:hAnsi="Arial" w:cs="Arial"/>
          <w:iCs/>
          <w:sz w:val="22"/>
          <w:szCs w:val="22"/>
        </w:rPr>
        <w:t>GST Act</w:t>
      </w:r>
      <w:r w:rsidRPr="00F667CC">
        <w:rPr>
          <w:rFonts w:ascii="Arial" w:hAnsi="Arial" w:cs="Arial"/>
          <w:i/>
          <w:iCs/>
          <w:sz w:val="22"/>
          <w:szCs w:val="22"/>
        </w:rPr>
        <w:t>.</w:t>
      </w:r>
    </w:p>
    <w:sectPr w:rsidR="004F00F3" w:rsidRPr="00F667CC" w:rsidSect="00C22AC5">
      <w:headerReference w:type="first" r:id="rId10"/>
      <w:pgSz w:w="11906" w:h="16838" w:code="9"/>
      <w:pgMar w:top="1078" w:right="1700" w:bottom="144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93B" w:rsidRDefault="0043493B">
      <w:r>
        <w:separator/>
      </w:r>
    </w:p>
  </w:endnote>
  <w:endnote w:type="continuationSeparator" w:id="0">
    <w:p w:rsidR="0043493B" w:rsidRDefault="0043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93B" w:rsidRDefault="0043493B">
      <w:r>
        <w:separator/>
      </w:r>
    </w:p>
  </w:footnote>
  <w:footnote w:type="continuationSeparator" w:id="0">
    <w:p w:rsidR="0043493B" w:rsidRDefault="00434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B1" w:rsidRPr="00001B90" w:rsidRDefault="007707CA">
    <w:pPr>
      <w:pStyle w:val="Header"/>
      <w:rPr>
        <w:sz w:val="20"/>
        <w:szCs w:val="20"/>
      </w:rPr>
    </w:pPr>
    <w:r w:rsidRPr="00001B90">
      <w:rPr>
        <w:noProof/>
        <w:sz w:val="20"/>
        <w:szCs w:val="20"/>
      </w:rPr>
      <w:drawing>
        <wp:inline distT="0" distB="0" distL="0" distR="0" wp14:anchorId="2EB4572F" wp14:editId="578167C9">
          <wp:extent cx="2413635" cy="701675"/>
          <wp:effectExtent l="0" t="0" r="5715" b="3175"/>
          <wp:docPr id="2"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rsidR="00001B90" w:rsidRPr="00001B90" w:rsidRDefault="0043493B">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13C10"/>
    <w:multiLevelType w:val="hybridMultilevel"/>
    <w:tmpl w:val="CF2A1E10"/>
    <w:lvl w:ilvl="0" w:tplc="073248BA">
      <w:start w:val="1"/>
      <w:numFmt w:val="lowerRoman"/>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73248BA">
      <w:start w:val="1"/>
      <w:numFmt w:val="lowerRoman"/>
      <w:lvlText w:val="(%6)"/>
      <w:lvlJc w:val="left"/>
      <w:pPr>
        <w:ind w:left="5738" w:hanging="180"/>
      </w:pPr>
      <w:rPr>
        <w:rFonts w:hint="default"/>
      </w:r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
    <w:nsid w:val="4A462B4A"/>
    <w:multiLevelType w:val="multilevel"/>
    <w:tmpl w:val="F0966EA8"/>
    <w:lvl w:ilvl="0">
      <w:start w:val="1"/>
      <w:numFmt w:val="decimal"/>
      <w:lvlText w:val="%1."/>
      <w:lvlJc w:val="left"/>
      <w:pPr>
        <w:ind w:left="360" w:hanging="360"/>
      </w:pPr>
      <w:rPr>
        <w:b w:val="0"/>
        <w:i w:val="0"/>
        <w:sz w:val="22"/>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68C05E2"/>
    <w:multiLevelType w:val="hybridMultilevel"/>
    <w:tmpl w:val="C696FA8A"/>
    <w:lvl w:ilvl="0" w:tplc="073248BA">
      <w:start w:val="1"/>
      <w:numFmt w:val="lowerRoman"/>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
    <w:nsid w:val="72C94EF8"/>
    <w:multiLevelType w:val="hybridMultilevel"/>
    <w:tmpl w:val="E4BCBA14"/>
    <w:lvl w:ilvl="0" w:tplc="5964CBBE">
      <w:start w:val="1"/>
      <w:numFmt w:val="upp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
    <w:nsid w:val="7CA51719"/>
    <w:multiLevelType w:val="hybridMultilevel"/>
    <w:tmpl w:val="C14E64C4"/>
    <w:lvl w:ilvl="0" w:tplc="02224C8E">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0F3"/>
    <w:rsid w:val="00173BFF"/>
    <w:rsid w:val="003359A0"/>
    <w:rsid w:val="0043493B"/>
    <w:rsid w:val="004C4A33"/>
    <w:rsid w:val="004F00F3"/>
    <w:rsid w:val="007707CA"/>
    <w:rsid w:val="00D451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0F3"/>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nhideWhenUsed/>
    <w:qFormat/>
    <w:rsid w:val="004F00F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00F3"/>
    <w:rPr>
      <w:rFonts w:asciiTheme="majorHAnsi" w:eastAsiaTheme="majorEastAsia" w:hAnsiTheme="majorHAnsi" w:cstheme="majorBidi"/>
      <w:b/>
      <w:bCs/>
      <w:color w:val="4F81BD" w:themeColor="accent1"/>
      <w:sz w:val="26"/>
      <w:szCs w:val="26"/>
      <w:lang w:eastAsia="en-AU"/>
    </w:rPr>
  </w:style>
  <w:style w:type="paragraph" w:styleId="Header">
    <w:name w:val="header"/>
    <w:basedOn w:val="Normal"/>
    <w:link w:val="HeaderChar"/>
    <w:rsid w:val="004F00F3"/>
    <w:pPr>
      <w:tabs>
        <w:tab w:val="center" w:pos="4153"/>
        <w:tab w:val="right" w:pos="8306"/>
      </w:tabs>
    </w:pPr>
  </w:style>
  <w:style w:type="character" w:customStyle="1" w:styleId="HeaderChar">
    <w:name w:val="Header Char"/>
    <w:basedOn w:val="DefaultParagraphFont"/>
    <w:link w:val="Header"/>
    <w:rsid w:val="004F00F3"/>
    <w:rPr>
      <w:rFonts w:ascii="Times New Roman" w:eastAsia="Times New Roman" w:hAnsi="Times New Roman" w:cs="Times New Roman"/>
      <w:sz w:val="24"/>
      <w:szCs w:val="24"/>
      <w:lang w:eastAsia="en-AU"/>
    </w:rPr>
  </w:style>
  <w:style w:type="character" w:styleId="Hyperlink">
    <w:name w:val="Hyperlink"/>
    <w:basedOn w:val="DefaultParagraphFont"/>
    <w:rsid w:val="004F00F3"/>
    <w:rPr>
      <w:color w:val="0000EE"/>
      <w:u w:val="single"/>
    </w:rPr>
  </w:style>
  <w:style w:type="paragraph" w:styleId="ListParagraph">
    <w:name w:val="List Paragraph"/>
    <w:basedOn w:val="Normal"/>
    <w:uiPriority w:val="34"/>
    <w:qFormat/>
    <w:rsid w:val="004F00F3"/>
    <w:pPr>
      <w:ind w:left="720"/>
      <w:contextualSpacing/>
    </w:pPr>
  </w:style>
  <w:style w:type="paragraph" w:styleId="BalloonText">
    <w:name w:val="Balloon Text"/>
    <w:basedOn w:val="Normal"/>
    <w:link w:val="BalloonTextChar"/>
    <w:uiPriority w:val="99"/>
    <w:semiHidden/>
    <w:unhideWhenUsed/>
    <w:rsid w:val="004F00F3"/>
    <w:rPr>
      <w:rFonts w:ascii="Tahoma" w:hAnsi="Tahoma" w:cs="Tahoma"/>
      <w:sz w:val="16"/>
      <w:szCs w:val="16"/>
    </w:rPr>
  </w:style>
  <w:style w:type="character" w:customStyle="1" w:styleId="BalloonTextChar">
    <w:name w:val="Balloon Text Char"/>
    <w:basedOn w:val="DefaultParagraphFont"/>
    <w:link w:val="BalloonText"/>
    <w:uiPriority w:val="99"/>
    <w:semiHidden/>
    <w:rsid w:val="004F00F3"/>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0F3"/>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nhideWhenUsed/>
    <w:qFormat/>
    <w:rsid w:val="004F00F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00F3"/>
    <w:rPr>
      <w:rFonts w:asciiTheme="majorHAnsi" w:eastAsiaTheme="majorEastAsia" w:hAnsiTheme="majorHAnsi" w:cstheme="majorBidi"/>
      <w:b/>
      <w:bCs/>
      <w:color w:val="4F81BD" w:themeColor="accent1"/>
      <w:sz w:val="26"/>
      <w:szCs w:val="26"/>
      <w:lang w:eastAsia="en-AU"/>
    </w:rPr>
  </w:style>
  <w:style w:type="paragraph" w:styleId="Header">
    <w:name w:val="header"/>
    <w:basedOn w:val="Normal"/>
    <w:link w:val="HeaderChar"/>
    <w:rsid w:val="004F00F3"/>
    <w:pPr>
      <w:tabs>
        <w:tab w:val="center" w:pos="4153"/>
        <w:tab w:val="right" w:pos="8306"/>
      </w:tabs>
    </w:pPr>
  </w:style>
  <w:style w:type="character" w:customStyle="1" w:styleId="HeaderChar">
    <w:name w:val="Header Char"/>
    <w:basedOn w:val="DefaultParagraphFont"/>
    <w:link w:val="Header"/>
    <w:rsid w:val="004F00F3"/>
    <w:rPr>
      <w:rFonts w:ascii="Times New Roman" w:eastAsia="Times New Roman" w:hAnsi="Times New Roman" w:cs="Times New Roman"/>
      <w:sz w:val="24"/>
      <w:szCs w:val="24"/>
      <w:lang w:eastAsia="en-AU"/>
    </w:rPr>
  </w:style>
  <w:style w:type="character" w:styleId="Hyperlink">
    <w:name w:val="Hyperlink"/>
    <w:basedOn w:val="DefaultParagraphFont"/>
    <w:rsid w:val="004F00F3"/>
    <w:rPr>
      <w:color w:val="0000EE"/>
      <w:u w:val="single"/>
    </w:rPr>
  </w:style>
  <w:style w:type="paragraph" w:styleId="ListParagraph">
    <w:name w:val="List Paragraph"/>
    <w:basedOn w:val="Normal"/>
    <w:uiPriority w:val="34"/>
    <w:qFormat/>
    <w:rsid w:val="004F00F3"/>
    <w:pPr>
      <w:ind w:left="720"/>
      <w:contextualSpacing/>
    </w:pPr>
  </w:style>
  <w:style w:type="paragraph" w:styleId="BalloonText">
    <w:name w:val="Balloon Text"/>
    <w:basedOn w:val="Normal"/>
    <w:link w:val="BalloonTextChar"/>
    <w:uiPriority w:val="99"/>
    <w:semiHidden/>
    <w:unhideWhenUsed/>
    <w:rsid w:val="004F00F3"/>
    <w:rPr>
      <w:rFonts w:ascii="Tahoma" w:hAnsi="Tahoma" w:cs="Tahoma"/>
      <w:sz w:val="16"/>
      <w:szCs w:val="16"/>
    </w:rPr>
  </w:style>
  <w:style w:type="character" w:customStyle="1" w:styleId="BalloonTextChar">
    <w:name w:val="Balloon Text Char"/>
    <w:basedOn w:val="DefaultParagraphFont"/>
    <w:link w:val="BalloonText"/>
    <w:uiPriority w:val="99"/>
    <w:semiHidden/>
    <w:rsid w:val="004F00F3"/>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ink:%20http://ato.gov.au/law/view/document?DocID=PAC/19990055/9-8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gov.au/Details/F2018L007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Australian Taxation Office</Company>
  <LinksUpToDate>false</LinksUpToDate>
  <CharactersWithSpaces>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Kiekens</dc:creator>
  <cp:lastModifiedBy>Ducat, Stuart</cp:lastModifiedBy>
  <cp:revision>2</cp:revision>
  <dcterms:created xsi:type="dcterms:W3CDTF">2019-04-10T22:31:00Z</dcterms:created>
  <dcterms:modified xsi:type="dcterms:W3CDTF">2019-04-10T22:31:00Z</dcterms:modified>
</cp:coreProperties>
</file>