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B232B" w:rsidRDefault="00193461" w:rsidP="00C63713">
      <w:pPr>
        <w:rPr>
          <w:sz w:val="28"/>
        </w:rPr>
      </w:pPr>
      <w:r w:rsidRPr="00AB232B">
        <w:rPr>
          <w:noProof/>
          <w:lang w:eastAsia="en-AU"/>
        </w:rPr>
        <w:drawing>
          <wp:inline distT="0" distB="0" distL="0" distR="0" wp14:anchorId="350076F6" wp14:editId="6DE0885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B232B" w:rsidRDefault="0048364F" w:rsidP="0048364F">
      <w:pPr>
        <w:rPr>
          <w:sz w:val="19"/>
        </w:rPr>
      </w:pPr>
    </w:p>
    <w:p w:rsidR="0048364F" w:rsidRPr="00AB232B" w:rsidRDefault="001E2A69" w:rsidP="0048364F">
      <w:pPr>
        <w:pStyle w:val="ShortT"/>
      </w:pPr>
      <w:r w:rsidRPr="00AB232B">
        <w:t>Gene Technology Amendment (201</w:t>
      </w:r>
      <w:r w:rsidR="00CE5C25" w:rsidRPr="00AB232B">
        <w:t>9</w:t>
      </w:r>
      <w:r w:rsidRPr="00AB232B">
        <w:t xml:space="preserve"> Measures No.</w:t>
      </w:r>
      <w:r w:rsidR="00AB232B" w:rsidRPr="00AB232B">
        <w:t> </w:t>
      </w:r>
      <w:r w:rsidRPr="00AB232B">
        <w:t>1) Regulation</w:t>
      </w:r>
      <w:r w:rsidR="00194A8E" w:rsidRPr="00AB232B">
        <w:t>s</w:t>
      </w:r>
      <w:r w:rsidR="00AB232B" w:rsidRPr="00AB232B">
        <w:t> </w:t>
      </w:r>
      <w:r w:rsidRPr="00AB232B">
        <w:t>201</w:t>
      </w:r>
      <w:r w:rsidR="00CE5C25" w:rsidRPr="00AB232B">
        <w:t>9</w:t>
      </w:r>
    </w:p>
    <w:p w:rsidR="00F9330E" w:rsidRPr="00AB232B" w:rsidRDefault="00F9330E" w:rsidP="00A45F7C">
      <w:pPr>
        <w:pStyle w:val="SignCoverPageStart"/>
        <w:spacing w:before="240"/>
        <w:rPr>
          <w:szCs w:val="22"/>
        </w:rPr>
      </w:pPr>
      <w:r w:rsidRPr="00AB232B">
        <w:rPr>
          <w:szCs w:val="22"/>
        </w:rPr>
        <w:t>I, General the Honourable Sir Peter Cosgrove AK MC (</w:t>
      </w:r>
      <w:proofErr w:type="spellStart"/>
      <w:r w:rsidRPr="00AB232B">
        <w:rPr>
          <w:szCs w:val="22"/>
        </w:rPr>
        <w:t>Ret’d</w:t>
      </w:r>
      <w:proofErr w:type="spellEnd"/>
      <w:r w:rsidRPr="00AB232B">
        <w:rPr>
          <w:szCs w:val="22"/>
        </w:rPr>
        <w:t xml:space="preserve">), </w:t>
      </w:r>
      <w:r w:rsidR="00C730F5" w:rsidRPr="00AB232B">
        <w:rPr>
          <w:szCs w:val="22"/>
        </w:rPr>
        <w:t>Governor</w:t>
      </w:r>
      <w:r w:rsidR="00AB232B">
        <w:rPr>
          <w:szCs w:val="22"/>
        </w:rPr>
        <w:noBreakHyphen/>
      </w:r>
      <w:r w:rsidR="00C730F5" w:rsidRPr="00AB232B">
        <w:rPr>
          <w:szCs w:val="22"/>
        </w:rPr>
        <w:t>General</w:t>
      </w:r>
      <w:r w:rsidRPr="00AB232B">
        <w:rPr>
          <w:szCs w:val="22"/>
        </w:rPr>
        <w:t xml:space="preserve"> of the Commonwealth of Australia, acting with the advice of the Federal Executive Council, make the following regulation</w:t>
      </w:r>
      <w:r w:rsidR="00BB3D21" w:rsidRPr="00AB232B">
        <w:rPr>
          <w:szCs w:val="22"/>
        </w:rPr>
        <w:t>s</w:t>
      </w:r>
      <w:r w:rsidRPr="00AB232B">
        <w:rPr>
          <w:szCs w:val="22"/>
        </w:rPr>
        <w:t>.</w:t>
      </w:r>
    </w:p>
    <w:p w:rsidR="00F9330E" w:rsidRPr="00AB232B" w:rsidRDefault="00F9330E" w:rsidP="00A45F7C">
      <w:pPr>
        <w:keepNext/>
        <w:spacing w:before="720" w:line="240" w:lineRule="atLeast"/>
        <w:ind w:right="397"/>
        <w:jc w:val="both"/>
        <w:rPr>
          <w:szCs w:val="22"/>
        </w:rPr>
      </w:pPr>
      <w:r w:rsidRPr="00AB232B">
        <w:rPr>
          <w:szCs w:val="22"/>
        </w:rPr>
        <w:t xml:space="preserve">Dated </w:t>
      </w:r>
      <w:r w:rsidRPr="00AB232B">
        <w:rPr>
          <w:szCs w:val="22"/>
        </w:rPr>
        <w:fldChar w:fldCharType="begin"/>
      </w:r>
      <w:r w:rsidRPr="00AB232B">
        <w:rPr>
          <w:szCs w:val="22"/>
        </w:rPr>
        <w:instrText xml:space="preserve"> DOCPROPERTY  DateMade </w:instrText>
      </w:r>
      <w:r w:rsidRPr="00AB232B">
        <w:rPr>
          <w:szCs w:val="22"/>
        </w:rPr>
        <w:fldChar w:fldCharType="separate"/>
      </w:r>
      <w:r w:rsidR="00404E2B">
        <w:rPr>
          <w:szCs w:val="22"/>
        </w:rPr>
        <w:t>04 April 2019</w:t>
      </w:r>
      <w:r w:rsidRPr="00AB232B">
        <w:rPr>
          <w:szCs w:val="22"/>
        </w:rPr>
        <w:fldChar w:fldCharType="end"/>
      </w:r>
    </w:p>
    <w:p w:rsidR="00F9330E" w:rsidRPr="00AB232B" w:rsidRDefault="00F9330E" w:rsidP="00A45F7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B232B">
        <w:rPr>
          <w:szCs w:val="22"/>
        </w:rPr>
        <w:t>Peter Cosgrove</w:t>
      </w:r>
    </w:p>
    <w:p w:rsidR="00F9330E" w:rsidRPr="00AB232B" w:rsidRDefault="00C730F5" w:rsidP="00A45F7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B232B">
        <w:rPr>
          <w:szCs w:val="22"/>
        </w:rPr>
        <w:t>Governor</w:t>
      </w:r>
      <w:r w:rsidR="00AB232B">
        <w:rPr>
          <w:szCs w:val="22"/>
        </w:rPr>
        <w:noBreakHyphen/>
      </w:r>
      <w:r w:rsidRPr="00AB232B">
        <w:rPr>
          <w:szCs w:val="22"/>
        </w:rPr>
        <w:t>General</w:t>
      </w:r>
    </w:p>
    <w:p w:rsidR="00F9330E" w:rsidRPr="00AB232B" w:rsidRDefault="00F9330E" w:rsidP="00A45F7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B232B">
        <w:rPr>
          <w:szCs w:val="22"/>
        </w:rPr>
        <w:t>By His Excellency’s Command</w:t>
      </w:r>
    </w:p>
    <w:p w:rsidR="00F9330E" w:rsidRPr="00AB232B" w:rsidRDefault="00F9330E" w:rsidP="00A45F7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B232B">
        <w:rPr>
          <w:szCs w:val="22"/>
        </w:rPr>
        <w:t>Bridget McKenzie</w:t>
      </w:r>
    </w:p>
    <w:p w:rsidR="00F9330E" w:rsidRPr="00AB232B" w:rsidRDefault="006036A3" w:rsidP="00A45F7C">
      <w:pPr>
        <w:pStyle w:val="SignCoverPageEnd"/>
        <w:rPr>
          <w:szCs w:val="22"/>
        </w:rPr>
      </w:pPr>
      <w:r w:rsidRPr="00AB232B">
        <w:rPr>
          <w:szCs w:val="22"/>
        </w:rPr>
        <w:t>Minister for Regional Services, Sport, Local Government and Decentralisation</w:t>
      </w:r>
    </w:p>
    <w:p w:rsidR="00F9330E" w:rsidRPr="00AB232B" w:rsidRDefault="00F9330E" w:rsidP="00A45F7C"/>
    <w:p w:rsidR="0048364F" w:rsidRPr="00AB232B" w:rsidRDefault="0048364F" w:rsidP="0048364F">
      <w:pPr>
        <w:pStyle w:val="Header"/>
        <w:tabs>
          <w:tab w:val="clear" w:pos="4150"/>
          <w:tab w:val="clear" w:pos="8307"/>
        </w:tabs>
      </w:pPr>
      <w:r w:rsidRPr="00AB232B">
        <w:rPr>
          <w:rStyle w:val="CharAmSchNo"/>
        </w:rPr>
        <w:t xml:space="preserve"> </w:t>
      </w:r>
      <w:r w:rsidRPr="00AB232B">
        <w:rPr>
          <w:rStyle w:val="CharAmSchText"/>
        </w:rPr>
        <w:t xml:space="preserve"> </w:t>
      </w:r>
    </w:p>
    <w:p w:rsidR="0048364F" w:rsidRPr="00AB232B" w:rsidRDefault="0048364F" w:rsidP="0048364F">
      <w:pPr>
        <w:pStyle w:val="Header"/>
        <w:tabs>
          <w:tab w:val="clear" w:pos="4150"/>
          <w:tab w:val="clear" w:pos="8307"/>
        </w:tabs>
      </w:pPr>
      <w:r w:rsidRPr="00AB232B">
        <w:rPr>
          <w:rStyle w:val="CharAmPartNo"/>
        </w:rPr>
        <w:t xml:space="preserve"> </w:t>
      </w:r>
      <w:r w:rsidRPr="00AB232B">
        <w:rPr>
          <w:rStyle w:val="CharAmPartText"/>
        </w:rPr>
        <w:t xml:space="preserve"> </w:t>
      </w:r>
    </w:p>
    <w:p w:rsidR="0048364F" w:rsidRPr="00AB232B" w:rsidRDefault="0048364F" w:rsidP="0048364F">
      <w:pPr>
        <w:sectPr w:rsidR="0048364F" w:rsidRPr="00AB232B" w:rsidSect="003578F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AB232B" w:rsidRDefault="0048364F" w:rsidP="003B4D2C">
      <w:pPr>
        <w:rPr>
          <w:sz w:val="36"/>
        </w:rPr>
      </w:pPr>
      <w:r w:rsidRPr="00AB232B">
        <w:rPr>
          <w:sz w:val="36"/>
        </w:rPr>
        <w:lastRenderedPageBreak/>
        <w:t>Contents</w:t>
      </w:r>
    </w:p>
    <w:p w:rsidR="00A23C02" w:rsidRPr="00AB232B" w:rsidRDefault="00A23C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232B">
        <w:fldChar w:fldCharType="begin"/>
      </w:r>
      <w:r w:rsidRPr="00AB232B">
        <w:instrText xml:space="preserve"> TOC \o "1-9" </w:instrText>
      </w:r>
      <w:r w:rsidRPr="00AB232B">
        <w:fldChar w:fldCharType="separate"/>
      </w:r>
      <w:r w:rsidRPr="00AB232B">
        <w:rPr>
          <w:noProof/>
        </w:rPr>
        <w:t>1</w:t>
      </w:r>
      <w:r w:rsidRPr="00AB232B">
        <w:rPr>
          <w:noProof/>
        </w:rPr>
        <w:tab/>
        <w:t>Name</w:t>
      </w:r>
      <w:r w:rsidRPr="00AB232B">
        <w:rPr>
          <w:noProof/>
        </w:rPr>
        <w:tab/>
      </w:r>
      <w:r w:rsidRPr="00AB232B">
        <w:rPr>
          <w:noProof/>
        </w:rPr>
        <w:fldChar w:fldCharType="begin"/>
      </w:r>
      <w:r w:rsidRPr="00AB232B">
        <w:rPr>
          <w:noProof/>
        </w:rPr>
        <w:instrText xml:space="preserve"> PAGEREF _Toc2843356 \h </w:instrText>
      </w:r>
      <w:r w:rsidRPr="00AB232B">
        <w:rPr>
          <w:noProof/>
        </w:rPr>
      </w:r>
      <w:r w:rsidRPr="00AB232B">
        <w:rPr>
          <w:noProof/>
        </w:rPr>
        <w:fldChar w:fldCharType="separate"/>
      </w:r>
      <w:r w:rsidR="00404E2B">
        <w:rPr>
          <w:noProof/>
        </w:rPr>
        <w:t>1</w:t>
      </w:r>
      <w:r w:rsidRPr="00AB232B">
        <w:rPr>
          <w:noProof/>
        </w:rPr>
        <w:fldChar w:fldCharType="end"/>
      </w:r>
    </w:p>
    <w:p w:rsidR="00A23C02" w:rsidRPr="00AB232B" w:rsidRDefault="00A23C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232B">
        <w:rPr>
          <w:noProof/>
        </w:rPr>
        <w:t>2</w:t>
      </w:r>
      <w:r w:rsidRPr="00AB232B">
        <w:rPr>
          <w:noProof/>
        </w:rPr>
        <w:tab/>
        <w:t>Commencement</w:t>
      </w:r>
      <w:r w:rsidRPr="00AB232B">
        <w:rPr>
          <w:noProof/>
        </w:rPr>
        <w:tab/>
      </w:r>
      <w:r w:rsidRPr="00AB232B">
        <w:rPr>
          <w:noProof/>
        </w:rPr>
        <w:fldChar w:fldCharType="begin"/>
      </w:r>
      <w:r w:rsidRPr="00AB232B">
        <w:rPr>
          <w:noProof/>
        </w:rPr>
        <w:instrText xml:space="preserve"> PAGEREF _Toc2843357 \h </w:instrText>
      </w:r>
      <w:r w:rsidRPr="00AB232B">
        <w:rPr>
          <w:noProof/>
        </w:rPr>
      </w:r>
      <w:r w:rsidRPr="00AB232B">
        <w:rPr>
          <w:noProof/>
        </w:rPr>
        <w:fldChar w:fldCharType="separate"/>
      </w:r>
      <w:r w:rsidR="00404E2B">
        <w:rPr>
          <w:noProof/>
        </w:rPr>
        <w:t>1</w:t>
      </w:r>
      <w:r w:rsidRPr="00AB232B">
        <w:rPr>
          <w:noProof/>
        </w:rPr>
        <w:fldChar w:fldCharType="end"/>
      </w:r>
    </w:p>
    <w:p w:rsidR="00A23C02" w:rsidRPr="00AB232B" w:rsidRDefault="00A23C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232B">
        <w:rPr>
          <w:noProof/>
        </w:rPr>
        <w:t>3</w:t>
      </w:r>
      <w:r w:rsidRPr="00AB232B">
        <w:rPr>
          <w:noProof/>
        </w:rPr>
        <w:tab/>
        <w:t>Authority</w:t>
      </w:r>
      <w:r w:rsidRPr="00AB232B">
        <w:rPr>
          <w:noProof/>
        </w:rPr>
        <w:tab/>
      </w:r>
      <w:r w:rsidRPr="00AB232B">
        <w:rPr>
          <w:noProof/>
        </w:rPr>
        <w:fldChar w:fldCharType="begin"/>
      </w:r>
      <w:r w:rsidRPr="00AB232B">
        <w:rPr>
          <w:noProof/>
        </w:rPr>
        <w:instrText xml:space="preserve"> PAGEREF _Toc2843358 \h </w:instrText>
      </w:r>
      <w:r w:rsidRPr="00AB232B">
        <w:rPr>
          <w:noProof/>
        </w:rPr>
      </w:r>
      <w:r w:rsidRPr="00AB232B">
        <w:rPr>
          <w:noProof/>
        </w:rPr>
        <w:fldChar w:fldCharType="separate"/>
      </w:r>
      <w:r w:rsidR="00404E2B">
        <w:rPr>
          <w:noProof/>
        </w:rPr>
        <w:t>1</w:t>
      </w:r>
      <w:r w:rsidRPr="00AB232B">
        <w:rPr>
          <w:noProof/>
        </w:rPr>
        <w:fldChar w:fldCharType="end"/>
      </w:r>
    </w:p>
    <w:p w:rsidR="00A23C02" w:rsidRPr="00AB232B" w:rsidRDefault="00A23C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232B">
        <w:rPr>
          <w:noProof/>
        </w:rPr>
        <w:t>4</w:t>
      </w:r>
      <w:r w:rsidRPr="00AB232B">
        <w:rPr>
          <w:noProof/>
        </w:rPr>
        <w:tab/>
        <w:t>Schedules</w:t>
      </w:r>
      <w:r w:rsidRPr="00AB232B">
        <w:rPr>
          <w:noProof/>
        </w:rPr>
        <w:tab/>
      </w:r>
      <w:r w:rsidRPr="00AB232B">
        <w:rPr>
          <w:noProof/>
        </w:rPr>
        <w:fldChar w:fldCharType="begin"/>
      </w:r>
      <w:r w:rsidRPr="00AB232B">
        <w:rPr>
          <w:noProof/>
        </w:rPr>
        <w:instrText xml:space="preserve"> PAGEREF _Toc2843359 \h </w:instrText>
      </w:r>
      <w:r w:rsidRPr="00AB232B">
        <w:rPr>
          <w:noProof/>
        </w:rPr>
      </w:r>
      <w:r w:rsidRPr="00AB232B">
        <w:rPr>
          <w:noProof/>
        </w:rPr>
        <w:fldChar w:fldCharType="separate"/>
      </w:r>
      <w:r w:rsidR="00404E2B">
        <w:rPr>
          <w:noProof/>
        </w:rPr>
        <w:t>1</w:t>
      </w:r>
      <w:r w:rsidRPr="00AB232B">
        <w:rPr>
          <w:noProof/>
        </w:rPr>
        <w:fldChar w:fldCharType="end"/>
      </w:r>
    </w:p>
    <w:p w:rsidR="00A23C02" w:rsidRPr="00AB232B" w:rsidRDefault="00A23C0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B232B">
        <w:rPr>
          <w:noProof/>
        </w:rPr>
        <w:t>Schedule</w:t>
      </w:r>
      <w:r w:rsidR="00AB232B" w:rsidRPr="00AB232B">
        <w:rPr>
          <w:noProof/>
        </w:rPr>
        <w:t> </w:t>
      </w:r>
      <w:r w:rsidRPr="00AB232B">
        <w:rPr>
          <w:noProof/>
        </w:rPr>
        <w:t>1—Amendments commencing 6 months after registration</w:t>
      </w:r>
      <w:r w:rsidRPr="00AB232B">
        <w:rPr>
          <w:b w:val="0"/>
          <w:noProof/>
          <w:sz w:val="18"/>
        </w:rPr>
        <w:tab/>
      </w:r>
      <w:r w:rsidRPr="00AB232B">
        <w:rPr>
          <w:b w:val="0"/>
          <w:noProof/>
          <w:sz w:val="18"/>
        </w:rPr>
        <w:fldChar w:fldCharType="begin"/>
      </w:r>
      <w:r w:rsidRPr="00AB232B">
        <w:rPr>
          <w:b w:val="0"/>
          <w:noProof/>
          <w:sz w:val="18"/>
        </w:rPr>
        <w:instrText xml:space="preserve"> PAGEREF _Toc2843360 \h </w:instrText>
      </w:r>
      <w:r w:rsidRPr="00AB232B">
        <w:rPr>
          <w:b w:val="0"/>
          <w:noProof/>
          <w:sz w:val="18"/>
        </w:rPr>
      </w:r>
      <w:r w:rsidRPr="00AB232B">
        <w:rPr>
          <w:b w:val="0"/>
          <w:noProof/>
          <w:sz w:val="18"/>
        </w:rPr>
        <w:fldChar w:fldCharType="separate"/>
      </w:r>
      <w:r w:rsidR="00404E2B">
        <w:rPr>
          <w:b w:val="0"/>
          <w:noProof/>
          <w:sz w:val="18"/>
        </w:rPr>
        <w:t>2</w:t>
      </w:r>
      <w:r w:rsidRPr="00AB232B">
        <w:rPr>
          <w:b w:val="0"/>
          <w:noProof/>
          <w:sz w:val="18"/>
        </w:rPr>
        <w:fldChar w:fldCharType="end"/>
      </w:r>
    </w:p>
    <w:p w:rsidR="00A23C02" w:rsidRPr="00AB232B" w:rsidRDefault="00A23C0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B232B">
        <w:rPr>
          <w:noProof/>
        </w:rPr>
        <w:t>Gene Technology Regulations</w:t>
      </w:r>
      <w:r w:rsidR="00AB232B" w:rsidRPr="00AB232B">
        <w:rPr>
          <w:noProof/>
        </w:rPr>
        <w:t> </w:t>
      </w:r>
      <w:r w:rsidRPr="00AB232B">
        <w:rPr>
          <w:noProof/>
        </w:rPr>
        <w:t>2001</w:t>
      </w:r>
      <w:r w:rsidRPr="00AB232B">
        <w:rPr>
          <w:i w:val="0"/>
          <w:noProof/>
          <w:sz w:val="18"/>
        </w:rPr>
        <w:tab/>
      </w:r>
      <w:r w:rsidRPr="00AB232B">
        <w:rPr>
          <w:i w:val="0"/>
          <w:noProof/>
          <w:sz w:val="18"/>
        </w:rPr>
        <w:fldChar w:fldCharType="begin"/>
      </w:r>
      <w:r w:rsidRPr="00AB232B">
        <w:rPr>
          <w:i w:val="0"/>
          <w:noProof/>
          <w:sz w:val="18"/>
        </w:rPr>
        <w:instrText xml:space="preserve"> PAGEREF _Toc2843361 \h </w:instrText>
      </w:r>
      <w:r w:rsidRPr="00AB232B">
        <w:rPr>
          <w:i w:val="0"/>
          <w:noProof/>
          <w:sz w:val="18"/>
        </w:rPr>
      </w:r>
      <w:r w:rsidRPr="00AB232B">
        <w:rPr>
          <w:i w:val="0"/>
          <w:noProof/>
          <w:sz w:val="18"/>
        </w:rPr>
        <w:fldChar w:fldCharType="separate"/>
      </w:r>
      <w:r w:rsidR="00404E2B">
        <w:rPr>
          <w:i w:val="0"/>
          <w:noProof/>
          <w:sz w:val="18"/>
        </w:rPr>
        <w:t>2</w:t>
      </w:r>
      <w:r w:rsidRPr="00AB232B">
        <w:rPr>
          <w:i w:val="0"/>
          <w:noProof/>
          <w:sz w:val="18"/>
        </w:rPr>
        <w:fldChar w:fldCharType="end"/>
      </w:r>
    </w:p>
    <w:p w:rsidR="00A23C02" w:rsidRPr="00AB232B" w:rsidRDefault="00A23C0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B232B">
        <w:rPr>
          <w:noProof/>
        </w:rPr>
        <w:t>Schedule</w:t>
      </w:r>
      <w:r w:rsidR="00AB232B" w:rsidRPr="00AB232B">
        <w:rPr>
          <w:noProof/>
        </w:rPr>
        <w:t> </w:t>
      </w:r>
      <w:r w:rsidRPr="00AB232B">
        <w:rPr>
          <w:noProof/>
        </w:rPr>
        <w:t>2—Amendments commencing 1</w:t>
      </w:r>
      <w:r w:rsidR="00AB232B" w:rsidRPr="00AB232B">
        <w:rPr>
          <w:noProof/>
        </w:rPr>
        <w:t> </w:t>
      </w:r>
      <w:r w:rsidRPr="00AB232B">
        <w:rPr>
          <w:noProof/>
        </w:rPr>
        <w:t>July 2020</w:t>
      </w:r>
      <w:r w:rsidRPr="00AB232B">
        <w:rPr>
          <w:b w:val="0"/>
          <w:noProof/>
          <w:sz w:val="18"/>
        </w:rPr>
        <w:tab/>
      </w:r>
      <w:r w:rsidRPr="00AB232B">
        <w:rPr>
          <w:b w:val="0"/>
          <w:noProof/>
          <w:sz w:val="18"/>
        </w:rPr>
        <w:fldChar w:fldCharType="begin"/>
      </w:r>
      <w:r w:rsidRPr="00AB232B">
        <w:rPr>
          <w:b w:val="0"/>
          <w:noProof/>
          <w:sz w:val="18"/>
        </w:rPr>
        <w:instrText xml:space="preserve"> PAGEREF _Toc2843372 \h </w:instrText>
      </w:r>
      <w:r w:rsidRPr="00AB232B">
        <w:rPr>
          <w:b w:val="0"/>
          <w:noProof/>
          <w:sz w:val="18"/>
        </w:rPr>
      </w:r>
      <w:r w:rsidRPr="00AB232B">
        <w:rPr>
          <w:b w:val="0"/>
          <w:noProof/>
          <w:sz w:val="18"/>
        </w:rPr>
        <w:fldChar w:fldCharType="separate"/>
      </w:r>
      <w:r w:rsidR="00404E2B">
        <w:rPr>
          <w:b w:val="0"/>
          <w:noProof/>
          <w:sz w:val="18"/>
        </w:rPr>
        <w:t>14</w:t>
      </w:r>
      <w:r w:rsidRPr="00AB232B">
        <w:rPr>
          <w:b w:val="0"/>
          <w:noProof/>
          <w:sz w:val="18"/>
        </w:rPr>
        <w:fldChar w:fldCharType="end"/>
      </w:r>
    </w:p>
    <w:p w:rsidR="00A23C02" w:rsidRPr="00AB232B" w:rsidRDefault="00A23C0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B232B">
        <w:rPr>
          <w:noProof/>
        </w:rPr>
        <w:t>Gene Technology Regulations</w:t>
      </w:r>
      <w:r w:rsidR="00AB232B" w:rsidRPr="00AB232B">
        <w:rPr>
          <w:noProof/>
        </w:rPr>
        <w:t> </w:t>
      </w:r>
      <w:r w:rsidRPr="00AB232B">
        <w:rPr>
          <w:noProof/>
        </w:rPr>
        <w:t>2001</w:t>
      </w:r>
      <w:r w:rsidRPr="00AB232B">
        <w:rPr>
          <w:i w:val="0"/>
          <w:noProof/>
          <w:sz w:val="18"/>
        </w:rPr>
        <w:tab/>
      </w:r>
      <w:r w:rsidRPr="00AB232B">
        <w:rPr>
          <w:i w:val="0"/>
          <w:noProof/>
          <w:sz w:val="18"/>
        </w:rPr>
        <w:fldChar w:fldCharType="begin"/>
      </w:r>
      <w:r w:rsidRPr="00AB232B">
        <w:rPr>
          <w:i w:val="0"/>
          <w:noProof/>
          <w:sz w:val="18"/>
        </w:rPr>
        <w:instrText xml:space="preserve"> PAGEREF _Toc2843373 \h </w:instrText>
      </w:r>
      <w:r w:rsidRPr="00AB232B">
        <w:rPr>
          <w:i w:val="0"/>
          <w:noProof/>
          <w:sz w:val="18"/>
        </w:rPr>
      </w:r>
      <w:r w:rsidRPr="00AB232B">
        <w:rPr>
          <w:i w:val="0"/>
          <w:noProof/>
          <w:sz w:val="18"/>
        </w:rPr>
        <w:fldChar w:fldCharType="separate"/>
      </w:r>
      <w:r w:rsidR="00404E2B">
        <w:rPr>
          <w:i w:val="0"/>
          <w:noProof/>
          <w:sz w:val="18"/>
        </w:rPr>
        <w:t>14</w:t>
      </w:r>
      <w:r w:rsidRPr="00AB232B">
        <w:rPr>
          <w:i w:val="0"/>
          <w:noProof/>
          <w:sz w:val="18"/>
        </w:rPr>
        <w:fldChar w:fldCharType="end"/>
      </w:r>
    </w:p>
    <w:p w:rsidR="00A23C02" w:rsidRPr="00AB232B" w:rsidRDefault="00A23C0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B232B">
        <w:rPr>
          <w:noProof/>
        </w:rPr>
        <w:t>Schedule</w:t>
      </w:r>
      <w:r w:rsidR="00AB232B" w:rsidRPr="00AB232B">
        <w:rPr>
          <w:noProof/>
        </w:rPr>
        <w:t> </w:t>
      </w:r>
      <w:r w:rsidRPr="00AB232B">
        <w:rPr>
          <w:noProof/>
        </w:rPr>
        <w:t>3—Amendments commencing 18 months after registration</w:t>
      </w:r>
      <w:r w:rsidRPr="00AB232B">
        <w:rPr>
          <w:b w:val="0"/>
          <w:noProof/>
          <w:sz w:val="18"/>
        </w:rPr>
        <w:tab/>
      </w:r>
      <w:r w:rsidRPr="00AB232B">
        <w:rPr>
          <w:b w:val="0"/>
          <w:noProof/>
          <w:sz w:val="18"/>
        </w:rPr>
        <w:fldChar w:fldCharType="begin"/>
      </w:r>
      <w:r w:rsidRPr="00AB232B">
        <w:rPr>
          <w:b w:val="0"/>
          <w:noProof/>
          <w:sz w:val="18"/>
        </w:rPr>
        <w:instrText xml:space="preserve"> PAGEREF _Toc2843377 \h </w:instrText>
      </w:r>
      <w:r w:rsidRPr="00AB232B">
        <w:rPr>
          <w:b w:val="0"/>
          <w:noProof/>
          <w:sz w:val="18"/>
        </w:rPr>
      </w:r>
      <w:r w:rsidRPr="00AB232B">
        <w:rPr>
          <w:b w:val="0"/>
          <w:noProof/>
          <w:sz w:val="18"/>
        </w:rPr>
        <w:fldChar w:fldCharType="separate"/>
      </w:r>
      <w:r w:rsidR="00404E2B">
        <w:rPr>
          <w:b w:val="0"/>
          <w:noProof/>
          <w:sz w:val="18"/>
        </w:rPr>
        <w:t>16</w:t>
      </w:r>
      <w:r w:rsidRPr="00AB232B">
        <w:rPr>
          <w:b w:val="0"/>
          <w:noProof/>
          <w:sz w:val="18"/>
        </w:rPr>
        <w:fldChar w:fldCharType="end"/>
      </w:r>
    </w:p>
    <w:p w:rsidR="00A23C02" w:rsidRPr="00AB232B" w:rsidRDefault="00A23C0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B232B">
        <w:rPr>
          <w:noProof/>
        </w:rPr>
        <w:t>Gene Technology Regulations</w:t>
      </w:r>
      <w:r w:rsidR="00AB232B" w:rsidRPr="00AB232B">
        <w:rPr>
          <w:noProof/>
        </w:rPr>
        <w:t> </w:t>
      </w:r>
      <w:r w:rsidRPr="00AB232B">
        <w:rPr>
          <w:noProof/>
        </w:rPr>
        <w:t>2001</w:t>
      </w:r>
      <w:r w:rsidRPr="00AB232B">
        <w:rPr>
          <w:i w:val="0"/>
          <w:noProof/>
          <w:sz w:val="18"/>
        </w:rPr>
        <w:tab/>
      </w:r>
      <w:r w:rsidRPr="00AB232B">
        <w:rPr>
          <w:i w:val="0"/>
          <w:noProof/>
          <w:sz w:val="18"/>
        </w:rPr>
        <w:fldChar w:fldCharType="begin"/>
      </w:r>
      <w:r w:rsidRPr="00AB232B">
        <w:rPr>
          <w:i w:val="0"/>
          <w:noProof/>
          <w:sz w:val="18"/>
        </w:rPr>
        <w:instrText xml:space="preserve"> PAGEREF _Toc2843378 \h </w:instrText>
      </w:r>
      <w:r w:rsidRPr="00AB232B">
        <w:rPr>
          <w:i w:val="0"/>
          <w:noProof/>
          <w:sz w:val="18"/>
        </w:rPr>
      </w:r>
      <w:r w:rsidRPr="00AB232B">
        <w:rPr>
          <w:i w:val="0"/>
          <w:noProof/>
          <w:sz w:val="18"/>
        </w:rPr>
        <w:fldChar w:fldCharType="separate"/>
      </w:r>
      <w:r w:rsidR="00404E2B">
        <w:rPr>
          <w:i w:val="0"/>
          <w:noProof/>
          <w:sz w:val="18"/>
        </w:rPr>
        <w:t>16</w:t>
      </w:r>
      <w:r w:rsidRPr="00AB232B">
        <w:rPr>
          <w:i w:val="0"/>
          <w:noProof/>
          <w:sz w:val="18"/>
        </w:rPr>
        <w:fldChar w:fldCharType="end"/>
      </w:r>
    </w:p>
    <w:p w:rsidR="00833416" w:rsidRPr="00AB232B" w:rsidRDefault="00A23C02" w:rsidP="0048364F">
      <w:r w:rsidRPr="00AB232B">
        <w:fldChar w:fldCharType="end"/>
      </w:r>
    </w:p>
    <w:p w:rsidR="00722023" w:rsidRPr="00AB232B" w:rsidRDefault="00722023" w:rsidP="0048364F">
      <w:pPr>
        <w:sectPr w:rsidR="00722023" w:rsidRPr="00AB232B" w:rsidSect="003578F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B232B" w:rsidRDefault="0048364F" w:rsidP="0048364F">
      <w:pPr>
        <w:pStyle w:val="ActHead5"/>
      </w:pPr>
      <w:bookmarkStart w:id="0" w:name="_Toc2843356"/>
      <w:r w:rsidRPr="00AB232B">
        <w:rPr>
          <w:rStyle w:val="CharSectno"/>
        </w:rPr>
        <w:lastRenderedPageBreak/>
        <w:t>1</w:t>
      </w:r>
      <w:r w:rsidRPr="00AB232B">
        <w:t xml:space="preserve">  </w:t>
      </w:r>
      <w:r w:rsidR="004F676E" w:rsidRPr="00AB232B">
        <w:t>Name</w:t>
      </w:r>
      <w:bookmarkEnd w:id="0"/>
    </w:p>
    <w:p w:rsidR="0048364F" w:rsidRPr="00AB232B" w:rsidRDefault="0048364F" w:rsidP="0048364F">
      <w:pPr>
        <w:pStyle w:val="subsection"/>
      </w:pPr>
      <w:r w:rsidRPr="00AB232B">
        <w:tab/>
      </w:r>
      <w:r w:rsidRPr="00AB232B">
        <w:tab/>
        <w:t>Th</w:t>
      </w:r>
      <w:r w:rsidR="00F24C35" w:rsidRPr="00AB232B">
        <w:t>is</w:t>
      </w:r>
      <w:r w:rsidRPr="00AB232B">
        <w:t xml:space="preserve"> </w:t>
      </w:r>
      <w:r w:rsidR="00893D91" w:rsidRPr="00AB232B">
        <w:t>instrument</w:t>
      </w:r>
      <w:r w:rsidR="000728C8" w:rsidRPr="00AB232B">
        <w:t xml:space="preserve"> </w:t>
      </w:r>
      <w:r w:rsidR="00F24C35" w:rsidRPr="00AB232B">
        <w:t>is</w:t>
      </w:r>
      <w:r w:rsidR="003801D0" w:rsidRPr="00AB232B">
        <w:t xml:space="preserve"> the</w:t>
      </w:r>
      <w:r w:rsidRPr="00AB232B">
        <w:t xml:space="preserve"> </w:t>
      </w:r>
      <w:r w:rsidR="00CB0180" w:rsidRPr="00AB232B">
        <w:rPr>
          <w:i/>
        </w:rPr>
        <w:fldChar w:fldCharType="begin"/>
      </w:r>
      <w:r w:rsidR="00CB0180" w:rsidRPr="00AB232B">
        <w:rPr>
          <w:i/>
        </w:rPr>
        <w:instrText xml:space="preserve"> STYLEREF  ShortT </w:instrText>
      </w:r>
      <w:r w:rsidR="00CB0180" w:rsidRPr="00AB232B">
        <w:rPr>
          <w:i/>
        </w:rPr>
        <w:fldChar w:fldCharType="separate"/>
      </w:r>
      <w:r w:rsidR="00404E2B">
        <w:rPr>
          <w:i/>
          <w:noProof/>
        </w:rPr>
        <w:t>Gene Technology Amendment (2019 Measures No. 1) Regulations 2019</w:t>
      </w:r>
      <w:r w:rsidR="00CB0180" w:rsidRPr="00AB232B">
        <w:rPr>
          <w:i/>
        </w:rPr>
        <w:fldChar w:fldCharType="end"/>
      </w:r>
      <w:r w:rsidRPr="00AB232B">
        <w:t>.</w:t>
      </w:r>
      <w:bookmarkStart w:id="1" w:name="_GoBack"/>
      <w:bookmarkEnd w:id="1"/>
    </w:p>
    <w:p w:rsidR="0048364F" w:rsidRPr="00AB232B" w:rsidRDefault="0048364F" w:rsidP="0048364F">
      <w:pPr>
        <w:pStyle w:val="ActHead5"/>
      </w:pPr>
      <w:bookmarkStart w:id="2" w:name="_Toc2843357"/>
      <w:r w:rsidRPr="00AB232B">
        <w:rPr>
          <w:rStyle w:val="CharSectno"/>
        </w:rPr>
        <w:t>2</w:t>
      </w:r>
      <w:r w:rsidRPr="00AB232B">
        <w:t xml:space="preserve">  Commencement</w:t>
      </w:r>
      <w:bookmarkEnd w:id="2"/>
    </w:p>
    <w:p w:rsidR="001E2A69" w:rsidRPr="00AB232B" w:rsidRDefault="001E2A69" w:rsidP="009760EB">
      <w:pPr>
        <w:pStyle w:val="subsection"/>
      </w:pPr>
      <w:r w:rsidRPr="00AB232B">
        <w:tab/>
        <w:t>(1)</w:t>
      </w:r>
      <w:r w:rsidRPr="00AB232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E2A69" w:rsidRPr="00AB232B" w:rsidRDefault="001E2A69" w:rsidP="009760EB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1E2A69" w:rsidRPr="00AB232B" w:rsidTr="00FE46FC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1E2A69" w:rsidRPr="00AB232B" w:rsidRDefault="001E2A69" w:rsidP="009760EB">
            <w:pPr>
              <w:pStyle w:val="TableHeading"/>
            </w:pPr>
            <w:r w:rsidRPr="00AB232B">
              <w:t>Commencement information</w:t>
            </w:r>
          </w:p>
        </w:tc>
      </w:tr>
      <w:tr w:rsidR="001E2A69" w:rsidRPr="00AB232B" w:rsidTr="00FE46FC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1E2A69" w:rsidRPr="00AB232B" w:rsidRDefault="001E2A69" w:rsidP="009760EB">
            <w:pPr>
              <w:pStyle w:val="TableHeading"/>
            </w:pPr>
            <w:r w:rsidRPr="00AB232B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1E2A69" w:rsidRPr="00AB232B" w:rsidRDefault="001E2A69" w:rsidP="009760EB">
            <w:pPr>
              <w:pStyle w:val="TableHeading"/>
            </w:pPr>
            <w:r w:rsidRPr="00AB232B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1E2A69" w:rsidRPr="00AB232B" w:rsidRDefault="001E2A69" w:rsidP="009760EB">
            <w:pPr>
              <w:pStyle w:val="TableHeading"/>
            </w:pPr>
            <w:r w:rsidRPr="00AB232B">
              <w:t>Column 3</w:t>
            </w:r>
          </w:p>
        </w:tc>
      </w:tr>
      <w:tr w:rsidR="001E2A69" w:rsidRPr="00AB232B" w:rsidTr="00FE46FC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E2A69" w:rsidRPr="00AB232B" w:rsidRDefault="001E2A69" w:rsidP="009760EB">
            <w:pPr>
              <w:pStyle w:val="TableHeading"/>
            </w:pPr>
            <w:r w:rsidRPr="00AB232B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E2A69" w:rsidRPr="00AB232B" w:rsidRDefault="001E2A69" w:rsidP="009760EB">
            <w:pPr>
              <w:pStyle w:val="TableHeading"/>
            </w:pPr>
            <w:r w:rsidRPr="00AB232B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E2A69" w:rsidRPr="00AB232B" w:rsidRDefault="001E2A69" w:rsidP="009760EB">
            <w:pPr>
              <w:pStyle w:val="TableHeading"/>
            </w:pPr>
            <w:r w:rsidRPr="00AB232B">
              <w:t>Date/Details</w:t>
            </w:r>
          </w:p>
        </w:tc>
      </w:tr>
      <w:tr w:rsidR="00903A12" w:rsidRPr="00AB232B" w:rsidTr="00FE46FC">
        <w:tc>
          <w:tcPr>
            <w:tcW w:w="1196" w:type="pct"/>
            <w:tcBorders>
              <w:top w:val="single" w:sz="12" w:space="0" w:color="auto"/>
            </w:tcBorders>
            <w:shd w:val="clear" w:color="auto" w:fill="auto"/>
          </w:tcPr>
          <w:p w:rsidR="00903A12" w:rsidRPr="00AB232B" w:rsidRDefault="00903A12" w:rsidP="009760EB">
            <w:pPr>
              <w:pStyle w:val="Tabletext"/>
            </w:pPr>
            <w:r w:rsidRPr="00AB232B">
              <w:t>1.  Sections</w:t>
            </w:r>
            <w:r w:rsidR="00AB232B" w:rsidRPr="00AB232B">
              <w:t> </w:t>
            </w:r>
            <w:r w:rsidRPr="00AB232B">
              <w:t>1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</w:tcBorders>
            <w:shd w:val="clear" w:color="auto" w:fill="auto"/>
          </w:tcPr>
          <w:p w:rsidR="00903A12" w:rsidRPr="00AB232B" w:rsidRDefault="00903A12" w:rsidP="00A45F7C">
            <w:pPr>
              <w:pStyle w:val="Tabletext"/>
            </w:pPr>
            <w:r w:rsidRPr="00AB232B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</w:tcBorders>
            <w:shd w:val="clear" w:color="auto" w:fill="auto"/>
          </w:tcPr>
          <w:p w:rsidR="00903A12" w:rsidRPr="00AB232B" w:rsidRDefault="00841781" w:rsidP="009760EB">
            <w:pPr>
              <w:pStyle w:val="Tabletext"/>
            </w:pPr>
            <w:r>
              <w:t>9 April 2019</w:t>
            </w:r>
          </w:p>
        </w:tc>
      </w:tr>
      <w:tr w:rsidR="00903A12" w:rsidRPr="00AB232B" w:rsidTr="00FE46FC">
        <w:tc>
          <w:tcPr>
            <w:tcW w:w="1196" w:type="pct"/>
            <w:shd w:val="clear" w:color="auto" w:fill="auto"/>
          </w:tcPr>
          <w:p w:rsidR="00903A12" w:rsidRPr="00AB232B" w:rsidRDefault="00903A12" w:rsidP="009760EB">
            <w:pPr>
              <w:pStyle w:val="Tabletext"/>
            </w:pPr>
            <w:r w:rsidRPr="00AB232B">
              <w:t>2.  Schedule</w:t>
            </w:r>
            <w:r w:rsidR="00AB232B" w:rsidRPr="00AB232B">
              <w:t> </w:t>
            </w:r>
            <w:r w:rsidRPr="00AB232B">
              <w:t>1</w:t>
            </w:r>
          </w:p>
        </w:tc>
        <w:tc>
          <w:tcPr>
            <w:tcW w:w="2692" w:type="pct"/>
            <w:shd w:val="clear" w:color="auto" w:fill="auto"/>
          </w:tcPr>
          <w:p w:rsidR="00903A12" w:rsidRPr="00AB232B" w:rsidRDefault="00903A12" w:rsidP="009760EB">
            <w:pPr>
              <w:pStyle w:val="Tabletext"/>
            </w:pPr>
            <w:r w:rsidRPr="00AB232B">
              <w:t>The day after the end of the period of 6 months beginning on the day this instrument is registered.</w:t>
            </w:r>
          </w:p>
        </w:tc>
        <w:tc>
          <w:tcPr>
            <w:tcW w:w="1112" w:type="pct"/>
            <w:shd w:val="clear" w:color="auto" w:fill="auto"/>
          </w:tcPr>
          <w:p w:rsidR="00903A12" w:rsidRPr="00AB232B" w:rsidRDefault="00841781" w:rsidP="009760EB">
            <w:pPr>
              <w:pStyle w:val="Tabletext"/>
            </w:pPr>
            <w:r>
              <w:t>8 October 2019</w:t>
            </w:r>
          </w:p>
        </w:tc>
      </w:tr>
      <w:tr w:rsidR="00FE46FC" w:rsidRPr="00AB232B" w:rsidTr="00FE46FC">
        <w:tc>
          <w:tcPr>
            <w:tcW w:w="1196" w:type="pct"/>
            <w:tcBorders>
              <w:bottom w:val="single" w:sz="2" w:space="0" w:color="auto"/>
            </w:tcBorders>
            <w:shd w:val="clear" w:color="auto" w:fill="auto"/>
          </w:tcPr>
          <w:p w:rsidR="00FE46FC" w:rsidRPr="00AB232B" w:rsidRDefault="00FE46FC" w:rsidP="00903A12">
            <w:pPr>
              <w:pStyle w:val="Tabletext"/>
            </w:pPr>
            <w:r w:rsidRPr="00AB232B">
              <w:t>3.  Schedule</w:t>
            </w:r>
            <w:r w:rsidR="00AB232B" w:rsidRPr="00AB232B">
              <w:t> </w:t>
            </w:r>
            <w:r w:rsidRPr="00AB232B">
              <w:t>2</w:t>
            </w:r>
          </w:p>
        </w:tc>
        <w:tc>
          <w:tcPr>
            <w:tcW w:w="2692" w:type="pct"/>
            <w:tcBorders>
              <w:bottom w:val="single" w:sz="2" w:space="0" w:color="auto"/>
            </w:tcBorders>
            <w:shd w:val="clear" w:color="auto" w:fill="auto"/>
          </w:tcPr>
          <w:p w:rsidR="00FE46FC" w:rsidRPr="00AB232B" w:rsidRDefault="00FE46FC" w:rsidP="00CE5C25">
            <w:pPr>
              <w:pStyle w:val="Tabletext"/>
            </w:pPr>
            <w:r w:rsidRPr="00AB232B">
              <w:t>1</w:t>
            </w:r>
            <w:r w:rsidR="00AB232B" w:rsidRPr="00AB232B">
              <w:t> </w:t>
            </w:r>
            <w:r w:rsidRPr="00AB232B">
              <w:t>July 20</w:t>
            </w:r>
            <w:r w:rsidR="00CE5C25" w:rsidRPr="00AB232B">
              <w:t>20</w:t>
            </w:r>
            <w:r w:rsidRPr="00AB232B">
              <w:t>.</w:t>
            </w:r>
          </w:p>
        </w:tc>
        <w:tc>
          <w:tcPr>
            <w:tcW w:w="1112" w:type="pct"/>
            <w:tcBorders>
              <w:bottom w:val="single" w:sz="2" w:space="0" w:color="auto"/>
            </w:tcBorders>
            <w:shd w:val="clear" w:color="auto" w:fill="auto"/>
          </w:tcPr>
          <w:p w:rsidR="00FE46FC" w:rsidRPr="00AB232B" w:rsidRDefault="00FE46FC" w:rsidP="00CE5C25">
            <w:pPr>
              <w:pStyle w:val="Tabletext"/>
            </w:pPr>
            <w:r w:rsidRPr="00AB232B">
              <w:t>1</w:t>
            </w:r>
            <w:r w:rsidR="00AB232B" w:rsidRPr="00AB232B">
              <w:t> </w:t>
            </w:r>
            <w:r w:rsidRPr="00AB232B">
              <w:t>July 20</w:t>
            </w:r>
            <w:r w:rsidR="00CE5C25" w:rsidRPr="00AB232B">
              <w:t>20</w:t>
            </w:r>
          </w:p>
        </w:tc>
      </w:tr>
      <w:tr w:rsidR="001E2A69" w:rsidRPr="00AB232B" w:rsidTr="00FE46FC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E2A69" w:rsidRPr="00AB232B" w:rsidRDefault="00FE46FC" w:rsidP="00FE46FC">
            <w:pPr>
              <w:pStyle w:val="Tabletext"/>
            </w:pPr>
            <w:r w:rsidRPr="00AB232B">
              <w:t>4</w:t>
            </w:r>
            <w:r w:rsidR="00903A12" w:rsidRPr="00AB232B">
              <w:t>.  Sc</w:t>
            </w:r>
            <w:r w:rsidR="001E2A69" w:rsidRPr="00AB232B">
              <w:t>he</w:t>
            </w:r>
            <w:r w:rsidR="00903A12" w:rsidRPr="00AB232B">
              <w:t>dule</w:t>
            </w:r>
            <w:r w:rsidR="00AB232B" w:rsidRPr="00AB232B">
              <w:t> </w:t>
            </w:r>
            <w:r w:rsidRPr="00AB232B">
              <w:t>3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E2A69" w:rsidRPr="00AB232B" w:rsidRDefault="00903A12" w:rsidP="009760EB">
            <w:pPr>
              <w:pStyle w:val="Tabletext"/>
            </w:pPr>
            <w:r w:rsidRPr="00AB232B">
              <w:t>The day after the end of the period of 18 months beginning on the day this instrument is registered.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E2A69" w:rsidRPr="00AB232B" w:rsidRDefault="00841781" w:rsidP="009760EB">
            <w:pPr>
              <w:pStyle w:val="Tabletext"/>
            </w:pPr>
            <w:r>
              <w:t>8 October 2020</w:t>
            </w:r>
          </w:p>
        </w:tc>
      </w:tr>
    </w:tbl>
    <w:p w:rsidR="001E2A69" w:rsidRPr="00AB232B" w:rsidRDefault="001E2A69" w:rsidP="009760EB">
      <w:pPr>
        <w:pStyle w:val="notetext"/>
        <w:rPr>
          <w:snapToGrid w:val="0"/>
          <w:lang w:eastAsia="en-US"/>
        </w:rPr>
      </w:pPr>
      <w:r w:rsidRPr="00AB232B">
        <w:rPr>
          <w:snapToGrid w:val="0"/>
          <w:lang w:eastAsia="en-US"/>
        </w:rPr>
        <w:t>Note:</w:t>
      </w:r>
      <w:r w:rsidRPr="00AB232B">
        <w:rPr>
          <w:snapToGrid w:val="0"/>
          <w:lang w:eastAsia="en-US"/>
        </w:rPr>
        <w:tab/>
        <w:t xml:space="preserve">This table relates only to the provisions of this </w:t>
      </w:r>
      <w:r w:rsidRPr="00AB232B">
        <w:t xml:space="preserve">instrument </w:t>
      </w:r>
      <w:r w:rsidRPr="00AB232B">
        <w:rPr>
          <w:snapToGrid w:val="0"/>
          <w:lang w:eastAsia="en-US"/>
        </w:rPr>
        <w:t xml:space="preserve">as originally made. It will not be amended to deal with any later amendments of this </w:t>
      </w:r>
      <w:r w:rsidRPr="00AB232B">
        <w:t>instrument</w:t>
      </w:r>
      <w:r w:rsidRPr="00AB232B">
        <w:rPr>
          <w:snapToGrid w:val="0"/>
          <w:lang w:eastAsia="en-US"/>
        </w:rPr>
        <w:t>.</w:t>
      </w:r>
    </w:p>
    <w:p w:rsidR="001E2A69" w:rsidRPr="00AB232B" w:rsidRDefault="001E2A69" w:rsidP="009760EB">
      <w:pPr>
        <w:pStyle w:val="subsection"/>
      </w:pPr>
      <w:r w:rsidRPr="00AB232B">
        <w:tab/>
        <w:t>(2)</w:t>
      </w:r>
      <w:r w:rsidRPr="00AB232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AB232B" w:rsidRDefault="007769D4" w:rsidP="007769D4">
      <w:pPr>
        <w:pStyle w:val="ActHead5"/>
      </w:pPr>
      <w:bookmarkStart w:id="3" w:name="_Toc2843358"/>
      <w:r w:rsidRPr="00AB232B">
        <w:rPr>
          <w:rStyle w:val="CharSectno"/>
        </w:rPr>
        <w:t>3</w:t>
      </w:r>
      <w:r w:rsidRPr="00AB232B">
        <w:t xml:space="preserve">  Authority</w:t>
      </w:r>
      <w:bookmarkEnd w:id="3"/>
    </w:p>
    <w:p w:rsidR="007769D4" w:rsidRPr="00AB232B" w:rsidRDefault="007769D4" w:rsidP="007769D4">
      <w:pPr>
        <w:pStyle w:val="subsection"/>
      </w:pPr>
      <w:r w:rsidRPr="00AB232B">
        <w:tab/>
      </w:r>
      <w:r w:rsidRPr="00AB232B">
        <w:tab/>
      </w:r>
      <w:r w:rsidR="00AF0336" w:rsidRPr="00AB232B">
        <w:t xml:space="preserve">This </w:t>
      </w:r>
      <w:r w:rsidR="001E2A69" w:rsidRPr="00AB232B">
        <w:t>instrument</w:t>
      </w:r>
      <w:r w:rsidR="00AF0336" w:rsidRPr="00AB232B">
        <w:t xml:space="preserve"> is made under the </w:t>
      </w:r>
      <w:r w:rsidR="001E2A69" w:rsidRPr="00AB232B">
        <w:rPr>
          <w:i/>
        </w:rPr>
        <w:t>Gene Technology Act 2000</w:t>
      </w:r>
      <w:r w:rsidR="00D83D21" w:rsidRPr="00AB232B">
        <w:rPr>
          <w:i/>
        </w:rPr>
        <w:t>.</w:t>
      </w:r>
    </w:p>
    <w:p w:rsidR="00557C7A" w:rsidRPr="00AB232B" w:rsidRDefault="007769D4" w:rsidP="00557C7A">
      <w:pPr>
        <w:pStyle w:val="ActHead5"/>
      </w:pPr>
      <w:bookmarkStart w:id="4" w:name="_Toc2843359"/>
      <w:r w:rsidRPr="00AB232B">
        <w:rPr>
          <w:rStyle w:val="CharSectno"/>
        </w:rPr>
        <w:t>4</w:t>
      </w:r>
      <w:r w:rsidR="00557C7A" w:rsidRPr="00AB232B">
        <w:t xml:space="preserve">  </w:t>
      </w:r>
      <w:r w:rsidR="00B332B8" w:rsidRPr="00AB232B">
        <w:t>Schedules</w:t>
      </w:r>
      <w:bookmarkEnd w:id="4"/>
    </w:p>
    <w:p w:rsidR="000F6B02" w:rsidRPr="00AB232B" w:rsidRDefault="00557C7A" w:rsidP="000F6B02">
      <w:pPr>
        <w:pStyle w:val="subsection"/>
      </w:pPr>
      <w:r w:rsidRPr="00AB232B">
        <w:tab/>
      </w:r>
      <w:r w:rsidRPr="00AB232B">
        <w:tab/>
      </w:r>
      <w:r w:rsidR="000F6B02" w:rsidRPr="00AB232B">
        <w:t xml:space="preserve">Each instrument that is specified in a Schedule to </w:t>
      </w:r>
      <w:r w:rsidR="001E2A69" w:rsidRPr="00AB232B">
        <w:t>this instrument</w:t>
      </w:r>
      <w:r w:rsidR="000F6B02" w:rsidRPr="00AB232B">
        <w:t xml:space="preserve"> is amended or repealed as set out in the applicable items in the Schedule concerned, and any other item in a Schedule to </w:t>
      </w:r>
      <w:r w:rsidR="001E2A69" w:rsidRPr="00AB232B">
        <w:t>this instrument</w:t>
      </w:r>
      <w:r w:rsidR="000F6B02" w:rsidRPr="00AB232B">
        <w:t xml:space="preserve"> has effect according to its terms.</w:t>
      </w:r>
    </w:p>
    <w:p w:rsidR="0048364F" w:rsidRPr="00AB232B" w:rsidRDefault="0048364F" w:rsidP="00FF3089">
      <w:pPr>
        <w:pStyle w:val="ActHead6"/>
        <w:pageBreakBefore/>
      </w:pPr>
      <w:bookmarkStart w:id="5" w:name="_Toc2843360"/>
      <w:bookmarkStart w:id="6" w:name="opcAmSched"/>
      <w:r w:rsidRPr="00AB232B">
        <w:rPr>
          <w:rStyle w:val="CharAmSchNo"/>
        </w:rPr>
        <w:t>Schedule</w:t>
      </w:r>
      <w:r w:rsidR="00AB232B" w:rsidRPr="00AB232B">
        <w:rPr>
          <w:rStyle w:val="CharAmSchNo"/>
        </w:rPr>
        <w:t> </w:t>
      </w:r>
      <w:r w:rsidRPr="00AB232B">
        <w:rPr>
          <w:rStyle w:val="CharAmSchNo"/>
        </w:rPr>
        <w:t>1</w:t>
      </w:r>
      <w:r w:rsidRPr="00AB232B">
        <w:t>—</w:t>
      </w:r>
      <w:r w:rsidR="00460499" w:rsidRPr="00AB232B">
        <w:rPr>
          <w:rStyle w:val="CharAmSchText"/>
        </w:rPr>
        <w:t>Amendments</w:t>
      </w:r>
      <w:r w:rsidR="00903A12" w:rsidRPr="00AB232B">
        <w:rPr>
          <w:rStyle w:val="CharAmSchText"/>
        </w:rPr>
        <w:t xml:space="preserve"> commencing 6 months after registration</w:t>
      </w:r>
      <w:bookmarkEnd w:id="5"/>
    </w:p>
    <w:bookmarkEnd w:id="6"/>
    <w:p w:rsidR="0004044E" w:rsidRPr="00AB232B" w:rsidRDefault="0004044E" w:rsidP="0004044E">
      <w:pPr>
        <w:pStyle w:val="Header"/>
      </w:pPr>
      <w:r w:rsidRPr="00AB232B">
        <w:rPr>
          <w:rStyle w:val="CharAmPartNo"/>
        </w:rPr>
        <w:t xml:space="preserve"> </w:t>
      </w:r>
      <w:r w:rsidRPr="00AB232B">
        <w:rPr>
          <w:rStyle w:val="CharAmPartText"/>
        </w:rPr>
        <w:t xml:space="preserve"> </w:t>
      </w:r>
    </w:p>
    <w:p w:rsidR="00C51532" w:rsidRPr="00AB232B" w:rsidRDefault="00C51532" w:rsidP="00C51532">
      <w:pPr>
        <w:pStyle w:val="ActHead9"/>
      </w:pPr>
      <w:bookmarkStart w:id="7" w:name="_Toc2843361"/>
      <w:r w:rsidRPr="00AB232B">
        <w:t>Gene Technology Regulations</w:t>
      </w:r>
      <w:r w:rsidR="00AB232B" w:rsidRPr="00AB232B">
        <w:t> </w:t>
      </w:r>
      <w:r w:rsidRPr="00AB232B">
        <w:t>2001</w:t>
      </w:r>
      <w:bookmarkEnd w:id="7"/>
    </w:p>
    <w:p w:rsidR="00757FA9" w:rsidRPr="00AB232B" w:rsidRDefault="008F145C" w:rsidP="006C2C12">
      <w:pPr>
        <w:pStyle w:val="ItemHead"/>
        <w:tabs>
          <w:tab w:val="left" w:pos="6663"/>
        </w:tabs>
      </w:pPr>
      <w:r w:rsidRPr="00AB232B">
        <w:t>1</w:t>
      </w:r>
      <w:r w:rsidR="00757FA9" w:rsidRPr="00AB232B">
        <w:t xml:space="preserve">  Regulation</w:t>
      </w:r>
      <w:r w:rsidR="00AB232B" w:rsidRPr="00AB232B">
        <w:t> </w:t>
      </w:r>
      <w:r w:rsidR="00757FA9" w:rsidRPr="00AB232B">
        <w:t xml:space="preserve">3 (definition of </w:t>
      </w:r>
      <w:r w:rsidR="00757FA9" w:rsidRPr="00AB232B">
        <w:rPr>
          <w:i/>
        </w:rPr>
        <w:t>characterised</w:t>
      </w:r>
      <w:r w:rsidR="00757FA9" w:rsidRPr="00AB232B">
        <w:t>)</w:t>
      </w:r>
    </w:p>
    <w:p w:rsidR="000B7F9F" w:rsidRPr="00AB232B" w:rsidRDefault="000B7F9F" w:rsidP="000B7F9F">
      <w:pPr>
        <w:pStyle w:val="Item"/>
      </w:pPr>
      <w:r w:rsidRPr="00AB232B">
        <w:t>Repeal the definition, substitute:</w:t>
      </w:r>
    </w:p>
    <w:p w:rsidR="000B7F9F" w:rsidRPr="00AB232B" w:rsidRDefault="000B7F9F" w:rsidP="000B7F9F">
      <w:pPr>
        <w:pStyle w:val="Definition"/>
      </w:pPr>
      <w:r w:rsidRPr="00AB232B">
        <w:rPr>
          <w:b/>
          <w:i/>
        </w:rPr>
        <w:t>characterised</w:t>
      </w:r>
      <w:r w:rsidRPr="00AB232B">
        <w:t xml:space="preserve"> means:</w:t>
      </w:r>
    </w:p>
    <w:p w:rsidR="000B7F9F" w:rsidRPr="00AB232B" w:rsidRDefault="000B7F9F" w:rsidP="000B7F9F">
      <w:pPr>
        <w:pStyle w:val="paragraph"/>
      </w:pPr>
      <w:r w:rsidRPr="00AB232B">
        <w:tab/>
        <w:t>(a)</w:t>
      </w:r>
      <w:r w:rsidRPr="00AB232B">
        <w:tab/>
        <w:t>in relation to a nucleic acid—the nucleic acid has been sequenced and there is an understanding of potential gene products or potential functions</w:t>
      </w:r>
      <w:r w:rsidR="00892C10" w:rsidRPr="00AB232B">
        <w:t xml:space="preserve"> of the nucleic acid</w:t>
      </w:r>
      <w:r w:rsidRPr="00AB232B">
        <w:t>; or</w:t>
      </w:r>
    </w:p>
    <w:p w:rsidR="000B7F9F" w:rsidRPr="00AB232B" w:rsidRDefault="000B7F9F" w:rsidP="000B7F9F">
      <w:pPr>
        <w:pStyle w:val="paragraph"/>
      </w:pPr>
      <w:r w:rsidRPr="00AB232B">
        <w:tab/>
        <w:t>(b)</w:t>
      </w:r>
      <w:r w:rsidRPr="00AB232B">
        <w:tab/>
        <w:t>in relation to a genetic modification—the gene or genomic region which is modified has been sequenced and there is an understanding of:</w:t>
      </w:r>
    </w:p>
    <w:p w:rsidR="000B7F9F" w:rsidRPr="00AB232B" w:rsidRDefault="000B7F9F" w:rsidP="000B7F9F">
      <w:pPr>
        <w:pStyle w:val="paragraphsub"/>
      </w:pPr>
      <w:r w:rsidRPr="00AB232B">
        <w:tab/>
        <w:t>(</w:t>
      </w:r>
      <w:proofErr w:type="spellStart"/>
      <w:r w:rsidRPr="00AB232B">
        <w:t>i</w:t>
      </w:r>
      <w:proofErr w:type="spellEnd"/>
      <w:r w:rsidRPr="00AB232B">
        <w:t>)</w:t>
      </w:r>
      <w:r w:rsidRPr="00AB232B">
        <w:tab/>
        <w:t>potential gene products or potential functions</w:t>
      </w:r>
      <w:r w:rsidR="00892C10" w:rsidRPr="00AB232B">
        <w:t xml:space="preserve"> of the gene or genomic region</w:t>
      </w:r>
      <w:r w:rsidRPr="00AB232B">
        <w:t>; and</w:t>
      </w:r>
    </w:p>
    <w:p w:rsidR="00757FA9" w:rsidRPr="00AB232B" w:rsidRDefault="000B7F9F" w:rsidP="000B7F9F">
      <w:pPr>
        <w:pStyle w:val="paragraphsub"/>
      </w:pPr>
      <w:r w:rsidRPr="00AB232B">
        <w:tab/>
        <w:t>(ii)</w:t>
      </w:r>
      <w:r w:rsidRPr="00AB232B">
        <w:tab/>
        <w:t>the likely effect of the genetic modification on the gene products or functions.</w:t>
      </w:r>
    </w:p>
    <w:p w:rsidR="007C13F8" w:rsidRPr="00AB232B" w:rsidRDefault="008F145C" w:rsidP="006C2C12">
      <w:pPr>
        <w:pStyle w:val="ItemHead"/>
        <w:tabs>
          <w:tab w:val="left" w:pos="6663"/>
        </w:tabs>
      </w:pPr>
      <w:r w:rsidRPr="00AB232B">
        <w:t>2</w:t>
      </w:r>
      <w:r w:rsidR="007C13F8" w:rsidRPr="00AB232B">
        <w:t xml:space="preserve">  Regulation</w:t>
      </w:r>
      <w:r w:rsidR="00AB232B" w:rsidRPr="00AB232B">
        <w:t> </w:t>
      </w:r>
      <w:r w:rsidR="007C13F8" w:rsidRPr="00AB232B">
        <w:t>3</w:t>
      </w:r>
    </w:p>
    <w:p w:rsidR="007C13F8" w:rsidRPr="00AB232B" w:rsidRDefault="007C13F8" w:rsidP="007C13F8">
      <w:pPr>
        <w:pStyle w:val="Item"/>
      </w:pPr>
      <w:r w:rsidRPr="00AB232B">
        <w:t>Insert:</w:t>
      </w:r>
    </w:p>
    <w:p w:rsidR="007C13F8" w:rsidRPr="00AB232B" w:rsidRDefault="007C13F8" w:rsidP="007C13F8">
      <w:pPr>
        <w:pStyle w:val="Definition"/>
      </w:pPr>
      <w:r w:rsidRPr="00AB232B">
        <w:rPr>
          <w:b/>
          <w:i/>
        </w:rPr>
        <w:t>host/vector system</w:t>
      </w:r>
      <w:r w:rsidRPr="00AB232B">
        <w:t xml:space="preserve"> has a meaning affected by </w:t>
      </w:r>
      <w:r w:rsidR="007B11D7" w:rsidRPr="00AB232B">
        <w:t>subclause</w:t>
      </w:r>
      <w:r w:rsidR="00AB232B" w:rsidRPr="00AB232B">
        <w:t> </w:t>
      </w:r>
      <w:r w:rsidR="0024128C" w:rsidRPr="00AB232B">
        <w:t>2.</w:t>
      </w:r>
      <w:r w:rsidR="007B11D7" w:rsidRPr="00AB232B">
        <w:t>1(</w:t>
      </w:r>
      <w:r w:rsidR="002F0995" w:rsidRPr="00AB232B">
        <w:t>3</w:t>
      </w:r>
      <w:r w:rsidR="007B11D7" w:rsidRPr="00AB232B">
        <w:t xml:space="preserve">) of </w:t>
      </w:r>
      <w:r w:rsidR="0024128C" w:rsidRPr="00AB232B">
        <w:t>S</w:t>
      </w:r>
      <w:r w:rsidRPr="00AB232B">
        <w:t>chedule</w:t>
      </w:r>
      <w:r w:rsidR="00AB232B" w:rsidRPr="00AB232B">
        <w:t> </w:t>
      </w:r>
      <w:r w:rsidRPr="00AB232B">
        <w:t>2.</w:t>
      </w:r>
    </w:p>
    <w:p w:rsidR="007C13F8" w:rsidRPr="00AB232B" w:rsidRDefault="008F145C" w:rsidP="006C2C12">
      <w:pPr>
        <w:pStyle w:val="ItemHead"/>
        <w:tabs>
          <w:tab w:val="left" w:pos="6663"/>
        </w:tabs>
      </w:pPr>
      <w:r w:rsidRPr="00AB232B">
        <w:t>3</w:t>
      </w:r>
      <w:r w:rsidR="007C13F8" w:rsidRPr="00AB232B">
        <w:t xml:space="preserve">  Regulation</w:t>
      </w:r>
      <w:r w:rsidR="00AB232B" w:rsidRPr="00AB232B">
        <w:t> </w:t>
      </w:r>
      <w:r w:rsidR="007C13F8" w:rsidRPr="00AB232B">
        <w:t xml:space="preserve">3 (definition of </w:t>
      </w:r>
      <w:r w:rsidR="007C13F8" w:rsidRPr="00AB232B">
        <w:rPr>
          <w:i/>
        </w:rPr>
        <w:t>non</w:t>
      </w:r>
      <w:r w:rsidR="00AB232B">
        <w:rPr>
          <w:i/>
        </w:rPr>
        <w:noBreakHyphen/>
      </w:r>
      <w:r w:rsidR="007C13F8" w:rsidRPr="00AB232B">
        <w:rPr>
          <w:i/>
        </w:rPr>
        <w:t>vector system</w:t>
      </w:r>
      <w:r w:rsidR="007C13F8" w:rsidRPr="00AB232B">
        <w:t>)</w:t>
      </w:r>
    </w:p>
    <w:p w:rsidR="007C13F8" w:rsidRPr="00AB232B" w:rsidRDefault="007C13F8" w:rsidP="007C13F8">
      <w:pPr>
        <w:pStyle w:val="Item"/>
      </w:pPr>
      <w:r w:rsidRPr="00AB232B">
        <w:t>Repeal the definition, substitute:</w:t>
      </w:r>
    </w:p>
    <w:p w:rsidR="007C13F8" w:rsidRPr="00AB232B" w:rsidRDefault="007C13F8" w:rsidP="007C13F8">
      <w:pPr>
        <w:pStyle w:val="Definition"/>
      </w:pPr>
      <w:r w:rsidRPr="00AB232B">
        <w:rPr>
          <w:b/>
          <w:i/>
        </w:rPr>
        <w:t>non</w:t>
      </w:r>
      <w:r w:rsidR="00AB232B">
        <w:rPr>
          <w:b/>
          <w:i/>
        </w:rPr>
        <w:noBreakHyphen/>
      </w:r>
      <w:r w:rsidRPr="00AB232B">
        <w:rPr>
          <w:b/>
          <w:i/>
        </w:rPr>
        <w:t>vector system</w:t>
      </w:r>
      <w:r w:rsidRPr="00AB232B">
        <w:t xml:space="preserve"> has the meaning given in Part</w:t>
      </w:r>
      <w:r w:rsidR="00AB232B" w:rsidRPr="00AB232B">
        <w:t> </w:t>
      </w:r>
      <w:r w:rsidRPr="00AB232B">
        <w:t>3 of Schedule</w:t>
      </w:r>
      <w:r w:rsidR="00AB232B" w:rsidRPr="00AB232B">
        <w:t> </w:t>
      </w:r>
      <w:r w:rsidRPr="00AB232B">
        <w:t>2.</w:t>
      </w:r>
    </w:p>
    <w:p w:rsidR="006D3667" w:rsidRPr="00AB232B" w:rsidRDefault="008F145C" w:rsidP="006C2C12">
      <w:pPr>
        <w:pStyle w:val="ItemHead"/>
        <w:tabs>
          <w:tab w:val="left" w:pos="6663"/>
        </w:tabs>
      </w:pPr>
      <w:r w:rsidRPr="00AB232B">
        <w:t>4</w:t>
      </w:r>
      <w:r w:rsidR="00BB6E79" w:rsidRPr="00AB232B">
        <w:t xml:space="preserve">  </w:t>
      </w:r>
      <w:r w:rsidR="00C51532" w:rsidRPr="00AB232B">
        <w:t>Regulation</w:t>
      </w:r>
      <w:r w:rsidR="00AB232B" w:rsidRPr="00AB232B">
        <w:t> </w:t>
      </w:r>
      <w:r w:rsidR="00C51532" w:rsidRPr="00AB232B">
        <w:t xml:space="preserve">3 (definition of </w:t>
      </w:r>
      <w:r w:rsidR="00C51532" w:rsidRPr="00AB232B">
        <w:rPr>
          <w:i/>
        </w:rPr>
        <w:t>toxin</w:t>
      </w:r>
      <w:r w:rsidR="00AB232B">
        <w:rPr>
          <w:i/>
        </w:rPr>
        <w:noBreakHyphen/>
      </w:r>
      <w:r w:rsidR="00C51532" w:rsidRPr="00AB232B">
        <w:rPr>
          <w:i/>
        </w:rPr>
        <w:t>producing organism</w:t>
      </w:r>
      <w:r w:rsidR="00C51532" w:rsidRPr="00AB232B">
        <w:t>)</w:t>
      </w:r>
    </w:p>
    <w:p w:rsidR="00C51532" w:rsidRPr="00AB232B" w:rsidRDefault="00C51532" w:rsidP="00C51532">
      <w:pPr>
        <w:pStyle w:val="Item"/>
      </w:pPr>
      <w:r w:rsidRPr="00AB232B">
        <w:t xml:space="preserve">Omit “100 </w:t>
      </w:r>
      <w:r w:rsidRPr="00AB232B">
        <w:sym w:font="Symbol" w:char="F06D"/>
      </w:r>
      <w:r w:rsidRPr="00AB232B">
        <w:t>g/kg”, substitute “100 micrograms per kilogram”.</w:t>
      </w:r>
    </w:p>
    <w:p w:rsidR="005D20EC" w:rsidRPr="00AB232B" w:rsidRDefault="008F145C" w:rsidP="00C51532">
      <w:pPr>
        <w:pStyle w:val="ItemHead"/>
      </w:pPr>
      <w:r w:rsidRPr="00AB232B">
        <w:t>5</w:t>
      </w:r>
      <w:r w:rsidR="005D20EC" w:rsidRPr="00AB232B">
        <w:t xml:space="preserve">  Regulation</w:t>
      </w:r>
      <w:r w:rsidR="00AB232B" w:rsidRPr="00AB232B">
        <w:t> </w:t>
      </w:r>
      <w:r w:rsidR="005D20EC" w:rsidRPr="00AB232B">
        <w:t>3 (note)</w:t>
      </w:r>
    </w:p>
    <w:p w:rsidR="005D20EC" w:rsidRPr="00AB232B" w:rsidRDefault="005D20EC" w:rsidP="005D20EC">
      <w:pPr>
        <w:pStyle w:val="Item"/>
      </w:pPr>
      <w:r w:rsidRPr="00AB232B">
        <w:t>Omit “</w:t>
      </w:r>
      <w:r w:rsidR="004D735F" w:rsidRPr="00AB232B">
        <w:t xml:space="preserve">• </w:t>
      </w:r>
      <w:r w:rsidRPr="00AB232B">
        <w:t>GM product”.</w:t>
      </w:r>
    </w:p>
    <w:p w:rsidR="003C47A6" w:rsidRPr="00AB232B" w:rsidRDefault="008F145C" w:rsidP="00C51532">
      <w:pPr>
        <w:pStyle w:val="ItemHead"/>
      </w:pPr>
      <w:r w:rsidRPr="00AB232B">
        <w:t>6</w:t>
      </w:r>
      <w:r w:rsidR="003C47A6" w:rsidRPr="00AB232B">
        <w:t xml:space="preserve">  Regulation</w:t>
      </w:r>
      <w:r w:rsidR="00AB232B" w:rsidRPr="00AB232B">
        <w:t> </w:t>
      </w:r>
      <w:r w:rsidR="003C47A6" w:rsidRPr="00AB232B">
        <w:t>4</w:t>
      </w:r>
    </w:p>
    <w:p w:rsidR="003C47A6" w:rsidRPr="00AB232B" w:rsidRDefault="003C47A6" w:rsidP="003C47A6">
      <w:pPr>
        <w:pStyle w:val="Item"/>
      </w:pPr>
      <w:r w:rsidRPr="00AB232B">
        <w:t>Omit “section</w:t>
      </w:r>
      <w:r w:rsidR="00AB232B" w:rsidRPr="00AB232B">
        <w:t> </w:t>
      </w:r>
      <w:r w:rsidRPr="00AB232B">
        <w:t>10”, substitute “subsection</w:t>
      </w:r>
      <w:r w:rsidR="00AB232B" w:rsidRPr="00AB232B">
        <w:t> </w:t>
      </w:r>
      <w:r w:rsidRPr="00AB232B">
        <w:t>10(1)”.</w:t>
      </w:r>
    </w:p>
    <w:p w:rsidR="00693FD7" w:rsidRPr="00AB232B" w:rsidRDefault="008F145C" w:rsidP="00C51532">
      <w:pPr>
        <w:pStyle w:val="ItemHead"/>
      </w:pPr>
      <w:r w:rsidRPr="00AB232B">
        <w:t>7</w:t>
      </w:r>
      <w:r w:rsidR="00693FD7" w:rsidRPr="00AB232B">
        <w:t xml:space="preserve">  After regulation</w:t>
      </w:r>
      <w:r w:rsidR="00AB232B" w:rsidRPr="00AB232B">
        <w:t> </w:t>
      </w:r>
      <w:r w:rsidR="00693FD7" w:rsidRPr="00AB232B">
        <w:t>4</w:t>
      </w:r>
    </w:p>
    <w:p w:rsidR="00693FD7" w:rsidRPr="00AB232B" w:rsidRDefault="00693FD7" w:rsidP="00693FD7">
      <w:pPr>
        <w:pStyle w:val="Item"/>
      </w:pPr>
      <w:r w:rsidRPr="00AB232B">
        <w:t>Insert:</w:t>
      </w:r>
    </w:p>
    <w:p w:rsidR="00693FD7" w:rsidRPr="00AB232B" w:rsidRDefault="00693FD7" w:rsidP="00693FD7">
      <w:pPr>
        <w:pStyle w:val="ActHead5"/>
      </w:pPr>
      <w:bookmarkStart w:id="8" w:name="_Toc2843362"/>
      <w:r w:rsidRPr="00AB232B">
        <w:rPr>
          <w:rStyle w:val="CharSectno"/>
        </w:rPr>
        <w:t>4A</w:t>
      </w:r>
      <w:r w:rsidRPr="00AB232B">
        <w:t xml:space="preserve">  Organisms that are genetically modified organisms</w:t>
      </w:r>
      <w:bookmarkEnd w:id="8"/>
    </w:p>
    <w:p w:rsidR="00693FD7" w:rsidRPr="00AB232B" w:rsidRDefault="00693FD7" w:rsidP="00693FD7">
      <w:pPr>
        <w:pStyle w:val="subsection"/>
      </w:pPr>
      <w:r w:rsidRPr="00AB232B">
        <w:tab/>
      </w:r>
      <w:r w:rsidRPr="00AB232B">
        <w:tab/>
        <w:t xml:space="preserve">For </w:t>
      </w:r>
      <w:r w:rsidR="007E6F3C" w:rsidRPr="00AB232B">
        <w:t xml:space="preserve">the purposes of </w:t>
      </w:r>
      <w:r w:rsidR="00AB232B" w:rsidRPr="00AB232B">
        <w:t>paragraph (</w:t>
      </w:r>
      <w:r w:rsidRPr="00AB232B">
        <w:t xml:space="preserve">c) of </w:t>
      </w:r>
      <w:r w:rsidR="007E6F3C" w:rsidRPr="00AB232B">
        <w:t xml:space="preserve">the definition of </w:t>
      </w:r>
      <w:r w:rsidR="007E6F3C" w:rsidRPr="00AB232B">
        <w:rPr>
          <w:b/>
          <w:i/>
        </w:rPr>
        <w:t>genetically modified organism</w:t>
      </w:r>
      <w:r w:rsidR="007E6F3C" w:rsidRPr="00AB232B">
        <w:t xml:space="preserve"> in </w:t>
      </w:r>
      <w:r w:rsidR="0003492E" w:rsidRPr="00AB232B">
        <w:t>sub</w:t>
      </w:r>
      <w:r w:rsidR="007E6F3C" w:rsidRPr="00AB232B">
        <w:t>section</w:t>
      </w:r>
      <w:r w:rsidR="00AB232B" w:rsidRPr="00AB232B">
        <w:t> </w:t>
      </w:r>
      <w:r w:rsidR="007E6F3C" w:rsidRPr="00AB232B">
        <w:t>10</w:t>
      </w:r>
      <w:r w:rsidR="0003492E" w:rsidRPr="00AB232B">
        <w:t>(1)</w:t>
      </w:r>
      <w:r w:rsidR="007E6F3C" w:rsidRPr="00AB232B">
        <w:t xml:space="preserve"> of the Act, an organism </w:t>
      </w:r>
      <w:r w:rsidR="00BB73E3" w:rsidRPr="00AB232B">
        <w:t>is a genetically modified organism if an item in Schedule</w:t>
      </w:r>
      <w:r w:rsidR="00AB232B" w:rsidRPr="00AB232B">
        <w:t> </w:t>
      </w:r>
      <w:r w:rsidR="00BB73E3" w:rsidRPr="00AB232B">
        <w:t>1B applies to the organism</w:t>
      </w:r>
      <w:r w:rsidR="007E6F3C" w:rsidRPr="00AB232B">
        <w:t>.</w:t>
      </w:r>
    </w:p>
    <w:p w:rsidR="00D14230" w:rsidRPr="00AB232B" w:rsidRDefault="008F145C" w:rsidP="00C51532">
      <w:pPr>
        <w:pStyle w:val="ItemHead"/>
      </w:pPr>
      <w:r w:rsidRPr="00AB232B">
        <w:t>8</w:t>
      </w:r>
      <w:r w:rsidR="00D14230" w:rsidRPr="00AB232B">
        <w:t xml:space="preserve">  Regulation</w:t>
      </w:r>
      <w:r w:rsidR="00AB232B" w:rsidRPr="00AB232B">
        <w:t> </w:t>
      </w:r>
      <w:r w:rsidR="00D14230" w:rsidRPr="00AB232B">
        <w:t>5</w:t>
      </w:r>
    </w:p>
    <w:p w:rsidR="00D14230" w:rsidRPr="00AB232B" w:rsidRDefault="004B50CF" w:rsidP="004B50CF">
      <w:pPr>
        <w:pStyle w:val="Item"/>
      </w:pPr>
      <w:r w:rsidRPr="00AB232B">
        <w:t>Repeal the regulation, substitute:</w:t>
      </w:r>
    </w:p>
    <w:p w:rsidR="00D14230" w:rsidRPr="00AB232B" w:rsidRDefault="00D14230" w:rsidP="00D14230">
      <w:pPr>
        <w:pStyle w:val="ActHead5"/>
      </w:pPr>
      <w:bookmarkStart w:id="9" w:name="_Toc2843363"/>
      <w:r w:rsidRPr="00AB232B">
        <w:rPr>
          <w:rStyle w:val="CharSectno"/>
        </w:rPr>
        <w:t>5</w:t>
      </w:r>
      <w:r w:rsidRPr="00AB232B">
        <w:t xml:space="preserve">  Organisms that are not genetically modified organisms</w:t>
      </w:r>
      <w:bookmarkEnd w:id="9"/>
    </w:p>
    <w:p w:rsidR="00D14230" w:rsidRPr="00AB232B" w:rsidRDefault="00D14230" w:rsidP="00D14230">
      <w:pPr>
        <w:pStyle w:val="subsection"/>
      </w:pPr>
      <w:r w:rsidRPr="00AB232B">
        <w:tab/>
      </w:r>
      <w:r w:rsidRPr="00AB232B">
        <w:tab/>
        <w:t xml:space="preserve">For the purposes of </w:t>
      </w:r>
      <w:r w:rsidR="00AB232B" w:rsidRPr="00AB232B">
        <w:t>paragraph (</w:t>
      </w:r>
      <w:r w:rsidRPr="00AB232B">
        <w:t xml:space="preserve">e) of the definition of </w:t>
      </w:r>
      <w:r w:rsidRPr="00AB232B">
        <w:rPr>
          <w:b/>
          <w:i/>
        </w:rPr>
        <w:t>genetically modified organism</w:t>
      </w:r>
      <w:r w:rsidRPr="00AB232B">
        <w:t xml:space="preserve"> in </w:t>
      </w:r>
      <w:r w:rsidR="004B50CF" w:rsidRPr="00AB232B">
        <w:t>sub</w:t>
      </w:r>
      <w:r w:rsidRPr="00AB232B">
        <w:t>section</w:t>
      </w:r>
      <w:r w:rsidR="00AB232B" w:rsidRPr="00AB232B">
        <w:t> </w:t>
      </w:r>
      <w:r w:rsidRPr="00AB232B">
        <w:t>10</w:t>
      </w:r>
      <w:r w:rsidR="004B50CF" w:rsidRPr="00AB232B">
        <w:t>(1)</w:t>
      </w:r>
      <w:r w:rsidRPr="00AB232B">
        <w:t xml:space="preserve"> of the Act, an organism is not a genetically modified organism if:</w:t>
      </w:r>
    </w:p>
    <w:p w:rsidR="00BB73E3" w:rsidRPr="00AB232B" w:rsidRDefault="00D14230" w:rsidP="00D14230">
      <w:pPr>
        <w:pStyle w:val="paragraph"/>
      </w:pPr>
      <w:r w:rsidRPr="00AB232B">
        <w:tab/>
        <w:t>(a)</w:t>
      </w:r>
      <w:r w:rsidRPr="00AB232B">
        <w:tab/>
      </w:r>
      <w:r w:rsidR="00BB73E3" w:rsidRPr="00AB232B">
        <w:t>one or more items in Schedule</w:t>
      </w:r>
      <w:r w:rsidR="00AB232B" w:rsidRPr="00AB232B">
        <w:t> </w:t>
      </w:r>
      <w:r w:rsidR="00BB73E3" w:rsidRPr="00AB232B">
        <w:t>1 applies to the organism; and</w:t>
      </w:r>
    </w:p>
    <w:p w:rsidR="00D14230" w:rsidRPr="00AB232B" w:rsidRDefault="00D14230" w:rsidP="00D14230">
      <w:pPr>
        <w:pStyle w:val="paragraph"/>
      </w:pPr>
      <w:r w:rsidRPr="00AB232B">
        <w:tab/>
        <w:t>(b)</w:t>
      </w:r>
      <w:r w:rsidRPr="00AB232B">
        <w:tab/>
      </w:r>
      <w:r w:rsidR="00BB73E3" w:rsidRPr="00AB232B">
        <w:t>the organism</w:t>
      </w:r>
      <w:r w:rsidRPr="00AB232B">
        <w:t xml:space="preserve"> has</w:t>
      </w:r>
      <w:r w:rsidR="001F403A" w:rsidRPr="00AB232B">
        <w:t xml:space="preserve"> not</w:t>
      </w:r>
      <w:r w:rsidRPr="00AB232B">
        <w:t xml:space="preserve"> been modified by gene technology</w:t>
      </w:r>
      <w:r w:rsidR="001F403A" w:rsidRPr="00AB232B">
        <w:t xml:space="preserve"> except for any modifications described in those items</w:t>
      </w:r>
      <w:r w:rsidRPr="00AB232B">
        <w:t>; and</w:t>
      </w:r>
    </w:p>
    <w:p w:rsidR="004905A0" w:rsidRPr="00AB232B" w:rsidRDefault="003F4052" w:rsidP="00D14230">
      <w:pPr>
        <w:pStyle w:val="paragraph"/>
      </w:pPr>
      <w:r w:rsidRPr="00AB232B">
        <w:tab/>
        <w:t>(c)</w:t>
      </w:r>
      <w:r w:rsidRPr="00AB232B">
        <w:tab/>
      </w:r>
      <w:r w:rsidR="001C43D1" w:rsidRPr="00AB232B">
        <w:t xml:space="preserve">the organism has not inherited any traits from an organism (the </w:t>
      </w:r>
      <w:r w:rsidR="001C43D1" w:rsidRPr="00AB232B">
        <w:rPr>
          <w:b/>
          <w:i/>
        </w:rPr>
        <w:t>initial organism</w:t>
      </w:r>
      <w:r w:rsidR="001C43D1" w:rsidRPr="00AB232B">
        <w:t>), being traits that occurred in the initial organism because of gene technology, except as described in item</w:t>
      </w:r>
      <w:r w:rsidR="00AB232B" w:rsidRPr="00AB232B">
        <w:t> </w:t>
      </w:r>
      <w:r w:rsidR="001C43D1" w:rsidRPr="00AB232B">
        <w:t>9 in Schedule</w:t>
      </w:r>
      <w:r w:rsidR="00AB232B" w:rsidRPr="00AB232B">
        <w:t> </w:t>
      </w:r>
      <w:r w:rsidR="001C43D1" w:rsidRPr="00AB232B">
        <w:t>1; and</w:t>
      </w:r>
    </w:p>
    <w:p w:rsidR="003F4052" w:rsidRPr="00AB232B" w:rsidRDefault="00D14230" w:rsidP="004A7451">
      <w:pPr>
        <w:pStyle w:val="paragraph"/>
      </w:pPr>
      <w:r w:rsidRPr="00AB232B">
        <w:tab/>
        <w:t>(</w:t>
      </w:r>
      <w:r w:rsidR="004905A0" w:rsidRPr="00AB232B">
        <w:t>d</w:t>
      </w:r>
      <w:r w:rsidRPr="00AB232B">
        <w:t>)</w:t>
      </w:r>
      <w:r w:rsidRPr="00AB232B">
        <w:tab/>
      </w:r>
      <w:r w:rsidR="00BB73E3" w:rsidRPr="00AB232B">
        <w:t xml:space="preserve">none of the items </w:t>
      </w:r>
      <w:r w:rsidRPr="00AB232B">
        <w:t>in Schedule</w:t>
      </w:r>
      <w:r w:rsidR="00AB232B" w:rsidRPr="00AB232B">
        <w:t> </w:t>
      </w:r>
      <w:r w:rsidRPr="00AB232B">
        <w:t>1B</w:t>
      </w:r>
      <w:r w:rsidR="00BB73E3" w:rsidRPr="00AB232B">
        <w:t xml:space="preserve"> applies to the organism</w:t>
      </w:r>
      <w:r w:rsidRPr="00AB232B">
        <w:t>.</w:t>
      </w:r>
    </w:p>
    <w:p w:rsidR="00C51532" w:rsidRPr="00AB232B" w:rsidRDefault="008F145C" w:rsidP="00C51532">
      <w:pPr>
        <w:pStyle w:val="ItemHead"/>
      </w:pPr>
      <w:r w:rsidRPr="00AB232B">
        <w:t>9</w:t>
      </w:r>
      <w:r w:rsidR="00C51532" w:rsidRPr="00AB232B">
        <w:t xml:space="preserve">  Paragraph 9(f)</w:t>
      </w:r>
    </w:p>
    <w:p w:rsidR="00997A40" w:rsidRPr="00AB232B" w:rsidRDefault="00997A40" w:rsidP="00997A40">
      <w:pPr>
        <w:pStyle w:val="Item"/>
      </w:pPr>
      <w:r w:rsidRPr="00AB232B">
        <w:t>Repeal the paragraph, substitute:</w:t>
      </w:r>
    </w:p>
    <w:p w:rsidR="00997A40" w:rsidRPr="00AB232B" w:rsidRDefault="00997A40" w:rsidP="00997A40">
      <w:pPr>
        <w:pStyle w:val="paragraph"/>
      </w:pPr>
      <w:r w:rsidRPr="00AB232B">
        <w:tab/>
        <w:t>(f)</w:t>
      </w:r>
      <w:r w:rsidRPr="00AB232B">
        <w:tab/>
      </w:r>
      <w:r w:rsidR="0003492E" w:rsidRPr="00AB232B">
        <w:t xml:space="preserve">that part of the Department known as </w:t>
      </w:r>
      <w:r w:rsidRPr="00AB232B">
        <w:t>the Th</w:t>
      </w:r>
      <w:r w:rsidR="0003492E" w:rsidRPr="00AB232B">
        <w:t>erapeutic Goods Administration</w:t>
      </w:r>
      <w:r w:rsidRPr="00AB232B">
        <w:t>.</w:t>
      </w:r>
    </w:p>
    <w:p w:rsidR="003C60F2" w:rsidRPr="00AB232B" w:rsidRDefault="008F145C" w:rsidP="00C51532">
      <w:pPr>
        <w:pStyle w:val="ItemHead"/>
      </w:pPr>
      <w:r w:rsidRPr="00AB232B">
        <w:t>10</w:t>
      </w:r>
      <w:r w:rsidR="003C60F2" w:rsidRPr="00AB232B">
        <w:t xml:space="preserve">  Paragraph 12(1)(a)</w:t>
      </w:r>
    </w:p>
    <w:p w:rsidR="003C60F2" w:rsidRPr="00AB232B" w:rsidRDefault="003C60F2" w:rsidP="003C60F2">
      <w:pPr>
        <w:pStyle w:val="Item"/>
      </w:pPr>
      <w:r w:rsidRPr="00AB232B">
        <w:t>Repeal the paragraph, substitute:</w:t>
      </w:r>
    </w:p>
    <w:p w:rsidR="003C60F2" w:rsidRPr="00AB232B" w:rsidRDefault="003C60F2" w:rsidP="003C60F2">
      <w:pPr>
        <w:pStyle w:val="paragraph"/>
      </w:pPr>
      <w:r w:rsidRPr="00AB232B">
        <w:tab/>
        <w:t>(a)</w:t>
      </w:r>
      <w:r w:rsidRPr="00AB232B">
        <w:tab/>
        <w:t>it is a dealing of a kind mentioned in Part</w:t>
      </w:r>
      <w:r w:rsidR="00AB232B" w:rsidRPr="00AB232B">
        <w:t> </w:t>
      </w:r>
      <w:r w:rsidRPr="00AB232B">
        <w:t>1 or 2 of Schedule</w:t>
      </w:r>
      <w:r w:rsidR="00AB232B" w:rsidRPr="00AB232B">
        <w:t> </w:t>
      </w:r>
      <w:r w:rsidRPr="00AB232B">
        <w:t>3; and</w:t>
      </w:r>
    </w:p>
    <w:p w:rsidR="003C60F2" w:rsidRPr="00AB232B" w:rsidRDefault="003C60F2" w:rsidP="003C60F2">
      <w:pPr>
        <w:pStyle w:val="paragraph"/>
      </w:pPr>
      <w:r w:rsidRPr="00AB232B">
        <w:tab/>
        <w:t>(aa)</w:t>
      </w:r>
      <w:r w:rsidRPr="00AB232B">
        <w:tab/>
        <w:t>it is not a dealing of a kind mentioned in Part</w:t>
      </w:r>
      <w:r w:rsidR="00AB232B" w:rsidRPr="00AB232B">
        <w:t> </w:t>
      </w:r>
      <w:r w:rsidRPr="00AB232B">
        <w:t>3 of Schedule</w:t>
      </w:r>
      <w:r w:rsidR="00AB232B" w:rsidRPr="00AB232B">
        <w:t> </w:t>
      </w:r>
      <w:r w:rsidRPr="00AB232B">
        <w:t>3; and</w:t>
      </w:r>
    </w:p>
    <w:p w:rsidR="00C90FA0" w:rsidRPr="00AB232B" w:rsidRDefault="008F145C" w:rsidP="00C51532">
      <w:pPr>
        <w:pStyle w:val="ItemHead"/>
      </w:pPr>
      <w:r w:rsidRPr="00AB232B">
        <w:t>11</w:t>
      </w:r>
      <w:r w:rsidR="00C90FA0" w:rsidRPr="00AB232B">
        <w:t xml:space="preserve">  Paragraph 13</w:t>
      </w:r>
      <w:r w:rsidR="0003492E" w:rsidRPr="00AB232B">
        <w:t>(1)</w:t>
      </w:r>
      <w:r w:rsidR="00C90FA0" w:rsidRPr="00AB232B">
        <w:t>(d)</w:t>
      </w:r>
    </w:p>
    <w:p w:rsidR="00C90FA0" w:rsidRPr="00AB232B" w:rsidRDefault="00C90FA0" w:rsidP="00C90FA0">
      <w:pPr>
        <w:pStyle w:val="Item"/>
      </w:pPr>
      <w:r w:rsidRPr="00AB232B">
        <w:t>Repeal the paragraph, substitute:</w:t>
      </w:r>
    </w:p>
    <w:p w:rsidR="00C90FA0" w:rsidRPr="00AB232B" w:rsidRDefault="00C90FA0" w:rsidP="00C90FA0">
      <w:pPr>
        <w:pStyle w:val="paragraph"/>
      </w:pPr>
      <w:r w:rsidRPr="00AB232B">
        <w:tab/>
        <w:t>(d)</w:t>
      </w:r>
      <w:r w:rsidRPr="00AB232B">
        <w:tab/>
        <w:t xml:space="preserve">the dealing is </w:t>
      </w:r>
      <w:r w:rsidR="00725A3D" w:rsidRPr="00AB232B">
        <w:t xml:space="preserve">only </w:t>
      </w:r>
      <w:r w:rsidRPr="00AB232B">
        <w:t>undertaken</w:t>
      </w:r>
      <w:r w:rsidR="00725A3D" w:rsidRPr="00AB232B">
        <w:t xml:space="preserve"> </w:t>
      </w:r>
      <w:r w:rsidR="00892C10" w:rsidRPr="00AB232B">
        <w:t>no later than</w:t>
      </w:r>
      <w:r w:rsidR="00725A3D" w:rsidRPr="00AB232B">
        <w:t xml:space="preserve"> the day</w:t>
      </w:r>
      <w:r w:rsidRPr="00AB232B">
        <w:t xml:space="preserve"> 5 years after the date of the assessment;</w:t>
      </w:r>
      <w:r w:rsidR="00D00ED8" w:rsidRPr="00AB232B">
        <w:t xml:space="preserve"> and</w:t>
      </w:r>
    </w:p>
    <w:p w:rsidR="000E602B" w:rsidRPr="00AB232B" w:rsidRDefault="008F145C" w:rsidP="00C51532">
      <w:pPr>
        <w:pStyle w:val="ItemHead"/>
      </w:pPr>
      <w:r w:rsidRPr="00AB232B">
        <w:t>12</w:t>
      </w:r>
      <w:r w:rsidR="000E602B" w:rsidRPr="00AB232B">
        <w:t xml:space="preserve">  Paragraph 13(1)(e)</w:t>
      </w:r>
    </w:p>
    <w:p w:rsidR="000E602B" w:rsidRPr="00AB232B" w:rsidRDefault="000E602B" w:rsidP="000E602B">
      <w:pPr>
        <w:pStyle w:val="Item"/>
      </w:pPr>
      <w:r w:rsidRPr="00AB232B">
        <w:t>After “is mentioned</w:t>
      </w:r>
      <w:r w:rsidR="0009764B" w:rsidRPr="00AB232B">
        <w:t xml:space="preserve"> in</w:t>
      </w:r>
      <w:r w:rsidRPr="00AB232B">
        <w:t>”, insert “, or is in a class of persons mentioned</w:t>
      </w:r>
      <w:r w:rsidR="0009764B" w:rsidRPr="00AB232B">
        <w:t xml:space="preserve"> in</w:t>
      </w:r>
      <w:r w:rsidRPr="00AB232B">
        <w:t>,”</w:t>
      </w:r>
      <w:r w:rsidR="00B90E6B" w:rsidRPr="00AB232B">
        <w:t>.</w:t>
      </w:r>
    </w:p>
    <w:p w:rsidR="00536040" w:rsidRPr="00AB232B" w:rsidRDefault="008F145C" w:rsidP="00C51532">
      <w:pPr>
        <w:pStyle w:val="ItemHead"/>
      </w:pPr>
      <w:r w:rsidRPr="00AB232B">
        <w:t>13</w:t>
      </w:r>
      <w:r w:rsidR="00536040" w:rsidRPr="00AB232B">
        <w:t xml:space="preserve">  Paragraph 13(1)(f)</w:t>
      </w:r>
    </w:p>
    <w:p w:rsidR="00536040" w:rsidRPr="00AB232B" w:rsidRDefault="00536040" w:rsidP="00536040">
      <w:pPr>
        <w:pStyle w:val="Item"/>
      </w:pPr>
      <w:r w:rsidRPr="00AB232B">
        <w:t>Repeal the paragraph, substitute:</w:t>
      </w:r>
    </w:p>
    <w:p w:rsidR="00536040" w:rsidRPr="00AB232B" w:rsidRDefault="00536040" w:rsidP="00536040">
      <w:pPr>
        <w:pStyle w:val="paragraph"/>
      </w:pPr>
      <w:r w:rsidRPr="00AB232B">
        <w:tab/>
        <w:t>(f)</w:t>
      </w:r>
      <w:r w:rsidRPr="00AB232B">
        <w:tab/>
      </w:r>
      <w:r w:rsidR="00A45E38" w:rsidRPr="00AB232B">
        <w:t>subject to subregulation</w:t>
      </w:r>
      <w:r w:rsidR="00AB232B" w:rsidRPr="00AB232B">
        <w:t> </w:t>
      </w:r>
      <w:r w:rsidR="00A45E38" w:rsidRPr="00AB232B">
        <w:t xml:space="preserve">(3), </w:t>
      </w:r>
      <w:r w:rsidRPr="00AB232B">
        <w:t>the dealing is undertaken in facilities that:</w:t>
      </w:r>
    </w:p>
    <w:p w:rsidR="00536040" w:rsidRPr="00AB232B" w:rsidRDefault="00536040" w:rsidP="00536040">
      <w:pPr>
        <w:pStyle w:val="paragraphsub"/>
      </w:pPr>
      <w:r w:rsidRPr="00AB232B">
        <w:tab/>
        <w:t>(</w:t>
      </w:r>
      <w:proofErr w:type="spellStart"/>
      <w:r w:rsidRPr="00AB232B">
        <w:t>i</w:t>
      </w:r>
      <w:proofErr w:type="spellEnd"/>
      <w:r w:rsidRPr="00AB232B">
        <w:t>)</w:t>
      </w:r>
      <w:r w:rsidRPr="00AB232B">
        <w:tab/>
        <w:t>are mentioned in</w:t>
      </w:r>
      <w:r w:rsidR="000E602B" w:rsidRPr="00AB232B">
        <w:t xml:space="preserve">, or </w:t>
      </w:r>
      <w:r w:rsidR="00A45E38" w:rsidRPr="00AB232B">
        <w:t xml:space="preserve">are </w:t>
      </w:r>
      <w:r w:rsidR="000E602B" w:rsidRPr="00AB232B">
        <w:t>in a class of facilities mentioned in,</w:t>
      </w:r>
      <w:r w:rsidRPr="00AB232B">
        <w:t xml:space="preserve"> the Institutional Biosafety Committee’s record of assessment as being appropriate for the dealing; and</w:t>
      </w:r>
    </w:p>
    <w:p w:rsidR="00536040" w:rsidRPr="00AB232B" w:rsidRDefault="00536040" w:rsidP="00536040">
      <w:pPr>
        <w:pStyle w:val="paragraphsub"/>
      </w:pPr>
      <w:r w:rsidRPr="00AB232B">
        <w:tab/>
        <w:t>(ii)</w:t>
      </w:r>
      <w:r w:rsidRPr="00AB232B">
        <w:tab/>
      </w:r>
      <w:r w:rsidR="000E602B" w:rsidRPr="00AB232B">
        <w:t xml:space="preserve">are </w:t>
      </w:r>
      <w:r w:rsidR="009407F9" w:rsidRPr="00AB232B">
        <w:t>facilities in whic</w:t>
      </w:r>
      <w:r w:rsidR="0009764B" w:rsidRPr="00AB232B">
        <w:t>h subregulation</w:t>
      </w:r>
      <w:r w:rsidR="00AB232B" w:rsidRPr="00AB232B">
        <w:t> </w:t>
      </w:r>
      <w:r w:rsidR="0009764B" w:rsidRPr="00AB232B">
        <w:t>(2) permits the dealing to be undertaken; and</w:t>
      </w:r>
    </w:p>
    <w:p w:rsidR="00FF2656" w:rsidRPr="00AB232B" w:rsidRDefault="008F145C" w:rsidP="00C51532">
      <w:pPr>
        <w:pStyle w:val="ItemHead"/>
      </w:pPr>
      <w:r w:rsidRPr="00AB232B">
        <w:t>14</w:t>
      </w:r>
      <w:r w:rsidR="00FF2656" w:rsidRPr="00AB232B">
        <w:t xml:space="preserve">  Paragraph 13(1)(h)</w:t>
      </w:r>
    </w:p>
    <w:p w:rsidR="00FF2656" w:rsidRPr="00AB232B" w:rsidRDefault="00FF2656" w:rsidP="00FF2656">
      <w:pPr>
        <w:pStyle w:val="Item"/>
      </w:pPr>
      <w:r w:rsidRPr="00AB232B">
        <w:t>Omit “dealing; and”, substitute “dealing</w:t>
      </w:r>
      <w:r w:rsidR="00892C10" w:rsidRPr="00AB232B">
        <w:t>.</w:t>
      </w:r>
      <w:r w:rsidRPr="00AB232B">
        <w:t>”.</w:t>
      </w:r>
    </w:p>
    <w:p w:rsidR="00FF2656" w:rsidRPr="00AB232B" w:rsidRDefault="008F145C" w:rsidP="00FF2656">
      <w:pPr>
        <w:pStyle w:val="ItemHead"/>
      </w:pPr>
      <w:r w:rsidRPr="00AB232B">
        <w:t>15</w:t>
      </w:r>
      <w:r w:rsidR="00FF2656" w:rsidRPr="00AB232B">
        <w:t xml:space="preserve">  Paragraph 13(1)(</w:t>
      </w:r>
      <w:proofErr w:type="spellStart"/>
      <w:r w:rsidR="00FF2656" w:rsidRPr="00AB232B">
        <w:t>i</w:t>
      </w:r>
      <w:proofErr w:type="spellEnd"/>
      <w:r w:rsidR="00FF2656" w:rsidRPr="00AB232B">
        <w:t>)</w:t>
      </w:r>
    </w:p>
    <w:p w:rsidR="00FF2656" w:rsidRPr="00AB232B" w:rsidRDefault="00FF2656" w:rsidP="00FF2656">
      <w:pPr>
        <w:pStyle w:val="Item"/>
      </w:pPr>
      <w:r w:rsidRPr="00AB232B">
        <w:t>Repeal the paragraph.</w:t>
      </w:r>
    </w:p>
    <w:p w:rsidR="009407F9" w:rsidRPr="00AB232B" w:rsidRDefault="008F145C" w:rsidP="00FF2656">
      <w:pPr>
        <w:pStyle w:val="ItemHead"/>
      </w:pPr>
      <w:r w:rsidRPr="00AB232B">
        <w:t>16</w:t>
      </w:r>
      <w:r w:rsidR="009407F9" w:rsidRPr="00AB232B">
        <w:t xml:space="preserve">  Subregulation</w:t>
      </w:r>
      <w:r w:rsidR="00AB232B" w:rsidRPr="00AB232B">
        <w:t> </w:t>
      </w:r>
      <w:r w:rsidR="009407F9" w:rsidRPr="00AB232B">
        <w:t>13(1) (note)</w:t>
      </w:r>
    </w:p>
    <w:p w:rsidR="009407F9" w:rsidRPr="00AB232B" w:rsidRDefault="009407F9" w:rsidP="009407F9">
      <w:pPr>
        <w:pStyle w:val="Item"/>
      </w:pPr>
      <w:r w:rsidRPr="00AB232B">
        <w:t>Repeal the note.</w:t>
      </w:r>
    </w:p>
    <w:p w:rsidR="00D340E7" w:rsidRPr="00AB232B" w:rsidRDefault="008F145C" w:rsidP="00FF2656">
      <w:pPr>
        <w:pStyle w:val="ItemHead"/>
      </w:pPr>
      <w:r w:rsidRPr="00AB232B">
        <w:t>17</w:t>
      </w:r>
      <w:r w:rsidR="00D340E7" w:rsidRPr="00AB232B">
        <w:t xml:space="preserve">  Paragraph 13(2)(b)</w:t>
      </w:r>
    </w:p>
    <w:p w:rsidR="00D340E7" w:rsidRPr="00AB232B" w:rsidRDefault="00D340E7" w:rsidP="00D340E7">
      <w:pPr>
        <w:pStyle w:val="Item"/>
      </w:pPr>
      <w:r w:rsidRPr="00AB232B">
        <w:t>Repeal the paragraph, substitute:</w:t>
      </w:r>
    </w:p>
    <w:p w:rsidR="00D340E7" w:rsidRPr="00AB232B" w:rsidRDefault="00D340E7" w:rsidP="00D340E7">
      <w:pPr>
        <w:pStyle w:val="paragraph"/>
      </w:pPr>
      <w:r w:rsidRPr="00AB232B">
        <w:tab/>
        <w:t>(b)</w:t>
      </w:r>
      <w:r w:rsidRPr="00AB232B">
        <w:tab/>
        <w:t>for a kind of dealing mentioned in clause</w:t>
      </w:r>
      <w:r w:rsidR="00AB232B" w:rsidRPr="00AB232B">
        <w:t> </w:t>
      </w:r>
      <w:r w:rsidRPr="00AB232B">
        <w:t>2.1 of Schedule</w:t>
      </w:r>
      <w:r w:rsidR="00AB232B" w:rsidRPr="00AB232B">
        <w:t> </w:t>
      </w:r>
      <w:r w:rsidRPr="00AB232B">
        <w:t>3 (but not clause</w:t>
      </w:r>
      <w:r w:rsidR="00AB232B" w:rsidRPr="00AB232B">
        <w:t> </w:t>
      </w:r>
      <w:r w:rsidRPr="00AB232B">
        <w:t>2.2)—in a facility certified by the Regulator to at least physical containment level 2 and that is appropriate for the dealing; or</w:t>
      </w:r>
    </w:p>
    <w:p w:rsidR="00D340E7" w:rsidRPr="00AB232B" w:rsidRDefault="00D340E7" w:rsidP="00D340E7">
      <w:pPr>
        <w:pStyle w:val="paragraph"/>
      </w:pPr>
      <w:r w:rsidRPr="00AB232B">
        <w:tab/>
        <w:t>(</w:t>
      </w:r>
      <w:proofErr w:type="spellStart"/>
      <w:r w:rsidRPr="00AB232B">
        <w:t>ba</w:t>
      </w:r>
      <w:proofErr w:type="spellEnd"/>
      <w:r w:rsidRPr="00AB232B">
        <w:t>)</w:t>
      </w:r>
      <w:r w:rsidRPr="00AB232B">
        <w:tab/>
        <w:t>for a kind of dealing mentioned in clause</w:t>
      </w:r>
      <w:r w:rsidR="00AB232B" w:rsidRPr="00AB232B">
        <w:t> </w:t>
      </w:r>
      <w:r w:rsidRPr="00AB232B">
        <w:t>2.2 of Schedule</w:t>
      </w:r>
      <w:r w:rsidR="00AB232B" w:rsidRPr="00AB232B">
        <w:t> </w:t>
      </w:r>
      <w:r w:rsidRPr="00AB232B">
        <w:t>3—in a facility certified by the Regulator to at least physical containment level 3 and that is appropriate for the dealing; or</w:t>
      </w:r>
    </w:p>
    <w:p w:rsidR="0009764B" w:rsidRPr="00AB232B" w:rsidRDefault="008F145C" w:rsidP="00FF2656">
      <w:pPr>
        <w:pStyle w:val="ItemHead"/>
      </w:pPr>
      <w:r w:rsidRPr="00AB232B">
        <w:t>18</w:t>
      </w:r>
      <w:r w:rsidR="0009764B" w:rsidRPr="00AB232B">
        <w:t xml:space="preserve">  Subregulation</w:t>
      </w:r>
      <w:r w:rsidR="00AB232B" w:rsidRPr="00AB232B">
        <w:t> </w:t>
      </w:r>
      <w:r w:rsidR="0009764B" w:rsidRPr="00AB232B">
        <w:t>13(3)</w:t>
      </w:r>
    </w:p>
    <w:p w:rsidR="00FF2656" w:rsidRPr="00AB232B" w:rsidRDefault="0009764B" w:rsidP="00FF2656">
      <w:pPr>
        <w:pStyle w:val="Item"/>
      </w:pPr>
      <w:r w:rsidRPr="00AB232B">
        <w:t>Repeal the subregulation, substitute:</w:t>
      </w:r>
    </w:p>
    <w:p w:rsidR="00FF2656" w:rsidRPr="00AB232B" w:rsidRDefault="00FF2656" w:rsidP="00FF2656">
      <w:pPr>
        <w:pStyle w:val="subsection"/>
      </w:pPr>
      <w:r w:rsidRPr="00AB232B">
        <w:tab/>
        <w:t>(</w:t>
      </w:r>
      <w:r w:rsidR="0009764B" w:rsidRPr="00AB232B">
        <w:t>3</w:t>
      </w:r>
      <w:r w:rsidRPr="00AB232B">
        <w:t>)</w:t>
      </w:r>
      <w:r w:rsidRPr="00AB232B">
        <w:tab/>
      </w:r>
      <w:r w:rsidR="006560C5" w:rsidRPr="00AB232B">
        <w:t>I</w:t>
      </w:r>
      <w:r w:rsidRPr="00AB232B">
        <w:t>f a notifiable low risk dealing involves the transportation, storage or disposal of a GMO, the transportation, storage or disposal may</w:t>
      </w:r>
      <w:r w:rsidR="006560C5" w:rsidRPr="00AB232B">
        <w:t xml:space="preserve"> </w:t>
      </w:r>
      <w:r w:rsidR="00737A4A" w:rsidRPr="00AB232B">
        <w:t xml:space="preserve">happen outside a facility that complies with </w:t>
      </w:r>
      <w:r w:rsidR="00AB232B" w:rsidRPr="00AB232B">
        <w:t>paragraph (</w:t>
      </w:r>
      <w:r w:rsidR="00737A4A" w:rsidRPr="00AB232B">
        <w:t>1)(f) and subregulation</w:t>
      </w:r>
      <w:r w:rsidR="00AB232B" w:rsidRPr="00AB232B">
        <w:t> </w:t>
      </w:r>
      <w:r w:rsidR="00737A4A" w:rsidRPr="00AB232B">
        <w:t xml:space="preserve">(2), </w:t>
      </w:r>
      <w:r w:rsidRPr="00AB232B">
        <w:t xml:space="preserve">if </w:t>
      </w:r>
      <w:r w:rsidR="00737A4A" w:rsidRPr="00AB232B">
        <w:t>it</w:t>
      </w:r>
      <w:r w:rsidRPr="00AB232B">
        <w:t xml:space="preserve"> is conducted in accordance with:</w:t>
      </w:r>
    </w:p>
    <w:p w:rsidR="00FF2656" w:rsidRPr="00AB232B" w:rsidRDefault="00FF2656" w:rsidP="00FF2656">
      <w:pPr>
        <w:pStyle w:val="paragraph"/>
      </w:pPr>
      <w:r w:rsidRPr="00AB232B">
        <w:tab/>
        <w:t>(a)</w:t>
      </w:r>
      <w:r w:rsidRPr="00AB232B">
        <w:tab/>
        <w:t xml:space="preserve">the </w:t>
      </w:r>
      <w:r w:rsidRPr="00AB232B">
        <w:rPr>
          <w:i/>
        </w:rPr>
        <w:t>Guidelines for the Transport, Storage and Disposal of GMOs</w:t>
      </w:r>
      <w:r w:rsidRPr="00AB232B">
        <w:t>, as in force from time to time, that ha</w:t>
      </w:r>
      <w:r w:rsidR="00892C10" w:rsidRPr="00AB232B">
        <w:t>ve been issued by the Regulator</w:t>
      </w:r>
      <w:r w:rsidRPr="00AB232B">
        <w:t xml:space="preserve"> under paragraph</w:t>
      </w:r>
      <w:r w:rsidR="00AB232B" w:rsidRPr="00AB232B">
        <w:t> </w:t>
      </w:r>
      <w:r w:rsidRPr="00AB232B">
        <w:t>27(d) of the Act; or</w:t>
      </w:r>
    </w:p>
    <w:p w:rsidR="00737A4A" w:rsidRPr="00AB232B" w:rsidRDefault="00FF2656" w:rsidP="00D340E7">
      <w:pPr>
        <w:pStyle w:val="paragraph"/>
      </w:pPr>
      <w:r w:rsidRPr="00AB232B">
        <w:tab/>
        <w:t>(b)</w:t>
      </w:r>
      <w:r w:rsidRPr="00AB232B">
        <w:tab/>
        <w:t xml:space="preserve">transportation, storage or disposal requirements that the Regulator has agreed in writing are appropriate </w:t>
      </w:r>
      <w:r w:rsidR="00D340E7" w:rsidRPr="00AB232B">
        <w:t>for the containment of the GMO.</w:t>
      </w:r>
    </w:p>
    <w:p w:rsidR="00045AC9" w:rsidRPr="00AB232B" w:rsidRDefault="008F145C" w:rsidP="00094DD5">
      <w:pPr>
        <w:pStyle w:val="ItemHead"/>
      </w:pPr>
      <w:r w:rsidRPr="00AB232B">
        <w:t>19</w:t>
      </w:r>
      <w:r w:rsidR="00045AC9" w:rsidRPr="00AB232B">
        <w:t xml:space="preserve">  Regulation</w:t>
      </w:r>
      <w:r w:rsidR="00AB232B" w:rsidRPr="00AB232B">
        <w:t> </w:t>
      </w:r>
      <w:r w:rsidR="00045AC9" w:rsidRPr="00AB232B">
        <w:t>13A</w:t>
      </w:r>
    </w:p>
    <w:p w:rsidR="002A1E0E" w:rsidRPr="00AB232B" w:rsidRDefault="00737A4A" w:rsidP="002A1E0E">
      <w:pPr>
        <w:pStyle w:val="Item"/>
      </w:pPr>
      <w:r w:rsidRPr="00AB232B">
        <w:t>Repeal the regulation.</w:t>
      </w:r>
    </w:p>
    <w:p w:rsidR="00094DD5" w:rsidRPr="00AB232B" w:rsidRDefault="008F145C" w:rsidP="00094DD5">
      <w:pPr>
        <w:pStyle w:val="ItemHead"/>
      </w:pPr>
      <w:r w:rsidRPr="00AB232B">
        <w:t>20</w:t>
      </w:r>
      <w:r w:rsidR="00094DD5" w:rsidRPr="00AB232B">
        <w:t xml:space="preserve">  Subregulation</w:t>
      </w:r>
      <w:r w:rsidR="00AB232B" w:rsidRPr="00AB232B">
        <w:t> </w:t>
      </w:r>
      <w:r w:rsidR="00094DD5" w:rsidRPr="00AB232B">
        <w:t>21(2) (note)</w:t>
      </w:r>
    </w:p>
    <w:p w:rsidR="00094DD5" w:rsidRPr="00AB232B" w:rsidRDefault="00094DD5" w:rsidP="00094DD5">
      <w:pPr>
        <w:pStyle w:val="Item"/>
      </w:pPr>
      <w:r w:rsidRPr="00AB232B">
        <w:t>Omit all the words after “section</w:t>
      </w:r>
      <w:r w:rsidR="00AB232B" w:rsidRPr="00AB232B">
        <w:t> </w:t>
      </w:r>
      <w:r w:rsidRPr="00AB232B">
        <w:t>27B</w:t>
      </w:r>
      <w:r w:rsidR="002F0F99" w:rsidRPr="00AB232B">
        <w:t xml:space="preserve"> of that Act</w:t>
      </w:r>
      <w:r w:rsidRPr="00AB232B">
        <w:t>”.</w:t>
      </w:r>
    </w:p>
    <w:p w:rsidR="005D34B7" w:rsidRPr="00AB232B" w:rsidRDefault="008F145C" w:rsidP="005D34B7">
      <w:pPr>
        <w:pStyle w:val="ItemHead"/>
      </w:pPr>
      <w:r w:rsidRPr="00AB232B">
        <w:t>21</w:t>
      </w:r>
      <w:r w:rsidR="005D34B7" w:rsidRPr="00AB232B">
        <w:t xml:space="preserve">  Paragraph 26(1)(b)</w:t>
      </w:r>
    </w:p>
    <w:p w:rsidR="005D34B7" w:rsidRPr="00AB232B" w:rsidRDefault="005D34B7" w:rsidP="005D34B7">
      <w:pPr>
        <w:pStyle w:val="Item"/>
      </w:pPr>
      <w:r w:rsidRPr="00AB232B">
        <w:t>Omit “</w:t>
      </w:r>
      <w:r w:rsidR="00975C37" w:rsidRPr="00AB232B">
        <w:t xml:space="preserve">to whom </w:t>
      </w:r>
      <w:r w:rsidRPr="00AB232B">
        <w:t>paragraph</w:t>
      </w:r>
      <w:r w:rsidR="00AB232B" w:rsidRPr="00AB232B">
        <w:t> </w:t>
      </w:r>
      <w:r w:rsidRPr="00AB232B">
        <w:t>100(7A)(a) or (b)</w:t>
      </w:r>
      <w:r w:rsidR="00975C37" w:rsidRPr="00AB232B">
        <w:t xml:space="preserve"> of the Act applies</w:t>
      </w:r>
      <w:r w:rsidRPr="00AB232B">
        <w:t>”, substitute “</w:t>
      </w:r>
      <w:r w:rsidR="00975C37" w:rsidRPr="00AB232B">
        <w:t>who is also a member of the Ethics and Community Committee</w:t>
      </w:r>
      <w:r w:rsidRPr="00AB232B">
        <w:t>”.</w:t>
      </w:r>
    </w:p>
    <w:p w:rsidR="00AF5FB9" w:rsidRPr="00AB232B" w:rsidRDefault="008F145C" w:rsidP="00975C37">
      <w:pPr>
        <w:pStyle w:val="ItemHead"/>
      </w:pPr>
      <w:r w:rsidRPr="00AB232B">
        <w:t>22</w:t>
      </w:r>
      <w:r w:rsidR="00975C37" w:rsidRPr="00AB232B">
        <w:t xml:space="preserve">  Paragraph 32(c)</w:t>
      </w:r>
    </w:p>
    <w:p w:rsidR="00975C37" w:rsidRPr="00AB232B" w:rsidRDefault="00975C37" w:rsidP="00975C37">
      <w:pPr>
        <w:pStyle w:val="Item"/>
      </w:pPr>
      <w:r w:rsidRPr="00AB232B">
        <w:t>Repeal the paragraph, substitute:</w:t>
      </w:r>
    </w:p>
    <w:p w:rsidR="00975C37" w:rsidRPr="00AB232B" w:rsidRDefault="00975C37" w:rsidP="00975C37">
      <w:pPr>
        <w:pStyle w:val="paragraph"/>
      </w:pPr>
      <w:r w:rsidRPr="00AB232B">
        <w:tab/>
        <w:t>(c)</w:t>
      </w:r>
      <w:r w:rsidRPr="00AB232B">
        <w:tab/>
        <w:t>the reference in paragraph</w:t>
      </w:r>
      <w:r w:rsidR="00AB232B" w:rsidRPr="00AB232B">
        <w:t> </w:t>
      </w:r>
      <w:r w:rsidRPr="00AB232B">
        <w:t>26(1)(b) to the Ethics and Community Committee were a reference to the Gene Technology Technical Advisory Committee or the Australian Health Ethics Committee; and</w:t>
      </w:r>
    </w:p>
    <w:p w:rsidR="000740D0" w:rsidRPr="00AB232B" w:rsidRDefault="008F145C" w:rsidP="006B6661">
      <w:pPr>
        <w:pStyle w:val="ItemHead"/>
      </w:pPr>
      <w:r w:rsidRPr="00AB232B">
        <w:t>23</w:t>
      </w:r>
      <w:r w:rsidR="000740D0" w:rsidRPr="00AB232B">
        <w:t xml:space="preserve">  After Part</w:t>
      </w:r>
      <w:r w:rsidR="00AB232B" w:rsidRPr="00AB232B">
        <w:t> </w:t>
      </w:r>
      <w:r w:rsidR="000740D0" w:rsidRPr="00AB232B">
        <w:t>7</w:t>
      </w:r>
    </w:p>
    <w:p w:rsidR="000740D0" w:rsidRPr="00AB232B" w:rsidRDefault="000740D0" w:rsidP="000740D0">
      <w:pPr>
        <w:pStyle w:val="Item"/>
      </w:pPr>
      <w:r w:rsidRPr="00AB232B">
        <w:t>Insert:</w:t>
      </w:r>
    </w:p>
    <w:p w:rsidR="000740D0" w:rsidRPr="00AB232B" w:rsidRDefault="000740D0" w:rsidP="000740D0">
      <w:pPr>
        <w:pStyle w:val="ActHead2"/>
      </w:pPr>
      <w:bookmarkStart w:id="10" w:name="_Toc2843364"/>
      <w:r w:rsidRPr="00AB232B">
        <w:rPr>
          <w:rStyle w:val="CharPartNo"/>
        </w:rPr>
        <w:t>Part</w:t>
      </w:r>
      <w:r w:rsidR="00AB232B" w:rsidRPr="00AB232B">
        <w:rPr>
          <w:rStyle w:val="CharPartNo"/>
        </w:rPr>
        <w:t> </w:t>
      </w:r>
      <w:r w:rsidRPr="00AB232B">
        <w:rPr>
          <w:rStyle w:val="CharPartNo"/>
        </w:rPr>
        <w:t>8</w:t>
      </w:r>
      <w:r w:rsidRPr="00AB232B">
        <w:t>—</w:t>
      </w:r>
      <w:r w:rsidR="008E32F6" w:rsidRPr="00AB232B">
        <w:rPr>
          <w:rStyle w:val="CharPartText"/>
        </w:rPr>
        <w:t>Application and t</w:t>
      </w:r>
      <w:r w:rsidRPr="00AB232B">
        <w:rPr>
          <w:rStyle w:val="CharPartText"/>
        </w:rPr>
        <w:t>ransitional provisions</w:t>
      </w:r>
      <w:bookmarkEnd w:id="10"/>
    </w:p>
    <w:p w:rsidR="000740D0" w:rsidRPr="00AB232B" w:rsidRDefault="000740D0" w:rsidP="000740D0">
      <w:pPr>
        <w:pStyle w:val="ActHead3"/>
        <w:rPr>
          <w:i/>
        </w:rPr>
      </w:pPr>
      <w:bookmarkStart w:id="11" w:name="_Toc2843365"/>
      <w:r w:rsidRPr="00AB232B">
        <w:rPr>
          <w:rStyle w:val="CharDivNo"/>
        </w:rPr>
        <w:t>Division</w:t>
      </w:r>
      <w:r w:rsidR="00AB232B" w:rsidRPr="00AB232B">
        <w:rPr>
          <w:rStyle w:val="CharDivNo"/>
        </w:rPr>
        <w:t> </w:t>
      </w:r>
      <w:r w:rsidRPr="00AB232B">
        <w:rPr>
          <w:rStyle w:val="CharDivNo"/>
        </w:rPr>
        <w:t>1</w:t>
      </w:r>
      <w:r w:rsidRPr="00AB232B">
        <w:t>—</w:t>
      </w:r>
      <w:r w:rsidRPr="00AB232B">
        <w:rPr>
          <w:rStyle w:val="CharDivText"/>
        </w:rPr>
        <w:t xml:space="preserve">Amendments made by the </w:t>
      </w:r>
      <w:r w:rsidR="00823579" w:rsidRPr="00AB232B">
        <w:rPr>
          <w:rStyle w:val="CharDivText"/>
        </w:rPr>
        <w:t>Gene Technology Amendment (201</w:t>
      </w:r>
      <w:r w:rsidR="008B1287" w:rsidRPr="00AB232B">
        <w:rPr>
          <w:rStyle w:val="CharDivText"/>
        </w:rPr>
        <w:t>9</w:t>
      </w:r>
      <w:r w:rsidR="00823579" w:rsidRPr="00AB232B">
        <w:rPr>
          <w:rStyle w:val="CharDivText"/>
        </w:rPr>
        <w:t xml:space="preserve"> Measures No.</w:t>
      </w:r>
      <w:r w:rsidR="00AB232B" w:rsidRPr="00AB232B">
        <w:rPr>
          <w:rStyle w:val="CharDivText"/>
        </w:rPr>
        <w:t> </w:t>
      </w:r>
      <w:r w:rsidR="00823579" w:rsidRPr="00AB232B">
        <w:rPr>
          <w:rStyle w:val="CharDivText"/>
        </w:rPr>
        <w:t>1) Regulations</w:t>
      </w:r>
      <w:r w:rsidR="00AB232B" w:rsidRPr="00AB232B">
        <w:rPr>
          <w:rStyle w:val="CharDivText"/>
        </w:rPr>
        <w:t> </w:t>
      </w:r>
      <w:r w:rsidR="00823579" w:rsidRPr="00AB232B">
        <w:rPr>
          <w:rStyle w:val="CharDivText"/>
        </w:rPr>
        <w:t>201</w:t>
      </w:r>
      <w:r w:rsidR="008B1287" w:rsidRPr="00AB232B">
        <w:rPr>
          <w:rStyle w:val="CharDivText"/>
        </w:rPr>
        <w:t>9</w:t>
      </w:r>
      <w:bookmarkEnd w:id="11"/>
    </w:p>
    <w:p w:rsidR="008E32F6" w:rsidRPr="00AB232B" w:rsidRDefault="008E32F6" w:rsidP="008E32F6">
      <w:pPr>
        <w:pStyle w:val="ActHead5"/>
        <w:rPr>
          <w:i/>
        </w:rPr>
      </w:pPr>
      <w:bookmarkStart w:id="12" w:name="_Toc2843366"/>
      <w:r w:rsidRPr="00AB232B">
        <w:rPr>
          <w:rStyle w:val="CharSectno"/>
        </w:rPr>
        <w:t>41</w:t>
      </w:r>
      <w:r w:rsidRPr="00AB232B">
        <w:t xml:space="preserve">  </w:t>
      </w:r>
      <w:r w:rsidR="00D75485" w:rsidRPr="00AB232B">
        <w:t>Change</w:t>
      </w:r>
      <w:r w:rsidR="00CB44C4" w:rsidRPr="00AB232B">
        <w:t xml:space="preserve">d </w:t>
      </w:r>
      <w:r w:rsidR="00D75485" w:rsidRPr="00AB232B">
        <w:t>requirements for dealings</w:t>
      </w:r>
      <w:bookmarkEnd w:id="12"/>
    </w:p>
    <w:p w:rsidR="00A2593B" w:rsidRPr="00AB232B" w:rsidRDefault="00A2593B" w:rsidP="00A2593B">
      <w:pPr>
        <w:pStyle w:val="SubsectionHead"/>
      </w:pPr>
      <w:r w:rsidRPr="00AB232B">
        <w:t>Former exempt dealings</w:t>
      </w:r>
    </w:p>
    <w:p w:rsidR="00ED6DDE" w:rsidRPr="00AB232B" w:rsidRDefault="00A2593B" w:rsidP="008E32F6">
      <w:pPr>
        <w:pStyle w:val="subsection"/>
      </w:pPr>
      <w:r w:rsidRPr="00AB232B">
        <w:tab/>
      </w:r>
      <w:r w:rsidR="00ED6DDE" w:rsidRPr="00AB232B">
        <w:t>(1)</w:t>
      </w:r>
      <w:r w:rsidR="00ED6DDE" w:rsidRPr="00AB232B">
        <w:tab/>
        <w:t>If:</w:t>
      </w:r>
    </w:p>
    <w:p w:rsidR="00ED6DDE" w:rsidRPr="00AB232B" w:rsidRDefault="00ED6DDE" w:rsidP="00ED6DDE">
      <w:pPr>
        <w:pStyle w:val="paragraph"/>
      </w:pPr>
      <w:r w:rsidRPr="00AB232B">
        <w:tab/>
        <w:t>(a)</w:t>
      </w:r>
      <w:r w:rsidRPr="00AB232B">
        <w:tab/>
        <w:t xml:space="preserve">a person was undertaking a dealing before the </w:t>
      </w:r>
      <w:r w:rsidR="001E0DFC" w:rsidRPr="00AB232B">
        <w:t>amending day</w:t>
      </w:r>
      <w:r w:rsidRPr="00AB232B">
        <w:t>; and</w:t>
      </w:r>
    </w:p>
    <w:p w:rsidR="00ED6DDE" w:rsidRPr="00AB232B" w:rsidRDefault="00ED6DDE" w:rsidP="00ED6DDE">
      <w:pPr>
        <w:pStyle w:val="paragraph"/>
      </w:pPr>
      <w:r w:rsidRPr="00AB232B">
        <w:tab/>
        <w:t>(b)</w:t>
      </w:r>
      <w:r w:rsidRPr="00AB232B">
        <w:tab/>
        <w:t xml:space="preserve">the dealing was an exempt dealing under </w:t>
      </w:r>
      <w:r w:rsidR="001E0DFC" w:rsidRPr="00AB232B">
        <w:t>the old Regulations</w:t>
      </w:r>
      <w:r w:rsidRPr="00AB232B">
        <w:t>; and</w:t>
      </w:r>
    </w:p>
    <w:p w:rsidR="00F70826" w:rsidRPr="00AB232B" w:rsidRDefault="00ED6DDE" w:rsidP="00F70826">
      <w:pPr>
        <w:pStyle w:val="paragraph"/>
      </w:pPr>
      <w:r w:rsidRPr="00AB232B">
        <w:tab/>
        <w:t>(c)</w:t>
      </w:r>
      <w:r w:rsidRPr="00AB232B">
        <w:tab/>
        <w:t xml:space="preserve">the dealing is not (apart from this provision) an exempt dealing under </w:t>
      </w:r>
      <w:r w:rsidR="001E0DFC" w:rsidRPr="00AB232B">
        <w:t>the new Regulations</w:t>
      </w:r>
      <w:r w:rsidRPr="00AB232B">
        <w:t>;</w:t>
      </w:r>
    </w:p>
    <w:p w:rsidR="00F70826" w:rsidRPr="00AB232B" w:rsidRDefault="00F70826" w:rsidP="00F70826">
      <w:pPr>
        <w:pStyle w:val="subsection2"/>
      </w:pPr>
      <w:r w:rsidRPr="00AB232B">
        <w:t>then, despite the amendments, the dealing is an exempt dealing when undertaken by the person.</w:t>
      </w:r>
    </w:p>
    <w:p w:rsidR="00F70826" w:rsidRPr="00AB232B" w:rsidRDefault="00F70826" w:rsidP="00F70826">
      <w:pPr>
        <w:pStyle w:val="subsection"/>
      </w:pPr>
      <w:r w:rsidRPr="00AB232B">
        <w:tab/>
        <w:t>(2)</w:t>
      </w:r>
      <w:r w:rsidRPr="00AB232B">
        <w:tab/>
        <w:t>Subregulation (1) applies until:</w:t>
      </w:r>
    </w:p>
    <w:p w:rsidR="00F70826" w:rsidRPr="00AB232B" w:rsidRDefault="00F70826" w:rsidP="00F70826">
      <w:pPr>
        <w:pStyle w:val="paragraph"/>
      </w:pPr>
      <w:r w:rsidRPr="00AB232B">
        <w:tab/>
        <w:t>(a)</w:t>
      </w:r>
      <w:r w:rsidRPr="00AB232B">
        <w:tab/>
        <w:t>the dealing is assessed</w:t>
      </w:r>
      <w:r w:rsidR="00A2593B" w:rsidRPr="00AB232B">
        <w:t>, under the</w:t>
      </w:r>
      <w:r w:rsidR="001E0DFC" w:rsidRPr="00AB232B">
        <w:t xml:space="preserve"> new Regulations</w:t>
      </w:r>
      <w:r w:rsidR="00A2593B" w:rsidRPr="00AB232B">
        <w:t xml:space="preserve">, </w:t>
      </w:r>
      <w:r w:rsidRPr="00AB232B">
        <w:t>as a notifiable low risk dealing by an Institutional Biosafety Committee; or</w:t>
      </w:r>
    </w:p>
    <w:p w:rsidR="00F70826" w:rsidRPr="00AB232B" w:rsidRDefault="00F70826" w:rsidP="00F70826">
      <w:pPr>
        <w:pStyle w:val="paragraph"/>
      </w:pPr>
      <w:r w:rsidRPr="00AB232B">
        <w:tab/>
        <w:t>(b)</w:t>
      </w:r>
      <w:r w:rsidRPr="00AB232B">
        <w:tab/>
        <w:t xml:space="preserve">the person is issued a </w:t>
      </w:r>
      <w:r w:rsidR="008C19D9" w:rsidRPr="00AB232B">
        <w:t xml:space="preserve">GMO </w:t>
      </w:r>
      <w:r w:rsidRPr="00AB232B">
        <w:t>licence for the dealing; or</w:t>
      </w:r>
    </w:p>
    <w:p w:rsidR="001E0DFC" w:rsidRPr="00AB232B" w:rsidRDefault="00F70826" w:rsidP="00F70826">
      <w:pPr>
        <w:pStyle w:val="paragraph"/>
      </w:pPr>
      <w:r w:rsidRPr="00AB232B">
        <w:tab/>
        <w:t>(c)</w:t>
      </w:r>
      <w:r w:rsidRPr="00AB232B">
        <w:tab/>
      </w:r>
      <w:r w:rsidR="001E0DFC" w:rsidRPr="00AB232B">
        <w:t xml:space="preserve">1 year after the amending day if neither of the events in </w:t>
      </w:r>
      <w:r w:rsidR="00AB232B" w:rsidRPr="00AB232B">
        <w:t>paragraphs (</w:t>
      </w:r>
      <w:r w:rsidR="001E0DFC" w:rsidRPr="00AB232B">
        <w:t>a) and (b) occurs before then.</w:t>
      </w:r>
    </w:p>
    <w:p w:rsidR="00A2593B" w:rsidRPr="00AB232B" w:rsidRDefault="00A2593B" w:rsidP="00A2593B">
      <w:pPr>
        <w:pStyle w:val="SubsectionHead"/>
      </w:pPr>
      <w:r w:rsidRPr="00AB232B">
        <w:t>Former notifiable low risk dealings</w:t>
      </w:r>
    </w:p>
    <w:p w:rsidR="00581E7B" w:rsidRPr="00AB232B" w:rsidRDefault="00581E7B" w:rsidP="00581E7B">
      <w:pPr>
        <w:pStyle w:val="subsection"/>
      </w:pPr>
      <w:r w:rsidRPr="00AB232B">
        <w:tab/>
        <w:t>(</w:t>
      </w:r>
      <w:r w:rsidR="00A2593B" w:rsidRPr="00AB232B">
        <w:t>3</w:t>
      </w:r>
      <w:r w:rsidRPr="00AB232B">
        <w:t>)</w:t>
      </w:r>
      <w:r w:rsidRPr="00AB232B">
        <w:tab/>
        <w:t>If:</w:t>
      </w:r>
    </w:p>
    <w:p w:rsidR="00581E7B" w:rsidRPr="00AB232B" w:rsidRDefault="00581E7B" w:rsidP="00581E7B">
      <w:pPr>
        <w:pStyle w:val="paragraph"/>
      </w:pPr>
      <w:r w:rsidRPr="00AB232B">
        <w:tab/>
        <w:t>(a)</w:t>
      </w:r>
      <w:r w:rsidRPr="00AB232B">
        <w:tab/>
        <w:t>a person was undertaking a dealing before the amending day; and</w:t>
      </w:r>
    </w:p>
    <w:p w:rsidR="00A2593B" w:rsidRPr="00AB232B" w:rsidRDefault="00581E7B" w:rsidP="00581E7B">
      <w:pPr>
        <w:pStyle w:val="paragraph"/>
      </w:pPr>
      <w:r w:rsidRPr="00AB232B">
        <w:tab/>
        <w:t>(b)</w:t>
      </w:r>
      <w:r w:rsidRPr="00AB232B">
        <w:tab/>
      </w:r>
      <w:r w:rsidR="00A2593B" w:rsidRPr="00AB232B">
        <w:t>the dealing was a notifiable low risk dealing under the</w:t>
      </w:r>
      <w:r w:rsidR="001E0DFC" w:rsidRPr="00AB232B">
        <w:t xml:space="preserve"> old Regulations</w:t>
      </w:r>
      <w:r w:rsidR="00A2593B" w:rsidRPr="00AB232B">
        <w:t>; and</w:t>
      </w:r>
    </w:p>
    <w:p w:rsidR="00A2593B" w:rsidRPr="00AB232B" w:rsidRDefault="00A2593B" w:rsidP="00581E7B">
      <w:pPr>
        <w:pStyle w:val="paragraph"/>
      </w:pPr>
      <w:r w:rsidRPr="00AB232B">
        <w:tab/>
        <w:t>(c)</w:t>
      </w:r>
      <w:r w:rsidRPr="00AB232B">
        <w:tab/>
        <w:t>the dealing:</w:t>
      </w:r>
    </w:p>
    <w:p w:rsidR="00A2593B" w:rsidRPr="00AB232B" w:rsidRDefault="00A2593B" w:rsidP="00A2593B">
      <w:pPr>
        <w:pStyle w:val="paragraphsub"/>
      </w:pPr>
      <w:r w:rsidRPr="00AB232B">
        <w:tab/>
        <w:t>(</w:t>
      </w:r>
      <w:proofErr w:type="spellStart"/>
      <w:r w:rsidRPr="00AB232B">
        <w:t>i</w:t>
      </w:r>
      <w:proofErr w:type="spellEnd"/>
      <w:r w:rsidRPr="00AB232B">
        <w:t>)</w:t>
      </w:r>
      <w:r w:rsidRPr="00AB232B">
        <w:tab/>
        <w:t>is not (apart from this provision) a notifiable low risk dealing under the</w:t>
      </w:r>
      <w:r w:rsidR="001E0DFC" w:rsidRPr="00AB232B">
        <w:t xml:space="preserve"> new Regulations</w:t>
      </w:r>
      <w:r w:rsidRPr="00AB232B">
        <w:t>; and</w:t>
      </w:r>
    </w:p>
    <w:p w:rsidR="00A2593B" w:rsidRPr="00AB232B" w:rsidRDefault="00A2593B" w:rsidP="00A2593B">
      <w:pPr>
        <w:pStyle w:val="paragraphsub"/>
      </w:pPr>
      <w:r w:rsidRPr="00AB232B">
        <w:tab/>
        <w:t>(ii)</w:t>
      </w:r>
      <w:r w:rsidRPr="00AB232B">
        <w:tab/>
        <w:t>is not an exempt dealing;</w:t>
      </w:r>
    </w:p>
    <w:p w:rsidR="00A2593B" w:rsidRPr="00AB232B" w:rsidRDefault="00A2593B" w:rsidP="00A2593B">
      <w:pPr>
        <w:pStyle w:val="subsection2"/>
      </w:pPr>
      <w:r w:rsidRPr="00AB232B">
        <w:t>then, despite the amendments, the dealing is a notifiable low risk dealing when undertaken by the person.</w:t>
      </w:r>
    </w:p>
    <w:p w:rsidR="00A2593B" w:rsidRPr="00AB232B" w:rsidRDefault="00A2593B" w:rsidP="00A2593B">
      <w:pPr>
        <w:pStyle w:val="subsection"/>
      </w:pPr>
      <w:r w:rsidRPr="00AB232B">
        <w:tab/>
        <w:t>(4)</w:t>
      </w:r>
      <w:r w:rsidRPr="00AB232B">
        <w:tab/>
      </w:r>
      <w:r w:rsidR="000F3616" w:rsidRPr="00AB232B">
        <w:t>Subregulation (3) applies until:</w:t>
      </w:r>
    </w:p>
    <w:p w:rsidR="000F3616" w:rsidRPr="00AB232B" w:rsidRDefault="000F3616" w:rsidP="000F3616">
      <w:pPr>
        <w:pStyle w:val="paragraph"/>
      </w:pPr>
      <w:r w:rsidRPr="00AB232B">
        <w:tab/>
        <w:t>(a)</w:t>
      </w:r>
      <w:r w:rsidRPr="00AB232B">
        <w:tab/>
        <w:t>the person is issued a</w:t>
      </w:r>
      <w:r w:rsidR="008C19D9" w:rsidRPr="00AB232B">
        <w:t xml:space="preserve"> GMO</w:t>
      </w:r>
      <w:r w:rsidRPr="00AB232B">
        <w:t xml:space="preserve"> licence for the dealing; or</w:t>
      </w:r>
    </w:p>
    <w:p w:rsidR="00A2593B" w:rsidRPr="00AB232B" w:rsidRDefault="000F3616" w:rsidP="000F3616">
      <w:pPr>
        <w:pStyle w:val="paragraph"/>
      </w:pPr>
      <w:r w:rsidRPr="00AB232B">
        <w:tab/>
        <w:t>(b)</w:t>
      </w:r>
      <w:r w:rsidRPr="00AB232B">
        <w:tab/>
        <w:t>1 year after the amending day</w:t>
      </w:r>
      <w:r w:rsidR="001E0DFC" w:rsidRPr="00AB232B">
        <w:t xml:space="preserve"> if the person is not issued a </w:t>
      </w:r>
      <w:r w:rsidR="008C19D9" w:rsidRPr="00AB232B">
        <w:t xml:space="preserve">GMO </w:t>
      </w:r>
      <w:r w:rsidR="001E0DFC" w:rsidRPr="00AB232B">
        <w:t>licence before then</w:t>
      </w:r>
      <w:r w:rsidRPr="00AB232B">
        <w:t>.</w:t>
      </w:r>
    </w:p>
    <w:p w:rsidR="000F3616" w:rsidRPr="00AB232B" w:rsidRDefault="000F3616" w:rsidP="000F3616">
      <w:pPr>
        <w:pStyle w:val="SubsectionHead"/>
      </w:pPr>
      <w:r w:rsidRPr="00AB232B">
        <w:t>Changed requirements for notifiable low risk dealings</w:t>
      </w:r>
    </w:p>
    <w:p w:rsidR="000F3616" w:rsidRPr="00AB232B" w:rsidRDefault="000F3616" w:rsidP="000F3616">
      <w:pPr>
        <w:pStyle w:val="subsection"/>
      </w:pPr>
      <w:r w:rsidRPr="00AB232B">
        <w:tab/>
        <w:t>(5)</w:t>
      </w:r>
      <w:r w:rsidRPr="00AB232B">
        <w:tab/>
        <w:t>If a person was undertaking a notifiable low risk dealing before the amending day, the dealing is, for the purposes of section</w:t>
      </w:r>
      <w:r w:rsidR="00AB232B" w:rsidRPr="00AB232B">
        <w:t> </w:t>
      </w:r>
      <w:r w:rsidRPr="00AB232B">
        <w:t>37 of the Act, undertaken in accordance with the regulations if:</w:t>
      </w:r>
    </w:p>
    <w:p w:rsidR="000F3616" w:rsidRPr="00AB232B" w:rsidRDefault="000F3616" w:rsidP="000F3616">
      <w:pPr>
        <w:pStyle w:val="paragraph"/>
      </w:pPr>
      <w:r w:rsidRPr="00AB232B">
        <w:tab/>
        <w:t>(a)</w:t>
      </w:r>
      <w:r w:rsidRPr="00AB232B">
        <w:tab/>
        <w:t xml:space="preserve">it is undertaken in accordance with </w:t>
      </w:r>
      <w:r w:rsidR="001E0DFC" w:rsidRPr="00AB232B">
        <w:t>the old Regulations</w:t>
      </w:r>
      <w:r w:rsidRPr="00AB232B">
        <w:t>; or</w:t>
      </w:r>
    </w:p>
    <w:p w:rsidR="000F3616" w:rsidRPr="00AB232B" w:rsidRDefault="000F3616" w:rsidP="000F3616">
      <w:pPr>
        <w:pStyle w:val="paragraph"/>
      </w:pPr>
      <w:r w:rsidRPr="00AB232B">
        <w:tab/>
        <w:t>(b)</w:t>
      </w:r>
      <w:r w:rsidRPr="00AB232B">
        <w:tab/>
        <w:t xml:space="preserve">it is undertaken in accordance with </w:t>
      </w:r>
      <w:r w:rsidR="001E0DFC" w:rsidRPr="00AB232B">
        <w:t>the new Regulations</w:t>
      </w:r>
      <w:r w:rsidRPr="00AB232B">
        <w:t>.</w:t>
      </w:r>
    </w:p>
    <w:p w:rsidR="00A2593B" w:rsidRPr="00AB232B" w:rsidRDefault="000F3616" w:rsidP="00B23A14">
      <w:pPr>
        <w:pStyle w:val="subsection"/>
      </w:pPr>
      <w:r w:rsidRPr="00AB232B">
        <w:tab/>
        <w:t>(6)</w:t>
      </w:r>
      <w:r w:rsidRPr="00AB232B">
        <w:tab/>
        <w:t>Subregulation (5) ceases to be in force 1 year after the amending day.</w:t>
      </w:r>
    </w:p>
    <w:p w:rsidR="001E0DFC" w:rsidRPr="00AB232B" w:rsidRDefault="001E0DFC" w:rsidP="001E0DFC">
      <w:pPr>
        <w:pStyle w:val="SubsectionHead"/>
      </w:pPr>
      <w:r w:rsidRPr="00AB232B">
        <w:t>Definitions</w:t>
      </w:r>
    </w:p>
    <w:p w:rsidR="001E0DFC" w:rsidRPr="00AB232B" w:rsidRDefault="001E0DFC" w:rsidP="001E0DFC">
      <w:pPr>
        <w:pStyle w:val="subsection"/>
      </w:pPr>
      <w:r w:rsidRPr="00AB232B">
        <w:tab/>
        <w:t>(7)</w:t>
      </w:r>
      <w:r w:rsidRPr="00AB232B">
        <w:tab/>
        <w:t>In this regulation:</w:t>
      </w:r>
    </w:p>
    <w:p w:rsidR="001E0DFC" w:rsidRPr="00AB232B" w:rsidRDefault="001E0DFC" w:rsidP="001E0DFC">
      <w:pPr>
        <w:pStyle w:val="Definition"/>
      </w:pPr>
      <w:r w:rsidRPr="00AB232B">
        <w:rPr>
          <w:b/>
          <w:i/>
        </w:rPr>
        <w:t>amending day</w:t>
      </w:r>
      <w:r w:rsidRPr="00AB232B">
        <w:t xml:space="preserve"> means the day that Schedule</w:t>
      </w:r>
      <w:r w:rsidR="00AB232B" w:rsidRPr="00AB232B">
        <w:t> </w:t>
      </w:r>
      <w:r w:rsidRPr="00AB232B">
        <w:t>1 to the amending Regulations commences.</w:t>
      </w:r>
    </w:p>
    <w:p w:rsidR="001E0DFC" w:rsidRPr="00AB232B" w:rsidRDefault="001E0DFC" w:rsidP="001E0DFC">
      <w:pPr>
        <w:pStyle w:val="Definition"/>
      </w:pPr>
      <w:r w:rsidRPr="00AB232B">
        <w:rPr>
          <w:b/>
          <w:i/>
        </w:rPr>
        <w:t>amending Regulations</w:t>
      </w:r>
      <w:r w:rsidRPr="00AB232B">
        <w:t xml:space="preserve"> means the </w:t>
      </w:r>
      <w:r w:rsidRPr="00AB232B">
        <w:rPr>
          <w:i/>
        </w:rPr>
        <w:t>Gene Technology Amendment (201</w:t>
      </w:r>
      <w:r w:rsidR="008B1287" w:rsidRPr="00AB232B">
        <w:rPr>
          <w:i/>
        </w:rPr>
        <w:t>9</w:t>
      </w:r>
      <w:r w:rsidRPr="00AB232B">
        <w:rPr>
          <w:i/>
        </w:rPr>
        <w:t xml:space="preserve"> Measures No.</w:t>
      </w:r>
      <w:r w:rsidR="00AB232B" w:rsidRPr="00AB232B">
        <w:rPr>
          <w:i/>
        </w:rPr>
        <w:t> </w:t>
      </w:r>
      <w:r w:rsidRPr="00AB232B">
        <w:rPr>
          <w:i/>
        </w:rPr>
        <w:t>1) Regulations</w:t>
      </w:r>
      <w:r w:rsidR="00AB232B" w:rsidRPr="00AB232B">
        <w:rPr>
          <w:i/>
        </w:rPr>
        <w:t> </w:t>
      </w:r>
      <w:r w:rsidRPr="00AB232B">
        <w:rPr>
          <w:i/>
        </w:rPr>
        <w:t>201</w:t>
      </w:r>
      <w:r w:rsidR="008B1287" w:rsidRPr="00AB232B">
        <w:rPr>
          <w:i/>
        </w:rPr>
        <w:t>9</w:t>
      </w:r>
      <w:r w:rsidRPr="00AB232B">
        <w:t>.</w:t>
      </w:r>
    </w:p>
    <w:p w:rsidR="001E0DFC" w:rsidRPr="00AB232B" w:rsidRDefault="001E0DFC" w:rsidP="001E0DFC">
      <w:pPr>
        <w:pStyle w:val="Definition"/>
      </w:pPr>
      <w:r w:rsidRPr="00AB232B">
        <w:rPr>
          <w:b/>
          <w:i/>
        </w:rPr>
        <w:t>new Regulations</w:t>
      </w:r>
      <w:r w:rsidRPr="00AB232B">
        <w:t xml:space="preserve"> means these Regulations as amended by the amending Regulations.</w:t>
      </w:r>
    </w:p>
    <w:p w:rsidR="001E0DFC" w:rsidRPr="00AB232B" w:rsidRDefault="001E0DFC" w:rsidP="001E0DFC">
      <w:pPr>
        <w:pStyle w:val="Definition"/>
      </w:pPr>
      <w:r w:rsidRPr="00AB232B">
        <w:rPr>
          <w:b/>
          <w:i/>
        </w:rPr>
        <w:t>old Regulations</w:t>
      </w:r>
      <w:r w:rsidRPr="00AB232B">
        <w:t xml:space="preserve"> means these Regulations as in force immediately before the amending day.</w:t>
      </w:r>
    </w:p>
    <w:p w:rsidR="00CB0A35" w:rsidRPr="00AB232B" w:rsidRDefault="008F145C" w:rsidP="006B6661">
      <w:pPr>
        <w:pStyle w:val="ItemHead"/>
      </w:pPr>
      <w:r w:rsidRPr="00AB232B">
        <w:t>24</w:t>
      </w:r>
      <w:r w:rsidR="00CB0A35" w:rsidRPr="00AB232B">
        <w:t xml:space="preserve">  Schedule</w:t>
      </w:r>
      <w:r w:rsidR="00AB232B" w:rsidRPr="00AB232B">
        <w:t> </w:t>
      </w:r>
      <w:r w:rsidR="00CB0A35" w:rsidRPr="00AB232B">
        <w:t>1A (at the end of the table)</w:t>
      </w:r>
    </w:p>
    <w:p w:rsidR="00CB0A35" w:rsidRPr="00AB232B" w:rsidRDefault="00CB0A35" w:rsidP="00CB0A35">
      <w:pPr>
        <w:pStyle w:val="Item"/>
      </w:pPr>
      <w:r w:rsidRPr="00AB232B">
        <w:t>Add: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5"/>
        <w:gridCol w:w="7574"/>
      </w:tblGrid>
      <w:tr w:rsidR="00CB0A35" w:rsidRPr="00AB232B" w:rsidTr="009760EB">
        <w:tc>
          <w:tcPr>
            <w:tcW w:w="560" w:type="pct"/>
            <w:shd w:val="clear" w:color="auto" w:fill="auto"/>
          </w:tcPr>
          <w:p w:rsidR="00CB0A35" w:rsidRPr="00AB232B" w:rsidRDefault="00CB0A35" w:rsidP="009760EB">
            <w:pPr>
              <w:pStyle w:val="Tabletext"/>
            </w:pPr>
            <w:r w:rsidRPr="00AB232B">
              <w:t>11</w:t>
            </w:r>
          </w:p>
        </w:tc>
        <w:tc>
          <w:tcPr>
            <w:tcW w:w="4440" w:type="pct"/>
            <w:shd w:val="clear" w:color="auto" w:fill="auto"/>
          </w:tcPr>
          <w:p w:rsidR="00CB0A35" w:rsidRPr="00AB232B" w:rsidRDefault="00CB0A35" w:rsidP="009760EB">
            <w:pPr>
              <w:pStyle w:val="Tabletext"/>
            </w:pPr>
            <w:r w:rsidRPr="00AB232B">
              <w:t>Introduction of RNA into an organism, if:</w:t>
            </w:r>
          </w:p>
          <w:p w:rsidR="00CB0A35" w:rsidRPr="00AB232B" w:rsidRDefault="00CB0A35" w:rsidP="00CB0A35">
            <w:pPr>
              <w:pStyle w:val="Tablea"/>
            </w:pPr>
            <w:r w:rsidRPr="00AB232B">
              <w:t>(a) the RNA cannot be translated into a polype</w:t>
            </w:r>
            <w:r w:rsidR="004D3752" w:rsidRPr="00AB232B">
              <w:t>p</w:t>
            </w:r>
            <w:r w:rsidRPr="00AB232B">
              <w:t>tide; and</w:t>
            </w:r>
          </w:p>
          <w:p w:rsidR="00CB0A35" w:rsidRPr="00AB232B" w:rsidRDefault="00CB0A35" w:rsidP="00CB0A35">
            <w:pPr>
              <w:pStyle w:val="Tablea"/>
            </w:pPr>
            <w:r w:rsidRPr="00AB232B">
              <w:t>(b) the introduction of the RNA cannot result in an alteration of the organism’s genome sequence; and</w:t>
            </w:r>
          </w:p>
          <w:p w:rsidR="00CB0A35" w:rsidRPr="00AB232B" w:rsidRDefault="00CB0A35" w:rsidP="004D3752">
            <w:pPr>
              <w:pStyle w:val="Tablea"/>
            </w:pPr>
            <w:r w:rsidRPr="00AB232B">
              <w:t xml:space="preserve">(c) the introduction </w:t>
            </w:r>
            <w:r w:rsidR="004D3752" w:rsidRPr="00AB232B">
              <w:t>of the RNA cannot give rise to an</w:t>
            </w:r>
            <w:r w:rsidRPr="00AB232B">
              <w:t xml:space="preserve"> infectious agent.</w:t>
            </w:r>
          </w:p>
        </w:tc>
      </w:tr>
    </w:tbl>
    <w:p w:rsidR="007E6F3C" w:rsidRPr="00AB232B" w:rsidRDefault="008F145C" w:rsidP="006B6661">
      <w:pPr>
        <w:pStyle w:val="ItemHead"/>
      </w:pPr>
      <w:r w:rsidRPr="00AB232B">
        <w:t>25</w:t>
      </w:r>
      <w:r w:rsidR="007E6F3C" w:rsidRPr="00AB232B">
        <w:t xml:space="preserve">  After Schedule</w:t>
      </w:r>
      <w:r w:rsidR="00AB232B" w:rsidRPr="00AB232B">
        <w:t> </w:t>
      </w:r>
      <w:r w:rsidR="007E6F3C" w:rsidRPr="00AB232B">
        <w:t>1A</w:t>
      </w:r>
    </w:p>
    <w:p w:rsidR="007E6F3C" w:rsidRPr="00AB232B" w:rsidRDefault="007E6F3C" w:rsidP="007E6F3C">
      <w:pPr>
        <w:pStyle w:val="Item"/>
      </w:pPr>
      <w:r w:rsidRPr="00AB232B">
        <w:t>Insert:</w:t>
      </w:r>
    </w:p>
    <w:p w:rsidR="007E6F3C" w:rsidRPr="00AB232B" w:rsidRDefault="007E6F3C" w:rsidP="007E6F3C">
      <w:pPr>
        <w:pStyle w:val="ActHead1"/>
      </w:pPr>
      <w:bookmarkStart w:id="13" w:name="_Toc2843367"/>
      <w:r w:rsidRPr="00AB232B">
        <w:rPr>
          <w:rStyle w:val="CharChapNo"/>
        </w:rPr>
        <w:t>Schedule</w:t>
      </w:r>
      <w:r w:rsidR="00AB232B" w:rsidRPr="00AB232B">
        <w:rPr>
          <w:rStyle w:val="CharChapNo"/>
        </w:rPr>
        <w:t> </w:t>
      </w:r>
      <w:r w:rsidRPr="00AB232B">
        <w:rPr>
          <w:rStyle w:val="CharChapNo"/>
        </w:rPr>
        <w:t>1B</w:t>
      </w:r>
      <w:r w:rsidRPr="00AB232B">
        <w:t>—</w:t>
      </w:r>
      <w:r w:rsidRPr="00AB232B">
        <w:rPr>
          <w:rStyle w:val="CharChapText"/>
        </w:rPr>
        <w:t>Organisms that are genetically modified organisms</w:t>
      </w:r>
      <w:bookmarkEnd w:id="13"/>
    </w:p>
    <w:p w:rsidR="007E6F3C" w:rsidRPr="00AB232B" w:rsidRDefault="007E6F3C" w:rsidP="007E6F3C">
      <w:pPr>
        <w:pStyle w:val="notemargin"/>
      </w:pPr>
      <w:bookmarkStart w:id="14" w:name="f_Check_Lines_above"/>
      <w:bookmarkEnd w:id="14"/>
      <w:r w:rsidRPr="00AB232B">
        <w:t>Note:</w:t>
      </w:r>
      <w:r w:rsidRPr="00AB232B">
        <w:tab/>
        <w:t>See regulation</w:t>
      </w:r>
      <w:r w:rsidR="00AB232B" w:rsidRPr="00AB232B">
        <w:t> </w:t>
      </w:r>
      <w:r w:rsidRPr="00AB232B">
        <w:t>4A.</w:t>
      </w:r>
    </w:p>
    <w:p w:rsidR="009233ED" w:rsidRPr="00AB232B" w:rsidRDefault="009233ED" w:rsidP="009233ED">
      <w:pPr>
        <w:pStyle w:val="Header"/>
      </w:pPr>
      <w:bookmarkStart w:id="15" w:name="f_Check_Lines_below"/>
      <w:bookmarkEnd w:id="15"/>
      <w:r w:rsidRPr="00AB232B">
        <w:rPr>
          <w:rStyle w:val="CharPartNo"/>
        </w:rPr>
        <w:t xml:space="preserve"> </w:t>
      </w:r>
      <w:r w:rsidRPr="00AB232B">
        <w:rPr>
          <w:rStyle w:val="CharPartText"/>
        </w:rPr>
        <w:t xml:space="preserve"> </w:t>
      </w:r>
    </w:p>
    <w:p w:rsidR="009233ED" w:rsidRPr="00AB232B" w:rsidRDefault="009233ED" w:rsidP="009233ED">
      <w:pPr>
        <w:pStyle w:val="Header"/>
      </w:pPr>
      <w:r w:rsidRPr="00AB232B">
        <w:rPr>
          <w:rStyle w:val="CharDivNo"/>
        </w:rPr>
        <w:t xml:space="preserve"> </w:t>
      </w:r>
      <w:r w:rsidRPr="00AB232B">
        <w:rPr>
          <w:rStyle w:val="CharDivText"/>
        </w:rPr>
        <w:t xml:space="preserve"> </w:t>
      </w:r>
    </w:p>
    <w:p w:rsidR="007E6F3C" w:rsidRPr="00AB232B" w:rsidRDefault="007C7C7E" w:rsidP="007E6F3C">
      <w:pPr>
        <w:pStyle w:val="ActHead5"/>
      </w:pPr>
      <w:bookmarkStart w:id="16" w:name="_Toc2843368"/>
      <w:r w:rsidRPr="00AB232B">
        <w:rPr>
          <w:rStyle w:val="CharSectno"/>
        </w:rPr>
        <w:t>1.</w:t>
      </w:r>
      <w:r w:rsidR="007E6F3C" w:rsidRPr="00AB232B">
        <w:rPr>
          <w:rStyle w:val="CharSectno"/>
        </w:rPr>
        <w:t>1</w:t>
      </w:r>
      <w:r w:rsidR="007E6F3C" w:rsidRPr="00AB232B">
        <w:t xml:space="preserve">  Genetically modified organisms</w:t>
      </w:r>
      <w:bookmarkEnd w:id="16"/>
    </w:p>
    <w:p w:rsidR="00BB73E3" w:rsidRPr="00AB232B" w:rsidRDefault="007E6F3C" w:rsidP="007E6F3C">
      <w:pPr>
        <w:pStyle w:val="subsection"/>
      </w:pPr>
      <w:r w:rsidRPr="00AB232B">
        <w:tab/>
      </w:r>
      <w:r w:rsidRPr="00AB232B">
        <w:tab/>
        <w:t xml:space="preserve">For the purposes of </w:t>
      </w:r>
      <w:r w:rsidR="002F0F99" w:rsidRPr="00AB232B">
        <w:t>regulation</w:t>
      </w:r>
      <w:r w:rsidR="00AB232B" w:rsidRPr="00AB232B">
        <w:t> </w:t>
      </w:r>
      <w:r w:rsidR="002F0F99" w:rsidRPr="00AB232B">
        <w:t>4A</w:t>
      </w:r>
      <w:r w:rsidRPr="00AB232B">
        <w:t xml:space="preserve">, </w:t>
      </w:r>
      <w:r w:rsidR="00BB73E3" w:rsidRPr="00AB232B">
        <w:t>an organism is a genetically modified organism if an item in the following table applies to the organism.</w:t>
      </w:r>
    </w:p>
    <w:p w:rsidR="007E6F3C" w:rsidRPr="00AB232B" w:rsidRDefault="007E6F3C" w:rsidP="005861CB">
      <w:pPr>
        <w:pStyle w:val="Tabletext"/>
      </w:pPr>
    </w:p>
    <w:tbl>
      <w:tblPr>
        <w:tblW w:w="0" w:type="auto"/>
        <w:tblInd w:w="-1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7797"/>
      </w:tblGrid>
      <w:tr w:rsidR="005861CB" w:rsidRPr="00AB232B" w:rsidTr="00F73959">
        <w:trPr>
          <w:tblHeader/>
        </w:trPr>
        <w:tc>
          <w:tcPr>
            <w:tcW w:w="853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861CB" w:rsidRPr="00AB232B" w:rsidRDefault="005861CB" w:rsidP="00FD620E">
            <w:pPr>
              <w:pStyle w:val="TableHeading"/>
            </w:pPr>
            <w:r w:rsidRPr="00AB232B">
              <w:t>Organisms</w:t>
            </w:r>
            <w:r w:rsidR="00FD620E" w:rsidRPr="00AB232B">
              <w:t xml:space="preserve"> that are</w:t>
            </w:r>
            <w:r w:rsidRPr="00AB232B">
              <w:t xml:space="preserve"> genetically modified organisms</w:t>
            </w:r>
          </w:p>
        </w:tc>
      </w:tr>
      <w:tr w:rsidR="005861CB" w:rsidRPr="00AB232B" w:rsidTr="00F73959">
        <w:trPr>
          <w:tblHeader/>
        </w:trPr>
        <w:tc>
          <w:tcPr>
            <w:tcW w:w="7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861CB" w:rsidRPr="00AB232B" w:rsidRDefault="005861CB" w:rsidP="005861CB">
            <w:pPr>
              <w:pStyle w:val="TableHeading"/>
            </w:pPr>
            <w:r w:rsidRPr="00AB232B">
              <w:t>Item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861CB" w:rsidRPr="00AB232B" w:rsidRDefault="005861CB" w:rsidP="005861CB">
            <w:pPr>
              <w:pStyle w:val="TableHeading"/>
            </w:pPr>
            <w:r w:rsidRPr="00AB232B">
              <w:t>Description of organism</w:t>
            </w:r>
          </w:p>
        </w:tc>
      </w:tr>
      <w:tr w:rsidR="005861CB" w:rsidRPr="00AB232B" w:rsidTr="00F73959">
        <w:tc>
          <w:tcPr>
            <w:tcW w:w="74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861CB" w:rsidRPr="00AB232B" w:rsidRDefault="005861CB" w:rsidP="005861CB">
            <w:pPr>
              <w:pStyle w:val="Tabletext"/>
            </w:pPr>
            <w:r w:rsidRPr="00AB232B">
              <w:t>1</w:t>
            </w:r>
          </w:p>
        </w:tc>
        <w:tc>
          <w:tcPr>
            <w:tcW w:w="779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861CB" w:rsidRPr="00AB232B" w:rsidRDefault="0047582D" w:rsidP="005861CB">
            <w:pPr>
              <w:pStyle w:val="Tabletext"/>
            </w:pPr>
            <w:r w:rsidRPr="00AB232B">
              <w:t xml:space="preserve">An organism </w:t>
            </w:r>
            <w:r w:rsidR="00C7799D" w:rsidRPr="00AB232B">
              <w:t xml:space="preserve">that has had its genome </w:t>
            </w:r>
            <w:r w:rsidRPr="00AB232B">
              <w:t>modified by oligonucleotide</w:t>
            </w:r>
            <w:r w:rsidR="00AB232B">
              <w:noBreakHyphen/>
            </w:r>
            <w:r w:rsidRPr="00AB232B">
              <w:t>directed mutagenesis</w:t>
            </w:r>
          </w:p>
        </w:tc>
      </w:tr>
      <w:tr w:rsidR="005861CB" w:rsidRPr="00AB232B" w:rsidTr="00F73959">
        <w:tc>
          <w:tcPr>
            <w:tcW w:w="7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861CB" w:rsidRPr="00AB232B" w:rsidRDefault="005861CB" w:rsidP="005861CB">
            <w:pPr>
              <w:pStyle w:val="Tabletext"/>
            </w:pPr>
            <w:r w:rsidRPr="00AB232B">
              <w:t>2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861CB" w:rsidRPr="00AB232B" w:rsidRDefault="0047582D" w:rsidP="00C7799D">
            <w:pPr>
              <w:pStyle w:val="Tabletext"/>
            </w:pPr>
            <w:r w:rsidRPr="00AB232B">
              <w:t>An organism modified by repair of single</w:t>
            </w:r>
            <w:r w:rsidR="00AB232B">
              <w:noBreakHyphen/>
            </w:r>
            <w:r w:rsidR="005928AD" w:rsidRPr="00AB232B">
              <w:t>strand</w:t>
            </w:r>
            <w:r w:rsidRPr="00AB232B">
              <w:t xml:space="preserve"> or double</w:t>
            </w:r>
            <w:r w:rsidR="00AB232B">
              <w:noBreakHyphen/>
            </w:r>
            <w:r w:rsidRPr="00AB232B">
              <w:t>strand breaks of genomic DNA induced by a site</w:t>
            </w:r>
            <w:r w:rsidR="00AB232B">
              <w:noBreakHyphen/>
            </w:r>
            <w:r w:rsidRPr="00AB232B">
              <w:t xml:space="preserve">directed nuclease, if a nucleic acid template </w:t>
            </w:r>
            <w:r w:rsidR="00C7799D" w:rsidRPr="00AB232B">
              <w:t>was added</w:t>
            </w:r>
            <w:r w:rsidRPr="00AB232B">
              <w:t xml:space="preserve"> to guide homology</w:t>
            </w:r>
            <w:r w:rsidR="00AB232B">
              <w:noBreakHyphen/>
            </w:r>
            <w:r w:rsidRPr="00AB232B">
              <w:t>directed repair</w:t>
            </w:r>
          </w:p>
        </w:tc>
      </w:tr>
    </w:tbl>
    <w:p w:rsidR="00693FD7" w:rsidRPr="00AB232B" w:rsidRDefault="008F145C" w:rsidP="006B6661">
      <w:pPr>
        <w:pStyle w:val="ItemHead"/>
      </w:pPr>
      <w:r w:rsidRPr="00AB232B">
        <w:t>26</w:t>
      </w:r>
      <w:r w:rsidR="00693FD7" w:rsidRPr="00AB232B">
        <w:t xml:space="preserve">  Schedule</w:t>
      </w:r>
      <w:r w:rsidR="00AB232B" w:rsidRPr="00AB232B">
        <w:t> </w:t>
      </w:r>
      <w:r w:rsidR="00693FD7" w:rsidRPr="00AB232B">
        <w:t>1 (after table item</w:t>
      </w:r>
      <w:r w:rsidR="00AB232B" w:rsidRPr="00AB232B">
        <w:t> </w:t>
      </w:r>
      <w:r w:rsidR="00693FD7" w:rsidRPr="00AB232B">
        <w:t>3)</w:t>
      </w:r>
    </w:p>
    <w:p w:rsidR="00693FD7" w:rsidRPr="00AB232B" w:rsidRDefault="00693FD7" w:rsidP="00693FD7">
      <w:pPr>
        <w:pStyle w:val="Item"/>
      </w:pPr>
      <w:r w:rsidRPr="00AB232B">
        <w:t>Insert: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5"/>
        <w:gridCol w:w="7574"/>
      </w:tblGrid>
      <w:tr w:rsidR="00693FD7" w:rsidRPr="00AB232B" w:rsidTr="00693FD7">
        <w:tc>
          <w:tcPr>
            <w:tcW w:w="560" w:type="pct"/>
            <w:shd w:val="clear" w:color="auto" w:fill="auto"/>
          </w:tcPr>
          <w:p w:rsidR="00693FD7" w:rsidRPr="00AB232B" w:rsidRDefault="00693FD7" w:rsidP="009760EB">
            <w:pPr>
              <w:pStyle w:val="Tabletext"/>
            </w:pPr>
            <w:r w:rsidRPr="00AB232B">
              <w:t>4</w:t>
            </w:r>
          </w:p>
        </w:tc>
        <w:tc>
          <w:tcPr>
            <w:tcW w:w="4440" w:type="pct"/>
            <w:shd w:val="clear" w:color="auto" w:fill="auto"/>
          </w:tcPr>
          <w:p w:rsidR="00693FD7" w:rsidRPr="00AB232B" w:rsidRDefault="00693FD7" w:rsidP="00C75549">
            <w:pPr>
              <w:pStyle w:val="Tabletext"/>
            </w:pPr>
            <w:r w:rsidRPr="00AB232B">
              <w:t>An organism modified by repair of single</w:t>
            </w:r>
            <w:r w:rsidR="00AB232B">
              <w:noBreakHyphen/>
            </w:r>
            <w:r w:rsidR="002F0F99" w:rsidRPr="00AB232B">
              <w:t>strand</w:t>
            </w:r>
            <w:r w:rsidRPr="00AB232B">
              <w:t xml:space="preserve"> or double</w:t>
            </w:r>
            <w:r w:rsidR="00AB232B">
              <w:noBreakHyphen/>
            </w:r>
            <w:r w:rsidR="0047582D" w:rsidRPr="00AB232B">
              <w:t xml:space="preserve">strand </w:t>
            </w:r>
            <w:r w:rsidRPr="00AB232B">
              <w:t>breaks of genomic DNA induced by a site</w:t>
            </w:r>
            <w:r w:rsidR="00AB232B">
              <w:noBreakHyphen/>
            </w:r>
            <w:r w:rsidRPr="00AB232B">
              <w:t xml:space="preserve">directed nuclease, </w:t>
            </w:r>
            <w:r w:rsidR="00892C10" w:rsidRPr="00AB232B">
              <w:t>if</w:t>
            </w:r>
            <w:r w:rsidR="00C7799D" w:rsidRPr="00AB232B">
              <w:t xml:space="preserve"> </w:t>
            </w:r>
            <w:r w:rsidRPr="00AB232B">
              <w:t>a nucleic acid template</w:t>
            </w:r>
            <w:r w:rsidR="00C7799D" w:rsidRPr="00AB232B">
              <w:t xml:space="preserve"> </w:t>
            </w:r>
            <w:r w:rsidR="00892C10" w:rsidRPr="00AB232B">
              <w:t xml:space="preserve">was not added </w:t>
            </w:r>
            <w:r w:rsidRPr="00AB232B">
              <w:t xml:space="preserve">to </w:t>
            </w:r>
            <w:r w:rsidR="00892C10" w:rsidRPr="00AB232B">
              <w:t>guide homology</w:t>
            </w:r>
            <w:r w:rsidR="00AB232B">
              <w:noBreakHyphen/>
            </w:r>
            <w:r w:rsidR="00892C10" w:rsidRPr="00AB232B">
              <w:t>directed repair.</w:t>
            </w:r>
          </w:p>
        </w:tc>
      </w:tr>
    </w:tbl>
    <w:p w:rsidR="009D6119" w:rsidRPr="00AB232B" w:rsidRDefault="008F145C" w:rsidP="006B6661">
      <w:pPr>
        <w:pStyle w:val="ItemHead"/>
      </w:pPr>
      <w:r w:rsidRPr="00AB232B">
        <w:t>27</w:t>
      </w:r>
      <w:r w:rsidR="009D6119" w:rsidRPr="00AB232B">
        <w:t xml:space="preserve">  Schedule</w:t>
      </w:r>
      <w:r w:rsidR="00AB232B" w:rsidRPr="00AB232B">
        <w:t> </w:t>
      </w:r>
      <w:r w:rsidR="009D6119" w:rsidRPr="00AB232B">
        <w:t>1 (at the end of the table)</w:t>
      </w:r>
    </w:p>
    <w:p w:rsidR="009D6119" w:rsidRPr="00AB232B" w:rsidRDefault="009D6119" w:rsidP="009D6119">
      <w:pPr>
        <w:pStyle w:val="Item"/>
      </w:pPr>
      <w:r w:rsidRPr="00AB232B">
        <w:t>Add: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955"/>
        <w:gridCol w:w="7574"/>
      </w:tblGrid>
      <w:tr w:rsidR="009D6119" w:rsidRPr="00AB232B" w:rsidTr="00E0690B">
        <w:tc>
          <w:tcPr>
            <w:tcW w:w="560" w:type="pct"/>
            <w:tcBorders>
              <w:top w:val="nil"/>
            </w:tcBorders>
            <w:shd w:val="clear" w:color="auto" w:fill="auto"/>
          </w:tcPr>
          <w:p w:rsidR="009D6119" w:rsidRPr="00AB232B" w:rsidRDefault="009D6119" w:rsidP="009760EB">
            <w:pPr>
              <w:pStyle w:val="Tabletext"/>
            </w:pPr>
            <w:r w:rsidRPr="00AB232B">
              <w:t>8</w:t>
            </w:r>
          </w:p>
        </w:tc>
        <w:tc>
          <w:tcPr>
            <w:tcW w:w="4440" w:type="pct"/>
            <w:tcBorders>
              <w:top w:val="nil"/>
            </w:tcBorders>
            <w:shd w:val="clear" w:color="auto" w:fill="auto"/>
          </w:tcPr>
          <w:p w:rsidR="009D6119" w:rsidRPr="00AB232B" w:rsidRDefault="009D6119" w:rsidP="00A45F7C">
            <w:pPr>
              <w:pStyle w:val="Tabletext"/>
            </w:pPr>
            <w:r w:rsidRPr="00AB232B">
              <w:t xml:space="preserve">An organism that is descended from </w:t>
            </w:r>
            <w:r w:rsidR="00C7799D" w:rsidRPr="00AB232B">
              <w:t xml:space="preserve">a genetically modified organism </w:t>
            </w:r>
            <w:r w:rsidRPr="00AB232B">
              <w:t xml:space="preserve">(the </w:t>
            </w:r>
            <w:r w:rsidRPr="00AB232B">
              <w:rPr>
                <w:b/>
                <w:i/>
              </w:rPr>
              <w:t>initial organism</w:t>
            </w:r>
            <w:r w:rsidRPr="00AB232B">
              <w:t xml:space="preserve">), </w:t>
            </w:r>
            <w:r w:rsidR="00A45F7C" w:rsidRPr="00AB232B">
              <w:t>if</w:t>
            </w:r>
            <w:r w:rsidRPr="00AB232B">
              <w:t xml:space="preserve"> </w:t>
            </w:r>
            <w:r w:rsidR="00B55604" w:rsidRPr="00AB232B">
              <w:t>none of the traits it has inherited from the initial organism are traits that</w:t>
            </w:r>
            <w:r w:rsidRPr="00AB232B">
              <w:t xml:space="preserve"> occurred in the initial organism because of gene technology.</w:t>
            </w:r>
          </w:p>
        </w:tc>
      </w:tr>
      <w:tr w:rsidR="00717BD6" w:rsidRPr="00AB232B" w:rsidTr="00E0690B">
        <w:tc>
          <w:tcPr>
            <w:tcW w:w="560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17BD6" w:rsidRPr="00AB232B" w:rsidRDefault="00717BD6" w:rsidP="009760EB">
            <w:pPr>
              <w:pStyle w:val="Tabletext"/>
            </w:pPr>
            <w:r w:rsidRPr="00AB232B">
              <w:t>9</w:t>
            </w:r>
          </w:p>
        </w:tc>
        <w:tc>
          <w:tcPr>
            <w:tcW w:w="4440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1C43D1" w:rsidRPr="00AB232B" w:rsidRDefault="00717BD6" w:rsidP="00717BD6">
            <w:pPr>
              <w:pStyle w:val="Tabletext"/>
            </w:pPr>
            <w:r w:rsidRPr="00AB232B">
              <w:t xml:space="preserve">An organism that has inherited particular traits from an organism (the </w:t>
            </w:r>
            <w:r w:rsidRPr="00AB232B">
              <w:rPr>
                <w:b/>
                <w:i/>
              </w:rPr>
              <w:t>initial organism</w:t>
            </w:r>
            <w:r w:rsidRPr="00AB232B">
              <w:t>), being traits that occurred in the initial organism because of gene technology, if</w:t>
            </w:r>
            <w:r w:rsidR="001C43D1" w:rsidRPr="00AB232B">
              <w:t>:</w:t>
            </w:r>
          </w:p>
          <w:p w:rsidR="001C43D1" w:rsidRPr="00AB232B" w:rsidRDefault="001C43D1" w:rsidP="001C43D1">
            <w:pPr>
              <w:pStyle w:val="Tablea"/>
            </w:pPr>
            <w:r w:rsidRPr="00AB232B">
              <w:t>(a) the initial organism was not a genetically modified organism (because of the application of regulation</w:t>
            </w:r>
            <w:r w:rsidR="00AB232B" w:rsidRPr="00AB232B">
              <w:t> </w:t>
            </w:r>
            <w:r w:rsidRPr="00AB232B">
              <w:t>5); or</w:t>
            </w:r>
          </w:p>
          <w:p w:rsidR="00717BD6" w:rsidRPr="00AB232B" w:rsidRDefault="001C43D1" w:rsidP="001C43D1">
            <w:pPr>
              <w:pStyle w:val="Tablea"/>
            </w:pPr>
            <w:r w:rsidRPr="00AB232B">
              <w:t>(b) all such inherited traits are traits that occurred in the initial organism as a result of a modification described in an item in this Schedule.</w:t>
            </w:r>
          </w:p>
        </w:tc>
      </w:tr>
      <w:tr w:rsidR="00E0690B" w:rsidRPr="00AB232B" w:rsidTr="00E0690B">
        <w:tc>
          <w:tcPr>
            <w:tcW w:w="560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0690B" w:rsidRPr="00AB232B" w:rsidRDefault="00717BD6" w:rsidP="009760EB">
            <w:pPr>
              <w:pStyle w:val="Tabletext"/>
            </w:pPr>
            <w:r w:rsidRPr="00AB232B">
              <w:t>10</w:t>
            </w:r>
          </w:p>
        </w:tc>
        <w:tc>
          <w:tcPr>
            <w:tcW w:w="4440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0690B" w:rsidRPr="00AB232B" w:rsidRDefault="00E0690B" w:rsidP="009760EB">
            <w:pPr>
              <w:pStyle w:val="Tabletext"/>
            </w:pPr>
            <w:r w:rsidRPr="00AB232B">
              <w:t>An organism that was modified by gene technology but in which the modification, and any traits that occurred because of gene technology, are no longer present.</w:t>
            </w:r>
          </w:p>
        </w:tc>
      </w:tr>
      <w:tr w:rsidR="00E0690B" w:rsidRPr="00AB232B" w:rsidTr="00E0690B">
        <w:tc>
          <w:tcPr>
            <w:tcW w:w="560" w:type="pct"/>
            <w:tcBorders>
              <w:bottom w:val="single" w:sz="2" w:space="0" w:color="auto"/>
            </w:tcBorders>
            <w:shd w:val="clear" w:color="auto" w:fill="auto"/>
          </w:tcPr>
          <w:p w:rsidR="00E0690B" w:rsidRPr="00AB232B" w:rsidRDefault="00717BD6" w:rsidP="00536040">
            <w:pPr>
              <w:pStyle w:val="Tabletext"/>
            </w:pPr>
            <w:r w:rsidRPr="00AB232B">
              <w:t>11</w:t>
            </w:r>
          </w:p>
        </w:tc>
        <w:tc>
          <w:tcPr>
            <w:tcW w:w="4440" w:type="pct"/>
            <w:tcBorders>
              <w:bottom w:val="single" w:sz="2" w:space="0" w:color="auto"/>
            </w:tcBorders>
            <w:shd w:val="clear" w:color="auto" w:fill="auto"/>
          </w:tcPr>
          <w:p w:rsidR="00E0690B" w:rsidRPr="00AB232B" w:rsidRDefault="00E0690B" w:rsidP="00FB521E">
            <w:pPr>
              <w:pStyle w:val="Tabletext"/>
            </w:pPr>
            <w:r w:rsidRPr="00AB232B">
              <w:rPr>
                <w:i/>
              </w:rPr>
              <w:t xml:space="preserve">Agrobacterium </w:t>
            </w:r>
            <w:proofErr w:type="spellStart"/>
            <w:r w:rsidRPr="00AB232B">
              <w:rPr>
                <w:i/>
              </w:rPr>
              <w:t>radiobacter</w:t>
            </w:r>
            <w:proofErr w:type="spellEnd"/>
            <w:r w:rsidRPr="00AB232B">
              <w:t xml:space="preserve"> strain K1026.</w:t>
            </w:r>
          </w:p>
        </w:tc>
      </w:tr>
      <w:tr w:rsidR="00E0690B" w:rsidRPr="00AB232B" w:rsidTr="00E0690B">
        <w:tc>
          <w:tcPr>
            <w:tcW w:w="560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0690B" w:rsidRPr="00AB232B" w:rsidRDefault="00717BD6" w:rsidP="00536040">
            <w:pPr>
              <w:pStyle w:val="Tabletext"/>
            </w:pPr>
            <w:r w:rsidRPr="00AB232B">
              <w:t>12</w:t>
            </w:r>
          </w:p>
        </w:tc>
        <w:tc>
          <w:tcPr>
            <w:tcW w:w="4440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0690B" w:rsidRPr="00AB232B" w:rsidRDefault="00E0690B" w:rsidP="00FB521E">
            <w:pPr>
              <w:pStyle w:val="Tabletext"/>
            </w:pPr>
            <w:proofErr w:type="spellStart"/>
            <w:r w:rsidRPr="00AB232B">
              <w:rPr>
                <w:i/>
              </w:rPr>
              <w:t>Pasteurella</w:t>
            </w:r>
            <w:proofErr w:type="spellEnd"/>
            <w:r w:rsidRPr="00AB232B">
              <w:rPr>
                <w:i/>
              </w:rPr>
              <w:t xml:space="preserve"> </w:t>
            </w:r>
            <w:proofErr w:type="spellStart"/>
            <w:r w:rsidRPr="00AB232B">
              <w:rPr>
                <w:i/>
              </w:rPr>
              <w:t>multocida</w:t>
            </w:r>
            <w:proofErr w:type="spellEnd"/>
            <w:r w:rsidRPr="00AB232B">
              <w:rPr>
                <w:i/>
              </w:rPr>
              <w:t xml:space="preserve"> </w:t>
            </w:r>
            <w:r w:rsidRPr="00AB232B">
              <w:t>strain PMP1.</w:t>
            </w:r>
          </w:p>
        </w:tc>
      </w:tr>
    </w:tbl>
    <w:p w:rsidR="006B6661" w:rsidRPr="00AB232B" w:rsidRDefault="008F145C" w:rsidP="006B6661">
      <w:pPr>
        <w:pStyle w:val="ItemHead"/>
      </w:pPr>
      <w:r w:rsidRPr="00AB232B">
        <w:t>28</w:t>
      </w:r>
      <w:r w:rsidR="006B6661" w:rsidRPr="00AB232B">
        <w:t xml:space="preserve">  Part</w:t>
      </w:r>
      <w:r w:rsidR="00AB232B" w:rsidRPr="00AB232B">
        <w:t> </w:t>
      </w:r>
      <w:r w:rsidR="006B6661" w:rsidRPr="00AB232B">
        <w:t>1</w:t>
      </w:r>
      <w:r w:rsidR="00E3672D" w:rsidRPr="00AB232B">
        <w:t xml:space="preserve"> of Schedule</w:t>
      </w:r>
      <w:r w:rsidR="00AB232B" w:rsidRPr="00AB232B">
        <w:t> </w:t>
      </w:r>
      <w:r w:rsidR="00E3672D" w:rsidRPr="00AB232B">
        <w:t>2</w:t>
      </w:r>
      <w:r w:rsidR="006B6661" w:rsidRPr="00AB232B">
        <w:t xml:space="preserve"> </w:t>
      </w:r>
      <w:r w:rsidR="00E3672D" w:rsidRPr="00AB232B">
        <w:t>(</w:t>
      </w:r>
      <w:r w:rsidR="00613997" w:rsidRPr="00AB232B">
        <w:t>table item</w:t>
      </w:r>
      <w:r w:rsidR="00AB232B" w:rsidRPr="00AB232B">
        <w:t> </w:t>
      </w:r>
      <w:r w:rsidR="00613997" w:rsidRPr="00AB232B">
        <w:t xml:space="preserve">4, column headed “Description of dealing”, </w:t>
      </w:r>
      <w:r w:rsidR="00AB232B" w:rsidRPr="00AB232B">
        <w:t>subparagraph (</w:t>
      </w:r>
      <w:r w:rsidR="001245B1" w:rsidRPr="00AB232B">
        <w:t>2)</w:t>
      </w:r>
      <w:r w:rsidR="006B6661" w:rsidRPr="00AB232B">
        <w:t>(a)(ii)</w:t>
      </w:r>
      <w:r w:rsidR="00E3672D" w:rsidRPr="00AB232B">
        <w:t>)</w:t>
      </w:r>
    </w:p>
    <w:p w:rsidR="006B6661" w:rsidRPr="00AB232B" w:rsidRDefault="004B68E5" w:rsidP="006B6661">
      <w:pPr>
        <w:pStyle w:val="Item"/>
      </w:pPr>
      <w:r w:rsidRPr="00AB232B">
        <w:t xml:space="preserve">Omit “harm;”, substitute “harm; </w:t>
      </w:r>
      <w:r w:rsidR="006B6661" w:rsidRPr="00AB232B">
        <w:t>and”.</w:t>
      </w:r>
    </w:p>
    <w:p w:rsidR="006B6661" w:rsidRPr="00AB232B" w:rsidRDefault="008F145C" w:rsidP="006B6661">
      <w:pPr>
        <w:pStyle w:val="ItemHead"/>
      </w:pPr>
      <w:r w:rsidRPr="00AB232B">
        <w:t>29</w:t>
      </w:r>
      <w:r w:rsidR="006B6661" w:rsidRPr="00AB232B">
        <w:t xml:space="preserve">  </w:t>
      </w:r>
      <w:r w:rsidR="00E3672D" w:rsidRPr="00AB232B">
        <w:t>Part</w:t>
      </w:r>
      <w:r w:rsidR="00AB232B" w:rsidRPr="00AB232B">
        <w:t> </w:t>
      </w:r>
      <w:r w:rsidR="00E3672D" w:rsidRPr="00AB232B">
        <w:t>1 of Schedule</w:t>
      </w:r>
      <w:r w:rsidR="00AB232B" w:rsidRPr="00AB232B">
        <w:t> </w:t>
      </w:r>
      <w:r w:rsidR="00E3672D" w:rsidRPr="00AB232B">
        <w:t>2</w:t>
      </w:r>
      <w:r w:rsidR="006B6661" w:rsidRPr="00AB232B">
        <w:t xml:space="preserve"> </w:t>
      </w:r>
      <w:r w:rsidR="00E3672D" w:rsidRPr="00AB232B">
        <w:t>(</w:t>
      </w:r>
      <w:r w:rsidR="00613997" w:rsidRPr="00AB232B">
        <w:t>table item</w:t>
      </w:r>
      <w:r w:rsidR="00AB232B" w:rsidRPr="00AB232B">
        <w:t> </w:t>
      </w:r>
      <w:r w:rsidR="00613997" w:rsidRPr="00AB232B">
        <w:t xml:space="preserve">4, column headed “Description of dealing”, </w:t>
      </w:r>
      <w:r w:rsidR="006B6661" w:rsidRPr="00AB232B">
        <w:t>example)</w:t>
      </w:r>
    </w:p>
    <w:p w:rsidR="006B6661" w:rsidRPr="00AB232B" w:rsidRDefault="006B6661" w:rsidP="006B6661">
      <w:pPr>
        <w:pStyle w:val="Item"/>
      </w:pPr>
      <w:r w:rsidRPr="00AB232B">
        <w:t>Omit “transmissibility; and”, substitute “transmissibility.”.</w:t>
      </w:r>
    </w:p>
    <w:p w:rsidR="00EC7FAB" w:rsidRPr="00AB232B" w:rsidRDefault="008F145C" w:rsidP="00EC7FAB">
      <w:pPr>
        <w:pStyle w:val="ItemHead"/>
      </w:pPr>
      <w:r w:rsidRPr="00AB232B">
        <w:t>30</w:t>
      </w:r>
      <w:r w:rsidR="00EC7FAB" w:rsidRPr="00AB232B">
        <w:t xml:space="preserve">  </w:t>
      </w:r>
      <w:r w:rsidR="00E3672D" w:rsidRPr="00AB232B">
        <w:t>Part</w:t>
      </w:r>
      <w:r w:rsidR="00AB232B" w:rsidRPr="00AB232B">
        <w:t> </w:t>
      </w:r>
      <w:r w:rsidR="00E3672D" w:rsidRPr="00AB232B">
        <w:t>1 of Schedule</w:t>
      </w:r>
      <w:r w:rsidR="00AB232B" w:rsidRPr="00AB232B">
        <w:t> </w:t>
      </w:r>
      <w:r w:rsidR="00E3672D" w:rsidRPr="00AB232B">
        <w:t>2 (</w:t>
      </w:r>
      <w:r w:rsidR="00613997" w:rsidRPr="00AB232B">
        <w:t>table item</w:t>
      </w:r>
      <w:r w:rsidR="00AB232B" w:rsidRPr="00AB232B">
        <w:t> </w:t>
      </w:r>
      <w:r w:rsidR="00613997" w:rsidRPr="00AB232B">
        <w:t xml:space="preserve">4, column headed “Description of dealing”, </w:t>
      </w:r>
      <w:r w:rsidR="00AB232B" w:rsidRPr="00AB232B">
        <w:t>paragraphs (</w:t>
      </w:r>
      <w:r w:rsidR="001245B1" w:rsidRPr="00AB232B">
        <w:t>2)(b)</w:t>
      </w:r>
      <w:r w:rsidR="00392375" w:rsidRPr="00AB232B">
        <w:t xml:space="preserve"> and (c)</w:t>
      </w:r>
      <w:r w:rsidR="00E3672D" w:rsidRPr="00AB232B">
        <w:t>)</w:t>
      </w:r>
    </w:p>
    <w:p w:rsidR="00F441D4" w:rsidRPr="00AB232B" w:rsidRDefault="00EC7FAB" w:rsidP="00B064C3">
      <w:pPr>
        <w:pStyle w:val="Item"/>
      </w:pPr>
      <w:r w:rsidRPr="00AB232B">
        <w:t xml:space="preserve">Omit “100 </w:t>
      </w:r>
      <w:r w:rsidRPr="00AB232B">
        <w:sym w:font="Symbol" w:char="F06D"/>
      </w:r>
      <w:r w:rsidRPr="00AB232B">
        <w:t>g/kg”, substitute “100 micrograms per kilogram”.</w:t>
      </w:r>
    </w:p>
    <w:p w:rsidR="00CB7F28" w:rsidRPr="00AB232B" w:rsidRDefault="008F145C" w:rsidP="00CB7F28">
      <w:pPr>
        <w:pStyle w:val="ItemHead"/>
      </w:pPr>
      <w:r w:rsidRPr="00AB232B">
        <w:t>31</w:t>
      </w:r>
      <w:r w:rsidR="00CB7F28" w:rsidRPr="00AB232B">
        <w:t xml:space="preserve">  Part</w:t>
      </w:r>
      <w:r w:rsidR="00AB232B" w:rsidRPr="00AB232B">
        <w:t> </w:t>
      </w:r>
      <w:r w:rsidR="00CB7F28" w:rsidRPr="00AB232B">
        <w:t>1 of Schedule</w:t>
      </w:r>
      <w:r w:rsidR="00AB232B" w:rsidRPr="00AB232B">
        <w:t> </w:t>
      </w:r>
      <w:r w:rsidR="00CB7F28" w:rsidRPr="00AB232B">
        <w:t>2 (table item</w:t>
      </w:r>
      <w:r w:rsidR="00AB232B" w:rsidRPr="00AB232B">
        <w:t> </w:t>
      </w:r>
      <w:r w:rsidR="00CB7F28" w:rsidRPr="00AB232B">
        <w:t xml:space="preserve">4, column headed “Description of dealing”, </w:t>
      </w:r>
      <w:r w:rsidR="00AB232B" w:rsidRPr="00AB232B">
        <w:t>paragraph (</w:t>
      </w:r>
      <w:r w:rsidR="00563859" w:rsidRPr="00AB232B">
        <w:t>2)</w:t>
      </w:r>
      <w:r w:rsidR="00CB7F28" w:rsidRPr="00AB232B">
        <w:t>(e)</w:t>
      </w:r>
      <w:r w:rsidR="008C6336" w:rsidRPr="00AB232B">
        <w:t>)</w:t>
      </w:r>
    </w:p>
    <w:p w:rsidR="00CB7F28" w:rsidRPr="00AB232B" w:rsidRDefault="00CB7F28" w:rsidP="00CB7F28">
      <w:pPr>
        <w:pStyle w:val="Item"/>
      </w:pPr>
      <w:r w:rsidRPr="00AB232B">
        <w:t>Repeal the paragraph, substitute:</w:t>
      </w:r>
    </w:p>
    <w:p w:rsidR="00CB7F28" w:rsidRPr="00AB232B" w:rsidRDefault="00CB7F28" w:rsidP="00CB7F28">
      <w:pPr>
        <w:pStyle w:val="Tablea"/>
      </w:pPr>
      <w:r w:rsidRPr="00AB232B">
        <w:t xml:space="preserve">(e) if the donor nucleic acid includes a viral sequence—cannot give rise to infectious agents when introduced into any </w:t>
      </w:r>
      <w:r w:rsidR="004C256B" w:rsidRPr="00AB232B">
        <w:t xml:space="preserve">potential </w:t>
      </w:r>
      <w:r w:rsidRPr="00AB232B">
        <w:t xml:space="preserve">host species, without additional </w:t>
      </w:r>
      <w:r w:rsidR="004C256B" w:rsidRPr="00AB232B">
        <w:t>non</w:t>
      </w:r>
      <w:r w:rsidR="00AB232B">
        <w:noBreakHyphen/>
      </w:r>
      <w:r w:rsidR="004C256B" w:rsidRPr="00AB232B">
        <w:t xml:space="preserve">host </w:t>
      </w:r>
      <w:r w:rsidRPr="00AB232B">
        <w:t>genes or gene products that:</w:t>
      </w:r>
    </w:p>
    <w:p w:rsidR="00CB7F28" w:rsidRPr="00AB232B" w:rsidRDefault="00CB7F28" w:rsidP="00CB7F28">
      <w:pPr>
        <w:pStyle w:val="Tablei"/>
      </w:pPr>
      <w:r w:rsidRPr="00AB232B">
        <w:t>(</w:t>
      </w:r>
      <w:proofErr w:type="spellStart"/>
      <w:r w:rsidRPr="00AB232B">
        <w:t>i</w:t>
      </w:r>
      <w:proofErr w:type="spellEnd"/>
      <w:r w:rsidRPr="00AB232B">
        <w:t>) are not available in the host cell into which the nucleic acid is introduced as part of the dealing; and</w:t>
      </w:r>
    </w:p>
    <w:p w:rsidR="00CB7F28" w:rsidRPr="00AB232B" w:rsidRDefault="00CB7F28" w:rsidP="00CB7F28">
      <w:pPr>
        <w:pStyle w:val="Tablei"/>
      </w:pPr>
      <w:r w:rsidRPr="00AB232B">
        <w:t>(ii)</w:t>
      </w:r>
      <w:r w:rsidR="00563859" w:rsidRPr="00AB232B">
        <w:t xml:space="preserve"> </w:t>
      </w:r>
      <w:r w:rsidRPr="00AB232B">
        <w:t>will not become available during the dealing; and</w:t>
      </w:r>
    </w:p>
    <w:p w:rsidR="00CB7F28" w:rsidRPr="00AB232B" w:rsidRDefault="00CB7F28" w:rsidP="00CB7F28">
      <w:pPr>
        <w:pStyle w:val="Tablea"/>
      </w:pPr>
      <w:r w:rsidRPr="00AB232B">
        <w:t>(f) if the donor nucleic acid includes a viral sequence—cannot restore replication competence to the vector.</w:t>
      </w:r>
    </w:p>
    <w:p w:rsidR="007B11D7" w:rsidRPr="00AB232B" w:rsidRDefault="008F145C" w:rsidP="007B11D7">
      <w:pPr>
        <w:pStyle w:val="ItemHead"/>
      </w:pPr>
      <w:r w:rsidRPr="00AB232B">
        <w:t>32</w:t>
      </w:r>
      <w:r w:rsidR="007B11D7" w:rsidRPr="00AB232B">
        <w:t xml:space="preserve">  Part</w:t>
      </w:r>
      <w:r w:rsidR="00AB232B" w:rsidRPr="00AB232B">
        <w:t> </w:t>
      </w:r>
      <w:r w:rsidR="007B11D7" w:rsidRPr="00AB232B">
        <w:t>1 of Schedule</w:t>
      </w:r>
      <w:r w:rsidR="00AB232B" w:rsidRPr="00AB232B">
        <w:t> </w:t>
      </w:r>
      <w:r w:rsidR="007B11D7" w:rsidRPr="00AB232B">
        <w:t>2 (table item</w:t>
      </w:r>
      <w:r w:rsidR="00AB232B" w:rsidRPr="00AB232B">
        <w:t> </w:t>
      </w:r>
      <w:r w:rsidR="007B11D7" w:rsidRPr="00AB232B">
        <w:t>5, column headed “Description of dealing”</w:t>
      </w:r>
      <w:r w:rsidR="000B0B17" w:rsidRPr="00AB232B">
        <w:t>)</w:t>
      </w:r>
    </w:p>
    <w:p w:rsidR="007B11D7" w:rsidRPr="00AB232B" w:rsidRDefault="007B11D7" w:rsidP="007B11D7">
      <w:pPr>
        <w:pStyle w:val="Item"/>
      </w:pPr>
      <w:r w:rsidRPr="00AB232B">
        <w:t>Omit “item</w:t>
      </w:r>
      <w:r w:rsidR="00AB232B" w:rsidRPr="00AB232B">
        <w:t> </w:t>
      </w:r>
      <w:r w:rsidRPr="00AB232B">
        <w:t>1</w:t>
      </w:r>
      <w:r w:rsidR="00892C10" w:rsidRPr="00AB232B">
        <w:t xml:space="preserve"> of</w:t>
      </w:r>
      <w:r w:rsidRPr="00AB232B">
        <w:t>”, substitute “items</w:t>
      </w:r>
      <w:r w:rsidR="00AB232B" w:rsidRPr="00AB232B">
        <w:t> </w:t>
      </w:r>
      <w:r w:rsidRPr="00AB232B">
        <w:t>1 to 6</w:t>
      </w:r>
      <w:r w:rsidR="00892C10" w:rsidRPr="00AB232B">
        <w:t xml:space="preserve"> of the table in</w:t>
      </w:r>
      <w:r w:rsidRPr="00AB232B">
        <w:t>”.</w:t>
      </w:r>
    </w:p>
    <w:p w:rsidR="00C34F2A" w:rsidRPr="00AB232B" w:rsidRDefault="008F145C" w:rsidP="00BC0501">
      <w:pPr>
        <w:pStyle w:val="ItemHead"/>
      </w:pPr>
      <w:r w:rsidRPr="00AB232B">
        <w:t>33</w:t>
      </w:r>
      <w:r w:rsidR="00C34F2A" w:rsidRPr="00AB232B">
        <w:t xml:space="preserve">  Part</w:t>
      </w:r>
      <w:r w:rsidR="00AB232B" w:rsidRPr="00AB232B">
        <w:t> </w:t>
      </w:r>
      <w:r w:rsidR="00C34F2A" w:rsidRPr="00AB232B">
        <w:t>2 of Schedule</w:t>
      </w:r>
      <w:r w:rsidR="00AB232B" w:rsidRPr="00AB232B">
        <w:t> </w:t>
      </w:r>
      <w:r w:rsidR="00C34F2A" w:rsidRPr="00AB232B">
        <w:t>2</w:t>
      </w:r>
    </w:p>
    <w:p w:rsidR="00C34F2A" w:rsidRPr="00AB232B" w:rsidRDefault="00C34F2A" w:rsidP="00C34F2A">
      <w:pPr>
        <w:pStyle w:val="Item"/>
      </w:pPr>
      <w:r w:rsidRPr="00AB232B">
        <w:t>Repeal the Part, substitute:</w:t>
      </w:r>
    </w:p>
    <w:p w:rsidR="002A299A" w:rsidRPr="00AB232B" w:rsidRDefault="002A299A" w:rsidP="002A299A">
      <w:pPr>
        <w:pStyle w:val="ActHead2"/>
      </w:pPr>
      <w:bookmarkStart w:id="17" w:name="_Toc2843369"/>
      <w:r w:rsidRPr="00AB232B">
        <w:rPr>
          <w:rStyle w:val="CharPartNo"/>
        </w:rPr>
        <w:t>Part</w:t>
      </w:r>
      <w:r w:rsidR="00AB232B" w:rsidRPr="00AB232B">
        <w:rPr>
          <w:rStyle w:val="CharPartNo"/>
        </w:rPr>
        <w:t> </w:t>
      </w:r>
      <w:r w:rsidRPr="00AB232B">
        <w:rPr>
          <w:rStyle w:val="CharPartNo"/>
        </w:rPr>
        <w:t>2</w:t>
      </w:r>
      <w:r w:rsidRPr="00AB232B">
        <w:t>—</w:t>
      </w:r>
      <w:r w:rsidRPr="00AB232B">
        <w:rPr>
          <w:rStyle w:val="CharPartText"/>
        </w:rPr>
        <w:t>Host/vector systems for exempt dealings</w:t>
      </w:r>
      <w:bookmarkEnd w:id="17"/>
    </w:p>
    <w:p w:rsidR="002A299A" w:rsidRPr="00AB232B" w:rsidRDefault="002A299A" w:rsidP="002A299A">
      <w:pPr>
        <w:pStyle w:val="Header"/>
      </w:pPr>
      <w:r w:rsidRPr="00AB232B">
        <w:rPr>
          <w:rStyle w:val="CharDivNo"/>
        </w:rPr>
        <w:t xml:space="preserve"> </w:t>
      </w:r>
      <w:r w:rsidRPr="00AB232B">
        <w:rPr>
          <w:rStyle w:val="CharDivText"/>
        </w:rPr>
        <w:t xml:space="preserve"> </w:t>
      </w:r>
    </w:p>
    <w:p w:rsidR="002A299A" w:rsidRPr="00AB232B" w:rsidRDefault="0024128C" w:rsidP="002A299A">
      <w:pPr>
        <w:pStyle w:val="ActHead5"/>
      </w:pPr>
      <w:bookmarkStart w:id="18" w:name="_Toc2843370"/>
      <w:r w:rsidRPr="00AB232B">
        <w:rPr>
          <w:rStyle w:val="CharSectno"/>
        </w:rPr>
        <w:t>2.</w:t>
      </w:r>
      <w:r w:rsidR="002A299A" w:rsidRPr="00AB232B">
        <w:rPr>
          <w:rStyle w:val="CharSectno"/>
        </w:rPr>
        <w:t>1</w:t>
      </w:r>
      <w:r w:rsidR="002A299A" w:rsidRPr="00AB232B">
        <w:t xml:space="preserve">  Hosts and vectors</w:t>
      </w:r>
      <w:bookmarkEnd w:id="18"/>
    </w:p>
    <w:p w:rsidR="00892C10" w:rsidRPr="00AB232B" w:rsidRDefault="002A299A" w:rsidP="002A299A">
      <w:pPr>
        <w:pStyle w:val="subsection"/>
      </w:pPr>
      <w:r w:rsidRPr="00AB232B">
        <w:tab/>
        <w:t>(1)</w:t>
      </w:r>
      <w:r w:rsidRPr="00AB232B">
        <w:tab/>
      </w:r>
      <w:r w:rsidR="00892C10" w:rsidRPr="00AB232B">
        <w:t>A reference to a host mentioned in this Part is a reference to a host mentioned in column 2 of an item of the table</w:t>
      </w:r>
      <w:r w:rsidR="00BF35D9" w:rsidRPr="00AB232B">
        <w:t xml:space="preserve"> in this clause</w:t>
      </w:r>
      <w:r w:rsidR="00892C10" w:rsidRPr="00AB232B">
        <w:t>.</w:t>
      </w:r>
    </w:p>
    <w:p w:rsidR="00892C10" w:rsidRPr="00AB232B" w:rsidRDefault="00892C10" w:rsidP="002A299A">
      <w:pPr>
        <w:pStyle w:val="subsection"/>
      </w:pPr>
      <w:r w:rsidRPr="00AB232B">
        <w:tab/>
        <w:t>(2)</w:t>
      </w:r>
      <w:r w:rsidRPr="00AB232B">
        <w:tab/>
        <w:t>A reference to a vector mentioned in this Part is a reference to a vector mentioned in column 3 of an item of the table</w:t>
      </w:r>
      <w:r w:rsidR="00BF35D9" w:rsidRPr="00AB232B">
        <w:t xml:space="preserve"> in this clause</w:t>
      </w:r>
      <w:r w:rsidRPr="00AB232B">
        <w:t>.</w:t>
      </w:r>
    </w:p>
    <w:p w:rsidR="004663D4" w:rsidRPr="00AB232B" w:rsidRDefault="004663D4" w:rsidP="002A299A">
      <w:pPr>
        <w:pStyle w:val="subsection"/>
      </w:pPr>
      <w:r w:rsidRPr="00AB232B">
        <w:tab/>
        <w:t>(</w:t>
      </w:r>
      <w:r w:rsidR="00892C10" w:rsidRPr="00AB232B">
        <w:t>3</w:t>
      </w:r>
      <w:r w:rsidRPr="00AB232B">
        <w:t>)</w:t>
      </w:r>
      <w:r w:rsidRPr="00AB232B">
        <w:tab/>
        <w:t xml:space="preserve">A reference to a </w:t>
      </w:r>
      <w:r w:rsidRPr="00AB232B">
        <w:rPr>
          <w:b/>
          <w:i/>
        </w:rPr>
        <w:t>host/vector system</w:t>
      </w:r>
      <w:r w:rsidRPr="00AB232B">
        <w:t xml:space="preserve"> mentioned in this Part is a reference to any of the following:</w:t>
      </w:r>
    </w:p>
    <w:p w:rsidR="004663D4" w:rsidRPr="00AB232B" w:rsidRDefault="004663D4" w:rsidP="004663D4">
      <w:pPr>
        <w:pStyle w:val="paragraph"/>
      </w:pPr>
      <w:r w:rsidRPr="00AB232B">
        <w:tab/>
        <w:t>(a)</w:t>
      </w:r>
      <w:r w:rsidRPr="00AB232B">
        <w:tab/>
        <w:t xml:space="preserve">a system involving a host mentioned in </w:t>
      </w:r>
      <w:r w:rsidR="00892C10" w:rsidRPr="00AB232B">
        <w:t xml:space="preserve">column 2 of </w:t>
      </w:r>
      <w:r w:rsidRPr="00AB232B">
        <w:t xml:space="preserve">an item </w:t>
      </w:r>
      <w:r w:rsidR="00892C10" w:rsidRPr="00AB232B">
        <w:t>of</w:t>
      </w:r>
      <w:r w:rsidRPr="00AB232B">
        <w:t xml:space="preserve"> the table </w:t>
      </w:r>
      <w:r w:rsidR="00BF35D9" w:rsidRPr="00AB232B">
        <w:t xml:space="preserve">in this clause </w:t>
      </w:r>
      <w:r w:rsidRPr="00AB232B">
        <w:t xml:space="preserve">and a vector mentioned in </w:t>
      </w:r>
      <w:r w:rsidR="00892C10" w:rsidRPr="00AB232B">
        <w:t xml:space="preserve">column 3 of </w:t>
      </w:r>
      <w:r w:rsidRPr="00AB232B">
        <w:t>the same item;</w:t>
      </w:r>
    </w:p>
    <w:p w:rsidR="004663D4" w:rsidRPr="00AB232B" w:rsidRDefault="004663D4" w:rsidP="004663D4">
      <w:pPr>
        <w:pStyle w:val="paragraph"/>
      </w:pPr>
      <w:r w:rsidRPr="00AB232B">
        <w:tab/>
        <w:t>(b)</w:t>
      </w:r>
      <w:r w:rsidRPr="00AB232B">
        <w:tab/>
        <w:t>a non</w:t>
      </w:r>
      <w:r w:rsidR="00AB232B">
        <w:noBreakHyphen/>
      </w:r>
      <w:r w:rsidRPr="00AB232B">
        <w:t xml:space="preserve">vector system involving a host mentioned in </w:t>
      </w:r>
      <w:r w:rsidR="00892C10" w:rsidRPr="00AB232B">
        <w:t>column 2 of an item of</w:t>
      </w:r>
      <w:r w:rsidRPr="00AB232B">
        <w:t xml:space="preserve"> the table;</w:t>
      </w:r>
    </w:p>
    <w:p w:rsidR="004663D4" w:rsidRPr="00AB232B" w:rsidRDefault="004663D4" w:rsidP="004663D4">
      <w:pPr>
        <w:pStyle w:val="paragraph"/>
      </w:pPr>
      <w:r w:rsidRPr="00AB232B">
        <w:tab/>
        <w:t>(c)</w:t>
      </w:r>
      <w:r w:rsidRPr="00AB232B">
        <w:tab/>
        <w:t xml:space="preserve">a system involving a GMO mentioned as a vector in </w:t>
      </w:r>
      <w:r w:rsidR="00892C10" w:rsidRPr="00AB232B">
        <w:t xml:space="preserve">column 3 of </w:t>
      </w:r>
      <w:r w:rsidRPr="00AB232B">
        <w:t xml:space="preserve">an item </w:t>
      </w:r>
      <w:r w:rsidR="00892C10" w:rsidRPr="00AB232B">
        <w:t>of</w:t>
      </w:r>
      <w:r w:rsidRPr="00AB232B">
        <w:t xml:space="preserve"> the table</w:t>
      </w:r>
      <w:r w:rsidR="00B06CEE" w:rsidRPr="00AB232B">
        <w:t xml:space="preserve"> (except item</w:t>
      </w:r>
      <w:r w:rsidR="00AB232B" w:rsidRPr="00AB232B">
        <w:t> </w:t>
      </w:r>
      <w:r w:rsidR="00B06CEE" w:rsidRPr="00AB232B">
        <w:t>7)</w:t>
      </w:r>
      <w:r w:rsidRPr="00AB232B">
        <w:t>, without a host.</w:t>
      </w:r>
    </w:p>
    <w:p w:rsidR="008645BD" w:rsidRPr="00AB232B" w:rsidRDefault="008645BD" w:rsidP="008645BD">
      <w:pPr>
        <w:pStyle w:val="notetext"/>
      </w:pPr>
      <w:r w:rsidRPr="00AB232B">
        <w:t>Note:</w:t>
      </w:r>
      <w:r w:rsidRPr="00AB232B">
        <w:tab/>
        <w:t>Column 1 of the table is included for information only.</w:t>
      </w:r>
    </w:p>
    <w:p w:rsidR="002A299A" w:rsidRPr="00AB232B" w:rsidRDefault="002A299A" w:rsidP="002A299A">
      <w:pPr>
        <w:pStyle w:val="Tabletext"/>
      </w:pPr>
    </w:p>
    <w:tbl>
      <w:tblPr>
        <w:tblW w:w="8567" w:type="dxa"/>
        <w:tblInd w:w="-1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092"/>
        <w:gridCol w:w="3821"/>
        <w:gridCol w:w="2912"/>
      </w:tblGrid>
      <w:tr w:rsidR="002A299A" w:rsidRPr="00AB232B" w:rsidTr="008C6336">
        <w:trPr>
          <w:tblHeader/>
        </w:trPr>
        <w:tc>
          <w:tcPr>
            <w:tcW w:w="8567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299A" w:rsidRPr="00AB232B" w:rsidRDefault="002A299A" w:rsidP="002A299A">
            <w:pPr>
              <w:pStyle w:val="TableHeading"/>
            </w:pPr>
            <w:r w:rsidRPr="00AB232B">
              <w:t>Hosts and vectors</w:t>
            </w:r>
          </w:p>
        </w:tc>
      </w:tr>
      <w:tr w:rsidR="002A299A" w:rsidRPr="00AB232B" w:rsidTr="008C6336">
        <w:trPr>
          <w:tblHeader/>
        </w:trPr>
        <w:tc>
          <w:tcPr>
            <w:tcW w:w="742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2A299A" w:rsidRPr="00AB232B" w:rsidRDefault="008C6336" w:rsidP="002A299A">
            <w:pPr>
              <w:pStyle w:val="TableHeading"/>
            </w:pPr>
            <w:r w:rsidRPr="00AB232B">
              <w:t>Item</w:t>
            </w:r>
          </w:p>
        </w:tc>
        <w:tc>
          <w:tcPr>
            <w:tcW w:w="1092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2A299A" w:rsidRPr="00AB232B" w:rsidRDefault="002A299A" w:rsidP="002A299A">
            <w:pPr>
              <w:pStyle w:val="TableHeading"/>
            </w:pPr>
            <w:r w:rsidRPr="00AB232B">
              <w:t>Column 1</w:t>
            </w:r>
            <w:r w:rsidR="00900B5B" w:rsidRPr="00AB232B">
              <w:br/>
              <w:t>Host class</w:t>
            </w:r>
          </w:p>
        </w:tc>
        <w:tc>
          <w:tcPr>
            <w:tcW w:w="382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2A299A" w:rsidRPr="00AB232B" w:rsidRDefault="002A299A" w:rsidP="002A299A">
            <w:pPr>
              <w:pStyle w:val="TableHeading"/>
            </w:pPr>
            <w:r w:rsidRPr="00AB232B">
              <w:t>Column 2</w:t>
            </w:r>
            <w:r w:rsidR="00900B5B" w:rsidRPr="00AB232B">
              <w:br/>
              <w:t>Hosts</w:t>
            </w:r>
          </w:p>
        </w:tc>
        <w:tc>
          <w:tcPr>
            <w:tcW w:w="2912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2A299A" w:rsidRPr="00AB232B" w:rsidRDefault="002A299A" w:rsidP="002A299A">
            <w:pPr>
              <w:pStyle w:val="TableHeading"/>
            </w:pPr>
            <w:r w:rsidRPr="00AB232B">
              <w:t>Column 3</w:t>
            </w:r>
            <w:r w:rsidR="00900B5B" w:rsidRPr="00AB232B">
              <w:br/>
              <w:t>Vectors</w:t>
            </w:r>
          </w:p>
        </w:tc>
      </w:tr>
      <w:tr w:rsidR="002A299A" w:rsidRPr="00AB232B" w:rsidTr="00F73959">
        <w:tc>
          <w:tcPr>
            <w:tcW w:w="742" w:type="dxa"/>
            <w:tcBorders>
              <w:top w:val="single" w:sz="12" w:space="0" w:color="auto"/>
            </w:tcBorders>
            <w:shd w:val="clear" w:color="auto" w:fill="auto"/>
          </w:tcPr>
          <w:p w:rsidR="002A299A" w:rsidRPr="00AB232B" w:rsidRDefault="002A299A" w:rsidP="002A299A">
            <w:pPr>
              <w:pStyle w:val="Tabletext"/>
            </w:pPr>
            <w:r w:rsidRPr="00AB232B">
              <w:t>1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shd w:val="clear" w:color="auto" w:fill="auto"/>
          </w:tcPr>
          <w:p w:rsidR="002A299A" w:rsidRPr="00AB232B" w:rsidRDefault="002A299A" w:rsidP="002A299A">
            <w:pPr>
              <w:pStyle w:val="Tabletext"/>
            </w:pPr>
            <w:r w:rsidRPr="00AB232B">
              <w:t>Bacteria</w:t>
            </w:r>
          </w:p>
        </w:tc>
        <w:tc>
          <w:tcPr>
            <w:tcW w:w="3821" w:type="dxa"/>
            <w:tcBorders>
              <w:top w:val="single" w:sz="12" w:space="0" w:color="auto"/>
            </w:tcBorders>
            <w:shd w:val="clear" w:color="auto" w:fill="auto"/>
          </w:tcPr>
          <w:p w:rsidR="00F001D6" w:rsidRPr="00AB232B" w:rsidRDefault="00F001D6" w:rsidP="00F001D6">
            <w:pPr>
              <w:pStyle w:val="Tabletext"/>
            </w:pPr>
            <w:r w:rsidRPr="00AB232B">
              <w:rPr>
                <w:i/>
              </w:rPr>
              <w:t xml:space="preserve">Escherichia coli </w:t>
            </w:r>
            <w:r w:rsidRPr="00AB232B">
              <w:t xml:space="preserve">K12, </w:t>
            </w:r>
            <w:r w:rsidRPr="00AB232B">
              <w:rPr>
                <w:i/>
              </w:rPr>
              <w:t>E.</w:t>
            </w:r>
            <w:r w:rsidR="003B4D2C" w:rsidRPr="00AB232B">
              <w:rPr>
                <w:i/>
              </w:rPr>
              <w:t xml:space="preserve"> </w:t>
            </w:r>
            <w:r w:rsidRPr="00AB232B">
              <w:rPr>
                <w:i/>
              </w:rPr>
              <w:t>coli</w:t>
            </w:r>
            <w:r w:rsidR="003B4D2C" w:rsidRPr="00AB232B">
              <w:rPr>
                <w:i/>
              </w:rPr>
              <w:t xml:space="preserve"> </w:t>
            </w:r>
            <w:r w:rsidRPr="00AB232B">
              <w:t xml:space="preserve">B, </w:t>
            </w:r>
            <w:r w:rsidRPr="00AB232B">
              <w:rPr>
                <w:i/>
              </w:rPr>
              <w:t xml:space="preserve">E. coli </w:t>
            </w:r>
            <w:r w:rsidRPr="00AB232B">
              <w:t xml:space="preserve">C or </w:t>
            </w:r>
            <w:r w:rsidRPr="00AB232B">
              <w:rPr>
                <w:i/>
              </w:rPr>
              <w:t xml:space="preserve">E. coli </w:t>
            </w:r>
            <w:proofErr w:type="spellStart"/>
            <w:r w:rsidRPr="00AB232B">
              <w:t>Nissle</w:t>
            </w:r>
            <w:proofErr w:type="spellEnd"/>
            <w:r w:rsidRPr="00AB232B">
              <w:t xml:space="preserve"> 1917—any derivative that</w:t>
            </w:r>
            <w:r w:rsidR="003B4D2C" w:rsidRPr="00AB232B">
              <w:t xml:space="preserve"> </w:t>
            </w:r>
            <w:r w:rsidRPr="00AB232B">
              <w:t>does not contain:</w:t>
            </w:r>
          </w:p>
          <w:p w:rsidR="00F001D6" w:rsidRPr="00AB232B" w:rsidRDefault="00F001D6" w:rsidP="00F001D6">
            <w:pPr>
              <w:pStyle w:val="Tablea"/>
            </w:pPr>
            <w:r w:rsidRPr="00AB232B">
              <w:t xml:space="preserve">(a) generalised transducing </w:t>
            </w:r>
            <w:proofErr w:type="spellStart"/>
            <w:r w:rsidRPr="00AB232B">
              <w:t>phages</w:t>
            </w:r>
            <w:proofErr w:type="spellEnd"/>
            <w:r w:rsidRPr="00AB232B">
              <w:t>; or</w:t>
            </w:r>
          </w:p>
          <w:p w:rsidR="002A299A" w:rsidRPr="00AB232B" w:rsidRDefault="00F001D6" w:rsidP="00F001D6">
            <w:pPr>
              <w:pStyle w:val="Tablea"/>
            </w:pPr>
            <w:r w:rsidRPr="00AB232B">
              <w:t>(b) genes able to complement the conjugation defect in a non</w:t>
            </w:r>
            <w:r w:rsidR="00AB232B">
              <w:noBreakHyphen/>
            </w:r>
            <w:r w:rsidRPr="00AB232B">
              <w:t>conjugative plasmid</w:t>
            </w:r>
          </w:p>
        </w:tc>
        <w:tc>
          <w:tcPr>
            <w:tcW w:w="2912" w:type="dxa"/>
            <w:tcBorders>
              <w:top w:val="single" w:sz="12" w:space="0" w:color="auto"/>
            </w:tcBorders>
            <w:shd w:val="clear" w:color="auto" w:fill="auto"/>
          </w:tcPr>
          <w:p w:rsidR="0010630A" w:rsidRPr="00AB232B" w:rsidRDefault="0010630A" w:rsidP="00F001D6">
            <w:pPr>
              <w:pStyle w:val="Tabletext"/>
            </w:pPr>
            <w:r w:rsidRPr="00AB232B">
              <w:t>Any of the following:</w:t>
            </w:r>
          </w:p>
          <w:p w:rsidR="0010630A" w:rsidRPr="00AB232B" w:rsidRDefault="0010630A" w:rsidP="0010630A">
            <w:pPr>
              <w:pStyle w:val="Tablea"/>
            </w:pPr>
            <w:r w:rsidRPr="00AB232B">
              <w:t>(a) non</w:t>
            </w:r>
            <w:r w:rsidR="00AB232B">
              <w:noBreakHyphen/>
            </w:r>
            <w:r w:rsidRPr="00AB232B">
              <w:t>conjugative plasmids;</w:t>
            </w:r>
          </w:p>
          <w:p w:rsidR="0010630A" w:rsidRPr="00AB232B" w:rsidRDefault="0010630A" w:rsidP="0010630A">
            <w:pPr>
              <w:pStyle w:val="Tablea"/>
            </w:pPr>
            <w:r w:rsidRPr="00AB232B">
              <w:t>(b) lambda bacteriophage;</w:t>
            </w:r>
          </w:p>
          <w:p w:rsidR="0010630A" w:rsidRPr="00AB232B" w:rsidRDefault="0010630A" w:rsidP="0010630A">
            <w:pPr>
              <w:pStyle w:val="Tablea"/>
            </w:pPr>
            <w:r w:rsidRPr="00AB232B">
              <w:t>(c) lambdoid bacteriophage;</w:t>
            </w:r>
          </w:p>
          <w:p w:rsidR="002A299A" w:rsidRPr="00AB232B" w:rsidRDefault="0010630A" w:rsidP="00A813A1">
            <w:pPr>
              <w:pStyle w:val="Tablea"/>
            </w:pPr>
            <w:r w:rsidRPr="00AB232B">
              <w:t xml:space="preserve">(d) </w:t>
            </w:r>
            <w:proofErr w:type="spellStart"/>
            <w:r w:rsidRPr="00AB232B">
              <w:t>Fd</w:t>
            </w:r>
            <w:proofErr w:type="spellEnd"/>
            <w:r w:rsidRPr="00AB232B">
              <w:t>, F1 or M13 bacteriophage</w:t>
            </w:r>
          </w:p>
        </w:tc>
      </w:tr>
      <w:tr w:rsidR="002A299A" w:rsidRPr="00AB232B" w:rsidTr="00F73959">
        <w:tc>
          <w:tcPr>
            <w:tcW w:w="742" w:type="dxa"/>
            <w:shd w:val="clear" w:color="auto" w:fill="auto"/>
          </w:tcPr>
          <w:p w:rsidR="002A299A" w:rsidRPr="00AB232B" w:rsidRDefault="002A299A" w:rsidP="002A299A">
            <w:pPr>
              <w:pStyle w:val="Tabletext"/>
            </w:pPr>
            <w:r w:rsidRPr="00AB232B">
              <w:t>2</w:t>
            </w:r>
          </w:p>
        </w:tc>
        <w:tc>
          <w:tcPr>
            <w:tcW w:w="1092" w:type="dxa"/>
            <w:shd w:val="clear" w:color="auto" w:fill="auto"/>
          </w:tcPr>
          <w:p w:rsidR="002A299A" w:rsidRPr="00AB232B" w:rsidRDefault="002A299A" w:rsidP="002A299A">
            <w:pPr>
              <w:pStyle w:val="Tabletext"/>
            </w:pPr>
            <w:r w:rsidRPr="00AB232B">
              <w:t>Bacteria</w:t>
            </w:r>
          </w:p>
        </w:tc>
        <w:tc>
          <w:tcPr>
            <w:tcW w:w="3821" w:type="dxa"/>
            <w:shd w:val="clear" w:color="auto" w:fill="auto"/>
          </w:tcPr>
          <w:p w:rsidR="000C6D5D" w:rsidRPr="00AB232B" w:rsidRDefault="000C6D5D" w:rsidP="000C6D5D">
            <w:pPr>
              <w:pStyle w:val="Tabletext"/>
            </w:pPr>
            <w:r w:rsidRPr="00AB232B">
              <w:rPr>
                <w:i/>
              </w:rPr>
              <w:t>Bacillus—</w:t>
            </w:r>
            <w:proofErr w:type="spellStart"/>
            <w:r w:rsidRPr="00AB232B">
              <w:t>asporogenic</w:t>
            </w:r>
            <w:proofErr w:type="spellEnd"/>
            <w:r w:rsidRPr="00AB232B">
              <w:t xml:space="preserve"> strains of the following species with a reversion frequency of less than 10</w:t>
            </w:r>
            <w:r w:rsidRPr="00AB232B">
              <w:rPr>
                <w:szCs w:val="22"/>
                <w:vertAlign w:val="superscript"/>
              </w:rPr>
              <w:t>–7</w:t>
            </w:r>
            <w:r w:rsidRPr="00AB232B">
              <w:t>:</w:t>
            </w:r>
          </w:p>
          <w:p w:rsidR="000C6D5D" w:rsidRPr="00AB232B" w:rsidRDefault="000C6D5D" w:rsidP="000C6D5D">
            <w:pPr>
              <w:pStyle w:val="Tablea"/>
            </w:pPr>
            <w:r w:rsidRPr="00AB232B">
              <w:t xml:space="preserve">(a) </w:t>
            </w:r>
            <w:r w:rsidRPr="00AB232B">
              <w:rPr>
                <w:i/>
              </w:rPr>
              <w:t xml:space="preserve">B. </w:t>
            </w:r>
            <w:proofErr w:type="spellStart"/>
            <w:r w:rsidRPr="00AB232B">
              <w:rPr>
                <w:i/>
              </w:rPr>
              <w:t>amyloliquefaciens</w:t>
            </w:r>
            <w:proofErr w:type="spellEnd"/>
            <w:r w:rsidR="00D00ED8" w:rsidRPr="00AB232B">
              <w:t>;</w:t>
            </w:r>
          </w:p>
          <w:p w:rsidR="000C6D5D" w:rsidRPr="00AB232B" w:rsidRDefault="000C6D5D" w:rsidP="000C6D5D">
            <w:pPr>
              <w:pStyle w:val="Tablea"/>
            </w:pPr>
            <w:r w:rsidRPr="00AB232B">
              <w:t xml:space="preserve">(b) </w:t>
            </w:r>
            <w:r w:rsidRPr="00AB232B">
              <w:rPr>
                <w:i/>
              </w:rPr>
              <w:t xml:space="preserve">B. </w:t>
            </w:r>
            <w:proofErr w:type="spellStart"/>
            <w:r w:rsidRPr="00AB232B">
              <w:rPr>
                <w:i/>
              </w:rPr>
              <w:t>licheniformis</w:t>
            </w:r>
            <w:proofErr w:type="spellEnd"/>
            <w:r w:rsidR="00D00ED8" w:rsidRPr="00AB232B">
              <w:t>;</w:t>
            </w:r>
          </w:p>
          <w:p w:rsidR="000C6D5D" w:rsidRPr="00AB232B" w:rsidRDefault="000C6D5D" w:rsidP="000C6D5D">
            <w:pPr>
              <w:pStyle w:val="Tablea"/>
            </w:pPr>
            <w:r w:rsidRPr="00AB232B">
              <w:t xml:space="preserve">(c) </w:t>
            </w:r>
            <w:r w:rsidRPr="00AB232B">
              <w:rPr>
                <w:i/>
              </w:rPr>
              <w:t xml:space="preserve">B. </w:t>
            </w:r>
            <w:proofErr w:type="spellStart"/>
            <w:r w:rsidRPr="00AB232B">
              <w:rPr>
                <w:i/>
              </w:rPr>
              <w:t>pumilus</w:t>
            </w:r>
            <w:proofErr w:type="spellEnd"/>
            <w:r w:rsidR="00D00ED8" w:rsidRPr="00AB232B">
              <w:t>;</w:t>
            </w:r>
          </w:p>
          <w:p w:rsidR="000C6D5D" w:rsidRPr="00AB232B" w:rsidRDefault="000C6D5D" w:rsidP="000C6D5D">
            <w:pPr>
              <w:pStyle w:val="Tablea"/>
            </w:pPr>
            <w:r w:rsidRPr="00AB232B">
              <w:t xml:space="preserve">(d) </w:t>
            </w:r>
            <w:r w:rsidRPr="00AB232B">
              <w:rPr>
                <w:i/>
              </w:rPr>
              <w:t>B. subtilis</w:t>
            </w:r>
            <w:r w:rsidR="00D00ED8" w:rsidRPr="00AB232B">
              <w:t>;</w:t>
            </w:r>
          </w:p>
          <w:p w:rsidR="002A299A" w:rsidRPr="00AB232B" w:rsidRDefault="000C6D5D" w:rsidP="00220752">
            <w:pPr>
              <w:pStyle w:val="Tablea"/>
            </w:pPr>
            <w:r w:rsidRPr="00AB232B">
              <w:t xml:space="preserve">(e) </w:t>
            </w:r>
            <w:r w:rsidRPr="00AB232B">
              <w:rPr>
                <w:i/>
              </w:rPr>
              <w:t>B. thuringiensis</w:t>
            </w:r>
          </w:p>
        </w:tc>
        <w:tc>
          <w:tcPr>
            <w:tcW w:w="2912" w:type="dxa"/>
            <w:shd w:val="clear" w:color="auto" w:fill="auto"/>
          </w:tcPr>
          <w:p w:rsidR="00A813A1" w:rsidRPr="00AB232B" w:rsidRDefault="00A813A1" w:rsidP="00F441D4">
            <w:pPr>
              <w:pStyle w:val="Tabletext"/>
            </w:pPr>
            <w:r w:rsidRPr="00AB232B">
              <w:t>Any of the following:</w:t>
            </w:r>
          </w:p>
          <w:p w:rsidR="00A813A1" w:rsidRPr="00AB232B" w:rsidRDefault="00A813A1" w:rsidP="00A813A1">
            <w:pPr>
              <w:pStyle w:val="Tablea"/>
            </w:pPr>
            <w:r w:rsidRPr="00AB232B">
              <w:t>(a) non</w:t>
            </w:r>
            <w:r w:rsidR="00AB232B">
              <w:noBreakHyphen/>
            </w:r>
            <w:r w:rsidRPr="00AB232B">
              <w:t>conjugative plasmids;</w:t>
            </w:r>
          </w:p>
          <w:p w:rsidR="002A299A" w:rsidRPr="00AB232B" w:rsidRDefault="00A813A1" w:rsidP="00A813A1">
            <w:pPr>
              <w:pStyle w:val="Tablea"/>
            </w:pPr>
            <w:r w:rsidRPr="00AB232B">
              <w:t xml:space="preserve">(b) other </w:t>
            </w:r>
            <w:r w:rsidR="000C6D5D" w:rsidRPr="00AB232B">
              <w:t xml:space="preserve">plasmids and </w:t>
            </w:r>
            <w:proofErr w:type="spellStart"/>
            <w:r w:rsidR="000C6D5D" w:rsidRPr="00AB232B">
              <w:t>phages</w:t>
            </w:r>
            <w:proofErr w:type="spellEnd"/>
            <w:r w:rsidR="000C6D5D" w:rsidRPr="00AB232B">
              <w:t xml:space="preserve"> whose host range does not include </w:t>
            </w:r>
            <w:r w:rsidR="000C6D5D" w:rsidRPr="00AB232B">
              <w:rPr>
                <w:i/>
              </w:rPr>
              <w:t>B. cereus</w:t>
            </w:r>
            <w:r w:rsidR="000C6D5D" w:rsidRPr="00AB232B">
              <w:t xml:space="preserve">, </w:t>
            </w:r>
            <w:r w:rsidR="000C6D5D" w:rsidRPr="00AB232B">
              <w:rPr>
                <w:i/>
              </w:rPr>
              <w:t>B. anthracis</w:t>
            </w:r>
            <w:r w:rsidR="000C6D5D" w:rsidRPr="00AB232B">
              <w:rPr>
                <w:b/>
              </w:rPr>
              <w:t xml:space="preserve"> </w:t>
            </w:r>
            <w:r w:rsidR="000C6D5D" w:rsidRPr="00AB232B">
              <w:t xml:space="preserve">or any other pathogenic strain of </w:t>
            </w:r>
            <w:r w:rsidR="000C6D5D" w:rsidRPr="00AB232B">
              <w:rPr>
                <w:i/>
              </w:rPr>
              <w:t>Bacillus</w:t>
            </w:r>
          </w:p>
        </w:tc>
      </w:tr>
      <w:tr w:rsidR="002A299A" w:rsidRPr="00AB232B" w:rsidTr="00F73959">
        <w:tc>
          <w:tcPr>
            <w:tcW w:w="742" w:type="dxa"/>
            <w:shd w:val="clear" w:color="auto" w:fill="auto"/>
          </w:tcPr>
          <w:p w:rsidR="002A299A" w:rsidRPr="00AB232B" w:rsidRDefault="002A299A" w:rsidP="002A299A">
            <w:pPr>
              <w:pStyle w:val="Tabletext"/>
            </w:pPr>
            <w:r w:rsidRPr="00AB232B">
              <w:t>3</w:t>
            </w:r>
          </w:p>
        </w:tc>
        <w:tc>
          <w:tcPr>
            <w:tcW w:w="1092" w:type="dxa"/>
            <w:shd w:val="clear" w:color="auto" w:fill="auto"/>
          </w:tcPr>
          <w:p w:rsidR="002A299A" w:rsidRPr="00AB232B" w:rsidRDefault="002A299A" w:rsidP="002A299A">
            <w:pPr>
              <w:pStyle w:val="Tabletext"/>
            </w:pPr>
            <w:r w:rsidRPr="00AB232B">
              <w:t>Bacteria</w:t>
            </w:r>
          </w:p>
        </w:tc>
        <w:tc>
          <w:tcPr>
            <w:tcW w:w="3821" w:type="dxa"/>
            <w:shd w:val="clear" w:color="auto" w:fill="auto"/>
          </w:tcPr>
          <w:p w:rsidR="002A299A" w:rsidRPr="00AB232B" w:rsidRDefault="000C6D5D" w:rsidP="00DB3A2F">
            <w:pPr>
              <w:pStyle w:val="Tabletext"/>
            </w:pPr>
            <w:r w:rsidRPr="00AB232B">
              <w:rPr>
                <w:i/>
              </w:rPr>
              <w:t>Pseudomonas putida</w:t>
            </w:r>
            <w:r w:rsidRPr="00AB232B">
              <w:t xml:space="preserve"> strain KT2440</w:t>
            </w:r>
          </w:p>
        </w:tc>
        <w:tc>
          <w:tcPr>
            <w:tcW w:w="2912" w:type="dxa"/>
            <w:shd w:val="clear" w:color="auto" w:fill="auto"/>
          </w:tcPr>
          <w:p w:rsidR="002A299A" w:rsidRPr="00AB232B" w:rsidRDefault="000C6D5D" w:rsidP="00F441D4">
            <w:pPr>
              <w:pStyle w:val="Tabletext"/>
            </w:pPr>
            <w:r w:rsidRPr="00AB232B">
              <w:t>Non</w:t>
            </w:r>
            <w:r w:rsidR="00AB232B">
              <w:noBreakHyphen/>
            </w:r>
            <w:r w:rsidRPr="00AB232B">
              <w:t>conjugative plasmids</w:t>
            </w:r>
          </w:p>
        </w:tc>
      </w:tr>
      <w:tr w:rsidR="002A299A" w:rsidRPr="00AB232B" w:rsidTr="00F73959">
        <w:tc>
          <w:tcPr>
            <w:tcW w:w="742" w:type="dxa"/>
            <w:shd w:val="clear" w:color="auto" w:fill="auto"/>
          </w:tcPr>
          <w:p w:rsidR="002A299A" w:rsidRPr="00AB232B" w:rsidRDefault="002A299A" w:rsidP="002A299A">
            <w:pPr>
              <w:pStyle w:val="Tabletext"/>
            </w:pPr>
            <w:r w:rsidRPr="00AB232B">
              <w:t>4</w:t>
            </w:r>
          </w:p>
        </w:tc>
        <w:tc>
          <w:tcPr>
            <w:tcW w:w="1092" w:type="dxa"/>
            <w:shd w:val="clear" w:color="auto" w:fill="auto"/>
          </w:tcPr>
          <w:p w:rsidR="002A299A" w:rsidRPr="00AB232B" w:rsidRDefault="00DB3A2F" w:rsidP="002A299A">
            <w:pPr>
              <w:pStyle w:val="Tabletext"/>
            </w:pPr>
            <w:r w:rsidRPr="00AB232B">
              <w:t>Bacteria</w:t>
            </w:r>
          </w:p>
        </w:tc>
        <w:tc>
          <w:tcPr>
            <w:tcW w:w="3821" w:type="dxa"/>
            <w:shd w:val="clear" w:color="auto" w:fill="auto"/>
          </w:tcPr>
          <w:p w:rsidR="002A299A" w:rsidRPr="00AB232B" w:rsidRDefault="00DB3A2F" w:rsidP="002A299A">
            <w:pPr>
              <w:pStyle w:val="Tabletext"/>
            </w:pPr>
            <w:r w:rsidRPr="00AB232B">
              <w:t xml:space="preserve">The following </w:t>
            </w:r>
            <w:r w:rsidRPr="00AB232B">
              <w:rPr>
                <w:i/>
              </w:rPr>
              <w:t>Streptomyces</w:t>
            </w:r>
            <w:r w:rsidRPr="00AB232B">
              <w:t xml:space="preserve"> species:</w:t>
            </w:r>
          </w:p>
          <w:p w:rsidR="0028135A" w:rsidRPr="00AB232B" w:rsidRDefault="0028135A" w:rsidP="0028135A">
            <w:pPr>
              <w:pStyle w:val="Tablea"/>
            </w:pPr>
            <w:r w:rsidRPr="00AB232B">
              <w:t xml:space="preserve">(a) </w:t>
            </w:r>
            <w:r w:rsidRPr="00AB232B">
              <w:rPr>
                <w:i/>
              </w:rPr>
              <w:t xml:space="preserve">S. </w:t>
            </w:r>
            <w:proofErr w:type="spellStart"/>
            <w:r w:rsidRPr="00AB232B">
              <w:rPr>
                <w:i/>
              </w:rPr>
              <w:t>aureofaciens</w:t>
            </w:r>
            <w:proofErr w:type="spellEnd"/>
            <w:r w:rsidRPr="00AB232B">
              <w:t>;</w:t>
            </w:r>
          </w:p>
          <w:p w:rsidR="0028135A" w:rsidRPr="00AB232B" w:rsidRDefault="0028135A" w:rsidP="0028135A">
            <w:pPr>
              <w:pStyle w:val="Tablea"/>
            </w:pPr>
            <w:r w:rsidRPr="00AB232B">
              <w:t xml:space="preserve">(b) </w:t>
            </w:r>
            <w:r w:rsidRPr="00AB232B">
              <w:rPr>
                <w:i/>
              </w:rPr>
              <w:t xml:space="preserve">S. </w:t>
            </w:r>
            <w:proofErr w:type="spellStart"/>
            <w:r w:rsidRPr="00AB232B">
              <w:rPr>
                <w:i/>
              </w:rPr>
              <w:t>coelicolor</w:t>
            </w:r>
            <w:proofErr w:type="spellEnd"/>
            <w:r w:rsidRPr="00AB232B">
              <w:t>;</w:t>
            </w:r>
          </w:p>
          <w:p w:rsidR="0028135A" w:rsidRPr="00AB232B" w:rsidRDefault="0028135A" w:rsidP="0028135A">
            <w:pPr>
              <w:pStyle w:val="Tablea"/>
            </w:pPr>
            <w:r w:rsidRPr="00AB232B">
              <w:t xml:space="preserve">(c) </w:t>
            </w:r>
            <w:r w:rsidRPr="00AB232B">
              <w:rPr>
                <w:i/>
              </w:rPr>
              <w:t xml:space="preserve">S. </w:t>
            </w:r>
            <w:proofErr w:type="spellStart"/>
            <w:r w:rsidRPr="00AB232B">
              <w:rPr>
                <w:i/>
              </w:rPr>
              <w:t>cyaneus</w:t>
            </w:r>
            <w:proofErr w:type="spellEnd"/>
            <w:r w:rsidRPr="00AB232B">
              <w:t>;</w:t>
            </w:r>
          </w:p>
          <w:p w:rsidR="0028135A" w:rsidRPr="00AB232B" w:rsidRDefault="0028135A" w:rsidP="0028135A">
            <w:pPr>
              <w:pStyle w:val="Tablea"/>
            </w:pPr>
            <w:r w:rsidRPr="00AB232B">
              <w:t xml:space="preserve">(d) </w:t>
            </w:r>
            <w:r w:rsidRPr="00AB232B">
              <w:rPr>
                <w:i/>
              </w:rPr>
              <w:t xml:space="preserve">S. </w:t>
            </w:r>
            <w:proofErr w:type="spellStart"/>
            <w:r w:rsidRPr="00AB232B">
              <w:rPr>
                <w:i/>
              </w:rPr>
              <w:t>griseus</w:t>
            </w:r>
            <w:proofErr w:type="spellEnd"/>
            <w:r w:rsidRPr="00AB232B">
              <w:t>;</w:t>
            </w:r>
          </w:p>
          <w:p w:rsidR="0028135A" w:rsidRPr="00AB232B" w:rsidRDefault="0028135A" w:rsidP="0028135A">
            <w:pPr>
              <w:pStyle w:val="Tablea"/>
            </w:pPr>
            <w:r w:rsidRPr="00AB232B">
              <w:t xml:space="preserve">(e) </w:t>
            </w:r>
            <w:r w:rsidRPr="00AB232B">
              <w:rPr>
                <w:i/>
              </w:rPr>
              <w:t xml:space="preserve">S. </w:t>
            </w:r>
            <w:proofErr w:type="spellStart"/>
            <w:r w:rsidRPr="00AB232B">
              <w:rPr>
                <w:i/>
              </w:rPr>
              <w:t>lividans</w:t>
            </w:r>
            <w:proofErr w:type="spellEnd"/>
            <w:r w:rsidRPr="00AB232B">
              <w:t>;</w:t>
            </w:r>
          </w:p>
          <w:p w:rsidR="0028135A" w:rsidRPr="00AB232B" w:rsidRDefault="0028135A" w:rsidP="0028135A">
            <w:pPr>
              <w:pStyle w:val="Tablea"/>
            </w:pPr>
            <w:r w:rsidRPr="00AB232B">
              <w:t xml:space="preserve">(f) </w:t>
            </w:r>
            <w:r w:rsidRPr="00AB232B">
              <w:rPr>
                <w:i/>
              </w:rPr>
              <w:t xml:space="preserve">S. </w:t>
            </w:r>
            <w:proofErr w:type="spellStart"/>
            <w:r w:rsidRPr="00AB232B">
              <w:rPr>
                <w:i/>
              </w:rPr>
              <w:t>parvulus</w:t>
            </w:r>
            <w:proofErr w:type="spellEnd"/>
            <w:r w:rsidRPr="00AB232B">
              <w:t>;</w:t>
            </w:r>
          </w:p>
          <w:p w:rsidR="0028135A" w:rsidRPr="00AB232B" w:rsidRDefault="0028135A" w:rsidP="0028135A">
            <w:pPr>
              <w:pStyle w:val="Tablea"/>
            </w:pPr>
            <w:r w:rsidRPr="00AB232B">
              <w:t xml:space="preserve">(g) </w:t>
            </w:r>
            <w:r w:rsidRPr="00AB232B">
              <w:rPr>
                <w:i/>
              </w:rPr>
              <w:t xml:space="preserve">S. </w:t>
            </w:r>
            <w:proofErr w:type="spellStart"/>
            <w:r w:rsidRPr="00AB232B">
              <w:rPr>
                <w:i/>
              </w:rPr>
              <w:t>rimosus</w:t>
            </w:r>
            <w:proofErr w:type="spellEnd"/>
            <w:r w:rsidRPr="00AB232B">
              <w:t>;</w:t>
            </w:r>
          </w:p>
          <w:p w:rsidR="00DB3A2F" w:rsidRPr="00AB232B" w:rsidRDefault="0028135A" w:rsidP="0028135A">
            <w:pPr>
              <w:pStyle w:val="Tabletext"/>
            </w:pPr>
            <w:r w:rsidRPr="00AB232B">
              <w:t xml:space="preserve">(h) </w:t>
            </w:r>
            <w:r w:rsidRPr="00AB232B">
              <w:rPr>
                <w:i/>
              </w:rPr>
              <w:t xml:space="preserve">S. </w:t>
            </w:r>
            <w:proofErr w:type="spellStart"/>
            <w:r w:rsidRPr="00AB232B">
              <w:rPr>
                <w:i/>
              </w:rPr>
              <w:t>venezuelae</w:t>
            </w:r>
            <w:proofErr w:type="spellEnd"/>
          </w:p>
        </w:tc>
        <w:tc>
          <w:tcPr>
            <w:tcW w:w="2912" w:type="dxa"/>
            <w:shd w:val="clear" w:color="auto" w:fill="auto"/>
          </w:tcPr>
          <w:p w:rsidR="00A813A1" w:rsidRPr="00AB232B" w:rsidRDefault="00A813A1" w:rsidP="0028135A">
            <w:pPr>
              <w:pStyle w:val="Tabletext"/>
            </w:pPr>
            <w:r w:rsidRPr="00AB232B">
              <w:t>Any of the following:</w:t>
            </w:r>
          </w:p>
          <w:p w:rsidR="00A813A1" w:rsidRPr="00AB232B" w:rsidRDefault="00A813A1" w:rsidP="00A813A1">
            <w:pPr>
              <w:pStyle w:val="Tablea"/>
            </w:pPr>
            <w:r w:rsidRPr="00AB232B">
              <w:t>(a) n</w:t>
            </w:r>
            <w:r w:rsidR="0028135A" w:rsidRPr="00AB232B">
              <w:t>on</w:t>
            </w:r>
            <w:r w:rsidR="00AB232B">
              <w:noBreakHyphen/>
            </w:r>
            <w:r w:rsidR="0028135A" w:rsidRPr="00AB232B">
              <w:t>conjugative plasmids</w:t>
            </w:r>
            <w:r w:rsidRPr="00AB232B">
              <w:t>;</w:t>
            </w:r>
          </w:p>
          <w:p w:rsidR="002A299A" w:rsidRPr="00AB232B" w:rsidRDefault="00A813A1" w:rsidP="00A813A1">
            <w:pPr>
              <w:pStyle w:val="Tablea"/>
            </w:pPr>
            <w:r w:rsidRPr="00AB232B">
              <w:t>(b) p</w:t>
            </w:r>
            <w:r w:rsidR="0028135A" w:rsidRPr="00AB232B">
              <w:t>lasmids SCP2, SLP1, SLP2, pIJ101 and derivatives</w:t>
            </w:r>
            <w:r w:rsidRPr="00AB232B">
              <w:t>;</w:t>
            </w:r>
          </w:p>
          <w:p w:rsidR="00ED6F87" w:rsidRPr="00AB232B" w:rsidRDefault="00A813A1" w:rsidP="00A813A1">
            <w:pPr>
              <w:pStyle w:val="Tablea"/>
            </w:pPr>
            <w:r w:rsidRPr="00AB232B">
              <w:t xml:space="preserve">(c) </w:t>
            </w:r>
            <w:proofErr w:type="spellStart"/>
            <w:r w:rsidRPr="00AB232B">
              <w:t>a</w:t>
            </w:r>
            <w:r w:rsidR="00ED6F87" w:rsidRPr="00AB232B">
              <w:t>ctinophage</w:t>
            </w:r>
            <w:proofErr w:type="spellEnd"/>
            <w:r w:rsidR="00ED6F87" w:rsidRPr="00AB232B">
              <w:t xml:space="preserve"> phi C31 and derivatives</w:t>
            </w:r>
          </w:p>
        </w:tc>
      </w:tr>
      <w:tr w:rsidR="002A299A" w:rsidRPr="00AB232B" w:rsidTr="00F73959">
        <w:tc>
          <w:tcPr>
            <w:tcW w:w="742" w:type="dxa"/>
            <w:shd w:val="clear" w:color="auto" w:fill="auto"/>
          </w:tcPr>
          <w:p w:rsidR="002A299A" w:rsidRPr="00AB232B" w:rsidRDefault="002A299A" w:rsidP="002A299A">
            <w:pPr>
              <w:pStyle w:val="Tabletext"/>
            </w:pPr>
            <w:r w:rsidRPr="00AB232B">
              <w:t>5</w:t>
            </w:r>
          </w:p>
        </w:tc>
        <w:tc>
          <w:tcPr>
            <w:tcW w:w="1092" w:type="dxa"/>
            <w:shd w:val="clear" w:color="auto" w:fill="auto"/>
          </w:tcPr>
          <w:p w:rsidR="002A299A" w:rsidRPr="00AB232B" w:rsidRDefault="0028135A" w:rsidP="002A299A">
            <w:pPr>
              <w:pStyle w:val="Tabletext"/>
            </w:pPr>
            <w:r w:rsidRPr="00AB232B">
              <w:t>Bacteria</w:t>
            </w:r>
          </w:p>
        </w:tc>
        <w:tc>
          <w:tcPr>
            <w:tcW w:w="3821" w:type="dxa"/>
            <w:shd w:val="clear" w:color="auto" w:fill="auto"/>
          </w:tcPr>
          <w:p w:rsidR="00A71EB2" w:rsidRPr="00AB232B" w:rsidRDefault="00A71EB2" w:rsidP="002A299A">
            <w:pPr>
              <w:pStyle w:val="Tabletext"/>
            </w:pPr>
            <w:r w:rsidRPr="00AB232B">
              <w:t>Any of the following:</w:t>
            </w:r>
          </w:p>
          <w:p w:rsidR="00A71EB2" w:rsidRPr="00AB232B" w:rsidRDefault="00A71EB2" w:rsidP="00A71EB2">
            <w:pPr>
              <w:pStyle w:val="Tablea"/>
            </w:pPr>
            <w:r w:rsidRPr="00AB232B">
              <w:t xml:space="preserve">(a) </w:t>
            </w:r>
            <w:r w:rsidR="00ED6F87" w:rsidRPr="00AB232B">
              <w:rPr>
                <w:i/>
              </w:rPr>
              <w:t xml:space="preserve">Agrobacterium </w:t>
            </w:r>
            <w:proofErr w:type="spellStart"/>
            <w:r w:rsidR="00ED6F87" w:rsidRPr="00AB232B">
              <w:rPr>
                <w:i/>
              </w:rPr>
              <w:t>radiobacter</w:t>
            </w:r>
            <w:proofErr w:type="spellEnd"/>
            <w:r w:rsidRPr="00AB232B">
              <w:t>;</w:t>
            </w:r>
          </w:p>
          <w:p w:rsidR="00A71EB2" w:rsidRPr="00AB232B" w:rsidRDefault="00A71EB2" w:rsidP="00A71EB2">
            <w:pPr>
              <w:pStyle w:val="Tablea"/>
            </w:pPr>
            <w:r w:rsidRPr="00AB232B">
              <w:t xml:space="preserve">(b) </w:t>
            </w:r>
            <w:r w:rsidR="00ED6F87" w:rsidRPr="00AB232B">
              <w:rPr>
                <w:i/>
              </w:rPr>
              <w:t xml:space="preserve">Agrobacterium </w:t>
            </w:r>
            <w:proofErr w:type="spellStart"/>
            <w:r w:rsidR="00ED6F87" w:rsidRPr="00AB232B">
              <w:rPr>
                <w:i/>
              </w:rPr>
              <w:t>rhizogenes</w:t>
            </w:r>
            <w:proofErr w:type="spellEnd"/>
            <w:r w:rsidR="00ED6F87" w:rsidRPr="00AB232B">
              <w:t xml:space="preserve"> (disarmed strains only)</w:t>
            </w:r>
            <w:r w:rsidRPr="00AB232B">
              <w:t>;</w:t>
            </w:r>
          </w:p>
          <w:p w:rsidR="002A299A" w:rsidRPr="00AB232B" w:rsidRDefault="00A71EB2" w:rsidP="00A71EB2">
            <w:pPr>
              <w:pStyle w:val="Tablea"/>
            </w:pPr>
            <w:r w:rsidRPr="00AB232B">
              <w:t xml:space="preserve">(c) </w:t>
            </w:r>
            <w:r w:rsidR="00ED6F87" w:rsidRPr="00AB232B">
              <w:rPr>
                <w:i/>
              </w:rPr>
              <w:t xml:space="preserve">Agrobacterium </w:t>
            </w:r>
            <w:proofErr w:type="spellStart"/>
            <w:r w:rsidR="00ED6F87" w:rsidRPr="00AB232B">
              <w:rPr>
                <w:i/>
              </w:rPr>
              <w:t>tumefaciens</w:t>
            </w:r>
            <w:proofErr w:type="spellEnd"/>
            <w:r w:rsidR="00ED6F87" w:rsidRPr="00AB232B">
              <w:t xml:space="preserve"> (disarmed strains only)</w:t>
            </w:r>
          </w:p>
        </w:tc>
        <w:tc>
          <w:tcPr>
            <w:tcW w:w="2912" w:type="dxa"/>
            <w:shd w:val="clear" w:color="auto" w:fill="auto"/>
          </w:tcPr>
          <w:p w:rsidR="002A299A" w:rsidRPr="00AB232B" w:rsidRDefault="00A217F4" w:rsidP="000A442F">
            <w:pPr>
              <w:pStyle w:val="Tabletext"/>
            </w:pPr>
            <w:r w:rsidRPr="00AB232B">
              <w:t xml:space="preserve">Disarmed </w:t>
            </w:r>
            <w:proofErr w:type="spellStart"/>
            <w:r w:rsidR="00F441D4" w:rsidRPr="00AB232B">
              <w:t>Ri</w:t>
            </w:r>
            <w:proofErr w:type="spellEnd"/>
            <w:r w:rsidR="00F441D4" w:rsidRPr="00AB232B">
              <w:t xml:space="preserve"> </w:t>
            </w:r>
            <w:r w:rsidR="000A442F" w:rsidRPr="00AB232B">
              <w:t>or</w:t>
            </w:r>
            <w:r w:rsidR="00F441D4" w:rsidRPr="00AB232B">
              <w:t xml:space="preserve"> </w:t>
            </w:r>
            <w:proofErr w:type="spellStart"/>
            <w:r w:rsidR="00F441D4" w:rsidRPr="00AB232B">
              <w:t>Ti</w:t>
            </w:r>
            <w:proofErr w:type="spellEnd"/>
            <w:r w:rsidR="00F441D4" w:rsidRPr="00AB232B">
              <w:t xml:space="preserve"> plasmid</w:t>
            </w:r>
            <w:r w:rsidR="00ED6F87" w:rsidRPr="00AB232B">
              <w:t>s</w:t>
            </w:r>
          </w:p>
        </w:tc>
      </w:tr>
      <w:tr w:rsidR="00ED6F87" w:rsidRPr="00AB232B" w:rsidTr="00F73959">
        <w:tc>
          <w:tcPr>
            <w:tcW w:w="742" w:type="dxa"/>
            <w:shd w:val="clear" w:color="auto" w:fill="auto"/>
          </w:tcPr>
          <w:p w:rsidR="00ED6F87" w:rsidRPr="00AB232B" w:rsidRDefault="00ED6F87" w:rsidP="002A299A">
            <w:pPr>
              <w:pStyle w:val="Tabletext"/>
            </w:pPr>
            <w:r w:rsidRPr="00AB232B">
              <w:t>6</w:t>
            </w:r>
          </w:p>
        </w:tc>
        <w:tc>
          <w:tcPr>
            <w:tcW w:w="1092" w:type="dxa"/>
            <w:shd w:val="clear" w:color="auto" w:fill="auto"/>
          </w:tcPr>
          <w:p w:rsidR="00ED6F87" w:rsidRPr="00AB232B" w:rsidRDefault="00ED6F87" w:rsidP="002A299A">
            <w:pPr>
              <w:pStyle w:val="Tabletext"/>
            </w:pPr>
            <w:r w:rsidRPr="00AB232B">
              <w:t>Bacteria</w:t>
            </w:r>
          </w:p>
        </w:tc>
        <w:tc>
          <w:tcPr>
            <w:tcW w:w="3821" w:type="dxa"/>
            <w:shd w:val="clear" w:color="auto" w:fill="auto"/>
          </w:tcPr>
          <w:p w:rsidR="00A71EB2" w:rsidRPr="00AB232B" w:rsidRDefault="00A71EB2" w:rsidP="003C47A6">
            <w:pPr>
              <w:pStyle w:val="Tabletext"/>
            </w:pPr>
            <w:r w:rsidRPr="00AB232B">
              <w:t>Any of the following:</w:t>
            </w:r>
          </w:p>
          <w:p w:rsidR="009B4E62" w:rsidRPr="00AB232B" w:rsidRDefault="00A71EB2" w:rsidP="00A71EB2">
            <w:pPr>
              <w:pStyle w:val="Tablea"/>
            </w:pPr>
            <w:r w:rsidRPr="00AB232B">
              <w:t xml:space="preserve">(a) </w:t>
            </w:r>
            <w:proofErr w:type="spellStart"/>
            <w:r w:rsidR="009B4E62" w:rsidRPr="00AB232B">
              <w:rPr>
                <w:i/>
              </w:rPr>
              <w:t>Allorhizobium</w:t>
            </w:r>
            <w:proofErr w:type="spellEnd"/>
            <w:r w:rsidR="009B4E62" w:rsidRPr="00AB232B">
              <w:rPr>
                <w:b/>
              </w:rPr>
              <w:t xml:space="preserve"> </w:t>
            </w:r>
            <w:r w:rsidR="009B4E62" w:rsidRPr="00AB232B">
              <w:t>species</w:t>
            </w:r>
            <w:r w:rsidRPr="00AB232B">
              <w:t>;</w:t>
            </w:r>
          </w:p>
          <w:p w:rsidR="009B4E62" w:rsidRPr="00AB232B" w:rsidRDefault="00A71EB2" w:rsidP="00A71EB2">
            <w:pPr>
              <w:pStyle w:val="Tablea"/>
            </w:pPr>
            <w:r w:rsidRPr="00AB232B">
              <w:t xml:space="preserve">(b) </w:t>
            </w:r>
            <w:r w:rsidR="009B4E62" w:rsidRPr="00AB232B">
              <w:rPr>
                <w:i/>
              </w:rPr>
              <w:t xml:space="preserve">Corynebacterium </w:t>
            </w:r>
            <w:proofErr w:type="spellStart"/>
            <w:r w:rsidR="009B4E62" w:rsidRPr="00AB232B">
              <w:rPr>
                <w:i/>
              </w:rPr>
              <w:t>glutamicum</w:t>
            </w:r>
            <w:proofErr w:type="spellEnd"/>
            <w:r w:rsidRPr="00AB232B">
              <w:t>;</w:t>
            </w:r>
          </w:p>
          <w:p w:rsidR="00ED6F87" w:rsidRPr="00AB232B" w:rsidRDefault="00A71EB2" w:rsidP="00A71EB2">
            <w:pPr>
              <w:pStyle w:val="Tablea"/>
            </w:pPr>
            <w:r w:rsidRPr="00AB232B">
              <w:t xml:space="preserve">(c) </w:t>
            </w:r>
            <w:r w:rsidR="00ED6F87" w:rsidRPr="00AB232B">
              <w:rPr>
                <w:i/>
              </w:rPr>
              <w:t>Lactobacillus</w:t>
            </w:r>
            <w:r w:rsidR="00ED6F87" w:rsidRPr="00AB232B">
              <w:rPr>
                <w:b/>
              </w:rPr>
              <w:t xml:space="preserve"> </w:t>
            </w:r>
            <w:r w:rsidR="00ED6F87" w:rsidRPr="00AB232B">
              <w:t>species</w:t>
            </w:r>
            <w:r w:rsidRPr="00AB232B">
              <w:t>;</w:t>
            </w:r>
          </w:p>
          <w:p w:rsidR="00ED6F87" w:rsidRPr="00AB232B" w:rsidRDefault="00A71EB2" w:rsidP="00A71EB2">
            <w:pPr>
              <w:pStyle w:val="Tablea"/>
            </w:pPr>
            <w:r w:rsidRPr="00AB232B">
              <w:t xml:space="preserve">(d) </w:t>
            </w:r>
            <w:proofErr w:type="spellStart"/>
            <w:r w:rsidR="00ED6F87" w:rsidRPr="00AB232B">
              <w:rPr>
                <w:i/>
              </w:rPr>
              <w:t>Lactococcus</w:t>
            </w:r>
            <w:proofErr w:type="spellEnd"/>
            <w:r w:rsidR="00ED6F87" w:rsidRPr="00AB232B">
              <w:rPr>
                <w:i/>
              </w:rPr>
              <w:t xml:space="preserve"> </w:t>
            </w:r>
            <w:proofErr w:type="spellStart"/>
            <w:r w:rsidR="00ED6F87" w:rsidRPr="00AB232B">
              <w:rPr>
                <w:i/>
              </w:rPr>
              <w:t>lactis</w:t>
            </w:r>
            <w:proofErr w:type="spellEnd"/>
            <w:r w:rsidRPr="00AB232B">
              <w:t>;</w:t>
            </w:r>
          </w:p>
          <w:p w:rsidR="00ED6F87" w:rsidRPr="00AB232B" w:rsidRDefault="00A71EB2" w:rsidP="00A71EB2">
            <w:pPr>
              <w:pStyle w:val="Tablea"/>
            </w:pPr>
            <w:r w:rsidRPr="00AB232B">
              <w:t xml:space="preserve">(e) </w:t>
            </w:r>
            <w:proofErr w:type="spellStart"/>
            <w:r w:rsidR="00ED6F87" w:rsidRPr="00AB232B">
              <w:rPr>
                <w:i/>
              </w:rPr>
              <w:t>Oenococcus</w:t>
            </w:r>
            <w:proofErr w:type="spellEnd"/>
            <w:r w:rsidR="00ED6F87" w:rsidRPr="00AB232B">
              <w:rPr>
                <w:i/>
              </w:rPr>
              <w:t xml:space="preserve"> </w:t>
            </w:r>
            <w:proofErr w:type="spellStart"/>
            <w:r w:rsidR="00ED6F87" w:rsidRPr="00AB232B">
              <w:rPr>
                <w:i/>
              </w:rPr>
              <w:t>oeni</w:t>
            </w:r>
            <w:proofErr w:type="spellEnd"/>
            <w:r w:rsidR="00ED6F87" w:rsidRPr="00AB232B">
              <w:rPr>
                <w:i/>
              </w:rPr>
              <w:t xml:space="preserve"> </w:t>
            </w:r>
            <w:r w:rsidR="00ED6F87" w:rsidRPr="00AB232B">
              <w:t xml:space="preserve">syn. </w:t>
            </w:r>
            <w:proofErr w:type="spellStart"/>
            <w:r w:rsidR="00ED6F87" w:rsidRPr="00AB232B">
              <w:rPr>
                <w:i/>
              </w:rPr>
              <w:t>Leuconostoc</w:t>
            </w:r>
            <w:proofErr w:type="spellEnd"/>
            <w:r w:rsidR="00ED6F87" w:rsidRPr="00AB232B">
              <w:rPr>
                <w:i/>
              </w:rPr>
              <w:t xml:space="preserve"> </w:t>
            </w:r>
            <w:proofErr w:type="spellStart"/>
            <w:r w:rsidR="00ED6F87" w:rsidRPr="00AB232B">
              <w:rPr>
                <w:i/>
              </w:rPr>
              <w:t>oeni</w:t>
            </w:r>
            <w:proofErr w:type="spellEnd"/>
            <w:r w:rsidRPr="00AB232B">
              <w:t>;</w:t>
            </w:r>
          </w:p>
          <w:p w:rsidR="00ED6F87" w:rsidRPr="00AB232B" w:rsidRDefault="00A71EB2" w:rsidP="00A71EB2">
            <w:pPr>
              <w:pStyle w:val="Tablea"/>
            </w:pPr>
            <w:r w:rsidRPr="00AB232B">
              <w:t xml:space="preserve">(f) </w:t>
            </w:r>
            <w:proofErr w:type="spellStart"/>
            <w:r w:rsidR="00ED6F87" w:rsidRPr="00AB232B">
              <w:rPr>
                <w:i/>
              </w:rPr>
              <w:t>Pediococcus</w:t>
            </w:r>
            <w:proofErr w:type="spellEnd"/>
            <w:r w:rsidR="00ED6F87" w:rsidRPr="00AB232B">
              <w:t xml:space="preserve"> species</w:t>
            </w:r>
            <w:r w:rsidRPr="00AB232B">
              <w:t>;</w:t>
            </w:r>
          </w:p>
          <w:p w:rsidR="00ED6F87" w:rsidRPr="00AB232B" w:rsidRDefault="00A71EB2" w:rsidP="00A71EB2">
            <w:pPr>
              <w:pStyle w:val="Tablea"/>
            </w:pPr>
            <w:r w:rsidRPr="00AB232B">
              <w:t xml:space="preserve">(g) </w:t>
            </w:r>
            <w:proofErr w:type="spellStart"/>
            <w:r w:rsidR="00ED6F87" w:rsidRPr="00AB232B">
              <w:rPr>
                <w:i/>
              </w:rPr>
              <w:t>Photobacterium</w:t>
            </w:r>
            <w:proofErr w:type="spellEnd"/>
            <w:r w:rsidR="00ED6F87" w:rsidRPr="00AB232B">
              <w:rPr>
                <w:i/>
              </w:rPr>
              <w:t xml:space="preserve"> </w:t>
            </w:r>
            <w:proofErr w:type="spellStart"/>
            <w:r w:rsidR="00ED6F87" w:rsidRPr="00AB232B">
              <w:rPr>
                <w:i/>
              </w:rPr>
              <w:t>angustum</w:t>
            </w:r>
            <w:proofErr w:type="spellEnd"/>
            <w:r w:rsidRPr="00AB232B">
              <w:t>;</w:t>
            </w:r>
          </w:p>
          <w:p w:rsidR="00ED6F87" w:rsidRPr="00AB232B" w:rsidRDefault="00A71EB2" w:rsidP="00A71EB2">
            <w:pPr>
              <w:pStyle w:val="Tablea"/>
            </w:pPr>
            <w:r w:rsidRPr="00AB232B">
              <w:t xml:space="preserve">(h) </w:t>
            </w:r>
            <w:proofErr w:type="spellStart"/>
            <w:r w:rsidR="00ED6F87" w:rsidRPr="00AB232B">
              <w:rPr>
                <w:i/>
              </w:rPr>
              <w:t>Pseudoalteromonas</w:t>
            </w:r>
            <w:proofErr w:type="spellEnd"/>
            <w:r w:rsidR="00ED6F87" w:rsidRPr="00AB232B">
              <w:rPr>
                <w:i/>
              </w:rPr>
              <w:t xml:space="preserve"> </w:t>
            </w:r>
            <w:proofErr w:type="spellStart"/>
            <w:r w:rsidR="00ED6F87" w:rsidRPr="00AB232B">
              <w:rPr>
                <w:i/>
              </w:rPr>
              <w:t>tunicata</w:t>
            </w:r>
            <w:proofErr w:type="spellEnd"/>
            <w:r w:rsidRPr="00AB232B">
              <w:t>;</w:t>
            </w:r>
          </w:p>
          <w:p w:rsidR="00ED6F87" w:rsidRPr="00AB232B" w:rsidRDefault="00A71EB2" w:rsidP="00A71EB2">
            <w:pPr>
              <w:pStyle w:val="Tablea"/>
            </w:pPr>
            <w:r w:rsidRPr="00AB232B">
              <w:t>(</w:t>
            </w:r>
            <w:proofErr w:type="spellStart"/>
            <w:r w:rsidRPr="00AB232B">
              <w:t>i</w:t>
            </w:r>
            <w:proofErr w:type="spellEnd"/>
            <w:r w:rsidRPr="00AB232B">
              <w:t xml:space="preserve">) </w:t>
            </w:r>
            <w:r w:rsidR="00ED6F87" w:rsidRPr="00AB232B">
              <w:rPr>
                <w:i/>
              </w:rPr>
              <w:t xml:space="preserve">Rhizobium </w:t>
            </w:r>
            <w:r w:rsidR="009B4E62" w:rsidRPr="00AB232B">
              <w:t>species</w:t>
            </w:r>
            <w:r w:rsidRPr="00AB232B">
              <w:t>;</w:t>
            </w:r>
          </w:p>
          <w:p w:rsidR="00ED6F87" w:rsidRPr="00AB232B" w:rsidRDefault="00A71EB2" w:rsidP="00A71EB2">
            <w:pPr>
              <w:pStyle w:val="Tablea"/>
            </w:pPr>
            <w:r w:rsidRPr="00AB232B">
              <w:t xml:space="preserve">(j) </w:t>
            </w:r>
            <w:proofErr w:type="spellStart"/>
            <w:r w:rsidR="00ED6F87" w:rsidRPr="00AB232B">
              <w:rPr>
                <w:i/>
              </w:rPr>
              <w:t>Sphingopyxis</w:t>
            </w:r>
            <w:proofErr w:type="spellEnd"/>
            <w:r w:rsidR="00ED6F87" w:rsidRPr="00AB232B">
              <w:rPr>
                <w:i/>
              </w:rPr>
              <w:t xml:space="preserve"> </w:t>
            </w:r>
            <w:proofErr w:type="spellStart"/>
            <w:r w:rsidR="00ED6F87" w:rsidRPr="00AB232B">
              <w:rPr>
                <w:i/>
              </w:rPr>
              <w:t>alaskensis</w:t>
            </w:r>
            <w:proofErr w:type="spellEnd"/>
            <w:r w:rsidR="00ED6F87" w:rsidRPr="00AB232B">
              <w:rPr>
                <w:i/>
              </w:rPr>
              <w:t xml:space="preserve"> </w:t>
            </w:r>
            <w:r w:rsidR="00ED6F87" w:rsidRPr="00AB232B">
              <w:t xml:space="preserve">syn. </w:t>
            </w:r>
            <w:proofErr w:type="spellStart"/>
            <w:r w:rsidR="00ED6F87" w:rsidRPr="00AB232B">
              <w:rPr>
                <w:i/>
              </w:rPr>
              <w:t>Sphingomonas</w:t>
            </w:r>
            <w:proofErr w:type="spellEnd"/>
            <w:r w:rsidR="00ED6F87" w:rsidRPr="00AB232B">
              <w:rPr>
                <w:i/>
              </w:rPr>
              <w:t xml:space="preserve"> </w:t>
            </w:r>
            <w:proofErr w:type="spellStart"/>
            <w:r w:rsidR="00ED6F87" w:rsidRPr="00AB232B">
              <w:rPr>
                <w:i/>
              </w:rPr>
              <w:t>alaskensis</w:t>
            </w:r>
            <w:proofErr w:type="spellEnd"/>
            <w:r w:rsidRPr="00AB232B">
              <w:t>;</w:t>
            </w:r>
          </w:p>
          <w:p w:rsidR="00ED6F87" w:rsidRPr="00AB232B" w:rsidRDefault="00A71EB2" w:rsidP="00A71EB2">
            <w:pPr>
              <w:pStyle w:val="Tablea"/>
            </w:pPr>
            <w:r w:rsidRPr="00AB232B">
              <w:t xml:space="preserve">(k) </w:t>
            </w:r>
            <w:r w:rsidR="00ED6F87" w:rsidRPr="00AB232B">
              <w:rPr>
                <w:i/>
              </w:rPr>
              <w:t xml:space="preserve">Streptococcus </w:t>
            </w:r>
            <w:proofErr w:type="spellStart"/>
            <w:r w:rsidR="00ED6F87" w:rsidRPr="00AB232B">
              <w:rPr>
                <w:i/>
              </w:rPr>
              <w:t>thermophilus</w:t>
            </w:r>
            <w:proofErr w:type="spellEnd"/>
            <w:r w:rsidRPr="00AB232B">
              <w:t>;</w:t>
            </w:r>
          </w:p>
          <w:p w:rsidR="00ED6F87" w:rsidRPr="00AB232B" w:rsidRDefault="00A71EB2" w:rsidP="00ED6F87">
            <w:pPr>
              <w:pStyle w:val="Tablea"/>
            </w:pPr>
            <w:r w:rsidRPr="00AB232B">
              <w:t xml:space="preserve">(l) </w:t>
            </w:r>
            <w:proofErr w:type="spellStart"/>
            <w:r w:rsidR="00ED6F87" w:rsidRPr="00AB232B">
              <w:rPr>
                <w:i/>
              </w:rPr>
              <w:t>Synechococcus</w:t>
            </w:r>
            <w:proofErr w:type="spellEnd"/>
            <w:r w:rsidR="00E8087F" w:rsidRPr="00AB232B">
              <w:t xml:space="preserve"> species </w:t>
            </w:r>
            <w:r w:rsidRPr="00AB232B">
              <w:t xml:space="preserve">strains </w:t>
            </w:r>
            <w:proofErr w:type="spellStart"/>
            <w:r w:rsidR="00ED6F87" w:rsidRPr="00AB232B">
              <w:t>PCC</w:t>
            </w:r>
            <w:proofErr w:type="spellEnd"/>
            <w:r w:rsidR="00ED6F87" w:rsidRPr="00AB232B">
              <w:t xml:space="preserve"> 7002</w:t>
            </w:r>
            <w:r w:rsidRPr="00AB232B">
              <w:t xml:space="preserve">, </w:t>
            </w:r>
            <w:proofErr w:type="spellStart"/>
            <w:r w:rsidR="00ED6F87" w:rsidRPr="00AB232B">
              <w:t>PCC</w:t>
            </w:r>
            <w:proofErr w:type="spellEnd"/>
            <w:r w:rsidR="00ED6F87" w:rsidRPr="00AB232B">
              <w:t xml:space="preserve"> 7942</w:t>
            </w:r>
            <w:r w:rsidRPr="00AB232B">
              <w:t xml:space="preserve"> and </w:t>
            </w:r>
            <w:proofErr w:type="spellStart"/>
            <w:r w:rsidR="00ED6F87" w:rsidRPr="00AB232B">
              <w:t>WH</w:t>
            </w:r>
            <w:proofErr w:type="spellEnd"/>
            <w:r w:rsidR="00ED6F87" w:rsidRPr="00AB232B">
              <w:t xml:space="preserve"> 8102</w:t>
            </w:r>
            <w:r w:rsidRPr="00AB232B">
              <w:t>;</w:t>
            </w:r>
          </w:p>
          <w:p w:rsidR="00ED6F87" w:rsidRPr="00AB232B" w:rsidRDefault="00A71EB2" w:rsidP="00A71EB2">
            <w:pPr>
              <w:pStyle w:val="Tablea"/>
            </w:pPr>
            <w:r w:rsidRPr="00AB232B">
              <w:t xml:space="preserve">(m) </w:t>
            </w:r>
            <w:proofErr w:type="spellStart"/>
            <w:r w:rsidR="00ED6F87" w:rsidRPr="00AB232B">
              <w:rPr>
                <w:i/>
              </w:rPr>
              <w:t>Synechocystis</w:t>
            </w:r>
            <w:proofErr w:type="spellEnd"/>
            <w:r w:rsidR="00ED6F87" w:rsidRPr="00AB232B">
              <w:rPr>
                <w:i/>
              </w:rPr>
              <w:t xml:space="preserve"> </w:t>
            </w:r>
            <w:r w:rsidR="00ED6F87" w:rsidRPr="00AB232B">
              <w:t>species</w:t>
            </w:r>
            <w:r w:rsidR="009B4E62" w:rsidRPr="00AB232B">
              <w:t xml:space="preserve"> </w:t>
            </w:r>
            <w:r w:rsidR="00ED6F87" w:rsidRPr="00AB232B">
              <w:t xml:space="preserve">strain </w:t>
            </w:r>
            <w:proofErr w:type="spellStart"/>
            <w:r w:rsidR="00ED6F87" w:rsidRPr="00AB232B">
              <w:t>PCC</w:t>
            </w:r>
            <w:proofErr w:type="spellEnd"/>
            <w:r w:rsidR="00ED6F87" w:rsidRPr="00AB232B">
              <w:t xml:space="preserve"> 6803</w:t>
            </w:r>
            <w:r w:rsidRPr="00AB232B">
              <w:t>;</w:t>
            </w:r>
          </w:p>
          <w:p w:rsidR="00ED6F87" w:rsidRPr="00AB232B" w:rsidRDefault="00A71EB2" w:rsidP="00A71EB2">
            <w:pPr>
              <w:pStyle w:val="Tablea"/>
            </w:pPr>
            <w:r w:rsidRPr="00AB232B">
              <w:t xml:space="preserve">(n) </w:t>
            </w:r>
            <w:r w:rsidR="00ED6F87" w:rsidRPr="00AB232B">
              <w:rPr>
                <w:i/>
              </w:rPr>
              <w:t xml:space="preserve">Vibrio </w:t>
            </w:r>
            <w:proofErr w:type="spellStart"/>
            <w:r w:rsidR="00ED6F87" w:rsidRPr="00AB232B">
              <w:rPr>
                <w:i/>
              </w:rPr>
              <w:t>cholerae</w:t>
            </w:r>
            <w:proofErr w:type="spellEnd"/>
            <w:r w:rsidR="00ED6F87" w:rsidRPr="00AB232B">
              <w:rPr>
                <w:i/>
              </w:rPr>
              <w:t xml:space="preserve"> </w:t>
            </w:r>
            <w:r w:rsidR="00ED6F87" w:rsidRPr="00AB232B">
              <w:t>CVD103</w:t>
            </w:r>
            <w:r w:rsidR="00AB232B">
              <w:noBreakHyphen/>
            </w:r>
            <w:r w:rsidR="00ED6F87" w:rsidRPr="00AB232B">
              <w:t>HgR</w:t>
            </w:r>
            <w:r w:rsidRPr="00AB232B">
              <w:t>;</w:t>
            </w:r>
          </w:p>
          <w:p w:rsidR="009B4E62" w:rsidRPr="00AB232B" w:rsidRDefault="00A71EB2" w:rsidP="00A71EB2">
            <w:pPr>
              <w:pStyle w:val="Tablea"/>
              <w:rPr>
                <w:i/>
              </w:rPr>
            </w:pPr>
            <w:r w:rsidRPr="00AB232B">
              <w:t xml:space="preserve">(o) </w:t>
            </w:r>
            <w:proofErr w:type="spellStart"/>
            <w:r w:rsidR="009B4E62" w:rsidRPr="00AB232B">
              <w:rPr>
                <w:i/>
              </w:rPr>
              <w:t>Zymomonas</w:t>
            </w:r>
            <w:proofErr w:type="spellEnd"/>
            <w:r w:rsidR="009B4E62" w:rsidRPr="00AB232B">
              <w:rPr>
                <w:i/>
              </w:rPr>
              <w:t xml:space="preserve"> </w:t>
            </w:r>
            <w:proofErr w:type="spellStart"/>
            <w:r w:rsidR="009B4E62" w:rsidRPr="00AB232B">
              <w:rPr>
                <w:i/>
              </w:rPr>
              <w:t>mobilis</w:t>
            </w:r>
            <w:proofErr w:type="spellEnd"/>
          </w:p>
        </w:tc>
        <w:tc>
          <w:tcPr>
            <w:tcW w:w="2912" w:type="dxa"/>
            <w:shd w:val="clear" w:color="auto" w:fill="auto"/>
          </w:tcPr>
          <w:p w:rsidR="00ED6F87" w:rsidRPr="00AB232B" w:rsidRDefault="009B4E62" w:rsidP="002A299A">
            <w:pPr>
              <w:pStyle w:val="Tabletext"/>
            </w:pPr>
            <w:r w:rsidRPr="00AB232B">
              <w:t>Non</w:t>
            </w:r>
            <w:r w:rsidR="00AB232B">
              <w:noBreakHyphen/>
            </w:r>
            <w:r w:rsidRPr="00AB232B">
              <w:t>conjugative plasmids</w:t>
            </w:r>
          </w:p>
        </w:tc>
      </w:tr>
      <w:tr w:rsidR="009B4E62" w:rsidRPr="00AB232B" w:rsidTr="00F73959">
        <w:tc>
          <w:tcPr>
            <w:tcW w:w="742" w:type="dxa"/>
            <w:shd w:val="clear" w:color="auto" w:fill="auto"/>
          </w:tcPr>
          <w:p w:rsidR="009B4E62" w:rsidRPr="00AB232B" w:rsidRDefault="009B4E62" w:rsidP="002A299A">
            <w:pPr>
              <w:pStyle w:val="Tabletext"/>
            </w:pPr>
            <w:r w:rsidRPr="00AB232B">
              <w:t>7</w:t>
            </w:r>
          </w:p>
        </w:tc>
        <w:tc>
          <w:tcPr>
            <w:tcW w:w="1092" w:type="dxa"/>
            <w:shd w:val="clear" w:color="auto" w:fill="auto"/>
          </w:tcPr>
          <w:p w:rsidR="009B4E62" w:rsidRPr="00AB232B" w:rsidRDefault="00E8087F" w:rsidP="002A299A">
            <w:pPr>
              <w:pStyle w:val="Tabletext"/>
            </w:pPr>
            <w:r w:rsidRPr="00AB232B">
              <w:t>Fungi</w:t>
            </w:r>
          </w:p>
        </w:tc>
        <w:tc>
          <w:tcPr>
            <w:tcW w:w="3821" w:type="dxa"/>
            <w:shd w:val="clear" w:color="auto" w:fill="auto"/>
          </w:tcPr>
          <w:p w:rsidR="00A71EB2" w:rsidRPr="00AB232B" w:rsidRDefault="00A71EB2" w:rsidP="00A71EB2">
            <w:pPr>
              <w:pStyle w:val="Tabletext"/>
            </w:pPr>
            <w:r w:rsidRPr="00AB232B">
              <w:t>Any of the following:</w:t>
            </w:r>
          </w:p>
          <w:p w:rsidR="00E8087F" w:rsidRPr="00AB232B" w:rsidRDefault="00A71EB2" w:rsidP="00A71EB2">
            <w:pPr>
              <w:pStyle w:val="Tablea"/>
            </w:pPr>
            <w:r w:rsidRPr="00AB232B">
              <w:t xml:space="preserve">(a) </w:t>
            </w:r>
            <w:proofErr w:type="spellStart"/>
            <w:r w:rsidR="00E8087F" w:rsidRPr="00AB232B">
              <w:rPr>
                <w:i/>
              </w:rPr>
              <w:t>Kluyveromyces</w:t>
            </w:r>
            <w:proofErr w:type="spellEnd"/>
            <w:r w:rsidR="00E8087F" w:rsidRPr="00AB232B">
              <w:rPr>
                <w:i/>
              </w:rPr>
              <w:t xml:space="preserve"> </w:t>
            </w:r>
            <w:proofErr w:type="spellStart"/>
            <w:r w:rsidR="00E8087F" w:rsidRPr="00AB232B">
              <w:rPr>
                <w:i/>
              </w:rPr>
              <w:t>lactis</w:t>
            </w:r>
            <w:proofErr w:type="spellEnd"/>
            <w:r w:rsidRPr="00AB232B">
              <w:t>;</w:t>
            </w:r>
          </w:p>
          <w:p w:rsidR="00E8087F" w:rsidRPr="00AB232B" w:rsidRDefault="00A71EB2" w:rsidP="00A71EB2">
            <w:pPr>
              <w:pStyle w:val="Tablea"/>
            </w:pPr>
            <w:r w:rsidRPr="00AB232B">
              <w:t xml:space="preserve">(b) </w:t>
            </w:r>
            <w:proofErr w:type="spellStart"/>
            <w:r w:rsidR="00E8087F" w:rsidRPr="00AB232B">
              <w:rPr>
                <w:i/>
                <w:iCs/>
              </w:rPr>
              <w:t>Neurospora</w:t>
            </w:r>
            <w:proofErr w:type="spellEnd"/>
            <w:r w:rsidR="00E8087F" w:rsidRPr="00AB232B">
              <w:rPr>
                <w:i/>
                <w:iCs/>
              </w:rPr>
              <w:t xml:space="preserve"> </w:t>
            </w:r>
            <w:proofErr w:type="spellStart"/>
            <w:r w:rsidR="00E8087F" w:rsidRPr="00AB232B">
              <w:rPr>
                <w:i/>
                <w:iCs/>
              </w:rPr>
              <w:t>crassa</w:t>
            </w:r>
            <w:proofErr w:type="spellEnd"/>
            <w:r w:rsidRPr="00AB232B">
              <w:rPr>
                <w:i/>
                <w:iCs/>
              </w:rPr>
              <w:t xml:space="preserve"> </w:t>
            </w:r>
            <w:r w:rsidRPr="00AB232B">
              <w:rPr>
                <w:iCs/>
              </w:rPr>
              <w:t>(</w:t>
            </w:r>
            <w:r w:rsidR="00E8087F" w:rsidRPr="00AB232B">
              <w:t>laboratory strains</w:t>
            </w:r>
            <w:r w:rsidRPr="00AB232B">
              <w:t>);</w:t>
            </w:r>
          </w:p>
          <w:p w:rsidR="00E8087F" w:rsidRPr="00AB232B" w:rsidRDefault="00A71EB2" w:rsidP="00A71EB2">
            <w:pPr>
              <w:pStyle w:val="Tablea"/>
            </w:pPr>
            <w:r w:rsidRPr="00AB232B">
              <w:t xml:space="preserve">(c) </w:t>
            </w:r>
            <w:r w:rsidR="00E8087F" w:rsidRPr="00AB232B">
              <w:rPr>
                <w:i/>
              </w:rPr>
              <w:t>Pichia pastoris</w:t>
            </w:r>
            <w:r w:rsidRPr="00AB232B">
              <w:t>;</w:t>
            </w:r>
          </w:p>
          <w:p w:rsidR="00E8087F" w:rsidRPr="00AB232B" w:rsidRDefault="00A71EB2" w:rsidP="00A71EB2">
            <w:pPr>
              <w:pStyle w:val="Tablea"/>
            </w:pPr>
            <w:r w:rsidRPr="00AB232B">
              <w:t xml:space="preserve">(d) </w:t>
            </w:r>
            <w:r w:rsidR="00E8087F" w:rsidRPr="00AB232B">
              <w:rPr>
                <w:i/>
              </w:rPr>
              <w:t>Saccharomyces cerevisiae</w:t>
            </w:r>
            <w:r w:rsidRPr="00AB232B">
              <w:t>;</w:t>
            </w:r>
          </w:p>
          <w:p w:rsidR="00E8087F" w:rsidRPr="00AB232B" w:rsidRDefault="00A71EB2" w:rsidP="00A71EB2">
            <w:pPr>
              <w:pStyle w:val="Tablea"/>
            </w:pPr>
            <w:r w:rsidRPr="00AB232B">
              <w:t xml:space="preserve">(e) </w:t>
            </w:r>
            <w:proofErr w:type="spellStart"/>
            <w:r w:rsidR="00E8087F" w:rsidRPr="00AB232B">
              <w:rPr>
                <w:i/>
              </w:rPr>
              <w:t>Schizosaccharomyces</w:t>
            </w:r>
            <w:proofErr w:type="spellEnd"/>
            <w:r w:rsidR="00E8087F" w:rsidRPr="00AB232B">
              <w:rPr>
                <w:i/>
              </w:rPr>
              <w:t xml:space="preserve"> </w:t>
            </w:r>
            <w:proofErr w:type="spellStart"/>
            <w:r w:rsidR="00E8087F" w:rsidRPr="00AB232B">
              <w:rPr>
                <w:i/>
              </w:rPr>
              <w:t>pombe</w:t>
            </w:r>
            <w:proofErr w:type="spellEnd"/>
            <w:r w:rsidRPr="00AB232B">
              <w:t>;</w:t>
            </w:r>
          </w:p>
          <w:p w:rsidR="00E8087F" w:rsidRPr="00AB232B" w:rsidRDefault="00A71EB2" w:rsidP="00A71EB2">
            <w:pPr>
              <w:pStyle w:val="Tablea"/>
            </w:pPr>
            <w:r w:rsidRPr="00AB232B">
              <w:t xml:space="preserve">(f) </w:t>
            </w:r>
            <w:r w:rsidR="00E8087F" w:rsidRPr="00AB232B">
              <w:rPr>
                <w:i/>
              </w:rPr>
              <w:t xml:space="preserve">Trichoderma </w:t>
            </w:r>
            <w:proofErr w:type="spellStart"/>
            <w:r w:rsidR="00E8087F" w:rsidRPr="00AB232B">
              <w:rPr>
                <w:i/>
              </w:rPr>
              <w:t>reesei</w:t>
            </w:r>
            <w:proofErr w:type="spellEnd"/>
            <w:r w:rsidRPr="00AB232B">
              <w:t>;</w:t>
            </w:r>
          </w:p>
          <w:p w:rsidR="009B4E62" w:rsidRPr="00AB232B" w:rsidRDefault="00A71EB2" w:rsidP="00A71EB2">
            <w:pPr>
              <w:pStyle w:val="Tablea"/>
            </w:pPr>
            <w:r w:rsidRPr="00AB232B">
              <w:t xml:space="preserve">(g) </w:t>
            </w:r>
            <w:proofErr w:type="spellStart"/>
            <w:r w:rsidR="00E8087F" w:rsidRPr="00AB232B">
              <w:rPr>
                <w:i/>
              </w:rPr>
              <w:t>Yarrowia</w:t>
            </w:r>
            <w:proofErr w:type="spellEnd"/>
            <w:r w:rsidR="00E8087F" w:rsidRPr="00AB232B">
              <w:rPr>
                <w:i/>
              </w:rPr>
              <w:t xml:space="preserve"> </w:t>
            </w:r>
            <w:proofErr w:type="spellStart"/>
            <w:r w:rsidR="00E8087F" w:rsidRPr="00AB232B">
              <w:rPr>
                <w:i/>
              </w:rPr>
              <w:t>lipolytica</w:t>
            </w:r>
            <w:proofErr w:type="spellEnd"/>
          </w:p>
        </w:tc>
        <w:tc>
          <w:tcPr>
            <w:tcW w:w="2912" w:type="dxa"/>
            <w:shd w:val="clear" w:color="auto" w:fill="auto"/>
          </w:tcPr>
          <w:p w:rsidR="009B4E62" w:rsidRPr="00AB232B" w:rsidRDefault="00E8087F" w:rsidP="002A299A">
            <w:pPr>
              <w:pStyle w:val="Tabletext"/>
            </w:pPr>
            <w:r w:rsidRPr="00AB232B">
              <w:t>All vectors</w:t>
            </w:r>
          </w:p>
        </w:tc>
      </w:tr>
      <w:tr w:rsidR="009B4E62" w:rsidRPr="00AB232B" w:rsidTr="00F73959">
        <w:tc>
          <w:tcPr>
            <w:tcW w:w="742" w:type="dxa"/>
            <w:shd w:val="clear" w:color="auto" w:fill="auto"/>
          </w:tcPr>
          <w:p w:rsidR="009B4E62" w:rsidRPr="00AB232B" w:rsidRDefault="009B4E62" w:rsidP="002A299A">
            <w:pPr>
              <w:pStyle w:val="Tabletext"/>
            </w:pPr>
            <w:r w:rsidRPr="00AB232B">
              <w:t>8</w:t>
            </w:r>
          </w:p>
        </w:tc>
        <w:tc>
          <w:tcPr>
            <w:tcW w:w="1092" w:type="dxa"/>
            <w:shd w:val="clear" w:color="auto" w:fill="auto"/>
          </w:tcPr>
          <w:p w:rsidR="009B4E62" w:rsidRPr="00AB232B" w:rsidRDefault="00E8087F" w:rsidP="002A299A">
            <w:pPr>
              <w:pStyle w:val="Tabletext"/>
            </w:pPr>
            <w:r w:rsidRPr="00AB232B">
              <w:t>Slime moulds</w:t>
            </w:r>
          </w:p>
        </w:tc>
        <w:tc>
          <w:tcPr>
            <w:tcW w:w="3821" w:type="dxa"/>
            <w:shd w:val="clear" w:color="auto" w:fill="auto"/>
          </w:tcPr>
          <w:p w:rsidR="009B4E62" w:rsidRPr="00AB232B" w:rsidRDefault="00E8087F" w:rsidP="003C47A6">
            <w:pPr>
              <w:pStyle w:val="Tabletext"/>
            </w:pPr>
            <w:proofErr w:type="spellStart"/>
            <w:r w:rsidRPr="00AB232B">
              <w:rPr>
                <w:i/>
              </w:rPr>
              <w:t>Dictyostelium</w:t>
            </w:r>
            <w:proofErr w:type="spellEnd"/>
            <w:r w:rsidRPr="00AB232B">
              <w:rPr>
                <w:i/>
              </w:rPr>
              <w:t xml:space="preserve"> </w:t>
            </w:r>
            <w:r w:rsidRPr="00AB232B">
              <w:t>species</w:t>
            </w:r>
          </w:p>
        </w:tc>
        <w:tc>
          <w:tcPr>
            <w:tcW w:w="2912" w:type="dxa"/>
            <w:shd w:val="clear" w:color="auto" w:fill="auto"/>
          </w:tcPr>
          <w:p w:rsidR="009B4E62" w:rsidRPr="00AB232B" w:rsidRDefault="00E8087F" w:rsidP="002A299A">
            <w:pPr>
              <w:pStyle w:val="Tabletext"/>
            </w:pPr>
            <w:proofErr w:type="spellStart"/>
            <w:r w:rsidRPr="00AB232B">
              <w:rPr>
                <w:i/>
              </w:rPr>
              <w:t>Dictyostelium</w:t>
            </w:r>
            <w:proofErr w:type="spellEnd"/>
            <w:r w:rsidRPr="00AB232B">
              <w:rPr>
                <w:i/>
              </w:rPr>
              <w:t xml:space="preserve"> </w:t>
            </w:r>
            <w:r w:rsidRPr="00AB232B">
              <w:t>shuttle vectors, including those based on the endogenous plasmids Ddp1 and Ddp2</w:t>
            </w:r>
          </w:p>
        </w:tc>
      </w:tr>
      <w:tr w:rsidR="00ED6F87" w:rsidRPr="00AB232B" w:rsidTr="00F73959">
        <w:tc>
          <w:tcPr>
            <w:tcW w:w="742" w:type="dxa"/>
            <w:tcBorders>
              <w:bottom w:val="single" w:sz="2" w:space="0" w:color="auto"/>
            </w:tcBorders>
            <w:shd w:val="clear" w:color="auto" w:fill="auto"/>
          </w:tcPr>
          <w:p w:rsidR="00ED6F87" w:rsidRPr="00AB232B" w:rsidRDefault="009B4E62" w:rsidP="002A299A">
            <w:pPr>
              <w:pStyle w:val="Tabletext"/>
            </w:pPr>
            <w:r w:rsidRPr="00AB232B">
              <w:t>9</w:t>
            </w:r>
          </w:p>
        </w:tc>
        <w:tc>
          <w:tcPr>
            <w:tcW w:w="1092" w:type="dxa"/>
            <w:tcBorders>
              <w:bottom w:val="single" w:sz="2" w:space="0" w:color="auto"/>
            </w:tcBorders>
            <w:shd w:val="clear" w:color="auto" w:fill="auto"/>
          </w:tcPr>
          <w:p w:rsidR="00ED6F87" w:rsidRPr="00AB232B" w:rsidRDefault="00E8087F" w:rsidP="002A299A">
            <w:pPr>
              <w:pStyle w:val="Tabletext"/>
            </w:pPr>
            <w:r w:rsidRPr="00AB232B">
              <w:t>Tissue culture</w:t>
            </w:r>
          </w:p>
        </w:tc>
        <w:tc>
          <w:tcPr>
            <w:tcW w:w="3821" w:type="dxa"/>
            <w:tcBorders>
              <w:bottom w:val="single" w:sz="2" w:space="0" w:color="auto"/>
            </w:tcBorders>
            <w:shd w:val="clear" w:color="auto" w:fill="auto"/>
          </w:tcPr>
          <w:p w:rsidR="00E8087F" w:rsidRPr="00AB232B" w:rsidRDefault="00E8087F" w:rsidP="00E8087F">
            <w:pPr>
              <w:pStyle w:val="Tabletext"/>
            </w:pPr>
            <w:r w:rsidRPr="00AB232B">
              <w:t>Any of the following if they cannot spontaneously generate a whole animal:</w:t>
            </w:r>
          </w:p>
          <w:p w:rsidR="00E8087F" w:rsidRPr="00AB232B" w:rsidRDefault="00E8087F" w:rsidP="00E8087F">
            <w:pPr>
              <w:pStyle w:val="Tablea"/>
            </w:pPr>
            <w:r w:rsidRPr="00AB232B">
              <w:t>(a) animal or human cell cultures (including packaging cell lines);</w:t>
            </w:r>
          </w:p>
          <w:p w:rsidR="00E8087F" w:rsidRPr="00AB232B" w:rsidRDefault="00E8087F" w:rsidP="00E8087F">
            <w:pPr>
              <w:pStyle w:val="Tablea"/>
            </w:pPr>
            <w:r w:rsidRPr="00AB232B">
              <w:t>(b) isolated cells, isolated tissues or isolated organs, whether animal or human;</w:t>
            </w:r>
          </w:p>
          <w:p w:rsidR="00ED6F87" w:rsidRPr="00AB232B" w:rsidRDefault="00E8087F" w:rsidP="00E8087F">
            <w:pPr>
              <w:pStyle w:val="Tablea"/>
            </w:pPr>
            <w:r w:rsidRPr="00AB232B">
              <w:t>(c) early non</w:t>
            </w:r>
            <w:r w:rsidR="00AB232B">
              <w:noBreakHyphen/>
            </w:r>
            <w:r w:rsidRPr="00AB232B">
              <w:t xml:space="preserve">human mammalian embryos cultured </w:t>
            </w:r>
            <w:r w:rsidRPr="00AB232B">
              <w:rPr>
                <w:i/>
              </w:rPr>
              <w:t>in vitro</w:t>
            </w:r>
          </w:p>
        </w:tc>
        <w:tc>
          <w:tcPr>
            <w:tcW w:w="2912" w:type="dxa"/>
            <w:tcBorders>
              <w:bottom w:val="single" w:sz="2" w:space="0" w:color="auto"/>
            </w:tcBorders>
            <w:shd w:val="clear" w:color="auto" w:fill="auto"/>
          </w:tcPr>
          <w:p w:rsidR="00A71EB2" w:rsidRPr="00AB232B" w:rsidRDefault="00A71EB2" w:rsidP="00E8087F">
            <w:pPr>
              <w:pStyle w:val="Tabletext"/>
            </w:pPr>
            <w:r w:rsidRPr="00AB232B">
              <w:t>Any of the following:</w:t>
            </w:r>
          </w:p>
          <w:p w:rsidR="00E8087F" w:rsidRPr="00AB232B" w:rsidRDefault="00A71EB2" w:rsidP="00A71EB2">
            <w:pPr>
              <w:pStyle w:val="Tablea"/>
            </w:pPr>
            <w:r w:rsidRPr="00AB232B">
              <w:t>(a) p</w:t>
            </w:r>
            <w:r w:rsidR="00F441D4" w:rsidRPr="00AB232B">
              <w:t>lasmid</w:t>
            </w:r>
            <w:r w:rsidR="00937C5B" w:rsidRPr="00AB232B">
              <w:t>s</w:t>
            </w:r>
            <w:r w:rsidRPr="00AB232B">
              <w:t>;</w:t>
            </w:r>
          </w:p>
          <w:p w:rsidR="00E8087F" w:rsidRPr="00AB232B" w:rsidRDefault="00A71EB2" w:rsidP="00A71EB2">
            <w:pPr>
              <w:pStyle w:val="Tablea"/>
            </w:pPr>
            <w:r w:rsidRPr="00AB232B">
              <w:t>(b) r</w:t>
            </w:r>
            <w:r w:rsidR="00E8087F" w:rsidRPr="00AB232B">
              <w:t>eplication defective viral vectors unable to transduce human cells</w:t>
            </w:r>
            <w:r w:rsidRPr="00AB232B">
              <w:t>;</w:t>
            </w:r>
          </w:p>
          <w:p w:rsidR="00ED6F87" w:rsidRPr="00AB232B" w:rsidRDefault="00A71EB2" w:rsidP="00E6708F">
            <w:pPr>
              <w:pStyle w:val="Tablea"/>
            </w:pPr>
            <w:r w:rsidRPr="00AB232B">
              <w:t xml:space="preserve">(c) </w:t>
            </w:r>
            <w:proofErr w:type="spellStart"/>
            <w:r w:rsidRPr="00AB232B">
              <w:t>p</w:t>
            </w:r>
            <w:r w:rsidR="00CA359C" w:rsidRPr="00AB232B">
              <w:t>olyhedrin</w:t>
            </w:r>
            <w:proofErr w:type="spellEnd"/>
            <w:r w:rsidR="00CA359C" w:rsidRPr="00AB232B">
              <w:t xml:space="preserve"> minus forms of the </w:t>
            </w:r>
            <w:proofErr w:type="spellStart"/>
            <w:r w:rsidRPr="00AB232B">
              <w:t>baculovirus</w:t>
            </w:r>
            <w:proofErr w:type="spellEnd"/>
            <w:r w:rsidRPr="00AB232B">
              <w:t xml:space="preserve"> </w:t>
            </w:r>
            <w:proofErr w:type="spellStart"/>
            <w:r w:rsidR="00E8087F" w:rsidRPr="00AB232B">
              <w:rPr>
                <w:i/>
              </w:rPr>
              <w:t>Autographa</w:t>
            </w:r>
            <w:proofErr w:type="spellEnd"/>
            <w:r w:rsidR="00E8087F" w:rsidRPr="00AB232B">
              <w:rPr>
                <w:i/>
              </w:rPr>
              <w:t xml:space="preserve"> </w:t>
            </w:r>
            <w:proofErr w:type="spellStart"/>
            <w:r w:rsidR="00E8087F" w:rsidRPr="00AB232B">
              <w:rPr>
                <w:i/>
              </w:rPr>
              <w:t>californica</w:t>
            </w:r>
            <w:proofErr w:type="spellEnd"/>
            <w:r w:rsidR="00E8087F" w:rsidRPr="00AB232B">
              <w:t xml:space="preserve"> nuclear </w:t>
            </w:r>
            <w:proofErr w:type="spellStart"/>
            <w:r w:rsidR="00E8087F" w:rsidRPr="00AB232B">
              <w:t>polyhedrosis</w:t>
            </w:r>
            <w:proofErr w:type="spellEnd"/>
            <w:r w:rsidR="00E8087F" w:rsidRPr="00AB232B">
              <w:t xml:space="preserve"> virus</w:t>
            </w:r>
            <w:r w:rsidR="00CA359C" w:rsidRPr="00AB232B">
              <w:t xml:space="preserve"> (</w:t>
            </w:r>
            <w:proofErr w:type="spellStart"/>
            <w:r w:rsidR="00CA359C" w:rsidRPr="00AB232B">
              <w:t>ACNPV</w:t>
            </w:r>
            <w:proofErr w:type="spellEnd"/>
            <w:r w:rsidR="00CA359C" w:rsidRPr="00AB232B">
              <w:t>)</w:t>
            </w:r>
          </w:p>
        </w:tc>
      </w:tr>
      <w:tr w:rsidR="00ED6F87" w:rsidRPr="00AB232B" w:rsidTr="00F73959">
        <w:tc>
          <w:tcPr>
            <w:tcW w:w="7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D6F87" w:rsidRPr="00AB232B" w:rsidRDefault="00B06CEE" w:rsidP="002A299A">
            <w:pPr>
              <w:pStyle w:val="Tabletext"/>
            </w:pPr>
            <w:r w:rsidRPr="00AB232B">
              <w:t>10</w:t>
            </w:r>
          </w:p>
        </w:tc>
        <w:tc>
          <w:tcPr>
            <w:tcW w:w="10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D6F87" w:rsidRPr="00AB232B" w:rsidRDefault="00E8087F" w:rsidP="002A299A">
            <w:pPr>
              <w:pStyle w:val="Tabletext"/>
            </w:pPr>
            <w:r w:rsidRPr="00AB232B">
              <w:t>Tissue culture</w:t>
            </w:r>
          </w:p>
        </w:tc>
        <w:tc>
          <w:tcPr>
            <w:tcW w:w="38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8087F" w:rsidRPr="00AB232B" w:rsidRDefault="00E8087F" w:rsidP="00E8087F">
            <w:pPr>
              <w:pStyle w:val="Tabletext"/>
            </w:pPr>
            <w:r w:rsidRPr="00AB232B">
              <w:t>Either of the following if they are not intended, and are not likely without human intervention, to vegetatively propagate, flower or regenerate into a whole plant:</w:t>
            </w:r>
          </w:p>
          <w:p w:rsidR="00E8087F" w:rsidRPr="00AB232B" w:rsidRDefault="00E8087F" w:rsidP="00E8087F">
            <w:pPr>
              <w:pStyle w:val="Tablea"/>
            </w:pPr>
            <w:r w:rsidRPr="00AB232B">
              <w:t>(a) plant cell cultures;</w:t>
            </w:r>
          </w:p>
          <w:p w:rsidR="00ED6F87" w:rsidRPr="00AB232B" w:rsidRDefault="00E8087F" w:rsidP="007E5911">
            <w:pPr>
              <w:pStyle w:val="Tablea"/>
            </w:pPr>
            <w:r w:rsidRPr="00AB232B">
              <w:t>(b) isolated plant tissues or organs</w:t>
            </w:r>
          </w:p>
        </w:tc>
        <w:tc>
          <w:tcPr>
            <w:tcW w:w="291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71EB2" w:rsidRPr="00AB232B" w:rsidRDefault="00A71EB2" w:rsidP="002A299A">
            <w:pPr>
              <w:pStyle w:val="Tabletext"/>
            </w:pPr>
            <w:r w:rsidRPr="00AB232B">
              <w:t>Any of the following:</w:t>
            </w:r>
          </w:p>
          <w:p w:rsidR="00ED6F87" w:rsidRPr="00AB232B" w:rsidRDefault="00A71EB2" w:rsidP="00A71EB2">
            <w:pPr>
              <w:pStyle w:val="Tablea"/>
            </w:pPr>
            <w:r w:rsidRPr="00AB232B">
              <w:t xml:space="preserve">(a) </w:t>
            </w:r>
            <w:r w:rsidR="00A217F4" w:rsidRPr="00AB232B">
              <w:t xml:space="preserve">Disarmed </w:t>
            </w:r>
            <w:proofErr w:type="spellStart"/>
            <w:r w:rsidR="00CA359C" w:rsidRPr="00AB232B">
              <w:t>Ri</w:t>
            </w:r>
            <w:proofErr w:type="spellEnd"/>
            <w:r w:rsidR="000A442F" w:rsidRPr="00AB232B">
              <w:t xml:space="preserve"> or </w:t>
            </w:r>
            <w:proofErr w:type="spellStart"/>
            <w:r w:rsidR="000A442F" w:rsidRPr="00AB232B">
              <w:t>Ti</w:t>
            </w:r>
            <w:proofErr w:type="spellEnd"/>
            <w:r w:rsidR="000A442F" w:rsidRPr="00AB232B">
              <w:t xml:space="preserve"> plasmids</w:t>
            </w:r>
            <w:r w:rsidR="00CA359C" w:rsidRPr="00AB232B">
              <w:t xml:space="preserve"> in </w:t>
            </w:r>
            <w:r w:rsidR="007E5911" w:rsidRPr="00AB232B">
              <w:rPr>
                <w:i/>
              </w:rPr>
              <w:t xml:space="preserve">Agrobacterium </w:t>
            </w:r>
            <w:proofErr w:type="spellStart"/>
            <w:r w:rsidR="007E5911" w:rsidRPr="00AB232B">
              <w:rPr>
                <w:i/>
              </w:rPr>
              <w:t>radiobacter</w:t>
            </w:r>
            <w:proofErr w:type="spellEnd"/>
            <w:r w:rsidR="00CA359C" w:rsidRPr="00AB232B">
              <w:t>,</w:t>
            </w:r>
            <w:r w:rsidR="007E5911" w:rsidRPr="00AB232B">
              <w:t xml:space="preserve"> </w:t>
            </w:r>
            <w:r w:rsidR="007E5911" w:rsidRPr="00AB232B">
              <w:rPr>
                <w:i/>
              </w:rPr>
              <w:t xml:space="preserve">Agrobacterium </w:t>
            </w:r>
            <w:proofErr w:type="spellStart"/>
            <w:r w:rsidR="007E5911" w:rsidRPr="00AB232B">
              <w:rPr>
                <w:i/>
              </w:rPr>
              <w:t>rhizogenes</w:t>
            </w:r>
            <w:proofErr w:type="spellEnd"/>
            <w:r w:rsidR="00CA359C" w:rsidRPr="00AB232B">
              <w:t xml:space="preserve"> (disarmed strains only) or </w:t>
            </w:r>
            <w:r w:rsidR="00CA359C" w:rsidRPr="00AB232B">
              <w:rPr>
                <w:i/>
              </w:rPr>
              <w:t xml:space="preserve">Agrobacterium </w:t>
            </w:r>
            <w:proofErr w:type="spellStart"/>
            <w:r w:rsidR="00CA359C" w:rsidRPr="00AB232B">
              <w:rPr>
                <w:i/>
              </w:rPr>
              <w:t>tumefaciens</w:t>
            </w:r>
            <w:proofErr w:type="spellEnd"/>
            <w:r w:rsidR="00CA359C" w:rsidRPr="00AB232B">
              <w:rPr>
                <w:i/>
              </w:rPr>
              <w:t xml:space="preserve"> </w:t>
            </w:r>
            <w:r w:rsidR="00CA359C" w:rsidRPr="00AB232B">
              <w:t>(disarmed strains only)</w:t>
            </w:r>
            <w:r w:rsidRPr="00AB232B">
              <w:t>;</w:t>
            </w:r>
          </w:p>
          <w:p w:rsidR="007E5911" w:rsidRPr="00AB232B" w:rsidRDefault="00A71EB2" w:rsidP="00A71EB2">
            <w:pPr>
              <w:pStyle w:val="Tabletext"/>
            </w:pPr>
            <w:r w:rsidRPr="00AB232B">
              <w:t>(b) n</w:t>
            </w:r>
            <w:r w:rsidR="007E5911" w:rsidRPr="00AB232B">
              <w:t>on</w:t>
            </w:r>
            <w:r w:rsidR="00AB232B">
              <w:noBreakHyphen/>
            </w:r>
            <w:r w:rsidR="007E5911" w:rsidRPr="00AB232B">
              <w:t>pathogenic viral vectors</w:t>
            </w:r>
          </w:p>
        </w:tc>
      </w:tr>
    </w:tbl>
    <w:p w:rsidR="00B013FF" w:rsidRPr="00AB232B" w:rsidRDefault="008F145C" w:rsidP="00BC0501">
      <w:pPr>
        <w:pStyle w:val="ItemHead"/>
      </w:pPr>
      <w:r w:rsidRPr="00AB232B">
        <w:t>34</w:t>
      </w:r>
      <w:r w:rsidR="00B013FF" w:rsidRPr="00AB232B">
        <w:t xml:space="preserve">  Clause</w:t>
      </w:r>
      <w:r w:rsidR="00AB232B" w:rsidRPr="00AB232B">
        <w:t> </w:t>
      </w:r>
      <w:r w:rsidR="00B013FF" w:rsidRPr="00AB232B">
        <w:t>1.1 of Schedule</w:t>
      </w:r>
      <w:r w:rsidR="00AB232B" w:rsidRPr="00AB232B">
        <w:t> </w:t>
      </w:r>
      <w:r w:rsidR="00B013FF" w:rsidRPr="00AB232B">
        <w:t>3</w:t>
      </w:r>
    </w:p>
    <w:p w:rsidR="00B013FF" w:rsidRPr="00AB232B" w:rsidRDefault="00B013FF" w:rsidP="00B013FF">
      <w:pPr>
        <w:pStyle w:val="Item"/>
      </w:pPr>
      <w:r w:rsidRPr="00AB232B">
        <w:t>Omit “</w:t>
      </w:r>
      <w:r w:rsidR="00E6708F" w:rsidRPr="00AB232B">
        <w:t>13(3)</w:t>
      </w:r>
      <w:r w:rsidRPr="00AB232B">
        <w:t>(b)”, substitute “</w:t>
      </w:r>
      <w:r w:rsidR="00A204A8" w:rsidRPr="00AB232B">
        <w:t>subregulation</w:t>
      </w:r>
      <w:r w:rsidR="00AB232B" w:rsidRPr="00AB232B">
        <w:t> </w:t>
      </w:r>
      <w:r w:rsidR="00A204A8" w:rsidRPr="00AB232B">
        <w:t>13(3)</w:t>
      </w:r>
      <w:r w:rsidRPr="00AB232B">
        <w:t>”.</w:t>
      </w:r>
    </w:p>
    <w:p w:rsidR="00757FA9" w:rsidRPr="00AB232B" w:rsidRDefault="008F145C" w:rsidP="00BC0501">
      <w:pPr>
        <w:pStyle w:val="ItemHead"/>
      </w:pPr>
      <w:r w:rsidRPr="00AB232B">
        <w:t>35</w:t>
      </w:r>
      <w:r w:rsidR="00757FA9" w:rsidRPr="00AB232B">
        <w:t xml:space="preserve">  </w:t>
      </w:r>
      <w:r w:rsidR="008645BD" w:rsidRPr="00AB232B">
        <w:t>P</w:t>
      </w:r>
      <w:r w:rsidR="00757FA9" w:rsidRPr="00AB232B">
        <w:t>aragraph 1.1(c) of Schedule</w:t>
      </w:r>
      <w:r w:rsidR="00AB232B" w:rsidRPr="00AB232B">
        <w:t> </w:t>
      </w:r>
      <w:r w:rsidR="00757FA9" w:rsidRPr="00AB232B">
        <w:t>3</w:t>
      </w:r>
    </w:p>
    <w:p w:rsidR="00A82661" w:rsidRPr="00AB232B" w:rsidRDefault="00A82661" w:rsidP="00757FA9">
      <w:pPr>
        <w:pStyle w:val="Item"/>
      </w:pPr>
      <w:r w:rsidRPr="00AB232B">
        <w:t>Repeal the paragraph, substitute:</w:t>
      </w:r>
    </w:p>
    <w:p w:rsidR="00A82661" w:rsidRPr="00AB232B" w:rsidRDefault="00A82661" w:rsidP="00A82661">
      <w:pPr>
        <w:pStyle w:val="paragraph"/>
      </w:pPr>
      <w:r w:rsidRPr="00AB232B">
        <w:tab/>
        <w:t>(c)</w:t>
      </w:r>
      <w:r w:rsidRPr="00AB232B">
        <w:tab/>
        <w:t xml:space="preserve">a dealing involving </w:t>
      </w:r>
      <w:proofErr w:type="spellStart"/>
      <w:r w:rsidRPr="00AB232B">
        <w:t>virions</w:t>
      </w:r>
      <w:proofErr w:type="spellEnd"/>
      <w:r w:rsidRPr="00AB232B">
        <w:t xml:space="preserve"> of a replication defective vector derived from </w:t>
      </w:r>
      <w:r w:rsidR="00CA359C" w:rsidRPr="00AB232B">
        <w:rPr>
          <w:i/>
        </w:rPr>
        <w:t>H</w:t>
      </w:r>
      <w:r w:rsidRPr="00AB232B">
        <w:rPr>
          <w:i/>
        </w:rPr>
        <w:t>uman adenovirus</w:t>
      </w:r>
      <w:r w:rsidRPr="00AB232B">
        <w:t xml:space="preserve"> or from </w:t>
      </w:r>
      <w:r w:rsidR="00CA359C" w:rsidRPr="00AB232B">
        <w:rPr>
          <w:i/>
        </w:rPr>
        <w:t>A</w:t>
      </w:r>
      <w:r w:rsidRPr="00AB232B">
        <w:rPr>
          <w:i/>
        </w:rPr>
        <w:t>deno</w:t>
      </w:r>
      <w:r w:rsidR="00AB232B">
        <w:rPr>
          <w:i/>
        </w:rPr>
        <w:noBreakHyphen/>
      </w:r>
      <w:r w:rsidRPr="00AB232B">
        <w:rPr>
          <w:i/>
        </w:rPr>
        <w:t>associated virus</w:t>
      </w:r>
      <w:r w:rsidRPr="00AB232B">
        <w:t>, either without a host or with a host m</w:t>
      </w:r>
      <w:r w:rsidR="007B11D7" w:rsidRPr="00AB232B">
        <w:t>entioned in item</w:t>
      </w:r>
      <w:r w:rsidR="00AB232B" w:rsidRPr="00AB232B">
        <w:t> </w:t>
      </w:r>
      <w:r w:rsidR="007B11D7" w:rsidRPr="00AB232B">
        <w:t xml:space="preserve">9 </w:t>
      </w:r>
      <w:r w:rsidRPr="00AB232B">
        <w:t>of Part</w:t>
      </w:r>
      <w:r w:rsidR="00AB232B" w:rsidRPr="00AB232B">
        <w:t> </w:t>
      </w:r>
      <w:r w:rsidRPr="00AB232B">
        <w:t>2 of Schedule</w:t>
      </w:r>
      <w:r w:rsidR="00AB232B" w:rsidRPr="00AB232B">
        <w:t> </w:t>
      </w:r>
      <w:r w:rsidRPr="00AB232B">
        <w:t>2, if the donor nucleic acid:</w:t>
      </w:r>
    </w:p>
    <w:p w:rsidR="00A82661" w:rsidRPr="00AB232B" w:rsidRDefault="00A82661" w:rsidP="00A82661">
      <w:pPr>
        <w:pStyle w:val="paragraphsub"/>
      </w:pPr>
      <w:r w:rsidRPr="00AB232B">
        <w:tab/>
        <w:t>(</w:t>
      </w:r>
      <w:proofErr w:type="spellStart"/>
      <w:r w:rsidRPr="00AB232B">
        <w:t>i</w:t>
      </w:r>
      <w:proofErr w:type="spellEnd"/>
      <w:r w:rsidRPr="00AB232B">
        <w:t>)</w:t>
      </w:r>
      <w:r w:rsidRPr="00AB232B">
        <w:tab/>
        <w:t>cannot restore replication competence to the vector; and</w:t>
      </w:r>
    </w:p>
    <w:p w:rsidR="00A82661" w:rsidRPr="00AB232B" w:rsidRDefault="00A82661" w:rsidP="00A82661">
      <w:pPr>
        <w:pStyle w:val="paragraphsub"/>
      </w:pPr>
      <w:r w:rsidRPr="00AB232B">
        <w:tab/>
        <w:t>(ii)</w:t>
      </w:r>
      <w:r w:rsidRPr="00AB232B">
        <w:tab/>
        <w:t xml:space="preserve">does not confer </w:t>
      </w:r>
      <w:r w:rsidR="008645BD" w:rsidRPr="00AB232B">
        <w:t>an oncogenic modification or immunomodulatory effect in hum</w:t>
      </w:r>
      <w:r w:rsidRPr="00AB232B">
        <w:t>ans</w:t>
      </w:r>
      <w:r w:rsidR="008645BD" w:rsidRPr="00AB232B">
        <w:t>.</w:t>
      </w:r>
    </w:p>
    <w:p w:rsidR="00B013FF" w:rsidRPr="00AB232B" w:rsidRDefault="008F145C" w:rsidP="00BC0501">
      <w:pPr>
        <w:pStyle w:val="ItemHead"/>
      </w:pPr>
      <w:r w:rsidRPr="00AB232B">
        <w:t>36</w:t>
      </w:r>
      <w:r w:rsidR="00B013FF" w:rsidRPr="00AB232B">
        <w:t xml:space="preserve">  Clause</w:t>
      </w:r>
      <w:r w:rsidR="00AB232B" w:rsidRPr="00AB232B">
        <w:t> </w:t>
      </w:r>
      <w:r w:rsidR="00B013FF" w:rsidRPr="00AB232B">
        <w:t>2.1 of Schedule</w:t>
      </w:r>
      <w:r w:rsidR="00AB232B" w:rsidRPr="00AB232B">
        <w:t> </w:t>
      </w:r>
      <w:r w:rsidR="00B013FF" w:rsidRPr="00AB232B">
        <w:t>3</w:t>
      </w:r>
    </w:p>
    <w:p w:rsidR="00BF35D9" w:rsidRPr="00AB232B" w:rsidRDefault="00B013FF" w:rsidP="00BF35D9">
      <w:pPr>
        <w:pStyle w:val="Item"/>
      </w:pPr>
      <w:r w:rsidRPr="00AB232B">
        <w:t>Omit “</w:t>
      </w:r>
      <w:r w:rsidR="00E6708F" w:rsidRPr="00AB232B">
        <w:t>13(3)</w:t>
      </w:r>
      <w:r w:rsidRPr="00AB232B">
        <w:t>(b)”, substitute “</w:t>
      </w:r>
      <w:r w:rsidR="00A204A8" w:rsidRPr="00AB232B">
        <w:t>subregulation</w:t>
      </w:r>
      <w:r w:rsidR="00AB232B" w:rsidRPr="00AB232B">
        <w:t> </w:t>
      </w:r>
      <w:r w:rsidR="00A204A8" w:rsidRPr="00AB232B">
        <w:t>13(3)</w:t>
      </w:r>
      <w:r w:rsidRPr="00AB232B">
        <w:t>”.</w:t>
      </w:r>
    </w:p>
    <w:p w:rsidR="002F0995" w:rsidRPr="00AB232B" w:rsidRDefault="008F145C" w:rsidP="00BC0501">
      <w:pPr>
        <w:pStyle w:val="ItemHead"/>
      </w:pPr>
      <w:r w:rsidRPr="00AB232B">
        <w:t>37</w:t>
      </w:r>
      <w:r w:rsidR="002F0995" w:rsidRPr="00AB232B">
        <w:t xml:space="preserve">  Paragraph 2.1(d) of Schedule</w:t>
      </w:r>
      <w:r w:rsidR="00AB232B" w:rsidRPr="00AB232B">
        <w:t> </w:t>
      </w:r>
      <w:r w:rsidR="002F0995" w:rsidRPr="00AB232B">
        <w:t>3</w:t>
      </w:r>
    </w:p>
    <w:p w:rsidR="002F0995" w:rsidRPr="00AB232B" w:rsidRDefault="002F0995" w:rsidP="002F0995">
      <w:pPr>
        <w:pStyle w:val="Item"/>
      </w:pPr>
      <w:r w:rsidRPr="00AB232B">
        <w:t>Omit “host and vector not mentioned as a host/vector system”, substitute “host/vector system not mentioned”.</w:t>
      </w:r>
    </w:p>
    <w:p w:rsidR="00757FA9" w:rsidRPr="00AB232B" w:rsidRDefault="008F145C" w:rsidP="00BC0501">
      <w:pPr>
        <w:pStyle w:val="ItemHead"/>
      </w:pPr>
      <w:r w:rsidRPr="00AB232B">
        <w:t>38</w:t>
      </w:r>
      <w:r w:rsidR="00757FA9" w:rsidRPr="00AB232B">
        <w:t xml:space="preserve">  Subparagraphs</w:t>
      </w:r>
      <w:r w:rsidR="00AB232B" w:rsidRPr="00AB232B">
        <w:t> </w:t>
      </w:r>
      <w:r w:rsidR="00757FA9" w:rsidRPr="00AB232B">
        <w:t>2.1(d)(ii) and (iii) of Schedule</w:t>
      </w:r>
      <w:r w:rsidR="00AB232B" w:rsidRPr="00AB232B">
        <w:t> </w:t>
      </w:r>
      <w:r w:rsidR="00757FA9" w:rsidRPr="00AB232B">
        <w:t>3</w:t>
      </w:r>
    </w:p>
    <w:p w:rsidR="00757FA9" w:rsidRPr="00AB232B" w:rsidRDefault="00757FA9" w:rsidP="00757FA9">
      <w:pPr>
        <w:pStyle w:val="Item"/>
      </w:pPr>
      <w:r w:rsidRPr="00AB232B">
        <w:t>Omit “donor nucleic acid”, substitute “genetic modification”.</w:t>
      </w:r>
    </w:p>
    <w:p w:rsidR="00757FA9" w:rsidRPr="00AB232B" w:rsidRDefault="008F145C" w:rsidP="00757FA9">
      <w:pPr>
        <w:pStyle w:val="ItemHead"/>
      </w:pPr>
      <w:r w:rsidRPr="00AB232B">
        <w:t>39</w:t>
      </w:r>
      <w:r w:rsidR="00757FA9" w:rsidRPr="00AB232B">
        <w:t xml:space="preserve">  Paragraph 2.1(d) of Schedule</w:t>
      </w:r>
      <w:r w:rsidR="00AB232B" w:rsidRPr="00AB232B">
        <w:t> </w:t>
      </w:r>
      <w:r w:rsidR="00757FA9" w:rsidRPr="00AB232B">
        <w:t>3 (example)</w:t>
      </w:r>
    </w:p>
    <w:p w:rsidR="00757FA9" w:rsidRPr="00AB232B" w:rsidRDefault="00757FA9" w:rsidP="00757FA9">
      <w:pPr>
        <w:pStyle w:val="Item"/>
      </w:pPr>
      <w:r w:rsidRPr="00AB232B">
        <w:t>Omit “Donor nucleic acid”, substitute “</w:t>
      </w:r>
      <w:r w:rsidR="00CA359C" w:rsidRPr="00AB232B">
        <w:t>A</w:t>
      </w:r>
      <w:r w:rsidRPr="00AB232B">
        <w:t xml:space="preserve"> genetic modificat</w:t>
      </w:r>
      <w:r w:rsidR="007547D4" w:rsidRPr="00AB232B">
        <w:t>ion</w:t>
      </w:r>
      <w:r w:rsidRPr="00AB232B">
        <w:t>”.</w:t>
      </w:r>
    </w:p>
    <w:p w:rsidR="007547D4" w:rsidRPr="00AB232B" w:rsidRDefault="008F145C" w:rsidP="00BC0501">
      <w:pPr>
        <w:pStyle w:val="ItemHead"/>
      </w:pPr>
      <w:r w:rsidRPr="00AB232B">
        <w:t>40</w:t>
      </w:r>
      <w:r w:rsidR="007547D4" w:rsidRPr="00AB232B">
        <w:t xml:space="preserve">  Subparagraph 2.1(e)(</w:t>
      </w:r>
      <w:proofErr w:type="spellStart"/>
      <w:r w:rsidR="007547D4" w:rsidRPr="00AB232B">
        <w:t>i</w:t>
      </w:r>
      <w:proofErr w:type="spellEnd"/>
      <w:r w:rsidR="007547D4" w:rsidRPr="00AB232B">
        <w:t>)</w:t>
      </w:r>
      <w:r w:rsidR="009760EB" w:rsidRPr="00AB232B">
        <w:t xml:space="preserve"> of Schedule</w:t>
      </w:r>
      <w:r w:rsidR="00AB232B" w:rsidRPr="00AB232B">
        <w:t> </w:t>
      </w:r>
      <w:r w:rsidR="009760EB" w:rsidRPr="00AB232B">
        <w:t>3</w:t>
      </w:r>
    </w:p>
    <w:p w:rsidR="007547D4" w:rsidRPr="00AB232B" w:rsidRDefault="007547D4" w:rsidP="007547D4">
      <w:pPr>
        <w:pStyle w:val="Item"/>
      </w:pPr>
      <w:r w:rsidRPr="00AB232B">
        <w:t>Repeal the subparagraph, substitute:</w:t>
      </w:r>
    </w:p>
    <w:p w:rsidR="007547D4" w:rsidRPr="00AB232B" w:rsidRDefault="007547D4" w:rsidP="007547D4">
      <w:pPr>
        <w:pStyle w:val="paragraphsub"/>
      </w:pPr>
      <w:r w:rsidRPr="00AB232B">
        <w:tab/>
        <w:t>(</w:t>
      </w:r>
      <w:proofErr w:type="spellStart"/>
      <w:r w:rsidRPr="00AB232B">
        <w:t>i</w:t>
      </w:r>
      <w:proofErr w:type="spellEnd"/>
      <w:r w:rsidRPr="00AB232B">
        <w:t>)</w:t>
      </w:r>
      <w:r w:rsidRPr="00AB232B">
        <w:tab/>
        <w:t>is characterised, and the characterisation shows that it may increase the capacity of the host or vector to cause harm; or</w:t>
      </w:r>
    </w:p>
    <w:p w:rsidR="007B11D7" w:rsidRPr="00AB232B" w:rsidRDefault="008F145C" w:rsidP="00BC0501">
      <w:pPr>
        <w:pStyle w:val="ItemHead"/>
      </w:pPr>
      <w:r w:rsidRPr="00AB232B">
        <w:t>41</w:t>
      </w:r>
      <w:r w:rsidR="007B11D7" w:rsidRPr="00AB232B">
        <w:t xml:space="preserve">  Paragraph 2.1(h) of Schedule</w:t>
      </w:r>
      <w:r w:rsidR="00AB232B" w:rsidRPr="00AB232B">
        <w:t> </w:t>
      </w:r>
      <w:r w:rsidR="007B11D7" w:rsidRPr="00AB232B">
        <w:t>3</w:t>
      </w:r>
    </w:p>
    <w:p w:rsidR="007B11D7" w:rsidRPr="00AB232B" w:rsidRDefault="007B11D7" w:rsidP="007B11D7">
      <w:pPr>
        <w:pStyle w:val="Item"/>
      </w:pPr>
      <w:r w:rsidRPr="00AB232B">
        <w:t>Omit “item</w:t>
      </w:r>
      <w:r w:rsidR="00AB232B" w:rsidRPr="00AB232B">
        <w:t> </w:t>
      </w:r>
      <w:r w:rsidRPr="00AB232B">
        <w:t>1</w:t>
      </w:r>
      <w:r w:rsidR="00892C10" w:rsidRPr="00AB232B">
        <w:t xml:space="preserve"> of</w:t>
      </w:r>
      <w:r w:rsidRPr="00AB232B">
        <w:t>”, substitute “items</w:t>
      </w:r>
      <w:r w:rsidR="00AB232B" w:rsidRPr="00AB232B">
        <w:t> </w:t>
      </w:r>
      <w:r w:rsidRPr="00AB232B">
        <w:t>1 to 6</w:t>
      </w:r>
      <w:r w:rsidR="00892C10" w:rsidRPr="00AB232B">
        <w:t xml:space="preserve"> of the table in</w:t>
      </w:r>
      <w:r w:rsidRPr="00AB232B">
        <w:t>”.</w:t>
      </w:r>
    </w:p>
    <w:p w:rsidR="009760EB" w:rsidRPr="00AB232B" w:rsidRDefault="008F145C" w:rsidP="00BC0501">
      <w:pPr>
        <w:pStyle w:val="ItemHead"/>
      </w:pPr>
      <w:r w:rsidRPr="00AB232B">
        <w:t>42</w:t>
      </w:r>
      <w:r w:rsidR="009760EB" w:rsidRPr="00AB232B">
        <w:t xml:space="preserve">  Paragraph 2.1(</w:t>
      </w:r>
      <w:proofErr w:type="spellStart"/>
      <w:r w:rsidR="009760EB" w:rsidRPr="00AB232B">
        <w:t>i</w:t>
      </w:r>
      <w:proofErr w:type="spellEnd"/>
      <w:r w:rsidR="009760EB" w:rsidRPr="00AB232B">
        <w:t>) of Schedule</w:t>
      </w:r>
      <w:r w:rsidR="00AB232B" w:rsidRPr="00AB232B">
        <w:t> </w:t>
      </w:r>
      <w:r w:rsidR="009760EB" w:rsidRPr="00AB232B">
        <w:t>3</w:t>
      </w:r>
    </w:p>
    <w:p w:rsidR="009760EB" w:rsidRPr="00AB232B" w:rsidRDefault="009760EB" w:rsidP="009760EB">
      <w:pPr>
        <w:pStyle w:val="Item"/>
      </w:pPr>
      <w:r w:rsidRPr="00AB232B">
        <w:t>Omit “the introduction”, substitute “</w:t>
      </w:r>
      <w:proofErr w:type="spellStart"/>
      <w:r w:rsidRPr="00AB232B">
        <w:t>virions</w:t>
      </w:r>
      <w:proofErr w:type="spellEnd"/>
      <w:r w:rsidRPr="00AB232B">
        <w:t>”.</w:t>
      </w:r>
    </w:p>
    <w:p w:rsidR="009760EB" w:rsidRPr="00AB232B" w:rsidRDefault="008F145C" w:rsidP="009760EB">
      <w:pPr>
        <w:pStyle w:val="ItemHead"/>
      </w:pPr>
      <w:r w:rsidRPr="00AB232B">
        <w:t>43</w:t>
      </w:r>
      <w:r w:rsidR="009760EB" w:rsidRPr="00AB232B">
        <w:t xml:space="preserve">  Paragraph 2.1(</w:t>
      </w:r>
      <w:proofErr w:type="spellStart"/>
      <w:r w:rsidR="009760EB" w:rsidRPr="00AB232B">
        <w:t>i</w:t>
      </w:r>
      <w:proofErr w:type="spellEnd"/>
      <w:r w:rsidR="009760EB" w:rsidRPr="00AB232B">
        <w:t>) of Schedule</w:t>
      </w:r>
      <w:r w:rsidR="00AB232B" w:rsidRPr="00AB232B">
        <w:t> </w:t>
      </w:r>
      <w:r w:rsidR="009760EB" w:rsidRPr="00AB232B">
        <w:t>3</w:t>
      </w:r>
    </w:p>
    <w:p w:rsidR="009760EB" w:rsidRPr="00AB232B" w:rsidRDefault="009760EB" w:rsidP="009760EB">
      <w:pPr>
        <w:pStyle w:val="Item"/>
      </w:pPr>
      <w:r w:rsidRPr="00AB232B">
        <w:t>Omit “into”, substitute “and”.</w:t>
      </w:r>
    </w:p>
    <w:p w:rsidR="009760EB" w:rsidRPr="00AB232B" w:rsidRDefault="008F145C" w:rsidP="00BC0501">
      <w:pPr>
        <w:pStyle w:val="ItemHead"/>
      </w:pPr>
      <w:r w:rsidRPr="00AB232B">
        <w:t>44</w:t>
      </w:r>
      <w:r w:rsidR="009760EB" w:rsidRPr="00AB232B">
        <w:t xml:space="preserve">  Paragraph 2.1(j) of Schedule</w:t>
      </w:r>
      <w:r w:rsidR="00AB232B" w:rsidRPr="00AB232B">
        <w:t> </w:t>
      </w:r>
      <w:r w:rsidR="009760EB" w:rsidRPr="00AB232B">
        <w:t>3</w:t>
      </w:r>
    </w:p>
    <w:p w:rsidR="009760EB" w:rsidRPr="00AB232B" w:rsidRDefault="009760EB" w:rsidP="009760EB">
      <w:pPr>
        <w:pStyle w:val="Item"/>
      </w:pPr>
      <w:r w:rsidRPr="00AB232B">
        <w:t>Repeal the paragraph, substitute:</w:t>
      </w:r>
    </w:p>
    <w:p w:rsidR="009760EB" w:rsidRPr="00AB232B" w:rsidRDefault="009760EB" w:rsidP="009760EB">
      <w:pPr>
        <w:pStyle w:val="paragraph"/>
      </w:pPr>
      <w:r w:rsidRPr="00AB232B">
        <w:tab/>
        <w:t>(j)</w:t>
      </w:r>
      <w:r w:rsidRPr="00AB232B">
        <w:tab/>
        <w:t xml:space="preserve">a dealing involving </w:t>
      </w:r>
      <w:proofErr w:type="spellStart"/>
      <w:r w:rsidRPr="00AB232B">
        <w:t>virions</w:t>
      </w:r>
      <w:proofErr w:type="spellEnd"/>
      <w:r w:rsidRPr="00AB232B">
        <w:t xml:space="preserve"> of a replication defective non</w:t>
      </w:r>
      <w:r w:rsidR="00AB232B">
        <w:noBreakHyphen/>
      </w:r>
      <w:r w:rsidRPr="00AB232B">
        <w:t>retroviral vector able to transduce human cells, either without a host or with a host mentioned in Part</w:t>
      </w:r>
      <w:r w:rsidR="00AB232B" w:rsidRPr="00AB232B">
        <w:t> </w:t>
      </w:r>
      <w:r w:rsidRPr="00AB232B">
        <w:t>2 of Schedule</w:t>
      </w:r>
      <w:r w:rsidR="00AB232B" w:rsidRPr="00AB232B">
        <w:t> </w:t>
      </w:r>
      <w:r w:rsidRPr="00AB232B">
        <w:t xml:space="preserve">2, </w:t>
      </w:r>
      <w:r w:rsidR="003717EA" w:rsidRPr="00AB232B">
        <w:t>if:</w:t>
      </w:r>
    </w:p>
    <w:p w:rsidR="003717EA" w:rsidRPr="00AB232B" w:rsidRDefault="003717EA" w:rsidP="003717EA">
      <w:pPr>
        <w:pStyle w:val="paragraphsub"/>
      </w:pPr>
      <w:r w:rsidRPr="00AB232B">
        <w:tab/>
        <w:t>(</w:t>
      </w:r>
      <w:proofErr w:type="spellStart"/>
      <w:r w:rsidRPr="00AB232B">
        <w:t>i</w:t>
      </w:r>
      <w:proofErr w:type="spellEnd"/>
      <w:r w:rsidRPr="00AB232B">
        <w:t>)</w:t>
      </w:r>
      <w:r w:rsidRPr="00AB232B">
        <w:tab/>
        <w:t>the donor nucleic acid cannot restore replication competence to the vector; and</w:t>
      </w:r>
    </w:p>
    <w:p w:rsidR="003717EA" w:rsidRPr="00AB232B" w:rsidRDefault="003717EA" w:rsidP="003717EA">
      <w:pPr>
        <w:pStyle w:val="paragraphsub"/>
      </w:pPr>
      <w:r w:rsidRPr="00AB232B">
        <w:tab/>
        <w:t>(ii)</w:t>
      </w:r>
      <w:r w:rsidRPr="00AB232B">
        <w:tab/>
        <w:t>the dealing is not a dealing mentioned in paragraph</w:t>
      </w:r>
      <w:r w:rsidR="00AB232B" w:rsidRPr="00AB232B">
        <w:t> </w:t>
      </w:r>
      <w:r w:rsidRPr="00AB232B">
        <w:t>1.1(c);</w:t>
      </w:r>
    </w:p>
    <w:p w:rsidR="009760EB" w:rsidRPr="00AB232B" w:rsidRDefault="008F145C" w:rsidP="009760EB">
      <w:pPr>
        <w:pStyle w:val="ItemHead"/>
      </w:pPr>
      <w:r w:rsidRPr="00AB232B">
        <w:t>45</w:t>
      </w:r>
      <w:r w:rsidR="009760EB" w:rsidRPr="00AB232B">
        <w:t xml:space="preserve">  Paragraph 2.1(k) of Schedule</w:t>
      </w:r>
      <w:r w:rsidR="00AB232B" w:rsidRPr="00AB232B">
        <w:t> </w:t>
      </w:r>
      <w:r w:rsidR="009760EB" w:rsidRPr="00AB232B">
        <w:t>3</w:t>
      </w:r>
    </w:p>
    <w:p w:rsidR="009760EB" w:rsidRPr="00AB232B" w:rsidRDefault="009760EB" w:rsidP="009760EB">
      <w:pPr>
        <w:pStyle w:val="Item"/>
      </w:pPr>
      <w:r w:rsidRPr="00AB232B">
        <w:t>Omit “the introduction”, substitute “</w:t>
      </w:r>
      <w:proofErr w:type="spellStart"/>
      <w:r w:rsidRPr="00AB232B">
        <w:t>virions</w:t>
      </w:r>
      <w:proofErr w:type="spellEnd"/>
      <w:r w:rsidRPr="00AB232B">
        <w:t>”.</w:t>
      </w:r>
    </w:p>
    <w:p w:rsidR="009760EB" w:rsidRPr="00AB232B" w:rsidRDefault="008F145C" w:rsidP="009760EB">
      <w:pPr>
        <w:pStyle w:val="ItemHead"/>
      </w:pPr>
      <w:r w:rsidRPr="00AB232B">
        <w:t>46</w:t>
      </w:r>
      <w:r w:rsidR="009760EB" w:rsidRPr="00AB232B">
        <w:t xml:space="preserve">  Paragraph 2.1(k) of Schedule</w:t>
      </w:r>
      <w:r w:rsidR="00AB232B" w:rsidRPr="00AB232B">
        <w:t> </w:t>
      </w:r>
      <w:r w:rsidR="009760EB" w:rsidRPr="00AB232B">
        <w:t>3</w:t>
      </w:r>
    </w:p>
    <w:p w:rsidR="009760EB" w:rsidRPr="00AB232B" w:rsidRDefault="009760EB" w:rsidP="009760EB">
      <w:pPr>
        <w:pStyle w:val="Item"/>
      </w:pPr>
      <w:r w:rsidRPr="00AB232B">
        <w:t>Omit “into”, substitute “and”.</w:t>
      </w:r>
    </w:p>
    <w:p w:rsidR="007547D4" w:rsidRPr="00AB232B" w:rsidRDefault="008F145C" w:rsidP="00BC0501">
      <w:pPr>
        <w:pStyle w:val="ItemHead"/>
      </w:pPr>
      <w:r w:rsidRPr="00AB232B">
        <w:t>47</w:t>
      </w:r>
      <w:r w:rsidR="007547D4" w:rsidRPr="00AB232B">
        <w:t xml:space="preserve">  Subparagraph 2.1(k)(ii)</w:t>
      </w:r>
      <w:r w:rsidR="009760EB" w:rsidRPr="00AB232B">
        <w:t xml:space="preserve"> of Schedule</w:t>
      </w:r>
      <w:r w:rsidR="00AB232B" w:rsidRPr="00AB232B">
        <w:t> </w:t>
      </w:r>
      <w:r w:rsidR="009760EB" w:rsidRPr="00AB232B">
        <w:t>3</w:t>
      </w:r>
    </w:p>
    <w:p w:rsidR="007547D4" w:rsidRPr="00AB232B" w:rsidRDefault="007547D4" w:rsidP="007547D4">
      <w:pPr>
        <w:pStyle w:val="Item"/>
      </w:pPr>
      <w:r w:rsidRPr="00AB232B">
        <w:t>Repeal the subparagraph, substitute:</w:t>
      </w:r>
    </w:p>
    <w:p w:rsidR="007547D4" w:rsidRPr="00AB232B" w:rsidRDefault="007547D4" w:rsidP="008645BD">
      <w:pPr>
        <w:pStyle w:val="paragraphsub"/>
      </w:pPr>
      <w:r w:rsidRPr="00AB232B">
        <w:tab/>
        <w:t>(ii)</w:t>
      </w:r>
      <w:r w:rsidRPr="00AB232B">
        <w:tab/>
        <w:t xml:space="preserve">the donor nucleic acid does not confer </w:t>
      </w:r>
      <w:r w:rsidR="008645BD" w:rsidRPr="00AB232B">
        <w:t xml:space="preserve">an oncogenic modification or immunomodulatory effect </w:t>
      </w:r>
      <w:r w:rsidRPr="00AB232B">
        <w:t>in humans</w:t>
      </w:r>
      <w:r w:rsidR="008645BD" w:rsidRPr="00AB232B">
        <w:t>;</w:t>
      </w:r>
    </w:p>
    <w:p w:rsidR="009760EB" w:rsidRPr="00AB232B" w:rsidRDefault="008F145C" w:rsidP="007547D4">
      <w:pPr>
        <w:pStyle w:val="ItemHead"/>
      </w:pPr>
      <w:r w:rsidRPr="00AB232B">
        <w:t>48</w:t>
      </w:r>
      <w:r w:rsidR="009760EB" w:rsidRPr="00AB232B">
        <w:t xml:space="preserve">  </w:t>
      </w:r>
      <w:r w:rsidR="003717EA" w:rsidRPr="00AB232B">
        <w:t>P</w:t>
      </w:r>
      <w:r w:rsidR="009760EB" w:rsidRPr="00AB232B">
        <w:t>aragraph 2.1(l) of Schedule</w:t>
      </w:r>
      <w:r w:rsidR="00AB232B" w:rsidRPr="00AB232B">
        <w:t> </w:t>
      </w:r>
      <w:r w:rsidR="009760EB" w:rsidRPr="00AB232B">
        <w:t>3</w:t>
      </w:r>
    </w:p>
    <w:p w:rsidR="009760EB" w:rsidRPr="00AB232B" w:rsidRDefault="003717EA" w:rsidP="009760EB">
      <w:pPr>
        <w:pStyle w:val="Item"/>
      </w:pPr>
      <w:r w:rsidRPr="00AB232B">
        <w:t xml:space="preserve">Omit all the words before </w:t>
      </w:r>
      <w:r w:rsidR="00AB232B" w:rsidRPr="00AB232B">
        <w:t>subparagraph (</w:t>
      </w:r>
      <w:proofErr w:type="spellStart"/>
      <w:r w:rsidRPr="00AB232B">
        <w:t>i</w:t>
      </w:r>
      <w:proofErr w:type="spellEnd"/>
      <w:r w:rsidRPr="00AB232B">
        <w:t>), substitute:</w:t>
      </w:r>
    </w:p>
    <w:p w:rsidR="003717EA" w:rsidRPr="00AB232B" w:rsidRDefault="003717EA" w:rsidP="003717EA">
      <w:pPr>
        <w:pStyle w:val="paragraph"/>
      </w:pPr>
      <w:r w:rsidRPr="00AB232B">
        <w:tab/>
        <w:t>(l)</w:t>
      </w:r>
      <w:r w:rsidRPr="00AB232B">
        <w:tab/>
        <w:t xml:space="preserve">a dealing involving </w:t>
      </w:r>
      <w:proofErr w:type="spellStart"/>
      <w:r w:rsidRPr="00AB232B">
        <w:t>virions</w:t>
      </w:r>
      <w:proofErr w:type="spellEnd"/>
      <w:r w:rsidRPr="00AB232B">
        <w:t xml:space="preserve"> of a replication defective retroviral vector able to transduce human cells, either without a host or with a host mentioned in Part</w:t>
      </w:r>
      <w:r w:rsidR="00AB232B" w:rsidRPr="00AB232B">
        <w:t> </w:t>
      </w:r>
      <w:r w:rsidRPr="00AB232B">
        <w:t>2 of Schedule</w:t>
      </w:r>
      <w:r w:rsidR="00AB232B" w:rsidRPr="00AB232B">
        <w:t> </w:t>
      </w:r>
      <w:r w:rsidRPr="00AB232B">
        <w:t>2, if:</w:t>
      </w:r>
    </w:p>
    <w:p w:rsidR="003717EA" w:rsidRPr="00AB232B" w:rsidRDefault="008F145C" w:rsidP="003717EA">
      <w:pPr>
        <w:pStyle w:val="ItemHead"/>
      </w:pPr>
      <w:r w:rsidRPr="00AB232B">
        <w:t>49</w:t>
      </w:r>
      <w:r w:rsidR="003717EA" w:rsidRPr="00AB232B">
        <w:t xml:space="preserve">  Subparagraph 2.1(l)(</w:t>
      </w:r>
      <w:proofErr w:type="spellStart"/>
      <w:r w:rsidR="003717EA" w:rsidRPr="00AB232B">
        <w:t>i</w:t>
      </w:r>
      <w:proofErr w:type="spellEnd"/>
      <w:r w:rsidR="003717EA" w:rsidRPr="00AB232B">
        <w:t>) of Schedule</w:t>
      </w:r>
      <w:r w:rsidR="00AB232B" w:rsidRPr="00AB232B">
        <w:t> </w:t>
      </w:r>
      <w:r w:rsidR="003717EA" w:rsidRPr="00AB232B">
        <w:t>3</w:t>
      </w:r>
    </w:p>
    <w:p w:rsidR="003717EA" w:rsidRPr="00AB232B" w:rsidRDefault="003717EA" w:rsidP="003717EA">
      <w:pPr>
        <w:pStyle w:val="Item"/>
      </w:pPr>
      <w:r w:rsidRPr="00AB232B">
        <w:t xml:space="preserve">Omit “into a </w:t>
      </w:r>
      <w:proofErr w:type="spellStart"/>
      <w:r w:rsidRPr="00AB232B">
        <w:t>virion</w:t>
      </w:r>
      <w:proofErr w:type="spellEnd"/>
      <w:r w:rsidRPr="00AB232B">
        <w:t xml:space="preserve">”, substitute “new </w:t>
      </w:r>
      <w:proofErr w:type="spellStart"/>
      <w:r w:rsidRPr="00AB232B">
        <w:t>virions</w:t>
      </w:r>
      <w:proofErr w:type="spellEnd"/>
      <w:r w:rsidRPr="00AB232B">
        <w:t>”.</w:t>
      </w:r>
    </w:p>
    <w:p w:rsidR="003717EA" w:rsidRPr="00AB232B" w:rsidRDefault="008F145C" w:rsidP="007547D4">
      <w:pPr>
        <w:pStyle w:val="ItemHead"/>
      </w:pPr>
      <w:r w:rsidRPr="00AB232B">
        <w:t>50</w:t>
      </w:r>
      <w:r w:rsidR="003717EA" w:rsidRPr="00AB232B">
        <w:t xml:space="preserve">  Paragraph 2.1(m) of Schedule</w:t>
      </w:r>
      <w:r w:rsidR="00AB232B" w:rsidRPr="00AB232B">
        <w:t> </w:t>
      </w:r>
      <w:r w:rsidR="003717EA" w:rsidRPr="00AB232B">
        <w:t>3</w:t>
      </w:r>
    </w:p>
    <w:p w:rsidR="003717EA" w:rsidRPr="00AB232B" w:rsidRDefault="003717EA" w:rsidP="003717EA">
      <w:pPr>
        <w:pStyle w:val="Item"/>
      </w:pPr>
      <w:r w:rsidRPr="00AB232B">
        <w:t>Omit “the introduction”, substitute “</w:t>
      </w:r>
      <w:proofErr w:type="spellStart"/>
      <w:r w:rsidRPr="00AB232B">
        <w:t>virions</w:t>
      </w:r>
      <w:proofErr w:type="spellEnd"/>
      <w:r w:rsidRPr="00AB232B">
        <w:t>”.</w:t>
      </w:r>
    </w:p>
    <w:p w:rsidR="003717EA" w:rsidRPr="00AB232B" w:rsidRDefault="008F145C" w:rsidP="003717EA">
      <w:pPr>
        <w:pStyle w:val="ItemHead"/>
      </w:pPr>
      <w:r w:rsidRPr="00AB232B">
        <w:t>51</w:t>
      </w:r>
      <w:r w:rsidR="003717EA" w:rsidRPr="00AB232B">
        <w:t xml:space="preserve">  Paragraph 2.1(m) of Schedule</w:t>
      </w:r>
      <w:r w:rsidR="00AB232B" w:rsidRPr="00AB232B">
        <w:t> </w:t>
      </w:r>
      <w:r w:rsidR="003717EA" w:rsidRPr="00AB232B">
        <w:t>3</w:t>
      </w:r>
    </w:p>
    <w:p w:rsidR="003717EA" w:rsidRPr="00AB232B" w:rsidRDefault="003717EA" w:rsidP="003717EA">
      <w:pPr>
        <w:pStyle w:val="Item"/>
      </w:pPr>
      <w:r w:rsidRPr="00AB232B">
        <w:t>Omit “</w:t>
      </w:r>
      <w:r w:rsidR="00D65B22" w:rsidRPr="00AB232B">
        <w:t>into a host”, substitute “and a host”.</w:t>
      </w:r>
    </w:p>
    <w:p w:rsidR="007547D4" w:rsidRPr="00AB232B" w:rsidRDefault="008F145C" w:rsidP="007547D4">
      <w:pPr>
        <w:pStyle w:val="ItemHead"/>
      </w:pPr>
      <w:r w:rsidRPr="00AB232B">
        <w:t>52</w:t>
      </w:r>
      <w:r w:rsidR="007547D4" w:rsidRPr="00AB232B">
        <w:t xml:space="preserve">  Subparagraph 2.1(m)(</w:t>
      </w:r>
      <w:proofErr w:type="spellStart"/>
      <w:r w:rsidR="007547D4" w:rsidRPr="00AB232B">
        <w:t>i</w:t>
      </w:r>
      <w:proofErr w:type="spellEnd"/>
      <w:r w:rsidR="007547D4" w:rsidRPr="00AB232B">
        <w:t>)</w:t>
      </w:r>
      <w:r w:rsidR="009760EB" w:rsidRPr="00AB232B">
        <w:t xml:space="preserve"> of Schedule</w:t>
      </w:r>
      <w:r w:rsidR="00AB232B" w:rsidRPr="00AB232B">
        <w:t> </w:t>
      </w:r>
      <w:r w:rsidR="009760EB" w:rsidRPr="00AB232B">
        <w:t>3</w:t>
      </w:r>
    </w:p>
    <w:p w:rsidR="007547D4" w:rsidRPr="00AB232B" w:rsidRDefault="007547D4" w:rsidP="007547D4">
      <w:pPr>
        <w:pStyle w:val="Item"/>
      </w:pPr>
      <w:r w:rsidRPr="00AB232B">
        <w:t>Repeal the subparagraph, substitute:</w:t>
      </w:r>
    </w:p>
    <w:p w:rsidR="007547D4" w:rsidRPr="00AB232B" w:rsidRDefault="007547D4" w:rsidP="008645BD">
      <w:pPr>
        <w:pStyle w:val="paragraphsub"/>
      </w:pPr>
      <w:r w:rsidRPr="00AB232B">
        <w:tab/>
        <w:t>(</w:t>
      </w:r>
      <w:proofErr w:type="spellStart"/>
      <w:r w:rsidRPr="00AB232B">
        <w:t>i</w:t>
      </w:r>
      <w:proofErr w:type="spellEnd"/>
      <w:r w:rsidRPr="00AB232B">
        <w:t>)</w:t>
      </w:r>
      <w:r w:rsidRPr="00AB232B">
        <w:tab/>
        <w:t xml:space="preserve">the donor nucleic acids does not confer </w:t>
      </w:r>
      <w:r w:rsidR="008645BD" w:rsidRPr="00AB232B">
        <w:t>an oncogenic modification or immunomodulatory effect in humans; and</w:t>
      </w:r>
    </w:p>
    <w:p w:rsidR="00D65B22" w:rsidRPr="00AB232B" w:rsidRDefault="008F145C" w:rsidP="00BC0501">
      <w:pPr>
        <w:pStyle w:val="ItemHead"/>
      </w:pPr>
      <w:r w:rsidRPr="00AB232B">
        <w:t>53</w:t>
      </w:r>
      <w:r w:rsidR="00D65B22" w:rsidRPr="00AB232B">
        <w:t xml:space="preserve">  Subparagraph 2.1(m)(ii) of Schedule</w:t>
      </w:r>
      <w:r w:rsidR="00AB232B" w:rsidRPr="00AB232B">
        <w:t> </w:t>
      </w:r>
      <w:r w:rsidR="00D65B22" w:rsidRPr="00AB232B">
        <w:t>3</w:t>
      </w:r>
    </w:p>
    <w:p w:rsidR="00D65B22" w:rsidRPr="00AB232B" w:rsidRDefault="00D65B22" w:rsidP="00D65B22">
      <w:pPr>
        <w:pStyle w:val="Item"/>
      </w:pPr>
      <w:r w:rsidRPr="00AB232B">
        <w:t xml:space="preserve">Omit “into a </w:t>
      </w:r>
      <w:proofErr w:type="spellStart"/>
      <w:r w:rsidRPr="00AB232B">
        <w:t>virion</w:t>
      </w:r>
      <w:proofErr w:type="spellEnd"/>
      <w:r w:rsidRPr="00AB232B">
        <w:t xml:space="preserve">”, substitute “new </w:t>
      </w:r>
      <w:proofErr w:type="spellStart"/>
      <w:r w:rsidRPr="00AB232B">
        <w:t>virions</w:t>
      </w:r>
      <w:proofErr w:type="spellEnd"/>
      <w:r w:rsidRPr="00AB232B">
        <w:t>”.</w:t>
      </w:r>
    </w:p>
    <w:p w:rsidR="00D47BE5" w:rsidRPr="00AB232B" w:rsidRDefault="008F145C" w:rsidP="00BC0501">
      <w:pPr>
        <w:pStyle w:val="ItemHead"/>
      </w:pPr>
      <w:r w:rsidRPr="00AB232B">
        <w:t>54</w:t>
      </w:r>
      <w:r w:rsidR="00D47BE5" w:rsidRPr="00AB232B">
        <w:t xml:space="preserve">  Clause</w:t>
      </w:r>
      <w:r w:rsidR="00AB232B" w:rsidRPr="00AB232B">
        <w:t> </w:t>
      </w:r>
      <w:r w:rsidR="00D47BE5" w:rsidRPr="00AB232B">
        <w:t>2.2 of Schedule</w:t>
      </w:r>
      <w:r w:rsidR="00AB232B" w:rsidRPr="00AB232B">
        <w:t> </w:t>
      </w:r>
      <w:r w:rsidR="00D47BE5" w:rsidRPr="00AB232B">
        <w:t>3</w:t>
      </w:r>
    </w:p>
    <w:p w:rsidR="00D47BE5" w:rsidRPr="00AB232B" w:rsidRDefault="00D47BE5" w:rsidP="00D47BE5">
      <w:pPr>
        <w:pStyle w:val="Item"/>
      </w:pPr>
      <w:r w:rsidRPr="00AB232B">
        <w:t>Repeal the clause, substitute:</w:t>
      </w:r>
    </w:p>
    <w:p w:rsidR="00D47BE5" w:rsidRPr="00AB232B" w:rsidRDefault="00D47BE5" w:rsidP="00D47BE5">
      <w:pPr>
        <w:pStyle w:val="ActHead5"/>
      </w:pPr>
      <w:bookmarkStart w:id="19" w:name="_Toc2843371"/>
      <w:r w:rsidRPr="00AB232B">
        <w:rPr>
          <w:rStyle w:val="CharSectno"/>
        </w:rPr>
        <w:t>2.2</w:t>
      </w:r>
      <w:r w:rsidRPr="00AB232B">
        <w:t xml:space="preserve">  Kinds of dealing suitable for at least physical containment level 3</w:t>
      </w:r>
      <w:bookmarkEnd w:id="19"/>
    </w:p>
    <w:p w:rsidR="00D47BE5" w:rsidRPr="00AB232B" w:rsidRDefault="00D47BE5" w:rsidP="00D47BE5">
      <w:pPr>
        <w:pStyle w:val="subsection"/>
      </w:pPr>
      <w:r w:rsidRPr="00AB232B">
        <w:tab/>
        <w:t>(1)</w:t>
      </w:r>
      <w:r w:rsidRPr="00AB232B">
        <w:tab/>
        <w:t>A kind of dealing that:</w:t>
      </w:r>
    </w:p>
    <w:p w:rsidR="00D47BE5" w:rsidRPr="00AB232B" w:rsidRDefault="00D47BE5" w:rsidP="00D47BE5">
      <w:pPr>
        <w:pStyle w:val="paragraph"/>
      </w:pPr>
      <w:r w:rsidRPr="00AB232B">
        <w:tab/>
        <w:t>(a)</w:t>
      </w:r>
      <w:r w:rsidRPr="00AB232B">
        <w:tab/>
        <w:t>is a kind mentioned in clause</w:t>
      </w:r>
      <w:r w:rsidR="00AB232B" w:rsidRPr="00AB232B">
        <w:t> </w:t>
      </w:r>
      <w:r w:rsidRPr="00AB232B">
        <w:t>2.1; and</w:t>
      </w:r>
    </w:p>
    <w:p w:rsidR="00D47BE5" w:rsidRPr="00AB232B" w:rsidRDefault="00D47BE5" w:rsidP="00D47BE5">
      <w:pPr>
        <w:pStyle w:val="paragraph"/>
      </w:pPr>
      <w:r w:rsidRPr="00AB232B">
        <w:tab/>
        <w:t>(b)</w:t>
      </w:r>
      <w:r w:rsidRPr="00AB232B">
        <w:tab/>
        <w:t>involves a micro</w:t>
      </w:r>
      <w:r w:rsidR="00AB232B">
        <w:noBreakHyphen/>
      </w:r>
      <w:r w:rsidRPr="00AB232B">
        <w:t>organism that satisfies the criteria in AS/NZS 2243.3:2010 for classification as Risk Group 3;</w:t>
      </w:r>
    </w:p>
    <w:p w:rsidR="00D47BE5" w:rsidRPr="00AB232B" w:rsidRDefault="00D47BE5" w:rsidP="00D47BE5">
      <w:pPr>
        <w:pStyle w:val="subsection2"/>
      </w:pPr>
      <w:r w:rsidRPr="00AB232B">
        <w:t>must be undertaken, unless paragraph</w:t>
      </w:r>
      <w:r w:rsidR="00AB232B" w:rsidRPr="00AB232B">
        <w:t> </w:t>
      </w:r>
      <w:r w:rsidRPr="00AB232B">
        <w:t>13(2)(c) or subregulation</w:t>
      </w:r>
      <w:r w:rsidR="00AB232B" w:rsidRPr="00AB232B">
        <w:t> </w:t>
      </w:r>
      <w:r w:rsidRPr="00AB232B">
        <w:t>13(3) applies, in facilities certified to at least physical containment level 3 and that are appropriate for the dealings.</w:t>
      </w:r>
    </w:p>
    <w:p w:rsidR="003D3689" w:rsidRPr="00AB232B" w:rsidRDefault="003D3689" w:rsidP="003D3689">
      <w:pPr>
        <w:pStyle w:val="subsection"/>
      </w:pPr>
      <w:r w:rsidRPr="00AB232B">
        <w:tab/>
        <w:t>(2)</w:t>
      </w:r>
      <w:r w:rsidRPr="00AB232B">
        <w:tab/>
      </w:r>
      <w:r w:rsidR="008E0F89" w:rsidRPr="00AB232B">
        <w:t>F</w:t>
      </w:r>
      <w:r w:rsidRPr="00AB232B">
        <w:t xml:space="preserve">or </w:t>
      </w:r>
      <w:r w:rsidR="007E6F3C" w:rsidRPr="00AB232B">
        <w:t xml:space="preserve">the purposes of </w:t>
      </w:r>
      <w:r w:rsidR="00AB232B" w:rsidRPr="00AB232B">
        <w:t>paragraph (</w:t>
      </w:r>
      <w:r w:rsidRPr="00AB232B">
        <w:t>1)</w:t>
      </w:r>
      <w:r w:rsidR="00CB44C4" w:rsidRPr="00AB232B">
        <w:t>(b)</w:t>
      </w:r>
      <w:r w:rsidRPr="00AB232B">
        <w:t xml:space="preserve">, a </w:t>
      </w:r>
      <w:r w:rsidR="00997A40" w:rsidRPr="00AB232B">
        <w:t xml:space="preserve">genetically modified </w:t>
      </w:r>
      <w:r w:rsidRPr="00AB232B">
        <w:t>micro</w:t>
      </w:r>
      <w:r w:rsidR="00AB232B">
        <w:noBreakHyphen/>
      </w:r>
      <w:r w:rsidRPr="00AB232B">
        <w:t xml:space="preserve">organism </w:t>
      </w:r>
      <w:r w:rsidR="00997A40" w:rsidRPr="00AB232B">
        <w:t>is taken to satisfy</w:t>
      </w:r>
      <w:r w:rsidRPr="00AB232B">
        <w:t xml:space="preserve"> the criteria in AS/NZS 2243.3:2010 for classification as Risk Group 3 if the unmodified parent micro</w:t>
      </w:r>
      <w:r w:rsidR="00AB232B">
        <w:noBreakHyphen/>
      </w:r>
      <w:r w:rsidRPr="00AB232B">
        <w:t>organism satisfies th</w:t>
      </w:r>
      <w:r w:rsidR="0041238B" w:rsidRPr="00AB232B">
        <w:t>ose</w:t>
      </w:r>
      <w:r w:rsidRPr="00AB232B">
        <w:t xml:space="preserve"> criteria.</w:t>
      </w:r>
    </w:p>
    <w:p w:rsidR="00D47BE5" w:rsidRPr="00AB232B" w:rsidRDefault="00D47BE5" w:rsidP="003D3689">
      <w:pPr>
        <w:pStyle w:val="subsection"/>
      </w:pPr>
      <w:r w:rsidRPr="00AB232B">
        <w:tab/>
        <w:t>(3)</w:t>
      </w:r>
      <w:r w:rsidRPr="00AB232B">
        <w:tab/>
        <w:t xml:space="preserve">However, </w:t>
      </w:r>
      <w:r w:rsidR="00AB232B" w:rsidRPr="00AB232B">
        <w:t>subclause (</w:t>
      </w:r>
      <w:r w:rsidR="00CB44C4" w:rsidRPr="00AB232B">
        <w:t>2) does not apply in relation to a replication defective retroviral vector that meets the criteria in paragraph</w:t>
      </w:r>
      <w:r w:rsidR="00AB232B" w:rsidRPr="00AB232B">
        <w:t> </w:t>
      </w:r>
      <w:r w:rsidR="00CB44C4" w:rsidRPr="00AB232B">
        <w:t>2.1(l) or (m).</w:t>
      </w:r>
    </w:p>
    <w:p w:rsidR="00167DE3" w:rsidRPr="00AB232B" w:rsidRDefault="008F145C" w:rsidP="00EC7FAB">
      <w:pPr>
        <w:pStyle w:val="ItemHead"/>
      </w:pPr>
      <w:r w:rsidRPr="00AB232B">
        <w:t>55</w:t>
      </w:r>
      <w:r w:rsidR="00167DE3" w:rsidRPr="00AB232B">
        <w:t xml:space="preserve">  Part</w:t>
      </w:r>
      <w:r w:rsidR="00AB232B" w:rsidRPr="00AB232B">
        <w:t> </w:t>
      </w:r>
      <w:r w:rsidR="00167DE3" w:rsidRPr="00AB232B">
        <w:t>3 of Schedule</w:t>
      </w:r>
      <w:r w:rsidR="00AB232B" w:rsidRPr="00AB232B">
        <w:t> </w:t>
      </w:r>
      <w:r w:rsidR="00167DE3" w:rsidRPr="00AB232B">
        <w:t>3 (note 2 to Part heading)</w:t>
      </w:r>
    </w:p>
    <w:p w:rsidR="00167DE3" w:rsidRPr="00AB232B" w:rsidRDefault="00167DE3" w:rsidP="00167DE3">
      <w:pPr>
        <w:pStyle w:val="Item"/>
      </w:pPr>
      <w:r w:rsidRPr="00AB232B">
        <w:t>Repeal the note, substitute:</w:t>
      </w:r>
    </w:p>
    <w:p w:rsidR="00167DE3" w:rsidRPr="00AB232B" w:rsidRDefault="00167DE3" w:rsidP="00167DE3">
      <w:pPr>
        <w:pStyle w:val="notemargin"/>
      </w:pPr>
      <w:r w:rsidRPr="00AB232B">
        <w:t>Note 2:</w:t>
      </w:r>
      <w:r w:rsidRPr="00AB232B">
        <w:tab/>
        <w:t>If a dealing is not a notifiable low risk dealing, or an exempt dealing</w:t>
      </w:r>
      <w:r w:rsidR="00242B2B" w:rsidRPr="00AB232B">
        <w:t>,</w:t>
      </w:r>
      <w:r w:rsidRPr="00AB232B">
        <w:t xml:space="preserve"> as provided by these Regulations, a person undertaking the dealing must be authorised by a GMO licence unless the dealing is within one of the other exceptions to licensing provided by the Act: see section</w:t>
      </w:r>
      <w:r w:rsidR="00AB232B" w:rsidRPr="00AB232B">
        <w:t> </w:t>
      </w:r>
      <w:r w:rsidRPr="00AB232B">
        <w:t>32 of the Act.</w:t>
      </w:r>
    </w:p>
    <w:p w:rsidR="00ED4EC6" w:rsidRPr="00AB232B" w:rsidRDefault="008F145C" w:rsidP="00EC7FAB">
      <w:pPr>
        <w:pStyle w:val="ItemHead"/>
      </w:pPr>
      <w:r w:rsidRPr="00AB232B">
        <w:t>56</w:t>
      </w:r>
      <w:r w:rsidR="00ED4EC6" w:rsidRPr="00AB232B">
        <w:t xml:space="preserve">  Clause</w:t>
      </w:r>
      <w:r w:rsidR="00AB232B" w:rsidRPr="00AB232B">
        <w:t> </w:t>
      </w:r>
      <w:r w:rsidR="00ED4EC6" w:rsidRPr="00AB232B">
        <w:t>3.1 of Schedule</w:t>
      </w:r>
      <w:r w:rsidR="00AB232B" w:rsidRPr="00AB232B">
        <w:t> </w:t>
      </w:r>
      <w:r w:rsidR="00ED4EC6" w:rsidRPr="00AB232B">
        <w:t>3</w:t>
      </w:r>
    </w:p>
    <w:p w:rsidR="00ED4EC6" w:rsidRPr="00AB232B" w:rsidRDefault="00ED4EC6" w:rsidP="00ED4EC6">
      <w:pPr>
        <w:pStyle w:val="Item"/>
      </w:pPr>
      <w:r w:rsidRPr="00AB232B">
        <w:t>Before “A dealing”, insert “(1)”.</w:t>
      </w:r>
    </w:p>
    <w:p w:rsidR="00EC7FAB" w:rsidRPr="00AB232B" w:rsidRDefault="008F145C" w:rsidP="00EC7FAB">
      <w:pPr>
        <w:pStyle w:val="ItemHead"/>
      </w:pPr>
      <w:r w:rsidRPr="00AB232B">
        <w:t>57</w:t>
      </w:r>
      <w:r w:rsidR="00EC7FAB" w:rsidRPr="00AB232B">
        <w:t xml:space="preserve">  </w:t>
      </w:r>
      <w:r w:rsidR="00E3672D" w:rsidRPr="00AB232B">
        <w:t>Paragraph</w:t>
      </w:r>
      <w:r w:rsidR="00392375" w:rsidRPr="00AB232B">
        <w:t>s</w:t>
      </w:r>
      <w:r w:rsidR="00E3672D" w:rsidRPr="00AB232B">
        <w:t xml:space="preserve"> 3.1(a)</w:t>
      </w:r>
      <w:r w:rsidR="00392375" w:rsidRPr="00AB232B">
        <w:t xml:space="preserve"> and (b)</w:t>
      </w:r>
      <w:r w:rsidR="00E3672D" w:rsidRPr="00AB232B">
        <w:t xml:space="preserve"> of </w:t>
      </w:r>
      <w:r w:rsidR="00EC7FAB" w:rsidRPr="00AB232B">
        <w:t>Schedule</w:t>
      </w:r>
      <w:r w:rsidR="00AB232B" w:rsidRPr="00AB232B">
        <w:t> </w:t>
      </w:r>
      <w:r w:rsidR="00EC7FAB" w:rsidRPr="00AB232B">
        <w:t>3</w:t>
      </w:r>
    </w:p>
    <w:p w:rsidR="002F0F99" w:rsidRPr="00AB232B" w:rsidRDefault="00EC7FAB" w:rsidP="002F0F99">
      <w:pPr>
        <w:pStyle w:val="Item"/>
      </w:pPr>
      <w:r w:rsidRPr="00AB232B">
        <w:t xml:space="preserve">Omit “100 </w:t>
      </w:r>
      <w:r w:rsidRPr="00AB232B">
        <w:sym w:font="Symbol" w:char="F06D"/>
      </w:r>
      <w:r w:rsidRPr="00AB232B">
        <w:t>g/kg”, substitute “100 micrograms per kilogram”.</w:t>
      </w:r>
    </w:p>
    <w:p w:rsidR="007547D4" w:rsidRPr="00AB232B" w:rsidRDefault="008F145C" w:rsidP="0012508A">
      <w:pPr>
        <w:pStyle w:val="ItemHead"/>
      </w:pPr>
      <w:r w:rsidRPr="00AB232B">
        <w:t>58</w:t>
      </w:r>
      <w:r w:rsidR="003823A2" w:rsidRPr="00AB232B">
        <w:t xml:space="preserve">  Paragraph 3.1(d) of Schedule</w:t>
      </w:r>
      <w:r w:rsidR="00AB232B" w:rsidRPr="00AB232B">
        <w:t> </w:t>
      </w:r>
      <w:r w:rsidR="003823A2" w:rsidRPr="00AB232B">
        <w:t>3</w:t>
      </w:r>
    </w:p>
    <w:p w:rsidR="00D65B22" w:rsidRPr="00AB232B" w:rsidRDefault="00D65B22" w:rsidP="003823A2">
      <w:pPr>
        <w:pStyle w:val="Item"/>
      </w:pPr>
      <w:r w:rsidRPr="00AB232B">
        <w:t>Repeal the paragraph, substitute:</w:t>
      </w:r>
    </w:p>
    <w:p w:rsidR="00D65B22" w:rsidRPr="00AB232B" w:rsidRDefault="00D65B22" w:rsidP="00D65B22">
      <w:pPr>
        <w:pStyle w:val="paragraph"/>
      </w:pPr>
      <w:r w:rsidRPr="00AB232B">
        <w:tab/>
        <w:t>(d)</w:t>
      </w:r>
      <w:r w:rsidRPr="00AB232B">
        <w:tab/>
        <w:t xml:space="preserve">a dealing involving </w:t>
      </w:r>
      <w:proofErr w:type="spellStart"/>
      <w:r w:rsidRPr="00AB232B">
        <w:t>virions</w:t>
      </w:r>
      <w:proofErr w:type="spellEnd"/>
      <w:r w:rsidRPr="00AB232B">
        <w:t xml:space="preserve"> of a replication defective viral vector and a host not mentioned in Part</w:t>
      </w:r>
      <w:r w:rsidR="00AB232B" w:rsidRPr="00AB232B">
        <w:t> </w:t>
      </w:r>
      <w:r w:rsidRPr="00AB232B">
        <w:t>2 of Schedule</w:t>
      </w:r>
      <w:r w:rsidR="00AB232B" w:rsidRPr="00AB232B">
        <w:t> </w:t>
      </w:r>
      <w:r w:rsidRPr="00AB232B">
        <w:t>2, if:</w:t>
      </w:r>
    </w:p>
    <w:p w:rsidR="00D65B22" w:rsidRPr="00AB232B" w:rsidRDefault="00D65B22" w:rsidP="00D65B22">
      <w:pPr>
        <w:pStyle w:val="paragraphsub"/>
      </w:pPr>
      <w:r w:rsidRPr="00AB232B">
        <w:tab/>
        <w:t>(</w:t>
      </w:r>
      <w:proofErr w:type="spellStart"/>
      <w:r w:rsidRPr="00AB232B">
        <w:t>i</w:t>
      </w:r>
      <w:proofErr w:type="spellEnd"/>
      <w:r w:rsidRPr="00AB232B">
        <w:t>)</w:t>
      </w:r>
      <w:r w:rsidRPr="00AB232B">
        <w:tab/>
        <w:t>the donor nucleic acid confers an oncogenic modification or immunomodulatory effect in humans; and</w:t>
      </w:r>
    </w:p>
    <w:p w:rsidR="00D65B22" w:rsidRPr="00AB232B" w:rsidRDefault="00D65B22" w:rsidP="00D65B22">
      <w:pPr>
        <w:pStyle w:val="paragraphsub"/>
      </w:pPr>
      <w:r w:rsidRPr="00AB232B">
        <w:tab/>
        <w:t>(ii)</w:t>
      </w:r>
      <w:r w:rsidRPr="00AB232B">
        <w:tab/>
        <w:t>the dealing is not a dealing mentioned in paragraph</w:t>
      </w:r>
      <w:r w:rsidR="00AB232B" w:rsidRPr="00AB232B">
        <w:t> </w:t>
      </w:r>
      <w:r w:rsidR="00D00ED8" w:rsidRPr="00AB232B">
        <w:t>2.1(</w:t>
      </w:r>
      <w:proofErr w:type="spellStart"/>
      <w:r w:rsidR="00D00ED8" w:rsidRPr="00AB232B">
        <w:t>i</w:t>
      </w:r>
      <w:proofErr w:type="spellEnd"/>
      <w:r w:rsidR="00D00ED8" w:rsidRPr="00AB232B">
        <w:t>);</w:t>
      </w:r>
    </w:p>
    <w:p w:rsidR="003823A2" w:rsidRPr="00AB232B" w:rsidRDefault="008F145C" w:rsidP="003823A2">
      <w:pPr>
        <w:pStyle w:val="ItemHead"/>
      </w:pPr>
      <w:r w:rsidRPr="00AB232B">
        <w:t>59</w:t>
      </w:r>
      <w:r w:rsidR="003823A2" w:rsidRPr="00AB232B">
        <w:t xml:space="preserve">  Paragraph 3.1(e) of Schedule</w:t>
      </w:r>
      <w:r w:rsidR="00AB232B" w:rsidRPr="00AB232B">
        <w:t> </w:t>
      </w:r>
      <w:r w:rsidR="003823A2" w:rsidRPr="00AB232B">
        <w:t>3</w:t>
      </w:r>
    </w:p>
    <w:p w:rsidR="003823A2" w:rsidRPr="00AB232B" w:rsidRDefault="003823A2" w:rsidP="008645BD">
      <w:pPr>
        <w:pStyle w:val="Item"/>
      </w:pPr>
      <w:r w:rsidRPr="00AB232B">
        <w:t>Omit all the w</w:t>
      </w:r>
      <w:r w:rsidR="008645BD" w:rsidRPr="00AB232B">
        <w:t>ords after “if the”, substitute “</w:t>
      </w:r>
      <w:r w:rsidRPr="00AB232B">
        <w:t xml:space="preserve">genetic modification confers </w:t>
      </w:r>
      <w:r w:rsidR="008645BD" w:rsidRPr="00AB232B">
        <w:t xml:space="preserve">an oncogenic modification or immunomodulatory effect </w:t>
      </w:r>
      <w:r w:rsidRPr="00AB232B">
        <w:t>in humans</w:t>
      </w:r>
      <w:r w:rsidR="008645BD" w:rsidRPr="00AB232B">
        <w:t>;”</w:t>
      </w:r>
      <w:r w:rsidR="00BF35D9" w:rsidRPr="00AB232B">
        <w:t>.</w:t>
      </w:r>
    </w:p>
    <w:p w:rsidR="003823A2" w:rsidRPr="00AB232B" w:rsidRDefault="008F145C" w:rsidP="003823A2">
      <w:pPr>
        <w:pStyle w:val="ItemHead"/>
      </w:pPr>
      <w:r w:rsidRPr="00AB232B">
        <w:t>60</w:t>
      </w:r>
      <w:r w:rsidR="003823A2" w:rsidRPr="00AB232B">
        <w:t xml:space="preserve">  Sub</w:t>
      </w:r>
      <w:r w:rsidR="00AB232B">
        <w:noBreakHyphen/>
      </w:r>
      <w:r w:rsidR="003823A2" w:rsidRPr="00AB232B">
        <w:t>subparagraph</w:t>
      </w:r>
      <w:r w:rsidR="00AB232B" w:rsidRPr="00AB232B">
        <w:t> </w:t>
      </w:r>
      <w:r w:rsidR="003823A2" w:rsidRPr="00AB232B">
        <w:t>3.1(f)(ii)(B) of Schedule</w:t>
      </w:r>
      <w:r w:rsidR="00AB232B" w:rsidRPr="00AB232B">
        <w:t> </w:t>
      </w:r>
      <w:r w:rsidR="003823A2" w:rsidRPr="00AB232B">
        <w:t>3</w:t>
      </w:r>
    </w:p>
    <w:p w:rsidR="003823A2" w:rsidRPr="00AB232B" w:rsidRDefault="003823A2" w:rsidP="003823A2">
      <w:pPr>
        <w:pStyle w:val="Item"/>
      </w:pPr>
      <w:r w:rsidRPr="00AB232B">
        <w:t>Omit “donor nucleic acid”, substitute “genetic modification”.</w:t>
      </w:r>
    </w:p>
    <w:p w:rsidR="003823A2" w:rsidRPr="00AB232B" w:rsidRDefault="008F145C" w:rsidP="003823A2">
      <w:pPr>
        <w:pStyle w:val="ItemHead"/>
      </w:pPr>
      <w:r w:rsidRPr="00AB232B">
        <w:t>61</w:t>
      </w:r>
      <w:r w:rsidR="003823A2" w:rsidRPr="00AB232B">
        <w:t xml:space="preserve">  Subparagraph 3.1(f)(ii) of Schedule</w:t>
      </w:r>
      <w:r w:rsidR="00AB232B" w:rsidRPr="00AB232B">
        <w:t> </w:t>
      </w:r>
      <w:r w:rsidR="003823A2" w:rsidRPr="00AB232B">
        <w:t>3 (example)</w:t>
      </w:r>
    </w:p>
    <w:p w:rsidR="003823A2" w:rsidRPr="00AB232B" w:rsidRDefault="003823A2" w:rsidP="003823A2">
      <w:pPr>
        <w:pStyle w:val="Item"/>
      </w:pPr>
      <w:r w:rsidRPr="00AB232B">
        <w:t>Omit “Donor nucleic acid”, substitute “A genetic modification”.</w:t>
      </w:r>
    </w:p>
    <w:p w:rsidR="006A0060" w:rsidRPr="00AB232B" w:rsidRDefault="008F145C" w:rsidP="0012508A">
      <w:pPr>
        <w:pStyle w:val="ItemHead"/>
      </w:pPr>
      <w:r w:rsidRPr="00AB232B">
        <w:t>62</w:t>
      </w:r>
      <w:r w:rsidR="006A0060" w:rsidRPr="00AB232B">
        <w:t xml:space="preserve">  At the end of clause</w:t>
      </w:r>
      <w:r w:rsidR="00AB232B" w:rsidRPr="00AB232B">
        <w:t> </w:t>
      </w:r>
      <w:r w:rsidR="006A0060" w:rsidRPr="00AB232B">
        <w:t>3.</w:t>
      </w:r>
      <w:r w:rsidR="00E33B71" w:rsidRPr="00AB232B">
        <w:t>1</w:t>
      </w:r>
      <w:r w:rsidR="006A0060" w:rsidRPr="00AB232B">
        <w:t xml:space="preserve"> of Schedule</w:t>
      </w:r>
      <w:r w:rsidR="00AB232B" w:rsidRPr="00AB232B">
        <w:t> </w:t>
      </w:r>
      <w:r w:rsidR="006A0060" w:rsidRPr="00AB232B">
        <w:t>3</w:t>
      </w:r>
    </w:p>
    <w:p w:rsidR="006A0060" w:rsidRPr="00AB232B" w:rsidRDefault="006A0060" w:rsidP="006A0060">
      <w:pPr>
        <w:pStyle w:val="Item"/>
      </w:pPr>
      <w:r w:rsidRPr="00AB232B">
        <w:t>Add:</w:t>
      </w:r>
    </w:p>
    <w:p w:rsidR="00986181" w:rsidRPr="00AB232B" w:rsidRDefault="006A0060" w:rsidP="006A0060">
      <w:pPr>
        <w:pStyle w:val="paragraph"/>
      </w:pPr>
      <w:r w:rsidRPr="00AB232B">
        <w:tab/>
        <w:t>; (q)</w:t>
      </w:r>
      <w:r w:rsidRPr="00AB232B">
        <w:tab/>
        <w:t xml:space="preserve">a dealing </w:t>
      </w:r>
      <w:r w:rsidR="005271ED" w:rsidRPr="00AB232B">
        <w:t>involving</w:t>
      </w:r>
      <w:r w:rsidRPr="00AB232B">
        <w:t xml:space="preserve"> a micro</w:t>
      </w:r>
      <w:r w:rsidR="00AB232B">
        <w:noBreakHyphen/>
      </w:r>
      <w:r w:rsidRPr="00AB232B">
        <w:t xml:space="preserve">organism that satisfies the criteria in AS/NZS 2243.3:2010 for classification as Risk Group 3 </w:t>
      </w:r>
      <w:r w:rsidR="00986181" w:rsidRPr="00AB232B">
        <w:t xml:space="preserve">and </w:t>
      </w:r>
      <w:r w:rsidRPr="00AB232B">
        <w:t xml:space="preserve">that is </w:t>
      </w:r>
      <w:r w:rsidR="00986181" w:rsidRPr="00AB232B">
        <w:t xml:space="preserve">not </w:t>
      </w:r>
      <w:r w:rsidRPr="00AB232B">
        <w:t>undertaken</w:t>
      </w:r>
      <w:r w:rsidR="00986181" w:rsidRPr="00AB232B">
        <w:t>:</w:t>
      </w:r>
    </w:p>
    <w:p w:rsidR="00986181" w:rsidRPr="00AB232B" w:rsidRDefault="00986181" w:rsidP="00986181">
      <w:pPr>
        <w:pStyle w:val="paragraphsub"/>
      </w:pPr>
      <w:r w:rsidRPr="00AB232B">
        <w:tab/>
        <w:t>(</w:t>
      </w:r>
      <w:proofErr w:type="spellStart"/>
      <w:r w:rsidRPr="00AB232B">
        <w:t>i</w:t>
      </w:r>
      <w:proofErr w:type="spellEnd"/>
      <w:r w:rsidRPr="00AB232B">
        <w:t>)</w:t>
      </w:r>
      <w:r w:rsidRPr="00AB232B">
        <w:tab/>
        <w:t xml:space="preserve">in a facility </w:t>
      </w:r>
      <w:r w:rsidR="00E33B71" w:rsidRPr="00AB232B">
        <w:t xml:space="preserve">that is </w:t>
      </w:r>
      <w:r w:rsidRPr="00AB232B">
        <w:t>certified by the Regulator to at least physical containment level 3 and that is appropriate for the dealing; or</w:t>
      </w:r>
    </w:p>
    <w:p w:rsidR="00986181" w:rsidRPr="00AB232B" w:rsidRDefault="00986181" w:rsidP="00ED4EC6">
      <w:pPr>
        <w:pStyle w:val="paragraphsub"/>
      </w:pPr>
      <w:r w:rsidRPr="00AB232B">
        <w:tab/>
        <w:t>(ii)</w:t>
      </w:r>
      <w:r w:rsidRPr="00AB232B">
        <w:tab/>
        <w:t>in a facility that the Regulator has agreed in writing is a facility in which the dealing may be undertaken</w:t>
      </w:r>
      <w:r w:rsidR="005271ED" w:rsidRPr="00AB232B">
        <w:t>;</w:t>
      </w:r>
    </w:p>
    <w:p w:rsidR="00F97F4D" w:rsidRPr="00AB232B" w:rsidRDefault="005271ED" w:rsidP="005271ED">
      <w:pPr>
        <w:pStyle w:val="paragraph"/>
      </w:pPr>
      <w:r w:rsidRPr="00AB232B">
        <w:tab/>
        <w:t>(r)</w:t>
      </w:r>
      <w:r w:rsidRPr="00AB232B">
        <w:tab/>
        <w:t xml:space="preserve">a dealing involving </w:t>
      </w:r>
      <w:r w:rsidR="007F6A0E" w:rsidRPr="00AB232B">
        <w:t xml:space="preserve">a GMO </w:t>
      </w:r>
      <w:r w:rsidR="00E0690B" w:rsidRPr="00AB232B">
        <w:t>capable of sexual reproduction</w:t>
      </w:r>
      <w:r w:rsidR="00AE6782" w:rsidRPr="00AB232B">
        <w:t xml:space="preserve">, the sexual progeny of which are, as a result of the genetic modification, more likely to inherit a particular nucleotide sequence or set of nucleotide sequences (when </w:t>
      </w:r>
      <w:r w:rsidR="007F6A0E" w:rsidRPr="00AB232B">
        <w:t xml:space="preserve">compared to inheritance from </w:t>
      </w:r>
      <w:r w:rsidR="00F97F4D" w:rsidRPr="00AB232B">
        <w:t>the unmodified parent organism);</w:t>
      </w:r>
    </w:p>
    <w:p w:rsidR="00F97F4D" w:rsidRPr="00AB232B" w:rsidRDefault="00F97F4D" w:rsidP="005271ED">
      <w:pPr>
        <w:pStyle w:val="paragraph"/>
      </w:pPr>
      <w:r w:rsidRPr="00AB232B">
        <w:tab/>
        <w:t>(s)</w:t>
      </w:r>
      <w:r w:rsidRPr="00AB232B">
        <w:tab/>
        <w:t xml:space="preserve">a dealing involving a </w:t>
      </w:r>
      <w:r w:rsidR="00AE6782" w:rsidRPr="00AB232B">
        <w:t xml:space="preserve">viral vector that can modify an organism capable of sexual reproduction, so that the sexual progeny of the organism are more likely to inherit </w:t>
      </w:r>
      <w:r w:rsidRPr="00AB232B">
        <w:t>a particular nucleotide sequence or set of nucleotide sequences</w:t>
      </w:r>
      <w:r w:rsidR="00AE6782" w:rsidRPr="00AB232B">
        <w:t xml:space="preserve"> </w:t>
      </w:r>
      <w:r w:rsidRPr="00AB232B">
        <w:t xml:space="preserve">(when compared to inheritance from the unmodified </w:t>
      </w:r>
      <w:r w:rsidR="00AE6782" w:rsidRPr="00AB232B">
        <w:t>parent</w:t>
      </w:r>
      <w:r w:rsidRPr="00AB232B">
        <w:t xml:space="preserve"> organism).</w:t>
      </w:r>
    </w:p>
    <w:p w:rsidR="00A204A8" w:rsidRPr="00AB232B" w:rsidRDefault="00AE6782" w:rsidP="00AE6782">
      <w:pPr>
        <w:pStyle w:val="notetext"/>
      </w:pPr>
      <w:r w:rsidRPr="00AB232B">
        <w:t>Note:</w:t>
      </w:r>
      <w:r w:rsidRPr="00AB232B">
        <w:tab/>
      </w:r>
      <w:r w:rsidR="00A204A8" w:rsidRPr="00AB232B">
        <w:t xml:space="preserve">A modification that increases the likelihood of inheritance of a nucleotide sequence or sequences, as described in </w:t>
      </w:r>
      <w:r w:rsidR="00AB232B" w:rsidRPr="00AB232B">
        <w:t>paragraphs (</w:t>
      </w:r>
      <w:r w:rsidR="00A204A8" w:rsidRPr="00AB232B">
        <w:t>r) and (s), is generally known as an engineered gene drive.</w:t>
      </w:r>
    </w:p>
    <w:p w:rsidR="00387D10" w:rsidRPr="00AB232B" w:rsidRDefault="00387D10" w:rsidP="00387D10">
      <w:pPr>
        <w:pStyle w:val="subsection"/>
      </w:pPr>
      <w:r w:rsidRPr="00AB232B">
        <w:tab/>
      </w:r>
      <w:r w:rsidR="003D3689" w:rsidRPr="00AB232B">
        <w:t>(</w:t>
      </w:r>
      <w:r w:rsidR="00ED4EC6" w:rsidRPr="00AB232B">
        <w:t>2</w:t>
      </w:r>
      <w:r w:rsidR="003D3689" w:rsidRPr="00AB232B">
        <w:t>)</w:t>
      </w:r>
      <w:r w:rsidRPr="00AB232B">
        <w:tab/>
      </w:r>
      <w:r w:rsidR="008E0F89" w:rsidRPr="00AB232B">
        <w:t>F</w:t>
      </w:r>
      <w:r w:rsidRPr="00AB232B">
        <w:t>or</w:t>
      </w:r>
      <w:r w:rsidR="007E6F3C" w:rsidRPr="00AB232B">
        <w:t xml:space="preserve"> the purposes of</w:t>
      </w:r>
      <w:r w:rsidRPr="00AB232B">
        <w:t xml:space="preserve"> </w:t>
      </w:r>
      <w:r w:rsidR="00AB232B" w:rsidRPr="00AB232B">
        <w:t>paragraph (</w:t>
      </w:r>
      <w:r w:rsidR="00ED4EC6" w:rsidRPr="00AB232B">
        <w:t>1)</w:t>
      </w:r>
      <w:r w:rsidRPr="00AB232B">
        <w:t xml:space="preserve">(p), a </w:t>
      </w:r>
      <w:r w:rsidR="00997A40" w:rsidRPr="00AB232B">
        <w:t xml:space="preserve">genetically modified </w:t>
      </w:r>
      <w:r w:rsidRPr="00AB232B">
        <w:t>micro</w:t>
      </w:r>
      <w:r w:rsidR="00AB232B">
        <w:noBreakHyphen/>
      </w:r>
      <w:r w:rsidRPr="00AB232B">
        <w:t xml:space="preserve">organism </w:t>
      </w:r>
      <w:r w:rsidR="00E33B71" w:rsidRPr="00AB232B">
        <w:t xml:space="preserve">is taken to </w:t>
      </w:r>
      <w:r w:rsidRPr="00AB232B">
        <w:t>s</w:t>
      </w:r>
      <w:r w:rsidR="00E33B71" w:rsidRPr="00AB232B">
        <w:t>atisfy</w:t>
      </w:r>
      <w:r w:rsidRPr="00AB232B">
        <w:t xml:space="preserve"> the criteria in AS/NZS 2243.3:2010 for classification as Risk Group </w:t>
      </w:r>
      <w:r w:rsidR="006A0060" w:rsidRPr="00AB232B">
        <w:t>4</w:t>
      </w:r>
      <w:r w:rsidRPr="00AB232B">
        <w:t xml:space="preserve"> if the unmodified parent micro</w:t>
      </w:r>
      <w:r w:rsidR="00AB232B">
        <w:noBreakHyphen/>
      </w:r>
      <w:r w:rsidRPr="00AB232B">
        <w:t>organism satisfies th</w:t>
      </w:r>
      <w:r w:rsidR="0041238B" w:rsidRPr="00AB232B">
        <w:t>ose</w:t>
      </w:r>
      <w:r w:rsidRPr="00AB232B">
        <w:t xml:space="preserve"> criteria.</w:t>
      </w:r>
    </w:p>
    <w:p w:rsidR="002F0F99" w:rsidRPr="00AB232B" w:rsidRDefault="00986181" w:rsidP="00ED4EC6">
      <w:pPr>
        <w:pStyle w:val="subsection"/>
      </w:pPr>
      <w:r w:rsidRPr="00AB232B">
        <w:tab/>
        <w:t>(</w:t>
      </w:r>
      <w:r w:rsidR="00ED4EC6" w:rsidRPr="00AB232B">
        <w:t>3</w:t>
      </w:r>
      <w:r w:rsidRPr="00AB232B">
        <w:t>)</w:t>
      </w:r>
      <w:r w:rsidRPr="00AB232B">
        <w:tab/>
      </w:r>
      <w:r w:rsidR="008E0F89" w:rsidRPr="00AB232B">
        <w:t>Fo</w:t>
      </w:r>
      <w:r w:rsidRPr="00AB232B">
        <w:t xml:space="preserve">r </w:t>
      </w:r>
      <w:r w:rsidR="007E6F3C" w:rsidRPr="00AB232B">
        <w:t xml:space="preserve">the purposes of </w:t>
      </w:r>
      <w:r w:rsidR="00AB232B" w:rsidRPr="00AB232B">
        <w:t>paragraph (</w:t>
      </w:r>
      <w:r w:rsidRPr="00AB232B">
        <w:t>1</w:t>
      </w:r>
      <w:r w:rsidR="00ED4EC6" w:rsidRPr="00AB232B">
        <w:t>)</w:t>
      </w:r>
      <w:r w:rsidRPr="00AB232B">
        <w:t xml:space="preserve">(q), a </w:t>
      </w:r>
      <w:r w:rsidR="00997A40" w:rsidRPr="00AB232B">
        <w:t xml:space="preserve">genetically modified </w:t>
      </w:r>
      <w:r w:rsidRPr="00AB232B">
        <w:t>micro</w:t>
      </w:r>
      <w:r w:rsidR="00AB232B">
        <w:noBreakHyphen/>
      </w:r>
      <w:r w:rsidRPr="00AB232B">
        <w:t xml:space="preserve">organism </w:t>
      </w:r>
      <w:r w:rsidR="00E33B71" w:rsidRPr="00AB232B">
        <w:t>is taken to sati</w:t>
      </w:r>
      <w:r w:rsidR="00997A40" w:rsidRPr="00AB232B">
        <w:t>s</w:t>
      </w:r>
      <w:r w:rsidR="00E33B71" w:rsidRPr="00AB232B">
        <w:t>fy</w:t>
      </w:r>
      <w:r w:rsidRPr="00AB232B">
        <w:t xml:space="preserve"> the criteria in AS/NZS 2243.3:2010 for classification as Risk Group 3 if the unmodified parent </w:t>
      </w:r>
      <w:r w:rsidR="00997A40" w:rsidRPr="00AB232B">
        <w:t>micro</w:t>
      </w:r>
      <w:r w:rsidR="00AB232B">
        <w:noBreakHyphen/>
      </w:r>
      <w:r w:rsidRPr="00AB232B">
        <w:t>organism satisfies those criteria.</w:t>
      </w:r>
    </w:p>
    <w:p w:rsidR="005A157D" w:rsidRPr="00AB232B" w:rsidRDefault="005A157D" w:rsidP="00ED4EC6">
      <w:pPr>
        <w:pStyle w:val="subsection"/>
      </w:pPr>
      <w:r w:rsidRPr="00AB232B">
        <w:tab/>
        <w:t>(4)</w:t>
      </w:r>
      <w:r w:rsidRPr="00AB232B">
        <w:tab/>
        <w:t xml:space="preserve">However, </w:t>
      </w:r>
      <w:r w:rsidR="00AB232B" w:rsidRPr="00AB232B">
        <w:t>subclause (</w:t>
      </w:r>
      <w:r w:rsidRPr="00AB232B">
        <w:t>3) does not apply in relation to a replication defective retroviral vector that meets the criteria in paragraph</w:t>
      </w:r>
      <w:r w:rsidR="00AB232B" w:rsidRPr="00AB232B">
        <w:t> </w:t>
      </w:r>
      <w:r w:rsidRPr="00AB232B">
        <w:t>2.1(l) or (m).</w:t>
      </w:r>
    </w:p>
    <w:p w:rsidR="00FE46FC" w:rsidRPr="00AB232B" w:rsidRDefault="00FE46FC" w:rsidP="008760BA">
      <w:pPr>
        <w:pStyle w:val="ActHead6"/>
        <w:pageBreakBefore/>
      </w:pPr>
      <w:bookmarkStart w:id="20" w:name="_Toc2843372"/>
      <w:r w:rsidRPr="00AB232B">
        <w:rPr>
          <w:rStyle w:val="CharAmSchNo"/>
        </w:rPr>
        <w:t>Schedule</w:t>
      </w:r>
      <w:r w:rsidR="00AB232B" w:rsidRPr="00AB232B">
        <w:rPr>
          <w:rStyle w:val="CharAmSchNo"/>
        </w:rPr>
        <w:t> </w:t>
      </w:r>
      <w:r w:rsidRPr="00AB232B">
        <w:rPr>
          <w:rStyle w:val="CharAmSchNo"/>
        </w:rPr>
        <w:t>2</w:t>
      </w:r>
      <w:r w:rsidRPr="00AB232B">
        <w:t>—</w:t>
      </w:r>
      <w:r w:rsidRPr="00AB232B">
        <w:rPr>
          <w:rStyle w:val="CharAmSchText"/>
        </w:rPr>
        <w:t>Amendments commencing 1</w:t>
      </w:r>
      <w:r w:rsidR="00AB232B" w:rsidRPr="00AB232B">
        <w:rPr>
          <w:rStyle w:val="CharAmSchText"/>
        </w:rPr>
        <w:t> </w:t>
      </w:r>
      <w:r w:rsidRPr="00AB232B">
        <w:rPr>
          <w:rStyle w:val="CharAmSchText"/>
        </w:rPr>
        <w:t>July 20</w:t>
      </w:r>
      <w:r w:rsidR="00CE5C25" w:rsidRPr="00AB232B">
        <w:rPr>
          <w:rStyle w:val="CharAmSchText"/>
        </w:rPr>
        <w:t>20</w:t>
      </w:r>
      <w:bookmarkEnd w:id="20"/>
    </w:p>
    <w:p w:rsidR="00FE46FC" w:rsidRPr="00AB232B" w:rsidRDefault="00FE46FC" w:rsidP="00FE46FC">
      <w:pPr>
        <w:pStyle w:val="Header"/>
      </w:pPr>
      <w:r w:rsidRPr="00AB232B">
        <w:rPr>
          <w:rStyle w:val="CharAmPartNo"/>
        </w:rPr>
        <w:t xml:space="preserve"> </w:t>
      </w:r>
      <w:r w:rsidRPr="00AB232B">
        <w:rPr>
          <w:rStyle w:val="CharAmPartText"/>
        </w:rPr>
        <w:t xml:space="preserve"> </w:t>
      </w:r>
    </w:p>
    <w:p w:rsidR="00FE46FC" w:rsidRPr="00AB232B" w:rsidRDefault="00FE46FC" w:rsidP="00FE46FC">
      <w:pPr>
        <w:pStyle w:val="ActHead9"/>
      </w:pPr>
      <w:bookmarkStart w:id="21" w:name="_Toc2843373"/>
      <w:r w:rsidRPr="00AB232B">
        <w:t>Gene Technology Regulations</w:t>
      </w:r>
      <w:r w:rsidR="00AB232B" w:rsidRPr="00AB232B">
        <w:t> </w:t>
      </w:r>
      <w:r w:rsidRPr="00AB232B">
        <w:t>2001</w:t>
      </w:r>
      <w:bookmarkEnd w:id="21"/>
    </w:p>
    <w:p w:rsidR="00FE46FC" w:rsidRPr="00AB232B" w:rsidRDefault="008C19D9" w:rsidP="00FE46FC">
      <w:pPr>
        <w:pStyle w:val="ItemHead"/>
      </w:pPr>
      <w:r w:rsidRPr="00AB232B">
        <w:t>1</w:t>
      </w:r>
      <w:r w:rsidR="00FE46FC" w:rsidRPr="00AB232B">
        <w:t xml:space="preserve">  Paragraph 13(1)(b)</w:t>
      </w:r>
    </w:p>
    <w:p w:rsidR="00FE46FC" w:rsidRPr="00AB232B" w:rsidRDefault="00FE46FC" w:rsidP="00FE46FC">
      <w:pPr>
        <w:pStyle w:val="Item"/>
      </w:pPr>
      <w:r w:rsidRPr="00AB232B">
        <w:t>Repeal the paragraph, substitute:</w:t>
      </w:r>
    </w:p>
    <w:p w:rsidR="00FE46FC" w:rsidRPr="00AB232B" w:rsidRDefault="00FE46FC" w:rsidP="00FE46FC">
      <w:pPr>
        <w:pStyle w:val="paragraph"/>
      </w:pPr>
      <w:r w:rsidRPr="00AB232B">
        <w:tab/>
        <w:t>(b)</w:t>
      </w:r>
      <w:r w:rsidRPr="00AB232B">
        <w:tab/>
        <w:t>the Institutional Biosafety Committee has assessed the dealing to be a kind of dealing mentioned in Part</w:t>
      </w:r>
      <w:r w:rsidR="00AB232B" w:rsidRPr="00AB232B">
        <w:t> </w:t>
      </w:r>
      <w:r w:rsidRPr="00AB232B">
        <w:t>1 or 2 of Schedule</w:t>
      </w:r>
      <w:r w:rsidR="00AB232B" w:rsidRPr="00AB232B">
        <w:t> </w:t>
      </w:r>
      <w:r w:rsidRPr="00AB232B">
        <w:t>3, and not mentioned in Part</w:t>
      </w:r>
      <w:r w:rsidR="00AB232B" w:rsidRPr="00AB232B">
        <w:t> </w:t>
      </w:r>
      <w:r w:rsidRPr="00AB232B">
        <w:t>3 of Schedule</w:t>
      </w:r>
      <w:r w:rsidR="00AB232B" w:rsidRPr="00AB232B">
        <w:t> </w:t>
      </w:r>
      <w:r w:rsidRPr="00AB232B">
        <w:t>3; and</w:t>
      </w:r>
    </w:p>
    <w:p w:rsidR="00FE46FC" w:rsidRPr="00AB232B" w:rsidRDefault="008C19D9" w:rsidP="00FE46FC">
      <w:pPr>
        <w:pStyle w:val="ItemHead"/>
      </w:pPr>
      <w:r w:rsidRPr="00AB232B">
        <w:t>2</w:t>
      </w:r>
      <w:r w:rsidR="00FE46FC" w:rsidRPr="00AB232B">
        <w:t xml:space="preserve">  Subparagraph 13B(a)(</w:t>
      </w:r>
      <w:proofErr w:type="spellStart"/>
      <w:r w:rsidR="00FE46FC" w:rsidRPr="00AB232B">
        <w:t>i</w:t>
      </w:r>
      <w:proofErr w:type="spellEnd"/>
      <w:r w:rsidR="00FE46FC" w:rsidRPr="00AB232B">
        <w:t>)</w:t>
      </w:r>
    </w:p>
    <w:p w:rsidR="00FE46FC" w:rsidRPr="00AB232B" w:rsidRDefault="00FE46FC" w:rsidP="00FE46FC">
      <w:pPr>
        <w:pStyle w:val="Item"/>
      </w:pPr>
      <w:r w:rsidRPr="00AB232B">
        <w:t>Omit “proposing to undertake the dealing”, substitute “that submitted the proposal”.</w:t>
      </w:r>
    </w:p>
    <w:p w:rsidR="00FE46FC" w:rsidRPr="00AB232B" w:rsidRDefault="008C19D9" w:rsidP="00FE46FC">
      <w:pPr>
        <w:pStyle w:val="ItemHead"/>
      </w:pPr>
      <w:r w:rsidRPr="00AB232B">
        <w:t>3</w:t>
      </w:r>
      <w:r w:rsidR="00FE46FC" w:rsidRPr="00AB232B">
        <w:t xml:space="preserve">  Subparagraphs</w:t>
      </w:r>
      <w:r w:rsidR="00AB232B" w:rsidRPr="00AB232B">
        <w:t> </w:t>
      </w:r>
      <w:r w:rsidR="00FE46FC" w:rsidRPr="00AB232B">
        <w:t>13B(a)(iii) and (iv)</w:t>
      </w:r>
    </w:p>
    <w:p w:rsidR="00FE46FC" w:rsidRPr="00AB232B" w:rsidRDefault="00FE46FC" w:rsidP="00FE46FC">
      <w:pPr>
        <w:pStyle w:val="Item"/>
      </w:pPr>
      <w:r w:rsidRPr="00AB232B">
        <w:t>Repeal the subparagraphs, substitute:</w:t>
      </w:r>
    </w:p>
    <w:p w:rsidR="00FE46FC" w:rsidRPr="00AB232B" w:rsidRDefault="00FE46FC" w:rsidP="00FE46FC">
      <w:pPr>
        <w:pStyle w:val="paragraphsub"/>
      </w:pPr>
      <w:r w:rsidRPr="00AB232B">
        <w:tab/>
        <w:t>(iii)</w:t>
      </w:r>
      <w:r w:rsidRPr="00AB232B">
        <w:tab/>
        <w:t>its assessment whether the dealing is a kind of dealing mentioned in Part</w:t>
      </w:r>
      <w:r w:rsidR="00AB232B" w:rsidRPr="00AB232B">
        <w:t> </w:t>
      </w:r>
      <w:r w:rsidRPr="00AB232B">
        <w:t>1 or 2 of Schedule</w:t>
      </w:r>
      <w:r w:rsidR="00AB232B" w:rsidRPr="00AB232B">
        <w:t> </w:t>
      </w:r>
      <w:r w:rsidRPr="00AB232B">
        <w:t>3, and not mentioned in Part</w:t>
      </w:r>
      <w:r w:rsidR="00AB232B" w:rsidRPr="00AB232B">
        <w:t> </w:t>
      </w:r>
      <w:r w:rsidRPr="00AB232B">
        <w:t>3 of Schedule</w:t>
      </w:r>
      <w:r w:rsidR="00AB232B" w:rsidRPr="00AB232B">
        <w:t> </w:t>
      </w:r>
      <w:r w:rsidRPr="00AB232B">
        <w:t>3;</w:t>
      </w:r>
    </w:p>
    <w:p w:rsidR="00FE46FC" w:rsidRPr="00AB232B" w:rsidRDefault="00FE46FC" w:rsidP="00FE46FC">
      <w:pPr>
        <w:pStyle w:val="paragraphsub"/>
      </w:pPr>
      <w:r w:rsidRPr="00AB232B">
        <w:tab/>
        <w:t>(iv)</w:t>
      </w:r>
      <w:r w:rsidRPr="00AB232B">
        <w:tab/>
        <w:t>if the Committee has assessed the dealing as being a kind of dealing mentioned in Part</w:t>
      </w:r>
      <w:r w:rsidR="00AB232B" w:rsidRPr="00AB232B">
        <w:t> </w:t>
      </w:r>
      <w:r w:rsidRPr="00AB232B">
        <w:t>1 or 2 of Schedule</w:t>
      </w:r>
      <w:r w:rsidR="00AB232B" w:rsidRPr="00AB232B">
        <w:t> </w:t>
      </w:r>
      <w:r w:rsidRPr="00AB232B">
        <w:t>3 (and not mentioned in Part</w:t>
      </w:r>
      <w:r w:rsidR="00AB232B" w:rsidRPr="00AB232B">
        <w:t> </w:t>
      </w:r>
      <w:r w:rsidRPr="00AB232B">
        <w:t>3 of Schedule</w:t>
      </w:r>
      <w:r w:rsidR="00AB232B" w:rsidRPr="00AB232B">
        <w:t> </w:t>
      </w:r>
      <w:r w:rsidRPr="00AB232B">
        <w:t>3)—which kind of dealing in those Parts that the dealing is;</w:t>
      </w:r>
    </w:p>
    <w:p w:rsidR="00FE46FC" w:rsidRPr="00AB232B" w:rsidRDefault="008C19D9" w:rsidP="00FE46FC">
      <w:pPr>
        <w:pStyle w:val="ItemHead"/>
      </w:pPr>
      <w:r w:rsidRPr="00AB232B">
        <w:t>4</w:t>
      </w:r>
      <w:r w:rsidR="00FE46FC" w:rsidRPr="00AB232B">
        <w:t xml:space="preserve">  Subparagraph 13B(a)(vii)</w:t>
      </w:r>
    </w:p>
    <w:p w:rsidR="00FE46FC" w:rsidRPr="00AB232B" w:rsidRDefault="00FE46FC" w:rsidP="00FE46FC">
      <w:pPr>
        <w:pStyle w:val="Item"/>
      </w:pPr>
      <w:r w:rsidRPr="00AB232B">
        <w:t>After “dealing”, insert “, having regard to the requirements of subregulation</w:t>
      </w:r>
      <w:r w:rsidR="00AB232B" w:rsidRPr="00AB232B">
        <w:t> </w:t>
      </w:r>
      <w:r w:rsidRPr="00AB232B">
        <w:t>13(2)”.</w:t>
      </w:r>
    </w:p>
    <w:p w:rsidR="00FE46FC" w:rsidRPr="00AB232B" w:rsidRDefault="008C19D9" w:rsidP="00FE46FC">
      <w:pPr>
        <w:pStyle w:val="ItemHead"/>
      </w:pPr>
      <w:r w:rsidRPr="00AB232B">
        <w:t>5</w:t>
      </w:r>
      <w:r w:rsidR="00FE46FC" w:rsidRPr="00AB232B">
        <w:t xml:space="preserve">  Subparagraph 13B(a)(x)</w:t>
      </w:r>
    </w:p>
    <w:p w:rsidR="00FE46FC" w:rsidRPr="00AB232B" w:rsidRDefault="00FE46FC" w:rsidP="00FE46FC">
      <w:pPr>
        <w:pStyle w:val="Item"/>
      </w:pPr>
      <w:r w:rsidRPr="00AB232B">
        <w:t>Omit “the name of the person or accredited organisation”, substitute “the person or persons”.</w:t>
      </w:r>
    </w:p>
    <w:p w:rsidR="00FE46FC" w:rsidRPr="00AB232B" w:rsidRDefault="008C19D9" w:rsidP="00FE46FC">
      <w:pPr>
        <w:pStyle w:val="ItemHead"/>
      </w:pPr>
      <w:r w:rsidRPr="00AB232B">
        <w:t>6</w:t>
      </w:r>
      <w:r w:rsidR="00FE46FC" w:rsidRPr="00AB232B">
        <w:t xml:space="preserve">  </w:t>
      </w:r>
      <w:proofErr w:type="spellStart"/>
      <w:r w:rsidR="00FE46FC" w:rsidRPr="00AB232B">
        <w:t>Subregulations</w:t>
      </w:r>
      <w:proofErr w:type="spellEnd"/>
      <w:r w:rsidR="00AB232B" w:rsidRPr="00AB232B">
        <w:t> </w:t>
      </w:r>
      <w:r w:rsidR="00FE46FC" w:rsidRPr="00AB232B">
        <w:t>13C(1) and (2)</w:t>
      </w:r>
    </w:p>
    <w:p w:rsidR="00FE46FC" w:rsidRPr="00AB232B" w:rsidRDefault="00FE46FC" w:rsidP="00C85562">
      <w:pPr>
        <w:pStyle w:val="Item"/>
      </w:pPr>
      <w:r w:rsidRPr="00AB232B">
        <w:t xml:space="preserve">Repeal the </w:t>
      </w:r>
      <w:proofErr w:type="spellStart"/>
      <w:r w:rsidRPr="00AB232B">
        <w:t>subregulations</w:t>
      </w:r>
      <w:proofErr w:type="spellEnd"/>
      <w:r w:rsidRPr="00AB232B">
        <w:t>, substitute:</w:t>
      </w:r>
    </w:p>
    <w:p w:rsidR="00C85562" w:rsidRPr="00AB232B" w:rsidRDefault="00C85562" w:rsidP="00C85562">
      <w:pPr>
        <w:pStyle w:val="subsection"/>
      </w:pPr>
      <w:r w:rsidRPr="00AB232B">
        <w:tab/>
        <w:t>(1)</w:t>
      </w:r>
      <w:r w:rsidRPr="00AB232B">
        <w:tab/>
        <w:t>A person or accredited organisation that has been given a copy of a record of assessment by an Institutional Biosafety Committee under paragraph</w:t>
      </w:r>
      <w:r w:rsidR="00AB232B" w:rsidRPr="00AB232B">
        <w:t> </w:t>
      </w:r>
      <w:r w:rsidRPr="00AB232B">
        <w:t>13B(b) must, if the dealing has been assessed by the Committee as a notifiable low risk dealing, give the Regulator a record of the dealing.</w:t>
      </w:r>
    </w:p>
    <w:p w:rsidR="00FE46FC" w:rsidRPr="00AB232B" w:rsidRDefault="00FE46FC" w:rsidP="00FE46FC">
      <w:pPr>
        <w:pStyle w:val="subsection"/>
      </w:pPr>
      <w:r w:rsidRPr="00AB232B">
        <w:tab/>
        <w:t>(2)</w:t>
      </w:r>
      <w:r w:rsidRPr="00AB232B">
        <w:tab/>
        <w:t>A record of a dealing for the purposes of subregulation</w:t>
      </w:r>
      <w:r w:rsidR="00AB232B" w:rsidRPr="00AB232B">
        <w:t> </w:t>
      </w:r>
      <w:r w:rsidRPr="00AB232B">
        <w:t>(1) must include:</w:t>
      </w:r>
    </w:p>
    <w:p w:rsidR="00FE46FC" w:rsidRPr="00AB232B" w:rsidRDefault="00FE46FC" w:rsidP="00FE46FC">
      <w:pPr>
        <w:pStyle w:val="paragraph"/>
      </w:pPr>
      <w:r w:rsidRPr="00AB232B">
        <w:tab/>
        <w:t>(a)</w:t>
      </w:r>
      <w:r w:rsidRPr="00AB232B">
        <w:tab/>
        <w:t>the particulars, prescribed under regulation</w:t>
      </w:r>
      <w:r w:rsidR="00AB232B" w:rsidRPr="00AB232B">
        <w:t> </w:t>
      </w:r>
      <w:r w:rsidRPr="00AB232B">
        <w:t>39 in relation to the dealing, to be included in the Record of GMO Dealings; and</w:t>
      </w:r>
    </w:p>
    <w:p w:rsidR="00FE46FC" w:rsidRPr="00AB232B" w:rsidRDefault="00FE46FC" w:rsidP="00FE46FC">
      <w:pPr>
        <w:pStyle w:val="paragraph"/>
      </w:pPr>
      <w:r w:rsidRPr="00AB232B">
        <w:tab/>
        <w:t>(b)</w:t>
      </w:r>
      <w:r w:rsidRPr="00AB232B">
        <w:tab/>
        <w:t xml:space="preserve">the name of the Committee that assessed the </w:t>
      </w:r>
      <w:r w:rsidR="00B06373" w:rsidRPr="00AB232B">
        <w:t xml:space="preserve">proposal relating to the </w:t>
      </w:r>
      <w:r w:rsidRPr="00AB232B">
        <w:t>dealing; and</w:t>
      </w:r>
    </w:p>
    <w:p w:rsidR="00FE46FC" w:rsidRPr="00AB232B" w:rsidRDefault="00FE46FC" w:rsidP="00FE46FC">
      <w:pPr>
        <w:pStyle w:val="paragraph"/>
      </w:pPr>
      <w:r w:rsidRPr="00AB232B">
        <w:tab/>
        <w:t>(c)</w:t>
      </w:r>
      <w:r w:rsidRPr="00AB232B">
        <w:tab/>
        <w:t xml:space="preserve">the name of the person or accredited organisation that submitted the </w:t>
      </w:r>
      <w:r w:rsidR="00B06373" w:rsidRPr="00AB232B">
        <w:t>proposal</w:t>
      </w:r>
      <w:r w:rsidRPr="00AB232B">
        <w:t xml:space="preserve"> to the Committee for assessment.</w:t>
      </w:r>
    </w:p>
    <w:p w:rsidR="00C85562" w:rsidRPr="00AB232B" w:rsidRDefault="00C85562" w:rsidP="00C85562">
      <w:pPr>
        <w:pStyle w:val="subsection"/>
      </w:pPr>
      <w:r w:rsidRPr="00AB232B">
        <w:tab/>
        <w:t>(2A)</w:t>
      </w:r>
      <w:r w:rsidRPr="00AB232B">
        <w:tab/>
        <w:t>The record must be given to the Regulator:</w:t>
      </w:r>
    </w:p>
    <w:p w:rsidR="00C85562" w:rsidRPr="00AB232B" w:rsidRDefault="00C85562" w:rsidP="00C85562">
      <w:pPr>
        <w:pStyle w:val="paragraph"/>
      </w:pPr>
      <w:r w:rsidRPr="00AB232B">
        <w:tab/>
        <w:t>(a)</w:t>
      </w:r>
      <w:r w:rsidRPr="00AB232B">
        <w:tab/>
        <w:t>in a form approved by the Regulator; and</w:t>
      </w:r>
    </w:p>
    <w:p w:rsidR="00C85562" w:rsidRPr="00AB232B" w:rsidRDefault="00C85562" w:rsidP="00C85562">
      <w:pPr>
        <w:pStyle w:val="paragraph"/>
      </w:pPr>
      <w:r w:rsidRPr="00AB232B">
        <w:tab/>
        <w:t>(b)</w:t>
      </w:r>
      <w:r w:rsidRPr="00AB232B">
        <w:tab/>
        <w:t>no later than 30</w:t>
      </w:r>
      <w:r w:rsidR="00AB232B" w:rsidRPr="00AB232B">
        <w:t> </w:t>
      </w:r>
      <w:r w:rsidRPr="00AB232B">
        <w:t>September in the financial year following the one in which the Institutional Biosafety Committee made the assessment.</w:t>
      </w:r>
    </w:p>
    <w:p w:rsidR="00C85562" w:rsidRPr="00AB232B" w:rsidRDefault="00C85562" w:rsidP="00C85562">
      <w:pPr>
        <w:pStyle w:val="subsection"/>
      </w:pPr>
      <w:r w:rsidRPr="00AB232B">
        <w:tab/>
        <w:t>(2B)</w:t>
      </w:r>
      <w:r w:rsidRPr="00AB232B">
        <w:tab/>
        <w:t>An accredited organisation that is required, as a condition of accreditation, to give an annual report to the Regulator, must:</w:t>
      </w:r>
    </w:p>
    <w:p w:rsidR="00C85562" w:rsidRPr="00AB232B" w:rsidRDefault="00C85562" w:rsidP="00C85562">
      <w:pPr>
        <w:pStyle w:val="paragraph"/>
      </w:pPr>
      <w:r w:rsidRPr="00AB232B">
        <w:tab/>
        <w:t>(a)</w:t>
      </w:r>
      <w:r w:rsidRPr="00AB232B">
        <w:tab/>
        <w:t>include the record in the annual report for the year in which the Institutional Biosafety Committee made the assessment; or</w:t>
      </w:r>
    </w:p>
    <w:p w:rsidR="00C85562" w:rsidRPr="00AB232B" w:rsidRDefault="00C85562" w:rsidP="00C85562">
      <w:pPr>
        <w:pStyle w:val="paragraph"/>
      </w:pPr>
      <w:r w:rsidRPr="00AB232B">
        <w:tab/>
        <w:t>(b)</w:t>
      </w:r>
      <w:r w:rsidRPr="00AB232B">
        <w:tab/>
        <w:t>certify in the annual report that the record has previously been given to the Regulator.</w:t>
      </w:r>
    </w:p>
    <w:p w:rsidR="00FE46FC" w:rsidRPr="00AB232B" w:rsidRDefault="008C19D9" w:rsidP="00FE46FC">
      <w:pPr>
        <w:pStyle w:val="ItemHead"/>
      </w:pPr>
      <w:r w:rsidRPr="00AB232B">
        <w:t>7</w:t>
      </w:r>
      <w:r w:rsidR="00FE46FC" w:rsidRPr="00AB232B">
        <w:t xml:space="preserve">  Subregulation</w:t>
      </w:r>
      <w:r w:rsidR="00AB232B" w:rsidRPr="00AB232B">
        <w:t> </w:t>
      </w:r>
      <w:r w:rsidR="00FE46FC" w:rsidRPr="00AB232B">
        <w:t>13C(3)</w:t>
      </w:r>
    </w:p>
    <w:p w:rsidR="00FE46FC" w:rsidRPr="00AB232B" w:rsidRDefault="00FE46FC" w:rsidP="00FE46FC">
      <w:pPr>
        <w:pStyle w:val="Item"/>
      </w:pPr>
      <w:r w:rsidRPr="00AB232B">
        <w:t>After “Institutional Biosafety Committee”, insert “under paragraph</w:t>
      </w:r>
      <w:r w:rsidR="00AB232B" w:rsidRPr="00AB232B">
        <w:t> </w:t>
      </w:r>
      <w:r w:rsidRPr="00AB232B">
        <w:t>13B(b)”.</w:t>
      </w:r>
    </w:p>
    <w:p w:rsidR="00FE46FC" w:rsidRPr="00AB232B" w:rsidRDefault="008C19D9" w:rsidP="00FE46FC">
      <w:pPr>
        <w:pStyle w:val="ItemHead"/>
      </w:pPr>
      <w:r w:rsidRPr="00AB232B">
        <w:t>8</w:t>
      </w:r>
      <w:r w:rsidR="00FE46FC" w:rsidRPr="00AB232B">
        <w:t xml:space="preserve">  Regulation</w:t>
      </w:r>
      <w:r w:rsidR="00AB232B" w:rsidRPr="00AB232B">
        <w:t> </w:t>
      </w:r>
      <w:r w:rsidR="00FE46FC" w:rsidRPr="00AB232B">
        <w:t>39</w:t>
      </w:r>
    </w:p>
    <w:p w:rsidR="00FE46FC" w:rsidRPr="00AB232B" w:rsidRDefault="00FE46FC" w:rsidP="00FE46FC">
      <w:pPr>
        <w:pStyle w:val="Item"/>
      </w:pPr>
      <w:r w:rsidRPr="00AB232B">
        <w:t>Repeal the regulation, substitute:</w:t>
      </w:r>
    </w:p>
    <w:p w:rsidR="00FE46FC" w:rsidRPr="00AB232B" w:rsidRDefault="00FE46FC" w:rsidP="00FE46FC">
      <w:pPr>
        <w:pStyle w:val="ActHead5"/>
      </w:pPr>
      <w:bookmarkStart w:id="22" w:name="_Toc2843374"/>
      <w:r w:rsidRPr="00AB232B">
        <w:rPr>
          <w:rStyle w:val="CharSectno"/>
        </w:rPr>
        <w:t>39</w:t>
      </w:r>
      <w:r w:rsidRPr="00AB232B">
        <w:t xml:space="preserve">  Record of GMO Dealings</w:t>
      </w:r>
      <w:bookmarkEnd w:id="22"/>
    </w:p>
    <w:p w:rsidR="00FE46FC" w:rsidRPr="00AB232B" w:rsidRDefault="00FE46FC" w:rsidP="00FE46FC">
      <w:pPr>
        <w:pStyle w:val="subsection"/>
      </w:pPr>
      <w:r w:rsidRPr="00AB232B">
        <w:tab/>
      </w:r>
      <w:r w:rsidRPr="00AB232B">
        <w:tab/>
        <w:t>For the purposes of subsection</w:t>
      </w:r>
      <w:r w:rsidR="00AB232B" w:rsidRPr="00AB232B">
        <w:t> </w:t>
      </w:r>
      <w:r w:rsidRPr="00AB232B">
        <w:t>138(4) of the Act, the following particulars are prescribed in relation to a notifiable low risk dealing that is notified to the Regulator:</w:t>
      </w:r>
    </w:p>
    <w:p w:rsidR="00FE46FC" w:rsidRPr="00AB232B" w:rsidRDefault="00FE46FC" w:rsidP="00FE46FC">
      <w:pPr>
        <w:pStyle w:val="paragraph"/>
      </w:pPr>
      <w:r w:rsidRPr="00AB232B">
        <w:tab/>
        <w:t>(a)</w:t>
      </w:r>
      <w:r w:rsidRPr="00AB232B">
        <w:tab/>
        <w:t>the person or persons that proposed to undertake the dealing, as recorded by the Institutional Biosafety Committee that assessed the dealing as a notifiable low risk dealing;</w:t>
      </w:r>
    </w:p>
    <w:p w:rsidR="00FE46FC" w:rsidRPr="00AB232B" w:rsidRDefault="00FE46FC" w:rsidP="00FE46FC">
      <w:pPr>
        <w:pStyle w:val="paragraph"/>
      </w:pPr>
      <w:r w:rsidRPr="00AB232B">
        <w:tab/>
        <w:t>(b)</w:t>
      </w:r>
      <w:r w:rsidRPr="00AB232B">
        <w:tab/>
        <w:t>the kind of notifiable low risk dealing, in terms of Part</w:t>
      </w:r>
      <w:r w:rsidR="00AB232B" w:rsidRPr="00AB232B">
        <w:t> </w:t>
      </w:r>
      <w:r w:rsidRPr="00AB232B">
        <w:t>1 or 2 of Schedule</w:t>
      </w:r>
      <w:r w:rsidR="00AB232B" w:rsidRPr="00AB232B">
        <w:t> </w:t>
      </w:r>
      <w:r w:rsidRPr="00AB232B">
        <w:t>3;</w:t>
      </w:r>
    </w:p>
    <w:p w:rsidR="00FE46FC" w:rsidRPr="00AB232B" w:rsidRDefault="00FE46FC" w:rsidP="00FE46FC">
      <w:pPr>
        <w:pStyle w:val="paragraph"/>
      </w:pPr>
      <w:r w:rsidRPr="00AB232B">
        <w:tab/>
        <w:t>(c)</w:t>
      </w:r>
      <w:r w:rsidRPr="00AB232B">
        <w:tab/>
        <w:t>the identifying name given to the dealing by the person or accredited organisation that submitted the dealing to the Institutional Biosafety Committee for assessment;</w:t>
      </w:r>
    </w:p>
    <w:p w:rsidR="00FE46FC" w:rsidRPr="00AB232B" w:rsidRDefault="00FE46FC" w:rsidP="00FE46FC">
      <w:pPr>
        <w:pStyle w:val="paragraph"/>
      </w:pPr>
      <w:r w:rsidRPr="00AB232B">
        <w:tab/>
        <w:t>(d)</w:t>
      </w:r>
      <w:r w:rsidRPr="00AB232B">
        <w:tab/>
        <w:t>the date of assessment by the Institutional Biosafety Committee that the dealing is a notifiable low risk dealing.</w:t>
      </w:r>
    </w:p>
    <w:p w:rsidR="00D75485" w:rsidRPr="00AB232B" w:rsidRDefault="008C19D9" w:rsidP="00D75485">
      <w:pPr>
        <w:pStyle w:val="ItemHead"/>
      </w:pPr>
      <w:r w:rsidRPr="00AB232B">
        <w:t>9</w:t>
      </w:r>
      <w:r w:rsidR="00D75485" w:rsidRPr="00AB232B">
        <w:t xml:space="preserve">  </w:t>
      </w:r>
      <w:r w:rsidR="00A45F7C" w:rsidRPr="00AB232B">
        <w:t>At the end of Division</w:t>
      </w:r>
      <w:r w:rsidR="00AB232B" w:rsidRPr="00AB232B">
        <w:t> </w:t>
      </w:r>
      <w:r w:rsidR="00A45F7C" w:rsidRPr="00AB232B">
        <w:t>1 of Part</w:t>
      </w:r>
      <w:r w:rsidR="00AB232B" w:rsidRPr="00AB232B">
        <w:t> </w:t>
      </w:r>
      <w:r w:rsidR="00A45F7C" w:rsidRPr="00AB232B">
        <w:t>8</w:t>
      </w:r>
    </w:p>
    <w:p w:rsidR="00D75485" w:rsidRPr="00AB232B" w:rsidRDefault="00A45F7C" w:rsidP="00D75485">
      <w:pPr>
        <w:pStyle w:val="Item"/>
      </w:pPr>
      <w:r w:rsidRPr="00AB232B">
        <w:t>Add</w:t>
      </w:r>
      <w:r w:rsidR="00D75485" w:rsidRPr="00AB232B">
        <w:t>:</w:t>
      </w:r>
    </w:p>
    <w:p w:rsidR="00D75485" w:rsidRPr="00AB232B" w:rsidRDefault="00D75485" w:rsidP="00D75485">
      <w:pPr>
        <w:pStyle w:val="ActHead5"/>
      </w:pPr>
      <w:bookmarkStart w:id="23" w:name="_Toc2843375"/>
      <w:r w:rsidRPr="00AB232B">
        <w:rPr>
          <w:rStyle w:val="CharSectno"/>
        </w:rPr>
        <w:t>42</w:t>
      </w:r>
      <w:r w:rsidRPr="00AB232B">
        <w:t xml:space="preserve">  Previous assessment by an Institutional Biosafety Committee</w:t>
      </w:r>
      <w:bookmarkEnd w:id="23"/>
    </w:p>
    <w:p w:rsidR="00D75485" w:rsidRPr="00AB232B" w:rsidRDefault="00D75485" w:rsidP="00D75485">
      <w:pPr>
        <w:pStyle w:val="subsection"/>
      </w:pPr>
      <w:r w:rsidRPr="00AB232B">
        <w:tab/>
        <w:t>(1)</w:t>
      </w:r>
      <w:r w:rsidRPr="00AB232B">
        <w:tab/>
        <w:t>This regulation applies if:</w:t>
      </w:r>
    </w:p>
    <w:p w:rsidR="00D75485" w:rsidRPr="00AB232B" w:rsidRDefault="00D75485" w:rsidP="00D75485">
      <w:pPr>
        <w:pStyle w:val="paragraph"/>
      </w:pPr>
      <w:r w:rsidRPr="00AB232B">
        <w:tab/>
        <w:t>(a)</w:t>
      </w:r>
      <w:r w:rsidRPr="00AB232B">
        <w:tab/>
      </w:r>
      <w:r w:rsidR="008D005D" w:rsidRPr="00AB232B">
        <w:t xml:space="preserve">before </w:t>
      </w:r>
      <w:r w:rsidR="00A45F7C" w:rsidRPr="00AB232B">
        <w:t>1</w:t>
      </w:r>
      <w:r w:rsidR="00AB232B" w:rsidRPr="00AB232B">
        <w:t> </w:t>
      </w:r>
      <w:r w:rsidR="00A45F7C" w:rsidRPr="00AB232B">
        <w:t>July 20</w:t>
      </w:r>
      <w:r w:rsidR="00CE5C25" w:rsidRPr="00AB232B">
        <w:t>20</w:t>
      </w:r>
      <w:r w:rsidR="008D005D" w:rsidRPr="00AB232B">
        <w:t>, an Institutional Biosafety Committee assessed a dealing as being a notifiable low risk dealing mentioned in Part</w:t>
      </w:r>
      <w:r w:rsidR="00AB232B" w:rsidRPr="00AB232B">
        <w:t> </w:t>
      </w:r>
      <w:r w:rsidR="008D005D" w:rsidRPr="00AB232B">
        <w:t>1 or 2 of Schedule</w:t>
      </w:r>
      <w:r w:rsidR="00AB232B" w:rsidRPr="00AB232B">
        <w:t> </w:t>
      </w:r>
      <w:r w:rsidR="008D005D" w:rsidRPr="00AB232B">
        <w:t>3; and</w:t>
      </w:r>
    </w:p>
    <w:p w:rsidR="008D005D" w:rsidRPr="00AB232B" w:rsidRDefault="008D005D" w:rsidP="00D75485">
      <w:pPr>
        <w:pStyle w:val="paragraph"/>
      </w:pPr>
      <w:r w:rsidRPr="00AB232B">
        <w:tab/>
        <w:t>(b)</w:t>
      </w:r>
      <w:r w:rsidRPr="00AB232B">
        <w:tab/>
        <w:t>the record of the Committee’s assessment does not indicate that the Committee assessed whether the dealing is of a kind mentioned in Part</w:t>
      </w:r>
      <w:r w:rsidR="00AB232B" w:rsidRPr="00AB232B">
        <w:t> </w:t>
      </w:r>
      <w:r w:rsidRPr="00AB232B">
        <w:t>3 of Schedule</w:t>
      </w:r>
      <w:r w:rsidR="00AB232B" w:rsidRPr="00AB232B">
        <w:t> </w:t>
      </w:r>
      <w:r w:rsidRPr="00AB232B">
        <w:t>3.</w:t>
      </w:r>
    </w:p>
    <w:p w:rsidR="008D005D" w:rsidRPr="00AB232B" w:rsidRDefault="008D005D" w:rsidP="008D005D">
      <w:pPr>
        <w:pStyle w:val="subsection"/>
      </w:pPr>
      <w:r w:rsidRPr="00AB232B">
        <w:tab/>
        <w:t>(2)</w:t>
      </w:r>
      <w:r w:rsidRPr="00AB232B">
        <w:tab/>
        <w:t>The Committee is taken to have assessed the dealing as being a kind of dealing that is not mentioned in Part</w:t>
      </w:r>
      <w:r w:rsidR="00AB232B" w:rsidRPr="00AB232B">
        <w:t> </w:t>
      </w:r>
      <w:r w:rsidRPr="00AB232B">
        <w:t>3 of Schedule</w:t>
      </w:r>
      <w:r w:rsidR="00AB232B" w:rsidRPr="00AB232B">
        <w:t> </w:t>
      </w:r>
      <w:r w:rsidRPr="00AB232B">
        <w:t>3.</w:t>
      </w:r>
    </w:p>
    <w:p w:rsidR="00931BA0" w:rsidRPr="00AB232B" w:rsidRDefault="00931BA0" w:rsidP="00931BA0">
      <w:pPr>
        <w:pStyle w:val="ActHead5"/>
      </w:pPr>
      <w:bookmarkStart w:id="24" w:name="_Toc2843376"/>
      <w:r w:rsidRPr="00AB232B">
        <w:rPr>
          <w:rStyle w:val="CharSectno"/>
        </w:rPr>
        <w:t>43</w:t>
      </w:r>
      <w:r w:rsidRPr="00AB232B">
        <w:t xml:space="preserve">  </w:t>
      </w:r>
      <w:r w:rsidR="00C323AF" w:rsidRPr="00AB232B">
        <w:t>New requirements for giving records to Regulator</w:t>
      </w:r>
      <w:r w:rsidRPr="00AB232B">
        <w:t xml:space="preserve"> </w:t>
      </w:r>
      <w:r w:rsidR="00EF0E60" w:rsidRPr="00AB232B">
        <w:t>apply to notifiable low risk dealing assessed in previous financial year</w:t>
      </w:r>
      <w:bookmarkEnd w:id="24"/>
    </w:p>
    <w:p w:rsidR="008D005D" w:rsidRPr="00AB232B" w:rsidRDefault="005C4364" w:rsidP="00161BE5">
      <w:pPr>
        <w:pStyle w:val="subsection"/>
      </w:pPr>
      <w:r w:rsidRPr="00AB232B">
        <w:tab/>
      </w:r>
      <w:r w:rsidRPr="00AB232B">
        <w:tab/>
        <w:t>Regulation</w:t>
      </w:r>
      <w:r w:rsidR="00AB232B" w:rsidRPr="00AB232B">
        <w:t> </w:t>
      </w:r>
      <w:r w:rsidRPr="00AB232B">
        <w:t xml:space="preserve">13C as </w:t>
      </w:r>
      <w:r w:rsidR="00161BE5" w:rsidRPr="00AB232B">
        <w:t>amended by Schedule</w:t>
      </w:r>
      <w:r w:rsidR="00AB232B" w:rsidRPr="00AB232B">
        <w:t> </w:t>
      </w:r>
      <w:r w:rsidR="00161BE5" w:rsidRPr="00AB232B">
        <w:t xml:space="preserve">2 to the </w:t>
      </w:r>
      <w:r w:rsidR="00161BE5" w:rsidRPr="00AB232B">
        <w:rPr>
          <w:i/>
        </w:rPr>
        <w:t>Gene Technology Amendment (201</w:t>
      </w:r>
      <w:r w:rsidR="008B1287" w:rsidRPr="00AB232B">
        <w:rPr>
          <w:i/>
        </w:rPr>
        <w:t>9</w:t>
      </w:r>
      <w:r w:rsidR="00161BE5" w:rsidRPr="00AB232B">
        <w:rPr>
          <w:i/>
        </w:rPr>
        <w:t xml:space="preserve"> Measures No.</w:t>
      </w:r>
      <w:r w:rsidR="00AB232B" w:rsidRPr="00AB232B">
        <w:rPr>
          <w:i/>
        </w:rPr>
        <w:t> </w:t>
      </w:r>
      <w:r w:rsidR="00161BE5" w:rsidRPr="00AB232B">
        <w:rPr>
          <w:i/>
        </w:rPr>
        <w:t>1) Regulations</w:t>
      </w:r>
      <w:r w:rsidR="00AB232B" w:rsidRPr="00AB232B">
        <w:rPr>
          <w:i/>
        </w:rPr>
        <w:t> </w:t>
      </w:r>
      <w:r w:rsidR="00161BE5" w:rsidRPr="00AB232B">
        <w:rPr>
          <w:i/>
        </w:rPr>
        <w:t>201</w:t>
      </w:r>
      <w:r w:rsidR="008B1287" w:rsidRPr="00AB232B">
        <w:rPr>
          <w:i/>
        </w:rPr>
        <w:t>9</w:t>
      </w:r>
      <w:r w:rsidRPr="00AB232B">
        <w:t xml:space="preserve"> applies in relation to a dealing that </w:t>
      </w:r>
      <w:r w:rsidR="00161BE5" w:rsidRPr="00AB232B">
        <w:t>has been</w:t>
      </w:r>
      <w:r w:rsidRPr="00AB232B">
        <w:t xml:space="preserve"> assessed by an Institutional Biosafety Committee as a notifiable low risk dealing</w:t>
      </w:r>
      <w:r w:rsidR="00EF0E60" w:rsidRPr="00AB232B">
        <w:t xml:space="preserve"> </w:t>
      </w:r>
      <w:r w:rsidR="00C323AF" w:rsidRPr="00AB232B">
        <w:t>on or after</w:t>
      </w:r>
      <w:r w:rsidR="00EF0E60" w:rsidRPr="00AB232B">
        <w:t xml:space="preserve"> 1</w:t>
      </w:r>
      <w:r w:rsidR="00AB232B" w:rsidRPr="00AB232B">
        <w:t> </w:t>
      </w:r>
      <w:r w:rsidR="00EF0E60" w:rsidRPr="00AB232B">
        <w:t>July 201</w:t>
      </w:r>
      <w:r w:rsidR="008B1287" w:rsidRPr="00AB232B">
        <w:t>9</w:t>
      </w:r>
      <w:r w:rsidR="00EF0E60" w:rsidRPr="00AB232B">
        <w:t>.</w:t>
      </w:r>
    </w:p>
    <w:p w:rsidR="00903A12" w:rsidRPr="00AB232B" w:rsidRDefault="00903A12" w:rsidP="00903A12">
      <w:pPr>
        <w:pStyle w:val="ActHead6"/>
        <w:pageBreakBefore/>
      </w:pPr>
      <w:bookmarkStart w:id="25" w:name="_Toc2843377"/>
      <w:bookmarkStart w:id="26" w:name="opcCurrentFind"/>
      <w:r w:rsidRPr="00AB232B">
        <w:rPr>
          <w:rStyle w:val="CharAmSchNo"/>
        </w:rPr>
        <w:t>Schedule</w:t>
      </w:r>
      <w:r w:rsidR="00AB232B" w:rsidRPr="00AB232B">
        <w:rPr>
          <w:rStyle w:val="CharAmSchNo"/>
        </w:rPr>
        <w:t> </w:t>
      </w:r>
      <w:r w:rsidR="00FE46FC" w:rsidRPr="00AB232B">
        <w:rPr>
          <w:rStyle w:val="CharAmSchNo"/>
        </w:rPr>
        <w:t>3</w:t>
      </w:r>
      <w:r w:rsidRPr="00AB232B">
        <w:t>—</w:t>
      </w:r>
      <w:r w:rsidRPr="00AB232B">
        <w:rPr>
          <w:rStyle w:val="CharAmSchText"/>
        </w:rPr>
        <w:t>Amendments commencing 18 months after registration</w:t>
      </w:r>
      <w:bookmarkEnd w:id="25"/>
    </w:p>
    <w:bookmarkEnd w:id="26"/>
    <w:p w:rsidR="00903A12" w:rsidRPr="00AB232B" w:rsidRDefault="00903A12" w:rsidP="00903A12">
      <w:pPr>
        <w:pStyle w:val="Header"/>
      </w:pPr>
      <w:r w:rsidRPr="00AB232B">
        <w:rPr>
          <w:rStyle w:val="CharAmPartNo"/>
        </w:rPr>
        <w:t xml:space="preserve"> </w:t>
      </w:r>
      <w:r w:rsidRPr="00AB232B">
        <w:rPr>
          <w:rStyle w:val="CharAmPartText"/>
        </w:rPr>
        <w:t xml:space="preserve"> </w:t>
      </w:r>
    </w:p>
    <w:p w:rsidR="008C7B00" w:rsidRPr="00AB232B" w:rsidRDefault="008C7B00" w:rsidP="008C7B00">
      <w:pPr>
        <w:pStyle w:val="ActHead9"/>
      </w:pPr>
      <w:bookmarkStart w:id="27" w:name="_Toc2843378"/>
      <w:r w:rsidRPr="00AB232B">
        <w:t>Gene Technology Regulations</w:t>
      </w:r>
      <w:r w:rsidR="00AB232B" w:rsidRPr="00AB232B">
        <w:t> </w:t>
      </w:r>
      <w:r w:rsidRPr="00AB232B">
        <w:t>2001</w:t>
      </w:r>
      <w:bookmarkEnd w:id="27"/>
    </w:p>
    <w:p w:rsidR="00903A12" w:rsidRPr="00AB232B" w:rsidRDefault="00903A12" w:rsidP="00903A12">
      <w:pPr>
        <w:pStyle w:val="ItemHead"/>
      </w:pPr>
      <w:r w:rsidRPr="00AB232B">
        <w:t>1  Schedule</w:t>
      </w:r>
      <w:r w:rsidR="00AB232B" w:rsidRPr="00AB232B">
        <w:t> </w:t>
      </w:r>
      <w:r w:rsidRPr="00AB232B">
        <w:t>1 (table item</w:t>
      </w:r>
      <w:r w:rsidR="00AB232B" w:rsidRPr="00AB232B">
        <w:t> </w:t>
      </w:r>
      <w:r w:rsidRPr="00AB232B">
        <w:t>1)</w:t>
      </w:r>
    </w:p>
    <w:p w:rsidR="00903A12" w:rsidRPr="00AB232B" w:rsidRDefault="00903A12" w:rsidP="00E0690B">
      <w:pPr>
        <w:pStyle w:val="Item"/>
      </w:pPr>
      <w:r w:rsidRPr="00AB232B">
        <w:t>Repeal the item</w:t>
      </w:r>
      <w:r w:rsidR="00E0690B" w:rsidRPr="00AB232B">
        <w:t>.</w:t>
      </w:r>
    </w:p>
    <w:sectPr w:rsidR="00903A12" w:rsidRPr="00AB232B" w:rsidSect="003578F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D1" w:rsidRDefault="001C43D1" w:rsidP="0048364F">
      <w:pPr>
        <w:spacing w:line="240" w:lineRule="auto"/>
      </w:pPr>
      <w:r>
        <w:separator/>
      </w:r>
    </w:p>
  </w:endnote>
  <w:endnote w:type="continuationSeparator" w:id="0">
    <w:p w:rsidR="001C43D1" w:rsidRDefault="001C43D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Pr="003578FF" w:rsidRDefault="003578FF" w:rsidP="003578F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578FF">
      <w:rPr>
        <w:i/>
        <w:sz w:val="18"/>
      </w:rPr>
      <w:t>OPC61274 -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8FF" w:rsidRPr="003578FF" w:rsidRDefault="003578FF" w:rsidP="003578FF">
    <w:pPr>
      <w:pStyle w:val="Footer"/>
      <w:rPr>
        <w:i/>
        <w:sz w:val="18"/>
      </w:rPr>
    </w:pPr>
    <w:r w:rsidRPr="003578FF">
      <w:rPr>
        <w:i/>
        <w:sz w:val="18"/>
      </w:rPr>
      <w:t>OPC61274 -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Default="001C43D1" w:rsidP="00486382">
    <w:pPr>
      <w:pStyle w:val="Footer"/>
    </w:pPr>
  </w:p>
  <w:p w:rsidR="001C43D1" w:rsidRPr="003578FF" w:rsidRDefault="003578FF" w:rsidP="003578FF">
    <w:pPr>
      <w:pStyle w:val="Footer"/>
      <w:rPr>
        <w:i/>
        <w:sz w:val="18"/>
      </w:rPr>
    </w:pPr>
    <w:r w:rsidRPr="003578FF">
      <w:rPr>
        <w:i/>
        <w:sz w:val="18"/>
      </w:rPr>
      <w:t>OPC61274 -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Pr="00E33C1C" w:rsidRDefault="001C43D1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C43D1" w:rsidTr="00B73D2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1C43D1" w:rsidRDefault="001C43D1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638E">
            <w:rPr>
              <w:i/>
              <w:noProof/>
              <w:sz w:val="18"/>
            </w:rPr>
            <w:t>xvi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1C43D1" w:rsidRDefault="001C43D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4E2B">
            <w:rPr>
              <w:i/>
              <w:sz w:val="18"/>
            </w:rPr>
            <w:t>Gene Technology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1C43D1" w:rsidRDefault="001C43D1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1C43D1" w:rsidRPr="003578FF" w:rsidRDefault="003578FF" w:rsidP="003578FF">
    <w:pPr>
      <w:rPr>
        <w:rFonts w:cs="Times New Roman"/>
        <w:i/>
        <w:sz w:val="18"/>
      </w:rPr>
    </w:pPr>
    <w:r w:rsidRPr="003578FF">
      <w:rPr>
        <w:rFonts w:cs="Times New Roman"/>
        <w:i/>
        <w:sz w:val="18"/>
      </w:rPr>
      <w:t>OPC61274 -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Pr="00E33C1C" w:rsidRDefault="001C43D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C43D1" w:rsidTr="00B73D2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1C43D1" w:rsidRDefault="001C43D1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1C43D1" w:rsidRDefault="001C43D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4E2B">
            <w:rPr>
              <w:i/>
              <w:sz w:val="18"/>
            </w:rPr>
            <w:t>Gene Technology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1C43D1" w:rsidRDefault="001C43D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4178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C43D1" w:rsidRPr="003578FF" w:rsidRDefault="003578FF" w:rsidP="003578FF">
    <w:pPr>
      <w:rPr>
        <w:rFonts w:cs="Times New Roman"/>
        <w:i/>
        <w:sz w:val="18"/>
      </w:rPr>
    </w:pPr>
    <w:r w:rsidRPr="003578FF">
      <w:rPr>
        <w:rFonts w:cs="Times New Roman"/>
        <w:i/>
        <w:sz w:val="18"/>
      </w:rPr>
      <w:t>OPC61274 -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Pr="00E33C1C" w:rsidRDefault="001C43D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C43D1" w:rsidTr="00B73D2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1C43D1" w:rsidRDefault="001C43D1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4178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1C43D1" w:rsidRDefault="001C43D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4E2B">
            <w:rPr>
              <w:i/>
              <w:sz w:val="18"/>
            </w:rPr>
            <w:t>Gene Technology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1C43D1" w:rsidRDefault="001C43D1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1C43D1" w:rsidRPr="003578FF" w:rsidRDefault="003578FF" w:rsidP="003578FF">
    <w:pPr>
      <w:rPr>
        <w:rFonts w:cs="Times New Roman"/>
        <w:i/>
        <w:sz w:val="18"/>
      </w:rPr>
    </w:pPr>
    <w:r w:rsidRPr="003578FF">
      <w:rPr>
        <w:rFonts w:cs="Times New Roman"/>
        <w:i/>
        <w:sz w:val="18"/>
      </w:rPr>
      <w:t>OPC61274 -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Pr="00E33C1C" w:rsidRDefault="001C43D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C43D1" w:rsidTr="00B73D2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1C43D1" w:rsidRDefault="001C43D1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1C43D1" w:rsidRDefault="001C43D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4E2B">
            <w:rPr>
              <w:i/>
              <w:sz w:val="18"/>
            </w:rPr>
            <w:t>Gene Technology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1C43D1" w:rsidRDefault="001C43D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4178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C43D1" w:rsidRPr="003578FF" w:rsidRDefault="003578FF" w:rsidP="003578FF">
    <w:pPr>
      <w:rPr>
        <w:rFonts w:cs="Times New Roman"/>
        <w:i/>
        <w:sz w:val="18"/>
      </w:rPr>
    </w:pPr>
    <w:r w:rsidRPr="003578FF">
      <w:rPr>
        <w:rFonts w:cs="Times New Roman"/>
        <w:i/>
        <w:sz w:val="18"/>
      </w:rPr>
      <w:t>OPC61274 -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Pr="00E33C1C" w:rsidRDefault="001C43D1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C43D1" w:rsidTr="00B73D2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1C43D1" w:rsidRDefault="001C43D1" w:rsidP="009760E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1C43D1" w:rsidRDefault="001C43D1" w:rsidP="009760E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4E2B">
            <w:rPr>
              <w:i/>
              <w:sz w:val="18"/>
            </w:rPr>
            <w:t>Gene Technology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1C43D1" w:rsidRDefault="001C43D1" w:rsidP="009760E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638E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C43D1" w:rsidRPr="003578FF" w:rsidRDefault="003578FF" w:rsidP="003578FF">
    <w:pPr>
      <w:rPr>
        <w:rFonts w:cs="Times New Roman"/>
        <w:i/>
        <w:sz w:val="18"/>
      </w:rPr>
    </w:pPr>
    <w:r w:rsidRPr="003578FF">
      <w:rPr>
        <w:rFonts w:cs="Times New Roman"/>
        <w:i/>
        <w:sz w:val="18"/>
      </w:rPr>
      <w:t>OPC61274 -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D1" w:rsidRDefault="001C43D1" w:rsidP="0048364F">
      <w:pPr>
        <w:spacing w:line="240" w:lineRule="auto"/>
      </w:pPr>
      <w:r>
        <w:separator/>
      </w:r>
    </w:p>
  </w:footnote>
  <w:footnote w:type="continuationSeparator" w:id="0">
    <w:p w:rsidR="001C43D1" w:rsidRDefault="001C43D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Pr="005F1388" w:rsidRDefault="001C43D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Pr="005F1388" w:rsidRDefault="001C43D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Pr="005F1388" w:rsidRDefault="001C43D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Pr="00ED79B6" w:rsidRDefault="001C43D1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Pr="00ED79B6" w:rsidRDefault="001C43D1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Pr="00ED79B6" w:rsidRDefault="001C43D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Pr="00A961C4" w:rsidRDefault="001C43D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4178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41781">
      <w:rPr>
        <w:noProof/>
        <w:sz w:val="20"/>
      </w:rPr>
      <w:t>Amendments commencing 6 months after registration</w:t>
    </w:r>
    <w:r>
      <w:rPr>
        <w:sz w:val="20"/>
      </w:rPr>
      <w:fldChar w:fldCharType="end"/>
    </w:r>
  </w:p>
  <w:p w:rsidR="001C43D1" w:rsidRPr="00A961C4" w:rsidRDefault="001C43D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C43D1" w:rsidRPr="00A961C4" w:rsidRDefault="001C43D1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Pr="00A961C4" w:rsidRDefault="001C43D1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1C43D1" w:rsidRPr="00A961C4" w:rsidRDefault="001C43D1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C43D1" w:rsidRPr="00A961C4" w:rsidRDefault="001C43D1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1" w:rsidRPr="00A961C4" w:rsidRDefault="001C43D1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69"/>
    <w:rsid w:val="000041C6"/>
    <w:rsid w:val="000063E4"/>
    <w:rsid w:val="00011222"/>
    <w:rsid w:val="000113BC"/>
    <w:rsid w:val="000136AF"/>
    <w:rsid w:val="000240CD"/>
    <w:rsid w:val="00025060"/>
    <w:rsid w:val="00032F0F"/>
    <w:rsid w:val="0003492E"/>
    <w:rsid w:val="0004044E"/>
    <w:rsid w:val="00045AC9"/>
    <w:rsid w:val="000614BF"/>
    <w:rsid w:val="00064F83"/>
    <w:rsid w:val="00067C4D"/>
    <w:rsid w:val="000728C8"/>
    <w:rsid w:val="000740D0"/>
    <w:rsid w:val="00076D1B"/>
    <w:rsid w:val="0009104E"/>
    <w:rsid w:val="00094DD5"/>
    <w:rsid w:val="0009764B"/>
    <w:rsid w:val="000A442F"/>
    <w:rsid w:val="000A5CD6"/>
    <w:rsid w:val="000B0B17"/>
    <w:rsid w:val="000B7F9F"/>
    <w:rsid w:val="000C4E79"/>
    <w:rsid w:val="000C66CE"/>
    <w:rsid w:val="000C6D5D"/>
    <w:rsid w:val="000D05EF"/>
    <w:rsid w:val="000D70BB"/>
    <w:rsid w:val="000E602B"/>
    <w:rsid w:val="000F21C1"/>
    <w:rsid w:val="000F33FE"/>
    <w:rsid w:val="000F35EF"/>
    <w:rsid w:val="000F3616"/>
    <w:rsid w:val="000F403F"/>
    <w:rsid w:val="000F6B02"/>
    <w:rsid w:val="000F7427"/>
    <w:rsid w:val="0010630A"/>
    <w:rsid w:val="0010745C"/>
    <w:rsid w:val="00116975"/>
    <w:rsid w:val="00120BCA"/>
    <w:rsid w:val="001245B1"/>
    <w:rsid w:val="00124CB3"/>
    <w:rsid w:val="0012508A"/>
    <w:rsid w:val="00126F1A"/>
    <w:rsid w:val="00154EAC"/>
    <w:rsid w:val="00157AAC"/>
    <w:rsid w:val="00161BE5"/>
    <w:rsid w:val="001643C9"/>
    <w:rsid w:val="00165028"/>
    <w:rsid w:val="00165568"/>
    <w:rsid w:val="00166C2F"/>
    <w:rsid w:val="00167DE3"/>
    <w:rsid w:val="001716C9"/>
    <w:rsid w:val="00171EAE"/>
    <w:rsid w:val="00187A5A"/>
    <w:rsid w:val="00191859"/>
    <w:rsid w:val="00193461"/>
    <w:rsid w:val="001939E1"/>
    <w:rsid w:val="00194A8E"/>
    <w:rsid w:val="00195382"/>
    <w:rsid w:val="001A2620"/>
    <w:rsid w:val="001B3097"/>
    <w:rsid w:val="001B7A5D"/>
    <w:rsid w:val="001C43D1"/>
    <w:rsid w:val="001C5E11"/>
    <w:rsid w:val="001C69C4"/>
    <w:rsid w:val="001D3D2A"/>
    <w:rsid w:val="001D4229"/>
    <w:rsid w:val="001D7F83"/>
    <w:rsid w:val="001E04A3"/>
    <w:rsid w:val="001E0DFC"/>
    <w:rsid w:val="001E16D0"/>
    <w:rsid w:val="001E2A69"/>
    <w:rsid w:val="001E3590"/>
    <w:rsid w:val="001E562E"/>
    <w:rsid w:val="001E7407"/>
    <w:rsid w:val="001F403A"/>
    <w:rsid w:val="001F6924"/>
    <w:rsid w:val="00200299"/>
    <w:rsid w:val="00201D27"/>
    <w:rsid w:val="0020602B"/>
    <w:rsid w:val="00220752"/>
    <w:rsid w:val="00231427"/>
    <w:rsid w:val="00240749"/>
    <w:rsid w:val="0024128C"/>
    <w:rsid w:val="00242B2B"/>
    <w:rsid w:val="002604FB"/>
    <w:rsid w:val="00265FBC"/>
    <w:rsid w:val="00266D05"/>
    <w:rsid w:val="0028135A"/>
    <w:rsid w:val="002932B1"/>
    <w:rsid w:val="0029437A"/>
    <w:rsid w:val="00295408"/>
    <w:rsid w:val="00297ECB"/>
    <w:rsid w:val="002A0FFD"/>
    <w:rsid w:val="002A1E0E"/>
    <w:rsid w:val="002A299A"/>
    <w:rsid w:val="002A4815"/>
    <w:rsid w:val="002A5DF4"/>
    <w:rsid w:val="002B2731"/>
    <w:rsid w:val="002B33D1"/>
    <w:rsid w:val="002B5B89"/>
    <w:rsid w:val="002B7D96"/>
    <w:rsid w:val="002C2EC8"/>
    <w:rsid w:val="002D043A"/>
    <w:rsid w:val="002E438D"/>
    <w:rsid w:val="002E781F"/>
    <w:rsid w:val="002F0995"/>
    <w:rsid w:val="002F0F99"/>
    <w:rsid w:val="00304E75"/>
    <w:rsid w:val="003072FA"/>
    <w:rsid w:val="0031713F"/>
    <w:rsid w:val="003415D3"/>
    <w:rsid w:val="00352069"/>
    <w:rsid w:val="00352B0F"/>
    <w:rsid w:val="003538EA"/>
    <w:rsid w:val="003578FF"/>
    <w:rsid w:val="00361BD9"/>
    <w:rsid w:val="00363549"/>
    <w:rsid w:val="003717EA"/>
    <w:rsid w:val="003801D0"/>
    <w:rsid w:val="003823A2"/>
    <w:rsid w:val="00387D10"/>
    <w:rsid w:val="003905DC"/>
    <w:rsid w:val="0039228E"/>
    <w:rsid w:val="00392375"/>
    <w:rsid w:val="003926B5"/>
    <w:rsid w:val="00394AD0"/>
    <w:rsid w:val="003B04EC"/>
    <w:rsid w:val="003B18AB"/>
    <w:rsid w:val="003B1C93"/>
    <w:rsid w:val="003B4D2C"/>
    <w:rsid w:val="003C0869"/>
    <w:rsid w:val="003C47A6"/>
    <w:rsid w:val="003C5F2B"/>
    <w:rsid w:val="003C60F2"/>
    <w:rsid w:val="003D0BFE"/>
    <w:rsid w:val="003D2E16"/>
    <w:rsid w:val="003D2FC8"/>
    <w:rsid w:val="003D3689"/>
    <w:rsid w:val="003D5700"/>
    <w:rsid w:val="003E5FF5"/>
    <w:rsid w:val="003F3245"/>
    <w:rsid w:val="003F4052"/>
    <w:rsid w:val="003F4CA9"/>
    <w:rsid w:val="003F567B"/>
    <w:rsid w:val="004010E7"/>
    <w:rsid w:val="00401403"/>
    <w:rsid w:val="00404E2B"/>
    <w:rsid w:val="004104B8"/>
    <w:rsid w:val="004116CD"/>
    <w:rsid w:val="0041238B"/>
    <w:rsid w:val="00412B83"/>
    <w:rsid w:val="00424CA9"/>
    <w:rsid w:val="0042512C"/>
    <w:rsid w:val="00433910"/>
    <w:rsid w:val="0044291A"/>
    <w:rsid w:val="00442BA5"/>
    <w:rsid w:val="004541B9"/>
    <w:rsid w:val="00460499"/>
    <w:rsid w:val="004663D4"/>
    <w:rsid w:val="00472718"/>
    <w:rsid w:val="0047582D"/>
    <w:rsid w:val="00480FB9"/>
    <w:rsid w:val="004831A0"/>
    <w:rsid w:val="0048364F"/>
    <w:rsid w:val="00486382"/>
    <w:rsid w:val="004905A0"/>
    <w:rsid w:val="00496F97"/>
    <w:rsid w:val="004A2484"/>
    <w:rsid w:val="004A7451"/>
    <w:rsid w:val="004B50CF"/>
    <w:rsid w:val="004B68E5"/>
    <w:rsid w:val="004C0255"/>
    <w:rsid w:val="004C256B"/>
    <w:rsid w:val="004C5B5A"/>
    <w:rsid w:val="004C6444"/>
    <w:rsid w:val="004C6DE1"/>
    <w:rsid w:val="004D3752"/>
    <w:rsid w:val="004D6FEF"/>
    <w:rsid w:val="004D735F"/>
    <w:rsid w:val="004F1FAC"/>
    <w:rsid w:val="004F3A90"/>
    <w:rsid w:val="004F5E08"/>
    <w:rsid w:val="004F676E"/>
    <w:rsid w:val="00516B8D"/>
    <w:rsid w:val="00520A1E"/>
    <w:rsid w:val="00524051"/>
    <w:rsid w:val="0052610A"/>
    <w:rsid w:val="005271ED"/>
    <w:rsid w:val="005316A1"/>
    <w:rsid w:val="00536040"/>
    <w:rsid w:val="00537FBC"/>
    <w:rsid w:val="00543469"/>
    <w:rsid w:val="005569AE"/>
    <w:rsid w:val="00557C7A"/>
    <w:rsid w:val="00563859"/>
    <w:rsid w:val="00581E7B"/>
    <w:rsid w:val="00584811"/>
    <w:rsid w:val="00584BD6"/>
    <w:rsid w:val="005851A5"/>
    <w:rsid w:val="005861CB"/>
    <w:rsid w:val="0058646E"/>
    <w:rsid w:val="00591E07"/>
    <w:rsid w:val="005928AD"/>
    <w:rsid w:val="00593AA6"/>
    <w:rsid w:val="00594161"/>
    <w:rsid w:val="00594749"/>
    <w:rsid w:val="005A157D"/>
    <w:rsid w:val="005B4067"/>
    <w:rsid w:val="005C12DE"/>
    <w:rsid w:val="005C3F41"/>
    <w:rsid w:val="005C4364"/>
    <w:rsid w:val="005C7B5D"/>
    <w:rsid w:val="005D20EC"/>
    <w:rsid w:val="005D34B7"/>
    <w:rsid w:val="005E552A"/>
    <w:rsid w:val="00600219"/>
    <w:rsid w:val="006036A3"/>
    <w:rsid w:val="0060417D"/>
    <w:rsid w:val="00613997"/>
    <w:rsid w:val="006175E3"/>
    <w:rsid w:val="006249E6"/>
    <w:rsid w:val="00630733"/>
    <w:rsid w:val="0064468A"/>
    <w:rsid w:val="00654CCA"/>
    <w:rsid w:val="006560C5"/>
    <w:rsid w:val="00656DE9"/>
    <w:rsid w:val="00663BDD"/>
    <w:rsid w:val="00677CC2"/>
    <w:rsid w:val="00680F17"/>
    <w:rsid w:val="00685F42"/>
    <w:rsid w:val="0069207B"/>
    <w:rsid w:val="006937E2"/>
    <w:rsid w:val="0069392E"/>
    <w:rsid w:val="00693FD7"/>
    <w:rsid w:val="006977FB"/>
    <w:rsid w:val="006A0060"/>
    <w:rsid w:val="006A0FD8"/>
    <w:rsid w:val="006B262A"/>
    <w:rsid w:val="006B38E2"/>
    <w:rsid w:val="006B6661"/>
    <w:rsid w:val="006C2C12"/>
    <w:rsid w:val="006C3FFF"/>
    <w:rsid w:val="006C7F8C"/>
    <w:rsid w:val="006D3667"/>
    <w:rsid w:val="006D4E91"/>
    <w:rsid w:val="006E004B"/>
    <w:rsid w:val="006E7147"/>
    <w:rsid w:val="006F16A2"/>
    <w:rsid w:val="00700B2C"/>
    <w:rsid w:val="00701E6A"/>
    <w:rsid w:val="00712C8A"/>
    <w:rsid w:val="00713084"/>
    <w:rsid w:val="00717BD6"/>
    <w:rsid w:val="00722023"/>
    <w:rsid w:val="00725A3D"/>
    <w:rsid w:val="00731E00"/>
    <w:rsid w:val="00737A4A"/>
    <w:rsid w:val="007440B7"/>
    <w:rsid w:val="00753D45"/>
    <w:rsid w:val="007547D4"/>
    <w:rsid w:val="00757FA9"/>
    <w:rsid w:val="007634AD"/>
    <w:rsid w:val="007715C9"/>
    <w:rsid w:val="007718AC"/>
    <w:rsid w:val="007740A4"/>
    <w:rsid w:val="00774EDD"/>
    <w:rsid w:val="007757EC"/>
    <w:rsid w:val="007769D4"/>
    <w:rsid w:val="00785AFA"/>
    <w:rsid w:val="007903AC"/>
    <w:rsid w:val="007963B1"/>
    <w:rsid w:val="007A7F9F"/>
    <w:rsid w:val="007B11D7"/>
    <w:rsid w:val="007C0456"/>
    <w:rsid w:val="007C13F8"/>
    <w:rsid w:val="007C7C7E"/>
    <w:rsid w:val="007D6317"/>
    <w:rsid w:val="007E5911"/>
    <w:rsid w:val="007E6F3C"/>
    <w:rsid w:val="007E7D4A"/>
    <w:rsid w:val="007F1CBC"/>
    <w:rsid w:val="007F6A0E"/>
    <w:rsid w:val="00803E31"/>
    <w:rsid w:val="0081456A"/>
    <w:rsid w:val="00823579"/>
    <w:rsid w:val="00825579"/>
    <w:rsid w:val="00826DA5"/>
    <w:rsid w:val="00833416"/>
    <w:rsid w:val="00841781"/>
    <w:rsid w:val="00856A31"/>
    <w:rsid w:val="008645BD"/>
    <w:rsid w:val="00874B69"/>
    <w:rsid w:val="008754D0"/>
    <w:rsid w:val="008760BA"/>
    <w:rsid w:val="00877D48"/>
    <w:rsid w:val="00880795"/>
    <w:rsid w:val="008833D5"/>
    <w:rsid w:val="008908FD"/>
    <w:rsid w:val="00892C10"/>
    <w:rsid w:val="00893D91"/>
    <w:rsid w:val="0089783B"/>
    <w:rsid w:val="008B1287"/>
    <w:rsid w:val="008C19D9"/>
    <w:rsid w:val="008C6336"/>
    <w:rsid w:val="008C7B00"/>
    <w:rsid w:val="008D005D"/>
    <w:rsid w:val="008D0EE0"/>
    <w:rsid w:val="008E05F5"/>
    <w:rsid w:val="008E0F89"/>
    <w:rsid w:val="008E32F6"/>
    <w:rsid w:val="008E66CA"/>
    <w:rsid w:val="008F07E3"/>
    <w:rsid w:val="008F145C"/>
    <w:rsid w:val="008F4F1C"/>
    <w:rsid w:val="009001E8"/>
    <w:rsid w:val="00900B5B"/>
    <w:rsid w:val="00903A12"/>
    <w:rsid w:val="00907271"/>
    <w:rsid w:val="009117DB"/>
    <w:rsid w:val="009135E2"/>
    <w:rsid w:val="009233ED"/>
    <w:rsid w:val="00931BA0"/>
    <w:rsid w:val="00932377"/>
    <w:rsid w:val="00932A33"/>
    <w:rsid w:val="00937C5B"/>
    <w:rsid w:val="009407F9"/>
    <w:rsid w:val="00945720"/>
    <w:rsid w:val="00964BEE"/>
    <w:rsid w:val="00975C37"/>
    <w:rsid w:val="009760EB"/>
    <w:rsid w:val="009848EC"/>
    <w:rsid w:val="00984AE4"/>
    <w:rsid w:val="00986181"/>
    <w:rsid w:val="00997A40"/>
    <w:rsid w:val="009B3629"/>
    <w:rsid w:val="009B4700"/>
    <w:rsid w:val="009B4E62"/>
    <w:rsid w:val="009B6355"/>
    <w:rsid w:val="009C3ED8"/>
    <w:rsid w:val="009C49D8"/>
    <w:rsid w:val="009D1EFA"/>
    <w:rsid w:val="009D6119"/>
    <w:rsid w:val="009E3601"/>
    <w:rsid w:val="009E7700"/>
    <w:rsid w:val="009F727E"/>
    <w:rsid w:val="00A00F29"/>
    <w:rsid w:val="00A01468"/>
    <w:rsid w:val="00A1027A"/>
    <w:rsid w:val="00A204A8"/>
    <w:rsid w:val="00A2057D"/>
    <w:rsid w:val="00A217F4"/>
    <w:rsid w:val="00A231E2"/>
    <w:rsid w:val="00A23C02"/>
    <w:rsid w:val="00A2550D"/>
    <w:rsid w:val="00A2593B"/>
    <w:rsid w:val="00A26DBE"/>
    <w:rsid w:val="00A326A4"/>
    <w:rsid w:val="00A4169B"/>
    <w:rsid w:val="00A4361F"/>
    <w:rsid w:val="00A45E38"/>
    <w:rsid w:val="00A45F7C"/>
    <w:rsid w:val="00A5197F"/>
    <w:rsid w:val="00A63C92"/>
    <w:rsid w:val="00A64912"/>
    <w:rsid w:val="00A70A74"/>
    <w:rsid w:val="00A71C4E"/>
    <w:rsid w:val="00A71EB2"/>
    <w:rsid w:val="00A813A1"/>
    <w:rsid w:val="00A82661"/>
    <w:rsid w:val="00A854E3"/>
    <w:rsid w:val="00A87AB9"/>
    <w:rsid w:val="00AB232B"/>
    <w:rsid w:val="00AB3315"/>
    <w:rsid w:val="00AB7B41"/>
    <w:rsid w:val="00AC06B3"/>
    <w:rsid w:val="00AD5641"/>
    <w:rsid w:val="00AE50A2"/>
    <w:rsid w:val="00AE6782"/>
    <w:rsid w:val="00AF0336"/>
    <w:rsid w:val="00AF5710"/>
    <w:rsid w:val="00AF5FB9"/>
    <w:rsid w:val="00AF6613"/>
    <w:rsid w:val="00AF7E8B"/>
    <w:rsid w:val="00B00902"/>
    <w:rsid w:val="00B013FF"/>
    <w:rsid w:val="00B01D01"/>
    <w:rsid w:val="00B032D8"/>
    <w:rsid w:val="00B06373"/>
    <w:rsid w:val="00B064C3"/>
    <w:rsid w:val="00B06CEE"/>
    <w:rsid w:val="00B12C17"/>
    <w:rsid w:val="00B23A14"/>
    <w:rsid w:val="00B332B8"/>
    <w:rsid w:val="00B33B3C"/>
    <w:rsid w:val="00B35055"/>
    <w:rsid w:val="00B36ECD"/>
    <w:rsid w:val="00B44657"/>
    <w:rsid w:val="00B54336"/>
    <w:rsid w:val="00B55604"/>
    <w:rsid w:val="00B56550"/>
    <w:rsid w:val="00B61D2C"/>
    <w:rsid w:val="00B63BDE"/>
    <w:rsid w:val="00B73D23"/>
    <w:rsid w:val="00B74D1C"/>
    <w:rsid w:val="00B74D3A"/>
    <w:rsid w:val="00B81FED"/>
    <w:rsid w:val="00B84267"/>
    <w:rsid w:val="00B90E6B"/>
    <w:rsid w:val="00B91B04"/>
    <w:rsid w:val="00B93870"/>
    <w:rsid w:val="00B955DA"/>
    <w:rsid w:val="00BA0860"/>
    <w:rsid w:val="00BA4A53"/>
    <w:rsid w:val="00BA5026"/>
    <w:rsid w:val="00BB3D21"/>
    <w:rsid w:val="00BB6E79"/>
    <w:rsid w:val="00BB73E3"/>
    <w:rsid w:val="00BC0501"/>
    <w:rsid w:val="00BC4F91"/>
    <w:rsid w:val="00BC6032"/>
    <w:rsid w:val="00BD60E6"/>
    <w:rsid w:val="00BD6BF6"/>
    <w:rsid w:val="00BE253A"/>
    <w:rsid w:val="00BE719A"/>
    <w:rsid w:val="00BE720A"/>
    <w:rsid w:val="00BF35D9"/>
    <w:rsid w:val="00BF4533"/>
    <w:rsid w:val="00C067E5"/>
    <w:rsid w:val="00C12AD2"/>
    <w:rsid w:val="00C15528"/>
    <w:rsid w:val="00C164CA"/>
    <w:rsid w:val="00C21B63"/>
    <w:rsid w:val="00C27CC6"/>
    <w:rsid w:val="00C323AF"/>
    <w:rsid w:val="00C34F2A"/>
    <w:rsid w:val="00C35491"/>
    <w:rsid w:val="00C42BF8"/>
    <w:rsid w:val="00C460AE"/>
    <w:rsid w:val="00C50043"/>
    <w:rsid w:val="00C51532"/>
    <w:rsid w:val="00C527FB"/>
    <w:rsid w:val="00C56E1A"/>
    <w:rsid w:val="00C63713"/>
    <w:rsid w:val="00C730F5"/>
    <w:rsid w:val="00C75549"/>
    <w:rsid w:val="00C7573B"/>
    <w:rsid w:val="00C76CF3"/>
    <w:rsid w:val="00C7799D"/>
    <w:rsid w:val="00C77E30"/>
    <w:rsid w:val="00C814F5"/>
    <w:rsid w:val="00C85562"/>
    <w:rsid w:val="00C90FA0"/>
    <w:rsid w:val="00CA359C"/>
    <w:rsid w:val="00CB0180"/>
    <w:rsid w:val="00CB0A35"/>
    <w:rsid w:val="00CB3470"/>
    <w:rsid w:val="00CB44C4"/>
    <w:rsid w:val="00CB7F28"/>
    <w:rsid w:val="00CD350B"/>
    <w:rsid w:val="00CD606E"/>
    <w:rsid w:val="00CD7ECB"/>
    <w:rsid w:val="00CE1925"/>
    <w:rsid w:val="00CE4974"/>
    <w:rsid w:val="00CE5C25"/>
    <w:rsid w:val="00CF0BB2"/>
    <w:rsid w:val="00CF673E"/>
    <w:rsid w:val="00CF7B99"/>
    <w:rsid w:val="00D00ED8"/>
    <w:rsid w:val="00D0104A"/>
    <w:rsid w:val="00D10C6E"/>
    <w:rsid w:val="00D13441"/>
    <w:rsid w:val="00D14230"/>
    <w:rsid w:val="00D17B17"/>
    <w:rsid w:val="00D243A3"/>
    <w:rsid w:val="00D30112"/>
    <w:rsid w:val="00D3215F"/>
    <w:rsid w:val="00D333D9"/>
    <w:rsid w:val="00D33440"/>
    <w:rsid w:val="00D340E7"/>
    <w:rsid w:val="00D40403"/>
    <w:rsid w:val="00D41450"/>
    <w:rsid w:val="00D47BE5"/>
    <w:rsid w:val="00D5131E"/>
    <w:rsid w:val="00D52EFE"/>
    <w:rsid w:val="00D63827"/>
    <w:rsid w:val="00D63EF6"/>
    <w:rsid w:val="00D65B22"/>
    <w:rsid w:val="00D70DFB"/>
    <w:rsid w:val="00D75485"/>
    <w:rsid w:val="00D766DF"/>
    <w:rsid w:val="00D83D21"/>
    <w:rsid w:val="00D84B58"/>
    <w:rsid w:val="00D925D1"/>
    <w:rsid w:val="00D95B6C"/>
    <w:rsid w:val="00DB1094"/>
    <w:rsid w:val="00DB3A2F"/>
    <w:rsid w:val="00DC1D0C"/>
    <w:rsid w:val="00DC4ABB"/>
    <w:rsid w:val="00DD3E65"/>
    <w:rsid w:val="00DD4AD3"/>
    <w:rsid w:val="00DF3627"/>
    <w:rsid w:val="00DF7A23"/>
    <w:rsid w:val="00E003C7"/>
    <w:rsid w:val="00E05704"/>
    <w:rsid w:val="00E05C46"/>
    <w:rsid w:val="00E0690B"/>
    <w:rsid w:val="00E21265"/>
    <w:rsid w:val="00E30206"/>
    <w:rsid w:val="00E33B71"/>
    <w:rsid w:val="00E33C1C"/>
    <w:rsid w:val="00E3672D"/>
    <w:rsid w:val="00E443FC"/>
    <w:rsid w:val="00E45282"/>
    <w:rsid w:val="00E45FE7"/>
    <w:rsid w:val="00E476B8"/>
    <w:rsid w:val="00E54292"/>
    <w:rsid w:val="00E55BCD"/>
    <w:rsid w:val="00E647E1"/>
    <w:rsid w:val="00E6708F"/>
    <w:rsid w:val="00E73EC4"/>
    <w:rsid w:val="00E74DC7"/>
    <w:rsid w:val="00E76FAB"/>
    <w:rsid w:val="00E8087F"/>
    <w:rsid w:val="00E83E2E"/>
    <w:rsid w:val="00E84B32"/>
    <w:rsid w:val="00E87699"/>
    <w:rsid w:val="00E87815"/>
    <w:rsid w:val="00E9063A"/>
    <w:rsid w:val="00E93319"/>
    <w:rsid w:val="00EA26A2"/>
    <w:rsid w:val="00EC1F4F"/>
    <w:rsid w:val="00EC42B8"/>
    <w:rsid w:val="00EC7FAB"/>
    <w:rsid w:val="00ED3A7D"/>
    <w:rsid w:val="00ED4EC6"/>
    <w:rsid w:val="00ED6DDE"/>
    <w:rsid w:val="00ED6F87"/>
    <w:rsid w:val="00EE0757"/>
    <w:rsid w:val="00EE3D30"/>
    <w:rsid w:val="00EE718B"/>
    <w:rsid w:val="00EF0E60"/>
    <w:rsid w:val="00EF2E3A"/>
    <w:rsid w:val="00EF6672"/>
    <w:rsid w:val="00F001D6"/>
    <w:rsid w:val="00F02798"/>
    <w:rsid w:val="00F047E2"/>
    <w:rsid w:val="00F078DC"/>
    <w:rsid w:val="00F13E86"/>
    <w:rsid w:val="00F24C35"/>
    <w:rsid w:val="00F42574"/>
    <w:rsid w:val="00F441D4"/>
    <w:rsid w:val="00F56759"/>
    <w:rsid w:val="00F64DDE"/>
    <w:rsid w:val="00F66C46"/>
    <w:rsid w:val="00F677A9"/>
    <w:rsid w:val="00F70826"/>
    <w:rsid w:val="00F73959"/>
    <w:rsid w:val="00F7638E"/>
    <w:rsid w:val="00F8008B"/>
    <w:rsid w:val="00F84CF5"/>
    <w:rsid w:val="00F9330E"/>
    <w:rsid w:val="00F933D1"/>
    <w:rsid w:val="00F9373F"/>
    <w:rsid w:val="00F97F4D"/>
    <w:rsid w:val="00FA420B"/>
    <w:rsid w:val="00FB03B3"/>
    <w:rsid w:val="00FB192C"/>
    <w:rsid w:val="00FB521E"/>
    <w:rsid w:val="00FD620E"/>
    <w:rsid w:val="00FD7CFE"/>
    <w:rsid w:val="00FE248D"/>
    <w:rsid w:val="00FE46FC"/>
    <w:rsid w:val="00FF2656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232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32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32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232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232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232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232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232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B232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B232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B232B"/>
  </w:style>
  <w:style w:type="paragraph" w:customStyle="1" w:styleId="OPCParaBase">
    <w:name w:val="OPCParaBase"/>
    <w:qFormat/>
    <w:rsid w:val="00AB232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B232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B232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B232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B232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B232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B232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B232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B232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B232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B232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B232B"/>
  </w:style>
  <w:style w:type="paragraph" w:customStyle="1" w:styleId="Blocks">
    <w:name w:val="Blocks"/>
    <w:aliases w:val="bb"/>
    <w:basedOn w:val="OPCParaBase"/>
    <w:qFormat/>
    <w:rsid w:val="00AB232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B23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B232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B232B"/>
    <w:rPr>
      <w:i/>
    </w:rPr>
  </w:style>
  <w:style w:type="paragraph" w:customStyle="1" w:styleId="BoxList">
    <w:name w:val="BoxList"/>
    <w:aliases w:val="bl"/>
    <w:basedOn w:val="BoxText"/>
    <w:qFormat/>
    <w:rsid w:val="00AB232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B232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B232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B232B"/>
    <w:pPr>
      <w:ind w:left="1985" w:hanging="851"/>
    </w:pPr>
  </w:style>
  <w:style w:type="character" w:customStyle="1" w:styleId="CharAmPartNo">
    <w:name w:val="CharAmPartNo"/>
    <w:basedOn w:val="OPCCharBase"/>
    <w:qFormat/>
    <w:rsid w:val="00AB232B"/>
  </w:style>
  <w:style w:type="character" w:customStyle="1" w:styleId="CharAmPartText">
    <w:name w:val="CharAmPartText"/>
    <w:basedOn w:val="OPCCharBase"/>
    <w:qFormat/>
    <w:rsid w:val="00AB232B"/>
  </w:style>
  <w:style w:type="character" w:customStyle="1" w:styleId="CharAmSchNo">
    <w:name w:val="CharAmSchNo"/>
    <w:basedOn w:val="OPCCharBase"/>
    <w:qFormat/>
    <w:rsid w:val="00AB232B"/>
  </w:style>
  <w:style w:type="character" w:customStyle="1" w:styleId="CharAmSchText">
    <w:name w:val="CharAmSchText"/>
    <w:basedOn w:val="OPCCharBase"/>
    <w:qFormat/>
    <w:rsid w:val="00AB232B"/>
  </w:style>
  <w:style w:type="character" w:customStyle="1" w:styleId="CharBoldItalic">
    <w:name w:val="CharBoldItalic"/>
    <w:basedOn w:val="OPCCharBase"/>
    <w:uiPriority w:val="1"/>
    <w:qFormat/>
    <w:rsid w:val="00AB232B"/>
    <w:rPr>
      <w:b/>
      <w:i/>
    </w:rPr>
  </w:style>
  <w:style w:type="character" w:customStyle="1" w:styleId="CharChapNo">
    <w:name w:val="CharChapNo"/>
    <w:basedOn w:val="OPCCharBase"/>
    <w:uiPriority w:val="1"/>
    <w:qFormat/>
    <w:rsid w:val="00AB232B"/>
  </w:style>
  <w:style w:type="character" w:customStyle="1" w:styleId="CharChapText">
    <w:name w:val="CharChapText"/>
    <w:basedOn w:val="OPCCharBase"/>
    <w:uiPriority w:val="1"/>
    <w:qFormat/>
    <w:rsid w:val="00AB232B"/>
  </w:style>
  <w:style w:type="character" w:customStyle="1" w:styleId="CharDivNo">
    <w:name w:val="CharDivNo"/>
    <w:basedOn w:val="OPCCharBase"/>
    <w:uiPriority w:val="1"/>
    <w:qFormat/>
    <w:rsid w:val="00AB232B"/>
  </w:style>
  <w:style w:type="character" w:customStyle="1" w:styleId="CharDivText">
    <w:name w:val="CharDivText"/>
    <w:basedOn w:val="OPCCharBase"/>
    <w:uiPriority w:val="1"/>
    <w:qFormat/>
    <w:rsid w:val="00AB232B"/>
  </w:style>
  <w:style w:type="character" w:customStyle="1" w:styleId="CharItalic">
    <w:name w:val="CharItalic"/>
    <w:basedOn w:val="OPCCharBase"/>
    <w:uiPriority w:val="1"/>
    <w:qFormat/>
    <w:rsid w:val="00AB232B"/>
    <w:rPr>
      <w:i/>
    </w:rPr>
  </w:style>
  <w:style w:type="character" w:customStyle="1" w:styleId="CharPartNo">
    <w:name w:val="CharPartNo"/>
    <w:basedOn w:val="OPCCharBase"/>
    <w:uiPriority w:val="1"/>
    <w:qFormat/>
    <w:rsid w:val="00AB232B"/>
  </w:style>
  <w:style w:type="character" w:customStyle="1" w:styleId="CharPartText">
    <w:name w:val="CharPartText"/>
    <w:basedOn w:val="OPCCharBase"/>
    <w:uiPriority w:val="1"/>
    <w:qFormat/>
    <w:rsid w:val="00AB232B"/>
  </w:style>
  <w:style w:type="character" w:customStyle="1" w:styleId="CharSectno">
    <w:name w:val="CharSectno"/>
    <w:basedOn w:val="OPCCharBase"/>
    <w:qFormat/>
    <w:rsid w:val="00AB232B"/>
  </w:style>
  <w:style w:type="character" w:customStyle="1" w:styleId="CharSubdNo">
    <w:name w:val="CharSubdNo"/>
    <w:basedOn w:val="OPCCharBase"/>
    <w:uiPriority w:val="1"/>
    <w:qFormat/>
    <w:rsid w:val="00AB232B"/>
  </w:style>
  <w:style w:type="character" w:customStyle="1" w:styleId="CharSubdText">
    <w:name w:val="CharSubdText"/>
    <w:basedOn w:val="OPCCharBase"/>
    <w:uiPriority w:val="1"/>
    <w:qFormat/>
    <w:rsid w:val="00AB232B"/>
  </w:style>
  <w:style w:type="paragraph" w:customStyle="1" w:styleId="CTA--">
    <w:name w:val="CTA --"/>
    <w:basedOn w:val="OPCParaBase"/>
    <w:next w:val="Normal"/>
    <w:rsid w:val="00AB232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B232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B232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B232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B232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B232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B232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B232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B232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B232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B232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B232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B232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B232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B232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B232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B232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B232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B232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B232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B232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B232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B232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B232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B232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B232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B232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B232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B232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B232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B232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B232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B232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B232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B232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B232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B232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B232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B232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B232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B232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B232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B232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B232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B232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B232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B232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B232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B232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B232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B232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B23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B232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B232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B232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B232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B232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B232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B232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B232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B232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B232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B232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B232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B232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B232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B232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B232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B232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B232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B232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B232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B232B"/>
    <w:rPr>
      <w:sz w:val="16"/>
    </w:rPr>
  </w:style>
  <w:style w:type="table" w:customStyle="1" w:styleId="CFlag">
    <w:name w:val="CFlag"/>
    <w:basedOn w:val="TableNormal"/>
    <w:uiPriority w:val="99"/>
    <w:rsid w:val="00AB23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B23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3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B232B"/>
    <w:rPr>
      <w:color w:val="0000FF"/>
      <w:u w:val="single"/>
    </w:rPr>
  </w:style>
  <w:style w:type="table" w:styleId="TableGrid">
    <w:name w:val="Table Grid"/>
    <w:basedOn w:val="TableNormal"/>
    <w:uiPriority w:val="59"/>
    <w:rsid w:val="00AB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B232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B232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B232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B232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B232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B232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B232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B232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B232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B232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AB232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B232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B232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B232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B232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B232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B232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B232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B232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B232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B232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B232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B232B"/>
  </w:style>
  <w:style w:type="character" w:customStyle="1" w:styleId="CharSubPartNoCASA">
    <w:name w:val="CharSubPartNo(CASA)"/>
    <w:basedOn w:val="OPCCharBase"/>
    <w:uiPriority w:val="1"/>
    <w:rsid w:val="00AB232B"/>
  </w:style>
  <w:style w:type="paragraph" w:customStyle="1" w:styleId="ENoteTTIndentHeadingSub">
    <w:name w:val="ENoteTTIndentHeadingSub"/>
    <w:aliases w:val="enTTHis"/>
    <w:basedOn w:val="OPCParaBase"/>
    <w:rsid w:val="00AB232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B232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B232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B232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B232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73D2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B23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B232B"/>
    <w:rPr>
      <w:sz w:val="22"/>
    </w:rPr>
  </w:style>
  <w:style w:type="paragraph" w:customStyle="1" w:styleId="SOTextNote">
    <w:name w:val="SO TextNote"/>
    <w:aliases w:val="sont"/>
    <w:basedOn w:val="SOText"/>
    <w:qFormat/>
    <w:rsid w:val="00AB232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B232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B232B"/>
    <w:rPr>
      <w:sz w:val="22"/>
    </w:rPr>
  </w:style>
  <w:style w:type="paragraph" w:customStyle="1" w:styleId="FileName">
    <w:name w:val="FileName"/>
    <w:basedOn w:val="Normal"/>
    <w:rsid w:val="00AB232B"/>
  </w:style>
  <w:style w:type="paragraph" w:customStyle="1" w:styleId="TableHeading">
    <w:name w:val="TableHeading"/>
    <w:aliases w:val="th"/>
    <w:basedOn w:val="OPCParaBase"/>
    <w:next w:val="Tabletext"/>
    <w:rsid w:val="00AB232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B232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B232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B232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B232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B232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B232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B232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B232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B23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B232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B232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B232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B232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B2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2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232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B23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B232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B232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B232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B232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B23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5">
    <w:name w:val="Table Grid 5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ENotesText">
    <w:name w:val="ENotesText"/>
    <w:aliases w:val="Ent"/>
    <w:basedOn w:val="OPCParaBase"/>
    <w:next w:val="Normal"/>
    <w:rsid w:val="00AB232B"/>
    <w:pPr>
      <w:spacing w:before="120"/>
    </w:pPr>
  </w:style>
  <w:style w:type="paragraph" w:customStyle="1" w:styleId="TableTextEndNotes">
    <w:name w:val="TableTextEndNotes"/>
    <w:aliases w:val="Tten"/>
    <w:basedOn w:val="Normal"/>
    <w:rsid w:val="00AB232B"/>
    <w:pPr>
      <w:spacing w:before="60" w:line="240" w:lineRule="auto"/>
    </w:pPr>
    <w:rPr>
      <w:rFonts w:cs="Arial"/>
      <w:sz w:val="20"/>
      <w:szCs w:val="22"/>
    </w:rPr>
  </w:style>
  <w:style w:type="paragraph" w:customStyle="1" w:styleId="Transitional">
    <w:name w:val="Transitional"/>
    <w:aliases w:val="tr"/>
    <w:basedOn w:val="ItemHead"/>
    <w:next w:val="Item"/>
    <w:rsid w:val="00AB232B"/>
  </w:style>
  <w:style w:type="character" w:customStyle="1" w:styleId="charlegsubtitle1">
    <w:name w:val="charlegsubtitle1"/>
    <w:basedOn w:val="DefaultParagraphFont"/>
    <w:rsid w:val="00AB232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B232B"/>
    <w:pPr>
      <w:ind w:left="240" w:hanging="240"/>
    </w:pPr>
  </w:style>
  <w:style w:type="paragraph" w:styleId="Index2">
    <w:name w:val="index 2"/>
    <w:basedOn w:val="Normal"/>
    <w:next w:val="Normal"/>
    <w:autoRedefine/>
    <w:rsid w:val="00AB232B"/>
    <w:pPr>
      <w:ind w:left="480" w:hanging="240"/>
    </w:pPr>
  </w:style>
  <w:style w:type="paragraph" w:styleId="Index3">
    <w:name w:val="index 3"/>
    <w:basedOn w:val="Normal"/>
    <w:next w:val="Normal"/>
    <w:autoRedefine/>
    <w:rsid w:val="00AB232B"/>
    <w:pPr>
      <w:ind w:left="720" w:hanging="240"/>
    </w:pPr>
  </w:style>
  <w:style w:type="paragraph" w:styleId="Index4">
    <w:name w:val="index 4"/>
    <w:basedOn w:val="Normal"/>
    <w:next w:val="Normal"/>
    <w:autoRedefine/>
    <w:rsid w:val="00AB232B"/>
    <w:pPr>
      <w:ind w:left="960" w:hanging="240"/>
    </w:pPr>
  </w:style>
  <w:style w:type="paragraph" w:styleId="Index5">
    <w:name w:val="index 5"/>
    <w:basedOn w:val="Normal"/>
    <w:next w:val="Normal"/>
    <w:autoRedefine/>
    <w:rsid w:val="00AB232B"/>
    <w:pPr>
      <w:ind w:left="1200" w:hanging="240"/>
    </w:pPr>
  </w:style>
  <w:style w:type="paragraph" w:styleId="Index6">
    <w:name w:val="index 6"/>
    <w:basedOn w:val="Normal"/>
    <w:next w:val="Normal"/>
    <w:autoRedefine/>
    <w:rsid w:val="00AB232B"/>
    <w:pPr>
      <w:ind w:left="1440" w:hanging="240"/>
    </w:pPr>
  </w:style>
  <w:style w:type="paragraph" w:styleId="Index7">
    <w:name w:val="index 7"/>
    <w:basedOn w:val="Normal"/>
    <w:next w:val="Normal"/>
    <w:autoRedefine/>
    <w:rsid w:val="00AB232B"/>
    <w:pPr>
      <w:ind w:left="1680" w:hanging="240"/>
    </w:pPr>
  </w:style>
  <w:style w:type="paragraph" w:styleId="Index8">
    <w:name w:val="index 8"/>
    <w:basedOn w:val="Normal"/>
    <w:next w:val="Normal"/>
    <w:autoRedefine/>
    <w:rsid w:val="00AB232B"/>
    <w:pPr>
      <w:ind w:left="1920" w:hanging="240"/>
    </w:pPr>
  </w:style>
  <w:style w:type="paragraph" w:styleId="Index9">
    <w:name w:val="index 9"/>
    <w:basedOn w:val="Normal"/>
    <w:next w:val="Normal"/>
    <w:autoRedefine/>
    <w:rsid w:val="00AB232B"/>
    <w:pPr>
      <w:ind w:left="2160" w:hanging="240"/>
    </w:pPr>
  </w:style>
  <w:style w:type="paragraph" w:styleId="NormalIndent">
    <w:name w:val="Normal Indent"/>
    <w:basedOn w:val="Normal"/>
    <w:rsid w:val="00AB232B"/>
    <w:pPr>
      <w:ind w:left="720"/>
    </w:pPr>
  </w:style>
  <w:style w:type="paragraph" w:styleId="FootnoteText">
    <w:name w:val="footnote text"/>
    <w:basedOn w:val="Normal"/>
    <w:link w:val="FootnoteTextChar"/>
    <w:rsid w:val="00AB232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B232B"/>
  </w:style>
  <w:style w:type="paragraph" w:styleId="CommentText">
    <w:name w:val="annotation text"/>
    <w:basedOn w:val="Normal"/>
    <w:link w:val="CommentTextChar"/>
    <w:rsid w:val="00AB232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232B"/>
  </w:style>
  <w:style w:type="paragraph" w:styleId="IndexHeading">
    <w:name w:val="index heading"/>
    <w:basedOn w:val="Normal"/>
    <w:next w:val="Index1"/>
    <w:rsid w:val="00AB232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B232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B232B"/>
    <w:pPr>
      <w:ind w:left="480" w:hanging="480"/>
    </w:pPr>
  </w:style>
  <w:style w:type="paragraph" w:styleId="EnvelopeAddress">
    <w:name w:val="envelope address"/>
    <w:basedOn w:val="Normal"/>
    <w:rsid w:val="00AB232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B232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B232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B232B"/>
    <w:rPr>
      <w:sz w:val="16"/>
      <w:szCs w:val="16"/>
    </w:rPr>
  </w:style>
  <w:style w:type="character" w:styleId="PageNumber">
    <w:name w:val="page number"/>
    <w:basedOn w:val="DefaultParagraphFont"/>
    <w:rsid w:val="00AB232B"/>
  </w:style>
  <w:style w:type="character" w:styleId="EndnoteReference">
    <w:name w:val="endnote reference"/>
    <w:basedOn w:val="DefaultParagraphFont"/>
    <w:rsid w:val="00AB232B"/>
    <w:rPr>
      <w:vertAlign w:val="superscript"/>
    </w:rPr>
  </w:style>
  <w:style w:type="paragraph" w:styleId="EndnoteText">
    <w:name w:val="endnote text"/>
    <w:basedOn w:val="Normal"/>
    <w:link w:val="EndnoteTextChar"/>
    <w:rsid w:val="00AB232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B232B"/>
  </w:style>
  <w:style w:type="paragraph" w:styleId="TableofAuthorities">
    <w:name w:val="table of authorities"/>
    <w:basedOn w:val="Normal"/>
    <w:next w:val="Normal"/>
    <w:rsid w:val="00AB232B"/>
    <w:pPr>
      <w:ind w:left="240" w:hanging="240"/>
    </w:pPr>
  </w:style>
  <w:style w:type="paragraph" w:styleId="MacroText">
    <w:name w:val="macro"/>
    <w:link w:val="MacroTextChar"/>
    <w:rsid w:val="00AB23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B232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B232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B232B"/>
    <w:pPr>
      <w:ind w:left="283" w:hanging="283"/>
    </w:pPr>
  </w:style>
  <w:style w:type="paragraph" w:styleId="ListBullet">
    <w:name w:val="List Bullet"/>
    <w:basedOn w:val="Normal"/>
    <w:autoRedefine/>
    <w:rsid w:val="00AB232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B232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B232B"/>
    <w:pPr>
      <w:ind w:left="566" w:hanging="283"/>
    </w:pPr>
  </w:style>
  <w:style w:type="paragraph" w:styleId="List3">
    <w:name w:val="List 3"/>
    <w:basedOn w:val="Normal"/>
    <w:rsid w:val="00AB232B"/>
    <w:pPr>
      <w:ind w:left="849" w:hanging="283"/>
    </w:pPr>
  </w:style>
  <w:style w:type="paragraph" w:styleId="List4">
    <w:name w:val="List 4"/>
    <w:basedOn w:val="Normal"/>
    <w:rsid w:val="00AB232B"/>
    <w:pPr>
      <w:ind w:left="1132" w:hanging="283"/>
    </w:pPr>
  </w:style>
  <w:style w:type="paragraph" w:styleId="List5">
    <w:name w:val="List 5"/>
    <w:basedOn w:val="Normal"/>
    <w:rsid w:val="00AB232B"/>
    <w:pPr>
      <w:ind w:left="1415" w:hanging="283"/>
    </w:pPr>
  </w:style>
  <w:style w:type="paragraph" w:styleId="ListBullet2">
    <w:name w:val="List Bullet 2"/>
    <w:basedOn w:val="Normal"/>
    <w:autoRedefine/>
    <w:rsid w:val="00AB232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B232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B232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B232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B232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B232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B232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B232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B232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B232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B232B"/>
    <w:pPr>
      <w:ind w:left="4252"/>
    </w:pPr>
  </w:style>
  <w:style w:type="character" w:customStyle="1" w:styleId="ClosingChar">
    <w:name w:val="Closing Char"/>
    <w:basedOn w:val="DefaultParagraphFont"/>
    <w:link w:val="Closing"/>
    <w:rsid w:val="00AB232B"/>
    <w:rPr>
      <w:sz w:val="22"/>
    </w:rPr>
  </w:style>
  <w:style w:type="paragraph" w:styleId="Signature">
    <w:name w:val="Signature"/>
    <w:basedOn w:val="Normal"/>
    <w:link w:val="SignatureChar"/>
    <w:rsid w:val="00AB232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B232B"/>
    <w:rPr>
      <w:sz w:val="22"/>
    </w:rPr>
  </w:style>
  <w:style w:type="paragraph" w:styleId="BodyText">
    <w:name w:val="Body Text"/>
    <w:basedOn w:val="Normal"/>
    <w:link w:val="BodyTextChar"/>
    <w:rsid w:val="00AB23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232B"/>
    <w:rPr>
      <w:sz w:val="22"/>
    </w:rPr>
  </w:style>
  <w:style w:type="paragraph" w:styleId="BodyTextIndent">
    <w:name w:val="Body Text Indent"/>
    <w:basedOn w:val="Normal"/>
    <w:link w:val="BodyTextIndentChar"/>
    <w:rsid w:val="00AB23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B232B"/>
    <w:rPr>
      <w:sz w:val="22"/>
    </w:rPr>
  </w:style>
  <w:style w:type="paragraph" w:styleId="ListContinue">
    <w:name w:val="List Continue"/>
    <w:basedOn w:val="Normal"/>
    <w:rsid w:val="00AB232B"/>
    <w:pPr>
      <w:spacing w:after="120"/>
      <w:ind w:left="283"/>
    </w:pPr>
  </w:style>
  <w:style w:type="paragraph" w:styleId="ListContinue2">
    <w:name w:val="List Continue 2"/>
    <w:basedOn w:val="Normal"/>
    <w:rsid w:val="00AB232B"/>
    <w:pPr>
      <w:spacing w:after="120"/>
      <w:ind w:left="566"/>
    </w:pPr>
  </w:style>
  <w:style w:type="paragraph" w:styleId="ListContinue3">
    <w:name w:val="List Continue 3"/>
    <w:basedOn w:val="Normal"/>
    <w:rsid w:val="00AB232B"/>
    <w:pPr>
      <w:spacing w:after="120"/>
      <w:ind w:left="849"/>
    </w:pPr>
  </w:style>
  <w:style w:type="paragraph" w:styleId="ListContinue4">
    <w:name w:val="List Continue 4"/>
    <w:basedOn w:val="Normal"/>
    <w:rsid w:val="00AB232B"/>
    <w:pPr>
      <w:spacing w:after="120"/>
      <w:ind w:left="1132"/>
    </w:pPr>
  </w:style>
  <w:style w:type="paragraph" w:styleId="ListContinue5">
    <w:name w:val="List Continue 5"/>
    <w:basedOn w:val="Normal"/>
    <w:rsid w:val="00AB232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B23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B232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B232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B232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B232B"/>
  </w:style>
  <w:style w:type="character" w:customStyle="1" w:styleId="SalutationChar">
    <w:name w:val="Salutation Char"/>
    <w:basedOn w:val="DefaultParagraphFont"/>
    <w:link w:val="Salutation"/>
    <w:rsid w:val="00AB232B"/>
    <w:rPr>
      <w:sz w:val="22"/>
    </w:rPr>
  </w:style>
  <w:style w:type="paragraph" w:styleId="Date">
    <w:name w:val="Date"/>
    <w:basedOn w:val="Normal"/>
    <w:next w:val="Normal"/>
    <w:link w:val="DateChar"/>
    <w:rsid w:val="00AB232B"/>
  </w:style>
  <w:style w:type="character" w:customStyle="1" w:styleId="DateChar">
    <w:name w:val="Date Char"/>
    <w:basedOn w:val="DefaultParagraphFont"/>
    <w:link w:val="Date"/>
    <w:rsid w:val="00AB232B"/>
    <w:rPr>
      <w:sz w:val="22"/>
    </w:rPr>
  </w:style>
  <w:style w:type="paragraph" w:styleId="BodyTextFirstIndent">
    <w:name w:val="Body Text First Indent"/>
    <w:basedOn w:val="BodyText"/>
    <w:link w:val="BodyTextFirstIndentChar"/>
    <w:rsid w:val="00AB232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B232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B232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B232B"/>
    <w:rPr>
      <w:sz w:val="22"/>
    </w:rPr>
  </w:style>
  <w:style w:type="paragraph" w:styleId="BodyText2">
    <w:name w:val="Body Text 2"/>
    <w:basedOn w:val="Normal"/>
    <w:link w:val="BodyText2Char"/>
    <w:rsid w:val="00AB23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232B"/>
    <w:rPr>
      <w:sz w:val="22"/>
    </w:rPr>
  </w:style>
  <w:style w:type="paragraph" w:styleId="BodyText3">
    <w:name w:val="Body Text 3"/>
    <w:basedOn w:val="Normal"/>
    <w:link w:val="BodyText3Char"/>
    <w:rsid w:val="00AB23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B232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B23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B232B"/>
    <w:rPr>
      <w:sz w:val="22"/>
    </w:rPr>
  </w:style>
  <w:style w:type="paragraph" w:styleId="BodyTextIndent3">
    <w:name w:val="Body Text Indent 3"/>
    <w:basedOn w:val="Normal"/>
    <w:link w:val="BodyTextIndent3Char"/>
    <w:rsid w:val="00AB23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B232B"/>
    <w:rPr>
      <w:sz w:val="16"/>
      <w:szCs w:val="16"/>
    </w:rPr>
  </w:style>
  <w:style w:type="paragraph" w:styleId="BlockText">
    <w:name w:val="Block Text"/>
    <w:basedOn w:val="Normal"/>
    <w:rsid w:val="00AB232B"/>
    <w:pPr>
      <w:spacing w:after="120"/>
      <w:ind w:left="1440" w:right="1440"/>
    </w:pPr>
  </w:style>
  <w:style w:type="character" w:styleId="FollowedHyperlink">
    <w:name w:val="FollowedHyperlink"/>
    <w:basedOn w:val="DefaultParagraphFont"/>
    <w:rsid w:val="00AB232B"/>
    <w:rPr>
      <w:color w:val="800080"/>
      <w:u w:val="single"/>
    </w:rPr>
  </w:style>
  <w:style w:type="character" w:styleId="Strong">
    <w:name w:val="Strong"/>
    <w:basedOn w:val="DefaultParagraphFont"/>
    <w:qFormat/>
    <w:rsid w:val="00AB232B"/>
    <w:rPr>
      <w:b/>
      <w:bCs/>
    </w:rPr>
  </w:style>
  <w:style w:type="character" w:styleId="Emphasis">
    <w:name w:val="Emphasis"/>
    <w:basedOn w:val="DefaultParagraphFont"/>
    <w:qFormat/>
    <w:rsid w:val="00AB232B"/>
    <w:rPr>
      <w:i/>
      <w:iCs/>
    </w:rPr>
  </w:style>
  <w:style w:type="paragraph" w:styleId="DocumentMap">
    <w:name w:val="Document Map"/>
    <w:basedOn w:val="Normal"/>
    <w:link w:val="DocumentMapChar"/>
    <w:rsid w:val="00AB232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B232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B232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B232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B232B"/>
  </w:style>
  <w:style w:type="character" w:customStyle="1" w:styleId="E-mailSignatureChar">
    <w:name w:val="E-mail Signature Char"/>
    <w:basedOn w:val="DefaultParagraphFont"/>
    <w:link w:val="E-mailSignature"/>
    <w:rsid w:val="00AB232B"/>
    <w:rPr>
      <w:sz w:val="22"/>
    </w:rPr>
  </w:style>
  <w:style w:type="paragraph" w:styleId="NormalWeb">
    <w:name w:val="Normal (Web)"/>
    <w:basedOn w:val="Normal"/>
    <w:rsid w:val="00AB232B"/>
  </w:style>
  <w:style w:type="character" w:styleId="HTMLAcronym">
    <w:name w:val="HTML Acronym"/>
    <w:basedOn w:val="DefaultParagraphFont"/>
    <w:rsid w:val="00AB232B"/>
  </w:style>
  <w:style w:type="paragraph" w:styleId="HTMLAddress">
    <w:name w:val="HTML Address"/>
    <w:basedOn w:val="Normal"/>
    <w:link w:val="HTMLAddressChar"/>
    <w:rsid w:val="00AB232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B232B"/>
    <w:rPr>
      <w:i/>
      <w:iCs/>
      <w:sz w:val="22"/>
    </w:rPr>
  </w:style>
  <w:style w:type="character" w:styleId="HTMLCite">
    <w:name w:val="HTML Cite"/>
    <w:basedOn w:val="DefaultParagraphFont"/>
    <w:rsid w:val="00AB232B"/>
    <w:rPr>
      <w:i/>
      <w:iCs/>
    </w:rPr>
  </w:style>
  <w:style w:type="character" w:styleId="HTMLCode">
    <w:name w:val="HTML Code"/>
    <w:basedOn w:val="DefaultParagraphFont"/>
    <w:rsid w:val="00AB232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B232B"/>
    <w:rPr>
      <w:i/>
      <w:iCs/>
    </w:rPr>
  </w:style>
  <w:style w:type="character" w:styleId="HTMLKeyboard">
    <w:name w:val="HTML Keyboard"/>
    <w:basedOn w:val="DefaultParagraphFont"/>
    <w:rsid w:val="00AB232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B232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B232B"/>
    <w:rPr>
      <w:rFonts w:ascii="Courier New" w:hAnsi="Courier New" w:cs="Courier New"/>
    </w:rPr>
  </w:style>
  <w:style w:type="character" w:styleId="HTMLSample">
    <w:name w:val="HTML Sample"/>
    <w:basedOn w:val="DefaultParagraphFont"/>
    <w:rsid w:val="00AB232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B232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B232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B2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232B"/>
    <w:rPr>
      <w:b/>
      <w:bCs/>
    </w:rPr>
  </w:style>
  <w:style w:type="numbering" w:styleId="1ai">
    <w:name w:val="Outline List 1"/>
    <w:basedOn w:val="NoList"/>
    <w:rsid w:val="00AB232B"/>
    <w:pPr>
      <w:numPr>
        <w:numId w:val="14"/>
      </w:numPr>
    </w:pPr>
  </w:style>
  <w:style w:type="numbering" w:styleId="111111">
    <w:name w:val="Outline List 2"/>
    <w:basedOn w:val="NoList"/>
    <w:rsid w:val="00AB232B"/>
    <w:pPr>
      <w:numPr>
        <w:numId w:val="15"/>
      </w:numPr>
    </w:pPr>
  </w:style>
  <w:style w:type="numbering" w:styleId="ArticleSection">
    <w:name w:val="Outline List 3"/>
    <w:basedOn w:val="NoList"/>
    <w:rsid w:val="00AB232B"/>
    <w:pPr>
      <w:numPr>
        <w:numId w:val="17"/>
      </w:numPr>
    </w:pPr>
  </w:style>
  <w:style w:type="table" w:styleId="TableSimple1">
    <w:name w:val="Table Simple 1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B232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B232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B232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B232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B232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B232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B232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B232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B232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B232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B232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B232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B232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B232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B232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B232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B232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B232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B232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B232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B232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B232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B232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B232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B232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B232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B232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B232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B232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B232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B232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B232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B232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B232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B232B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232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32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32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232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232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232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232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232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B232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B232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B232B"/>
  </w:style>
  <w:style w:type="paragraph" w:customStyle="1" w:styleId="OPCParaBase">
    <w:name w:val="OPCParaBase"/>
    <w:qFormat/>
    <w:rsid w:val="00AB232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B232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B232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B232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B232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B232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B232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B232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B232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B232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B232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B232B"/>
  </w:style>
  <w:style w:type="paragraph" w:customStyle="1" w:styleId="Blocks">
    <w:name w:val="Blocks"/>
    <w:aliases w:val="bb"/>
    <w:basedOn w:val="OPCParaBase"/>
    <w:qFormat/>
    <w:rsid w:val="00AB232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B23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B232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B232B"/>
    <w:rPr>
      <w:i/>
    </w:rPr>
  </w:style>
  <w:style w:type="paragraph" w:customStyle="1" w:styleId="BoxList">
    <w:name w:val="BoxList"/>
    <w:aliases w:val="bl"/>
    <w:basedOn w:val="BoxText"/>
    <w:qFormat/>
    <w:rsid w:val="00AB232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B232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B232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B232B"/>
    <w:pPr>
      <w:ind w:left="1985" w:hanging="851"/>
    </w:pPr>
  </w:style>
  <w:style w:type="character" w:customStyle="1" w:styleId="CharAmPartNo">
    <w:name w:val="CharAmPartNo"/>
    <w:basedOn w:val="OPCCharBase"/>
    <w:qFormat/>
    <w:rsid w:val="00AB232B"/>
  </w:style>
  <w:style w:type="character" w:customStyle="1" w:styleId="CharAmPartText">
    <w:name w:val="CharAmPartText"/>
    <w:basedOn w:val="OPCCharBase"/>
    <w:qFormat/>
    <w:rsid w:val="00AB232B"/>
  </w:style>
  <w:style w:type="character" w:customStyle="1" w:styleId="CharAmSchNo">
    <w:name w:val="CharAmSchNo"/>
    <w:basedOn w:val="OPCCharBase"/>
    <w:qFormat/>
    <w:rsid w:val="00AB232B"/>
  </w:style>
  <w:style w:type="character" w:customStyle="1" w:styleId="CharAmSchText">
    <w:name w:val="CharAmSchText"/>
    <w:basedOn w:val="OPCCharBase"/>
    <w:qFormat/>
    <w:rsid w:val="00AB232B"/>
  </w:style>
  <w:style w:type="character" w:customStyle="1" w:styleId="CharBoldItalic">
    <w:name w:val="CharBoldItalic"/>
    <w:basedOn w:val="OPCCharBase"/>
    <w:uiPriority w:val="1"/>
    <w:qFormat/>
    <w:rsid w:val="00AB232B"/>
    <w:rPr>
      <w:b/>
      <w:i/>
    </w:rPr>
  </w:style>
  <w:style w:type="character" w:customStyle="1" w:styleId="CharChapNo">
    <w:name w:val="CharChapNo"/>
    <w:basedOn w:val="OPCCharBase"/>
    <w:uiPriority w:val="1"/>
    <w:qFormat/>
    <w:rsid w:val="00AB232B"/>
  </w:style>
  <w:style w:type="character" w:customStyle="1" w:styleId="CharChapText">
    <w:name w:val="CharChapText"/>
    <w:basedOn w:val="OPCCharBase"/>
    <w:uiPriority w:val="1"/>
    <w:qFormat/>
    <w:rsid w:val="00AB232B"/>
  </w:style>
  <w:style w:type="character" w:customStyle="1" w:styleId="CharDivNo">
    <w:name w:val="CharDivNo"/>
    <w:basedOn w:val="OPCCharBase"/>
    <w:uiPriority w:val="1"/>
    <w:qFormat/>
    <w:rsid w:val="00AB232B"/>
  </w:style>
  <w:style w:type="character" w:customStyle="1" w:styleId="CharDivText">
    <w:name w:val="CharDivText"/>
    <w:basedOn w:val="OPCCharBase"/>
    <w:uiPriority w:val="1"/>
    <w:qFormat/>
    <w:rsid w:val="00AB232B"/>
  </w:style>
  <w:style w:type="character" w:customStyle="1" w:styleId="CharItalic">
    <w:name w:val="CharItalic"/>
    <w:basedOn w:val="OPCCharBase"/>
    <w:uiPriority w:val="1"/>
    <w:qFormat/>
    <w:rsid w:val="00AB232B"/>
    <w:rPr>
      <w:i/>
    </w:rPr>
  </w:style>
  <w:style w:type="character" w:customStyle="1" w:styleId="CharPartNo">
    <w:name w:val="CharPartNo"/>
    <w:basedOn w:val="OPCCharBase"/>
    <w:uiPriority w:val="1"/>
    <w:qFormat/>
    <w:rsid w:val="00AB232B"/>
  </w:style>
  <w:style w:type="character" w:customStyle="1" w:styleId="CharPartText">
    <w:name w:val="CharPartText"/>
    <w:basedOn w:val="OPCCharBase"/>
    <w:uiPriority w:val="1"/>
    <w:qFormat/>
    <w:rsid w:val="00AB232B"/>
  </w:style>
  <w:style w:type="character" w:customStyle="1" w:styleId="CharSectno">
    <w:name w:val="CharSectno"/>
    <w:basedOn w:val="OPCCharBase"/>
    <w:qFormat/>
    <w:rsid w:val="00AB232B"/>
  </w:style>
  <w:style w:type="character" w:customStyle="1" w:styleId="CharSubdNo">
    <w:name w:val="CharSubdNo"/>
    <w:basedOn w:val="OPCCharBase"/>
    <w:uiPriority w:val="1"/>
    <w:qFormat/>
    <w:rsid w:val="00AB232B"/>
  </w:style>
  <w:style w:type="character" w:customStyle="1" w:styleId="CharSubdText">
    <w:name w:val="CharSubdText"/>
    <w:basedOn w:val="OPCCharBase"/>
    <w:uiPriority w:val="1"/>
    <w:qFormat/>
    <w:rsid w:val="00AB232B"/>
  </w:style>
  <w:style w:type="paragraph" w:customStyle="1" w:styleId="CTA--">
    <w:name w:val="CTA --"/>
    <w:basedOn w:val="OPCParaBase"/>
    <w:next w:val="Normal"/>
    <w:rsid w:val="00AB232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B232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B232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B232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B232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B232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B232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B232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B232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B232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B232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B232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B232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B232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B232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B232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B232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B232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B232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B232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B232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B232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B232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B232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B232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B232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B232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B232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B232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B232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B232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B232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B232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B232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B232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B232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B232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B232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B232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B232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B232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B232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B232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B232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B232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B232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B232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B232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B232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B232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B232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B23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B232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B232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B232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B232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B232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B232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B232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B232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B232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B232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B232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B232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B232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B232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B232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B232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B232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B232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B232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B232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B232B"/>
    <w:rPr>
      <w:sz w:val="16"/>
    </w:rPr>
  </w:style>
  <w:style w:type="table" w:customStyle="1" w:styleId="CFlag">
    <w:name w:val="CFlag"/>
    <w:basedOn w:val="TableNormal"/>
    <w:uiPriority w:val="99"/>
    <w:rsid w:val="00AB23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B23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3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B232B"/>
    <w:rPr>
      <w:color w:val="0000FF"/>
      <w:u w:val="single"/>
    </w:rPr>
  </w:style>
  <w:style w:type="table" w:styleId="TableGrid">
    <w:name w:val="Table Grid"/>
    <w:basedOn w:val="TableNormal"/>
    <w:uiPriority w:val="59"/>
    <w:rsid w:val="00AB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B232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B232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B232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B232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B232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B232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B232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B232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B232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B232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AB232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B232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B232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B232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B232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B232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B232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B232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B232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B232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B232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B232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B232B"/>
  </w:style>
  <w:style w:type="character" w:customStyle="1" w:styleId="CharSubPartNoCASA">
    <w:name w:val="CharSubPartNo(CASA)"/>
    <w:basedOn w:val="OPCCharBase"/>
    <w:uiPriority w:val="1"/>
    <w:rsid w:val="00AB232B"/>
  </w:style>
  <w:style w:type="paragraph" w:customStyle="1" w:styleId="ENoteTTIndentHeadingSub">
    <w:name w:val="ENoteTTIndentHeadingSub"/>
    <w:aliases w:val="enTTHis"/>
    <w:basedOn w:val="OPCParaBase"/>
    <w:rsid w:val="00AB232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B232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B232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B232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B232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73D2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B23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B232B"/>
    <w:rPr>
      <w:sz w:val="22"/>
    </w:rPr>
  </w:style>
  <w:style w:type="paragraph" w:customStyle="1" w:styleId="SOTextNote">
    <w:name w:val="SO TextNote"/>
    <w:aliases w:val="sont"/>
    <w:basedOn w:val="SOText"/>
    <w:qFormat/>
    <w:rsid w:val="00AB232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B232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B232B"/>
    <w:rPr>
      <w:sz w:val="22"/>
    </w:rPr>
  </w:style>
  <w:style w:type="paragraph" w:customStyle="1" w:styleId="FileName">
    <w:name w:val="FileName"/>
    <w:basedOn w:val="Normal"/>
    <w:rsid w:val="00AB232B"/>
  </w:style>
  <w:style w:type="paragraph" w:customStyle="1" w:styleId="TableHeading">
    <w:name w:val="TableHeading"/>
    <w:aliases w:val="th"/>
    <w:basedOn w:val="OPCParaBase"/>
    <w:next w:val="Tabletext"/>
    <w:rsid w:val="00AB232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B232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B232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B232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B232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B232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B232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B232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B232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B23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B232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B232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B232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B232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B2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2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232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B23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B232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B232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B232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B232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B23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5">
    <w:name w:val="Table Grid 5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ENotesText">
    <w:name w:val="ENotesText"/>
    <w:aliases w:val="Ent"/>
    <w:basedOn w:val="OPCParaBase"/>
    <w:next w:val="Normal"/>
    <w:rsid w:val="00AB232B"/>
    <w:pPr>
      <w:spacing w:before="120"/>
    </w:pPr>
  </w:style>
  <w:style w:type="paragraph" w:customStyle="1" w:styleId="TableTextEndNotes">
    <w:name w:val="TableTextEndNotes"/>
    <w:aliases w:val="Tten"/>
    <w:basedOn w:val="Normal"/>
    <w:rsid w:val="00AB232B"/>
    <w:pPr>
      <w:spacing w:before="60" w:line="240" w:lineRule="auto"/>
    </w:pPr>
    <w:rPr>
      <w:rFonts w:cs="Arial"/>
      <w:sz w:val="20"/>
      <w:szCs w:val="22"/>
    </w:rPr>
  </w:style>
  <w:style w:type="paragraph" w:customStyle="1" w:styleId="Transitional">
    <w:name w:val="Transitional"/>
    <w:aliases w:val="tr"/>
    <w:basedOn w:val="ItemHead"/>
    <w:next w:val="Item"/>
    <w:rsid w:val="00AB232B"/>
  </w:style>
  <w:style w:type="character" w:customStyle="1" w:styleId="charlegsubtitle1">
    <w:name w:val="charlegsubtitle1"/>
    <w:basedOn w:val="DefaultParagraphFont"/>
    <w:rsid w:val="00AB232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B232B"/>
    <w:pPr>
      <w:ind w:left="240" w:hanging="240"/>
    </w:pPr>
  </w:style>
  <w:style w:type="paragraph" w:styleId="Index2">
    <w:name w:val="index 2"/>
    <w:basedOn w:val="Normal"/>
    <w:next w:val="Normal"/>
    <w:autoRedefine/>
    <w:rsid w:val="00AB232B"/>
    <w:pPr>
      <w:ind w:left="480" w:hanging="240"/>
    </w:pPr>
  </w:style>
  <w:style w:type="paragraph" w:styleId="Index3">
    <w:name w:val="index 3"/>
    <w:basedOn w:val="Normal"/>
    <w:next w:val="Normal"/>
    <w:autoRedefine/>
    <w:rsid w:val="00AB232B"/>
    <w:pPr>
      <w:ind w:left="720" w:hanging="240"/>
    </w:pPr>
  </w:style>
  <w:style w:type="paragraph" w:styleId="Index4">
    <w:name w:val="index 4"/>
    <w:basedOn w:val="Normal"/>
    <w:next w:val="Normal"/>
    <w:autoRedefine/>
    <w:rsid w:val="00AB232B"/>
    <w:pPr>
      <w:ind w:left="960" w:hanging="240"/>
    </w:pPr>
  </w:style>
  <w:style w:type="paragraph" w:styleId="Index5">
    <w:name w:val="index 5"/>
    <w:basedOn w:val="Normal"/>
    <w:next w:val="Normal"/>
    <w:autoRedefine/>
    <w:rsid w:val="00AB232B"/>
    <w:pPr>
      <w:ind w:left="1200" w:hanging="240"/>
    </w:pPr>
  </w:style>
  <w:style w:type="paragraph" w:styleId="Index6">
    <w:name w:val="index 6"/>
    <w:basedOn w:val="Normal"/>
    <w:next w:val="Normal"/>
    <w:autoRedefine/>
    <w:rsid w:val="00AB232B"/>
    <w:pPr>
      <w:ind w:left="1440" w:hanging="240"/>
    </w:pPr>
  </w:style>
  <w:style w:type="paragraph" w:styleId="Index7">
    <w:name w:val="index 7"/>
    <w:basedOn w:val="Normal"/>
    <w:next w:val="Normal"/>
    <w:autoRedefine/>
    <w:rsid w:val="00AB232B"/>
    <w:pPr>
      <w:ind w:left="1680" w:hanging="240"/>
    </w:pPr>
  </w:style>
  <w:style w:type="paragraph" w:styleId="Index8">
    <w:name w:val="index 8"/>
    <w:basedOn w:val="Normal"/>
    <w:next w:val="Normal"/>
    <w:autoRedefine/>
    <w:rsid w:val="00AB232B"/>
    <w:pPr>
      <w:ind w:left="1920" w:hanging="240"/>
    </w:pPr>
  </w:style>
  <w:style w:type="paragraph" w:styleId="Index9">
    <w:name w:val="index 9"/>
    <w:basedOn w:val="Normal"/>
    <w:next w:val="Normal"/>
    <w:autoRedefine/>
    <w:rsid w:val="00AB232B"/>
    <w:pPr>
      <w:ind w:left="2160" w:hanging="240"/>
    </w:pPr>
  </w:style>
  <w:style w:type="paragraph" w:styleId="NormalIndent">
    <w:name w:val="Normal Indent"/>
    <w:basedOn w:val="Normal"/>
    <w:rsid w:val="00AB232B"/>
    <w:pPr>
      <w:ind w:left="720"/>
    </w:pPr>
  </w:style>
  <w:style w:type="paragraph" w:styleId="FootnoteText">
    <w:name w:val="footnote text"/>
    <w:basedOn w:val="Normal"/>
    <w:link w:val="FootnoteTextChar"/>
    <w:rsid w:val="00AB232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B232B"/>
  </w:style>
  <w:style w:type="paragraph" w:styleId="CommentText">
    <w:name w:val="annotation text"/>
    <w:basedOn w:val="Normal"/>
    <w:link w:val="CommentTextChar"/>
    <w:rsid w:val="00AB232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232B"/>
  </w:style>
  <w:style w:type="paragraph" w:styleId="IndexHeading">
    <w:name w:val="index heading"/>
    <w:basedOn w:val="Normal"/>
    <w:next w:val="Index1"/>
    <w:rsid w:val="00AB232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B232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B232B"/>
    <w:pPr>
      <w:ind w:left="480" w:hanging="480"/>
    </w:pPr>
  </w:style>
  <w:style w:type="paragraph" w:styleId="EnvelopeAddress">
    <w:name w:val="envelope address"/>
    <w:basedOn w:val="Normal"/>
    <w:rsid w:val="00AB232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B232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B232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B232B"/>
    <w:rPr>
      <w:sz w:val="16"/>
      <w:szCs w:val="16"/>
    </w:rPr>
  </w:style>
  <w:style w:type="character" w:styleId="PageNumber">
    <w:name w:val="page number"/>
    <w:basedOn w:val="DefaultParagraphFont"/>
    <w:rsid w:val="00AB232B"/>
  </w:style>
  <w:style w:type="character" w:styleId="EndnoteReference">
    <w:name w:val="endnote reference"/>
    <w:basedOn w:val="DefaultParagraphFont"/>
    <w:rsid w:val="00AB232B"/>
    <w:rPr>
      <w:vertAlign w:val="superscript"/>
    </w:rPr>
  </w:style>
  <w:style w:type="paragraph" w:styleId="EndnoteText">
    <w:name w:val="endnote text"/>
    <w:basedOn w:val="Normal"/>
    <w:link w:val="EndnoteTextChar"/>
    <w:rsid w:val="00AB232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B232B"/>
  </w:style>
  <w:style w:type="paragraph" w:styleId="TableofAuthorities">
    <w:name w:val="table of authorities"/>
    <w:basedOn w:val="Normal"/>
    <w:next w:val="Normal"/>
    <w:rsid w:val="00AB232B"/>
    <w:pPr>
      <w:ind w:left="240" w:hanging="240"/>
    </w:pPr>
  </w:style>
  <w:style w:type="paragraph" w:styleId="MacroText">
    <w:name w:val="macro"/>
    <w:link w:val="MacroTextChar"/>
    <w:rsid w:val="00AB23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B232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B232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B232B"/>
    <w:pPr>
      <w:ind w:left="283" w:hanging="283"/>
    </w:pPr>
  </w:style>
  <w:style w:type="paragraph" w:styleId="ListBullet">
    <w:name w:val="List Bullet"/>
    <w:basedOn w:val="Normal"/>
    <w:autoRedefine/>
    <w:rsid w:val="00AB232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B232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B232B"/>
    <w:pPr>
      <w:ind w:left="566" w:hanging="283"/>
    </w:pPr>
  </w:style>
  <w:style w:type="paragraph" w:styleId="List3">
    <w:name w:val="List 3"/>
    <w:basedOn w:val="Normal"/>
    <w:rsid w:val="00AB232B"/>
    <w:pPr>
      <w:ind w:left="849" w:hanging="283"/>
    </w:pPr>
  </w:style>
  <w:style w:type="paragraph" w:styleId="List4">
    <w:name w:val="List 4"/>
    <w:basedOn w:val="Normal"/>
    <w:rsid w:val="00AB232B"/>
    <w:pPr>
      <w:ind w:left="1132" w:hanging="283"/>
    </w:pPr>
  </w:style>
  <w:style w:type="paragraph" w:styleId="List5">
    <w:name w:val="List 5"/>
    <w:basedOn w:val="Normal"/>
    <w:rsid w:val="00AB232B"/>
    <w:pPr>
      <w:ind w:left="1415" w:hanging="283"/>
    </w:pPr>
  </w:style>
  <w:style w:type="paragraph" w:styleId="ListBullet2">
    <w:name w:val="List Bullet 2"/>
    <w:basedOn w:val="Normal"/>
    <w:autoRedefine/>
    <w:rsid w:val="00AB232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B232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B232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B232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B232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B232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B232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B232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B232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B232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B232B"/>
    <w:pPr>
      <w:ind w:left="4252"/>
    </w:pPr>
  </w:style>
  <w:style w:type="character" w:customStyle="1" w:styleId="ClosingChar">
    <w:name w:val="Closing Char"/>
    <w:basedOn w:val="DefaultParagraphFont"/>
    <w:link w:val="Closing"/>
    <w:rsid w:val="00AB232B"/>
    <w:rPr>
      <w:sz w:val="22"/>
    </w:rPr>
  </w:style>
  <w:style w:type="paragraph" w:styleId="Signature">
    <w:name w:val="Signature"/>
    <w:basedOn w:val="Normal"/>
    <w:link w:val="SignatureChar"/>
    <w:rsid w:val="00AB232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B232B"/>
    <w:rPr>
      <w:sz w:val="22"/>
    </w:rPr>
  </w:style>
  <w:style w:type="paragraph" w:styleId="BodyText">
    <w:name w:val="Body Text"/>
    <w:basedOn w:val="Normal"/>
    <w:link w:val="BodyTextChar"/>
    <w:rsid w:val="00AB23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232B"/>
    <w:rPr>
      <w:sz w:val="22"/>
    </w:rPr>
  </w:style>
  <w:style w:type="paragraph" w:styleId="BodyTextIndent">
    <w:name w:val="Body Text Indent"/>
    <w:basedOn w:val="Normal"/>
    <w:link w:val="BodyTextIndentChar"/>
    <w:rsid w:val="00AB23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B232B"/>
    <w:rPr>
      <w:sz w:val="22"/>
    </w:rPr>
  </w:style>
  <w:style w:type="paragraph" w:styleId="ListContinue">
    <w:name w:val="List Continue"/>
    <w:basedOn w:val="Normal"/>
    <w:rsid w:val="00AB232B"/>
    <w:pPr>
      <w:spacing w:after="120"/>
      <w:ind w:left="283"/>
    </w:pPr>
  </w:style>
  <w:style w:type="paragraph" w:styleId="ListContinue2">
    <w:name w:val="List Continue 2"/>
    <w:basedOn w:val="Normal"/>
    <w:rsid w:val="00AB232B"/>
    <w:pPr>
      <w:spacing w:after="120"/>
      <w:ind w:left="566"/>
    </w:pPr>
  </w:style>
  <w:style w:type="paragraph" w:styleId="ListContinue3">
    <w:name w:val="List Continue 3"/>
    <w:basedOn w:val="Normal"/>
    <w:rsid w:val="00AB232B"/>
    <w:pPr>
      <w:spacing w:after="120"/>
      <w:ind w:left="849"/>
    </w:pPr>
  </w:style>
  <w:style w:type="paragraph" w:styleId="ListContinue4">
    <w:name w:val="List Continue 4"/>
    <w:basedOn w:val="Normal"/>
    <w:rsid w:val="00AB232B"/>
    <w:pPr>
      <w:spacing w:after="120"/>
      <w:ind w:left="1132"/>
    </w:pPr>
  </w:style>
  <w:style w:type="paragraph" w:styleId="ListContinue5">
    <w:name w:val="List Continue 5"/>
    <w:basedOn w:val="Normal"/>
    <w:rsid w:val="00AB232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B23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B232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B232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B232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B232B"/>
  </w:style>
  <w:style w:type="character" w:customStyle="1" w:styleId="SalutationChar">
    <w:name w:val="Salutation Char"/>
    <w:basedOn w:val="DefaultParagraphFont"/>
    <w:link w:val="Salutation"/>
    <w:rsid w:val="00AB232B"/>
    <w:rPr>
      <w:sz w:val="22"/>
    </w:rPr>
  </w:style>
  <w:style w:type="paragraph" w:styleId="Date">
    <w:name w:val="Date"/>
    <w:basedOn w:val="Normal"/>
    <w:next w:val="Normal"/>
    <w:link w:val="DateChar"/>
    <w:rsid w:val="00AB232B"/>
  </w:style>
  <w:style w:type="character" w:customStyle="1" w:styleId="DateChar">
    <w:name w:val="Date Char"/>
    <w:basedOn w:val="DefaultParagraphFont"/>
    <w:link w:val="Date"/>
    <w:rsid w:val="00AB232B"/>
    <w:rPr>
      <w:sz w:val="22"/>
    </w:rPr>
  </w:style>
  <w:style w:type="paragraph" w:styleId="BodyTextFirstIndent">
    <w:name w:val="Body Text First Indent"/>
    <w:basedOn w:val="BodyText"/>
    <w:link w:val="BodyTextFirstIndentChar"/>
    <w:rsid w:val="00AB232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B232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B232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B232B"/>
    <w:rPr>
      <w:sz w:val="22"/>
    </w:rPr>
  </w:style>
  <w:style w:type="paragraph" w:styleId="BodyText2">
    <w:name w:val="Body Text 2"/>
    <w:basedOn w:val="Normal"/>
    <w:link w:val="BodyText2Char"/>
    <w:rsid w:val="00AB23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232B"/>
    <w:rPr>
      <w:sz w:val="22"/>
    </w:rPr>
  </w:style>
  <w:style w:type="paragraph" w:styleId="BodyText3">
    <w:name w:val="Body Text 3"/>
    <w:basedOn w:val="Normal"/>
    <w:link w:val="BodyText3Char"/>
    <w:rsid w:val="00AB23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B232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B23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B232B"/>
    <w:rPr>
      <w:sz w:val="22"/>
    </w:rPr>
  </w:style>
  <w:style w:type="paragraph" w:styleId="BodyTextIndent3">
    <w:name w:val="Body Text Indent 3"/>
    <w:basedOn w:val="Normal"/>
    <w:link w:val="BodyTextIndent3Char"/>
    <w:rsid w:val="00AB23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B232B"/>
    <w:rPr>
      <w:sz w:val="16"/>
      <w:szCs w:val="16"/>
    </w:rPr>
  </w:style>
  <w:style w:type="paragraph" w:styleId="BlockText">
    <w:name w:val="Block Text"/>
    <w:basedOn w:val="Normal"/>
    <w:rsid w:val="00AB232B"/>
    <w:pPr>
      <w:spacing w:after="120"/>
      <w:ind w:left="1440" w:right="1440"/>
    </w:pPr>
  </w:style>
  <w:style w:type="character" w:styleId="FollowedHyperlink">
    <w:name w:val="FollowedHyperlink"/>
    <w:basedOn w:val="DefaultParagraphFont"/>
    <w:rsid w:val="00AB232B"/>
    <w:rPr>
      <w:color w:val="800080"/>
      <w:u w:val="single"/>
    </w:rPr>
  </w:style>
  <w:style w:type="character" w:styleId="Strong">
    <w:name w:val="Strong"/>
    <w:basedOn w:val="DefaultParagraphFont"/>
    <w:qFormat/>
    <w:rsid w:val="00AB232B"/>
    <w:rPr>
      <w:b/>
      <w:bCs/>
    </w:rPr>
  </w:style>
  <w:style w:type="character" w:styleId="Emphasis">
    <w:name w:val="Emphasis"/>
    <w:basedOn w:val="DefaultParagraphFont"/>
    <w:qFormat/>
    <w:rsid w:val="00AB232B"/>
    <w:rPr>
      <w:i/>
      <w:iCs/>
    </w:rPr>
  </w:style>
  <w:style w:type="paragraph" w:styleId="DocumentMap">
    <w:name w:val="Document Map"/>
    <w:basedOn w:val="Normal"/>
    <w:link w:val="DocumentMapChar"/>
    <w:rsid w:val="00AB232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B232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B232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B232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B232B"/>
  </w:style>
  <w:style w:type="character" w:customStyle="1" w:styleId="E-mailSignatureChar">
    <w:name w:val="E-mail Signature Char"/>
    <w:basedOn w:val="DefaultParagraphFont"/>
    <w:link w:val="E-mailSignature"/>
    <w:rsid w:val="00AB232B"/>
    <w:rPr>
      <w:sz w:val="22"/>
    </w:rPr>
  </w:style>
  <w:style w:type="paragraph" w:styleId="NormalWeb">
    <w:name w:val="Normal (Web)"/>
    <w:basedOn w:val="Normal"/>
    <w:rsid w:val="00AB232B"/>
  </w:style>
  <w:style w:type="character" w:styleId="HTMLAcronym">
    <w:name w:val="HTML Acronym"/>
    <w:basedOn w:val="DefaultParagraphFont"/>
    <w:rsid w:val="00AB232B"/>
  </w:style>
  <w:style w:type="paragraph" w:styleId="HTMLAddress">
    <w:name w:val="HTML Address"/>
    <w:basedOn w:val="Normal"/>
    <w:link w:val="HTMLAddressChar"/>
    <w:rsid w:val="00AB232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B232B"/>
    <w:rPr>
      <w:i/>
      <w:iCs/>
      <w:sz w:val="22"/>
    </w:rPr>
  </w:style>
  <w:style w:type="character" w:styleId="HTMLCite">
    <w:name w:val="HTML Cite"/>
    <w:basedOn w:val="DefaultParagraphFont"/>
    <w:rsid w:val="00AB232B"/>
    <w:rPr>
      <w:i/>
      <w:iCs/>
    </w:rPr>
  </w:style>
  <w:style w:type="character" w:styleId="HTMLCode">
    <w:name w:val="HTML Code"/>
    <w:basedOn w:val="DefaultParagraphFont"/>
    <w:rsid w:val="00AB232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B232B"/>
    <w:rPr>
      <w:i/>
      <w:iCs/>
    </w:rPr>
  </w:style>
  <w:style w:type="character" w:styleId="HTMLKeyboard">
    <w:name w:val="HTML Keyboard"/>
    <w:basedOn w:val="DefaultParagraphFont"/>
    <w:rsid w:val="00AB232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B232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B232B"/>
    <w:rPr>
      <w:rFonts w:ascii="Courier New" w:hAnsi="Courier New" w:cs="Courier New"/>
    </w:rPr>
  </w:style>
  <w:style w:type="character" w:styleId="HTMLSample">
    <w:name w:val="HTML Sample"/>
    <w:basedOn w:val="DefaultParagraphFont"/>
    <w:rsid w:val="00AB232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B232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B232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B2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232B"/>
    <w:rPr>
      <w:b/>
      <w:bCs/>
    </w:rPr>
  </w:style>
  <w:style w:type="numbering" w:styleId="1ai">
    <w:name w:val="Outline List 1"/>
    <w:basedOn w:val="NoList"/>
    <w:rsid w:val="00AB232B"/>
    <w:pPr>
      <w:numPr>
        <w:numId w:val="14"/>
      </w:numPr>
    </w:pPr>
  </w:style>
  <w:style w:type="numbering" w:styleId="111111">
    <w:name w:val="Outline List 2"/>
    <w:basedOn w:val="NoList"/>
    <w:rsid w:val="00AB232B"/>
    <w:pPr>
      <w:numPr>
        <w:numId w:val="15"/>
      </w:numPr>
    </w:pPr>
  </w:style>
  <w:style w:type="numbering" w:styleId="ArticleSection">
    <w:name w:val="Outline List 3"/>
    <w:basedOn w:val="NoList"/>
    <w:rsid w:val="00AB232B"/>
    <w:pPr>
      <w:numPr>
        <w:numId w:val="17"/>
      </w:numPr>
    </w:pPr>
  </w:style>
  <w:style w:type="table" w:styleId="TableSimple1">
    <w:name w:val="Table Simple 1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B232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B232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B232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B232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B232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B232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B232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B232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B232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B232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B232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B232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B232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B232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B232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B232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B232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B232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B232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B232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B232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B232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B232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B232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B232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B232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B232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B232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B232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B232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B232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B232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B232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B232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B232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B232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B4C5E-A316-494D-A67B-A9F57864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20</Pages>
  <Words>4954</Words>
  <Characters>24476</Characters>
  <Application>Microsoft Office Word</Application>
  <DocSecurity>0</DocSecurity>
  <PresentationFormat/>
  <Lines>2039</Lines>
  <Paragraphs>919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2018-07-18T06:21:00Z</cp:lastPrinted>
  <dcterms:created xsi:type="dcterms:W3CDTF">2019-04-08T01:36:00Z</dcterms:created>
  <dcterms:modified xsi:type="dcterms:W3CDTF">2019-04-08T01:41:00Z</dcterms:modified>
  <cp:category>Finalised on 7/03/2019 10:26:30 AM by vitartasn  Finalised number was</cp:category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Gene Technology Amendment (2019 Measures No. 1) Regulations 2019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04 April 2019</vt:lpwstr>
  </property>
  <property fmtid="{D5CDD505-2E9C-101B-9397-08002B2CF9AE}" pid="10" name="Authority">
    <vt:lpwstr>unk</vt:lpwstr>
  </property>
  <property fmtid="{D5CDD505-2E9C-101B-9397-08002B2CF9AE}" pid="11" name="ID">
    <vt:lpwstr>OPC61274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Gene Technology Act 2000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TrimID">
    <vt:lpwstr>PC:D19/3120</vt:lpwstr>
  </property>
  <property fmtid="{D5CDD505-2E9C-101B-9397-08002B2CF9AE}" pid="21" name="ExcoDate">
    <vt:lpwstr>04 April 2019</vt:lpwstr>
  </property>
</Properties>
</file>