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15E55" w14:textId="77777777" w:rsidR="00AA4E4C" w:rsidRPr="00191C1D" w:rsidRDefault="00AA4E4C" w:rsidP="00E03308">
      <w:pPr>
        <w:jc w:val="center"/>
        <w:rPr>
          <w:b/>
          <w:u w:val="single"/>
        </w:rPr>
      </w:pPr>
      <w:bookmarkStart w:id="0" w:name="_GoBack"/>
      <w:bookmarkEnd w:id="0"/>
      <w:r w:rsidRPr="00191C1D">
        <w:rPr>
          <w:b/>
          <w:u w:val="single"/>
        </w:rPr>
        <w:t>EXPLANATORY STATEMENT</w:t>
      </w:r>
    </w:p>
    <w:p w14:paraId="0F1CAEEF" w14:textId="77777777" w:rsidR="00AA4E4C" w:rsidRPr="00191C1D" w:rsidRDefault="00AA4E4C" w:rsidP="00C23DF1">
      <w:pPr>
        <w:rPr>
          <w:u w:val="single"/>
        </w:rPr>
      </w:pPr>
    </w:p>
    <w:p w14:paraId="5A6FC84F" w14:textId="3FC3887D" w:rsidR="00AA4E4C" w:rsidRPr="00191C1D" w:rsidRDefault="00E60DE2" w:rsidP="00FF2BCF">
      <w:pPr>
        <w:tabs>
          <w:tab w:val="left" w:pos="1080"/>
        </w:tabs>
        <w:ind w:left="960" w:hanging="960"/>
        <w:jc w:val="center"/>
        <w:rPr>
          <w:i/>
          <w:iCs/>
        </w:rPr>
      </w:pPr>
      <w:r w:rsidRPr="00191C1D">
        <w:rPr>
          <w:i/>
          <w:iCs/>
        </w:rPr>
        <w:t>Education Services for Overseas Students Act 2000</w:t>
      </w:r>
    </w:p>
    <w:p w14:paraId="0D647577" w14:textId="77777777" w:rsidR="00AA4E4C" w:rsidRPr="00191C1D" w:rsidRDefault="00AA4E4C" w:rsidP="00FF2BCF">
      <w:pPr>
        <w:tabs>
          <w:tab w:val="left" w:pos="1080"/>
        </w:tabs>
        <w:ind w:left="960" w:hanging="960"/>
        <w:jc w:val="center"/>
        <w:rPr>
          <w:i/>
          <w:iCs/>
        </w:rPr>
      </w:pPr>
    </w:p>
    <w:p w14:paraId="61FB05E2" w14:textId="1503A844" w:rsidR="00747812" w:rsidRPr="00191C1D" w:rsidRDefault="00E60DE2" w:rsidP="00E03308">
      <w:pPr>
        <w:ind w:right="-46"/>
        <w:jc w:val="center"/>
        <w:rPr>
          <w:i/>
        </w:rPr>
      </w:pPr>
      <w:r w:rsidRPr="00191C1D">
        <w:rPr>
          <w:i/>
          <w:iCs/>
        </w:rPr>
        <w:t>Education Services for Overseas Students</w:t>
      </w:r>
      <w:r w:rsidR="00747812" w:rsidRPr="00191C1D">
        <w:rPr>
          <w:i/>
          <w:iCs/>
        </w:rPr>
        <w:t xml:space="preserve"> Regulation</w:t>
      </w:r>
      <w:r w:rsidR="00BD2448" w:rsidRPr="00191C1D">
        <w:rPr>
          <w:i/>
          <w:iCs/>
        </w:rPr>
        <w:t>s</w:t>
      </w:r>
      <w:r w:rsidR="00747812" w:rsidRPr="00191C1D">
        <w:rPr>
          <w:i/>
          <w:iCs/>
        </w:rPr>
        <w:t xml:space="preserve"> 201</w:t>
      </w:r>
      <w:r w:rsidR="008B5AA4" w:rsidRPr="00191C1D">
        <w:rPr>
          <w:i/>
          <w:iCs/>
        </w:rPr>
        <w:t>9</w:t>
      </w:r>
    </w:p>
    <w:p w14:paraId="761D9D05" w14:textId="77777777" w:rsidR="00AA4E4C" w:rsidRPr="00191C1D" w:rsidRDefault="00AA4E4C" w:rsidP="00FF2BCF">
      <w:pPr>
        <w:tabs>
          <w:tab w:val="left" w:pos="1080"/>
        </w:tabs>
        <w:ind w:left="960" w:hanging="960"/>
        <w:jc w:val="center"/>
        <w:rPr>
          <w:i/>
          <w:iCs/>
        </w:rPr>
      </w:pPr>
    </w:p>
    <w:p w14:paraId="691DB490" w14:textId="77777777" w:rsidR="00AA4E4C" w:rsidRPr="00191C1D" w:rsidRDefault="00AA4E4C" w:rsidP="00524001">
      <w:pPr>
        <w:spacing w:before="240"/>
        <w:ind w:right="91"/>
        <w:rPr>
          <w:b/>
        </w:rPr>
      </w:pPr>
      <w:r w:rsidRPr="00191C1D">
        <w:rPr>
          <w:b/>
        </w:rPr>
        <w:t>Authority</w:t>
      </w:r>
    </w:p>
    <w:p w14:paraId="2E6FBBA5" w14:textId="3408047A" w:rsidR="00E60DE2" w:rsidRPr="00191C1D" w:rsidRDefault="00BE1916" w:rsidP="00524001">
      <w:pPr>
        <w:spacing w:before="240"/>
        <w:ind w:right="91"/>
      </w:pPr>
      <w:r w:rsidRPr="00191C1D">
        <w:t xml:space="preserve">Section 177 of the </w:t>
      </w:r>
      <w:r w:rsidRPr="00191C1D">
        <w:rPr>
          <w:i/>
        </w:rPr>
        <w:t xml:space="preserve">Education Services for Overseas Students Act 2000 </w:t>
      </w:r>
      <w:r w:rsidRPr="00191C1D">
        <w:t>(the Act)</w:t>
      </w:r>
      <w:r w:rsidR="00B55588" w:rsidRPr="00191C1D">
        <w:t xml:space="preserve"> </w:t>
      </w:r>
      <w:r w:rsidR="00492B3F" w:rsidRPr="00191C1D">
        <w:t xml:space="preserve">provides </w:t>
      </w:r>
      <w:r w:rsidR="00B55588" w:rsidRPr="00191C1D">
        <w:t xml:space="preserve">that the Governor-General may make regulations prescribing matters </w:t>
      </w:r>
      <w:r w:rsidR="00492B3F" w:rsidRPr="00191C1D">
        <w:t xml:space="preserve">that are </w:t>
      </w:r>
      <w:r w:rsidR="00B55588" w:rsidRPr="00191C1D">
        <w:t xml:space="preserve">required or permitted by the Act to be prescribed, or </w:t>
      </w:r>
      <w:r w:rsidR="00492B3F" w:rsidRPr="00191C1D">
        <w:t xml:space="preserve">are </w:t>
      </w:r>
      <w:r w:rsidR="00B55588" w:rsidRPr="00191C1D">
        <w:t>necessary or convenient to be prescribed</w:t>
      </w:r>
      <w:r w:rsidR="002C44D8" w:rsidRPr="00191C1D">
        <w:t>,</w:t>
      </w:r>
      <w:r w:rsidR="00B55588" w:rsidRPr="00191C1D">
        <w:t xml:space="preserve"> for carrying out or giving effect to the Act.</w:t>
      </w:r>
    </w:p>
    <w:p w14:paraId="1BC2CB41" w14:textId="36A235CA" w:rsidR="00E60DE2" w:rsidRPr="00191C1D" w:rsidRDefault="00E127EC" w:rsidP="008B5AA4">
      <w:pPr>
        <w:spacing w:before="240"/>
      </w:pPr>
      <w:r w:rsidRPr="00191C1D">
        <w:t xml:space="preserve">Under subsection 33(3) of the </w:t>
      </w:r>
      <w:r w:rsidRPr="00191C1D">
        <w:rPr>
          <w:i/>
          <w:iCs/>
        </w:rPr>
        <w:t>Acts Interpretation Act 1901</w:t>
      </w:r>
      <w:r w:rsidRPr="00191C1D">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07F65D3A" w14:textId="5F269109" w:rsidR="00D4738E" w:rsidRPr="00191C1D" w:rsidRDefault="00D4738E" w:rsidP="008B5AA4">
      <w:pPr>
        <w:spacing w:before="240"/>
      </w:pPr>
      <w:r w:rsidRPr="00191C1D">
        <w:t xml:space="preserve">Subsection 50(2) of the </w:t>
      </w:r>
      <w:r w:rsidRPr="00191C1D">
        <w:rPr>
          <w:i/>
        </w:rPr>
        <w:t xml:space="preserve">Legislation Act 2003 </w:t>
      </w:r>
      <w:r w:rsidRPr="00191C1D">
        <w:t xml:space="preserve">provides that a legislative instrument made in the year 2001 sunsets on 1 October 2019. This instrument is made to </w:t>
      </w:r>
      <w:r w:rsidR="0099049F">
        <w:t xml:space="preserve">repeal and </w:t>
      </w:r>
      <w:r w:rsidRPr="00191C1D">
        <w:t xml:space="preserve">replace the </w:t>
      </w:r>
      <w:r w:rsidRPr="00191C1D">
        <w:rPr>
          <w:i/>
        </w:rPr>
        <w:t>Education Services for Overseas Students Regulation</w:t>
      </w:r>
      <w:r w:rsidR="00CC2E64" w:rsidRPr="00191C1D">
        <w:rPr>
          <w:i/>
        </w:rPr>
        <w:t>s</w:t>
      </w:r>
      <w:r w:rsidRPr="00191C1D">
        <w:rPr>
          <w:i/>
        </w:rPr>
        <w:t xml:space="preserve"> 2001</w:t>
      </w:r>
      <w:r w:rsidRPr="00191C1D">
        <w:t xml:space="preserve"> (‘the </w:t>
      </w:r>
      <w:r w:rsidR="00FF0251" w:rsidRPr="00191C1D">
        <w:t>old</w:t>
      </w:r>
      <w:r w:rsidRPr="00191C1D">
        <w:t xml:space="preserve"> regulations’)</w:t>
      </w:r>
      <w:r w:rsidR="00B60BEF" w:rsidRPr="00191C1D">
        <w:t xml:space="preserve"> which sunsets on 1 October 2019</w:t>
      </w:r>
      <w:r w:rsidRPr="00191C1D">
        <w:t>.</w:t>
      </w:r>
    </w:p>
    <w:p w14:paraId="683F18B0" w14:textId="0E2057FF" w:rsidR="008B5AA4" w:rsidRPr="00191C1D" w:rsidRDefault="008B5AA4" w:rsidP="008B5AA4">
      <w:pPr>
        <w:spacing w:before="240"/>
      </w:pPr>
      <w:r w:rsidRPr="00191C1D">
        <w:t xml:space="preserve">A reference in the </w:t>
      </w:r>
      <w:r w:rsidRPr="00191C1D">
        <w:rPr>
          <w:i/>
        </w:rPr>
        <w:t xml:space="preserve">Education Services for Overseas Students Regulations 2019 </w:t>
      </w:r>
      <w:r w:rsidRPr="00191C1D">
        <w:t>(the Regulations)</w:t>
      </w:r>
      <w:r w:rsidR="00044D72" w:rsidRPr="00191C1D">
        <w:t xml:space="preserve"> to an Act,</w:t>
      </w:r>
      <w:r w:rsidR="00955747" w:rsidRPr="00191C1D">
        <w:t xml:space="preserve"> the </w:t>
      </w:r>
      <w:r w:rsidR="00955747" w:rsidRPr="00191C1D">
        <w:rPr>
          <w:i/>
        </w:rPr>
        <w:t xml:space="preserve">National Code of Practice for Providers of Education and Training for Overseas Students 2018 </w:t>
      </w:r>
      <w:r w:rsidR="00955747" w:rsidRPr="00191C1D">
        <w:t>(the National Code),</w:t>
      </w:r>
      <w:r w:rsidR="00955747" w:rsidRPr="00191C1D">
        <w:rPr>
          <w:i/>
        </w:rPr>
        <w:t xml:space="preserve"> </w:t>
      </w:r>
      <w:r w:rsidRPr="00191C1D">
        <w:t xml:space="preserve">the </w:t>
      </w:r>
      <w:r w:rsidRPr="00191C1D">
        <w:rPr>
          <w:i/>
        </w:rPr>
        <w:t>Migration Regulations</w:t>
      </w:r>
      <w:r w:rsidR="00955747" w:rsidRPr="00191C1D">
        <w:rPr>
          <w:i/>
        </w:rPr>
        <w:t xml:space="preserve"> 1994</w:t>
      </w:r>
      <w:r w:rsidRPr="00191C1D">
        <w:t xml:space="preserve"> or any other disallowable legislative instrument is a reference to it</w:t>
      </w:r>
      <w:r w:rsidR="00955747" w:rsidRPr="00191C1D">
        <w:t xml:space="preserve"> as in force from time to time.</w:t>
      </w:r>
    </w:p>
    <w:p w14:paraId="08AE16D8" w14:textId="51C2083C" w:rsidR="00E60DE2" w:rsidRPr="00191C1D" w:rsidRDefault="0047648F" w:rsidP="00524001">
      <w:pPr>
        <w:spacing w:before="240"/>
        <w:ind w:right="91"/>
        <w:rPr>
          <w:b/>
        </w:rPr>
      </w:pPr>
      <w:r w:rsidRPr="00191C1D">
        <w:rPr>
          <w:b/>
        </w:rPr>
        <w:t>Legislative background</w:t>
      </w:r>
    </w:p>
    <w:p w14:paraId="5C73107A" w14:textId="31309387" w:rsidR="00F82D70" w:rsidRPr="00191C1D" w:rsidRDefault="00DB4143" w:rsidP="00DB4143">
      <w:pPr>
        <w:spacing w:before="240"/>
      </w:pPr>
      <w:r w:rsidRPr="00191C1D">
        <w:t xml:space="preserve">The </w:t>
      </w:r>
      <w:r w:rsidR="009648C2" w:rsidRPr="00191C1D">
        <w:t xml:space="preserve">Act came into force on 21 December 2000 and is the principal legislation for </w:t>
      </w:r>
      <w:r w:rsidR="00B60BEF" w:rsidRPr="00191C1D">
        <w:t xml:space="preserve">the </w:t>
      </w:r>
      <w:r w:rsidR="009648C2" w:rsidRPr="00191C1D">
        <w:t xml:space="preserve">delivery of education </w:t>
      </w:r>
      <w:r w:rsidR="00C66FB4" w:rsidRPr="00191C1D">
        <w:t xml:space="preserve">and training </w:t>
      </w:r>
      <w:r w:rsidR="009648C2" w:rsidRPr="00191C1D">
        <w:t>services to overseas students in Australia on a student visa.</w:t>
      </w:r>
    </w:p>
    <w:p w14:paraId="4E110B33" w14:textId="74EC19E1" w:rsidR="00DB4143" w:rsidRPr="00191C1D" w:rsidRDefault="00F82D70" w:rsidP="00521A3C">
      <w:pPr>
        <w:spacing w:before="240"/>
      </w:pPr>
      <w:r w:rsidRPr="00191C1D">
        <w:t>The Act</w:t>
      </w:r>
      <w:r w:rsidR="00521A3C" w:rsidRPr="00191C1D">
        <w:t>’s object</w:t>
      </w:r>
      <w:r w:rsidR="0099049F">
        <w:t>ive</w:t>
      </w:r>
      <w:r w:rsidR="00521A3C" w:rsidRPr="00191C1D">
        <w:t>s</w:t>
      </w:r>
      <w:r w:rsidRPr="00191C1D">
        <w:t xml:space="preserve"> </w:t>
      </w:r>
      <w:r w:rsidR="0099049F">
        <w:t>include</w:t>
      </w:r>
      <w:r w:rsidRPr="00191C1D">
        <w:t xml:space="preserve"> to provide tuition assurance and refunds for overseas students</w:t>
      </w:r>
      <w:r w:rsidR="003A73F8">
        <w:t xml:space="preserve"> for which they have paid</w:t>
      </w:r>
      <w:r w:rsidRPr="00191C1D">
        <w:t xml:space="preserve">, </w:t>
      </w:r>
      <w:r w:rsidR="00D4738E" w:rsidRPr="00191C1D">
        <w:t xml:space="preserve">to </w:t>
      </w:r>
      <w:r w:rsidRPr="00191C1D">
        <w:t xml:space="preserve">protect and enhance Australia’s reputation for quality education </w:t>
      </w:r>
      <w:r w:rsidR="00E25808" w:rsidRPr="00191C1D">
        <w:t xml:space="preserve">and </w:t>
      </w:r>
      <w:r w:rsidRPr="00191C1D">
        <w:t xml:space="preserve">training services, and </w:t>
      </w:r>
      <w:r w:rsidR="00D4738E" w:rsidRPr="00191C1D">
        <w:t xml:space="preserve">to </w:t>
      </w:r>
      <w:r w:rsidRPr="00191C1D">
        <w:t>complement Australia’s migration laws by ensuring education providers collect and report information relevant to the administration of the law relating to student visas.</w:t>
      </w:r>
      <w:r w:rsidR="00B60BEF" w:rsidRPr="00191C1D">
        <w:t xml:space="preserve"> </w:t>
      </w:r>
    </w:p>
    <w:p w14:paraId="72A77CCF" w14:textId="4761D260" w:rsidR="00E60DE2" w:rsidRPr="00191C1D" w:rsidRDefault="00DB4143" w:rsidP="004A6ACA">
      <w:pPr>
        <w:spacing w:before="240"/>
      </w:pPr>
      <w:r w:rsidRPr="00191C1D">
        <w:t xml:space="preserve">The </w:t>
      </w:r>
      <w:r w:rsidR="002D059E" w:rsidRPr="00191C1D">
        <w:t xml:space="preserve">old </w:t>
      </w:r>
      <w:r w:rsidR="00D4738E" w:rsidRPr="00191C1D">
        <w:t>r</w:t>
      </w:r>
      <w:r w:rsidR="002D059E" w:rsidRPr="00191C1D">
        <w:t xml:space="preserve">egulations </w:t>
      </w:r>
      <w:r w:rsidRPr="00191C1D">
        <w:t xml:space="preserve">support implementation </w:t>
      </w:r>
      <w:r w:rsidR="0099049F">
        <w:t xml:space="preserve">of the objects </w:t>
      </w:r>
      <w:r w:rsidRPr="00191C1D">
        <w:t xml:space="preserve">of the Act by establishing obligations on registered providers to keep and </w:t>
      </w:r>
      <w:r w:rsidR="004A6ACA" w:rsidRPr="00191C1D">
        <w:t xml:space="preserve">give </w:t>
      </w:r>
      <w:r w:rsidRPr="00191C1D">
        <w:t>student information, and establishing requirements for issuing pena</w:t>
      </w:r>
      <w:r w:rsidR="006B1D65" w:rsidRPr="00191C1D">
        <w:t>lties and infringement notices. The</w:t>
      </w:r>
      <w:r w:rsidR="00657035" w:rsidRPr="00191C1D">
        <w:t xml:space="preserve"> old</w:t>
      </w:r>
      <w:r w:rsidR="002D059E" w:rsidRPr="00191C1D">
        <w:t xml:space="preserve"> </w:t>
      </w:r>
      <w:r w:rsidR="00CC2E64" w:rsidRPr="00191C1D">
        <w:t>r</w:t>
      </w:r>
      <w:r w:rsidR="002D059E" w:rsidRPr="00191C1D">
        <w:t>egulations</w:t>
      </w:r>
      <w:r w:rsidR="006B1D65" w:rsidRPr="00191C1D">
        <w:t xml:space="preserve"> sunset on 1 October 2019.</w:t>
      </w:r>
    </w:p>
    <w:p w14:paraId="0001E16E" w14:textId="6266C805" w:rsidR="00732EB8" w:rsidRPr="00191C1D" w:rsidRDefault="00AE456A" w:rsidP="00524001">
      <w:pPr>
        <w:spacing w:before="240"/>
        <w:ind w:right="91"/>
        <w:rPr>
          <w:b/>
          <w:lang w:eastAsia="en-US"/>
        </w:rPr>
      </w:pPr>
      <w:r w:rsidRPr="00191C1D">
        <w:rPr>
          <w:b/>
          <w:iCs/>
        </w:rPr>
        <w:t>Purpose and operation</w:t>
      </w:r>
    </w:p>
    <w:p w14:paraId="47632A8D" w14:textId="1D9C721D" w:rsidR="00F84476" w:rsidRPr="00191C1D" w:rsidRDefault="00F84476" w:rsidP="00F84476">
      <w:pPr>
        <w:spacing w:before="240"/>
      </w:pPr>
      <w:r w:rsidRPr="00191C1D">
        <w:t xml:space="preserve">The </w:t>
      </w:r>
      <w:r w:rsidR="008B5AA4" w:rsidRPr="00191C1D">
        <w:t>Regulations</w:t>
      </w:r>
      <w:r w:rsidR="002F5EC5" w:rsidRPr="00191C1D">
        <w:t xml:space="preserve"> </w:t>
      </w:r>
      <w:r w:rsidR="00CC2E64" w:rsidRPr="00191C1D">
        <w:t xml:space="preserve">are </w:t>
      </w:r>
      <w:r w:rsidRPr="00191C1D">
        <w:t>made in substantively the same form</w:t>
      </w:r>
      <w:r w:rsidR="006B1D65" w:rsidRPr="00191C1D">
        <w:t xml:space="preserve"> as the</w:t>
      </w:r>
      <w:r w:rsidR="00521A3C" w:rsidRPr="00191C1D">
        <w:t xml:space="preserve"> </w:t>
      </w:r>
      <w:r w:rsidR="00FF0251" w:rsidRPr="00191C1D">
        <w:t xml:space="preserve">old </w:t>
      </w:r>
      <w:r w:rsidR="00CC2E64" w:rsidRPr="00191C1D">
        <w:t>r</w:t>
      </w:r>
      <w:r w:rsidR="006B1D65" w:rsidRPr="00191C1D">
        <w:t>egulations</w:t>
      </w:r>
      <w:r w:rsidRPr="00191C1D">
        <w:t>. A small numb</w:t>
      </w:r>
      <w:r w:rsidR="002F5EC5" w:rsidRPr="00191C1D">
        <w:t xml:space="preserve">er of </w:t>
      </w:r>
      <w:r w:rsidR="00DE4D40" w:rsidRPr="00191C1D">
        <w:t>additional provisions hav</w:t>
      </w:r>
      <w:r w:rsidR="00CC2E64" w:rsidRPr="00191C1D">
        <w:t>e</w:t>
      </w:r>
      <w:r w:rsidR="00DE4D40" w:rsidRPr="00191C1D">
        <w:t xml:space="preserve"> been inserted into the Regulations to give effect to the</w:t>
      </w:r>
      <w:r w:rsidR="002D059E" w:rsidRPr="00191C1D">
        <w:t xml:space="preserve"> </w:t>
      </w:r>
      <w:r w:rsidRPr="00191C1D">
        <w:t xml:space="preserve">implementation of the </w:t>
      </w:r>
      <w:r w:rsidR="000C5894">
        <w:t xml:space="preserve">revised </w:t>
      </w:r>
      <w:r w:rsidR="00955747" w:rsidRPr="00191C1D">
        <w:t xml:space="preserve">National Code </w:t>
      </w:r>
      <w:r w:rsidRPr="00191C1D">
        <w:t xml:space="preserve">and the </w:t>
      </w:r>
      <w:r w:rsidR="00DE4D40" w:rsidRPr="00191C1D">
        <w:t xml:space="preserve">commencement </w:t>
      </w:r>
      <w:r w:rsidRPr="00191C1D">
        <w:t xml:space="preserve">of the </w:t>
      </w:r>
      <w:r w:rsidRPr="00191C1D">
        <w:rPr>
          <w:i/>
        </w:rPr>
        <w:t>Education Legislation Amendment (Provider Integrity and Other Measures) Act 2017</w:t>
      </w:r>
      <w:r w:rsidRPr="00191C1D">
        <w:t xml:space="preserve">. </w:t>
      </w:r>
    </w:p>
    <w:p w14:paraId="1FB62719" w14:textId="6E699BF2" w:rsidR="00E60DE2" w:rsidRPr="00191C1D" w:rsidRDefault="000977B2" w:rsidP="0067328B">
      <w:pPr>
        <w:spacing w:before="240"/>
      </w:pPr>
      <w:r w:rsidRPr="00191C1D">
        <w:lastRenderedPageBreak/>
        <w:t>These a</w:t>
      </w:r>
      <w:r w:rsidR="00F84476" w:rsidRPr="00191C1D">
        <w:t>dditions to the Regulations include prescrib</w:t>
      </w:r>
      <w:r w:rsidRPr="00191C1D">
        <w:t>ing</w:t>
      </w:r>
      <w:r w:rsidR="00F84476" w:rsidRPr="00191C1D">
        <w:t xml:space="preserve"> </w:t>
      </w:r>
      <w:r w:rsidRPr="00191C1D">
        <w:t xml:space="preserve">certain </w:t>
      </w:r>
      <w:r w:rsidR="00F84476" w:rsidRPr="00191C1D">
        <w:t xml:space="preserve">information </w:t>
      </w:r>
      <w:r w:rsidRPr="00191C1D">
        <w:t xml:space="preserve">that must be reported </w:t>
      </w:r>
      <w:r w:rsidR="00F84476" w:rsidRPr="00191C1D">
        <w:t xml:space="preserve">for the registration of providers and additional </w:t>
      </w:r>
      <w:r w:rsidRPr="00191C1D">
        <w:t xml:space="preserve">information that </w:t>
      </w:r>
      <w:r w:rsidR="00F84476" w:rsidRPr="00191C1D">
        <w:t xml:space="preserve">registered providers </w:t>
      </w:r>
      <w:r w:rsidRPr="00191C1D">
        <w:t xml:space="preserve">must provide </w:t>
      </w:r>
      <w:r w:rsidR="00401459" w:rsidRPr="00191C1D">
        <w:t>about accepted students</w:t>
      </w:r>
      <w:r w:rsidR="00F84476" w:rsidRPr="00191C1D">
        <w:t>, including details of education agents</w:t>
      </w:r>
      <w:r w:rsidR="002D059E" w:rsidRPr="00191C1D">
        <w:t xml:space="preserve"> who facilitated or are facilitating the student’s enrolment with a provider</w:t>
      </w:r>
      <w:r w:rsidR="00C66FB4" w:rsidRPr="00191C1D">
        <w:t>.</w:t>
      </w:r>
    </w:p>
    <w:p w14:paraId="36345CCB" w14:textId="0D6D1594" w:rsidR="008C1654" w:rsidRPr="00191C1D" w:rsidRDefault="000E33D4" w:rsidP="00A03815">
      <w:pPr>
        <w:spacing w:before="240"/>
      </w:pPr>
      <w:r w:rsidRPr="00191C1D">
        <w:t xml:space="preserve">Requiring information </w:t>
      </w:r>
      <w:r w:rsidR="005924E2" w:rsidRPr="00191C1D">
        <w:t>about</w:t>
      </w:r>
      <w:r w:rsidRPr="00191C1D">
        <w:t xml:space="preserve"> </w:t>
      </w:r>
      <w:r w:rsidR="00AF2DEE" w:rsidRPr="00191C1D">
        <w:t>education agents to be entered i</w:t>
      </w:r>
      <w:r w:rsidRPr="00191C1D">
        <w:t>n</w:t>
      </w:r>
      <w:r w:rsidR="00FE69B8" w:rsidRPr="00191C1D">
        <w:t xml:space="preserve"> </w:t>
      </w:r>
      <w:r w:rsidR="00322C58" w:rsidRPr="00191C1D">
        <w:t xml:space="preserve">the </w:t>
      </w:r>
      <w:r w:rsidR="00DF5C81" w:rsidRPr="00191C1D">
        <w:t xml:space="preserve">Provider Registration and </w:t>
      </w:r>
      <w:r w:rsidR="00272E8C" w:rsidRPr="00191C1D">
        <w:t xml:space="preserve">International Student </w:t>
      </w:r>
      <w:r w:rsidR="00DF5C81" w:rsidRPr="00191C1D">
        <w:t>Management System (</w:t>
      </w:r>
      <w:r w:rsidR="00FE69B8" w:rsidRPr="00191C1D">
        <w:t>PRISMS</w:t>
      </w:r>
      <w:r w:rsidR="00DF5C81" w:rsidRPr="00191C1D">
        <w:t>)</w:t>
      </w:r>
      <w:r w:rsidR="00FE69B8" w:rsidRPr="00191C1D">
        <w:t xml:space="preserve"> </w:t>
      </w:r>
      <w:r w:rsidR="00C95A1C" w:rsidRPr="00191C1D">
        <w:t>support</w:t>
      </w:r>
      <w:r w:rsidR="002620E5" w:rsidRPr="00191C1D">
        <w:t>s</w:t>
      </w:r>
      <w:r w:rsidR="00C95A1C" w:rsidRPr="00191C1D">
        <w:t xml:space="preserve"> providers to comply with Standard 4 (Education Agents) of the National Code and assist</w:t>
      </w:r>
      <w:r w:rsidR="0055075C" w:rsidRPr="00191C1D">
        <w:t xml:space="preserve"> </w:t>
      </w:r>
      <w:r w:rsidR="00D35099">
        <w:t>Education Services for Overseas Students (</w:t>
      </w:r>
      <w:r w:rsidR="0055075C" w:rsidRPr="00191C1D">
        <w:t>ESOS</w:t>
      </w:r>
      <w:r w:rsidR="00D35099">
        <w:t>)</w:t>
      </w:r>
      <w:r w:rsidR="0055075C" w:rsidRPr="00191C1D">
        <w:t xml:space="preserve"> agencies </w:t>
      </w:r>
      <w:r w:rsidR="00D35099">
        <w:t xml:space="preserve">(as defined in section 6C of the Act) </w:t>
      </w:r>
      <w:r w:rsidR="00C95A1C" w:rsidRPr="00191C1D">
        <w:t>in determining whether providers are complying with their obligations under Standard 4 of the National Code</w:t>
      </w:r>
      <w:r w:rsidR="000977B2" w:rsidRPr="00191C1D">
        <w:t>, which</w:t>
      </w:r>
      <w:r w:rsidR="00426906" w:rsidRPr="00191C1D">
        <w:t xml:space="preserve"> </w:t>
      </w:r>
      <w:r w:rsidR="002620E5" w:rsidRPr="00191C1D">
        <w:t>deals with providers</w:t>
      </w:r>
      <w:r w:rsidR="002C44D8" w:rsidRPr="00191C1D">
        <w:t>’</w:t>
      </w:r>
      <w:r w:rsidR="002620E5" w:rsidRPr="00191C1D">
        <w:t xml:space="preserve"> engagement of education agents</w:t>
      </w:r>
      <w:r w:rsidR="00C95A1C" w:rsidRPr="00191C1D">
        <w:t>.</w:t>
      </w:r>
      <w:r w:rsidR="00004E06" w:rsidRPr="00191C1D">
        <w:t xml:space="preserve"> Information </w:t>
      </w:r>
      <w:r w:rsidR="00D35FB5" w:rsidRPr="00191C1D">
        <w:t xml:space="preserve">collected </w:t>
      </w:r>
      <w:r w:rsidR="00004E06" w:rsidRPr="00191C1D">
        <w:t xml:space="preserve">about education agents may be </w:t>
      </w:r>
      <w:r w:rsidR="00D35FB5" w:rsidRPr="00191C1D">
        <w:t>published</w:t>
      </w:r>
      <w:r w:rsidR="00004E06" w:rsidRPr="00191C1D">
        <w:t xml:space="preserve"> pursuant to </w:t>
      </w:r>
      <w:r w:rsidR="007A66D3" w:rsidRPr="00191C1D">
        <w:t>sub</w:t>
      </w:r>
      <w:r w:rsidR="00004E06" w:rsidRPr="00191C1D">
        <w:t>section 175(4) of the Act</w:t>
      </w:r>
      <w:r w:rsidR="00D35FB5" w:rsidRPr="00191C1D">
        <w:t>.</w:t>
      </w:r>
    </w:p>
    <w:p w14:paraId="64BA2FAB" w14:textId="1AD875D5" w:rsidR="001A5A90" w:rsidRPr="00191C1D" w:rsidRDefault="00727BB0" w:rsidP="00A03815">
      <w:pPr>
        <w:spacing w:before="240"/>
        <w:rPr>
          <w:lang w:eastAsia="en-US"/>
        </w:rPr>
      </w:pPr>
      <w:r w:rsidRPr="00191C1D">
        <w:t>Part 4</w:t>
      </w:r>
      <w:r w:rsidR="00B97E95">
        <w:t xml:space="preserve"> (‘Infringement Notices’)</w:t>
      </w:r>
      <w:r w:rsidRPr="00191C1D">
        <w:t xml:space="preserve"> of the Regulations substantially replicates Part 6 of the old regulations. Part 4 provides a procedure whereby the </w:t>
      </w:r>
      <w:r w:rsidRPr="00191C1D">
        <w:rPr>
          <w:lang w:eastAsia="en-US"/>
        </w:rPr>
        <w:t>ESOS agency for a registered provider may serve a provider with an infringement notice requiring the payment of a penalty as an alternative to prosecution for an offence to which section 106</w:t>
      </w:r>
      <w:r w:rsidR="00C66FB4" w:rsidRPr="00191C1D">
        <w:rPr>
          <w:lang w:eastAsia="en-US"/>
        </w:rPr>
        <w:t xml:space="preserve"> of the Act</w:t>
      </w:r>
      <w:r w:rsidR="00B97E95">
        <w:rPr>
          <w:lang w:eastAsia="en-US"/>
        </w:rPr>
        <w:t xml:space="preserve"> applies.</w:t>
      </w:r>
    </w:p>
    <w:p w14:paraId="75B01289" w14:textId="1B6DF76F" w:rsidR="00832DA7" w:rsidRPr="00191C1D" w:rsidRDefault="00832DA7" w:rsidP="00A03815">
      <w:pPr>
        <w:spacing w:before="240"/>
      </w:pPr>
      <w:r w:rsidRPr="00191C1D">
        <w:t>A number of minor amendments have also been made to update the language of the Regulations in accordance with current</w:t>
      </w:r>
      <w:r w:rsidR="00AF2DEE" w:rsidRPr="00191C1D">
        <w:t xml:space="preserve"> administrative practice</w:t>
      </w:r>
      <w:r w:rsidR="002620E5" w:rsidRPr="00191C1D">
        <w:t>,</w:t>
      </w:r>
      <w:r w:rsidR="00AF2DEE" w:rsidRPr="00191C1D">
        <w:t xml:space="preserve"> and to improve clarity of intent.</w:t>
      </w:r>
    </w:p>
    <w:p w14:paraId="79E61194" w14:textId="09D4E8EF" w:rsidR="00B15219" w:rsidRPr="00191C1D" w:rsidRDefault="00492EBF" w:rsidP="00524001">
      <w:pPr>
        <w:spacing w:before="240"/>
        <w:ind w:right="91"/>
        <w:rPr>
          <w:b/>
        </w:rPr>
      </w:pPr>
      <w:r w:rsidRPr="00191C1D">
        <w:rPr>
          <w:b/>
        </w:rPr>
        <w:t>Regulation Impact Statement</w:t>
      </w:r>
      <w:r w:rsidR="0027396B" w:rsidRPr="00191C1D">
        <w:rPr>
          <w:b/>
        </w:rPr>
        <w:t xml:space="preserve"> (RIS)</w:t>
      </w:r>
    </w:p>
    <w:p w14:paraId="447CCDF8" w14:textId="1261D993" w:rsidR="00E60DE2" w:rsidRPr="00191C1D" w:rsidRDefault="00F82D70" w:rsidP="00524001">
      <w:pPr>
        <w:spacing w:before="240"/>
        <w:ind w:right="91"/>
        <w:rPr>
          <w:b/>
        </w:rPr>
      </w:pPr>
      <w:r w:rsidRPr="00191C1D">
        <w:rPr>
          <w:lang w:val="en-US"/>
        </w:rPr>
        <w:t xml:space="preserve">The Office of Best Practice Regulation </w:t>
      </w:r>
      <w:r w:rsidR="00426906" w:rsidRPr="00191C1D">
        <w:rPr>
          <w:lang w:val="en-US"/>
        </w:rPr>
        <w:t xml:space="preserve">(OBPR) </w:t>
      </w:r>
      <w:r w:rsidRPr="00191C1D">
        <w:rPr>
          <w:lang w:val="en-US"/>
        </w:rPr>
        <w:t xml:space="preserve">has agreed a RIS is not required for the </w:t>
      </w:r>
      <w:r w:rsidR="00271186" w:rsidRPr="00191C1D">
        <w:rPr>
          <w:lang w:val="en-US"/>
        </w:rPr>
        <w:t>Regulation</w:t>
      </w:r>
      <w:r w:rsidR="00590FA4" w:rsidRPr="00191C1D">
        <w:rPr>
          <w:lang w:val="en-US"/>
        </w:rPr>
        <w:t>s</w:t>
      </w:r>
      <w:r w:rsidR="00271186" w:rsidRPr="00191C1D">
        <w:rPr>
          <w:lang w:val="en-US"/>
        </w:rPr>
        <w:t xml:space="preserve"> (OBPR </w:t>
      </w:r>
      <w:r w:rsidR="00E72235" w:rsidRPr="00191C1D">
        <w:rPr>
          <w:lang w:val="en-US"/>
        </w:rPr>
        <w:t xml:space="preserve">reference number </w:t>
      </w:r>
      <w:r w:rsidR="00271186" w:rsidRPr="00191C1D">
        <w:rPr>
          <w:lang w:val="en-US"/>
        </w:rPr>
        <w:t>24022</w:t>
      </w:r>
      <w:r w:rsidRPr="00191C1D">
        <w:rPr>
          <w:lang w:val="en-US"/>
        </w:rPr>
        <w:t>)</w:t>
      </w:r>
      <w:r w:rsidR="00271186" w:rsidRPr="00191C1D">
        <w:rPr>
          <w:lang w:val="en-US"/>
        </w:rPr>
        <w:t>.</w:t>
      </w:r>
      <w:r w:rsidR="00DB35D1" w:rsidRPr="00191C1D">
        <w:rPr>
          <w:lang w:val="en-US"/>
        </w:rPr>
        <w:t xml:space="preserve">    </w:t>
      </w:r>
    </w:p>
    <w:p w14:paraId="6B6255AC" w14:textId="22D5D2A2" w:rsidR="00AA4E4C" w:rsidRPr="00191C1D" w:rsidRDefault="00AA4E4C" w:rsidP="00524001">
      <w:pPr>
        <w:spacing w:before="240"/>
        <w:ind w:right="91"/>
        <w:rPr>
          <w:b/>
        </w:rPr>
      </w:pPr>
      <w:r w:rsidRPr="00191C1D">
        <w:rPr>
          <w:b/>
        </w:rPr>
        <w:t>Commencement</w:t>
      </w:r>
    </w:p>
    <w:p w14:paraId="30BA6683" w14:textId="0BBD78A4" w:rsidR="00E60DE2" w:rsidRPr="00191C1D" w:rsidRDefault="00F82D70" w:rsidP="00524001">
      <w:pPr>
        <w:spacing w:before="240"/>
        <w:ind w:right="91"/>
      </w:pPr>
      <w:r w:rsidRPr="00191C1D">
        <w:t>The Regulations commence</w:t>
      </w:r>
      <w:r w:rsidR="00A576AB" w:rsidRPr="00191C1D">
        <w:t xml:space="preserve"> on</w:t>
      </w:r>
      <w:r w:rsidR="00444284" w:rsidRPr="00191C1D">
        <w:t xml:space="preserve"> 1 October 2019.</w:t>
      </w:r>
    </w:p>
    <w:p w14:paraId="094FAE09" w14:textId="24387488" w:rsidR="008D72AE" w:rsidRPr="00191C1D" w:rsidRDefault="008D72AE" w:rsidP="00524001">
      <w:pPr>
        <w:spacing w:before="240"/>
        <w:ind w:right="91"/>
        <w:rPr>
          <w:b/>
        </w:rPr>
      </w:pPr>
      <w:r w:rsidRPr="00191C1D">
        <w:rPr>
          <w:b/>
        </w:rPr>
        <w:t>Consultation</w:t>
      </w:r>
    </w:p>
    <w:p w14:paraId="2FA8925B" w14:textId="7948FB0A" w:rsidR="002A22DA" w:rsidRPr="00191C1D" w:rsidRDefault="002A22DA" w:rsidP="00F82D70">
      <w:pPr>
        <w:spacing w:before="240"/>
      </w:pPr>
      <w:r w:rsidRPr="00191C1D">
        <w:t xml:space="preserve">As part of the process of remaking the Regulations, </w:t>
      </w:r>
      <w:r w:rsidR="000C4A61" w:rsidRPr="00191C1D">
        <w:t>the following key stakeholders</w:t>
      </w:r>
      <w:r w:rsidR="009E3B3E" w:rsidRPr="00191C1D">
        <w:t xml:space="preserve"> were consulted</w:t>
      </w:r>
      <w:r w:rsidRPr="00191C1D">
        <w:t>:</w:t>
      </w:r>
    </w:p>
    <w:p w14:paraId="4A42EF97" w14:textId="5DAA46F7" w:rsidR="002A22DA" w:rsidRPr="00191C1D" w:rsidRDefault="00F82D70" w:rsidP="006A26C4">
      <w:pPr>
        <w:pStyle w:val="ListParagraph"/>
        <w:numPr>
          <w:ilvl w:val="0"/>
          <w:numId w:val="55"/>
        </w:numPr>
        <w:spacing w:before="240"/>
      </w:pPr>
      <w:r w:rsidRPr="00191C1D">
        <w:t xml:space="preserve">the </w:t>
      </w:r>
      <w:r w:rsidR="002854BA" w:rsidRPr="00191C1D">
        <w:t>Australian Government Department of Home Affairs</w:t>
      </w:r>
      <w:r w:rsidR="005924E2" w:rsidRPr="00191C1D">
        <w:t xml:space="preserve"> </w:t>
      </w:r>
      <w:r w:rsidR="002A22DA" w:rsidRPr="00191C1D">
        <w:t>to ensure the Regulations complement Australia’s migration laws relating to student visas;</w:t>
      </w:r>
    </w:p>
    <w:p w14:paraId="3D44D095" w14:textId="2D14DDFE" w:rsidR="00E31D5B" w:rsidRPr="00191C1D" w:rsidRDefault="002854BA" w:rsidP="006A26C4">
      <w:pPr>
        <w:pStyle w:val="ListParagraph"/>
        <w:numPr>
          <w:ilvl w:val="0"/>
          <w:numId w:val="55"/>
        </w:numPr>
        <w:spacing w:before="240"/>
      </w:pPr>
      <w:r w:rsidRPr="00191C1D">
        <w:t xml:space="preserve">the </w:t>
      </w:r>
      <w:r w:rsidR="00F82D70" w:rsidRPr="00191C1D">
        <w:t>Australian Skills Quality Authority</w:t>
      </w:r>
      <w:r w:rsidR="006A5138" w:rsidRPr="00191C1D">
        <w:t xml:space="preserve"> (ASQA)</w:t>
      </w:r>
      <w:r w:rsidR="006378A9" w:rsidRPr="00191C1D">
        <w:t xml:space="preserve"> </w:t>
      </w:r>
      <w:r w:rsidR="00E31D5B" w:rsidRPr="00191C1D">
        <w:t xml:space="preserve">as the National </w:t>
      </w:r>
      <w:r w:rsidR="00BF5D15" w:rsidRPr="00191C1D">
        <w:t>Vocational Education and Training (</w:t>
      </w:r>
      <w:r w:rsidR="00E31D5B" w:rsidRPr="00191C1D">
        <w:t>VET</w:t>
      </w:r>
      <w:r w:rsidR="00BF5D15" w:rsidRPr="00191C1D">
        <w:t>)</w:t>
      </w:r>
      <w:r w:rsidR="00E31D5B" w:rsidRPr="00191C1D">
        <w:t xml:space="preserve"> Regulator and ESOS agency for registered VET providers for the purposes of the Act</w:t>
      </w:r>
      <w:r w:rsidR="0055075C" w:rsidRPr="00191C1D">
        <w:t>, to ensure the Regulations support ASQA to fulfil its role as an ESOS agency</w:t>
      </w:r>
      <w:r w:rsidR="00E31D5B" w:rsidRPr="00191C1D">
        <w:t>;</w:t>
      </w:r>
      <w:r w:rsidR="00300903" w:rsidRPr="00191C1D">
        <w:t xml:space="preserve"> </w:t>
      </w:r>
    </w:p>
    <w:p w14:paraId="77FF97A1" w14:textId="27C66259" w:rsidR="002A22DA" w:rsidRPr="00191C1D" w:rsidRDefault="00F82D70" w:rsidP="006A26C4">
      <w:pPr>
        <w:pStyle w:val="ListParagraph"/>
        <w:numPr>
          <w:ilvl w:val="0"/>
          <w:numId w:val="55"/>
        </w:numPr>
        <w:spacing w:before="240"/>
      </w:pPr>
      <w:r w:rsidRPr="00191C1D">
        <w:t>the Tertiary Education Quality Standards Agency</w:t>
      </w:r>
      <w:r w:rsidR="00E31D5B" w:rsidRPr="00191C1D">
        <w:t xml:space="preserve"> </w:t>
      </w:r>
      <w:r w:rsidR="006A5138" w:rsidRPr="00191C1D">
        <w:t xml:space="preserve">(TEQSA) </w:t>
      </w:r>
      <w:r w:rsidR="00E31D5B" w:rsidRPr="00191C1D">
        <w:t>as the ESOS agency for</w:t>
      </w:r>
      <w:r w:rsidR="006378A9" w:rsidRPr="00191C1D">
        <w:t xml:space="preserve"> </w:t>
      </w:r>
      <w:r w:rsidR="00E31D5B" w:rsidRPr="00191C1D">
        <w:t>registered higher education provider</w:t>
      </w:r>
      <w:r w:rsidR="006378A9" w:rsidRPr="00191C1D">
        <w:t>s</w:t>
      </w:r>
      <w:r w:rsidR="00E31D5B" w:rsidRPr="00191C1D">
        <w:t xml:space="preserve"> for the purposes of the Act</w:t>
      </w:r>
      <w:r w:rsidR="0055075C" w:rsidRPr="00191C1D">
        <w:t>, to ensure the Regulations support TEQSA to fulfil its role as an ESOS agency</w:t>
      </w:r>
      <w:r w:rsidR="002A22DA" w:rsidRPr="00191C1D">
        <w:t>;</w:t>
      </w:r>
    </w:p>
    <w:p w14:paraId="3463F4C5" w14:textId="2AB5574B" w:rsidR="009E3B3E" w:rsidRPr="00191C1D" w:rsidRDefault="002A22DA" w:rsidP="006A26C4">
      <w:pPr>
        <w:pStyle w:val="ListParagraph"/>
        <w:numPr>
          <w:ilvl w:val="0"/>
          <w:numId w:val="55"/>
        </w:numPr>
        <w:spacing w:before="240"/>
      </w:pPr>
      <w:r w:rsidRPr="00191C1D">
        <w:t xml:space="preserve">the </w:t>
      </w:r>
      <w:r w:rsidR="00E72235" w:rsidRPr="00191C1D">
        <w:t>Tuition Protection Service (</w:t>
      </w:r>
      <w:r w:rsidRPr="00191C1D">
        <w:t>TPS</w:t>
      </w:r>
      <w:r w:rsidR="00E72235" w:rsidRPr="00191C1D">
        <w:t>)</w:t>
      </w:r>
      <w:r w:rsidRPr="00191C1D">
        <w:t xml:space="preserve"> Direc</w:t>
      </w:r>
      <w:r w:rsidR="00E31D5B" w:rsidRPr="00191C1D">
        <w:t>tor</w:t>
      </w:r>
      <w:r w:rsidR="000C4A61" w:rsidRPr="00191C1D">
        <w:t xml:space="preserve"> appointed under the Act responsible for assisting students to find suitable alternative courses, and providing refunds, in the case of defaults</w:t>
      </w:r>
      <w:r w:rsidR="00B00B7B" w:rsidRPr="00191C1D">
        <w:t xml:space="preserve">, </w:t>
      </w:r>
      <w:r w:rsidR="0055075C" w:rsidRPr="00191C1D">
        <w:t>to ensure the Regulations support the TPS Director to fulfil his or her role</w:t>
      </w:r>
      <w:r w:rsidR="009E3B3E" w:rsidRPr="00191C1D">
        <w:t>;</w:t>
      </w:r>
    </w:p>
    <w:p w14:paraId="511AEFA1" w14:textId="4EE49173" w:rsidR="009E3B3E" w:rsidRPr="00191C1D" w:rsidRDefault="009E3B3E" w:rsidP="00A15B0E">
      <w:pPr>
        <w:pStyle w:val="ListParagraph"/>
        <w:numPr>
          <w:ilvl w:val="0"/>
          <w:numId w:val="55"/>
        </w:numPr>
        <w:spacing w:before="240"/>
      </w:pPr>
      <w:r w:rsidRPr="00191C1D">
        <w:t xml:space="preserve">the </w:t>
      </w:r>
      <w:r w:rsidR="00DB35D1" w:rsidRPr="00191C1D">
        <w:t xml:space="preserve">Australian Government </w:t>
      </w:r>
      <w:r w:rsidRPr="00191C1D">
        <w:t>Attorney-General’s Department, to ensure</w:t>
      </w:r>
      <w:r w:rsidR="00A15B0E" w:rsidRPr="00191C1D">
        <w:t xml:space="preserve"> the Regulations conform with requirements regarding administrative law, criminal law, human rights and information law</w:t>
      </w:r>
      <w:r w:rsidR="00B45828" w:rsidRPr="00191C1D">
        <w:t>;</w:t>
      </w:r>
      <w:r w:rsidR="00BF5D15" w:rsidRPr="00191C1D">
        <w:t xml:space="preserve"> and</w:t>
      </w:r>
    </w:p>
    <w:p w14:paraId="60D36373" w14:textId="6BFD6EA2" w:rsidR="005A19DC" w:rsidRPr="00191C1D" w:rsidRDefault="009E3B3E" w:rsidP="009E3B3E">
      <w:pPr>
        <w:pStyle w:val="ListParagraph"/>
        <w:numPr>
          <w:ilvl w:val="0"/>
          <w:numId w:val="55"/>
        </w:numPr>
        <w:spacing w:before="240"/>
      </w:pPr>
      <w:r w:rsidRPr="00191C1D">
        <w:t>the Australian Bureau of Statistics, to ensure the Australian Standard Classification of Education 2001 was appropriately referenced</w:t>
      </w:r>
      <w:r w:rsidR="000C4A61" w:rsidRPr="00191C1D">
        <w:t xml:space="preserve">. </w:t>
      </w:r>
    </w:p>
    <w:p w14:paraId="73FDB735" w14:textId="31ACD9B2" w:rsidR="00322C58" w:rsidRPr="00191C1D" w:rsidRDefault="00A15B0E" w:rsidP="00322C58">
      <w:pPr>
        <w:spacing w:before="240"/>
        <w:ind w:left="420"/>
      </w:pPr>
      <w:r w:rsidRPr="00191C1D">
        <w:lastRenderedPageBreak/>
        <w:t>T</w:t>
      </w:r>
      <w:r w:rsidR="006A5138" w:rsidRPr="00191C1D">
        <w:t xml:space="preserve">he </w:t>
      </w:r>
      <w:r w:rsidR="00DF5C81" w:rsidRPr="00191C1D">
        <w:t>above stakeholders have</w:t>
      </w:r>
      <w:r w:rsidR="006A5138" w:rsidRPr="00191C1D">
        <w:t xml:space="preserve"> indicated their support for the Regulations.</w:t>
      </w:r>
    </w:p>
    <w:p w14:paraId="77FF05EE" w14:textId="62D22D88" w:rsidR="00E03078" w:rsidRPr="00191C1D" w:rsidRDefault="00E03078">
      <w:pPr>
        <w:spacing w:after="200" w:line="276" w:lineRule="auto"/>
        <w:rPr>
          <w:b/>
          <w:u w:val="single"/>
        </w:rPr>
      </w:pPr>
      <w:r w:rsidRPr="00191C1D">
        <w:rPr>
          <w:b/>
          <w:u w:val="single"/>
        </w:rPr>
        <w:br w:type="page"/>
      </w:r>
    </w:p>
    <w:p w14:paraId="60343013" w14:textId="4C1C6297" w:rsidR="00826B30" w:rsidRPr="00191C1D" w:rsidRDefault="00826B30" w:rsidP="00826B30">
      <w:pPr>
        <w:ind w:right="-285"/>
        <w:jc w:val="center"/>
        <w:rPr>
          <w:b/>
          <w:u w:val="single"/>
        </w:rPr>
      </w:pPr>
      <w:r w:rsidRPr="00191C1D">
        <w:rPr>
          <w:b/>
          <w:u w:val="single"/>
        </w:rPr>
        <w:lastRenderedPageBreak/>
        <w:t>Statement of Compatibility with Human Rights</w:t>
      </w:r>
    </w:p>
    <w:p w14:paraId="4D2543A2" w14:textId="77777777" w:rsidR="00826B30" w:rsidRPr="00191C1D" w:rsidRDefault="00826B30" w:rsidP="00826B30">
      <w:pPr>
        <w:spacing w:before="240" w:after="120"/>
        <w:jc w:val="center"/>
      </w:pPr>
      <w:r w:rsidRPr="00191C1D">
        <w:t>Prepared in accordance with Part 3 of the</w:t>
      </w:r>
      <w:r w:rsidRPr="00191C1D">
        <w:rPr>
          <w:i/>
        </w:rPr>
        <w:t xml:space="preserve"> Human Rights (Parliamentary Scrutiny) Act 2011</w:t>
      </w:r>
    </w:p>
    <w:p w14:paraId="29814BF4" w14:textId="6E6B86CB" w:rsidR="00E60DE2" w:rsidRPr="00191C1D" w:rsidRDefault="00E60DE2" w:rsidP="00E60DE2">
      <w:pPr>
        <w:ind w:right="-46"/>
        <w:jc w:val="center"/>
        <w:rPr>
          <w:i/>
        </w:rPr>
      </w:pPr>
      <w:r w:rsidRPr="00191C1D">
        <w:rPr>
          <w:i/>
          <w:iCs/>
        </w:rPr>
        <w:t>Education Services for Overseas Students Regulations 201</w:t>
      </w:r>
      <w:r w:rsidR="00426906" w:rsidRPr="00191C1D">
        <w:rPr>
          <w:i/>
          <w:iCs/>
        </w:rPr>
        <w:t>9</w:t>
      </w:r>
    </w:p>
    <w:p w14:paraId="0F24B00F" w14:textId="77777777" w:rsidR="00826B30" w:rsidRPr="00191C1D" w:rsidRDefault="00826B30" w:rsidP="00826B30">
      <w:pPr>
        <w:spacing w:before="240" w:after="120"/>
      </w:pPr>
      <w:r w:rsidRPr="00191C1D">
        <w:t xml:space="preserve">This Legislative Instrument is compatible with the human rights and freedoms recognised or declared in the international instruments listed in section 3 of the </w:t>
      </w:r>
      <w:r w:rsidRPr="00191C1D">
        <w:rPr>
          <w:i/>
        </w:rPr>
        <w:t>Human Rights (Parliamentary Scrutiny) Act 2011</w:t>
      </w:r>
      <w:r w:rsidRPr="00191C1D">
        <w:t>.</w:t>
      </w:r>
    </w:p>
    <w:p w14:paraId="3A770C3A" w14:textId="77777777" w:rsidR="00F273A8" w:rsidRPr="00191C1D" w:rsidRDefault="00826B30" w:rsidP="00F273A8">
      <w:pPr>
        <w:spacing w:before="240" w:after="120"/>
        <w:jc w:val="both"/>
        <w:rPr>
          <w:b/>
        </w:rPr>
      </w:pPr>
      <w:r w:rsidRPr="00191C1D">
        <w:rPr>
          <w:b/>
        </w:rPr>
        <w:t>Overview of the Legislative Instrument</w:t>
      </w:r>
    </w:p>
    <w:p w14:paraId="5ED3D049" w14:textId="298E53FA" w:rsidR="00E60DE2" w:rsidRPr="00191C1D" w:rsidRDefault="00DF7106" w:rsidP="003E3B38">
      <w:pPr>
        <w:spacing w:before="240" w:after="120"/>
      </w:pPr>
      <w:bookmarkStart w:id="1" w:name="text"/>
      <w:bookmarkEnd w:id="1"/>
      <w:r w:rsidRPr="00191C1D">
        <w:t xml:space="preserve">The purpose of the </w:t>
      </w:r>
      <w:r w:rsidRPr="00191C1D">
        <w:rPr>
          <w:i/>
        </w:rPr>
        <w:t>Education Services for Overseas Students Regulations 201</w:t>
      </w:r>
      <w:r w:rsidR="001A06D0" w:rsidRPr="00191C1D">
        <w:rPr>
          <w:i/>
        </w:rPr>
        <w:t>9</w:t>
      </w:r>
      <w:r w:rsidRPr="00191C1D">
        <w:rPr>
          <w:i/>
        </w:rPr>
        <w:t xml:space="preserve"> </w:t>
      </w:r>
      <w:r w:rsidRPr="00191C1D">
        <w:t>(the Regulations) is to support</w:t>
      </w:r>
      <w:r w:rsidR="00426906" w:rsidRPr="00191C1D">
        <w:t xml:space="preserve"> the</w:t>
      </w:r>
      <w:r w:rsidRPr="00191C1D">
        <w:t xml:space="preserve"> </w:t>
      </w:r>
      <w:r w:rsidR="00677C32" w:rsidRPr="00191C1D">
        <w:t xml:space="preserve">administration </w:t>
      </w:r>
      <w:r w:rsidRPr="00191C1D">
        <w:t>of the</w:t>
      </w:r>
      <w:r w:rsidRPr="00191C1D">
        <w:rPr>
          <w:i/>
        </w:rPr>
        <w:t xml:space="preserve"> Education Services for Overseas Students Act 2000 </w:t>
      </w:r>
      <w:r w:rsidR="003E3B38" w:rsidRPr="00191C1D">
        <w:t xml:space="preserve">(the Act) </w:t>
      </w:r>
      <w:r w:rsidRPr="00191C1D">
        <w:t>by establishing prescribed information for the registration of providers, obligations on registered providers to keep and</w:t>
      </w:r>
      <w:r w:rsidR="00664903" w:rsidRPr="00191C1D">
        <w:t xml:space="preserve"> give </w:t>
      </w:r>
      <w:r w:rsidRPr="00191C1D">
        <w:t>student information and education agent information, and requirements for issuing penalties and infringement notices.</w:t>
      </w:r>
    </w:p>
    <w:p w14:paraId="65F950AE" w14:textId="3FA2AD01" w:rsidR="00826B30" w:rsidRPr="00191C1D" w:rsidRDefault="00826B30" w:rsidP="00826B30">
      <w:pPr>
        <w:spacing w:before="240" w:after="120"/>
        <w:jc w:val="both"/>
        <w:rPr>
          <w:b/>
        </w:rPr>
      </w:pPr>
      <w:r w:rsidRPr="00191C1D">
        <w:rPr>
          <w:b/>
        </w:rPr>
        <w:t>Human rights implications</w:t>
      </w:r>
    </w:p>
    <w:p w14:paraId="25DED635" w14:textId="01EFDD4C" w:rsidR="00A17502" w:rsidRPr="00191C1D" w:rsidRDefault="00A17502" w:rsidP="00A17502">
      <w:pPr>
        <w:spacing w:before="100" w:beforeAutospacing="1"/>
      </w:pPr>
      <w:r w:rsidRPr="00191C1D">
        <w:rPr>
          <w:color w:val="000000"/>
        </w:rPr>
        <w:t xml:space="preserve">The </w:t>
      </w:r>
      <w:r w:rsidRPr="00191C1D">
        <w:t>Regulation</w:t>
      </w:r>
      <w:r w:rsidR="003E3B38" w:rsidRPr="00191C1D">
        <w:t>s</w:t>
      </w:r>
      <w:r w:rsidRPr="00191C1D">
        <w:t xml:space="preserve"> </w:t>
      </w:r>
      <w:r w:rsidRPr="00191C1D">
        <w:rPr>
          <w:color w:val="000000"/>
        </w:rPr>
        <w:t xml:space="preserve">engages the following human rights: </w:t>
      </w:r>
    </w:p>
    <w:p w14:paraId="6C07ED47" w14:textId="11F3CFB8" w:rsidR="00B109CC" w:rsidRPr="00191C1D" w:rsidRDefault="00A17502" w:rsidP="00A17502">
      <w:pPr>
        <w:pStyle w:val="ListParagraph"/>
        <w:numPr>
          <w:ilvl w:val="0"/>
          <w:numId w:val="23"/>
        </w:numPr>
        <w:spacing w:before="100" w:beforeAutospacing="1"/>
      </w:pPr>
      <w:r w:rsidRPr="00191C1D">
        <w:rPr>
          <w:color w:val="000000"/>
        </w:rPr>
        <w:t xml:space="preserve">the right to education – Article 13 of the </w:t>
      </w:r>
      <w:r w:rsidRPr="00191C1D">
        <w:rPr>
          <w:i/>
          <w:iCs/>
          <w:color w:val="000000"/>
        </w:rPr>
        <w:t>International Covenant on Economic, Social and Cultural Rights</w:t>
      </w:r>
      <w:r w:rsidR="003E3B38" w:rsidRPr="00191C1D">
        <w:rPr>
          <w:i/>
          <w:iCs/>
          <w:color w:val="000000"/>
        </w:rPr>
        <w:t xml:space="preserve"> </w:t>
      </w:r>
      <w:r w:rsidRPr="00191C1D">
        <w:rPr>
          <w:iCs/>
          <w:color w:val="000000"/>
        </w:rPr>
        <w:t xml:space="preserve">(ICESCR), and Article 28 of the </w:t>
      </w:r>
      <w:r w:rsidRPr="00191C1D">
        <w:rPr>
          <w:i/>
          <w:iCs/>
          <w:color w:val="000000"/>
        </w:rPr>
        <w:t xml:space="preserve">Convention on the Rights of the Child </w:t>
      </w:r>
      <w:r w:rsidRPr="00191C1D">
        <w:rPr>
          <w:iCs/>
          <w:color w:val="000000"/>
        </w:rPr>
        <w:t>(UNCRC)</w:t>
      </w:r>
      <w:r w:rsidR="00B109CC" w:rsidRPr="00191C1D">
        <w:rPr>
          <w:iCs/>
          <w:color w:val="000000"/>
        </w:rPr>
        <w:t>; and</w:t>
      </w:r>
    </w:p>
    <w:p w14:paraId="70CC838C" w14:textId="05D49DA9" w:rsidR="00A17502" w:rsidRPr="00191C1D" w:rsidRDefault="00B109CC" w:rsidP="00B109CC">
      <w:pPr>
        <w:pStyle w:val="ListParagraph"/>
        <w:numPr>
          <w:ilvl w:val="0"/>
          <w:numId w:val="23"/>
        </w:numPr>
        <w:spacing w:before="100" w:beforeAutospacing="1"/>
        <w:rPr>
          <w:iCs/>
          <w:color w:val="000000"/>
        </w:rPr>
      </w:pPr>
      <w:r w:rsidRPr="00191C1D">
        <w:rPr>
          <w:iCs/>
          <w:color w:val="000000"/>
        </w:rPr>
        <w:t>the right to work – Article 6 of the ICESCR.</w:t>
      </w:r>
    </w:p>
    <w:p w14:paraId="2A7DB5DE" w14:textId="70DF78F5" w:rsidR="00E60DE2" w:rsidRPr="00191C1D" w:rsidRDefault="00A17502" w:rsidP="00A17502">
      <w:pPr>
        <w:keepNext/>
        <w:keepLines/>
        <w:spacing w:before="100" w:beforeAutospacing="1" w:after="100" w:afterAutospacing="1"/>
        <w:rPr>
          <w:color w:val="000000"/>
        </w:rPr>
      </w:pPr>
      <w:r w:rsidRPr="00191C1D">
        <w:rPr>
          <w:i/>
        </w:rPr>
        <w:t>Right to Education</w:t>
      </w:r>
    </w:p>
    <w:p w14:paraId="0E103065" w14:textId="51748F0C" w:rsidR="000D1840" w:rsidRPr="00191C1D" w:rsidRDefault="003E3B38" w:rsidP="000D1840">
      <w:pPr>
        <w:spacing w:before="240"/>
      </w:pPr>
      <w:r w:rsidRPr="00191C1D">
        <w:t xml:space="preserve">The Regulations </w:t>
      </w:r>
      <w:r w:rsidR="004C0BFA" w:rsidRPr="00191C1D">
        <w:t xml:space="preserve">engage the right to education, contained in Article 13 of </w:t>
      </w:r>
      <w:r w:rsidR="00B109CC" w:rsidRPr="00191C1D">
        <w:t xml:space="preserve">the </w:t>
      </w:r>
      <w:r w:rsidRPr="00191C1D">
        <w:t>ICESCR</w:t>
      </w:r>
      <w:r w:rsidR="004C0BFA" w:rsidRPr="00191C1D">
        <w:t>, insofar as it relates to the provision</w:t>
      </w:r>
      <w:r w:rsidRPr="00191C1D">
        <w:t xml:space="preserve"> of education </w:t>
      </w:r>
      <w:r w:rsidR="00097CBB" w:rsidRPr="00191C1D">
        <w:t xml:space="preserve">and training </w:t>
      </w:r>
      <w:r w:rsidRPr="00191C1D">
        <w:t>services to overseas students in Australia on a student visa.</w:t>
      </w:r>
      <w:r w:rsidR="006D6FE4" w:rsidRPr="00191C1D">
        <w:t xml:space="preserve"> Article 13(1) of the ICESCR recognises each person’s right to education, and that education is important to </w:t>
      </w:r>
      <w:r w:rsidR="006D6FE4" w:rsidRPr="00191C1D">
        <w:rPr>
          <w:i/>
        </w:rPr>
        <w:t>“the full development of the human personality”</w:t>
      </w:r>
      <w:r w:rsidR="006D6FE4" w:rsidRPr="00191C1D">
        <w:t xml:space="preserve">, and enables </w:t>
      </w:r>
      <w:r w:rsidR="006D6FE4" w:rsidRPr="00191C1D">
        <w:rPr>
          <w:i/>
        </w:rPr>
        <w:t>“all persons to participate effectively in a free society, promote understanding, tolerance and friendship among all nations and all racial, ethnic or religious groups”</w:t>
      </w:r>
      <w:r w:rsidR="006D6FE4" w:rsidRPr="00191C1D">
        <w:t xml:space="preserve">. </w:t>
      </w:r>
      <w:r w:rsidR="00E36AA6" w:rsidRPr="00191C1D">
        <w:t>The protections</w:t>
      </w:r>
      <w:r w:rsidR="00A57228" w:rsidRPr="00191C1D">
        <w:t xml:space="preserve"> </w:t>
      </w:r>
      <w:r w:rsidR="00B922FD" w:rsidRPr="00191C1D">
        <w:t>afforded by</w:t>
      </w:r>
      <w:r w:rsidR="00E36AA6" w:rsidRPr="00191C1D">
        <w:t xml:space="preserve"> the Act and the Regulations</w:t>
      </w:r>
      <w:r w:rsidR="00097CBB" w:rsidRPr="00191C1D">
        <w:t xml:space="preserve"> </w:t>
      </w:r>
      <w:r w:rsidR="00E36AA6" w:rsidRPr="00191C1D">
        <w:t xml:space="preserve">to overseas students, demonstrate Australia’s commitment to </w:t>
      </w:r>
      <w:r w:rsidR="00B922FD" w:rsidRPr="00191C1D">
        <w:t xml:space="preserve">upholding the right to </w:t>
      </w:r>
      <w:r w:rsidR="00E36AA6" w:rsidRPr="00191C1D">
        <w:t xml:space="preserve">education </w:t>
      </w:r>
      <w:r w:rsidR="00B922FD" w:rsidRPr="00191C1D">
        <w:t>for overseas students in Australia.</w:t>
      </w:r>
    </w:p>
    <w:p w14:paraId="3ECFE4D7" w14:textId="6FC7DA6E" w:rsidR="00504466" w:rsidRPr="00191C1D" w:rsidRDefault="0074160F" w:rsidP="000D1840">
      <w:pPr>
        <w:spacing w:before="240"/>
      </w:pPr>
      <w:r w:rsidRPr="00191C1D">
        <w:t xml:space="preserve">Similarly, Article 28(1) of the UNCRC is relevant to children who are overseas students studying in primary and secondary schools in Australia, and recognises the </w:t>
      </w:r>
      <w:r w:rsidRPr="00191C1D">
        <w:rPr>
          <w:i/>
        </w:rPr>
        <w:t>“right of the child to education, and with a view to achieving this right progressively and on the basis of equal opportunity”</w:t>
      </w:r>
      <w:r w:rsidRPr="00191C1D">
        <w:t>. The Act and Regulation</w:t>
      </w:r>
      <w:r w:rsidR="00B922FD" w:rsidRPr="00191C1D">
        <w:t>s</w:t>
      </w:r>
      <w:r w:rsidR="00884301" w:rsidRPr="00191C1D">
        <w:t>, in conjunction with state and territory laws on school registration, child protection and welfare</w:t>
      </w:r>
      <w:r w:rsidRPr="00191C1D">
        <w:t xml:space="preserve"> ensure that there is a regulatory framework to protect overseas </w:t>
      </w:r>
      <w:r w:rsidR="00B922FD" w:rsidRPr="00191C1D">
        <w:t xml:space="preserve">students in </w:t>
      </w:r>
      <w:r w:rsidRPr="00191C1D">
        <w:t xml:space="preserve">primary and secondary </w:t>
      </w:r>
      <w:r w:rsidR="00B922FD" w:rsidRPr="00191C1D">
        <w:t>school</w:t>
      </w:r>
      <w:r w:rsidR="002D296F" w:rsidRPr="00191C1D">
        <w:t>.</w:t>
      </w:r>
      <w:r w:rsidRPr="00191C1D">
        <w:t xml:space="preserve"> </w:t>
      </w:r>
    </w:p>
    <w:p w14:paraId="7A2A03DD" w14:textId="306C2754" w:rsidR="00E60DE2" w:rsidRPr="00191C1D" w:rsidRDefault="003E3B38" w:rsidP="00664903">
      <w:pPr>
        <w:spacing w:before="240"/>
        <w:rPr>
          <w:color w:val="000000"/>
        </w:rPr>
      </w:pPr>
      <w:r w:rsidRPr="00191C1D">
        <w:t>The object</w:t>
      </w:r>
      <w:r w:rsidR="0099049F">
        <w:t>ive</w:t>
      </w:r>
      <w:r w:rsidRPr="00191C1D">
        <w:t xml:space="preserve">s of the Act </w:t>
      </w:r>
      <w:r w:rsidR="002D296F" w:rsidRPr="00191C1D">
        <w:t xml:space="preserve">include </w:t>
      </w:r>
      <w:r w:rsidRPr="00191C1D">
        <w:t>provid</w:t>
      </w:r>
      <w:r w:rsidR="002D296F" w:rsidRPr="00191C1D">
        <w:t>ing</w:t>
      </w:r>
      <w:r w:rsidRPr="00191C1D">
        <w:t xml:space="preserve"> tuition assurance and refunds for overseas students</w:t>
      </w:r>
      <w:r w:rsidR="003A73F8">
        <w:t xml:space="preserve"> for which they have paid</w:t>
      </w:r>
      <w:r w:rsidRPr="00191C1D">
        <w:t xml:space="preserve">, </w:t>
      </w:r>
      <w:r w:rsidR="00A57228" w:rsidRPr="00191C1D">
        <w:t xml:space="preserve">as well as </w:t>
      </w:r>
      <w:r w:rsidRPr="00191C1D">
        <w:t>protect</w:t>
      </w:r>
      <w:r w:rsidR="002D296F" w:rsidRPr="00191C1D">
        <w:t>i</w:t>
      </w:r>
      <w:r w:rsidR="00A57228" w:rsidRPr="00191C1D">
        <w:t>ng</w:t>
      </w:r>
      <w:r w:rsidRPr="00191C1D">
        <w:t xml:space="preserve"> and enhanc</w:t>
      </w:r>
      <w:r w:rsidR="00A57228" w:rsidRPr="00191C1D">
        <w:t>ing</w:t>
      </w:r>
      <w:r w:rsidRPr="00191C1D">
        <w:t xml:space="preserve"> Australia’s reputation for quality education </w:t>
      </w:r>
      <w:r w:rsidR="00E25808" w:rsidRPr="00191C1D">
        <w:t xml:space="preserve">and </w:t>
      </w:r>
      <w:r w:rsidRPr="00191C1D">
        <w:t>training services</w:t>
      </w:r>
      <w:r w:rsidR="00E12950" w:rsidRPr="00191C1D">
        <w:t>. This framework supports</w:t>
      </w:r>
      <w:r w:rsidRPr="00191C1D">
        <w:t xml:space="preserve"> and complement</w:t>
      </w:r>
      <w:r w:rsidR="00E12950" w:rsidRPr="00191C1D">
        <w:t>s</w:t>
      </w:r>
      <w:r w:rsidRPr="00191C1D">
        <w:t xml:space="preserve"> Australia’s migration laws by ensuring education providers collect and report information relevant to the administration of the law relating to student visas</w:t>
      </w:r>
      <w:r w:rsidR="00E12950" w:rsidRPr="00191C1D">
        <w:t xml:space="preserve">, thereby protecting the quality of the </w:t>
      </w:r>
      <w:r w:rsidR="00097CBB" w:rsidRPr="00191C1D">
        <w:t>education and training</w:t>
      </w:r>
      <w:r w:rsidR="00E12950" w:rsidRPr="00191C1D">
        <w:t xml:space="preserve"> in Australia. </w:t>
      </w:r>
      <w:r w:rsidR="00884301" w:rsidRPr="00191C1D">
        <w:t xml:space="preserve">The Regulations also support enforcement of the infringement provisions </w:t>
      </w:r>
      <w:r w:rsidR="00DE3AFC" w:rsidRPr="00191C1D">
        <w:t>under</w:t>
      </w:r>
      <w:r w:rsidR="00884301" w:rsidRPr="00191C1D">
        <w:t xml:space="preserve"> the Act, </w:t>
      </w:r>
      <w:r w:rsidR="00884301" w:rsidRPr="00191C1D">
        <w:lastRenderedPageBreak/>
        <w:t xml:space="preserve">which provide additional protections for students by penalising providers who fail to comply with the record-keeping and student refund provisions of the Act. </w:t>
      </w:r>
      <w:r w:rsidR="00E12950" w:rsidRPr="00191C1D">
        <w:t xml:space="preserve">A strong international education </w:t>
      </w:r>
      <w:r w:rsidR="00664903" w:rsidRPr="00191C1D">
        <w:t>system</w:t>
      </w:r>
      <w:r w:rsidR="00DE3AFC" w:rsidRPr="00191C1D">
        <w:t>,</w:t>
      </w:r>
      <w:r w:rsidR="00664903" w:rsidRPr="00191C1D">
        <w:t xml:space="preserve"> </w:t>
      </w:r>
      <w:r w:rsidR="00884301" w:rsidRPr="00191C1D">
        <w:t>which includes appropriate protections for overseas students</w:t>
      </w:r>
      <w:r w:rsidR="00DE3AFC" w:rsidRPr="00191C1D">
        <w:t>,</w:t>
      </w:r>
      <w:r w:rsidR="00884301" w:rsidRPr="00191C1D">
        <w:t xml:space="preserve"> </w:t>
      </w:r>
      <w:r w:rsidR="00E12950" w:rsidRPr="00191C1D">
        <w:t>allows Australia to promote the right to education</w:t>
      </w:r>
      <w:r w:rsidR="001A06D0" w:rsidRPr="00191C1D">
        <w:t>,</w:t>
      </w:r>
      <w:r w:rsidR="00E12950" w:rsidRPr="00191C1D">
        <w:t xml:space="preserve"> especially to overseas students.</w:t>
      </w:r>
    </w:p>
    <w:p w14:paraId="76E8119A" w14:textId="0DE06D0F" w:rsidR="00E60DE2" w:rsidRPr="00191C1D" w:rsidRDefault="006C644F" w:rsidP="003E3B38">
      <w:pPr>
        <w:spacing w:before="240"/>
      </w:pPr>
      <w:r w:rsidRPr="00191C1D">
        <w:t xml:space="preserve">To the extent that the right to education is engaged, the measures contained in the </w:t>
      </w:r>
      <w:r w:rsidR="000E7CD6" w:rsidRPr="00191C1D">
        <w:t>Regulations</w:t>
      </w:r>
      <w:r w:rsidRPr="00191C1D">
        <w:t xml:space="preserve"> are compatible with the right to education.</w:t>
      </w:r>
    </w:p>
    <w:p w14:paraId="61551ABF" w14:textId="33AC291F" w:rsidR="00B109CC" w:rsidRPr="00191C1D" w:rsidRDefault="00B109CC" w:rsidP="003E3B38">
      <w:pPr>
        <w:spacing w:before="240"/>
        <w:rPr>
          <w:i/>
        </w:rPr>
      </w:pPr>
      <w:r w:rsidRPr="00191C1D">
        <w:rPr>
          <w:i/>
        </w:rPr>
        <w:t>Right to Work</w:t>
      </w:r>
    </w:p>
    <w:p w14:paraId="53334482" w14:textId="3429A3E8" w:rsidR="001A06D0" w:rsidRPr="00191C1D" w:rsidRDefault="00311387" w:rsidP="00311387">
      <w:pPr>
        <w:spacing w:before="240"/>
      </w:pPr>
      <w:r w:rsidRPr="00191C1D">
        <w:t xml:space="preserve">The Commonwealth’s commitment to the delivery of quality </w:t>
      </w:r>
      <w:r w:rsidR="00097CBB" w:rsidRPr="00191C1D">
        <w:t>education and training</w:t>
      </w:r>
      <w:r w:rsidR="003F7FCA" w:rsidRPr="00191C1D">
        <w:t xml:space="preserve"> services</w:t>
      </w:r>
      <w:r w:rsidR="00097CBB" w:rsidRPr="00191C1D">
        <w:t xml:space="preserve"> to overseas students</w:t>
      </w:r>
      <w:r w:rsidR="005E5D1A" w:rsidRPr="00191C1D">
        <w:t xml:space="preserve"> provides a</w:t>
      </w:r>
      <w:r w:rsidRPr="00191C1D">
        <w:t xml:space="preserve"> solid foundation and </w:t>
      </w:r>
      <w:r w:rsidR="00DE3AFC" w:rsidRPr="00191C1D">
        <w:t xml:space="preserve">opportunity </w:t>
      </w:r>
      <w:r w:rsidRPr="00191C1D">
        <w:t>for people to engage with and pursue quality work objectives</w:t>
      </w:r>
      <w:r w:rsidR="005E5D1A" w:rsidRPr="00191C1D">
        <w:t xml:space="preserve"> after completing their studies</w:t>
      </w:r>
      <w:r w:rsidRPr="00191C1D">
        <w:t>. The promotion of the right to education inherently leads into the promotion of the right</w:t>
      </w:r>
      <w:r w:rsidR="005E5D1A" w:rsidRPr="00191C1D">
        <w:t xml:space="preserve"> to work, as education is one of the </w:t>
      </w:r>
      <w:r w:rsidR="006F10D8" w:rsidRPr="00191C1D">
        <w:t>pathway</w:t>
      </w:r>
      <w:r w:rsidR="005E5D1A" w:rsidRPr="00191C1D">
        <w:t>s</w:t>
      </w:r>
      <w:r w:rsidR="006F10D8" w:rsidRPr="00191C1D">
        <w:t xml:space="preserve"> to employment.</w:t>
      </w:r>
    </w:p>
    <w:p w14:paraId="00948DA2" w14:textId="5A69E87C" w:rsidR="00B109CC" w:rsidRPr="00191C1D" w:rsidRDefault="00B109CC" w:rsidP="00B109CC">
      <w:pPr>
        <w:spacing w:before="240"/>
      </w:pPr>
      <w:r w:rsidRPr="00191C1D">
        <w:t>The Regulations engage the right to work, contained in Article 6 of the ICESCR.</w:t>
      </w:r>
      <w:r w:rsidR="00A57228" w:rsidRPr="00191C1D">
        <w:t xml:space="preserve"> </w:t>
      </w:r>
      <w:r w:rsidRPr="00191C1D">
        <w:t xml:space="preserve">Article 6(1) of the ICESCR discusses </w:t>
      </w:r>
      <w:r w:rsidR="00311387" w:rsidRPr="00191C1D">
        <w:rPr>
          <w:i/>
        </w:rPr>
        <w:t xml:space="preserve">“the right to work, which </w:t>
      </w:r>
      <w:r w:rsidRPr="00191C1D">
        <w:rPr>
          <w:i/>
        </w:rPr>
        <w:t xml:space="preserve">includes the right of everyone to the opportunity to gain </w:t>
      </w:r>
      <w:r w:rsidR="00311387" w:rsidRPr="00191C1D">
        <w:rPr>
          <w:i/>
        </w:rPr>
        <w:t>[their]…</w:t>
      </w:r>
      <w:r w:rsidRPr="00191C1D">
        <w:rPr>
          <w:i/>
        </w:rPr>
        <w:t xml:space="preserve"> living by work which </w:t>
      </w:r>
      <w:r w:rsidR="00311387" w:rsidRPr="00191C1D">
        <w:rPr>
          <w:i/>
        </w:rPr>
        <w:t>[they]</w:t>
      </w:r>
      <w:r w:rsidRPr="00191C1D">
        <w:rPr>
          <w:i/>
        </w:rPr>
        <w:t xml:space="preserve"> freely </w:t>
      </w:r>
      <w:r w:rsidR="007A64D9" w:rsidRPr="00191C1D">
        <w:rPr>
          <w:i/>
        </w:rPr>
        <w:t>[choose]</w:t>
      </w:r>
      <w:r w:rsidRPr="00191C1D">
        <w:rPr>
          <w:i/>
        </w:rPr>
        <w:t xml:space="preserve"> or </w:t>
      </w:r>
      <w:r w:rsidR="007A64D9" w:rsidRPr="00191C1D">
        <w:rPr>
          <w:i/>
        </w:rPr>
        <w:t>[accept]</w:t>
      </w:r>
      <w:r w:rsidR="00311387" w:rsidRPr="00191C1D">
        <w:rPr>
          <w:i/>
        </w:rPr>
        <w:t>”</w:t>
      </w:r>
      <w:r w:rsidR="00311387" w:rsidRPr="00191C1D">
        <w:t>. A high quality international education</w:t>
      </w:r>
      <w:r w:rsidR="003715AC" w:rsidRPr="00191C1D">
        <w:t xml:space="preserve"> system </w:t>
      </w:r>
      <w:r w:rsidR="00311387" w:rsidRPr="00191C1D">
        <w:t xml:space="preserve">provides a foundation on which </w:t>
      </w:r>
      <w:r w:rsidR="003F7FCA" w:rsidRPr="00191C1D">
        <w:t xml:space="preserve">overseas </w:t>
      </w:r>
      <w:r w:rsidR="00311387" w:rsidRPr="00191C1D">
        <w:t>students may then pursue broader employment opportunities.</w:t>
      </w:r>
    </w:p>
    <w:p w14:paraId="16E56075" w14:textId="2C658FB5" w:rsidR="00FB3900" w:rsidRPr="00191C1D" w:rsidRDefault="00311387" w:rsidP="00104482">
      <w:pPr>
        <w:spacing w:before="240"/>
      </w:pPr>
      <w:r w:rsidRPr="00191C1D">
        <w:t>Similarly,</w:t>
      </w:r>
      <w:r w:rsidR="00104482" w:rsidRPr="00191C1D">
        <w:t xml:space="preserve"> the vocation</w:t>
      </w:r>
      <w:r w:rsidR="00B922FD" w:rsidRPr="00191C1D">
        <w:t>al</w:t>
      </w:r>
      <w:r w:rsidR="00104482" w:rsidRPr="00191C1D">
        <w:t xml:space="preserve"> education and training (VET) sector promote</w:t>
      </w:r>
      <w:r w:rsidR="00B922FD" w:rsidRPr="00191C1D">
        <w:t>s</w:t>
      </w:r>
      <w:r w:rsidR="00104482" w:rsidRPr="00191C1D">
        <w:t xml:space="preserve"> the objects of Article 6(2) of the </w:t>
      </w:r>
      <w:r w:rsidR="00E54D8B" w:rsidRPr="00191C1D">
        <w:t>ICESCR, which</w:t>
      </w:r>
      <w:r w:rsidR="00104482" w:rsidRPr="00191C1D">
        <w:t xml:space="preserve"> include </w:t>
      </w:r>
      <w:r w:rsidR="00F4358A" w:rsidRPr="00191C1D">
        <w:t xml:space="preserve">access to </w:t>
      </w:r>
      <w:r w:rsidR="00104482" w:rsidRPr="00191C1D">
        <w:rPr>
          <w:i/>
        </w:rPr>
        <w:t>“</w:t>
      </w:r>
      <w:r w:rsidR="00B109CC" w:rsidRPr="00191C1D">
        <w:rPr>
          <w:i/>
        </w:rPr>
        <w:t>technical and vocational guidance and training programmes, policies and techniques to achieve steady economic, social and cultural development and</w:t>
      </w:r>
      <w:r w:rsidR="00104482" w:rsidRPr="00191C1D">
        <w:rPr>
          <w:i/>
        </w:rPr>
        <w:t xml:space="preserve"> full and productive employment…”</w:t>
      </w:r>
      <w:r w:rsidR="002854BA" w:rsidRPr="00191C1D">
        <w:t>.</w:t>
      </w:r>
      <w:r w:rsidR="00F4358A" w:rsidRPr="00191C1D">
        <w:rPr>
          <w:i/>
        </w:rPr>
        <w:t xml:space="preserve"> </w:t>
      </w:r>
      <w:r w:rsidR="00F4358A" w:rsidRPr="00191C1D">
        <w:t xml:space="preserve">Australia’s VET sector (including VET courses) partners with the industry and employment sectors to ensure training </w:t>
      </w:r>
      <w:r w:rsidR="00FB3900" w:rsidRPr="00191C1D">
        <w:t xml:space="preserve">and education </w:t>
      </w:r>
      <w:r w:rsidR="00F4358A" w:rsidRPr="00191C1D">
        <w:t>delivered is relevan</w:t>
      </w:r>
      <w:r w:rsidR="00FB3900" w:rsidRPr="00191C1D">
        <w:t>t and assists in people</w:t>
      </w:r>
      <w:r w:rsidR="00B922FD" w:rsidRPr="00191C1D">
        <w:t>, including overseas students,</w:t>
      </w:r>
      <w:r w:rsidR="00FB3900" w:rsidRPr="00191C1D">
        <w:t xml:space="preserve"> accessing and gaining skill</w:t>
      </w:r>
      <w:r w:rsidR="00F63437" w:rsidRPr="00191C1D">
        <w:t>ed</w:t>
      </w:r>
      <w:r w:rsidR="00FB3900" w:rsidRPr="00191C1D">
        <w:t xml:space="preserve"> employment. </w:t>
      </w:r>
    </w:p>
    <w:p w14:paraId="6EB253B1" w14:textId="1080C96B" w:rsidR="00B109CC" w:rsidRPr="00191C1D" w:rsidRDefault="00A55A4A" w:rsidP="00104482">
      <w:pPr>
        <w:spacing w:before="240"/>
      </w:pPr>
      <w:r w:rsidRPr="00191C1D">
        <w:t xml:space="preserve">The pathway from the right to education to the right to work </w:t>
      </w:r>
      <w:r w:rsidR="00B922FD" w:rsidRPr="00191C1D">
        <w:t>is supported by</w:t>
      </w:r>
      <w:r w:rsidR="002854BA" w:rsidRPr="00191C1D">
        <w:t xml:space="preserve"> </w:t>
      </w:r>
      <w:r w:rsidR="000578B8" w:rsidRPr="00191C1D">
        <w:t>the international education</w:t>
      </w:r>
      <w:r w:rsidR="003715AC" w:rsidRPr="00191C1D">
        <w:t xml:space="preserve"> system </w:t>
      </w:r>
      <w:r w:rsidR="000578B8" w:rsidRPr="00191C1D">
        <w:t>provided for by the Act and Regulations.</w:t>
      </w:r>
    </w:p>
    <w:p w14:paraId="639B5FB9" w14:textId="75C4A253" w:rsidR="003F7FCA" w:rsidRPr="00191C1D" w:rsidRDefault="006F10D8" w:rsidP="00E3746A">
      <w:pPr>
        <w:keepNext/>
        <w:keepLines/>
        <w:spacing w:before="100" w:beforeAutospacing="1" w:after="100" w:afterAutospacing="1"/>
      </w:pPr>
      <w:r w:rsidRPr="00191C1D">
        <w:t xml:space="preserve">To the extent that the right to work is engaged, the measures contained in the </w:t>
      </w:r>
      <w:r w:rsidR="00AF443A" w:rsidRPr="00191C1D">
        <w:t>Regulations</w:t>
      </w:r>
      <w:r w:rsidRPr="00191C1D">
        <w:t xml:space="preserve"> are compatible with the right to work.</w:t>
      </w:r>
    </w:p>
    <w:p w14:paraId="10E936C1" w14:textId="25A35E97" w:rsidR="00826B30" w:rsidRPr="00191C1D" w:rsidRDefault="00826B30" w:rsidP="00E3746A">
      <w:pPr>
        <w:keepNext/>
        <w:keepLines/>
        <w:spacing w:before="100" w:beforeAutospacing="1" w:after="100" w:afterAutospacing="1"/>
        <w:rPr>
          <w:color w:val="000000"/>
        </w:rPr>
      </w:pPr>
      <w:r w:rsidRPr="00191C1D">
        <w:rPr>
          <w:b/>
        </w:rPr>
        <w:t>Conclusion</w:t>
      </w:r>
    </w:p>
    <w:p w14:paraId="52386A00" w14:textId="25445EFA" w:rsidR="00E60DE2" w:rsidRPr="00191C1D" w:rsidRDefault="00590FA4" w:rsidP="00826B30">
      <w:pPr>
        <w:spacing w:after="200" w:line="276" w:lineRule="auto"/>
      </w:pPr>
      <w:r w:rsidRPr="00191C1D">
        <w:t>The Regulation</w:t>
      </w:r>
      <w:r w:rsidR="003D3A90" w:rsidRPr="00191C1D">
        <w:t>s are</w:t>
      </w:r>
      <w:r w:rsidRPr="00191C1D">
        <w:t xml:space="preserve"> compatible with human rights because </w:t>
      </w:r>
      <w:r w:rsidR="003D3A90" w:rsidRPr="00191C1D">
        <w:t>they advance</w:t>
      </w:r>
      <w:r w:rsidRPr="00191C1D">
        <w:t xml:space="preserve"> the protection of human rights.</w:t>
      </w:r>
    </w:p>
    <w:p w14:paraId="4CC3C5E3" w14:textId="77777777" w:rsidR="00590FA4" w:rsidRPr="00191C1D" w:rsidRDefault="00590FA4" w:rsidP="00826B30">
      <w:pPr>
        <w:spacing w:after="200" w:line="276" w:lineRule="auto"/>
      </w:pPr>
    </w:p>
    <w:p w14:paraId="448888AE" w14:textId="2E172EA1" w:rsidR="001544EF" w:rsidRPr="00191C1D" w:rsidRDefault="00E30758" w:rsidP="001544EF">
      <w:pPr>
        <w:rPr>
          <w:b/>
        </w:rPr>
      </w:pPr>
      <w:r w:rsidRPr="00191C1D">
        <w:rPr>
          <w:b/>
        </w:rPr>
        <w:t>Dan Tehan</w:t>
      </w:r>
    </w:p>
    <w:p w14:paraId="44F05DD1" w14:textId="09686EB2" w:rsidR="00826B30" w:rsidRPr="00191C1D" w:rsidRDefault="001544EF" w:rsidP="001544EF">
      <w:pPr>
        <w:spacing w:after="200" w:line="276" w:lineRule="auto"/>
        <w:rPr>
          <w:b/>
        </w:rPr>
      </w:pPr>
      <w:r w:rsidRPr="00191C1D">
        <w:rPr>
          <w:b/>
        </w:rPr>
        <w:t xml:space="preserve">Minister for Education </w:t>
      </w:r>
      <w:r w:rsidR="00826B30" w:rsidRPr="00191C1D">
        <w:rPr>
          <w:b/>
        </w:rPr>
        <w:br w:type="page"/>
      </w:r>
    </w:p>
    <w:p w14:paraId="544BF643" w14:textId="03B09A60" w:rsidR="00AA4E4C" w:rsidRPr="00191C1D" w:rsidRDefault="00AA4E4C" w:rsidP="00524001">
      <w:pPr>
        <w:spacing w:before="240"/>
        <w:ind w:right="91"/>
        <w:rPr>
          <w:b/>
        </w:rPr>
      </w:pPr>
      <w:r w:rsidRPr="00191C1D">
        <w:rPr>
          <w:b/>
        </w:rPr>
        <w:lastRenderedPageBreak/>
        <w:t xml:space="preserve">Detailed explanation of the </w:t>
      </w:r>
      <w:r w:rsidR="00565E20" w:rsidRPr="00191C1D">
        <w:rPr>
          <w:b/>
          <w:i/>
        </w:rPr>
        <w:t>Education Services for Overseas Students Regulations 2019</w:t>
      </w:r>
      <w:r w:rsidR="00565E20" w:rsidRPr="00191C1D">
        <w:rPr>
          <w:b/>
        </w:rPr>
        <w:t xml:space="preserve"> </w:t>
      </w:r>
    </w:p>
    <w:p w14:paraId="4FBBB0A2" w14:textId="19DCA0D6" w:rsidR="00DC24B2" w:rsidRPr="00191C1D" w:rsidRDefault="00DC24B2" w:rsidP="00DC24B2">
      <w:pPr>
        <w:ind w:right="-45"/>
        <w:rPr>
          <w:bCs/>
          <w:u w:val="single"/>
          <w:lang w:eastAsia="en-US"/>
        </w:rPr>
      </w:pPr>
    </w:p>
    <w:p w14:paraId="4012EB4A" w14:textId="4EC12783" w:rsidR="00E54D8B" w:rsidRPr="00191C1D" w:rsidRDefault="00E54D8B" w:rsidP="00DC24B2">
      <w:pPr>
        <w:ind w:right="-45"/>
        <w:rPr>
          <w:b/>
          <w:bCs/>
          <w:lang w:eastAsia="en-US"/>
        </w:rPr>
      </w:pPr>
      <w:r w:rsidRPr="00191C1D">
        <w:rPr>
          <w:b/>
          <w:bCs/>
          <w:lang w:eastAsia="en-US"/>
        </w:rPr>
        <w:t xml:space="preserve">Part 1 – Preliminary </w:t>
      </w:r>
    </w:p>
    <w:p w14:paraId="256712F4" w14:textId="77777777" w:rsidR="00F956A0" w:rsidRPr="00191C1D" w:rsidRDefault="00F956A0" w:rsidP="00F956A0">
      <w:pPr>
        <w:spacing w:before="240"/>
        <w:ind w:right="91"/>
        <w:rPr>
          <w:bCs/>
          <w:u w:val="single"/>
          <w:lang w:eastAsia="en-US"/>
        </w:rPr>
      </w:pPr>
      <w:r w:rsidRPr="00191C1D">
        <w:rPr>
          <w:bCs/>
          <w:u w:val="single"/>
          <w:lang w:eastAsia="en-US"/>
        </w:rPr>
        <w:t>Section 1 – Name of Regulations</w:t>
      </w:r>
    </w:p>
    <w:p w14:paraId="7E4EF154" w14:textId="2C08D336" w:rsidR="00F956A0" w:rsidRPr="00191C1D" w:rsidRDefault="00B070F4" w:rsidP="00F956A0">
      <w:pPr>
        <w:spacing w:before="240"/>
        <w:ind w:right="91"/>
        <w:rPr>
          <w:bCs/>
          <w:u w:val="single"/>
          <w:lang w:eastAsia="en-US"/>
        </w:rPr>
      </w:pPr>
      <w:r w:rsidRPr="00191C1D">
        <w:rPr>
          <w:lang w:eastAsia="en-US"/>
        </w:rPr>
        <w:t>S</w:t>
      </w:r>
      <w:r w:rsidR="00F956A0" w:rsidRPr="00191C1D">
        <w:rPr>
          <w:lang w:eastAsia="en-US"/>
        </w:rPr>
        <w:t xml:space="preserve">ection </w:t>
      </w:r>
      <w:r w:rsidRPr="00191C1D">
        <w:rPr>
          <w:lang w:eastAsia="en-US"/>
        </w:rPr>
        <w:t xml:space="preserve">1 </w:t>
      </w:r>
      <w:r w:rsidR="00F956A0" w:rsidRPr="00191C1D">
        <w:rPr>
          <w:lang w:eastAsia="en-US"/>
        </w:rPr>
        <w:t xml:space="preserve">provides that the title of the Regulations is the </w:t>
      </w:r>
      <w:r w:rsidR="00F956A0" w:rsidRPr="00191C1D">
        <w:rPr>
          <w:i/>
          <w:lang w:eastAsia="en-US"/>
        </w:rPr>
        <w:t>Education Services for Overseas Students Regulations 2019</w:t>
      </w:r>
      <w:r w:rsidR="00AF443A" w:rsidRPr="00191C1D">
        <w:rPr>
          <w:i/>
          <w:lang w:eastAsia="en-US"/>
        </w:rPr>
        <w:t xml:space="preserve"> </w:t>
      </w:r>
      <w:r w:rsidR="00AF443A" w:rsidRPr="00191C1D">
        <w:rPr>
          <w:lang w:eastAsia="en-US"/>
        </w:rPr>
        <w:t>(Regulations)</w:t>
      </w:r>
      <w:r w:rsidR="00F956A0" w:rsidRPr="00191C1D">
        <w:rPr>
          <w:lang w:eastAsia="en-US"/>
        </w:rPr>
        <w:t>.</w:t>
      </w:r>
    </w:p>
    <w:p w14:paraId="358D29CA" w14:textId="77777777" w:rsidR="00F956A0" w:rsidRPr="00191C1D" w:rsidRDefault="00F956A0" w:rsidP="00F956A0">
      <w:pPr>
        <w:spacing w:before="240"/>
        <w:ind w:right="91"/>
        <w:rPr>
          <w:bCs/>
          <w:u w:val="single"/>
          <w:lang w:eastAsia="en-US"/>
        </w:rPr>
      </w:pPr>
      <w:r w:rsidRPr="00191C1D">
        <w:rPr>
          <w:bCs/>
          <w:u w:val="single"/>
          <w:lang w:eastAsia="en-US"/>
        </w:rPr>
        <w:t>Section 2 – Commencement</w:t>
      </w:r>
    </w:p>
    <w:p w14:paraId="0388F10B" w14:textId="699B8340" w:rsidR="00F956A0" w:rsidRPr="00191C1D" w:rsidRDefault="00B070F4" w:rsidP="00F956A0">
      <w:pPr>
        <w:spacing w:before="240"/>
        <w:ind w:right="91"/>
        <w:rPr>
          <w:lang w:eastAsia="en-US"/>
        </w:rPr>
      </w:pPr>
      <w:r w:rsidRPr="00191C1D">
        <w:rPr>
          <w:lang w:eastAsia="en-US"/>
        </w:rPr>
        <w:t>S</w:t>
      </w:r>
      <w:r w:rsidR="00F956A0" w:rsidRPr="00191C1D">
        <w:rPr>
          <w:lang w:eastAsia="en-US"/>
        </w:rPr>
        <w:t xml:space="preserve">ection </w:t>
      </w:r>
      <w:r w:rsidRPr="00191C1D">
        <w:rPr>
          <w:lang w:eastAsia="en-US"/>
        </w:rPr>
        <w:t xml:space="preserve">2 </w:t>
      </w:r>
      <w:r w:rsidR="00F956A0" w:rsidRPr="00191C1D">
        <w:rPr>
          <w:lang w:eastAsia="en-US"/>
        </w:rPr>
        <w:t xml:space="preserve">provides </w:t>
      </w:r>
      <w:r w:rsidR="00A576AB" w:rsidRPr="00191C1D">
        <w:rPr>
          <w:lang w:eastAsia="en-US"/>
        </w:rPr>
        <w:t>that the</w:t>
      </w:r>
      <w:r w:rsidR="00F956A0" w:rsidRPr="00191C1D">
        <w:rPr>
          <w:lang w:eastAsia="en-US"/>
        </w:rPr>
        <w:t xml:space="preserve"> Regulations commence on 1 October 2019.</w:t>
      </w:r>
    </w:p>
    <w:p w14:paraId="3793F17D" w14:textId="77777777" w:rsidR="00F956A0" w:rsidRPr="00191C1D" w:rsidRDefault="00F956A0" w:rsidP="00F956A0">
      <w:pPr>
        <w:spacing w:before="240"/>
        <w:ind w:right="91"/>
        <w:rPr>
          <w:bCs/>
          <w:u w:val="single"/>
          <w:lang w:eastAsia="en-US"/>
        </w:rPr>
      </w:pPr>
      <w:r w:rsidRPr="00191C1D">
        <w:rPr>
          <w:bCs/>
          <w:u w:val="single"/>
          <w:lang w:eastAsia="en-US"/>
        </w:rPr>
        <w:t>Section 3 – Authority</w:t>
      </w:r>
    </w:p>
    <w:p w14:paraId="41A40E9E" w14:textId="0E0716C7" w:rsidR="00F956A0" w:rsidRPr="00191C1D" w:rsidRDefault="00B070F4" w:rsidP="00F956A0">
      <w:pPr>
        <w:spacing w:before="240"/>
        <w:ind w:right="91"/>
        <w:rPr>
          <w:lang w:eastAsia="en-US"/>
        </w:rPr>
      </w:pPr>
      <w:r w:rsidRPr="00191C1D">
        <w:rPr>
          <w:lang w:eastAsia="en-US"/>
        </w:rPr>
        <w:t>S</w:t>
      </w:r>
      <w:r w:rsidR="00F956A0" w:rsidRPr="00191C1D">
        <w:rPr>
          <w:lang w:eastAsia="en-US"/>
        </w:rPr>
        <w:t xml:space="preserve">ection </w:t>
      </w:r>
      <w:r w:rsidRPr="00191C1D">
        <w:rPr>
          <w:lang w:eastAsia="en-US"/>
        </w:rPr>
        <w:t xml:space="preserve">3 </w:t>
      </w:r>
      <w:r w:rsidR="00F956A0" w:rsidRPr="00191C1D">
        <w:rPr>
          <w:lang w:eastAsia="en-US"/>
        </w:rPr>
        <w:t xml:space="preserve">provides that the Regulations are made under the </w:t>
      </w:r>
      <w:r w:rsidR="00F956A0" w:rsidRPr="00191C1D">
        <w:rPr>
          <w:i/>
          <w:lang w:eastAsia="en-US"/>
        </w:rPr>
        <w:t xml:space="preserve">Education Services for Overseas Students Act 2000 </w:t>
      </w:r>
      <w:r w:rsidR="00443E5A" w:rsidRPr="00191C1D">
        <w:rPr>
          <w:lang w:eastAsia="en-US"/>
        </w:rPr>
        <w:t xml:space="preserve">(the Act), as provided for in section 177 of the Act. </w:t>
      </w:r>
    </w:p>
    <w:p w14:paraId="4DD1A4CE" w14:textId="77777777" w:rsidR="00F956A0" w:rsidRPr="00191C1D" w:rsidRDefault="00F956A0" w:rsidP="00F956A0">
      <w:pPr>
        <w:spacing w:before="240"/>
        <w:ind w:right="91"/>
        <w:rPr>
          <w:u w:val="single"/>
          <w:lang w:eastAsia="en-US"/>
        </w:rPr>
      </w:pPr>
      <w:r w:rsidRPr="00191C1D">
        <w:rPr>
          <w:u w:val="single"/>
          <w:lang w:eastAsia="en-US"/>
        </w:rPr>
        <w:t>Section 4 – Schedules</w:t>
      </w:r>
    </w:p>
    <w:p w14:paraId="7EAC51C4" w14:textId="410192AE" w:rsidR="00F956A0" w:rsidRPr="00191C1D" w:rsidRDefault="00B070F4" w:rsidP="00F956A0">
      <w:pPr>
        <w:spacing w:before="240"/>
        <w:ind w:right="91"/>
        <w:rPr>
          <w:u w:val="single"/>
          <w:lang w:eastAsia="en-US"/>
        </w:rPr>
      </w:pPr>
      <w:r w:rsidRPr="00191C1D">
        <w:rPr>
          <w:lang w:eastAsia="en-US"/>
        </w:rPr>
        <w:t>S</w:t>
      </w:r>
      <w:r w:rsidR="00F956A0" w:rsidRPr="00191C1D">
        <w:rPr>
          <w:lang w:eastAsia="en-US"/>
        </w:rPr>
        <w:t xml:space="preserve">ection </w:t>
      </w:r>
      <w:r w:rsidRPr="00191C1D">
        <w:rPr>
          <w:lang w:eastAsia="en-US"/>
        </w:rPr>
        <w:t xml:space="preserve">4 </w:t>
      </w:r>
      <w:r w:rsidR="00F956A0" w:rsidRPr="00191C1D">
        <w:rPr>
          <w:lang w:eastAsia="en-US"/>
        </w:rPr>
        <w:t>provides that each instrument that is specified in a Schedule to the instrument is amended or repealed as set out in the applicable items in the Schedule concerned, and any other item in a Schedule to the instrument has effect according to its terms.</w:t>
      </w:r>
      <w:r w:rsidR="00443E5A" w:rsidRPr="00191C1D">
        <w:rPr>
          <w:lang w:eastAsia="en-US"/>
        </w:rPr>
        <w:t xml:space="preserve"> Schedule 1 to the Regulations repeals the </w:t>
      </w:r>
      <w:r w:rsidR="00443E5A" w:rsidRPr="00191C1D">
        <w:rPr>
          <w:i/>
          <w:lang w:eastAsia="en-US"/>
        </w:rPr>
        <w:t>Education Services for Overseas Students Regulations 2001</w:t>
      </w:r>
      <w:r w:rsidR="00443E5A" w:rsidRPr="00191C1D">
        <w:rPr>
          <w:lang w:eastAsia="en-US"/>
        </w:rPr>
        <w:t>.</w:t>
      </w:r>
    </w:p>
    <w:p w14:paraId="33C9D1BA" w14:textId="77777777" w:rsidR="00F956A0" w:rsidRPr="00191C1D" w:rsidRDefault="00F956A0" w:rsidP="00F956A0">
      <w:pPr>
        <w:spacing w:before="240"/>
        <w:ind w:right="91"/>
        <w:rPr>
          <w:u w:val="single"/>
          <w:lang w:eastAsia="en-US"/>
        </w:rPr>
      </w:pPr>
      <w:r w:rsidRPr="00191C1D">
        <w:rPr>
          <w:u w:val="single"/>
          <w:lang w:eastAsia="en-US"/>
        </w:rPr>
        <w:t xml:space="preserve">Section 5 – Definitions </w:t>
      </w:r>
    </w:p>
    <w:p w14:paraId="1A53F083" w14:textId="6004C3CA" w:rsidR="00F956A0" w:rsidRPr="00191C1D" w:rsidRDefault="00B070F4" w:rsidP="00285CBA">
      <w:pPr>
        <w:spacing w:before="240"/>
        <w:ind w:right="91"/>
        <w:rPr>
          <w:lang w:eastAsia="en-US"/>
        </w:rPr>
      </w:pPr>
      <w:r w:rsidRPr="00191C1D">
        <w:rPr>
          <w:lang w:eastAsia="en-US"/>
        </w:rPr>
        <w:t>S</w:t>
      </w:r>
      <w:r w:rsidR="00F956A0" w:rsidRPr="00191C1D">
        <w:rPr>
          <w:lang w:eastAsia="en-US"/>
        </w:rPr>
        <w:t xml:space="preserve">ection </w:t>
      </w:r>
      <w:r w:rsidRPr="00191C1D">
        <w:rPr>
          <w:lang w:eastAsia="en-US"/>
        </w:rPr>
        <w:t xml:space="preserve">5 </w:t>
      </w:r>
      <w:r w:rsidR="00F956A0" w:rsidRPr="00191C1D">
        <w:rPr>
          <w:lang w:eastAsia="en-US"/>
        </w:rPr>
        <w:t>provides definitions fo</w:t>
      </w:r>
      <w:r w:rsidR="00612C29" w:rsidRPr="00191C1D">
        <w:rPr>
          <w:lang w:eastAsia="en-US"/>
        </w:rPr>
        <w:t>r</w:t>
      </w:r>
      <w:r w:rsidR="0090649D" w:rsidRPr="00191C1D">
        <w:rPr>
          <w:lang w:eastAsia="en-US"/>
        </w:rPr>
        <w:t xml:space="preserve"> terms </w:t>
      </w:r>
      <w:r w:rsidR="00F956A0" w:rsidRPr="00191C1D">
        <w:rPr>
          <w:lang w:eastAsia="en-US"/>
        </w:rPr>
        <w:t>used in the Regulations that are not already provided for under the Act</w:t>
      </w:r>
      <w:r w:rsidR="00E97ACB" w:rsidRPr="00191C1D">
        <w:rPr>
          <w:lang w:eastAsia="en-US"/>
        </w:rPr>
        <w:t>.</w:t>
      </w:r>
    </w:p>
    <w:p w14:paraId="2ABCD192" w14:textId="31D80ECD" w:rsidR="00F956A0" w:rsidRPr="00191C1D" w:rsidRDefault="00F956A0" w:rsidP="00F956A0">
      <w:pPr>
        <w:spacing w:before="240"/>
        <w:ind w:right="91"/>
        <w:rPr>
          <w:u w:val="single"/>
          <w:lang w:eastAsia="en-US"/>
        </w:rPr>
      </w:pPr>
      <w:r w:rsidRPr="00191C1D">
        <w:rPr>
          <w:u w:val="single"/>
          <w:lang w:eastAsia="en-US"/>
        </w:rPr>
        <w:t xml:space="preserve">Section </w:t>
      </w:r>
      <w:r w:rsidR="00573459" w:rsidRPr="00191C1D">
        <w:rPr>
          <w:u w:val="single"/>
          <w:lang w:eastAsia="en-US"/>
        </w:rPr>
        <w:t xml:space="preserve">6 </w:t>
      </w:r>
      <w:r w:rsidRPr="00191C1D">
        <w:rPr>
          <w:u w:val="single"/>
          <w:lang w:eastAsia="en-US"/>
        </w:rPr>
        <w:t xml:space="preserve">– Meaning of </w:t>
      </w:r>
      <w:r w:rsidRPr="00191C1D">
        <w:rPr>
          <w:i/>
          <w:u w:val="single"/>
          <w:lang w:eastAsia="en-US"/>
        </w:rPr>
        <w:t>student visa</w:t>
      </w:r>
    </w:p>
    <w:p w14:paraId="0211F31F" w14:textId="04EBA0C5" w:rsidR="00F956A0" w:rsidRPr="00191C1D" w:rsidRDefault="00B070F4" w:rsidP="00285CBA">
      <w:pPr>
        <w:spacing w:before="240"/>
        <w:ind w:right="91"/>
        <w:rPr>
          <w:lang w:eastAsia="en-US"/>
        </w:rPr>
      </w:pPr>
      <w:r w:rsidRPr="00191C1D">
        <w:rPr>
          <w:lang w:eastAsia="en-US"/>
        </w:rPr>
        <w:t>S</w:t>
      </w:r>
      <w:r w:rsidR="00F956A0" w:rsidRPr="00191C1D">
        <w:rPr>
          <w:lang w:eastAsia="en-US"/>
        </w:rPr>
        <w:t xml:space="preserve">ection </w:t>
      </w:r>
      <w:r w:rsidR="00573459" w:rsidRPr="00191C1D">
        <w:rPr>
          <w:lang w:eastAsia="en-US"/>
        </w:rPr>
        <w:t>6</w:t>
      </w:r>
      <w:r w:rsidRPr="00191C1D">
        <w:rPr>
          <w:lang w:eastAsia="en-US"/>
        </w:rPr>
        <w:t xml:space="preserve"> </w:t>
      </w:r>
      <w:r w:rsidR="00F956A0" w:rsidRPr="00191C1D">
        <w:rPr>
          <w:lang w:eastAsia="en-US"/>
        </w:rPr>
        <w:t xml:space="preserve">provides a definition for the meaning of </w:t>
      </w:r>
      <w:r w:rsidR="00F956A0" w:rsidRPr="00191C1D">
        <w:rPr>
          <w:i/>
          <w:lang w:eastAsia="en-US"/>
        </w:rPr>
        <w:t xml:space="preserve">student visa </w:t>
      </w:r>
      <w:r w:rsidR="00F956A0" w:rsidRPr="00191C1D">
        <w:rPr>
          <w:lang w:eastAsia="en-US"/>
        </w:rPr>
        <w:t>for the p</w:t>
      </w:r>
      <w:r w:rsidR="00443E5A" w:rsidRPr="00191C1D">
        <w:rPr>
          <w:lang w:eastAsia="en-US"/>
        </w:rPr>
        <w:t>urposes of section 5 of the Act</w:t>
      </w:r>
      <w:r w:rsidR="000E5A7F" w:rsidRPr="00191C1D">
        <w:rPr>
          <w:lang w:eastAsia="en-US"/>
        </w:rPr>
        <w:t xml:space="preserve">. This definition refers </w:t>
      </w:r>
      <w:r w:rsidR="00C8017D" w:rsidRPr="00191C1D">
        <w:rPr>
          <w:lang w:eastAsia="en-US"/>
        </w:rPr>
        <w:t xml:space="preserve">to </w:t>
      </w:r>
      <w:r w:rsidR="00443E5A" w:rsidRPr="00191C1D">
        <w:rPr>
          <w:lang w:eastAsia="en-US"/>
        </w:rPr>
        <w:t xml:space="preserve">the definition of student visa set out in regulation 1.03 of the </w:t>
      </w:r>
      <w:r w:rsidR="00443E5A" w:rsidRPr="00191C1D">
        <w:rPr>
          <w:i/>
          <w:lang w:eastAsia="en-US"/>
        </w:rPr>
        <w:t>Migration Regulations 1994</w:t>
      </w:r>
      <w:r w:rsidR="00443E5A" w:rsidRPr="00191C1D">
        <w:rPr>
          <w:lang w:eastAsia="en-US"/>
        </w:rPr>
        <w:t>.</w:t>
      </w:r>
    </w:p>
    <w:p w14:paraId="05A89C72" w14:textId="5E835538" w:rsidR="00F956A0" w:rsidRPr="00191C1D" w:rsidRDefault="00F956A0" w:rsidP="00F956A0">
      <w:pPr>
        <w:spacing w:before="240"/>
        <w:ind w:right="91"/>
        <w:rPr>
          <w:u w:val="single"/>
          <w:lang w:eastAsia="en-US"/>
        </w:rPr>
      </w:pPr>
      <w:r w:rsidRPr="00191C1D">
        <w:rPr>
          <w:u w:val="single"/>
          <w:lang w:eastAsia="en-US"/>
        </w:rPr>
        <w:t xml:space="preserve">Section </w:t>
      </w:r>
      <w:r w:rsidR="00573459" w:rsidRPr="00191C1D">
        <w:rPr>
          <w:u w:val="single"/>
          <w:lang w:eastAsia="en-US"/>
        </w:rPr>
        <w:t>7</w:t>
      </w:r>
      <w:r w:rsidRPr="00191C1D">
        <w:rPr>
          <w:u w:val="single"/>
          <w:lang w:eastAsia="en-US"/>
        </w:rPr>
        <w:t xml:space="preserve"> – Meaning of </w:t>
      </w:r>
      <w:r w:rsidRPr="00191C1D">
        <w:rPr>
          <w:i/>
          <w:u w:val="single"/>
          <w:lang w:eastAsia="en-US"/>
        </w:rPr>
        <w:t>tuition fees</w:t>
      </w:r>
    </w:p>
    <w:p w14:paraId="30866D07" w14:textId="202B345C" w:rsidR="00F956A0" w:rsidRPr="00191C1D" w:rsidRDefault="00B070F4" w:rsidP="00F956A0">
      <w:pPr>
        <w:spacing w:before="240"/>
        <w:ind w:right="91"/>
        <w:rPr>
          <w:u w:val="single"/>
          <w:lang w:eastAsia="en-US"/>
        </w:rPr>
      </w:pPr>
      <w:r w:rsidRPr="00191C1D">
        <w:rPr>
          <w:lang w:eastAsia="en-US"/>
        </w:rPr>
        <w:t>S</w:t>
      </w:r>
      <w:r w:rsidR="00F956A0" w:rsidRPr="00191C1D">
        <w:rPr>
          <w:lang w:eastAsia="en-US"/>
        </w:rPr>
        <w:t>ection</w:t>
      </w:r>
      <w:r w:rsidRPr="00191C1D">
        <w:rPr>
          <w:lang w:eastAsia="en-US"/>
        </w:rPr>
        <w:t xml:space="preserve"> </w:t>
      </w:r>
      <w:r w:rsidR="00573459" w:rsidRPr="00191C1D">
        <w:rPr>
          <w:lang w:eastAsia="en-US"/>
        </w:rPr>
        <w:t>7</w:t>
      </w:r>
      <w:r w:rsidR="00F956A0" w:rsidRPr="00191C1D">
        <w:rPr>
          <w:lang w:eastAsia="en-US"/>
        </w:rPr>
        <w:t xml:space="preserve"> provides a definition of </w:t>
      </w:r>
      <w:r w:rsidR="00F956A0" w:rsidRPr="00191C1D">
        <w:rPr>
          <w:i/>
          <w:lang w:eastAsia="en-US"/>
        </w:rPr>
        <w:t>tuition fees</w:t>
      </w:r>
      <w:r w:rsidR="00F956A0" w:rsidRPr="00191C1D">
        <w:rPr>
          <w:lang w:eastAsia="en-US"/>
        </w:rPr>
        <w:t xml:space="preserve"> for the purposes of section 7 of the Act. </w:t>
      </w:r>
      <w:r w:rsidR="00E97ACB" w:rsidRPr="00191C1D">
        <w:rPr>
          <w:lang w:eastAsia="en-US"/>
        </w:rPr>
        <w:t xml:space="preserve">Subsection </w:t>
      </w:r>
      <w:r w:rsidR="00573459" w:rsidRPr="00191C1D">
        <w:rPr>
          <w:lang w:eastAsia="en-US"/>
        </w:rPr>
        <w:t>7</w:t>
      </w:r>
      <w:r w:rsidR="00E97ACB" w:rsidRPr="00191C1D">
        <w:rPr>
          <w:lang w:eastAsia="en-US"/>
        </w:rPr>
        <w:t>(2) prescribes the</w:t>
      </w:r>
      <w:r w:rsidR="00F956A0" w:rsidRPr="00191C1D">
        <w:rPr>
          <w:lang w:eastAsia="en-US"/>
        </w:rPr>
        <w:t xml:space="preserve"> classes and types of fees </w:t>
      </w:r>
      <w:r w:rsidR="00E54D8B" w:rsidRPr="00191C1D">
        <w:rPr>
          <w:lang w:eastAsia="en-US"/>
        </w:rPr>
        <w:t xml:space="preserve">that </w:t>
      </w:r>
      <w:r w:rsidR="00E97ACB" w:rsidRPr="00191C1D">
        <w:rPr>
          <w:lang w:eastAsia="en-US"/>
        </w:rPr>
        <w:t xml:space="preserve">are </w:t>
      </w:r>
      <w:r w:rsidR="00F956A0" w:rsidRPr="00191C1D">
        <w:rPr>
          <w:i/>
          <w:lang w:eastAsia="en-US"/>
        </w:rPr>
        <w:t>tuition fees</w:t>
      </w:r>
      <w:r w:rsidR="00E97ACB" w:rsidRPr="00191C1D">
        <w:rPr>
          <w:lang w:eastAsia="en-US"/>
        </w:rPr>
        <w:t xml:space="preserve"> for the purposes of </w:t>
      </w:r>
      <w:r w:rsidR="00401459" w:rsidRPr="00191C1D">
        <w:rPr>
          <w:lang w:eastAsia="en-US"/>
        </w:rPr>
        <w:t xml:space="preserve">paragraph </w:t>
      </w:r>
      <w:r w:rsidR="00E97ACB" w:rsidRPr="00191C1D">
        <w:rPr>
          <w:lang w:eastAsia="en-US"/>
        </w:rPr>
        <w:t>7(b) of the Act</w:t>
      </w:r>
      <w:r w:rsidR="00443E5A" w:rsidRPr="00191C1D">
        <w:rPr>
          <w:lang w:eastAsia="en-US"/>
        </w:rPr>
        <w:t>.</w:t>
      </w:r>
      <w:r w:rsidR="00E97ACB" w:rsidRPr="00191C1D">
        <w:rPr>
          <w:lang w:eastAsia="en-US"/>
        </w:rPr>
        <w:t xml:space="preserve"> Subsection </w:t>
      </w:r>
      <w:r w:rsidR="00573459" w:rsidRPr="00191C1D">
        <w:rPr>
          <w:lang w:eastAsia="en-US"/>
        </w:rPr>
        <w:t>7</w:t>
      </w:r>
      <w:r w:rsidR="00E97ACB" w:rsidRPr="00191C1D">
        <w:rPr>
          <w:lang w:eastAsia="en-US"/>
        </w:rPr>
        <w:t xml:space="preserve">(3) prescribes the classes and types of fees that are not </w:t>
      </w:r>
      <w:r w:rsidR="00E97ACB" w:rsidRPr="00191C1D">
        <w:rPr>
          <w:i/>
          <w:lang w:eastAsia="en-US"/>
        </w:rPr>
        <w:t>tuition fees</w:t>
      </w:r>
      <w:r w:rsidR="00E97ACB" w:rsidRPr="00191C1D">
        <w:rPr>
          <w:lang w:eastAsia="en-US"/>
        </w:rPr>
        <w:t xml:space="preserve"> for the purposes of </w:t>
      </w:r>
      <w:r w:rsidR="00401459" w:rsidRPr="00191C1D">
        <w:rPr>
          <w:lang w:eastAsia="en-US"/>
        </w:rPr>
        <w:t xml:space="preserve">paragraph </w:t>
      </w:r>
      <w:r w:rsidR="00E97ACB" w:rsidRPr="00191C1D">
        <w:rPr>
          <w:lang w:eastAsia="en-US"/>
        </w:rPr>
        <w:t>7(c) of the Act.</w:t>
      </w:r>
      <w:r w:rsidR="00443E5A" w:rsidRPr="00191C1D">
        <w:rPr>
          <w:lang w:eastAsia="en-US"/>
        </w:rPr>
        <w:t xml:space="preserve"> </w:t>
      </w:r>
      <w:r w:rsidR="00E97ACB" w:rsidRPr="00191C1D">
        <w:rPr>
          <w:lang w:eastAsia="en-US"/>
        </w:rPr>
        <w:t xml:space="preserve">The </w:t>
      </w:r>
      <w:r w:rsidR="00E97ACB" w:rsidRPr="00191C1D">
        <w:rPr>
          <w:i/>
          <w:lang w:eastAsia="en-US"/>
        </w:rPr>
        <w:t>tuition fees</w:t>
      </w:r>
      <w:r w:rsidR="00E97ACB" w:rsidRPr="00191C1D">
        <w:rPr>
          <w:lang w:eastAsia="en-US"/>
        </w:rPr>
        <w:t xml:space="preserve"> prescribed in section </w:t>
      </w:r>
      <w:r w:rsidR="00573459" w:rsidRPr="00191C1D">
        <w:rPr>
          <w:lang w:eastAsia="en-US"/>
        </w:rPr>
        <w:t>7</w:t>
      </w:r>
      <w:r w:rsidR="00401459" w:rsidRPr="00191C1D">
        <w:rPr>
          <w:lang w:eastAsia="en-US"/>
        </w:rPr>
        <w:t xml:space="preserve"> of the Regulations</w:t>
      </w:r>
      <w:r w:rsidR="00E97ACB" w:rsidRPr="00191C1D">
        <w:rPr>
          <w:lang w:eastAsia="en-US"/>
        </w:rPr>
        <w:t xml:space="preserve"> are not exhaustive and other classes and types of fees may fall within the definition of </w:t>
      </w:r>
      <w:r w:rsidR="00E97ACB" w:rsidRPr="00191C1D">
        <w:rPr>
          <w:i/>
          <w:lang w:eastAsia="en-US"/>
        </w:rPr>
        <w:t>tuition fees</w:t>
      </w:r>
      <w:r w:rsidR="00E97ACB" w:rsidRPr="00191C1D">
        <w:rPr>
          <w:lang w:eastAsia="en-US"/>
        </w:rPr>
        <w:t xml:space="preserve"> specified in </w:t>
      </w:r>
      <w:r w:rsidR="00401459" w:rsidRPr="00191C1D">
        <w:rPr>
          <w:lang w:eastAsia="en-US"/>
        </w:rPr>
        <w:t>paragraph</w:t>
      </w:r>
      <w:r w:rsidR="00E97ACB" w:rsidRPr="00191C1D">
        <w:rPr>
          <w:lang w:eastAsia="en-US"/>
        </w:rPr>
        <w:t xml:space="preserve"> 7(a) of the Act. </w:t>
      </w:r>
    </w:p>
    <w:p w14:paraId="75FBDD6C" w14:textId="116292BB" w:rsidR="00E54D8B" w:rsidRPr="00191C1D" w:rsidRDefault="00E54D8B" w:rsidP="00F956A0">
      <w:pPr>
        <w:spacing w:before="240"/>
        <w:ind w:right="91"/>
        <w:rPr>
          <w:b/>
          <w:lang w:eastAsia="en-US"/>
        </w:rPr>
      </w:pPr>
      <w:r w:rsidRPr="00191C1D">
        <w:rPr>
          <w:b/>
          <w:lang w:eastAsia="en-US"/>
        </w:rPr>
        <w:t xml:space="preserve">Part 2 – Registration of providers </w:t>
      </w:r>
    </w:p>
    <w:p w14:paraId="763B0ABE" w14:textId="34846B50" w:rsidR="004368A8" w:rsidRPr="00191C1D" w:rsidRDefault="00F956A0" w:rsidP="00F956A0">
      <w:pPr>
        <w:spacing w:before="240"/>
        <w:ind w:right="91"/>
        <w:rPr>
          <w:u w:val="single"/>
          <w:lang w:eastAsia="en-US"/>
        </w:rPr>
      </w:pPr>
      <w:r w:rsidRPr="00191C1D">
        <w:rPr>
          <w:u w:val="single"/>
          <w:lang w:eastAsia="en-US"/>
        </w:rPr>
        <w:t xml:space="preserve">Section </w:t>
      </w:r>
      <w:r w:rsidR="00573459" w:rsidRPr="00191C1D">
        <w:rPr>
          <w:u w:val="single"/>
          <w:lang w:eastAsia="en-US"/>
        </w:rPr>
        <w:t>8</w:t>
      </w:r>
      <w:r w:rsidRPr="00191C1D">
        <w:rPr>
          <w:u w:val="single"/>
          <w:lang w:eastAsia="en-US"/>
        </w:rPr>
        <w:t xml:space="preserve"> – Information to be entered on the Register</w:t>
      </w:r>
    </w:p>
    <w:p w14:paraId="596EB6BA" w14:textId="77777777" w:rsidR="004368A8" w:rsidRPr="00191C1D" w:rsidRDefault="004368A8" w:rsidP="00285CBA">
      <w:pPr>
        <w:rPr>
          <w:lang w:eastAsia="en-US"/>
        </w:rPr>
      </w:pPr>
    </w:p>
    <w:p w14:paraId="55E2A464" w14:textId="7723EE42" w:rsidR="004368A8" w:rsidRPr="00191C1D" w:rsidRDefault="00B070F4" w:rsidP="00285CBA">
      <w:pPr>
        <w:rPr>
          <w:lang w:eastAsia="en-US"/>
        </w:rPr>
      </w:pPr>
      <w:r w:rsidRPr="00191C1D">
        <w:rPr>
          <w:lang w:eastAsia="en-US"/>
        </w:rPr>
        <w:t>S</w:t>
      </w:r>
      <w:r w:rsidR="00F956A0" w:rsidRPr="00191C1D">
        <w:rPr>
          <w:lang w:eastAsia="en-US"/>
        </w:rPr>
        <w:t xml:space="preserve">ection </w:t>
      </w:r>
      <w:r w:rsidR="00573459" w:rsidRPr="00191C1D">
        <w:rPr>
          <w:lang w:eastAsia="en-US"/>
        </w:rPr>
        <w:t>8</w:t>
      </w:r>
      <w:r w:rsidRPr="00191C1D">
        <w:rPr>
          <w:lang w:eastAsia="en-US"/>
        </w:rPr>
        <w:t xml:space="preserve"> </w:t>
      </w:r>
      <w:r w:rsidR="000E5A7F" w:rsidRPr="00191C1D">
        <w:rPr>
          <w:lang w:eastAsia="en-US"/>
        </w:rPr>
        <w:t xml:space="preserve">prescribes </w:t>
      </w:r>
      <w:r w:rsidR="00F956A0" w:rsidRPr="00191C1D">
        <w:rPr>
          <w:lang w:eastAsia="en-US"/>
        </w:rPr>
        <w:t xml:space="preserve">certain types of information to be entered on the Register, </w:t>
      </w:r>
      <w:r w:rsidR="00231AF7" w:rsidRPr="00191C1D">
        <w:rPr>
          <w:lang w:eastAsia="en-US"/>
        </w:rPr>
        <w:t xml:space="preserve">for the purposes of </w:t>
      </w:r>
      <w:r w:rsidR="000E5A7F" w:rsidRPr="00191C1D">
        <w:rPr>
          <w:lang w:eastAsia="en-US"/>
        </w:rPr>
        <w:t>paragraph</w:t>
      </w:r>
      <w:r w:rsidR="00F956A0" w:rsidRPr="00191C1D">
        <w:rPr>
          <w:lang w:eastAsia="en-US"/>
        </w:rPr>
        <w:t xml:space="preserve"> 14A</w:t>
      </w:r>
      <w:r w:rsidR="00231AF7" w:rsidRPr="00191C1D">
        <w:rPr>
          <w:lang w:eastAsia="en-US"/>
        </w:rPr>
        <w:t>(</w:t>
      </w:r>
      <w:r w:rsidR="000E5A7F" w:rsidRPr="00191C1D">
        <w:rPr>
          <w:lang w:eastAsia="en-US"/>
        </w:rPr>
        <w:t>4</w:t>
      </w:r>
      <w:r w:rsidR="00231AF7" w:rsidRPr="00191C1D">
        <w:rPr>
          <w:lang w:eastAsia="en-US"/>
        </w:rPr>
        <w:t>)</w:t>
      </w:r>
      <w:r w:rsidR="000E5A7F" w:rsidRPr="00191C1D">
        <w:rPr>
          <w:lang w:eastAsia="en-US"/>
        </w:rPr>
        <w:t>(i)</w:t>
      </w:r>
      <w:r w:rsidR="00F956A0" w:rsidRPr="00191C1D">
        <w:rPr>
          <w:lang w:eastAsia="en-US"/>
        </w:rPr>
        <w:t xml:space="preserve"> of the Act. The Register is called the Commonwealth Register of Institutions </w:t>
      </w:r>
      <w:r w:rsidR="00F956A0" w:rsidRPr="00191C1D">
        <w:rPr>
          <w:lang w:eastAsia="en-US"/>
        </w:rPr>
        <w:lastRenderedPageBreak/>
        <w:t>and Courses for Overseas Students (CRICOS).</w:t>
      </w:r>
      <w:r w:rsidR="000E5A7F" w:rsidRPr="00191C1D">
        <w:rPr>
          <w:lang w:eastAsia="en-US"/>
        </w:rPr>
        <w:t xml:space="preserve"> </w:t>
      </w:r>
      <w:r w:rsidR="00F956A0" w:rsidRPr="00191C1D">
        <w:rPr>
          <w:lang w:eastAsia="en-US"/>
        </w:rPr>
        <w:t>The information relates to a provider’s registration to provide a course or courses at a location or locations</w:t>
      </w:r>
      <w:r w:rsidR="00231AF7" w:rsidRPr="00191C1D">
        <w:rPr>
          <w:lang w:eastAsia="en-US"/>
        </w:rPr>
        <w:t xml:space="preserve"> and includes information about:</w:t>
      </w:r>
    </w:p>
    <w:p w14:paraId="119DD77E" w14:textId="38785C47" w:rsidR="004368A8" w:rsidRPr="00191C1D" w:rsidRDefault="004368A8" w:rsidP="00285CBA">
      <w:pPr>
        <w:pStyle w:val="ListParagraph"/>
        <w:numPr>
          <w:ilvl w:val="0"/>
          <w:numId w:val="39"/>
        </w:numPr>
        <w:rPr>
          <w:lang w:eastAsia="en-US"/>
        </w:rPr>
      </w:pPr>
      <w:r w:rsidRPr="00191C1D">
        <w:rPr>
          <w:lang w:eastAsia="en-US"/>
        </w:rPr>
        <w:t xml:space="preserve">the provider’s </w:t>
      </w:r>
      <w:r w:rsidR="006738E6" w:rsidRPr="00191C1D">
        <w:rPr>
          <w:lang w:eastAsia="en-US"/>
        </w:rPr>
        <w:t xml:space="preserve">business </w:t>
      </w:r>
      <w:r w:rsidRPr="00191C1D">
        <w:rPr>
          <w:lang w:eastAsia="en-US"/>
        </w:rPr>
        <w:t>information;</w:t>
      </w:r>
    </w:p>
    <w:p w14:paraId="599A0917" w14:textId="7C78E4D5" w:rsidR="00E90F2A" w:rsidRPr="00191C1D" w:rsidRDefault="00E90F2A" w:rsidP="00231AF7">
      <w:pPr>
        <w:pStyle w:val="ListParagraph"/>
        <w:numPr>
          <w:ilvl w:val="0"/>
          <w:numId w:val="39"/>
        </w:numPr>
        <w:ind w:right="91"/>
        <w:rPr>
          <w:lang w:eastAsia="en-US"/>
        </w:rPr>
      </w:pPr>
      <w:r w:rsidRPr="00191C1D">
        <w:rPr>
          <w:lang w:eastAsia="en-US"/>
        </w:rPr>
        <w:t xml:space="preserve">the maximum number of overseas students to whom a course may be provided; </w:t>
      </w:r>
    </w:p>
    <w:p w14:paraId="33963D68" w14:textId="44EFC5CD" w:rsidR="00E90F2A" w:rsidRPr="00191C1D" w:rsidRDefault="00E90F2A" w:rsidP="00231AF7">
      <w:pPr>
        <w:pStyle w:val="ListParagraph"/>
        <w:numPr>
          <w:ilvl w:val="0"/>
          <w:numId w:val="39"/>
        </w:numPr>
        <w:ind w:right="91"/>
        <w:rPr>
          <w:lang w:eastAsia="en-US"/>
        </w:rPr>
      </w:pPr>
      <w:r w:rsidRPr="00191C1D">
        <w:rPr>
          <w:lang w:eastAsia="en-US"/>
        </w:rPr>
        <w:t xml:space="preserve">details about each course (including about duration, tuition and non-tuition fees payable and </w:t>
      </w:r>
      <w:r w:rsidR="006738E6" w:rsidRPr="00191C1D">
        <w:rPr>
          <w:lang w:eastAsia="en-US"/>
        </w:rPr>
        <w:t>how the course will be provided</w:t>
      </w:r>
      <w:r w:rsidRPr="00191C1D">
        <w:rPr>
          <w:lang w:eastAsia="en-US"/>
        </w:rPr>
        <w:t xml:space="preserve">); </w:t>
      </w:r>
    </w:p>
    <w:p w14:paraId="2148712B" w14:textId="33640DC0" w:rsidR="00F956A0" w:rsidRPr="00191C1D" w:rsidRDefault="00F956A0" w:rsidP="00F46AEA">
      <w:pPr>
        <w:pStyle w:val="ListParagraph"/>
        <w:numPr>
          <w:ilvl w:val="0"/>
          <w:numId w:val="39"/>
        </w:numPr>
        <w:ind w:right="91"/>
        <w:rPr>
          <w:lang w:eastAsia="en-US"/>
        </w:rPr>
      </w:pPr>
      <w:r w:rsidRPr="00191C1D">
        <w:rPr>
          <w:lang w:eastAsia="en-US"/>
        </w:rPr>
        <w:t>location</w:t>
      </w:r>
      <w:r w:rsidR="004368A8" w:rsidRPr="00191C1D">
        <w:rPr>
          <w:lang w:eastAsia="en-US"/>
        </w:rPr>
        <w:t xml:space="preserve"> details for each course</w:t>
      </w:r>
      <w:r w:rsidR="00391DB0" w:rsidRPr="00191C1D">
        <w:rPr>
          <w:lang w:eastAsia="en-US"/>
        </w:rPr>
        <w:t xml:space="preserve"> (including information about the individual responsible for the day-to-day operation of the provider at the location)</w:t>
      </w:r>
      <w:r w:rsidR="004368A8" w:rsidRPr="00191C1D">
        <w:rPr>
          <w:lang w:eastAsia="en-US"/>
        </w:rPr>
        <w:t xml:space="preserve">; </w:t>
      </w:r>
      <w:r w:rsidR="00E6556A" w:rsidRPr="00191C1D">
        <w:rPr>
          <w:lang w:eastAsia="en-US"/>
        </w:rPr>
        <w:t>and</w:t>
      </w:r>
    </w:p>
    <w:p w14:paraId="4435FF29" w14:textId="5B83F5F5" w:rsidR="00F956A0" w:rsidRPr="00191C1D" w:rsidRDefault="00F956A0" w:rsidP="00231AF7">
      <w:pPr>
        <w:pStyle w:val="ListParagraph"/>
        <w:numPr>
          <w:ilvl w:val="0"/>
          <w:numId w:val="39"/>
        </w:numPr>
        <w:ind w:right="91"/>
        <w:rPr>
          <w:lang w:eastAsia="en-US"/>
        </w:rPr>
      </w:pPr>
      <w:r w:rsidRPr="00191C1D">
        <w:rPr>
          <w:lang w:eastAsia="en-US"/>
        </w:rPr>
        <w:t>levels and fields of study of courses provided.</w:t>
      </w:r>
    </w:p>
    <w:p w14:paraId="07DA6AAC" w14:textId="3482D446" w:rsidR="00A5027C" w:rsidRPr="00191C1D" w:rsidRDefault="00C606DD" w:rsidP="00F956A0">
      <w:pPr>
        <w:spacing w:before="240"/>
        <w:ind w:right="91"/>
        <w:rPr>
          <w:lang w:eastAsia="en-US"/>
        </w:rPr>
      </w:pPr>
      <w:r w:rsidRPr="00191C1D">
        <w:rPr>
          <w:lang w:eastAsia="en-US"/>
        </w:rPr>
        <w:t>For the purposes of paragraph 8(2)(a), s</w:t>
      </w:r>
      <w:r w:rsidR="00A5027C" w:rsidRPr="00191C1D">
        <w:rPr>
          <w:lang w:eastAsia="en-US"/>
        </w:rPr>
        <w:t xml:space="preserve">ubsection </w:t>
      </w:r>
      <w:r w:rsidR="0023033A" w:rsidRPr="00191C1D">
        <w:rPr>
          <w:lang w:eastAsia="en-US"/>
        </w:rPr>
        <w:t>8</w:t>
      </w:r>
      <w:r w:rsidR="00A5027C" w:rsidRPr="00191C1D">
        <w:rPr>
          <w:lang w:eastAsia="en-US"/>
        </w:rPr>
        <w:t xml:space="preserve">(3) provides </w:t>
      </w:r>
      <w:r w:rsidR="0081138F" w:rsidRPr="00191C1D">
        <w:rPr>
          <w:lang w:eastAsia="en-US"/>
        </w:rPr>
        <w:t>the</w:t>
      </w:r>
      <w:r w:rsidR="00A5027C" w:rsidRPr="00191C1D">
        <w:rPr>
          <w:lang w:eastAsia="en-US"/>
        </w:rPr>
        <w:t xml:space="preserve"> levels of study and requirements for fields of study</w:t>
      </w:r>
      <w:r w:rsidR="00377218" w:rsidRPr="00191C1D">
        <w:rPr>
          <w:lang w:eastAsia="en-US"/>
        </w:rPr>
        <w:t xml:space="preserve"> for a course</w:t>
      </w:r>
      <w:r w:rsidR="00A5027C" w:rsidRPr="00191C1D">
        <w:rPr>
          <w:lang w:eastAsia="en-US"/>
        </w:rPr>
        <w:t xml:space="preserve">. Subparagraph </w:t>
      </w:r>
      <w:r w:rsidR="0023033A" w:rsidRPr="00191C1D">
        <w:rPr>
          <w:lang w:eastAsia="en-US"/>
        </w:rPr>
        <w:t>8</w:t>
      </w:r>
      <w:r w:rsidR="00A5027C" w:rsidRPr="00191C1D">
        <w:rPr>
          <w:lang w:eastAsia="en-US"/>
        </w:rPr>
        <w:t>(3)(a)(i) refers to the Australian Qualifications Framework</w:t>
      </w:r>
      <w:r w:rsidR="00B0757A" w:rsidRPr="00191C1D">
        <w:rPr>
          <w:lang w:eastAsia="en-US"/>
        </w:rPr>
        <w:t xml:space="preserve"> (AQF)</w:t>
      </w:r>
      <w:r w:rsidR="0008082B" w:rsidRPr="00191C1D">
        <w:rPr>
          <w:lang w:eastAsia="en-US"/>
        </w:rPr>
        <w:t>.</w:t>
      </w:r>
      <w:r w:rsidR="00A5027C" w:rsidRPr="00191C1D">
        <w:rPr>
          <w:lang w:eastAsia="en-US"/>
        </w:rPr>
        <w:t xml:space="preserve"> The </w:t>
      </w:r>
      <w:r w:rsidR="00B0757A" w:rsidRPr="00191C1D">
        <w:rPr>
          <w:lang w:eastAsia="en-US"/>
        </w:rPr>
        <w:t>AQF</w:t>
      </w:r>
      <w:r w:rsidR="00A5027C" w:rsidRPr="00191C1D">
        <w:rPr>
          <w:lang w:eastAsia="en-US"/>
        </w:rPr>
        <w:t xml:space="preserve"> </w:t>
      </w:r>
      <w:r w:rsidR="00B0757A" w:rsidRPr="00191C1D">
        <w:rPr>
          <w:lang w:eastAsia="en-US"/>
        </w:rPr>
        <w:t xml:space="preserve">is </w:t>
      </w:r>
      <w:r w:rsidR="00A5027C" w:rsidRPr="00191C1D">
        <w:rPr>
          <w:lang w:eastAsia="en-US"/>
        </w:rPr>
        <w:t xml:space="preserve">incorporated </w:t>
      </w:r>
      <w:r w:rsidR="00B0757A" w:rsidRPr="00191C1D">
        <w:rPr>
          <w:lang w:eastAsia="en-US"/>
        </w:rPr>
        <w:t xml:space="preserve">by reference </w:t>
      </w:r>
      <w:r w:rsidR="00A5027C" w:rsidRPr="00191C1D">
        <w:rPr>
          <w:lang w:eastAsia="en-US"/>
        </w:rPr>
        <w:t>as existing at the commencement of this section</w:t>
      </w:r>
      <w:r w:rsidR="00B0757A" w:rsidRPr="00191C1D">
        <w:rPr>
          <w:lang w:eastAsia="en-US"/>
        </w:rPr>
        <w:t>. The AQF</w:t>
      </w:r>
      <w:r w:rsidRPr="00191C1D">
        <w:rPr>
          <w:lang w:eastAsia="en-US"/>
        </w:rPr>
        <w:t xml:space="preserve"> is the national policy for regulated qualifications in Australian education and</w:t>
      </w:r>
      <w:r w:rsidR="0081263E" w:rsidRPr="00191C1D">
        <w:rPr>
          <w:lang w:eastAsia="en-US"/>
        </w:rPr>
        <w:t xml:space="preserve"> training. It incorporates the qualifications from each education and training sector into a single comprehensive national qualifications framework. The AQF</w:t>
      </w:r>
      <w:r w:rsidR="00B0757A" w:rsidRPr="00191C1D">
        <w:rPr>
          <w:lang w:eastAsia="en-US"/>
        </w:rPr>
        <w:t xml:space="preserve"> is </w:t>
      </w:r>
      <w:r w:rsidR="00862270" w:rsidRPr="00191C1D">
        <w:rPr>
          <w:lang w:eastAsia="en-US"/>
        </w:rPr>
        <w:t xml:space="preserve">publicly </w:t>
      </w:r>
      <w:r w:rsidR="00B0757A" w:rsidRPr="00191C1D">
        <w:rPr>
          <w:lang w:eastAsia="en-US"/>
        </w:rPr>
        <w:t>available</w:t>
      </w:r>
      <w:r w:rsidR="00A5027C" w:rsidRPr="00191C1D">
        <w:rPr>
          <w:lang w:eastAsia="en-US"/>
        </w:rPr>
        <w:t xml:space="preserve"> on </w:t>
      </w:r>
      <w:r w:rsidR="00B0757A" w:rsidRPr="00191C1D">
        <w:rPr>
          <w:lang w:eastAsia="en-US"/>
        </w:rPr>
        <w:t xml:space="preserve">the AQF website at </w:t>
      </w:r>
      <w:hyperlink r:id="rId11" w:history="1">
        <w:r w:rsidR="00B0757A" w:rsidRPr="00191C1D">
          <w:rPr>
            <w:rStyle w:val="Hyperlink"/>
            <w:lang w:eastAsia="en-US"/>
          </w:rPr>
          <w:t>www.aqf.edu.au</w:t>
        </w:r>
      </w:hyperlink>
      <w:r w:rsidR="00B0757A" w:rsidRPr="00191C1D">
        <w:rPr>
          <w:lang w:eastAsia="en-US"/>
        </w:rPr>
        <w:t xml:space="preserve">. Subparagraph </w:t>
      </w:r>
      <w:r w:rsidR="0023033A" w:rsidRPr="00191C1D">
        <w:rPr>
          <w:lang w:eastAsia="en-US"/>
        </w:rPr>
        <w:t>8</w:t>
      </w:r>
      <w:r w:rsidR="00B0757A" w:rsidRPr="00191C1D">
        <w:rPr>
          <w:lang w:eastAsia="en-US"/>
        </w:rPr>
        <w:t>(3)(b)(i) refers to the Australian Standard Classification of Education (ASCE</w:t>
      </w:r>
      <w:r w:rsidR="00E27498" w:rsidRPr="00191C1D">
        <w:rPr>
          <w:lang w:eastAsia="en-US"/>
        </w:rPr>
        <w:t>D</w:t>
      </w:r>
      <w:r w:rsidR="00B0757A" w:rsidRPr="00191C1D">
        <w:rPr>
          <w:lang w:eastAsia="en-US"/>
        </w:rPr>
        <w:t>).</w:t>
      </w:r>
      <w:r w:rsidR="00862270" w:rsidRPr="00191C1D">
        <w:rPr>
          <w:lang w:eastAsia="en-US"/>
        </w:rPr>
        <w:t xml:space="preserve"> The ASCE</w:t>
      </w:r>
      <w:r w:rsidR="00E27498" w:rsidRPr="00191C1D">
        <w:rPr>
          <w:lang w:eastAsia="en-US"/>
        </w:rPr>
        <w:t>D</w:t>
      </w:r>
      <w:r w:rsidR="0008082B" w:rsidRPr="00191C1D">
        <w:rPr>
          <w:lang w:eastAsia="en-US"/>
        </w:rPr>
        <w:t>, published by the Australian Statistician in 2001,</w:t>
      </w:r>
      <w:r w:rsidR="00862270" w:rsidRPr="00191C1D">
        <w:rPr>
          <w:lang w:eastAsia="en-US"/>
        </w:rPr>
        <w:t xml:space="preserve"> is incorporated by reference as existing </w:t>
      </w:r>
      <w:r w:rsidR="00377218" w:rsidRPr="00191C1D">
        <w:rPr>
          <w:lang w:eastAsia="en-US"/>
        </w:rPr>
        <w:t>on 1 October 2019.</w:t>
      </w:r>
      <w:r w:rsidR="0011491F" w:rsidRPr="00191C1D">
        <w:rPr>
          <w:lang w:eastAsia="en-US"/>
        </w:rPr>
        <w:t xml:space="preserve"> </w:t>
      </w:r>
      <w:r w:rsidR="0081263E" w:rsidRPr="00191C1D">
        <w:rPr>
          <w:lang w:eastAsia="en-US"/>
        </w:rPr>
        <w:t xml:space="preserve">The ASCED is a statistical classification for use in the collection and analysis of data on educational activity and attainment. </w:t>
      </w:r>
      <w:r w:rsidR="00862270" w:rsidRPr="00191C1D">
        <w:rPr>
          <w:lang w:eastAsia="en-US"/>
        </w:rPr>
        <w:t>The ASCE</w:t>
      </w:r>
      <w:r w:rsidR="00377218" w:rsidRPr="00191C1D">
        <w:rPr>
          <w:lang w:eastAsia="en-US"/>
        </w:rPr>
        <w:t>D</w:t>
      </w:r>
      <w:r w:rsidR="00862270" w:rsidRPr="00191C1D">
        <w:rPr>
          <w:lang w:eastAsia="en-US"/>
        </w:rPr>
        <w:t xml:space="preserve"> is publicly available on the Australian Bureau of Statistics website</w:t>
      </w:r>
      <w:r w:rsidR="00E27498" w:rsidRPr="00191C1D">
        <w:rPr>
          <w:lang w:eastAsia="en-US"/>
        </w:rPr>
        <w:t xml:space="preserve"> at</w:t>
      </w:r>
      <w:r w:rsidR="00862270" w:rsidRPr="00191C1D">
        <w:rPr>
          <w:lang w:eastAsia="en-US"/>
        </w:rPr>
        <w:t xml:space="preserve"> </w:t>
      </w:r>
      <w:hyperlink r:id="rId12" w:history="1">
        <w:r w:rsidR="00862270" w:rsidRPr="00191C1D">
          <w:rPr>
            <w:rStyle w:val="Hyperlink"/>
            <w:lang w:eastAsia="en-US"/>
          </w:rPr>
          <w:t>www.abs.gov.au</w:t>
        </w:r>
      </w:hyperlink>
      <w:r w:rsidR="00862270" w:rsidRPr="00191C1D">
        <w:rPr>
          <w:lang w:eastAsia="en-US"/>
        </w:rPr>
        <w:t xml:space="preserve">. </w:t>
      </w:r>
    </w:p>
    <w:p w14:paraId="576572B8" w14:textId="63853724" w:rsidR="004368A8" w:rsidRPr="00191C1D" w:rsidRDefault="004368A8" w:rsidP="00F956A0">
      <w:pPr>
        <w:spacing w:before="240"/>
        <w:ind w:right="91"/>
        <w:rPr>
          <w:b/>
          <w:lang w:eastAsia="en-US"/>
        </w:rPr>
      </w:pPr>
      <w:r w:rsidRPr="00191C1D">
        <w:rPr>
          <w:b/>
          <w:lang w:eastAsia="en-US"/>
        </w:rPr>
        <w:t xml:space="preserve">Part 3 – Obligations on registered providers </w:t>
      </w:r>
    </w:p>
    <w:p w14:paraId="3366836D" w14:textId="46C8D508" w:rsidR="004368A8" w:rsidRPr="00191C1D" w:rsidRDefault="004368A8" w:rsidP="00F956A0">
      <w:pPr>
        <w:spacing w:before="240"/>
        <w:ind w:right="91"/>
        <w:rPr>
          <w:b/>
          <w:i/>
          <w:lang w:eastAsia="en-US"/>
        </w:rPr>
      </w:pPr>
      <w:r w:rsidRPr="00191C1D">
        <w:rPr>
          <w:b/>
          <w:i/>
          <w:lang w:eastAsia="en-US"/>
        </w:rPr>
        <w:t xml:space="preserve">Division 1 – Giving information about accepted students </w:t>
      </w:r>
    </w:p>
    <w:p w14:paraId="668AAB3F" w14:textId="1A164F6F" w:rsidR="00F956A0" w:rsidRPr="00191C1D" w:rsidRDefault="00F956A0" w:rsidP="00F956A0">
      <w:pPr>
        <w:spacing w:before="240"/>
        <w:ind w:right="91"/>
        <w:rPr>
          <w:u w:val="single"/>
          <w:lang w:eastAsia="en-US"/>
        </w:rPr>
      </w:pPr>
      <w:r w:rsidRPr="00191C1D">
        <w:rPr>
          <w:u w:val="single"/>
          <w:lang w:eastAsia="en-US"/>
        </w:rPr>
        <w:t xml:space="preserve">Section </w:t>
      </w:r>
      <w:r w:rsidR="0011491F" w:rsidRPr="00191C1D">
        <w:rPr>
          <w:u w:val="single"/>
          <w:lang w:eastAsia="en-US"/>
        </w:rPr>
        <w:t>9</w:t>
      </w:r>
      <w:r w:rsidRPr="00191C1D">
        <w:rPr>
          <w:u w:val="single"/>
          <w:lang w:eastAsia="en-US"/>
        </w:rPr>
        <w:t xml:space="preserve"> – Students who become accepted</w:t>
      </w:r>
    </w:p>
    <w:p w14:paraId="70D88A8B" w14:textId="34C9CC53" w:rsidR="00F956A0" w:rsidRPr="00191C1D" w:rsidRDefault="00B070F4" w:rsidP="00322C58">
      <w:pPr>
        <w:spacing w:before="240"/>
        <w:ind w:right="91"/>
        <w:rPr>
          <w:lang w:eastAsia="en-US"/>
        </w:rPr>
      </w:pPr>
      <w:r w:rsidRPr="00191C1D">
        <w:rPr>
          <w:lang w:eastAsia="en-US"/>
        </w:rPr>
        <w:t>S</w:t>
      </w:r>
      <w:r w:rsidR="00F956A0" w:rsidRPr="00191C1D">
        <w:rPr>
          <w:lang w:eastAsia="en-US"/>
        </w:rPr>
        <w:t>ection</w:t>
      </w:r>
      <w:r w:rsidRPr="00191C1D">
        <w:rPr>
          <w:lang w:eastAsia="en-US"/>
        </w:rPr>
        <w:t xml:space="preserve"> </w:t>
      </w:r>
      <w:r w:rsidR="0011491F" w:rsidRPr="00191C1D">
        <w:rPr>
          <w:lang w:eastAsia="en-US"/>
        </w:rPr>
        <w:t>9</w:t>
      </w:r>
      <w:r w:rsidR="00F956A0" w:rsidRPr="00191C1D">
        <w:rPr>
          <w:lang w:eastAsia="en-US"/>
        </w:rPr>
        <w:t xml:space="preserve"> provides that a registered provider must give certain types of information about </w:t>
      </w:r>
      <w:r w:rsidR="00261B07" w:rsidRPr="00191C1D">
        <w:rPr>
          <w:lang w:eastAsia="en-US"/>
        </w:rPr>
        <w:t xml:space="preserve">each person who becomes an </w:t>
      </w:r>
      <w:r w:rsidR="00F956A0" w:rsidRPr="00191C1D">
        <w:rPr>
          <w:lang w:eastAsia="en-US"/>
        </w:rPr>
        <w:t>accepted student</w:t>
      </w:r>
      <w:r w:rsidR="00261B07" w:rsidRPr="00191C1D">
        <w:rPr>
          <w:lang w:eastAsia="en-US"/>
        </w:rPr>
        <w:t xml:space="preserve"> of that provider</w:t>
      </w:r>
      <w:r w:rsidR="00F956A0" w:rsidRPr="00191C1D">
        <w:rPr>
          <w:lang w:eastAsia="en-US"/>
        </w:rPr>
        <w:t xml:space="preserve"> for the purposes of paragraph 19(1)(a) of the Act.</w:t>
      </w:r>
      <w:r w:rsidR="00387521" w:rsidRPr="00191C1D">
        <w:rPr>
          <w:lang w:eastAsia="en-US"/>
        </w:rPr>
        <w:t xml:space="preserve"> </w:t>
      </w:r>
      <w:r w:rsidR="00322C58" w:rsidRPr="00191C1D">
        <w:rPr>
          <w:lang w:eastAsia="en-US"/>
        </w:rPr>
        <w:t xml:space="preserve">The registered provider is required to enter this information </w:t>
      </w:r>
      <w:r w:rsidR="00322C58" w:rsidRPr="00191C1D">
        <w:t xml:space="preserve">in the Provider Registration and </w:t>
      </w:r>
      <w:r w:rsidR="00272E8C" w:rsidRPr="00191C1D">
        <w:t>International Student Management</w:t>
      </w:r>
      <w:r w:rsidR="00322C58" w:rsidRPr="00191C1D">
        <w:t xml:space="preserve"> System (PRISMS)</w:t>
      </w:r>
      <w:r w:rsidR="0011491F" w:rsidRPr="00191C1D">
        <w:t>.</w:t>
      </w:r>
    </w:p>
    <w:p w14:paraId="611E3CCD" w14:textId="77777777" w:rsidR="00F956A0" w:rsidRPr="00191C1D" w:rsidRDefault="00F956A0" w:rsidP="00F956A0">
      <w:pPr>
        <w:ind w:right="91"/>
        <w:rPr>
          <w:lang w:eastAsia="en-US"/>
        </w:rPr>
      </w:pPr>
    </w:p>
    <w:p w14:paraId="052677DA" w14:textId="4352B91E" w:rsidR="00E11307" w:rsidRPr="00191C1D" w:rsidRDefault="00387521" w:rsidP="00F956A0">
      <w:pPr>
        <w:ind w:right="91"/>
        <w:rPr>
          <w:lang w:eastAsia="en-US"/>
        </w:rPr>
      </w:pPr>
      <w:r w:rsidRPr="00191C1D">
        <w:rPr>
          <w:lang w:eastAsia="en-US"/>
        </w:rPr>
        <w:t>This</w:t>
      </w:r>
      <w:r w:rsidR="00F956A0" w:rsidRPr="00191C1D">
        <w:rPr>
          <w:lang w:eastAsia="en-US"/>
        </w:rPr>
        <w:t xml:space="preserve"> includes:</w:t>
      </w:r>
    </w:p>
    <w:p w14:paraId="2DBA3435" w14:textId="1FDDBBC1" w:rsidR="00387521" w:rsidRPr="00191C1D" w:rsidRDefault="00387521" w:rsidP="00F956A0">
      <w:pPr>
        <w:pStyle w:val="ListParagraph"/>
        <w:numPr>
          <w:ilvl w:val="0"/>
          <w:numId w:val="37"/>
        </w:numPr>
        <w:ind w:right="91"/>
        <w:rPr>
          <w:lang w:eastAsia="en-US"/>
        </w:rPr>
      </w:pPr>
      <w:r w:rsidRPr="00191C1D">
        <w:rPr>
          <w:lang w:eastAsia="en-US"/>
        </w:rPr>
        <w:t xml:space="preserve">information about the student; </w:t>
      </w:r>
    </w:p>
    <w:p w14:paraId="48B333F5" w14:textId="31A6D610" w:rsidR="00F956A0" w:rsidRPr="00191C1D" w:rsidRDefault="00F956A0" w:rsidP="00F956A0">
      <w:pPr>
        <w:pStyle w:val="ListParagraph"/>
        <w:numPr>
          <w:ilvl w:val="0"/>
          <w:numId w:val="37"/>
        </w:numPr>
        <w:ind w:right="91"/>
        <w:rPr>
          <w:lang w:eastAsia="en-US"/>
        </w:rPr>
      </w:pPr>
      <w:r w:rsidRPr="00191C1D">
        <w:rPr>
          <w:lang w:eastAsia="en-US"/>
        </w:rPr>
        <w:t xml:space="preserve">details </w:t>
      </w:r>
      <w:r w:rsidR="00387521" w:rsidRPr="00191C1D">
        <w:rPr>
          <w:lang w:eastAsia="en-US"/>
        </w:rPr>
        <w:t>about</w:t>
      </w:r>
      <w:r w:rsidRPr="00191C1D">
        <w:rPr>
          <w:lang w:eastAsia="en-US"/>
        </w:rPr>
        <w:t xml:space="preserve"> the course;</w:t>
      </w:r>
    </w:p>
    <w:p w14:paraId="1DDD2508" w14:textId="5783C0AB" w:rsidR="00F956A0" w:rsidRPr="00191C1D" w:rsidRDefault="00387521" w:rsidP="00F956A0">
      <w:pPr>
        <w:pStyle w:val="ListParagraph"/>
        <w:numPr>
          <w:ilvl w:val="0"/>
          <w:numId w:val="37"/>
        </w:numPr>
        <w:ind w:right="91"/>
        <w:rPr>
          <w:lang w:eastAsia="en-US"/>
        </w:rPr>
      </w:pPr>
      <w:r w:rsidRPr="00191C1D">
        <w:rPr>
          <w:lang w:eastAsia="en-US"/>
        </w:rPr>
        <w:t xml:space="preserve">agreed starting day and </w:t>
      </w:r>
      <w:r w:rsidR="00F956A0" w:rsidRPr="00191C1D">
        <w:rPr>
          <w:lang w:eastAsia="en-US"/>
        </w:rPr>
        <w:t>expected completion date of the course;</w:t>
      </w:r>
    </w:p>
    <w:p w14:paraId="0C144A2F" w14:textId="55BC8A9F" w:rsidR="00387521" w:rsidRPr="00191C1D" w:rsidRDefault="00F956A0" w:rsidP="00F956A0">
      <w:pPr>
        <w:pStyle w:val="ListParagraph"/>
        <w:numPr>
          <w:ilvl w:val="0"/>
          <w:numId w:val="37"/>
        </w:numPr>
        <w:ind w:right="91"/>
        <w:rPr>
          <w:lang w:eastAsia="en-US"/>
        </w:rPr>
      </w:pPr>
      <w:r w:rsidRPr="00191C1D">
        <w:rPr>
          <w:lang w:eastAsia="en-US"/>
        </w:rPr>
        <w:t xml:space="preserve">tuition and non-tuition fees paid </w:t>
      </w:r>
      <w:r w:rsidR="00E6556A" w:rsidRPr="00191C1D">
        <w:rPr>
          <w:lang w:eastAsia="en-US"/>
        </w:rPr>
        <w:t>for</w:t>
      </w:r>
      <w:r w:rsidRPr="00191C1D">
        <w:rPr>
          <w:lang w:eastAsia="en-US"/>
        </w:rPr>
        <w:t xml:space="preserve"> the student to the provider</w:t>
      </w:r>
      <w:r w:rsidR="00387521" w:rsidRPr="00191C1D">
        <w:rPr>
          <w:lang w:eastAsia="en-US"/>
        </w:rPr>
        <w:t xml:space="preserve"> for the course;</w:t>
      </w:r>
    </w:p>
    <w:p w14:paraId="1D540527" w14:textId="28B323C9" w:rsidR="00387521" w:rsidRPr="00191C1D" w:rsidRDefault="00387521" w:rsidP="00F956A0">
      <w:pPr>
        <w:pStyle w:val="ListParagraph"/>
        <w:numPr>
          <w:ilvl w:val="0"/>
          <w:numId w:val="37"/>
        </w:numPr>
        <w:ind w:right="91"/>
        <w:rPr>
          <w:lang w:eastAsia="en-US"/>
        </w:rPr>
      </w:pPr>
      <w:r w:rsidRPr="00191C1D">
        <w:rPr>
          <w:lang w:eastAsia="en-US"/>
        </w:rPr>
        <w:t xml:space="preserve">total amount of tuition fees the student </w:t>
      </w:r>
      <w:r w:rsidR="0033498E" w:rsidRPr="00191C1D">
        <w:rPr>
          <w:lang w:eastAsia="en-US"/>
        </w:rPr>
        <w:t xml:space="preserve">is required to pay to undertake </w:t>
      </w:r>
      <w:r w:rsidRPr="00191C1D">
        <w:rPr>
          <w:lang w:eastAsia="en-US"/>
        </w:rPr>
        <w:t>the course</w:t>
      </w:r>
      <w:r w:rsidR="00F956A0" w:rsidRPr="00191C1D">
        <w:rPr>
          <w:lang w:eastAsia="en-US"/>
        </w:rPr>
        <w:t>;</w:t>
      </w:r>
      <w:r w:rsidR="00E6556A" w:rsidRPr="00191C1D">
        <w:rPr>
          <w:lang w:eastAsia="en-US"/>
        </w:rPr>
        <w:t xml:space="preserve"> </w:t>
      </w:r>
      <w:r w:rsidR="0033498E" w:rsidRPr="00191C1D">
        <w:rPr>
          <w:lang w:eastAsia="en-US"/>
        </w:rPr>
        <w:t xml:space="preserve">and </w:t>
      </w:r>
      <w:r w:rsidR="00E6556A" w:rsidRPr="00191C1D">
        <w:rPr>
          <w:lang w:eastAsia="en-US"/>
        </w:rPr>
        <w:t xml:space="preserve"> </w:t>
      </w:r>
    </w:p>
    <w:p w14:paraId="69A3C5EB" w14:textId="3FC33B37" w:rsidR="0033498E" w:rsidRPr="00191C1D" w:rsidRDefault="00F956A0" w:rsidP="0033498E">
      <w:pPr>
        <w:pStyle w:val="ListParagraph"/>
        <w:numPr>
          <w:ilvl w:val="0"/>
          <w:numId w:val="37"/>
        </w:numPr>
        <w:ind w:right="91"/>
        <w:rPr>
          <w:lang w:eastAsia="en-US"/>
        </w:rPr>
      </w:pPr>
      <w:r w:rsidRPr="00191C1D">
        <w:rPr>
          <w:lang w:eastAsia="en-US"/>
        </w:rPr>
        <w:t>student visa information</w:t>
      </w:r>
      <w:r w:rsidR="0033498E" w:rsidRPr="00191C1D">
        <w:rPr>
          <w:lang w:eastAsia="en-US"/>
        </w:rPr>
        <w:t xml:space="preserve">. </w:t>
      </w:r>
    </w:p>
    <w:p w14:paraId="418D2B01" w14:textId="1A55AD1A" w:rsidR="0033498E" w:rsidRPr="00191C1D" w:rsidRDefault="0033498E" w:rsidP="0033498E">
      <w:pPr>
        <w:ind w:right="91"/>
        <w:rPr>
          <w:lang w:eastAsia="en-US"/>
        </w:rPr>
      </w:pPr>
    </w:p>
    <w:p w14:paraId="26CB42D2" w14:textId="7B709F25" w:rsidR="0011491F" w:rsidRPr="00191C1D" w:rsidRDefault="0033498E" w:rsidP="0067016F">
      <w:pPr>
        <w:ind w:right="91"/>
        <w:rPr>
          <w:lang w:eastAsia="en-US"/>
        </w:rPr>
      </w:pPr>
      <w:r w:rsidRPr="00191C1D">
        <w:rPr>
          <w:lang w:eastAsia="en-US"/>
        </w:rPr>
        <w:t xml:space="preserve">Paragraph </w:t>
      </w:r>
      <w:r w:rsidR="005D4256">
        <w:rPr>
          <w:lang w:eastAsia="en-US"/>
        </w:rPr>
        <w:t>9</w:t>
      </w:r>
      <w:r w:rsidRPr="00191C1D">
        <w:rPr>
          <w:lang w:eastAsia="en-US"/>
        </w:rPr>
        <w:t xml:space="preserve">(q) </w:t>
      </w:r>
      <w:r w:rsidR="0011491F" w:rsidRPr="00191C1D">
        <w:rPr>
          <w:lang w:eastAsia="en-US"/>
        </w:rPr>
        <w:t>requires the provide</w:t>
      </w:r>
      <w:r w:rsidR="0067016F" w:rsidRPr="00191C1D">
        <w:rPr>
          <w:lang w:eastAsia="en-US"/>
        </w:rPr>
        <w:t>r</w:t>
      </w:r>
      <w:r w:rsidR="0011491F" w:rsidRPr="00191C1D">
        <w:rPr>
          <w:lang w:eastAsia="en-US"/>
        </w:rPr>
        <w:t xml:space="preserve"> to enter information</w:t>
      </w:r>
      <w:r w:rsidR="0067016F" w:rsidRPr="00191C1D">
        <w:rPr>
          <w:lang w:eastAsia="en-US"/>
        </w:rPr>
        <w:t xml:space="preserve"> about a student’s completion of an English language proficiency test under the </w:t>
      </w:r>
      <w:r w:rsidR="0067016F" w:rsidRPr="00191C1D">
        <w:rPr>
          <w:i/>
          <w:lang w:eastAsia="en-US"/>
        </w:rPr>
        <w:t xml:space="preserve">Migration Regulations 1994. </w:t>
      </w:r>
      <w:r w:rsidR="0067016F" w:rsidRPr="00191C1D">
        <w:rPr>
          <w:lang w:eastAsia="en-US"/>
        </w:rPr>
        <w:t>If</w:t>
      </w:r>
      <w:r w:rsidR="0011491F" w:rsidRPr="00191C1D">
        <w:rPr>
          <w:lang w:eastAsia="en-US"/>
        </w:rPr>
        <w:t xml:space="preserve"> undertaking a particular English language proficiency test is a requirement specified under paragraph 500.213(3)(a) of Schedule 2 to the </w:t>
      </w:r>
      <w:r w:rsidR="0011491F" w:rsidRPr="00191C1D">
        <w:rPr>
          <w:i/>
          <w:lang w:eastAsia="en-US"/>
        </w:rPr>
        <w:t>Migration Regulations 1994</w:t>
      </w:r>
      <w:r w:rsidR="00411E71" w:rsidRPr="00191C1D">
        <w:rPr>
          <w:i/>
          <w:lang w:eastAsia="en-US"/>
        </w:rPr>
        <w:t>,</w:t>
      </w:r>
      <w:r w:rsidR="0067016F" w:rsidRPr="00191C1D">
        <w:rPr>
          <w:i/>
          <w:lang w:eastAsia="en-US"/>
        </w:rPr>
        <w:t xml:space="preserve"> </w:t>
      </w:r>
      <w:r w:rsidR="0067016F" w:rsidRPr="00191C1D">
        <w:rPr>
          <w:lang w:eastAsia="en-US"/>
        </w:rPr>
        <w:t>and the student has undertaken that test (whether or not for the purposes of a Subclass 500 (Student) visa), the provider m</w:t>
      </w:r>
      <w:r w:rsidR="00662FBA" w:rsidRPr="00191C1D">
        <w:rPr>
          <w:lang w:eastAsia="en-US"/>
        </w:rPr>
        <w:t xml:space="preserve">ust record the name of the test, the </w:t>
      </w:r>
      <w:r w:rsidR="00D507B8" w:rsidRPr="00191C1D">
        <w:rPr>
          <w:lang w:eastAsia="en-US"/>
        </w:rPr>
        <w:t xml:space="preserve">date the student undertook the test and </w:t>
      </w:r>
      <w:r w:rsidR="0067016F" w:rsidRPr="00191C1D">
        <w:rPr>
          <w:lang w:eastAsia="en-US"/>
        </w:rPr>
        <w:t xml:space="preserve">score the student </w:t>
      </w:r>
      <w:r w:rsidR="00D507B8" w:rsidRPr="00191C1D">
        <w:rPr>
          <w:lang w:eastAsia="en-US"/>
        </w:rPr>
        <w:t xml:space="preserve">received. </w:t>
      </w:r>
    </w:p>
    <w:p w14:paraId="4FF36F4F" w14:textId="77777777" w:rsidR="00D507B8" w:rsidRPr="00191C1D" w:rsidRDefault="00D507B8" w:rsidP="0033498E">
      <w:pPr>
        <w:ind w:right="91"/>
        <w:rPr>
          <w:lang w:eastAsia="en-US"/>
        </w:rPr>
      </w:pPr>
    </w:p>
    <w:p w14:paraId="793F6758" w14:textId="2A96596F" w:rsidR="00662FBA" w:rsidRPr="00191C1D" w:rsidRDefault="00156CEA" w:rsidP="0033498E">
      <w:pPr>
        <w:ind w:right="91"/>
        <w:rPr>
          <w:lang w:eastAsia="en-US"/>
        </w:rPr>
      </w:pPr>
      <w:r w:rsidRPr="00191C1D">
        <w:rPr>
          <w:lang w:eastAsia="en-US"/>
        </w:rPr>
        <w:lastRenderedPageBreak/>
        <w:t xml:space="preserve">Paragraph </w:t>
      </w:r>
      <w:r w:rsidR="005D4256">
        <w:rPr>
          <w:lang w:eastAsia="en-US"/>
        </w:rPr>
        <w:t>9</w:t>
      </w:r>
      <w:r w:rsidRPr="00191C1D">
        <w:rPr>
          <w:lang w:eastAsia="en-US"/>
        </w:rPr>
        <w:t>(</w:t>
      </w:r>
      <w:r w:rsidR="0067016F" w:rsidRPr="00191C1D">
        <w:rPr>
          <w:lang w:eastAsia="en-US"/>
        </w:rPr>
        <w:t>r</w:t>
      </w:r>
      <w:r w:rsidRPr="00191C1D">
        <w:rPr>
          <w:lang w:eastAsia="en-US"/>
        </w:rPr>
        <w:t>) provide</w:t>
      </w:r>
      <w:r w:rsidR="00D3020D" w:rsidRPr="00191C1D">
        <w:rPr>
          <w:lang w:eastAsia="en-US"/>
        </w:rPr>
        <w:t>s</w:t>
      </w:r>
      <w:r w:rsidR="00662FBA" w:rsidRPr="00191C1D">
        <w:rPr>
          <w:lang w:eastAsia="en-US"/>
        </w:rPr>
        <w:t xml:space="preserve"> that if the stu</w:t>
      </w:r>
      <w:r w:rsidR="00D73AAD" w:rsidRPr="00191C1D">
        <w:rPr>
          <w:lang w:eastAsia="en-US"/>
        </w:rPr>
        <w:t xml:space="preserve">dent holds, or has applied for, </w:t>
      </w:r>
      <w:r w:rsidR="00662FBA" w:rsidRPr="00191C1D">
        <w:rPr>
          <w:lang w:eastAsia="en-US"/>
        </w:rPr>
        <w:t xml:space="preserve">a Subclass 500 </w:t>
      </w:r>
      <w:r w:rsidR="00D73AAD" w:rsidRPr="00191C1D">
        <w:rPr>
          <w:lang w:eastAsia="en-US"/>
        </w:rPr>
        <w:t xml:space="preserve">(Student) visa and the </w:t>
      </w:r>
      <w:r w:rsidRPr="00191C1D">
        <w:rPr>
          <w:lang w:eastAsia="en-US"/>
        </w:rPr>
        <w:t xml:space="preserve">student was within a class of applicants specified under paragraph 500.213(3)(b) of Schedule 2 to the </w:t>
      </w:r>
      <w:r w:rsidRPr="00191C1D">
        <w:rPr>
          <w:i/>
          <w:lang w:eastAsia="en-US"/>
        </w:rPr>
        <w:t xml:space="preserve">Migration Regulations 1994, </w:t>
      </w:r>
      <w:r w:rsidRPr="00191C1D">
        <w:rPr>
          <w:lang w:eastAsia="en-US"/>
        </w:rPr>
        <w:t xml:space="preserve">which refers to the classes of applicants who are exempt from </w:t>
      </w:r>
      <w:r w:rsidR="00FF10AE" w:rsidRPr="00191C1D">
        <w:rPr>
          <w:lang w:eastAsia="en-US"/>
        </w:rPr>
        <w:t>subclause</w:t>
      </w:r>
      <w:r w:rsidR="000E3830" w:rsidRPr="00191C1D">
        <w:rPr>
          <w:lang w:eastAsia="en-US"/>
        </w:rPr>
        <w:t xml:space="preserve"> 500.213(1) and is not required to undertake that particular test,</w:t>
      </w:r>
      <w:r w:rsidRPr="00191C1D">
        <w:rPr>
          <w:lang w:eastAsia="en-US"/>
        </w:rPr>
        <w:t xml:space="preserve"> the provider is required to provide details of the class of exemption which applies to that student. </w:t>
      </w:r>
    </w:p>
    <w:p w14:paraId="2C00BEFD" w14:textId="4C48AA40" w:rsidR="00F956A0" w:rsidRPr="00191C1D" w:rsidRDefault="00F956A0" w:rsidP="00F956A0">
      <w:pPr>
        <w:spacing w:before="240"/>
        <w:ind w:right="91"/>
        <w:rPr>
          <w:u w:val="single"/>
          <w:lang w:eastAsia="en-US"/>
        </w:rPr>
      </w:pPr>
      <w:r w:rsidRPr="00191C1D">
        <w:rPr>
          <w:u w:val="single"/>
          <w:lang w:eastAsia="en-US"/>
        </w:rPr>
        <w:t xml:space="preserve">Section </w:t>
      </w:r>
      <w:r w:rsidR="0067016F" w:rsidRPr="00191C1D">
        <w:rPr>
          <w:u w:val="single"/>
          <w:lang w:eastAsia="en-US"/>
        </w:rPr>
        <w:t>10</w:t>
      </w:r>
      <w:r w:rsidRPr="00191C1D">
        <w:rPr>
          <w:u w:val="single"/>
          <w:lang w:eastAsia="en-US"/>
        </w:rPr>
        <w:t xml:space="preserve"> – Students who do not begin courses when expected</w:t>
      </w:r>
    </w:p>
    <w:p w14:paraId="5E2ECED7" w14:textId="77777777" w:rsidR="00662FBA" w:rsidRPr="00191C1D" w:rsidRDefault="00662FBA" w:rsidP="00DB35D1">
      <w:pPr>
        <w:ind w:right="91"/>
        <w:rPr>
          <w:lang w:eastAsia="en-US"/>
        </w:rPr>
      </w:pPr>
    </w:p>
    <w:p w14:paraId="73B51E91" w14:textId="2B022332" w:rsidR="00662FBA" w:rsidRPr="00191C1D" w:rsidRDefault="00AF0A4F" w:rsidP="00DB35D1">
      <w:pPr>
        <w:ind w:right="91"/>
        <w:rPr>
          <w:lang w:eastAsia="en-US"/>
        </w:rPr>
      </w:pPr>
      <w:r w:rsidRPr="00191C1D">
        <w:rPr>
          <w:lang w:eastAsia="en-US"/>
        </w:rPr>
        <w:t xml:space="preserve">Section </w:t>
      </w:r>
      <w:r w:rsidR="0067016F" w:rsidRPr="00191C1D">
        <w:rPr>
          <w:lang w:eastAsia="en-US"/>
        </w:rPr>
        <w:t>10</w:t>
      </w:r>
      <w:r w:rsidRPr="00191C1D">
        <w:rPr>
          <w:lang w:eastAsia="en-US"/>
        </w:rPr>
        <w:t xml:space="preserve"> provides that t</w:t>
      </w:r>
      <w:r w:rsidR="00E11307" w:rsidRPr="00191C1D">
        <w:rPr>
          <w:lang w:eastAsia="en-US"/>
        </w:rPr>
        <w:t>he</w:t>
      </w:r>
      <w:r w:rsidR="00F956A0" w:rsidRPr="00191C1D">
        <w:rPr>
          <w:lang w:eastAsia="en-US"/>
        </w:rPr>
        <w:t xml:space="preserve"> registered provider must give certain types of information about an </w:t>
      </w:r>
    </w:p>
    <w:p w14:paraId="309FCCD1" w14:textId="63846D11" w:rsidR="00F956A0" w:rsidRPr="00191C1D" w:rsidRDefault="00F956A0" w:rsidP="00DB35D1">
      <w:pPr>
        <w:ind w:right="91"/>
        <w:rPr>
          <w:lang w:eastAsia="en-US"/>
        </w:rPr>
      </w:pPr>
      <w:r w:rsidRPr="00191C1D">
        <w:rPr>
          <w:lang w:eastAsia="en-US"/>
        </w:rPr>
        <w:t>accepted student for the purposes of paragraph 19(1)(c) of the Act</w:t>
      </w:r>
      <w:r w:rsidR="00ED45D8" w:rsidRPr="00191C1D">
        <w:rPr>
          <w:lang w:eastAsia="en-US"/>
        </w:rPr>
        <w:t>.</w:t>
      </w:r>
      <w:r w:rsidRPr="00191C1D">
        <w:rPr>
          <w:lang w:eastAsia="en-US"/>
        </w:rPr>
        <w:t xml:space="preserve"> </w:t>
      </w:r>
      <w:r w:rsidR="00ED45D8" w:rsidRPr="00191C1D">
        <w:rPr>
          <w:lang w:eastAsia="en-US"/>
        </w:rPr>
        <w:t>I</w:t>
      </w:r>
      <w:r w:rsidRPr="00191C1D">
        <w:rPr>
          <w:lang w:eastAsia="en-US"/>
        </w:rPr>
        <w:t>f the student does not begin his or her course when expected</w:t>
      </w:r>
      <w:r w:rsidR="00ED45D8" w:rsidRPr="00191C1D">
        <w:rPr>
          <w:lang w:eastAsia="en-US"/>
        </w:rPr>
        <w:t xml:space="preserve">, </w:t>
      </w:r>
      <w:r w:rsidR="00321C4E" w:rsidRPr="00191C1D">
        <w:rPr>
          <w:lang w:eastAsia="en-US"/>
        </w:rPr>
        <w:t xml:space="preserve">the provider must give </w:t>
      </w:r>
      <w:r w:rsidR="00ED45D8" w:rsidRPr="00191C1D">
        <w:rPr>
          <w:lang w:eastAsia="en-US"/>
        </w:rPr>
        <w:t xml:space="preserve">the </w:t>
      </w:r>
      <w:r w:rsidRPr="00191C1D">
        <w:rPr>
          <w:lang w:eastAsia="en-US"/>
        </w:rPr>
        <w:t xml:space="preserve">student’s current residential </w:t>
      </w:r>
      <w:r w:rsidR="00E11307" w:rsidRPr="00191C1D">
        <w:rPr>
          <w:lang w:eastAsia="en-US"/>
        </w:rPr>
        <w:t xml:space="preserve">address, phone number and email address. </w:t>
      </w:r>
    </w:p>
    <w:p w14:paraId="4BA2D7BA" w14:textId="77777777" w:rsidR="00E11307" w:rsidRPr="00191C1D" w:rsidRDefault="00E11307" w:rsidP="00F956A0">
      <w:pPr>
        <w:ind w:right="91"/>
        <w:rPr>
          <w:lang w:eastAsia="en-US"/>
        </w:rPr>
      </w:pPr>
    </w:p>
    <w:p w14:paraId="037190FB" w14:textId="217E8DB5" w:rsidR="00443E5A" w:rsidRPr="00191C1D" w:rsidRDefault="00E11307" w:rsidP="00F956A0">
      <w:pPr>
        <w:ind w:right="91"/>
        <w:rPr>
          <w:lang w:eastAsia="en-US"/>
        </w:rPr>
      </w:pPr>
      <w:r w:rsidRPr="00191C1D">
        <w:rPr>
          <w:lang w:eastAsia="en-US"/>
        </w:rPr>
        <w:t xml:space="preserve">Under subsection </w:t>
      </w:r>
      <w:r w:rsidR="002826E4" w:rsidRPr="00191C1D">
        <w:rPr>
          <w:lang w:eastAsia="en-US"/>
        </w:rPr>
        <w:t>10</w:t>
      </w:r>
      <w:r w:rsidRPr="00191C1D">
        <w:rPr>
          <w:lang w:eastAsia="en-US"/>
        </w:rPr>
        <w:t>(2) of the Regulations, the</w:t>
      </w:r>
      <w:r w:rsidR="00F956A0" w:rsidRPr="00191C1D">
        <w:rPr>
          <w:lang w:eastAsia="en-US"/>
        </w:rPr>
        <w:t xml:space="preserve"> provider is not required to give the </w:t>
      </w:r>
      <w:r w:rsidRPr="00191C1D">
        <w:rPr>
          <w:lang w:eastAsia="en-US"/>
        </w:rPr>
        <w:t>prescribed</w:t>
      </w:r>
      <w:r w:rsidR="00F956A0" w:rsidRPr="00191C1D">
        <w:rPr>
          <w:lang w:eastAsia="en-US"/>
        </w:rPr>
        <w:t xml:space="preserve"> information under subs</w:t>
      </w:r>
      <w:r w:rsidR="00443E5A" w:rsidRPr="00191C1D">
        <w:rPr>
          <w:lang w:eastAsia="en-US"/>
        </w:rPr>
        <w:t xml:space="preserve">ection </w:t>
      </w:r>
      <w:r w:rsidR="00995017" w:rsidRPr="00191C1D">
        <w:rPr>
          <w:lang w:eastAsia="en-US"/>
        </w:rPr>
        <w:t>10</w:t>
      </w:r>
      <w:r w:rsidR="00443E5A" w:rsidRPr="00191C1D">
        <w:rPr>
          <w:lang w:eastAsia="en-US"/>
        </w:rPr>
        <w:t xml:space="preserve">(1) </w:t>
      </w:r>
      <w:r w:rsidRPr="00191C1D">
        <w:rPr>
          <w:lang w:eastAsia="en-US"/>
        </w:rPr>
        <w:t>if, before the student’s expected starting day:</w:t>
      </w:r>
    </w:p>
    <w:p w14:paraId="0729C648" w14:textId="0A2544BE" w:rsidR="00443E5A" w:rsidRPr="00191C1D" w:rsidRDefault="00443E5A" w:rsidP="00443E5A">
      <w:pPr>
        <w:pStyle w:val="ListParagraph"/>
        <w:numPr>
          <w:ilvl w:val="0"/>
          <w:numId w:val="45"/>
        </w:numPr>
        <w:ind w:right="91"/>
        <w:rPr>
          <w:lang w:eastAsia="en-US"/>
        </w:rPr>
      </w:pPr>
      <w:r w:rsidRPr="00191C1D">
        <w:rPr>
          <w:lang w:eastAsia="en-US"/>
        </w:rPr>
        <w:t>the student asks the provider for a later starting day; and</w:t>
      </w:r>
    </w:p>
    <w:p w14:paraId="68A87140" w14:textId="4731ABE1" w:rsidR="00443E5A" w:rsidRPr="00191C1D" w:rsidRDefault="00443E5A" w:rsidP="00443E5A">
      <w:pPr>
        <w:pStyle w:val="ListParagraph"/>
        <w:numPr>
          <w:ilvl w:val="0"/>
          <w:numId w:val="45"/>
        </w:numPr>
        <w:ind w:right="91"/>
        <w:rPr>
          <w:lang w:eastAsia="en-US"/>
        </w:rPr>
      </w:pPr>
      <w:r w:rsidRPr="00191C1D">
        <w:rPr>
          <w:lang w:eastAsia="en-US"/>
        </w:rPr>
        <w:t xml:space="preserve">the request is made on </w:t>
      </w:r>
      <w:r w:rsidR="00E11307" w:rsidRPr="00191C1D">
        <w:rPr>
          <w:lang w:eastAsia="en-US"/>
        </w:rPr>
        <w:t xml:space="preserve">the basis of </w:t>
      </w:r>
      <w:r w:rsidRPr="00191C1D">
        <w:rPr>
          <w:lang w:eastAsia="en-US"/>
        </w:rPr>
        <w:t xml:space="preserve">compassionate </w:t>
      </w:r>
      <w:r w:rsidR="00E11307" w:rsidRPr="00191C1D">
        <w:rPr>
          <w:lang w:eastAsia="en-US"/>
        </w:rPr>
        <w:t>or compelling circumstances</w:t>
      </w:r>
      <w:r w:rsidRPr="00191C1D">
        <w:rPr>
          <w:lang w:eastAsia="en-US"/>
        </w:rPr>
        <w:t>; and</w:t>
      </w:r>
    </w:p>
    <w:p w14:paraId="4BC527D2" w14:textId="70999B84" w:rsidR="00443E5A" w:rsidRPr="00191C1D" w:rsidRDefault="00443E5A" w:rsidP="00443E5A">
      <w:pPr>
        <w:pStyle w:val="ListParagraph"/>
        <w:numPr>
          <w:ilvl w:val="0"/>
          <w:numId w:val="45"/>
        </w:numPr>
        <w:ind w:right="91"/>
        <w:rPr>
          <w:lang w:eastAsia="en-US"/>
        </w:rPr>
      </w:pPr>
      <w:r w:rsidRPr="00191C1D">
        <w:rPr>
          <w:lang w:eastAsia="en-US"/>
        </w:rPr>
        <w:t>the provider agrees to a later starting day for the student.</w:t>
      </w:r>
    </w:p>
    <w:p w14:paraId="05BF2ED1" w14:textId="0F0F23FC" w:rsidR="00662FBA" w:rsidRPr="00191C1D" w:rsidRDefault="00F956A0" w:rsidP="00F956A0">
      <w:pPr>
        <w:spacing w:before="240"/>
        <w:ind w:right="91"/>
        <w:rPr>
          <w:u w:val="single"/>
          <w:lang w:eastAsia="en-US"/>
        </w:rPr>
      </w:pPr>
      <w:r w:rsidRPr="00191C1D">
        <w:rPr>
          <w:u w:val="single"/>
          <w:lang w:eastAsia="en-US"/>
        </w:rPr>
        <w:t xml:space="preserve">Section </w:t>
      </w:r>
      <w:r w:rsidR="002826E4" w:rsidRPr="00191C1D">
        <w:rPr>
          <w:u w:val="single"/>
          <w:lang w:eastAsia="en-US"/>
        </w:rPr>
        <w:t>11</w:t>
      </w:r>
      <w:r w:rsidRPr="00191C1D">
        <w:rPr>
          <w:u w:val="single"/>
          <w:lang w:eastAsia="en-US"/>
        </w:rPr>
        <w:t xml:space="preserve"> – Other prescribed matters</w:t>
      </w:r>
    </w:p>
    <w:p w14:paraId="267CD06B" w14:textId="77777777" w:rsidR="00662FBA" w:rsidRPr="00191C1D" w:rsidRDefault="00662FBA" w:rsidP="00D65C84">
      <w:pPr>
        <w:ind w:right="91"/>
        <w:rPr>
          <w:lang w:eastAsia="en-US"/>
        </w:rPr>
      </w:pPr>
    </w:p>
    <w:p w14:paraId="17DB1C3B" w14:textId="25941AF9" w:rsidR="00F956A0" w:rsidRPr="00191C1D" w:rsidRDefault="002826E4" w:rsidP="00D65C84">
      <w:pPr>
        <w:ind w:right="91"/>
        <w:rPr>
          <w:lang w:eastAsia="en-US"/>
        </w:rPr>
      </w:pPr>
      <w:r w:rsidRPr="00191C1D">
        <w:rPr>
          <w:lang w:eastAsia="en-US"/>
        </w:rPr>
        <w:t>Section 11</w:t>
      </w:r>
      <w:r w:rsidR="00321C4E" w:rsidRPr="00191C1D">
        <w:rPr>
          <w:lang w:eastAsia="en-US"/>
        </w:rPr>
        <w:t xml:space="preserve"> applies in relation to an accepted student who is accepted for enrolment, or enrolled, in a course provided by a registered provider. The section</w:t>
      </w:r>
      <w:r w:rsidR="00F956A0" w:rsidRPr="00191C1D">
        <w:rPr>
          <w:lang w:eastAsia="en-US"/>
        </w:rPr>
        <w:t xml:space="preserve"> is made </w:t>
      </w:r>
      <w:r w:rsidR="00E11307" w:rsidRPr="00191C1D">
        <w:rPr>
          <w:lang w:eastAsia="en-US"/>
        </w:rPr>
        <w:t xml:space="preserve">for the purposes of </w:t>
      </w:r>
      <w:r w:rsidR="00F956A0" w:rsidRPr="00191C1D">
        <w:rPr>
          <w:lang w:eastAsia="en-US"/>
        </w:rPr>
        <w:t xml:space="preserve">paragraph 19(1)(f) of the Act, and set outs a table </w:t>
      </w:r>
      <w:r w:rsidRPr="00191C1D">
        <w:rPr>
          <w:lang w:eastAsia="en-US"/>
        </w:rPr>
        <w:t>at subsection 11</w:t>
      </w:r>
      <w:r w:rsidR="00321C4E" w:rsidRPr="00191C1D">
        <w:rPr>
          <w:lang w:eastAsia="en-US"/>
        </w:rPr>
        <w:t xml:space="preserve">(2) </w:t>
      </w:r>
      <w:r w:rsidR="00F956A0" w:rsidRPr="00191C1D">
        <w:rPr>
          <w:lang w:eastAsia="en-US"/>
        </w:rPr>
        <w:t>which prescribes the types of information to be given about an accepted student</w:t>
      </w:r>
      <w:r w:rsidRPr="00191C1D">
        <w:rPr>
          <w:lang w:eastAsia="en-US"/>
        </w:rPr>
        <w:t>.</w:t>
      </w:r>
      <w:r w:rsidR="00D65C84" w:rsidRPr="00191C1D">
        <w:rPr>
          <w:lang w:eastAsia="en-US"/>
        </w:rPr>
        <w:t xml:space="preserve"> The information must be given within the applicable number of days </w:t>
      </w:r>
      <w:r w:rsidR="00321C4E" w:rsidRPr="00191C1D">
        <w:rPr>
          <w:lang w:eastAsia="en-US"/>
        </w:rPr>
        <w:t>after</w:t>
      </w:r>
      <w:r w:rsidR="00D65C84" w:rsidRPr="00191C1D">
        <w:rPr>
          <w:lang w:eastAsia="en-US"/>
        </w:rPr>
        <w:t xml:space="preserve"> the occurrence of the event set out in the table.</w:t>
      </w:r>
      <w:r w:rsidR="00F956A0" w:rsidRPr="00191C1D">
        <w:rPr>
          <w:lang w:eastAsia="en-US"/>
        </w:rPr>
        <w:t xml:space="preserve"> </w:t>
      </w:r>
      <w:r w:rsidR="00D65C84" w:rsidRPr="00191C1D">
        <w:rPr>
          <w:lang w:eastAsia="en-US"/>
        </w:rPr>
        <w:t xml:space="preserve">Subsection 19(1A) of the Act </w:t>
      </w:r>
      <w:r w:rsidR="00E605D8" w:rsidRPr="00191C1D">
        <w:rPr>
          <w:lang w:eastAsia="en-US"/>
        </w:rPr>
        <w:t>defines ‘applicable numbers of days’</w:t>
      </w:r>
      <w:r w:rsidR="00E6556A" w:rsidRPr="00191C1D">
        <w:rPr>
          <w:lang w:eastAsia="en-US"/>
        </w:rPr>
        <w:t>. G</w:t>
      </w:r>
      <w:r w:rsidR="00E605D8" w:rsidRPr="00191C1D">
        <w:rPr>
          <w:lang w:eastAsia="en-US"/>
        </w:rPr>
        <w:t>enerally</w:t>
      </w:r>
      <w:r w:rsidR="00411E71" w:rsidRPr="00191C1D">
        <w:rPr>
          <w:lang w:eastAsia="en-US"/>
        </w:rPr>
        <w:t>,</w:t>
      </w:r>
      <w:r w:rsidR="00E605D8" w:rsidRPr="00191C1D">
        <w:rPr>
          <w:lang w:eastAsia="en-US"/>
        </w:rPr>
        <w:t xml:space="preserve"> </w:t>
      </w:r>
      <w:r w:rsidR="00321C4E" w:rsidRPr="00191C1D">
        <w:rPr>
          <w:lang w:eastAsia="en-US"/>
        </w:rPr>
        <w:t>a</w:t>
      </w:r>
      <w:r w:rsidR="00E605D8" w:rsidRPr="00191C1D">
        <w:rPr>
          <w:lang w:eastAsia="en-US"/>
        </w:rPr>
        <w:t xml:space="preserve"> provider must provide the</w:t>
      </w:r>
      <w:r w:rsidR="00D65C84" w:rsidRPr="00191C1D">
        <w:rPr>
          <w:lang w:eastAsia="en-US"/>
        </w:rPr>
        <w:t xml:space="preserve"> information prescribed under paragraph 19(1)(f) of the Act</w:t>
      </w:r>
      <w:r w:rsidR="00E605D8" w:rsidRPr="00191C1D">
        <w:rPr>
          <w:lang w:eastAsia="en-US"/>
        </w:rPr>
        <w:t xml:space="preserve"> </w:t>
      </w:r>
      <w:r w:rsidR="00D65C84" w:rsidRPr="00191C1D">
        <w:rPr>
          <w:lang w:eastAsia="en-US"/>
        </w:rPr>
        <w:t xml:space="preserve">within 31 days of the event occurring. </w:t>
      </w:r>
    </w:p>
    <w:p w14:paraId="4BD6CCB7" w14:textId="77777777" w:rsidR="00F956A0" w:rsidRPr="00191C1D" w:rsidRDefault="00F956A0" w:rsidP="00F956A0">
      <w:pPr>
        <w:ind w:right="91"/>
        <w:rPr>
          <w:lang w:eastAsia="en-US"/>
        </w:rPr>
      </w:pPr>
    </w:p>
    <w:p w14:paraId="0A7854B0" w14:textId="59D8E3FB" w:rsidR="00F956A0" w:rsidRPr="00191C1D" w:rsidRDefault="00F956A0" w:rsidP="00F956A0">
      <w:pPr>
        <w:ind w:right="91"/>
        <w:rPr>
          <w:lang w:eastAsia="en-US"/>
        </w:rPr>
      </w:pPr>
      <w:r w:rsidRPr="00191C1D">
        <w:rPr>
          <w:lang w:eastAsia="en-US"/>
        </w:rPr>
        <w:t>Column 1 of the table sets out the event</w:t>
      </w:r>
      <w:r w:rsidR="00D65C84" w:rsidRPr="00191C1D">
        <w:rPr>
          <w:lang w:eastAsia="en-US"/>
        </w:rPr>
        <w:t>s</w:t>
      </w:r>
      <w:r w:rsidRPr="00191C1D">
        <w:rPr>
          <w:lang w:eastAsia="en-US"/>
        </w:rPr>
        <w:t xml:space="preserve"> that </w:t>
      </w:r>
      <w:r w:rsidR="00D65C84" w:rsidRPr="00191C1D">
        <w:rPr>
          <w:lang w:eastAsia="en-US"/>
        </w:rPr>
        <w:t xml:space="preserve">cause </w:t>
      </w:r>
      <w:r w:rsidR="00E347D6" w:rsidRPr="00191C1D">
        <w:rPr>
          <w:lang w:eastAsia="en-US"/>
        </w:rPr>
        <w:t>a registered provider</w:t>
      </w:r>
      <w:r w:rsidRPr="00191C1D">
        <w:rPr>
          <w:lang w:eastAsia="en-US"/>
        </w:rPr>
        <w:t xml:space="preserve"> to </w:t>
      </w:r>
      <w:r w:rsidR="00D65C84" w:rsidRPr="00191C1D">
        <w:rPr>
          <w:lang w:eastAsia="en-US"/>
        </w:rPr>
        <w:t xml:space="preserve">be required to </w:t>
      </w:r>
      <w:r w:rsidRPr="00191C1D">
        <w:rPr>
          <w:lang w:eastAsia="en-US"/>
        </w:rPr>
        <w:t>give certain information.</w:t>
      </w:r>
    </w:p>
    <w:p w14:paraId="70AF0CBE" w14:textId="77C12273" w:rsidR="00321C4E" w:rsidRPr="00191C1D" w:rsidRDefault="00321C4E" w:rsidP="00F956A0">
      <w:pPr>
        <w:ind w:right="91"/>
        <w:rPr>
          <w:lang w:eastAsia="en-US"/>
        </w:rPr>
      </w:pPr>
    </w:p>
    <w:p w14:paraId="47539621" w14:textId="20D01049" w:rsidR="00321C4E" w:rsidRPr="00191C1D" w:rsidRDefault="00321C4E" w:rsidP="00F956A0">
      <w:pPr>
        <w:ind w:right="91"/>
        <w:rPr>
          <w:lang w:eastAsia="en-US"/>
        </w:rPr>
      </w:pPr>
      <w:r w:rsidRPr="00191C1D">
        <w:rPr>
          <w:lang w:eastAsia="en-US"/>
        </w:rPr>
        <w:t xml:space="preserve">Column 2 of the table </w:t>
      </w:r>
      <w:r w:rsidR="00FE59CB" w:rsidRPr="00191C1D">
        <w:rPr>
          <w:lang w:eastAsia="en-US"/>
        </w:rPr>
        <w:t xml:space="preserve">sets out any conditions that apply for a particular event to cause a registered provider to be required to give the information. </w:t>
      </w:r>
    </w:p>
    <w:p w14:paraId="45558D00" w14:textId="77777777" w:rsidR="00F956A0" w:rsidRPr="00191C1D" w:rsidRDefault="00F956A0" w:rsidP="00F956A0">
      <w:pPr>
        <w:ind w:right="91"/>
        <w:rPr>
          <w:lang w:eastAsia="en-US"/>
        </w:rPr>
      </w:pPr>
    </w:p>
    <w:p w14:paraId="7E0F0127" w14:textId="3DDB83DF" w:rsidR="00F956A0" w:rsidRPr="00191C1D" w:rsidRDefault="00F956A0" w:rsidP="00F956A0">
      <w:pPr>
        <w:ind w:right="91"/>
        <w:rPr>
          <w:lang w:eastAsia="en-US"/>
        </w:rPr>
      </w:pPr>
      <w:r w:rsidRPr="00191C1D">
        <w:rPr>
          <w:lang w:eastAsia="en-US"/>
        </w:rPr>
        <w:t xml:space="preserve">Column </w:t>
      </w:r>
      <w:r w:rsidR="00FF10AE" w:rsidRPr="00191C1D">
        <w:rPr>
          <w:lang w:eastAsia="en-US"/>
        </w:rPr>
        <w:t xml:space="preserve">3 </w:t>
      </w:r>
      <w:r w:rsidRPr="00191C1D">
        <w:rPr>
          <w:lang w:eastAsia="en-US"/>
        </w:rPr>
        <w:t xml:space="preserve">sets out the types of information to be given </w:t>
      </w:r>
      <w:r w:rsidR="00E347D6" w:rsidRPr="00191C1D">
        <w:rPr>
          <w:lang w:eastAsia="en-US"/>
        </w:rPr>
        <w:t xml:space="preserve">by </w:t>
      </w:r>
      <w:r w:rsidR="00D65C84" w:rsidRPr="00191C1D">
        <w:rPr>
          <w:lang w:eastAsia="en-US"/>
        </w:rPr>
        <w:t xml:space="preserve">a </w:t>
      </w:r>
      <w:r w:rsidR="00E347D6" w:rsidRPr="00191C1D">
        <w:rPr>
          <w:lang w:eastAsia="en-US"/>
        </w:rPr>
        <w:t>registered provider up</w:t>
      </w:r>
      <w:r w:rsidRPr="00191C1D">
        <w:rPr>
          <w:lang w:eastAsia="en-US"/>
        </w:rPr>
        <w:t xml:space="preserve">on the event occurring. </w:t>
      </w:r>
    </w:p>
    <w:p w14:paraId="21D72BB7" w14:textId="5C71DEF6" w:rsidR="00615C29" w:rsidRPr="00191C1D" w:rsidRDefault="00615C29" w:rsidP="00F956A0">
      <w:pPr>
        <w:ind w:right="91"/>
        <w:rPr>
          <w:lang w:eastAsia="en-US"/>
        </w:rPr>
      </w:pPr>
    </w:p>
    <w:p w14:paraId="49DD79EC" w14:textId="583EFF4D" w:rsidR="00F956A0" w:rsidRPr="00191C1D" w:rsidRDefault="00FF10AE" w:rsidP="00F956A0">
      <w:pPr>
        <w:ind w:right="91"/>
        <w:rPr>
          <w:lang w:eastAsia="en-US"/>
        </w:rPr>
      </w:pPr>
      <w:r w:rsidRPr="00191C1D">
        <w:rPr>
          <w:lang w:eastAsia="en-US"/>
        </w:rPr>
        <w:t>I</w:t>
      </w:r>
      <w:r w:rsidR="00F956A0" w:rsidRPr="00191C1D">
        <w:rPr>
          <w:lang w:eastAsia="en-US"/>
        </w:rPr>
        <w:t xml:space="preserve">nformation collected under this </w:t>
      </w:r>
      <w:r w:rsidR="0032366C" w:rsidRPr="00191C1D">
        <w:rPr>
          <w:lang w:eastAsia="en-US"/>
        </w:rPr>
        <w:t xml:space="preserve">section </w:t>
      </w:r>
      <w:r w:rsidR="00F956A0" w:rsidRPr="00191C1D">
        <w:rPr>
          <w:lang w:eastAsia="en-US"/>
        </w:rPr>
        <w:t xml:space="preserve">may be used by the Department of Home Affairs if relevant enforcement action against the student </w:t>
      </w:r>
      <w:r w:rsidR="0032366C" w:rsidRPr="00191C1D">
        <w:rPr>
          <w:lang w:eastAsia="en-US"/>
        </w:rPr>
        <w:t>is</w:t>
      </w:r>
      <w:r w:rsidR="00F956A0" w:rsidRPr="00191C1D">
        <w:rPr>
          <w:lang w:eastAsia="en-US"/>
        </w:rPr>
        <w:t xml:space="preserve"> required. </w:t>
      </w:r>
      <w:r w:rsidR="0032366C" w:rsidRPr="00191C1D">
        <w:rPr>
          <w:lang w:eastAsia="en-US"/>
        </w:rPr>
        <w:t xml:space="preserve">The </w:t>
      </w:r>
      <w:r w:rsidR="00F956A0" w:rsidRPr="00191C1D">
        <w:rPr>
          <w:lang w:eastAsia="en-US"/>
        </w:rPr>
        <w:t xml:space="preserve">information </w:t>
      </w:r>
      <w:r w:rsidR="0032366C" w:rsidRPr="00191C1D">
        <w:rPr>
          <w:lang w:eastAsia="en-US"/>
        </w:rPr>
        <w:t xml:space="preserve">specified in Column </w:t>
      </w:r>
      <w:r w:rsidR="005C097E" w:rsidRPr="00191C1D">
        <w:rPr>
          <w:lang w:eastAsia="en-US"/>
        </w:rPr>
        <w:t>3</w:t>
      </w:r>
      <w:r w:rsidR="0032366C" w:rsidRPr="00191C1D">
        <w:rPr>
          <w:lang w:eastAsia="en-US"/>
        </w:rPr>
        <w:t xml:space="preserve"> </w:t>
      </w:r>
      <w:r w:rsidR="00F956A0" w:rsidRPr="00191C1D">
        <w:rPr>
          <w:lang w:eastAsia="en-US"/>
        </w:rPr>
        <w:t xml:space="preserve">may also be used by the Department of Education and Training when </w:t>
      </w:r>
      <w:r w:rsidR="00AC3E2F" w:rsidRPr="00191C1D">
        <w:rPr>
          <w:lang w:eastAsia="en-US"/>
        </w:rPr>
        <w:t xml:space="preserve">recording information about </w:t>
      </w:r>
      <w:r w:rsidR="00F956A0" w:rsidRPr="00191C1D">
        <w:rPr>
          <w:lang w:eastAsia="en-US"/>
        </w:rPr>
        <w:t xml:space="preserve">a student’s enrolment and for broader policy development. </w:t>
      </w:r>
    </w:p>
    <w:p w14:paraId="509B3C88" w14:textId="03D51008" w:rsidR="00F956A0" w:rsidRPr="00191C1D" w:rsidRDefault="00F956A0" w:rsidP="00F956A0">
      <w:pPr>
        <w:spacing w:before="240"/>
        <w:ind w:right="91"/>
        <w:rPr>
          <w:u w:val="single"/>
          <w:lang w:eastAsia="en-US"/>
        </w:rPr>
      </w:pPr>
      <w:r w:rsidRPr="00191C1D">
        <w:rPr>
          <w:u w:val="single"/>
          <w:lang w:eastAsia="en-US"/>
        </w:rPr>
        <w:t>Section 1</w:t>
      </w:r>
      <w:r w:rsidR="002826E4" w:rsidRPr="00191C1D">
        <w:rPr>
          <w:u w:val="single"/>
          <w:lang w:eastAsia="en-US"/>
        </w:rPr>
        <w:t>2</w:t>
      </w:r>
      <w:r w:rsidRPr="00191C1D">
        <w:rPr>
          <w:u w:val="single"/>
          <w:lang w:eastAsia="en-US"/>
        </w:rPr>
        <w:t xml:space="preserve"> – Prescribed condition of student visa</w:t>
      </w:r>
    </w:p>
    <w:p w14:paraId="6E6E1986" w14:textId="3F2356BD" w:rsidR="00F956A0" w:rsidRPr="00191C1D" w:rsidRDefault="005C097E" w:rsidP="00F956A0">
      <w:pPr>
        <w:spacing w:before="240"/>
        <w:ind w:right="91"/>
        <w:rPr>
          <w:lang w:eastAsia="en-US"/>
        </w:rPr>
      </w:pPr>
      <w:r w:rsidRPr="00191C1D">
        <w:rPr>
          <w:lang w:eastAsia="en-US"/>
        </w:rPr>
        <w:t>S</w:t>
      </w:r>
      <w:r w:rsidR="00F956A0" w:rsidRPr="00191C1D">
        <w:rPr>
          <w:lang w:eastAsia="en-US"/>
        </w:rPr>
        <w:t xml:space="preserve">ection </w:t>
      </w:r>
      <w:r w:rsidRPr="00191C1D">
        <w:rPr>
          <w:lang w:eastAsia="en-US"/>
        </w:rPr>
        <w:t>1</w:t>
      </w:r>
      <w:r w:rsidR="002826E4" w:rsidRPr="00191C1D">
        <w:rPr>
          <w:lang w:eastAsia="en-US"/>
        </w:rPr>
        <w:t>2</w:t>
      </w:r>
      <w:r w:rsidRPr="00191C1D">
        <w:rPr>
          <w:lang w:eastAsia="en-US"/>
        </w:rPr>
        <w:t xml:space="preserve"> </w:t>
      </w:r>
      <w:r w:rsidR="0032366C" w:rsidRPr="00191C1D">
        <w:rPr>
          <w:lang w:eastAsia="en-US"/>
        </w:rPr>
        <w:t>specifies</w:t>
      </w:r>
      <w:r w:rsidR="00F956A0" w:rsidRPr="00191C1D">
        <w:rPr>
          <w:lang w:eastAsia="en-US"/>
        </w:rPr>
        <w:t xml:space="preserve"> that visa condition 8202, set out in Schedule 8 to the </w:t>
      </w:r>
      <w:r w:rsidR="00F956A0" w:rsidRPr="00191C1D">
        <w:rPr>
          <w:i/>
          <w:lang w:eastAsia="en-US"/>
        </w:rPr>
        <w:t>Migration Regulations</w:t>
      </w:r>
      <w:r w:rsidR="00F956A0" w:rsidRPr="00191C1D">
        <w:rPr>
          <w:lang w:eastAsia="en-US"/>
        </w:rPr>
        <w:t xml:space="preserve"> </w:t>
      </w:r>
      <w:r w:rsidR="00F956A0" w:rsidRPr="00191C1D">
        <w:rPr>
          <w:i/>
          <w:lang w:eastAsia="en-US"/>
        </w:rPr>
        <w:t>1994</w:t>
      </w:r>
      <w:r w:rsidR="00F956A0" w:rsidRPr="00191C1D">
        <w:rPr>
          <w:lang w:eastAsia="en-US"/>
        </w:rPr>
        <w:t>, is prescribed for the purposes of subsections 19(2) and 20(1) of the Act.</w:t>
      </w:r>
      <w:r w:rsidR="00537A66" w:rsidRPr="00191C1D">
        <w:rPr>
          <w:lang w:eastAsia="en-US"/>
        </w:rPr>
        <w:t xml:space="preserve"> </w:t>
      </w:r>
    </w:p>
    <w:p w14:paraId="7883E913" w14:textId="59F90943" w:rsidR="00227CC8" w:rsidRPr="00191C1D" w:rsidRDefault="00227CC8" w:rsidP="00F956A0">
      <w:pPr>
        <w:spacing w:before="240"/>
        <w:ind w:right="91"/>
        <w:rPr>
          <w:b/>
          <w:i/>
          <w:lang w:eastAsia="en-US"/>
        </w:rPr>
      </w:pPr>
      <w:r w:rsidRPr="00191C1D">
        <w:rPr>
          <w:b/>
          <w:i/>
          <w:lang w:eastAsia="en-US"/>
        </w:rPr>
        <w:t xml:space="preserve">Division 2 – Record keeping </w:t>
      </w:r>
    </w:p>
    <w:p w14:paraId="05ABC90D" w14:textId="49C3669A" w:rsidR="00F956A0" w:rsidRPr="00191C1D" w:rsidRDefault="00F956A0" w:rsidP="00F956A0">
      <w:pPr>
        <w:spacing w:before="240"/>
        <w:ind w:right="91"/>
        <w:rPr>
          <w:u w:val="single"/>
          <w:lang w:eastAsia="en-US"/>
        </w:rPr>
      </w:pPr>
      <w:r w:rsidRPr="00191C1D">
        <w:rPr>
          <w:u w:val="single"/>
          <w:lang w:eastAsia="en-US"/>
        </w:rPr>
        <w:t>Section 1</w:t>
      </w:r>
      <w:r w:rsidR="002826E4" w:rsidRPr="00191C1D">
        <w:rPr>
          <w:u w:val="single"/>
          <w:lang w:eastAsia="en-US"/>
        </w:rPr>
        <w:t>3</w:t>
      </w:r>
      <w:r w:rsidRPr="00191C1D">
        <w:rPr>
          <w:u w:val="single"/>
          <w:lang w:eastAsia="en-US"/>
        </w:rPr>
        <w:t xml:space="preserve"> – Details of which a registered provider must keep records</w:t>
      </w:r>
    </w:p>
    <w:p w14:paraId="697B028A" w14:textId="0AE3043E" w:rsidR="00227CC8" w:rsidRPr="00191C1D" w:rsidRDefault="00227CC8" w:rsidP="00F956A0">
      <w:pPr>
        <w:spacing w:before="240"/>
        <w:ind w:right="91"/>
        <w:rPr>
          <w:lang w:eastAsia="en-US"/>
        </w:rPr>
      </w:pPr>
      <w:r w:rsidRPr="00191C1D">
        <w:rPr>
          <w:lang w:eastAsia="en-US"/>
        </w:rPr>
        <w:lastRenderedPageBreak/>
        <w:t xml:space="preserve">A registered provider must keep records about accepted students. </w:t>
      </w:r>
    </w:p>
    <w:p w14:paraId="46A6BF51" w14:textId="532B8E0A" w:rsidR="007D09FF" w:rsidRPr="00191C1D" w:rsidRDefault="00227CC8" w:rsidP="00285CBA">
      <w:pPr>
        <w:spacing w:before="240"/>
        <w:ind w:right="91"/>
        <w:rPr>
          <w:lang w:eastAsia="en-US"/>
        </w:rPr>
      </w:pPr>
      <w:r w:rsidRPr="00191C1D">
        <w:rPr>
          <w:lang w:eastAsia="en-US"/>
        </w:rPr>
        <w:t>Section 1</w:t>
      </w:r>
      <w:r w:rsidR="002826E4" w:rsidRPr="00191C1D">
        <w:rPr>
          <w:lang w:eastAsia="en-US"/>
        </w:rPr>
        <w:t>3</w:t>
      </w:r>
      <w:r w:rsidR="00F956A0" w:rsidRPr="00191C1D">
        <w:rPr>
          <w:lang w:eastAsia="en-US"/>
        </w:rPr>
        <w:t xml:space="preserve"> </w:t>
      </w:r>
      <w:r w:rsidRPr="00191C1D">
        <w:rPr>
          <w:lang w:eastAsia="en-US"/>
        </w:rPr>
        <w:t xml:space="preserve">prescribes the information </w:t>
      </w:r>
      <w:r w:rsidR="00E6556A" w:rsidRPr="00191C1D">
        <w:rPr>
          <w:lang w:eastAsia="en-US"/>
        </w:rPr>
        <w:t xml:space="preserve">a </w:t>
      </w:r>
      <w:r w:rsidRPr="00191C1D">
        <w:rPr>
          <w:lang w:eastAsia="en-US"/>
        </w:rPr>
        <w:t xml:space="preserve">registered provider </w:t>
      </w:r>
      <w:r w:rsidR="007D09FF" w:rsidRPr="00191C1D">
        <w:rPr>
          <w:lang w:eastAsia="en-US"/>
        </w:rPr>
        <w:t>mu</w:t>
      </w:r>
      <w:r w:rsidRPr="00191C1D">
        <w:rPr>
          <w:lang w:eastAsia="en-US"/>
        </w:rPr>
        <w:t>st</w:t>
      </w:r>
      <w:r w:rsidR="007D09FF" w:rsidRPr="00191C1D">
        <w:rPr>
          <w:lang w:eastAsia="en-US"/>
        </w:rPr>
        <w:t xml:space="preserve"> </w:t>
      </w:r>
      <w:r w:rsidRPr="00191C1D">
        <w:rPr>
          <w:lang w:eastAsia="en-US"/>
        </w:rPr>
        <w:t xml:space="preserve">record </w:t>
      </w:r>
      <w:r w:rsidR="007D09FF" w:rsidRPr="00191C1D">
        <w:rPr>
          <w:lang w:eastAsia="en-US"/>
        </w:rPr>
        <w:t>for each accepted student</w:t>
      </w:r>
      <w:r w:rsidRPr="00191C1D">
        <w:rPr>
          <w:lang w:eastAsia="en-US"/>
        </w:rPr>
        <w:t xml:space="preserve"> </w:t>
      </w:r>
      <w:r w:rsidR="007D09FF" w:rsidRPr="00191C1D">
        <w:rPr>
          <w:lang w:eastAsia="en-US"/>
        </w:rPr>
        <w:t>for the purposes of paragraph 21(2)(d) of the Act</w:t>
      </w:r>
      <w:r w:rsidRPr="00191C1D">
        <w:rPr>
          <w:lang w:eastAsia="en-US"/>
        </w:rPr>
        <w:t>.</w:t>
      </w:r>
      <w:r w:rsidR="007D09FF" w:rsidRPr="00191C1D">
        <w:rPr>
          <w:lang w:eastAsia="en-US"/>
        </w:rPr>
        <w:t xml:space="preserve"> This includes: </w:t>
      </w:r>
    </w:p>
    <w:p w14:paraId="3ABF117B" w14:textId="455FC818" w:rsidR="007D09FF" w:rsidRPr="00191C1D" w:rsidRDefault="007D09FF" w:rsidP="007D09FF">
      <w:pPr>
        <w:pStyle w:val="ListParagraph"/>
        <w:numPr>
          <w:ilvl w:val="0"/>
          <w:numId w:val="49"/>
        </w:numPr>
        <w:rPr>
          <w:lang w:eastAsia="en-US"/>
        </w:rPr>
      </w:pPr>
      <w:r w:rsidRPr="00191C1D">
        <w:rPr>
          <w:lang w:eastAsia="en-US"/>
        </w:rPr>
        <w:t>the total amounts of tuition and non-tuition fees paid</w:t>
      </w:r>
      <w:r w:rsidR="00257D14" w:rsidRPr="00191C1D">
        <w:rPr>
          <w:lang w:eastAsia="en-US"/>
        </w:rPr>
        <w:t xml:space="preserve"> for the student </w:t>
      </w:r>
      <w:r w:rsidRPr="00191C1D">
        <w:rPr>
          <w:lang w:eastAsia="en-US"/>
        </w:rPr>
        <w:t xml:space="preserve">to the provider for the </w:t>
      </w:r>
      <w:r w:rsidR="00B9566B" w:rsidRPr="00191C1D">
        <w:rPr>
          <w:lang w:eastAsia="en-US"/>
        </w:rPr>
        <w:t xml:space="preserve">particular </w:t>
      </w:r>
      <w:r w:rsidRPr="00191C1D">
        <w:rPr>
          <w:lang w:eastAsia="en-US"/>
        </w:rPr>
        <w:t>course</w:t>
      </w:r>
      <w:r w:rsidR="00257D14" w:rsidRPr="00191C1D">
        <w:rPr>
          <w:lang w:eastAsia="en-US"/>
        </w:rPr>
        <w:t xml:space="preserve">, including the total of </w:t>
      </w:r>
      <w:r w:rsidR="00B9566B" w:rsidRPr="00191C1D">
        <w:rPr>
          <w:lang w:eastAsia="en-US"/>
        </w:rPr>
        <w:t xml:space="preserve">any </w:t>
      </w:r>
      <w:r w:rsidR="00257D14" w:rsidRPr="00191C1D">
        <w:rPr>
          <w:lang w:eastAsia="en-US"/>
        </w:rPr>
        <w:t>tuition and non-tuition fees that have become payable and have not been paid</w:t>
      </w:r>
      <w:r w:rsidRPr="00191C1D">
        <w:rPr>
          <w:lang w:eastAsia="en-US"/>
        </w:rPr>
        <w:t>;</w:t>
      </w:r>
    </w:p>
    <w:p w14:paraId="7CB7B1C4" w14:textId="630998D9" w:rsidR="00F956A0" w:rsidRPr="00191C1D" w:rsidRDefault="00F956A0" w:rsidP="00285CBA">
      <w:pPr>
        <w:pStyle w:val="ListParagraph"/>
        <w:numPr>
          <w:ilvl w:val="0"/>
          <w:numId w:val="49"/>
        </w:numPr>
        <w:ind w:right="91"/>
        <w:rPr>
          <w:lang w:eastAsia="en-US"/>
        </w:rPr>
      </w:pPr>
      <w:r w:rsidRPr="00191C1D">
        <w:rPr>
          <w:lang w:eastAsia="en-US"/>
        </w:rPr>
        <w:t>copies of</w:t>
      </w:r>
      <w:r w:rsidR="00B9566B" w:rsidRPr="00191C1D">
        <w:rPr>
          <w:lang w:eastAsia="en-US"/>
        </w:rPr>
        <w:t xml:space="preserve"> any</w:t>
      </w:r>
      <w:r w:rsidRPr="00191C1D">
        <w:rPr>
          <w:lang w:eastAsia="en-US"/>
        </w:rPr>
        <w:t xml:space="preserve"> written agreements </w:t>
      </w:r>
      <w:r w:rsidR="00B9566B" w:rsidRPr="00191C1D">
        <w:rPr>
          <w:lang w:eastAsia="en-US"/>
        </w:rPr>
        <w:t>entered into between the provider and student</w:t>
      </w:r>
      <w:r w:rsidRPr="00191C1D">
        <w:rPr>
          <w:lang w:eastAsia="en-US"/>
        </w:rPr>
        <w:t>;</w:t>
      </w:r>
    </w:p>
    <w:p w14:paraId="5E14516C" w14:textId="3402E688" w:rsidR="00F956A0" w:rsidRPr="00191C1D" w:rsidRDefault="00F956A0" w:rsidP="00285CBA">
      <w:pPr>
        <w:pStyle w:val="ListParagraph"/>
        <w:numPr>
          <w:ilvl w:val="0"/>
          <w:numId w:val="49"/>
        </w:numPr>
        <w:ind w:right="91"/>
        <w:rPr>
          <w:lang w:eastAsia="en-US"/>
        </w:rPr>
      </w:pPr>
      <w:r w:rsidRPr="00191C1D">
        <w:rPr>
          <w:lang w:eastAsia="en-US"/>
        </w:rPr>
        <w:t xml:space="preserve">amounts a student will be charged to access the student’s records; </w:t>
      </w:r>
      <w:r w:rsidR="00B10F34" w:rsidRPr="00191C1D">
        <w:rPr>
          <w:lang w:eastAsia="en-US"/>
        </w:rPr>
        <w:t>and</w:t>
      </w:r>
    </w:p>
    <w:p w14:paraId="03446F63" w14:textId="1611D411" w:rsidR="00574AD0" w:rsidRPr="00191C1D" w:rsidRDefault="00F956A0" w:rsidP="00B31BFD">
      <w:pPr>
        <w:pStyle w:val="ListParagraph"/>
        <w:numPr>
          <w:ilvl w:val="0"/>
          <w:numId w:val="49"/>
        </w:numPr>
        <w:ind w:right="91"/>
        <w:rPr>
          <w:lang w:eastAsia="en-US"/>
        </w:rPr>
      </w:pPr>
      <w:r w:rsidRPr="00191C1D">
        <w:rPr>
          <w:lang w:eastAsia="en-US"/>
        </w:rPr>
        <w:t>if an agent</w:t>
      </w:r>
      <w:r w:rsidR="00315D9B" w:rsidRPr="00191C1D">
        <w:rPr>
          <w:lang w:eastAsia="en-US"/>
        </w:rPr>
        <w:t xml:space="preserve"> (also known as an education agent)</w:t>
      </w:r>
      <w:r w:rsidRPr="00191C1D">
        <w:rPr>
          <w:lang w:eastAsia="en-US"/>
        </w:rPr>
        <w:t xml:space="preserve"> </w:t>
      </w:r>
      <w:r w:rsidR="00574AD0" w:rsidRPr="00191C1D">
        <w:rPr>
          <w:lang w:eastAsia="en-US"/>
        </w:rPr>
        <w:t xml:space="preserve">of the provider </w:t>
      </w:r>
      <w:r w:rsidRPr="00191C1D">
        <w:rPr>
          <w:lang w:eastAsia="en-US"/>
        </w:rPr>
        <w:t>facilitated, or is facilitating an accepted student’s enrolment</w:t>
      </w:r>
      <w:r w:rsidR="00574AD0" w:rsidRPr="00191C1D">
        <w:rPr>
          <w:lang w:eastAsia="en-US"/>
        </w:rPr>
        <w:t xml:space="preserve">, </w:t>
      </w:r>
      <w:r w:rsidR="00315D9B" w:rsidRPr="00191C1D">
        <w:rPr>
          <w:lang w:eastAsia="en-US"/>
        </w:rPr>
        <w:t>details</w:t>
      </w:r>
      <w:r w:rsidR="00574AD0" w:rsidRPr="00191C1D">
        <w:rPr>
          <w:lang w:eastAsia="en-US"/>
        </w:rPr>
        <w:t xml:space="preserve"> about that</w:t>
      </w:r>
      <w:r w:rsidRPr="00191C1D">
        <w:rPr>
          <w:lang w:eastAsia="en-US"/>
        </w:rPr>
        <w:t xml:space="preserve"> agent. </w:t>
      </w:r>
      <w:r w:rsidR="00B31BFD" w:rsidRPr="00191C1D">
        <w:rPr>
          <w:lang w:eastAsia="en-US"/>
        </w:rPr>
        <w:t>This includes</w:t>
      </w:r>
      <w:r w:rsidR="00574AD0" w:rsidRPr="00191C1D">
        <w:rPr>
          <w:lang w:eastAsia="en-US"/>
        </w:rPr>
        <w:t xml:space="preserve"> i</w:t>
      </w:r>
      <w:r w:rsidRPr="00191C1D">
        <w:rPr>
          <w:lang w:eastAsia="en-US"/>
        </w:rPr>
        <w:t xml:space="preserve">nformation about individual employees of the agent </w:t>
      </w:r>
      <w:r w:rsidR="00574AD0" w:rsidRPr="00191C1D">
        <w:rPr>
          <w:lang w:eastAsia="en-US"/>
        </w:rPr>
        <w:t>who were or are involved in the facilitation of the enrolment</w:t>
      </w:r>
      <w:r w:rsidR="00B31BFD" w:rsidRPr="00191C1D">
        <w:rPr>
          <w:lang w:eastAsia="en-US"/>
        </w:rPr>
        <w:t xml:space="preserve"> (including name, email address and Migration Agents Registration Number if applicable</w:t>
      </w:r>
      <w:r w:rsidR="00E6556A" w:rsidRPr="00191C1D">
        <w:rPr>
          <w:lang w:eastAsia="en-US"/>
        </w:rPr>
        <w:t>)</w:t>
      </w:r>
      <w:r w:rsidR="000C5894">
        <w:rPr>
          <w:lang w:eastAsia="en-US"/>
        </w:rPr>
        <w:t>.</w:t>
      </w:r>
    </w:p>
    <w:p w14:paraId="11731FEA" w14:textId="300C0203" w:rsidR="00F956A0" w:rsidRPr="00191C1D" w:rsidRDefault="00F956A0" w:rsidP="00F956A0">
      <w:pPr>
        <w:spacing w:before="240"/>
        <w:ind w:right="91"/>
        <w:rPr>
          <w:u w:val="single"/>
          <w:lang w:eastAsia="en-US"/>
        </w:rPr>
      </w:pPr>
      <w:r w:rsidRPr="00191C1D">
        <w:rPr>
          <w:u w:val="single"/>
          <w:lang w:eastAsia="en-US"/>
        </w:rPr>
        <w:t>Section 1</w:t>
      </w:r>
      <w:r w:rsidR="002826E4" w:rsidRPr="00191C1D">
        <w:rPr>
          <w:u w:val="single"/>
          <w:lang w:eastAsia="en-US"/>
        </w:rPr>
        <w:t>4</w:t>
      </w:r>
      <w:r w:rsidRPr="00191C1D">
        <w:rPr>
          <w:u w:val="single"/>
          <w:lang w:eastAsia="en-US"/>
        </w:rPr>
        <w:t xml:space="preserve"> – Fees for accessing records</w:t>
      </w:r>
    </w:p>
    <w:p w14:paraId="089BFF78" w14:textId="35A649E8" w:rsidR="00F956A0" w:rsidRPr="00191C1D" w:rsidRDefault="00F92B25" w:rsidP="00F956A0">
      <w:pPr>
        <w:spacing w:before="240"/>
        <w:ind w:right="91"/>
        <w:rPr>
          <w:lang w:eastAsia="en-US"/>
        </w:rPr>
      </w:pPr>
      <w:r w:rsidRPr="00191C1D">
        <w:rPr>
          <w:lang w:eastAsia="en-US"/>
        </w:rPr>
        <w:t>S</w:t>
      </w:r>
      <w:r w:rsidR="00F956A0" w:rsidRPr="00191C1D">
        <w:rPr>
          <w:lang w:eastAsia="en-US"/>
        </w:rPr>
        <w:t>ection</w:t>
      </w:r>
      <w:r w:rsidRPr="00191C1D">
        <w:rPr>
          <w:lang w:eastAsia="en-US"/>
        </w:rPr>
        <w:t xml:space="preserve"> 1</w:t>
      </w:r>
      <w:r w:rsidR="002826E4" w:rsidRPr="00191C1D">
        <w:rPr>
          <w:lang w:eastAsia="en-US"/>
        </w:rPr>
        <w:t>4</w:t>
      </w:r>
      <w:r w:rsidR="00F956A0" w:rsidRPr="00191C1D">
        <w:rPr>
          <w:lang w:eastAsia="en-US"/>
        </w:rPr>
        <w:t xml:space="preserve"> sets out that the fee a provider may charge for a student to access a record set out in section 1</w:t>
      </w:r>
      <w:r w:rsidR="002826E4" w:rsidRPr="00191C1D">
        <w:rPr>
          <w:lang w:eastAsia="en-US"/>
        </w:rPr>
        <w:t>3</w:t>
      </w:r>
      <w:r w:rsidR="00F956A0" w:rsidRPr="00191C1D">
        <w:rPr>
          <w:lang w:eastAsia="en-US"/>
        </w:rPr>
        <w:t xml:space="preserve"> of the Regulations must not exceed the actual cost incurred by the provider in providing access to that record.</w:t>
      </w:r>
      <w:r w:rsidR="00B31BFD" w:rsidRPr="00191C1D">
        <w:rPr>
          <w:lang w:eastAsia="en-US"/>
        </w:rPr>
        <w:t xml:space="preserve"> This provision is made under the necessary and convenient power</w:t>
      </w:r>
      <w:r w:rsidR="00E6556A" w:rsidRPr="00191C1D">
        <w:rPr>
          <w:lang w:eastAsia="en-US"/>
        </w:rPr>
        <w:t xml:space="preserve"> for carrying out or giving effect to the Ac</w:t>
      </w:r>
      <w:r w:rsidR="00B10F34" w:rsidRPr="00191C1D">
        <w:rPr>
          <w:lang w:eastAsia="en-US"/>
        </w:rPr>
        <w:t>t</w:t>
      </w:r>
      <w:r w:rsidR="00B31BFD" w:rsidRPr="00191C1D">
        <w:rPr>
          <w:lang w:eastAsia="en-US"/>
        </w:rPr>
        <w:t xml:space="preserve"> </w:t>
      </w:r>
      <w:r w:rsidR="00B10F34" w:rsidRPr="00191C1D">
        <w:rPr>
          <w:lang w:eastAsia="en-US"/>
        </w:rPr>
        <w:t>under</w:t>
      </w:r>
      <w:r w:rsidR="00B31BFD" w:rsidRPr="00191C1D">
        <w:rPr>
          <w:lang w:eastAsia="en-US"/>
        </w:rPr>
        <w:t xml:space="preserve"> paragraph 177(b) of the Act. </w:t>
      </w:r>
    </w:p>
    <w:p w14:paraId="5B4620CD" w14:textId="5E0D5B11" w:rsidR="00B31BFD" w:rsidRPr="00191C1D" w:rsidRDefault="00B31BFD" w:rsidP="00F956A0">
      <w:pPr>
        <w:spacing w:before="240"/>
        <w:ind w:right="91"/>
        <w:rPr>
          <w:b/>
          <w:lang w:eastAsia="en-US"/>
        </w:rPr>
      </w:pPr>
      <w:r w:rsidRPr="00191C1D">
        <w:rPr>
          <w:b/>
          <w:lang w:eastAsia="en-US"/>
        </w:rPr>
        <w:t xml:space="preserve">Part 4 – Infringement notices </w:t>
      </w:r>
    </w:p>
    <w:p w14:paraId="63A45F8E" w14:textId="476E1170" w:rsidR="00F956A0" w:rsidRPr="00191C1D" w:rsidRDefault="00F956A0" w:rsidP="00F956A0">
      <w:pPr>
        <w:spacing w:before="240"/>
        <w:ind w:right="91"/>
        <w:rPr>
          <w:u w:val="single"/>
          <w:lang w:eastAsia="en-US"/>
        </w:rPr>
      </w:pPr>
      <w:r w:rsidRPr="00191C1D">
        <w:rPr>
          <w:u w:val="single"/>
          <w:lang w:eastAsia="en-US"/>
        </w:rPr>
        <w:t>Section 1</w:t>
      </w:r>
      <w:r w:rsidR="002826E4" w:rsidRPr="00191C1D">
        <w:rPr>
          <w:u w:val="single"/>
          <w:lang w:eastAsia="en-US"/>
        </w:rPr>
        <w:t>5</w:t>
      </w:r>
      <w:r w:rsidRPr="00191C1D">
        <w:rPr>
          <w:u w:val="single"/>
          <w:lang w:eastAsia="en-US"/>
        </w:rPr>
        <w:t xml:space="preserve"> – Purpose of this Part</w:t>
      </w:r>
    </w:p>
    <w:p w14:paraId="42DAA346" w14:textId="649FCC74" w:rsidR="00315D9B" w:rsidRPr="00191C1D" w:rsidRDefault="00F956A0" w:rsidP="00F956A0">
      <w:pPr>
        <w:spacing w:before="240"/>
        <w:ind w:right="91"/>
        <w:rPr>
          <w:lang w:eastAsia="en-US"/>
        </w:rPr>
      </w:pPr>
      <w:r w:rsidRPr="00191C1D">
        <w:rPr>
          <w:lang w:eastAsia="en-US"/>
        </w:rPr>
        <w:t xml:space="preserve">Part 4 of the Regulations relate to infringement notices, and is made for the purposes </w:t>
      </w:r>
      <w:r w:rsidR="00640809" w:rsidRPr="00191C1D">
        <w:rPr>
          <w:lang w:eastAsia="en-US"/>
        </w:rPr>
        <w:t xml:space="preserve">of </w:t>
      </w:r>
      <w:r w:rsidRPr="00191C1D">
        <w:rPr>
          <w:lang w:eastAsia="en-US"/>
        </w:rPr>
        <w:t xml:space="preserve">section 106 of the Act. Part 4 provides for a procedure </w:t>
      </w:r>
      <w:r w:rsidR="00640809" w:rsidRPr="00191C1D">
        <w:rPr>
          <w:lang w:eastAsia="en-US"/>
        </w:rPr>
        <w:t xml:space="preserve">for dealing with offences </w:t>
      </w:r>
      <w:r w:rsidR="00D12AAF" w:rsidRPr="00191C1D">
        <w:rPr>
          <w:lang w:eastAsia="en-US"/>
        </w:rPr>
        <w:t>specified at subsection 106(1A) of the Act through infringement notices. An ESOS agency</w:t>
      </w:r>
      <w:r w:rsidR="00B10F34" w:rsidRPr="00191C1D">
        <w:rPr>
          <w:lang w:eastAsia="en-US"/>
        </w:rPr>
        <w:t xml:space="preserve"> for a registered provider may serve</w:t>
      </w:r>
      <w:r w:rsidR="00D12AAF" w:rsidRPr="00191C1D">
        <w:rPr>
          <w:lang w:eastAsia="en-US"/>
        </w:rPr>
        <w:t xml:space="preserve"> the provider an infringement notice requiring payment of a penalty as an alternative to prosecution for the offence. </w:t>
      </w:r>
    </w:p>
    <w:p w14:paraId="0160BB55" w14:textId="61736504" w:rsidR="00F956A0" w:rsidRPr="00191C1D" w:rsidRDefault="00F956A0" w:rsidP="00F956A0">
      <w:pPr>
        <w:spacing w:before="240"/>
        <w:ind w:right="91"/>
        <w:rPr>
          <w:u w:val="single"/>
          <w:lang w:eastAsia="en-US"/>
        </w:rPr>
      </w:pPr>
      <w:r w:rsidRPr="00191C1D">
        <w:rPr>
          <w:u w:val="single"/>
          <w:lang w:eastAsia="en-US"/>
        </w:rPr>
        <w:t>Section 1</w:t>
      </w:r>
      <w:r w:rsidR="002826E4" w:rsidRPr="00191C1D">
        <w:rPr>
          <w:u w:val="single"/>
          <w:lang w:eastAsia="en-US"/>
        </w:rPr>
        <w:t>6</w:t>
      </w:r>
      <w:r w:rsidRPr="00191C1D">
        <w:rPr>
          <w:u w:val="single"/>
          <w:lang w:eastAsia="en-US"/>
        </w:rPr>
        <w:t xml:space="preserve"> – Infringement notices</w:t>
      </w:r>
    </w:p>
    <w:p w14:paraId="76FF4A72" w14:textId="0079E8ED" w:rsidR="00F956A0" w:rsidRPr="00191C1D" w:rsidRDefault="00006CB0" w:rsidP="00F956A0">
      <w:pPr>
        <w:spacing w:before="240"/>
        <w:ind w:right="91"/>
        <w:rPr>
          <w:lang w:eastAsia="en-US"/>
        </w:rPr>
      </w:pPr>
      <w:r w:rsidRPr="00191C1D">
        <w:rPr>
          <w:lang w:eastAsia="en-US"/>
        </w:rPr>
        <w:t>S</w:t>
      </w:r>
      <w:r w:rsidR="00F956A0" w:rsidRPr="00191C1D">
        <w:rPr>
          <w:lang w:eastAsia="en-US"/>
        </w:rPr>
        <w:t>ection</w:t>
      </w:r>
      <w:r w:rsidRPr="00191C1D">
        <w:rPr>
          <w:lang w:eastAsia="en-US"/>
        </w:rPr>
        <w:t xml:space="preserve"> 1</w:t>
      </w:r>
      <w:r w:rsidR="002826E4" w:rsidRPr="00191C1D">
        <w:rPr>
          <w:lang w:eastAsia="en-US"/>
        </w:rPr>
        <w:t>6</w:t>
      </w:r>
      <w:r w:rsidR="00F956A0" w:rsidRPr="00191C1D">
        <w:rPr>
          <w:lang w:eastAsia="en-US"/>
        </w:rPr>
        <w:t xml:space="preserve"> </w:t>
      </w:r>
      <w:r w:rsidR="00BD5B95" w:rsidRPr="00191C1D">
        <w:rPr>
          <w:lang w:eastAsia="en-US"/>
        </w:rPr>
        <w:t>provides that an</w:t>
      </w:r>
      <w:r w:rsidR="00F956A0" w:rsidRPr="00191C1D">
        <w:rPr>
          <w:lang w:eastAsia="en-US"/>
        </w:rPr>
        <w:t xml:space="preserve"> ESOS agency for a provider </w:t>
      </w:r>
      <w:r w:rsidR="00BD5B95" w:rsidRPr="00191C1D">
        <w:rPr>
          <w:lang w:eastAsia="en-US"/>
        </w:rPr>
        <w:t>may</w:t>
      </w:r>
      <w:r w:rsidR="00F956A0" w:rsidRPr="00191C1D">
        <w:rPr>
          <w:lang w:eastAsia="en-US"/>
        </w:rPr>
        <w:t xml:space="preserve"> serve an infringement notice (or cause one to be served) on the provider if the ESOS agency has reasonable grounds to believe that the registered provider has committed an offence covered by section 106 of the Act. </w:t>
      </w:r>
    </w:p>
    <w:p w14:paraId="3AD7FBD0" w14:textId="77777777" w:rsidR="00F956A0" w:rsidRPr="00191C1D" w:rsidRDefault="00F956A0" w:rsidP="00F956A0">
      <w:pPr>
        <w:ind w:right="91"/>
        <w:rPr>
          <w:lang w:eastAsia="en-US"/>
        </w:rPr>
      </w:pPr>
    </w:p>
    <w:p w14:paraId="737CB5B8" w14:textId="5FE98EC8" w:rsidR="001421C0" w:rsidRPr="00191C1D" w:rsidRDefault="00E8477E" w:rsidP="00F956A0">
      <w:pPr>
        <w:ind w:right="91"/>
        <w:rPr>
          <w:lang w:eastAsia="en-US"/>
        </w:rPr>
      </w:pPr>
      <w:r w:rsidRPr="00191C1D">
        <w:rPr>
          <w:lang w:eastAsia="en-US"/>
        </w:rPr>
        <w:t>T</w:t>
      </w:r>
      <w:r w:rsidR="00F956A0" w:rsidRPr="00191C1D">
        <w:rPr>
          <w:lang w:eastAsia="en-US"/>
        </w:rPr>
        <w:t>he infringement notice must</w:t>
      </w:r>
      <w:r w:rsidRPr="00191C1D">
        <w:rPr>
          <w:lang w:eastAsia="en-US"/>
        </w:rPr>
        <w:t xml:space="preserve"> include the information specified at subsection 1</w:t>
      </w:r>
      <w:r w:rsidR="002826E4" w:rsidRPr="00191C1D">
        <w:rPr>
          <w:lang w:eastAsia="en-US"/>
        </w:rPr>
        <w:t>6</w:t>
      </w:r>
      <w:r w:rsidRPr="00191C1D">
        <w:rPr>
          <w:lang w:eastAsia="en-US"/>
        </w:rPr>
        <w:t>(2). This includes:</w:t>
      </w:r>
    </w:p>
    <w:p w14:paraId="18968476" w14:textId="5014159F" w:rsidR="00E8477E" w:rsidRPr="00191C1D" w:rsidRDefault="00E8477E" w:rsidP="00285CBA">
      <w:pPr>
        <w:pStyle w:val="ListParagraph"/>
        <w:numPr>
          <w:ilvl w:val="0"/>
          <w:numId w:val="52"/>
        </w:numPr>
        <w:ind w:right="91"/>
        <w:rPr>
          <w:lang w:eastAsia="en-US"/>
        </w:rPr>
      </w:pPr>
      <w:r w:rsidRPr="00191C1D">
        <w:rPr>
          <w:lang w:eastAsia="en-US"/>
        </w:rPr>
        <w:t>name and address of the provider;</w:t>
      </w:r>
    </w:p>
    <w:p w14:paraId="50EC10B6" w14:textId="7A8D44D4" w:rsidR="00BD3C5C" w:rsidRPr="00191C1D" w:rsidRDefault="00CB6836" w:rsidP="00285CBA">
      <w:pPr>
        <w:pStyle w:val="ListParagraph"/>
        <w:numPr>
          <w:ilvl w:val="0"/>
          <w:numId w:val="52"/>
        </w:numPr>
        <w:ind w:right="91"/>
        <w:rPr>
          <w:lang w:eastAsia="en-US"/>
        </w:rPr>
      </w:pPr>
      <w:r w:rsidRPr="00191C1D">
        <w:rPr>
          <w:lang w:eastAsia="en-US"/>
        </w:rPr>
        <w:t>details of the alleged offence and the relevant prov</w:t>
      </w:r>
      <w:r w:rsidR="00BD3C5C" w:rsidRPr="00191C1D">
        <w:rPr>
          <w:lang w:eastAsia="en-US"/>
        </w:rPr>
        <w:t>ision of the Act;</w:t>
      </w:r>
    </w:p>
    <w:p w14:paraId="5DBCBCE4" w14:textId="20309F34" w:rsidR="00BD3C5C" w:rsidRPr="00191C1D" w:rsidRDefault="00CB6836" w:rsidP="00285CBA">
      <w:pPr>
        <w:pStyle w:val="ListParagraph"/>
        <w:numPr>
          <w:ilvl w:val="0"/>
          <w:numId w:val="52"/>
        </w:numPr>
        <w:ind w:right="91"/>
        <w:rPr>
          <w:lang w:eastAsia="en-US"/>
        </w:rPr>
      </w:pPr>
      <w:r w:rsidRPr="00191C1D">
        <w:rPr>
          <w:lang w:eastAsia="en-US"/>
        </w:rPr>
        <w:t>the maximum penalty a court could</w:t>
      </w:r>
      <w:r w:rsidR="00BD3C5C" w:rsidRPr="00191C1D">
        <w:rPr>
          <w:lang w:eastAsia="en-US"/>
        </w:rPr>
        <w:t xml:space="preserve"> impose</w:t>
      </w:r>
      <w:r w:rsidR="00E8477E" w:rsidRPr="00191C1D">
        <w:rPr>
          <w:lang w:eastAsia="en-US"/>
        </w:rPr>
        <w:t xml:space="preserve"> for the offence</w:t>
      </w:r>
      <w:r w:rsidR="00BD3C5C" w:rsidRPr="00191C1D">
        <w:rPr>
          <w:lang w:eastAsia="en-US"/>
        </w:rPr>
        <w:t>;</w:t>
      </w:r>
    </w:p>
    <w:p w14:paraId="085029E4" w14:textId="77777777" w:rsidR="00BD3C5C" w:rsidRPr="00191C1D" w:rsidRDefault="00CB6836" w:rsidP="00285CBA">
      <w:pPr>
        <w:pStyle w:val="ListParagraph"/>
        <w:numPr>
          <w:ilvl w:val="0"/>
          <w:numId w:val="52"/>
        </w:numPr>
        <w:ind w:right="91"/>
        <w:rPr>
          <w:lang w:eastAsia="en-US"/>
        </w:rPr>
      </w:pPr>
      <w:r w:rsidRPr="00191C1D">
        <w:rPr>
          <w:lang w:eastAsia="en-US"/>
        </w:rPr>
        <w:t xml:space="preserve">the amount payable as the infringement </w:t>
      </w:r>
      <w:r w:rsidR="00BD3C5C" w:rsidRPr="00191C1D">
        <w:rPr>
          <w:lang w:eastAsia="en-US"/>
        </w:rPr>
        <w:t>notice penalty;</w:t>
      </w:r>
    </w:p>
    <w:p w14:paraId="4781F104" w14:textId="59E67D7A" w:rsidR="00E8477E" w:rsidRPr="00191C1D" w:rsidRDefault="00E8477E" w:rsidP="00285CBA">
      <w:pPr>
        <w:pStyle w:val="ListParagraph"/>
        <w:numPr>
          <w:ilvl w:val="0"/>
          <w:numId w:val="52"/>
        </w:numPr>
        <w:ind w:right="91"/>
        <w:rPr>
          <w:lang w:eastAsia="en-US"/>
        </w:rPr>
      </w:pPr>
      <w:r w:rsidRPr="00191C1D">
        <w:rPr>
          <w:lang w:eastAsia="en-US"/>
        </w:rPr>
        <w:t>a statement that if the provider prefers that the matter not be dealt with by a court, the provider may signify that preference by paying t</w:t>
      </w:r>
      <w:r w:rsidR="00A6163D" w:rsidRPr="00191C1D">
        <w:rPr>
          <w:lang w:eastAsia="en-US"/>
        </w:rPr>
        <w:t xml:space="preserve">he infringement notice penalty within a particular period; </w:t>
      </w:r>
    </w:p>
    <w:p w14:paraId="051620FC" w14:textId="77E5BE52" w:rsidR="00A6163D" w:rsidRPr="00191C1D" w:rsidRDefault="00CB6836" w:rsidP="00285CBA">
      <w:pPr>
        <w:pStyle w:val="ListParagraph"/>
        <w:numPr>
          <w:ilvl w:val="0"/>
          <w:numId w:val="52"/>
        </w:numPr>
        <w:ind w:right="91"/>
        <w:rPr>
          <w:lang w:eastAsia="en-US"/>
        </w:rPr>
      </w:pPr>
      <w:r w:rsidRPr="00191C1D">
        <w:rPr>
          <w:lang w:eastAsia="en-US"/>
        </w:rPr>
        <w:t xml:space="preserve">details of how </w:t>
      </w:r>
      <w:r w:rsidR="00A6163D" w:rsidRPr="00191C1D">
        <w:rPr>
          <w:lang w:eastAsia="en-US"/>
        </w:rPr>
        <w:t xml:space="preserve">and where </w:t>
      </w:r>
      <w:r w:rsidRPr="00191C1D">
        <w:rPr>
          <w:lang w:eastAsia="en-US"/>
        </w:rPr>
        <w:t>the provider may pay the infringement</w:t>
      </w:r>
      <w:r w:rsidR="001421C0" w:rsidRPr="00191C1D">
        <w:rPr>
          <w:lang w:eastAsia="en-US"/>
        </w:rPr>
        <w:t xml:space="preserve"> notice penalty</w:t>
      </w:r>
      <w:r w:rsidR="00BD3C5C" w:rsidRPr="00191C1D">
        <w:rPr>
          <w:lang w:eastAsia="en-US"/>
        </w:rPr>
        <w:t>;</w:t>
      </w:r>
      <w:r w:rsidRPr="00191C1D">
        <w:rPr>
          <w:lang w:eastAsia="en-US"/>
        </w:rPr>
        <w:t xml:space="preserve"> </w:t>
      </w:r>
    </w:p>
    <w:p w14:paraId="066B0452" w14:textId="1E1781D3" w:rsidR="00A6163D" w:rsidRPr="00191C1D" w:rsidRDefault="00A6163D" w:rsidP="00285CBA">
      <w:pPr>
        <w:pStyle w:val="ListParagraph"/>
        <w:numPr>
          <w:ilvl w:val="0"/>
          <w:numId w:val="52"/>
        </w:numPr>
        <w:ind w:right="91"/>
        <w:rPr>
          <w:lang w:eastAsia="en-US"/>
        </w:rPr>
      </w:pPr>
      <w:r w:rsidRPr="00191C1D">
        <w:rPr>
          <w:lang w:eastAsia="en-US"/>
        </w:rPr>
        <w:t xml:space="preserve">a statement that if before the end of 28 days after service of the notice, the provider notifies the ESOS agency of any facts or matters that the provider believes ought to be </w:t>
      </w:r>
      <w:r w:rsidRPr="00191C1D">
        <w:rPr>
          <w:lang w:eastAsia="en-US"/>
        </w:rPr>
        <w:lastRenderedPageBreak/>
        <w:t xml:space="preserve">taken into account in relation to the alleged offence, the time for payment will be extended and the ESOS agency must consider matters mentioned in </w:t>
      </w:r>
      <w:r w:rsidR="00312A7C" w:rsidRPr="00191C1D">
        <w:rPr>
          <w:lang w:eastAsia="en-US"/>
        </w:rPr>
        <w:t xml:space="preserve">subsection </w:t>
      </w:r>
      <w:r w:rsidR="00023463" w:rsidRPr="00191C1D">
        <w:rPr>
          <w:lang w:eastAsia="en-US"/>
        </w:rPr>
        <w:t>20</w:t>
      </w:r>
      <w:r w:rsidR="00312A7C" w:rsidRPr="00191C1D">
        <w:rPr>
          <w:lang w:eastAsia="en-US"/>
        </w:rPr>
        <w:t>(5)</w:t>
      </w:r>
      <w:r w:rsidR="00B10F34" w:rsidRPr="00191C1D">
        <w:rPr>
          <w:lang w:eastAsia="en-US"/>
        </w:rPr>
        <w:t>;</w:t>
      </w:r>
    </w:p>
    <w:p w14:paraId="1493ECEA" w14:textId="06DC4190" w:rsidR="00A6163D" w:rsidRPr="00191C1D" w:rsidRDefault="00A6163D" w:rsidP="00285CBA">
      <w:pPr>
        <w:pStyle w:val="ListParagraph"/>
        <w:numPr>
          <w:ilvl w:val="0"/>
          <w:numId w:val="52"/>
        </w:numPr>
        <w:ind w:right="91"/>
        <w:rPr>
          <w:lang w:eastAsia="en-US"/>
        </w:rPr>
      </w:pPr>
      <w:r w:rsidRPr="00191C1D">
        <w:rPr>
          <w:lang w:eastAsia="en-US"/>
        </w:rPr>
        <w:t>matters the ESOS</w:t>
      </w:r>
      <w:r w:rsidR="00B10F34" w:rsidRPr="00191C1D">
        <w:rPr>
          <w:lang w:eastAsia="en-US"/>
        </w:rPr>
        <w:t xml:space="preserve"> agency</w:t>
      </w:r>
      <w:r w:rsidRPr="00191C1D">
        <w:rPr>
          <w:lang w:eastAsia="en-US"/>
        </w:rPr>
        <w:t xml:space="preserve"> must consider</w:t>
      </w:r>
      <w:r w:rsidR="002854B8" w:rsidRPr="00191C1D">
        <w:rPr>
          <w:lang w:eastAsia="en-US"/>
        </w:rPr>
        <w:t xml:space="preserve"> under subsection </w:t>
      </w:r>
      <w:r w:rsidR="00023463" w:rsidRPr="00191C1D">
        <w:rPr>
          <w:lang w:eastAsia="en-US"/>
        </w:rPr>
        <w:t>20</w:t>
      </w:r>
      <w:r w:rsidR="002854B8" w:rsidRPr="00191C1D">
        <w:rPr>
          <w:lang w:eastAsia="en-US"/>
        </w:rPr>
        <w:t>(5)</w:t>
      </w:r>
      <w:r w:rsidRPr="00191C1D">
        <w:rPr>
          <w:lang w:eastAsia="en-US"/>
        </w:rPr>
        <w:t xml:space="preserve">; </w:t>
      </w:r>
    </w:p>
    <w:p w14:paraId="5C7A44A2" w14:textId="0CD40121" w:rsidR="00A6163D" w:rsidRPr="00191C1D" w:rsidRDefault="00A6163D" w:rsidP="00285CBA">
      <w:pPr>
        <w:pStyle w:val="ListParagraph"/>
        <w:numPr>
          <w:ilvl w:val="0"/>
          <w:numId w:val="52"/>
        </w:numPr>
        <w:ind w:right="91"/>
        <w:rPr>
          <w:lang w:eastAsia="en-US"/>
        </w:rPr>
      </w:pPr>
      <w:r w:rsidRPr="00191C1D">
        <w:rPr>
          <w:lang w:eastAsia="en-US"/>
        </w:rPr>
        <w:t>statement that if the infringement notice penalty is paid in time, the provider’s liability for the offence is discharged and further proceedings cannot be taken against the provider for the offence and the provider is not taken to have been convicted of the off</w:t>
      </w:r>
      <w:r w:rsidR="00411E71" w:rsidRPr="00191C1D">
        <w:rPr>
          <w:lang w:eastAsia="en-US"/>
        </w:rPr>
        <w:t>ence</w:t>
      </w:r>
      <w:r w:rsidRPr="00191C1D">
        <w:rPr>
          <w:lang w:eastAsia="en-US"/>
        </w:rPr>
        <w:t>;</w:t>
      </w:r>
    </w:p>
    <w:p w14:paraId="5852AA27" w14:textId="1C7061C8" w:rsidR="005D666C" w:rsidRPr="00191C1D" w:rsidRDefault="005D666C" w:rsidP="00285CBA">
      <w:pPr>
        <w:pStyle w:val="ListParagraph"/>
        <w:numPr>
          <w:ilvl w:val="0"/>
          <w:numId w:val="52"/>
        </w:numPr>
        <w:ind w:right="91"/>
        <w:rPr>
          <w:lang w:eastAsia="en-US"/>
        </w:rPr>
      </w:pPr>
      <w:r w:rsidRPr="00191C1D">
        <w:rPr>
          <w:lang w:eastAsia="en-US"/>
        </w:rPr>
        <w:t>that</w:t>
      </w:r>
      <w:r w:rsidR="00F906E2" w:rsidRPr="00191C1D">
        <w:rPr>
          <w:lang w:eastAsia="en-US"/>
        </w:rPr>
        <w:t xml:space="preserve"> the</w:t>
      </w:r>
      <w:r w:rsidRPr="00191C1D">
        <w:rPr>
          <w:lang w:eastAsia="en-US"/>
        </w:rPr>
        <w:t xml:space="preserve"> provider may be prosecuted for the alleged offence if the provider does not meet certain timeframes; </w:t>
      </w:r>
      <w:r w:rsidR="00B10F34" w:rsidRPr="00191C1D">
        <w:rPr>
          <w:lang w:eastAsia="en-US"/>
        </w:rPr>
        <w:t xml:space="preserve">and </w:t>
      </w:r>
    </w:p>
    <w:p w14:paraId="59AA5021" w14:textId="50F068A5" w:rsidR="00BD3C5C" w:rsidRPr="00191C1D" w:rsidRDefault="00411E71" w:rsidP="00285CBA">
      <w:pPr>
        <w:pStyle w:val="ListParagraph"/>
        <w:numPr>
          <w:ilvl w:val="0"/>
          <w:numId w:val="52"/>
        </w:numPr>
        <w:ind w:right="91"/>
        <w:rPr>
          <w:lang w:eastAsia="en-US"/>
        </w:rPr>
      </w:pPr>
      <w:r w:rsidRPr="00191C1D">
        <w:rPr>
          <w:lang w:eastAsia="en-US"/>
        </w:rPr>
        <w:t xml:space="preserve">the </w:t>
      </w:r>
      <w:r w:rsidR="005D666C" w:rsidRPr="00191C1D">
        <w:rPr>
          <w:lang w:eastAsia="en-US"/>
        </w:rPr>
        <w:t xml:space="preserve">name of the person who serves the notice.  </w:t>
      </w:r>
    </w:p>
    <w:p w14:paraId="79C9FDC3" w14:textId="77777777" w:rsidR="00A6163D" w:rsidRPr="00191C1D" w:rsidRDefault="00A6163D" w:rsidP="00F956A0">
      <w:pPr>
        <w:ind w:right="91"/>
        <w:rPr>
          <w:lang w:eastAsia="en-US"/>
        </w:rPr>
      </w:pPr>
    </w:p>
    <w:p w14:paraId="13E9E8C2" w14:textId="3C3C046A" w:rsidR="00A6163D" w:rsidRPr="00191C1D" w:rsidRDefault="00A6163D" w:rsidP="00F956A0">
      <w:pPr>
        <w:ind w:right="91"/>
        <w:rPr>
          <w:lang w:eastAsia="en-US"/>
        </w:rPr>
      </w:pPr>
      <w:r w:rsidRPr="00191C1D">
        <w:rPr>
          <w:lang w:eastAsia="en-US"/>
        </w:rPr>
        <w:t>Subsection 1</w:t>
      </w:r>
      <w:r w:rsidR="00023463" w:rsidRPr="00191C1D">
        <w:rPr>
          <w:lang w:eastAsia="en-US"/>
        </w:rPr>
        <w:t>6</w:t>
      </w:r>
      <w:r w:rsidRPr="00191C1D">
        <w:rPr>
          <w:lang w:eastAsia="en-US"/>
        </w:rPr>
        <w:t xml:space="preserve">(3) explains that the infringement notice may also contain any other information that the ESOS agency considers necessary. </w:t>
      </w:r>
    </w:p>
    <w:p w14:paraId="713C53C2" w14:textId="58F94200" w:rsidR="00F956A0" w:rsidRPr="00191C1D" w:rsidRDefault="00F956A0" w:rsidP="00F956A0">
      <w:pPr>
        <w:ind w:right="91"/>
        <w:rPr>
          <w:lang w:eastAsia="en-US"/>
        </w:rPr>
      </w:pPr>
    </w:p>
    <w:p w14:paraId="47364AEA" w14:textId="65821D8A" w:rsidR="00255886" w:rsidRPr="00191C1D" w:rsidRDefault="00715305" w:rsidP="00F956A0">
      <w:pPr>
        <w:ind w:right="91"/>
        <w:rPr>
          <w:lang w:eastAsia="en-US"/>
        </w:rPr>
      </w:pPr>
      <w:r w:rsidRPr="00191C1D">
        <w:rPr>
          <w:lang w:eastAsia="en-US"/>
        </w:rPr>
        <w:t>Subsection 1</w:t>
      </w:r>
      <w:r w:rsidR="00023463" w:rsidRPr="00191C1D">
        <w:rPr>
          <w:lang w:eastAsia="en-US"/>
        </w:rPr>
        <w:t>6</w:t>
      </w:r>
      <w:r w:rsidRPr="00191C1D">
        <w:rPr>
          <w:lang w:eastAsia="en-US"/>
        </w:rPr>
        <w:t xml:space="preserve">(4) specifies </w:t>
      </w:r>
      <w:r w:rsidR="001421C0" w:rsidRPr="00191C1D">
        <w:rPr>
          <w:lang w:eastAsia="en-US"/>
        </w:rPr>
        <w:t xml:space="preserve">the </w:t>
      </w:r>
      <w:r w:rsidR="00A6163D" w:rsidRPr="00191C1D">
        <w:rPr>
          <w:lang w:eastAsia="en-US"/>
        </w:rPr>
        <w:t>infringement notice must be served on the provider</w:t>
      </w:r>
      <w:r w:rsidRPr="00191C1D">
        <w:rPr>
          <w:lang w:eastAsia="en-US"/>
        </w:rPr>
        <w:t xml:space="preserve"> not more than 12 months after the alleged commission of the offence.</w:t>
      </w:r>
    </w:p>
    <w:p w14:paraId="2E200DE7" w14:textId="4BB41877" w:rsidR="00255886" w:rsidRPr="00191C1D" w:rsidRDefault="00CE19E1" w:rsidP="00CE19E1">
      <w:pPr>
        <w:spacing w:before="240"/>
        <w:ind w:right="91"/>
        <w:rPr>
          <w:u w:val="single"/>
          <w:lang w:eastAsia="en-US"/>
        </w:rPr>
      </w:pPr>
      <w:r w:rsidRPr="00191C1D">
        <w:rPr>
          <w:u w:val="single"/>
          <w:lang w:eastAsia="en-US"/>
        </w:rPr>
        <w:t>Section 1</w:t>
      </w:r>
      <w:r w:rsidR="00023463" w:rsidRPr="00191C1D">
        <w:rPr>
          <w:u w:val="single"/>
          <w:lang w:eastAsia="en-US"/>
        </w:rPr>
        <w:t>7</w:t>
      </w:r>
      <w:r w:rsidRPr="00191C1D">
        <w:rPr>
          <w:u w:val="single"/>
          <w:lang w:eastAsia="en-US"/>
        </w:rPr>
        <w:t xml:space="preserve"> – Service of infringement notices</w:t>
      </w:r>
    </w:p>
    <w:p w14:paraId="3330D21D" w14:textId="4C23DD37" w:rsidR="00CE19E1" w:rsidRPr="00191C1D" w:rsidRDefault="00CE19E1" w:rsidP="00F956A0">
      <w:pPr>
        <w:ind w:right="91"/>
        <w:rPr>
          <w:lang w:eastAsia="en-US"/>
        </w:rPr>
      </w:pPr>
    </w:p>
    <w:p w14:paraId="5C887998" w14:textId="51061271" w:rsidR="00E116A4" w:rsidRPr="00191C1D" w:rsidRDefault="005F3C65" w:rsidP="00F956A0">
      <w:pPr>
        <w:ind w:right="91"/>
        <w:rPr>
          <w:lang w:eastAsia="en-US"/>
        </w:rPr>
      </w:pPr>
      <w:r w:rsidRPr="00191C1D">
        <w:rPr>
          <w:lang w:eastAsia="en-US"/>
        </w:rPr>
        <w:t>S</w:t>
      </w:r>
      <w:r w:rsidR="00FA2262" w:rsidRPr="00191C1D">
        <w:rPr>
          <w:lang w:eastAsia="en-US"/>
        </w:rPr>
        <w:t>ection</w:t>
      </w:r>
      <w:r w:rsidRPr="00191C1D">
        <w:rPr>
          <w:lang w:eastAsia="en-US"/>
        </w:rPr>
        <w:t xml:space="preserve"> 1</w:t>
      </w:r>
      <w:r w:rsidR="00023463" w:rsidRPr="00191C1D">
        <w:rPr>
          <w:lang w:eastAsia="en-US"/>
        </w:rPr>
        <w:t>7</w:t>
      </w:r>
      <w:r w:rsidR="00FA2262" w:rsidRPr="00191C1D">
        <w:rPr>
          <w:lang w:eastAsia="en-US"/>
        </w:rPr>
        <w:t xml:space="preserve"> sets out the requirements for how an infringement notice may be validly served on an individual person or a body corporate.</w:t>
      </w:r>
    </w:p>
    <w:p w14:paraId="1170C264" w14:textId="70FE6CBD" w:rsidR="00E116A4" w:rsidRPr="00191C1D" w:rsidRDefault="00E116A4" w:rsidP="00E116A4">
      <w:pPr>
        <w:spacing w:before="240"/>
        <w:ind w:right="91"/>
        <w:rPr>
          <w:u w:val="single"/>
          <w:lang w:eastAsia="en-US"/>
        </w:rPr>
      </w:pPr>
      <w:r w:rsidRPr="00191C1D">
        <w:rPr>
          <w:u w:val="single"/>
          <w:lang w:eastAsia="en-US"/>
        </w:rPr>
        <w:t>Section 1</w:t>
      </w:r>
      <w:r w:rsidR="00023463" w:rsidRPr="00191C1D">
        <w:rPr>
          <w:u w:val="single"/>
          <w:lang w:eastAsia="en-US"/>
        </w:rPr>
        <w:t>8</w:t>
      </w:r>
      <w:r w:rsidRPr="00191C1D">
        <w:rPr>
          <w:u w:val="single"/>
          <w:lang w:eastAsia="en-US"/>
        </w:rPr>
        <w:t xml:space="preserve"> – Extension of time to pay</w:t>
      </w:r>
    </w:p>
    <w:p w14:paraId="78E43E1B" w14:textId="39B6AA3E" w:rsidR="002E490F" w:rsidRPr="00191C1D" w:rsidRDefault="005F3C65" w:rsidP="00E116A4">
      <w:pPr>
        <w:spacing w:before="240"/>
        <w:ind w:right="91"/>
        <w:rPr>
          <w:lang w:eastAsia="en-US"/>
        </w:rPr>
      </w:pPr>
      <w:r w:rsidRPr="00191C1D">
        <w:rPr>
          <w:lang w:eastAsia="en-US"/>
        </w:rPr>
        <w:t>S</w:t>
      </w:r>
      <w:r w:rsidR="00E116A4" w:rsidRPr="00191C1D">
        <w:rPr>
          <w:lang w:eastAsia="en-US"/>
        </w:rPr>
        <w:t>ection</w:t>
      </w:r>
      <w:r w:rsidRPr="00191C1D">
        <w:rPr>
          <w:lang w:eastAsia="en-US"/>
        </w:rPr>
        <w:t xml:space="preserve"> 1</w:t>
      </w:r>
      <w:r w:rsidR="00023463" w:rsidRPr="00191C1D">
        <w:rPr>
          <w:lang w:eastAsia="en-US"/>
        </w:rPr>
        <w:t>8</w:t>
      </w:r>
      <w:r w:rsidR="00E116A4" w:rsidRPr="00191C1D">
        <w:rPr>
          <w:lang w:eastAsia="en-US"/>
        </w:rPr>
        <w:t xml:space="preserve"> </w:t>
      </w:r>
      <w:r w:rsidR="00E40CEA" w:rsidRPr="00191C1D">
        <w:rPr>
          <w:lang w:eastAsia="en-US"/>
        </w:rPr>
        <w:t xml:space="preserve">sets out the process by which </w:t>
      </w:r>
      <w:r w:rsidR="002E490F" w:rsidRPr="00191C1D">
        <w:rPr>
          <w:lang w:eastAsia="en-US"/>
        </w:rPr>
        <w:t>a provider may apply to the ESOS agency for a further period of time within which to pay the infringement notice penalty. The ESOS agency must be satisfied that any such extension is reasonable taking into account all of the relevant circumstances.</w:t>
      </w:r>
    </w:p>
    <w:p w14:paraId="3B8BE195" w14:textId="36E6AD5E" w:rsidR="00E116A4" w:rsidRPr="00191C1D" w:rsidRDefault="00E116A4" w:rsidP="00F956A0">
      <w:pPr>
        <w:ind w:right="91"/>
        <w:rPr>
          <w:lang w:eastAsia="en-US"/>
        </w:rPr>
      </w:pPr>
    </w:p>
    <w:p w14:paraId="64A8969E" w14:textId="2560A364" w:rsidR="00DB7428" w:rsidRPr="00191C1D" w:rsidRDefault="00377AFE" w:rsidP="00F956A0">
      <w:pPr>
        <w:ind w:right="91"/>
        <w:rPr>
          <w:lang w:eastAsia="en-US"/>
        </w:rPr>
      </w:pPr>
      <w:r w:rsidRPr="00191C1D">
        <w:rPr>
          <w:lang w:eastAsia="en-US"/>
        </w:rPr>
        <w:t xml:space="preserve">This section also provides for the relevant processes </w:t>
      </w:r>
      <w:r w:rsidR="001421C0" w:rsidRPr="00191C1D">
        <w:rPr>
          <w:lang w:eastAsia="en-US"/>
        </w:rPr>
        <w:t xml:space="preserve">and consequences </w:t>
      </w:r>
      <w:r w:rsidRPr="00191C1D">
        <w:rPr>
          <w:lang w:eastAsia="en-US"/>
        </w:rPr>
        <w:t>that follow should</w:t>
      </w:r>
      <w:r w:rsidR="001421C0" w:rsidRPr="00191C1D">
        <w:rPr>
          <w:lang w:eastAsia="en-US"/>
        </w:rPr>
        <w:t xml:space="preserve"> an extension</w:t>
      </w:r>
      <w:r w:rsidR="00B10F34" w:rsidRPr="00191C1D">
        <w:rPr>
          <w:lang w:eastAsia="en-US"/>
        </w:rPr>
        <w:t xml:space="preserve"> of time to pay</w:t>
      </w:r>
      <w:r w:rsidR="001421C0" w:rsidRPr="00191C1D">
        <w:rPr>
          <w:lang w:eastAsia="en-US"/>
        </w:rPr>
        <w:t xml:space="preserve"> be granted or </w:t>
      </w:r>
      <w:r w:rsidR="00B135D9" w:rsidRPr="00191C1D">
        <w:rPr>
          <w:lang w:eastAsia="en-US"/>
        </w:rPr>
        <w:t>refused</w:t>
      </w:r>
      <w:r w:rsidR="001421C0" w:rsidRPr="00191C1D">
        <w:rPr>
          <w:lang w:eastAsia="en-US"/>
        </w:rPr>
        <w:t>.</w:t>
      </w:r>
    </w:p>
    <w:p w14:paraId="5983AC9B" w14:textId="2FADEFF4" w:rsidR="00DB7428" w:rsidRPr="00191C1D" w:rsidRDefault="00DB7428" w:rsidP="00DB7428">
      <w:pPr>
        <w:spacing w:before="240"/>
        <w:ind w:right="91"/>
        <w:rPr>
          <w:u w:val="single"/>
          <w:lang w:eastAsia="en-US"/>
        </w:rPr>
      </w:pPr>
      <w:r w:rsidRPr="00191C1D">
        <w:rPr>
          <w:u w:val="single"/>
          <w:lang w:eastAsia="en-US"/>
        </w:rPr>
        <w:t>Section 1</w:t>
      </w:r>
      <w:r w:rsidR="00023463" w:rsidRPr="00191C1D">
        <w:rPr>
          <w:u w:val="single"/>
          <w:lang w:eastAsia="en-US"/>
        </w:rPr>
        <w:t>9</w:t>
      </w:r>
      <w:r w:rsidRPr="00191C1D">
        <w:rPr>
          <w:u w:val="single"/>
          <w:lang w:eastAsia="en-US"/>
        </w:rPr>
        <w:t xml:space="preserve"> – Payment by instalments </w:t>
      </w:r>
    </w:p>
    <w:p w14:paraId="7735C7B6" w14:textId="7C0906E5" w:rsidR="00DB7428" w:rsidRPr="00191C1D" w:rsidRDefault="005F3C65" w:rsidP="00DB7428">
      <w:pPr>
        <w:spacing w:before="240"/>
        <w:ind w:right="91"/>
        <w:rPr>
          <w:lang w:eastAsia="en-US"/>
        </w:rPr>
      </w:pPr>
      <w:r w:rsidRPr="00191C1D">
        <w:rPr>
          <w:lang w:eastAsia="en-US"/>
        </w:rPr>
        <w:t>S</w:t>
      </w:r>
      <w:r w:rsidR="004C3B2B" w:rsidRPr="00191C1D">
        <w:rPr>
          <w:lang w:eastAsia="en-US"/>
        </w:rPr>
        <w:t xml:space="preserve">ection </w:t>
      </w:r>
      <w:r w:rsidRPr="00191C1D">
        <w:rPr>
          <w:lang w:eastAsia="en-US"/>
        </w:rPr>
        <w:t>1</w:t>
      </w:r>
      <w:r w:rsidR="00023463" w:rsidRPr="00191C1D">
        <w:rPr>
          <w:lang w:eastAsia="en-US"/>
        </w:rPr>
        <w:t>9</w:t>
      </w:r>
      <w:r w:rsidRPr="00191C1D">
        <w:rPr>
          <w:lang w:eastAsia="en-US"/>
        </w:rPr>
        <w:t xml:space="preserve"> </w:t>
      </w:r>
      <w:r w:rsidR="004C3B2B" w:rsidRPr="00191C1D">
        <w:rPr>
          <w:lang w:eastAsia="en-US"/>
        </w:rPr>
        <w:t xml:space="preserve">provides that an ESOS agency may, if it is satisfied that it is proper in the circumstances to do so, make arrangements for a provider who has been served with an infringement notice to pay the amount set in the infringement notice by instalments. </w:t>
      </w:r>
    </w:p>
    <w:p w14:paraId="72342A45" w14:textId="569ACAB6" w:rsidR="00DB7428" w:rsidRPr="00191C1D" w:rsidRDefault="00DB7428" w:rsidP="00F956A0">
      <w:pPr>
        <w:ind w:right="91"/>
        <w:rPr>
          <w:lang w:eastAsia="en-US"/>
        </w:rPr>
      </w:pPr>
    </w:p>
    <w:p w14:paraId="1E023227" w14:textId="36BDCFED" w:rsidR="000B6371" w:rsidRPr="00191C1D" w:rsidRDefault="004C3B2B" w:rsidP="004C3B2B">
      <w:pPr>
        <w:ind w:right="91"/>
        <w:rPr>
          <w:lang w:eastAsia="en-US"/>
        </w:rPr>
      </w:pPr>
      <w:r w:rsidRPr="00191C1D">
        <w:rPr>
          <w:lang w:eastAsia="en-US"/>
        </w:rPr>
        <w:t xml:space="preserve">This section also provides for the relevant processes that follow should a payment by instalments arrangement be granted or </w:t>
      </w:r>
      <w:r w:rsidR="00B135D9" w:rsidRPr="00191C1D">
        <w:rPr>
          <w:lang w:eastAsia="en-US"/>
        </w:rPr>
        <w:t>refused</w:t>
      </w:r>
      <w:r w:rsidRPr="00191C1D">
        <w:rPr>
          <w:lang w:eastAsia="en-US"/>
        </w:rPr>
        <w:t>.</w:t>
      </w:r>
    </w:p>
    <w:p w14:paraId="1C1F2DF7" w14:textId="015A7D60" w:rsidR="000B6371" w:rsidRPr="00191C1D" w:rsidRDefault="000B6371" w:rsidP="000B6371">
      <w:pPr>
        <w:spacing w:before="240"/>
        <w:ind w:right="91"/>
        <w:rPr>
          <w:u w:val="single"/>
          <w:lang w:eastAsia="en-US"/>
        </w:rPr>
      </w:pPr>
      <w:r w:rsidRPr="00191C1D">
        <w:rPr>
          <w:u w:val="single"/>
          <w:lang w:eastAsia="en-US"/>
        </w:rPr>
        <w:t xml:space="preserve">Section </w:t>
      </w:r>
      <w:r w:rsidR="00023463" w:rsidRPr="00191C1D">
        <w:rPr>
          <w:u w:val="single"/>
          <w:lang w:eastAsia="en-US"/>
        </w:rPr>
        <w:t>20</w:t>
      </w:r>
      <w:r w:rsidRPr="00191C1D">
        <w:rPr>
          <w:u w:val="single"/>
          <w:lang w:eastAsia="en-US"/>
        </w:rPr>
        <w:t xml:space="preserve"> – If infringement notice disputed</w:t>
      </w:r>
    </w:p>
    <w:p w14:paraId="62C172BF" w14:textId="19DDF921" w:rsidR="000B6371" w:rsidRPr="00191C1D" w:rsidRDefault="005F3C65" w:rsidP="000B6371">
      <w:pPr>
        <w:spacing w:before="240"/>
        <w:ind w:right="91"/>
        <w:rPr>
          <w:lang w:eastAsia="en-US"/>
        </w:rPr>
      </w:pPr>
      <w:r w:rsidRPr="00191C1D">
        <w:rPr>
          <w:lang w:eastAsia="en-US"/>
        </w:rPr>
        <w:t>S</w:t>
      </w:r>
      <w:r w:rsidR="00234775" w:rsidRPr="00191C1D">
        <w:rPr>
          <w:lang w:eastAsia="en-US"/>
        </w:rPr>
        <w:t xml:space="preserve">ection </w:t>
      </w:r>
      <w:r w:rsidR="00023463" w:rsidRPr="00191C1D">
        <w:rPr>
          <w:lang w:eastAsia="en-US"/>
        </w:rPr>
        <w:t>20</w:t>
      </w:r>
      <w:r w:rsidRPr="00191C1D">
        <w:rPr>
          <w:lang w:eastAsia="en-US"/>
        </w:rPr>
        <w:t xml:space="preserve"> </w:t>
      </w:r>
      <w:r w:rsidR="00F36507" w:rsidRPr="00191C1D">
        <w:rPr>
          <w:lang w:eastAsia="en-US"/>
        </w:rPr>
        <w:t>provides that an ESOS agency</w:t>
      </w:r>
      <w:r w:rsidR="00B135D9" w:rsidRPr="00191C1D">
        <w:rPr>
          <w:lang w:eastAsia="en-US"/>
        </w:rPr>
        <w:t xml:space="preserve"> for a provider</w:t>
      </w:r>
      <w:r w:rsidR="00F36507" w:rsidRPr="00191C1D">
        <w:rPr>
          <w:lang w:eastAsia="en-US"/>
        </w:rPr>
        <w:t xml:space="preserve"> may withdraw an infringement notice </w:t>
      </w:r>
      <w:r w:rsidR="00B135D9" w:rsidRPr="00191C1D">
        <w:rPr>
          <w:lang w:eastAsia="en-US"/>
        </w:rPr>
        <w:t xml:space="preserve">served </w:t>
      </w:r>
      <w:r w:rsidR="00F36507" w:rsidRPr="00191C1D">
        <w:rPr>
          <w:lang w:eastAsia="en-US"/>
        </w:rPr>
        <w:t>on a provider, if it is satisfied that it is proper in the circumstances to do so.</w:t>
      </w:r>
    </w:p>
    <w:p w14:paraId="5475C904" w14:textId="794FEBB9" w:rsidR="000B6371" w:rsidRPr="00191C1D" w:rsidRDefault="000B6371" w:rsidP="004C3B2B">
      <w:pPr>
        <w:ind w:right="91"/>
        <w:rPr>
          <w:lang w:eastAsia="en-US"/>
        </w:rPr>
      </w:pPr>
    </w:p>
    <w:p w14:paraId="0B344547" w14:textId="2BECEC08" w:rsidR="006D7353" w:rsidRPr="00191C1D" w:rsidRDefault="00C51336" w:rsidP="00F956A0">
      <w:pPr>
        <w:ind w:right="91"/>
        <w:rPr>
          <w:lang w:eastAsia="en-US"/>
        </w:rPr>
      </w:pPr>
      <w:r w:rsidRPr="00191C1D">
        <w:rPr>
          <w:lang w:eastAsia="en-US"/>
        </w:rPr>
        <w:t xml:space="preserve">Subsections </w:t>
      </w:r>
      <w:r w:rsidR="00023463" w:rsidRPr="00191C1D">
        <w:rPr>
          <w:lang w:eastAsia="en-US"/>
        </w:rPr>
        <w:t>20</w:t>
      </w:r>
      <w:r w:rsidRPr="00191C1D">
        <w:rPr>
          <w:lang w:eastAsia="en-US"/>
        </w:rPr>
        <w:t xml:space="preserve">(2) to </w:t>
      </w:r>
      <w:r w:rsidR="00023463" w:rsidRPr="00191C1D">
        <w:rPr>
          <w:lang w:eastAsia="en-US"/>
        </w:rPr>
        <w:t>20</w:t>
      </w:r>
      <w:r w:rsidRPr="00191C1D">
        <w:rPr>
          <w:lang w:eastAsia="en-US"/>
        </w:rPr>
        <w:t xml:space="preserve">(5) set out </w:t>
      </w:r>
      <w:r w:rsidR="006D7353" w:rsidRPr="00191C1D">
        <w:rPr>
          <w:lang w:eastAsia="en-US"/>
        </w:rPr>
        <w:t>what an ESOS agency must consider when a provide</w:t>
      </w:r>
      <w:r w:rsidR="001421C0" w:rsidRPr="00191C1D">
        <w:rPr>
          <w:lang w:eastAsia="en-US"/>
        </w:rPr>
        <w:t>r</w:t>
      </w:r>
      <w:r w:rsidR="006D7353" w:rsidRPr="00191C1D">
        <w:rPr>
          <w:lang w:eastAsia="en-US"/>
        </w:rPr>
        <w:t xml:space="preserve"> disputes an infringement notice, and the relevant processes </w:t>
      </w:r>
      <w:r w:rsidR="001421C0" w:rsidRPr="00191C1D">
        <w:rPr>
          <w:lang w:eastAsia="en-US"/>
        </w:rPr>
        <w:t xml:space="preserve">and consequences </w:t>
      </w:r>
      <w:r w:rsidR="006D7353" w:rsidRPr="00191C1D">
        <w:rPr>
          <w:lang w:eastAsia="en-US"/>
        </w:rPr>
        <w:t xml:space="preserve">that follow should an ESOS agency decide to withdraw, or </w:t>
      </w:r>
      <w:r w:rsidR="008E093F" w:rsidRPr="00191C1D">
        <w:rPr>
          <w:lang w:eastAsia="en-US"/>
        </w:rPr>
        <w:t>refuse to</w:t>
      </w:r>
      <w:r w:rsidR="006D7353" w:rsidRPr="00191C1D">
        <w:rPr>
          <w:lang w:eastAsia="en-US"/>
        </w:rPr>
        <w:t xml:space="preserve"> withdraw</w:t>
      </w:r>
      <w:r w:rsidR="008359E1">
        <w:rPr>
          <w:lang w:eastAsia="en-US"/>
        </w:rPr>
        <w:t>,</w:t>
      </w:r>
      <w:r w:rsidR="006D7353" w:rsidRPr="00191C1D">
        <w:rPr>
          <w:lang w:eastAsia="en-US"/>
        </w:rPr>
        <w:t xml:space="preserve"> an infringement notice.</w:t>
      </w:r>
    </w:p>
    <w:p w14:paraId="04BB8FAF" w14:textId="4BC7814A" w:rsidR="006D7353" w:rsidRPr="00191C1D" w:rsidRDefault="006D7353" w:rsidP="006D7353">
      <w:pPr>
        <w:spacing w:before="240"/>
        <w:ind w:right="91"/>
        <w:rPr>
          <w:u w:val="single"/>
          <w:lang w:eastAsia="en-US"/>
        </w:rPr>
      </w:pPr>
      <w:r w:rsidRPr="00191C1D">
        <w:rPr>
          <w:u w:val="single"/>
          <w:lang w:eastAsia="en-US"/>
        </w:rPr>
        <w:t>Section 2</w:t>
      </w:r>
      <w:r w:rsidR="00023463" w:rsidRPr="00191C1D">
        <w:rPr>
          <w:u w:val="single"/>
          <w:lang w:eastAsia="en-US"/>
        </w:rPr>
        <w:t>1</w:t>
      </w:r>
      <w:r w:rsidRPr="00191C1D">
        <w:rPr>
          <w:u w:val="single"/>
          <w:lang w:eastAsia="en-US"/>
        </w:rPr>
        <w:t xml:space="preserve"> – Payment of penalty if infringement notice not withdrawn</w:t>
      </w:r>
    </w:p>
    <w:p w14:paraId="595BB44D" w14:textId="0919E6DB" w:rsidR="006D7353" w:rsidRPr="00191C1D" w:rsidRDefault="005F3C65" w:rsidP="001B10DA">
      <w:pPr>
        <w:spacing w:before="240"/>
        <w:ind w:right="91"/>
        <w:rPr>
          <w:lang w:eastAsia="en-US"/>
        </w:rPr>
      </w:pPr>
      <w:r w:rsidRPr="00191C1D">
        <w:rPr>
          <w:lang w:eastAsia="en-US"/>
        </w:rPr>
        <w:lastRenderedPageBreak/>
        <w:t>S</w:t>
      </w:r>
      <w:r w:rsidR="004F725E" w:rsidRPr="00191C1D">
        <w:rPr>
          <w:lang w:eastAsia="en-US"/>
        </w:rPr>
        <w:t>ection</w:t>
      </w:r>
      <w:r w:rsidRPr="00191C1D">
        <w:rPr>
          <w:lang w:eastAsia="en-US"/>
        </w:rPr>
        <w:t xml:space="preserve"> 2</w:t>
      </w:r>
      <w:r w:rsidR="00023463" w:rsidRPr="00191C1D">
        <w:rPr>
          <w:lang w:eastAsia="en-US"/>
        </w:rPr>
        <w:t>1</w:t>
      </w:r>
      <w:r w:rsidR="004F725E" w:rsidRPr="00191C1D">
        <w:rPr>
          <w:lang w:eastAsia="en-US"/>
        </w:rPr>
        <w:t xml:space="preserve"> provides that if</w:t>
      </w:r>
      <w:r w:rsidR="008E093F" w:rsidRPr="00191C1D">
        <w:rPr>
          <w:lang w:eastAsia="en-US"/>
        </w:rPr>
        <w:t xml:space="preserve"> </w:t>
      </w:r>
      <w:r w:rsidR="004F725E" w:rsidRPr="00191C1D">
        <w:rPr>
          <w:lang w:eastAsia="en-US"/>
        </w:rPr>
        <w:t>an infringement notic</w:t>
      </w:r>
      <w:r w:rsidR="001B10DA" w:rsidRPr="00191C1D">
        <w:rPr>
          <w:lang w:eastAsia="en-US"/>
        </w:rPr>
        <w:t>e has been served on a provider</w:t>
      </w:r>
      <w:r w:rsidR="004F725E" w:rsidRPr="00191C1D">
        <w:rPr>
          <w:lang w:eastAsia="en-US"/>
        </w:rPr>
        <w:t xml:space="preserve"> and</w:t>
      </w:r>
      <w:r w:rsidR="008E093F" w:rsidRPr="00191C1D">
        <w:rPr>
          <w:lang w:eastAsia="en-US"/>
        </w:rPr>
        <w:t xml:space="preserve"> </w:t>
      </w:r>
      <w:r w:rsidR="004F725E" w:rsidRPr="00191C1D">
        <w:rPr>
          <w:lang w:eastAsia="en-US"/>
        </w:rPr>
        <w:t>the ESOS agency who served the notice decides to refuse to withdraw the infringement notice</w:t>
      </w:r>
      <w:r w:rsidR="008E093F" w:rsidRPr="00191C1D">
        <w:rPr>
          <w:lang w:eastAsia="en-US"/>
        </w:rPr>
        <w:t xml:space="preserve">, </w:t>
      </w:r>
      <w:r w:rsidR="00E82697" w:rsidRPr="00191C1D">
        <w:rPr>
          <w:lang w:eastAsia="en-US"/>
        </w:rPr>
        <w:t>then the</w:t>
      </w:r>
      <w:r w:rsidR="004F725E" w:rsidRPr="00191C1D">
        <w:rPr>
          <w:lang w:eastAsia="en-US"/>
        </w:rPr>
        <w:t xml:space="preserve"> provider must pay the infringement notice penalty before the end of 28 days after receiving the ESOS agency’s notice of its refusal to withdraw the infringement notice. </w:t>
      </w:r>
    </w:p>
    <w:p w14:paraId="5316E8C2" w14:textId="41BA24A5" w:rsidR="00821BA2" w:rsidRPr="00191C1D" w:rsidRDefault="00821BA2" w:rsidP="006D7353">
      <w:pPr>
        <w:spacing w:before="240"/>
        <w:ind w:right="91"/>
        <w:rPr>
          <w:u w:val="single"/>
          <w:lang w:eastAsia="en-US"/>
        </w:rPr>
      </w:pPr>
      <w:r w:rsidRPr="00191C1D">
        <w:rPr>
          <w:u w:val="single"/>
          <w:lang w:eastAsia="en-US"/>
        </w:rPr>
        <w:t>Section 2</w:t>
      </w:r>
      <w:r w:rsidR="00023463" w:rsidRPr="00191C1D">
        <w:rPr>
          <w:u w:val="single"/>
          <w:lang w:eastAsia="en-US"/>
        </w:rPr>
        <w:t>2</w:t>
      </w:r>
      <w:r w:rsidRPr="00191C1D">
        <w:rPr>
          <w:u w:val="single"/>
          <w:lang w:eastAsia="en-US"/>
        </w:rPr>
        <w:t xml:space="preserve"> – Effect of payment of infringement notice penalty</w:t>
      </w:r>
    </w:p>
    <w:p w14:paraId="5C97AF54" w14:textId="7A2C2BD5" w:rsidR="00C64847" w:rsidRPr="00191C1D" w:rsidRDefault="005F3C65" w:rsidP="006D7353">
      <w:pPr>
        <w:spacing w:before="240"/>
        <w:ind w:right="91"/>
        <w:rPr>
          <w:lang w:eastAsia="en-US"/>
        </w:rPr>
      </w:pPr>
      <w:r w:rsidRPr="00191C1D">
        <w:rPr>
          <w:lang w:eastAsia="en-US"/>
        </w:rPr>
        <w:t>S</w:t>
      </w:r>
      <w:r w:rsidR="00C64847" w:rsidRPr="00191C1D">
        <w:rPr>
          <w:lang w:eastAsia="en-US"/>
        </w:rPr>
        <w:t>ection</w:t>
      </w:r>
      <w:r w:rsidRPr="00191C1D">
        <w:rPr>
          <w:lang w:eastAsia="en-US"/>
        </w:rPr>
        <w:t xml:space="preserve"> 2</w:t>
      </w:r>
      <w:r w:rsidR="00023463" w:rsidRPr="00191C1D">
        <w:rPr>
          <w:lang w:eastAsia="en-US"/>
        </w:rPr>
        <w:t>2</w:t>
      </w:r>
      <w:r w:rsidR="00C64847" w:rsidRPr="00191C1D">
        <w:rPr>
          <w:lang w:eastAsia="en-US"/>
        </w:rPr>
        <w:t xml:space="preserve"> provides that if a provider pays the infringement notice penalty in accordance with Part 4 of the Regulations, then the provider’s liability in respect of the offence set out in the infringement notice is discharged, no further action can be taken against the provider for the offence, and the provider is not convicted of the offence</w:t>
      </w:r>
      <w:r w:rsidR="00E00672" w:rsidRPr="00191C1D">
        <w:rPr>
          <w:lang w:eastAsia="en-US"/>
        </w:rPr>
        <w:t xml:space="preserve">. </w:t>
      </w:r>
      <w:r w:rsidR="00C64847" w:rsidRPr="00191C1D">
        <w:rPr>
          <w:lang w:eastAsia="en-US"/>
        </w:rPr>
        <w:t>Subsection 2</w:t>
      </w:r>
      <w:r w:rsidR="00023463" w:rsidRPr="00191C1D">
        <w:rPr>
          <w:lang w:eastAsia="en-US"/>
        </w:rPr>
        <w:t>2</w:t>
      </w:r>
      <w:r w:rsidR="00C64847" w:rsidRPr="00191C1D">
        <w:rPr>
          <w:lang w:eastAsia="en-US"/>
        </w:rPr>
        <w:t xml:space="preserve">(2) </w:t>
      </w:r>
      <w:r w:rsidR="00E00672" w:rsidRPr="00191C1D">
        <w:rPr>
          <w:lang w:eastAsia="en-US"/>
        </w:rPr>
        <w:t xml:space="preserve">provides that </w:t>
      </w:r>
      <w:r w:rsidR="00C64847" w:rsidRPr="00191C1D">
        <w:rPr>
          <w:lang w:eastAsia="en-US"/>
        </w:rPr>
        <w:t>subsection 2</w:t>
      </w:r>
      <w:r w:rsidR="00023463" w:rsidRPr="00191C1D">
        <w:rPr>
          <w:lang w:eastAsia="en-US"/>
        </w:rPr>
        <w:t>2</w:t>
      </w:r>
      <w:r w:rsidR="00C64847" w:rsidRPr="00191C1D">
        <w:rPr>
          <w:lang w:eastAsia="en-US"/>
        </w:rPr>
        <w:t>(1)</w:t>
      </w:r>
      <w:r w:rsidR="00E00672" w:rsidRPr="00191C1D">
        <w:rPr>
          <w:lang w:eastAsia="en-US"/>
        </w:rPr>
        <w:t xml:space="preserve"> also</w:t>
      </w:r>
      <w:r w:rsidR="00C64847" w:rsidRPr="00191C1D">
        <w:rPr>
          <w:lang w:eastAsia="en-US"/>
        </w:rPr>
        <w:t xml:space="preserve"> applies to a provider who has arranged to pay the infringement notice penalty in</w:t>
      </w:r>
      <w:r w:rsidR="00E00672" w:rsidRPr="00191C1D">
        <w:rPr>
          <w:lang w:eastAsia="en-US"/>
        </w:rPr>
        <w:t xml:space="preserve"> </w:t>
      </w:r>
      <w:r w:rsidR="00C64847" w:rsidRPr="00191C1D">
        <w:rPr>
          <w:lang w:eastAsia="en-US"/>
        </w:rPr>
        <w:t>instalments</w:t>
      </w:r>
      <w:r w:rsidR="00E00672" w:rsidRPr="00191C1D">
        <w:rPr>
          <w:lang w:eastAsia="en-US"/>
        </w:rPr>
        <w:t xml:space="preserve"> once</w:t>
      </w:r>
      <w:r w:rsidR="00C64847" w:rsidRPr="00191C1D">
        <w:rPr>
          <w:lang w:eastAsia="en-US"/>
        </w:rPr>
        <w:t xml:space="preserve"> the provider makes</w:t>
      </w:r>
      <w:r w:rsidR="00E00672" w:rsidRPr="00191C1D">
        <w:rPr>
          <w:lang w:eastAsia="en-US"/>
        </w:rPr>
        <w:t xml:space="preserve"> payments in accordance with</w:t>
      </w:r>
      <w:r w:rsidR="00C64847" w:rsidRPr="00191C1D">
        <w:rPr>
          <w:lang w:eastAsia="en-US"/>
        </w:rPr>
        <w:t xml:space="preserve"> </w:t>
      </w:r>
      <w:r w:rsidR="00E00672" w:rsidRPr="00191C1D">
        <w:rPr>
          <w:lang w:eastAsia="en-US"/>
        </w:rPr>
        <w:t>that arrangement</w:t>
      </w:r>
      <w:r w:rsidR="00C64847" w:rsidRPr="00191C1D">
        <w:rPr>
          <w:lang w:eastAsia="en-US"/>
        </w:rPr>
        <w:t>.</w:t>
      </w:r>
    </w:p>
    <w:p w14:paraId="1B327F68" w14:textId="40760276" w:rsidR="00397CDB" w:rsidRPr="00191C1D" w:rsidRDefault="00453658" w:rsidP="006D7353">
      <w:pPr>
        <w:spacing w:before="240"/>
        <w:ind w:right="91"/>
        <w:rPr>
          <w:u w:val="single"/>
          <w:lang w:eastAsia="en-US"/>
        </w:rPr>
      </w:pPr>
      <w:r w:rsidRPr="00191C1D">
        <w:rPr>
          <w:u w:val="single"/>
          <w:lang w:eastAsia="en-US"/>
        </w:rPr>
        <w:t>Section 2</w:t>
      </w:r>
      <w:r w:rsidR="00023463" w:rsidRPr="00191C1D">
        <w:rPr>
          <w:u w:val="single"/>
          <w:lang w:eastAsia="en-US"/>
        </w:rPr>
        <w:t>3</w:t>
      </w:r>
      <w:r w:rsidRPr="00191C1D">
        <w:rPr>
          <w:u w:val="single"/>
          <w:lang w:eastAsia="en-US"/>
        </w:rPr>
        <w:t xml:space="preserve"> – </w:t>
      </w:r>
      <w:r w:rsidR="00397CDB" w:rsidRPr="00191C1D">
        <w:rPr>
          <w:u w:val="single"/>
          <w:lang w:eastAsia="en-US"/>
        </w:rPr>
        <w:t>Admissions under paragraph 1</w:t>
      </w:r>
      <w:r w:rsidR="00023463" w:rsidRPr="00191C1D">
        <w:rPr>
          <w:u w:val="single"/>
          <w:lang w:eastAsia="en-US"/>
        </w:rPr>
        <w:t>6</w:t>
      </w:r>
      <w:r w:rsidR="00397CDB" w:rsidRPr="00191C1D">
        <w:rPr>
          <w:u w:val="single"/>
          <w:lang w:eastAsia="en-US"/>
        </w:rPr>
        <w:t>(2)(h)</w:t>
      </w:r>
    </w:p>
    <w:p w14:paraId="23CDF8C4" w14:textId="142D8F1B" w:rsidR="006D7353" w:rsidRPr="00191C1D" w:rsidRDefault="005F3C65" w:rsidP="00453658">
      <w:pPr>
        <w:spacing w:before="240"/>
        <w:ind w:right="91"/>
        <w:rPr>
          <w:lang w:eastAsia="en-US"/>
        </w:rPr>
      </w:pPr>
      <w:r w:rsidRPr="00191C1D">
        <w:rPr>
          <w:lang w:eastAsia="en-US"/>
        </w:rPr>
        <w:t>S</w:t>
      </w:r>
      <w:r w:rsidR="002873AC" w:rsidRPr="00191C1D">
        <w:rPr>
          <w:lang w:eastAsia="en-US"/>
        </w:rPr>
        <w:t>ection</w:t>
      </w:r>
      <w:r w:rsidRPr="00191C1D">
        <w:rPr>
          <w:lang w:eastAsia="en-US"/>
        </w:rPr>
        <w:t xml:space="preserve"> 2</w:t>
      </w:r>
      <w:r w:rsidR="00023463" w:rsidRPr="00191C1D">
        <w:rPr>
          <w:lang w:eastAsia="en-US"/>
        </w:rPr>
        <w:t>3</w:t>
      </w:r>
      <w:r w:rsidR="002873AC" w:rsidRPr="00191C1D">
        <w:rPr>
          <w:lang w:eastAsia="en-US"/>
        </w:rPr>
        <w:t xml:space="preserve"> provides that an admission made by a provider in any notice given to an ESOS agency under paragraph 1</w:t>
      </w:r>
      <w:r w:rsidR="00023463" w:rsidRPr="00191C1D">
        <w:rPr>
          <w:lang w:eastAsia="en-US"/>
        </w:rPr>
        <w:t>6</w:t>
      </w:r>
      <w:r w:rsidR="002873AC" w:rsidRPr="00191C1D">
        <w:rPr>
          <w:lang w:eastAsia="en-US"/>
        </w:rPr>
        <w:t>(2)(h) of the Regulations, is inadmissible in proceedings against the provider for the alleged offence.</w:t>
      </w:r>
    </w:p>
    <w:p w14:paraId="5A2D52F9" w14:textId="32D7C7DD" w:rsidR="00E00672" w:rsidRPr="00191C1D" w:rsidRDefault="00453658" w:rsidP="00453658">
      <w:pPr>
        <w:spacing w:before="240"/>
        <w:ind w:right="91"/>
        <w:rPr>
          <w:u w:val="single"/>
          <w:lang w:eastAsia="en-US"/>
        </w:rPr>
      </w:pPr>
      <w:r w:rsidRPr="00191C1D">
        <w:rPr>
          <w:u w:val="single"/>
          <w:lang w:eastAsia="en-US"/>
        </w:rPr>
        <w:t>Section 2</w:t>
      </w:r>
      <w:r w:rsidR="00023463" w:rsidRPr="00191C1D">
        <w:rPr>
          <w:u w:val="single"/>
          <w:lang w:eastAsia="en-US"/>
        </w:rPr>
        <w:t>4</w:t>
      </w:r>
      <w:r w:rsidRPr="00191C1D">
        <w:rPr>
          <w:u w:val="single"/>
          <w:lang w:eastAsia="en-US"/>
        </w:rPr>
        <w:t xml:space="preserve"> – Matter not to be taken into account in determining sentence</w:t>
      </w:r>
    </w:p>
    <w:p w14:paraId="78C2D46C" w14:textId="007D8DB5" w:rsidR="001E68D6" w:rsidRPr="00191C1D" w:rsidRDefault="005F3C65" w:rsidP="00285CBA">
      <w:pPr>
        <w:spacing w:before="240"/>
        <w:ind w:right="91"/>
        <w:rPr>
          <w:lang w:eastAsia="en-US"/>
        </w:rPr>
      </w:pPr>
      <w:r w:rsidRPr="00191C1D">
        <w:rPr>
          <w:lang w:eastAsia="en-US"/>
        </w:rPr>
        <w:t>S</w:t>
      </w:r>
      <w:r w:rsidR="008D5C5C" w:rsidRPr="00191C1D">
        <w:rPr>
          <w:lang w:eastAsia="en-US"/>
        </w:rPr>
        <w:t>ection</w:t>
      </w:r>
      <w:r w:rsidRPr="00191C1D">
        <w:rPr>
          <w:lang w:eastAsia="en-US"/>
        </w:rPr>
        <w:t xml:space="preserve"> 2</w:t>
      </w:r>
      <w:r w:rsidR="00023463" w:rsidRPr="00191C1D">
        <w:rPr>
          <w:lang w:eastAsia="en-US"/>
        </w:rPr>
        <w:t>4</w:t>
      </w:r>
      <w:r w:rsidR="00F3138A" w:rsidRPr="00191C1D">
        <w:rPr>
          <w:lang w:eastAsia="en-US"/>
        </w:rPr>
        <w:t xml:space="preserve"> </w:t>
      </w:r>
      <w:r w:rsidR="001E68D6" w:rsidRPr="00191C1D">
        <w:rPr>
          <w:lang w:eastAsia="en-US"/>
        </w:rPr>
        <w:t>provides that</w:t>
      </w:r>
      <w:r w:rsidR="00F3138A" w:rsidRPr="00191C1D">
        <w:rPr>
          <w:lang w:eastAsia="en-US"/>
        </w:rPr>
        <w:t xml:space="preserve"> </w:t>
      </w:r>
      <w:r w:rsidR="001E68D6" w:rsidRPr="00191C1D">
        <w:rPr>
          <w:lang w:eastAsia="en-US"/>
        </w:rPr>
        <w:t xml:space="preserve">if a provider is served with an infringement notice, elects not to pay the infringement notice penalty, and is prosecuted for and convicted of the alleged offence mentioned in the infringement notice, then the court must not take into account the provider’s decision not to pay the infringement notice penalty in determining any penalty. </w:t>
      </w:r>
    </w:p>
    <w:p w14:paraId="6F62B2AB" w14:textId="6BB1F96C" w:rsidR="001E68D6" w:rsidRPr="00191C1D" w:rsidRDefault="008D5C5C" w:rsidP="008D5C5C">
      <w:pPr>
        <w:spacing w:before="240"/>
        <w:ind w:right="91"/>
        <w:rPr>
          <w:u w:val="single"/>
          <w:lang w:eastAsia="en-US"/>
        </w:rPr>
      </w:pPr>
      <w:r w:rsidRPr="00191C1D">
        <w:rPr>
          <w:u w:val="single"/>
          <w:lang w:eastAsia="en-US"/>
        </w:rPr>
        <w:t>Section 2</w:t>
      </w:r>
      <w:r w:rsidR="00023463" w:rsidRPr="00191C1D">
        <w:rPr>
          <w:u w:val="single"/>
          <w:lang w:eastAsia="en-US"/>
        </w:rPr>
        <w:t>5</w:t>
      </w:r>
      <w:r w:rsidRPr="00191C1D">
        <w:rPr>
          <w:u w:val="single"/>
          <w:lang w:eastAsia="en-US"/>
        </w:rPr>
        <w:t xml:space="preserve"> – Evidence for hearing</w:t>
      </w:r>
    </w:p>
    <w:p w14:paraId="1C36A9BE" w14:textId="25BA8592" w:rsidR="0055745B" w:rsidRPr="00191C1D" w:rsidRDefault="001E68D6" w:rsidP="008D5C5C">
      <w:pPr>
        <w:spacing w:before="240"/>
        <w:ind w:right="91"/>
        <w:rPr>
          <w:lang w:eastAsia="en-US"/>
        </w:rPr>
      </w:pPr>
      <w:r w:rsidRPr="00191C1D">
        <w:rPr>
          <w:lang w:eastAsia="en-US"/>
        </w:rPr>
        <w:t>At the hearing of a prosecution for an offence mentioned in an infringement notice, the certificates described at subsection 2</w:t>
      </w:r>
      <w:r w:rsidR="00023463" w:rsidRPr="00191C1D">
        <w:rPr>
          <w:lang w:eastAsia="en-US"/>
        </w:rPr>
        <w:t>5</w:t>
      </w:r>
      <w:r w:rsidRPr="00191C1D">
        <w:rPr>
          <w:lang w:eastAsia="en-US"/>
        </w:rPr>
        <w:t xml:space="preserve">(1) are </w:t>
      </w:r>
      <w:r w:rsidRPr="00191C1D">
        <w:rPr>
          <w:i/>
          <w:lang w:eastAsia="en-US"/>
        </w:rPr>
        <w:t>prima facie</w:t>
      </w:r>
      <w:r w:rsidRPr="00191C1D">
        <w:rPr>
          <w:lang w:eastAsia="en-US"/>
        </w:rPr>
        <w:t xml:space="preserve"> evidence of the facts stated in the certificate. </w:t>
      </w:r>
    </w:p>
    <w:p w14:paraId="46EE563F" w14:textId="7FA2EF40" w:rsidR="001E68D6" w:rsidRPr="00191C1D" w:rsidRDefault="0055745B" w:rsidP="008D5C5C">
      <w:pPr>
        <w:spacing w:before="240"/>
        <w:ind w:right="91"/>
        <w:rPr>
          <w:lang w:eastAsia="en-US"/>
        </w:rPr>
      </w:pPr>
      <w:r w:rsidRPr="00191C1D">
        <w:rPr>
          <w:lang w:eastAsia="en-US"/>
        </w:rPr>
        <w:t>Subsection 2</w:t>
      </w:r>
      <w:r w:rsidR="00023463" w:rsidRPr="00191C1D">
        <w:rPr>
          <w:lang w:eastAsia="en-US"/>
        </w:rPr>
        <w:t>5</w:t>
      </w:r>
      <w:r w:rsidRPr="00191C1D">
        <w:rPr>
          <w:lang w:eastAsia="en-US"/>
        </w:rPr>
        <w:t xml:space="preserve">(2) provides that a certificate that purports to have been signed by an authorised officer of the ESOS agency for the alleged offender </w:t>
      </w:r>
      <w:r w:rsidR="00F52F3C" w:rsidRPr="00191C1D">
        <w:rPr>
          <w:lang w:eastAsia="en-US"/>
        </w:rPr>
        <w:t xml:space="preserve">is considered authentic unless proven otherwise. </w:t>
      </w:r>
      <w:r w:rsidRPr="00191C1D">
        <w:rPr>
          <w:lang w:eastAsia="en-US"/>
        </w:rPr>
        <w:t xml:space="preserve"> </w:t>
      </w:r>
    </w:p>
    <w:p w14:paraId="514639ED" w14:textId="28C179D0" w:rsidR="002C04B6" w:rsidRPr="00191C1D" w:rsidRDefault="002C04B6" w:rsidP="008D5C5C">
      <w:pPr>
        <w:spacing w:before="240"/>
        <w:ind w:right="91"/>
        <w:rPr>
          <w:u w:val="single"/>
          <w:lang w:eastAsia="en-US"/>
        </w:rPr>
      </w:pPr>
      <w:r w:rsidRPr="00191C1D">
        <w:rPr>
          <w:u w:val="single"/>
          <w:lang w:eastAsia="en-US"/>
        </w:rPr>
        <w:t>Section 2</w:t>
      </w:r>
      <w:r w:rsidR="00023463" w:rsidRPr="00191C1D">
        <w:rPr>
          <w:u w:val="single"/>
          <w:lang w:eastAsia="en-US"/>
        </w:rPr>
        <w:t>6</w:t>
      </w:r>
      <w:r w:rsidRPr="00191C1D">
        <w:rPr>
          <w:u w:val="single"/>
          <w:lang w:eastAsia="en-US"/>
        </w:rPr>
        <w:t xml:space="preserve"> – Payment of penalty by cheque</w:t>
      </w:r>
    </w:p>
    <w:p w14:paraId="28E9918E" w14:textId="2037918A" w:rsidR="002C04B6" w:rsidRPr="00191C1D" w:rsidRDefault="005F3C65" w:rsidP="008D5C5C">
      <w:pPr>
        <w:spacing w:before="240"/>
        <w:ind w:right="91"/>
        <w:rPr>
          <w:lang w:eastAsia="en-US"/>
        </w:rPr>
      </w:pPr>
      <w:r w:rsidRPr="00191C1D">
        <w:rPr>
          <w:lang w:eastAsia="en-US"/>
        </w:rPr>
        <w:t>S</w:t>
      </w:r>
      <w:r w:rsidR="00A04EC8" w:rsidRPr="00191C1D">
        <w:rPr>
          <w:lang w:eastAsia="en-US"/>
        </w:rPr>
        <w:t>ection</w:t>
      </w:r>
      <w:r w:rsidRPr="00191C1D">
        <w:rPr>
          <w:lang w:eastAsia="en-US"/>
        </w:rPr>
        <w:t xml:space="preserve"> 2</w:t>
      </w:r>
      <w:r w:rsidR="00023463" w:rsidRPr="00191C1D">
        <w:rPr>
          <w:lang w:eastAsia="en-US"/>
        </w:rPr>
        <w:t>6</w:t>
      </w:r>
      <w:r w:rsidR="00A04EC8" w:rsidRPr="00191C1D">
        <w:rPr>
          <w:lang w:eastAsia="en-US"/>
        </w:rPr>
        <w:t xml:space="preserve"> provides that if all or part of the infringement notice penalty is paid to the Commonwealth by cheque, then the payment is not taken to have been made until and unless the cheque is honoured on relevant presentation. </w:t>
      </w:r>
    </w:p>
    <w:p w14:paraId="6FFA1C95" w14:textId="0ED72970" w:rsidR="00140D9C" w:rsidRPr="00191C1D" w:rsidRDefault="007F334C" w:rsidP="00140D9C">
      <w:pPr>
        <w:spacing w:before="240"/>
        <w:ind w:right="91"/>
        <w:rPr>
          <w:u w:val="single"/>
          <w:lang w:eastAsia="en-US"/>
        </w:rPr>
      </w:pPr>
      <w:r w:rsidRPr="00191C1D">
        <w:rPr>
          <w:u w:val="single"/>
          <w:lang w:eastAsia="en-US"/>
        </w:rPr>
        <w:t>Section 2</w:t>
      </w:r>
      <w:r w:rsidR="00023463" w:rsidRPr="00191C1D">
        <w:rPr>
          <w:u w:val="single"/>
          <w:lang w:eastAsia="en-US"/>
        </w:rPr>
        <w:t>7</w:t>
      </w:r>
      <w:r w:rsidRPr="00191C1D">
        <w:rPr>
          <w:u w:val="single"/>
          <w:lang w:eastAsia="en-US"/>
        </w:rPr>
        <w:t xml:space="preserve"> – Infringement notice not compulsory, etc </w:t>
      </w:r>
    </w:p>
    <w:p w14:paraId="3F2A5549" w14:textId="77777777" w:rsidR="005D4256" w:rsidRDefault="005D4256" w:rsidP="000A60C1">
      <w:pPr>
        <w:ind w:right="91"/>
        <w:rPr>
          <w:lang w:eastAsia="en-US"/>
        </w:rPr>
      </w:pPr>
    </w:p>
    <w:p w14:paraId="319D76BD" w14:textId="1AB22461" w:rsidR="00140D9C" w:rsidRPr="00191C1D" w:rsidRDefault="00075406" w:rsidP="000A60C1">
      <w:pPr>
        <w:ind w:right="91"/>
        <w:rPr>
          <w:lang w:eastAsia="en-US"/>
        </w:rPr>
      </w:pPr>
      <w:r w:rsidRPr="00191C1D">
        <w:rPr>
          <w:lang w:eastAsia="en-US"/>
        </w:rPr>
        <w:t xml:space="preserve">The purpose of section </w:t>
      </w:r>
      <w:r w:rsidR="005F3C65" w:rsidRPr="00191C1D">
        <w:rPr>
          <w:lang w:eastAsia="en-US"/>
        </w:rPr>
        <w:t>2</w:t>
      </w:r>
      <w:r w:rsidR="00023463" w:rsidRPr="00191C1D">
        <w:rPr>
          <w:lang w:eastAsia="en-US"/>
        </w:rPr>
        <w:t>7</w:t>
      </w:r>
      <w:r w:rsidR="005F3C65" w:rsidRPr="00191C1D">
        <w:rPr>
          <w:lang w:eastAsia="en-US"/>
        </w:rPr>
        <w:t xml:space="preserve"> </w:t>
      </w:r>
      <w:r w:rsidRPr="00191C1D">
        <w:rPr>
          <w:lang w:eastAsia="en-US"/>
        </w:rPr>
        <w:t xml:space="preserve">is to clarify that </w:t>
      </w:r>
      <w:r w:rsidR="00140D9C" w:rsidRPr="00191C1D">
        <w:rPr>
          <w:lang w:eastAsia="en-US"/>
        </w:rPr>
        <w:t>nothing in Part 4 of the Regulations is to be taken as:</w:t>
      </w:r>
    </w:p>
    <w:p w14:paraId="157F239E" w14:textId="488D5FCA" w:rsidR="00140D9C" w:rsidRPr="00191C1D" w:rsidRDefault="00371584" w:rsidP="00285CBA">
      <w:pPr>
        <w:pStyle w:val="ListParagraph"/>
        <w:numPr>
          <w:ilvl w:val="0"/>
          <w:numId w:val="54"/>
        </w:numPr>
        <w:ind w:right="91"/>
        <w:rPr>
          <w:lang w:eastAsia="en-US"/>
        </w:rPr>
      </w:pPr>
      <w:r w:rsidRPr="00191C1D">
        <w:rPr>
          <w:lang w:eastAsia="en-US"/>
        </w:rPr>
        <w:t>requiring an ESOS agency to serve an infringemen</w:t>
      </w:r>
      <w:r w:rsidR="00903B4F" w:rsidRPr="00191C1D">
        <w:rPr>
          <w:lang w:eastAsia="en-US"/>
        </w:rPr>
        <w:t>t notice on a provider suspected of having committed an offence to which section 106 of the Act applies;</w:t>
      </w:r>
    </w:p>
    <w:p w14:paraId="72A091A9" w14:textId="7BA131AB" w:rsidR="00903B4F" w:rsidRPr="00191C1D" w:rsidRDefault="00903B4F" w:rsidP="00285CBA">
      <w:pPr>
        <w:pStyle w:val="ListParagraph"/>
        <w:numPr>
          <w:ilvl w:val="0"/>
          <w:numId w:val="54"/>
        </w:numPr>
        <w:ind w:right="91"/>
        <w:rPr>
          <w:lang w:eastAsia="en-US"/>
        </w:rPr>
      </w:pPr>
      <w:r w:rsidRPr="00191C1D">
        <w:rPr>
          <w:lang w:eastAsia="en-US"/>
        </w:rPr>
        <w:t>affecting the liability of a provider to be prosecuted for an alleged offence if:</w:t>
      </w:r>
    </w:p>
    <w:p w14:paraId="71FB64C7" w14:textId="25AEA9D6" w:rsidR="009922E4" w:rsidRPr="00191C1D" w:rsidRDefault="00702790" w:rsidP="00285CBA">
      <w:pPr>
        <w:pStyle w:val="ListParagraph"/>
        <w:numPr>
          <w:ilvl w:val="1"/>
          <w:numId w:val="54"/>
        </w:numPr>
        <w:ind w:right="91"/>
        <w:rPr>
          <w:lang w:eastAsia="en-US"/>
        </w:rPr>
      </w:pPr>
      <w:r w:rsidRPr="00191C1D">
        <w:rPr>
          <w:lang w:eastAsia="en-US"/>
        </w:rPr>
        <w:t xml:space="preserve">the provider is not served </w:t>
      </w:r>
      <w:r w:rsidR="0050150A" w:rsidRPr="00191C1D">
        <w:rPr>
          <w:lang w:eastAsia="en-US"/>
        </w:rPr>
        <w:t xml:space="preserve">with </w:t>
      </w:r>
      <w:r w:rsidRPr="00191C1D">
        <w:rPr>
          <w:lang w:eastAsia="en-US"/>
        </w:rPr>
        <w:t>an infringement notice for the offence; or</w:t>
      </w:r>
    </w:p>
    <w:p w14:paraId="3228B233" w14:textId="602B583F" w:rsidR="00702790" w:rsidRPr="00191C1D" w:rsidRDefault="00702790" w:rsidP="00285CBA">
      <w:pPr>
        <w:pStyle w:val="ListParagraph"/>
        <w:numPr>
          <w:ilvl w:val="1"/>
          <w:numId w:val="54"/>
        </w:numPr>
        <w:ind w:right="91"/>
        <w:rPr>
          <w:lang w:eastAsia="en-US"/>
        </w:rPr>
      </w:pPr>
      <w:r w:rsidRPr="00191C1D">
        <w:rPr>
          <w:lang w:eastAsia="en-US"/>
        </w:rPr>
        <w:t>the provider is served with an infringement notice, but the notice is then withdrawn; or</w:t>
      </w:r>
    </w:p>
    <w:p w14:paraId="6005223F" w14:textId="535461E4" w:rsidR="006D7353" w:rsidRPr="00191C1D" w:rsidRDefault="0055745B" w:rsidP="00285CBA">
      <w:pPr>
        <w:pStyle w:val="ListParagraph"/>
        <w:numPr>
          <w:ilvl w:val="0"/>
          <w:numId w:val="54"/>
        </w:numPr>
        <w:ind w:right="91"/>
        <w:rPr>
          <w:lang w:eastAsia="en-US"/>
        </w:rPr>
      </w:pPr>
      <w:r w:rsidRPr="00191C1D">
        <w:rPr>
          <w:lang w:eastAsia="en-US"/>
        </w:rPr>
        <w:lastRenderedPageBreak/>
        <w:t>l</w:t>
      </w:r>
      <w:r w:rsidR="009922E4" w:rsidRPr="00191C1D">
        <w:rPr>
          <w:lang w:eastAsia="en-US"/>
        </w:rPr>
        <w:t>imiting the penalty a court may impose on a provider convicted of an offence.</w:t>
      </w:r>
    </w:p>
    <w:p w14:paraId="415483AF" w14:textId="6E327A45" w:rsidR="00D308B9" w:rsidRPr="00191C1D" w:rsidRDefault="00D308B9" w:rsidP="00F56C20">
      <w:pPr>
        <w:spacing w:before="240"/>
        <w:ind w:right="91"/>
        <w:rPr>
          <w:b/>
          <w:lang w:eastAsia="en-US"/>
        </w:rPr>
      </w:pPr>
      <w:r w:rsidRPr="00191C1D">
        <w:rPr>
          <w:b/>
          <w:lang w:eastAsia="en-US"/>
        </w:rPr>
        <w:t xml:space="preserve">Part 5 – Application and transitional provisions </w:t>
      </w:r>
    </w:p>
    <w:p w14:paraId="218995B7" w14:textId="136F967F" w:rsidR="00612C29" w:rsidRPr="00191C1D" w:rsidRDefault="00612C29" w:rsidP="00F56C20">
      <w:pPr>
        <w:spacing w:before="240"/>
        <w:ind w:right="91"/>
        <w:rPr>
          <w:b/>
          <w:i/>
          <w:lang w:eastAsia="en-US"/>
        </w:rPr>
      </w:pPr>
      <w:r w:rsidRPr="00191C1D">
        <w:rPr>
          <w:b/>
          <w:i/>
          <w:lang w:eastAsia="en-US"/>
        </w:rPr>
        <w:t xml:space="preserve">Division 1 – Provisions for this instrument as originally made </w:t>
      </w:r>
    </w:p>
    <w:p w14:paraId="5880CC01" w14:textId="1B168D51" w:rsidR="00F56C20" w:rsidRPr="00191C1D" w:rsidRDefault="00F56C20" w:rsidP="00F56C20">
      <w:pPr>
        <w:spacing w:before="240"/>
        <w:ind w:right="91"/>
        <w:rPr>
          <w:u w:val="single"/>
          <w:lang w:eastAsia="en-US"/>
        </w:rPr>
      </w:pPr>
      <w:r w:rsidRPr="00191C1D">
        <w:rPr>
          <w:u w:val="single"/>
          <w:lang w:eastAsia="en-US"/>
        </w:rPr>
        <w:t>Section 2</w:t>
      </w:r>
      <w:r w:rsidR="00023463" w:rsidRPr="00191C1D">
        <w:rPr>
          <w:u w:val="single"/>
          <w:lang w:eastAsia="en-US"/>
        </w:rPr>
        <w:t>8</w:t>
      </w:r>
      <w:r w:rsidRPr="00191C1D">
        <w:rPr>
          <w:u w:val="single"/>
          <w:lang w:eastAsia="en-US"/>
        </w:rPr>
        <w:t xml:space="preserve"> – Definitions</w:t>
      </w:r>
    </w:p>
    <w:p w14:paraId="0922DA7C" w14:textId="549BAAF1" w:rsidR="00ED77E9" w:rsidRPr="00191C1D" w:rsidRDefault="005F3C65" w:rsidP="00F56C20">
      <w:pPr>
        <w:spacing w:before="240"/>
        <w:ind w:right="91"/>
        <w:rPr>
          <w:lang w:eastAsia="en-US"/>
        </w:rPr>
      </w:pPr>
      <w:r w:rsidRPr="00191C1D">
        <w:rPr>
          <w:lang w:eastAsia="en-US"/>
        </w:rPr>
        <w:t>S</w:t>
      </w:r>
      <w:r w:rsidR="00ED77E9" w:rsidRPr="00191C1D">
        <w:rPr>
          <w:lang w:eastAsia="en-US"/>
        </w:rPr>
        <w:t>ection</w:t>
      </w:r>
      <w:r w:rsidRPr="00191C1D">
        <w:rPr>
          <w:lang w:eastAsia="en-US"/>
        </w:rPr>
        <w:t xml:space="preserve"> 2</w:t>
      </w:r>
      <w:r w:rsidR="00023463" w:rsidRPr="00191C1D">
        <w:rPr>
          <w:lang w:eastAsia="en-US"/>
        </w:rPr>
        <w:t>8</w:t>
      </w:r>
      <w:r w:rsidR="00612C29" w:rsidRPr="00191C1D">
        <w:rPr>
          <w:lang w:eastAsia="en-US"/>
        </w:rPr>
        <w:t xml:space="preserve"> defines </w:t>
      </w:r>
      <w:r w:rsidR="00C03D38" w:rsidRPr="00191C1D">
        <w:rPr>
          <w:lang w:eastAsia="en-US"/>
        </w:rPr>
        <w:t xml:space="preserve">“old regulations” </w:t>
      </w:r>
      <w:r w:rsidR="005D4256">
        <w:rPr>
          <w:lang w:eastAsia="en-US"/>
        </w:rPr>
        <w:t xml:space="preserve">as </w:t>
      </w:r>
      <w:r w:rsidR="00C03D38" w:rsidRPr="00191C1D">
        <w:rPr>
          <w:lang w:eastAsia="en-US"/>
        </w:rPr>
        <w:t xml:space="preserve">being the </w:t>
      </w:r>
      <w:r w:rsidR="00C03D38" w:rsidRPr="00191C1D">
        <w:rPr>
          <w:i/>
          <w:lang w:eastAsia="en-US"/>
        </w:rPr>
        <w:t>Education Services for Overseas Students Regulations 200</w:t>
      </w:r>
      <w:r w:rsidR="00612C29" w:rsidRPr="00191C1D">
        <w:rPr>
          <w:i/>
          <w:lang w:eastAsia="en-US"/>
        </w:rPr>
        <w:t>1</w:t>
      </w:r>
      <w:r w:rsidR="00565AC5" w:rsidRPr="00191C1D">
        <w:rPr>
          <w:lang w:eastAsia="en-US"/>
        </w:rPr>
        <w:t xml:space="preserve">. </w:t>
      </w:r>
    </w:p>
    <w:p w14:paraId="3E3EB47A" w14:textId="77777777" w:rsidR="00ED77E9" w:rsidRPr="00191C1D" w:rsidRDefault="00ED77E9" w:rsidP="00ED77E9">
      <w:pPr>
        <w:ind w:right="91"/>
        <w:rPr>
          <w:lang w:eastAsia="en-US"/>
        </w:rPr>
      </w:pPr>
    </w:p>
    <w:p w14:paraId="68D986BA" w14:textId="5255A6DE" w:rsidR="00612C29" w:rsidRPr="00191C1D" w:rsidRDefault="00612C29" w:rsidP="00ED77E9">
      <w:pPr>
        <w:ind w:right="91"/>
        <w:rPr>
          <w:u w:val="single"/>
          <w:lang w:eastAsia="en-US"/>
        </w:rPr>
      </w:pPr>
      <w:r w:rsidRPr="00191C1D">
        <w:rPr>
          <w:u w:val="single"/>
          <w:lang w:eastAsia="en-US"/>
        </w:rPr>
        <w:t>Section 2</w:t>
      </w:r>
      <w:r w:rsidR="00023463" w:rsidRPr="00191C1D">
        <w:rPr>
          <w:u w:val="single"/>
          <w:lang w:eastAsia="en-US"/>
        </w:rPr>
        <w:t>9</w:t>
      </w:r>
      <w:r w:rsidRPr="00191C1D">
        <w:rPr>
          <w:u w:val="single"/>
          <w:lang w:eastAsia="en-US"/>
        </w:rPr>
        <w:t xml:space="preserve"> – Things done under the old regulations </w:t>
      </w:r>
    </w:p>
    <w:p w14:paraId="690B517B" w14:textId="77777777" w:rsidR="00AA7C80" w:rsidRPr="00191C1D" w:rsidRDefault="00AA7C80" w:rsidP="00ED77E9">
      <w:pPr>
        <w:ind w:right="91"/>
        <w:rPr>
          <w:u w:val="single"/>
          <w:lang w:eastAsia="en-US"/>
        </w:rPr>
      </w:pPr>
    </w:p>
    <w:p w14:paraId="7636A817" w14:textId="10CB0A6F" w:rsidR="00F56C20" w:rsidRPr="00191C1D" w:rsidRDefault="00AA7C80" w:rsidP="00ED77E9">
      <w:pPr>
        <w:ind w:right="91"/>
        <w:rPr>
          <w:lang w:eastAsia="en-US"/>
        </w:rPr>
      </w:pPr>
      <w:r w:rsidRPr="00191C1D">
        <w:rPr>
          <w:lang w:eastAsia="en-US"/>
        </w:rPr>
        <w:t>Section 2</w:t>
      </w:r>
      <w:r w:rsidR="00023463" w:rsidRPr="00191C1D">
        <w:rPr>
          <w:lang w:eastAsia="en-US"/>
        </w:rPr>
        <w:t>9</w:t>
      </w:r>
      <w:r w:rsidR="00ED77E9" w:rsidRPr="00191C1D">
        <w:rPr>
          <w:lang w:eastAsia="en-US"/>
        </w:rPr>
        <w:t xml:space="preserve"> </w:t>
      </w:r>
      <w:r w:rsidR="00565AC5" w:rsidRPr="00191C1D">
        <w:rPr>
          <w:lang w:eastAsia="en-US"/>
        </w:rPr>
        <w:t xml:space="preserve">clarifies </w:t>
      </w:r>
      <w:r w:rsidR="00ED77E9" w:rsidRPr="00191C1D">
        <w:rPr>
          <w:lang w:eastAsia="en-US"/>
        </w:rPr>
        <w:t>that anything don</w:t>
      </w:r>
      <w:r w:rsidR="00AA0922" w:rsidRPr="00191C1D">
        <w:rPr>
          <w:lang w:eastAsia="en-US"/>
        </w:rPr>
        <w:t>e for the purposes of the old regulations continues to have effect</w:t>
      </w:r>
      <w:r w:rsidR="007D67E3" w:rsidRPr="00191C1D">
        <w:rPr>
          <w:lang w:eastAsia="en-US"/>
        </w:rPr>
        <w:t xml:space="preserve"> for the purposes of the</w:t>
      </w:r>
      <w:r w:rsidR="003C1C04" w:rsidRPr="00191C1D">
        <w:rPr>
          <w:lang w:eastAsia="en-US"/>
        </w:rPr>
        <w:t>se</w:t>
      </w:r>
      <w:r w:rsidR="007D67E3" w:rsidRPr="00191C1D">
        <w:rPr>
          <w:lang w:eastAsia="en-US"/>
        </w:rPr>
        <w:t xml:space="preserve"> Regulations, as if the thing had been done for the purposes of the Regulations. The reference to </w:t>
      </w:r>
      <w:r w:rsidR="003C1C04" w:rsidRPr="00191C1D">
        <w:rPr>
          <w:lang w:eastAsia="en-US"/>
        </w:rPr>
        <w:t>a thing being done under subsection 2</w:t>
      </w:r>
      <w:r w:rsidR="00023463" w:rsidRPr="00191C1D">
        <w:rPr>
          <w:lang w:eastAsia="en-US"/>
        </w:rPr>
        <w:t>9</w:t>
      </w:r>
      <w:r w:rsidR="003C1C04" w:rsidRPr="00191C1D">
        <w:rPr>
          <w:lang w:eastAsia="en-US"/>
        </w:rPr>
        <w:t xml:space="preserve">(2) </w:t>
      </w:r>
      <w:r w:rsidR="007D67E3" w:rsidRPr="00191C1D">
        <w:rPr>
          <w:lang w:eastAsia="en-US"/>
        </w:rPr>
        <w:t>includes a refer</w:t>
      </w:r>
      <w:r w:rsidR="00A91E99" w:rsidRPr="00191C1D">
        <w:rPr>
          <w:lang w:eastAsia="en-US"/>
        </w:rPr>
        <w:t>ence to a notice, application or</w:t>
      </w:r>
      <w:r w:rsidR="007D67E3" w:rsidRPr="00191C1D">
        <w:rPr>
          <w:lang w:eastAsia="en-US"/>
        </w:rPr>
        <w:t xml:space="preserve"> other instrument being given or made.</w:t>
      </w:r>
    </w:p>
    <w:p w14:paraId="7B0D38AD" w14:textId="77777777" w:rsidR="00F56C20" w:rsidRPr="00191C1D" w:rsidRDefault="00F56C20" w:rsidP="00F956A0">
      <w:pPr>
        <w:ind w:right="91"/>
        <w:rPr>
          <w:lang w:eastAsia="en-US"/>
        </w:rPr>
      </w:pPr>
    </w:p>
    <w:p w14:paraId="71370D0D" w14:textId="77777777" w:rsidR="00612C29" w:rsidRPr="00191C1D" w:rsidRDefault="00612C29" w:rsidP="00F956A0">
      <w:pPr>
        <w:rPr>
          <w:b/>
          <w:lang w:eastAsia="en-US"/>
        </w:rPr>
      </w:pPr>
      <w:r w:rsidRPr="00191C1D">
        <w:rPr>
          <w:b/>
          <w:lang w:eastAsia="en-US"/>
        </w:rPr>
        <w:t xml:space="preserve">Schedule 1 – Repeals </w:t>
      </w:r>
    </w:p>
    <w:p w14:paraId="1469B4DC" w14:textId="77777777" w:rsidR="00F956A0" w:rsidRPr="00191C1D" w:rsidRDefault="00F956A0" w:rsidP="00F956A0">
      <w:pPr>
        <w:rPr>
          <w:lang w:eastAsia="en-US"/>
        </w:rPr>
      </w:pPr>
    </w:p>
    <w:p w14:paraId="364C231B" w14:textId="77777777" w:rsidR="00F956A0" w:rsidRPr="00191C1D" w:rsidRDefault="00F956A0" w:rsidP="00F956A0">
      <w:pPr>
        <w:rPr>
          <w:lang w:eastAsia="en-US"/>
        </w:rPr>
      </w:pPr>
      <w:r w:rsidRPr="00191C1D">
        <w:rPr>
          <w:b/>
          <w:lang w:eastAsia="en-US"/>
        </w:rPr>
        <w:t>Item 1</w:t>
      </w:r>
      <w:r w:rsidRPr="00191C1D">
        <w:rPr>
          <w:lang w:eastAsia="en-US"/>
        </w:rPr>
        <w:t xml:space="preserve"> repeals the </w:t>
      </w:r>
      <w:r w:rsidRPr="00191C1D">
        <w:rPr>
          <w:i/>
          <w:lang w:eastAsia="en-US"/>
        </w:rPr>
        <w:t>Education Services for Overseas Students Regulations 2001</w:t>
      </w:r>
      <w:r w:rsidRPr="00191C1D">
        <w:rPr>
          <w:lang w:eastAsia="en-US"/>
        </w:rPr>
        <w:t xml:space="preserve"> on commencement of the Regulations.</w:t>
      </w:r>
    </w:p>
    <w:p w14:paraId="18F44927" w14:textId="77777777" w:rsidR="00E60DE2" w:rsidRPr="00191C1D" w:rsidRDefault="00E60DE2" w:rsidP="00DC24B2">
      <w:pPr>
        <w:ind w:right="-45"/>
      </w:pPr>
    </w:p>
    <w:sectPr w:rsidR="00E60DE2" w:rsidRPr="00191C1D" w:rsidSect="0028494E">
      <w:footerReference w:type="even" r:id="rId13"/>
      <w:footerReference w:type="default" r:id="rId14"/>
      <w:headerReference w:type="first" r:id="rId15"/>
      <w:pgSz w:w="11906" w:h="16838"/>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F33D8" w14:textId="77777777" w:rsidR="00801E99" w:rsidRDefault="00801E99">
      <w:r>
        <w:separator/>
      </w:r>
    </w:p>
  </w:endnote>
  <w:endnote w:type="continuationSeparator" w:id="0">
    <w:p w14:paraId="698E7343" w14:textId="77777777" w:rsidR="00801E99" w:rsidRDefault="00801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0CC21" w14:textId="77777777" w:rsidR="00801E99" w:rsidRDefault="00801E99" w:rsidP="00D508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F3DD1D" w14:textId="77777777" w:rsidR="00801E99" w:rsidRDefault="00801E99" w:rsidP="002849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3EFF7" w14:textId="620B2AAA" w:rsidR="00801E99" w:rsidRDefault="00801E99" w:rsidP="00D508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7354">
      <w:rPr>
        <w:rStyle w:val="PageNumber"/>
        <w:noProof/>
      </w:rPr>
      <w:t>12</w:t>
    </w:r>
    <w:r>
      <w:rPr>
        <w:rStyle w:val="PageNumber"/>
      </w:rPr>
      <w:fldChar w:fldCharType="end"/>
    </w:r>
  </w:p>
  <w:p w14:paraId="092995E6" w14:textId="77777777" w:rsidR="00801E99" w:rsidRDefault="00801E99" w:rsidP="002849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F9566" w14:textId="77777777" w:rsidR="00801E99" w:rsidRDefault="00801E99">
      <w:r>
        <w:separator/>
      </w:r>
    </w:p>
  </w:footnote>
  <w:footnote w:type="continuationSeparator" w:id="0">
    <w:p w14:paraId="088591B8" w14:textId="77777777" w:rsidR="00801E99" w:rsidRDefault="00801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2EF1D" w14:textId="538DCC6D" w:rsidR="00801E99" w:rsidRDefault="00801E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043B"/>
    <w:multiLevelType w:val="hybridMultilevel"/>
    <w:tmpl w:val="09AC8F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EA3CF5"/>
    <w:multiLevelType w:val="hybridMultilevel"/>
    <w:tmpl w:val="A54255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114D86"/>
    <w:multiLevelType w:val="hybridMultilevel"/>
    <w:tmpl w:val="A56A4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A0539C"/>
    <w:multiLevelType w:val="hybridMultilevel"/>
    <w:tmpl w:val="9180797C"/>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4845A33"/>
    <w:multiLevelType w:val="hybridMultilevel"/>
    <w:tmpl w:val="510C97D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BC6D34"/>
    <w:multiLevelType w:val="hybridMultilevel"/>
    <w:tmpl w:val="742C36FE"/>
    <w:lvl w:ilvl="0" w:tplc="0F5A6F10">
      <w:start w:val="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8F43855"/>
    <w:multiLevelType w:val="hybridMultilevel"/>
    <w:tmpl w:val="978E9D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9244EF2"/>
    <w:multiLevelType w:val="hybridMultilevel"/>
    <w:tmpl w:val="A42CCBA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CC4A0C"/>
    <w:multiLevelType w:val="hybridMultilevel"/>
    <w:tmpl w:val="D61454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D6517D2"/>
    <w:multiLevelType w:val="hybridMultilevel"/>
    <w:tmpl w:val="2D4048A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130C637E"/>
    <w:multiLevelType w:val="hybridMultilevel"/>
    <w:tmpl w:val="410E3B3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11" w15:restartNumberingAfterBreak="0">
    <w:nsid w:val="167D766F"/>
    <w:multiLevelType w:val="hybridMultilevel"/>
    <w:tmpl w:val="0DAA9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3E2648"/>
    <w:multiLevelType w:val="hybridMultilevel"/>
    <w:tmpl w:val="B6A2E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F46A67"/>
    <w:multiLevelType w:val="hybridMultilevel"/>
    <w:tmpl w:val="7F789AC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14" w15:restartNumberingAfterBreak="0">
    <w:nsid w:val="1D2138D3"/>
    <w:multiLevelType w:val="hybridMultilevel"/>
    <w:tmpl w:val="75CEFD9C"/>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1DC54D4C"/>
    <w:multiLevelType w:val="hybridMultilevel"/>
    <w:tmpl w:val="4412C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3E39FB"/>
    <w:multiLevelType w:val="hybridMultilevel"/>
    <w:tmpl w:val="01EE85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2088380C"/>
    <w:multiLevelType w:val="hybridMultilevel"/>
    <w:tmpl w:val="A58A1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09D502E"/>
    <w:multiLevelType w:val="hybridMultilevel"/>
    <w:tmpl w:val="7C1468D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26640994"/>
    <w:multiLevelType w:val="hybridMultilevel"/>
    <w:tmpl w:val="FC08777A"/>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28212AD3"/>
    <w:multiLevelType w:val="hybridMultilevel"/>
    <w:tmpl w:val="32D69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833620B"/>
    <w:multiLevelType w:val="hybridMultilevel"/>
    <w:tmpl w:val="12AE1714"/>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29001409"/>
    <w:multiLevelType w:val="hybridMultilevel"/>
    <w:tmpl w:val="B3BEF2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295268E8"/>
    <w:multiLevelType w:val="hybridMultilevel"/>
    <w:tmpl w:val="D3CE1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B3B309B"/>
    <w:multiLevelType w:val="hybridMultilevel"/>
    <w:tmpl w:val="D00C094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5" w15:restartNumberingAfterBreak="0">
    <w:nsid w:val="2B3E2D27"/>
    <w:multiLevelType w:val="hybridMultilevel"/>
    <w:tmpl w:val="EB12D6A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25104EC"/>
    <w:multiLevelType w:val="hybridMultilevel"/>
    <w:tmpl w:val="F5FC8C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36F6A2C"/>
    <w:multiLevelType w:val="hybridMultilevel"/>
    <w:tmpl w:val="D1228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3E63855"/>
    <w:multiLevelType w:val="hybridMultilevel"/>
    <w:tmpl w:val="8B9A3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51F1B11"/>
    <w:multiLevelType w:val="hybridMultilevel"/>
    <w:tmpl w:val="742C36FE"/>
    <w:lvl w:ilvl="0" w:tplc="0F5A6F10">
      <w:start w:val="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56A6263"/>
    <w:multiLevelType w:val="hybridMultilevel"/>
    <w:tmpl w:val="EEAAAF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3A0B7BFB"/>
    <w:multiLevelType w:val="hybridMultilevel"/>
    <w:tmpl w:val="4906E6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EFE5A1B"/>
    <w:multiLevelType w:val="hybridMultilevel"/>
    <w:tmpl w:val="164CE1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3F28217E"/>
    <w:multiLevelType w:val="hybridMultilevel"/>
    <w:tmpl w:val="33D494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3ED30C9"/>
    <w:multiLevelType w:val="hybridMultilevel"/>
    <w:tmpl w:val="B2B8BB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CC13DF3"/>
    <w:multiLevelType w:val="hybridMultilevel"/>
    <w:tmpl w:val="C56EB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ED34483"/>
    <w:multiLevelType w:val="hybridMultilevel"/>
    <w:tmpl w:val="16FC21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0494767"/>
    <w:multiLevelType w:val="hybridMultilevel"/>
    <w:tmpl w:val="4AC4BBE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1DD40FF"/>
    <w:multiLevelType w:val="hybridMultilevel"/>
    <w:tmpl w:val="CD3CF06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B230D3A"/>
    <w:multiLevelType w:val="hybridMultilevel"/>
    <w:tmpl w:val="53F68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CFA2C6B"/>
    <w:multiLevelType w:val="hybridMultilevel"/>
    <w:tmpl w:val="8F728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DED0B7F"/>
    <w:multiLevelType w:val="hybridMultilevel"/>
    <w:tmpl w:val="A89AB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16A70DD"/>
    <w:multiLevelType w:val="hybridMultilevel"/>
    <w:tmpl w:val="30F48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18B6234"/>
    <w:multiLevelType w:val="hybridMultilevel"/>
    <w:tmpl w:val="53E4E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28731EA"/>
    <w:multiLevelType w:val="hybridMultilevel"/>
    <w:tmpl w:val="21EE11A0"/>
    <w:lvl w:ilvl="0" w:tplc="514A08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9B46980"/>
    <w:multiLevelType w:val="hybridMultilevel"/>
    <w:tmpl w:val="23609B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A58113F"/>
    <w:multiLevelType w:val="hybridMultilevel"/>
    <w:tmpl w:val="885E1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BA01530"/>
    <w:multiLevelType w:val="hybridMultilevel"/>
    <w:tmpl w:val="127EA9C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6ED353F7"/>
    <w:multiLevelType w:val="hybridMultilevel"/>
    <w:tmpl w:val="742C36FE"/>
    <w:lvl w:ilvl="0" w:tplc="0F5A6F10">
      <w:start w:val="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12E3BCC"/>
    <w:multiLevelType w:val="hybridMultilevel"/>
    <w:tmpl w:val="1F72CE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50" w15:restartNumberingAfterBreak="0">
    <w:nsid w:val="72783301"/>
    <w:multiLevelType w:val="hybridMultilevel"/>
    <w:tmpl w:val="8C669F94"/>
    <w:lvl w:ilvl="0" w:tplc="0C090001">
      <w:start w:val="1"/>
      <w:numFmt w:val="bullet"/>
      <w:lvlText w:val=""/>
      <w:lvlJc w:val="left"/>
      <w:pPr>
        <w:ind w:left="781" w:hanging="360"/>
      </w:pPr>
      <w:rPr>
        <w:rFonts w:ascii="Symbol" w:hAnsi="Symbol" w:hint="default"/>
      </w:rPr>
    </w:lvl>
    <w:lvl w:ilvl="1" w:tplc="0C090003" w:tentative="1">
      <w:start w:val="1"/>
      <w:numFmt w:val="bullet"/>
      <w:lvlText w:val="o"/>
      <w:lvlJc w:val="left"/>
      <w:pPr>
        <w:ind w:left="1501" w:hanging="360"/>
      </w:pPr>
      <w:rPr>
        <w:rFonts w:ascii="Courier New" w:hAnsi="Courier New" w:cs="Courier New" w:hint="default"/>
      </w:rPr>
    </w:lvl>
    <w:lvl w:ilvl="2" w:tplc="0C090005" w:tentative="1">
      <w:start w:val="1"/>
      <w:numFmt w:val="bullet"/>
      <w:lvlText w:val=""/>
      <w:lvlJc w:val="left"/>
      <w:pPr>
        <w:ind w:left="2221" w:hanging="360"/>
      </w:pPr>
      <w:rPr>
        <w:rFonts w:ascii="Wingdings" w:hAnsi="Wingdings"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abstractNum w:abstractNumId="51" w15:restartNumberingAfterBreak="0">
    <w:nsid w:val="72D06F53"/>
    <w:multiLevelType w:val="hybridMultilevel"/>
    <w:tmpl w:val="8B90B68E"/>
    <w:lvl w:ilvl="0" w:tplc="0CC08144">
      <w:start w:val="1"/>
      <w:numFmt w:val="decimal"/>
      <w:lvlText w:val="(%1)"/>
      <w:lvlJc w:val="left"/>
      <w:pPr>
        <w:ind w:left="360" w:hanging="360"/>
      </w:pPr>
      <w:rPr>
        <w:rFonts w:ascii="Times New Roman" w:eastAsia="Times New Roman" w:hAnsi="Times New Roman" w:cs="Times New Roman"/>
      </w:rPr>
    </w:lvl>
    <w:lvl w:ilvl="1" w:tplc="0C090019">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52" w15:restartNumberingAfterBreak="0">
    <w:nsid w:val="745244BE"/>
    <w:multiLevelType w:val="hybridMultilevel"/>
    <w:tmpl w:val="BF5E1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75E16D9"/>
    <w:multiLevelType w:val="hybridMultilevel"/>
    <w:tmpl w:val="64D25F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7D840FCB"/>
    <w:multiLevelType w:val="hybridMultilevel"/>
    <w:tmpl w:val="26D29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1"/>
  </w:num>
  <w:num w:numId="2">
    <w:abstractNumId w:val="46"/>
  </w:num>
  <w:num w:numId="3">
    <w:abstractNumId w:val="6"/>
  </w:num>
  <w:num w:numId="4">
    <w:abstractNumId w:val="0"/>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7"/>
  </w:num>
  <w:num w:numId="10">
    <w:abstractNumId w:val="5"/>
  </w:num>
  <w:num w:numId="11">
    <w:abstractNumId w:val="29"/>
  </w:num>
  <w:num w:numId="12">
    <w:abstractNumId w:val="35"/>
  </w:num>
  <w:num w:numId="13">
    <w:abstractNumId w:val="50"/>
  </w:num>
  <w:num w:numId="14">
    <w:abstractNumId w:val="48"/>
  </w:num>
  <w:num w:numId="15">
    <w:abstractNumId w:val="23"/>
  </w:num>
  <w:num w:numId="16">
    <w:abstractNumId w:val="17"/>
  </w:num>
  <w:num w:numId="17">
    <w:abstractNumId w:val="36"/>
  </w:num>
  <w:num w:numId="18">
    <w:abstractNumId w:val="41"/>
  </w:num>
  <w:num w:numId="19">
    <w:abstractNumId w:val="42"/>
  </w:num>
  <w:num w:numId="20">
    <w:abstractNumId w:val="52"/>
  </w:num>
  <w:num w:numId="21">
    <w:abstractNumId w:val="11"/>
  </w:num>
  <w:num w:numId="22">
    <w:abstractNumId w:val="20"/>
  </w:num>
  <w:num w:numId="23">
    <w:abstractNumId w:val="30"/>
  </w:num>
  <w:num w:numId="24">
    <w:abstractNumId w:val="40"/>
  </w:num>
  <w:num w:numId="25">
    <w:abstractNumId w:val="27"/>
  </w:num>
  <w:num w:numId="26">
    <w:abstractNumId w:val="15"/>
  </w:num>
  <w:num w:numId="27">
    <w:abstractNumId w:val="24"/>
  </w:num>
  <w:num w:numId="28">
    <w:abstractNumId w:val="1"/>
  </w:num>
  <w:num w:numId="29">
    <w:abstractNumId w:val="9"/>
  </w:num>
  <w:num w:numId="30">
    <w:abstractNumId w:val="37"/>
  </w:num>
  <w:num w:numId="31">
    <w:abstractNumId w:val="16"/>
  </w:num>
  <w:num w:numId="32">
    <w:abstractNumId w:val="54"/>
  </w:num>
  <w:num w:numId="33">
    <w:abstractNumId w:val="43"/>
  </w:num>
  <w:num w:numId="34">
    <w:abstractNumId w:val="44"/>
  </w:num>
  <w:num w:numId="35">
    <w:abstractNumId w:val="8"/>
  </w:num>
  <w:num w:numId="36">
    <w:abstractNumId w:val="33"/>
  </w:num>
  <w:num w:numId="37">
    <w:abstractNumId w:val="19"/>
  </w:num>
  <w:num w:numId="38">
    <w:abstractNumId w:val="34"/>
  </w:num>
  <w:num w:numId="39">
    <w:abstractNumId w:val="21"/>
  </w:num>
  <w:num w:numId="40">
    <w:abstractNumId w:val="38"/>
  </w:num>
  <w:num w:numId="41">
    <w:abstractNumId w:val="31"/>
  </w:num>
  <w:num w:numId="42">
    <w:abstractNumId w:val="45"/>
  </w:num>
  <w:num w:numId="43">
    <w:abstractNumId w:val="26"/>
  </w:num>
  <w:num w:numId="44">
    <w:abstractNumId w:val="25"/>
  </w:num>
  <w:num w:numId="45">
    <w:abstractNumId w:val="14"/>
  </w:num>
  <w:num w:numId="46">
    <w:abstractNumId w:val="53"/>
  </w:num>
  <w:num w:numId="47">
    <w:abstractNumId w:val="2"/>
  </w:num>
  <w:num w:numId="48">
    <w:abstractNumId w:val="12"/>
  </w:num>
  <w:num w:numId="49">
    <w:abstractNumId w:val="3"/>
  </w:num>
  <w:num w:numId="50">
    <w:abstractNumId w:val="28"/>
  </w:num>
  <w:num w:numId="51">
    <w:abstractNumId w:val="47"/>
  </w:num>
  <w:num w:numId="52">
    <w:abstractNumId w:val="32"/>
  </w:num>
  <w:num w:numId="53">
    <w:abstractNumId w:val="39"/>
  </w:num>
  <w:num w:numId="54">
    <w:abstractNumId w:val="18"/>
  </w:num>
  <w:num w:numId="55">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E926FB1-5103-47EC-AE69-587CF2D9535C}"/>
    <w:docVar w:name="dgnword-eventsink" w:val="595089024"/>
  </w:docVars>
  <w:rsids>
    <w:rsidRoot w:val="00C23DF1"/>
    <w:rsid w:val="000004DD"/>
    <w:rsid w:val="00000B7F"/>
    <w:rsid w:val="00001C04"/>
    <w:rsid w:val="00002544"/>
    <w:rsid w:val="00003D1A"/>
    <w:rsid w:val="00003E8E"/>
    <w:rsid w:val="00004CAB"/>
    <w:rsid w:val="00004E06"/>
    <w:rsid w:val="00005332"/>
    <w:rsid w:val="000059D3"/>
    <w:rsid w:val="000069B2"/>
    <w:rsid w:val="000069C4"/>
    <w:rsid w:val="00006B76"/>
    <w:rsid w:val="00006CB0"/>
    <w:rsid w:val="000103CB"/>
    <w:rsid w:val="00010FFA"/>
    <w:rsid w:val="0001160A"/>
    <w:rsid w:val="000135C8"/>
    <w:rsid w:val="00013C6E"/>
    <w:rsid w:val="00014524"/>
    <w:rsid w:val="000146BC"/>
    <w:rsid w:val="00014704"/>
    <w:rsid w:val="0001513A"/>
    <w:rsid w:val="00015C94"/>
    <w:rsid w:val="00015D30"/>
    <w:rsid w:val="00016BF8"/>
    <w:rsid w:val="00016D2B"/>
    <w:rsid w:val="000214A3"/>
    <w:rsid w:val="0002170A"/>
    <w:rsid w:val="0002308D"/>
    <w:rsid w:val="00023463"/>
    <w:rsid w:val="0002459E"/>
    <w:rsid w:val="000271FD"/>
    <w:rsid w:val="00027C86"/>
    <w:rsid w:val="00032038"/>
    <w:rsid w:val="00032CB9"/>
    <w:rsid w:val="0003356F"/>
    <w:rsid w:val="00033C8F"/>
    <w:rsid w:val="0003578C"/>
    <w:rsid w:val="00036404"/>
    <w:rsid w:val="00037900"/>
    <w:rsid w:val="00042156"/>
    <w:rsid w:val="000442FA"/>
    <w:rsid w:val="00044D72"/>
    <w:rsid w:val="00044F2E"/>
    <w:rsid w:val="00045249"/>
    <w:rsid w:val="000459D1"/>
    <w:rsid w:val="00050FED"/>
    <w:rsid w:val="00051130"/>
    <w:rsid w:val="0005378B"/>
    <w:rsid w:val="00056351"/>
    <w:rsid w:val="000578B8"/>
    <w:rsid w:val="0006034B"/>
    <w:rsid w:val="00061C00"/>
    <w:rsid w:val="00063941"/>
    <w:rsid w:val="0006476D"/>
    <w:rsid w:val="00065172"/>
    <w:rsid w:val="000662B2"/>
    <w:rsid w:val="000709A8"/>
    <w:rsid w:val="000712F3"/>
    <w:rsid w:val="00072A59"/>
    <w:rsid w:val="00073B16"/>
    <w:rsid w:val="00074C21"/>
    <w:rsid w:val="00074EC2"/>
    <w:rsid w:val="000750A6"/>
    <w:rsid w:val="00075406"/>
    <w:rsid w:val="00075DF6"/>
    <w:rsid w:val="000767AF"/>
    <w:rsid w:val="000775BD"/>
    <w:rsid w:val="0008082B"/>
    <w:rsid w:val="00080FE5"/>
    <w:rsid w:val="00082AA4"/>
    <w:rsid w:val="00082B5C"/>
    <w:rsid w:val="0008359B"/>
    <w:rsid w:val="00083AE5"/>
    <w:rsid w:val="000850AD"/>
    <w:rsid w:val="00085604"/>
    <w:rsid w:val="00090301"/>
    <w:rsid w:val="00090DB3"/>
    <w:rsid w:val="000932B9"/>
    <w:rsid w:val="000934CB"/>
    <w:rsid w:val="00093D56"/>
    <w:rsid w:val="00093E37"/>
    <w:rsid w:val="00094D41"/>
    <w:rsid w:val="00095DE3"/>
    <w:rsid w:val="0009758C"/>
    <w:rsid w:val="000977AB"/>
    <w:rsid w:val="000977B2"/>
    <w:rsid w:val="00097CBB"/>
    <w:rsid w:val="000A19B4"/>
    <w:rsid w:val="000A37F0"/>
    <w:rsid w:val="000A3DCE"/>
    <w:rsid w:val="000A60C1"/>
    <w:rsid w:val="000A67E4"/>
    <w:rsid w:val="000A690F"/>
    <w:rsid w:val="000A6F08"/>
    <w:rsid w:val="000B0DD0"/>
    <w:rsid w:val="000B0FB3"/>
    <w:rsid w:val="000B2857"/>
    <w:rsid w:val="000B2EA7"/>
    <w:rsid w:val="000B32DB"/>
    <w:rsid w:val="000B398E"/>
    <w:rsid w:val="000B3EE7"/>
    <w:rsid w:val="000B5008"/>
    <w:rsid w:val="000B6096"/>
    <w:rsid w:val="000B6371"/>
    <w:rsid w:val="000C02DE"/>
    <w:rsid w:val="000C4A61"/>
    <w:rsid w:val="000C5894"/>
    <w:rsid w:val="000C79C6"/>
    <w:rsid w:val="000D00A0"/>
    <w:rsid w:val="000D14CA"/>
    <w:rsid w:val="000D1840"/>
    <w:rsid w:val="000D1ED4"/>
    <w:rsid w:val="000D2925"/>
    <w:rsid w:val="000D392D"/>
    <w:rsid w:val="000D492C"/>
    <w:rsid w:val="000D6A7E"/>
    <w:rsid w:val="000D700C"/>
    <w:rsid w:val="000E0ABC"/>
    <w:rsid w:val="000E1263"/>
    <w:rsid w:val="000E226E"/>
    <w:rsid w:val="000E2A36"/>
    <w:rsid w:val="000E334A"/>
    <w:rsid w:val="000E33D4"/>
    <w:rsid w:val="000E3830"/>
    <w:rsid w:val="000E4B2C"/>
    <w:rsid w:val="000E5A7F"/>
    <w:rsid w:val="000E5FCA"/>
    <w:rsid w:val="000E7CD6"/>
    <w:rsid w:val="000F032B"/>
    <w:rsid w:val="000F2889"/>
    <w:rsid w:val="000F2FC8"/>
    <w:rsid w:val="000F727D"/>
    <w:rsid w:val="00103224"/>
    <w:rsid w:val="0010391C"/>
    <w:rsid w:val="00103AFD"/>
    <w:rsid w:val="00103F01"/>
    <w:rsid w:val="00104482"/>
    <w:rsid w:val="001053A3"/>
    <w:rsid w:val="00105A59"/>
    <w:rsid w:val="00110545"/>
    <w:rsid w:val="0011072F"/>
    <w:rsid w:val="00112991"/>
    <w:rsid w:val="0011491F"/>
    <w:rsid w:val="00115103"/>
    <w:rsid w:val="00115A17"/>
    <w:rsid w:val="00115B18"/>
    <w:rsid w:val="0011701D"/>
    <w:rsid w:val="00122367"/>
    <w:rsid w:val="00122D7C"/>
    <w:rsid w:val="0012349B"/>
    <w:rsid w:val="00124DF9"/>
    <w:rsid w:val="00125D84"/>
    <w:rsid w:val="001266E9"/>
    <w:rsid w:val="001308E1"/>
    <w:rsid w:val="00130AC0"/>
    <w:rsid w:val="00134829"/>
    <w:rsid w:val="001348EE"/>
    <w:rsid w:val="001349FF"/>
    <w:rsid w:val="001354C3"/>
    <w:rsid w:val="001376FE"/>
    <w:rsid w:val="00140B78"/>
    <w:rsid w:val="00140D9C"/>
    <w:rsid w:val="00140DD2"/>
    <w:rsid w:val="00141943"/>
    <w:rsid w:val="001421C0"/>
    <w:rsid w:val="00143924"/>
    <w:rsid w:val="001443A5"/>
    <w:rsid w:val="00144FFF"/>
    <w:rsid w:val="00145177"/>
    <w:rsid w:val="001502AD"/>
    <w:rsid w:val="001544EF"/>
    <w:rsid w:val="0015597D"/>
    <w:rsid w:val="00155A8D"/>
    <w:rsid w:val="00155B16"/>
    <w:rsid w:val="00155D78"/>
    <w:rsid w:val="001561F2"/>
    <w:rsid w:val="00156CEA"/>
    <w:rsid w:val="00162B7C"/>
    <w:rsid w:val="0016393C"/>
    <w:rsid w:val="001640B3"/>
    <w:rsid w:val="00166EE9"/>
    <w:rsid w:val="00173335"/>
    <w:rsid w:val="00174797"/>
    <w:rsid w:val="00175337"/>
    <w:rsid w:val="00176565"/>
    <w:rsid w:val="001771F4"/>
    <w:rsid w:val="001775C7"/>
    <w:rsid w:val="001801DC"/>
    <w:rsid w:val="00180903"/>
    <w:rsid w:val="00182229"/>
    <w:rsid w:val="001822E9"/>
    <w:rsid w:val="00183D67"/>
    <w:rsid w:val="0018507D"/>
    <w:rsid w:val="00186815"/>
    <w:rsid w:val="00186A01"/>
    <w:rsid w:val="0019003E"/>
    <w:rsid w:val="00190F2F"/>
    <w:rsid w:val="001911C2"/>
    <w:rsid w:val="00191C1D"/>
    <w:rsid w:val="0019246B"/>
    <w:rsid w:val="00193AE6"/>
    <w:rsid w:val="00194A5D"/>
    <w:rsid w:val="00196CFD"/>
    <w:rsid w:val="00197060"/>
    <w:rsid w:val="001A06D0"/>
    <w:rsid w:val="001A197A"/>
    <w:rsid w:val="001A1B7B"/>
    <w:rsid w:val="001A306A"/>
    <w:rsid w:val="001A4118"/>
    <w:rsid w:val="001A438A"/>
    <w:rsid w:val="001A4492"/>
    <w:rsid w:val="001A46AC"/>
    <w:rsid w:val="001A5185"/>
    <w:rsid w:val="001A5A90"/>
    <w:rsid w:val="001A5CBD"/>
    <w:rsid w:val="001B01C3"/>
    <w:rsid w:val="001B0A9D"/>
    <w:rsid w:val="001B0B52"/>
    <w:rsid w:val="001B0BE0"/>
    <w:rsid w:val="001B10DA"/>
    <w:rsid w:val="001B27E4"/>
    <w:rsid w:val="001B306A"/>
    <w:rsid w:val="001B30AA"/>
    <w:rsid w:val="001B4165"/>
    <w:rsid w:val="001B4868"/>
    <w:rsid w:val="001B5436"/>
    <w:rsid w:val="001B5943"/>
    <w:rsid w:val="001B7C53"/>
    <w:rsid w:val="001C024D"/>
    <w:rsid w:val="001C2B91"/>
    <w:rsid w:val="001C3868"/>
    <w:rsid w:val="001C4075"/>
    <w:rsid w:val="001C57C3"/>
    <w:rsid w:val="001C73FD"/>
    <w:rsid w:val="001C77C4"/>
    <w:rsid w:val="001D1460"/>
    <w:rsid w:val="001D2C76"/>
    <w:rsid w:val="001D36C5"/>
    <w:rsid w:val="001D5060"/>
    <w:rsid w:val="001D5CE5"/>
    <w:rsid w:val="001D6203"/>
    <w:rsid w:val="001D66A9"/>
    <w:rsid w:val="001D6B30"/>
    <w:rsid w:val="001E0A0A"/>
    <w:rsid w:val="001E1038"/>
    <w:rsid w:val="001E1537"/>
    <w:rsid w:val="001E4C45"/>
    <w:rsid w:val="001E5025"/>
    <w:rsid w:val="001E64AA"/>
    <w:rsid w:val="001E68D6"/>
    <w:rsid w:val="001E6979"/>
    <w:rsid w:val="001E7E14"/>
    <w:rsid w:val="001F0132"/>
    <w:rsid w:val="001F0C99"/>
    <w:rsid w:val="001F1133"/>
    <w:rsid w:val="001F22DE"/>
    <w:rsid w:val="001F2825"/>
    <w:rsid w:val="001F3A93"/>
    <w:rsid w:val="001F3E12"/>
    <w:rsid w:val="001F3EF7"/>
    <w:rsid w:val="001F47C0"/>
    <w:rsid w:val="001F4EF4"/>
    <w:rsid w:val="001F5723"/>
    <w:rsid w:val="001F5CCC"/>
    <w:rsid w:val="001F6F11"/>
    <w:rsid w:val="0020239E"/>
    <w:rsid w:val="0020405C"/>
    <w:rsid w:val="00205BC4"/>
    <w:rsid w:val="00210259"/>
    <w:rsid w:val="00210D23"/>
    <w:rsid w:val="00212DD6"/>
    <w:rsid w:val="00213D10"/>
    <w:rsid w:val="002140FA"/>
    <w:rsid w:val="00214638"/>
    <w:rsid w:val="00215DD9"/>
    <w:rsid w:val="00220926"/>
    <w:rsid w:val="00220C01"/>
    <w:rsid w:val="002262E3"/>
    <w:rsid w:val="00227847"/>
    <w:rsid w:val="00227CC8"/>
    <w:rsid w:val="0023033A"/>
    <w:rsid w:val="00231AF7"/>
    <w:rsid w:val="00233934"/>
    <w:rsid w:val="0023396B"/>
    <w:rsid w:val="00234775"/>
    <w:rsid w:val="00234AB0"/>
    <w:rsid w:val="0023536E"/>
    <w:rsid w:val="00241119"/>
    <w:rsid w:val="00243753"/>
    <w:rsid w:val="00243BB7"/>
    <w:rsid w:val="00245A6A"/>
    <w:rsid w:val="002469F0"/>
    <w:rsid w:val="00246D4C"/>
    <w:rsid w:val="00247657"/>
    <w:rsid w:val="00250827"/>
    <w:rsid w:val="00250BB2"/>
    <w:rsid w:val="00252C53"/>
    <w:rsid w:val="00252FA0"/>
    <w:rsid w:val="00255886"/>
    <w:rsid w:val="00255D4A"/>
    <w:rsid w:val="00257D14"/>
    <w:rsid w:val="002611B6"/>
    <w:rsid w:val="00261B07"/>
    <w:rsid w:val="002620E5"/>
    <w:rsid w:val="002620F3"/>
    <w:rsid w:val="00264240"/>
    <w:rsid w:val="00264E8E"/>
    <w:rsid w:val="0026543B"/>
    <w:rsid w:val="0026586F"/>
    <w:rsid w:val="002658AD"/>
    <w:rsid w:val="0026615E"/>
    <w:rsid w:val="002670C5"/>
    <w:rsid w:val="0027023E"/>
    <w:rsid w:val="00271186"/>
    <w:rsid w:val="002723E8"/>
    <w:rsid w:val="00272572"/>
    <w:rsid w:val="00272E8C"/>
    <w:rsid w:val="0027396B"/>
    <w:rsid w:val="002739F1"/>
    <w:rsid w:val="00276F2A"/>
    <w:rsid w:val="002826E4"/>
    <w:rsid w:val="00283EC4"/>
    <w:rsid w:val="00284099"/>
    <w:rsid w:val="002841C3"/>
    <w:rsid w:val="0028494E"/>
    <w:rsid w:val="002852DA"/>
    <w:rsid w:val="00285460"/>
    <w:rsid w:val="002854B8"/>
    <w:rsid w:val="002854BA"/>
    <w:rsid w:val="00285CBA"/>
    <w:rsid w:val="00286459"/>
    <w:rsid w:val="00286A57"/>
    <w:rsid w:val="00286F7E"/>
    <w:rsid w:val="002873AC"/>
    <w:rsid w:val="00287D40"/>
    <w:rsid w:val="00290480"/>
    <w:rsid w:val="00290E39"/>
    <w:rsid w:val="00291FCF"/>
    <w:rsid w:val="00293152"/>
    <w:rsid w:val="00293C2F"/>
    <w:rsid w:val="00294051"/>
    <w:rsid w:val="00295973"/>
    <w:rsid w:val="00295A4C"/>
    <w:rsid w:val="00295F23"/>
    <w:rsid w:val="00296F9F"/>
    <w:rsid w:val="002A0122"/>
    <w:rsid w:val="002A04B3"/>
    <w:rsid w:val="002A1693"/>
    <w:rsid w:val="002A1F9E"/>
    <w:rsid w:val="002A22DA"/>
    <w:rsid w:val="002A3D7D"/>
    <w:rsid w:val="002A5754"/>
    <w:rsid w:val="002A634F"/>
    <w:rsid w:val="002A7058"/>
    <w:rsid w:val="002A7601"/>
    <w:rsid w:val="002B0742"/>
    <w:rsid w:val="002B1EFE"/>
    <w:rsid w:val="002B43F7"/>
    <w:rsid w:val="002B49D3"/>
    <w:rsid w:val="002C04B6"/>
    <w:rsid w:val="002C2189"/>
    <w:rsid w:val="002C44D8"/>
    <w:rsid w:val="002C4A28"/>
    <w:rsid w:val="002C4A56"/>
    <w:rsid w:val="002C4EFA"/>
    <w:rsid w:val="002C66BA"/>
    <w:rsid w:val="002C6A0E"/>
    <w:rsid w:val="002C7724"/>
    <w:rsid w:val="002D059E"/>
    <w:rsid w:val="002D0A22"/>
    <w:rsid w:val="002D296F"/>
    <w:rsid w:val="002D2C8F"/>
    <w:rsid w:val="002D4C0B"/>
    <w:rsid w:val="002D5D85"/>
    <w:rsid w:val="002D75BF"/>
    <w:rsid w:val="002E0105"/>
    <w:rsid w:val="002E2D53"/>
    <w:rsid w:val="002E3947"/>
    <w:rsid w:val="002E490F"/>
    <w:rsid w:val="002F0B88"/>
    <w:rsid w:val="002F1E91"/>
    <w:rsid w:val="002F2837"/>
    <w:rsid w:val="002F2E40"/>
    <w:rsid w:val="002F344C"/>
    <w:rsid w:val="002F3C01"/>
    <w:rsid w:val="002F5EC5"/>
    <w:rsid w:val="003008BD"/>
    <w:rsid w:val="00300903"/>
    <w:rsid w:val="003023AF"/>
    <w:rsid w:val="00302522"/>
    <w:rsid w:val="003028E4"/>
    <w:rsid w:val="00303121"/>
    <w:rsid w:val="003051FF"/>
    <w:rsid w:val="0030788C"/>
    <w:rsid w:val="0031026D"/>
    <w:rsid w:val="003108D5"/>
    <w:rsid w:val="00310D72"/>
    <w:rsid w:val="00311387"/>
    <w:rsid w:val="00312A21"/>
    <w:rsid w:val="00312A7C"/>
    <w:rsid w:val="00312BF1"/>
    <w:rsid w:val="0031578C"/>
    <w:rsid w:val="00315D9B"/>
    <w:rsid w:val="00316144"/>
    <w:rsid w:val="00316CEF"/>
    <w:rsid w:val="00317D5B"/>
    <w:rsid w:val="00320F1A"/>
    <w:rsid w:val="00321707"/>
    <w:rsid w:val="0032190D"/>
    <w:rsid w:val="00321962"/>
    <w:rsid w:val="00321A59"/>
    <w:rsid w:val="00321C4E"/>
    <w:rsid w:val="00321EE2"/>
    <w:rsid w:val="003227D0"/>
    <w:rsid w:val="00322C58"/>
    <w:rsid w:val="0032366C"/>
    <w:rsid w:val="00323A57"/>
    <w:rsid w:val="00325933"/>
    <w:rsid w:val="00332E86"/>
    <w:rsid w:val="0033498E"/>
    <w:rsid w:val="00335CB4"/>
    <w:rsid w:val="00337ADE"/>
    <w:rsid w:val="00340301"/>
    <w:rsid w:val="00342FE3"/>
    <w:rsid w:val="00345D96"/>
    <w:rsid w:val="00347B80"/>
    <w:rsid w:val="00350056"/>
    <w:rsid w:val="0035008D"/>
    <w:rsid w:val="00352FCA"/>
    <w:rsid w:val="00353210"/>
    <w:rsid w:val="00357B6C"/>
    <w:rsid w:val="003609CF"/>
    <w:rsid w:val="00361860"/>
    <w:rsid w:val="00363ED1"/>
    <w:rsid w:val="003649A3"/>
    <w:rsid w:val="0036567A"/>
    <w:rsid w:val="003660C4"/>
    <w:rsid w:val="00366813"/>
    <w:rsid w:val="00366C8C"/>
    <w:rsid w:val="003713CA"/>
    <w:rsid w:val="00371584"/>
    <w:rsid w:val="003715AC"/>
    <w:rsid w:val="00373336"/>
    <w:rsid w:val="00373D6C"/>
    <w:rsid w:val="00374889"/>
    <w:rsid w:val="003755DF"/>
    <w:rsid w:val="00377218"/>
    <w:rsid w:val="00377AFE"/>
    <w:rsid w:val="00377C2B"/>
    <w:rsid w:val="003816B6"/>
    <w:rsid w:val="00382B44"/>
    <w:rsid w:val="00382F6E"/>
    <w:rsid w:val="0038479A"/>
    <w:rsid w:val="00385201"/>
    <w:rsid w:val="00385D1C"/>
    <w:rsid w:val="00386994"/>
    <w:rsid w:val="00387521"/>
    <w:rsid w:val="003877E5"/>
    <w:rsid w:val="00387B53"/>
    <w:rsid w:val="00391DB0"/>
    <w:rsid w:val="00391F33"/>
    <w:rsid w:val="003925B9"/>
    <w:rsid w:val="003925E6"/>
    <w:rsid w:val="0039415B"/>
    <w:rsid w:val="00394C89"/>
    <w:rsid w:val="00397CDB"/>
    <w:rsid w:val="003A158C"/>
    <w:rsid w:val="003A169E"/>
    <w:rsid w:val="003A1A37"/>
    <w:rsid w:val="003A3991"/>
    <w:rsid w:val="003A73F8"/>
    <w:rsid w:val="003B3134"/>
    <w:rsid w:val="003B35AF"/>
    <w:rsid w:val="003C1AF2"/>
    <w:rsid w:val="003C1C04"/>
    <w:rsid w:val="003C22BA"/>
    <w:rsid w:val="003C46C4"/>
    <w:rsid w:val="003C4857"/>
    <w:rsid w:val="003C4A2E"/>
    <w:rsid w:val="003C5226"/>
    <w:rsid w:val="003C7C66"/>
    <w:rsid w:val="003D349B"/>
    <w:rsid w:val="003D3A90"/>
    <w:rsid w:val="003D5573"/>
    <w:rsid w:val="003D7812"/>
    <w:rsid w:val="003E04DE"/>
    <w:rsid w:val="003E1A8C"/>
    <w:rsid w:val="003E30B9"/>
    <w:rsid w:val="003E3AA0"/>
    <w:rsid w:val="003E3B38"/>
    <w:rsid w:val="003E640D"/>
    <w:rsid w:val="003E6698"/>
    <w:rsid w:val="003F1A05"/>
    <w:rsid w:val="003F27B4"/>
    <w:rsid w:val="003F2A79"/>
    <w:rsid w:val="003F2B44"/>
    <w:rsid w:val="003F3742"/>
    <w:rsid w:val="003F5773"/>
    <w:rsid w:val="003F6A43"/>
    <w:rsid w:val="003F6DBB"/>
    <w:rsid w:val="003F7075"/>
    <w:rsid w:val="003F7FCA"/>
    <w:rsid w:val="004010B2"/>
    <w:rsid w:val="00401459"/>
    <w:rsid w:val="00402D95"/>
    <w:rsid w:val="004033AA"/>
    <w:rsid w:val="0040640E"/>
    <w:rsid w:val="004069DC"/>
    <w:rsid w:val="004073EC"/>
    <w:rsid w:val="0041062B"/>
    <w:rsid w:val="00411E71"/>
    <w:rsid w:val="004125CC"/>
    <w:rsid w:val="0041420E"/>
    <w:rsid w:val="00415BBA"/>
    <w:rsid w:val="004171AE"/>
    <w:rsid w:val="00417FE0"/>
    <w:rsid w:val="004200CA"/>
    <w:rsid w:val="0042060F"/>
    <w:rsid w:val="004208BA"/>
    <w:rsid w:val="00420B0A"/>
    <w:rsid w:val="00422B59"/>
    <w:rsid w:val="0042329B"/>
    <w:rsid w:val="00424819"/>
    <w:rsid w:val="00425C7A"/>
    <w:rsid w:val="0042606D"/>
    <w:rsid w:val="00426906"/>
    <w:rsid w:val="004270C9"/>
    <w:rsid w:val="00427D77"/>
    <w:rsid w:val="00430C71"/>
    <w:rsid w:val="00430DD2"/>
    <w:rsid w:val="00431B25"/>
    <w:rsid w:val="0043259F"/>
    <w:rsid w:val="00433855"/>
    <w:rsid w:val="0043503B"/>
    <w:rsid w:val="004353B9"/>
    <w:rsid w:val="004366B6"/>
    <w:rsid w:val="004368A8"/>
    <w:rsid w:val="00440DE2"/>
    <w:rsid w:val="00441ED1"/>
    <w:rsid w:val="0044334C"/>
    <w:rsid w:val="0044347D"/>
    <w:rsid w:val="00443AC4"/>
    <w:rsid w:val="00443E5A"/>
    <w:rsid w:val="00444284"/>
    <w:rsid w:val="004453FE"/>
    <w:rsid w:val="004463E7"/>
    <w:rsid w:val="00453658"/>
    <w:rsid w:val="004541E9"/>
    <w:rsid w:val="00455430"/>
    <w:rsid w:val="00460A9F"/>
    <w:rsid w:val="00461066"/>
    <w:rsid w:val="00461793"/>
    <w:rsid w:val="00462A70"/>
    <w:rsid w:val="00462F6C"/>
    <w:rsid w:val="0046459D"/>
    <w:rsid w:val="0046782B"/>
    <w:rsid w:val="004706F0"/>
    <w:rsid w:val="0047277C"/>
    <w:rsid w:val="00472A76"/>
    <w:rsid w:val="004731D3"/>
    <w:rsid w:val="00473FD1"/>
    <w:rsid w:val="0047648F"/>
    <w:rsid w:val="0047701A"/>
    <w:rsid w:val="00477C9E"/>
    <w:rsid w:val="00481955"/>
    <w:rsid w:val="00483359"/>
    <w:rsid w:val="00483D60"/>
    <w:rsid w:val="00484E86"/>
    <w:rsid w:val="00485AFA"/>
    <w:rsid w:val="00485EF5"/>
    <w:rsid w:val="00487190"/>
    <w:rsid w:val="00490018"/>
    <w:rsid w:val="00491482"/>
    <w:rsid w:val="00491FDA"/>
    <w:rsid w:val="00492B3F"/>
    <w:rsid w:val="00492EBF"/>
    <w:rsid w:val="0049440F"/>
    <w:rsid w:val="0049516A"/>
    <w:rsid w:val="004951B9"/>
    <w:rsid w:val="0049659F"/>
    <w:rsid w:val="00496F2A"/>
    <w:rsid w:val="00497A5C"/>
    <w:rsid w:val="004A1AAB"/>
    <w:rsid w:val="004A2865"/>
    <w:rsid w:val="004A3081"/>
    <w:rsid w:val="004A3089"/>
    <w:rsid w:val="004A3C29"/>
    <w:rsid w:val="004A6ACA"/>
    <w:rsid w:val="004B0011"/>
    <w:rsid w:val="004B1E7F"/>
    <w:rsid w:val="004B28E6"/>
    <w:rsid w:val="004B3F0D"/>
    <w:rsid w:val="004B4474"/>
    <w:rsid w:val="004B4502"/>
    <w:rsid w:val="004B5AA1"/>
    <w:rsid w:val="004C0BFA"/>
    <w:rsid w:val="004C0FC0"/>
    <w:rsid w:val="004C17B8"/>
    <w:rsid w:val="004C1C85"/>
    <w:rsid w:val="004C3B2B"/>
    <w:rsid w:val="004C49EE"/>
    <w:rsid w:val="004C5152"/>
    <w:rsid w:val="004C5AD6"/>
    <w:rsid w:val="004C5E63"/>
    <w:rsid w:val="004C796A"/>
    <w:rsid w:val="004D039B"/>
    <w:rsid w:val="004D14BF"/>
    <w:rsid w:val="004D3F60"/>
    <w:rsid w:val="004D5173"/>
    <w:rsid w:val="004E0C3C"/>
    <w:rsid w:val="004E4565"/>
    <w:rsid w:val="004E4DB8"/>
    <w:rsid w:val="004E5538"/>
    <w:rsid w:val="004E5A0A"/>
    <w:rsid w:val="004E6B34"/>
    <w:rsid w:val="004F3AC5"/>
    <w:rsid w:val="004F4704"/>
    <w:rsid w:val="004F5247"/>
    <w:rsid w:val="004F6949"/>
    <w:rsid w:val="004F7089"/>
    <w:rsid w:val="004F725E"/>
    <w:rsid w:val="004F7469"/>
    <w:rsid w:val="004F746A"/>
    <w:rsid w:val="0050150A"/>
    <w:rsid w:val="005022A4"/>
    <w:rsid w:val="00502FC1"/>
    <w:rsid w:val="00503414"/>
    <w:rsid w:val="00503690"/>
    <w:rsid w:val="00504466"/>
    <w:rsid w:val="005044E1"/>
    <w:rsid w:val="00506497"/>
    <w:rsid w:val="005134DF"/>
    <w:rsid w:val="00514AA3"/>
    <w:rsid w:val="00517658"/>
    <w:rsid w:val="00521A3C"/>
    <w:rsid w:val="0052219E"/>
    <w:rsid w:val="005234E9"/>
    <w:rsid w:val="0052366F"/>
    <w:rsid w:val="00524001"/>
    <w:rsid w:val="0052422F"/>
    <w:rsid w:val="00527EFE"/>
    <w:rsid w:val="0053027D"/>
    <w:rsid w:val="00530CB3"/>
    <w:rsid w:val="00533FB2"/>
    <w:rsid w:val="00534C78"/>
    <w:rsid w:val="00536180"/>
    <w:rsid w:val="005379FA"/>
    <w:rsid w:val="00537A66"/>
    <w:rsid w:val="00540E01"/>
    <w:rsid w:val="005412B6"/>
    <w:rsid w:val="0054152E"/>
    <w:rsid w:val="005454B4"/>
    <w:rsid w:val="00545C8A"/>
    <w:rsid w:val="00546C0D"/>
    <w:rsid w:val="0055075C"/>
    <w:rsid w:val="00550F4A"/>
    <w:rsid w:val="00552A86"/>
    <w:rsid w:val="005535D8"/>
    <w:rsid w:val="005544CA"/>
    <w:rsid w:val="0055745B"/>
    <w:rsid w:val="005603E6"/>
    <w:rsid w:val="00561C5E"/>
    <w:rsid w:val="0056455A"/>
    <w:rsid w:val="00565078"/>
    <w:rsid w:val="00565AC5"/>
    <w:rsid w:val="00565E20"/>
    <w:rsid w:val="00565F44"/>
    <w:rsid w:val="00566270"/>
    <w:rsid w:val="005679F3"/>
    <w:rsid w:val="00567D47"/>
    <w:rsid w:val="00567EC7"/>
    <w:rsid w:val="00571400"/>
    <w:rsid w:val="00571C09"/>
    <w:rsid w:val="00572B03"/>
    <w:rsid w:val="00573459"/>
    <w:rsid w:val="00573991"/>
    <w:rsid w:val="005741F1"/>
    <w:rsid w:val="00574AD0"/>
    <w:rsid w:val="00574CB3"/>
    <w:rsid w:val="005764D6"/>
    <w:rsid w:val="0057652A"/>
    <w:rsid w:val="0057745E"/>
    <w:rsid w:val="00577AE8"/>
    <w:rsid w:val="00580E9C"/>
    <w:rsid w:val="00581CEE"/>
    <w:rsid w:val="00581FF5"/>
    <w:rsid w:val="0058300A"/>
    <w:rsid w:val="0058475A"/>
    <w:rsid w:val="005859B5"/>
    <w:rsid w:val="00586CC7"/>
    <w:rsid w:val="005872BC"/>
    <w:rsid w:val="00590FA4"/>
    <w:rsid w:val="005915EC"/>
    <w:rsid w:val="0059161F"/>
    <w:rsid w:val="00591C31"/>
    <w:rsid w:val="00592094"/>
    <w:rsid w:val="005924E2"/>
    <w:rsid w:val="00594300"/>
    <w:rsid w:val="00594E2C"/>
    <w:rsid w:val="00595786"/>
    <w:rsid w:val="0059589D"/>
    <w:rsid w:val="005969DF"/>
    <w:rsid w:val="005A117C"/>
    <w:rsid w:val="005A19DC"/>
    <w:rsid w:val="005A3429"/>
    <w:rsid w:val="005A344B"/>
    <w:rsid w:val="005A3527"/>
    <w:rsid w:val="005A4764"/>
    <w:rsid w:val="005A48AF"/>
    <w:rsid w:val="005A48ED"/>
    <w:rsid w:val="005B1481"/>
    <w:rsid w:val="005B18C8"/>
    <w:rsid w:val="005B3644"/>
    <w:rsid w:val="005B3AB9"/>
    <w:rsid w:val="005C097E"/>
    <w:rsid w:val="005C10F7"/>
    <w:rsid w:val="005C1365"/>
    <w:rsid w:val="005C17C2"/>
    <w:rsid w:val="005C3223"/>
    <w:rsid w:val="005C36F9"/>
    <w:rsid w:val="005C4D92"/>
    <w:rsid w:val="005C4E73"/>
    <w:rsid w:val="005C4F3F"/>
    <w:rsid w:val="005C5DF7"/>
    <w:rsid w:val="005D18C4"/>
    <w:rsid w:val="005D2C22"/>
    <w:rsid w:val="005D4256"/>
    <w:rsid w:val="005D54A8"/>
    <w:rsid w:val="005D666C"/>
    <w:rsid w:val="005D6BC8"/>
    <w:rsid w:val="005D6E74"/>
    <w:rsid w:val="005D7753"/>
    <w:rsid w:val="005E0B4C"/>
    <w:rsid w:val="005E21F4"/>
    <w:rsid w:val="005E257B"/>
    <w:rsid w:val="005E4C33"/>
    <w:rsid w:val="005E4F42"/>
    <w:rsid w:val="005E5397"/>
    <w:rsid w:val="005E5D1A"/>
    <w:rsid w:val="005E7458"/>
    <w:rsid w:val="005F01A9"/>
    <w:rsid w:val="005F296A"/>
    <w:rsid w:val="005F385F"/>
    <w:rsid w:val="005F3C65"/>
    <w:rsid w:val="005F4989"/>
    <w:rsid w:val="005F505D"/>
    <w:rsid w:val="005F5617"/>
    <w:rsid w:val="005F65DC"/>
    <w:rsid w:val="005F7872"/>
    <w:rsid w:val="00600502"/>
    <w:rsid w:val="00600D76"/>
    <w:rsid w:val="00602CF2"/>
    <w:rsid w:val="0060347E"/>
    <w:rsid w:val="006037CE"/>
    <w:rsid w:val="00606011"/>
    <w:rsid w:val="006066CC"/>
    <w:rsid w:val="00607AC8"/>
    <w:rsid w:val="00610D76"/>
    <w:rsid w:val="00610D91"/>
    <w:rsid w:val="00612C19"/>
    <w:rsid w:val="00612C29"/>
    <w:rsid w:val="00613F0C"/>
    <w:rsid w:val="00614C4D"/>
    <w:rsid w:val="00615C29"/>
    <w:rsid w:val="006176B9"/>
    <w:rsid w:val="006179BB"/>
    <w:rsid w:val="00617BCB"/>
    <w:rsid w:val="0062158E"/>
    <w:rsid w:val="00623554"/>
    <w:rsid w:val="00627387"/>
    <w:rsid w:val="006304AE"/>
    <w:rsid w:val="00630751"/>
    <w:rsid w:val="00631610"/>
    <w:rsid w:val="00631ED8"/>
    <w:rsid w:val="00632308"/>
    <w:rsid w:val="00632D38"/>
    <w:rsid w:val="0063402C"/>
    <w:rsid w:val="00634314"/>
    <w:rsid w:val="00635477"/>
    <w:rsid w:val="0063554C"/>
    <w:rsid w:val="006364F7"/>
    <w:rsid w:val="006378A9"/>
    <w:rsid w:val="00640809"/>
    <w:rsid w:val="00640A9B"/>
    <w:rsid w:val="0064150A"/>
    <w:rsid w:val="00641784"/>
    <w:rsid w:val="00641CA5"/>
    <w:rsid w:val="006427C8"/>
    <w:rsid w:val="00652CF5"/>
    <w:rsid w:val="00657035"/>
    <w:rsid w:val="00657E91"/>
    <w:rsid w:val="00660006"/>
    <w:rsid w:val="0066129C"/>
    <w:rsid w:val="00662FBA"/>
    <w:rsid w:val="00663DE9"/>
    <w:rsid w:val="00664903"/>
    <w:rsid w:val="0066740A"/>
    <w:rsid w:val="0067016F"/>
    <w:rsid w:val="00670E96"/>
    <w:rsid w:val="00671D00"/>
    <w:rsid w:val="006725D8"/>
    <w:rsid w:val="0067328B"/>
    <w:rsid w:val="006732DA"/>
    <w:rsid w:val="006738E6"/>
    <w:rsid w:val="00674DDF"/>
    <w:rsid w:val="006767CD"/>
    <w:rsid w:val="00676902"/>
    <w:rsid w:val="00676E45"/>
    <w:rsid w:val="00677698"/>
    <w:rsid w:val="00677C32"/>
    <w:rsid w:val="00680D77"/>
    <w:rsid w:val="00681498"/>
    <w:rsid w:val="006828AE"/>
    <w:rsid w:val="00686DA2"/>
    <w:rsid w:val="00690BC5"/>
    <w:rsid w:val="00691D36"/>
    <w:rsid w:val="00693D91"/>
    <w:rsid w:val="006942AB"/>
    <w:rsid w:val="006956DD"/>
    <w:rsid w:val="006A0060"/>
    <w:rsid w:val="006A1984"/>
    <w:rsid w:val="006A24C4"/>
    <w:rsid w:val="006A26C4"/>
    <w:rsid w:val="006A4692"/>
    <w:rsid w:val="006A5138"/>
    <w:rsid w:val="006A6E6D"/>
    <w:rsid w:val="006B1D65"/>
    <w:rsid w:val="006B1F20"/>
    <w:rsid w:val="006B2897"/>
    <w:rsid w:val="006B5109"/>
    <w:rsid w:val="006C0F90"/>
    <w:rsid w:val="006C1572"/>
    <w:rsid w:val="006C1AC8"/>
    <w:rsid w:val="006C2BB1"/>
    <w:rsid w:val="006C36A0"/>
    <w:rsid w:val="006C3E9B"/>
    <w:rsid w:val="006C644F"/>
    <w:rsid w:val="006C7019"/>
    <w:rsid w:val="006D059A"/>
    <w:rsid w:val="006D0923"/>
    <w:rsid w:val="006D0C4E"/>
    <w:rsid w:val="006D31CE"/>
    <w:rsid w:val="006D51CA"/>
    <w:rsid w:val="006D5B64"/>
    <w:rsid w:val="006D6FE4"/>
    <w:rsid w:val="006D7353"/>
    <w:rsid w:val="006E0809"/>
    <w:rsid w:val="006E0921"/>
    <w:rsid w:val="006E1902"/>
    <w:rsid w:val="006E32F3"/>
    <w:rsid w:val="006E42D0"/>
    <w:rsid w:val="006E63FA"/>
    <w:rsid w:val="006E69AD"/>
    <w:rsid w:val="006E6C03"/>
    <w:rsid w:val="006E7065"/>
    <w:rsid w:val="006F0023"/>
    <w:rsid w:val="006F10D8"/>
    <w:rsid w:val="006F3CC3"/>
    <w:rsid w:val="006F4E32"/>
    <w:rsid w:val="006F647D"/>
    <w:rsid w:val="006F75B4"/>
    <w:rsid w:val="00701DC4"/>
    <w:rsid w:val="00702790"/>
    <w:rsid w:val="00704DDE"/>
    <w:rsid w:val="0070568D"/>
    <w:rsid w:val="0070743F"/>
    <w:rsid w:val="00712F87"/>
    <w:rsid w:val="0071460C"/>
    <w:rsid w:val="00715259"/>
    <w:rsid w:val="00715305"/>
    <w:rsid w:val="00715AD7"/>
    <w:rsid w:val="00715CFA"/>
    <w:rsid w:val="00717EDC"/>
    <w:rsid w:val="00720FFE"/>
    <w:rsid w:val="00722DF7"/>
    <w:rsid w:val="00724A8F"/>
    <w:rsid w:val="00724E72"/>
    <w:rsid w:val="0072584C"/>
    <w:rsid w:val="00725DDE"/>
    <w:rsid w:val="00726226"/>
    <w:rsid w:val="007276BC"/>
    <w:rsid w:val="00727BB0"/>
    <w:rsid w:val="007301CB"/>
    <w:rsid w:val="007301E5"/>
    <w:rsid w:val="00730291"/>
    <w:rsid w:val="00731EDA"/>
    <w:rsid w:val="007323F3"/>
    <w:rsid w:val="00732EB8"/>
    <w:rsid w:val="00734425"/>
    <w:rsid w:val="007347ED"/>
    <w:rsid w:val="0074160F"/>
    <w:rsid w:val="00741ED6"/>
    <w:rsid w:val="00742681"/>
    <w:rsid w:val="007432B5"/>
    <w:rsid w:val="007441C3"/>
    <w:rsid w:val="007448CC"/>
    <w:rsid w:val="00745885"/>
    <w:rsid w:val="00747374"/>
    <w:rsid w:val="00747812"/>
    <w:rsid w:val="00747A87"/>
    <w:rsid w:val="007510D1"/>
    <w:rsid w:val="00751EC6"/>
    <w:rsid w:val="00753EB4"/>
    <w:rsid w:val="00754911"/>
    <w:rsid w:val="00760CCD"/>
    <w:rsid w:val="007617B0"/>
    <w:rsid w:val="00761A2E"/>
    <w:rsid w:val="007626B1"/>
    <w:rsid w:val="007633BD"/>
    <w:rsid w:val="0076503C"/>
    <w:rsid w:val="007667FE"/>
    <w:rsid w:val="00771633"/>
    <w:rsid w:val="00771DE8"/>
    <w:rsid w:val="00772003"/>
    <w:rsid w:val="007732F4"/>
    <w:rsid w:val="0077370B"/>
    <w:rsid w:val="007739AB"/>
    <w:rsid w:val="00774375"/>
    <w:rsid w:val="007746AC"/>
    <w:rsid w:val="00774774"/>
    <w:rsid w:val="00774996"/>
    <w:rsid w:val="00774D6B"/>
    <w:rsid w:val="00776158"/>
    <w:rsid w:val="0077742E"/>
    <w:rsid w:val="00777FBD"/>
    <w:rsid w:val="007837E9"/>
    <w:rsid w:val="00784AD5"/>
    <w:rsid w:val="00785E18"/>
    <w:rsid w:val="007865F2"/>
    <w:rsid w:val="00786919"/>
    <w:rsid w:val="00787B5F"/>
    <w:rsid w:val="00790CD3"/>
    <w:rsid w:val="0079135A"/>
    <w:rsid w:val="007920D2"/>
    <w:rsid w:val="007929AE"/>
    <w:rsid w:val="00793BEE"/>
    <w:rsid w:val="00793FED"/>
    <w:rsid w:val="007A000E"/>
    <w:rsid w:val="007A0682"/>
    <w:rsid w:val="007A1BD9"/>
    <w:rsid w:val="007A58D9"/>
    <w:rsid w:val="007A5C94"/>
    <w:rsid w:val="007A64D9"/>
    <w:rsid w:val="007A66D3"/>
    <w:rsid w:val="007B22E7"/>
    <w:rsid w:val="007B34B9"/>
    <w:rsid w:val="007B37D1"/>
    <w:rsid w:val="007B56E5"/>
    <w:rsid w:val="007C16AB"/>
    <w:rsid w:val="007C1FEA"/>
    <w:rsid w:val="007C28F9"/>
    <w:rsid w:val="007C3731"/>
    <w:rsid w:val="007C3F27"/>
    <w:rsid w:val="007C3F94"/>
    <w:rsid w:val="007C4D7E"/>
    <w:rsid w:val="007C53E9"/>
    <w:rsid w:val="007C5D85"/>
    <w:rsid w:val="007C6845"/>
    <w:rsid w:val="007C6A91"/>
    <w:rsid w:val="007C7B3C"/>
    <w:rsid w:val="007D09FF"/>
    <w:rsid w:val="007D0F32"/>
    <w:rsid w:val="007D230E"/>
    <w:rsid w:val="007D2427"/>
    <w:rsid w:val="007D2BBB"/>
    <w:rsid w:val="007D4B55"/>
    <w:rsid w:val="007D66B7"/>
    <w:rsid w:val="007D67E3"/>
    <w:rsid w:val="007D6B07"/>
    <w:rsid w:val="007D6FD0"/>
    <w:rsid w:val="007D7FDC"/>
    <w:rsid w:val="007E417E"/>
    <w:rsid w:val="007E41C7"/>
    <w:rsid w:val="007E4BB2"/>
    <w:rsid w:val="007E57F9"/>
    <w:rsid w:val="007E75CB"/>
    <w:rsid w:val="007F02FC"/>
    <w:rsid w:val="007F05C0"/>
    <w:rsid w:val="007F0678"/>
    <w:rsid w:val="007F0C3B"/>
    <w:rsid w:val="007F1D1C"/>
    <w:rsid w:val="007F2193"/>
    <w:rsid w:val="007F24E3"/>
    <w:rsid w:val="007F2996"/>
    <w:rsid w:val="007F31BF"/>
    <w:rsid w:val="007F334C"/>
    <w:rsid w:val="007F47A5"/>
    <w:rsid w:val="007F4C12"/>
    <w:rsid w:val="007F5558"/>
    <w:rsid w:val="007F6C0C"/>
    <w:rsid w:val="007F7163"/>
    <w:rsid w:val="007F7EAE"/>
    <w:rsid w:val="00800F80"/>
    <w:rsid w:val="0080122C"/>
    <w:rsid w:val="00801E99"/>
    <w:rsid w:val="008032D1"/>
    <w:rsid w:val="0080365C"/>
    <w:rsid w:val="00806B0F"/>
    <w:rsid w:val="00806D4A"/>
    <w:rsid w:val="0081051B"/>
    <w:rsid w:val="0081138F"/>
    <w:rsid w:val="00811936"/>
    <w:rsid w:val="008119D5"/>
    <w:rsid w:val="0081263E"/>
    <w:rsid w:val="00816DD5"/>
    <w:rsid w:val="00817998"/>
    <w:rsid w:val="00820F20"/>
    <w:rsid w:val="00821BA2"/>
    <w:rsid w:val="0082447C"/>
    <w:rsid w:val="00824987"/>
    <w:rsid w:val="008260E3"/>
    <w:rsid w:val="00826B30"/>
    <w:rsid w:val="0082728C"/>
    <w:rsid w:val="008279EE"/>
    <w:rsid w:val="00832DA7"/>
    <w:rsid w:val="0083373E"/>
    <w:rsid w:val="00833DF2"/>
    <w:rsid w:val="0083515E"/>
    <w:rsid w:val="008359E1"/>
    <w:rsid w:val="008360DA"/>
    <w:rsid w:val="00836336"/>
    <w:rsid w:val="00836DFE"/>
    <w:rsid w:val="00840F4B"/>
    <w:rsid w:val="00844A85"/>
    <w:rsid w:val="008472C7"/>
    <w:rsid w:val="00851C59"/>
    <w:rsid w:val="0085292F"/>
    <w:rsid w:val="00852AC0"/>
    <w:rsid w:val="00853D64"/>
    <w:rsid w:val="00853FFE"/>
    <w:rsid w:val="008571AD"/>
    <w:rsid w:val="008576ED"/>
    <w:rsid w:val="00857E12"/>
    <w:rsid w:val="0086058F"/>
    <w:rsid w:val="008619ED"/>
    <w:rsid w:val="00862270"/>
    <w:rsid w:val="00862C61"/>
    <w:rsid w:val="0086443E"/>
    <w:rsid w:val="00864C60"/>
    <w:rsid w:val="008678D9"/>
    <w:rsid w:val="00872CB9"/>
    <w:rsid w:val="00873E3E"/>
    <w:rsid w:val="008749D7"/>
    <w:rsid w:val="00875B7D"/>
    <w:rsid w:val="00875C7C"/>
    <w:rsid w:val="00875FEE"/>
    <w:rsid w:val="00876554"/>
    <w:rsid w:val="00880C92"/>
    <w:rsid w:val="00881D98"/>
    <w:rsid w:val="00882023"/>
    <w:rsid w:val="008836EE"/>
    <w:rsid w:val="00883843"/>
    <w:rsid w:val="00884301"/>
    <w:rsid w:val="00885CDC"/>
    <w:rsid w:val="0088603C"/>
    <w:rsid w:val="00887866"/>
    <w:rsid w:val="00890D56"/>
    <w:rsid w:val="00891086"/>
    <w:rsid w:val="008919CF"/>
    <w:rsid w:val="00891C63"/>
    <w:rsid w:val="008921E9"/>
    <w:rsid w:val="00895236"/>
    <w:rsid w:val="00895AD0"/>
    <w:rsid w:val="00895FCB"/>
    <w:rsid w:val="00897C2B"/>
    <w:rsid w:val="008A0FB3"/>
    <w:rsid w:val="008A21E7"/>
    <w:rsid w:val="008A2973"/>
    <w:rsid w:val="008A47D9"/>
    <w:rsid w:val="008A6E90"/>
    <w:rsid w:val="008A7BCF"/>
    <w:rsid w:val="008B098D"/>
    <w:rsid w:val="008B2A56"/>
    <w:rsid w:val="008B4456"/>
    <w:rsid w:val="008B5323"/>
    <w:rsid w:val="008B5AA4"/>
    <w:rsid w:val="008B6E17"/>
    <w:rsid w:val="008B78C5"/>
    <w:rsid w:val="008B7CBC"/>
    <w:rsid w:val="008C0826"/>
    <w:rsid w:val="008C1654"/>
    <w:rsid w:val="008C193C"/>
    <w:rsid w:val="008C1D43"/>
    <w:rsid w:val="008C2B67"/>
    <w:rsid w:val="008C598B"/>
    <w:rsid w:val="008C623B"/>
    <w:rsid w:val="008D0107"/>
    <w:rsid w:val="008D4A44"/>
    <w:rsid w:val="008D5548"/>
    <w:rsid w:val="008D5C5C"/>
    <w:rsid w:val="008D6941"/>
    <w:rsid w:val="008D72AE"/>
    <w:rsid w:val="008D7755"/>
    <w:rsid w:val="008E089B"/>
    <w:rsid w:val="008E093F"/>
    <w:rsid w:val="008E1655"/>
    <w:rsid w:val="008E44CE"/>
    <w:rsid w:val="008F1FFD"/>
    <w:rsid w:val="008F362E"/>
    <w:rsid w:val="008F62BC"/>
    <w:rsid w:val="008F75E9"/>
    <w:rsid w:val="00901F93"/>
    <w:rsid w:val="00903B4F"/>
    <w:rsid w:val="00904A4B"/>
    <w:rsid w:val="0090568D"/>
    <w:rsid w:val="0090636A"/>
    <w:rsid w:val="0090649D"/>
    <w:rsid w:val="00906F0E"/>
    <w:rsid w:val="009108A0"/>
    <w:rsid w:val="009110BC"/>
    <w:rsid w:val="00911229"/>
    <w:rsid w:val="0091371B"/>
    <w:rsid w:val="009159F1"/>
    <w:rsid w:val="0091603C"/>
    <w:rsid w:val="00916C07"/>
    <w:rsid w:val="00916CCA"/>
    <w:rsid w:val="00917800"/>
    <w:rsid w:val="00921253"/>
    <w:rsid w:val="0092130A"/>
    <w:rsid w:val="0092364B"/>
    <w:rsid w:val="0092436E"/>
    <w:rsid w:val="009253FD"/>
    <w:rsid w:val="00925E5E"/>
    <w:rsid w:val="00930BCD"/>
    <w:rsid w:val="009311C4"/>
    <w:rsid w:val="00931762"/>
    <w:rsid w:val="00932190"/>
    <w:rsid w:val="00935BBA"/>
    <w:rsid w:val="00937957"/>
    <w:rsid w:val="00942321"/>
    <w:rsid w:val="00942BE7"/>
    <w:rsid w:val="00943ED4"/>
    <w:rsid w:val="0094461B"/>
    <w:rsid w:val="00944A21"/>
    <w:rsid w:val="009450D8"/>
    <w:rsid w:val="0094660E"/>
    <w:rsid w:val="00946B44"/>
    <w:rsid w:val="00946D7B"/>
    <w:rsid w:val="00951E40"/>
    <w:rsid w:val="009525F3"/>
    <w:rsid w:val="00955747"/>
    <w:rsid w:val="00957B3F"/>
    <w:rsid w:val="00964587"/>
    <w:rsid w:val="009648C2"/>
    <w:rsid w:val="00964DBD"/>
    <w:rsid w:val="009667B6"/>
    <w:rsid w:val="009724E3"/>
    <w:rsid w:val="00972FA6"/>
    <w:rsid w:val="0097397A"/>
    <w:rsid w:val="00974A90"/>
    <w:rsid w:val="0098033D"/>
    <w:rsid w:val="00981DF1"/>
    <w:rsid w:val="00983B70"/>
    <w:rsid w:val="00984451"/>
    <w:rsid w:val="0098646A"/>
    <w:rsid w:val="00986BD9"/>
    <w:rsid w:val="0099049F"/>
    <w:rsid w:val="009922E4"/>
    <w:rsid w:val="00994B9F"/>
    <w:rsid w:val="00994D0B"/>
    <w:rsid w:val="00995017"/>
    <w:rsid w:val="00997746"/>
    <w:rsid w:val="009A1B00"/>
    <w:rsid w:val="009A3686"/>
    <w:rsid w:val="009A3C74"/>
    <w:rsid w:val="009A473D"/>
    <w:rsid w:val="009A4DE7"/>
    <w:rsid w:val="009A52AB"/>
    <w:rsid w:val="009A6B9A"/>
    <w:rsid w:val="009A6BD2"/>
    <w:rsid w:val="009A7D68"/>
    <w:rsid w:val="009B39CE"/>
    <w:rsid w:val="009B42F0"/>
    <w:rsid w:val="009B7933"/>
    <w:rsid w:val="009C13C2"/>
    <w:rsid w:val="009C4CC2"/>
    <w:rsid w:val="009C7BA2"/>
    <w:rsid w:val="009D0C01"/>
    <w:rsid w:val="009D57EA"/>
    <w:rsid w:val="009D62F4"/>
    <w:rsid w:val="009D7518"/>
    <w:rsid w:val="009D7A1F"/>
    <w:rsid w:val="009E075E"/>
    <w:rsid w:val="009E1286"/>
    <w:rsid w:val="009E3B3E"/>
    <w:rsid w:val="009E4859"/>
    <w:rsid w:val="009E4933"/>
    <w:rsid w:val="009E4CB9"/>
    <w:rsid w:val="009E6E3D"/>
    <w:rsid w:val="009E7CD1"/>
    <w:rsid w:val="009F2F16"/>
    <w:rsid w:val="009F4BF0"/>
    <w:rsid w:val="009F4D7A"/>
    <w:rsid w:val="009F6171"/>
    <w:rsid w:val="009F6B8E"/>
    <w:rsid w:val="00A0112B"/>
    <w:rsid w:val="00A0121C"/>
    <w:rsid w:val="00A03815"/>
    <w:rsid w:val="00A03EA9"/>
    <w:rsid w:val="00A03F57"/>
    <w:rsid w:val="00A04087"/>
    <w:rsid w:val="00A04EC8"/>
    <w:rsid w:val="00A0518B"/>
    <w:rsid w:val="00A065CD"/>
    <w:rsid w:val="00A079AC"/>
    <w:rsid w:val="00A1332D"/>
    <w:rsid w:val="00A15B0E"/>
    <w:rsid w:val="00A16D60"/>
    <w:rsid w:val="00A17502"/>
    <w:rsid w:val="00A17D58"/>
    <w:rsid w:val="00A20F32"/>
    <w:rsid w:val="00A22272"/>
    <w:rsid w:val="00A22D61"/>
    <w:rsid w:val="00A23C67"/>
    <w:rsid w:val="00A245FE"/>
    <w:rsid w:val="00A249DF"/>
    <w:rsid w:val="00A2682F"/>
    <w:rsid w:val="00A26D1A"/>
    <w:rsid w:val="00A26E11"/>
    <w:rsid w:val="00A3619B"/>
    <w:rsid w:val="00A42D2F"/>
    <w:rsid w:val="00A43837"/>
    <w:rsid w:val="00A45F5B"/>
    <w:rsid w:val="00A46D16"/>
    <w:rsid w:val="00A46E9B"/>
    <w:rsid w:val="00A5027C"/>
    <w:rsid w:val="00A50F5B"/>
    <w:rsid w:val="00A514EA"/>
    <w:rsid w:val="00A51C05"/>
    <w:rsid w:val="00A52BCD"/>
    <w:rsid w:val="00A55A4A"/>
    <w:rsid w:val="00A56AF2"/>
    <w:rsid w:val="00A56E5B"/>
    <w:rsid w:val="00A57228"/>
    <w:rsid w:val="00A576AB"/>
    <w:rsid w:val="00A6163D"/>
    <w:rsid w:val="00A61E2F"/>
    <w:rsid w:val="00A61FE3"/>
    <w:rsid w:val="00A62380"/>
    <w:rsid w:val="00A630D9"/>
    <w:rsid w:val="00A668B3"/>
    <w:rsid w:val="00A67A7B"/>
    <w:rsid w:val="00A70381"/>
    <w:rsid w:val="00A706F7"/>
    <w:rsid w:val="00A7132F"/>
    <w:rsid w:val="00A7151B"/>
    <w:rsid w:val="00A72078"/>
    <w:rsid w:val="00A733BE"/>
    <w:rsid w:val="00A76CFF"/>
    <w:rsid w:val="00A7726D"/>
    <w:rsid w:val="00A810B1"/>
    <w:rsid w:val="00A828AC"/>
    <w:rsid w:val="00A82E27"/>
    <w:rsid w:val="00A83C5D"/>
    <w:rsid w:val="00A83FA2"/>
    <w:rsid w:val="00A87A21"/>
    <w:rsid w:val="00A87D1F"/>
    <w:rsid w:val="00A904A6"/>
    <w:rsid w:val="00A90B6A"/>
    <w:rsid w:val="00A90F04"/>
    <w:rsid w:val="00A91E99"/>
    <w:rsid w:val="00A9580A"/>
    <w:rsid w:val="00A96C03"/>
    <w:rsid w:val="00AA0922"/>
    <w:rsid w:val="00AA2603"/>
    <w:rsid w:val="00AA3617"/>
    <w:rsid w:val="00AA3BAD"/>
    <w:rsid w:val="00AA4E4C"/>
    <w:rsid w:val="00AA5711"/>
    <w:rsid w:val="00AA5DAC"/>
    <w:rsid w:val="00AA789A"/>
    <w:rsid w:val="00AA7C80"/>
    <w:rsid w:val="00AB16C7"/>
    <w:rsid w:val="00AB1870"/>
    <w:rsid w:val="00AB2FDD"/>
    <w:rsid w:val="00AB45F2"/>
    <w:rsid w:val="00AB4735"/>
    <w:rsid w:val="00AB54BA"/>
    <w:rsid w:val="00AB7C43"/>
    <w:rsid w:val="00AB7DBF"/>
    <w:rsid w:val="00AC0787"/>
    <w:rsid w:val="00AC1420"/>
    <w:rsid w:val="00AC1C9E"/>
    <w:rsid w:val="00AC1D60"/>
    <w:rsid w:val="00AC282F"/>
    <w:rsid w:val="00AC297E"/>
    <w:rsid w:val="00AC3E2F"/>
    <w:rsid w:val="00AC4127"/>
    <w:rsid w:val="00AC5A89"/>
    <w:rsid w:val="00AC6A14"/>
    <w:rsid w:val="00AD16B4"/>
    <w:rsid w:val="00AD449F"/>
    <w:rsid w:val="00AD562C"/>
    <w:rsid w:val="00AD5DF6"/>
    <w:rsid w:val="00AD74BF"/>
    <w:rsid w:val="00AD7EF2"/>
    <w:rsid w:val="00AE232C"/>
    <w:rsid w:val="00AE289E"/>
    <w:rsid w:val="00AE2B24"/>
    <w:rsid w:val="00AE413A"/>
    <w:rsid w:val="00AE456A"/>
    <w:rsid w:val="00AE4863"/>
    <w:rsid w:val="00AE4C03"/>
    <w:rsid w:val="00AE6A5E"/>
    <w:rsid w:val="00AE78F8"/>
    <w:rsid w:val="00AF0A4F"/>
    <w:rsid w:val="00AF184B"/>
    <w:rsid w:val="00AF1CEE"/>
    <w:rsid w:val="00AF2DEE"/>
    <w:rsid w:val="00AF2F4F"/>
    <w:rsid w:val="00AF3701"/>
    <w:rsid w:val="00AF443A"/>
    <w:rsid w:val="00AF49E1"/>
    <w:rsid w:val="00AF4A87"/>
    <w:rsid w:val="00AF4B9F"/>
    <w:rsid w:val="00AF6CC4"/>
    <w:rsid w:val="00AF7A69"/>
    <w:rsid w:val="00B00B7B"/>
    <w:rsid w:val="00B03435"/>
    <w:rsid w:val="00B03DD3"/>
    <w:rsid w:val="00B03F57"/>
    <w:rsid w:val="00B04096"/>
    <w:rsid w:val="00B04800"/>
    <w:rsid w:val="00B05CFE"/>
    <w:rsid w:val="00B06033"/>
    <w:rsid w:val="00B06BC3"/>
    <w:rsid w:val="00B070F4"/>
    <w:rsid w:val="00B0757A"/>
    <w:rsid w:val="00B109CC"/>
    <w:rsid w:val="00B10F34"/>
    <w:rsid w:val="00B10FD2"/>
    <w:rsid w:val="00B13541"/>
    <w:rsid w:val="00B135D9"/>
    <w:rsid w:val="00B1392D"/>
    <w:rsid w:val="00B141C2"/>
    <w:rsid w:val="00B15219"/>
    <w:rsid w:val="00B2062C"/>
    <w:rsid w:val="00B2148B"/>
    <w:rsid w:val="00B21A41"/>
    <w:rsid w:val="00B23516"/>
    <w:rsid w:val="00B23A03"/>
    <w:rsid w:val="00B24340"/>
    <w:rsid w:val="00B247CC"/>
    <w:rsid w:val="00B26C9C"/>
    <w:rsid w:val="00B2788F"/>
    <w:rsid w:val="00B31BFD"/>
    <w:rsid w:val="00B32E33"/>
    <w:rsid w:val="00B333A9"/>
    <w:rsid w:val="00B33C1E"/>
    <w:rsid w:val="00B3754E"/>
    <w:rsid w:val="00B37FEA"/>
    <w:rsid w:val="00B40C6B"/>
    <w:rsid w:val="00B4183D"/>
    <w:rsid w:val="00B43316"/>
    <w:rsid w:val="00B43EBA"/>
    <w:rsid w:val="00B43F76"/>
    <w:rsid w:val="00B45828"/>
    <w:rsid w:val="00B47169"/>
    <w:rsid w:val="00B47F43"/>
    <w:rsid w:val="00B50449"/>
    <w:rsid w:val="00B514FB"/>
    <w:rsid w:val="00B542EF"/>
    <w:rsid w:val="00B545C6"/>
    <w:rsid w:val="00B552CC"/>
    <w:rsid w:val="00B55588"/>
    <w:rsid w:val="00B60BEF"/>
    <w:rsid w:val="00B617DF"/>
    <w:rsid w:val="00B63964"/>
    <w:rsid w:val="00B644B9"/>
    <w:rsid w:val="00B65B33"/>
    <w:rsid w:val="00B65CA1"/>
    <w:rsid w:val="00B704DC"/>
    <w:rsid w:val="00B72461"/>
    <w:rsid w:val="00B76F5C"/>
    <w:rsid w:val="00B77656"/>
    <w:rsid w:val="00B7784B"/>
    <w:rsid w:val="00B77D30"/>
    <w:rsid w:val="00B80803"/>
    <w:rsid w:val="00B835BD"/>
    <w:rsid w:val="00B84FC0"/>
    <w:rsid w:val="00B85503"/>
    <w:rsid w:val="00B85F65"/>
    <w:rsid w:val="00B922FD"/>
    <w:rsid w:val="00B94F0B"/>
    <w:rsid w:val="00B9566B"/>
    <w:rsid w:val="00B957D4"/>
    <w:rsid w:val="00B967BC"/>
    <w:rsid w:val="00B97E95"/>
    <w:rsid w:val="00BA05A8"/>
    <w:rsid w:val="00BA09DD"/>
    <w:rsid w:val="00BA2102"/>
    <w:rsid w:val="00BA23FC"/>
    <w:rsid w:val="00BA3C0D"/>
    <w:rsid w:val="00BA4136"/>
    <w:rsid w:val="00BA51CE"/>
    <w:rsid w:val="00BA7A77"/>
    <w:rsid w:val="00BB1347"/>
    <w:rsid w:val="00BB2B86"/>
    <w:rsid w:val="00BB3BCA"/>
    <w:rsid w:val="00BB3D38"/>
    <w:rsid w:val="00BB3F17"/>
    <w:rsid w:val="00BB62EC"/>
    <w:rsid w:val="00BB678A"/>
    <w:rsid w:val="00BB71F4"/>
    <w:rsid w:val="00BB7B4C"/>
    <w:rsid w:val="00BC17C7"/>
    <w:rsid w:val="00BC2B37"/>
    <w:rsid w:val="00BC30D8"/>
    <w:rsid w:val="00BC490C"/>
    <w:rsid w:val="00BC7E42"/>
    <w:rsid w:val="00BD038C"/>
    <w:rsid w:val="00BD06F0"/>
    <w:rsid w:val="00BD2448"/>
    <w:rsid w:val="00BD38F1"/>
    <w:rsid w:val="00BD3C5C"/>
    <w:rsid w:val="00BD5B95"/>
    <w:rsid w:val="00BD5BE4"/>
    <w:rsid w:val="00BD5C3A"/>
    <w:rsid w:val="00BD7003"/>
    <w:rsid w:val="00BD7A44"/>
    <w:rsid w:val="00BD7B36"/>
    <w:rsid w:val="00BE0BF0"/>
    <w:rsid w:val="00BE1916"/>
    <w:rsid w:val="00BE22C6"/>
    <w:rsid w:val="00BE4981"/>
    <w:rsid w:val="00BE67F7"/>
    <w:rsid w:val="00BE7191"/>
    <w:rsid w:val="00BF046F"/>
    <w:rsid w:val="00BF047B"/>
    <w:rsid w:val="00BF280D"/>
    <w:rsid w:val="00BF2B66"/>
    <w:rsid w:val="00BF4210"/>
    <w:rsid w:val="00BF49FC"/>
    <w:rsid w:val="00BF4E52"/>
    <w:rsid w:val="00BF5CC6"/>
    <w:rsid w:val="00BF5D15"/>
    <w:rsid w:val="00BF60D0"/>
    <w:rsid w:val="00BF6434"/>
    <w:rsid w:val="00BF7EA7"/>
    <w:rsid w:val="00C01B85"/>
    <w:rsid w:val="00C02DC9"/>
    <w:rsid w:val="00C0340E"/>
    <w:rsid w:val="00C03D38"/>
    <w:rsid w:val="00C063CA"/>
    <w:rsid w:val="00C0687C"/>
    <w:rsid w:val="00C07742"/>
    <w:rsid w:val="00C07F16"/>
    <w:rsid w:val="00C10154"/>
    <w:rsid w:val="00C111F3"/>
    <w:rsid w:val="00C12ACB"/>
    <w:rsid w:val="00C12CB8"/>
    <w:rsid w:val="00C16773"/>
    <w:rsid w:val="00C23410"/>
    <w:rsid w:val="00C23DF1"/>
    <w:rsid w:val="00C24371"/>
    <w:rsid w:val="00C2512A"/>
    <w:rsid w:val="00C256FC"/>
    <w:rsid w:val="00C25F2C"/>
    <w:rsid w:val="00C26614"/>
    <w:rsid w:val="00C2752D"/>
    <w:rsid w:val="00C304E8"/>
    <w:rsid w:val="00C3214D"/>
    <w:rsid w:val="00C321C0"/>
    <w:rsid w:val="00C355AB"/>
    <w:rsid w:val="00C421D8"/>
    <w:rsid w:val="00C42A17"/>
    <w:rsid w:val="00C43386"/>
    <w:rsid w:val="00C464AA"/>
    <w:rsid w:val="00C467D0"/>
    <w:rsid w:val="00C47201"/>
    <w:rsid w:val="00C473F4"/>
    <w:rsid w:val="00C479F4"/>
    <w:rsid w:val="00C51336"/>
    <w:rsid w:val="00C5263A"/>
    <w:rsid w:val="00C546AA"/>
    <w:rsid w:val="00C547E0"/>
    <w:rsid w:val="00C55AD7"/>
    <w:rsid w:val="00C55E1B"/>
    <w:rsid w:val="00C57FFA"/>
    <w:rsid w:val="00C603DE"/>
    <w:rsid w:val="00C606DD"/>
    <w:rsid w:val="00C60B55"/>
    <w:rsid w:val="00C61C08"/>
    <w:rsid w:val="00C62A62"/>
    <w:rsid w:val="00C6413A"/>
    <w:rsid w:val="00C64847"/>
    <w:rsid w:val="00C6581E"/>
    <w:rsid w:val="00C66654"/>
    <w:rsid w:val="00C66FB4"/>
    <w:rsid w:val="00C67534"/>
    <w:rsid w:val="00C70983"/>
    <w:rsid w:val="00C7199B"/>
    <w:rsid w:val="00C74E43"/>
    <w:rsid w:val="00C751AB"/>
    <w:rsid w:val="00C77175"/>
    <w:rsid w:val="00C8017D"/>
    <w:rsid w:val="00C80AA2"/>
    <w:rsid w:val="00C83EEF"/>
    <w:rsid w:val="00C84089"/>
    <w:rsid w:val="00C850AA"/>
    <w:rsid w:val="00C85A9D"/>
    <w:rsid w:val="00C8683C"/>
    <w:rsid w:val="00C870AB"/>
    <w:rsid w:val="00C90BD8"/>
    <w:rsid w:val="00C929D7"/>
    <w:rsid w:val="00C92E52"/>
    <w:rsid w:val="00C93CC4"/>
    <w:rsid w:val="00C947CF"/>
    <w:rsid w:val="00C94E63"/>
    <w:rsid w:val="00C95A1C"/>
    <w:rsid w:val="00C97F23"/>
    <w:rsid w:val="00CA0C6C"/>
    <w:rsid w:val="00CA1785"/>
    <w:rsid w:val="00CA1BBD"/>
    <w:rsid w:val="00CA1C90"/>
    <w:rsid w:val="00CA4BBB"/>
    <w:rsid w:val="00CB0E88"/>
    <w:rsid w:val="00CB199E"/>
    <w:rsid w:val="00CB1AEC"/>
    <w:rsid w:val="00CB32B4"/>
    <w:rsid w:val="00CB3561"/>
    <w:rsid w:val="00CB531F"/>
    <w:rsid w:val="00CB612A"/>
    <w:rsid w:val="00CB6836"/>
    <w:rsid w:val="00CB7C80"/>
    <w:rsid w:val="00CC0A07"/>
    <w:rsid w:val="00CC15A4"/>
    <w:rsid w:val="00CC1F8D"/>
    <w:rsid w:val="00CC2263"/>
    <w:rsid w:val="00CC2CCA"/>
    <w:rsid w:val="00CC2E64"/>
    <w:rsid w:val="00CC369E"/>
    <w:rsid w:val="00CC3FFE"/>
    <w:rsid w:val="00CC58BE"/>
    <w:rsid w:val="00CC70ED"/>
    <w:rsid w:val="00CD24DC"/>
    <w:rsid w:val="00CD255C"/>
    <w:rsid w:val="00CD2B14"/>
    <w:rsid w:val="00CD3B3A"/>
    <w:rsid w:val="00CD5BBC"/>
    <w:rsid w:val="00CD6A8A"/>
    <w:rsid w:val="00CD7793"/>
    <w:rsid w:val="00CE19E1"/>
    <w:rsid w:val="00CE266E"/>
    <w:rsid w:val="00CE2799"/>
    <w:rsid w:val="00CE51EB"/>
    <w:rsid w:val="00CE5897"/>
    <w:rsid w:val="00CE58A1"/>
    <w:rsid w:val="00CE72E6"/>
    <w:rsid w:val="00CE7AA8"/>
    <w:rsid w:val="00CF5CEC"/>
    <w:rsid w:val="00CF6738"/>
    <w:rsid w:val="00CF7250"/>
    <w:rsid w:val="00D0095C"/>
    <w:rsid w:val="00D0145F"/>
    <w:rsid w:val="00D02A51"/>
    <w:rsid w:val="00D02F22"/>
    <w:rsid w:val="00D03F47"/>
    <w:rsid w:val="00D046B4"/>
    <w:rsid w:val="00D053BD"/>
    <w:rsid w:val="00D05A31"/>
    <w:rsid w:val="00D07B54"/>
    <w:rsid w:val="00D114A5"/>
    <w:rsid w:val="00D126B1"/>
    <w:rsid w:val="00D12AAF"/>
    <w:rsid w:val="00D15A4B"/>
    <w:rsid w:val="00D1668F"/>
    <w:rsid w:val="00D2284D"/>
    <w:rsid w:val="00D232BD"/>
    <w:rsid w:val="00D235C5"/>
    <w:rsid w:val="00D254F2"/>
    <w:rsid w:val="00D25598"/>
    <w:rsid w:val="00D26365"/>
    <w:rsid w:val="00D3020D"/>
    <w:rsid w:val="00D30412"/>
    <w:rsid w:val="00D308B9"/>
    <w:rsid w:val="00D30A99"/>
    <w:rsid w:val="00D35099"/>
    <w:rsid w:val="00D35FB5"/>
    <w:rsid w:val="00D36564"/>
    <w:rsid w:val="00D366CF"/>
    <w:rsid w:val="00D36965"/>
    <w:rsid w:val="00D43A74"/>
    <w:rsid w:val="00D45DD4"/>
    <w:rsid w:val="00D46D7C"/>
    <w:rsid w:val="00D4738E"/>
    <w:rsid w:val="00D506F4"/>
    <w:rsid w:val="00D507B8"/>
    <w:rsid w:val="00D50836"/>
    <w:rsid w:val="00D51539"/>
    <w:rsid w:val="00D51601"/>
    <w:rsid w:val="00D53583"/>
    <w:rsid w:val="00D5704C"/>
    <w:rsid w:val="00D60E4F"/>
    <w:rsid w:val="00D613BB"/>
    <w:rsid w:val="00D61C71"/>
    <w:rsid w:val="00D62C7A"/>
    <w:rsid w:val="00D640C9"/>
    <w:rsid w:val="00D65AE2"/>
    <w:rsid w:val="00D65C84"/>
    <w:rsid w:val="00D668AF"/>
    <w:rsid w:val="00D719B5"/>
    <w:rsid w:val="00D73AAD"/>
    <w:rsid w:val="00D73E7F"/>
    <w:rsid w:val="00D74F1A"/>
    <w:rsid w:val="00D75D8D"/>
    <w:rsid w:val="00D77314"/>
    <w:rsid w:val="00D77A06"/>
    <w:rsid w:val="00D81612"/>
    <w:rsid w:val="00D82E0A"/>
    <w:rsid w:val="00D83A3B"/>
    <w:rsid w:val="00D84E64"/>
    <w:rsid w:val="00D90868"/>
    <w:rsid w:val="00D9146E"/>
    <w:rsid w:val="00D92937"/>
    <w:rsid w:val="00D933B7"/>
    <w:rsid w:val="00D94755"/>
    <w:rsid w:val="00D94EC9"/>
    <w:rsid w:val="00D973A9"/>
    <w:rsid w:val="00D97B9C"/>
    <w:rsid w:val="00DA0A4B"/>
    <w:rsid w:val="00DA11C6"/>
    <w:rsid w:val="00DA19EB"/>
    <w:rsid w:val="00DA1A7C"/>
    <w:rsid w:val="00DA2730"/>
    <w:rsid w:val="00DA2844"/>
    <w:rsid w:val="00DA4720"/>
    <w:rsid w:val="00DA52C8"/>
    <w:rsid w:val="00DA6DFA"/>
    <w:rsid w:val="00DB17D1"/>
    <w:rsid w:val="00DB2919"/>
    <w:rsid w:val="00DB35D1"/>
    <w:rsid w:val="00DB3CF9"/>
    <w:rsid w:val="00DB4143"/>
    <w:rsid w:val="00DB4BCE"/>
    <w:rsid w:val="00DB4F5C"/>
    <w:rsid w:val="00DB6223"/>
    <w:rsid w:val="00DB7428"/>
    <w:rsid w:val="00DC1BE7"/>
    <w:rsid w:val="00DC24B2"/>
    <w:rsid w:val="00DC3EB3"/>
    <w:rsid w:val="00DC42B5"/>
    <w:rsid w:val="00DC4BC5"/>
    <w:rsid w:val="00DC5412"/>
    <w:rsid w:val="00DC695C"/>
    <w:rsid w:val="00DC7F20"/>
    <w:rsid w:val="00DD01C3"/>
    <w:rsid w:val="00DD1173"/>
    <w:rsid w:val="00DD171C"/>
    <w:rsid w:val="00DD17C4"/>
    <w:rsid w:val="00DD5527"/>
    <w:rsid w:val="00DD6ACF"/>
    <w:rsid w:val="00DE0228"/>
    <w:rsid w:val="00DE0BFF"/>
    <w:rsid w:val="00DE1997"/>
    <w:rsid w:val="00DE3AFC"/>
    <w:rsid w:val="00DE3E2F"/>
    <w:rsid w:val="00DE422B"/>
    <w:rsid w:val="00DE49F1"/>
    <w:rsid w:val="00DE4D40"/>
    <w:rsid w:val="00DE54B2"/>
    <w:rsid w:val="00DE7448"/>
    <w:rsid w:val="00DE795C"/>
    <w:rsid w:val="00DF0951"/>
    <w:rsid w:val="00DF1D45"/>
    <w:rsid w:val="00DF3419"/>
    <w:rsid w:val="00DF5C81"/>
    <w:rsid w:val="00DF700C"/>
    <w:rsid w:val="00DF7106"/>
    <w:rsid w:val="00DF7C99"/>
    <w:rsid w:val="00E00411"/>
    <w:rsid w:val="00E00672"/>
    <w:rsid w:val="00E00EE4"/>
    <w:rsid w:val="00E0264C"/>
    <w:rsid w:val="00E02C45"/>
    <w:rsid w:val="00E03078"/>
    <w:rsid w:val="00E03308"/>
    <w:rsid w:val="00E03D90"/>
    <w:rsid w:val="00E046CF"/>
    <w:rsid w:val="00E046E0"/>
    <w:rsid w:val="00E055C5"/>
    <w:rsid w:val="00E05C8D"/>
    <w:rsid w:val="00E06134"/>
    <w:rsid w:val="00E07128"/>
    <w:rsid w:val="00E0777E"/>
    <w:rsid w:val="00E07885"/>
    <w:rsid w:val="00E11307"/>
    <w:rsid w:val="00E116A4"/>
    <w:rsid w:val="00E118B9"/>
    <w:rsid w:val="00E127EC"/>
    <w:rsid w:val="00E127F6"/>
    <w:rsid w:val="00E12950"/>
    <w:rsid w:val="00E12D2A"/>
    <w:rsid w:val="00E13A2B"/>
    <w:rsid w:val="00E1411D"/>
    <w:rsid w:val="00E1417B"/>
    <w:rsid w:val="00E1770B"/>
    <w:rsid w:val="00E23ABE"/>
    <w:rsid w:val="00E24C96"/>
    <w:rsid w:val="00E25808"/>
    <w:rsid w:val="00E261B0"/>
    <w:rsid w:val="00E26CCA"/>
    <w:rsid w:val="00E27498"/>
    <w:rsid w:val="00E27C01"/>
    <w:rsid w:val="00E30488"/>
    <w:rsid w:val="00E30758"/>
    <w:rsid w:val="00E31D5B"/>
    <w:rsid w:val="00E3218B"/>
    <w:rsid w:val="00E32A95"/>
    <w:rsid w:val="00E32F6B"/>
    <w:rsid w:val="00E33EA6"/>
    <w:rsid w:val="00E34304"/>
    <w:rsid w:val="00E343AE"/>
    <w:rsid w:val="00E347D6"/>
    <w:rsid w:val="00E348EF"/>
    <w:rsid w:val="00E35262"/>
    <w:rsid w:val="00E35EFE"/>
    <w:rsid w:val="00E36AA6"/>
    <w:rsid w:val="00E3746A"/>
    <w:rsid w:val="00E37722"/>
    <w:rsid w:val="00E40B77"/>
    <w:rsid w:val="00E40CEA"/>
    <w:rsid w:val="00E41FA1"/>
    <w:rsid w:val="00E420DB"/>
    <w:rsid w:val="00E4315C"/>
    <w:rsid w:val="00E43553"/>
    <w:rsid w:val="00E444BB"/>
    <w:rsid w:val="00E471D6"/>
    <w:rsid w:val="00E47539"/>
    <w:rsid w:val="00E50A00"/>
    <w:rsid w:val="00E51280"/>
    <w:rsid w:val="00E537A9"/>
    <w:rsid w:val="00E53EA3"/>
    <w:rsid w:val="00E54D8B"/>
    <w:rsid w:val="00E57D19"/>
    <w:rsid w:val="00E605D8"/>
    <w:rsid w:val="00E60D35"/>
    <w:rsid w:val="00E60DE2"/>
    <w:rsid w:val="00E612E3"/>
    <w:rsid w:val="00E6523E"/>
    <w:rsid w:val="00E6556A"/>
    <w:rsid w:val="00E66BF5"/>
    <w:rsid w:val="00E71838"/>
    <w:rsid w:val="00E72235"/>
    <w:rsid w:val="00E7267B"/>
    <w:rsid w:val="00E753CA"/>
    <w:rsid w:val="00E75733"/>
    <w:rsid w:val="00E808A0"/>
    <w:rsid w:val="00E82697"/>
    <w:rsid w:val="00E82975"/>
    <w:rsid w:val="00E837EA"/>
    <w:rsid w:val="00E8477E"/>
    <w:rsid w:val="00E85F2B"/>
    <w:rsid w:val="00E90F2A"/>
    <w:rsid w:val="00E92DE7"/>
    <w:rsid w:val="00E93771"/>
    <w:rsid w:val="00E94666"/>
    <w:rsid w:val="00E94B91"/>
    <w:rsid w:val="00E95522"/>
    <w:rsid w:val="00E96054"/>
    <w:rsid w:val="00E9636C"/>
    <w:rsid w:val="00E97ACB"/>
    <w:rsid w:val="00EA2866"/>
    <w:rsid w:val="00EA4B44"/>
    <w:rsid w:val="00EA533B"/>
    <w:rsid w:val="00EA6D6C"/>
    <w:rsid w:val="00EB10F3"/>
    <w:rsid w:val="00EB55B6"/>
    <w:rsid w:val="00EC4A2A"/>
    <w:rsid w:val="00ED179C"/>
    <w:rsid w:val="00ED1C6D"/>
    <w:rsid w:val="00ED2BA8"/>
    <w:rsid w:val="00ED2F94"/>
    <w:rsid w:val="00ED45D8"/>
    <w:rsid w:val="00ED6BD3"/>
    <w:rsid w:val="00ED73C8"/>
    <w:rsid w:val="00ED7666"/>
    <w:rsid w:val="00ED77E9"/>
    <w:rsid w:val="00EE0121"/>
    <w:rsid w:val="00EE2B43"/>
    <w:rsid w:val="00EE4AB9"/>
    <w:rsid w:val="00EF1AF3"/>
    <w:rsid w:val="00EF2E6D"/>
    <w:rsid w:val="00EF32BB"/>
    <w:rsid w:val="00EF5799"/>
    <w:rsid w:val="00EF660E"/>
    <w:rsid w:val="00F036D5"/>
    <w:rsid w:val="00F07C4E"/>
    <w:rsid w:val="00F07EF3"/>
    <w:rsid w:val="00F10075"/>
    <w:rsid w:val="00F11B2E"/>
    <w:rsid w:val="00F134D7"/>
    <w:rsid w:val="00F1415F"/>
    <w:rsid w:val="00F212F9"/>
    <w:rsid w:val="00F215EF"/>
    <w:rsid w:val="00F217DB"/>
    <w:rsid w:val="00F22494"/>
    <w:rsid w:val="00F23B82"/>
    <w:rsid w:val="00F26B14"/>
    <w:rsid w:val="00F272E0"/>
    <w:rsid w:val="00F273A8"/>
    <w:rsid w:val="00F27B49"/>
    <w:rsid w:val="00F31022"/>
    <w:rsid w:val="00F3138A"/>
    <w:rsid w:val="00F32747"/>
    <w:rsid w:val="00F32853"/>
    <w:rsid w:val="00F3384D"/>
    <w:rsid w:val="00F3384F"/>
    <w:rsid w:val="00F340ED"/>
    <w:rsid w:val="00F34759"/>
    <w:rsid w:val="00F34BE2"/>
    <w:rsid w:val="00F350D7"/>
    <w:rsid w:val="00F36507"/>
    <w:rsid w:val="00F4002E"/>
    <w:rsid w:val="00F4036E"/>
    <w:rsid w:val="00F4358A"/>
    <w:rsid w:val="00F445C5"/>
    <w:rsid w:val="00F455FB"/>
    <w:rsid w:val="00F46AEA"/>
    <w:rsid w:val="00F5088B"/>
    <w:rsid w:val="00F50B04"/>
    <w:rsid w:val="00F52724"/>
    <w:rsid w:val="00F52E60"/>
    <w:rsid w:val="00F52F3C"/>
    <w:rsid w:val="00F53A91"/>
    <w:rsid w:val="00F53CF0"/>
    <w:rsid w:val="00F5527B"/>
    <w:rsid w:val="00F554DE"/>
    <w:rsid w:val="00F56C20"/>
    <w:rsid w:val="00F56C40"/>
    <w:rsid w:val="00F57354"/>
    <w:rsid w:val="00F626DE"/>
    <w:rsid w:val="00F63437"/>
    <w:rsid w:val="00F63499"/>
    <w:rsid w:val="00F639BE"/>
    <w:rsid w:val="00F63A16"/>
    <w:rsid w:val="00F65C40"/>
    <w:rsid w:val="00F65F32"/>
    <w:rsid w:val="00F703E3"/>
    <w:rsid w:val="00F70487"/>
    <w:rsid w:val="00F71963"/>
    <w:rsid w:val="00F71FEE"/>
    <w:rsid w:val="00F7287C"/>
    <w:rsid w:val="00F73708"/>
    <w:rsid w:val="00F73A89"/>
    <w:rsid w:val="00F76B20"/>
    <w:rsid w:val="00F815A8"/>
    <w:rsid w:val="00F81653"/>
    <w:rsid w:val="00F821C6"/>
    <w:rsid w:val="00F82D70"/>
    <w:rsid w:val="00F8304C"/>
    <w:rsid w:val="00F84476"/>
    <w:rsid w:val="00F84A6F"/>
    <w:rsid w:val="00F84EBC"/>
    <w:rsid w:val="00F90048"/>
    <w:rsid w:val="00F906E2"/>
    <w:rsid w:val="00F92B25"/>
    <w:rsid w:val="00F94FAC"/>
    <w:rsid w:val="00F956A0"/>
    <w:rsid w:val="00F95BE0"/>
    <w:rsid w:val="00F963A1"/>
    <w:rsid w:val="00FA2262"/>
    <w:rsid w:val="00FA23F9"/>
    <w:rsid w:val="00FA29D7"/>
    <w:rsid w:val="00FA2DB9"/>
    <w:rsid w:val="00FA31E8"/>
    <w:rsid w:val="00FA3858"/>
    <w:rsid w:val="00FA5150"/>
    <w:rsid w:val="00FA5B0C"/>
    <w:rsid w:val="00FA63F8"/>
    <w:rsid w:val="00FA7810"/>
    <w:rsid w:val="00FB012C"/>
    <w:rsid w:val="00FB05E2"/>
    <w:rsid w:val="00FB198D"/>
    <w:rsid w:val="00FB3220"/>
    <w:rsid w:val="00FB3900"/>
    <w:rsid w:val="00FB3F0E"/>
    <w:rsid w:val="00FB48E1"/>
    <w:rsid w:val="00FC4E78"/>
    <w:rsid w:val="00FC7545"/>
    <w:rsid w:val="00FD018A"/>
    <w:rsid w:val="00FD774A"/>
    <w:rsid w:val="00FE0B8C"/>
    <w:rsid w:val="00FE0E26"/>
    <w:rsid w:val="00FE124B"/>
    <w:rsid w:val="00FE57E3"/>
    <w:rsid w:val="00FE59CB"/>
    <w:rsid w:val="00FE69B8"/>
    <w:rsid w:val="00FE6D7C"/>
    <w:rsid w:val="00FE77E1"/>
    <w:rsid w:val="00FF0251"/>
    <w:rsid w:val="00FF10AE"/>
    <w:rsid w:val="00FF2BCF"/>
    <w:rsid w:val="00FF2CBF"/>
    <w:rsid w:val="00FF3A68"/>
    <w:rsid w:val="00FF3B0C"/>
    <w:rsid w:val="00FF7A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4FCB488"/>
  <w15:docId w15:val="{5C9906FD-2848-421B-8AE3-C691595E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A5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Zoe">
    <w:name w:val="Zoe"/>
    <w:basedOn w:val="TableColorful3"/>
    <w:uiPriority w:val="99"/>
    <w:rsid w:val="00745885"/>
    <w:tblPr>
      <w:jc w:val="center"/>
    </w:tblPr>
    <w:trPr>
      <w:jc w:val="center"/>
    </w:trPr>
    <w:tcPr>
      <w:shd w:val="pct30"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orful3">
    <w:name w:val="Table Colorful 3"/>
    <w:basedOn w:val="TableNormal"/>
    <w:uiPriority w:val="99"/>
    <w:rsid w:val="00745885"/>
    <w:pPr>
      <w:spacing w:after="0" w:line="240"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Default">
    <w:name w:val="Default"/>
    <w:rsid w:val="00C23DF1"/>
    <w:pPr>
      <w:autoSpaceDE w:val="0"/>
      <w:autoSpaceDN w:val="0"/>
      <w:adjustRightInd w:val="0"/>
      <w:spacing w:after="0" w:line="240" w:lineRule="auto"/>
    </w:pPr>
    <w:rPr>
      <w:color w:val="000000"/>
      <w:sz w:val="24"/>
      <w:szCs w:val="24"/>
    </w:rPr>
  </w:style>
  <w:style w:type="character" w:customStyle="1" w:styleId="EmailStyle18">
    <w:name w:val="EmailStyle18"/>
    <w:basedOn w:val="DefaultParagraphFont"/>
    <w:uiPriority w:val="99"/>
    <w:rsid w:val="00303121"/>
    <w:rPr>
      <w:rFonts w:ascii="Arial" w:hAnsi="Arial" w:cs="Arial"/>
      <w:color w:val="000000"/>
      <w:sz w:val="20"/>
      <w:szCs w:val="20"/>
    </w:rPr>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numbered,リスト段落1,列出段落,列出段落1"/>
    <w:basedOn w:val="Normal"/>
    <w:link w:val="ListParagraphChar"/>
    <w:uiPriority w:val="34"/>
    <w:qFormat/>
    <w:rsid w:val="00105A59"/>
    <w:pPr>
      <w:ind w:left="720"/>
      <w:contextualSpacing/>
    </w:pPr>
  </w:style>
  <w:style w:type="character" w:styleId="CommentReference">
    <w:name w:val="annotation reference"/>
    <w:basedOn w:val="DefaultParagraphFont"/>
    <w:uiPriority w:val="99"/>
    <w:rsid w:val="00CB0E88"/>
    <w:rPr>
      <w:rFonts w:cs="Times New Roman"/>
      <w:sz w:val="16"/>
      <w:szCs w:val="16"/>
    </w:rPr>
  </w:style>
  <w:style w:type="character" w:styleId="Hyperlink">
    <w:name w:val="Hyperlink"/>
    <w:basedOn w:val="DefaultParagraphFont"/>
    <w:uiPriority w:val="99"/>
    <w:rsid w:val="00082AA4"/>
    <w:rPr>
      <w:rFonts w:cs="Times New Roman"/>
      <w:color w:val="0000FF"/>
      <w:u w:val="single"/>
    </w:rPr>
  </w:style>
  <w:style w:type="paragraph" w:styleId="NormalWeb">
    <w:name w:val="Normal (Web)"/>
    <w:basedOn w:val="Normal"/>
    <w:uiPriority w:val="99"/>
    <w:rsid w:val="00082AA4"/>
    <w:pPr>
      <w:spacing w:before="100" w:beforeAutospacing="1" w:after="100" w:afterAutospacing="1"/>
    </w:pPr>
  </w:style>
  <w:style w:type="character" w:styleId="Emphasis">
    <w:name w:val="Emphasis"/>
    <w:basedOn w:val="DefaultParagraphFont"/>
    <w:uiPriority w:val="99"/>
    <w:qFormat/>
    <w:rsid w:val="00082AA4"/>
    <w:rPr>
      <w:rFonts w:cs="Times New Roman"/>
      <w:i/>
      <w:iCs/>
    </w:rPr>
  </w:style>
  <w:style w:type="paragraph" w:styleId="CommentText">
    <w:name w:val="annotation text"/>
    <w:basedOn w:val="Normal"/>
    <w:link w:val="CommentTextChar"/>
    <w:uiPriority w:val="99"/>
    <w:rsid w:val="00B32E33"/>
    <w:rPr>
      <w:sz w:val="20"/>
      <w:szCs w:val="20"/>
    </w:rPr>
  </w:style>
  <w:style w:type="character" w:customStyle="1" w:styleId="CommentTextChar">
    <w:name w:val="Comment Text Char"/>
    <w:basedOn w:val="DefaultParagraphFont"/>
    <w:link w:val="CommentText"/>
    <w:uiPriority w:val="99"/>
    <w:locked/>
    <w:rsid w:val="00B32E33"/>
    <w:rPr>
      <w:rFonts w:cs="Times New Roman"/>
    </w:rPr>
  </w:style>
  <w:style w:type="paragraph" w:styleId="CommentSubject">
    <w:name w:val="annotation subject"/>
    <w:basedOn w:val="CommentText"/>
    <w:next w:val="CommentText"/>
    <w:link w:val="CommentSubjectChar"/>
    <w:uiPriority w:val="99"/>
    <w:rsid w:val="00B32E33"/>
    <w:rPr>
      <w:b/>
      <w:bCs/>
    </w:rPr>
  </w:style>
  <w:style w:type="character" w:customStyle="1" w:styleId="CommentSubjectChar">
    <w:name w:val="Comment Subject Char"/>
    <w:basedOn w:val="CommentTextChar"/>
    <w:link w:val="CommentSubject"/>
    <w:uiPriority w:val="99"/>
    <w:locked/>
    <w:rsid w:val="00B32E33"/>
    <w:rPr>
      <w:rFonts w:cs="Times New Roman"/>
      <w:b/>
      <w:bCs/>
    </w:rPr>
  </w:style>
  <w:style w:type="paragraph" w:styleId="BalloonText">
    <w:name w:val="Balloon Text"/>
    <w:basedOn w:val="Normal"/>
    <w:link w:val="BalloonTextChar"/>
    <w:uiPriority w:val="99"/>
    <w:rsid w:val="00B32E33"/>
    <w:rPr>
      <w:rFonts w:ascii="Tahoma" w:hAnsi="Tahoma" w:cs="Tahoma"/>
      <w:sz w:val="16"/>
      <w:szCs w:val="16"/>
    </w:rPr>
  </w:style>
  <w:style w:type="character" w:customStyle="1" w:styleId="BalloonTextChar">
    <w:name w:val="Balloon Text Char"/>
    <w:basedOn w:val="DefaultParagraphFont"/>
    <w:link w:val="BalloonText"/>
    <w:uiPriority w:val="99"/>
    <w:locked/>
    <w:rsid w:val="00B32E33"/>
    <w:rPr>
      <w:rFonts w:ascii="Tahoma" w:hAnsi="Tahoma" w:cs="Tahoma"/>
      <w:sz w:val="16"/>
      <w:szCs w:val="16"/>
    </w:rPr>
  </w:style>
  <w:style w:type="paragraph" w:styleId="Footer">
    <w:name w:val="footer"/>
    <w:basedOn w:val="Normal"/>
    <w:link w:val="FooterChar"/>
    <w:uiPriority w:val="99"/>
    <w:rsid w:val="0028494E"/>
    <w:pPr>
      <w:tabs>
        <w:tab w:val="center" w:pos="4153"/>
        <w:tab w:val="right" w:pos="8306"/>
      </w:tabs>
    </w:pPr>
  </w:style>
  <w:style w:type="character" w:customStyle="1" w:styleId="FooterChar">
    <w:name w:val="Footer Char"/>
    <w:basedOn w:val="DefaultParagraphFont"/>
    <w:link w:val="Footer"/>
    <w:uiPriority w:val="99"/>
    <w:semiHidden/>
    <w:locked/>
    <w:rsid w:val="0042606D"/>
    <w:rPr>
      <w:rFonts w:cs="Times New Roman"/>
      <w:sz w:val="24"/>
      <w:szCs w:val="24"/>
    </w:rPr>
  </w:style>
  <w:style w:type="character" w:styleId="PageNumber">
    <w:name w:val="page number"/>
    <w:basedOn w:val="DefaultParagraphFont"/>
    <w:uiPriority w:val="99"/>
    <w:rsid w:val="0028494E"/>
    <w:rPr>
      <w:rFonts w:cs="Times New Roman"/>
    </w:rPr>
  </w:style>
  <w:style w:type="paragraph" w:styleId="Revision">
    <w:name w:val="Revision"/>
    <w:hidden/>
    <w:uiPriority w:val="99"/>
    <w:semiHidden/>
    <w:rsid w:val="00652CF5"/>
    <w:pPr>
      <w:spacing w:after="0" w:line="240" w:lineRule="auto"/>
    </w:pPr>
    <w:rPr>
      <w:sz w:val="24"/>
      <w:szCs w:val="24"/>
    </w:rPr>
  </w:style>
  <w:style w:type="paragraph" w:customStyle="1" w:styleId="bullet">
    <w:name w:val="bullet"/>
    <w:basedOn w:val="Normal"/>
    <w:rsid w:val="00353210"/>
    <w:pPr>
      <w:spacing w:before="100" w:beforeAutospacing="1" w:after="100" w:afterAutospacing="1"/>
    </w:pPr>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link w:val="ListParagraph"/>
    <w:uiPriority w:val="34"/>
    <w:locked/>
    <w:rsid w:val="00F212F9"/>
    <w:rPr>
      <w:sz w:val="24"/>
      <w:szCs w:val="24"/>
    </w:rPr>
  </w:style>
  <w:style w:type="paragraph" w:customStyle="1" w:styleId="paragraphsub">
    <w:name w:val="paragraph(sub)"/>
    <w:aliases w:val="aa"/>
    <w:basedOn w:val="Normal"/>
    <w:rsid w:val="00935BBA"/>
    <w:pPr>
      <w:tabs>
        <w:tab w:val="right" w:pos="1985"/>
      </w:tabs>
      <w:spacing w:before="40"/>
      <w:ind w:left="2098" w:hanging="2098"/>
    </w:pPr>
    <w:rPr>
      <w:sz w:val="22"/>
      <w:szCs w:val="20"/>
    </w:rPr>
  </w:style>
  <w:style w:type="paragraph" w:customStyle="1" w:styleId="paragraph">
    <w:name w:val="paragraph"/>
    <w:aliases w:val="a"/>
    <w:basedOn w:val="Normal"/>
    <w:rsid w:val="00935BBA"/>
    <w:pPr>
      <w:tabs>
        <w:tab w:val="right" w:pos="1531"/>
      </w:tabs>
      <w:spacing w:before="40"/>
      <w:ind w:left="1644" w:hanging="1644"/>
    </w:pPr>
    <w:rPr>
      <w:sz w:val="22"/>
      <w:szCs w:val="20"/>
    </w:rPr>
  </w:style>
  <w:style w:type="paragraph" w:customStyle="1" w:styleId="ActHead7">
    <w:name w:val="ActHead 7"/>
    <w:aliases w:val="ap"/>
    <w:basedOn w:val="Normal"/>
    <w:next w:val="Normal"/>
    <w:qFormat/>
    <w:rsid w:val="003609CF"/>
    <w:pPr>
      <w:keepNext/>
      <w:keepLines/>
      <w:spacing w:before="280"/>
      <w:ind w:left="1134" w:hanging="1134"/>
      <w:outlineLvl w:val="6"/>
    </w:pPr>
    <w:rPr>
      <w:rFonts w:ascii="Arial" w:hAnsi="Arial"/>
      <w:b/>
      <w:kern w:val="28"/>
      <w:sz w:val="28"/>
      <w:szCs w:val="20"/>
    </w:rPr>
  </w:style>
  <w:style w:type="character" w:customStyle="1" w:styleId="CharAmPartNo">
    <w:name w:val="CharAmPartNo"/>
    <w:basedOn w:val="DefaultParagraphFont"/>
    <w:qFormat/>
    <w:rsid w:val="003609CF"/>
  </w:style>
  <w:style w:type="character" w:customStyle="1" w:styleId="CharAmPartText">
    <w:name w:val="CharAmPartText"/>
    <w:basedOn w:val="DefaultParagraphFont"/>
    <w:qFormat/>
    <w:rsid w:val="003609CF"/>
  </w:style>
  <w:style w:type="paragraph" w:customStyle="1" w:styleId="acthead2">
    <w:name w:val="acthead2"/>
    <w:basedOn w:val="Normal"/>
    <w:rsid w:val="00787B5F"/>
    <w:pPr>
      <w:spacing w:before="100" w:beforeAutospacing="1" w:after="100" w:afterAutospacing="1"/>
    </w:pPr>
  </w:style>
  <w:style w:type="character" w:customStyle="1" w:styleId="charpartno">
    <w:name w:val="charpartno"/>
    <w:basedOn w:val="DefaultParagraphFont"/>
    <w:rsid w:val="00787B5F"/>
  </w:style>
  <w:style w:type="character" w:customStyle="1" w:styleId="charparttext">
    <w:name w:val="charparttext"/>
    <w:basedOn w:val="DefaultParagraphFont"/>
    <w:rsid w:val="00787B5F"/>
  </w:style>
  <w:style w:type="paragraph" w:customStyle="1" w:styleId="acthead3">
    <w:name w:val="acthead3"/>
    <w:basedOn w:val="Normal"/>
    <w:rsid w:val="00787B5F"/>
    <w:pPr>
      <w:spacing w:before="100" w:beforeAutospacing="1" w:after="100" w:afterAutospacing="1"/>
    </w:pPr>
  </w:style>
  <w:style w:type="character" w:customStyle="1" w:styleId="chardivno">
    <w:name w:val="chardivno"/>
    <w:basedOn w:val="DefaultParagraphFont"/>
    <w:rsid w:val="00787B5F"/>
  </w:style>
  <w:style w:type="character" w:customStyle="1" w:styleId="chardivtext">
    <w:name w:val="chardivtext"/>
    <w:basedOn w:val="DefaultParagraphFont"/>
    <w:rsid w:val="00787B5F"/>
  </w:style>
  <w:style w:type="paragraph" w:customStyle="1" w:styleId="acthead5">
    <w:name w:val="acthead5"/>
    <w:basedOn w:val="Normal"/>
    <w:rsid w:val="00787B5F"/>
    <w:pPr>
      <w:spacing w:before="100" w:beforeAutospacing="1" w:after="100" w:afterAutospacing="1"/>
    </w:pPr>
  </w:style>
  <w:style w:type="character" w:customStyle="1" w:styleId="charsectno">
    <w:name w:val="charsectno"/>
    <w:basedOn w:val="DefaultParagraphFont"/>
    <w:rsid w:val="00787B5F"/>
  </w:style>
  <w:style w:type="paragraph" w:customStyle="1" w:styleId="subsection">
    <w:name w:val="subsection"/>
    <w:basedOn w:val="Normal"/>
    <w:rsid w:val="00787B5F"/>
    <w:pPr>
      <w:spacing w:before="100" w:beforeAutospacing="1" w:after="100" w:afterAutospacing="1"/>
    </w:pPr>
  </w:style>
  <w:style w:type="paragraph" w:styleId="Header">
    <w:name w:val="header"/>
    <w:basedOn w:val="Normal"/>
    <w:link w:val="HeaderChar"/>
    <w:uiPriority w:val="99"/>
    <w:unhideWhenUsed/>
    <w:rsid w:val="00BE1916"/>
    <w:pPr>
      <w:tabs>
        <w:tab w:val="center" w:pos="4513"/>
        <w:tab w:val="right" w:pos="9026"/>
      </w:tabs>
    </w:pPr>
  </w:style>
  <w:style w:type="character" w:customStyle="1" w:styleId="HeaderChar">
    <w:name w:val="Header Char"/>
    <w:basedOn w:val="DefaultParagraphFont"/>
    <w:link w:val="Header"/>
    <w:uiPriority w:val="99"/>
    <w:rsid w:val="00BE1916"/>
    <w:rPr>
      <w:sz w:val="24"/>
      <w:szCs w:val="24"/>
    </w:rPr>
  </w:style>
  <w:style w:type="paragraph" w:styleId="BodyText">
    <w:name w:val="Body Text"/>
    <w:basedOn w:val="Normal"/>
    <w:link w:val="BodyTextChar"/>
    <w:uiPriority w:val="1"/>
    <w:qFormat/>
    <w:rsid w:val="004C0BFA"/>
    <w:pPr>
      <w:widowControl w:val="0"/>
      <w:spacing w:before="143"/>
      <w:ind w:left="118"/>
    </w:pPr>
    <w:rPr>
      <w:rFonts w:cstheme="minorBidi"/>
      <w:lang w:val="en-US" w:eastAsia="en-US"/>
    </w:rPr>
  </w:style>
  <w:style w:type="character" w:customStyle="1" w:styleId="BodyTextChar">
    <w:name w:val="Body Text Char"/>
    <w:basedOn w:val="DefaultParagraphFont"/>
    <w:link w:val="BodyText"/>
    <w:uiPriority w:val="1"/>
    <w:rsid w:val="004C0BFA"/>
    <w:rPr>
      <w:rFonts w:cstheme="minorBid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70745">
      <w:bodyDiv w:val="1"/>
      <w:marLeft w:val="0"/>
      <w:marRight w:val="0"/>
      <w:marTop w:val="0"/>
      <w:marBottom w:val="0"/>
      <w:divBdr>
        <w:top w:val="none" w:sz="0" w:space="0" w:color="auto"/>
        <w:left w:val="none" w:sz="0" w:space="0" w:color="auto"/>
        <w:bottom w:val="none" w:sz="0" w:space="0" w:color="auto"/>
        <w:right w:val="none" w:sz="0" w:space="0" w:color="auto"/>
      </w:divBdr>
      <w:divsChild>
        <w:div w:id="1568229361">
          <w:marLeft w:val="0"/>
          <w:marRight w:val="0"/>
          <w:marTop w:val="0"/>
          <w:marBottom w:val="0"/>
          <w:divBdr>
            <w:top w:val="none" w:sz="0" w:space="0" w:color="auto"/>
            <w:left w:val="none" w:sz="0" w:space="0" w:color="auto"/>
            <w:bottom w:val="none" w:sz="0" w:space="0" w:color="auto"/>
            <w:right w:val="none" w:sz="0" w:space="0" w:color="auto"/>
          </w:divBdr>
          <w:divsChild>
            <w:div w:id="348872853">
              <w:marLeft w:val="0"/>
              <w:marRight w:val="0"/>
              <w:marTop w:val="0"/>
              <w:marBottom w:val="0"/>
              <w:divBdr>
                <w:top w:val="none" w:sz="0" w:space="0" w:color="auto"/>
                <w:left w:val="none" w:sz="0" w:space="0" w:color="auto"/>
                <w:bottom w:val="none" w:sz="0" w:space="0" w:color="auto"/>
                <w:right w:val="none" w:sz="0" w:space="0" w:color="auto"/>
              </w:divBdr>
              <w:divsChild>
                <w:div w:id="1595549085">
                  <w:marLeft w:val="0"/>
                  <w:marRight w:val="0"/>
                  <w:marTop w:val="0"/>
                  <w:marBottom w:val="0"/>
                  <w:divBdr>
                    <w:top w:val="none" w:sz="0" w:space="0" w:color="auto"/>
                    <w:left w:val="none" w:sz="0" w:space="0" w:color="auto"/>
                    <w:bottom w:val="none" w:sz="0" w:space="0" w:color="auto"/>
                    <w:right w:val="none" w:sz="0" w:space="0" w:color="auto"/>
                  </w:divBdr>
                  <w:divsChild>
                    <w:div w:id="1030493425">
                      <w:marLeft w:val="0"/>
                      <w:marRight w:val="0"/>
                      <w:marTop w:val="0"/>
                      <w:marBottom w:val="0"/>
                      <w:divBdr>
                        <w:top w:val="none" w:sz="0" w:space="0" w:color="auto"/>
                        <w:left w:val="none" w:sz="0" w:space="0" w:color="auto"/>
                        <w:bottom w:val="none" w:sz="0" w:space="0" w:color="auto"/>
                        <w:right w:val="none" w:sz="0" w:space="0" w:color="auto"/>
                      </w:divBdr>
                      <w:divsChild>
                        <w:div w:id="1928463242">
                          <w:marLeft w:val="0"/>
                          <w:marRight w:val="0"/>
                          <w:marTop w:val="0"/>
                          <w:marBottom w:val="0"/>
                          <w:divBdr>
                            <w:top w:val="none" w:sz="0" w:space="0" w:color="auto"/>
                            <w:left w:val="none" w:sz="0" w:space="0" w:color="auto"/>
                            <w:bottom w:val="none" w:sz="0" w:space="0" w:color="auto"/>
                            <w:right w:val="none" w:sz="0" w:space="0" w:color="auto"/>
                          </w:divBdr>
                          <w:divsChild>
                            <w:div w:id="63066531">
                              <w:marLeft w:val="0"/>
                              <w:marRight w:val="0"/>
                              <w:marTop w:val="0"/>
                              <w:marBottom w:val="0"/>
                              <w:divBdr>
                                <w:top w:val="none" w:sz="0" w:space="0" w:color="auto"/>
                                <w:left w:val="none" w:sz="0" w:space="0" w:color="auto"/>
                                <w:bottom w:val="none" w:sz="0" w:space="0" w:color="auto"/>
                                <w:right w:val="none" w:sz="0" w:space="0" w:color="auto"/>
                              </w:divBdr>
                              <w:divsChild>
                                <w:div w:id="1423530921">
                                  <w:marLeft w:val="0"/>
                                  <w:marRight w:val="0"/>
                                  <w:marTop w:val="0"/>
                                  <w:marBottom w:val="0"/>
                                  <w:divBdr>
                                    <w:top w:val="none" w:sz="0" w:space="0" w:color="auto"/>
                                    <w:left w:val="none" w:sz="0" w:space="0" w:color="auto"/>
                                    <w:bottom w:val="none" w:sz="0" w:space="0" w:color="auto"/>
                                    <w:right w:val="none" w:sz="0" w:space="0" w:color="auto"/>
                                  </w:divBdr>
                                  <w:divsChild>
                                    <w:div w:id="1667509403">
                                      <w:marLeft w:val="0"/>
                                      <w:marRight w:val="0"/>
                                      <w:marTop w:val="0"/>
                                      <w:marBottom w:val="0"/>
                                      <w:divBdr>
                                        <w:top w:val="none" w:sz="0" w:space="0" w:color="auto"/>
                                        <w:left w:val="none" w:sz="0" w:space="0" w:color="auto"/>
                                        <w:bottom w:val="none" w:sz="0" w:space="0" w:color="auto"/>
                                        <w:right w:val="none" w:sz="0" w:space="0" w:color="auto"/>
                                      </w:divBdr>
                                      <w:divsChild>
                                        <w:div w:id="1451048773">
                                          <w:marLeft w:val="0"/>
                                          <w:marRight w:val="0"/>
                                          <w:marTop w:val="0"/>
                                          <w:marBottom w:val="0"/>
                                          <w:divBdr>
                                            <w:top w:val="none" w:sz="0" w:space="0" w:color="auto"/>
                                            <w:left w:val="none" w:sz="0" w:space="0" w:color="auto"/>
                                            <w:bottom w:val="none" w:sz="0" w:space="0" w:color="auto"/>
                                            <w:right w:val="none" w:sz="0" w:space="0" w:color="auto"/>
                                          </w:divBdr>
                                          <w:divsChild>
                                            <w:div w:id="366375079">
                                              <w:marLeft w:val="0"/>
                                              <w:marRight w:val="0"/>
                                              <w:marTop w:val="0"/>
                                              <w:marBottom w:val="0"/>
                                              <w:divBdr>
                                                <w:top w:val="none" w:sz="0" w:space="0" w:color="auto"/>
                                                <w:left w:val="none" w:sz="0" w:space="0" w:color="auto"/>
                                                <w:bottom w:val="none" w:sz="0" w:space="0" w:color="auto"/>
                                                <w:right w:val="none" w:sz="0" w:space="0" w:color="auto"/>
                                              </w:divBdr>
                                              <w:divsChild>
                                                <w:div w:id="116028121">
                                                  <w:marLeft w:val="0"/>
                                                  <w:marRight w:val="0"/>
                                                  <w:marTop w:val="0"/>
                                                  <w:marBottom w:val="0"/>
                                                  <w:divBdr>
                                                    <w:top w:val="none" w:sz="0" w:space="0" w:color="auto"/>
                                                    <w:left w:val="none" w:sz="0" w:space="0" w:color="auto"/>
                                                    <w:bottom w:val="none" w:sz="0" w:space="0" w:color="auto"/>
                                                    <w:right w:val="none" w:sz="0" w:space="0" w:color="auto"/>
                                                  </w:divBdr>
                                                  <w:divsChild>
                                                    <w:div w:id="628165953">
                                                      <w:marLeft w:val="0"/>
                                                      <w:marRight w:val="0"/>
                                                      <w:marTop w:val="0"/>
                                                      <w:marBottom w:val="0"/>
                                                      <w:divBdr>
                                                        <w:top w:val="none" w:sz="0" w:space="0" w:color="auto"/>
                                                        <w:left w:val="none" w:sz="0" w:space="0" w:color="auto"/>
                                                        <w:bottom w:val="none" w:sz="0" w:space="0" w:color="auto"/>
                                                        <w:right w:val="none" w:sz="0" w:space="0" w:color="auto"/>
                                                      </w:divBdr>
                                                      <w:divsChild>
                                                        <w:div w:id="209639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9032131">
      <w:bodyDiv w:val="1"/>
      <w:marLeft w:val="0"/>
      <w:marRight w:val="0"/>
      <w:marTop w:val="0"/>
      <w:marBottom w:val="0"/>
      <w:divBdr>
        <w:top w:val="none" w:sz="0" w:space="0" w:color="auto"/>
        <w:left w:val="none" w:sz="0" w:space="0" w:color="auto"/>
        <w:bottom w:val="none" w:sz="0" w:space="0" w:color="auto"/>
        <w:right w:val="none" w:sz="0" w:space="0" w:color="auto"/>
      </w:divBdr>
      <w:divsChild>
        <w:div w:id="984166534">
          <w:marLeft w:val="0"/>
          <w:marRight w:val="0"/>
          <w:marTop w:val="0"/>
          <w:marBottom w:val="0"/>
          <w:divBdr>
            <w:top w:val="none" w:sz="0" w:space="0" w:color="auto"/>
            <w:left w:val="none" w:sz="0" w:space="0" w:color="auto"/>
            <w:bottom w:val="none" w:sz="0" w:space="0" w:color="auto"/>
            <w:right w:val="none" w:sz="0" w:space="0" w:color="auto"/>
          </w:divBdr>
          <w:divsChild>
            <w:div w:id="1597638758">
              <w:marLeft w:val="0"/>
              <w:marRight w:val="0"/>
              <w:marTop w:val="0"/>
              <w:marBottom w:val="0"/>
              <w:divBdr>
                <w:top w:val="none" w:sz="0" w:space="0" w:color="auto"/>
                <w:left w:val="none" w:sz="0" w:space="0" w:color="auto"/>
                <w:bottom w:val="none" w:sz="0" w:space="0" w:color="auto"/>
                <w:right w:val="none" w:sz="0" w:space="0" w:color="auto"/>
              </w:divBdr>
              <w:divsChild>
                <w:div w:id="1865443084">
                  <w:marLeft w:val="0"/>
                  <w:marRight w:val="0"/>
                  <w:marTop w:val="0"/>
                  <w:marBottom w:val="0"/>
                  <w:divBdr>
                    <w:top w:val="none" w:sz="0" w:space="0" w:color="auto"/>
                    <w:left w:val="none" w:sz="0" w:space="0" w:color="auto"/>
                    <w:bottom w:val="none" w:sz="0" w:space="0" w:color="auto"/>
                    <w:right w:val="none" w:sz="0" w:space="0" w:color="auto"/>
                  </w:divBdr>
                  <w:divsChild>
                    <w:div w:id="914752248">
                      <w:marLeft w:val="0"/>
                      <w:marRight w:val="0"/>
                      <w:marTop w:val="0"/>
                      <w:marBottom w:val="0"/>
                      <w:divBdr>
                        <w:top w:val="none" w:sz="0" w:space="0" w:color="auto"/>
                        <w:left w:val="none" w:sz="0" w:space="0" w:color="auto"/>
                        <w:bottom w:val="none" w:sz="0" w:space="0" w:color="auto"/>
                        <w:right w:val="none" w:sz="0" w:space="0" w:color="auto"/>
                      </w:divBdr>
                      <w:divsChild>
                        <w:div w:id="1829781116">
                          <w:marLeft w:val="0"/>
                          <w:marRight w:val="0"/>
                          <w:marTop w:val="0"/>
                          <w:marBottom w:val="0"/>
                          <w:divBdr>
                            <w:top w:val="single" w:sz="6" w:space="0" w:color="828282"/>
                            <w:left w:val="single" w:sz="6" w:space="0" w:color="828282"/>
                            <w:bottom w:val="single" w:sz="6" w:space="0" w:color="828282"/>
                            <w:right w:val="single" w:sz="6" w:space="0" w:color="828282"/>
                          </w:divBdr>
                          <w:divsChild>
                            <w:div w:id="1670406607">
                              <w:marLeft w:val="0"/>
                              <w:marRight w:val="0"/>
                              <w:marTop w:val="0"/>
                              <w:marBottom w:val="0"/>
                              <w:divBdr>
                                <w:top w:val="none" w:sz="0" w:space="0" w:color="auto"/>
                                <w:left w:val="none" w:sz="0" w:space="0" w:color="auto"/>
                                <w:bottom w:val="none" w:sz="0" w:space="0" w:color="auto"/>
                                <w:right w:val="none" w:sz="0" w:space="0" w:color="auto"/>
                              </w:divBdr>
                              <w:divsChild>
                                <w:div w:id="743574308">
                                  <w:marLeft w:val="0"/>
                                  <w:marRight w:val="0"/>
                                  <w:marTop w:val="0"/>
                                  <w:marBottom w:val="0"/>
                                  <w:divBdr>
                                    <w:top w:val="none" w:sz="0" w:space="0" w:color="auto"/>
                                    <w:left w:val="none" w:sz="0" w:space="0" w:color="auto"/>
                                    <w:bottom w:val="none" w:sz="0" w:space="0" w:color="auto"/>
                                    <w:right w:val="none" w:sz="0" w:space="0" w:color="auto"/>
                                  </w:divBdr>
                                  <w:divsChild>
                                    <w:div w:id="1068841057">
                                      <w:marLeft w:val="0"/>
                                      <w:marRight w:val="0"/>
                                      <w:marTop w:val="0"/>
                                      <w:marBottom w:val="0"/>
                                      <w:divBdr>
                                        <w:top w:val="none" w:sz="0" w:space="0" w:color="auto"/>
                                        <w:left w:val="none" w:sz="0" w:space="0" w:color="auto"/>
                                        <w:bottom w:val="none" w:sz="0" w:space="0" w:color="auto"/>
                                        <w:right w:val="none" w:sz="0" w:space="0" w:color="auto"/>
                                      </w:divBdr>
                                      <w:divsChild>
                                        <w:div w:id="2124420956">
                                          <w:marLeft w:val="0"/>
                                          <w:marRight w:val="0"/>
                                          <w:marTop w:val="0"/>
                                          <w:marBottom w:val="0"/>
                                          <w:divBdr>
                                            <w:top w:val="none" w:sz="0" w:space="0" w:color="auto"/>
                                            <w:left w:val="none" w:sz="0" w:space="0" w:color="auto"/>
                                            <w:bottom w:val="none" w:sz="0" w:space="0" w:color="auto"/>
                                            <w:right w:val="none" w:sz="0" w:space="0" w:color="auto"/>
                                          </w:divBdr>
                                          <w:divsChild>
                                            <w:div w:id="1408653565">
                                              <w:marLeft w:val="0"/>
                                              <w:marRight w:val="0"/>
                                              <w:marTop w:val="0"/>
                                              <w:marBottom w:val="0"/>
                                              <w:divBdr>
                                                <w:top w:val="none" w:sz="0" w:space="0" w:color="auto"/>
                                                <w:left w:val="none" w:sz="0" w:space="0" w:color="auto"/>
                                                <w:bottom w:val="none" w:sz="0" w:space="0" w:color="auto"/>
                                                <w:right w:val="none" w:sz="0" w:space="0" w:color="auto"/>
                                              </w:divBdr>
                                              <w:divsChild>
                                                <w:div w:id="40672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3800017">
      <w:bodyDiv w:val="1"/>
      <w:marLeft w:val="0"/>
      <w:marRight w:val="0"/>
      <w:marTop w:val="0"/>
      <w:marBottom w:val="0"/>
      <w:divBdr>
        <w:top w:val="none" w:sz="0" w:space="0" w:color="auto"/>
        <w:left w:val="none" w:sz="0" w:space="0" w:color="auto"/>
        <w:bottom w:val="none" w:sz="0" w:space="0" w:color="auto"/>
        <w:right w:val="none" w:sz="0" w:space="0" w:color="auto"/>
      </w:divBdr>
    </w:div>
    <w:div w:id="793134323">
      <w:bodyDiv w:val="1"/>
      <w:marLeft w:val="0"/>
      <w:marRight w:val="0"/>
      <w:marTop w:val="0"/>
      <w:marBottom w:val="0"/>
      <w:divBdr>
        <w:top w:val="none" w:sz="0" w:space="0" w:color="auto"/>
        <w:left w:val="none" w:sz="0" w:space="0" w:color="auto"/>
        <w:bottom w:val="none" w:sz="0" w:space="0" w:color="auto"/>
        <w:right w:val="none" w:sz="0" w:space="0" w:color="auto"/>
      </w:divBdr>
    </w:div>
    <w:div w:id="1065026795">
      <w:bodyDiv w:val="1"/>
      <w:marLeft w:val="0"/>
      <w:marRight w:val="0"/>
      <w:marTop w:val="0"/>
      <w:marBottom w:val="0"/>
      <w:divBdr>
        <w:top w:val="none" w:sz="0" w:space="0" w:color="auto"/>
        <w:left w:val="none" w:sz="0" w:space="0" w:color="auto"/>
        <w:bottom w:val="none" w:sz="0" w:space="0" w:color="auto"/>
        <w:right w:val="none" w:sz="0" w:space="0" w:color="auto"/>
      </w:divBdr>
    </w:div>
    <w:div w:id="1149905112">
      <w:marLeft w:val="0"/>
      <w:marRight w:val="0"/>
      <w:marTop w:val="0"/>
      <w:marBottom w:val="0"/>
      <w:divBdr>
        <w:top w:val="none" w:sz="0" w:space="0" w:color="auto"/>
        <w:left w:val="none" w:sz="0" w:space="0" w:color="auto"/>
        <w:bottom w:val="none" w:sz="0" w:space="0" w:color="auto"/>
        <w:right w:val="none" w:sz="0" w:space="0" w:color="auto"/>
      </w:divBdr>
    </w:div>
    <w:div w:id="1149905114">
      <w:marLeft w:val="0"/>
      <w:marRight w:val="0"/>
      <w:marTop w:val="0"/>
      <w:marBottom w:val="0"/>
      <w:divBdr>
        <w:top w:val="none" w:sz="0" w:space="0" w:color="auto"/>
        <w:left w:val="none" w:sz="0" w:space="0" w:color="auto"/>
        <w:bottom w:val="none" w:sz="0" w:space="0" w:color="auto"/>
        <w:right w:val="none" w:sz="0" w:space="0" w:color="auto"/>
      </w:divBdr>
      <w:divsChild>
        <w:div w:id="1149905096">
          <w:marLeft w:val="0"/>
          <w:marRight w:val="0"/>
          <w:marTop w:val="0"/>
          <w:marBottom w:val="0"/>
          <w:divBdr>
            <w:top w:val="none" w:sz="0" w:space="0" w:color="auto"/>
            <w:left w:val="none" w:sz="0" w:space="0" w:color="auto"/>
            <w:bottom w:val="none" w:sz="0" w:space="0" w:color="auto"/>
            <w:right w:val="none" w:sz="0" w:space="0" w:color="auto"/>
          </w:divBdr>
          <w:divsChild>
            <w:div w:id="1149905104">
              <w:marLeft w:val="0"/>
              <w:marRight w:val="0"/>
              <w:marTop w:val="0"/>
              <w:marBottom w:val="0"/>
              <w:divBdr>
                <w:top w:val="none" w:sz="0" w:space="0" w:color="auto"/>
                <w:left w:val="none" w:sz="0" w:space="0" w:color="auto"/>
                <w:bottom w:val="none" w:sz="0" w:space="0" w:color="auto"/>
                <w:right w:val="none" w:sz="0" w:space="0" w:color="auto"/>
              </w:divBdr>
              <w:divsChild>
                <w:div w:id="1149905101">
                  <w:marLeft w:val="0"/>
                  <w:marRight w:val="0"/>
                  <w:marTop w:val="0"/>
                  <w:marBottom w:val="0"/>
                  <w:divBdr>
                    <w:top w:val="none" w:sz="0" w:space="0" w:color="auto"/>
                    <w:left w:val="none" w:sz="0" w:space="0" w:color="auto"/>
                    <w:bottom w:val="none" w:sz="0" w:space="0" w:color="auto"/>
                    <w:right w:val="none" w:sz="0" w:space="0" w:color="auto"/>
                  </w:divBdr>
                  <w:divsChild>
                    <w:div w:id="1149905125">
                      <w:marLeft w:val="0"/>
                      <w:marRight w:val="0"/>
                      <w:marTop w:val="0"/>
                      <w:marBottom w:val="0"/>
                      <w:divBdr>
                        <w:top w:val="none" w:sz="0" w:space="0" w:color="auto"/>
                        <w:left w:val="none" w:sz="0" w:space="0" w:color="auto"/>
                        <w:bottom w:val="none" w:sz="0" w:space="0" w:color="auto"/>
                        <w:right w:val="none" w:sz="0" w:space="0" w:color="auto"/>
                      </w:divBdr>
                      <w:divsChild>
                        <w:div w:id="1149905107">
                          <w:marLeft w:val="0"/>
                          <w:marRight w:val="0"/>
                          <w:marTop w:val="0"/>
                          <w:marBottom w:val="0"/>
                          <w:divBdr>
                            <w:top w:val="none" w:sz="0" w:space="0" w:color="auto"/>
                            <w:left w:val="none" w:sz="0" w:space="0" w:color="auto"/>
                            <w:bottom w:val="none" w:sz="0" w:space="0" w:color="auto"/>
                            <w:right w:val="none" w:sz="0" w:space="0" w:color="auto"/>
                          </w:divBdr>
                          <w:divsChild>
                            <w:div w:id="1149905102">
                              <w:marLeft w:val="0"/>
                              <w:marRight w:val="0"/>
                              <w:marTop w:val="0"/>
                              <w:marBottom w:val="0"/>
                              <w:divBdr>
                                <w:top w:val="none" w:sz="0" w:space="0" w:color="auto"/>
                                <w:left w:val="none" w:sz="0" w:space="0" w:color="auto"/>
                                <w:bottom w:val="none" w:sz="0" w:space="0" w:color="auto"/>
                                <w:right w:val="none" w:sz="0" w:space="0" w:color="auto"/>
                              </w:divBdr>
                              <w:divsChild>
                                <w:div w:id="1149905113">
                                  <w:marLeft w:val="0"/>
                                  <w:marRight w:val="0"/>
                                  <w:marTop w:val="0"/>
                                  <w:marBottom w:val="0"/>
                                  <w:divBdr>
                                    <w:top w:val="none" w:sz="0" w:space="0" w:color="auto"/>
                                    <w:left w:val="none" w:sz="0" w:space="0" w:color="auto"/>
                                    <w:bottom w:val="none" w:sz="0" w:space="0" w:color="auto"/>
                                    <w:right w:val="none" w:sz="0" w:space="0" w:color="auto"/>
                                  </w:divBdr>
                                  <w:divsChild>
                                    <w:div w:id="1149905124">
                                      <w:marLeft w:val="0"/>
                                      <w:marRight w:val="0"/>
                                      <w:marTop w:val="0"/>
                                      <w:marBottom w:val="0"/>
                                      <w:divBdr>
                                        <w:top w:val="none" w:sz="0" w:space="0" w:color="auto"/>
                                        <w:left w:val="none" w:sz="0" w:space="0" w:color="auto"/>
                                        <w:bottom w:val="none" w:sz="0" w:space="0" w:color="auto"/>
                                        <w:right w:val="none" w:sz="0" w:space="0" w:color="auto"/>
                                      </w:divBdr>
                                      <w:divsChild>
                                        <w:div w:id="1149905119">
                                          <w:marLeft w:val="0"/>
                                          <w:marRight w:val="0"/>
                                          <w:marTop w:val="0"/>
                                          <w:marBottom w:val="0"/>
                                          <w:divBdr>
                                            <w:top w:val="none" w:sz="0" w:space="0" w:color="auto"/>
                                            <w:left w:val="none" w:sz="0" w:space="0" w:color="auto"/>
                                            <w:bottom w:val="none" w:sz="0" w:space="0" w:color="auto"/>
                                            <w:right w:val="none" w:sz="0" w:space="0" w:color="auto"/>
                                          </w:divBdr>
                                          <w:divsChild>
                                            <w:div w:id="1149905115">
                                              <w:marLeft w:val="0"/>
                                              <w:marRight w:val="0"/>
                                              <w:marTop w:val="0"/>
                                              <w:marBottom w:val="0"/>
                                              <w:divBdr>
                                                <w:top w:val="none" w:sz="0" w:space="0" w:color="auto"/>
                                                <w:left w:val="none" w:sz="0" w:space="0" w:color="auto"/>
                                                <w:bottom w:val="none" w:sz="0" w:space="0" w:color="auto"/>
                                                <w:right w:val="none" w:sz="0" w:space="0" w:color="auto"/>
                                              </w:divBdr>
                                              <w:divsChild>
                                                <w:div w:id="1149905123">
                                                  <w:marLeft w:val="0"/>
                                                  <w:marRight w:val="0"/>
                                                  <w:marTop w:val="0"/>
                                                  <w:marBottom w:val="0"/>
                                                  <w:divBdr>
                                                    <w:top w:val="none" w:sz="0" w:space="0" w:color="auto"/>
                                                    <w:left w:val="none" w:sz="0" w:space="0" w:color="auto"/>
                                                    <w:bottom w:val="none" w:sz="0" w:space="0" w:color="auto"/>
                                                    <w:right w:val="none" w:sz="0" w:space="0" w:color="auto"/>
                                                  </w:divBdr>
                                                  <w:divsChild>
                                                    <w:div w:id="1149905108">
                                                      <w:marLeft w:val="0"/>
                                                      <w:marRight w:val="0"/>
                                                      <w:marTop w:val="0"/>
                                                      <w:marBottom w:val="0"/>
                                                      <w:divBdr>
                                                        <w:top w:val="none" w:sz="0" w:space="0" w:color="auto"/>
                                                        <w:left w:val="none" w:sz="0" w:space="0" w:color="auto"/>
                                                        <w:bottom w:val="none" w:sz="0" w:space="0" w:color="auto"/>
                                                        <w:right w:val="none" w:sz="0" w:space="0" w:color="auto"/>
                                                      </w:divBdr>
                                                      <w:divsChild>
                                                        <w:div w:id="1149905117">
                                                          <w:marLeft w:val="0"/>
                                                          <w:marRight w:val="0"/>
                                                          <w:marTop w:val="0"/>
                                                          <w:marBottom w:val="0"/>
                                                          <w:divBdr>
                                                            <w:top w:val="none" w:sz="0" w:space="0" w:color="auto"/>
                                                            <w:left w:val="none" w:sz="0" w:space="0" w:color="auto"/>
                                                            <w:bottom w:val="none" w:sz="0" w:space="0" w:color="auto"/>
                                                            <w:right w:val="none" w:sz="0" w:space="0" w:color="auto"/>
                                                          </w:divBdr>
                                                          <w:divsChild>
                                                            <w:div w:id="1149905105">
                                                              <w:marLeft w:val="0"/>
                                                              <w:marRight w:val="0"/>
                                                              <w:marTop w:val="0"/>
                                                              <w:marBottom w:val="0"/>
                                                              <w:divBdr>
                                                                <w:top w:val="none" w:sz="0" w:space="0" w:color="auto"/>
                                                                <w:left w:val="none" w:sz="0" w:space="0" w:color="auto"/>
                                                                <w:bottom w:val="none" w:sz="0" w:space="0" w:color="auto"/>
                                                                <w:right w:val="none" w:sz="0" w:space="0" w:color="auto"/>
                                                              </w:divBdr>
                                                              <w:divsChild>
                                                                <w:div w:id="1149905120">
                                                                  <w:marLeft w:val="0"/>
                                                                  <w:marRight w:val="0"/>
                                                                  <w:marTop w:val="0"/>
                                                                  <w:marBottom w:val="0"/>
                                                                  <w:divBdr>
                                                                    <w:top w:val="none" w:sz="0" w:space="0" w:color="auto"/>
                                                                    <w:left w:val="none" w:sz="0" w:space="0" w:color="auto"/>
                                                                    <w:bottom w:val="none" w:sz="0" w:space="0" w:color="auto"/>
                                                                    <w:right w:val="none" w:sz="0" w:space="0" w:color="auto"/>
                                                                  </w:divBdr>
                                                                  <w:divsChild>
                                                                    <w:div w:id="1149905098">
                                                                      <w:marLeft w:val="0"/>
                                                                      <w:marRight w:val="0"/>
                                                                      <w:marTop w:val="0"/>
                                                                      <w:marBottom w:val="0"/>
                                                                      <w:divBdr>
                                                                        <w:top w:val="none" w:sz="0" w:space="0" w:color="auto"/>
                                                                        <w:left w:val="none" w:sz="0" w:space="0" w:color="auto"/>
                                                                        <w:bottom w:val="none" w:sz="0" w:space="0" w:color="auto"/>
                                                                        <w:right w:val="none" w:sz="0" w:space="0" w:color="auto"/>
                                                                      </w:divBdr>
                                                                      <w:divsChild>
                                                                        <w:div w:id="114990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9905116">
      <w:marLeft w:val="0"/>
      <w:marRight w:val="0"/>
      <w:marTop w:val="0"/>
      <w:marBottom w:val="0"/>
      <w:divBdr>
        <w:top w:val="none" w:sz="0" w:space="0" w:color="auto"/>
        <w:left w:val="none" w:sz="0" w:space="0" w:color="auto"/>
        <w:bottom w:val="none" w:sz="0" w:space="0" w:color="auto"/>
        <w:right w:val="none" w:sz="0" w:space="0" w:color="auto"/>
      </w:divBdr>
      <w:divsChild>
        <w:div w:id="1149905111">
          <w:marLeft w:val="0"/>
          <w:marRight w:val="0"/>
          <w:marTop w:val="0"/>
          <w:marBottom w:val="0"/>
          <w:divBdr>
            <w:top w:val="none" w:sz="0" w:space="0" w:color="auto"/>
            <w:left w:val="none" w:sz="0" w:space="0" w:color="auto"/>
            <w:bottom w:val="none" w:sz="0" w:space="0" w:color="auto"/>
            <w:right w:val="none" w:sz="0" w:space="0" w:color="auto"/>
          </w:divBdr>
          <w:divsChild>
            <w:div w:id="1149905097">
              <w:marLeft w:val="0"/>
              <w:marRight w:val="0"/>
              <w:marTop w:val="0"/>
              <w:marBottom w:val="0"/>
              <w:divBdr>
                <w:top w:val="none" w:sz="0" w:space="0" w:color="auto"/>
                <w:left w:val="none" w:sz="0" w:space="0" w:color="auto"/>
                <w:bottom w:val="none" w:sz="0" w:space="0" w:color="auto"/>
                <w:right w:val="none" w:sz="0" w:space="0" w:color="auto"/>
              </w:divBdr>
              <w:divsChild>
                <w:div w:id="1149905110">
                  <w:marLeft w:val="0"/>
                  <w:marRight w:val="0"/>
                  <w:marTop w:val="0"/>
                  <w:marBottom w:val="0"/>
                  <w:divBdr>
                    <w:top w:val="none" w:sz="0" w:space="0" w:color="auto"/>
                    <w:left w:val="none" w:sz="0" w:space="0" w:color="auto"/>
                    <w:bottom w:val="none" w:sz="0" w:space="0" w:color="auto"/>
                    <w:right w:val="none" w:sz="0" w:space="0" w:color="auto"/>
                  </w:divBdr>
                  <w:divsChild>
                    <w:div w:id="1149905100">
                      <w:marLeft w:val="0"/>
                      <w:marRight w:val="0"/>
                      <w:marTop w:val="0"/>
                      <w:marBottom w:val="0"/>
                      <w:divBdr>
                        <w:top w:val="none" w:sz="0" w:space="0" w:color="auto"/>
                        <w:left w:val="none" w:sz="0" w:space="0" w:color="auto"/>
                        <w:bottom w:val="none" w:sz="0" w:space="0" w:color="auto"/>
                        <w:right w:val="none" w:sz="0" w:space="0" w:color="auto"/>
                      </w:divBdr>
                      <w:divsChild>
                        <w:div w:id="1149905106">
                          <w:marLeft w:val="0"/>
                          <w:marRight w:val="0"/>
                          <w:marTop w:val="0"/>
                          <w:marBottom w:val="0"/>
                          <w:divBdr>
                            <w:top w:val="none" w:sz="0" w:space="0" w:color="auto"/>
                            <w:left w:val="none" w:sz="0" w:space="0" w:color="auto"/>
                            <w:bottom w:val="none" w:sz="0" w:space="0" w:color="auto"/>
                            <w:right w:val="none" w:sz="0" w:space="0" w:color="auto"/>
                          </w:divBdr>
                          <w:divsChild>
                            <w:div w:id="1149905103">
                              <w:marLeft w:val="0"/>
                              <w:marRight w:val="0"/>
                              <w:marTop w:val="0"/>
                              <w:marBottom w:val="0"/>
                              <w:divBdr>
                                <w:top w:val="none" w:sz="0" w:space="0" w:color="auto"/>
                                <w:left w:val="none" w:sz="0" w:space="0" w:color="auto"/>
                                <w:bottom w:val="none" w:sz="0" w:space="0" w:color="auto"/>
                                <w:right w:val="none" w:sz="0" w:space="0" w:color="auto"/>
                              </w:divBdr>
                              <w:divsChild>
                                <w:div w:id="1149905118">
                                  <w:marLeft w:val="0"/>
                                  <w:marRight w:val="0"/>
                                  <w:marTop w:val="0"/>
                                  <w:marBottom w:val="0"/>
                                  <w:divBdr>
                                    <w:top w:val="none" w:sz="0" w:space="0" w:color="auto"/>
                                    <w:left w:val="none" w:sz="0" w:space="0" w:color="auto"/>
                                    <w:bottom w:val="none" w:sz="0" w:space="0" w:color="auto"/>
                                    <w:right w:val="none" w:sz="0" w:space="0" w:color="auto"/>
                                  </w:divBdr>
                                  <w:divsChild>
                                    <w:div w:id="1149905099">
                                      <w:marLeft w:val="0"/>
                                      <w:marRight w:val="0"/>
                                      <w:marTop w:val="0"/>
                                      <w:marBottom w:val="0"/>
                                      <w:divBdr>
                                        <w:top w:val="none" w:sz="0" w:space="0" w:color="auto"/>
                                        <w:left w:val="none" w:sz="0" w:space="0" w:color="auto"/>
                                        <w:bottom w:val="none" w:sz="0" w:space="0" w:color="auto"/>
                                        <w:right w:val="none" w:sz="0" w:space="0" w:color="auto"/>
                                      </w:divBdr>
                                      <w:divsChild>
                                        <w:div w:id="1149905121">
                                          <w:marLeft w:val="0"/>
                                          <w:marRight w:val="0"/>
                                          <w:marTop w:val="0"/>
                                          <w:marBottom w:val="0"/>
                                          <w:divBdr>
                                            <w:top w:val="none" w:sz="0" w:space="0" w:color="auto"/>
                                            <w:left w:val="none" w:sz="0" w:space="0" w:color="auto"/>
                                            <w:bottom w:val="none" w:sz="0" w:space="0" w:color="auto"/>
                                            <w:right w:val="none" w:sz="0" w:space="0" w:color="auto"/>
                                          </w:divBdr>
                                          <w:divsChild>
                                            <w:div w:id="11499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9040121">
      <w:bodyDiv w:val="1"/>
      <w:marLeft w:val="0"/>
      <w:marRight w:val="0"/>
      <w:marTop w:val="0"/>
      <w:marBottom w:val="0"/>
      <w:divBdr>
        <w:top w:val="none" w:sz="0" w:space="0" w:color="auto"/>
        <w:left w:val="none" w:sz="0" w:space="0" w:color="auto"/>
        <w:bottom w:val="none" w:sz="0" w:space="0" w:color="auto"/>
        <w:right w:val="none" w:sz="0" w:space="0" w:color="auto"/>
      </w:divBdr>
    </w:div>
    <w:div w:id="1818495176">
      <w:bodyDiv w:val="1"/>
      <w:marLeft w:val="0"/>
      <w:marRight w:val="0"/>
      <w:marTop w:val="0"/>
      <w:marBottom w:val="0"/>
      <w:divBdr>
        <w:top w:val="none" w:sz="0" w:space="0" w:color="auto"/>
        <w:left w:val="none" w:sz="0" w:space="0" w:color="auto"/>
        <w:bottom w:val="none" w:sz="0" w:space="0" w:color="auto"/>
        <w:right w:val="none" w:sz="0" w:space="0" w:color="auto"/>
      </w:divBdr>
      <w:divsChild>
        <w:div w:id="862784329">
          <w:marLeft w:val="0"/>
          <w:marRight w:val="0"/>
          <w:marTop w:val="0"/>
          <w:marBottom w:val="0"/>
          <w:divBdr>
            <w:top w:val="none" w:sz="0" w:space="0" w:color="auto"/>
            <w:left w:val="none" w:sz="0" w:space="0" w:color="auto"/>
            <w:bottom w:val="none" w:sz="0" w:space="0" w:color="auto"/>
            <w:right w:val="none" w:sz="0" w:space="0" w:color="auto"/>
          </w:divBdr>
          <w:divsChild>
            <w:div w:id="1717196787">
              <w:marLeft w:val="0"/>
              <w:marRight w:val="0"/>
              <w:marTop w:val="0"/>
              <w:marBottom w:val="0"/>
              <w:divBdr>
                <w:top w:val="none" w:sz="0" w:space="0" w:color="auto"/>
                <w:left w:val="none" w:sz="0" w:space="0" w:color="auto"/>
                <w:bottom w:val="none" w:sz="0" w:space="0" w:color="auto"/>
                <w:right w:val="none" w:sz="0" w:space="0" w:color="auto"/>
              </w:divBdr>
              <w:divsChild>
                <w:div w:id="1633439388">
                  <w:marLeft w:val="0"/>
                  <w:marRight w:val="0"/>
                  <w:marTop w:val="0"/>
                  <w:marBottom w:val="0"/>
                  <w:divBdr>
                    <w:top w:val="none" w:sz="0" w:space="0" w:color="auto"/>
                    <w:left w:val="none" w:sz="0" w:space="0" w:color="auto"/>
                    <w:bottom w:val="none" w:sz="0" w:space="0" w:color="auto"/>
                    <w:right w:val="none" w:sz="0" w:space="0" w:color="auto"/>
                  </w:divBdr>
                  <w:divsChild>
                    <w:div w:id="507017807">
                      <w:marLeft w:val="0"/>
                      <w:marRight w:val="0"/>
                      <w:marTop w:val="0"/>
                      <w:marBottom w:val="0"/>
                      <w:divBdr>
                        <w:top w:val="none" w:sz="0" w:space="0" w:color="auto"/>
                        <w:left w:val="none" w:sz="0" w:space="0" w:color="auto"/>
                        <w:bottom w:val="none" w:sz="0" w:space="0" w:color="auto"/>
                        <w:right w:val="none" w:sz="0" w:space="0" w:color="auto"/>
                      </w:divBdr>
                      <w:divsChild>
                        <w:div w:id="329989378">
                          <w:marLeft w:val="0"/>
                          <w:marRight w:val="0"/>
                          <w:marTop w:val="0"/>
                          <w:marBottom w:val="0"/>
                          <w:divBdr>
                            <w:top w:val="none" w:sz="0" w:space="0" w:color="auto"/>
                            <w:left w:val="none" w:sz="0" w:space="0" w:color="auto"/>
                            <w:bottom w:val="none" w:sz="0" w:space="0" w:color="auto"/>
                            <w:right w:val="none" w:sz="0" w:space="0" w:color="auto"/>
                          </w:divBdr>
                          <w:divsChild>
                            <w:div w:id="2085105391">
                              <w:marLeft w:val="0"/>
                              <w:marRight w:val="0"/>
                              <w:marTop w:val="0"/>
                              <w:marBottom w:val="0"/>
                              <w:divBdr>
                                <w:top w:val="none" w:sz="0" w:space="0" w:color="auto"/>
                                <w:left w:val="none" w:sz="0" w:space="0" w:color="auto"/>
                                <w:bottom w:val="none" w:sz="0" w:space="0" w:color="auto"/>
                                <w:right w:val="none" w:sz="0" w:space="0" w:color="auto"/>
                              </w:divBdr>
                              <w:divsChild>
                                <w:div w:id="1965845124">
                                  <w:marLeft w:val="0"/>
                                  <w:marRight w:val="0"/>
                                  <w:marTop w:val="0"/>
                                  <w:marBottom w:val="0"/>
                                  <w:divBdr>
                                    <w:top w:val="none" w:sz="0" w:space="0" w:color="auto"/>
                                    <w:left w:val="none" w:sz="0" w:space="0" w:color="auto"/>
                                    <w:bottom w:val="none" w:sz="0" w:space="0" w:color="auto"/>
                                    <w:right w:val="none" w:sz="0" w:space="0" w:color="auto"/>
                                  </w:divBdr>
                                  <w:divsChild>
                                    <w:div w:id="1718504823">
                                      <w:marLeft w:val="0"/>
                                      <w:marRight w:val="0"/>
                                      <w:marTop w:val="0"/>
                                      <w:marBottom w:val="0"/>
                                      <w:divBdr>
                                        <w:top w:val="none" w:sz="0" w:space="0" w:color="auto"/>
                                        <w:left w:val="none" w:sz="0" w:space="0" w:color="auto"/>
                                        <w:bottom w:val="none" w:sz="0" w:space="0" w:color="auto"/>
                                        <w:right w:val="none" w:sz="0" w:space="0" w:color="auto"/>
                                      </w:divBdr>
                                      <w:divsChild>
                                        <w:div w:id="137697107">
                                          <w:marLeft w:val="0"/>
                                          <w:marRight w:val="0"/>
                                          <w:marTop w:val="0"/>
                                          <w:marBottom w:val="0"/>
                                          <w:divBdr>
                                            <w:top w:val="none" w:sz="0" w:space="0" w:color="auto"/>
                                            <w:left w:val="none" w:sz="0" w:space="0" w:color="auto"/>
                                            <w:bottom w:val="none" w:sz="0" w:space="0" w:color="auto"/>
                                            <w:right w:val="none" w:sz="0" w:space="0" w:color="auto"/>
                                          </w:divBdr>
                                          <w:divsChild>
                                            <w:div w:id="661350547">
                                              <w:marLeft w:val="0"/>
                                              <w:marRight w:val="0"/>
                                              <w:marTop w:val="0"/>
                                              <w:marBottom w:val="0"/>
                                              <w:divBdr>
                                                <w:top w:val="none" w:sz="0" w:space="0" w:color="auto"/>
                                                <w:left w:val="none" w:sz="0" w:space="0" w:color="auto"/>
                                                <w:bottom w:val="none" w:sz="0" w:space="0" w:color="auto"/>
                                                <w:right w:val="none" w:sz="0" w:space="0" w:color="auto"/>
                                              </w:divBdr>
                                              <w:divsChild>
                                                <w:div w:id="603458638">
                                                  <w:marLeft w:val="0"/>
                                                  <w:marRight w:val="0"/>
                                                  <w:marTop w:val="0"/>
                                                  <w:marBottom w:val="0"/>
                                                  <w:divBdr>
                                                    <w:top w:val="none" w:sz="0" w:space="0" w:color="auto"/>
                                                    <w:left w:val="none" w:sz="0" w:space="0" w:color="auto"/>
                                                    <w:bottom w:val="none" w:sz="0" w:space="0" w:color="auto"/>
                                                    <w:right w:val="none" w:sz="0" w:space="0" w:color="auto"/>
                                                  </w:divBdr>
                                                  <w:divsChild>
                                                    <w:div w:id="694841456">
                                                      <w:marLeft w:val="0"/>
                                                      <w:marRight w:val="0"/>
                                                      <w:marTop w:val="0"/>
                                                      <w:marBottom w:val="0"/>
                                                      <w:divBdr>
                                                        <w:top w:val="none" w:sz="0" w:space="0" w:color="auto"/>
                                                        <w:left w:val="none" w:sz="0" w:space="0" w:color="auto"/>
                                                        <w:bottom w:val="none" w:sz="0" w:space="0" w:color="auto"/>
                                                        <w:right w:val="none" w:sz="0" w:space="0" w:color="auto"/>
                                                      </w:divBdr>
                                                      <w:divsChild>
                                                        <w:div w:id="55898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306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bs.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qf.edu.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A3F24DDEA8ED341AB615F0D7A0EE2FD" ma:contentTypeVersion="" ma:contentTypeDescription="PDMS Document Site Content Type" ma:contentTypeScope="" ma:versionID="483a78ef983f2c06f4d56318543318ae">
  <xsd:schema xmlns:xsd="http://www.w3.org/2001/XMLSchema" xmlns:xs="http://www.w3.org/2001/XMLSchema" xmlns:p="http://schemas.microsoft.com/office/2006/metadata/properties" xmlns:ns2="6F8BEB73-CF0A-45C6-9A8C-D3144ACA54EA" targetNamespace="http://schemas.microsoft.com/office/2006/metadata/properties" ma:root="true" ma:fieldsID="0e98b1ae2181f4f6aa6503505f35635a" ns2:_="">
    <xsd:import namespace="6F8BEB73-CF0A-45C6-9A8C-D3144ACA54E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BEB73-CF0A-45C6-9A8C-D3144ACA54E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6F8BEB73-CF0A-45C6-9A8C-D3144ACA54E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4C3CE-A86A-4EEF-A18F-B6DD1FFAE383}">
  <ds:schemaRefs>
    <ds:schemaRef ds:uri="http://schemas.microsoft.com/sharepoint/v3/contenttype/forms"/>
  </ds:schemaRefs>
</ds:datastoreItem>
</file>

<file path=customXml/itemProps2.xml><?xml version="1.0" encoding="utf-8"?>
<ds:datastoreItem xmlns:ds="http://schemas.openxmlformats.org/officeDocument/2006/customXml" ds:itemID="{5D1FAB61-D134-4F1C-BE03-12E8185FC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BEB73-CF0A-45C6-9A8C-D3144ACA5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1ECBBF-2110-4842-9B78-8218AC8CA4B5}">
  <ds:schemaRefs>
    <ds:schemaRef ds:uri="http://purl.org/dc/terms/"/>
    <ds:schemaRef ds:uri="http://schemas.openxmlformats.org/package/2006/metadata/core-properties"/>
    <ds:schemaRef ds:uri="6F8BEB73-CF0A-45C6-9A8C-D3144ACA54EA"/>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F7052F01-B56F-441B-95F1-D26C6B622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4320</Words>
  <Characters>24628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Attachment B</vt:lpstr>
    </vt:vector>
  </TitlesOfParts>
  <Company>Australian Government</Company>
  <LinksUpToDate>false</LinksUpToDate>
  <CharactersWithSpaces>28891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creator>Zoe Nadimi</dc:creator>
  <cp:lastModifiedBy>KO,Maple</cp:lastModifiedBy>
  <cp:revision>2</cp:revision>
  <cp:lastPrinted>2019-02-28T22:10:00Z</cp:lastPrinted>
  <dcterms:created xsi:type="dcterms:W3CDTF">2019-03-08T06:16:00Z</dcterms:created>
  <dcterms:modified xsi:type="dcterms:W3CDTF">2019-03-08T06:16:00Z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0x010100266966F133664895A6EE3632470D45F500BA3F24DDEA8ED341AB615F0D7A0EE2FD</vt:lpwstr>
  </property>
</Properties>
</file>