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75D28" w14:textId="13E4F1CF" w:rsidR="00CD4FA5" w:rsidRDefault="00441598" w:rsidP="00CD4FA5">
      <w:pPr>
        <w:tabs>
          <w:tab w:val="right" w:pos="8312"/>
        </w:tabs>
        <w:rPr>
          <w:b/>
        </w:rPr>
      </w:pPr>
      <w:bookmarkStart w:id="0" w:name="_GoBack"/>
      <w:bookmarkEnd w:id="0"/>
      <w:r>
        <w:rPr>
          <w:rFonts w:ascii="Arial Narrow" w:hAnsi="Arial Narrow"/>
          <w:b/>
          <w:noProof/>
          <w:color w:val="C86464"/>
          <w:sz w:val="36"/>
          <w:szCs w:val="36"/>
          <w:lang w:eastAsia="en-AU"/>
        </w:rPr>
        <w:drawing>
          <wp:inline distT="0" distB="0" distL="0" distR="0" wp14:anchorId="07F28BFC" wp14:editId="0287195F">
            <wp:extent cx="2457450" cy="676275"/>
            <wp:effectExtent l="0" t="0" r="0" b="0"/>
            <wp:docPr id="1" name="Picture 1" descr="AUSTRAC_inline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C_inlineSho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r w:rsidR="00CD4FA5">
        <w:rPr>
          <w:b/>
        </w:rPr>
        <w:tab/>
      </w:r>
    </w:p>
    <w:p w14:paraId="139DA857" w14:textId="77777777" w:rsidR="00CD4FA5" w:rsidRDefault="00CD4FA5" w:rsidP="00CD4FA5">
      <w:pPr>
        <w:rPr>
          <w:b/>
        </w:rPr>
      </w:pPr>
    </w:p>
    <w:p w14:paraId="224FDF29" w14:textId="77777777" w:rsidR="00CD4FA5" w:rsidRDefault="00CD4FA5" w:rsidP="00CD4FA5">
      <w:pPr>
        <w:rPr>
          <w:rFonts w:ascii="Times New Roman" w:hAnsi="Times New Roman"/>
          <w:b/>
          <w:sz w:val="24"/>
        </w:rPr>
      </w:pPr>
    </w:p>
    <w:p w14:paraId="6D30DB4B" w14:textId="77777777" w:rsidR="00CD4FA5" w:rsidRPr="00051713" w:rsidRDefault="00CD4FA5" w:rsidP="00CD4FA5">
      <w:pPr>
        <w:rPr>
          <w:rFonts w:ascii="Times New Roman" w:hAnsi="Times New Roman"/>
          <w:b/>
          <w:sz w:val="24"/>
        </w:rPr>
      </w:pPr>
    </w:p>
    <w:p w14:paraId="0659BD51" w14:textId="0519FD4D" w:rsidR="00CD4FA5" w:rsidRDefault="00CD4FA5" w:rsidP="00CD4FA5">
      <w:pPr>
        <w:tabs>
          <w:tab w:val="left" w:pos="360"/>
          <w:tab w:val="left" w:pos="1080"/>
          <w:tab w:val="left" w:pos="3600"/>
        </w:tabs>
        <w:jc w:val="center"/>
        <w:rPr>
          <w:rFonts w:ascii="Times New Roman" w:hAnsi="Times New Roman"/>
          <w:b/>
          <w:i/>
          <w:sz w:val="24"/>
        </w:rPr>
      </w:pPr>
      <w:r w:rsidRPr="00CD4FA5">
        <w:rPr>
          <w:rFonts w:ascii="Times New Roman" w:hAnsi="Times New Roman"/>
          <w:b/>
          <w:sz w:val="24"/>
        </w:rPr>
        <w:t xml:space="preserve">Explanatory Statement – </w:t>
      </w:r>
      <w:r w:rsidRPr="00CD4FA5">
        <w:rPr>
          <w:rFonts w:ascii="Times New Roman" w:hAnsi="Times New Roman"/>
          <w:b/>
          <w:i/>
          <w:sz w:val="24"/>
        </w:rPr>
        <w:t xml:space="preserve">Anti-Money </w:t>
      </w:r>
      <w:r w:rsidR="00410F5B">
        <w:rPr>
          <w:rFonts w:ascii="Times New Roman" w:hAnsi="Times New Roman"/>
          <w:b/>
          <w:i/>
          <w:sz w:val="24"/>
        </w:rPr>
        <w:t>L</w:t>
      </w:r>
      <w:r w:rsidR="00F61FBF" w:rsidRPr="00CD4FA5">
        <w:rPr>
          <w:rFonts w:ascii="Times New Roman" w:hAnsi="Times New Roman"/>
          <w:b/>
          <w:i/>
          <w:sz w:val="24"/>
        </w:rPr>
        <w:t>aundering</w:t>
      </w:r>
      <w:r w:rsidRPr="00CD4FA5">
        <w:rPr>
          <w:rFonts w:ascii="Times New Roman" w:hAnsi="Times New Roman"/>
          <w:b/>
          <w:i/>
          <w:sz w:val="24"/>
        </w:rPr>
        <w:t xml:space="preserve"> and Counter-Terrorism Financing Rules Amendment Instrument </w:t>
      </w:r>
      <w:r w:rsidR="00923713" w:rsidRPr="00CD4FA5">
        <w:rPr>
          <w:rFonts w:ascii="Times New Roman" w:hAnsi="Times New Roman"/>
          <w:b/>
          <w:i/>
          <w:sz w:val="24"/>
        </w:rPr>
        <w:t>201</w:t>
      </w:r>
      <w:r w:rsidR="00A42726">
        <w:rPr>
          <w:rFonts w:ascii="Times New Roman" w:hAnsi="Times New Roman"/>
          <w:b/>
          <w:i/>
          <w:sz w:val="24"/>
        </w:rPr>
        <w:t>9</w:t>
      </w:r>
      <w:r w:rsidR="00923713" w:rsidRPr="00CD4FA5">
        <w:rPr>
          <w:rFonts w:ascii="Times New Roman" w:hAnsi="Times New Roman"/>
          <w:b/>
          <w:i/>
          <w:sz w:val="24"/>
        </w:rPr>
        <w:t xml:space="preserve"> </w:t>
      </w:r>
      <w:r w:rsidRPr="00CD4FA5">
        <w:rPr>
          <w:rFonts w:ascii="Times New Roman" w:hAnsi="Times New Roman"/>
          <w:b/>
          <w:i/>
          <w:sz w:val="24"/>
        </w:rPr>
        <w:t xml:space="preserve">(No. </w:t>
      </w:r>
      <w:r w:rsidR="006C2DEB">
        <w:rPr>
          <w:rFonts w:ascii="Times New Roman" w:hAnsi="Times New Roman"/>
          <w:b/>
          <w:i/>
          <w:sz w:val="24"/>
        </w:rPr>
        <w:t>2</w:t>
      </w:r>
      <w:r w:rsidRPr="00CD4FA5">
        <w:rPr>
          <w:rFonts w:ascii="Times New Roman" w:hAnsi="Times New Roman"/>
          <w:b/>
          <w:i/>
          <w:sz w:val="24"/>
        </w:rPr>
        <w:t xml:space="preserve">) </w:t>
      </w:r>
      <w:r w:rsidRPr="00CD4FA5">
        <w:rPr>
          <w:rFonts w:ascii="Times New Roman" w:hAnsi="Times New Roman"/>
          <w:b/>
          <w:sz w:val="24"/>
        </w:rPr>
        <w:t xml:space="preserve">amending the </w:t>
      </w:r>
      <w:r w:rsidRPr="00CD4FA5">
        <w:rPr>
          <w:rFonts w:ascii="Times New Roman" w:hAnsi="Times New Roman"/>
          <w:b/>
          <w:i/>
          <w:sz w:val="24"/>
        </w:rPr>
        <w:t xml:space="preserve">Anti-Money Laundering and Counter-Terrorism Financing Rules Instrument 2007 (No. </w:t>
      </w:r>
      <w:r w:rsidR="00DE4DCD">
        <w:rPr>
          <w:rFonts w:ascii="Times New Roman" w:hAnsi="Times New Roman"/>
          <w:b/>
          <w:i/>
          <w:sz w:val="24"/>
        </w:rPr>
        <w:t>1</w:t>
      </w:r>
      <w:r w:rsidRPr="00CD4FA5">
        <w:rPr>
          <w:rFonts w:ascii="Times New Roman" w:hAnsi="Times New Roman"/>
          <w:b/>
          <w:i/>
          <w:sz w:val="24"/>
        </w:rPr>
        <w:t xml:space="preserve">) </w:t>
      </w:r>
    </w:p>
    <w:p w14:paraId="1448EFCD" w14:textId="77777777" w:rsidR="00A247CD" w:rsidRPr="00CD4FA5" w:rsidRDefault="00A247CD" w:rsidP="00CD4FA5">
      <w:pPr>
        <w:tabs>
          <w:tab w:val="left" w:pos="360"/>
          <w:tab w:val="left" w:pos="1080"/>
          <w:tab w:val="left" w:pos="3600"/>
        </w:tabs>
        <w:jc w:val="center"/>
        <w:rPr>
          <w:rFonts w:ascii="Times New Roman" w:hAnsi="Times New Roman"/>
          <w:b/>
          <w:sz w:val="24"/>
        </w:rPr>
      </w:pPr>
    </w:p>
    <w:p w14:paraId="588032C7" w14:textId="59FE612B" w:rsidR="00CD4FA5" w:rsidRDefault="00CD4FA5" w:rsidP="00301D3F">
      <w:pPr>
        <w:spacing w:before="240"/>
        <w:rPr>
          <w:rFonts w:ascii="Times New Roman" w:hAnsi="Times New Roman"/>
          <w:b/>
          <w:sz w:val="24"/>
        </w:rPr>
      </w:pPr>
      <w:r w:rsidRPr="00CD4FA5">
        <w:rPr>
          <w:rFonts w:ascii="Times New Roman" w:hAnsi="Times New Roman"/>
          <w:b/>
          <w:sz w:val="24"/>
        </w:rPr>
        <w:t>Purpose and operation of Anti-Money Laundering/Counter</w:t>
      </w:r>
      <w:r w:rsidRPr="00CD4FA5">
        <w:rPr>
          <w:rFonts w:ascii="Times New Roman" w:hAnsi="Times New Roman"/>
          <w:b/>
          <w:sz w:val="24"/>
        </w:rPr>
        <w:noBreakHyphen/>
        <w:t xml:space="preserve">Terrorism Financing Rules (AML/CTF Rules) </w:t>
      </w:r>
      <w:r w:rsidR="00923713">
        <w:rPr>
          <w:rFonts w:ascii="Times New Roman" w:hAnsi="Times New Roman"/>
          <w:b/>
          <w:sz w:val="24"/>
        </w:rPr>
        <w:t>amending Chapter</w:t>
      </w:r>
      <w:r w:rsidR="007825BD">
        <w:rPr>
          <w:rFonts w:ascii="Times New Roman" w:hAnsi="Times New Roman"/>
          <w:b/>
          <w:sz w:val="24"/>
        </w:rPr>
        <w:t>s 1, 4</w:t>
      </w:r>
      <w:r w:rsidR="007B2060">
        <w:rPr>
          <w:rFonts w:ascii="Times New Roman" w:hAnsi="Times New Roman"/>
          <w:b/>
          <w:sz w:val="24"/>
        </w:rPr>
        <w:t>¸</w:t>
      </w:r>
      <w:r w:rsidR="00560C12">
        <w:rPr>
          <w:rFonts w:ascii="Times New Roman" w:hAnsi="Times New Roman"/>
          <w:b/>
          <w:sz w:val="24"/>
        </w:rPr>
        <w:t xml:space="preserve"> </w:t>
      </w:r>
      <w:r w:rsidR="007825BD">
        <w:rPr>
          <w:rFonts w:ascii="Times New Roman" w:hAnsi="Times New Roman"/>
          <w:b/>
          <w:sz w:val="24"/>
        </w:rPr>
        <w:t>15</w:t>
      </w:r>
      <w:r w:rsidR="00B41A03">
        <w:rPr>
          <w:rFonts w:ascii="Times New Roman" w:hAnsi="Times New Roman"/>
          <w:b/>
          <w:sz w:val="24"/>
        </w:rPr>
        <w:t xml:space="preserve"> and 38</w:t>
      </w:r>
    </w:p>
    <w:p w14:paraId="4928DD40" w14:textId="77777777" w:rsidR="00CD4FA5" w:rsidRDefault="00CD4FA5" w:rsidP="00C92989">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sidRPr="00CD4FA5">
        <w:rPr>
          <w:rFonts w:ascii="Times New Roman" w:hAnsi="Times New Roman"/>
          <w:sz w:val="24"/>
        </w:rPr>
        <w:t xml:space="preserve">Section 229 of the </w:t>
      </w:r>
      <w:r w:rsidRPr="00BC0F96">
        <w:rPr>
          <w:rFonts w:ascii="Times New Roman" w:hAnsi="Times New Roman"/>
          <w:i/>
          <w:sz w:val="24"/>
        </w:rPr>
        <w:t>Anti-Money Laundering and Counter-Terrorism Financing Act 2006</w:t>
      </w:r>
      <w:r w:rsidRPr="00CD4FA5">
        <w:rPr>
          <w:rFonts w:ascii="Times New Roman" w:hAnsi="Times New Roman"/>
          <w:sz w:val="24"/>
        </w:rPr>
        <w:t xml:space="preserve"> (AML/CTF Act) provides that the AUSTRAC Chief Executive Officer (AUSTRAC CEO) may, by writing, make AML/CTF Rules prescribing matters required or permitted by any other provision of the AML/CTF Act.</w:t>
      </w:r>
    </w:p>
    <w:p w14:paraId="5CAA99C7" w14:textId="2EC270F0" w:rsidR="00604EF2" w:rsidRDefault="00604EF2" w:rsidP="00301D3F">
      <w:pPr>
        <w:spacing w:before="240"/>
        <w:rPr>
          <w:rFonts w:ascii="Times New Roman" w:hAnsi="Times New Roman"/>
          <w:b/>
          <w:sz w:val="24"/>
        </w:rPr>
      </w:pPr>
      <w:r>
        <w:rPr>
          <w:rFonts w:ascii="Times New Roman" w:hAnsi="Times New Roman"/>
          <w:b/>
          <w:sz w:val="24"/>
        </w:rPr>
        <w:t xml:space="preserve">Amendment to </w:t>
      </w:r>
      <w:r w:rsidR="009F50B9">
        <w:rPr>
          <w:rFonts w:ascii="Times New Roman" w:hAnsi="Times New Roman"/>
          <w:b/>
          <w:sz w:val="24"/>
        </w:rPr>
        <w:t xml:space="preserve">definition of </w:t>
      </w:r>
      <w:r w:rsidR="00510BA8">
        <w:rPr>
          <w:rFonts w:ascii="Times New Roman" w:hAnsi="Times New Roman"/>
          <w:b/>
          <w:sz w:val="24"/>
        </w:rPr>
        <w:t>‘</w:t>
      </w:r>
      <w:r w:rsidR="009F50B9">
        <w:rPr>
          <w:rFonts w:ascii="Times New Roman" w:hAnsi="Times New Roman"/>
          <w:b/>
          <w:sz w:val="24"/>
        </w:rPr>
        <w:t>certified copy</w:t>
      </w:r>
      <w:r w:rsidR="00510BA8">
        <w:rPr>
          <w:rFonts w:ascii="Times New Roman" w:hAnsi="Times New Roman"/>
          <w:b/>
          <w:sz w:val="24"/>
        </w:rPr>
        <w:t>’</w:t>
      </w:r>
      <w:r w:rsidR="007825BD">
        <w:rPr>
          <w:rFonts w:ascii="Times New Roman" w:hAnsi="Times New Roman"/>
          <w:b/>
          <w:sz w:val="24"/>
        </w:rPr>
        <w:t xml:space="preserve"> in </w:t>
      </w:r>
      <w:r>
        <w:rPr>
          <w:rFonts w:ascii="Times New Roman" w:hAnsi="Times New Roman"/>
          <w:b/>
          <w:sz w:val="24"/>
        </w:rPr>
        <w:t>Chapter 1</w:t>
      </w:r>
    </w:p>
    <w:p w14:paraId="6082A5F3" w14:textId="6B0BCAE1" w:rsidR="00100B3F" w:rsidRDefault="009F50B9" w:rsidP="00C92989">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 xml:space="preserve">The definition of </w:t>
      </w:r>
      <w:r w:rsidR="00510BA8">
        <w:rPr>
          <w:rFonts w:ascii="Times New Roman" w:hAnsi="Times New Roman"/>
          <w:sz w:val="24"/>
        </w:rPr>
        <w:t>‘</w:t>
      </w:r>
      <w:r>
        <w:rPr>
          <w:rFonts w:ascii="Times New Roman" w:hAnsi="Times New Roman"/>
          <w:sz w:val="24"/>
        </w:rPr>
        <w:t>certified copy</w:t>
      </w:r>
      <w:r w:rsidR="00510BA8">
        <w:rPr>
          <w:rFonts w:ascii="Times New Roman" w:hAnsi="Times New Roman"/>
          <w:sz w:val="24"/>
        </w:rPr>
        <w:t>’</w:t>
      </w:r>
      <w:r w:rsidR="007825BD">
        <w:rPr>
          <w:rFonts w:ascii="Times New Roman" w:hAnsi="Times New Roman"/>
          <w:sz w:val="24"/>
        </w:rPr>
        <w:t xml:space="preserve"> in Chapter 1 has been updated to refer to the new </w:t>
      </w:r>
      <w:r w:rsidR="007825BD" w:rsidRPr="007D2165">
        <w:rPr>
          <w:rFonts w:ascii="Times New Roman" w:hAnsi="Times New Roman"/>
          <w:i/>
          <w:sz w:val="24"/>
        </w:rPr>
        <w:t>Statutory Declarations Regulations 2018</w:t>
      </w:r>
      <w:r w:rsidR="007825BD">
        <w:rPr>
          <w:rFonts w:ascii="Times New Roman" w:hAnsi="Times New Roman"/>
          <w:sz w:val="24"/>
        </w:rPr>
        <w:t>, which commenced</w:t>
      </w:r>
      <w:r w:rsidR="00C92CA9">
        <w:rPr>
          <w:rFonts w:ascii="Times New Roman" w:hAnsi="Times New Roman"/>
          <w:sz w:val="24"/>
        </w:rPr>
        <w:t xml:space="preserve"> on 18 September 2018. The definition previously referred to </w:t>
      </w:r>
      <w:r w:rsidR="007D2165">
        <w:rPr>
          <w:rFonts w:ascii="Times New Roman" w:hAnsi="Times New Roman"/>
          <w:sz w:val="24"/>
        </w:rPr>
        <w:t>the</w:t>
      </w:r>
      <w:r w:rsidR="007825BD">
        <w:rPr>
          <w:rFonts w:ascii="Times New Roman" w:hAnsi="Times New Roman"/>
          <w:sz w:val="24"/>
        </w:rPr>
        <w:t xml:space="preserve"> </w:t>
      </w:r>
      <w:r w:rsidR="007825BD" w:rsidRPr="007825BD">
        <w:rPr>
          <w:rFonts w:ascii="Times New Roman" w:hAnsi="Times New Roman"/>
          <w:i/>
          <w:sz w:val="24"/>
        </w:rPr>
        <w:t xml:space="preserve">Statutory Declarations Regulations </w:t>
      </w:r>
      <w:r w:rsidR="00DF79B4">
        <w:rPr>
          <w:rFonts w:ascii="Times New Roman" w:hAnsi="Times New Roman"/>
          <w:i/>
          <w:sz w:val="24"/>
        </w:rPr>
        <w:t>199</w:t>
      </w:r>
      <w:r w:rsidR="007825BD" w:rsidRPr="007825BD">
        <w:rPr>
          <w:rFonts w:ascii="Times New Roman" w:hAnsi="Times New Roman"/>
          <w:i/>
          <w:sz w:val="24"/>
        </w:rPr>
        <w:t>3</w:t>
      </w:r>
      <w:r w:rsidR="007D2165">
        <w:rPr>
          <w:rFonts w:ascii="Times New Roman" w:hAnsi="Times New Roman"/>
          <w:i/>
          <w:sz w:val="24"/>
        </w:rPr>
        <w:t>,</w:t>
      </w:r>
      <w:r w:rsidR="007825BD">
        <w:rPr>
          <w:rFonts w:ascii="Times New Roman" w:hAnsi="Times New Roman"/>
          <w:sz w:val="24"/>
        </w:rPr>
        <w:t xml:space="preserve"> </w:t>
      </w:r>
      <w:r w:rsidR="007D2165">
        <w:rPr>
          <w:rFonts w:ascii="Times New Roman" w:hAnsi="Times New Roman"/>
          <w:sz w:val="24"/>
        </w:rPr>
        <w:t>which have</w:t>
      </w:r>
      <w:r w:rsidR="00C92CA9">
        <w:rPr>
          <w:rFonts w:ascii="Times New Roman" w:hAnsi="Times New Roman"/>
          <w:sz w:val="24"/>
        </w:rPr>
        <w:t xml:space="preserve"> since</w:t>
      </w:r>
      <w:r w:rsidR="007D2165">
        <w:rPr>
          <w:rFonts w:ascii="Times New Roman" w:hAnsi="Times New Roman"/>
          <w:sz w:val="24"/>
        </w:rPr>
        <w:t xml:space="preserve"> been repealed.</w:t>
      </w:r>
      <w:r w:rsidR="003C55E3">
        <w:rPr>
          <w:rFonts w:ascii="Times New Roman" w:hAnsi="Times New Roman"/>
          <w:sz w:val="24"/>
        </w:rPr>
        <w:t xml:space="preserve"> </w:t>
      </w:r>
    </w:p>
    <w:p w14:paraId="5D3264B7" w14:textId="6EEEF6E5" w:rsidR="00A969F6" w:rsidRDefault="003C55E3" w:rsidP="00C92989">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 xml:space="preserve">This amendment will </w:t>
      </w:r>
      <w:r w:rsidR="0062614C">
        <w:rPr>
          <w:rFonts w:ascii="Times New Roman" w:hAnsi="Times New Roman"/>
          <w:sz w:val="24"/>
        </w:rPr>
        <w:t>take effect</w:t>
      </w:r>
      <w:r>
        <w:rPr>
          <w:rFonts w:ascii="Times New Roman" w:hAnsi="Times New Roman"/>
          <w:sz w:val="24"/>
        </w:rPr>
        <w:t xml:space="preserve"> the day after registration of this amendment instrument.</w:t>
      </w:r>
    </w:p>
    <w:p w14:paraId="1A5287BB" w14:textId="36273A24" w:rsidR="007825BD" w:rsidRPr="007825BD" w:rsidRDefault="007825BD" w:rsidP="007825BD">
      <w:pPr>
        <w:autoSpaceDE w:val="0"/>
        <w:autoSpaceDN w:val="0"/>
        <w:adjustRightInd w:val="0"/>
        <w:spacing w:before="240"/>
        <w:rPr>
          <w:rFonts w:ascii="Times New Roman" w:hAnsi="Times New Roman"/>
          <w:b/>
          <w:sz w:val="24"/>
        </w:rPr>
      </w:pPr>
      <w:r w:rsidRPr="007825BD">
        <w:rPr>
          <w:rFonts w:ascii="Times New Roman" w:hAnsi="Times New Roman"/>
          <w:b/>
          <w:sz w:val="24"/>
        </w:rPr>
        <w:t>Amendments to Chapters 4 and 15 relating to corporate customers that are custodians</w:t>
      </w:r>
    </w:p>
    <w:p w14:paraId="6E58D181" w14:textId="293DA23D" w:rsidR="0012383B" w:rsidRPr="0012383B" w:rsidRDefault="007825BD" w:rsidP="00C92989">
      <w:pPr>
        <w:numPr>
          <w:ilvl w:val="0"/>
          <w:numId w:val="1"/>
        </w:numPr>
        <w:tabs>
          <w:tab w:val="clear" w:pos="720"/>
          <w:tab w:val="num" w:pos="567"/>
        </w:tabs>
        <w:autoSpaceDE w:val="0"/>
        <w:autoSpaceDN w:val="0"/>
        <w:adjustRightInd w:val="0"/>
        <w:spacing w:before="240"/>
        <w:ind w:left="567" w:hanging="567"/>
        <w:rPr>
          <w:rFonts w:ascii="Times New Roman" w:hAnsi="Times New Roman"/>
          <w:sz w:val="24"/>
          <w:lang w:eastAsia="en-AU"/>
        </w:rPr>
      </w:pPr>
      <w:r w:rsidRPr="0012383B">
        <w:rPr>
          <w:rFonts w:ascii="Times New Roman" w:hAnsi="Times New Roman"/>
          <w:sz w:val="24"/>
        </w:rPr>
        <w:t>Th</w:t>
      </w:r>
      <w:r w:rsidR="0012383B" w:rsidRPr="0012383B">
        <w:rPr>
          <w:rFonts w:ascii="Times New Roman" w:hAnsi="Times New Roman"/>
          <w:sz w:val="24"/>
        </w:rPr>
        <w:t xml:space="preserve">ese draft amendments provide reporting entities with relief from certain identification requirements in Chapter 4 and Chapter 15 of the </w:t>
      </w:r>
      <w:r w:rsidR="00405995">
        <w:rPr>
          <w:rFonts w:ascii="Times New Roman" w:hAnsi="Times New Roman"/>
          <w:sz w:val="24"/>
        </w:rPr>
        <w:t xml:space="preserve">AML/CTF Rules </w:t>
      </w:r>
      <w:r w:rsidR="0012383B" w:rsidRPr="0012383B">
        <w:rPr>
          <w:rFonts w:ascii="Times New Roman" w:hAnsi="Times New Roman"/>
          <w:sz w:val="24"/>
        </w:rPr>
        <w:t>f</w:t>
      </w:r>
      <w:r w:rsidR="000A55D5">
        <w:rPr>
          <w:rFonts w:ascii="Times New Roman" w:hAnsi="Times New Roman"/>
          <w:sz w:val="24"/>
        </w:rPr>
        <w:t>or corporate customers who are ‘</w:t>
      </w:r>
      <w:r w:rsidR="0012383B" w:rsidRPr="0012383B">
        <w:rPr>
          <w:rFonts w:ascii="Times New Roman" w:hAnsi="Times New Roman"/>
          <w:sz w:val="24"/>
        </w:rPr>
        <w:t>custodians</w:t>
      </w:r>
      <w:r w:rsidR="000A55D5">
        <w:rPr>
          <w:rFonts w:ascii="Times New Roman" w:hAnsi="Times New Roman"/>
          <w:sz w:val="24"/>
        </w:rPr>
        <w:t>’ (as defined)</w:t>
      </w:r>
      <w:r w:rsidR="0012383B" w:rsidRPr="0012383B">
        <w:rPr>
          <w:rFonts w:ascii="Times New Roman" w:hAnsi="Times New Roman"/>
          <w:sz w:val="24"/>
        </w:rPr>
        <w:t xml:space="preserve"> by adding new subparagraphs 4.4.3(5)(d), 4.4.5(5)(d) and paragraphs 4.4.18 - 4.4.19 to Chapter 4, making minor amendments to subparagraphs 4.4.3(1) and 4.4.5(1), adding two notes to Chapter 15 and some minor amendments in both Part 4.4 and Chapter 15 to cross-reference exemptions listed in the new paragraph 4.4.18.</w:t>
      </w:r>
    </w:p>
    <w:p w14:paraId="606A2152" w14:textId="5C29E5F0" w:rsidR="0012383B" w:rsidRDefault="000A55D5" w:rsidP="00C92989">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The amendments respond to issues raised by i</w:t>
      </w:r>
      <w:r w:rsidR="0012383B" w:rsidRPr="0012383B">
        <w:rPr>
          <w:rFonts w:ascii="Times New Roman" w:hAnsi="Times New Roman"/>
          <w:sz w:val="24"/>
        </w:rPr>
        <w:t xml:space="preserve">ndustry </w:t>
      </w:r>
      <w:r>
        <w:rPr>
          <w:rFonts w:ascii="Times New Roman" w:hAnsi="Times New Roman"/>
          <w:sz w:val="24"/>
        </w:rPr>
        <w:t>regarding practical</w:t>
      </w:r>
      <w:r w:rsidR="0012383B" w:rsidRPr="0012383B">
        <w:rPr>
          <w:rFonts w:ascii="Times New Roman" w:hAnsi="Times New Roman"/>
          <w:sz w:val="24"/>
        </w:rPr>
        <w:t xml:space="preserve"> difficulties </w:t>
      </w:r>
      <w:r w:rsidR="0062614C">
        <w:rPr>
          <w:rFonts w:ascii="Times New Roman" w:hAnsi="Times New Roman"/>
          <w:sz w:val="24"/>
        </w:rPr>
        <w:t xml:space="preserve">encountered </w:t>
      </w:r>
      <w:r>
        <w:rPr>
          <w:rFonts w:ascii="Times New Roman" w:hAnsi="Times New Roman"/>
          <w:sz w:val="24"/>
        </w:rPr>
        <w:t xml:space="preserve">in </w:t>
      </w:r>
      <w:r w:rsidR="0012383B" w:rsidRPr="0012383B">
        <w:rPr>
          <w:rFonts w:ascii="Times New Roman" w:hAnsi="Times New Roman"/>
          <w:sz w:val="24"/>
        </w:rPr>
        <w:t xml:space="preserve">complying with the </w:t>
      </w:r>
      <w:r>
        <w:rPr>
          <w:rFonts w:ascii="Times New Roman" w:hAnsi="Times New Roman"/>
          <w:sz w:val="24"/>
        </w:rPr>
        <w:t xml:space="preserve">previous </w:t>
      </w:r>
      <w:r w:rsidR="0012383B" w:rsidRPr="0012383B">
        <w:rPr>
          <w:rFonts w:ascii="Times New Roman" w:hAnsi="Times New Roman"/>
          <w:sz w:val="24"/>
        </w:rPr>
        <w:t xml:space="preserve">requirements </w:t>
      </w:r>
      <w:r>
        <w:rPr>
          <w:rFonts w:ascii="Times New Roman" w:hAnsi="Times New Roman"/>
          <w:sz w:val="24"/>
        </w:rPr>
        <w:t>of</w:t>
      </w:r>
      <w:r w:rsidR="0012383B" w:rsidRPr="0012383B">
        <w:rPr>
          <w:rFonts w:ascii="Times New Roman" w:hAnsi="Times New Roman"/>
          <w:sz w:val="24"/>
        </w:rPr>
        <w:t xml:space="preserve"> Part 4.4 (Applicable customer identification procedure with respect to trustees) of </w:t>
      </w:r>
      <w:r>
        <w:rPr>
          <w:rFonts w:ascii="Times New Roman" w:hAnsi="Times New Roman"/>
          <w:sz w:val="24"/>
        </w:rPr>
        <w:t>the AML/CTF Rules</w:t>
      </w:r>
      <w:r w:rsidR="0012383B" w:rsidRPr="0012383B">
        <w:rPr>
          <w:rFonts w:ascii="Times New Roman" w:hAnsi="Times New Roman"/>
          <w:sz w:val="24"/>
        </w:rPr>
        <w:t>, as many custodian</w:t>
      </w:r>
      <w:r w:rsidR="0080106B">
        <w:rPr>
          <w:rFonts w:ascii="Times New Roman" w:hAnsi="Times New Roman"/>
          <w:sz w:val="24"/>
        </w:rPr>
        <w:t>-type trust</w:t>
      </w:r>
      <w:r w:rsidR="0012383B" w:rsidRPr="0012383B">
        <w:rPr>
          <w:rFonts w:ascii="Times New Roman" w:hAnsi="Times New Roman"/>
          <w:sz w:val="24"/>
        </w:rPr>
        <w:t xml:space="preserve"> arrangements do not have </w:t>
      </w:r>
      <w:r>
        <w:rPr>
          <w:rFonts w:ascii="Times New Roman" w:hAnsi="Times New Roman"/>
          <w:sz w:val="24"/>
        </w:rPr>
        <w:t>many features of an ordinary trust</w:t>
      </w:r>
      <w:r w:rsidR="0012383B" w:rsidRPr="0012383B">
        <w:rPr>
          <w:rFonts w:ascii="Times New Roman" w:hAnsi="Times New Roman"/>
          <w:sz w:val="24"/>
        </w:rPr>
        <w:t xml:space="preserve"> such as</w:t>
      </w:r>
      <w:r>
        <w:rPr>
          <w:rFonts w:ascii="Times New Roman" w:hAnsi="Times New Roman"/>
          <w:sz w:val="24"/>
        </w:rPr>
        <w:t xml:space="preserve"> a</w:t>
      </w:r>
      <w:r w:rsidR="0012383B" w:rsidRPr="0012383B">
        <w:rPr>
          <w:rFonts w:ascii="Times New Roman" w:hAnsi="Times New Roman"/>
          <w:sz w:val="24"/>
        </w:rPr>
        <w:t xml:space="preserve"> </w:t>
      </w:r>
      <w:r>
        <w:rPr>
          <w:rFonts w:ascii="Times New Roman" w:hAnsi="Times New Roman"/>
          <w:sz w:val="24"/>
        </w:rPr>
        <w:t xml:space="preserve">full </w:t>
      </w:r>
      <w:r w:rsidR="0012383B" w:rsidRPr="0012383B">
        <w:rPr>
          <w:rFonts w:ascii="Times New Roman" w:hAnsi="Times New Roman"/>
          <w:sz w:val="24"/>
        </w:rPr>
        <w:t xml:space="preserve">trust name, settlor, </w:t>
      </w:r>
      <w:r>
        <w:rPr>
          <w:rFonts w:ascii="Times New Roman" w:hAnsi="Times New Roman"/>
          <w:sz w:val="24"/>
        </w:rPr>
        <w:t>or</w:t>
      </w:r>
      <w:r w:rsidR="0012383B" w:rsidRPr="0012383B">
        <w:rPr>
          <w:rFonts w:ascii="Times New Roman" w:hAnsi="Times New Roman"/>
          <w:sz w:val="24"/>
        </w:rPr>
        <w:t xml:space="preserve"> trust deed.</w:t>
      </w:r>
    </w:p>
    <w:p w14:paraId="11E6E3B3" w14:textId="00215989" w:rsidR="003C20DD" w:rsidRPr="00C92989" w:rsidRDefault="003C20DD" w:rsidP="003C20DD">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These issues have been addressed by adding n</w:t>
      </w:r>
      <w:r w:rsidRPr="00C92989">
        <w:rPr>
          <w:rFonts w:ascii="Times New Roman" w:hAnsi="Times New Roman"/>
          <w:sz w:val="24"/>
        </w:rPr>
        <w:t>ew paragraphs 4.4.18 and 4.4.19 to Part 4.4</w:t>
      </w:r>
      <w:r>
        <w:rPr>
          <w:rFonts w:ascii="Times New Roman" w:hAnsi="Times New Roman"/>
          <w:sz w:val="24"/>
        </w:rPr>
        <w:t xml:space="preserve">, which </w:t>
      </w:r>
      <w:r w:rsidRPr="00C92989">
        <w:rPr>
          <w:rFonts w:ascii="Times New Roman" w:hAnsi="Times New Roman"/>
          <w:sz w:val="24"/>
        </w:rPr>
        <w:t>exempt reporting entities from:</w:t>
      </w:r>
    </w:p>
    <w:p w14:paraId="61BA0299" w14:textId="53E87849" w:rsidR="003C20DD" w:rsidRPr="0012383B" w:rsidRDefault="003C20DD" w:rsidP="003C20DD">
      <w:pPr>
        <w:numPr>
          <w:ilvl w:val="1"/>
          <w:numId w:val="1"/>
        </w:numPr>
        <w:tabs>
          <w:tab w:val="clear" w:pos="1080"/>
          <w:tab w:val="num" w:pos="1134"/>
        </w:tabs>
        <w:autoSpaceDE w:val="0"/>
        <w:autoSpaceDN w:val="0"/>
        <w:adjustRightInd w:val="0"/>
        <w:spacing w:before="240"/>
        <w:ind w:left="1134" w:hanging="567"/>
        <w:rPr>
          <w:rFonts w:ascii="Times New Roman" w:eastAsia="Calibri" w:hAnsi="Times New Roman"/>
          <w:sz w:val="24"/>
        </w:rPr>
      </w:pPr>
      <w:r w:rsidRPr="0012383B">
        <w:rPr>
          <w:rFonts w:ascii="Times New Roman" w:eastAsia="Calibri" w:hAnsi="Times New Roman"/>
          <w:sz w:val="24"/>
        </w:rPr>
        <w:lastRenderedPageBreak/>
        <w:t xml:space="preserve">carrying out specific applicable customer identification </w:t>
      </w:r>
      <w:r w:rsidRPr="00C4434D">
        <w:rPr>
          <w:rFonts w:ascii="Times New Roman" w:eastAsia="Calibri" w:hAnsi="Times New Roman"/>
          <w:sz w:val="24"/>
        </w:rPr>
        <w:t xml:space="preserve">and verification requirements in relation to the underlying customers of </w:t>
      </w:r>
      <w:r w:rsidR="0062614C">
        <w:rPr>
          <w:rFonts w:ascii="Times New Roman" w:eastAsia="Calibri" w:hAnsi="Times New Roman"/>
          <w:sz w:val="24"/>
        </w:rPr>
        <w:t xml:space="preserve">a </w:t>
      </w:r>
      <w:r w:rsidRPr="00C4434D">
        <w:rPr>
          <w:rFonts w:ascii="Times New Roman" w:eastAsia="Calibri" w:hAnsi="Times New Roman"/>
          <w:sz w:val="24"/>
        </w:rPr>
        <w:t>custodian w</w:t>
      </w:r>
      <w:r w:rsidRPr="0012383B">
        <w:rPr>
          <w:rFonts w:ascii="Times New Roman" w:eastAsia="Calibri" w:hAnsi="Times New Roman"/>
          <w:sz w:val="24"/>
        </w:rPr>
        <w:t>hen providing designated services to eligible custodians; and</w:t>
      </w:r>
    </w:p>
    <w:p w14:paraId="380286BE" w14:textId="10CAC985" w:rsidR="003C20DD" w:rsidRDefault="003C20DD" w:rsidP="003C20DD">
      <w:pPr>
        <w:numPr>
          <w:ilvl w:val="1"/>
          <w:numId w:val="1"/>
        </w:numPr>
        <w:tabs>
          <w:tab w:val="clear" w:pos="1080"/>
          <w:tab w:val="num" w:pos="1134"/>
        </w:tabs>
        <w:autoSpaceDE w:val="0"/>
        <w:autoSpaceDN w:val="0"/>
        <w:adjustRightInd w:val="0"/>
        <w:spacing w:before="240"/>
        <w:ind w:left="1134" w:hanging="567"/>
        <w:rPr>
          <w:rFonts w:ascii="Times New Roman" w:eastAsia="Calibri" w:hAnsi="Times New Roman"/>
          <w:sz w:val="24"/>
        </w:rPr>
      </w:pPr>
      <w:r w:rsidRPr="0012383B">
        <w:rPr>
          <w:rFonts w:ascii="Times New Roman" w:eastAsia="Calibri" w:hAnsi="Times New Roman"/>
          <w:sz w:val="24"/>
        </w:rPr>
        <w:t xml:space="preserve">conducting certain ongoing </w:t>
      </w:r>
      <w:r w:rsidR="00DD712F">
        <w:rPr>
          <w:rFonts w:ascii="Times New Roman" w:eastAsia="Calibri" w:hAnsi="Times New Roman"/>
          <w:sz w:val="24"/>
        </w:rPr>
        <w:t>customer due diligence</w:t>
      </w:r>
      <w:r w:rsidRPr="0012383B">
        <w:rPr>
          <w:rFonts w:ascii="Times New Roman" w:eastAsia="Calibri" w:hAnsi="Times New Roman"/>
          <w:sz w:val="24"/>
        </w:rPr>
        <w:t xml:space="preserve"> requirements in Chapter 15 regarding the collection and verification of beneficial owner information </w:t>
      </w:r>
      <w:r w:rsidRPr="00C4434D">
        <w:rPr>
          <w:rFonts w:ascii="Times New Roman" w:eastAsia="Calibri" w:hAnsi="Times New Roman"/>
          <w:sz w:val="24"/>
        </w:rPr>
        <w:t>in relation to such underlying customers of custodians</w:t>
      </w:r>
      <w:r w:rsidRPr="0012383B">
        <w:rPr>
          <w:rFonts w:ascii="Times New Roman" w:eastAsia="Calibri" w:hAnsi="Times New Roman"/>
          <w:sz w:val="24"/>
        </w:rPr>
        <w:t xml:space="preserve"> (though note that reporting entities still </w:t>
      </w:r>
      <w:r>
        <w:rPr>
          <w:rFonts w:ascii="Times New Roman" w:eastAsia="Calibri" w:hAnsi="Times New Roman"/>
          <w:sz w:val="24"/>
        </w:rPr>
        <w:t xml:space="preserve">need </w:t>
      </w:r>
      <w:r w:rsidRPr="0012383B">
        <w:rPr>
          <w:rFonts w:ascii="Times New Roman" w:eastAsia="Calibri" w:hAnsi="Times New Roman"/>
          <w:sz w:val="24"/>
        </w:rPr>
        <w:t>to comply with obligations in Chapter 15 regarding the collection, verification, update, and review of Know Your Customer (</w:t>
      </w:r>
      <w:r w:rsidRPr="005219C0">
        <w:rPr>
          <w:rFonts w:ascii="Times New Roman" w:eastAsia="Calibri" w:hAnsi="Times New Roman"/>
          <w:sz w:val="24"/>
        </w:rPr>
        <w:t>KYC</w:t>
      </w:r>
      <w:r w:rsidRPr="0012383B">
        <w:rPr>
          <w:rFonts w:ascii="Times New Roman" w:eastAsia="Calibri" w:hAnsi="Times New Roman"/>
          <w:sz w:val="24"/>
        </w:rPr>
        <w:t>) information on the custodian in its capacity as trustee of the trust</w:t>
      </w:r>
      <w:r>
        <w:rPr>
          <w:rFonts w:ascii="Times New Roman" w:eastAsia="Calibri" w:hAnsi="Times New Roman"/>
          <w:sz w:val="24"/>
        </w:rPr>
        <w:t>).</w:t>
      </w:r>
    </w:p>
    <w:p w14:paraId="628D3083" w14:textId="7477EC65" w:rsidR="0012383B" w:rsidRDefault="0012383B" w:rsidP="00C92989">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sidRPr="0012383B">
        <w:rPr>
          <w:rFonts w:ascii="Times New Roman" w:hAnsi="Times New Roman"/>
          <w:sz w:val="24"/>
        </w:rPr>
        <w:t xml:space="preserve">AUSTRAC </w:t>
      </w:r>
      <w:r w:rsidR="000A55D5">
        <w:rPr>
          <w:rFonts w:ascii="Times New Roman" w:hAnsi="Times New Roman"/>
          <w:sz w:val="24"/>
        </w:rPr>
        <w:t>has</w:t>
      </w:r>
      <w:r w:rsidRPr="0012383B">
        <w:rPr>
          <w:rFonts w:ascii="Times New Roman" w:hAnsi="Times New Roman"/>
          <w:sz w:val="24"/>
        </w:rPr>
        <w:t xml:space="preserve"> assessed the money laundering and terrorism financing </w:t>
      </w:r>
      <w:r w:rsidR="000D157E">
        <w:rPr>
          <w:rFonts w:ascii="Times New Roman" w:hAnsi="Times New Roman"/>
          <w:sz w:val="24"/>
        </w:rPr>
        <w:t xml:space="preserve">(ML/TF) </w:t>
      </w:r>
      <w:r w:rsidRPr="0012383B">
        <w:rPr>
          <w:rFonts w:ascii="Times New Roman" w:hAnsi="Times New Roman"/>
          <w:sz w:val="24"/>
        </w:rPr>
        <w:t xml:space="preserve">risks associated with the designated services being provided, and </w:t>
      </w:r>
      <w:r w:rsidR="000A55D5">
        <w:rPr>
          <w:rFonts w:ascii="Times New Roman" w:hAnsi="Times New Roman"/>
          <w:sz w:val="24"/>
        </w:rPr>
        <w:t>has determined</w:t>
      </w:r>
      <w:r w:rsidRPr="0012383B">
        <w:rPr>
          <w:rFonts w:ascii="Times New Roman" w:hAnsi="Times New Roman"/>
          <w:sz w:val="24"/>
        </w:rPr>
        <w:t xml:space="preserve"> that any risk</w:t>
      </w:r>
      <w:r w:rsidR="000A55D5">
        <w:rPr>
          <w:rFonts w:ascii="Times New Roman" w:hAnsi="Times New Roman"/>
          <w:sz w:val="24"/>
        </w:rPr>
        <w:t xml:space="preserve"> is sufficiently </w:t>
      </w:r>
      <w:r w:rsidRPr="0012383B">
        <w:rPr>
          <w:rFonts w:ascii="Times New Roman" w:hAnsi="Times New Roman"/>
          <w:sz w:val="24"/>
        </w:rPr>
        <w:t xml:space="preserve">mitigated by </w:t>
      </w:r>
      <w:r w:rsidR="000A55D5">
        <w:rPr>
          <w:rFonts w:ascii="Times New Roman" w:hAnsi="Times New Roman"/>
          <w:sz w:val="24"/>
        </w:rPr>
        <w:t xml:space="preserve">limiting the </w:t>
      </w:r>
      <w:r w:rsidRPr="0012383B">
        <w:rPr>
          <w:rFonts w:ascii="Times New Roman" w:hAnsi="Times New Roman"/>
          <w:sz w:val="24"/>
        </w:rPr>
        <w:t xml:space="preserve">scope </w:t>
      </w:r>
      <w:r w:rsidR="000D157E">
        <w:rPr>
          <w:rFonts w:ascii="Times New Roman" w:hAnsi="Times New Roman"/>
          <w:sz w:val="24"/>
        </w:rPr>
        <w:t xml:space="preserve">of </w:t>
      </w:r>
      <w:r w:rsidR="000A55D5">
        <w:rPr>
          <w:rFonts w:ascii="Times New Roman" w:hAnsi="Times New Roman"/>
          <w:sz w:val="24"/>
        </w:rPr>
        <w:t>relief</w:t>
      </w:r>
      <w:r w:rsidR="000D157E">
        <w:rPr>
          <w:rFonts w:ascii="Times New Roman" w:hAnsi="Times New Roman"/>
          <w:sz w:val="24"/>
        </w:rPr>
        <w:t xml:space="preserve"> </w:t>
      </w:r>
      <w:r w:rsidRPr="0012383B">
        <w:rPr>
          <w:rFonts w:ascii="Times New Roman" w:hAnsi="Times New Roman"/>
          <w:sz w:val="24"/>
        </w:rPr>
        <w:t xml:space="preserve">to </w:t>
      </w:r>
      <w:r w:rsidR="003C20DD">
        <w:rPr>
          <w:rFonts w:ascii="Times New Roman" w:hAnsi="Times New Roman"/>
          <w:sz w:val="24"/>
        </w:rPr>
        <w:t>those custodian customers that:</w:t>
      </w:r>
    </w:p>
    <w:p w14:paraId="5C4121C9" w14:textId="4794F193" w:rsidR="00DD712F" w:rsidRDefault="00DD712F" w:rsidP="003C20DD">
      <w:pPr>
        <w:numPr>
          <w:ilvl w:val="1"/>
          <w:numId w:val="1"/>
        </w:numPr>
        <w:tabs>
          <w:tab w:val="clear" w:pos="1080"/>
          <w:tab w:val="num" w:pos="1134"/>
        </w:tabs>
        <w:autoSpaceDE w:val="0"/>
        <w:autoSpaceDN w:val="0"/>
        <w:adjustRightInd w:val="0"/>
        <w:spacing w:before="240"/>
        <w:ind w:left="1134" w:hanging="567"/>
        <w:rPr>
          <w:rFonts w:ascii="Times New Roman" w:hAnsi="Times New Roman"/>
          <w:sz w:val="24"/>
        </w:rPr>
      </w:pPr>
      <w:r>
        <w:rPr>
          <w:rFonts w:ascii="Times New Roman" w:hAnsi="Times New Roman"/>
          <w:sz w:val="24"/>
        </w:rPr>
        <w:t>are companies, rather than individuals (that is, they are corporate custodians); and</w:t>
      </w:r>
    </w:p>
    <w:p w14:paraId="0CA1C76B" w14:textId="229C2B98" w:rsidR="0062614C" w:rsidRDefault="0062614C" w:rsidP="003C20DD">
      <w:pPr>
        <w:numPr>
          <w:ilvl w:val="1"/>
          <w:numId w:val="1"/>
        </w:numPr>
        <w:tabs>
          <w:tab w:val="clear" w:pos="1080"/>
          <w:tab w:val="num" w:pos="1134"/>
        </w:tabs>
        <w:autoSpaceDE w:val="0"/>
        <w:autoSpaceDN w:val="0"/>
        <w:adjustRightInd w:val="0"/>
        <w:spacing w:before="240"/>
        <w:ind w:left="1134" w:hanging="567"/>
        <w:rPr>
          <w:rFonts w:ascii="Times New Roman" w:hAnsi="Times New Roman"/>
          <w:sz w:val="24"/>
        </w:rPr>
      </w:pPr>
      <w:r>
        <w:rPr>
          <w:rFonts w:ascii="Times New Roman" w:hAnsi="Times New Roman"/>
          <w:sz w:val="24"/>
        </w:rPr>
        <w:t>are acting in the capacity of a trustee; and</w:t>
      </w:r>
    </w:p>
    <w:p w14:paraId="37B4E7D0" w14:textId="351BB799" w:rsidR="003C20DD" w:rsidRDefault="003C20DD" w:rsidP="003C20DD">
      <w:pPr>
        <w:numPr>
          <w:ilvl w:val="1"/>
          <w:numId w:val="1"/>
        </w:numPr>
        <w:tabs>
          <w:tab w:val="clear" w:pos="1080"/>
          <w:tab w:val="num" w:pos="1134"/>
        </w:tabs>
        <w:autoSpaceDE w:val="0"/>
        <w:autoSpaceDN w:val="0"/>
        <w:adjustRightInd w:val="0"/>
        <w:spacing w:before="240"/>
        <w:ind w:left="1134" w:hanging="567"/>
        <w:rPr>
          <w:rFonts w:ascii="Times New Roman" w:hAnsi="Times New Roman"/>
          <w:sz w:val="24"/>
        </w:rPr>
      </w:pPr>
      <w:r w:rsidRPr="003C20DD">
        <w:rPr>
          <w:rFonts w:ascii="Times New Roman" w:hAnsi="Times New Roman"/>
          <w:sz w:val="24"/>
        </w:rPr>
        <w:t>are providing a custodial or depository service of the kind described in item 46 of table 1 in subsection 6(2) of the</w:t>
      </w:r>
      <w:r>
        <w:rPr>
          <w:rFonts w:ascii="Times New Roman" w:hAnsi="Times New Roman"/>
          <w:sz w:val="24"/>
        </w:rPr>
        <w:t xml:space="preserve"> AML/CTF Act; and</w:t>
      </w:r>
    </w:p>
    <w:p w14:paraId="035F3A08" w14:textId="3E5D8659" w:rsidR="0062614C" w:rsidRDefault="0062614C" w:rsidP="003C20DD">
      <w:pPr>
        <w:numPr>
          <w:ilvl w:val="1"/>
          <w:numId w:val="1"/>
        </w:numPr>
        <w:tabs>
          <w:tab w:val="clear" w:pos="1080"/>
          <w:tab w:val="num" w:pos="1134"/>
        </w:tabs>
        <w:autoSpaceDE w:val="0"/>
        <w:autoSpaceDN w:val="0"/>
        <w:adjustRightInd w:val="0"/>
        <w:spacing w:before="240"/>
        <w:ind w:left="1134" w:hanging="567"/>
        <w:rPr>
          <w:rFonts w:ascii="Times New Roman" w:hAnsi="Times New Roman"/>
          <w:sz w:val="24"/>
        </w:rPr>
      </w:pPr>
      <w:r>
        <w:rPr>
          <w:rFonts w:ascii="Times New Roman" w:hAnsi="Times New Roman"/>
          <w:sz w:val="24"/>
        </w:rPr>
        <w:t xml:space="preserve">either </w:t>
      </w:r>
      <w:r w:rsidRPr="0062614C">
        <w:rPr>
          <w:rFonts w:ascii="Times New Roman" w:hAnsi="Times New Roman"/>
          <w:sz w:val="24"/>
        </w:rPr>
        <w:t xml:space="preserve">hold an Australian financial services licence authorising </w:t>
      </w:r>
      <w:r w:rsidR="00DD712F">
        <w:rPr>
          <w:rFonts w:ascii="Times New Roman" w:hAnsi="Times New Roman"/>
          <w:sz w:val="24"/>
        </w:rPr>
        <w:t>them</w:t>
      </w:r>
      <w:r w:rsidR="00DD712F" w:rsidRPr="0062614C">
        <w:rPr>
          <w:rFonts w:ascii="Times New Roman" w:hAnsi="Times New Roman"/>
          <w:sz w:val="24"/>
        </w:rPr>
        <w:t xml:space="preserve"> </w:t>
      </w:r>
      <w:r w:rsidRPr="0062614C">
        <w:rPr>
          <w:rFonts w:ascii="Times New Roman" w:hAnsi="Times New Roman"/>
          <w:sz w:val="24"/>
        </w:rPr>
        <w:t xml:space="preserve">to provide custodial or depository services under the </w:t>
      </w:r>
      <w:r w:rsidRPr="0062614C">
        <w:rPr>
          <w:rFonts w:ascii="Times New Roman" w:hAnsi="Times New Roman"/>
          <w:i/>
          <w:sz w:val="24"/>
        </w:rPr>
        <w:t>Corporations Act 2001</w:t>
      </w:r>
      <w:r>
        <w:rPr>
          <w:rFonts w:ascii="Times New Roman" w:hAnsi="Times New Roman"/>
          <w:sz w:val="24"/>
        </w:rPr>
        <w:t xml:space="preserve">, or </w:t>
      </w:r>
      <w:r w:rsidR="00DD712F">
        <w:rPr>
          <w:rFonts w:ascii="Times New Roman" w:hAnsi="Times New Roman"/>
          <w:sz w:val="24"/>
        </w:rPr>
        <w:t>are</w:t>
      </w:r>
      <w:r w:rsidR="00DD712F" w:rsidRPr="0062614C">
        <w:rPr>
          <w:rFonts w:ascii="Times New Roman" w:hAnsi="Times New Roman"/>
          <w:sz w:val="24"/>
        </w:rPr>
        <w:t xml:space="preserve"> </w:t>
      </w:r>
      <w:r>
        <w:rPr>
          <w:rFonts w:ascii="Times New Roman" w:hAnsi="Times New Roman"/>
          <w:sz w:val="24"/>
        </w:rPr>
        <w:t xml:space="preserve">otherwise </w:t>
      </w:r>
      <w:r w:rsidRPr="0062614C">
        <w:rPr>
          <w:rFonts w:ascii="Times New Roman" w:hAnsi="Times New Roman"/>
          <w:sz w:val="24"/>
        </w:rPr>
        <w:t>exempt from the requirement to hold such a licence; and</w:t>
      </w:r>
    </w:p>
    <w:p w14:paraId="79F9321C" w14:textId="0F3E4508" w:rsidR="003C20DD" w:rsidRDefault="003C20DD" w:rsidP="003C20DD">
      <w:pPr>
        <w:numPr>
          <w:ilvl w:val="1"/>
          <w:numId w:val="1"/>
        </w:numPr>
        <w:tabs>
          <w:tab w:val="clear" w:pos="1080"/>
          <w:tab w:val="num" w:pos="1134"/>
        </w:tabs>
        <w:autoSpaceDE w:val="0"/>
        <w:autoSpaceDN w:val="0"/>
        <w:adjustRightInd w:val="0"/>
        <w:spacing w:before="240"/>
        <w:ind w:left="1134" w:hanging="567"/>
        <w:rPr>
          <w:rFonts w:ascii="Times New Roman" w:hAnsi="Times New Roman"/>
          <w:sz w:val="24"/>
        </w:rPr>
      </w:pPr>
      <w:r>
        <w:rPr>
          <w:rFonts w:ascii="Times New Roman" w:hAnsi="Times New Roman"/>
          <w:sz w:val="24"/>
        </w:rPr>
        <w:t xml:space="preserve">either </w:t>
      </w:r>
      <w:r w:rsidRPr="003C20DD">
        <w:rPr>
          <w:rFonts w:ascii="Times New Roman" w:hAnsi="Times New Roman"/>
          <w:sz w:val="24"/>
        </w:rPr>
        <w:t>satisfy one of the ‘geographical link’ tests in sub</w:t>
      </w:r>
      <w:r>
        <w:rPr>
          <w:rFonts w:ascii="Times New Roman" w:hAnsi="Times New Roman"/>
          <w:sz w:val="24"/>
        </w:rPr>
        <w:t xml:space="preserve">section 6(6) of the AML/CTF Act, or </w:t>
      </w:r>
      <w:r w:rsidRPr="003C20DD">
        <w:rPr>
          <w:rFonts w:ascii="Times New Roman" w:hAnsi="Times New Roman"/>
          <w:sz w:val="24"/>
        </w:rPr>
        <w:t xml:space="preserve">have </w:t>
      </w:r>
      <w:r w:rsidR="0062614C" w:rsidRPr="0062614C">
        <w:rPr>
          <w:rFonts w:ascii="Times New Roman" w:hAnsi="Times New Roman"/>
          <w:sz w:val="24"/>
        </w:rPr>
        <w:t xml:space="preserve">certified in writing to the relevant reporting entity that </w:t>
      </w:r>
      <w:r w:rsidR="00DD712F">
        <w:rPr>
          <w:rFonts w:ascii="Times New Roman" w:hAnsi="Times New Roman"/>
          <w:sz w:val="24"/>
        </w:rPr>
        <w:t>their</w:t>
      </w:r>
      <w:r w:rsidR="00DD712F" w:rsidRPr="0062614C">
        <w:rPr>
          <w:rFonts w:ascii="Times New Roman" w:hAnsi="Times New Roman"/>
          <w:sz w:val="24"/>
        </w:rPr>
        <w:t xml:space="preserve"> </w:t>
      </w:r>
      <w:r w:rsidR="0062614C" w:rsidRPr="0062614C">
        <w:rPr>
          <w:rFonts w:ascii="Times New Roman" w:hAnsi="Times New Roman"/>
          <w:sz w:val="24"/>
        </w:rPr>
        <w:t xml:space="preserve">name and enrolment details are entered on the Reporting Entities Roll </w:t>
      </w:r>
      <w:r>
        <w:rPr>
          <w:rFonts w:ascii="Times New Roman" w:hAnsi="Times New Roman"/>
          <w:sz w:val="24"/>
        </w:rPr>
        <w:t xml:space="preserve">(and </w:t>
      </w:r>
      <w:r w:rsidRPr="003C20DD">
        <w:rPr>
          <w:rFonts w:ascii="Times New Roman" w:hAnsi="Times New Roman"/>
          <w:sz w:val="24"/>
        </w:rPr>
        <w:t>are, therefore, ‘reporting entities’ subject to the requirements of the AML/CTF Act, the AML/CTF Rules, and the oversight of AUSTRAC</w:t>
      </w:r>
      <w:r>
        <w:rPr>
          <w:rFonts w:ascii="Times New Roman" w:hAnsi="Times New Roman"/>
          <w:sz w:val="24"/>
        </w:rPr>
        <w:t>); and</w:t>
      </w:r>
    </w:p>
    <w:p w14:paraId="149D2139" w14:textId="06E19A0C" w:rsidR="003C20DD" w:rsidRPr="0012383B" w:rsidRDefault="003C20DD" w:rsidP="003C20DD">
      <w:pPr>
        <w:numPr>
          <w:ilvl w:val="1"/>
          <w:numId w:val="1"/>
        </w:numPr>
        <w:tabs>
          <w:tab w:val="clear" w:pos="1080"/>
          <w:tab w:val="num" w:pos="1134"/>
        </w:tabs>
        <w:autoSpaceDE w:val="0"/>
        <w:autoSpaceDN w:val="0"/>
        <w:adjustRightInd w:val="0"/>
        <w:spacing w:before="240"/>
        <w:ind w:left="1134" w:hanging="567"/>
        <w:rPr>
          <w:rFonts w:ascii="Times New Roman" w:hAnsi="Times New Roman"/>
          <w:sz w:val="24"/>
        </w:rPr>
      </w:pPr>
      <w:r w:rsidRPr="00F937AC">
        <w:rPr>
          <w:rFonts w:ascii="Times New Roman" w:hAnsi="Times New Roman"/>
          <w:sz w:val="24"/>
        </w:rPr>
        <w:t xml:space="preserve">have certified in </w:t>
      </w:r>
      <w:r w:rsidRPr="003613A4">
        <w:rPr>
          <w:rFonts w:ascii="Times New Roman" w:hAnsi="Times New Roman"/>
          <w:sz w:val="24"/>
        </w:rPr>
        <w:t xml:space="preserve">writing to the </w:t>
      </w:r>
      <w:r w:rsidR="002D0C86" w:rsidRPr="003613A4">
        <w:rPr>
          <w:rFonts w:ascii="Times New Roman" w:hAnsi="Times New Roman"/>
          <w:sz w:val="24"/>
        </w:rPr>
        <w:t xml:space="preserve">relevant </w:t>
      </w:r>
      <w:r w:rsidRPr="003613A4">
        <w:rPr>
          <w:rFonts w:ascii="Times New Roman" w:hAnsi="Times New Roman"/>
          <w:sz w:val="24"/>
        </w:rPr>
        <w:t>reporting</w:t>
      </w:r>
      <w:r w:rsidRPr="00F937AC">
        <w:rPr>
          <w:rFonts w:ascii="Times New Roman" w:hAnsi="Times New Roman"/>
          <w:sz w:val="24"/>
        </w:rPr>
        <w:t xml:space="preserve"> entity that they have carried out</w:t>
      </w:r>
      <w:r w:rsidRPr="003C20DD">
        <w:rPr>
          <w:rFonts w:ascii="Times New Roman" w:hAnsi="Times New Roman"/>
          <w:sz w:val="24"/>
        </w:rPr>
        <w:t xml:space="preserve"> all applicable customer identification procedures and ongoing customer due diligence requirements in accordance with Chapter 15 of the </w:t>
      </w:r>
      <w:r w:rsidRPr="00F937AC">
        <w:rPr>
          <w:rFonts w:ascii="Times New Roman" w:hAnsi="Times New Roman"/>
          <w:sz w:val="24"/>
        </w:rPr>
        <w:t>AML/CTF Rules in relation to its underlying customers prior to, or at the</w:t>
      </w:r>
      <w:r w:rsidRPr="003C20DD">
        <w:rPr>
          <w:rFonts w:ascii="Times New Roman" w:hAnsi="Times New Roman"/>
          <w:sz w:val="24"/>
        </w:rPr>
        <w:t xml:space="preserve"> time of, becoming a customer of the reporting entity.</w:t>
      </w:r>
      <w:r>
        <w:rPr>
          <w:rFonts w:ascii="Times New Roman" w:hAnsi="Times New Roman"/>
          <w:sz w:val="24"/>
        </w:rPr>
        <w:t xml:space="preserve"> </w:t>
      </w:r>
    </w:p>
    <w:p w14:paraId="22B0D342" w14:textId="6A012606" w:rsidR="0012383B" w:rsidRPr="00F937AC" w:rsidRDefault="003C20DD" w:rsidP="0062614C">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sidRPr="00F937AC">
        <w:rPr>
          <w:rFonts w:ascii="Times New Roman" w:hAnsi="Times New Roman"/>
          <w:sz w:val="24"/>
        </w:rPr>
        <w:t xml:space="preserve">The definition of ‘custodian’ contained in new paragraph 4.4.19(1) also limits the scope of the relief to corporate custodians, rather than individuals who provide custodial or depository services. </w:t>
      </w:r>
    </w:p>
    <w:p w14:paraId="5E22A7CC" w14:textId="28BBF797" w:rsidR="003C55E3" w:rsidRPr="003C55E3" w:rsidRDefault="003C55E3" w:rsidP="003C55E3">
      <w:pPr>
        <w:numPr>
          <w:ilvl w:val="0"/>
          <w:numId w:val="1"/>
        </w:numPr>
        <w:tabs>
          <w:tab w:val="clear" w:pos="720"/>
          <w:tab w:val="num" w:pos="567"/>
        </w:tabs>
        <w:autoSpaceDE w:val="0"/>
        <w:autoSpaceDN w:val="0"/>
        <w:adjustRightInd w:val="0"/>
        <w:spacing w:before="240"/>
        <w:ind w:left="567" w:hanging="567"/>
        <w:rPr>
          <w:rFonts w:ascii="Times New Roman" w:hAnsi="Times New Roman"/>
          <w:b/>
          <w:sz w:val="24"/>
        </w:rPr>
      </w:pPr>
      <w:r>
        <w:rPr>
          <w:rFonts w:ascii="Times New Roman" w:hAnsi="Times New Roman"/>
          <w:sz w:val="24"/>
        </w:rPr>
        <w:t xml:space="preserve">The amendments to Chapters 4 and 15 will </w:t>
      </w:r>
      <w:r w:rsidR="0062614C">
        <w:rPr>
          <w:rFonts w:ascii="Times New Roman" w:hAnsi="Times New Roman"/>
          <w:sz w:val="24"/>
        </w:rPr>
        <w:t>take effect</w:t>
      </w:r>
      <w:r>
        <w:rPr>
          <w:rFonts w:ascii="Times New Roman" w:hAnsi="Times New Roman"/>
          <w:sz w:val="24"/>
        </w:rPr>
        <w:t xml:space="preserve"> 28 days after registration of this amendment instrument.</w:t>
      </w:r>
    </w:p>
    <w:p w14:paraId="7FAB181C" w14:textId="77777777" w:rsidR="00426C16" w:rsidRDefault="00426C16">
      <w:pPr>
        <w:rPr>
          <w:rFonts w:ascii="Times New Roman" w:hAnsi="Times New Roman"/>
          <w:i/>
          <w:sz w:val="24"/>
        </w:rPr>
      </w:pPr>
      <w:r>
        <w:rPr>
          <w:rFonts w:ascii="Times New Roman" w:hAnsi="Times New Roman"/>
          <w:i/>
          <w:sz w:val="24"/>
        </w:rPr>
        <w:br w:type="page"/>
      </w:r>
    </w:p>
    <w:p w14:paraId="3A460C89" w14:textId="5741501C" w:rsidR="0012383B" w:rsidRPr="00EB0ACD" w:rsidRDefault="0012383B" w:rsidP="003C55E3">
      <w:pPr>
        <w:autoSpaceDE w:val="0"/>
        <w:autoSpaceDN w:val="0"/>
        <w:adjustRightInd w:val="0"/>
        <w:spacing w:before="240"/>
        <w:rPr>
          <w:rFonts w:ascii="Times New Roman" w:hAnsi="Times New Roman"/>
          <w:i/>
          <w:sz w:val="24"/>
        </w:rPr>
      </w:pPr>
      <w:r w:rsidRPr="00EB0ACD">
        <w:rPr>
          <w:rFonts w:ascii="Times New Roman" w:hAnsi="Times New Roman"/>
          <w:i/>
          <w:sz w:val="24"/>
        </w:rPr>
        <w:lastRenderedPageBreak/>
        <w:t>Amendments not to affect operation of simplified verification procedures</w:t>
      </w:r>
    </w:p>
    <w:p w14:paraId="4ED99D66" w14:textId="70D5191C" w:rsidR="0012383B" w:rsidRPr="00B73E1E" w:rsidRDefault="00EB0ACD" w:rsidP="00B73E1E">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P</w:t>
      </w:r>
      <w:r w:rsidR="0012383B" w:rsidRPr="002403F3">
        <w:rPr>
          <w:rFonts w:ascii="Times New Roman" w:hAnsi="Times New Roman"/>
          <w:sz w:val="24"/>
        </w:rPr>
        <w:t>aragraph</w:t>
      </w:r>
      <w:r w:rsidR="005219C0">
        <w:rPr>
          <w:rFonts w:ascii="Times New Roman" w:hAnsi="Times New Roman"/>
          <w:sz w:val="24"/>
        </w:rPr>
        <w:t>s</w:t>
      </w:r>
      <w:r>
        <w:rPr>
          <w:rFonts w:ascii="Times New Roman" w:hAnsi="Times New Roman"/>
          <w:sz w:val="24"/>
        </w:rPr>
        <w:t xml:space="preserve"> 4.4.18–</w:t>
      </w:r>
      <w:r w:rsidR="005219C0">
        <w:rPr>
          <w:rFonts w:ascii="Times New Roman" w:hAnsi="Times New Roman"/>
          <w:sz w:val="24"/>
        </w:rPr>
        <w:t>4.4.19 are</w:t>
      </w:r>
      <w:r w:rsidR="0012383B" w:rsidRPr="002403F3">
        <w:rPr>
          <w:rFonts w:ascii="Times New Roman" w:hAnsi="Times New Roman"/>
          <w:sz w:val="24"/>
        </w:rPr>
        <w:t xml:space="preserve"> not intended to override the ability of a reporting entity to rely on</w:t>
      </w:r>
      <w:r w:rsidR="00B73E1E">
        <w:rPr>
          <w:rFonts w:ascii="Times New Roman" w:hAnsi="Times New Roman"/>
          <w:sz w:val="24"/>
        </w:rPr>
        <w:t xml:space="preserve"> either</w:t>
      </w:r>
      <w:r w:rsidR="0012383B" w:rsidRPr="002403F3">
        <w:rPr>
          <w:rFonts w:ascii="Times New Roman" w:hAnsi="Times New Roman"/>
          <w:sz w:val="24"/>
        </w:rPr>
        <w:t xml:space="preserve"> the</w:t>
      </w:r>
      <w:r w:rsidR="00B73E1E">
        <w:rPr>
          <w:rFonts w:ascii="Times New Roman" w:hAnsi="Times New Roman"/>
          <w:sz w:val="24"/>
        </w:rPr>
        <w:t xml:space="preserve"> </w:t>
      </w:r>
      <w:r w:rsidR="0012383B" w:rsidRPr="00B73E1E">
        <w:rPr>
          <w:rFonts w:ascii="Times New Roman" w:eastAsia="Calibri" w:hAnsi="Times New Roman"/>
          <w:color w:val="000000" w:themeColor="text1"/>
          <w:sz w:val="24"/>
        </w:rPr>
        <w:t>simplified company verification procedure (SCVP) in paragra</w:t>
      </w:r>
      <w:r w:rsidR="00B73E1E">
        <w:rPr>
          <w:rFonts w:ascii="Times New Roman" w:eastAsia="Calibri" w:hAnsi="Times New Roman"/>
          <w:color w:val="000000" w:themeColor="text1"/>
          <w:sz w:val="24"/>
        </w:rPr>
        <w:t>ph 4.3.8, or</w:t>
      </w:r>
      <w:r w:rsidR="00B73E1E">
        <w:rPr>
          <w:rFonts w:ascii="Times New Roman" w:hAnsi="Times New Roman"/>
          <w:sz w:val="24"/>
        </w:rPr>
        <w:t xml:space="preserve"> the </w:t>
      </w:r>
      <w:r w:rsidR="0012383B" w:rsidRPr="00B73E1E">
        <w:rPr>
          <w:rFonts w:ascii="Times New Roman" w:eastAsia="Calibri" w:hAnsi="Times New Roman"/>
          <w:color w:val="000000" w:themeColor="text1"/>
          <w:sz w:val="24"/>
        </w:rPr>
        <w:t>simplified trustee verification procedure (STVP) in paragraphs 4.4.8 and 4.4.13 of the AML/CTF Rules</w:t>
      </w:r>
      <w:r w:rsidR="002C22B3" w:rsidRPr="00B73E1E">
        <w:rPr>
          <w:rFonts w:ascii="Times New Roman" w:eastAsia="Calibri" w:hAnsi="Times New Roman"/>
          <w:color w:val="000000" w:themeColor="text1"/>
          <w:sz w:val="24"/>
        </w:rPr>
        <w:t>,</w:t>
      </w:r>
      <w:r w:rsidR="00B73E1E">
        <w:rPr>
          <w:rFonts w:ascii="Times New Roman" w:hAnsi="Times New Roman"/>
          <w:sz w:val="24"/>
        </w:rPr>
        <w:t xml:space="preserve"> </w:t>
      </w:r>
      <w:r w:rsidR="002C22B3" w:rsidRPr="00B73E1E">
        <w:rPr>
          <w:rFonts w:ascii="Times New Roman" w:eastAsia="Calibri" w:hAnsi="Times New Roman"/>
          <w:color w:val="000000" w:themeColor="text1"/>
          <w:sz w:val="24"/>
        </w:rPr>
        <w:t>i</w:t>
      </w:r>
      <w:r w:rsidR="00F61FBF" w:rsidRPr="00B73E1E">
        <w:rPr>
          <w:rFonts w:ascii="Times New Roman" w:eastAsia="Calibri" w:hAnsi="Times New Roman"/>
          <w:color w:val="000000" w:themeColor="text1"/>
          <w:sz w:val="24"/>
        </w:rPr>
        <w:t>f</w:t>
      </w:r>
      <w:r w:rsidR="0012383B" w:rsidRPr="00B73E1E">
        <w:rPr>
          <w:rFonts w:ascii="Times New Roman" w:eastAsia="Calibri" w:hAnsi="Times New Roman"/>
          <w:color w:val="000000" w:themeColor="text1"/>
          <w:sz w:val="24"/>
        </w:rPr>
        <w:t xml:space="preserve"> it applies to a custodian or custodial arrangement.</w:t>
      </w:r>
    </w:p>
    <w:p w14:paraId="559D88D9" w14:textId="370A3859" w:rsidR="0012383B" w:rsidRPr="002403F3" w:rsidRDefault="0012383B" w:rsidP="002403F3">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sidRPr="002403F3">
        <w:rPr>
          <w:rFonts w:ascii="Times New Roman" w:hAnsi="Times New Roman"/>
          <w:sz w:val="24"/>
        </w:rPr>
        <w:t>AUSTRAC notes that the STVP only appl</w:t>
      </w:r>
      <w:r w:rsidR="007E62CD">
        <w:rPr>
          <w:rFonts w:ascii="Times New Roman" w:hAnsi="Times New Roman"/>
          <w:sz w:val="24"/>
        </w:rPr>
        <w:t>ies</w:t>
      </w:r>
      <w:r w:rsidRPr="002403F3">
        <w:rPr>
          <w:rFonts w:ascii="Times New Roman" w:hAnsi="Times New Roman"/>
          <w:sz w:val="24"/>
        </w:rPr>
        <w:t xml:space="preserve"> to a limited number of custodians. It is also important to note that despite the potential applicability of the SCVP and the STVP, reporting entities may still choose to collect and verify additional KYC information about the custodian-trustee in accordance with paragraphs 4.4.4, 4.4.6 and 4.4.7 of the AML/CTF Rules, especially where there is higher ML/TF risk.</w:t>
      </w:r>
    </w:p>
    <w:p w14:paraId="4BCD71E6" w14:textId="35A6035D" w:rsidR="00B41A03" w:rsidRPr="002403F3" w:rsidRDefault="00B41A03" w:rsidP="00B41A03">
      <w:pPr>
        <w:autoSpaceDE w:val="0"/>
        <w:autoSpaceDN w:val="0"/>
        <w:adjustRightInd w:val="0"/>
        <w:spacing w:before="240"/>
        <w:rPr>
          <w:rFonts w:ascii="Times New Roman" w:hAnsi="Times New Roman"/>
          <w:b/>
          <w:sz w:val="24"/>
        </w:rPr>
      </w:pPr>
      <w:r w:rsidRPr="00FD5B62">
        <w:rPr>
          <w:rFonts w:ascii="Times New Roman" w:hAnsi="Times New Roman"/>
          <w:b/>
          <w:sz w:val="24"/>
        </w:rPr>
        <w:t xml:space="preserve">Amendments to Chapter 38 relating to exemption from </w:t>
      </w:r>
      <w:r w:rsidR="00192A77">
        <w:rPr>
          <w:rFonts w:ascii="Times New Roman" w:hAnsi="Times New Roman"/>
          <w:b/>
          <w:sz w:val="24"/>
        </w:rPr>
        <w:t>applicable customer identification procedures</w:t>
      </w:r>
      <w:r w:rsidRPr="00FD5B62">
        <w:rPr>
          <w:rFonts w:ascii="Times New Roman" w:hAnsi="Times New Roman"/>
          <w:b/>
          <w:sz w:val="24"/>
        </w:rPr>
        <w:t xml:space="preserve"> for the sale</w:t>
      </w:r>
      <w:r>
        <w:rPr>
          <w:rFonts w:ascii="Times New Roman" w:hAnsi="Times New Roman"/>
          <w:b/>
          <w:sz w:val="24"/>
        </w:rPr>
        <w:t xml:space="preserve"> of shares for charitable purposes</w:t>
      </w:r>
    </w:p>
    <w:p w14:paraId="2E355E88" w14:textId="284EBCD2" w:rsidR="006A75A4" w:rsidRDefault="007C337E" w:rsidP="00BA77AD">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Chapter 38 of the AML/CTF Rules provides</w:t>
      </w:r>
      <w:r w:rsidR="00BA77AD">
        <w:rPr>
          <w:rFonts w:ascii="Times New Roman" w:hAnsi="Times New Roman"/>
          <w:sz w:val="24"/>
        </w:rPr>
        <w:t xml:space="preserve"> an exemption from Division 4 of Part 2 of the AML/CTF Act for</w:t>
      </w:r>
      <w:r>
        <w:rPr>
          <w:rFonts w:ascii="Times New Roman" w:hAnsi="Times New Roman"/>
          <w:sz w:val="24"/>
        </w:rPr>
        <w:t xml:space="preserve"> brokers that sell shares as an agent of a </w:t>
      </w:r>
      <w:r w:rsidR="006A75A4">
        <w:rPr>
          <w:rFonts w:ascii="Times New Roman" w:hAnsi="Times New Roman"/>
          <w:sz w:val="24"/>
        </w:rPr>
        <w:t>P</w:t>
      </w:r>
      <w:r>
        <w:rPr>
          <w:rFonts w:ascii="Times New Roman" w:hAnsi="Times New Roman"/>
          <w:sz w:val="24"/>
        </w:rPr>
        <w:t>ublic Ancillary Fund (PuAF). One condition</w:t>
      </w:r>
      <w:r w:rsidR="00BA77AD">
        <w:rPr>
          <w:rFonts w:ascii="Times New Roman" w:hAnsi="Times New Roman"/>
          <w:sz w:val="24"/>
        </w:rPr>
        <w:t xml:space="preserve"> of the exemption</w:t>
      </w:r>
      <w:r>
        <w:rPr>
          <w:rFonts w:ascii="Times New Roman" w:hAnsi="Times New Roman"/>
          <w:sz w:val="24"/>
        </w:rPr>
        <w:t xml:space="preserve"> is that the proceeds of the sale of any security must be given to a PuAF that provides an undertaking to distribute proceeds of the disposal of the security to a deductible gift recipient before the end of the financial year in which it receives the proceeds. </w:t>
      </w:r>
    </w:p>
    <w:p w14:paraId="5D9E553E" w14:textId="5010FCB7" w:rsidR="00100B3F" w:rsidRDefault="00BA77AD" w:rsidP="00BA77AD">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 xml:space="preserve">The month of June is the peak giving period for donations to charity, and the requirement to dispose of the proceeds of the sale of any security prior to June 30 </w:t>
      </w:r>
      <w:r w:rsidR="00DD712F">
        <w:rPr>
          <w:rFonts w:ascii="Times New Roman" w:hAnsi="Times New Roman"/>
          <w:sz w:val="24"/>
        </w:rPr>
        <w:t>has</w:t>
      </w:r>
      <w:r w:rsidR="002D6506">
        <w:rPr>
          <w:rFonts w:ascii="Times New Roman" w:hAnsi="Times New Roman"/>
          <w:sz w:val="24"/>
        </w:rPr>
        <w:t xml:space="preserve"> </w:t>
      </w:r>
      <w:r>
        <w:rPr>
          <w:rFonts w:ascii="Times New Roman" w:hAnsi="Times New Roman"/>
          <w:sz w:val="24"/>
        </w:rPr>
        <w:t xml:space="preserve">generated a more ad hoc approach to donating as well as unintended administrative consequences. The amendment </w:t>
      </w:r>
      <w:r w:rsidR="006A75A4">
        <w:rPr>
          <w:rFonts w:ascii="Times New Roman" w:hAnsi="Times New Roman"/>
          <w:sz w:val="24"/>
        </w:rPr>
        <w:t xml:space="preserve">removing this requirement will </w:t>
      </w:r>
      <w:r>
        <w:rPr>
          <w:rFonts w:ascii="Times New Roman" w:hAnsi="Times New Roman"/>
          <w:sz w:val="24"/>
        </w:rPr>
        <w:t>allow PuAF</w:t>
      </w:r>
      <w:r w:rsidR="006A75A4">
        <w:rPr>
          <w:rFonts w:ascii="Times New Roman" w:hAnsi="Times New Roman"/>
          <w:sz w:val="24"/>
        </w:rPr>
        <w:t>s</w:t>
      </w:r>
      <w:r>
        <w:rPr>
          <w:rFonts w:ascii="Times New Roman" w:hAnsi="Times New Roman"/>
          <w:sz w:val="24"/>
        </w:rPr>
        <w:t xml:space="preserve"> to</w:t>
      </w:r>
      <w:r w:rsidR="007C337E">
        <w:rPr>
          <w:rFonts w:ascii="Times New Roman" w:hAnsi="Times New Roman"/>
          <w:sz w:val="24"/>
        </w:rPr>
        <w:t xml:space="preserve"> adopt a structured and planned approach to donating to charity.</w:t>
      </w:r>
    </w:p>
    <w:p w14:paraId="59DFE819" w14:textId="02A2DFC7" w:rsidR="00B41A03" w:rsidRPr="00BA77AD" w:rsidRDefault="00100B3F" w:rsidP="00BA77AD">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This amendment will take effect the day after registration of this amendment instrument.</w:t>
      </w:r>
      <w:r w:rsidR="007C337E">
        <w:rPr>
          <w:rFonts w:ascii="Times New Roman" w:hAnsi="Times New Roman"/>
          <w:sz w:val="24"/>
        </w:rPr>
        <w:t xml:space="preserve"> </w:t>
      </w:r>
    </w:p>
    <w:p w14:paraId="0C18AF16" w14:textId="2112A29B" w:rsidR="00CD4FA5" w:rsidRPr="00CD4FA5" w:rsidRDefault="00CD4FA5" w:rsidP="00301D3F">
      <w:pPr>
        <w:keepNext/>
        <w:spacing w:before="240"/>
        <w:rPr>
          <w:rFonts w:ascii="Times New Roman" w:hAnsi="Times New Roman"/>
          <w:b/>
          <w:i/>
          <w:sz w:val="24"/>
          <w:lang w:eastAsia="en-AU"/>
        </w:rPr>
      </w:pPr>
      <w:r w:rsidRPr="00CD4FA5">
        <w:rPr>
          <w:rFonts w:ascii="Times New Roman" w:hAnsi="Times New Roman"/>
          <w:b/>
          <w:sz w:val="24"/>
          <w:lang w:eastAsia="en-AU"/>
        </w:rPr>
        <w:t xml:space="preserve">Statement of Compatibility with the </w:t>
      </w:r>
      <w:r w:rsidRPr="00CD4FA5">
        <w:rPr>
          <w:rFonts w:ascii="Times New Roman" w:hAnsi="Times New Roman"/>
          <w:b/>
          <w:i/>
          <w:sz w:val="24"/>
          <w:lang w:eastAsia="en-AU"/>
        </w:rPr>
        <w:t>Human Rights (Parliamentary Scrutiny) Act 2011</w:t>
      </w:r>
    </w:p>
    <w:p w14:paraId="19A1D42A" w14:textId="1163BF97" w:rsidR="00CD4FA5" w:rsidRPr="00CD4FA5" w:rsidRDefault="00CD4FA5" w:rsidP="0012383B">
      <w:pPr>
        <w:numPr>
          <w:ilvl w:val="0"/>
          <w:numId w:val="1"/>
        </w:numPr>
        <w:autoSpaceDE w:val="0"/>
        <w:autoSpaceDN w:val="0"/>
        <w:adjustRightInd w:val="0"/>
        <w:spacing w:before="240"/>
        <w:ind w:hanging="720"/>
        <w:rPr>
          <w:rFonts w:ascii="Times New Roman" w:hAnsi="Times New Roman"/>
          <w:sz w:val="24"/>
        </w:rPr>
      </w:pPr>
      <w:r w:rsidRPr="00CD4FA5">
        <w:rPr>
          <w:rFonts w:ascii="Times New Roman" w:hAnsi="Times New Roman"/>
          <w:sz w:val="24"/>
        </w:rPr>
        <w:t xml:space="preserve">The </w:t>
      </w:r>
      <w:r w:rsidRPr="00BC0F96">
        <w:rPr>
          <w:rFonts w:ascii="Times New Roman" w:hAnsi="Times New Roman"/>
          <w:i/>
          <w:sz w:val="24"/>
        </w:rPr>
        <w:t>Human Rights (Parliamentary Scrutiny) Act 2011</w:t>
      </w:r>
      <w:r w:rsidRPr="00CD4FA5">
        <w:rPr>
          <w:rFonts w:ascii="Times New Roman" w:hAnsi="Times New Roman"/>
          <w:sz w:val="24"/>
        </w:rPr>
        <w:t xml:space="preserve"> requires a Statement of Compatibility declaring that the relevant instrument is compatible with the human rights and freedoms recognised or declared in the international instruments listed in section 3 of that Act.</w:t>
      </w:r>
    </w:p>
    <w:p w14:paraId="70551277" w14:textId="40A80F9C" w:rsidR="00CD4FA5" w:rsidRPr="00CD4FA5" w:rsidRDefault="00CD4FA5" w:rsidP="0012383B">
      <w:pPr>
        <w:numPr>
          <w:ilvl w:val="0"/>
          <w:numId w:val="1"/>
        </w:numPr>
        <w:autoSpaceDE w:val="0"/>
        <w:autoSpaceDN w:val="0"/>
        <w:adjustRightInd w:val="0"/>
        <w:spacing w:before="240"/>
        <w:ind w:hanging="720"/>
        <w:rPr>
          <w:rFonts w:ascii="Times New Roman" w:hAnsi="Times New Roman"/>
          <w:sz w:val="24"/>
        </w:rPr>
      </w:pPr>
      <w:r w:rsidRPr="00CD4FA5">
        <w:rPr>
          <w:rFonts w:ascii="Times New Roman" w:hAnsi="Times New Roman"/>
          <w:sz w:val="24"/>
        </w:rPr>
        <w:t xml:space="preserve">The Statement of Compatibility for the </w:t>
      </w:r>
      <w:r w:rsidRPr="00BC0F96">
        <w:rPr>
          <w:rFonts w:ascii="Times New Roman" w:hAnsi="Times New Roman"/>
          <w:i/>
          <w:sz w:val="24"/>
        </w:rPr>
        <w:t xml:space="preserve">Anti-Money Laundering and Counter-Terrorism Financing Rules Amendment Instrument </w:t>
      </w:r>
      <w:r w:rsidR="00923713" w:rsidRPr="00BC0F96">
        <w:rPr>
          <w:rFonts w:ascii="Times New Roman" w:hAnsi="Times New Roman"/>
          <w:i/>
          <w:sz w:val="24"/>
        </w:rPr>
        <w:t>201</w:t>
      </w:r>
      <w:r w:rsidR="00B46BA1">
        <w:rPr>
          <w:rFonts w:ascii="Times New Roman" w:hAnsi="Times New Roman"/>
          <w:i/>
          <w:sz w:val="24"/>
        </w:rPr>
        <w:t>9</w:t>
      </w:r>
      <w:r w:rsidR="00923713" w:rsidRPr="00BC0F96">
        <w:rPr>
          <w:rFonts w:ascii="Times New Roman" w:hAnsi="Times New Roman"/>
          <w:i/>
          <w:sz w:val="24"/>
        </w:rPr>
        <w:t xml:space="preserve"> </w:t>
      </w:r>
      <w:r w:rsidRPr="00BC0F96">
        <w:rPr>
          <w:rFonts w:ascii="Times New Roman" w:hAnsi="Times New Roman"/>
          <w:i/>
          <w:sz w:val="24"/>
        </w:rPr>
        <w:t xml:space="preserve">(No. </w:t>
      </w:r>
      <w:r w:rsidR="00B46BA1">
        <w:rPr>
          <w:rFonts w:ascii="Times New Roman" w:hAnsi="Times New Roman"/>
          <w:i/>
          <w:sz w:val="24"/>
        </w:rPr>
        <w:t>1</w:t>
      </w:r>
      <w:r w:rsidRPr="00BC0F96">
        <w:rPr>
          <w:rFonts w:ascii="Times New Roman" w:hAnsi="Times New Roman"/>
          <w:i/>
          <w:sz w:val="24"/>
        </w:rPr>
        <w:t>)</w:t>
      </w:r>
      <w:r w:rsidRPr="00CD4FA5">
        <w:rPr>
          <w:rFonts w:ascii="Times New Roman" w:hAnsi="Times New Roman"/>
          <w:sz w:val="24"/>
        </w:rPr>
        <w:t xml:space="preserve"> is included in this Explanatory Statement at page</w:t>
      </w:r>
      <w:r w:rsidR="00485C7E">
        <w:rPr>
          <w:rFonts w:ascii="Times New Roman" w:hAnsi="Times New Roman"/>
          <w:sz w:val="24"/>
        </w:rPr>
        <w:t>s</w:t>
      </w:r>
      <w:r w:rsidRPr="00CD4FA5">
        <w:rPr>
          <w:rFonts w:ascii="Times New Roman" w:hAnsi="Times New Roman"/>
          <w:sz w:val="24"/>
        </w:rPr>
        <w:t xml:space="preserve"> </w:t>
      </w:r>
      <w:r w:rsidR="00F048FA" w:rsidRPr="00136E76">
        <w:rPr>
          <w:rFonts w:ascii="Times New Roman" w:hAnsi="Times New Roman"/>
          <w:sz w:val="24"/>
        </w:rPr>
        <w:t>11-12</w:t>
      </w:r>
      <w:r w:rsidRPr="00F048FA">
        <w:rPr>
          <w:rFonts w:ascii="Times New Roman" w:hAnsi="Times New Roman"/>
          <w:sz w:val="24"/>
        </w:rPr>
        <w:t>.</w:t>
      </w:r>
      <w:r w:rsidR="00BC0F96">
        <w:rPr>
          <w:rFonts w:ascii="Times New Roman" w:hAnsi="Times New Roman"/>
          <w:sz w:val="24"/>
        </w:rPr>
        <w:t xml:space="preserve"> </w:t>
      </w:r>
      <w:r w:rsidRPr="00CD4FA5">
        <w:rPr>
          <w:rFonts w:ascii="Times New Roman" w:hAnsi="Times New Roman"/>
          <w:sz w:val="24"/>
        </w:rPr>
        <w:t xml:space="preserve">The AUSTRAC CEO, as the rule-maker of this legislative instrument, has stated that it is compatible with the human rights and freedoms recognised or declared in the international instruments listed in section 3 of the </w:t>
      </w:r>
      <w:r w:rsidRPr="00BC0F96">
        <w:rPr>
          <w:rFonts w:ascii="Times New Roman" w:hAnsi="Times New Roman"/>
          <w:i/>
          <w:sz w:val="24"/>
        </w:rPr>
        <w:t>Human Rights (Parliamentary Scrutiny) Act 2011</w:t>
      </w:r>
      <w:r w:rsidRPr="00CD4FA5">
        <w:rPr>
          <w:rFonts w:ascii="Times New Roman" w:hAnsi="Times New Roman"/>
          <w:sz w:val="24"/>
        </w:rPr>
        <w:t>.</w:t>
      </w:r>
    </w:p>
    <w:p w14:paraId="4942213D" w14:textId="77777777" w:rsidR="00FA78E0" w:rsidRDefault="00FA78E0">
      <w:pPr>
        <w:rPr>
          <w:rFonts w:ascii="Times New Roman" w:hAnsi="Times New Roman"/>
          <w:b/>
          <w:sz w:val="24"/>
        </w:rPr>
      </w:pPr>
      <w:r>
        <w:rPr>
          <w:rFonts w:ascii="Times New Roman" w:hAnsi="Times New Roman"/>
          <w:b/>
          <w:sz w:val="24"/>
        </w:rPr>
        <w:br w:type="page"/>
      </w:r>
    </w:p>
    <w:p w14:paraId="779F5B85" w14:textId="5E6E51B9" w:rsidR="00CD4FA5" w:rsidRPr="00CD4FA5" w:rsidRDefault="00CD4FA5" w:rsidP="00301D3F">
      <w:pPr>
        <w:spacing w:before="240"/>
        <w:rPr>
          <w:rFonts w:ascii="Times New Roman" w:hAnsi="Times New Roman"/>
          <w:b/>
          <w:sz w:val="24"/>
        </w:rPr>
      </w:pPr>
      <w:r w:rsidRPr="00CD4FA5">
        <w:rPr>
          <w:rFonts w:ascii="Times New Roman" w:hAnsi="Times New Roman"/>
          <w:b/>
          <w:sz w:val="24"/>
        </w:rPr>
        <w:lastRenderedPageBreak/>
        <w:t>Notes on sections</w:t>
      </w:r>
    </w:p>
    <w:p w14:paraId="4F45D9AC" w14:textId="77777777" w:rsidR="00CD4FA5" w:rsidRPr="00CD4FA5" w:rsidRDefault="00CD4FA5" w:rsidP="00301D3F">
      <w:pPr>
        <w:spacing w:before="240"/>
        <w:rPr>
          <w:rFonts w:ascii="Times New Roman" w:hAnsi="Times New Roman"/>
          <w:b/>
          <w:sz w:val="24"/>
        </w:rPr>
      </w:pPr>
      <w:r w:rsidRPr="00CD4FA5">
        <w:rPr>
          <w:rFonts w:ascii="Times New Roman" w:hAnsi="Times New Roman"/>
          <w:b/>
          <w:sz w:val="24"/>
        </w:rPr>
        <w:t>Section 1</w:t>
      </w:r>
    </w:p>
    <w:p w14:paraId="690AAD0A" w14:textId="58E0718F" w:rsidR="00CD4FA5" w:rsidRPr="00C0291D" w:rsidRDefault="00CD4FA5" w:rsidP="0012383B">
      <w:pPr>
        <w:numPr>
          <w:ilvl w:val="0"/>
          <w:numId w:val="1"/>
        </w:numPr>
        <w:autoSpaceDE w:val="0"/>
        <w:autoSpaceDN w:val="0"/>
        <w:adjustRightInd w:val="0"/>
        <w:spacing w:before="240"/>
        <w:ind w:hanging="720"/>
        <w:rPr>
          <w:rFonts w:ascii="Times New Roman" w:hAnsi="Times New Roman"/>
          <w:sz w:val="24"/>
        </w:rPr>
      </w:pPr>
      <w:r w:rsidRPr="00CD4FA5">
        <w:rPr>
          <w:rFonts w:ascii="Times New Roman" w:hAnsi="Times New Roman"/>
          <w:sz w:val="24"/>
        </w:rPr>
        <w:t xml:space="preserve">This section sets out the name of the Instrument, i.e. </w:t>
      </w:r>
      <w:r w:rsidRPr="00083A52">
        <w:rPr>
          <w:rFonts w:ascii="Times New Roman" w:hAnsi="Times New Roman"/>
          <w:i/>
          <w:sz w:val="24"/>
        </w:rPr>
        <w:t xml:space="preserve">the Anti-Money Laundering and Counter-Terrorism Financing Rules Amendment Instrument </w:t>
      </w:r>
      <w:r w:rsidR="00923713" w:rsidRPr="00083A52">
        <w:rPr>
          <w:rFonts w:ascii="Times New Roman" w:hAnsi="Times New Roman"/>
          <w:i/>
          <w:sz w:val="24"/>
        </w:rPr>
        <w:t>201</w:t>
      </w:r>
      <w:r w:rsidR="00A42726">
        <w:rPr>
          <w:rFonts w:ascii="Times New Roman" w:hAnsi="Times New Roman"/>
          <w:i/>
          <w:sz w:val="24"/>
        </w:rPr>
        <w:t>9</w:t>
      </w:r>
      <w:r w:rsidR="00923713" w:rsidRPr="00083A52">
        <w:rPr>
          <w:rFonts w:ascii="Times New Roman" w:hAnsi="Times New Roman"/>
          <w:i/>
          <w:sz w:val="24"/>
        </w:rPr>
        <w:t xml:space="preserve"> </w:t>
      </w:r>
      <w:r w:rsidRPr="00083A52">
        <w:rPr>
          <w:rFonts w:ascii="Times New Roman" w:hAnsi="Times New Roman"/>
          <w:i/>
          <w:sz w:val="24"/>
        </w:rPr>
        <w:t xml:space="preserve">(No. </w:t>
      </w:r>
      <w:r w:rsidR="006C2DEB">
        <w:rPr>
          <w:rFonts w:ascii="Times New Roman" w:hAnsi="Times New Roman"/>
          <w:i/>
          <w:sz w:val="24"/>
        </w:rPr>
        <w:t>2</w:t>
      </w:r>
      <w:r w:rsidRPr="00083A52">
        <w:rPr>
          <w:rFonts w:ascii="Times New Roman" w:hAnsi="Times New Roman"/>
          <w:i/>
          <w:sz w:val="24"/>
        </w:rPr>
        <w:t>)</w:t>
      </w:r>
      <w:r w:rsidRPr="00C0291D">
        <w:rPr>
          <w:rFonts w:ascii="Times New Roman" w:hAnsi="Times New Roman"/>
          <w:sz w:val="24"/>
        </w:rPr>
        <w:t>.</w:t>
      </w:r>
    </w:p>
    <w:p w14:paraId="01609E35" w14:textId="77777777" w:rsidR="00CD4FA5" w:rsidRPr="00CD4FA5" w:rsidRDefault="00CD4FA5" w:rsidP="005F6A22">
      <w:pPr>
        <w:spacing w:before="240"/>
        <w:rPr>
          <w:rFonts w:ascii="Times New Roman" w:hAnsi="Times New Roman"/>
          <w:b/>
          <w:sz w:val="24"/>
        </w:rPr>
      </w:pPr>
      <w:r w:rsidRPr="00CD4FA5">
        <w:rPr>
          <w:rFonts w:ascii="Times New Roman" w:hAnsi="Times New Roman"/>
          <w:b/>
          <w:sz w:val="24"/>
        </w:rPr>
        <w:t>Section 2</w:t>
      </w:r>
    </w:p>
    <w:p w14:paraId="4CD8E13D" w14:textId="3A2992B6" w:rsidR="00CD4FA5" w:rsidRDefault="00CD4FA5" w:rsidP="0012383B">
      <w:pPr>
        <w:numPr>
          <w:ilvl w:val="0"/>
          <w:numId w:val="1"/>
        </w:numPr>
        <w:autoSpaceDE w:val="0"/>
        <w:autoSpaceDN w:val="0"/>
        <w:adjustRightInd w:val="0"/>
        <w:spacing w:before="240"/>
        <w:ind w:hanging="720"/>
        <w:rPr>
          <w:rFonts w:ascii="Times New Roman" w:hAnsi="Times New Roman"/>
          <w:sz w:val="24"/>
        </w:rPr>
      </w:pPr>
      <w:r w:rsidRPr="00CD4FA5">
        <w:rPr>
          <w:rFonts w:ascii="Times New Roman" w:hAnsi="Times New Roman"/>
          <w:sz w:val="24"/>
        </w:rPr>
        <w:t xml:space="preserve">This section specifies </w:t>
      </w:r>
      <w:r w:rsidR="004506FF">
        <w:rPr>
          <w:rFonts w:ascii="Times New Roman" w:hAnsi="Times New Roman"/>
          <w:sz w:val="24"/>
        </w:rPr>
        <w:t>the commencement dates of the amendments.</w:t>
      </w:r>
    </w:p>
    <w:p w14:paraId="52084F35" w14:textId="6CFAC09C" w:rsidR="004506FF" w:rsidRDefault="004506FF" w:rsidP="00301D3F">
      <w:pPr>
        <w:spacing w:before="240"/>
        <w:rPr>
          <w:rFonts w:ascii="Times New Roman" w:hAnsi="Times New Roman"/>
          <w:b/>
          <w:sz w:val="24"/>
        </w:rPr>
      </w:pPr>
      <w:r>
        <w:rPr>
          <w:rFonts w:ascii="Times New Roman" w:hAnsi="Times New Roman"/>
          <w:b/>
          <w:sz w:val="24"/>
        </w:rPr>
        <w:t>Section 3</w:t>
      </w:r>
    </w:p>
    <w:p w14:paraId="29C2F7C8" w14:textId="20F8CAD0" w:rsidR="004506FF" w:rsidRPr="004506FF" w:rsidRDefault="004506FF" w:rsidP="004506FF">
      <w:pPr>
        <w:numPr>
          <w:ilvl w:val="0"/>
          <w:numId w:val="1"/>
        </w:numPr>
        <w:autoSpaceDE w:val="0"/>
        <w:autoSpaceDN w:val="0"/>
        <w:adjustRightInd w:val="0"/>
        <w:spacing w:before="240"/>
        <w:ind w:hanging="720"/>
        <w:rPr>
          <w:rFonts w:ascii="Times New Roman" w:hAnsi="Times New Roman"/>
          <w:sz w:val="24"/>
        </w:rPr>
      </w:pPr>
      <w:r>
        <w:rPr>
          <w:rFonts w:ascii="Times New Roman" w:hAnsi="Times New Roman"/>
          <w:sz w:val="24"/>
        </w:rPr>
        <w:t>This section contains details of the enabling legislation.</w:t>
      </w:r>
    </w:p>
    <w:p w14:paraId="06FBD982" w14:textId="67EE1AF8" w:rsidR="00CD4FA5" w:rsidRPr="00CD4FA5" w:rsidRDefault="00CD4FA5" w:rsidP="00301D3F">
      <w:pPr>
        <w:spacing w:before="240"/>
        <w:rPr>
          <w:rFonts w:ascii="Times New Roman" w:hAnsi="Times New Roman"/>
          <w:b/>
          <w:sz w:val="24"/>
        </w:rPr>
      </w:pPr>
      <w:r w:rsidRPr="00CD4FA5">
        <w:rPr>
          <w:rFonts w:ascii="Times New Roman" w:hAnsi="Times New Roman"/>
          <w:b/>
          <w:sz w:val="24"/>
        </w:rPr>
        <w:t xml:space="preserve">Section </w:t>
      </w:r>
      <w:r w:rsidR="004506FF">
        <w:rPr>
          <w:rFonts w:ascii="Times New Roman" w:hAnsi="Times New Roman"/>
          <w:b/>
          <w:sz w:val="24"/>
        </w:rPr>
        <w:t>4</w:t>
      </w:r>
    </w:p>
    <w:p w14:paraId="0C65BBAC" w14:textId="77777777" w:rsidR="00CD4FA5" w:rsidRPr="00CD4FA5" w:rsidRDefault="00CD4FA5" w:rsidP="0012383B">
      <w:pPr>
        <w:numPr>
          <w:ilvl w:val="0"/>
          <w:numId w:val="1"/>
        </w:numPr>
        <w:autoSpaceDE w:val="0"/>
        <w:autoSpaceDN w:val="0"/>
        <w:adjustRightInd w:val="0"/>
        <w:spacing w:before="240"/>
        <w:ind w:hanging="720"/>
        <w:rPr>
          <w:rFonts w:ascii="Times New Roman" w:hAnsi="Times New Roman"/>
          <w:sz w:val="24"/>
        </w:rPr>
      </w:pPr>
      <w:r w:rsidRPr="00CD4FA5">
        <w:rPr>
          <w:rFonts w:ascii="Times New Roman" w:hAnsi="Times New Roman"/>
          <w:sz w:val="24"/>
        </w:rPr>
        <w:t>This section contains the details of the amendment:</w:t>
      </w:r>
    </w:p>
    <w:p w14:paraId="0B8BE5F9" w14:textId="4EB583A5" w:rsidR="00CD4FA5" w:rsidRDefault="00840E6A" w:rsidP="005219C0">
      <w:pPr>
        <w:spacing w:before="240"/>
        <w:ind w:left="709"/>
        <w:rPr>
          <w:rFonts w:ascii="Times New Roman" w:hAnsi="Times New Roman"/>
          <w:sz w:val="24"/>
        </w:rPr>
      </w:pPr>
      <w:r>
        <w:rPr>
          <w:rFonts w:ascii="Times New Roman" w:hAnsi="Times New Roman"/>
          <w:sz w:val="24"/>
        </w:rPr>
        <w:t>S</w:t>
      </w:r>
      <w:r w:rsidR="00CD4FA5" w:rsidRPr="00CD4FA5">
        <w:rPr>
          <w:rFonts w:ascii="Times New Roman" w:hAnsi="Times New Roman"/>
          <w:sz w:val="24"/>
        </w:rPr>
        <w:t>chedule</w:t>
      </w:r>
      <w:r>
        <w:rPr>
          <w:rFonts w:ascii="Times New Roman" w:hAnsi="Times New Roman"/>
          <w:sz w:val="24"/>
        </w:rPr>
        <w:t>s</w:t>
      </w:r>
      <w:r w:rsidR="00CD4FA5" w:rsidRPr="00CD4FA5">
        <w:rPr>
          <w:rFonts w:ascii="Times New Roman" w:hAnsi="Times New Roman"/>
          <w:sz w:val="24"/>
        </w:rPr>
        <w:t xml:space="preserve"> 1</w:t>
      </w:r>
      <w:r>
        <w:rPr>
          <w:rFonts w:ascii="Times New Roman" w:hAnsi="Times New Roman"/>
          <w:sz w:val="24"/>
        </w:rPr>
        <w:t>, 2</w:t>
      </w:r>
      <w:r w:rsidR="00CD4FA5" w:rsidRPr="00CD4FA5">
        <w:rPr>
          <w:rFonts w:ascii="Times New Roman" w:hAnsi="Times New Roman"/>
          <w:sz w:val="24"/>
        </w:rPr>
        <w:t xml:space="preserve"> </w:t>
      </w:r>
      <w:r w:rsidR="003C55E3">
        <w:rPr>
          <w:rFonts w:ascii="Times New Roman" w:hAnsi="Times New Roman"/>
          <w:sz w:val="24"/>
        </w:rPr>
        <w:t xml:space="preserve">and </w:t>
      </w:r>
      <w:r w:rsidR="006C2DEB">
        <w:rPr>
          <w:rFonts w:ascii="Times New Roman" w:hAnsi="Times New Roman"/>
          <w:sz w:val="24"/>
        </w:rPr>
        <w:t xml:space="preserve">3 </w:t>
      </w:r>
      <w:r w:rsidR="00CD4FA5" w:rsidRPr="00CD4FA5">
        <w:rPr>
          <w:rFonts w:ascii="Times New Roman" w:hAnsi="Times New Roman"/>
          <w:sz w:val="24"/>
        </w:rPr>
        <w:t xml:space="preserve">amend the </w:t>
      </w:r>
      <w:r w:rsidR="00CD4FA5" w:rsidRPr="00CD4FA5">
        <w:rPr>
          <w:rFonts w:ascii="Times New Roman" w:hAnsi="Times New Roman"/>
          <w:i/>
          <w:sz w:val="24"/>
        </w:rPr>
        <w:t xml:space="preserve">Anti-Money Laundering and Counter-Terrorism Financing Rules Instrument 2007 (No. </w:t>
      </w:r>
      <w:r w:rsidR="003D7A85">
        <w:rPr>
          <w:rFonts w:ascii="Times New Roman" w:hAnsi="Times New Roman"/>
          <w:i/>
          <w:sz w:val="24"/>
        </w:rPr>
        <w:t>1</w:t>
      </w:r>
      <w:r w:rsidR="00CD4FA5" w:rsidRPr="00CD4FA5">
        <w:rPr>
          <w:rFonts w:ascii="Times New Roman" w:hAnsi="Times New Roman"/>
          <w:i/>
          <w:sz w:val="24"/>
        </w:rPr>
        <w:t>)</w:t>
      </w:r>
      <w:r w:rsidR="00CD4FA5" w:rsidRPr="00CD4FA5">
        <w:rPr>
          <w:rFonts w:ascii="Times New Roman" w:hAnsi="Times New Roman"/>
          <w:sz w:val="24"/>
        </w:rPr>
        <w:t>.</w:t>
      </w:r>
    </w:p>
    <w:p w14:paraId="1B9BD32C" w14:textId="77777777" w:rsidR="00CD4FA5" w:rsidRPr="00CD4FA5" w:rsidRDefault="00CD4FA5" w:rsidP="00301D3F">
      <w:pPr>
        <w:spacing w:before="240"/>
        <w:rPr>
          <w:rFonts w:ascii="Times New Roman" w:hAnsi="Times New Roman"/>
          <w:b/>
          <w:sz w:val="24"/>
        </w:rPr>
      </w:pPr>
      <w:r w:rsidRPr="00CD4FA5">
        <w:rPr>
          <w:rFonts w:ascii="Times New Roman" w:hAnsi="Times New Roman"/>
          <w:b/>
          <w:sz w:val="24"/>
        </w:rPr>
        <w:t>Schedule 1</w:t>
      </w:r>
    </w:p>
    <w:p w14:paraId="76594865" w14:textId="0A4CEEB2" w:rsidR="00CD4FA5" w:rsidRDefault="00CD4FA5" w:rsidP="0012383B">
      <w:pPr>
        <w:numPr>
          <w:ilvl w:val="0"/>
          <w:numId w:val="1"/>
        </w:numPr>
        <w:autoSpaceDE w:val="0"/>
        <w:autoSpaceDN w:val="0"/>
        <w:adjustRightInd w:val="0"/>
        <w:spacing w:before="240"/>
        <w:ind w:hanging="720"/>
        <w:rPr>
          <w:rFonts w:ascii="Times New Roman" w:hAnsi="Times New Roman"/>
          <w:sz w:val="24"/>
        </w:rPr>
      </w:pPr>
      <w:r w:rsidRPr="00CD4FA5">
        <w:rPr>
          <w:rFonts w:ascii="Times New Roman" w:hAnsi="Times New Roman"/>
          <w:sz w:val="24"/>
        </w:rPr>
        <w:t xml:space="preserve">This schedule </w:t>
      </w:r>
      <w:r w:rsidR="00923713">
        <w:rPr>
          <w:rFonts w:ascii="Times New Roman" w:hAnsi="Times New Roman"/>
          <w:sz w:val="24"/>
        </w:rPr>
        <w:t xml:space="preserve">amends </w:t>
      </w:r>
      <w:r w:rsidR="009F50B9">
        <w:rPr>
          <w:rFonts w:ascii="Times New Roman" w:hAnsi="Times New Roman"/>
          <w:sz w:val="24"/>
        </w:rPr>
        <w:t>the definition of “</w:t>
      </w:r>
      <w:r w:rsidR="00B44F2F">
        <w:rPr>
          <w:rFonts w:ascii="Times New Roman" w:hAnsi="Times New Roman"/>
          <w:sz w:val="24"/>
        </w:rPr>
        <w:t>cer</w:t>
      </w:r>
      <w:r w:rsidR="009F50B9">
        <w:rPr>
          <w:rFonts w:ascii="Times New Roman" w:hAnsi="Times New Roman"/>
          <w:sz w:val="24"/>
        </w:rPr>
        <w:t>tified copy”</w:t>
      </w:r>
      <w:r w:rsidR="00B44F2F">
        <w:rPr>
          <w:rFonts w:ascii="Times New Roman" w:hAnsi="Times New Roman"/>
          <w:sz w:val="24"/>
        </w:rPr>
        <w:t xml:space="preserve"> in Chapter 1</w:t>
      </w:r>
      <w:r w:rsidR="003C55E3">
        <w:rPr>
          <w:rFonts w:ascii="Times New Roman" w:hAnsi="Times New Roman"/>
          <w:sz w:val="24"/>
        </w:rPr>
        <w:t xml:space="preserve"> </w:t>
      </w:r>
      <w:r w:rsidR="005219C0">
        <w:rPr>
          <w:rFonts w:ascii="Times New Roman" w:hAnsi="Times New Roman"/>
          <w:sz w:val="24"/>
        </w:rPr>
        <w:t>of the AML/CTF Rules.</w:t>
      </w:r>
    </w:p>
    <w:p w14:paraId="0F8B1DB3" w14:textId="270DC223" w:rsidR="003C55E3" w:rsidRDefault="003C55E3" w:rsidP="003C55E3">
      <w:pPr>
        <w:autoSpaceDE w:val="0"/>
        <w:autoSpaceDN w:val="0"/>
        <w:adjustRightInd w:val="0"/>
        <w:spacing w:before="240"/>
        <w:rPr>
          <w:rFonts w:ascii="Times New Roman" w:hAnsi="Times New Roman"/>
          <w:b/>
          <w:sz w:val="24"/>
        </w:rPr>
      </w:pPr>
      <w:r w:rsidRPr="003C55E3">
        <w:rPr>
          <w:rFonts w:ascii="Times New Roman" w:hAnsi="Times New Roman"/>
          <w:b/>
          <w:sz w:val="24"/>
        </w:rPr>
        <w:t>Schedule 2</w:t>
      </w:r>
    </w:p>
    <w:p w14:paraId="1D503848" w14:textId="49D53827" w:rsidR="00840E6A" w:rsidRDefault="003C55E3" w:rsidP="00840E6A">
      <w:pPr>
        <w:numPr>
          <w:ilvl w:val="0"/>
          <w:numId w:val="1"/>
        </w:numPr>
        <w:autoSpaceDE w:val="0"/>
        <w:autoSpaceDN w:val="0"/>
        <w:adjustRightInd w:val="0"/>
        <w:spacing w:before="240"/>
        <w:ind w:hanging="720"/>
        <w:rPr>
          <w:rFonts w:ascii="Times New Roman" w:hAnsi="Times New Roman"/>
          <w:sz w:val="24"/>
        </w:rPr>
      </w:pPr>
      <w:r w:rsidRPr="00CD4FA5">
        <w:rPr>
          <w:rFonts w:ascii="Times New Roman" w:hAnsi="Times New Roman"/>
          <w:sz w:val="24"/>
        </w:rPr>
        <w:t xml:space="preserve">This schedule </w:t>
      </w:r>
      <w:r>
        <w:rPr>
          <w:rFonts w:ascii="Times New Roman" w:hAnsi="Times New Roman"/>
          <w:sz w:val="24"/>
        </w:rPr>
        <w:t>sets out the amendments to Chapters 4 and 15 of the AML/CTF Rules.</w:t>
      </w:r>
    </w:p>
    <w:p w14:paraId="773C5399" w14:textId="1BD182FE" w:rsidR="00840E6A" w:rsidRPr="004506FF" w:rsidRDefault="00840E6A" w:rsidP="004506FF">
      <w:pPr>
        <w:autoSpaceDE w:val="0"/>
        <w:autoSpaceDN w:val="0"/>
        <w:adjustRightInd w:val="0"/>
        <w:spacing w:before="240"/>
        <w:rPr>
          <w:rFonts w:ascii="Times New Roman" w:hAnsi="Times New Roman"/>
          <w:b/>
          <w:sz w:val="24"/>
        </w:rPr>
      </w:pPr>
      <w:r w:rsidRPr="004506FF">
        <w:rPr>
          <w:rFonts w:ascii="Times New Roman" w:hAnsi="Times New Roman"/>
          <w:b/>
          <w:sz w:val="24"/>
        </w:rPr>
        <w:t xml:space="preserve">Schedule </w:t>
      </w:r>
      <w:r w:rsidR="006C2DEB">
        <w:rPr>
          <w:rFonts w:ascii="Times New Roman" w:hAnsi="Times New Roman"/>
          <w:b/>
          <w:sz w:val="24"/>
        </w:rPr>
        <w:t>3</w:t>
      </w:r>
    </w:p>
    <w:p w14:paraId="165CA225" w14:textId="0E969AFF" w:rsidR="00840E6A" w:rsidRPr="0071091D" w:rsidRDefault="00840E6A" w:rsidP="004506FF">
      <w:pPr>
        <w:numPr>
          <w:ilvl w:val="0"/>
          <w:numId w:val="1"/>
        </w:numPr>
        <w:autoSpaceDE w:val="0"/>
        <w:autoSpaceDN w:val="0"/>
        <w:adjustRightInd w:val="0"/>
        <w:spacing w:before="240"/>
        <w:ind w:hanging="720"/>
        <w:rPr>
          <w:rFonts w:ascii="Times New Roman" w:hAnsi="Times New Roman"/>
          <w:sz w:val="24"/>
        </w:rPr>
      </w:pPr>
      <w:r>
        <w:rPr>
          <w:rFonts w:ascii="Times New Roman" w:hAnsi="Times New Roman"/>
          <w:sz w:val="24"/>
        </w:rPr>
        <w:t>This schedule amends Chapter 38 of the AML/CTF Rules.</w:t>
      </w:r>
    </w:p>
    <w:p w14:paraId="48A48606" w14:textId="1FED5DC3" w:rsidR="00CD4FA5" w:rsidRPr="00CD4FA5" w:rsidRDefault="00CD4FA5" w:rsidP="00031690">
      <w:pPr>
        <w:keepNext/>
        <w:spacing w:before="240"/>
        <w:rPr>
          <w:rFonts w:ascii="Times New Roman" w:hAnsi="Times New Roman"/>
          <w:b/>
          <w:sz w:val="24"/>
        </w:rPr>
      </w:pPr>
      <w:r w:rsidRPr="00CD4FA5">
        <w:rPr>
          <w:rFonts w:ascii="Times New Roman" w:hAnsi="Times New Roman"/>
          <w:b/>
          <w:sz w:val="24"/>
        </w:rPr>
        <w:t xml:space="preserve">Notes on </w:t>
      </w:r>
      <w:r w:rsidR="00822A17">
        <w:rPr>
          <w:rFonts w:ascii="Times New Roman" w:hAnsi="Times New Roman"/>
          <w:b/>
          <w:sz w:val="24"/>
        </w:rPr>
        <w:t>items</w:t>
      </w:r>
    </w:p>
    <w:p w14:paraId="17BDD920" w14:textId="0BC695A1" w:rsidR="00201B41" w:rsidRDefault="00201B41" w:rsidP="00570F9B">
      <w:pPr>
        <w:keepNext/>
        <w:spacing w:before="240"/>
        <w:rPr>
          <w:rFonts w:ascii="Times New Roman" w:hAnsi="Times New Roman"/>
          <w:b/>
          <w:sz w:val="24"/>
        </w:rPr>
      </w:pPr>
      <w:r>
        <w:rPr>
          <w:rFonts w:ascii="Times New Roman" w:hAnsi="Times New Roman"/>
          <w:b/>
          <w:sz w:val="24"/>
        </w:rPr>
        <w:t>Schedule 1</w:t>
      </w:r>
    </w:p>
    <w:p w14:paraId="30538744" w14:textId="1A67B46A" w:rsidR="00201B41" w:rsidRDefault="0069754C" w:rsidP="00570F9B">
      <w:pPr>
        <w:keepNext/>
        <w:spacing w:before="240"/>
        <w:rPr>
          <w:rFonts w:ascii="Times New Roman" w:hAnsi="Times New Roman"/>
          <w:b/>
          <w:sz w:val="24"/>
        </w:rPr>
      </w:pPr>
      <w:r>
        <w:rPr>
          <w:rFonts w:ascii="Times New Roman" w:hAnsi="Times New Roman"/>
          <w:b/>
          <w:sz w:val="24"/>
        </w:rPr>
        <w:t>Item 1</w:t>
      </w:r>
    </w:p>
    <w:p w14:paraId="2BB93380" w14:textId="492EAF3B" w:rsidR="00EA32FC" w:rsidRDefault="00EA32FC" w:rsidP="00201B41">
      <w:pPr>
        <w:numPr>
          <w:ilvl w:val="0"/>
          <w:numId w:val="1"/>
        </w:numPr>
        <w:tabs>
          <w:tab w:val="clear" w:pos="720"/>
          <w:tab w:val="num" w:pos="709"/>
        </w:tabs>
        <w:autoSpaceDE w:val="0"/>
        <w:autoSpaceDN w:val="0"/>
        <w:adjustRightInd w:val="0"/>
        <w:spacing w:before="240"/>
        <w:ind w:hanging="720"/>
        <w:rPr>
          <w:rFonts w:ascii="Times New Roman" w:hAnsi="Times New Roman"/>
          <w:sz w:val="24"/>
        </w:rPr>
      </w:pPr>
      <w:r>
        <w:rPr>
          <w:rFonts w:ascii="Times New Roman" w:hAnsi="Times New Roman"/>
          <w:sz w:val="24"/>
        </w:rPr>
        <w:t xml:space="preserve">This item </w:t>
      </w:r>
      <w:r w:rsidR="009F50B9">
        <w:rPr>
          <w:rFonts w:ascii="Times New Roman" w:hAnsi="Times New Roman"/>
          <w:sz w:val="24"/>
        </w:rPr>
        <w:t xml:space="preserve">updates the definition of </w:t>
      </w:r>
      <w:r w:rsidR="00DF02BB">
        <w:rPr>
          <w:rFonts w:ascii="Times New Roman" w:hAnsi="Times New Roman"/>
          <w:sz w:val="24"/>
        </w:rPr>
        <w:t>“</w:t>
      </w:r>
      <w:r w:rsidR="009F50B9">
        <w:rPr>
          <w:rFonts w:ascii="Times New Roman" w:hAnsi="Times New Roman"/>
          <w:sz w:val="24"/>
        </w:rPr>
        <w:t>certified copy</w:t>
      </w:r>
      <w:r w:rsidR="00DF02BB">
        <w:rPr>
          <w:rFonts w:ascii="Times New Roman" w:hAnsi="Times New Roman"/>
          <w:sz w:val="24"/>
        </w:rPr>
        <w:t>”</w:t>
      </w:r>
      <w:r w:rsidR="00201B41">
        <w:rPr>
          <w:rFonts w:ascii="Times New Roman" w:hAnsi="Times New Roman"/>
          <w:sz w:val="24"/>
        </w:rPr>
        <w:t xml:space="preserve"> </w:t>
      </w:r>
      <w:r w:rsidR="005219C0">
        <w:rPr>
          <w:rFonts w:ascii="Times New Roman" w:hAnsi="Times New Roman"/>
          <w:sz w:val="24"/>
        </w:rPr>
        <w:t xml:space="preserve">in Chapter 1 of the AML/CTF Rules </w:t>
      </w:r>
      <w:r w:rsidR="00201B41">
        <w:rPr>
          <w:rFonts w:ascii="Times New Roman" w:hAnsi="Times New Roman"/>
          <w:sz w:val="24"/>
        </w:rPr>
        <w:t xml:space="preserve">by replacing references to the </w:t>
      </w:r>
      <w:r w:rsidR="00201B41" w:rsidRPr="00201B41">
        <w:rPr>
          <w:rFonts w:ascii="Times New Roman" w:hAnsi="Times New Roman"/>
          <w:i/>
          <w:sz w:val="24"/>
        </w:rPr>
        <w:t>Statutory Declarations Regulations 1993</w:t>
      </w:r>
      <w:r w:rsidR="00201B41">
        <w:rPr>
          <w:rFonts w:ascii="Times New Roman" w:hAnsi="Times New Roman"/>
          <w:sz w:val="24"/>
        </w:rPr>
        <w:t xml:space="preserve"> (which have been repealed) with the updated </w:t>
      </w:r>
      <w:r w:rsidR="00201B41" w:rsidRPr="00201B41">
        <w:rPr>
          <w:rFonts w:ascii="Times New Roman" w:hAnsi="Times New Roman"/>
          <w:i/>
          <w:sz w:val="24"/>
        </w:rPr>
        <w:t>Statutory Declarations Regulations 2018</w:t>
      </w:r>
      <w:r w:rsidR="00201B41">
        <w:rPr>
          <w:rFonts w:ascii="Times New Roman" w:hAnsi="Times New Roman"/>
          <w:sz w:val="24"/>
        </w:rPr>
        <w:t>, which commenced operation on the 18 September 2018.</w:t>
      </w:r>
    </w:p>
    <w:p w14:paraId="75599AF7" w14:textId="6F92F644" w:rsidR="00201B41" w:rsidRDefault="00201B41" w:rsidP="0012383B">
      <w:pPr>
        <w:numPr>
          <w:ilvl w:val="0"/>
          <w:numId w:val="1"/>
        </w:numPr>
        <w:autoSpaceDE w:val="0"/>
        <w:autoSpaceDN w:val="0"/>
        <w:adjustRightInd w:val="0"/>
        <w:spacing w:before="240"/>
        <w:ind w:hanging="720"/>
        <w:rPr>
          <w:rFonts w:ascii="Times New Roman" w:hAnsi="Times New Roman"/>
          <w:sz w:val="24"/>
        </w:rPr>
      </w:pPr>
      <w:r>
        <w:rPr>
          <w:rFonts w:ascii="Times New Roman" w:hAnsi="Times New Roman"/>
          <w:sz w:val="24"/>
        </w:rPr>
        <w:t xml:space="preserve">The </w:t>
      </w:r>
      <w:r w:rsidRPr="00201B41">
        <w:rPr>
          <w:rFonts w:ascii="Times New Roman" w:hAnsi="Times New Roman"/>
          <w:i/>
          <w:sz w:val="24"/>
        </w:rPr>
        <w:t>Statutory Declarations Regulations 2018</w:t>
      </w:r>
      <w:r>
        <w:rPr>
          <w:rFonts w:ascii="Times New Roman" w:hAnsi="Times New Roman"/>
          <w:sz w:val="24"/>
        </w:rPr>
        <w:t xml:space="preserve"> include </w:t>
      </w:r>
      <w:r w:rsidR="0069754C">
        <w:rPr>
          <w:rFonts w:ascii="Times New Roman" w:hAnsi="Times New Roman"/>
          <w:sz w:val="24"/>
        </w:rPr>
        <w:t xml:space="preserve">a number of </w:t>
      </w:r>
      <w:r>
        <w:rPr>
          <w:rFonts w:ascii="Times New Roman" w:hAnsi="Times New Roman"/>
          <w:sz w:val="24"/>
        </w:rPr>
        <w:t>additional occupations/persons who are authorised to witness Commonwea</w:t>
      </w:r>
      <w:r w:rsidR="0069754C">
        <w:rPr>
          <w:rFonts w:ascii="Times New Roman" w:hAnsi="Times New Roman"/>
          <w:sz w:val="24"/>
        </w:rPr>
        <w:t>lth statutory declarations, including</w:t>
      </w:r>
      <w:r>
        <w:rPr>
          <w:rFonts w:ascii="Times New Roman" w:hAnsi="Times New Roman"/>
          <w:sz w:val="24"/>
        </w:rPr>
        <w:t>:</w:t>
      </w:r>
    </w:p>
    <w:p w14:paraId="36F51E25" w14:textId="2A4D4291" w:rsidR="00201B41" w:rsidRPr="00201B41" w:rsidRDefault="009C3F7E" w:rsidP="00201B41">
      <w:pPr>
        <w:numPr>
          <w:ilvl w:val="1"/>
          <w:numId w:val="1"/>
        </w:numPr>
        <w:shd w:val="clear" w:color="auto" w:fill="FFFFFF"/>
        <w:tabs>
          <w:tab w:val="clear" w:pos="1080"/>
          <w:tab w:val="num" w:pos="1276"/>
        </w:tabs>
        <w:spacing w:before="100" w:beforeAutospacing="1" w:after="100" w:afterAutospacing="1" w:line="360" w:lineRule="atLeast"/>
        <w:ind w:hanging="541"/>
        <w:textAlignment w:val="top"/>
        <w:rPr>
          <w:rFonts w:ascii="Times New Roman" w:hAnsi="Times New Roman"/>
          <w:sz w:val="24"/>
        </w:rPr>
      </w:pPr>
      <w:r>
        <w:rPr>
          <w:rFonts w:ascii="Times New Roman" w:hAnsi="Times New Roman"/>
          <w:sz w:val="24"/>
        </w:rPr>
        <w:lastRenderedPageBreak/>
        <w:t>a</w:t>
      </w:r>
      <w:r w:rsidR="00201B41" w:rsidRPr="00201B41">
        <w:rPr>
          <w:rFonts w:ascii="Times New Roman" w:hAnsi="Times New Roman"/>
          <w:sz w:val="24"/>
        </w:rPr>
        <w:t>rchitects</w:t>
      </w:r>
      <w:r>
        <w:rPr>
          <w:rFonts w:ascii="Times New Roman" w:hAnsi="Times New Roman"/>
          <w:sz w:val="24"/>
        </w:rPr>
        <w:t>;</w:t>
      </w:r>
    </w:p>
    <w:p w14:paraId="74924F40" w14:textId="2F014E80" w:rsidR="00201B41" w:rsidRPr="00201B41" w:rsidRDefault="005219C0" w:rsidP="00201B41">
      <w:pPr>
        <w:numPr>
          <w:ilvl w:val="1"/>
          <w:numId w:val="1"/>
        </w:numPr>
        <w:shd w:val="clear" w:color="auto" w:fill="FFFFFF"/>
        <w:tabs>
          <w:tab w:val="clear" w:pos="1080"/>
          <w:tab w:val="num" w:pos="1276"/>
        </w:tabs>
        <w:spacing w:before="100" w:beforeAutospacing="1" w:after="100" w:afterAutospacing="1" w:line="360" w:lineRule="atLeast"/>
        <w:ind w:hanging="541"/>
        <w:textAlignment w:val="top"/>
        <w:rPr>
          <w:rFonts w:ascii="Times New Roman" w:hAnsi="Times New Roman"/>
          <w:sz w:val="24"/>
        </w:rPr>
      </w:pPr>
      <w:r>
        <w:rPr>
          <w:rFonts w:ascii="Times New Roman" w:hAnsi="Times New Roman"/>
          <w:sz w:val="24"/>
        </w:rPr>
        <w:t>m</w:t>
      </w:r>
      <w:r w:rsidR="0069754C">
        <w:rPr>
          <w:rFonts w:ascii="Times New Roman" w:hAnsi="Times New Roman"/>
          <w:sz w:val="24"/>
        </w:rPr>
        <w:t>idwives</w:t>
      </w:r>
      <w:r w:rsidR="009C3F7E">
        <w:rPr>
          <w:rFonts w:ascii="Times New Roman" w:hAnsi="Times New Roman"/>
          <w:sz w:val="24"/>
        </w:rPr>
        <w:t>;</w:t>
      </w:r>
    </w:p>
    <w:p w14:paraId="2BF733FA" w14:textId="5D9B1184" w:rsidR="00201B41" w:rsidRPr="00201B41" w:rsidRDefault="00201B41" w:rsidP="00201B41">
      <w:pPr>
        <w:numPr>
          <w:ilvl w:val="1"/>
          <w:numId w:val="1"/>
        </w:numPr>
        <w:shd w:val="clear" w:color="auto" w:fill="FFFFFF"/>
        <w:tabs>
          <w:tab w:val="clear" w:pos="1080"/>
          <w:tab w:val="num" w:pos="1276"/>
        </w:tabs>
        <w:spacing w:before="100" w:beforeAutospacing="1" w:after="100" w:afterAutospacing="1" w:line="360" w:lineRule="atLeast"/>
        <w:ind w:hanging="541"/>
        <w:textAlignment w:val="top"/>
        <w:rPr>
          <w:rFonts w:ascii="Times New Roman" w:hAnsi="Times New Roman"/>
          <w:sz w:val="24"/>
        </w:rPr>
      </w:pPr>
      <w:r w:rsidRPr="00201B41">
        <w:rPr>
          <w:rFonts w:ascii="Times New Roman" w:hAnsi="Times New Roman"/>
          <w:sz w:val="24"/>
        </w:rPr>
        <w:t xml:space="preserve">migration agents registered under Division 3 of Part 3 of the </w:t>
      </w:r>
      <w:r w:rsidRPr="0069754C">
        <w:rPr>
          <w:rFonts w:ascii="Times New Roman" w:hAnsi="Times New Roman"/>
          <w:i/>
          <w:sz w:val="24"/>
        </w:rPr>
        <w:t>Migration Act 1958</w:t>
      </w:r>
      <w:r w:rsidR="009C3F7E">
        <w:rPr>
          <w:rFonts w:ascii="Times New Roman" w:hAnsi="Times New Roman"/>
          <w:sz w:val="24"/>
        </w:rPr>
        <w:t>;</w:t>
      </w:r>
    </w:p>
    <w:p w14:paraId="4591BCAF" w14:textId="246444A5" w:rsidR="00201B41" w:rsidRPr="00201B41" w:rsidRDefault="00201B41" w:rsidP="00201B41">
      <w:pPr>
        <w:numPr>
          <w:ilvl w:val="1"/>
          <w:numId w:val="1"/>
        </w:numPr>
        <w:shd w:val="clear" w:color="auto" w:fill="FFFFFF"/>
        <w:tabs>
          <w:tab w:val="clear" w:pos="1080"/>
          <w:tab w:val="num" w:pos="1276"/>
        </w:tabs>
        <w:spacing w:before="100" w:beforeAutospacing="1" w:after="100" w:afterAutospacing="1" w:line="360" w:lineRule="atLeast"/>
        <w:ind w:hanging="541"/>
        <w:textAlignment w:val="top"/>
        <w:rPr>
          <w:rFonts w:ascii="Times New Roman" w:hAnsi="Times New Roman"/>
          <w:sz w:val="24"/>
        </w:rPr>
      </w:pPr>
      <w:r w:rsidRPr="00201B41">
        <w:rPr>
          <w:rFonts w:ascii="Times New Roman" w:hAnsi="Times New Roman"/>
          <w:sz w:val="24"/>
        </w:rPr>
        <w:t>occupational therapists</w:t>
      </w:r>
      <w:r w:rsidR="009C3F7E">
        <w:rPr>
          <w:rFonts w:ascii="Times New Roman" w:hAnsi="Times New Roman"/>
          <w:sz w:val="24"/>
        </w:rPr>
        <w:t>;</w:t>
      </w:r>
    </w:p>
    <w:p w14:paraId="03006EA1" w14:textId="14AEA86C" w:rsidR="00201B41" w:rsidRPr="00201B41" w:rsidRDefault="00201B41" w:rsidP="00201B41">
      <w:pPr>
        <w:numPr>
          <w:ilvl w:val="1"/>
          <w:numId w:val="1"/>
        </w:numPr>
        <w:shd w:val="clear" w:color="auto" w:fill="FFFFFF"/>
        <w:tabs>
          <w:tab w:val="clear" w:pos="1080"/>
          <w:tab w:val="num" w:pos="1276"/>
        </w:tabs>
        <w:spacing w:before="100" w:beforeAutospacing="1" w:after="100" w:afterAutospacing="1" w:line="360" w:lineRule="atLeast"/>
        <w:ind w:hanging="541"/>
        <w:textAlignment w:val="top"/>
        <w:rPr>
          <w:rFonts w:ascii="Times New Roman" w:hAnsi="Times New Roman"/>
          <w:sz w:val="24"/>
        </w:rPr>
      </w:pPr>
      <w:r w:rsidRPr="00201B41">
        <w:rPr>
          <w:rFonts w:ascii="Times New Roman" w:hAnsi="Times New Roman"/>
          <w:sz w:val="24"/>
        </w:rPr>
        <w:t>financial advisers and financial planners</w:t>
      </w:r>
      <w:r w:rsidR="009C3F7E">
        <w:rPr>
          <w:rFonts w:ascii="Times New Roman" w:hAnsi="Times New Roman"/>
          <w:sz w:val="24"/>
        </w:rPr>
        <w:t xml:space="preserve">; </w:t>
      </w:r>
      <w:r w:rsidR="0069754C">
        <w:rPr>
          <w:rFonts w:ascii="Times New Roman" w:hAnsi="Times New Roman"/>
          <w:sz w:val="24"/>
        </w:rPr>
        <w:t>and</w:t>
      </w:r>
    </w:p>
    <w:p w14:paraId="42A0BCED" w14:textId="08558294" w:rsidR="00201B41" w:rsidRPr="00201B41" w:rsidRDefault="00E5200B" w:rsidP="00201B41">
      <w:pPr>
        <w:numPr>
          <w:ilvl w:val="1"/>
          <w:numId w:val="1"/>
        </w:numPr>
        <w:shd w:val="clear" w:color="auto" w:fill="FFFFFF"/>
        <w:tabs>
          <w:tab w:val="clear" w:pos="1080"/>
          <w:tab w:val="num" w:pos="1276"/>
        </w:tabs>
        <w:spacing w:before="100" w:beforeAutospacing="1" w:after="100" w:afterAutospacing="1" w:line="360" w:lineRule="atLeast"/>
        <w:ind w:hanging="541"/>
        <w:textAlignment w:val="top"/>
        <w:rPr>
          <w:rFonts w:ascii="Times New Roman" w:hAnsi="Times New Roman"/>
          <w:sz w:val="24"/>
        </w:rPr>
      </w:pPr>
      <w:r>
        <w:rPr>
          <w:rFonts w:ascii="Times New Roman" w:hAnsi="Times New Roman"/>
          <w:sz w:val="24"/>
        </w:rPr>
        <w:t>a</w:t>
      </w:r>
      <w:r w:rsidR="00932428">
        <w:rPr>
          <w:rFonts w:ascii="Times New Roman" w:hAnsi="Times New Roman"/>
          <w:sz w:val="24"/>
        </w:rPr>
        <w:t xml:space="preserve"> broader</w:t>
      </w:r>
      <w:r w:rsidR="00201B41" w:rsidRPr="00201B41">
        <w:rPr>
          <w:rFonts w:ascii="Times New Roman" w:hAnsi="Times New Roman"/>
          <w:sz w:val="24"/>
        </w:rPr>
        <w:t xml:space="preserve"> category of engineers</w:t>
      </w:r>
      <w:r w:rsidR="00201B41">
        <w:rPr>
          <w:rFonts w:ascii="Times New Roman" w:hAnsi="Times New Roman"/>
          <w:sz w:val="24"/>
        </w:rPr>
        <w:t>.</w:t>
      </w:r>
    </w:p>
    <w:p w14:paraId="63F69132" w14:textId="4FCC3478" w:rsidR="00201B41" w:rsidRDefault="00201B41" w:rsidP="00201B41">
      <w:pPr>
        <w:keepNext/>
        <w:spacing w:before="240"/>
        <w:rPr>
          <w:rFonts w:ascii="Times New Roman" w:hAnsi="Times New Roman"/>
          <w:b/>
          <w:sz w:val="24"/>
        </w:rPr>
      </w:pPr>
      <w:r>
        <w:rPr>
          <w:rFonts w:ascii="Times New Roman" w:hAnsi="Times New Roman"/>
          <w:b/>
          <w:sz w:val="24"/>
        </w:rPr>
        <w:t xml:space="preserve">Schedule </w:t>
      </w:r>
      <w:r w:rsidR="00696FB5">
        <w:rPr>
          <w:rFonts w:ascii="Times New Roman" w:hAnsi="Times New Roman"/>
          <w:b/>
          <w:sz w:val="24"/>
        </w:rPr>
        <w:t>2</w:t>
      </w:r>
    </w:p>
    <w:p w14:paraId="052D1F3B" w14:textId="3F7CAE8C" w:rsidR="00201B41" w:rsidRDefault="00696FB5" w:rsidP="00201B41">
      <w:pPr>
        <w:keepNext/>
        <w:spacing w:before="240"/>
        <w:rPr>
          <w:rFonts w:ascii="Times New Roman" w:hAnsi="Times New Roman"/>
          <w:b/>
          <w:sz w:val="24"/>
        </w:rPr>
      </w:pPr>
      <w:r>
        <w:rPr>
          <w:rFonts w:ascii="Times New Roman" w:hAnsi="Times New Roman"/>
          <w:b/>
          <w:sz w:val="24"/>
        </w:rPr>
        <w:t xml:space="preserve">Item 1 </w:t>
      </w:r>
    </w:p>
    <w:p w14:paraId="019F89BD" w14:textId="7F5434D2" w:rsidR="004939F0" w:rsidRDefault="00696FB5" w:rsidP="00696FB5">
      <w:pPr>
        <w:numPr>
          <w:ilvl w:val="0"/>
          <w:numId w:val="1"/>
        </w:numPr>
        <w:autoSpaceDE w:val="0"/>
        <w:autoSpaceDN w:val="0"/>
        <w:adjustRightInd w:val="0"/>
        <w:spacing w:before="240"/>
        <w:ind w:hanging="720"/>
        <w:rPr>
          <w:rFonts w:ascii="Times New Roman" w:hAnsi="Times New Roman"/>
          <w:sz w:val="24"/>
        </w:rPr>
      </w:pPr>
      <w:r>
        <w:rPr>
          <w:rFonts w:ascii="Times New Roman" w:hAnsi="Times New Roman"/>
          <w:sz w:val="24"/>
        </w:rPr>
        <w:t xml:space="preserve">This item </w:t>
      </w:r>
      <w:r w:rsidR="004939F0">
        <w:rPr>
          <w:rFonts w:ascii="Times New Roman" w:hAnsi="Times New Roman"/>
          <w:sz w:val="24"/>
        </w:rPr>
        <w:t>clarifies that the obligation</w:t>
      </w:r>
      <w:r w:rsidR="001F6A9B">
        <w:rPr>
          <w:rFonts w:ascii="Times New Roman" w:hAnsi="Times New Roman"/>
          <w:sz w:val="24"/>
        </w:rPr>
        <w:t>s</w:t>
      </w:r>
      <w:r w:rsidR="004939F0">
        <w:rPr>
          <w:rFonts w:ascii="Times New Roman" w:hAnsi="Times New Roman"/>
          <w:sz w:val="24"/>
        </w:rPr>
        <w:t xml:space="preserve"> </w:t>
      </w:r>
      <w:r w:rsidR="00DD712F">
        <w:rPr>
          <w:rFonts w:ascii="Times New Roman" w:hAnsi="Times New Roman"/>
          <w:sz w:val="24"/>
        </w:rPr>
        <w:t xml:space="preserve">of a reporting entity under paragraph 4.4.2 </w:t>
      </w:r>
      <w:r w:rsidR="004939F0">
        <w:rPr>
          <w:rFonts w:ascii="Times New Roman" w:hAnsi="Times New Roman"/>
          <w:sz w:val="24"/>
        </w:rPr>
        <w:t xml:space="preserve">to be satisfied that a trust exists, and that the </w:t>
      </w:r>
      <w:r w:rsidR="004939F0" w:rsidRPr="004939F0">
        <w:rPr>
          <w:rFonts w:ascii="Times New Roman" w:hAnsi="Times New Roman"/>
          <w:sz w:val="24"/>
        </w:rPr>
        <w:t xml:space="preserve">name </w:t>
      </w:r>
      <w:r w:rsidR="004939F0">
        <w:rPr>
          <w:rFonts w:ascii="Times New Roman" w:hAnsi="Times New Roman"/>
          <w:sz w:val="24"/>
        </w:rPr>
        <w:t>of each trustee and beneficiary</w:t>
      </w:r>
      <w:r w:rsidR="004939F0" w:rsidRPr="004939F0">
        <w:rPr>
          <w:rFonts w:ascii="Times New Roman" w:hAnsi="Times New Roman"/>
          <w:sz w:val="24"/>
        </w:rPr>
        <w:t xml:space="preserve"> </w:t>
      </w:r>
      <w:r w:rsidR="004939F0">
        <w:rPr>
          <w:rFonts w:ascii="Times New Roman" w:hAnsi="Times New Roman"/>
          <w:sz w:val="24"/>
        </w:rPr>
        <w:t>(</w:t>
      </w:r>
      <w:r w:rsidR="004939F0" w:rsidRPr="004939F0">
        <w:rPr>
          <w:rFonts w:ascii="Times New Roman" w:hAnsi="Times New Roman"/>
          <w:sz w:val="24"/>
        </w:rPr>
        <w:t>or a descriptio</w:t>
      </w:r>
      <w:r w:rsidR="004939F0">
        <w:rPr>
          <w:rFonts w:ascii="Times New Roman" w:hAnsi="Times New Roman"/>
          <w:sz w:val="24"/>
        </w:rPr>
        <w:t xml:space="preserve">n of each class of beneficiary) </w:t>
      </w:r>
      <w:r w:rsidR="004939F0" w:rsidRPr="004939F0">
        <w:rPr>
          <w:rFonts w:ascii="Times New Roman" w:hAnsi="Times New Roman"/>
          <w:sz w:val="24"/>
        </w:rPr>
        <w:t>of the trust has been provided</w:t>
      </w:r>
      <w:r w:rsidR="001F6A9B">
        <w:rPr>
          <w:rFonts w:ascii="Times New Roman" w:hAnsi="Times New Roman"/>
          <w:sz w:val="24"/>
        </w:rPr>
        <w:t>, do not apply in the circumstances set out in paragraph 4.4.18 (i.e. where a reporting entity is providing designated services to a custodian acting in the capacity of a trustee).</w:t>
      </w:r>
    </w:p>
    <w:p w14:paraId="4D41875B" w14:textId="021A54D7" w:rsidR="007F4821" w:rsidRPr="007F4821" w:rsidRDefault="007F4821" w:rsidP="007F4821">
      <w:pPr>
        <w:autoSpaceDE w:val="0"/>
        <w:autoSpaceDN w:val="0"/>
        <w:adjustRightInd w:val="0"/>
        <w:spacing w:before="240"/>
        <w:rPr>
          <w:rFonts w:ascii="Times New Roman" w:hAnsi="Times New Roman"/>
          <w:b/>
          <w:sz w:val="24"/>
        </w:rPr>
      </w:pPr>
      <w:r w:rsidRPr="007F4821">
        <w:rPr>
          <w:rFonts w:ascii="Times New Roman" w:hAnsi="Times New Roman"/>
          <w:b/>
          <w:sz w:val="24"/>
        </w:rPr>
        <w:t>Item 2</w:t>
      </w:r>
    </w:p>
    <w:p w14:paraId="14D8C8D6" w14:textId="69D74D79" w:rsidR="004939F0" w:rsidRDefault="007F4821" w:rsidP="004939F0">
      <w:pPr>
        <w:numPr>
          <w:ilvl w:val="0"/>
          <w:numId w:val="1"/>
        </w:numPr>
        <w:autoSpaceDE w:val="0"/>
        <w:autoSpaceDN w:val="0"/>
        <w:adjustRightInd w:val="0"/>
        <w:spacing w:before="240"/>
        <w:ind w:hanging="720"/>
        <w:rPr>
          <w:rFonts w:ascii="Times New Roman" w:hAnsi="Times New Roman"/>
          <w:sz w:val="24"/>
        </w:rPr>
      </w:pPr>
      <w:r>
        <w:rPr>
          <w:rFonts w:ascii="Times New Roman" w:hAnsi="Times New Roman"/>
          <w:sz w:val="24"/>
        </w:rPr>
        <w:t xml:space="preserve">This item </w:t>
      </w:r>
      <w:r w:rsidR="004939F0" w:rsidRPr="004939F0">
        <w:rPr>
          <w:rFonts w:ascii="Times New Roman" w:hAnsi="Times New Roman"/>
          <w:sz w:val="24"/>
        </w:rPr>
        <w:t xml:space="preserve">adds the words “(if any)” to subparagraph 4.4.3(1) </w:t>
      </w:r>
      <w:r w:rsidR="004939F0">
        <w:rPr>
          <w:rFonts w:ascii="Times New Roman" w:hAnsi="Times New Roman"/>
          <w:sz w:val="24"/>
        </w:rPr>
        <w:t>in recognition of the fact that not all trust arrangements have a ‘full name’, and clarifies that reporting entities will only be required to obtain this information where it exists.</w:t>
      </w:r>
    </w:p>
    <w:p w14:paraId="053B5739" w14:textId="1AD992F1" w:rsidR="00B95402" w:rsidRPr="00B95402" w:rsidRDefault="00B95402" w:rsidP="00B95402">
      <w:pPr>
        <w:autoSpaceDE w:val="0"/>
        <w:autoSpaceDN w:val="0"/>
        <w:adjustRightInd w:val="0"/>
        <w:spacing w:before="240"/>
        <w:rPr>
          <w:rFonts w:ascii="Times New Roman" w:hAnsi="Times New Roman"/>
          <w:b/>
          <w:sz w:val="24"/>
        </w:rPr>
      </w:pPr>
      <w:r w:rsidRPr="00B95402">
        <w:rPr>
          <w:rFonts w:ascii="Times New Roman" w:hAnsi="Times New Roman"/>
          <w:b/>
          <w:sz w:val="24"/>
        </w:rPr>
        <w:t>Item 3</w:t>
      </w:r>
    </w:p>
    <w:p w14:paraId="3BE53307" w14:textId="5348D335" w:rsidR="002D3FFA" w:rsidRDefault="00B95402" w:rsidP="00696FB5">
      <w:pPr>
        <w:numPr>
          <w:ilvl w:val="0"/>
          <w:numId w:val="1"/>
        </w:numPr>
        <w:autoSpaceDE w:val="0"/>
        <w:autoSpaceDN w:val="0"/>
        <w:adjustRightInd w:val="0"/>
        <w:spacing w:before="240"/>
        <w:ind w:hanging="720"/>
        <w:rPr>
          <w:rFonts w:ascii="Times New Roman" w:hAnsi="Times New Roman"/>
          <w:sz w:val="24"/>
        </w:rPr>
      </w:pPr>
      <w:r>
        <w:rPr>
          <w:rFonts w:ascii="Times New Roman" w:hAnsi="Times New Roman"/>
          <w:sz w:val="24"/>
        </w:rPr>
        <w:t>This item adds a new paragra</w:t>
      </w:r>
      <w:r w:rsidR="002D3FFA">
        <w:rPr>
          <w:rFonts w:ascii="Times New Roman" w:hAnsi="Times New Roman"/>
          <w:sz w:val="24"/>
        </w:rPr>
        <w:t>ph (d) to subparagraph 4.4.3(5) to clarify that when providing designated services to a customer that is a trustee, reporting entities are not required to collect the full name of the settlor of the trust where the customer is a custodian (as defined in subparagraph 4.4.19(1)), in recognition of the fact that many custodial-type trustee arrangements may not have an identifiable ‘settlor’.</w:t>
      </w:r>
    </w:p>
    <w:p w14:paraId="2B083FC9" w14:textId="3080A300" w:rsidR="00B95402" w:rsidRPr="00B95402" w:rsidRDefault="00B95402" w:rsidP="00B95402">
      <w:pPr>
        <w:autoSpaceDE w:val="0"/>
        <w:autoSpaceDN w:val="0"/>
        <w:adjustRightInd w:val="0"/>
        <w:spacing w:before="240"/>
        <w:rPr>
          <w:rFonts w:ascii="Times New Roman" w:hAnsi="Times New Roman"/>
          <w:b/>
          <w:sz w:val="24"/>
        </w:rPr>
      </w:pPr>
      <w:r w:rsidRPr="00B95402">
        <w:rPr>
          <w:rFonts w:ascii="Times New Roman" w:hAnsi="Times New Roman"/>
          <w:b/>
          <w:sz w:val="24"/>
        </w:rPr>
        <w:t>Item 4</w:t>
      </w:r>
    </w:p>
    <w:p w14:paraId="16B6EA92" w14:textId="0BD09F73" w:rsidR="00CD6F28" w:rsidRDefault="00CD6F28" w:rsidP="00CD6F28">
      <w:pPr>
        <w:numPr>
          <w:ilvl w:val="0"/>
          <w:numId w:val="1"/>
        </w:numPr>
        <w:autoSpaceDE w:val="0"/>
        <w:autoSpaceDN w:val="0"/>
        <w:adjustRightInd w:val="0"/>
        <w:spacing w:before="240"/>
        <w:ind w:hanging="720"/>
        <w:rPr>
          <w:rFonts w:ascii="Times New Roman" w:hAnsi="Times New Roman"/>
          <w:sz w:val="24"/>
        </w:rPr>
      </w:pPr>
      <w:r>
        <w:rPr>
          <w:rFonts w:ascii="Times New Roman" w:hAnsi="Times New Roman"/>
          <w:sz w:val="24"/>
        </w:rPr>
        <w:t xml:space="preserve">This item </w:t>
      </w:r>
      <w:r w:rsidRPr="004939F0">
        <w:rPr>
          <w:rFonts w:ascii="Times New Roman" w:hAnsi="Times New Roman"/>
          <w:sz w:val="24"/>
        </w:rPr>
        <w:t xml:space="preserve">adds the words </w:t>
      </w:r>
      <w:r>
        <w:rPr>
          <w:rFonts w:ascii="Times New Roman" w:hAnsi="Times New Roman"/>
          <w:sz w:val="24"/>
        </w:rPr>
        <w:t>“(if any)” to subparagraph 4.4.5</w:t>
      </w:r>
      <w:r w:rsidRPr="004939F0">
        <w:rPr>
          <w:rFonts w:ascii="Times New Roman" w:hAnsi="Times New Roman"/>
          <w:sz w:val="24"/>
        </w:rPr>
        <w:t xml:space="preserve">(1) </w:t>
      </w:r>
      <w:r>
        <w:rPr>
          <w:rFonts w:ascii="Times New Roman" w:hAnsi="Times New Roman"/>
          <w:sz w:val="24"/>
        </w:rPr>
        <w:t>in recognition of the fact that not all trust arrangements have a ‘full name’, and clarifies that reporting entities will only be required to verify this information where it is available and has been collected.</w:t>
      </w:r>
    </w:p>
    <w:p w14:paraId="492EA3C7" w14:textId="50A94164" w:rsidR="00CD6F28" w:rsidRDefault="00CD6F28" w:rsidP="00696FB5">
      <w:pPr>
        <w:numPr>
          <w:ilvl w:val="0"/>
          <w:numId w:val="1"/>
        </w:numPr>
        <w:autoSpaceDE w:val="0"/>
        <w:autoSpaceDN w:val="0"/>
        <w:adjustRightInd w:val="0"/>
        <w:spacing w:before="240"/>
        <w:ind w:hanging="720"/>
        <w:rPr>
          <w:rFonts w:ascii="Times New Roman" w:hAnsi="Times New Roman"/>
          <w:sz w:val="24"/>
        </w:rPr>
      </w:pPr>
      <w:r>
        <w:rPr>
          <w:rFonts w:ascii="Times New Roman" w:hAnsi="Times New Roman"/>
          <w:sz w:val="24"/>
        </w:rPr>
        <w:t>T</w:t>
      </w:r>
      <w:r w:rsidR="00B95402">
        <w:rPr>
          <w:rFonts w:ascii="Times New Roman" w:hAnsi="Times New Roman"/>
          <w:sz w:val="24"/>
        </w:rPr>
        <w:t xml:space="preserve">his </w:t>
      </w:r>
      <w:r>
        <w:rPr>
          <w:rFonts w:ascii="Times New Roman" w:hAnsi="Times New Roman"/>
          <w:sz w:val="24"/>
        </w:rPr>
        <w:t>item also</w:t>
      </w:r>
      <w:r w:rsidR="00B95402">
        <w:rPr>
          <w:rFonts w:ascii="Times New Roman" w:hAnsi="Times New Roman"/>
          <w:sz w:val="24"/>
        </w:rPr>
        <w:t xml:space="preserve"> </w:t>
      </w:r>
      <w:r w:rsidR="009C67EB">
        <w:rPr>
          <w:rFonts w:ascii="Times New Roman" w:hAnsi="Times New Roman"/>
          <w:sz w:val="24"/>
        </w:rPr>
        <w:t>removes redundant obligations from</w:t>
      </w:r>
      <w:r w:rsidR="00B95402">
        <w:rPr>
          <w:rFonts w:ascii="Times New Roman" w:hAnsi="Times New Roman"/>
          <w:sz w:val="24"/>
        </w:rPr>
        <w:t xml:space="preserve"> sub</w:t>
      </w:r>
      <w:r w:rsidR="00980C73">
        <w:rPr>
          <w:rFonts w:ascii="Times New Roman" w:hAnsi="Times New Roman"/>
          <w:sz w:val="24"/>
        </w:rPr>
        <w:t>paragraph 4.4.5(1)</w:t>
      </w:r>
      <w:r>
        <w:rPr>
          <w:rFonts w:ascii="Times New Roman" w:hAnsi="Times New Roman"/>
          <w:sz w:val="24"/>
        </w:rPr>
        <w:t xml:space="preserve">, by </w:t>
      </w:r>
      <w:r w:rsidR="009C67EB">
        <w:rPr>
          <w:rFonts w:ascii="Times New Roman" w:hAnsi="Times New Roman"/>
          <w:sz w:val="24"/>
        </w:rPr>
        <w:t>omitting</w:t>
      </w:r>
      <w:r>
        <w:rPr>
          <w:rFonts w:ascii="Times New Roman" w:hAnsi="Times New Roman"/>
          <w:sz w:val="24"/>
        </w:rPr>
        <w:t xml:space="preserve"> the requirement that the full name of the trust deed be verified “</w:t>
      </w:r>
      <w:r w:rsidRPr="00CD6F28">
        <w:rPr>
          <w:rFonts w:ascii="Times New Roman" w:hAnsi="Times New Roman"/>
          <w:sz w:val="24"/>
        </w:rPr>
        <w:t xml:space="preserve">from a trust deed, certified copy or certified extract of the trust deed, reliable and independent documents relating to the trust or reliable </w:t>
      </w:r>
      <w:r>
        <w:rPr>
          <w:rFonts w:ascii="Times New Roman" w:hAnsi="Times New Roman"/>
          <w:sz w:val="24"/>
        </w:rPr>
        <w:t>and independent electronic data”</w:t>
      </w:r>
      <w:r w:rsidR="00980C73">
        <w:rPr>
          <w:rFonts w:ascii="Times New Roman" w:hAnsi="Times New Roman"/>
          <w:sz w:val="24"/>
        </w:rPr>
        <w:t xml:space="preserve">. </w:t>
      </w:r>
      <w:r>
        <w:rPr>
          <w:rFonts w:ascii="Times New Roman" w:hAnsi="Times New Roman"/>
          <w:sz w:val="24"/>
        </w:rPr>
        <w:t>As this requirement is already contained in paragraph 4.4.15, i</w:t>
      </w:r>
      <w:r w:rsidR="009C67EB">
        <w:rPr>
          <w:rFonts w:ascii="Times New Roman" w:hAnsi="Times New Roman"/>
          <w:sz w:val="24"/>
        </w:rPr>
        <w:t>t has been removed to</w:t>
      </w:r>
      <w:r>
        <w:rPr>
          <w:rFonts w:ascii="Times New Roman" w:hAnsi="Times New Roman"/>
          <w:sz w:val="24"/>
        </w:rPr>
        <w:t xml:space="preserve"> </w:t>
      </w:r>
      <w:r w:rsidR="009C67EB">
        <w:rPr>
          <w:rFonts w:ascii="Times New Roman" w:hAnsi="Times New Roman"/>
          <w:sz w:val="24"/>
        </w:rPr>
        <w:t xml:space="preserve">simplify and </w:t>
      </w:r>
      <w:r>
        <w:rPr>
          <w:rFonts w:ascii="Times New Roman" w:hAnsi="Times New Roman"/>
          <w:sz w:val="24"/>
        </w:rPr>
        <w:t>streamline the provision.</w:t>
      </w:r>
    </w:p>
    <w:p w14:paraId="4B144C1A" w14:textId="302B4254" w:rsidR="00A97D4F" w:rsidRPr="00A97D4F" w:rsidRDefault="00A97D4F" w:rsidP="00A97D4F">
      <w:pPr>
        <w:autoSpaceDE w:val="0"/>
        <w:autoSpaceDN w:val="0"/>
        <w:adjustRightInd w:val="0"/>
        <w:spacing w:before="240"/>
        <w:rPr>
          <w:rFonts w:ascii="Times New Roman" w:hAnsi="Times New Roman"/>
          <w:b/>
          <w:sz w:val="24"/>
        </w:rPr>
      </w:pPr>
      <w:r w:rsidRPr="00A97D4F">
        <w:rPr>
          <w:rFonts w:ascii="Times New Roman" w:hAnsi="Times New Roman"/>
          <w:b/>
          <w:sz w:val="24"/>
        </w:rPr>
        <w:lastRenderedPageBreak/>
        <w:t>Item 5</w:t>
      </w:r>
    </w:p>
    <w:p w14:paraId="5994C3E6" w14:textId="566783E1" w:rsidR="004C2F2D" w:rsidRDefault="004C2F2D" w:rsidP="004C2F2D">
      <w:pPr>
        <w:numPr>
          <w:ilvl w:val="0"/>
          <w:numId w:val="1"/>
        </w:numPr>
        <w:autoSpaceDE w:val="0"/>
        <w:autoSpaceDN w:val="0"/>
        <w:adjustRightInd w:val="0"/>
        <w:spacing w:before="240"/>
        <w:ind w:hanging="720"/>
        <w:rPr>
          <w:rFonts w:ascii="Times New Roman" w:hAnsi="Times New Roman"/>
          <w:sz w:val="24"/>
        </w:rPr>
      </w:pPr>
      <w:r>
        <w:rPr>
          <w:rFonts w:ascii="Times New Roman" w:hAnsi="Times New Roman"/>
          <w:sz w:val="24"/>
        </w:rPr>
        <w:t>This item adds a new paragraph (d) to subparagraph 4.4.5(5) to clarify that when providing designated services to a customer that is a trustee, reporting entities are not required to verify the full name of the settlor of the trust where the customer is a custodian (as defined in subparagraph 4.4.19(1)), in recognition of the fact that many custodial-type trustee arrangements may not have an identifiable ‘settlor’.</w:t>
      </w:r>
    </w:p>
    <w:p w14:paraId="4771FCEA" w14:textId="12C9DF21" w:rsidR="00A97D4F" w:rsidRPr="00C237D6" w:rsidRDefault="005B0292" w:rsidP="005B0292">
      <w:pPr>
        <w:autoSpaceDE w:val="0"/>
        <w:autoSpaceDN w:val="0"/>
        <w:adjustRightInd w:val="0"/>
        <w:spacing w:before="240"/>
        <w:rPr>
          <w:rFonts w:ascii="Times New Roman" w:hAnsi="Times New Roman"/>
          <w:b/>
          <w:sz w:val="24"/>
        </w:rPr>
      </w:pPr>
      <w:r w:rsidRPr="00C237D6">
        <w:rPr>
          <w:rFonts w:ascii="Times New Roman" w:hAnsi="Times New Roman"/>
          <w:b/>
          <w:sz w:val="24"/>
        </w:rPr>
        <w:t>Item 6</w:t>
      </w:r>
    </w:p>
    <w:p w14:paraId="5E3E6FBF" w14:textId="69F03E01" w:rsidR="004C2F2D" w:rsidRDefault="004C2F2D" w:rsidP="004C2F2D">
      <w:pPr>
        <w:numPr>
          <w:ilvl w:val="0"/>
          <w:numId w:val="1"/>
        </w:numPr>
        <w:autoSpaceDE w:val="0"/>
        <w:autoSpaceDN w:val="0"/>
        <w:adjustRightInd w:val="0"/>
        <w:spacing w:before="240"/>
        <w:ind w:hanging="720"/>
        <w:rPr>
          <w:rFonts w:ascii="Times New Roman" w:hAnsi="Times New Roman"/>
          <w:sz w:val="24"/>
        </w:rPr>
      </w:pPr>
      <w:r>
        <w:rPr>
          <w:rFonts w:ascii="Times New Roman" w:hAnsi="Times New Roman"/>
          <w:sz w:val="24"/>
        </w:rPr>
        <w:t xml:space="preserve">This item clarifies that the obligations </w:t>
      </w:r>
      <w:r w:rsidR="00817EAF">
        <w:rPr>
          <w:rFonts w:ascii="Times New Roman" w:hAnsi="Times New Roman"/>
          <w:sz w:val="24"/>
        </w:rPr>
        <w:t xml:space="preserve">of a reporting entity under paragraph 4.4.9 </w:t>
      </w:r>
      <w:r>
        <w:rPr>
          <w:rFonts w:ascii="Times New Roman" w:hAnsi="Times New Roman"/>
          <w:sz w:val="24"/>
        </w:rPr>
        <w:t xml:space="preserve">to collect </w:t>
      </w:r>
      <w:r w:rsidRPr="004C2F2D">
        <w:rPr>
          <w:rFonts w:ascii="Times New Roman" w:hAnsi="Times New Roman"/>
          <w:sz w:val="24"/>
        </w:rPr>
        <w:t>the full name and address of ea</w:t>
      </w:r>
      <w:r>
        <w:rPr>
          <w:rFonts w:ascii="Times New Roman" w:hAnsi="Times New Roman"/>
          <w:sz w:val="24"/>
        </w:rPr>
        <w:t>ch trustee and each beneficiary (or details of the class of beneficiary) of a trust do not apply in the circumstances set out in paragraph 4.4.18 (i.e. where a reporting entity is providing designated services to a custodian acting in the capacity of a trustee).</w:t>
      </w:r>
    </w:p>
    <w:p w14:paraId="6A4CC4FD" w14:textId="7E96C281" w:rsidR="00565D7A" w:rsidRPr="00BE654C" w:rsidRDefault="00BE654C" w:rsidP="00BE654C">
      <w:pPr>
        <w:autoSpaceDE w:val="0"/>
        <w:autoSpaceDN w:val="0"/>
        <w:adjustRightInd w:val="0"/>
        <w:spacing w:before="240"/>
        <w:rPr>
          <w:rFonts w:ascii="Times New Roman" w:hAnsi="Times New Roman"/>
          <w:b/>
          <w:sz w:val="24"/>
        </w:rPr>
      </w:pPr>
      <w:r w:rsidRPr="00BE654C">
        <w:rPr>
          <w:rFonts w:ascii="Times New Roman" w:hAnsi="Times New Roman"/>
          <w:b/>
          <w:sz w:val="24"/>
        </w:rPr>
        <w:t>Item 7</w:t>
      </w:r>
    </w:p>
    <w:p w14:paraId="45902484" w14:textId="2B8F4294" w:rsidR="00BE654C" w:rsidRDefault="00BE654C" w:rsidP="00696FB5">
      <w:pPr>
        <w:numPr>
          <w:ilvl w:val="0"/>
          <w:numId w:val="1"/>
        </w:numPr>
        <w:autoSpaceDE w:val="0"/>
        <w:autoSpaceDN w:val="0"/>
        <w:adjustRightInd w:val="0"/>
        <w:spacing w:before="240"/>
        <w:ind w:hanging="720"/>
        <w:rPr>
          <w:rFonts w:ascii="Times New Roman" w:hAnsi="Times New Roman"/>
          <w:sz w:val="24"/>
        </w:rPr>
      </w:pPr>
      <w:r>
        <w:rPr>
          <w:rFonts w:ascii="Times New Roman" w:hAnsi="Times New Roman"/>
          <w:sz w:val="24"/>
        </w:rPr>
        <w:t>This item inserts new paragraphs 4.4.18 and 4.4.19</w:t>
      </w:r>
      <w:r w:rsidR="004C2F2D">
        <w:rPr>
          <w:rFonts w:ascii="Times New Roman" w:hAnsi="Times New Roman"/>
          <w:sz w:val="24"/>
        </w:rPr>
        <w:t>.</w:t>
      </w:r>
    </w:p>
    <w:p w14:paraId="65D85A72" w14:textId="3071CFE6" w:rsidR="00BE654C" w:rsidRPr="005313CB" w:rsidRDefault="00BE654C" w:rsidP="00A14F8F">
      <w:pPr>
        <w:numPr>
          <w:ilvl w:val="0"/>
          <w:numId w:val="1"/>
        </w:numPr>
        <w:autoSpaceDE w:val="0"/>
        <w:autoSpaceDN w:val="0"/>
        <w:adjustRightInd w:val="0"/>
        <w:spacing w:before="240"/>
        <w:ind w:hanging="720"/>
        <w:rPr>
          <w:rFonts w:ascii="Times New Roman" w:hAnsi="Times New Roman"/>
          <w:sz w:val="24"/>
        </w:rPr>
      </w:pPr>
      <w:r w:rsidRPr="005313CB">
        <w:rPr>
          <w:rFonts w:ascii="Times New Roman" w:hAnsi="Times New Roman"/>
          <w:sz w:val="24"/>
        </w:rPr>
        <w:t xml:space="preserve">Paragraph 4.4.18 </w:t>
      </w:r>
      <w:r w:rsidR="004C2F2D" w:rsidRPr="005313CB">
        <w:rPr>
          <w:rFonts w:ascii="Times New Roman" w:hAnsi="Times New Roman"/>
          <w:sz w:val="24"/>
        </w:rPr>
        <w:t>sets out</w:t>
      </w:r>
      <w:r w:rsidRPr="005313CB">
        <w:rPr>
          <w:rFonts w:ascii="Times New Roman" w:hAnsi="Times New Roman"/>
          <w:sz w:val="24"/>
        </w:rPr>
        <w:t xml:space="preserve"> the </w:t>
      </w:r>
      <w:r w:rsidR="004C2F2D" w:rsidRPr="005313CB">
        <w:rPr>
          <w:rFonts w:ascii="Times New Roman" w:hAnsi="Times New Roman"/>
          <w:sz w:val="24"/>
        </w:rPr>
        <w:t>requirements</w:t>
      </w:r>
      <w:r w:rsidRPr="005313CB">
        <w:rPr>
          <w:rFonts w:ascii="Times New Roman" w:hAnsi="Times New Roman"/>
          <w:sz w:val="24"/>
        </w:rPr>
        <w:t xml:space="preserve"> in Chapters 4 and 15 </w:t>
      </w:r>
      <w:r w:rsidR="004C2F2D" w:rsidRPr="005313CB">
        <w:rPr>
          <w:rFonts w:ascii="Times New Roman" w:hAnsi="Times New Roman"/>
          <w:sz w:val="24"/>
        </w:rPr>
        <w:t>that</w:t>
      </w:r>
      <w:r w:rsidRPr="005313CB">
        <w:rPr>
          <w:rFonts w:ascii="Times New Roman" w:hAnsi="Times New Roman"/>
          <w:sz w:val="24"/>
        </w:rPr>
        <w:t xml:space="preserve"> a reporting entity</w:t>
      </w:r>
      <w:r w:rsidR="004C2F2D" w:rsidRPr="005313CB">
        <w:rPr>
          <w:rFonts w:ascii="Times New Roman" w:hAnsi="Times New Roman"/>
          <w:sz w:val="24"/>
        </w:rPr>
        <w:t>’s AML/CTF program</w:t>
      </w:r>
      <w:r w:rsidRPr="005313CB">
        <w:rPr>
          <w:rFonts w:ascii="Times New Roman" w:hAnsi="Times New Roman"/>
          <w:sz w:val="24"/>
        </w:rPr>
        <w:t xml:space="preserve"> </w:t>
      </w:r>
      <w:r w:rsidR="007E62CD" w:rsidRPr="005313CB">
        <w:rPr>
          <w:rFonts w:ascii="Times New Roman" w:hAnsi="Times New Roman"/>
          <w:sz w:val="24"/>
        </w:rPr>
        <w:t>does</w:t>
      </w:r>
      <w:r w:rsidRPr="005313CB">
        <w:rPr>
          <w:rFonts w:ascii="Times New Roman" w:hAnsi="Times New Roman"/>
          <w:sz w:val="24"/>
        </w:rPr>
        <w:t xml:space="preserve"> not need to comply </w:t>
      </w:r>
      <w:r w:rsidR="004C2F2D" w:rsidRPr="005313CB">
        <w:rPr>
          <w:rFonts w:ascii="Times New Roman" w:hAnsi="Times New Roman"/>
          <w:sz w:val="24"/>
        </w:rPr>
        <w:t>with when providing designated services to a custodian that meets the criteria set out in paragraph 4.4.19</w:t>
      </w:r>
      <w:r w:rsidRPr="005313CB">
        <w:rPr>
          <w:rFonts w:ascii="Times New Roman" w:hAnsi="Times New Roman"/>
          <w:sz w:val="24"/>
        </w:rPr>
        <w:t>:</w:t>
      </w:r>
    </w:p>
    <w:p w14:paraId="2CBEA29E" w14:textId="38A60EEC" w:rsidR="00BE654C" w:rsidRPr="00EE40AF" w:rsidRDefault="00BE654C" w:rsidP="00BE654C">
      <w:pPr>
        <w:pStyle w:val="Numberedparagraphs"/>
        <w:numPr>
          <w:ilvl w:val="0"/>
          <w:numId w:val="9"/>
        </w:numPr>
        <w:ind w:hanging="713"/>
      </w:pPr>
      <w:r w:rsidRPr="00EE40AF">
        <w:t>subparagraph 4.4.2(2) – the name of each trustee and beneficiary, or a description of each class of beneficiary (noting that paragraphs 4.4.</w:t>
      </w:r>
      <w:r w:rsidR="00C272EB">
        <w:t>3</w:t>
      </w:r>
      <w:r w:rsidRPr="00EE40AF">
        <w:t xml:space="preserve">(6)-(8) still apply in relation to </w:t>
      </w:r>
      <w:r w:rsidR="00C272EB">
        <w:t>collecting</w:t>
      </w:r>
      <w:r w:rsidRPr="00EE40AF">
        <w:t xml:space="preserve"> the name of trustees/custodians);</w:t>
      </w:r>
    </w:p>
    <w:p w14:paraId="28714A29" w14:textId="77777777" w:rsidR="00BE654C" w:rsidRPr="00EE40AF" w:rsidRDefault="00BE654C" w:rsidP="00BE654C">
      <w:pPr>
        <w:pStyle w:val="Numberedparagraphs"/>
        <w:numPr>
          <w:ilvl w:val="0"/>
          <w:numId w:val="9"/>
        </w:numPr>
        <w:ind w:hanging="713"/>
      </w:pPr>
      <w:r w:rsidRPr="00EE40AF">
        <w:t>subparagraphs 4.4.3(1) and 4.4.5(1) – collecting and verifying the full name of the trust;</w:t>
      </w:r>
    </w:p>
    <w:p w14:paraId="1D36DAAB" w14:textId="77777777" w:rsidR="00BE654C" w:rsidRPr="00EE40AF" w:rsidRDefault="00BE654C" w:rsidP="00BE654C">
      <w:pPr>
        <w:pStyle w:val="Numberedparagraphs"/>
        <w:numPr>
          <w:ilvl w:val="0"/>
          <w:numId w:val="9"/>
        </w:numPr>
        <w:ind w:hanging="713"/>
      </w:pPr>
      <w:r w:rsidRPr="00EE40AF">
        <w:t>subparagraphs 4.4.3(5) and 4.4.5(5) – collecting and verifying settlor details;</w:t>
      </w:r>
    </w:p>
    <w:p w14:paraId="4598624C" w14:textId="16537E80" w:rsidR="00A43F63" w:rsidRDefault="00BE654C" w:rsidP="00A43F63">
      <w:pPr>
        <w:pStyle w:val="Numberedparagraphs"/>
        <w:numPr>
          <w:ilvl w:val="0"/>
          <w:numId w:val="9"/>
        </w:numPr>
        <w:ind w:hanging="713"/>
      </w:pPr>
      <w:r w:rsidRPr="00EE40AF">
        <w:t>subparagraph 4.4.9(2) – collecting the name of each beneficiary of a trust;</w:t>
      </w:r>
      <w:r w:rsidR="00A43F63">
        <w:t xml:space="preserve"> and</w:t>
      </w:r>
    </w:p>
    <w:p w14:paraId="46ACBF62" w14:textId="77777777" w:rsidR="00A43F63" w:rsidRDefault="00A43F63" w:rsidP="00A43F63">
      <w:pPr>
        <w:pStyle w:val="Numberedparagraphs"/>
        <w:numPr>
          <w:ilvl w:val="0"/>
          <w:numId w:val="9"/>
        </w:numPr>
        <w:ind w:hanging="713"/>
      </w:pPr>
      <w:r>
        <w:t>in relation to the underlying customers of those custodians:</w:t>
      </w:r>
    </w:p>
    <w:p w14:paraId="148CCB46" w14:textId="77777777" w:rsidR="00A43F63" w:rsidRDefault="00BE654C" w:rsidP="00A43F63">
      <w:pPr>
        <w:pStyle w:val="Numberedparagraphs"/>
        <w:numPr>
          <w:ilvl w:val="1"/>
          <w:numId w:val="9"/>
        </w:numPr>
        <w:ind w:left="1985" w:hanging="567"/>
      </w:pPr>
      <w:r w:rsidRPr="00EE40AF">
        <w:t>Part 4.12 (Collection and Verification of Beneficial Owner information) and Part 4.13 (Collection and Verification o</w:t>
      </w:r>
      <w:r w:rsidR="003A33AD">
        <w:t>f Politically Exposed Person</w:t>
      </w:r>
      <w:r w:rsidRPr="00EE40AF">
        <w:t xml:space="preserve"> information); and</w:t>
      </w:r>
    </w:p>
    <w:p w14:paraId="0B29474C" w14:textId="4E62DDD6" w:rsidR="00BE654C" w:rsidRPr="00EE40AF" w:rsidRDefault="00BE654C" w:rsidP="00A43F63">
      <w:pPr>
        <w:pStyle w:val="Numberedparagraphs"/>
        <w:numPr>
          <w:ilvl w:val="1"/>
          <w:numId w:val="9"/>
        </w:numPr>
        <w:ind w:left="1985" w:hanging="567"/>
      </w:pPr>
      <w:r w:rsidRPr="00EE40AF">
        <w:t>various ongoing customer due dilig</w:t>
      </w:r>
      <w:r w:rsidR="00A43F63">
        <w:t>ence requirements in Chapter 15.</w:t>
      </w:r>
    </w:p>
    <w:p w14:paraId="470EF21C" w14:textId="77777777" w:rsidR="00FA78E0" w:rsidRDefault="00FA78E0">
      <w:pPr>
        <w:rPr>
          <w:rFonts w:ascii="Times New Roman" w:hAnsi="Times New Roman"/>
          <w:sz w:val="24"/>
        </w:rPr>
      </w:pPr>
      <w:r>
        <w:rPr>
          <w:rFonts w:ascii="Times New Roman" w:hAnsi="Times New Roman"/>
          <w:sz w:val="24"/>
        </w:rPr>
        <w:br w:type="page"/>
      </w:r>
    </w:p>
    <w:p w14:paraId="1B087E7B" w14:textId="4D581448" w:rsidR="003A33AD" w:rsidRDefault="003A33AD" w:rsidP="00A43F63">
      <w:pPr>
        <w:numPr>
          <w:ilvl w:val="0"/>
          <w:numId w:val="1"/>
        </w:numPr>
        <w:autoSpaceDE w:val="0"/>
        <w:autoSpaceDN w:val="0"/>
        <w:adjustRightInd w:val="0"/>
        <w:spacing w:before="240"/>
        <w:ind w:hanging="720"/>
        <w:rPr>
          <w:rFonts w:ascii="Times New Roman" w:hAnsi="Times New Roman"/>
          <w:sz w:val="24"/>
        </w:rPr>
      </w:pPr>
      <w:r>
        <w:rPr>
          <w:rFonts w:ascii="Times New Roman" w:hAnsi="Times New Roman"/>
          <w:sz w:val="24"/>
        </w:rPr>
        <w:lastRenderedPageBreak/>
        <w:t>Note</w:t>
      </w:r>
      <w:r w:rsidR="00C369C5">
        <w:rPr>
          <w:rFonts w:ascii="Times New Roman" w:hAnsi="Times New Roman"/>
          <w:sz w:val="24"/>
        </w:rPr>
        <w:t>s</w:t>
      </w:r>
      <w:r>
        <w:rPr>
          <w:rFonts w:ascii="Times New Roman" w:hAnsi="Times New Roman"/>
          <w:sz w:val="24"/>
        </w:rPr>
        <w:t xml:space="preserve"> 1 </w:t>
      </w:r>
      <w:r w:rsidR="00C369C5">
        <w:rPr>
          <w:rFonts w:ascii="Times New Roman" w:hAnsi="Times New Roman"/>
          <w:sz w:val="24"/>
        </w:rPr>
        <w:t xml:space="preserve">and 2 </w:t>
      </w:r>
      <w:r>
        <w:rPr>
          <w:rFonts w:ascii="Times New Roman" w:hAnsi="Times New Roman"/>
          <w:sz w:val="24"/>
        </w:rPr>
        <w:t>to paragraph 4.4.18 cla</w:t>
      </w:r>
      <w:r w:rsidR="00C369C5">
        <w:rPr>
          <w:rFonts w:ascii="Times New Roman" w:hAnsi="Times New Roman"/>
          <w:sz w:val="24"/>
        </w:rPr>
        <w:t>rify</w:t>
      </w:r>
      <w:r>
        <w:rPr>
          <w:rFonts w:ascii="Times New Roman" w:hAnsi="Times New Roman"/>
          <w:sz w:val="24"/>
        </w:rPr>
        <w:t xml:space="preserve"> that w</w:t>
      </w:r>
      <w:r w:rsidR="006862B0">
        <w:rPr>
          <w:rFonts w:ascii="Times New Roman" w:hAnsi="Times New Roman"/>
          <w:sz w:val="24"/>
        </w:rPr>
        <w:t>hile</w:t>
      </w:r>
      <w:r>
        <w:rPr>
          <w:rFonts w:ascii="Times New Roman" w:hAnsi="Times New Roman"/>
          <w:sz w:val="24"/>
        </w:rPr>
        <w:t xml:space="preserve"> </w:t>
      </w:r>
      <w:r w:rsidR="00BE654C" w:rsidRPr="006862B0">
        <w:rPr>
          <w:rFonts w:ascii="Times New Roman" w:hAnsi="Times New Roman"/>
          <w:sz w:val="24"/>
        </w:rPr>
        <w:t xml:space="preserve">reporting entities </w:t>
      </w:r>
      <w:r>
        <w:rPr>
          <w:rFonts w:ascii="Times New Roman" w:hAnsi="Times New Roman"/>
          <w:sz w:val="24"/>
        </w:rPr>
        <w:t>are not required</w:t>
      </w:r>
      <w:r w:rsidR="006862B0">
        <w:rPr>
          <w:rFonts w:ascii="Times New Roman" w:hAnsi="Times New Roman"/>
          <w:sz w:val="24"/>
        </w:rPr>
        <w:t xml:space="preserve"> to identify and verify the underlying customers of </w:t>
      </w:r>
      <w:r>
        <w:rPr>
          <w:rFonts w:ascii="Times New Roman" w:hAnsi="Times New Roman"/>
          <w:sz w:val="24"/>
        </w:rPr>
        <w:t>customers that provide custodial services (as defined in paragraph 4.4.19)</w:t>
      </w:r>
      <w:r w:rsidR="006862B0">
        <w:rPr>
          <w:rFonts w:ascii="Times New Roman" w:hAnsi="Times New Roman"/>
          <w:sz w:val="24"/>
        </w:rPr>
        <w:t xml:space="preserve">, </w:t>
      </w:r>
      <w:r>
        <w:rPr>
          <w:rFonts w:ascii="Times New Roman" w:hAnsi="Times New Roman"/>
          <w:sz w:val="24"/>
        </w:rPr>
        <w:t>reporting entities must continue to apply all applicable customer identification procedures</w:t>
      </w:r>
      <w:r w:rsidR="00C369C5">
        <w:rPr>
          <w:rFonts w:ascii="Times New Roman" w:hAnsi="Times New Roman"/>
          <w:sz w:val="24"/>
        </w:rPr>
        <w:t>, as well as relevant ongoing customer due diligence procedures, in relation to the custodian itself.</w:t>
      </w:r>
    </w:p>
    <w:p w14:paraId="3D16E7C8" w14:textId="71DF5248" w:rsidR="00DB4E24" w:rsidRDefault="00DB4E24" w:rsidP="00696FB5">
      <w:pPr>
        <w:numPr>
          <w:ilvl w:val="0"/>
          <w:numId w:val="1"/>
        </w:numPr>
        <w:autoSpaceDE w:val="0"/>
        <w:autoSpaceDN w:val="0"/>
        <w:adjustRightInd w:val="0"/>
        <w:spacing w:before="240"/>
        <w:ind w:hanging="720"/>
        <w:rPr>
          <w:rFonts w:ascii="Times New Roman" w:hAnsi="Times New Roman"/>
          <w:sz w:val="24"/>
        </w:rPr>
      </w:pPr>
      <w:r>
        <w:rPr>
          <w:rFonts w:ascii="Times New Roman" w:hAnsi="Times New Roman"/>
          <w:sz w:val="24"/>
        </w:rPr>
        <w:t xml:space="preserve">Paragraph </w:t>
      </w:r>
      <w:r w:rsidR="00DF02BB">
        <w:rPr>
          <w:rFonts w:ascii="Times New Roman" w:hAnsi="Times New Roman"/>
          <w:sz w:val="24"/>
        </w:rPr>
        <w:t xml:space="preserve">4.4.19 </w:t>
      </w:r>
      <w:r w:rsidR="00C369C5">
        <w:rPr>
          <w:rFonts w:ascii="Times New Roman" w:hAnsi="Times New Roman"/>
          <w:sz w:val="24"/>
        </w:rPr>
        <w:t>sets out definitions of relevant terms used in paragraph 4.4.18, including ‘custodian’, ‘IDPS’, ‘</w:t>
      </w:r>
      <w:r>
        <w:rPr>
          <w:rFonts w:ascii="Times New Roman" w:hAnsi="Times New Roman"/>
          <w:sz w:val="24"/>
        </w:rPr>
        <w:t>MDA service</w:t>
      </w:r>
      <w:r w:rsidR="00C369C5">
        <w:rPr>
          <w:rFonts w:ascii="Times New Roman" w:hAnsi="Times New Roman"/>
          <w:sz w:val="24"/>
        </w:rPr>
        <w:t>’, ‘</w:t>
      </w:r>
      <w:r>
        <w:rPr>
          <w:rFonts w:ascii="Times New Roman" w:hAnsi="Times New Roman"/>
          <w:sz w:val="24"/>
        </w:rPr>
        <w:t xml:space="preserve">providing a </w:t>
      </w:r>
      <w:r w:rsidR="00C369C5">
        <w:rPr>
          <w:rFonts w:ascii="Times New Roman" w:hAnsi="Times New Roman"/>
          <w:sz w:val="24"/>
        </w:rPr>
        <w:t>custodial or depository service’ and ‘Reporting Entities Roll’.</w:t>
      </w:r>
    </w:p>
    <w:p w14:paraId="3BDC13C6" w14:textId="728948C4" w:rsidR="00DB4E24" w:rsidRDefault="00DB4E24" w:rsidP="00696FB5">
      <w:pPr>
        <w:numPr>
          <w:ilvl w:val="0"/>
          <w:numId w:val="1"/>
        </w:numPr>
        <w:autoSpaceDE w:val="0"/>
        <w:autoSpaceDN w:val="0"/>
        <w:adjustRightInd w:val="0"/>
        <w:spacing w:before="240"/>
        <w:ind w:hanging="720"/>
        <w:rPr>
          <w:rFonts w:ascii="Times New Roman" w:hAnsi="Times New Roman"/>
          <w:sz w:val="24"/>
        </w:rPr>
      </w:pPr>
      <w:r>
        <w:rPr>
          <w:rFonts w:ascii="Times New Roman" w:hAnsi="Times New Roman"/>
          <w:sz w:val="24"/>
        </w:rPr>
        <w:t xml:space="preserve">The </w:t>
      </w:r>
      <w:r w:rsidR="009C3F7E">
        <w:rPr>
          <w:rFonts w:ascii="Times New Roman" w:hAnsi="Times New Roman"/>
          <w:sz w:val="24"/>
        </w:rPr>
        <w:t xml:space="preserve">definition of ‘custodian’ </w:t>
      </w:r>
      <w:r w:rsidR="00817EAF">
        <w:rPr>
          <w:rFonts w:ascii="Times New Roman" w:hAnsi="Times New Roman"/>
          <w:sz w:val="24"/>
        </w:rPr>
        <w:t xml:space="preserve">specifies </w:t>
      </w:r>
      <w:r w:rsidR="009C3F7E">
        <w:rPr>
          <w:rFonts w:ascii="Times New Roman" w:hAnsi="Times New Roman"/>
          <w:sz w:val="24"/>
        </w:rPr>
        <w:t xml:space="preserve">that the </w:t>
      </w:r>
      <w:r>
        <w:rPr>
          <w:rFonts w:ascii="Times New Roman" w:hAnsi="Times New Roman"/>
          <w:sz w:val="24"/>
        </w:rPr>
        <w:t xml:space="preserve">relief in paragraph 4.4.18 is limited to </w:t>
      </w:r>
      <w:r w:rsidR="009C3F7E">
        <w:rPr>
          <w:rFonts w:ascii="Times New Roman" w:hAnsi="Times New Roman"/>
          <w:sz w:val="24"/>
        </w:rPr>
        <w:t>those customers that</w:t>
      </w:r>
      <w:r>
        <w:rPr>
          <w:rFonts w:ascii="Times New Roman" w:hAnsi="Times New Roman"/>
          <w:sz w:val="24"/>
        </w:rPr>
        <w:t>:</w:t>
      </w:r>
    </w:p>
    <w:p w14:paraId="239666A4" w14:textId="6B5964BD" w:rsidR="00817EAF" w:rsidRDefault="00817EAF" w:rsidP="00DB4E24">
      <w:pPr>
        <w:pStyle w:val="Numberedparagraphs"/>
        <w:numPr>
          <w:ilvl w:val="0"/>
          <w:numId w:val="11"/>
        </w:numPr>
        <w:tabs>
          <w:tab w:val="left" w:pos="1418"/>
        </w:tabs>
        <w:ind w:hanging="713"/>
      </w:pPr>
      <w:r>
        <w:t>are companies, rather than individuals (that is, they are corporate custodians); and</w:t>
      </w:r>
    </w:p>
    <w:p w14:paraId="488AD9A1" w14:textId="13C034BC" w:rsidR="009C3F7E" w:rsidRDefault="00D27480" w:rsidP="00DB4E24">
      <w:pPr>
        <w:pStyle w:val="Numberedparagraphs"/>
        <w:numPr>
          <w:ilvl w:val="0"/>
          <w:numId w:val="11"/>
        </w:numPr>
        <w:tabs>
          <w:tab w:val="left" w:pos="1418"/>
        </w:tabs>
        <w:ind w:hanging="713"/>
      </w:pPr>
      <w:r>
        <w:t xml:space="preserve">are </w:t>
      </w:r>
      <w:r w:rsidR="009C3F7E">
        <w:t>acting in the capacity of a trustee;</w:t>
      </w:r>
      <w:r w:rsidR="00817EAF">
        <w:t xml:space="preserve"> and</w:t>
      </w:r>
    </w:p>
    <w:p w14:paraId="7CA61400" w14:textId="0B13D1DF" w:rsidR="00DB4E24" w:rsidRDefault="00D27480" w:rsidP="00DB4E24">
      <w:pPr>
        <w:pStyle w:val="Numberedparagraphs"/>
        <w:numPr>
          <w:ilvl w:val="0"/>
          <w:numId w:val="11"/>
        </w:numPr>
        <w:tabs>
          <w:tab w:val="left" w:pos="1418"/>
        </w:tabs>
        <w:ind w:hanging="713"/>
      </w:pPr>
      <w:r>
        <w:t xml:space="preserve">are </w:t>
      </w:r>
      <w:r w:rsidR="00DB4E24">
        <w:t>providing custodial or depository services of the kind described in item 46 of table 1 in subsection 6(2) of the AML/CTF Act;</w:t>
      </w:r>
      <w:r w:rsidR="00817EAF">
        <w:t xml:space="preserve"> and</w:t>
      </w:r>
    </w:p>
    <w:p w14:paraId="0A5A47BA" w14:textId="5E3B0954" w:rsidR="00DB4E24" w:rsidRPr="00EE40AF" w:rsidRDefault="00D27480" w:rsidP="00DB4E24">
      <w:pPr>
        <w:pStyle w:val="Numberedparagraphs"/>
        <w:numPr>
          <w:ilvl w:val="0"/>
          <w:numId w:val="11"/>
        </w:numPr>
        <w:tabs>
          <w:tab w:val="left" w:pos="1418"/>
        </w:tabs>
        <w:ind w:hanging="713"/>
      </w:pPr>
      <w:r>
        <w:t xml:space="preserve">either </w:t>
      </w:r>
      <w:r w:rsidR="00DB4E24" w:rsidRPr="00EE40AF">
        <w:t>hold an Austral</w:t>
      </w:r>
      <w:r>
        <w:t xml:space="preserve">ian financial services licence </w:t>
      </w:r>
      <w:r w:rsidR="00DB4E24" w:rsidRPr="00EE40AF">
        <w:t>authorising them to provide custodial or depository services</w:t>
      </w:r>
      <w:r w:rsidR="00817EAF">
        <w:t xml:space="preserve"> under the </w:t>
      </w:r>
      <w:r w:rsidR="00817EAF" w:rsidRPr="00817EAF">
        <w:rPr>
          <w:i/>
        </w:rPr>
        <w:t>Corporations Act 2001</w:t>
      </w:r>
      <w:r w:rsidR="00DB4E24" w:rsidRPr="00EE40AF">
        <w:t xml:space="preserve">, or are </w:t>
      </w:r>
      <w:r w:rsidR="00817EAF">
        <w:t xml:space="preserve">otherwise </w:t>
      </w:r>
      <w:r w:rsidR="00DB4E24" w:rsidRPr="00EE40AF">
        <w:t xml:space="preserve">exempt from the requirement to hold such a licence; </w:t>
      </w:r>
    </w:p>
    <w:p w14:paraId="2DA4BDEE" w14:textId="712CA8FB" w:rsidR="00DB4E24" w:rsidRPr="00D27480" w:rsidRDefault="00D27480" w:rsidP="00D27480">
      <w:pPr>
        <w:pStyle w:val="Numberedparagraphs"/>
        <w:numPr>
          <w:ilvl w:val="0"/>
          <w:numId w:val="11"/>
        </w:numPr>
        <w:tabs>
          <w:tab w:val="left" w:pos="1418"/>
        </w:tabs>
        <w:ind w:hanging="713"/>
        <w:rPr>
          <w:szCs w:val="24"/>
        </w:rPr>
      </w:pPr>
      <w:r>
        <w:rPr>
          <w:szCs w:val="24"/>
        </w:rPr>
        <w:t xml:space="preserve">either </w:t>
      </w:r>
      <w:r>
        <w:rPr>
          <w:lang w:eastAsia="en-AU"/>
        </w:rPr>
        <w:t>satisfy one of the ‘</w:t>
      </w:r>
      <w:r w:rsidR="00DB4E24" w:rsidRPr="00D27480">
        <w:rPr>
          <w:lang w:eastAsia="en-AU"/>
        </w:rPr>
        <w:t>geographical link</w:t>
      </w:r>
      <w:r>
        <w:rPr>
          <w:lang w:eastAsia="en-AU"/>
        </w:rPr>
        <w:t>’</w:t>
      </w:r>
      <w:r w:rsidR="00DB4E24" w:rsidRPr="00D27480">
        <w:rPr>
          <w:lang w:eastAsia="en-AU"/>
        </w:rPr>
        <w:t xml:space="preserve"> tests in subsec</w:t>
      </w:r>
      <w:r>
        <w:rPr>
          <w:lang w:eastAsia="en-AU"/>
        </w:rPr>
        <w:t xml:space="preserve">tion 6(6) of the AML/CTF Act, or </w:t>
      </w:r>
      <w:r w:rsidR="00DB4E24" w:rsidRPr="00D27480">
        <w:rPr>
          <w:lang w:eastAsia="en-AU"/>
        </w:rPr>
        <w:t xml:space="preserve">have </w:t>
      </w:r>
      <w:r w:rsidRPr="00304AF2">
        <w:rPr>
          <w:color w:val="000000" w:themeColor="text1"/>
        </w:rPr>
        <w:t xml:space="preserve">certified in writing to the relevant reporting entity that </w:t>
      </w:r>
      <w:r w:rsidR="00817EAF">
        <w:rPr>
          <w:color w:val="000000" w:themeColor="text1"/>
        </w:rPr>
        <w:t>their</w:t>
      </w:r>
      <w:r w:rsidR="00817EAF" w:rsidRPr="00304AF2">
        <w:rPr>
          <w:color w:val="000000" w:themeColor="text1"/>
        </w:rPr>
        <w:t xml:space="preserve"> </w:t>
      </w:r>
      <w:r w:rsidRPr="00304AF2">
        <w:rPr>
          <w:color w:val="000000" w:themeColor="text1"/>
        </w:rPr>
        <w:t>name and enrolment details are entered on the Reporting Entities Roll</w:t>
      </w:r>
      <w:r w:rsidR="00DB4E24" w:rsidRPr="00D27480">
        <w:rPr>
          <w:lang w:eastAsia="en-AU"/>
        </w:rPr>
        <w:t>;</w:t>
      </w:r>
      <w:r>
        <w:rPr>
          <w:lang w:eastAsia="en-AU"/>
        </w:rPr>
        <w:t xml:space="preserve"> and</w:t>
      </w:r>
    </w:p>
    <w:p w14:paraId="3704BE5E" w14:textId="6CE9DDA7" w:rsidR="00D27480" w:rsidRPr="00D27480" w:rsidRDefault="00D27480" w:rsidP="00D27480">
      <w:pPr>
        <w:pStyle w:val="Numberedparagraphs"/>
        <w:numPr>
          <w:ilvl w:val="0"/>
          <w:numId w:val="11"/>
        </w:numPr>
        <w:tabs>
          <w:tab w:val="left" w:pos="1418"/>
        </w:tabs>
        <w:ind w:hanging="713"/>
        <w:rPr>
          <w:szCs w:val="24"/>
        </w:rPr>
      </w:pPr>
      <w:r>
        <w:rPr>
          <w:color w:val="000000" w:themeColor="text1"/>
        </w:rPr>
        <w:t xml:space="preserve">have </w:t>
      </w:r>
      <w:r w:rsidRPr="00304AF2">
        <w:rPr>
          <w:color w:val="000000" w:themeColor="text1"/>
        </w:rPr>
        <w:t xml:space="preserve">certified in writing to the relevant reporting entity that </w:t>
      </w:r>
      <w:r w:rsidR="00817EAF">
        <w:rPr>
          <w:color w:val="000000" w:themeColor="text1"/>
        </w:rPr>
        <w:t>they</w:t>
      </w:r>
      <w:r w:rsidRPr="00304AF2">
        <w:rPr>
          <w:color w:val="000000" w:themeColor="text1"/>
        </w:rPr>
        <w:t xml:space="preserve"> </w:t>
      </w:r>
      <w:r w:rsidR="000D6508">
        <w:rPr>
          <w:color w:val="000000" w:themeColor="text1"/>
        </w:rPr>
        <w:t xml:space="preserve">have </w:t>
      </w:r>
      <w:r w:rsidRPr="00304AF2">
        <w:rPr>
          <w:color w:val="000000" w:themeColor="text1"/>
        </w:rPr>
        <w:t>carried out all applicable customer identification procedures and ongoing customer due diligence requirements in accordance with Chapter 15 of the AML/CTF Rules in relation to its underlying customers prior to, or at the time of, becoming a customer of the reporting entity</w:t>
      </w:r>
      <w:r>
        <w:rPr>
          <w:color w:val="000000" w:themeColor="text1"/>
        </w:rPr>
        <w:t>.</w:t>
      </w:r>
    </w:p>
    <w:p w14:paraId="22E5D1FB" w14:textId="2013DB94" w:rsidR="006C1B8A" w:rsidRPr="006C1B8A" w:rsidRDefault="006C1B8A" w:rsidP="00696FB5">
      <w:pPr>
        <w:numPr>
          <w:ilvl w:val="0"/>
          <w:numId w:val="1"/>
        </w:numPr>
        <w:autoSpaceDE w:val="0"/>
        <w:autoSpaceDN w:val="0"/>
        <w:adjustRightInd w:val="0"/>
        <w:spacing w:before="240"/>
        <w:ind w:hanging="720"/>
        <w:rPr>
          <w:rFonts w:ascii="Times New Roman" w:hAnsi="Times New Roman"/>
          <w:sz w:val="24"/>
        </w:rPr>
      </w:pPr>
      <w:r w:rsidRPr="006C1B8A">
        <w:rPr>
          <w:rFonts w:ascii="Times New Roman" w:hAnsi="Times New Roman"/>
          <w:sz w:val="24"/>
        </w:rPr>
        <w:t xml:space="preserve">Custodian industry representatives have advised that there are circumstances where foreign custodians legitimately provide custodial or depository services in Australian without </w:t>
      </w:r>
      <w:r w:rsidR="00A43F63">
        <w:rPr>
          <w:rFonts w:ascii="Times New Roman" w:hAnsi="Times New Roman"/>
          <w:sz w:val="24"/>
        </w:rPr>
        <w:t>an AFSL</w:t>
      </w:r>
      <w:r w:rsidRPr="006C1B8A">
        <w:rPr>
          <w:rFonts w:ascii="Times New Roman" w:hAnsi="Times New Roman"/>
          <w:sz w:val="24"/>
        </w:rPr>
        <w:t xml:space="preserve">. For example, certain provisions in the </w:t>
      </w:r>
      <w:r w:rsidRPr="00A43F63">
        <w:rPr>
          <w:rFonts w:ascii="Times New Roman" w:hAnsi="Times New Roman"/>
          <w:i/>
          <w:sz w:val="24"/>
        </w:rPr>
        <w:t xml:space="preserve">Corporations Act </w:t>
      </w:r>
      <w:r w:rsidR="00A43F63" w:rsidRPr="00A43F63">
        <w:rPr>
          <w:rFonts w:ascii="Times New Roman" w:hAnsi="Times New Roman"/>
          <w:i/>
          <w:sz w:val="24"/>
        </w:rPr>
        <w:t>2001</w:t>
      </w:r>
      <w:r w:rsidR="00A43F63">
        <w:rPr>
          <w:rFonts w:ascii="Times New Roman" w:hAnsi="Times New Roman"/>
          <w:sz w:val="24"/>
        </w:rPr>
        <w:t xml:space="preserve"> </w:t>
      </w:r>
      <w:r w:rsidRPr="006C1B8A">
        <w:rPr>
          <w:rFonts w:ascii="Times New Roman" w:hAnsi="Times New Roman"/>
          <w:sz w:val="24"/>
        </w:rPr>
        <w:t>and Corporations Regulations, as well as several ASIC Class Orders, exempt certain persons from the requirement to hold an AFSL authorising them to provide custodial or depository services.</w:t>
      </w:r>
      <w:r w:rsidR="00430096">
        <w:rPr>
          <w:rFonts w:ascii="Times New Roman" w:hAnsi="Times New Roman"/>
          <w:sz w:val="24"/>
        </w:rPr>
        <w:t xml:space="preserve"> Accordingly, these types of custodian</w:t>
      </w:r>
      <w:r w:rsidR="00C25128">
        <w:rPr>
          <w:rFonts w:ascii="Times New Roman" w:hAnsi="Times New Roman"/>
          <w:sz w:val="24"/>
        </w:rPr>
        <w:t>s</w:t>
      </w:r>
      <w:r w:rsidR="00430096">
        <w:rPr>
          <w:rFonts w:ascii="Times New Roman" w:hAnsi="Times New Roman"/>
          <w:sz w:val="24"/>
        </w:rPr>
        <w:t xml:space="preserve"> are </w:t>
      </w:r>
      <w:r w:rsidR="00A43F63">
        <w:rPr>
          <w:rFonts w:ascii="Times New Roman" w:hAnsi="Times New Roman"/>
          <w:sz w:val="24"/>
        </w:rPr>
        <w:t>brought within scope of the relief by virtue of subparagraph 4.4.19(1)(c)(ii)</w:t>
      </w:r>
      <w:r w:rsidR="00430096">
        <w:rPr>
          <w:rFonts w:ascii="Times New Roman" w:hAnsi="Times New Roman"/>
          <w:sz w:val="24"/>
        </w:rPr>
        <w:t>.</w:t>
      </w:r>
    </w:p>
    <w:p w14:paraId="0DFA01DE" w14:textId="77777777" w:rsidR="00FA78E0" w:rsidRDefault="00FA78E0">
      <w:pPr>
        <w:rPr>
          <w:rFonts w:ascii="Times New Roman" w:hAnsi="Times New Roman"/>
          <w:sz w:val="24"/>
        </w:rPr>
      </w:pPr>
      <w:r>
        <w:rPr>
          <w:rFonts w:ascii="Times New Roman" w:hAnsi="Times New Roman"/>
          <w:sz w:val="24"/>
        </w:rPr>
        <w:br w:type="page"/>
      </w:r>
    </w:p>
    <w:p w14:paraId="3E7D2F84" w14:textId="047169F1" w:rsidR="00B46BA1" w:rsidRPr="00696FB5" w:rsidRDefault="00B46BA1" w:rsidP="00696FB5">
      <w:pPr>
        <w:numPr>
          <w:ilvl w:val="0"/>
          <w:numId w:val="1"/>
        </w:numPr>
        <w:autoSpaceDE w:val="0"/>
        <w:autoSpaceDN w:val="0"/>
        <w:adjustRightInd w:val="0"/>
        <w:spacing w:before="240"/>
        <w:ind w:hanging="720"/>
        <w:rPr>
          <w:rFonts w:ascii="Times New Roman" w:hAnsi="Times New Roman"/>
          <w:sz w:val="24"/>
        </w:rPr>
      </w:pPr>
      <w:r w:rsidRPr="0012383B">
        <w:rPr>
          <w:rFonts w:ascii="Times New Roman" w:hAnsi="Times New Roman"/>
          <w:sz w:val="24"/>
        </w:rPr>
        <w:lastRenderedPageBreak/>
        <w:t>T</w:t>
      </w:r>
      <w:r w:rsidRPr="00696FB5">
        <w:rPr>
          <w:rFonts w:ascii="Times New Roman" w:hAnsi="Times New Roman"/>
          <w:sz w:val="24"/>
        </w:rPr>
        <w:t>he definitio</w:t>
      </w:r>
      <w:r w:rsidR="00E454D6">
        <w:rPr>
          <w:rFonts w:ascii="Times New Roman" w:hAnsi="Times New Roman"/>
          <w:sz w:val="24"/>
        </w:rPr>
        <w:t>n of ‘</w:t>
      </w:r>
      <w:r w:rsidRPr="00696FB5">
        <w:rPr>
          <w:rFonts w:ascii="Times New Roman" w:hAnsi="Times New Roman"/>
          <w:sz w:val="24"/>
        </w:rPr>
        <w:t>providing a custodial or depository service</w:t>
      </w:r>
      <w:r w:rsidR="00E454D6">
        <w:rPr>
          <w:rFonts w:ascii="Times New Roman" w:hAnsi="Times New Roman"/>
          <w:sz w:val="24"/>
        </w:rPr>
        <w:t>’</w:t>
      </w:r>
      <w:r w:rsidRPr="00696FB5">
        <w:rPr>
          <w:rFonts w:ascii="Times New Roman" w:hAnsi="Times New Roman"/>
          <w:sz w:val="24"/>
        </w:rPr>
        <w:t xml:space="preserve"> has the same meaning as in section 5 of the AML/CTF Act (which </w:t>
      </w:r>
      <w:r w:rsidRPr="0012383B">
        <w:rPr>
          <w:rFonts w:ascii="Times New Roman" w:hAnsi="Times New Roman"/>
          <w:sz w:val="24"/>
        </w:rPr>
        <w:t xml:space="preserve">relies on the equivalent definition in subsection 766E(1) of the </w:t>
      </w:r>
      <w:r w:rsidRPr="00E454D6">
        <w:rPr>
          <w:rFonts w:ascii="Times New Roman" w:hAnsi="Times New Roman"/>
          <w:i/>
          <w:sz w:val="24"/>
        </w:rPr>
        <w:t>Corporations Act</w:t>
      </w:r>
      <w:r w:rsidR="00E454D6" w:rsidRPr="00E454D6">
        <w:rPr>
          <w:rFonts w:ascii="Times New Roman" w:hAnsi="Times New Roman"/>
          <w:i/>
          <w:sz w:val="24"/>
        </w:rPr>
        <w:t xml:space="preserve"> 2001</w:t>
      </w:r>
      <w:r w:rsidRPr="0012383B">
        <w:rPr>
          <w:rFonts w:ascii="Times New Roman" w:hAnsi="Times New Roman"/>
          <w:sz w:val="24"/>
        </w:rPr>
        <w:t>, and excludes the conduct covered by subsection 766E(3) of that Act)</w:t>
      </w:r>
      <w:r w:rsidRPr="00696FB5">
        <w:rPr>
          <w:rFonts w:ascii="Times New Roman" w:hAnsi="Times New Roman"/>
          <w:sz w:val="24"/>
        </w:rPr>
        <w:t xml:space="preserve">. </w:t>
      </w:r>
      <w:r w:rsidR="00E454D6">
        <w:rPr>
          <w:rFonts w:ascii="Times New Roman" w:hAnsi="Times New Roman"/>
          <w:sz w:val="24"/>
        </w:rPr>
        <w:t>Subp</w:t>
      </w:r>
      <w:r w:rsidR="00F42FF6">
        <w:rPr>
          <w:rFonts w:ascii="Times New Roman" w:hAnsi="Times New Roman"/>
          <w:sz w:val="24"/>
        </w:rPr>
        <w:t>a</w:t>
      </w:r>
      <w:r w:rsidRPr="0012383B">
        <w:rPr>
          <w:rFonts w:ascii="Times New Roman" w:hAnsi="Times New Roman"/>
          <w:sz w:val="24"/>
        </w:rPr>
        <w:t>ragraph 4.4.19</w:t>
      </w:r>
      <w:r w:rsidR="00E454D6">
        <w:rPr>
          <w:rFonts w:ascii="Times New Roman" w:hAnsi="Times New Roman"/>
          <w:sz w:val="24"/>
        </w:rPr>
        <w:t>(4)</w:t>
      </w:r>
      <w:r w:rsidRPr="0012383B">
        <w:rPr>
          <w:rFonts w:ascii="Times New Roman" w:hAnsi="Times New Roman"/>
          <w:sz w:val="24"/>
        </w:rPr>
        <w:t xml:space="preserve"> </w:t>
      </w:r>
      <w:r w:rsidRPr="00696FB5">
        <w:rPr>
          <w:rFonts w:ascii="Times New Roman" w:hAnsi="Times New Roman"/>
          <w:sz w:val="24"/>
        </w:rPr>
        <w:t>cl</w:t>
      </w:r>
      <w:r w:rsidR="00E454D6">
        <w:rPr>
          <w:rFonts w:ascii="Times New Roman" w:hAnsi="Times New Roman"/>
          <w:sz w:val="24"/>
        </w:rPr>
        <w:t>arifies that, for the purposes of Part 4.4 of the AML/CTF Rules, the definition of ‘</w:t>
      </w:r>
      <w:r w:rsidRPr="00696FB5">
        <w:rPr>
          <w:rFonts w:ascii="Times New Roman" w:hAnsi="Times New Roman"/>
          <w:sz w:val="24"/>
        </w:rPr>
        <w:t xml:space="preserve">providing a </w:t>
      </w:r>
      <w:r w:rsidR="00E454D6">
        <w:rPr>
          <w:rFonts w:ascii="Times New Roman" w:hAnsi="Times New Roman"/>
          <w:sz w:val="24"/>
        </w:rPr>
        <w:t>custodial or depository service’ also</w:t>
      </w:r>
      <w:r w:rsidRPr="00696FB5">
        <w:rPr>
          <w:rFonts w:ascii="Times New Roman" w:hAnsi="Times New Roman"/>
          <w:sz w:val="24"/>
        </w:rPr>
        <w:t xml:space="preserve"> includes the provision of a custodial or depository service as part of:</w:t>
      </w:r>
    </w:p>
    <w:p w14:paraId="0BF04592" w14:textId="4EC48274" w:rsidR="00E454D6" w:rsidRDefault="00B46BA1" w:rsidP="00E454D6">
      <w:pPr>
        <w:pStyle w:val="Numberedparagraphs"/>
        <w:numPr>
          <w:ilvl w:val="0"/>
          <w:numId w:val="18"/>
        </w:numPr>
        <w:tabs>
          <w:tab w:val="left" w:pos="1418"/>
        </w:tabs>
        <w:ind w:hanging="713"/>
      </w:pPr>
      <w:r w:rsidRPr="00E454D6">
        <w:t xml:space="preserve">an investor </w:t>
      </w:r>
      <w:r w:rsidRPr="00E454D6">
        <w:rPr>
          <w:lang w:eastAsia="en-AU"/>
        </w:rPr>
        <w:t>directed</w:t>
      </w:r>
      <w:r w:rsidRPr="00E454D6">
        <w:t xml:space="preserve"> portfolio service (IDPS</w:t>
      </w:r>
      <w:r w:rsidR="00F42FF6">
        <w:t>); or</w:t>
      </w:r>
    </w:p>
    <w:p w14:paraId="585EFEA5" w14:textId="44F87D6B" w:rsidR="00B46BA1" w:rsidRPr="00F42FF6" w:rsidRDefault="00B46BA1" w:rsidP="00E454D6">
      <w:pPr>
        <w:pStyle w:val="Numberedparagraphs"/>
        <w:numPr>
          <w:ilvl w:val="0"/>
          <w:numId w:val="18"/>
        </w:numPr>
        <w:tabs>
          <w:tab w:val="left" w:pos="1418"/>
        </w:tabs>
        <w:ind w:hanging="713"/>
      </w:pPr>
      <w:r w:rsidRPr="00E454D6">
        <w:t xml:space="preserve">a managed </w:t>
      </w:r>
      <w:r w:rsidRPr="00F42FF6">
        <w:t>discretionary account (MDA) service.</w:t>
      </w:r>
    </w:p>
    <w:p w14:paraId="1BCC9D77" w14:textId="39C3887F" w:rsidR="00485C7E" w:rsidRPr="00F42FF6" w:rsidRDefault="00AE0D43" w:rsidP="006C1B8A">
      <w:pPr>
        <w:numPr>
          <w:ilvl w:val="0"/>
          <w:numId w:val="1"/>
        </w:numPr>
        <w:autoSpaceDE w:val="0"/>
        <w:autoSpaceDN w:val="0"/>
        <w:adjustRightInd w:val="0"/>
        <w:spacing w:before="240"/>
        <w:ind w:hanging="720"/>
        <w:rPr>
          <w:rFonts w:ascii="Times New Roman" w:hAnsi="Times New Roman"/>
          <w:sz w:val="24"/>
        </w:rPr>
      </w:pPr>
      <w:r>
        <w:rPr>
          <w:rFonts w:ascii="Times New Roman" w:hAnsi="Times New Roman"/>
          <w:sz w:val="24"/>
        </w:rPr>
        <w:t>‘</w:t>
      </w:r>
      <w:r w:rsidR="00B46BA1" w:rsidRPr="00F42FF6">
        <w:rPr>
          <w:rFonts w:ascii="Times New Roman" w:hAnsi="Times New Roman"/>
          <w:sz w:val="24"/>
        </w:rPr>
        <w:t>IDPS</w:t>
      </w:r>
      <w:r>
        <w:rPr>
          <w:rFonts w:ascii="Times New Roman" w:hAnsi="Times New Roman"/>
          <w:sz w:val="24"/>
        </w:rPr>
        <w:t>’</w:t>
      </w:r>
      <w:r w:rsidR="00B46BA1" w:rsidRPr="00F42FF6">
        <w:rPr>
          <w:rFonts w:ascii="Times New Roman" w:hAnsi="Times New Roman"/>
          <w:sz w:val="24"/>
        </w:rPr>
        <w:t xml:space="preserve"> has the same meaning as in </w:t>
      </w:r>
      <w:r w:rsidR="00B46BA1" w:rsidRPr="00510BA8">
        <w:rPr>
          <w:rStyle w:val="Hyperlink"/>
          <w:rFonts w:ascii="Times New Roman" w:hAnsi="Times New Roman"/>
          <w:color w:val="auto"/>
          <w:sz w:val="24"/>
          <w:u w:val="none"/>
        </w:rPr>
        <w:t xml:space="preserve">ASIC </w:t>
      </w:r>
      <w:r w:rsidR="00B46BA1" w:rsidRPr="00510BA8">
        <w:rPr>
          <w:rStyle w:val="Hyperlink"/>
          <w:rFonts w:ascii="Times New Roman" w:hAnsi="Times New Roman"/>
          <w:i/>
          <w:color w:val="auto"/>
          <w:sz w:val="24"/>
          <w:u w:val="none"/>
        </w:rPr>
        <w:t>Class Order [CO 13/763] –</w:t>
      </w:r>
      <w:r w:rsidR="00B46BA1" w:rsidRPr="00510BA8">
        <w:rPr>
          <w:rStyle w:val="Hyperlink"/>
          <w:rFonts w:ascii="Times New Roman" w:hAnsi="Times New Roman"/>
          <w:color w:val="auto"/>
          <w:sz w:val="24"/>
          <w:u w:val="none"/>
        </w:rPr>
        <w:t xml:space="preserve"> </w:t>
      </w:r>
      <w:r w:rsidR="00B46BA1" w:rsidRPr="00510BA8">
        <w:rPr>
          <w:rStyle w:val="Hyperlink"/>
          <w:rFonts w:ascii="Times New Roman" w:hAnsi="Times New Roman"/>
          <w:i/>
          <w:color w:val="auto"/>
          <w:sz w:val="24"/>
          <w:u w:val="none"/>
        </w:rPr>
        <w:t>Investor directed portfolio services</w:t>
      </w:r>
      <w:r w:rsidR="00B46BA1" w:rsidRPr="00F42FF6">
        <w:rPr>
          <w:rFonts w:ascii="Times New Roman" w:hAnsi="Times New Roman"/>
          <w:sz w:val="24"/>
        </w:rPr>
        <w:t xml:space="preserve">, or any legislative instrument that replaces that class order. </w:t>
      </w:r>
    </w:p>
    <w:p w14:paraId="4F5BE3F8" w14:textId="077639F5" w:rsidR="00B46BA1" w:rsidRPr="00F42FF6" w:rsidRDefault="00AE0D43" w:rsidP="006C1B8A">
      <w:pPr>
        <w:numPr>
          <w:ilvl w:val="0"/>
          <w:numId w:val="1"/>
        </w:numPr>
        <w:autoSpaceDE w:val="0"/>
        <w:autoSpaceDN w:val="0"/>
        <w:adjustRightInd w:val="0"/>
        <w:spacing w:before="240"/>
        <w:ind w:hanging="720"/>
        <w:rPr>
          <w:rFonts w:ascii="Times New Roman" w:hAnsi="Times New Roman"/>
          <w:sz w:val="24"/>
        </w:rPr>
      </w:pPr>
      <w:r>
        <w:rPr>
          <w:rFonts w:ascii="Times New Roman" w:hAnsi="Times New Roman"/>
          <w:sz w:val="24"/>
        </w:rPr>
        <w:t>‘</w:t>
      </w:r>
      <w:r w:rsidR="00B46BA1" w:rsidRPr="00F42FF6">
        <w:rPr>
          <w:rFonts w:ascii="Times New Roman" w:hAnsi="Times New Roman"/>
          <w:sz w:val="24"/>
        </w:rPr>
        <w:t>MDA service</w:t>
      </w:r>
      <w:r>
        <w:rPr>
          <w:rFonts w:ascii="Times New Roman" w:hAnsi="Times New Roman"/>
          <w:sz w:val="24"/>
        </w:rPr>
        <w:t>’</w:t>
      </w:r>
      <w:r w:rsidR="00B46BA1" w:rsidRPr="00F42FF6">
        <w:rPr>
          <w:rFonts w:ascii="Times New Roman" w:hAnsi="Times New Roman"/>
          <w:sz w:val="24"/>
        </w:rPr>
        <w:t xml:space="preserve"> has the same meaning as in the </w:t>
      </w:r>
      <w:r w:rsidR="00B46BA1" w:rsidRPr="00510BA8">
        <w:rPr>
          <w:rStyle w:val="Hyperlink"/>
          <w:rFonts w:ascii="Times New Roman" w:hAnsi="Times New Roman"/>
          <w:i/>
          <w:color w:val="auto"/>
          <w:sz w:val="24"/>
          <w:u w:val="none"/>
        </w:rPr>
        <w:t>ASIC Corporations (Managed Discretionary Account Services) Instrument 2016/968</w:t>
      </w:r>
      <w:r w:rsidR="00B46BA1" w:rsidRPr="00F42FF6">
        <w:rPr>
          <w:rFonts w:ascii="Times New Roman" w:hAnsi="Times New Roman"/>
          <w:sz w:val="24"/>
        </w:rPr>
        <w:t xml:space="preserve">, or any legislative instrument that replaces that instrument. </w:t>
      </w:r>
    </w:p>
    <w:p w14:paraId="1EB76DF7" w14:textId="27E7FE06" w:rsidR="00C237D6" w:rsidRPr="00F42FF6" w:rsidRDefault="00C237D6" w:rsidP="00C237D6">
      <w:pPr>
        <w:autoSpaceDE w:val="0"/>
        <w:autoSpaceDN w:val="0"/>
        <w:adjustRightInd w:val="0"/>
        <w:spacing w:before="240"/>
        <w:rPr>
          <w:rFonts w:ascii="Times New Roman" w:hAnsi="Times New Roman"/>
          <w:b/>
          <w:sz w:val="24"/>
        </w:rPr>
      </w:pPr>
      <w:r w:rsidRPr="00F42FF6">
        <w:rPr>
          <w:rFonts w:ascii="Times New Roman" w:hAnsi="Times New Roman"/>
          <w:b/>
          <w:sz w:val="24"/>
        </w:rPr>
        <w:t xml:space="preserve">Item </w:t>
      </w:r>
      <w:r w:rsidR="009B238B" w:rsidRPr="00F42FF6">
        <w:rPr>
          <w:rFonts w:ascii="Times New Roman" w:hAnsi="Times New Roman"/>
          <w:b/>
          <w:sz w:val="24"/>
        </w:rPr>
        <w:t>8</w:t>
      </w:r>
    </w:p>
    <w:p w14:paraId="6C0349E0" w14:textId="3763469B" w:rsidR="009B238B" w:rsidRDefault="00E11B26" w:rsidP="00C237D6">
      <w:pPr>
        <w:numPr>
          <w:ilvl w:val="0"/>
          <w:numId w:val="1"/>
        </w:numPr>
        <w:autoSpaceDE w:val="0"/>
        <w:autoSpaceDN w:val="0"/>
        <w:adjustRightInd w:val="0"/>
        <w:spacing w:before="240"/>
        <w:ind w:hanging="720"/>
        <w:rPr>
          <w:rFonts w:ascii="Times New Roman" w:hAnsi="Times New Roman"/>
          <w:sz w:val="24"/>
        </w:rPr>
      </w:pPr>
      <w:r>
        <w:rPr>
          <w:rFonts w:ascii="Times New Roman" w:hAnsi="Times New Roman"/>
          <w:sz w:val="24"/>
        </w:rPr>
        <w:t xml:space="preserve">This item inserts a new </w:t>
      </w:r>
      <w:r w:rsidR="00C237D6">
        <w:rPr>
          <w:rFonts w:ascii="Times New Roman" w:hAnsi="Times New Roman"/>
          <w:sz w:val="24"/>
        </w:rPr>
        <w:t xml:space="preserve">Note before paragraph 15.2 to clarify that reporting entities are </w:t>
      </w:r>
      <w:r w:rsidR="00AE0D43">
        <w:rPr>
          <w:rFonts w:ascii="Times New Roman" w:hAnsi="Times New Roman"/>
          <w:sz w:val="24"/>
        </w:rPr>
        <w:t>exempt from</w:t>
      </w:r>
      <w:r w:rsidR="00C237D6">
        <w:rPr>
          <w:rFonts w:ascii="Times New Roman" w:hAnsi="Times New Roman"/>
          <w:sz w:val="24"/>
        </w:rPr>
        <w:t xml:space="preserve"> the requirements in paragraphs 15.2 and 15.3 in relation to certain beneficial owner information</w:t>
      </w:r>
      <w:r w:rsidR="009B238B">
        <w:rPr>
          <w:rFonts w:ascii="Times New Roman" w:hAnsi="Times New Roman"/>
          <w:sz w:val="24"/>
        </w:rPr>
        <w:t xml:space="preserve"> which</w:t>
      </w:r>
      <w:r w:rsidR="00C237D6">
        <w:rPr>
          <w:rFonts w:ascii="Times New Roman" w:hAnsi="Times New Roman"/>
          <w:sz w:val="24"/>
        </w:rPr>
        <w:t xml:space="preserve"> relates to</w:t>
      </w:r>
      <w:r w:rsidR="009B238B">
        <w:rPr>
          <w:rFonts w:ascii="Times New Roman" w:hAnsi="Times New Roman"/>
          <w:sz w:val="24"/>
        </w:rPr>
        <w:t xml:space="preserve"> custodian-customers covere</w:t>
      </w:r>
      <w:r w:rsidR="00C237D6">
        <w:rPr>
          <w:rFonts w:ascii="Times New Roman" w:hAnsi="Times New Roman"/>
          <w:sz w:val="24"/>
        </w:rPr>
        <w:t>d by the relief prescribed in paragraph 4.4.18</w:t>
      </w:r>
      <w:r w:rsidR="009B238B">
        <w:rPr>
          <w:rFonts w:ascii="Times New Roman" w:hAnsi="Times New Roman"/>
          <w:sz w:val="24"/>
        </w:rPr>
        <w:t>.</w:t>
      </w:r>
    </w:p>
    <w:p w14:paraId="5F2D9E9C" w14:textId="2BD0D2F7" w:rsidR="00AA63FA" w:rsidRPr="00AA63FA" w:rsidRDefault="00AA63FA" w:rsidP="00BC5271">
      <w:pPr>
        <w:keepNext/>
        <w:autoSpaceDE w:val="0"/>
        <w:autoSpaceDN w:val="0"/>
        <w:adjustRightInd w:val="0"/>
        <w:spacing w:before="240"/>
        <w:rPr>
          <w:rFonts w:ascii="Times New Roman" w:hAnsi="Times New Roman"/>
          <w:b/>
          <w:sz w:val="24"/>
        </w:rPr>
      </w:pPr>
      <w:r w:rsidRPr="00AA63FA">
        <w:rPr>
          <w:rFonts w:ascii="Times New Roman" w:hAnsi="Times New Roman"/>
          <w:b/>
          <w:sz w:val="24"/>
        </w:rPr>
        <w:t>Item 9</w:t>
      </w:r>
    </w:p>
    <w:p w14:paraId="40D7030C" w14:textId="382B5685" w:rsidR="00AA63FA" w:rsidRDefault="00DF02BB" w:rsidP="00BC5271">
      <w:pPr>
        <w:keepNext/>
        <w:numPr>
          <w:ilvl w:val="0"/>
          <w:numId w:val="1"/>
        </w:numPr>
        <w:autoSpaceDE w:val="0"/>
        <w:autoSpaceDN w:val="0"/>
        <w:adjustRightInd w:val="0"/>
        <w:spacing w:before="240"/>
        <w:ind w:hanging="720"/>
        <w:rPr>
          <w:rFonts w:ascii="Times New Roman" w:hAnsi="Times New Roman"/>
          <w:sz w:val="24"/>
        </w:rPr>
      </w:pPr>
      <w:r>
        <w:rPr>
          <w:rFonts w:ascii="Times New Roman" w:hAnsi="Times New Roman"/>
          <w:sz w:val="24"/>
        </w:rPr>
        <w:t xml:space="preserve">This item inserts a new </w:t>
      </w:r>
      <w:r w:rsidR="00AA63FA">
        <w:rPr>
          <w:rFonts w:ascii="Times New Roman" w:hAnsi="Times New Roman"/>
          <w:sz w:val="24"/>
        </w:rPr>
        <w:t xml:space="preserve">Note before paragraph 15.8 to clarify that reporting entities are exempt from the requirements in </w:t>
      </w:r>
      <w:r w:rsidR="00AA63FA" w:rsidRPr="00AA63FA">
        <w:rPr>
          <w:rFonts w:ascii="Times New Roman" w:hAnsi="Times New Roman"/>
          <w:color w:val="000000"/>
          <w:sz w:val="24"/>
        </w:rPr>
        <w:t>subparagraphs 15.9(2), 15.10(1)(b), 15.10(1)(c), 15.10(2) and 15.10(4) in relation to underlying customers of custodians</w:t>
      </w:r>
      <w:r w:rsidR="00AA63FA">
        <w:rPr>
          <w:rFonts w:ascii="Times New Roman" w:hAnsi="Times New Roman"/>
          <w:color w:val="000000"/>
          <w:sz w:val="24"/>
        </w:rPr>
        <w:t xml:space="preserve"> covered </w:t>
      </w:r>
      <w:r w:rsidR="00AA63FA">
        <w:rPr>
          <w:rFonts w:ascii="Times New Roman" w:hAnsi="Times New Roman"/>
          <w:sz w:val="24"/>
        </w:rPr>
        <w:t>by the relief p</w:t>
      </w:r>
      <w:r w:rsidR="00325E42">
        <w:rPr>
          <w:rFonts w:ascii="Times New Roman" w:hAnsi="Times New Roman"/>
          <w:sz w:val="24"/>
        </w:rPr>
        <w:t>rescribed in paragraph 4.4.18</w:t>
      </w:r>
      <w:r w:rsidR="00AA63FA">
        <w:rPr>
          <w:rFonts w:ascii="Times New Roman" w:hAnsi="Times New Roman"/>
          <w:sz w:val="24"/>
        </w:rPr>
        <w:t>.</w:t>
      </w:r>
    </w:p>
    <w:p w14:paraId="1FD3889D" w14:textId="0677AA5C" w:rsidR="00A035F4" w:rsidRDefault="00A035F4">
      <w:pPr>
        <w:rPr>
          <w:rFonts w:ascii="Times New Roman" w:hAnsi="Times New Roman"/>
          <w:b/>
          <w:sz w:val="24"/>
        </w:rPr>
      </w:pPr>
    </w:p>
    <w:p w14:paraId="63F07D2E" w14:textId="7EB92529" w:rsidR="00961ED4" w:rsidRPr="00961ED4" w:rsidRDefault="00961ED4" w:rsidP="00A94D80">
      <w:pPr>
        <w:keepLines/>
        <w:autoSpaceDE w:val="0"/>
        <w:autoSpaceDN w:val="0"/>
        <w:adjustRightInd w:val="0"/>
        <w:spacing w:before="240"/>
        <w:rPr>
          <w:rFonts w:ascii="Times New Roman" w:hAnsi="Times New Roman"/>
          <w:b/>
          <w:sz w:val="24"/>
        </w:rPr>
      </w:pPr>
      <w:r w:rsidRPr="00961ED4">
        <w:rPr>
          <w:rFonts w:ascii="Times New Roman" w:hAnsi="Times New Roman"/>
          <w:b/>
          <w:sz w:val="24"/>
        </w:rPr>
        <w:t>Item 10</w:t>
      </w:r>
    </w:p>
    <w:p w14:paraId="2C6170EC" w14:textId="27DBCE6C" w:rsidR="006477C9" w:rsidRDefault="00325E42" w:rsidP="00A94D80">
      <w:pPr>
        <w:keepLines/>
        <w:numPr>
          <w:ilvl w:val="0"/>
          <w:numId w:val="1"/>
        </w:numPr>
        <w:autoSpaceDE w:val="0"/>
        <w:autoSpaceDN w:val="0"/>
        <w:adjustRightInd w:val="0"/>
        <w:spacing w:before="240"/>
        <w:ind w:hanging="720"/>
        <w:rPr>
          <w:rFonts w:ascii="Times New Roman" w:hAnsi="Times New Roman"/>
          <w:sz w:val="24"/>
        </w:rPr>
      </w:pPr>
      <w:r>
        <w:rPr>
          <w:rFonts w:ascii="Times New Roman" w:hAnsi="Times New Roman"/>
          <w:sz w:val="24"/>
        </w:rPr>
        <w:t>This item</w:t>
      </w:r>
      <w:r w:rsidR="006477C9">
        <w:rPr>
          <w:rFonts w:ascii="Times New Roman" w:hAnsi="Times New Roman"/>
          <w:sz w:val="24"/>
        </w:rPr>
        <w:t xml:space="preserve"> clarifies</w:t>
      </w:r>
      <w:r>
        <w:rPr>
          <w:rFonts w:ascii="Times New Roman" w:hAnsi="Times New Roman"/>
          <w:sz w:val="24"/>
        </w:rPr>
        <w:t xml:space="preserve"> that </w:t>
      </w:r>
      <w:r w:rsidR="006477C9">
        <w:rPr>
          <w:rFonts w:ascii="Times New Roman" w:hAnsi="Times New Roman"/>
          <w:sz w:val="24"/>
        </w:rPr>
        <w:t>the requirement in subparagraph 15.9(2) to conduct enhanced due diligence when a designated service is being provided to a customer who is or who has a beneficial owner who is a foreign politically exposed person does not apply in the circumstances set out in paragraph 4.4.18 (i.e. where a reporting entity is providing designated services to a custodian acting in the capacity of a trustee).</w:t>
      </w:r>
      <w:r w:rsidR="00DC31BB">
        <w:rPr>
          <w:rFonts w:ascii="Times New Roman" w:hAnsi="Times New Roman"/>
          <w:sz w:val="24"/>
        </w:rPr>
        <w:t xml:space="preserve"> Reporting entities are not required to apply an enhanced customer due diligence program to the extent it relates to underlying beneficiaries, or classes of beneficiaries of custodial arrangements.  It is noted that reporting entities still need to apply enhanced customer due diligence in relation the custodian entity itself.</w:t>
      </w:r>
    </w:p>
    <w:p w14:paraId="59380B17" w14:textId="77777777" w:rsidR="00FA78E0" w:rsidRDefault="00FA78E0">
      <w:pPr>
        <w:rPr>
          <w:rFonts w:ascii="Times New Roman" w:hAnsi="Times New Roman"/>
          <w:b/>
          <w:sz w:val="24"/>
        </w:rPr>
      </w:pPr>
      <w:r>
        <w:rPr>
          <w:rFonts w:ascii="Times New Roman" w:hAnsi="Times New Roman"/>
          <w:b/>
          <w:sz w:val="24"/>
        </w:rPr>
        <w:br w:type="page"/>
      </w:r>
    </w:p>
    <w:p w14:paraId="455843B5" w14:textId="24B89BA7" w:rsidR="000560A7" w:rsidRPr="000560A7" w:rsidRDefault="000560A7" w:rsidP="00961ED4">
      <w:pPr>
        <w:autoSpaceDE w:val="0"/>
        <w:autoSpaceDN w:val="0"/>
        <w:adjustRightInd w:val="0"/>
        <w:spacing w:before="240"/>
        <w:rPr>
          <w:rFonts w:ascii="Times New Roman" w:hAnsi="Times New Roman"/>
          <w:b/>
          <w:sz w:val="24"/>
        </w:rPr>
      </w:pPr>
      <w:r w:rsidRPr="000560A7">
        <w:rPr>
          <w:rFonts w:ascii="Times New Roman" w:hAnsi="Times New Roman"/>
          <w:b/>
          <w:sz w:val="24"/>
        </w:rPr>
        <w:lastRenderedPageBreak/>
        <w:t>Item 11</w:t>
      </w:r>
    </w:p>
    <w:p w14:paraId="423A6786" w14:textId="27007155" w:rsidR="003C1ACC" w:rsidRDefault="006477C9" w:rsidP="003C1ACC">
      <w:pPr>
        <w:numPr>
          <w:ilvl w:val="0"/>
          <w:numId w:val="1"/>
        </w:numPr>
        <w:autoSpaceDE w:val="0"/>
        <w:autoSpaceDN w:val="0"/>
        <w:adjustRightInd w:val="0"/>
        <w:spacing w:before="240"/>
        <w:ind w:hanging="720"/>
        <w:rPr>
          <w:rFonts w:ascii="Times New Roman" w:hAnsi="Times New Roman"/>
          <w:sz w:val="24"/>
        </w:rPr>
      </w:pPr>
      <w:r>
        <w:rPr>
          <w:rFonts w:ascii="Times New Roman" w:hAnsi="Times New Roman"/>
          <w:sz w:val="24"/>
        </w:rPr>
        <w:t>This item clarifies that the requirement in subparagraph 1</w:t>
      </w:r>
      <w:r w:rsidR="00BB0F1B">
        <w:rPr>
          <w:rFonts w:ascii="Times New Roman" w:hAnsi="Times New Roman"/>
          <w:sz w:val="24"/>
        </w:rPr>
        <w:t>5</w:t>
      </w:r>
      <w:r>
        <w:rPr>
          <w:rFonts w:ascii="Times New Roman" w:hAnsi="Times New Roman"/>
          <w:sz w:val="24"/>
        </w:rPr>
        <w:t>.10(1)(b) to clarify or update beneficial owner information already collected from the customer does not apply in the circumstances set out in paragraph 4.4.18 (i.e. where a reporting entity is providing designated services to a custodian acting in the capacity of a trustee)</w:t>
      </w:r>
      <w:r w:rsidR="003C1ACC">
        <w:rPr>
          <w:rFonts w:ascii="Times New Roman" w:hAnsi="Times New Roman"/>
          <w:sz w:val="24"/>
        </w:rPr>
        <w:t>, to the extent that the information relates to underlying beneficiaries, or classes of beneficiaries of custodial arrangements</w:t>
      </w:r>
      <w:r>
        <w:rPr>
          <w:rFonts w:ascii="Times New Roman" w:hAnsi="Times New Roman"/>
          <w:sz w:val="24"/>
        </w:rPr>
        <w:t>.</w:t>
      </w:r>
      <w:r w:rsidR="003C1ACC" w:rsidRPr="003C1ACC">
        <w:rPr>
          <w:rFonts w:ascii="Times New Roman" w:hAnsi="Times New Roman"/>
          <w:sz w:val="24"/>
        </w:rPr>
        <w:t xml:space="preserve"> </w:t>
      </w:r>
      <w:r w:rsidR="003C1ACC">
        <w:rPr>
          <w:rFonts w:ascii="Times New Roman" w:hAnsi="Times New Roman"/>
          <w:sz w:val="24"/>
        </w:rPr>
        <w:t>Reporting entities are still required to apply enhanced customer due diligence in relation to the custodian entity itself.</w:t>
      </w:r>
    </w:p>
    <w:p w14:paraId="1A6EE0DB" w14:textId="2BF1731C" w:rsidR="00C237D6" w:rsidRDefault="007E62CD" w:rsidP="0078172D">
      <w:pPr>
        <w:keepNext/>
        <w:autoSpaceDE w:val="0"/>
        <w:autoSpaceDN w:val="0"/>
        <w:adjustRightInd w:val="0"/>
        <w:spacing w:before="240"/>
        <w:rPr>
          <w:rFonts w:ascii="Times New Roman" w:hAnsi="Times New Roman"/>
          <w:b/>
          <w:sz w:val="24"/>
        </w:rPr>
      </w:pPr>
      <w:r>
        <w:rPr>
          <w:rFonts w:ascii="Times New Roman" w:hAnsi="Times New Roman"/>
          <w:b/>
          <w:sz w:val="24"/>
        </w:rPr>
        <w:t>Item 12</w:t>
      </w:r>
    </w:p>
    <w:p w14:paraId="6570EA28" w14:textId="1015C1CA" w:rsidR="00BB0F1B" w:rsidRDefault="00BB0F1B" w:rsidP="00BB0F1B">
      <w:pPr>
        <w:numPr>
          <w:ilvl w:val="0"/>
          <w:numId w:val="1"/>
        </w:numPr>
        <w:autoSpaceDE w:val="0"/>
        <w:autoSpaceDN w:val="0"/>
        <w:adjustRightInd w:val="0"/>
        <w:spacing w:before="240"/>
        <w:ind w:hanging="720"/>
        <w:rPr>
          <w:rFonts w:ascii="Times New Roman" w:hAnsi="Times New Roman"/>
          <w:sz w:val="24"/>
        </w:rPr>
      </w:pPr>
      <w:r>
        <w:rPr>
          <w:rFonts w:ascii="Times New Roman" w:hAnsi="Times New Roman"/>
          <w:sz w:val="24"/>
        </w:rPr>
        <w:t>This item clarifies that the requirement in subparagraph 15.10(1)(c) to obtain further beneficial owner information, including taking reasonable measures to identify the source of each beneficial owner’s wealth and funds, does not apply in the circumstances set out in paragraph 4.4.18 (i.e. where a reporting entity is providing designated services to a custodian acting in the capacity of a trustee), to the extent that the information relates to underlying beneficiaries, or classes of beneficiaries of custodial arrangements.</w:t>
      </w:r>
    </w:p>
    <w:p w14:paraId="6C941B85" w14:textId="3FEBF720" w:rsidR="007E62CD" w:rsidRPr="007E62CD" w:rsidRDefault="007E62CD" w:rsidP="007E62CD">
      <w:pPr>
        <w:autoSpaceDE w:val="0"/>
        <w:autoSpaceDN w:val="0"/>
        <w:adjustRightInd w:val="0"/>
        <w:spacing w:before="240"/>
        <w:rPr>
          <w:rFonts w:ascii="Times New Roman" w:hAnsi="Times New Roman"/>
          <w:b/>
          <w:sz w:val="24"/>
        </w:rPr>
      </w:pPr>
      <w:r w:rsidRPr="007E62CD">
        <w:rPr>
          <w:rFonts w:ascii="Times New Roman" w:hAnsi="Times New Roman"/>
          <w:b/>
          <w:sz w:val="24"/>
        </w:rPr>
        <w:t>Item 13</w:t>
      </w:r>
    </w:p>
    <w:p w14:paraId="516A5D56" w14:textId="7AB1F0D5" w:rsidR="00D726FE" w:rsidRDefault="00D726FE" w:rsidP="00D726FE">
      <w:pPr>
        <w:numPr>
          <w:ilvl w:val="0"/>
          <w:numId w:val="1"/>
        </w:numPr>
        <w:autoSpaceDE w:val="0"/>
        <w:autoSpaceDN w:val="0"/>
        <w:adjustRightInd w:val="0"/>
        <w:spacing w:before="240"/>
        <w:ind w:hanging="720"/>
        <w:rPr>
          <w:rFonts w:ascii="Times New Roman" w:hAnsi="Times New Roman"/>
          <w:sz w:val="24"/>
        </w:rPr>
      </w:pPr>
      <w:r>
        <w:rPr>
          <w:rFonts w:ascii="Times New Roman" w:hAnsi="Times New Roman"/>
          <w:sz w:val="24"/>
        </w:rPr>
        <w:t>This item clarifies that the requirement in subparagraph 15.10(2) to undertake more detailed analysis of beneficial owner information, or take reasonable measures to identify the source of each beneficial owner’s wealth and funds, does not apply in the circumstances set out in paragraph 4.4.18 (i.e. where a reporting entity is providing designated services to a custodian acting in the capacity of a trustee), to the extent that the information relates to underlying beneficiaries, or classes of beneficiaries of custodial arrangements.</w:t>
      </w:r>
    </w:p>
    <w:p w14:paraId="604D6007" w14:textId="3D3A3C1F" w:rsidR="009C0A4A" w:rsidRPr="009C0A4A" w:rsidRDefault="009C0A4A" w:rsidP="009C0A4A">
      <w:pPr>
        <w:autoSpaceDE w:val="0"/>
        <w:autoSpaceDN w:val="0"/>
        <w:adjustRightInd w:val="0"/>
        <w:spacing w:before="240"/>
        <w:rPr>
          <w:rFonts w:ascii="Times New Roman" w:hAnsi="Times New Roman"/>
          <w:b/>
          <w:sz w:val="24"/>
        </w:rPr>
      </w:pPr>
      <w:r w:rsidRPr="009C0A4A">
        <w:rPr>
          <w:rFonts w:ascii="Times New Roman" w:hAnsi="Times New Roman"/>
          <w:b/>
          <w:sz w:val="24"/>
        </w:rPr>
        <w:t>Item 14</w:t>
      </w:r>
    </w:p>
    <w:p w14:paraId="27328795" w14:textId="5888141A" w:rsidR="006E07EF" w:rsidRDefault="006E07EF" w:rsidP="006E07EF">
      <w:pPr>
        <w:numPr>
          <w:ilvl w:val="0"/>
          <w:numId w:val="1"/>
        </w:numPr>
        <w:autoSpaceDE w:val="0"/>
        <w:autoSpaceDN w:val="0"/>
        <w:adjustRightInd w:val="0"/>
        <w:spacing w:before="240"/>
        <w:ind w:hanging="720"/>
        <w:rPr>
          <w:rFonts w:ascii="Times New Roman" w:hAnsi="Times New Roman"/>
          <w:sz w:val="24"/>
        </w:rPr>
      </w:pPr>
      <w:r>
        <w:rPr>
          <w:rFonts w:ascii="Times New Roman" w:hAnsi="Times New Roman"/>
          <w:sz w:val="24"/>
        </w:rPr>
        <w:t>This item clarifies that the requirements in subparagraph 15.10(4) to verify or re-verify beneficial owner information in accordance with the beneficial owner identification requirements in Chapter 4 of the AML/CTF Rules</w:t>
      </w:r>
      <w:r w:rsidRPr="006E07EF">
        <w:rPr>
          <w:rFonts w:ascii="Times New Roman" w:hAnsi="Times New Roman"/>
          <w:sz w:val="24"/>
        </w:rPr>
        <w:t xml:space="preserve"> </w:t>
      </w:r>
      <w:r>
        <w:rPr>
          <w:rFonts w:ascii="Times New Roman" w:hAnsi="Times New Roman"/>
          <w:sz w:val="24"/>
        </w:rPr>
        <w:t>does not apply in the circumstances set out in paragraph 4.4.18 (i.e. where a reporting entity is providing designated services to a custodian acting in the capacity of a trustee), to the extent that the information relates to underlying beneficiaries, or classes of beneficiaries of custodial arrangements.</w:t>
      </w:r>
    </w:p>
    <w:p w14:paraId="4C67462B" w14:textId="62FD9D7E" w:rsidR="00846DA1" w:rsidRPr="004506FF" w:rsidRDefault="00846DA1" w:rsidP="004506FF">
      <w:pPr>
        <w:autoSpaceDE w:val="0"/>
        <w:autoSpaceDN w:val="0"/>
        <w:adjustRightInd w:val="0"/>
        <w:spacing w:before="240"/>
        <w:rPr>
          <w:rFonts w:ascii="Times New Roman" w:hAnsi="Times New Roman"/>
          <w:b/>
          <w:sz w:val="24"/>
        </w:rPr>
      </w:pPr>
      <w:r w:rsidRPr="004506FF">
        <w:rPr>
          <w:rFonts w:ascii="Times New Roman" w:hAnsi="Times New Roman"/>
          <w:b/>
          <w:sz w:val="24"/>
        </w:rPr>
        <w:t xml:space="preserve">Schedule </w:t>
      </w:r>
      <w:r w:rsidR="006C2DEB">
        <w:rPr>
          <w:rFonts w:ascii="Times New Roman" w:hAnsi="Times New Roman"/>
          <w:b/>
          <w:sz w:val="24"/>
        </w:rPr>
        <w:t>3</w:t>
      </w:r>
    </w:p>
    <w:p w14:paraId="0A3AF5EA" w14:textId="70C0FEA8" w:rsidR="00846DA1" w:rsidRPr="004506FF" w:rsidRDefault="00846DA1" w:rsidP="004506FF">
      <w:pPr>
        <w:autoSpaceDE w:val="0"/>
        <w:autoSpaceDN w:val="0"/>
        <w:adjustRightInd w:val="0"/>
        <w:spacing w:before="240"/>
        <w:rPr>
          <w:rFonts w:ascii="Times New Roman" w:hAnsi="Times New Roman"/>
          <w:b/>
          <w:sz w:val="24"/>
        </w:rPr>
      </w:pPr>
      <w:r w:rsidRPr="004506FF">
        <w:rPr>
          <w:rFonts w:ascii="Times New Roman" w:hAnsi="Times New Roman"/>
          <w:b/>
          <w:sz w:val="24"/>
        </w:rPr>
        <w:t>Item 1</w:t>
      </w:r>
    </w:p>
    <w:p w14:paraId="36F65CE8" w14:textId="20A3B8E0" w:rsidR="00846DA1" w:rsidRDefault="00846DA1" w:rsidP="0071091D">
      <w:pPr>
        <w:numPr>
          <w:ilvl w:val="0"/>
          <w:numId w:val="1"/>
        </w:numPr>
        <w:autoSpaceDE w:val="0"/>
        <w:autoSpaceDN w:val="0"/>
        <w:adjustRightInd w:val="0"/>
        <w:spacing w:before="240"/>
        <w:ind w:hanging="720"/>
        <w:rPr>
          <w:rFonts w:ascii="Times New Roman" w:hAnsi="Times New Roman"/>
          <w:sz w:val="24"/>
        </w:rPr>
      </w:pPr>
      <w:r>
        <w:rPr>
          <w:rFonts w:ascii="Times New Roman" w:hAnsi="Times New Roman"/>
          <w:sz w:val="24"/>
        </w:rPr>
        <w:t xml:space="preserve">This item amends subparagraph 38.2(4)(a) to remove the </w:t>
      </w:r>
      <w:r w:rsidR="003D322B">
        <w:rPr>
          <w:rFonts w:ascii="Times New Roman" w:hAnsi="Times New Roman"/>
          <w:sz w:val="24"/>
        </w:rPr>
        <w:t xml:space="preserve">timing component of </w:t>
      </w:r>
      <w:r w:rsidR="00E84BD3">
        <w:rPr>
          <w:rFonts w:ascii="Times New Roman" w:hAnsi="Times New Roman"/>
          <w:sz w:val="24"/>
        </w:rPr>
        <w:t xml:space="preserve">the </w:t>
      </w:r>
      <w:r>
        <w:rPr>
          <w:rFonts w:ascii="Times New Roman" w:hAnsi="Times New Roman"/>
          <w:sz w:val="24"/>
        </w:rPr>
        <w:t xml:space="preserve">requirement that </w:t>
      </w:r>
      <w:r w:rsidR="00A8071A">
        <w:rPr>
          <w:rFonts w:ascii="Times New Roman" w:hAnsi="Times New Roman"/>
          <w:sz w:val="24"/>
        </w:rPr>
        <w:t xml:space="preserve">an ancillary fund (as defined in the </w:t>
      </w:r>
      <w:r w:rsidR="00A8071A" w:rsidRPr="00A8071A">
        <w:rPr>
          <w:rFonts w:ascii="Times New Roman" w:hAnsi="Times New Roman"/>
          <w:i/>
          <w:sz w:val="24"/>
        </w:rPr>
        <w:t>Income Tax Assessment Act 1997</w:t>
      </w:r>
      <w:r w:rsidR="00A8071A">
        <w:rPr>
          <w:rFonts w:ascii="Times New Roman" w:hAnsi="Times New Roman"/>
          <w:sz w:val="24"/>
        </w:rPr>
        <w:t xml:space="preserve">) </w:t>
      </w:r>
      <w:r w:rsidR="003D322B">
        <w:rPr>
          <w:rFonts w:ascii="Times New Roman" w:hAnsi="Times New Roman"/>
          <w:sz w:val="24"/>
        </w:rPr>
        <w:t xml:space="preserve">distribute proceeds of the disposal of the security to a deductible gift recipient before the end of the financial year in which it receives the proceeds. </w:t>
      </w:r>
    </w:p>
    <w:p w14:paraId="5CE57DC8" w14:textId="53E88623" w:rsidR="00CD4FA5" w:rsidRPr="00CD4FA5" w:rsidRDefault="00CD4FA5" w:rsidP="0078172D">
      <w:pPr>
        <w:keepNext/>
        <w:autoSpaceDE w:val="0"/>
        <w:autoSpaceDN w:val="0"/>
        <w:adjustRightInd w:val="0"/>
        <w:spacing w:before="240"/>
        <w:rPr>
          <w:rFonts w:ascii="Times New Roman" w:hAnsi="Times New Roman"/>
          <w:b/>
          <w:sz w:val="24"/>
        </w:rPr>
      </w:pPr>
      <w:r w:rsidRPr="00CD4FA5">
        <w:rPr>
          <w:rFonts w:ascii="Times New Roman" w:hAnsi="Times New Roman"/>
          <w:b/>
          <w:sz w:val="24"/>
        </w:rPr>
        <w:lastRenderedPageBreak/>
        <w:t>Legislative instruments</w:t>
      </w:r>
    </w:p>
    <w:p w14:paraId="6B173BF1" w14:textId="77777777" w:rsidR="00CD4FA5" w:rsidRDefault="00CD4FA5" w:rsidP="0012383B">
      <w:pPr>
        <w:numPr>
          <w:ilvl w:val="0"/>
          <w:numId w:val="1"/>
        </w:numPr>
        <w:autoSpaceDE w:val="0"/>
        <w:autoSpaceDN w:val="0"/>
        <w:adjustRightInd w:val="0"/>
        <w:spacing w:before="240"/>
        <w:ind w:hanging="720"/>
        <w:rPr>
          <w:rFonts w:ascii="Times New Roman" w:hAnsi="Times New Roman"/>
          <w:sz w:val="24"/>
        </w:rPr>
      </w:pPr>
      <w:r w:rsidRPr="00CD4FA5">
        <w:rPr>
          <w:rFonts w:ascii="Times New Roman" w:hAnsi="Times New Roman"/>
          <w:sz w:val="24"/>
        </w:rPr>
        <w:t xml:space="preserve">These AML/CTF Rules are legislative instruments as defined in section 8 of the </w:t>
      </w:r>
      <w:r w:rsidRPr="00A55E30">
        <w:rPr>
          <w:rFonts w:ascii="Times New Roman" w:hAnsi="Times New Roman"/>
          <w:i/>
          <w:sz w:val="24"/>
        </w:rPr>
        <w:t>Legislation Act 2003</w:t>
      </w:r>
      <w:r w:rsidRPr="00CD4FA5">
        <w:rPr>
          <w:rFonts w:ascii="Times New Roman" w:hAnsi="Times New Roman"/>
          <w:sz w:val="24"/>
        </w:rPr>
        <w:t>.</w:t>
      </w:r>
    </w:p>
    <w:p w14:paraId="75638808" w14:textId="77777777" w:rsidR="00CD4FA5" w:rsidRPr="00CD4FA5" w:rsidRDefault="00CD4FA5" w:rsidP="005F2719">
      <w:pPr>
        <w:keepNext/>
        <w:spacing w:before="240"/>
        <w:rPr>
          <w:rFonts w:ascii="Times New Roman" w:hAnsi="Times New Roman"/>
          <w:b/>
          <w:sz w:val="24"/>
        </w:rPr>
      </w:pPr>
      <w:r w:rsidRPr="00CD4FA5">
        <w:rPr>
          <w:rFonts w:ascii="Times New Roman" w:hAnsi="Times New Roman"/>
          <w:b/>
          <w:sz w:val="24"/>
        </w:rPr>
        <w:t>Likely impact</w:t>
      </w:r>
    </w:p>
    <w:p w14:paraId="1F850FB7" w14:textId="6F1D5A6F" w:rsidR="00FA2372" w:rsidRDefault="00813180" w:rsidP="0012383B">
      <w:pPr>
        <w:numPr>
          <w:ilvl w:val="0"/>
          <w:numId w:val="1"/>
        </w:numPr>
        <w:autoSpaceDE w:val="0"/>
        <w:autoSpaceDN w:val="0"/>
        <w:adjustRightInd w:val="0"/>
        <w:spacing w:before="240"/>
        <w:ind w:hanging="720"/>
        <w:rPr>
          <w:rFonts w:ascii="Times New Roman" w:hAnsi="Times New Roman"/>
          <w:sz w:val="24"/>
        </w:rPr>
      </w:pPr>
      <w:r w:rsidRPr="00776474">
        <w:rPr>
          <w:rFonts w:ascii="Times New Roman" w:hAnsi="Times New Roman"/>
          <w:sz w:val="24"/>
        </w:rPr>
        <w:t xml:space="preserve">The </w:t>
      </w:r>
      <w:r w:rsidR="00207D34" w:rsidRPr="00776474">
        <w:rPr>
          <w:rFonts w:ascii="Times New Roman" w:hAnsi="Times New Roman"/>
          <w:sz w:val="24"/>
        </w:rPr>
        <w:t xml:space="preserve">amendment </w:t>
      </w:r>
      <w:r w:rsidR="00FA2372" w:rsidRPr="00776474">
        <w:rPr>
          <w:rFonts w:ascii="Times New Roman" w:hAnsi="Times New Roman"/>
          <w:sz w:val="24"/>
        </w:rPr>
        <w:t>to</w:t>
      </w:r>
      <w:r w:rsidR="00207D34" w:rsidRPr="00776474">
        <w:rPr>
          <w:rFonts w:ascii="Times New Roman" w:hAnsi="Times New Roman"/>
          <w:sz w:val="24"/>
        </w:rPr>
        <w:t xml:space="preserve"> Chapter </w:t>
      </w:r>
      <w:r w:rsidR="001D63FB">
        <w:rPr>
          <w:rFonts w:ascii="Times New Roman" w:hAnsi="Times New Roman"/>
          <w:sz w:val="24"/>
        </w:rPr>
        <w:t>1</w:t>
      </w:r>
      <w:r w:rsidR="00414461">
        <w:rPr>
          <w:rFonts w:ascii="Times New Roman" w:hAnsi="Times New Roman"/>
          <w:sz w:val="24"/>
        </w:rPr>
        <w:t xml:space="preserve"> of the AML/CTF Rules</w:t>
      </w:r>
      <w:r w:rsidR="00890E98">
        <w:rPr>
          <w:rFonts w:ascii="Times New Roman" w:hAnsi="Times New Roman"/>
          <w:sz w:val="24"/>
        </w:rPr>
        <w:t xml:space="preserve"> </w:t>
      </w:r>
      <w:r w:rsidR="000208C4">
        <w:rPr>
          <w:rFonts w:ascii="Times New Roman" w:hAnsi="Times New Roman"/>
          <w:sz w:val="24"/>
        </w:rPr>
        <w:t>is</w:t>
      </w:r>
      <w:r w:rsidR="001D63FB" w:rsidRPr="001D63FB">
        <w:rPr>
          <w:rFonts w:ascii="Times New Roman" w:hAnsi="Times New Roman"/>
          <w:sz w:val="24"/>
        </w:rPr>
        <w:t xml:space="preserve"> minor and machinery in nature</w:t>
      </w:r>
      <w:r w:rsidR="0034729E">
        <w:rPr>
          <w:rFonts w:ascii="Times New Roman" w:hAnsi="Times New Roman"/>
          <w:sz w:val="24"/>
        </w:rPr>
        <w:t xml:space="preserve">, and </w:t>
      </w:r>
      <w:r w:rsidR="000208C4">
        <w:rPr>
          <w:rFonts w:ascii="Times New Roman" w:hAnsi="Times New Roman"/>
          <w:sz w:val="24"/>
        </w:rPr>
        <w:t>is</w:t>
      </w:r>
      <w:r w:rsidR="001D63FB" w:rsidRPr="001D63FB">
        <w:rPr>
          <w:rFonts w:ascii="Times New Roman" w:hAnsi="Times New Roman"/>
          <w:sz w:val="24"/>
        </w:rPr>
        <w:t xml:space="preserve"> unlikely to have significant direct or indirect </w:t>
      </w:r>
      <w:r w:rsidR="0034729E">
        <w:rPr>
          <w:rFonts w:ascii="Times New Roman" w:hAnsi="Times New Roman"/>
          <w:sz w:val="24"/>
        </w:rPr>
        <w:t xml:space="preserve">regulatory </w:t>
      </w:r>
      <w:r w:rsidR="001D63FB" w:rsidRPr="001D63FB">
        <w:rPr>
          <w:rFonts w:ascii="Times New Roman" w:hAnsi="Times New Roman"/>
          <w:sz w:val="24"/>
        </w:rPr>
        <w:t>impacts</w:t>
      </w:r>
      <w:r w:rsidR="001D63FB">
        <w:rPr>
          <w:rFonts w:ascii="Times New Roman" w:hAnsi="Times New Roman"/>
          <w:sz w:val="24"/>
        </w:rPr>
        <w:t xml:space="preserve"> on reporting entities</w:t>
      </w:r>
      <w:r w:rsidR="001D63FB" w:rsidRPr="001D63FB">
        <w:rPr>
          <w:rFonts w:ascii="Times New Roman" w:hAnsi="Times New Roman"/>
          <w:sz w:val="24"/>
        </w:rPr>
        <w:t>.</w:t>
      </w:r>
    </w:p>
    <w:p w14:paraId="1E4E98DE" w14:textId="5A792D94" w:rsidR="00797E4D" w:rsidRDefault="00AD1949" w:rsidP="0012383B">
      <w:pPr>
        <w:numPr>
          <w:ilvl w:val="0"/>
          <w:numId w:val="1"/>
        </w:numPr>
        <w:autoSpaceDE w:val="0"/>
        <w:autoSpaceDN w:val="0"/>
        <w:adjustRightInd w:val="0"/>
        <w:spacing w:before="240"/>
        <w:ind w:hanging="720"/>
        <w:rPr>
          <w:rFonts w:ascii="Times New Roman" w:hAnsi="Times New Roman"/>
          <w:sz w:val="24"/>
        </w:rPr>
      </w:pPr>
      <w:r w:rsidRPr="00E2277B">
        <w:rPr>
          <w:rFonts w:ascii="Times New Roman" w:hAnsi="Times New Roman"/>
          <w:sz w:val="24"/>
        </w:rPr>
        <w:t xml:space="preserve">The </w:t>
      </w:r>
      <w:r w:rsidR="00BC0F96" w:rsidRPr="00E2277B">
        <w:rPr>
          <w:rFonts w:ascii="Times New Roman" w:hAnsi="Times New Roman"/>
          <w:sz w:val="24"/>
        </w:rPr>
        <w:t xml:space="preserve">Office of Best Practice Regulation (OBPR) advised AUSTRAC </w:t>
      </w:r>
      <w:r w:rsidR="00B177C9" w:rsidRPr="00E2277B">
        <w:rPr>
          <w:rFonts w:ascii="Times New Roman" w:hAnsi="Times New Roman"/>
          <w:sz w:val="24"/>
        </w:rPr>
        <w:t xml:space="preserve">that </w:t>
      </w:r>
      <w:r w:rsidRPr="00E2277B">
        <w:rPr>
          <w:rFonts w:ascii="Times New Roman" w:hAnsi="Times New Roman"/>
          <w:sz w:val="24"/>
        </w:rPr>
        <w:t xml:space="preserve">a Regulatory Impact Statement is not </w:t>
      </w:r>
      <w:r w:rsidR="008D0498">
        <w:rPr>
          <w:rFonts w:ascii="Times New Roman" w:hAnsi="Times New Roman"/>
          <w:sz w:val="24"/>
        </w:rPr>
        <w:t>required for the amendments</w:t>
      </w:r>
      <w:r w:rsidR="000208C4">
        <w:rPr>
          <w:rFonts w:ascii="Times New Roman" w:hAnsi="Times New Roman"/>
          <w:sz w:val="24"/>
        </w:rPr>
        <w:t xml:space="preserve"> to Chapters 4 and 15, as these are likely to </w:t>
      </w:r>
      <w:r w:rsidR="00414461">
        <w:rPr>
          <w:rFonts w:ascii="Times New Roman" w:hAnsi="Times New Roman"/>
          <w:sz w:val="24"/>
        </w:rPr>
        <w:t xml:space="preserve">also </w:t>
      </w:r>
      <w:r w:rsidR="000208C4">
        <w:rPr>
          <w:rFonts w:ascii="Times New Roman" w:hAnsi="Times New Roman"/>
          <w:sz w:val="24"/>
        </w:rPr>
        <w:t>have only minor regulatory impacts.</w:t>
      </w:r>
    </w:p>
    <w:p w14:paraId="6C7EF131" w14:textId="55478F56" w:rsidR="00D012E0" w:rsidRPr="00E2277B" w:rsidRDefault="00990302" w:rsidP="0012383B">
      <w:pPr>
        <w:numPr>
          <w:ilvl w:val="0"/>
          <w:numId w:val="1"/>
        </w:numPr>
        <w:autoSpaceDE w:val="0"/>
        <w:autoSpaceDN w:val="0"/>
        <w:adjustRightInd w:val="0"/>
        <w:spacing w:before="240"/>
        <w:ind w:hanging="720"/>
        <w:rPr>
          <w:rFonts w:ascii="Times New Roman" w:hAnsi="Times New Roman"/>
          <w:sz w:val="24"/>
        </w:rPr>
      </w:pPr>
      <w:r w:rsidRPr="00336375">
        <w:rPr>
          <w:rFonts w:ascii="Times New Roman" w:hAnsi="Times New Roman"/>
          <w:sz w:val="24"/>
        </w:rPr>
        <w:t xml:space="preserve">OBPR separately advised that the amendment to Chapter 38 is minor and machinery in nature and </w:t>
      </w:r>
      <w:r w:rsidR="00A86756">
        <w:rPr>
          <w:rFonts w:ascii="Times New Roman" w:hAnsi="Times New Roman"/>
          <w:sz w:val="24"/>
        </w:rPr>
        <w:t>is</w:t>
      </w:r>
      <w:r w:rsidRPr="00336375">
        <w:rPr>
          <w:rFonts w:ascii="Times New Roman" w:hAnsi="Times New Roman"/>
          <w:sz w:val="24"/>
        </w:rPr>
        <w:t xml:space="preserve"> unlikely to have significant direct or indirect </w:t>
      </w:r>
      <w:r w:rsidR="00DC31BB">
        <w:rPr>
          <w:rFonts w:ascii="Times New Roman" w:hAnsi="Times New Roman"/>
          <w:sz w:val="24"/>
        </w:rPr>
        <w:t xml:space="preserve">regulatory </w:t>
      </w:r>
      <w:r w:rsidRPr="00336375">
        <w:rPr>
          <w:rFonts w:ascii="Times New Roman" w:hAnsi="Times New Roman"/>
          <w:sz w:val="24"/>
        </w:rPr>
        <w:t>impacts.</w:t>
      </w:r>
    </w:p>
    <w:p w14:paraId="4E8844C0" w14:textId="4565EB55" w:rsidR="00AA6218" w:rsidRPr="00064B1E" w:rsidRDefault="00AA6218" w:rsidP="00301D3F">
      <w:pPr>
        <w:pStyle w:val="Paragraph"/>
        <w:rPr>
          <w:b/>
          <w:szCs w:val="26"/>
        </w:rPr>
      </w:pPr>
      <w:r w:rsidRPr="00064B1E">
        <w:rPr>
          <w:b/>
          <w:szCs w:val="26"/>
        </w:rPr>
        <w:t>Consultation</w:t>
      </w:r>
    </w:p>
    <w:p w14:paraId="7C43771A" w14:textId="77777777" w:rsidR="00C73656" w:rsidRDefault="00C73656" w:rsidP="0012383B">
      <w:pPr>
        <w:numPr>
          <w:ilvl w:val="0"/>
          <w:numId w:val="1"/>
        </w:numPr>
        <w:autoSpaceDE w:val="0"/>
        <w:autoSpaceDN w:val="0"/>
        <w:adjustRightInd w:val="0"/>
        <w:spacing w:before="240"/>
        <w:ind w:hanging="720"/>
        <w:rPr>
          <w:rFonts w:ascii="Times New Roman" w:hAnsi="Times New Roman"/>
          <w:sz w:val="24"/>
        </w:rPr>
      </w:pPr>
      <w:r>
        <w:rPr>
          <w:rFonts w:ascii="Times New Roman" w:hAnsi="Times New Roman"/>
          <w:sz w:val="24"/>
        </w:rPr>
        <w:t>Give the machinery nature of the change, no consultation was undertaken in relation to the amendment to Chapter 1.</w:t>
      </w:r>
    </w:p>
    <w:p w14:paraId="567A4DE2" w14:textId="740C80F3" w:rsidR="00C73656" w:rsidRPr="00A86756" w:rsidRDefault="00C406E5" w:rsidP="00A86756">
      <w:pPr>
        <w:numPr>
          <w:ilvl w:val="0"/>
          <w:numId w:val="1"/>
        </w:numPr>
        <w:autoSpaceDE w:val="0"/>
        <w:autoSpaceDN w:val="0"/>
        <w:adjustRightInd w:val="0"/>
        <w:spacing w:before="240"/>
        <w:ind w:hanging="720"/>
        <w:rPr>
          <w:rFonts w:ascii="Times New Roman" w:hAnsi="Times New Roman"/>
          <w:sz w:val="24"/>
        </w:rPr>
      </w:pPr>
      <w:r>
        <w:rPr>
          <w:rFonts w:ascii="Times New Roman" w:hAnsi="Times New Roman"/>
          <w:sz w:val="24"/>
        </w:rPr>
        <w:t>The amendments to Chapter</w:t>
      </w:r>
      <w:r w:rsidR="00C73656">
        <w:rPr>
          <w:rFonts w:ascii="Times New Roman" w:hAnsi="Times New Roman"/>
          <w:sz w:val="24"/>
        </w:rPr>
        <w:t>s 4 and 15 have been</w:t>
      </w:r>
      <w:r w:rsidR="00A86756">
        <w:rPr>
          <w:rFonts w:ascii="Times New Roman" w:hAnsi="Times New Roman"/>
          <w:sz w:val="24"/>
        </w:rPr>
        <w:t xml:space="preserve"> subject to</w:t>
      </w:r>
      <w:r w:rsidR="00C73656">
        <w:rPr>
          <w:rFonts w:ascii="Times New Roman" w:hAnsi="Times New Roman"/>
          <w:sz w:val="24"/>
        </w:rPr>
        <w:t xml:space="preserve"> tw</w:t>
      </w:r>
      <w:r w:rsidR="00A86756">
        <w:rPr>
          <w:rFonts w:ascii="Times New Roman" w:hAnsi="Times New Roman"/>
          <w:sz w:val="24"/>
        </w:rPr>
        <w:t>o rounds of public consultation (</w:t>
      </w:r>
      <w:r w:rsidR="00C73656" w:rsidRPr="00A86756">
        <w:rPr>
          <w:rFonts w:ascii="Times New Roman" w:hAnsi="Times New Roman"/>
          <w:sz w:val="24"/>
        </w:rPr>
        <w:t>3 April 2017 to 1 May</w:t>
      </w:r>
      <w:r w:rsidR="00A86756">
        <w:rPr>
          <w:rFonts w:ascii="Times New Roman" w:hAnsi="Times New Roman"/>
          <w:sz w:val="24"/>
        </w:rPr>
        <w:t xml:space="preserve"> 2017,</w:t>
      </w:r>
      <w:r w:rsidR="00C73656" w:rsidRPr="00A86756">
        <w:rPr>
          <w:rFonts w:ascii="Times New Roman" w:hAnsi="Times New Roman"/>
          <w:sz w:val="24"/>
        </w:rPr>
        <w:t xml:space="preserve"> and</w:t>
      </w:r>
      <w:r w:rsidR="00A86756">
        <w:rPr>
          <w:rFonts w:ascii="Times New Roman" w:hAnsi="Times New Roman"/>
          <w:sz w:val="24"/>
        </w:rPr>
        <w:t xml:space="preserve"> </w:t>
      </w:r>
      <w:r w:rsidR="00C73656" w:rsidRPr="00A86756">
        <w:rPr>
          <w:rFonts w:ascii="Times New Roman" w:hAnsi="Times New Roman"/>
          <w:sz w:val="24"/>
        </w:rPr>
        <w:t>3 July 2018 to 31 July 2018</w:t>
      </w:r>
      <w:r w:rsidR="00A86756">
        <w:rPr>
          <w:rFonts w:ascii="Times New Roman" w:hAnsi="Times New Roman"/>
          <w:sz w:val="24"/>
        </w:rPr>
        <w:t>)</w:t>
      </w:r>
      <w:r w:rsidR="00C73656" w:rsidRPr="00A86756">
        <w:rPr>
          <w:rFonts w:ascii="Times New Roman" w:hAnsi="Times New Roman"/>
          <w:sz w:val="24"/>
        </w:rPr>
        <w:t>.</w:t>
      </w:r>
      <w:r w:rsidR="00A86756">
        <w:rPr>
          <w:rFonts w:ascii="Times New Roman" w:hAnsi="Times New Roman"/>
          <w:sz w:val="24"/>
        </w:rPr>
        <w:t xml:space="preserve"> </w:t>
      </w:r>
      <w:r w:rsidR="00C73656" w:rsidRPr="00A86756">
        <w:rPr>
          <w:rFonts w:ascii="Times New Roman" w:hAnsi="Times New Roman"/>
          <w:sz w:val="24"/>
        </w:rPr>
        <w:t>During both rounds of public consultation, the draft amendments were published on the AUSTRAC website.</w:t>
      </w:r>
    </w:p>
    <w:p w14:paraId="45268C93" w14:textId="73521A4D" w:rsidR="00740D94" w:rsidRPr="0071091D" w:rsidRDefault="00740D94" w:rsidP="004506FF">
      <w:pPr>
        <w:numPr>
          <w:ilvl w:val="0"/>
          <w:numId w:val="1"/>
        </w:numPr>
        <w:autoSpaceDE w:val="0"/>
        <w:autoSpaceDN w:val="0"/>
        <w:adjustRightInd w:val="0"/>
        <w:spacing w:before="240"/>
        <w:ind w:hanging="720"/>
        <w:rPr>
          <w:rFonts w:ascii="Times New Roman" w:hAnsi="Times New Roman"/>
          <w:sz w:val="24"/>
        </w:rPr>
      </w:pPr>
      <w:r>
        <w:rPr>
          <w:rFonts w:ascii="Times New Roman" w:hAnsi="Times New Roman"/>
          <w:sz w:val="24"/>
        </w:rPr>
        <w:t xml:space="preserve">The amendments to Chapter 38 were published </w:t>
      </w:r>
      <w:r w:rsidR="00A86756">
        <w:rPr>
          <w:rFonts w:ascii="Times New Roman" w:hAnsi="Times New Roman"/>
          <w:sz w:val="24"/>
        </w:rPr>
        <w:t xml:space="preserve">for public consultation </w:t>
      </w:r>
      <w:r>
        <w:rPr>
          <w:rFonts w:ascii="Times New Roman" w:hAnsi="Times New Roman"/>
          <w:sz w:val="24"/>
        </w:rPr>
        <w:t>on the AUSTRAC website from 3 July 2018 to 31 July 2018.</w:t>
      </w:r>
    </w:p>
    <w:p w14:paraId="07B57DA1" w14:textId="38C45608" w:rsidR="00AA6218" w:rsidRDefault="00AA6218" w:rsidP="0012383B">
      <w:pPr>
        <w:numPr>
          <w:ilvl w:val="0"/>
          <w:numId w:val="1"/>
        </w:numPr>
        <w:autoSpaceDE w:val="0"/>
        <w:autoSpaceDN w:val="0"/>
        <w:adjustRightInd w:val="0"/>
        <w:spacing w:before="240"/>
        <w:ind w:hanging="720"/>
        <w:rPr>
          <w:rFonts w:ascii="Times New Roman" w:hAnsi="Times New Roman"/>
          <w:sz w:val="24"/>
        </w:rPr>
      </w:pPr>
      <w:r w:rsidRPr="004062DD">
        <w:rPr>
          <w:rFonts w:ascii="Times New Roman" w:hAnsi="Times New Roman"/>
          <w:sz w:val="24"/>
        </w:rPr>
        <w:t xml:space="preserve">AUSTRAC has consulted with the Australian Taxation Office, the Department of </w:t>
      </w:r>
      <w:r w:rsidR="00414461">
        <w:rPr>
          <w:rFonts w:ascii="Times New Roman" w:hAnsi="Times New Roman"/>
          <w:sz w:val="24"/>
        </w:rPr>
        <w:t>Home A</w:t>
      </w:r>
      <w:r w:rsidR="00C406E5">
        <w:rPr>
          <w:rFonts w:ascii="Times New Roman" w:hAnsi="Times New Roman"/>
          <w:sz w:val="24"/>
        </w:rPr>
        <w:t>ffairs</w:t>
      </w:r>
      <w:r w:rsidRPr="004062DD">
        <w:rPr>
          <w:rFonts w:ascii="Times New Roman" w:hAnsi="Times New Roman"/>
          <w:sz w:val="24"/>
        </w:rPr>
        <w:t>, the Australian Federal Police, the Australian Criminal Intelligence Commission and the Office of the Aust</w:t>
      </w:r>
      <w:r w:rsidR="00A86756">
        <w:rPr>
          <w:rFonts w:ascii="Times New Roman" w:hAnsi="Times New Roman"/>
          <w:sz w:val="24"/>
        </w:rPr>
        <w:t>ralian Information Commissioner in developing these amendments.</w:t>
      </w:r>
    </w:p>
    <w:p w14:paraId="58A13C23" w14:textId="77777777" w:rsidR="00AA6218" w:rsidRPr="00064B1E" w:rsidRDefault="00AA6218" w:rsidP="005F6A22">
      <w:pPr>
        <w:keepNext/>
        <w:spacing w:before="240"/>
        <w:rPr>
          <w:rFonts w:ascii="Times New Roman" w:hAnsi="Times New Roman"/>
          <w:b/>
          <w:sz w:val="24"/>
          <w:szCs w:val="26"/>
        </w:rPr>
      </w:pPr>
      <w:r w:rsidRPr="00064B1E">
        <w:rPr>
          <w:rFonts w:ascii="Times New Roman" w:hAnsi="Times New Roman"/>
          <w:b/>
          <w:sz w:val="24"/>
          <w:szCs w:val="26"/>
        </w:rPr>
        <w:t>Ongoing consultation</w:t>
      </w:r>
    </w:p>
    <w:p w14:paraId="6E4A1ECD" w14:textId="1680929C" w:rsidR="00B414A6" w:rsidRDefault="00AA6218" w:rsidP="0012383B">
      <w:pPr>
        <w:numPr>
          <w:ilvl w:val="0"/>
          <w:numId w:val="1"/>
        </w:numPr>
        <w:autoSpaceDE w:val="0"/>
        <w:autoSpaceDN w:val="0"/>
        <w:adjustRightInd w:val="0"/>
        <w:spacing w:before="240"/>
        <w:ind w:hanging="720"/>
        <w:rPr>
          <w:rFonts w:ascii="Times New Roman" w:hAnsi="Times New Roman"/>
          <w:sz w:val="24"/>
        </w:rPr>
      </w:pPr>
      <w:r w:rsidRPr="006E645F">
        <w:rPr>
          <w:rFonts w:ascii="Times New Roman" w:hAnsi="Times New Roman"/>
          <w:sz w:val="24"/>
        </w:rPr>
        <w:t xml:space="preserve">AUSTRAC will conduct ongoing consultation with stakeholders on the operation of these AML/CTF Rules. </w:t>
      </w:r>
    </w:p>
    <w:p w14:paraId="5D8521E4" w14:textId="2500F17E" w:rsidR="00FA78E0" w:rsidRDefault="00FA78E0">
      <w:pPr>
        <w:rPr>
          <w:rFonts w:ascii="Times New Roman" w:hAnsi="Times New Roman"/>
          <w:sz w:val="24"/>
        </w:rPr>
      </w:pPr>
      <w:r>
        <w:rPr>
          <w:rFonts w:ascii="Times New Roman" w:hAnsi="Times New Roman"/>
          <w:sz w:val="24"/>
        </w:rPr>
        <w:br w:type="page"/>
      </w:r>
    </w:p>
    <w:p w14:paraId="303D4671" w14:textId="77777777" w:rsidR="00A035F4" w:rsidRDefault="00A035F4" w:rsidP="00A035F4">
      <w:pPr>
        <w:autoSpaceDE w:val="0"/>
        <w:autoSpaceDN w:val="0"/>
        <w:adjustRightInd w:val="0"/>
        <w:rPr>
          <w:rFonts w:ascii="Times New Roman" w:hAnsi="Times New Roman"/>
          <w:sz w:val="24"/>
        </w:rPr>
      </w:pPr>
    </w:p>
    <w:p w14:paraId="3D460995" w14:textId="24091885" w:rsidR="00CD4FA5" w:rsidRDefault="00CD4FA5" w:rsidP="00CD4FA5">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CD4FA5">
        <w:rPr>
          <w:rFonts w:ascii="Times New Roman" w:hAnsi="Times New Roman"/>
          <w:b/>
          <w:sz w:val="24"/>
        </w:rPr>
        <w:t>Statement of Compatibility with Human Rights</w:t>
      </w:r>
    </w:p>
    <w:p w14:paraId="33DF8D15"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i/>
          <w:sz w:val="24"/>
        </w:rPr>
      </w:pPr>
      <w:r w:rsidRPr="00CD4FA5">
        <w:rPr>
          <w:rFonts w:ascii="Times New Roman" w:hAnsi="Times New Roman"/>
          <w:i/>
          <w:sz w:val="24"/>
        </w:rPr>
        <w:t>Prepared in accordance with Part 3 of the Human Rights (Parliamentary Scrutiny) Act 2011</w:t>
      </w:r>
    </w:p>
    <w:p w14:paraId="465BFCCE" w14:textId="36FDBA04" w:rsidR="00CD4FA5" w:rsidRDefault="00CD4FA5" w:rsidP="00A247CD">
      <w:pPr>
        <w:pBdr>
          <w:top w:val="single" w:sz="4" w:space="1" w:color="auto"/>
          <w:left w:val="single" w:sz="4" w:space="4" w:color="auto"/>
          <w:bottom w:val="single" w:sz="4" w:space="1" w:color="auto"/>
          <w:right w:val="single" w:sz="4" w:space="4" w:color="auto"/>
        </w:pBdr>
        <w:spacing w:before="240"/>
        <w:jc w:val="center"/>
        <w:rPr>
          <w:rFonts w:ascii="Times New Roman" w:hAnsi="Times New Roman"/>
          <w:b/>
          <w:i/>
          <w:sz w:val="24"/>
        </w:rPr>
      </w:pPr>
      <w:r w:rsidRPr="00CD4FA5">
        <w:rPr>
          <w:rFonts w:ascii="Times New Roman" w:hAnsi="Times New Roman"/>
          <w:b/>
          <w:i/>
          <w:sz w:val="24"/>
        </w:rPr>
        <w:t>Anti-Money Laundering and Counter-Terrorism Financing Rules Amendment Instrument 201</w:t>
      </w:r>
      <w:r w:rsidR="007D518D">
        <w:rPr>
          <w:rFonts w:ascii="Times New Roman" w:hAnsi="Times New Roman"/>
          <w:b/>
          <w:i/>
          <w:sz w:val="24"/>
        </w:rPr>
        <w:t>9</w:t>
      </w:r>
      <w:r w:rsidRPr="00CD4FA5">
        <w:rPr>
          <w:rFonts w:ascii="Times New Roman" w:hAnsi="Times New Roman"/>
          <w:b/>
          <w:i/>
          <w:sz w:val="24"/>
        </w:rPr>
        <w:t xml:space="preserve"> (No. </w:t>
      </w:r>
      <w:r w:rsidR="006C2DEB">
        <w:rPr>
          <w:rFonts w:ascii="Times New Roman" w:hAnsi="Times New Roman"/>
          <w:b/>
          <w:i/>
          <w:sz w:val="24"/>
        </w:rPr>
        <w:t>2</w:t>
      </w:r>
      <w:r w:rsidRPr="00CD4FA5">
        <w:rPr>
          <w:rFonts w:ascii="Times New Roman" w:hAnsi="Times New Roman"/>
          <w:b/>
          <w:i/>
          <w:sz w:val="24"/>
        </w:rPr>
        <w:t>)</w:t>
      </w:r>
    </w:p>
    <w:p w14:paraId="1FF7110B"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hAnsi="Times New Roman"/>
          <w:sz w:val="24"/>
        </w:rPr>
        <w:t xml:space="preserve">This Instrument is compatible with the human rights and freedoms recognised or declared in the international instruments listed in section 3 of the </w:t>
      </w:r>
      <w:r w:rsidRPr="00CD4FA5">
        <w:rPr>
          <w:rFonts w:ascii="Times New Roman" w:hAnsi="Times New Roman"/>
          <w:i/>
          <w:sz w:val="24"/>
        </w:rPr>
        <w:t>Human Rights (Parliamentary Scrutiny) Act 2011</w:t>
      </w:r>
      <w:r w:rsidRPr="00CD4FA5">
        <w:rPr>
          <w:rFonts w:ascii="Times New Roman" w:hAnsi="Times New Roman"/>
          <w:sz w:val="24"/>
        </w:rPr>
        <w:t>.</w:t>
      </w:r>
    </w:p>
    <w:p w14:paraId="4208CB20" w14:textId="77777777" w:rsid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r w:rsidRPr="00CD4FA5">
        <w:rPr>
          <w:rFonts w:ascii="Times New Roman" w:hAnsi="Times New Roman"/>
          <w:b/>
          <w:sz w:val="24"/>
        </w:rPr>
        <w:t>Overview of the legislative instrument</w:t>
      </w:r>
    </w:p>
    <w:p w14:paraId="50405500" w14:textId="495C799E" w:rsidR="00231C25" w:rsidRDefault="00CD4FA5" w:rsidP="00FC34E7">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hAnsi="Times New Roman"/>
          <w:sz w:val="24"/>
        </w:rPr>
        <w:t xml:space="preserve">The Instrument </w:t>
      </w:r>
      <w:r w:rsidR="00E7138A">
        <w:rPr>
          <w:rFonts w:ascii="Times New Roman" w:hAnsi="Times New Roman"/>
          <w:sz w:val="24"/>
        </w:rPr>
        <w:t>updates</w:t>
      </w:r>
      <w:r w:rsidR="001A25CB">
        <w:rPr>
          <w:rFonts w:ascii="Times New Roman" w:hAnsi="Times New Roman"/>
          <w:sz w:val="24"/>
        </w:rPr>
        <w:t xml:space="preserve"> </w:t>
      </w:r>
      <w:r w:rsidR="00434500">
        <w:rPr>
          <w:rFonts w:ascii="Times New Roman" w:hAnsi="Times New Roman"/>
          <w:sz w:val="24"/>
        </w:rPr>
        <w:t>the definition of ‘certified copy’</w:t>
      </w:r>
      <w:r w:rsidR="00E7138A">
        <w:rPr>
          <w:rFonts w:ascii="Times New Roman" w:hAnsi="Times New Roman"/>
          <w:sz w:val="24"/>
        </w:rPr>
        <w:t xml:space="preserve"> in Chapter 1 of the </w:t>
      </w:r>
      <w:r w:rsidR="00E7138A" w:rsidRPr="00434500">
        <w:rPr>
          <w:rFonts w:ascii="Times New Roman" w:hAnsi="Times New Roman"/>
          <w:i/>
          <w:sz w:val="24"/>
        </w:rPr>
        <w:t>Anti-Money Laundering</w:t>
      </w:r>
      <w:r w:rsidR="00231C25" w:rsidRPr="00434500">
        <w:rPr>
          <w:rFonts w:ascii="Times New Roman" w:hAnsi="Times New Roman"/>
          <w:i/>
          <w:sz w:val="24"/>
        </w:rPr>
        <w:t>/</w:t>
      </w:r>
      <w:r w:rsidR="00E7138A" w:rsidRPr="00434500">
        <w:rPr>
          <w:rFonts w:ascii="Times New Roman" w:hAnsi="Times New Roman"/>
          <w:i/>
          <w:sz w:val="24"/>
        </w:rPr>
        <w:t>Counter-Terrorism Financing Rule</w:t>
      </w:r>
      <w:r w:rsidR="00434500">
        <w:rPr>
          <w:rFonts w:ascii="Times New Roman" w:hAnsi="Times New Roman"/>
          <w:i/>
          <w:sz w:val="24"/>
        </w:rPr>
        <w:t>s Instrument 2007 (No. 1)</w:t>
      </w:r>
      <w:r w:rsidR="00E7138A">
        <w:rPr>
          <w:rFonts w:ascii="Times New Roman" w:hAnsi="Times New Roman"/>
          <w:sz w:val="24"/>
        </w:rPr>
        <w:t xml:space="preserve"> (AML/CTF Rules) </w:t>
      </w:r>
      <w:r w:rsidR="00231C25">
        <w:rPr>
          <w:rFonts w:ascii="Times New Roman" w:hAnsi="Times New Roman"/>
          <w:sz w:val="24"/>
        </w:rPr>
        <w:t xml:space="preserve">to reflect the repeal of the </w:t>
      </w:r>
      <w:r w:rsidR="00231C25" w:rsidRPr="00231C25">
        <w:rPr>
          <w:rFonts w:ascii="Times New Roman" w:hAnsi="Times New Roman"/>
          <w:i/>
          <w:sz w:val="24"/>
        </w:rPr>
        <w:t>Statutory Declarations Regulations 199</w:t>
      </w:r>
      <w:r w:rsidR="00231C25" w:rsidRPr="00E47F91">
        <w:rPr>
          <w:rFonts w:ascii="Times New Roman" w:hAnsi="Times New Roman"/>
          <w:i/>
          <w:sz w:val="24"/>
        </w:rPr>
        <w:t xml:space="preserve">3 </w:t>
      </w:r>
      <w:r w:rsidR="00231C25">
        <w:rPr>
          <w:rFonts w:ascii="Times New Roman" w:hAnsi="Times New Roman"/>
          <w:sz w:val="24"/>
        </w:rPr>
        <w:t xml:space="preserve">and their replacement with the </w:t>
      </w:r>
      <w:r w:rsidR="00231C25" w:rsidRPr="00231C25">
        <w:rPr>
          <w:rFonts w:ascii="Times New Roman" w:hAnsi="Times New Roman"/>
          <w:i/>
          <w:sz w:val="24"/>
        </w:rPr>
        <w:t>Statutory Declarations Regulations 2018</w:t>
      </w:r>
      <w:r w:rsidR="00231C25">
        <w:rPr>
          <w:rFonts w:ascii="Times New Roman" w:hAnsi="Times New Roman"/>
          <w:sz w:val="24"/>
        </w:rPr>
        <w:t>.</w:t>
      </w:r>
    </w:p>
    <w:p w14:paraId="262CB169" w14:textId="49410129" w:rsidR="00B05CD8" w:rsidRDefault="00231C25" w:rsidP="00FA78E0">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Pr>
          <w:rFonts w:ascii="Times New Roman" w:hAnsi="Times New Roman"/>
          <w:sz w:val="24"/>
        </w:rPr>
        <w:t xml:space="preserve">The Instrument also amends the AML/CTF Rules to provide reporting entities with relief from certain identification, verification and ongoing customer due diligence requirements in Part 4.4 of Chapter </w:t>
      </w:r>
      <w:r w:rsidR="00A2610B">
        <w:rPr>
          <w:rFonts w:ascii="Times New Roman" w:hAnsi="Times New Roman"/>
          <w:sz w:val="24"/>
        </w:rPr>
        <w:t xml:space="preserve">4 </w:t>
      </w:r>
      <w:r w:rsidR="00E7138A">
        <w:rPr>
          <w:rFonts w:ascii="Times New Roman" w:hAnsi="Times New Roman"/>
          <w:sz w:val="24"/>
        </w:rPr>
        <w:t xml:space="preserve">and </w:t>
      </w:r>
      <w:r>
        <w:rPr>
          <w:rFonts w:ascii="Times New Roman" w:hAnsi="Times New Roman"/>
          <w:sz w:val="24"/>
        </w:rPr>
        <w:t xml:space="preserve">Chapter 15 of the AML/CTF Rules in relation to </w:t>
      </w:r>
      <w:r w:rsidR="00214921">
        <w:rPr>
          <w:rFonts w:ascii="Times New Roman" w:hAnsi="Times New Roman"/>
          <w:sz w:val="24"/>
        </w:rPr>
        <w:t xml:space="preserve">custodian </w:t>
      </w:r>
      <w:r w:rsidR="00A2610B">
        <w:rPr>
          <w:rFonts w:ascii="Times New Roman" w:hAnsi="Times New Roman"/>
          <w:sz w:val="24"/>
        </w:rPr>
        <w:t xml:space="preserve">customers </w:t>
      </w:r>
      <w:r w:rsidR="00214921">
        <w:rPr>
          <w:rFonts w:ascii="Times New Roman" w:hAnsi="Times New Roman"/>
          <w:sz w:val="24"/>
        </w:rPr>
        <w:t>that satisfy the requirements set out in</w:t>
      </w:r>
      <w:r w:rsidR="00A2610B">
        <w:rPr>
          <w:rFonts w:ascii="Times New Roman" w:hAnsi="Times New Roman"/>
          <w:sz w:val="24"/>
        </w:rPr>
        <w:t xml:space="preserve"> paragraph 4.4.19</w:t>
      </w:r>
      <w:r w:rsidR="00511D01">
        <w:rPr>
          <w:rFonts w:ascii="Times New Roman" w:hAnsi="Times New Roman"/>
          <w:sz w:val="24"/>
        </w:rPr>
        <w:t>.</w:t>
      </w:r>
    </w:p>
    <w:p w14:paraId="6F876A97" w14:textId="77777777" w:rsidR="00FA78E0" w:rsidRDefault="00FA78E0" w:rsidP="00B05CD8">
      <w:pPr>
        <w:keepNext/>
        <w:pBdr>
          <w:top w:val="single" w:sz="4" w:space="1" w:color="auto"/>
          <w:left w:val="single" w:sz="4" w:space="4" w:color="auto"/>
          <w:bottom w:val="single" w:sz="4" w:space="1" w:color="auto"/>
          <w:right w:val="single" w:sz="4" w:space="4" w:color="auto"/>
        </w:pBdr>
        <w:rPr>
          <w:rFonts w:ascii="Times New Roman" w:hAnsi="Times New Roman"/>
          <w:sz w:val="24"/>
        </w:rPr>
      </w:pPr>
    </w:p>
    <w:p w14:paraId="45EC3C52" w14:textId="4825DC76" w:rsidR="00184560" w:rsidRDefault="00184560" w:rsidP="00B05CD8">
      <w:pPr>
        <w:keepNext/>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Subparagraph 38.2(4)(a) is amended by the Instrument to remove the timing comp</w:t>
      </w:r>
      <w:r w:rsidR="00214921">
        <w:rPr>
          <w:rFonts w:ascii="Times New Roman" w:hAnsi="Times New Roman"/>
          <w:sz w:val="24"/>
        </w:rPr>
        <w:t>onent of the requirement that an ancillary</w:t>
      </w:r>
      <w:r>
        <w:rPr>
          <w:rFonts w:ascii="Times New Roman" w:hAnsi="Times New Roman"/>
          <w:sz w:val="24"/>
        </w:rPr>
        <w:t xml:space="preserve"> </w:t>
      </w:r>
      <w:r w:rsidR="00214921">
        <w:rPr>
          <w:rFonts w:ascii="Times New Roman" w:hAnsi="Times New Roman"/>
          <w:sz w:val="24"/>
        </w:rPr>
        <w:t>f</w:t>
      </w:r>
      <w:r>
        <w:rPr>
          <w:rFonts w:ascii="Times New Roman" w:hAnsi="Times New Roman"/>
          <w:sz w:val="24"/>
        </w:rPr>
        <w:t>und distribute proceeds of the disposal of the security to a deductible gift recipient before the end of the financial year in which it receives the proceeds.</w:t>
      </w:r>
      <w:r w:rsidR="006C2DEB">
        <w:rPr>
          <w:rFonts w:ascii="Times New Roman" w:hAnsi="Times New Roman"/>
          <w:sz w:val="24"/>
        </w:rPr>
        <w:t xml:space="preserve"> The other requirements in Chapter 38 of the AML/CTF Rules remain unchanged.</w:t>
      </w:r>
    </w:p>
    <w:p w14:paraId="1B9B14F4" w14:textId="277F3CF1" w:rsidR="00CD4FA5" w:rsidRPr="00CD4FA5" w:rsidRDefault="00CD4FA5" w:rsidP="0078172D">
      <w:pPr>
        <w:keepNext/>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r w:rsidRPr="00CD4FA5">
        <w:rPr>
          <w:rFonts w:ascii="Times New Roman" w:hAnsi="Times New Roman"/>
          <w:b/>
          <w:sz w:val="24"/>
        </w:rPr>
        <w:t>Human rights implications</w:t>
      </w:r>
    </w:p>
    <w:p w14:paraId="5616AEA6" w14:textId="12E3403D" w:rsidR="00463E42" w:rsidRPr="00463E42" w:rsidRDefault="00463E42" w:rsidP="00A247CD">
      <w:pPr>
        <w:pBdr>
          <w:top w:val="single" w:sz="4" w:space="1" w:color="auto"/>
          <w:left w:val="single" w:sz="4" w:space="4" w:color="auto"/>
          <w:bottom w:val="single" w:sz="4" w:space="1" w:color="auto"/>
          <w:right w:val="single" w:sz="4" w:space="4" w:color="auto"/>
        </w:pBdr>
        <w:spacing w:before="240"/>
        <w:rPr>
          <w:rStyle w:val="SubtleEmphasis"/>
        </w:rPr>
      </w:pPr>
      <w:r>
        <w:rPr>
          <w:i/>
          <w:iCs/>
          <w:color w:val="404040" w:themeColor="text1" w:themeTint="BF"/>
        </w:rPr>
        <w:t>A</w:t>
      </w:r>
      <w:r w:rsidRPr="00463E42">
        <w:rPr>
          <w:i/>
          <w:iCs/>
          <w:color w:val="404040" w:themeColor="text1" w:themeTint="BF"/>
        </w:rPr>
        <w:t>mendments to Chapters 4 and 15 of the AML/CTF Rules (relating to custodians)</w:t>
      </w:r>
    </w:p>
    <w:p w14:paraId="4B020D3F" w14:textId="36B244F9" w:rsidR="005166DC" w:rsidRDefault="00463E42"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Pr>
          <w:rFonts w:ascii="Times New Roman" w:hAnsi="Times New Roman"/>
          <w:sz w:val="24"/>
        </w:rPr>
        <w:t>The</w:t>
      </w:r>
      <w:r w:rsidR="005166DC">
        <w:rPr>
          <w:rFonts w:ascii="Times New Roman" w:hAnsi="Times New Roman"/>
          <w:sz w:val="24"/>
        </w:rPr>
        <w:t xml:space="preserve"> Instrument engages the following rights</w:t>
      </w:r>
      <w:r>
        <w:rPr>
          <w:rFonts w:ascii="Times New Roman" w:hAnsi="Times New Roman"/>
          <w:sz w:val="24"/>
        </w:rPr>
        <w:t>:</w:t>
      </w:r>
    </w:p>
    <w:p w14:paraId="27BED186" w14:textId="0716A664" w:rsidR="005166DC" w:rsidRDefault="00463E42" w:rsidP="005166DC">
      <w:pPr>
        <w:numPr>
          <w:ilvl w:val="0"/>
          <w:numId w:val="14"/>
        </w:numPr>
        <w:pBdr>
          <w:top w:val="single" w:sz="4" w:space="1" w:color="auto"/>
          <w:left w:val="single" w:sz="4" w:space="4" w:color="auto"/>
          <w:bottom w:val="single" w:sz="4" w:space="1" w:color="auto"/>
          <w:right w:val="single" w:sz="4" w:space="4" w:color="auto"/>
        </w:pBdr>
        <w:spacing w:before="120"/>
        <w:ind w:left="357" w:hanging="357"/>
        <w:rPr>
          <w:rFonts w:ascii="Times New Roman" w:hAnsi="Times New Roman"/>
          <w:sz w:val="24"/>
        </w:rPr>
      </w:pPr>
      <w:r>
        <w:rPr>
          <w:rFonts w:ascii="Times New Roman" w:hAnsi="Times New Roman"/>
          <w:sz w:val="24"/>
        </w:rPr>
        <w:t>Right to privacy and reputation.</w:t>
      </w:r>
    </w:p>
    <w:p w14:paraId="1872C3ED" w14:textId="2B07AB47" w:rsidR="005166DC" w:rsidRDefault="00463E42"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Pr>
          <w:rFonts w:ascii="Times New Roman" w:hAnsi="Times New Roman"/>
          <w:sz w:val="24"/>
        </w:rPr>
        <w:t>T</w:t>
      </w:r>
      <w:r w:rsidR="00207461">
        <w:rPr>
          <w:rFonts w:ascii="Times New Roman" w:hAnsi="Times New Roman"/>
          <w:sz w:val="24"/>
        </w:rPr>
        <w:t xml:space="preserve">he amendments to Part 4.4 </w:t>
      </w:r>
      <w:r>
        <w:rPr>
          <w:rFonts w:ascii="Times New Roman" w:hAnsi="Times New Roman"/>
          <w:sz w:val="24"/>
        </w:rPr>
        <w:t xml:space="preserve">(Applicable customer identification procedure with respect to trustees) and Chapter 15 (Ongoing customer due diligence) of the AML/CTF Rules </w:t>
      </w:r>
      <w:r w:rsidR="00207461">
        <w:rPr>
          <w:rFonts w:ascii="Times New Roman" w:hAnsi="Times New Roman"/>
          <w:sz w:val="24"/>
        </w:rPr>
        <w:t>contained within this</w:t>
      </w:r>
      <w:r w:rsidR="00CD4FA5" w:rsidRPr="00CD4FA5">
        <w:rPr>
          <w:rFonts w:ascii="Times New Roman" w:hAnsi="Times New Roman"/>
          <w:sz w:val="24"/>
        </w:rPr>
        <w:t xml:space="preserve"> Instrument </w:t>
      </w:r>
      <w:r w:rsidR="005166DC">
        <w:rPr>
          <w:rFonts w:ascii="Times New Roman" w:hAnsi="Times New Roman"/>
          <w:sz w:val="24"/>
        </w:rPr>
        <w:t xml:space="preserve">positively affect </w:t>
      </w:r>
      <w:r w:rsidR="00207461">
        <w:rPr>
          <w:rFonts w:ascii="Times New Roman" w:hAnsi="Times New Roman"/>
          <w:sz w:val="24"/>
        </w:rPr>
        <w:t>the</w:t>
      </w:r>
      <w:r w:rsidR="005166DC">
        <w:rPr>
          <w:rFonts w:ascii="Times New Roman" w:hAnsi="Times New Roman"/>
          <w:sz w:val="24"/>
        </w:rPr>
        <w:t xml:space="preserve"> right</w:t>
      </w:r>
      <w:r w:rsidR="00207461">
        <w:rPr>
          <w:rFonts w:ascii="Times New Roman" w:hAnsi="Times New Roman"/>
          <w:sz w:val="24"/>
        </w:rPr>
        <w:t xml:space="preserve"> to privacy and reputation</w:t>
      </w:r>
      <w:r>
        <w:rPr>
          <w:rFonts w:ascii="Times New Roman" w:hAnsi="Times New Roman"/>
          <w:sz w:val="24"/>
        </w:rPr>
        <w:t>,</w:t>
      </w:r>
      <w:r w:rsidR="005166DC">
        <w:rPr>
          <w:rFonts w:ascii="Times New Roman" w:hAnsi="Times New Roman"/>
          <w:sz w:val="24"/>
        </w:rPr>
        <w:t xml:space="preserve"> by limiting the circumstances in which personal information is required to be collected and used</w:t>
      </w:r>
      <w:r w:rsidR="00833F9D">
        <w:rPr>
          <w:rFonts w:ascii="Times New Roman" w:hAnsi="Times New Roman"/>
          <w:sz w:val="24"/>
        </w:rPr>
        <w:t>, while ensuring the AML/CTF risk is appropriately identified, mitigated, and managed.</w:t>
      </w:r>
    </w:p>
    <w:p w14:paraId="54CA7885" w14:textId="24B114B0" w:rsidR="009E15F7" w:rsidRDefault="00463E42" w:rsidP="009E15F7">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Pr>
          <w:rFonts w:ascii="Times New Roman" w:hAnsi="Times New Roman"/>
          <w:sz w:val="24"/>
        </w:rPr>
        <w:t xml:space="preserve">Currently, </w:t>
      </w:r>
      <w:r w:rsidR="00231C25">
        <w:rPr>
          <w:rFonts w:ascii="Times New Roman" w:hAnsi="Times New Roman"/>
          <w:sz w:val="24"/>
        </w:rPr>
        <w:t>Part 4.4 of the AML/CTF Rules require</w:t>
      </w:r>
      <w:r w:rsidR="00A2610B">
        <w:rPr>
          <w:rFonts w:ascii="Times New Roman" w:hAnsi="Times New Roman"/>
          <w:sz w:val="24"/>
        </w:rPr>
        <w:t>s</w:t>
      </w:r>
      <w:r w:rsidR="00231C25">
        <w:rPr>
          <w:rFonts w:ascii="Times New Roman" w:hAnsi="Times New Roman"/>
          <w:sz w:val="24"/>
        </w:rPr>
        <w:t xml:space="preserve"> reporting entities to collect and verify </w:t>
      </w:r>
      <w:r>
        <w:rPr>
          <w:rFonts w:ascii="Times New Roman" w:hAnsi="Times New Roman"/>
          <w:sz w:val="24"/>
        </w:rPr>
        <w:t>‘know your customer’</w:t>
      </w:r>
      <w:r w:rsidR="00231C25">
        <w:rPr>
          <w:rFonts w:ascii="Times New Roman" w:hAnsi="Times New Roman"/>
          <w:sz w:val="24"/>
        </w:rPr>
        <w:t xml:space="preserve"> information in relation to </w:t>
      </w:r>
      <w:r>
        <w:rPr>
          <w:rFonts w:ascii="Times New Roman" w:hAnsi="Times New Roman"/>
          <w:sz w:val="24"/>
        </w:rPr>
        <w:t xml:space="preserve">their </w:t>
      </w:r>
      <w:r w:rsidR="00231C25">
        <w:rPr>
          <w:rFonts w:ascii="Times New Roman" w:hAnsi="Times New Roman"/>
          <w:sz w:val="24"/>
        </w:rPr>
        <w:t>customers</w:t>
      </w:r>
      <w:r>
        <w:rPr>
          <w:rFonts w:ascii="Times New Roman" w:hAnsi="Times New Roman"/>
          <w:sz w:val="24"/>
        </w:rPr>
        <w:t>. Where those customers</w:t>
      </w:r>
      <w:r w:rsidR="00241598">
        <w:rPr>
          <w:rFonts w:ascii="Times New Roman" w:hAnsi="Times New Roman"/>
          <w:sz w:val="24"/>
        </w:rPr>
        <w:t xml:space="preserve"> are trustees</w:t>
      </w:r>
      <w:r w:rsidR="00231C25">
        <w:rPr>
          <w:rFonts w:ascii="Times New Roman" w:hAnsi="Times New Roman"/>
          <w:sz w:val="24"/>
        </w:rPr>
        <w:t xml:space="preserve">, </w:t>
      </w:r>
      <w:r>
        <w:rPr>
          <w:rFonts w:ascii="Times New Roman" w:hAnsi="Times New Roman"/>
          <w:sz w:val="24"/>
        </w:rPr>
        <w:t xml:space="preserve">reporting entities are also required to collect identity information on the settlor of the trust, as well as </w:t>
      </w:r>
      <w:r w:rsidR="009E15F7">
        <w:rPr>
          <w:rFonts w:ascii="Times New Roman" w:hAnsi="Times New Roman"/>
          <w:sz w:val="24"/>
        </w:rPr>
        <w:t>each</w:t>
      </w:r>
      <w:r>
        <w:rPr>
          <w:rFonts w:ascii="Times New Roman" w:hAnsi="Times New Roman"/>
          <w:sz w:val="24"/>
        </w:rPr>
        <w:t xml:space="preserve"> </w:t>
      </w:r>
      <w:r w:rsidR="009E15F7">
        <w:rPr>
          <w:rFonts w:ascii="Times New Roman" w:hAnsi="Times New Roman"/>
          <w:sz w:val="24"/>
        </w:rPr>
        <w:t xml:space="preserve">trustee and beneficiary (whether </w:t>
      </w:r>
      <w:r w:rsidR="009E15F7">
        <w:rPr>
          <w:rFonts w:ascii="Times New Roman" w:hAnsi="Times New Roman"/>
          <w:sz w:val="24"/>
        </w:rPr>
        <w:lastRenderedPageBreak/>
        <w:t>a legal entity or a natural person). Chapter 15 of the AML/CTF Rules requires reporting entities to undertake ongoing due diligence in relation to these persons.</w:t>
      </w:r>
    </w:p>
    <w:p w14:paraId="638791F3" w14:textId="77777777" w:rsidR="009E15F7" w:rsidRDefault="00231C2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Pr>
          <w:rFonts w:ascii="Times New Roman" w:hAnsi="Times New Roman"/>
          <w:sz w:val="24"/>
        </w:rPr>
        <w:t>The</w:t>
      </w:r>
      <w:r w:rsidR="00A2610B">
        <w:rPr>
          <w:rFonts w:ascii="Times New Roman" w:hAnsi="Times New Roman"/>
          <w:sz w:val="24"/>
        </w:rPr>
        <w:t xml:space="preserve"> amendments to Part 4.4 and Chapter 15 relieve reporting entities from the need to carry out identification, verification and o</w:t>
      </w:r>
      <w:r w:rsidR="009E15F7">
        <w:rPr>
          <w:rFonts w:ascii="Times New Roman" w:hAnsi="Times New Roman"/>
          <w:sz w:val="24"/>
        </w:rPr>
        <w:t>ngoing customer due diligence in relation to the underlying settlor(s), trustee(s), or beneficiaries of a custodian-customer that is receiving designated services in the capacity of a trustee</w:t>
      </w:r>
      <w:r w:rsidR="00214921">
        <w:rPr>
          <w:rFonts w:ascii="Times New Roman" w:hAnsi="Times New Roman"/>
          <w:sz w:val="24"/>
        </w:rPr>
        <w:t>.</w:t>
      </w:r>
      <w:r w:rsidR="00A2610B">
        <w:rPr>
          <w:rFonts w:ascii="Times New Roman" w:hAnsi="Times New Roman"/>
          <w:sz w:val="24"/>
        </w:rPr>
        <w:t xml:space="preserve"> </w:t>
      </w:r>
    </w:p>
    <w:p w14:paraId="457A67A1" w14:textId="033E0BF1" w:rsidR="009E15F7" w:rsidRDefault="00214921" w:rsidP="009E15F7">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Pr>
          <w:rFonts w:ascii="Times New Roman" w:hAnsi="Times New Roman"/>
          <w:sz w:val="24"/>
        </w:rPr>
        <w:t>A</w:t>
      </w:r>
      <w:r w:rsidR="00A2610B">
        <w:rPr>
          <w:rFonts w:ascii="Times New Roman" w:hAnsi="Times New Roman"/>
          <w:sz w:val="24"/>
        </w:rPr>
        <w:t>ccordingly</w:t>
      </w:r>
      <w:r>
        <w:rPr>
          <w:rFonts w:ascii="Times New Roman" w:hAnsi="Times New Roman"/>
          <w:sz w:val="24"/>
        </w:rPr>
        <w:t>, this Instrument</w:t>
      </w:r>
      <w:r w:rsidR="009E15F7">
        <w:rPr>
          <w:rFonts w:ascii="Times New Roman" w:hAnsi="Times New Roman"/>
          <w:sz w:val="24"/>
        </w:rPr>
        <w:t xml:space="preserve"> </w:t>
      </w:r>
      <w:r w:rsidR="00A2610B">
        <w:rPr>
          <w:rFonts w:ascii="Times New Roman" w:hAnsi="Times New Roman"/>
          <w:sz w:val="24"/>
        </w:rPr>
        <w:t>limit</w:t>
      </w:r>
      <w:r>
        <w:rPr>
          <w:rFonts w:ascii="Times New Roman" w:hAnsi="Times New Roman"/>
          <w:sz w:val="24"/>
        </w:rPr>
        <w:t>s</w:t>
      </w:r>
      <w:r w:rsidR="00A2610B">
        <w:rPr>
          <w:rFonts w:ascii="Times New Roman" w:hAnsi="Times New Roman"/>
          <w:sz w:val="24"/>
        </w:rPr>
        <w:t xml:space="preserve"> the amount of information </w:t>
      </w:r>
      <w:r>
        <w:rPr>
          <w:rFonts w:ascii="Times New Roman" w:hAnsi="Times New Roman"/>
          <w:sz w:val="24"/>
        </w:rPr>
        <w:t>that</w:t>
      </w:r>
      <w:r w:rsidR="00A2610B">
        <w:rPr>
          <w:rFonts w:ascii="Times New Roman" w:hAnsi="Times New Roman"/>
          <w:sz w:val="24"/>
        </w:rPr>
        <w:t xml:space="preserve"> reporting entities are required to collect in relation to </w:t>
      </w:r>
      <w:r w:rsidR="009E15F7">
        <w:rPr>
          <w:rFonts w:ascii="Times New Roman" w:hAnsi="Times New Roman"/>
          <w:sz w:val="24"/>
        </w:rPr>
        <w:t>natural persons</w:t>
      </w:r>
      <w:r w:rsidR="00A2610B">
        <w:rPr>
          <w:rFonts w:ascii="Times New Roman" w:hAnsi="Times New Roman"/>
          <w:sz w:val="24"/>
        </w:rPr>
        <w:t>.</w:t>
      </w:r>
    </w:p>
    <w:p w14:paraId="423F94D0" w14:textId="07438CBA" w:rsidR="009E15F7" w:rsidRPr="009E15F7" w:rsidRDefault="009E15F7" w:rsidP="009E15F7">
      <w:pPr>
        <w:pBdr>
          <w:top w:val="single" w:sz="4" w:space="1" w:color="auto"/>
          <w:left w:val="single" w:sz="4" w:space="4" w:color="auto"/>
          <w:bottom w:val="single" w:sz="4" w:space="1" w:color="auto"/>
          <w:right w:val="single" w:sz="4" w:space="4" w:color="auto"/>
        </w:pBdr>
        <w:spacing w:before="240"/>
        <w:rPr>
          <w:i/>
          <w:iCs/>
          <w:color w:val="404040" w:themeColor="text1" w:themeTint="BF"/>
        </w:rPr>
      </w:pPr>
      <w:r>
        <w:rPr>
          <w:i/>
          <w:iCs/>
          <w:color w:val="404040" w:themeColor="text1" w:themeTint="BF"/>
        </w:rPr>
        <w:t>A</w:t>
      </w:r>
      <w:r w:rsidRPr="00463E42">
        <w:rPr>
          <w:i/>
          <w:iCs/>
          <w:color w:val="404040" w:themeColor="text1" w:themeTint="BF"/>
        </w:rPr>
        <w:t>mendments</w:t>
      </w:r>
      <w:r>
        <w:rPr>
          <w:i/>
          <w:iCs/>
          <w:color w:val="404040" w:themeColor="text1" w:themeTint="BF"/>
        </w:rPr>
        <w:t xml:space="preserve"> to Chapters 1 and 38</w:t>
      </w:r>
    </w:p>
    <w:p w14:paraId="27802BA2" w14:textId="6E7287EA" w:rsidR="00781F4C" w:rsidRDefault="009E15F7" w:rsidP="000E6C6B">
      <w:pPr>
        <w:pBdr>
          <w:top w:val="single" w:sz="4" w:space="1" w:color="auto"/>
          <w:left w:val="single" w:sz="4" w:space="4" w:color="auto"/>
          <w:bottom w:val="single" w:sz="4" w:space="1" w:color="auto"/>
          <w:right w:val="single" w:sz="4" w:space="4" w:color="auto"/>
        </w:pBdr>
        <w:spacing w:before="120"/>
        <w:rPr>
          <w:rFonts w:ascii="Times New Roman" w:hAnsi="Times New Roman"/>
          <w:sz w:val="24"/>
        </w:rPr>
      </w:pPr>
      <w:r>
        <w:rPr>
          <w:rFonts w:ascii="Times New Roman" w:hAnsi="Times New Roman"/>
          <w:sz w:val="24"/>
        </w:rPr>
        <w:t>The other amendments contained in this Instrument do</w:t>
      </w:r>
      <w:r w:rsidR="000E6C6B">
        <w:rPr>
          <w:rFonts w:ascii="Times New Roman" w:hAnsi="Times New Roman"/>
          <w:sz w:val="24"/>
        </w:rPr>
        <w:t xml:space="preserve"> not engage any of the other</w:t>
      </w:r>
      <w:r w:rsidR="00214921">
        <w:rPr>
          <w:rFonts w:ascii="Times New Roman" w:hAnsi="Times New Roman"/>
          <w:sz w:val="24"/>
        </w:rPr>
        <w:t xml:space="preserve"> applicable</w:t>
      </w:r>
      <w:r w:rsidR="000E6C6B">
        <w:rPr>
          <w:rFonts w:ascii="Times New Roman" w:hAnsi="Times New Roman"/>
          <w:sz w:val="24"/>
        </w:rPr>
        <w:t xml:space="preserve"> rights or freedoms</w:t>
      </w:r>
      <w:r w:rsidR="0071091D">
        <w:rPr>
          <w:rFonts w:ascii="Times New Roman" w:hAnsi="Times New Roman"/>
          <w:sz w:val="24"/>
        </w:rPr>
        <w:t>.</w:t>
      </w:r>
      <w:r w:rsidR="00C8612C">
        <w:rPr>
          <w:rFonts w:ascii="Times New Roman" w:hAnsi="Times New Roman"/>
          <w:sz w:val="24"/>
        </w:rPr>
        <w:t xml:space="preserve"> </w:t>
      </w:r>
    </w:p>
    <w:p w14:paraId="5525730B" w14:textId="4051F0D6" w:rsidR="00CD4FA5" w:rsidRPr="00CD4FA5" w:rsidRDefault="00CD4FA5" w:rsidP="0078172D">
      <w:pPr>
        <w:keepNext/>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r w:rsidRPr="00CD4FA5">
        <w:rPr>
          <w:rFonts w:ascii="Times New Roman" w:hAnsi="Times New Roman"/>
          <w:b/>
          <w:sz w:val="24"/>
        </w:rPr>
        <w:t>Conclusion</w:t>
      </w:r>
    </w:p>
    <w:p w14:paraId="649C05C6" w14:textId="28C54956"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hAnsi="Times New Roman"/>
          <w:sz w:val="24"/>
        </w:rPr>
        <w:t>This Instrument is</w:t>
      </w:r>
      <w:r w:rsidR="005166DC">
        <w:rPr>
          <w:rFonts w:ascii="Times New Roman" w:hAnsi="Times New Roman"/>
          <w:sz w:val="24"/>
        </w:rPr>
        <w:t xml:space="preserve"> </w:t>
      </w:r>
      <w:r w:rsidRPr="00CD4FA5">
        <w:rPr>
          <w:rFonts w:ascii="Times New Roman" w:hAnsi="Times New Roman"/>
          <w:sz w:val="24"/>
        </w:rPr>
        <w:t xml:space="preserve">compatible with human rights </w:t>
      </w:r>
      <w:r w:rsidR="005166DC">
        <w:rPr>
          <w:rFonts w:ascii="Times New Roman" w:hAnsi="Times New Roman"/>
          <w:sz w:val="24"/>
        </w:rPr>
        <w:t>because, to the extent that it engages the right to privacy and reputation, it promotes a more limited collection and use of personal information</w:t>
      </w:r>
      <w:r w:rsidR="00833F9D">
        <w:rPr>
          <w:rFonts w:ascii="Times New Roman" w:hAnsi="Times New Roman"/>
          <w:sz w:val="24"/>
        </w:rPr>
        <w:t xml:space="preserve"> while continuing to ensure the appropriate management of AML/CTF risk by reporting entities</w:t>
      </w:r>
      <w:r w:rsidR="005166DC">
        <w:rPr>
          <w:rFonts w:ascii="Times New Roman" w:hAnsi="Times New Roman"/>
          <w:sz w:val="24"/>
        </w:rPr>
        <w:t xml:space="preserve">. </w:t>
      </w:r>
    </w:p>
    <w:p w14:paraId="5504F49E"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p>
    <w:p w14:paraId="3A2936B4" w14:textId="360B5665" w:rsidR="00CD4FA5" w:rsidRPr="00CD4FA5" w:rsidRDefault="00786207" w:rsidP="00CD4FA5">
      <w:pPr>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Nicole Rose</w:t>
      </w:r>
      <w:r w:rsidR="000B3A73">
        <w:rPr>
          <w:rFonts w:ascii="Times New Roman" w:hAnsi="Times New Roman"/>
          <w:sz w:val="24"/>
        </w:rPr>
        <w:t xml:space="preserve"> </w:t>
      </w:r>
      <w:r w:rsidR="000B3A73">
        <w:rPr>
          <w:rFonts w:ascii="Times New Roman" w:hAnsi="Times New Roman"/>
          <w:sz w:val="20"/>
          <w:szCs w:val="20"/>
        </w:rPr>
        <w:t>PSM</w:t>
      </w:r>
    </w:p>
    <w:p w14:paraId="5A24610B" w14:textId="45010168" w:rsidR="00CD4FA5" w:rsidRPr="00CD4FA5" w:rsidRDefault="00CD4FA5" w:rsidP="00CD4FA5">
      <w:pPr>
        <w:pBdr>
          <w:top w:val="single" w:sz="4" w:space="1" w:color="auto"/>
          <w:left w:val="single" w:sz="4" w:space="4" w:color="auto"/>
          <w:bottom w:val="single" w:sz="4" w:space="1" w:color="auto"/>
          <w:right w:val="single" w:sz="4" w:space="4" w:color="auto"/>
        </w:pBdr>
        <w:rPr>
          <w:rFonts w:ascii="Times New Roman" w:hAnsi="Times New Roman"/>
          <w:sz w:val="24"/>
        </w:rPr>
      </w:pPr>
      <w:r w:rsidRPr="00CD4FA5">
        <w:rPr>
          <w:rFonts w:ascii="Times New Roman" w:hAnsi="Times New Roman"/>
          <w:sz w:val="24"/>
        </w:rPr>
        <w:t>Chief Executive Officer</w:t>
      </w:r>
    </w:p>
    <w:p w14:paraId="40ABD20A" w14:textId="7B3B7D8E" w:rsidR="00CD4FA5" w:rsidRDefault="00CD4FA5" w:rsidP="00CD4FA5">
      <w:pPr>
        <w:pBdr>
          <w:top w:val="single" w:sz="4" w:space="1" w:color="auto"/>
          <w:left w:val="single" w:sz="4" w:space="4" w:color="auto"/>
          <w:bottom w:val="single" w:sz="4" w:space="1" w:color="auto"/>
          <w:right w:val="single" w:sz="4" w:space="4" w:color="auto"/>
        </w:pBdr>
        <w:rPr>
          <w:rFonts w:ascii="Times New Roman" w:hAnsi="Times New Roman"/>
          <w:sz w:val="24"/>
        </w:rPr>
      </w:pPr>
      <w:r w:rsidRPr="00CD4FA5">
        <w:rPr>
          <w:rFonts w:ascii="Times New Roman" w:hAnsi="Times New Roman"/>
          <w:sz w:val="24"/>
        </w:rPr>
        <w:t>Australian Transaction Reports and Analysis Centre</w:t>
      </w:r>
    </w:p>
    <w:p w14:paraId="344CBBA7" w14:textId="77777777" w:rsidR="003E3E53" w:rsidRPr="00CD4FA5" w:rsidRDefault="003E3E53" w:rsidP="00CD4FA5">
      <w:pPr>
        <w:pBdr>
          <w:top w:val="single" w:sz="4" w:space="1" w:color="auto"/>
          <w:left w:val="single" w:sz="4" w:space="4" w:color="auto"/>
          <w:bottom w:val="single" w:sz="4" w:space="1" w:color="auto"/>
          <w:right w:val="single" w:sz="4" w:space="4" w:color="auto"/>
        </w:pBdr>
        <w:rPr>
          <w:rFonts w:ascii="Times New Roman" w:hAnsi="Times New Roman"/>
          <w:sz w:val="24"/>
        </w:rPr>
      </w:pPr>
    </w:p>
    <w:sectPr w:rsidR="003E3E53" w:rsidRPr="00CD4FA5" w:rsidSect="007A53C1">
      <w:footerReference w:type="even" r:id="rId9"/>
      <w:footerReference w:type="default" r:id="rId10"/>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2029E" w14:textId="77777777" w:rsidR="0030729D" w:rsidRDefault="0030729D">
      <w:r>
        <w:separator/>
      </w:r>
    </w:p>
  </w:endnote>
  <w:endnote w:type="continuationSeparator" w:id="0">
    <w:p w14:paraId="1CED8562" w14:textId="77777777" w:rsidR="0030729D" w:rsidRDefault="0030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BEE1" w14:textId="77777777" w:rsidR="0030729D" w:rsidRDefault="0030729D"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4EB9ADF" w14:textId="77777777" w:rsidR="0030729D" w:rsidRDefault="00307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999801"/>
      <w:docPartObj>
        <w:docPartGallery w:val="Page Numbers (Bottom of Page)"/>
        <w:docPartUnique/>
      </w:docPartObj>
    </w:sdtPr>
    <w:sdtEndPr>
      <w:rPr>
        <w:noProof/>
      </w:rPr>
    </w:sdtEndPr>
    <w:sdtContent>
      <w:p w14:paraId="19311753" w14:textId="0DD87010" w:rsidR="00560C12" w:rsidRDefault="00560C12">
        <w:pPr>
          <w:pStyle w:val="Footer"/>
          <w:jc w:val="center"/>
        </w:pPr>
        <w:r>
          <w:fldChar w:fldCharType="begin"/>
        </w:r>
        <w:r>
          <w:instrText xml:space="preserve"> PAGE   \* MERGEFORMAT </w:instrText>
        </w:r>
        <w:r>
          <w:fldChar w:fldCharType="separate"/>
        </w:r>
        <w:r w:rsidR="004C422E">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02A4F" w14:textId="77777777" w:rsidR="0030729D" w:rsidRDefault="0030729D">
      <w:r>
        <w:separator/>
      </w:r>
    </w:p>
  </w:footnote>
  <w:footnote w:type="continuationSeparator" w:id="0">
    <w:p w14:paraId="385BED6D" w14:textId="77777777" w:rsidR="0030729D" w:rsidRDefault="00307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849"/>
    <w:multiLevelType w:val="hybridMultilevel"/>
    <w:tmpl w:val="D3645A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AE7338"/>
    <w:multiLevelType w:val="hybridMultilevel"/>
    <w:tmpl w:val="DD2200D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 w15:restartNumberingAfterBreak="0">
    <w:nsid w:val="121D0828"/>
    <w:multiLevelType w:val="hybridMultilevel"/>
    <w:tmpl w:val="247E7E48"/>
    <w:lvl w:ilvl="0" w:tplc="FC107410">
      <w:start w:val="1"/>
      <w:numFmt w:val="lowerLetter"/>
      <w:lvlText w:val="(%1)"/>
      <w:lvlJc w:val="left"/>
      <w:pPr>
        <w:ind w:left="1422" w:hanging="85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2E733149"/>
    <w:multiLevelType w:val="hybridMultilevel"/>
    <w:tmpl w:val="DE04EE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3C67DF5"/>
    <w:multiLevelType w:val="hybridMultilevel"/>
    <w:tmpl w:val="C784C24C"/>
    <w:lvl w:ilvl="0" w:tplc="7CBCA090">
      <w:start w:val="1"/>
      <w:numFmt w:val="lowerRoman"/>
      <w:lvlText w:val="(%1)"/>
      <w:lvlJc w:val="left"/>
      <w:pPr>
        <w:ind w:left="1854" w:hanging="360"/>
      </w:pPr>
      <w:rPr>
        <w:rFonts w:ascii="Times New Roman" w:eastAsia="Times New Roman" w:hAnsi="Times New Roman" w:cs="Times New Roman"/>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15:restartNumberingAfterBreak="0">
    <w:nsid w:val="3CB64881"/>
    <w:multiLevelType w:val="hybridMultilevel"/>
    <w:tmpl w:val="890288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48455396"/>
    <w:multiLevelType w:val="hybridMultilevel"/>
    <w:tmpl w:val="FA2E6DC8"/>
    <w:lvl w:ilvl="0" w:tplc="FC107410">
      <w:start w:val="1"/>
      <w:numFmt w:val="lowerLetter"/>
      <w:lvlText w:val="(%1)"/>
      <w:lvlJc w:val="left"/>
      <w:pPr>
        <w:ind w:left="1422" w:hanging="855"/>
      </w:pPr>
      <w:rPr>
        <w:rFonts w:hint="default"/>
      </w:rPr>
    </w:lvl>
    <w:lvl w:ilvl="1" w:tplc="CECE39DC">
      <w:start w:val="1"/>
      <w:numFmt w:val="lowerRoman"/>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4FD15A5A"/>
    <w:multiLevelType w:val="hybridMultilevel"/>
    <w:tmpl w:val="DB42FD6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8" w15:restartNumberingAfterBreak="0">
    <w:nsid w:val="57A409F4"/>
    <w:multiLevelType w:val="hybridMultilevel"/>
    <w:tmpl w:val="247E7E48"/>
    <w:lvl w:ilvl="0" w:tplc="FC107410">
      <w:start w:val="1"/>
      <w:numFmt w:val="lowerLetter"/>
      <w:lvlText w:val="(%1)"/>
      <w:lvlJc w:val="left"/>
      <w:pPr>
        <w:ind w:left="1422" w:hanging="85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5D61165B"/>
    <w:multiLevelType w:val="hybridMultilevel"/>
    <w:tmpl w:val="BF221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FE80D0D"/>
    <w:multiLevelType w:val="hybridMultilevel"/>
    <w:tmpl w:val="5D42459A"/>
    <w:lvl w:ilvl="0" w:tplc="78ACFE64">
      <w:start w:val="1"/>
      <w:numFmt w:val="decimal"/>
      <w:lvlText w:val="%1."/>
      <w:lvlJc w:val="left"/>
      <w:pPr>
        <w:tabs>
          <w:tab w:val="num" w:pos="720"/>
        </w:tabs>
        <w:ind w:left="720" w:hanging="360"/>
      </w:pPr>
      <w:rPr>
        <w:rFonts w:hint="default"/>
        <w:b w:val="0"/>
        <w:i w:val="0"/>
        <w:sz w:val="24"/>
        <w:szCs w:val="24"/>
      </w:rPr>
    </w:lvl>
    <w:lvl w:ilvl="1" w:tplc="FC107410">
      <w:start w:val="1"/>
      <w:numFmt w:val="lowerLetter"/>
      <w:lvlText w:val="(%2)"/>
      <w:lvlJc w:val="left"/>
      <w:pPr>
        <w:tabs>
          <w:tab w:val="num" w:pos="1080"/>
        </w:tabs>
        <w:ind w:left="1250" w:hanging="170"/>
      </w:pPr>
      <w:rPr>
        <w:rFonts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0997A60"/>
    <w:multiLevelType w:val="multilevel"/>
    <w:tmpl w:val="F5322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512918"/>
    <w:multiLevelType w:val="hybridMultilevel"/>
    <w:tmpl w:val="65CCD3BA"/>
    <w:lvl w:ilvl="0" w:tplc="FC1074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9E22B54"/>
    <w:multiLevelType w:val="hybridMultilevel"/>
    <w:tmpl w:val="E9005244"/>
    <w:lvl w:ilvl="0" w:tplc="32E87B98">
      <w:start w:val="1"/>
      <w:numFmt w:val="decimal"/>
      <w:pStyle w:val="Numberedparagraphs"/>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A9C00E9"/>
    <w:multiLevelType w:val="hybridMultilevel"/>
    <w:tmpl w:val="0DD06B38"/>
    <w:lvl w:ilvl="0" w:tplc="CECE39DC">
      <w:start w:val="1"/>
      <w:numFmt w:val="lowerRoman"/>
      <w:lvlText w:val="(%1)"/>
      <w:lvlJc w:val="left"/>
      <w:pPr>
        <w:ind w:left="2277" w:hanging="855"/>
      </w:pPr>
      <w:rPr>
        <w:rFonts w:hint="default"/>
      </w:rPr>
    </w:lvl>
    <w:lvl w:ilvl="1" w:tplc="0C090019" w:tentative="1">
      <w:start w:val="1"/>
      <w:numFmt w:val="lowerLetter"/>
      <w:lvlText w:val="%2."/>
      <w:lvlJc w:val="left"/>
      <w:pPr>
        <w:ind w:left="2502" w:hanging="360"/>
      </w:pPr>
    </w:lvl>
    <w:lvl w:ilvl="2" w:tplc="0C09001B" w:tentative="1">
      <w:start w:val="1"/>
      <w:numFmt w:val="lowerRoman"/>
      <w:lvlText w:val="%3."/>
      <w:lvlJc w:val="right"/>
      <w:pPr>
        <w:ind w:left="3222" w:hanging="180"/>
      </w:pPr>
    </w:lvl>
    <w:lvl w:ilvl="3" w:tplc="0C09000F" w:tentative="1">
      <w:start w:val="1"/>
      <w:numFmt w:val="decimal"/>
      <w:lvlText w:val="%4."/>
      <w:lvlJc w:val="left"/>
      <w:pPr>
        <w:ind w:left="3942" w:hanging="360"/>
      </w:pPr>
    </w:lvl>
    <w:lvl w:ilvl="4" w:tplc="0C090019" w:tentative="1">
      <w:start w:val="1"/>
      <w:numFmt w:val="lowerLetter"/>
      <w:lvlText w:val="%5."/>
      <w:lvlJc w:val="left"/>
      <w:pPr>
        <w:ind w:left="4662" w:hanging="360"/>
      </w:pPr>
    </w:lvl>
    <w:lvl w:ilvl="5" w:tplc="0C09001B" w:tentative="1">
      <w:start w:val="1"/>
      <w:numFmt w:val="lowerRoman"/>
      <w:lvlText w:val="%6."/>
      <w:lvlJc w:val="right"/>
      <w:pPr>
        <w:ind w:left="5382" w:hanging="180"/>
      </w:pPr>
    </w:lvl>
    <w:lvl w:ilvl="6" w:tplc="0C09000F" w:tentative="1">
      <w:start w:val="1"/>
      <w:numFmt w:val="decimal"/>
      <w:lvlText w:val="%7."/>
      <w:lvlJc w:val="left"/>
      <w:pPr>
        <w:ind w:left="6102" w:hanging="360"/>
      </w:pPr>
    </w:lvl>
    <w:lvl w:ilvl="7" w:tplc="0C090019" w:tentative="1">
      <w:start w:val="1"/>
      <w:numFmt w:val="lowerLetter"/>
      <w:lvlText w:val="%8."/>
      <w:lvlJc w:val="left"/>
      <w:pPr>
        <w:ind w:left="6822" w:hanging="360"/>
      </w:pPr>
    </w:lvl>
    <w:lvl w:ilvl="8" w:tplc="0C09001B" w:tentative="1">
      <w:start w:val="1"/>
      <w:numFmt w:val="lowerRoman"/>
      <w:lvlText w:val="%9."/>
      <w:lvlJc w:val="right"/>
      <w:pPr>
        <w:ind w:left="7542" w:hanging="180"/>
      </w:pPr>
    </w:lvl>
  </w:abstractNum>
  <w:num w:numId="1">
    <w:abstractNumId w:val="10"/>
  </w:num>
  <w:num w:numId="2">
    <w:abstractNumId w:val="3"/>
  </w:num>
  <w:num w:numId="3">
    <w:abstractNumId w:val="5"/>
  </w:num>
  <w:num w:numId="4">
    <w:abstractNumId w:val="0"/>
  </w:num>
  <w:num w:numId="5">
    <w:abstractNumId w:val="1"/>
  </w:num>
  <w:num w:numId="6">
    <w:abstractNumId w:val="7"/>
  </w:num>
  <w:num w:numId="7">
    <w:abstractNumId w:val="11"/>
  </w:num>
  <w:num w:numId="8">
    <w:abstractNumId w:val="13"/>
  </w:num>
  <w:num w:numId="9">
    <w:abstractNumId w:val="6"/>
  </w:num>
  <w:num w:numId="10">
    <w:abstractNumId w:val="14"/>
  </w:num>
  <w:num w:numId="11">
    <w:abstractNumId w:val="2"/>
  </w:num>
  <w:num w:numId="12">
    <w:abstractNumId w:val="4"/>
  </w:num>
  <w:num w:numId="13">
    <w:abstractNumId w:val="0"/>
  </w:num>
  <w:num w:numId="14">
    <w:abstractNumId w:val="9"/>
  </w:num>
  <w:num w:numId="15">
    <w:abstractNumId w:val="13"/>
  </w:num>
  <w:num w:numId="16">
    <w:abstractNumId w:val="12"/>
  </w:num>
  <w:num w:numId="17">
    <w:abstractNumId w:val="13"/>
  </w:num>
  <w:num w:numId="1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24"/>
    <w:rsid w:val="0000129C"/>
    <w:rsid w:val="00002D59"/>
    <w:rsid w:val="00004237"/>
    <w:rsid w:val="00005185"/>
    <w:rsid w:val="0001158F"/>
    <w:rsid w:val="00011BFD"/>
    <w:rsid w:val="00013686"/>
    <w:rsid w:val="000208C4"/>
    <w:rsid w:val="00021CB1"/>
    <w:rsid w:val="000222A4"/>
    <w:rsid w:val="00024980"/>
    <w:rsid w:val="00024C66"/>
    <w:rsid w:val="00027747"/>
    <w:rsid w:val="0003033B"/>
    <w:rsid w:val="00030EA7"/>
    <w:rsid w:val="00031690"/>
    <w:rsid w:val="00033B8D"/>
    <w:rsid w:val="00035795"/>
    <w:rsid w:val="000358DA"/>
    <w:rsid w:val="00035AF4"/>
    <w:rsid w:val="00037327"/>
    <w:rsid w:val="00042863"/>
    <w:rsid w:val="000430D4"/>
    <w:rsid w:val="0004615D"/>
    <w:rsid w:val="00050B40"/>
    <w:rsid w:val="00050CE5"/>
    <w:rsid w:val="00051713"/>
    <w:rsid w:val="00053A7A"/>
    <w:rsid w:val="000560A7"/>
    <w:rsid w:val="000572EA"/>
    <w:rsid w:val="00057C98"/>
    <w:rsid w:val="0006328D"/>
    <w:rsid w:val="00064B1E"/>
    <w:rsid w:val="00065D10"/>
    <w:rsid w:val="000673A4"/>
    <w:rsid w:val="00072759"/>
    <w:rsid w:val="00075472"/>
    <w:rsid w:val="00076F36"/>
    <w:rsid w:val="0008191B"/>
    <w:rsid w:val="00083A52"/>
    <w:rsid w:val="000869B9"/>
    <w:rsid w:val="000926BD"/>
    <w:rsid w:val="00092891"/>
    <w:rsid w:val="0009363E"/>
    <w:rsid w:val="000942AF"/>
    <w:rsid w:val="00094C6C"/>
    <w:rsid w:val="000961DD"/>
    <w:rsid w:val="00097839"/>
    <w:rsid w:val="000A0109"/>
    <w:rsid w:val="000A1B36"/>
    <w:rsid w:val="000A25BE"/>
    <w:rsid w:val="000A448C"/>
    <w:rsid w:val="000A4625"/>
    <w:rsid w:val="000A55D5"/>
    <w:rsid w:val="000A71FF"/>
    <w:rsid w:val="000B07C2"/>
    <w:rsid w:val="000B3A73"/>
    <w:rsid w:val="000B3D22"/>
    <w:rsid w:val="000B4EE1"/>
    <w:rsid w:val="000B7D16"/>
    <w:rsid w:val="000C26E9"/>
    <w:rsid w:val="000C4CBB"/>
    <w:rsid w:val="000C4DEC"/>
    <w:rsid w:val="000C599F"/>
    <w:rsid w:val="000C5E2A"/>
    <w:rsid w:val="000D0E25"/>
    <w:rsid w:val="000D13F2"/>
    <w:rsid w:val="000D143A"/>
    <w:rsid w:val="000D157E"/>
    <w:rsid w:val="000D180A"/>
    <w:rsid w:val="000D1DA2"/>
    <w:rsid w:val="000D1DC6"/>
    <w:rsid w:val="000D261E"/>
    <w:rsid w:val="000D4F84"/>
    <w:rsid w:val="000D6508"/>
    <w:rsid w:val="000D658D"/>
    <w:rsid w:val="000E63EE"/>
    <w:rsid w:val="000E6C6B"/>
    <w:rsid w:val="000F0AA0"/>
    <w:rsid w:val="000F5AD8"/>
    <w:rsid w:val="00100A29"/>
    <w:rsid w:val="00100B3F"/>
    <w:rsid w:val="00100E9D"/>
    <w:rsid w:val="00101CDF"/>
    <w:rsid w:val="0010234E"/>
    <w:rsid w:val="0010649D"/>
    <w:rsid w:val="00107550"/>
    <w:rsid w:val="00112B9E"/>
    <w:rsid w:val="001138C2"/>
    <w:rsid w:val="00114B13"/>
    <w:rsid w:val="00115CA1"/>
    <w:rsid w:val="001161BA"/>
    <w:rsid w:val="001212F7"/>
    <w:rsid w:val="00121FC3"/>
    <w:rsid w:val="00122D9B"/>
    <w:rsid w:val="0012383B"/>
    <w:rsid w:val="0012514E"/>
    <w:rsid w:val="00133529"/>
    <w:rsid w:val="0013429C"/>
    <w:rsid w:val="00134CA6"/>
    <w:rsid w:val="00135E20"/>
    <w:rsid w:val="001369B9"/>
    <w:rsid w:val="00136E76"/>
    <w:rsid w:val="00142343"/>
    <w:rsid w:val="00142983"/>
    <w:rsid w:val="00143BAA"/>
    <w:rsid w:val="00146670"/>
    <w:rsid w:val="00146C29"/>
    <w:rsid w:val="001475BE"/>
    <w:rsid w:val="00151851"/>
    <w:rsid w:val="00151CE0"/>
    <w:rsid w:val="0015491C"/>
    <w:rsid w:val="00156041"/>
    <w:rsid w:val="0015621A"/>
    <w:rsid w:val="00156C39"/>
    <w:rsid w:val="00157B80"/>
    <w:rsid w:val="00160041"/>
    <w:rsid w:val="001602B8"/>
    <w:rsid w:val="00162CC7"/>
    <w:rsid w:val="001663D5"/>
    <w:rsid w:val="0017034F"/>
    <w:rsid w:val="00184560"/>
    <w:rsid w:val="00190C40"/>
    <w:rsid w:val="00192A77"/>
    <w:rsid w:val="00193377"/>
    <w:rsid w:val="001941DA"/>
    <w:rsid w:val="00194C14"/>
    <w:rsid w:val="0019595E"/>
    <w:rsid w:val="001970B1"/>
    <w:rsid w:val="00197E8A"/>
    <w:rsid w:val="001A11DA"/>
    <w:rsid w:val="001A25CB"/>
    <w:rsid w:val="001A58BA"/>
    <w:rsid w:val="001A63E8"/>
    <w:rsid w:val="001B005E"/>
    <w:rsid w:val="001B3A61"/>
    <w:rsid w:val="001B6415"/>
    <w:rsid w:val="001B679A"/>
    <w:rsid w:val="001B6FCC"/>
    <w:rsid w:val="001B7562"/>
    <w:rsid w:val="001B7DCC"/>
    <w:rsid w:val="001C001A"/>
    <w:rsid w:val="001C2371"/>
    <w:rsid w:val="001C37C9"/>
    <w:rsid w:val="001C57DA"/>
    <w:rsid w:val="001C5B36"/>
    <w:rsid w:val="001C5B6B"/>
    <w:rsid w:val="001C60F1"/>
    <w:rsid w:val="001C6C6F"/>
    <w:rsid w:val="001D022F"/>
    <w:rsid w:val="001D3034"/>
    <w:rsid w:val="001D3559"/>
    <w:rsid w:val="001D3968"/>
    <w:rsid w:val="001D3C6E"/>
    <w:rsid w:val="001D5E25"/>
    <w:rsid w:val="001D6003"/>
    <w:rsid w:val="001D63FB"/>
    <w:rsid w:val="001E005B"/>
    <w:rsid w:val="001E23BF"/>
    <w:rsid w:val="001E2728"/>
    <w:rsid w:val="001E4D8A"/>
    <w:rsid w:val="001E52A5"/>
    <w:rsid w:val="001F108A"/>
    <w:rsid w:val="001F396D"/>
    <w:rsid w:val="001F4CE5"/>
    <w:rsid w:val="001F6A9B"/>
    <w:rsid w:val="001F78CC"/>
    <w:rsid w:val="00201B41"/>
    <w:rsid w:val="0020292C"/>
    <w:rsid w:val="00205D35"/>
    <w:rsid w:val="00205D9F"/>
    <w:rsid w:val="0020702F"/>
    <w:rsid w:val="00207461"/>
    <w:rsid w:val="00207A4E"/>
    <w:rsid w:val="00207D34"/>
    <w:rsid w:val="0021008E"/>
    <w:rsid w:val="00210C12"/>
    <w:rsid w:val="00214921"/>
    <w:rsid w:val="002222BA"/>
    <w:rsid w:val="002227A8"/>
    <w:rsid w:val="00231302"/>
    <w:rsid w:val="00231C25"/>
    <w:rsid w:val="00232C59"/>
    <w:rsid w:val="00234EE9"/>
    <w:rsid w:val="002358FE"/>
    <w:rsid w:val="00236988"/>
    <w:rsid w:val="00237735"/>
    <w:rsid w:val="002403F3"/>
    <w:rsid w:val="00241598"/>
    <w:rsid w:val="00241858"/>
    <w:rsid w:val="00243298"/>
    <w:rsid w:val="00243B31"/>
    <w:rsid w:val="00243C97"/>
    <w:rsid w:val="00244D95"/>
    <w:rsid w:val="00246666"/>
    <w:rsid w:val="00247043"/>
    <w:rsid w:val="002475AC"/>
    <w:rsid w:val="002526C4"/>
    <w:rsid w:val="00252A86"/>
    <w:rsid w:val="00252D90"/>
    <w:rsid w:val="0025603C"/>
    <w:rsid w:val="002570AB"/>
    <w:rsid w:val="00261776"/>
    <w:rsid w:val="002632D9"/>
    <w:rsid w:val="00263EDA"/>
    <w:rsid w:val="002700FC"/>
    <w:rsid w:val="00270F89"/>
    <w:rsid w:val="00272368"/>
    <w:rsid w:val="0027417D"/>
    <w:rsid w:val="002748A5"/>
    <w:rsid w:val="00276CC0"/>
    <w:rsid w:val="00285066"/>
    <w:rsid w:val="00285882"/>
    <w:rsid w:val="00291994"/>
    <w:rsid w:val="00292115"/>
    <w:rsid w:val="002948D1"/>
    <w:rsid w:val="0029686B"/>
    <w:rsid w:val="002A02FC"/>
    <w:rsid w:val="002A0A5F"/>
    <w:rsid w:val="002A2BE8"/>
    <w:rsid w:val="002A5004"/>
    <w:rsid w:val="002A6852"/>
    <w:rsid w:val="002A6B5F"/>
    <w:rsid w:val="002B0655"/>
    <w:rsid w:val="002B0D2D"/>
    <w:rsid w:val="002B4D5C"/>
    <w:rsid w:val="002C10AE"/>
    <w:rsid w:val="002C22B3"/>
    <w:rsid w:val="002C2936"/>
    <w:rsid w:val="002C3BD6"/>
    <w:rsid w:val="002C7537"/>
    <w:rsid w:val="002C75DD"/>
    <w:rsid w:val="002C76AE"/>
    <w:rsid w:val="002D0C86"/>
    <w:rsid w:val="002D123A"/>
    <w:rsid w:val="002D18EA"/>
    <w:rsid w:val="002D3FFA"/>
    <w:rsid w:val="002D6506"/>
    <w:rsid w:val="002D6746"/>
    <w:rsid w:val="002D67A4"/>
    <w:rsid w:val="002D7A9B"/>
    <w:rsid w:val="002E74AC"/>
    <w:rsid w:val="002F38AD"/>
    <w:rsid w:val="002F4E2A"/>
    <w:rsid w:val="003017CC"/>
    <w:rsid w:val="00301D3F"/>
    <w:rsid w:val="00303AFD"/>
    <w:rsid w:val="00304398"/>
    <w:rsid w:val="0030476E"/>
    <w:rsid w:val="00304ACF"/>
    <w:rsid w:val="00304F91"/>
    <w:rsid w:val="0030571B"/>
    <w:rsid w:val="00305835"/>
    <w:rsid w:val="00306189"/>
    <w:rsid w:val="00306D9E"/>
    <w:rsid w:val="0030729D"/>
    <w:rsid w:val="003112C7"/>
    <w:rsid w:val="00313FAF"/>
    <w:rsid w:val="00316294"/>
    <w:rsid w:val="00317CA3"/>
    <w:rsid w:val="003206F6"/>
    <w:rsid w:val="00322DBF"/>
    <w:rsid w:val="00324521"/>
    <w:rsid w:val="00325102"/>
    <w:rsid w:val="00325E42"/>
    <w:rsid w:val="00326047"/>
    <w:rsid w:val="00326E01"/>
    <w:rsid w:val="0032744C"/>
    <w:rsid w:val="003275CE"/>
    <w:rsid w:val="00327A8D"/>
    <w:rsid w:val="00330393"/>
    <w:rsid w:val="003340DB"/>
    <w:rsid w:val="00341E53"/>
    <w:rsid w:val="00344E15"/>
    <w:rsid w:val="00345CA1"/>
    <w:rsid w:val="0034729E"/>
    <w:rsid w:val="003559A1"/>
    <w:rsid w:val="00356306"/>
    <w:rsid w:val="003568F8"/>
    <w:rsid w:val="00360349"/>
    <w:rsid w:val="003613A4"/>
    <w:rsid w:val="00363F21"/>
    <w:rsid w:val="00365FD7"/>
    <w:rsid w:val="003676D9"/>
    <w:rsid w:val="003747EE"/>
    <w:rsid w:val="003911F4"/>
    <w:rsid w:val="003912AD"/>
    <w:rsid w:val="003932F4"/>
    <w:rsid w:val="00393952"/>
    <w:rsid w:val="00393D2A"/>
    <w:rsid w:val="003977E3"/>
    <w:rsid w:val="003A0C67"/>
    <w:rsid w:val="003A1795"/>
    <w:rsid w:val="003A33AD"/>
    <w:rsid w:val="003A3B0B"/>
    <w:rsid w:val="003A49E8"/>
    <w:rsid w:val="003A73B8"/>
    <w:rsid w:val="003B2DDD"/>
    <w:rsid w:val="003B4F88"/>
    <w:rsid w:val="003B7524"/>
    <w:rsid w:val="003C0500"/>
    <w:rsid w:val="003C1A25"/>
    <w:rsid w:val="003C1ACC"/>
    <w:rsid w:val="003C20D9"/>
    <w:rsid w:val="003C20DD"/>
    <w:rsid w:val="003C43B6"/>
    <w:rsid w:val="003C55E3"/>
    <w:rsid w:val="003C57E7"/>
    <w:rsid w:val="003D1772"/>
    <w:rsid w:val="003D322B"/>
    <w:rsid w:val="003D672A"/>
    <w:rsid w:val="003D7390"/>
    <w:rsid w:val="003D7A85"/>
    <w:rsid w:val="003D7BC9"/>
    <w:rsid w:val="003E07F4"/>
    <w:rsid w:val="003E13D0"/>
    <w:rsid w:val="003E22BE"/>
    <w:rsid w:val="003E2DC9"/>
    <w:rsid w:val="003E3E53"/>
    <w:rsid w:val="003E6AA6"/>
    <w:rsid w:val="003F12F1"/>
    <w:rsid w:val="003F166D"/>
    <w:rsid w:val="003F16C9"/>
    <w:rsid w:val="003F250A"/>
    <w:rsid w:val="003F2F59"/>
    <w:rsid w:val="003F55FC"/>
    <w:rsid w:val="003F5ADD"/>
    <w:rsid w:val="003F623E"/>
    <w:rsid w:val="004022D0"/>
    <w:rsid w:val="00402D9E"/>
    <w:rsid w:val="0040415D"/>
    <w:rsid w:val="00404190"/>
    <w:rsid w:val="0040525D"/>
    <w:rsid w:val="00405995"/>
    <w:rsid w:val="004062DD"/>
    <w:rsid w:val="004065F6"/>
    <w:rsid w:val="00410F5B"/>
    <w:rsid w:val="00412303"/>
    <w:rsid w:val="004132BB"/>
    <w:rsid w:val="00413391"/>
    <w:rsid w:val="00413620"/>
    <w:rsid w:val="0041386C"/>
    <w:rsid w:val="0041387C"/>
    <w:rsid w:val="00414461"/>
    <w:rsid w:val="0041480B"/>
    <w:rsid w:val="004171CA"/>
    <w:rsid w:val="00420679"/>
    <w:rsid w:val="00420F02"/>
    <w:rsid w:val="0042132D"/>
    <w:rsid w:val="004253AB"/>
    <w:rsid w:val="004255A4"/>
    <w:rsid w:val="00426515"/>
    <w:rsid w:val="00426C16"/>
    <w:rsid w:val="00430096"/>
    <w:rsid w:val="00430DA3"/>
    <w:rsid w:val="00430E99"/>
    <w:rsid w:val="00431575"/>
    <w:rsid w:val="004321FD"/>
    <w:rsid w:val="00433B24"/>
    <w:rsid w:val="00433C9D"/>
    <w:rsid w:val="00434500"/>
    <w:rsid w:val="0043626D"/>
    <w:rsid w:val="004379C6"/>
    <w:rsid w:val="00441598"/>
    <w:rsid w:val="004444B7"/>
    <w:rsid w:val="00445B35"/>
    <w:rsid w:val="004479B7"/>
    <w:rsid w:val="004506FF"/>
    <w:rsid w:val="00451459"/>
    <w:rsid w:val="004516ED"/>
    <w:rsid w:val="004521B8"/>
    <w:rsid w:val="004571E2"/>
    <w:rsid w:val="00460652"/>
    <w:rsid w:val="00460BA8"/>
    <w:rsid w:val="00460E86"/>
    <w:rsid w:val="004619BB"/>
    <w:rsid w:val="00463E42"/>
    <w:rsid w:val="00464460"/>
    <w:rsid w:val="004661D5"/>
    <w:rsid w:val="00474718"/>
    <w:rsid w:val="00474DE4"/>
    <w:rsid w:val="00475F7C"/>
    <w:rsid w:val="004760F8"/>
    <w:rsid w:val="0048013E"/>
    <w:rsid w:val="004811E8"/>
    <w:rsid w:val="00482B80"/>
    <w:rsid w:val="004849C5"/>
    <w:rsid w:val="00484BF4"/>
    <w:rsid w:val="00485C7E"/>
    <w:rsid w:val="00486E49"/>
    <w:rsid w:val="0048754E"/>
    <w:rsid w:val="004878CA"/>
    <w:rsid w:val="0049116B"/>
    <w:rsid w:val="004939F0"/>
    <w:rsid w:val="0049443F"/>
    <w:rsid w:val="00494F54"/>
    <w:rsid w:val="004A2AEF"/>
    <w:rsid w:val="004A33AE"/>
    <w:rsid w:val="004A3E59"/>
    <w:rsid w:val="004A47D4"/>
    <w:rsid w:val="004A49A4"/>
    <w:rsid w:val="004A4CD9"/>
    <w:rsid w:val="004B06CC"/>
    <w:rsid w:val="004B06F0"/>
    <w:rsid w:val="004B17CA"/>
    <w:rsid w:val="004B231F"/>
    <w:rsid w:val="004B264D"/>
    <w:rsid w:val="004B3BB2"/>
    <w:rsid w:val="004B3D32"/>
    <w:rsid w:val="004C0270"/>
    <w:rsid w:val="004C1454"/>
    <w:rsid w:val="004C2F2D"/>
    <w:rsid w:val="004C422E"/>
    <w:rsid w:val="004C42D1"/>
    <w:rsid w:val="004D1BEF"/>
    <w:rsid w:val="004D29B8"/>
    <w:rsid w:val="004D3937"/>
    <w:rsid w:val="004D4B9B"/>
    <w:rsid w:val="004D6131"/>
    <w:rsid w:val="004E3315"/>
    <w:rsid w:val="004F566E"/>
    <w:rsid w:val="004F6865"/>
    <w:rsid w:val="00504315"/>
    <w:rsid w:val="00504EFC"/>
    <w:rsid w:val="005063DE"/>
    <w:rsid w:val="00506FF0"/>
    <w:rsid w:val="005073C6"/>
    <w:rsid w:val="00507EC4"/>
    <w:rsid w:val="005107A4"/>
    <w:rsid w:val="00510BA8"/>
    <w:rsid w:val="005114F2"/>
    <w:rsid w:val="005117CC"/>
    <w:rsid w:val="00511D01"/>
    <w:rsid w:val="00511FB4"/>
    <w:rsid w:val="0051246A"/>
    <w:rsid w:val="00512DE8"/>
    <w:rsid w:val="005132E2"/>
    <w:rsid w:val="00514F91"/>
    <w:rsid w:val="00515AE5"/>
    <w:rsid w:val="00515F66"/>
    <w:rsid w:val="005166DC"/>
    <w:rsid w:val="00517752"/>
    <w:rsid w:val="005219C0"/>
    <w:rsid w:val="00521F8E"/>
    <w:rsid w:val="0052299B"/>
    <w:rsid w:val="00524990"/>
    <w:rsid w:val="00525E3E"/>
    <w:rsid w:val="00527C66"/>
    <w:rsid w:val="005300D6"/>
    <w:rsid w:val="005313CB"/>
    <w:rsid w:val="00531FCB"/>
    <w:rsid w:val="005352F5"/>
    <w:rsid w:val="00535FD4"/>
    <w:rsid w:val="0054012A"/>
    <w:rsid w:val="00540572"/>
    <w:rsid w:val="00542129"/>
    <w:rsid w:val="0054234A"/>
    <w:rsid w:val="00543C45"/>
    <w:rsid w:val="00543FD3"/>
    <w:rsid w:val="0054647D"/>
    <w:rsid w:val="005467A0"/>
    <w:rsid w:val="005472C1"/>
    <w:rsid w:val="005474A0"/>
    <w:rsid w:val="005516F3"/>
    <w:rsid w:val="005522D5"/>
    <w:rsid w:val="00555A1B"/>
    <w:rsid w:val="0055701C"/>
    <w:rsid w:val="00560220"/>
    <w:rsid w:val="00560B6E"/>
    <w:rsid w:val="00560C12"/>
    <w:rsid w:val="0056172E"/>
    <w:rsid w:val="00565748"/>
    <w:rsid w:val="00565D7A"/>
    <w:rsid w:val="00570274"/>
    <w:rsid w:val="00570F9B"/>
    <w:rsid w:val="005723CF"/>
    <w:rsid w:val="00573FB1"/>
    <w:rsid w:val="00575F3B"/>
    <w:rsid w:val="0058089B"/>
    <w:rsid w:val="00580BF2"/>
    <w:rsid w:val="00582944"/>
    <w:rsid w:val="005832F1"/>
    <w:rsid w:val="00583869"/>
    <w:rsid w:val="0058606F"/>
    <w:rsid w:val="0058695A"/>
    <w:rsid w:val="00592027"/>
    <w:rsid w:val="0059487B"/>
    <w:rsid w:val="00596868"/>
    <w:rsid w:val="005A0751"/>
    <w:rsid w:val="005A11B2"/>
    <w:rsid w:val="005A36E3"/>
    <w:rsid w:val="005A3C8A"/>
    <w:rsid w:val="005A3F83"/>
    <w:rsid w:val="005B0292"/>
    <w:rsid w:val="005B0550"/>
    <w:rsid w:val="005B0ACD"/>
    <w:rsid w:val="005B43BF"/>
    <w:rsid w:val="005B548D"/>
    <w:rsid w:val="005B5AD3"/>
    <w:rsid w:val="005B5D9A"/>
    <w:rsid w:val="005B6807"/>
    <w:rsid w:val="005B69DB"/>
    <w:rsid w:val="005B7452"/>
    <w:rsid w:val="005C0442"/>
    <w:rsid w:val="005C0E87"/>
    <w:rsid w:val="005C51C8"/>
    <w:rsid w:val="005C60A5"/>
    <w:rsid w:val="005C77BF"/>
    <w:rsid w:val="005D07B2"/>
    <w:rsid w:val="005D1AAB"/>
    <w:rsid w:val="005D4A0E"/>
    <w:rsid w:val="005D51C8"/>
    <w:rsid w:val="005D58B2"/>
    <w:rsid w:val="005D59E2"/>
    <w:rsid w:val="005D650F"/>
    <w:rsid w:val="005D67E7"/>
    <w:rsid w:val="005E5849"/>
    <w:rsid w:val="005E5E7F"/>
    <w:rsid w:val="005E600A"/>
    <w:rsid w:val="005E7F24"/>
    <w:rsid w:val="005F2719"/>
    <w:rsid w:val="005F2F3D"/>
    <w:rsid w:val="005F4536"/>
    <w:rsid w:val="005F5E52"/>
    <w:rsid w:val="005F5F9C"/>
    <w:rsid w:val="005F6309"/>
    <w:rsid w:val="005F6A22"/>
    <w:rsid w:val="0060028C"/>
    <w:rsid w:val="006032DC"/>
    <w:rsid w:val="00603BC5"/>
    <w:rsid w:val="00604416"/>
    <w:rsid w:val="00604EF2"/>
    <w:rsid w:val="00605791"/>
    <w:rsid w:val="00607A71"/>
    <w:rsid w:val="00611827"/>
    <w:rsid w:val="00613012"/>
    <w:rsid w:val="00613E6B"/>
    <w:rsid w:val="00617B8E"/>
    <w:rsid w:val="00617ECA"/>
    <w:rsid w:val="00621D05"/>
    <w:rsid w:val="00624DF2"/>
    <w:rsid w:val="00625479"/>
    <w:rsid w:val="0062614C"/>
    <w:rsid w:val="006262A1"/>
    <w:rsid w:val="00626E80"/>
    <w:rsid w:val="00627996"/>
    <w:rsid w:val="00627C0B"/>
    <w:rsid w:val="0063048E"/>
    <w:rsid w:val="00631254"/>
    <w:rsid w:val="00631371"/>
    <w:rsid w:val="006361B8"/>
    <w:rsid w:val="00637851"/>
    <w:rsid w:val="00640917"/>
    <w:rsid w:val="00640C28"/>
    <w:rsid w:val="00642710"/>
    <w:rsid w:val="006474D5"/>
    <w:rsid w:val="006477C9"/>
    <w:rsid w:val="00650E63"/>
    <w:rsid w:val="006545D9"/>
    <w:rsid w:val="006552E8"/>
    <w:rsid w:val="006568C2"/>
    <w:rsid w:val="00656B01"/>
    <w:rsid w:val="00657A4D"/>
    <w:rsid w:val="006613BC"/>
    <w:rsid w:val="00661BFE"/>
    <w:rsid w:val="00662190"/>
    <w:rsid w:val="00662796"/>
    <w:rsid w:val="00674966"/>
    <w:rsid w:val="006757A9"/>
    <w:rsid w:val="006760CB"/>
    <w:rsid w:val="00682BC5"/>
    <w:rsid w:val="00685865"/>
    <w:rsid w:val="00685FBE"/>
    <w:rsid w:val="006862B0"/>
    <w:rsid w:val="006867FD"/>
    <w:rsid w:val="00686BF3"/>
    <w:rsid w:val="00690CD1"/>
    <w:rsid w:val="00696FB5"/>
    <w:rsid w:val="0069754C"/>
    <w:rsid w:val="006A0527"/>
    <w:rsid w:val="006A400D"/>
    <w:rsid w:val="006A44F1"/>
    <w:rsid w:val="006A5671"/>
    <w:rsid w:val="006A59D0"/>
    <w:rsid w:val="006A75A4"/>
    <w:rsid w:val="006B0CA0"/>
    <w:rsid w:val="006B1285"/>
    <w:rsid w:val="006B2808"/>
    <w:rsid w:val="006B3A2F"/>
    <w:rsid w:val="006B520D"/>
    <w:rsid w:val="006C1B8A"/>
    <w:rsid w:val="006C1ED7"/>
    <w:rsid w:val="006C2DEB"/>
    <w:rsid w:val="006C3F77"/>
    <w:rsid w:val="006C6AC0"/>
    <w:rsid w:val="006D0503"/>
    <w:rsid w:val="006D1560"/>
    <w:rsid w:val="006E07EF"/>
    <w:rsid w:val="006E438F"/>
    <w:rsid w:val="006E51E2"/>
    <w:rsid w:val="006E5F4D"/>
    <w:rsid w:val="006E645F"/>
    <w:rsid w:val="006E65FD"/>
    <w:rsid w:val="006E6DFF"/>
    <w:rsid w:val="006F4E28"/>
    <w:rsid w:val="006F5D16"/>
    <w:rsid w:val="0070191D"/>
    <w:rsid w:val="0070277B"/>
    <w:rsid w:val="007030C7"/>
    <w:rsid w:val="00703DE2"/>
    <w:rsid w:val="0070408F"/>
    <w:rsid w:val="00704289"/>
    <w:rsid w:val="00706BE4"/>
    <w:rsid w:val="007102B3"/>
    <w:rsid w:val="007103FF"/>
    <w:rsid w:val="0071091D"/>
    <w:rsid w:val="00710EA7"/>
    <w:rsid w:val="00712840"/>
    <w:rsid w:val="00712D1D"/>
    <w:rsid w:val="00713311"/>
    <w:rsid w:val="00715DED"/>
    <w:rsid w:val="007202F1"/>
    <w:rsid w:val="00720D25"/>
    <w:rsid w:val="00722B4C"/>
    <w:rsid w:val="00722E42"/>
    <w:rsid w:val="00723200"/>
    <w:rsid w:val="007242D1"/>
    <w:rsid w:val="00725474"/>
    <w:rsid w:val="00725BB4"/>
    <w:rsid w:val="00730049"/>
    <w:rsid w:val="00731178"/>
    <w:rsid w:val="00731CAB"/>
    <w:rsid w:val="007350B4"/>
    <w:rsid w:val="00736E51"/>
    <w:rsid w:val="007402D2"/>
    <w:rsid w:val="00740D94"/>
    <w:rsid w:val="00740E05"/>
    <w:rsid w:val="00743DDD"/>
    <w:rsid w:val="007442E3"/>
    <w:rsid w:val="00745E6D"/>
    <w:rsid w:val="00746C4A"/>
    <w:rsid w:val="00747409"/>
    <w:rsid w:val="00747548"/>
    <w:rsid w:val="00752598"/>
    <w:rsid w:val="00753E95"/>
    <w:rsid w:val="00760411"/>
    <w:rsid w:val="00761556"/>
    <w:rsid w:val="00766E95"/>
    <w:rsid w:val="00774219"/>
    <w:rsid w:val="00775723"/>
    <w:rsid w:val="00775BBE"/>
    <w:rsid w:val="00776474"/>
    <w:rsid w:val="00777624"/>
    <w:rsid w:val="00780E18"/>
    <w:rsid w:val="0078172D"/>
    <w:rsid w:val="00781EFF"/>
    <w:rsid w:val="00781F4C"/>
    <w:rsid w:val="007825BD"/>
    <w:rsid w:val="00784906"/>
    <w:rsid w:val="00785B2D"/>
    <w:rsid w:val="00786207"/>
    <w:rsid w:val="007868DF"/>
    <w:rsid w:val="00787D9C"/>
    <w:rsid w:val="00791450"/>
    <w:rsid w:val="007929FC"/>
    <w:rsid w:val="00794DB6"/>
    <w:rsid w:val="00797E4D"/>
    <w:rsid w:val="007A4967"/>
    <w:rsid w:val="007A53C1"/>
    <w:rsid w:val="007A7979"/>
    <w:rsid w:val="007B0B01"/>
    <w:rsid w:val="007B0ECA"/>
    <w:rsid w:val="007B174A"/>
    <w:rsid w:val="007B1B95"/>
    <w:rsid w:val="007B2060"/>
    <w:rsid w:val="007B404C"/>
    <w:rsid w:val="007C1E79"/>
    <w:rsid w:val="007C337E"/>
    <w:rsid w:val="007C52B3"/>
    <w:rsid w:val="007C6B20"/>
    <w:rsid w:val="007C7671"/>
    <w:rsid w:val="007D0554"/>
    <w:rsid w:val="007D0816"/>
    <w:rsid w:val="007D191E"/>
    <w:rsid w:val="007D1961"/>
    <w:rsid w:val="007D2165"/>
    <w:rsid w:val="007D2DBB"/>
    <w:rsid w:val="007D3E7B"/>
    <w:rsid w:val="007D518D"/>
    <w:rsid w:val="007D52F8"/>
    <w:rsid w:val="007D57F7"/>
    <w:rsid w:val="007D5F87"/>
    <w:rsid w:val="007D7E86"/>
    <w:rsid w:val="007E08A2"/>
    <w:rsid w:val="007E2861"/>
    <w:rsid w:val="007E2D73"/>
    <w:rsid w:val="007E32CD"/>
    <w:rsid w:val="007E62CD"/>
    <w:rsid w:val="007E6720"/>
    <w:rsid w:val="007E67BF"/>
    <w:rsid w:val="007F2F0F"/>
    <w:rsid w:val="007F4821"/>
    <w:rsid w:val="007F550C"/>
    <w:rsid w:val="007F6190"/>
    <w:rsid w:val="007F6303"/>
    <w:rsid w:val="007F7874"/>
    <w:rsid w:val="00800032"/>
    <w:rsid w:val="00800383"/>
    <w:rsid w:val="00800465"/>
    <w:rsid w:val="0080106B"/>
    <w:rsid w:val="008018B5"/>
    <w:rsid w:val="00801D69"/>
    <w:rsid w:val="00802A94"/>
    <w:rsid w:val="00803999"/>
    <w:rsid w:val="00807BFF"/>
    <w:rsid w:val="00813180"/>
    <w:rsid w:val="008156AC"/>
    <w:rsid w:val="008158AC"/>
    <w:rsid w:val="0081645F"/>
    <w:rsid w:val="008169EF"/>
    <w:rsid w:val="00817EAF"/>
    <w:rsid w:val="0082090C"/>
    <w:rsid w:val="00821DE1"/>
    <w:rsid w:val="00822A17"/>
    <w:rsid w:val="00822B6C"/>
    <w:rsid w:val="008275EE"/>
    <w:rsid w:val="00832FD7"/>
    <w:rsid w:val="00833F9D"/>
    <w:rsid w:val="0083420B"/>
    <w:rsid w:val="008344D1"/>
    <w:rsid w:val="00834E6A"/>
    <w:rsid w:val="00836D05"/>
    <w:rsid w:val="00840E6A"/>
    <w:rsid w:val="00842441"/>
    <w:rsid w:val="008429C5"/>
    <w:rsid w:val="00844BEE"/>
    <w:rsid w:val="00846176"/>
    <w:rsid w:val="00846965"/>
    <w:rsid w:val="00846DA1"/>
    <w:rsid w:val="00847D82"/>
    <w:rsid w:val="00850188"/>
    <w:rsid w:val="00850EFB"/>
    <w:rsid w:val="00851AE0"/>
    <w:rsid w:val="00853BDB"/>
    <w:rsid w:val="00853EB5"/>
    <w:rsid w:val="00854825"/>
    <w:rsid w:val="00854C0D"/>
    <w:rsid w:val="00854FDF"/>
    <w:rsid w:val="00856FD6"/>
    <w:rsid w:val="00860109"/>
    <w:rsid w:val="00860B5B"/>
    <w:rsid w:val="00862CF5"/>
    <w:rsid w:val="008634E5"/>
    <w:rsid w:val="008759D0"/>
    <w:rsid w:val="00881FF0"/>
    <w:rsid w:val="0088590B"/>
    <w:rsid w:val="00890E98"/>
    <w:rsid w:val="008929D0"/>
    <w:rsid w:val="00893479"/>
    <w:rsid w:val="00893E97"/>
    <w:rsid w:val="008944A3"/>
    <w:rsid w:val="00896697"/>
    <w:rsid w:val="008A4E5F"/>
    <w:rsid w:val="008A5AE5"/>
    <w:rsid w:val="008A602F"/>
    <w:rsid w:val="008A6095"/>
    <w:rsid w:val="008B14C4"/>
    <w:rsid w:val="008B2491"/>
    <w:rsid w:val="008B4637"/>
    <w:rsid w:val="008B5AA2"/>
    <w:rsid w:val="008C002C"/>
    <w:rsid w:val="008C3631"/>
    <w:rsid w:val="008C3CEA"/>
    <w:rsid w:val="008C67CA"/>
    <w:rsid w:val="008D00E8"/>
    <w:rsid w:val="008D0498"/>
    <w:rsid w:val="008D0E3B"/>
    <w:rsid w:val="008D128E"/>
    <w:rsid w:val="008D1D16"/>
    <w:rsid w:val="008D25B6"/>
    <w:rsid w:val="008D2782"/>
    <w:rsid w:val="008E016D"/>
    <w:rsid w:val="008E09CA"/>
    <w:rsid w:val="008E4D07"/>
    <w:rsid w:val="008E7F86"/>
    <w:rsid w:val="008F36B9"/>
    <w:rsid w:val="008F5EA5"/>
    <w:rsid w:val="008F6C7E"/>
    <w:rsid w:val="008F6EB6"/>
    <w:rsid w:val="00901510"/>
    <w:rsid w:val="00901A26"/>
    <w:rsid w:val="00903128"/>
    <w:rsid w:val="00903A21"/>
    <w:rsid w:val="009054AD"/>
    <w:rsid w:val="00905B4B"/>
    <w:rsid w:val="00906E18"/>
    <w:rsid w:val="009103AC"/>
    <w:rsid w:val="009143FB"/>
    <w:rsid w:val="0091470B"/>
    <w:rsid w:val="00915C8B"/>
    <w:rsid w:val="0091656F"/>
    <w:rsid w:val="00920455"/>
    <w:rsid w:val="00922EA2"/>
    <w:rsid w:val="00923554"/>
    <w:rsid w:val="00923713"/>
    <w:rsid w:val="00932428"/>
    <w:rsid w:val="00935459"/>
    <w:rsid w:val="009408B7"/>
    <w:rsid w:val="009413B8"/>
    <w:rsid w:val="009430AC"/>
    <w:rsid w:val="0094470E"/>
    <w:rsid w:val="009451CB"/>
    <w:rsid w:val="009471D1"/>
    <w:rsid w:val="00951A7D"/>
    <w:rsid w:val="0095227F"/>
    <w:rsid w:val="009531E4"/>
    <w:rsid w:val="00955AF7"/>
    <w:rsid w:val="00956137"/>
    <w:rsid w:val="0096018A"/>
    <w:rsid w:val="00961209"/>
    <w:rsid w:val="00961CA2"/>
    <w:rsid w:val="00961ED4"/>
    <w:rsid w:val="00962024"/>
    <w:rsid w:val="0096237A"/>
    <w:rsid w:val="009671EF"/>
    <w:rsid w:val="009675FD"/>
    <w:rsid w:val="00972512"/>
    <w:rsid w:val="0097268A"/>
    <w:rsid w:val="0097373B"/>
    <w:rsid w:val="00975CE3"/>
    <w:rsid w:val="00976AF8"/>
    <w:rsid w:val="00977E50"/>
    <w:rsid w:val="009808DB"/>
    <w:rsid w:val="00980BB2"/>
    <w:rsid w:val="00980C73"/>
    <w:rsid w:val="00981803"/>
    <w:rsid w:val="00983976"/>
    <w:rsid w:val="0098428C"/>
    <w:rsid w:val="00986F88"/>
    <w:rsid w:val="00987A3A"/>
    <w:rsid w:val="00990302"/>
    <w:rsid w:val="00992FA8"/>
    <w:rsid w:val="00995FE6"/>
    <w:rsid w:val="009A05A7"/>
    <w:rsid w:val="009A188F"/>
    <w:rsid w:val="009A4DF3"/>
    <w:rsid w:val="009A5B10"/>
    <w:rsid w:val="009A70D8"/>
    <w:rsid w:val="009A7C0B"/>
    <w:rsid w:val="009B18E1"/>
    <w:rsid w:val="009B238B"/>
    <w:rsid w:val="009B30D9"/>
    <w:rsid w:val="009B66AA"/>
    <w:rsid w:val="009C0A4A"/>
    <w:rsid w:val="009C2AEA"/>
    <w:rsid w:val="009C3F7E"/>
    <w:rsid w:val="009C67EB"/>
    <w:rsid w:val="009C6DD3"/>
    <w:rsid w:val="009C7626"/>
    <w:rsid w:val="009D1541"/>
    <w:rsid w:val="009D20F2"/>
    <w:rsid w:val="009D4EDA"/>
    <w:rsid w:val="009D7365"/>
    <w:rsid w:val="009E0B1E"/>
    <w:rsid w:val="009E15F7"/>
    <w:rsid w:val="009E2403"/>
    <w:rsid w:val="009E3615"/>
    <w:rsid w:val="009E3ABB"/>
    <w:rsid w:val="009E3D62"/>
    <w:rsid w:val="009F1526"/>
    <w:rsid w:val="009F24E4"/>
    <w:rsid w:val="009F38E9"/>
    <w:rsid w:val="009F50B9"/>
    <w:rsid w:val="009F55D4"/>
    <w:rsid w:val="009F7B8D"/>
    <w:rsid w:val="00A035F4"/>
    <w:rsid w:val="00A046E3"/>
    <w:rsid w:val="00A04F48"/>
    <w:rsid w:val="00A14F8F"/>
    <w:rsid w:val="00A15D25"/>
    <w:rsid w:val="00A15FD8"/>
    <w:rsid w:val="00A20C58"/>
    <w:rsid w:val="00A220EF"/>
    <w:rsid w:val="00A247CD"/>
    <w:rsid w:val="00A2610B"/>
    <w:rsid w:val="00A265DF"/>
    <w:rsid w:val="00A3206B"/>
    <w:rsid w:val="00A3220B"/>
    <w:rsid w:val="00A33486"/>
    <w:rsid w:val="00A33736"/>
    <w:rsid w:val="00A3493F"/>
    <w:rsid w:val="00A35354"/>
    <w:rsid w:val="00A364BC"/>
    <w:rsid w:val="00A40D24"/>
    <w:rsid w:val="00A41DC2"/>
    <w:rsid w:val="00A42726"/>
    <w:rsid w:val="00A42783"/>
    <w:rsid w:val="00A427FE"/>
    <w:rsid w:val="00A42967"/>
    <w:rsid w:val="00A434EF"/>
    <w:rsid w:val="00A435EB"/>
    <w:rsid w:val="00A43F63"/>
    <w:rsid w:val="00A44FB5"/>
    <w:rsid w:val="00A52F00"/>
    <w:rsid w:val="00A55140"/>
    <w:rsid w:val="00A55530"/>
    <w:rsid w:val="00A55E30"/>
    <w:rsid w:val="00A56A87"/>
    <w:rsid w:val="00A57F33"/>
    <w:rsid w:val="00A629AC"/>
    <w:rsid w:val="00A66647"/>
    <w:rsid w:val="00A66E81"/>
    <w:rsid w:val="00A673EB"/>
    <w:rsid w:val="00A67B86"/>
    <w:rsid w:val="00A70400"/>
    <w:rsid w:val="00A72496"/>
    <w:rsid w:val="00A72603"/>
    <w:rsid w:val="00A73A2F"/>
    <w:rsid w:val="00A743E1"/>
    <w:rsid w:val="00A76C79"/>
    <w:rsid w:val="00A80293"/>
    <w:rsid w:val="00A8071A"/>
    <w:rsid w:val="00A810CD"/>
    <w:rsid w:val="00A81A7B"/>
    <w:rsid w:val="00A81FCD"/>
    <w:rsid w:val="00A825E5"/>
    <w:rsid w:val="00A82F52"/>
    <w:rsid w:val="00A83001"/>
    <w:rsid w:val="00A86756"/>
    <w:rsid w:val="00A91296"/>
    <w:rsid w:val="00A920E5"/>
    <w:rsid w:val="00A93FC1"/>
    <w:rsid w:val="00A94D80"/>
    <w:rsid w:val="00A969F6"/>
    <w:rsid w:val="00A97D4F"/>
    <w:rsid w:val="00AA0188"/>
    <w:rsid w:val="00AA28B4"/>
    <w:rsid w:val="00AA6218"/>
    <w:rsid w:val="00AA63FA"/>
    <w:rsid w:val="00AA6A5E"/>
    <w:rsid w:val="00AB26CD"/>
    <w:rsid w:val="00AB3147"/>
    <w:rsid w:val="00AB4A86"/>
    <w:rsid w:val="00AC2B2D"/>
    <w:rsid w:val="00AC4DF8"/>
    <w:rsid w:val="00AC4EFE"/>
    <w:rsid w:val="00AC6B6C"/>
    <w:rsid w:val="00AD12F4"/>
    <w:rsid w:val="00AD168B"/>
    <w:rsid w:val="00AD1949"/>
    <w:rsid w:val="00AE0609"/>
    <w:rsid w:val="00AE0D43"/>
    <w:rsid w:val="00AE0E61"/>
    <w:rsid w:val="00AE10CB"/>
    <w:rsid w:val="00AE23BF"/>
    <w:rsid w:val="00AE52B2"/>
    <w:rsid w:val="00AE63D5"/>
    <w:rsid w:val="00AE7619"/>
    <w:rsid w:val="00AF361F"/>
    <w:rsid w:val="00AF543F"/>
    <w:rsid w:val="00AF6BAB"/>
    <w:rsid w:val="00B00638"/>
    <w:rsid w:val="00B024FE"/>
    <w:rsid w:val="00B0398F"/>
    <w:rsid w:val="00B05B5F"/>
    <w:rsid w:val="00B05CD8"/>
    <w:rsid w:val="00B06115"/>
    <w:rsid w:val="00B0751C"/>
    <w:rsid w:val="00B12DE7"/>
    <w:rsid w:val="00B12E5F"/>
    <w:rsid w:val="00B14265"/>
    <w:rsid w:val="00B142A8"/>
    <w:rsid w:val="00B14DFD"/>
    <w:rsid w:val="00B177C9"/>
    <w:rsid w:val="00B20C44"/>
    <w:rsid w:val="00B235C2"/>
    <w:rsid w:val="00B26413"/>
    <w:rsid w:val="00B268B2"/>
    <w:rsid w:val="00B3042A"/>
    <w:rsid w:val="00B304FD"/>
    <w:rsid w:val="00B3179F"/>
    <w:rsid w:val="00B319D0"/>
    <w:rsid w:val="00B35542"/>
    <w:rsid w:val="00B414A6"/>
    <w:rsid w:val="00B41A03"/>
    <w:rsid w:val="00B41C9C"/>
    <w:rsid w:val="00B42965"/>
    <w:rsid w:val="00B44F2F"/>
    <w:rsid w:val="00B45F8C"/>
    <w:rsid w:val="00B4677F"/>
    <w:rsid w:val="00B46BA1"/>
    <w:rsid w:val="00B47D6F"/>
    <w:rsid w:val="00B51AAC"/>
    <w:rsid w:val="00B53805"/>
    <w:rsid w:val="00B572B0"/>
    <w:rsid w:val="00B647FD"/>
    <w:rsid w:val="00B66083"/>
    <w:rsid w:val="00B7008F"/>
    <w:rsid w:val="00B70663"/>
    <w:rsid w:val="00B73E1E"/>
    <w:rsid w:val="00B76175"/>
    <w:rsid w:val="00B77480"/>
    <w:rsid w:val="00B774C4"/>
    <w:rsid w:val="00B77D4D"/>
    <w:rsid w:val="00B804DA"/>
    <w:rsid w:val="00B805A6"/>
    <w:rsid w:val="00B85A4C"/>
    <w:rsid w:val="00B85D0F"/>
    <w:rsid w:val="00B907A6"/>
    <w:rsid w:val="00B925C6"/>
    <w:rsid w:val="00B936F6"/>
    <w:rsid w:val="00B94373"/>
    <w:rsid w:val="00B950C0"/>
    <w:rsid w:val="00B95402"/>
    <w:rsid w:val="00B95901"/>
    <w:rsid w:val="00B96862"/>
    <w:rsid w:val="00B969D5"/>
    <w:rsid w:val="00BA0C4A"/>
    <w:rsid w:val="00BA11F5"/>
    <w:rsid w:val="00BA1275"/>
    <w:rsid w:val="00BA2CFE"/>
    <w:rsid w:val="00BA77AD"/>
    <w:rsid w:val="00BA7E86"/>
    <w:rsid w:val="00BB0F1B"/>
    <w:rsid w:val="00BB186F"/>
    <w:rsid w:val="00BB395A"/>
    <w:rsid w:val="00BB454B"/>
    <w:rsid w:val="00BB57CE"/>
    <w:rsid w:val="00BB59CE"/>
    <w:rsid w:val="00BB6C62"/>
    <w:rsid w:val="00BB6FC8"/>
    <w:rsid w:val="00BC0846"/>
    <w:rsid w:val="00BC0888"/>
    <w:rsid w:val="00BC0F96"/>
    <w:rsid w:val="00BC1C66"/>
    <w:rsid w:val="00BC221B"/>
    <w:rsid w:val="00BC451A"/>
    <w:rsid w:val="00BC50F9"/>
    <w:rsid w:val="00BC5271"/>
    <w:rsid w:val="00BC71EB"/>
    <w:rsid w:val="00BD06AD"/>
    <w:rsid w:val="00BD07E8"/>
    <w:rsid w:val="00BD14DB"/>
    <w:rsid w:val="00BD2466"/>
    <w:rsid w:val="00BD3813"/>
    <w:rsid w:val="00BE3D82"/>
    <w:rsid w:val="00BE509D"/>
    <w:rsid w:val="00BE654C"/>
    <w:rsid w:val="00BF0E87"/>
    <w:rsid w:val="00BF295D"/>
    <w:rsid w:val="00BF4F6F"/>
    <w:rsid w:val="00BF7EAB"/>
    <w:rsid w:val="00C00D41"/>
    <w:rsid w:val="00C011CA"/>
    <w:rsid w:val="00C0291D"/>
    <w:rsid w:val="00C039F5"/>
    <w:rsid w:val="00C0686F"/>
    <w:rsid w:val="00C07A56"/>
    <w:rsid w:val="00C13200"/>
    <w:rsid w:val="00C13686"/>
    <w:rsid w:val="00C1446B"/>
    <w:rsid w:val="00C15AD7"/>
    <w:rsid w:val="00C21C37"/>
    <w:rsid w:val="00C237D6"/>
    <w:rsid w:val="00C25128"/>
    <w:rsid w:val="00C272EB"/>
    <w:rsid w:val="00C32017"/>
    <w:rsid w:val="00C320D4"/>
    <w:rsid w:val="00C32255"/>
    <w:rsid w:val="00C3257C"/>
    <w:rsid w:val="00C33C4F"/>
    <w:rsid w:val="00C35234"/>
    <w:rsid w:val="00C3543E"/>
    <w:rsid w:val="00C35547"/>
    <w:rsid w:val="00C369C5"/>
    <w:rsid w:val="00C36F4D"/>
    <w:rsid w:val="00C37EE6"/>
    <w:rsid w:val="00C40447"/>
    <w:rsid w:val="00C406E5"/>
    <w:rsid w:val="00C40751"/>
    <w:rsid w:val="00C40AA3"/>
    <w:rsid w:val="00C40CB3"/>
    <w:rsid w:val="00C4434D"/>
    <w:rsid w:val="00C44C32"/>
    <w:rsid w:val="00C47BCA"/>
    <w:rsid w:val="00C50A36"/>
    <w:rsid w:val="00C50E8F"/>
    <w:rsid w:val="00C53B7B"/>
    <w:rsid w:val="00C562F5"/>
    <w:rsid w:val="00C5647C"/>
    <w:rsid w:val="00C57C3B"/>
    <w:rsid w:val="00C64858"/>
    <w:rsid w:val="00C66A1A"/>
    <w:rsid w:val="00C672BC"/>
    <w:rsid w:val="00C70146"/>
    <w:rsid w:val="00C73656"/>
    <w:rsid w:val="00C74DF5"/>
    <w:rsid w:val="00C813A6"/>
    <w:rsid w:val="00C822A4"/>
    <w:rsid w:val="00C83B9B"/>
    <w:rsid w:val="00C83C74"/>
    <w:rsid w:val="00C8612C"/>
    <w:rsid w:val="00C86384"/>
    <w:rsid w:val="00C87509"/>
    <w:rsid w:val="00C878B0"/>
    <w:rsid w:val="00C92989"/>
    <w:rsid w:val="00C92CA9"/>
    <w:rsid w:val="00CA0D07"/>
    <w:rsid w:val="00CA1878"/>
    <w:rsid w:val="00CA215F"/>
    <w:rsid w:val="00CA239D"/>
    <w:rsid w:val="00CA3485"/>
    <w:rsid w:val="00CA497D"/>
    <w:rsid w:val="00CB020A"/>
    <w:rsid w:val="00CB12E9"/>
    <w:rsid w:val="00CB2871"/>
    <w:rsid w:val="00CB2E92"/>
    <w:rsid w:val="00CB3BA0"/>
    <w:rsid w:val="00CB5002"/>
    <w:rsid w:val="00CB5B8C"/>
    <w:rsid w:val="00CB6711"/>
    <w:rsid w:val="00CB675F"/>
    <w:rsid w:val="00CC054E"/>
    <w:rsid w:val="00CC0775"/>
    <w:rsid w:val="00CC34D4"/>
    <w:rsid w:val="00CC3776"/>
    <w:rsid w:val="00CC5DDC"/>
    <w:rsid w:val="00CD1629"/>
    <w:rsid w:val="00CD4FA5"/>
    <w:rsid w:val="00CD5822"/>
    <w:rsid w:val="00CD6F28"/>
    <w:rsid w:val="00CD7CBE"/>
    <w:rsid w:val="00CE05AD"/>
    <w:rsid w:val="00CE2AEB"/>
    <w:rsid w:val="00CE3A3D"/>
    <w:rsid w:val="00CE3E37"/>
    <w:rsid w:val="00CE3FFF"/>
    <w:rsid w:val="00CE532B"/>
    <w:rsid w:val="00CE7678"/>
    <w:rsid w:val="00CE7F16"/>
    <w:rsid w:val="00CF081A"/>
    <w:rsid w:val="00CF3A4F"/>
    <w:rsid w:val="00CF684B"/>
    <w:rsid w:val="00D008C3"/>
    <w:rsid w:val="00D012E0"/>
    <w:rsid w:val="00D01CB0"/>
    <w:rsid w:val="00D071F3"/>
    <w:rsid w:val="00D07AC3"/>
    <w:rsid w:val="00D1119E"/>
    <w:rsid w:val="00D13DE2"/>
    <w:rsid w:val="00D13F7F"/>
    <w:rsid w:val="00D14754"/>
    <w:rsid w:val="00D16551"/>
    <w:rsid w:val="00D17CB5"/>
    <w:rsid w:val="00D202CE"/>
    <w:rsid w:val="00D21F50"/>
    <w:rsid w:val="00D239CF"/>
    <w:rsid w:val="00D25D42"/>
    <w:rsid w:val="00D26799"/>
    <w:rsid w:val="00D27480"/>
    <w:rsid w:val="00D300A2"/>
    <w:rsid w:val="00D30F52"/>
    <w:rsid w:val="00D335F0"/>
    <w:rsid w:val="00D34049"/>
    <w:rsid w:val="00D35C24"/>
    <w:rsid w:val="00D36795"/>
    <w:rsid w:val="00D37860"/>
    <w:rsid w:val="00D426F8"/>
    <w:rsid w:val="00D4382C"/>
    <w:rsid w:val="00D447B2"/>
    <w:rsid w:val="00D44977"/>
    <w:rsid w:val="00D44DEA"/>
    <w:rsid w:val="00D456F1"/>
    <w:rsid w:val="00D4591E"/>
    <w:rsid w:val="00D548E2"/>
    <w:rsid w:val="00D5606C"/>
    <w:rsid w:val="00D569FC"/>
    <w:rsid w:val="00D62B18"/>
    <w:rsid w:val="00D62BC3"/>
    <w:rsid w:val="00D62E3F"/>
    <w:rsid w:val="00D631C4"/>
    <w:rsid w:val="00D65393"/>
    <w:rsid w:val="00D656CC"/>
    <w:rsid w:val="00D70C84"/>
    <w:rsid w:val="00D71B84"/>
    <w:rsid w:val="00D726FE"/>
    <w:rsid w:val="00D72E28"/>
    <w:rsid w:val="00D74443"/>
    <w:rsid w:val="00D763EF"/>
    <w:rsid w:val="00D808DA"/>
    <w:rsid w:val="00D80A79"/>
    <w:rsid w:val="00D80B64"/>
    <w:rsid w:val="00D852BA"/>
    <w:rsid w:val="00D92A32"/>
    <w:rsid w:val="00D932DB"/>
    <w:rsid w:val="00D94567"/>
    <w:rsid w:val="00D964BB"/>
    <w:rsid w:val="00DA141C"/>
    <w:rsid w:val="00DA5511"/>
    <w:rsid w:val="00DA6BA2"/>
    <w:rsid w:val="00DA6E85"/>
    <w:rsid w:val="00DA7965"/>
    <w:rsid w:val="00DB2BA3"/>
    <w:rsid w:val="00DB317D"/>
    <w:rsid w:val="00DB32A9"/>
    <w:rsid w:val="00DB46BA"/>
    <w:rsid w:val="00DB4E24"/>
    <w:rsid w:val="00DB59B1"/>
    <w:rsid w:val="00DB626B"/>
    <w:rsid w:val="00DB62BE"/>
    <w:rsid w:val="00DB6EF1"/>
    <w:rsid w:val="00DB7E90"/>
    <w:rsid w:val="00DC31BB"/>
    <w:rsid w:val="00DC3F5A"/>
    <w:rsid w:val="00DC5399"/>
    <w:rsid w:val="00DC6773"/>
    <w:rsid w:val="00DC73ED"/>
    <w:rsid w:val="00DD029B"/>
    <w:rsid w:val="00DD17DD"/>
    <w:rsid w:val="00DD3A09"/>
    <w:rsid w:val="00DD464C"/>
    <w:rsid w:val="00DD712F"/>
    <w:rsid w:val="00DE08BE"/>
    <w:rsid w:val="00DE43EB"/>
    <w:rsid w:val="00DE4563"/>
    <w:rsid w:val="00DE49D5"/>
    <w:rsid w:val="00DE4DCD"/>
    <w:rsid w:val="00DE6A9B"/>
    <w:rsid w:val="00DE7AA1"/>
    <w:rsid w:val="00DE7DBA"/>
    <w:rsid w:val="00DF0101"/>
    <w:rsid w:val="00DF02BB"/>
    <w:rsid w:val="00DF3630"/>
    <w:rsid w:val="00DF79B4"/>
    <w:rsid w:val="00E00882"/>
    <w:rsid w:val="00E02648"/>
    <w:rsid w:val="00E0591C"/>
    <w:rsid w:val="00E06A12"/>
    <w:rsid w:val="00E073CF"/>
    <w:rsid w:val="00E07FA9"/>
    <w:rsid w:val="00E10056"/>
    <w:rsid w:val="00E108DB"/>
    <w:rsid w:val="00E11B26"/>
    <w:rsid w:val="00E1250A"/>
    <w:rsid w:val="00E1267D"/>
    <w:rsid w:val="00E13361"/>
    <w:rsid w:val="00E135EE"/>
    <w:rsid w:val="00E157F5"/>
    <w:rsid w:val="00E1765C"/>
    <w:rsid w:val="00E22266"/>
    <w:rsid w:val="00E2277B"/>
    <w:rsid w:val="00E2389C"/>
    <w:rsid w:val="00E266EA"/>
    <w:rsid w:val="00E32833"/>
    <w:rsid w:val="00E32F27"/>
    <w:rsid w:val="00E33BDF"/>
    <w:rsid w:val="00E34D58"/>
    <w:rsid w:val="00E36D58"/>
    <w:rsid w:val="00E454D6"/>
    <w:rsid w:val="00E454F8"/>
    <w:rsid w:val="00E45F28"/>
    <w:rsid w:val="00E47F91"/>
    <w:rsid w:val="00E5200B"/>
    <w:rsid w:val="00E5533D"/>
    <w:rsid w:val="00E567C6"/>
    <w:rsid w:val="00E600DC"/>
    <w:rsid w:val="00E61D36"/>
    <w:rsid w:val="00E635EC"/>
    <w:rsid w:val="00E64F1D"/>
    <w:rsid w:val="00E66000"/>
    <w:rsid w:val="00E67FF6"/>
    <w:rsid w:val="00E7138A"/>
    <w:rsid w:val="00E72232"/>
    <w:rsid w:val="00E773B9"/>
    <w:rsid w:val="00E83DF0"/>
    <w:rsid w:val="00E84BD3"/>
    <w:rsid w:val="00E90EF9"/>
    <w:rsid w:val="00E9115C"/>
    <w:rsid w:val="00E912AF"/>
    <w:rsid w:val="00E93F84"/>
    <w:rsid w:val="00E943AE"/>
    <w:rsid w:val="00E961FB"/>
    <w:rsid w:val="00EA1048"/>
    <w:rsid w:val="00EA32FC"/>
    <w:rsid w:val="00EA5F4F"/>
    <w:rsid w:val="00EB0ACD"/>
    <w:rsid w:val="00EB1C10"/>
    <w:rsid w:val="00EB51D0"/>
    <w:rsid w:val="00EB5C57"/>
    <w:rsid w:val="00EB5F44"/>
    <w:rsid w:val="00EB6E3B"/>
    <w:rsid w:val="00EC4A44"/>
    <w:rsid w:val="00EC51D6"/>
    <w:rsid w:val="00EC58C8"/>
    <w:rsid w:val="00EC638E"/>
    <w:rsid w:val="00ED0231"/>
    <w:rsid w:val="00ED38BE"/>
    <w:rsid w:val="00ED68EC"/>
    <w:rsid w:val="00ED6C78"/>
    <w:rsid w:val="00ED7333"/>
    <w:rsid w:val="00EE04A8"/>
    <w:rsid w:val="00EE3472"/>
    <w:rsid w:val="00EE7D92"/>
    <w:rsid w:val="00EF1910"/>
    <w:rsid w:val="00EF1BAE"/>
    <w:rsid w:val="00EF30D3"/>
    <w:rsid w:val="00EF3F73"/>
    <w:rsid w:val="00EF7964"/>
    <w:rsid w:val="00F00884"/>
    <w:rsid w:val="00F021D4"/>
    <w:rsid w:val="00F03C63"/>
    <w:rsid w:val="00F048FA"/>
    <w:rsid w:val="00F053E4"/>
    <w:rsid w:val="00F06A0F"/>
    <w:rsid w:val="00F10923"/>
    <w:rsid w:val="00F15258"/>
    <w:rsid w:val="00F17295"/>
    <w:rsid w:val="00F17741"/>
    <w:rsid w:val="00F21CB2"/>
    <w:rsid w:val="00F228A0"/>
    <w:rsid w:val="00F239B5"/>
    <w:rsid w:val="00F24D4D"/>
    <w:rsid w:val="00F2653B"/>
    <w:rsid w:val="00F30B06"/>
    <w:rsid w:val="00F30D1C"/>
    <w:rsid w:val="00F35A73"/>
    <w:rsid w:val="00F36D4C"/>
    <w:rsid w:val="00F3748B"/>
    <w:rsid w:val="00F407F7"/>
    <w:rsid w:val="00F42FF6"/>
    <w:rsid w:val="00F43D4C"/>
    <w:rsid w:val="00F44835"/>
    <w:rsid w:val="00F45001"/>
    <w:rsid w:val="00F474CA"/>
    <w:rsid w:val="00F47B4B"/>
    <w:rsid w:val="00F53284"/>
    <w:rsid w:val="00F55412"/>
    <w:rsid w:val="00F61FBF"/>
    <w:rsid w:val="00F62A16"/>
    <w:rsid w:val="00F72014"/>
    <w:rsid w:val="00F7392E"/>
    <w:rsid w:val="00F74E13"/>
    <w:rsid w:val="00F76DE0"/>
    <w:rsid w:val="00F7776E"/>
    <w:rsid w:val="00F81405"/>
    <w:rsid w:val="00F82B9F"/>
    <w:rsid w:val="00F83A54"/>
    <w:rsid w:val="00F83DEF"/>
    <w:rsid w:val="00F8508D"/>
    <w:rsid w:val="00F85165"/>
    <w:rsid w:val="00F86738"/>
    <w:rsid w:val="00F90296"/>
    <w:rsid w:val="00F905A2"/>
    <w:rsid w:val="00F910C0"/>
    <w:rsid w:val="00F927A7"/>
    <w:rsid w:val="00F92905"/>
    <w:rsid w:val="00F937AC"/>
    <w:rsid w:val="00FA17AB"/>
    <w:rsid w:val="00FA1EEF"/>
    <w:rsid w:val="00FA2372"/>
    <w:rsid w:val="00FA4351"/>
    <w:rsid w:val="00FA45DE"/>
    <w:rsid w:val="00FA4A39"/>
    <w:rsid w:val="00FA5793"/>
    <w:rsid w:val="00FA5799"/>
    <w:rsid w:val="00FA78E0"/>
    <w:rsid w:val="00FA7AE1"/>
    <w:rsid w:val="00FC242B"/>
    <w:rsid w:val="00FC34E7"/>
    <w:rsid w:val="00FC3DE0"/>
    <w:rsid w:val="00FC42B9"/>
    <w:rsid w:val="00FC504D"/>
    <w:rsid w:val="00FC730B"/>
    <w:rsid w:val="00FD0BB4"/>
    <w:rsid w:val="00FD3177"/>
    <w:rsid w:val="00FD5727"/>
    <w:rsid w:val="00FD5819"/>
    <w:rsid w:val="00FD5B62"/>
    <w:rsid w:val="00FD6954"/>
    <w:rsid w:val="00FE38AB"/>
    <w:rsid w:val="00FE415A"/>
    <w:rsid w:val="00FE5A97"/>
    <w:rsid w:val="00FE78D3"/>
    <w:rsid w:val="00FF299A"/>
    <w:rsid w:val="00FF525E"/>
    <w:rsid w:val="00FF7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8F47F62"/>
  <w15:docId w15:val="{D9B1A4E2-8787-4765-930B-B285905E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524"/>
    <w:rPr>
      <w:rFonts w:ascii="CG Omega" w:hAnsi="CG Omega"/>
      <w:sz w:val="22"/>
      <w:szCs w:val="24"/>
      <w:lang w:eastAsia="en-US"/>
    </w:rPr>
  </w:style>
  <w:style w:type="paragraph" w:styleId="Heading2">
    <w:name w:val="heading 2"/>
    <w:basedOn w:val="Normal"/>
    <w:next w:val="Normal"/>
    <w:link w:val="Heading2Char"/>
    <w:uiPriority w:val="9"/>
    <w:unhideWhenUsed/>
    <w:qFormat/>
    <w:rsid w:val="00DB32A9"/>
    <w:pPr>
      <w:keepNext/>
      <w:keepLines/>
      <w:spacing w:before="200"/>
      <w:outlineLvl w:val="1"/>
    </w:pPr>
    <w:rPr>
      <w:rFonts w:ascii="Times New Roman" w:hAnsi="Times New Roman"/>
      <w:b/>
      <w:bCs/>
      <w:color w:val="4F81BD"/>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7524"/>
    <w:pPr>
      <w:numPr>
        <w:ilvl w:val="12"/>
      </w:numPr>
      <w:spacing w:before="240"/>
    </w:pPr>
    <w:rPr>
      <w:rFonts w:ascii="Times New Roman" w:hAnsi="Times New Roman"/>
      <w:sz w:val="24"/>
      <w:szCs w:val="20"/>
      <w:lang w:eastAsia="en-AU"/>
    </w:rPr>
  </w:style>
  <w:style w:type="paragraph" w:customStyle="1" w:styleId="StyleLeft349cmRight-011cm">
    <w:name w:val="Style Left:  3.49 cm Right:  -0.11 cm"/>
    <w:basedOn w:val="Normal"/>
    <w:rsid w:val="003B7524"/>
    <w:pPr>
      <w:ind w:left="1979" w:right="1701"/>
    </w:pPr>
    <w:rPr>
      <w:rFonts w:ascii="Times New Roman" w:hAnsi="Times New Roman"/>
      <w:sz w:val="24"/>
      <w:szCs w:val="20"/>
      <w:lang w:eastAsia="en-AU"/>
    </w:rPr>
  </w:style>
  <w:style w:type="paragraph" w:styleId="Footer">
    <w:name w:val="footer"/>
    <w:basedOn w:val="Normal"/>
    <w:link w:val="FooterChar"/>
    <w:uiPriority w:val="99"/>
    <w:rsid w:val="003B7524"/>
    <w:pPr>
      <w:tabs>
        <w:tab w:val="center" w:pos="4153"/>
        <w:tab w:val="right" w:pos="8306"/>
      </w:tabs>
    </w:pPr>
  </w:style>
  <w:style w:type="character" w:styleId="PageNumber">
    <w:name w:val="page number"/>
    <w:basedOn w:val="DefaultParagraphFont"/>
    <w:rsid w:val="003B7524"/>
  </w:style>
  <w:style w:type="paragraph" w:customStyle="1" w:styleId="Default1">
    <w:name w:val="Default1"/>
    <w:basedOn w:val="Normal"/>
    <w:next w:val="Normal"/>
    <w:rsid w:val="003B7524"/>
    <w:pPr>
      <w:autoSpaceDE w:val="0"/>
      <w:autoSpaceDN w:val="0"/>
      <w:adjustRightInd w:val="0"/>
      <w:spacing w:after="240"/>
    </w:pPr>
    <w:rPr>
      <w:rFonts w:ascii="Times New Roman" w:hAnsi="Times New Roman"/>
      <w:sz w:val="24"/>
      <w:lang w:eastAsia="en-AU"/>
    </w:rPr>
  </w:style>
  <w:style w:type="paragraph" w:styleId="Header">
    <w:name w:val="header"/>
    <w:aliases w:val="h"/>
    <w:basedOn w:val="Normal"/>
    <w:link w:val="HeaderChar"/>
    <w:rsid w:val="003B7524"/>
    <w:pPr>
      <w:tabs>
        <w:tab w:val="center" w:pos="4153"/>
        <w:tab w:val="right" w:pos="8306"/>
      </w:tabs>
    </w:pPr>
  </w:style>
  <w:style w:type="paragraph" w:styleId="BalloonText">
    <w:name w:val="Balloon Text"/>
    <w:basedOn w:val="Normal"/>
    <w:semiHidden/>
    <w:rsid w:val="00146C29"/>
    <w:rPr>
      <w:rFonts w:ascii="Tahoma" w:hAnsi="Tahoma" w:cs="Tahoma"/>
      <w:sz w:val="16"/>
      <w:szCs w:val="16"/>
    </w:rPr>
  </w:style>
  <w:style w:type="character" w:styleId="CommentReference">
    <w:name w:val="annotation reference"/>
    <w:uiPriority w:val="99"/>
    <w:semiHidden/>
    <w:rsid w:val="0009363E"/>
    <w:rPr>
      <w:sz w:val="16"/>
      <w:szCs w:val="16"/>
    </w:rPr>
  </w:style>
  <w:style w:type="paragraph" w:styleId="CommentText">
    <w:name w:val="annotation text"/>
    <w:basedOn w:val="Normal"/>
    <w:link w:val="CommentTextChar"/>
    <w:uiPriority w:val="99"/>
    <w:semiHidden/>
    <w:rsid w:val="0009363E"/>
    <w:rPr>
      <w:sz w:val="20"/>
      <w:szCs w:val="20"/>
    </w:rPr>
  </w:style>
  <w:style w:type="paragraph" w:styleId="CommentSubject">
    <w:name w:val="annotation subject"/>
    <w:basedOn w:val="CommentText"/>
    <w:next w:val="CommentText"/>
    <w:semiHidden/>
    <w:rsid w:val="0009363E"/>
    <w:rPr>
      <w:b/>
      <w:bCs/>
    </w:rPr>
  </w:style>
  <w:style w:type="paragraph" w:customStyle="1" w:styleId="Default">
    <w:name w:val="Default"/>
    <w:rsid w:val="00F7392E"/>
    <w:pPr>
      <w:autoSpaceDE w:val="0"/>
      <w:autoSpaceDN w:val="0"/>
      <w:adjustRightInd w:val="0"/>
    </w:pPr>
    <w:rPr>
      <w:color w:val="000000"/>
      <w:sz w:val="24"/>
      <w:szCs w:val="24"/>
    </w:rPr>
  </w:style>
  <w:style w:type="character" w:styleId="Hyperlink">
    <w:name w:val="Hyperlink"/>
    <w:rsid w:val="004D1BEF"/>
    <w:rPr>
      <w:color w:val="0000FF"/>
      <w:u w:val="single"/>
    </w:rPr>
  </w:style>
  <w:style w:type="paragraph" w:styleId="ListParagraph">
    <w:name w:val="List Paragraph"/>
    <w:basedOn w:val="Normal"/>
    <w:uiPriority w:val="34"/>
    <w:qFormat/>
    <w:rsid w:val="00433B24"/>
    <w:pPr>
      <w:ind w:left="720"/>
    </w:pPr>
  </w:style>
  <w:style w:type="character" w:customStyle="1" w:styleId="CommentTextChar">
    <w:name w:val="Comment Text Char"/>
    <w:link w:val="CommentText"/>
    <w:uiPriority w:val="99"/>
    <w:semiHidden/>
    <w:rsid w:val="00190C40"/>
    <w:rPr>
      <w:rFonts w:ascii="CG Omega" w:hAnsi="CG Omega"/>
      <w:lang w:eastAsia="en-US"/>
    </w:rPr>
  </w:style>
  <w:style w:type="character" w:customStyle="1" w:styleId="Heading2Char">
    <w:name w:val="Heading 2 Char"/>
    <w:basedOn w:val="DefaultParagraphFont"/>
    <w:link w:val="Heading2"/>
    <w:uiPriority w:val="9"/>
    <w:rsid w:val="00DB32A9"/>
    <w:rPr>
      <w:b/>
      <w:bCs/>
      <w:color w:val="4F81BD"/>
      <w:sz w:val="26"/>
      <w:szCs w:val="26"/>
    </w:rPr>
  </w:style>
  <w:style w:type="table" w:styleId="TableGrid">
    <w:name w:val="Table Grid"/>
    <w:basedOn w:val="TableNormal"/>
    <w:rsid w:val="00DB32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5E3E"/>
    <w:rPr>
      <w:color w:val="800080" w:themeColor="followedHyperlink"/>
      <w:u w:val="single"/>
    </w:rPr>
  </w:style>
  <w:style w:type="character" w:customStyle="1" w:styleId="HeaderChar">
    <w:name w:val="Header Char"/>
    <w:aliases w:val="h Char"/>
    <w:link w:val="Header"/>
    <w:rsid w:val="00800032"/>
    <w:rPr>
      <w:rFonts w:ascii="CG Omega" w:hAnsi="CG Omega"/>
      <w:sz w:val="22"/>
      <w:szCs w:val="24"/>
      <w:lang w:eastAsia="en-US"/>
    </w:rPr>
  </w:style>
  <w:style w:type="paragraph" w:customStyle="1" w:styleId="TableText">
    <w:name w:val="TableText"/>
    <w:basedOn w:val="Normal"/>
    <w:qFormat/>
    <w:rsid w:val="00114B13"/>
    <w:pPr>
      <w:spacing w:before="120" w:after="120"/>
    </w:pPr>
    <w:rPr>
      <w:rFonts w:ascii="Arial" w:hAnsi="Arial" w:cs="Arial"/>
      <w:bCs/>
      <w:sz w:val="20"/>
      <w:szCs w:val="20"/>
    </w:rPr>
  </w:style>
  <w:style w:type="paragraph" w:styleId="Revision">
    <w:name w:val="Revision"/>
    <w:hidden/>
    <w:uiPriority w:val="99"/>
    <w:semiHidden/>
    <w:rsid w:val="006E645F"/>
    <w:rPr>
      <w:rFonts w:ascii="CG Omega" w:hAnsi="CG Omega"/>
      <w:sz w:val="22"/>
      <w:szCs w:val="24"/>
      <w:lang w:eastAsia="en-US"/>
    </w:rPr>
  </w:style>
  <w:style w:type="character" w:styleId="Emphasis">
    <w:name w:val="Emphasis"/>
    <w:uiPriority w:val="20"/>
    <w:qFormat/>
    <w:rsid w:val="00201B41"/>
    <w:rPr>
      <w:i/>
      <w:iCs/>
    </w:rPr>
  </w:style>
  <w:style w:type="paragraph" w:customStyle="1" w:styleId="Numberedparagraphs">
    <w:name w:val="Numbered paragraphs"/>
    <w:basedOn w:val="Normal"/>
    <w:qFormat/>
    <w:rsid w:val="00BE654C"/>
    <w:pPr>
      <w:numPr>
        <w:numId w:val="8"/>
      </w:numPr>
      <w:spacing w:before="120" w:after="120" w:line="276" w:lineRule="auto"/>
    </w:pPr>
    <w:rPr>
      <w:rFonts w:ascii="Times New Roman" w:hAnsi="Times New Roman"/>
      <w:sz w:val="24"/>
      <w:szCs w:val="22"/>
    </w:rPr>
  </w:style>
  <w:style w:type="paragraph" w:styleId="FootnoteText">
    <w:name w:val="footnote text"/>
    <w:basedOn w:val="Normal"/>
    <w:link w:val="FootnoteTextChar"/>
    <w:uiPriority w:val="99"/>
    <w:semiHidden/>
    <w:unhideWhenUsed/>
    <w:rsid w:val="00DB4E24"/>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DB4E24"/>
    <w:rPr>
      <w:lang w:eastAsia="en-US"/>
    </w:rPr>
  </w:style>
  <w:style w:type="character" w:styleId="FootnoteReference">
    <w:name w:val="footnote reference"/>
    <w:uiPriority w:val="99"/>
    <w:semiHidden/>
    <w:unhideWhenUsed/>
    <w:rsid w:val="00DB4E24"/>
    <w:rPr>
      <w:vertAlign w:val="superscript"/>
    </w:rPr>
  </w:style>
  <w:style w:type="character" w:customStyle="1" w:styleId="FooterChar">
    <w:name w:val="Footer Char"/>
    <w:basedOn w:val="DefaultParagraphFont"/>
    <w:link w:val="Footer"/>
    <w:uiPriority w:val="99"/>
    <w:rsid w:val="00560C12"/>
    <w:rPr>
      <w:rFonts w:ascii="CG Omega" w:hAnsi="CG Omega"/>
      <w:sz w:val="22"/>
      <w:szCs w:val="24"/>
      <w:lang w:eastAsia="en-US"/>
    </w:rPr>
  </w:style>
  <w:style w:type="character" w:styleId="SubtleEmphasis">
    <w:name w:val="Subtle Emphasis"/>
    <w:basedOn w:val="DefaultParagraphFont"/>
    <w:uiPriority w:val="19"/>
    <w:qFormat/>
    <w:rsid w:val="00463E4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4323">
      <w:bodyDiv w:val="1"/>
      <w:marLeft w:val="0"/>
      <w:marRight w:val="0"/>
      <w:marTop w:val="0"/>
      <w:marBottom w:val="0"/>
      <w:divBdr>
        <w:top w:val="none" w:sz="0" w:space="0" w:color="auto"/>
        <w:left w:val="none" w:sz="0" w:space="0" w:color="auto"/>
        <w:bottom w:val="none" w:sz="0" w:space="0" w:color="auto"/>
        <w:right w:val="none" w:sz="0" w:space="0" w:color="auto"/>
      </w:divBdr>
    </w:div>
    <w:div w:id="268126803">
      <w:bodyDiv w:val="1"/>
      <w:marLeft w:val="0"/>
      <w:marRight w:val="0"/>
      <w:marTop w:val="0"/>
      <w:marBottom w:val="0"/>
      <w:divBdr>
        <w:top w:val="none" w:sz="0" w:space="0" w:color="auto"/>
        <w:left w:val="none" w:sz="0" w:space="0" w:color="auto"/>
        <w:bottom w:val="none" w:sz="0" w:space="0" w:color="auto"/>
        <w:right w:val="none" w:sz="0" w:space="0" w:color="auto"/>
      </w:divBdr>
    </w:div>
    <w:div w:id="573710453">
      <w:bodyDiv w:val="1"/>
      <w:marLeft w:val="0"/>
      <w:marRight w:val="0"/>
      <w:marTop w:val="0"/>
      <w:marBottom w:val="0"/>
      <w:divBdr>
        <w:top w:val="none" w:sz="0" w:space="0" w:color="auto"/>
        <w:left w:val="none" w:sz="0" w:space="0" w:color="auto"/>
        <w:bottom w:val="none" w:sz="0" w:space="0" w:color="auto"/>
        <w:right w:val="none" w:sz="0" w:space="0" w:color="auto"/>
      </w:divBdr>
    </w:div>
    <w:div w:id="1297375660">
      <w:bodyDiv w:val="1"/>
      <w:marLeft w:val="0"/>
      <w:marRight w:val="0"/>
      <w:marTop w:val="0"/>
      <w:marBottom w:val="0"/>
      <w:divBdr>
        <w:top w:val="none" w:sz="0" w:space="0" w:color="auto"/>
        <w:left w:val="none" w:sz="0" w:space="0" w:color="auto"/>
        <w:bottom w:val="none" w:sz="0" w:space="0" w:color="auto"/>
        <w:right w:val="none" w:sz="0" w:space="0" w:color="auto"/>
      </w:divBdr>
    </w:div>
    <w:div w:id="1349790288">
      <w:bodyDiv w:val="1"/>
      <w:marLeft w:val="0"/>
      <w:marRight w:val="0"/>
      <w:marTop w:val="0"/>
      <w:marBottom w:val="0"/>
      <w:divBdr>
        <w:top w:val="none" w:sz="0" w:space="0" w:color="auto"/>
        <w:left w:val="none" w:sz="0" w:space="0" w:color="auto"/>
        <w:bottom w:val="none" w:sz="0" w:space="0" w:color="auto"/>
        <w:right w:val="none" w:sz="0" w:space="0" w:color="auto"/>
      </w:divBdr>
    </w:div>
    <w:div w:id="1364942763">
      <w:bodyDiv w:val="1"/>
      <w:marLeft w:val="0"/>
      <w:marRight w:val="0"/>
      <w:marTop w:val="0"/>
      <w:marBottom w:val="0"/>
      <w:divBdr>
        <w:top w:val="none" w:sz="0" w:space="0" w:color="auto"/>
        <w:left w:val="none" w:sz="0" w:space="0" w:color="auto"/>
        <w:bottom w:val="none" w:sz="0" w:space="0" w:color="auto"/>
        <w:right w:val="none" w:sz="0" w:space="0" w:color="auto"/>
      </w:divBdr>
    </w:div>
    <w:div w:id="1506900722">
      <w:bodyDiv w:val="1"/>
      <w:marLeft w:val="0"/>
      <w:marRight w:val="0"/>
      <w:marTop w:val="0"/>
      <w:marBottom w:val="0"/>
      <w:divBdr>
        <w:top w:val="none" w:sz="0" w:space="0" w:color="auto"/>
        <w:left w:val="none" w:sz="0" w:space="0" w:color="auto"/>
        <w:bottom w:val="none" w:sz="0" w:space="0" w:color="auto"/>
        <w:right w:val="none" w:sz="0" w:space="0" w:color="auto"/>
      </w:divBdr>
    </w:div>
    <w:div w:id="1561791439">
      <w:bodyDiv w:val="1"/>
      <w:marLeft w:val="0"/>
      <w:marRight w:val="0"/>
      <w:marTop w:val="0"/>
      <w:marBottom w:val="0"/>
      <w:divBdr>
        <w:top w:val="none" w:sz="0" w:space="0" w:color="auto"/>
        <w:left w:val="none" w:sz="0" w:space="0" w:color="auto"/>
        <w:bottom w:val="none" w:sz="0" w:space="0" w:color="auto"/>
        <w:right w:val="none" w:sz="0" w:space="0" w:color="auto"/>
      </w:divBdr>
    </w:div>
    <w:div w:id="1603999815">
      <w:bodyDiv w:val="1"/>
      <w:marLeft w:val="0"/>
      <w:marRight w:val="0"/>
      <w:marTop w:val="0"/>
      <w:marBottom w:val="0"/>
      <w:divBdr>
        <w:top w:val="none" w:sz="0" w:space="0" w:color="auto"/>
        <w:left w:val="none" w:sz="0" w:space="0" w:color="auto"/>
        <w:bottom w:val="none" w:sz="0" w:space="0" w:color="auto"/>
        <w:right w:val="none" w:sz="0" w:space="0" w:color="auto"/>
      </w:divBdr>
    </w:div>
    <w:div w:id="1724596840">
      <w:bodyDiv w:val="1"/>
      <w:marLeft w:val="0"/>
      <w:marRight w:val="0"/>
      <w:marTop w:val="0"/>
      <w:marBottom w:val="0"/>
      <w:divBdr>
        <w:top w:val="none" w:sz="0" w:space="0" w:color="auto"/>
        <w:left w:val="none" w:sz="0" w:space="0" w:color="auto"/>
        <w:bottom w:val="none" w:sz="0" w:space="0" w:color="auto"/>
        <w:right w:val="none" w:sz="0" w:space="0" w:color="auto"/>
      </w:divBdr>
      <w:divsChild>
        <w:div w:id="1911886635">
          <w:marLeft w:val="0"/>
          <w:marRight w:val="0"/>
          <w:marTop w:val="0"/>
          <w:marBottom w:val="0"/>
          <w:divBdr>
            <w:top w:val="none" w:sz="0" w:space="0" w:color="auto"/>
            <w:left w:val="none" w:sz="0" w:space="0" w:color="auto"/>
            <w:bottom w:val="none" w:sz="0" w:space="0" w:color="auto"/>
            <w:right w:val="none" w:sz="0" w:space="0" w:color="auto"/>
          </w:divBdr>
          <w:divsChild>
            <w:div w:id="643970672">
              <w:marLeft w:val="0"/>
              <w:marRight w:val="0"/>
              <w:marTop w:val="0"/>
              <w:marBottom w:val="0"/>
              <w:divBdr>
                <w:top w:val="none" w:sz="0" w:space="0" w:color="auto"/>
                <w:left w:val="none" w:sz="0" w:space="0" w:color="auto"/>
                <w:bottom w:val="none" w:sz="0" w:space="0" w:color="auto"/>
                <w:right w:val="none" w:sz="0" w:space="0" w:color="auto"/>
              </w:divBdr>
              <w:divsChild>
                <w:div w:id="353043811">
                  <w:marLeft w:val="0"/>
                  <w:marRight w:val="0"/>
                  <w:marTop w:val="100"/>
                  <w:marBottom w:val="100"/>
                  <w:divBdr>
                    <w:top w:val="none" w:sz="0" w:space="0" w:color="auto"/>
                    <w:left w:val="none" w:sz="0" w:space="0" w:color="auto"/>
                    <w:bottom w:val="none" w:sz="0" w:space="0" w:color="auto"/>
                    <w:right w:val="none" w:sz="0" w:space="0" w:color="auto"/>
                  </w:divBdr>
                  <w:divsChild>
                    <w:div w:id="1342321771">
                      <w:marLeft w:val="0"/>
                      <w:marRight w:val="0"/>
                      <w:marTop w:val="0"/>
                      <w:marBottom w:val="0"/>
                      <w:divBdr>
                        <w:top w:val="none" w:sz="0" w:space="0" w:color="auto"/>
                        <w:left w:val="none" w:sz="0" w:space="0" w:color="auto"/>
                        <w:bottom w:val="none" w:sz="0" w:space="0" w:color="auto"/>
                        <w:right w:val="none" w:sz="0" w:space="0" w:color="auto"/>
                      </w:divBdr>
                      <w:divsChild>
                        <w:div w:id="206377634">
                          <w:marLeft w:val="0"/>
                          <w:marRight w:val="0"/>
                          <w:marTop w:val="0"/>
                          <w:marBottom w:val="0"/>
                          <w:divBdr>
                            <w:top w:val="none" w:sz="0" w:space="0" w:color="auto"/>
                            <w:left w:val="none" w:sz="0" w:space="0" w:color="auto"/>
                            <w:bottom w:val="none" w:sz="0" w:space="0" w:color="auto"/>
                            <w:right w:val="none" w:sz="0" w:space="0" w:color="auto"/>
                          </w:divBdr>
                          <w:divsChild>
                            <w:div w:id="1008868648">
                              <w:marLeft w:val="0"/>
                              <w:marRight w:val="0"/>
                              <w:marTop w:val="0"/>
                              <w:marBottom w:val="0"/>
                              <w:divBdr>
                                <w:top w:val="none" w:sz="0" w:space="0" w:color="auto"/>
                                <w:left w:val="none" w:sz="0" w:space="0" w:color="auto"/>
                                <w:bottom w:val="none" w:sz="0" w:space="0" w:color="auto"/>
                                <w:right w:val="none" w:sz="0" w:space="0" w:color="auto"/>
                              </w:divBdr>
                              <w:divsChild>
                                <w:div w:id="2061860371">
                                  <w:marLeft w:val="0"/>
                                  <w:marRight w:val="0"/>
                                  <w:marTop w:val="0"/>
                                  <w:marBottom w:val="0"/>
                                  <w:divBdr>
                                    <w:top w:val="none" w:sz="0" w:space="0" w:color="auto"/>
                                    <w:left w:val="none" w:sz="0" w:space="0" w:color="auto"/>
                                    <w:bottom w:val="none" w:sz="0" w:space="0" w:color="auto"/>
                                    <w:right w:val="none" w:sz="0" w:space="0" w:color="auto"/>
                                  </w:divBdr>
                                  <w:divsChild>
                                    <w:div w:id="874198376">
                                      <w:marLeft w:val="0"/>
                                      <w:marRight w:val="0"/>
                                      <w:marTop w:val="0"/>
                                      <w:marBottom w:val="0"/>
                                      <w:divBdr>
                                        <w:top w:val="none" w:sz="0" w:space="0" w:color="auto"/>
                                        <w:left w:val="none" w:sz="0" w:space="0" w:color="auto"/>
                                        <w:bottom w:val="none" w:sz="0" w:space="0" w:color="auto"/>
                                        <w:right w:val="none" w:sz="0" w:space="0" w:color="auto"/>
                                      </w:divBdr>
                                      <w:divsChild>
                                        <w:div w:id="1059940844">
                                          <w:marLeft w:val="0"/>
                                          <w:marRight w:val="0"/>
                                          <w:marTop w:val="0"/>
                                          <w:marBottom w:val="360"/>
                                          <w:divBdr>
                                            <w:top w:val="none" w:sz="0" w:space="0" w:color="auto"/>
                                            <w:left w:val="none" w:sz="0" w:space="0" w:color="auto"/>
                                            <w:bottom w:val="none" w:sz="0" w:space="0" w:color="auto"/>
                                            <w:right w:val="none" w:sz="0" w:space="0" w:color="auto"/>
                                          </w:divBdr>
                                          <w:divsChild>
                                            <w:div w:id="874656119">
                                              <w:marLeft w:val="0"/>
                                              <w:marRight w:val="0"/>
                                              <w:marTop w:val="0"/>
                                              <w:marBottom w:val="0"/>
                                              <w:divBdr>
                                                <w:top w:val="none" w:sz="0" w:space="0" w:color="auto"/>
                                                <w:left w:val="none" w:sz="0" w:space="0" w:color="auto"/>
                                                <w:bottom w:val="none" w:sz="0" w:space="0" w:color="auto"/>
                                                <w:right w:val="none" w:sz="0" w:space="0" w:color="auto"/>
                                              </w:divBdr>
                                              <w:divsChild>
                                                <w:div w:id="413819845">
                                                  <w:marLeft w:val="0"/>
                                                  <w:marRight w:val="0"/>
                                                  <w:marTop w:val="0"/>
                                                  <w:marBottom w:val="0"/>
                                                  <w:divBdr>
                                                    <w:top w:val="none" w:sz="0" w:space="0" w:color="auto"/>
                                                    <w:left w:val="none" w:sz="0" w:space="0" w:color="auto"/>
                                                    <w:bottom w:val="none" w:sz="0" w:space="0" w:color="auto"/>
                                                    <w:right w:val="none" w:sz="0" w:space="0" w:color="auto"/>
                                                  </w:divBdr>
                                                  <w:divsChild>
                                                    <w:div w:id="866872125">
                                                      <w:marLeft w:val="5370"/>
                                                      <w:marRight w:val="0"/>
                                                      <w:marTop w:val="120"/>
                                                      <w:marBottom w:val="0"/>
                                                      <w:divBdr>
                                                        <w:top w:val="none" w:sz="0" w:space="0" w:color="auto"/>
                                                        <w:left w:val="none" w:sz="0" w:space="0" w:color="auto"/>
                                                        <w:bottom w:val="none" w:sz="0" w:space="0" w:color="auto"/>
                                                        <w:right w:val="none" w:sz="0" w:space="0" w:color="auto"/>
                                                      </w:divBdr>
                                                      <w:divsChild>
                                                        <w:div w:id="90973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3232147">
      <w:bodyDiv w:val="1"/>
      <w:marLeft w:val="0"/>
      <w:marRight w:val="0"/>
      <w:marTop w:val="0"/>
      <w:marBottom w:val="0"/>
      <w:divBdr>
        <w:top w:val="none" w:sz="0" w:space="0" w:color="auto"/>
        <w:left w:val="none" w:sz="0" w:space="0" w:color="auto"/>
        <w:bottom w:val="none" w:sz="0" w:space="0" w:color="auto"/>
        <w:right w:val="none" w:sz="0" w:space="0" w:color="auto"/>
      </w:divBdr>
      <w:divsChild>
        <w:div w:id="1828402539">
          <w:marLeft w:val="0"/>
          <w:marRight w:val="0"/>
          <w:marTop w:val="0"/>
          <w:marBottom w:val="0"/>
          <w:divBdr>
            <w:top w:val="none" w:sz="0" w:space="0" w:color="auto"/>
            <w:left w:val="none" w:sz="0" w:space="0" w:color="auto"/>
            <w:bottom w:val="none" w:sz="0" w:space="0" w:color="auto"/>
            <w:right w:val="none" w:sz="0" w:space="0" w:color="auto"/>
          </w:divBdr>
          <w:divsChild>
            <w:div w:id="1716931956">
              <w:marLeft w:val="0"/>
              <w:marRight w:val="0"/>
              <w:marTop w:val="0"/>
              <w:marBottom w:val="0"/>
              <w:divBdr>
                <w:top w:val="none" w:sz="0" w:space="0" w:color="auto"/>
                <w:left w:val="none" w:sz="0" w:space="0" w:color="auto"/>
                <w:bottom w:val="none" w:sz="0" w:space="0" w:color="auto"/>
                <w:right w:val="none" w:sz="0" w:space="0" w:color="auto"/>
              </w:divBdr>
              <w:divsChild>
                <w:div w:id="375617090">
                  <w:marLeft w:val="0"/>
                  <w:marRight w:val="0"/>
                  <w:marTop w:val="100"/>
                  <w:marBottom w:val="100"/>
                  <w:divBdr>
                    <w:top w:val="none" w:sz="0" w:space="0" w:color="auto"/>
                    <w:left w:val="none" w:sz="0" w:space="0" w:color="auto"/>
                    <w:bottom w:val="none" w:sz="0" w:space="0" w:color="auto"/>
                    <w:right w:val="none" w:sz="0" w:space="0" w:color="auto"/>
                  </w:divBdr>
                  <w:divsChild>
                    <w:div w:id="1393037090">
                      <w:marLeft w:val="0"/>
                      <w:marRight w:val="0"/>
                      <w:marTop w:val="0"/>
                      <w:marBottom w:val="0"/>
                      <w:divBdr>
                        <w:top w:val="none" w:sz="0" w:space="0" w:color="auto"/>
                        <w:left w:val="none" w:sz="0" w:space="0" w:color="auto"/>
                        <w:bottom w:val="none" w:sz="0" w:space="0" w:color="auto"/>
                        <w:right w:val="none" w:sz="0" w:space="0" w:color="auto"/>
                      </w:divBdr>
                      <w:divsChild>
                        <w:div w:id="561451335">
                          <w:marLeft w:val="0"/>
                          <w:marRight w:val="0"/>
                          <w:marTop w:val="0"/>
                          <w:marBottom w:val="0"/>
                          <w:divBdr>
                            <w:top w:val="none" w:sz="0" w:space="0" w:color="auto"/>
                            <w:left w:val="none" w:sz="0" w:space="0" w:color="auto"/>
                            <w:bottom w:val="none" w:sz="0" w:space="0" w:color="auto"/>
                            <w:right w:val="none" w:sz="0" w:space="0" w:color="auto"/>
                          </w:divBdr>
                          <w:divsChild>
                            <w:div w:id="200553219">
                              <w:marLeft w:val="0"/>
                              <w:marRight w:val="0"/>
                              <w:marTop w:val="0"/>
                              <w:marBottom w:val="0"/>
                              <w:divBdr>
                                <w:top w:val="none" w:sz="0" w:space="0" w:color="auto"/>
                                <w:left w:val="none" w:sz="0" w:space="0" w:color="auto"/>
                                <w:bottom w:val="none" w:sz="0" w:space="0" w:color="auto"/>
                                <w:right w:val="none" w:sz="0" w:space="0" w:color="auto"/>
                              </w:divBdr>
                              <w:divsChild>
                                <w:div w:id="420568321">
                                  <w:marLeft w:val="0"/>
                                  <w:marRight w:val="0"/>
                                  <w:marTop w:val="0"/>
                                  <w:marBottom w:val="0"/>
                                  <w:divBdr>
                                    <w:top w:val="none" w:sz="0" w:space="0" w:color="auto"/>
                                    <w:left w:val="none" w:sz="0" w:space="0" w:color="auto"/>
                                    <w:bottom w:val="none" w:sz="0" w:space="0" w:color="auto"/>
                                    <w:right w:val="none" w:sz="0" w:space="0" w:color="auto"/>
                                  </w:divBdr>
                                  <w:divsChild>
                                    <w:div w:id="778067308">
                                      <w:marLeft w:val="0"/>
                                      <w:marRight w:val="0"/>
                                      <w:marTop w:val="0"/>
                                      <w:marBottom w:val="0"/>
                                      <w:divBdr>
                                        <w:top w:val="none" w:sz="0" w:space="0" w:color="auto"/>
                                        <w:left w:val="none" w:sz="0" w:space="0" w:color="auto"/>
                                        <w:bottom w:val="none" w:sz="0" w:space="0" w:color="auto"/>
                                        <w:right w:val="none" w:sz="0" w:space="0" w:color="auto"/>
                                      </w:divBdr>
                                      <w:divsChild>
                                        <w:div w:id="1213736997">
                                          <w:marLeft w:val="0"/>
                                          <w:marRight w:val="0"/>
                                          <w:marTop w:val="0"/>
                                          <w:marBottom w:val="360"/>
                                          <w:divBdr>
                                            <w:top w:val="none" w:sz="0" w:space="0" w:color="auto"/>
                                            <w:left w:val="none" w:sz="0" w:space="0" w:color="auto"/>
                                            <w:bottom w:val="none" w:sz="0" w:space="0" w:color="auto"/>
                                            <w:right w:val="none" w:sz="0" w:space="0" w:color="auto"/>
                                          </w:divBdr>
                                          <w:divsChild>
                                            <w:div w:id="1980726426">
                                              <w:marLeft w:val="0"/>
                                              <w:marRight w:val="0"/>
                                              <w:marTop w:val="0"/>
                                              <w:marBottom w:val="0"/>
                                              <w:divBdr>
                                                <w:top w:val="none" w:sz="0" w:space="0" w:color="auto"/>
                                                <w:left w:val="none" w:sz="0" w:space="0" w:color="auto"/>
                                                <w:bottom w:val="none" w:sz="0" w:space="0" w:color="auto"/>
                                                <w:right w:val="none" w:sz="0" w:space="0" w:color="auto"/>
                                              </w:divBdr>
                                              <w:divsChild>
                                                <w:div w:id="1467234795">
                                                  <w:marLeft w:val="0"/>
                                                  <w:marRight w:val="0"/>
                                                  <w:marTop w:val="0"/>
                                                  <w:marBottom w:val="0"/>
                                                  <w:divBdr>
                                                    <w:top w:val="none" w:sz="0" w:space="0" w:color="auto"/>
                                                    <w:left w:val="none" w:sz="0" w:space="0" w:color="auto"/>
                                                    <w:bottom w:val="none" w:sz="0" w:space="0" w:color="auto"/>
                                                    <w:right w:val="none" w:sz="0" w:space="0" w:color="auto"/>
                                                  </w:divBdr>
                                                  <w:divsChild>
                                                    <w:div w:id="869613014">
                                                      <w:marLeft w:val="5370"/>
                                                      <w:marRight w:val="0"/>
                                                      <w:marTop w:val="120"/>
                                                      <w:marBottom w:val="0"/>
                                                      <w:divBdr>
                                                        <w:top w:val="none" w:sz="0" w:space="0" w:color="auto"/>
                                                        <w:left w:val="none" w:sz="0" w:space="0" w:color="auto"/>
                                                        <w:bottom w:val="none" w:sz="0" w:space="0" w:color="auto"/>
                                                        <w:right w:val="none" w:sz="0" w:space="0" w:color="auto"/>
                                                      </w:divBdr>
                                                      <w:divsChild>
                                                        <w:div w:id="7219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47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37931-D06D-4E30-8B4D-8AE6C0B4D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3872</Words>
  <Characters>21118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24941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pjohns</dc:creator>
  <cp:lastModifiedBy>Tania Chomenko</cp:lastModifiedBy>
  <cp:revision>2</cp:revision>
  <cp:lastPrinted>2019-01-28T23:03:00Z</cp:lastPrinted>
  <dcterms:created xsi:type="dcterms:W3CDTF">2019-04-01T06:12:00Z</dcterms:created>
  <dcterms:modified xsi:type="dcterms:W3CDTF">2019-04-01T06:12:00Z</dcterms:modified>
</cp:coreProperties>
</file>