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3BF" w:rsidRPr="006809B4" w:rsidRDefault="007D63BF" w:rsidP="00973CC5">
      <w:pPr>
        <w:pStyle w:val="Title"/>
      </w:pPr>
      <w:bookmarkStart w:id="0" w:name="_GoBack"/>
      <w:bookmarkEnd w:id="0"/>
      <w:r w:rsidRPr="006809B4">
        <w:t>EXPLANATORY STATEMENT</w:t>
      </w:r>
    </w:p>
    <w:p w:rsidR="007D63BF" w:rsidRPr="006809B4" w:rsidRDefault="007D63BF" w:rsidP="00D148F2">
      <w:pPr>
        <w:rPr>
          <w:b/>
          <w:bCs/>
        </w:rPr>
      </w:pPr>
    </w:p>
    <w:p w:rsidR="007D63BF" w:rsidRPr="006809B4" w:rsidRDefault="007D63BF" w:rsidP="00973CC5">
      <w:pPr>
        <w:jc w:val="center"/>
      </w:pPr>
      <w:r w:rsidRPr="006809B4">
        <w:t xml:space="preserve">Issued by the Authority of the Minister for Health </w:t>
      </w:r>
    </w:p>
    <w:p w:rsidR="007D63BF" w:rsidRPr="006809B4" w:rsidRDefault="007D63BF" w:rsidP="00973CC5">
      <w:pPr>
        <w:jc w:val="center"/>
      </w:pPr>
    </w:p>
    <w:p w:rsidR="005C11C6" w:rsidRPr="006809B4" w:rsidRDefault="007D63BF" w:rsidP="00973CC5">
      <w:pPr>
        <w:jc w:val="center"/>
      </w:pPr>
      <w:r w:rsidRPr="006809B4">
        <w:rPr>
          <w:i/>
        </w:rPr>
        <w:t>P</w:t>
      </w:r>
      <w:r w:rsidR="005C11C6" w:rsidRPr="006809B4">
        <w:rPr>
          <w:i/>
        </w:rPr>
        <w:t xml:space="preserve">rivate Health Insurance Act </w:t>
      </w:r>
      <w:r w:rsidR="00883586" w:rsidRPr="006809B4">
        <w:rPr>
          <w:i/>
        </w:rPr>
        <w:t>200</w:t>
      </w:r>
      <w:r w:rsidR="0078397D" w:rsidRPr="006809B4">
        <w:rPr>
          <w:i/>
        </w:rPr>
        <w:t>7</w:t>
      </w:r>
    </w:p>
    <w:p w:rsidR="005C11C6" w:rsidRPr="006809B4" w:rsidRDefault="005C11C6" w:rsidP="00973CC5">
      <w:pPr>
        <w:jc w:val="center"/>
        <w:rPr>
          <w:b/>
          <w:u w:val="single"/>
        </w:rPr>
      </w:pPr>
    </w:p>
    <w:p w:rsidR="00A37928" w:rsidRDefault="00A37928" w:rsidP="00973CC5">
      <w:pPr>
        <w:jc w:val="center"/>
        <w:rPr>
          <w:i/>
        </w:rPr>
      </w:pPr>
      <w:r w:rsidRPr="006809B4">
        <w:rPr>
          <w:i/>
        </w:rPr>
        <w:t>Private Health Insurance (Benefit Requirements</w:t>
      </w:r>
      <w:r w:rsidR="00DE7C28">
        <w:rPr>
          <w:i/>
        </w:rPr>
        <w:t>)</w:t>
      </w:r>
      <w:r w:rsidR="00435BAA" w:rsidRPr="006809B4">
        <w:rPr>
          <w:i/>
        </w:rPr>
        <w:t xml:space="preserve"> Amendment</w:t>
      </w:r>
      <w:r w:rsidRPr="006809B4">
        <w:rPr>
          <w:i/>
        </w:rPr>
        <w:t xml:space="preserve"> Rules</w:t>
      </w:r>
      <w:r w:rsidR="00CF2E7D">
        <w:rPr>
          <w:i/>
        </w:rPr>
        <w:t xml:space="preserve"> </w:t>
      </w:r>
      <w:r w:rsidR="00CF2E7D" w:rsidRPr="006809B4">
        <w:rPr>
          <w:i/>
        </w:rPr>
        <w:t>(No</w:t>
      </w:r>
      <w:r w:rsidR="00CF2E7D">
        <w:rPr>
          <w:i/>
        </w:rPr>
        <w:t>. 3</w:t>
      </w:r>
      <w:r w:rsidR="00CF2E7D" w:rsidRPr="00E52AC3">
        <w:rPr>
          <w:i/>
        </w:rPr>
        <w:t>)</w:t>
      </w:r>
      <w:r w:rsidR="00CF2E7D">
        <w:rPr>
          <w:i/>
        </w:rPr>
        <w:t xml:space="preserve"> </w:t>
      </w:r>
      <w:r w:rsidRPr="006809B4">
        <w:rPr>
          <w:i/>
        </w:rPr>
        <w:t>20</w:t>
      </w:r>
      <w:r w:rsidR="00A7519B">
        <w:rPr>
          <w:i/>
        </w:rPr>
        <w:t>1</w:t>
      </w:r>
      <w:r w:rsidR="00252F4E">
        <w:rPr>
          <w:i/>
        </w:rPr>
        <w:t>9</w:t>
      </w:r>
      <w:r w:rsidRPr="006809B4">
        <w:rPr>
          <w:i/>
        </w:rPr>
        <w:t xml:space="preserve"> </w:t>
      </w:r>
    </w:p>
    <w:p w:rsidR="00587B1D" w:rsidRPr="006809B4" w:rsidRDefault="00587B1D" w:rsidP="00973CC5">
      <w:pPr>
        <w:jc w:val="center"/>
        <w:rPr>
          <w:i/>
          <w:szCs w:val="24"/>
        </w:rPr>
      </w:pPr>
    </w:p>
    <w:p w:rsidR="00587B1D" w:rsidRPr="005712E2" w:rsidRDefault="00587B1D" w:rsidP="00D47F0E">
      <w:pPr>
        <w:rPr>
          <w:u w:val="single"/>
        </w:rPr>
      </w:pPr>
      <w:r w:rsidRPr="005712E2">
        <w:rPr>
          <w:u w:val="single"/>
        </w:rPr>
        <w:t>Authority</w:t>
      </w:r>
    </w:p>
    <w:p w:rsidR="00AE7E86" w:rsidRPr="005712E2" w:rsidRDefault="00AE7E86" w:rsidP="00AE7E86">
      <w:pPr>
        <w:pStyle w:val="Subtitle"/>
        <w:rPr>
          <w:szCs w:val="24"/>
          <w:u w:val="none"/>
        </w:rPr>
      </w:pPr>
      <w:r w:rsidRPr="005712E2">
        <w:rPr>
          <w:szCs w:val="24"/>
          <w:u w:val="none"/>
        </w:rPr>
        <w:t xml:space="preserve">Section 333-20 of the </w:t>
      </w:r>
      <w:r w:rsidRPr="005712E2">
        <w:rPr>
          <w:i/>
          <w:iCs/>
          <w:szCs w:val="24"/>
          <w:u w:val="none"/>
        </w:rPr>
        <w:t xml:space="preserve">Private Health Insurance Act 2007 </w:t>
      </w:r>
      <w:r w:rsidRPr="005712E2">
        <w:rPr>
          <w:szCs w:val="24"/>
          <w:u w:val="none"/>
        </w:rPr>
        <w:t xml:space="preserve">(the Act) provides that the Minister may make </w:t>
      </w:r>
      <w:r w:rsidRPr="005712E2">
        <w:rPr>
          <w:i/>
          <w:szCs w:val="24"/>
          <w:u w:val="none"/>
        </w:rPr>
        <w:t>Private Health Insurance (Benefit Requirements) Rules</w:t>
      </w:r>
      <w:r w:rsidRPr="005712E2">
        <w:rPr>
          <w:szCs w:val="24"/>
          <w:u w:val="none"/>
        </w:rPr>
        <w:t xml:space="preserve"> providing for matters required or permitted by Part 3-3 of the Act, or necessary or convenient to be provided in order to carry out or give effect to Part 3-3 of the Act.</w:t>
      </w:r>
    </w:p>
    <w:p w:rsidR="00236497" w:rsidRPr="005712E2" w:rsidRDefault="00236497" w:rsidP="00D47F0E">
      <w:pPr>
        <w:autoSpaceDE w:val="0"/>
        <w:autoSpaceDN w:val="0"/>
        <w:adjustRightInd w:val="0"/>
        <w:rPr>
          <w:szCs w:val="24"/>
        </w:rPr>
      </w:pPr>
    </w:p>
    <w:p w:rsidR="00587B1D" w:rsidRPr="005712E2" w:rsidRDefault="00587B1D" w:rsidP="00D47F0E">
      <w:pPr>
        <w:rPr>
          <w:u w:val="single"/>
        </w:rPr>
      </w:pPr>
      <w:r w:rsidRPr="005712E2">
        <w:rPr>
          <w:u w:val="single"/>
        </w:rPr>
        <w:t>Purpose</w:t>
      </w:r>
    </w:p>
    <w:p w:rsidR="00AE7E86" w:rsidRPr="005712E2" w:rsidRDefault="00C31CFB" w:rsidP="00AE7E86">
      <w:pPr>
        <w:autoSpaceDE w:val="0"/>
        <w:autoSpaceDN w:val="0"/>
        <w:adjustRightInd w:val="0"/>
      </w:pPr>
      <w:r w:rsidRPr="005712E2">
        <w:rPr>
          <w:szCs w:val="24"/>
        </w:rPr>
        <w:t xml:space="preserve">The purpose of the </w:t>
      </w:r>
      <w:r w:rsidRPr="005712E2">
        <w:rPr>
          <w:i/>
          <w:szCs w:val="24"/>
        </w:rPr>
        <w:t>Private Health Insurance (Benefit Requirements) Amendment Rules</w:t>
      </w:r>
      <w:r w:rsidR="00CF2E7D">
        <w:rPr>
          <w:i/>
          <w:szCs w:val="24"/>
        </w:rPr>
        <w:t xml:space="preserve"> (No. </w:t>
      </w:r>
      <w:r w:rsidR="00CF2E7D">
        <w:rPr>
          <w:i/>
          <w:szCs w:val="24"/>
        </w:rPr>
        <w:t>3</w:t>
      </w:r>
      <w:r w:rsidR="00CF2E7D" w:rsidRPr="005712E2">
        <w:rPr>
          <w:i/>
          <w:szCs w:val="24"/>
        </w:rPr>
        <w:t>)</w:t>
      </w:r>
      <w:r w:rsidRPr="005712E2">
        <w:rPr>
          <w:i/>
          <w:szCs w:val="24"/>
        </w:rPr>
        <w:t xml:space="preserve"> 201</w:t>
      </w:r>
      <w:r w:rsidR="00252F4E" w:rsidRPr="005712E2">
        <w:rPr>
          <w:i/>
          <w:szCs w:val="24"/>
        </w:rPr>
        <w:t>9</w:t>
      </w:r>
      <w:r w:rsidRPr="005712E2">
        <w:rPr>
          <w:szCs w:val="24"/>
        </w:rPr>
        <w:t xml:space="preserve"> (the Amendment Rules) is to </w:t>
      </w:r>
      <w:r w:rsidR="00AE7E86" w:rsidRPr="005712E2">
        <w:rPr>
          <w:szCs w:val="24"/>
        </w:rPr>
        <w:t xml:space="preserve">amend </w:t>
      </w:r>
      <w:r w:rsidRPr="005712E2">
        <w:rPr>
          <w:szCs w:val="24"/>
        </w:rPr>
        <w:t xml:space="preserve">the </w:t>
      </w:r>
      <w:r w:rsidRPr="005712E2">
        <w:rPr>
          <w:i/>
          <w:szCs w:val="24"/>
        </w:rPr>
        <w:t xml:space="preserve">Private Health Insurance (Benefit Requirements) Rules 2011 </w:t>
      </w:r>
      <w:r w:rsidRPr="005712E2">
        <w:rPr>
          <w:szCs w:val="24"/>
        </w:rPr>
        <w:t>(th</w:t>
      </w:r>
      <w:r w:rsidR="00AC7D77" w:rsidRPr="005712E2">
        <w:rPr>
          <w:szCs w:val="24"/>
        </w:rPr>
        <w:t>e Principal Rules)</w:t>
      </w:r>
      <w:r w:rsidR="00141CF5" w:rsidRPr="005712E2">
        <w:rPr>
          <w:szCs w:val="24"/>
        </w:rPr>
        <w:t xml:space="preserve"> as a consequence of </w:t>
      </w:r>
      <w:r w:rsidR="003C6732" w:rsidRPr="005712E2">
        <w:rPr>
          <w:szCs w:val="24"/>
        </w:rPr>
        <w:t xml:space="preserve">the addition of new item </w:t>
      </w:r>
      <w:r w:rsidR="00EC6BA3">
        <w:rPr>
          <w:szCs w:val="24"/>
        </w:rPr>
        <w:t>115</w:t>
      </w:r>
      <w:r w:rsidR="003C6732" w:rsidRPr="005712E2">
        <w:rPr>
          <w:szCs w:val="24"/>
        </w:rPr>
        <w:t xml:space="preserve"> to the</w:t>
      </w:r>
      <w:r w:rsidR="00A86475" w:rsidRPr="005712E2">
        <w:rPr>
          <w:szCs w:val="24"/>
        </w:rPr>
        <w:t xml:space="preserve"> Medicare Benefits Schedule (MBS) by the </w:t>
      </w:r>
      <w:r w:rsidR="005712E2" w:rsidRPr="005712E2">
        <w:rPr>
          <w:i/>
          <w:szCs w:val="24"/>
        </w:rPr>
        <w:t>Health Insurance (Section 3C General Medical Services –</w:t>
      </w:r>
      <w:r w:rsidR="00EC6BA3">
        <w:rPr>
          <w:i/>
          <w:szCs w:val="24"/>
        </w:rPr>
        <w:t xml:space="preserve"> Unscheduled specialist attendance</w:t>
      </w:r>
      <w:r w:rsidR="005712E2" w:rsidRPr="005712E2">
        <w:rPr>
          <w:i/>
          <w:szCs w:val="24"/>
        </w:rPr>
        <w:t xml:space="preserve">) Determination 2019 </w:t>
      </w:r>
      <w:r w:rsidR="00FB05EE" w:rsidRPr="005712E2">
        <w:rPr>
          <w:szCs w:val="24"/>
        </w:rPr>
        <w:t>with effect from</w:t>
      </w:r>
      <w:r w:rsidR="006B571C" w:rsidRPr="005712E2">
        <w:rPr>
          <w:szCs w:val="24"/>
        </w:rPr>
        <w:t xml:space="preserve"> </w:t>
      </w:r>
      <w:r w:rsidR="00EC6BA3">
        <w:rPr>
          <w:szCs w:val="24"/>
        </w:rPr>
        <w:t>1 April</w:t>
      </w:r>
      <w:r w:rsidR="006B571C" w:rsidRPr="005712E2">
        <w:rPr>
          <w:szCs w:val="24"/>
        </w:rPr>
        <w:t xml:space="preserve"> 2019. </w:t>
      </w:r>
    </w:p>
    <w:p w:rsidR="003F48E7" w:rsidRPr="00B36207" w:rsidRDefault="003F48E7" w:rsidP="00AE7E86">
      <w:pPr>
        <w:autoSpaceDE w:val="0"/>
        <w:autoSpaceDN w:val="0"/>
        <w:adjustRightInd w:val="0"/>
        <w:rPr>
          <w:szCs w:val="24"/>
        </w:rPr>
      </w:pPr>
    </w:p>
    <w:p w:rsidR="002B716D" w:rsidRPr="00DE1924" w:rsidRDefault="006B571C" w:rsidP="009E66B9">
      <w:pPr>
        <w:autoSpaceDE w:val="0"/>
        <w:autoSpaceDN w:val="0"/>
        <w:adjustRightInd w:val="0"/>
        <w:rPr>
          <w:szCs w:val="24"/>
        </w:rPr>
      </w:pPr>
      <w:r w:rsidRPr="00EC6BA3">
        <w:rPr>
          <w:szCs w:val="24"/>
        </w:rPr>
        <w:t>Consequently, t</w:t>
      </w:r>
      <w:r w:rsidR="00AC7D77" w:rsidRPr="00EC6BA3">
        <w:rPr>
          <w:szCs w:val="24"/>
        </w:rPr>
        <w:t xml:space="preserve">he Amendment Rules </w:t>
      </w:r>
      <w:r w:rsidR="00A86475" w:rsidRPr="00EC6BA3">
        <w:rPr>
          <w:szCs w:val="24"/>
        </w:rPr>
        <w:t xml:space="preserve">amends </w:t>
      </w:r>
      <w:r w:rsidR="00AC7D77" w:rsidRPr="00EC6BA3">
        <w:rPr>
          <w:szCs w:val="24"/>
        </w:rPr>
        <w:t xml:space="preserve">the Principal Rules </w:t>
      </w:r>
      <w:r w:rsidR="0009089B" w:rsidRPr="00EC6BA3">
        <w:rPr>
          <w:szCs w:val="24"/>
        </w:rPr>
        <w:t xml:space="preserve">by </w:t>
      </w:r>
      <w:r w:rsidR="00E323D9" w:rsidRPr="00EC6BA3">
        <w:rPr>
          <w:szCs w:val="24"/>
        </w:rPr>
        <w:t xml:space="preserve">adding </w:t>
      </w:r>
      <w:r w:rsidR="00AC7D77" w:rsidRPr="00EC6BA3">
        <w:rPr>
          <w:szCs w:val="24"/>
        </w:rPr>
        <w:t>MBS item number</w:t>
      </w:r>
      <w:r w:rsidR="00E323D9" w:rsidRPr="00EC6BA3">
        <w:rPr>
          <w:szCs w:val="24"/>
        </w:rPr>
        <w:t xml:space="preserve"> </w:t>
      </w:r>
      <w:r w:rsidR="00B36207" w:rsidRPr="000D7616">
        <w:rPr>
          <w:szCs w:val="24"/>
        </w:rPr>
        <w:t>1</w:t>
      </w:r>
      <w:r w:rsidR="00EC6BA3" w:rsidRPr="000D7616">
        <w:rPr>
          <w:szCs w:val="24"/>
        </w:rPr>
        <w:t>15</w:t>
      </w:r>
      <w:r w:rsidR="003C6732" w:rsidRPr="000D7616">
        <w:rPr>
          <w:szCs w:val="24"/>
        </w:rPr>
        <w:t xml:space="preserve"> to clause 8 of Schedule 3 of the Principal Rules.</w:t>
      </w:r>
    </w:p>
    <w:p w:rsidR="00C31CFB" w:rsidRPr="00DE1924" w:rsidRDefault="00C31CFB" w:rsidP="00C31CFB">
      <w:pPr>
        <w:autoSpaceDE w:val="0"/>
        <w:autoSpaceDN w:val="0"/>
        <w:adjustRightInd w:val="0"/>
      </w:pPr>
    </w:p>
    <w:p w:rsidR="00C31CFB" w:rsidRPr="00DE1924" w:rsidRDefault="00C31CFB" w:rsidP="00C31CFB">
      <w:pPr>
        <w:autoSpaceDE w:val="0"/>
        <w:autoSpaceDN w:val="0"/>
        <w:adjustRightInd w:val="0"/>
      </w:pPr>
      <w:r w:rsidRPr="00DE1924">
        <w:t xml:space="preserve">Details of the Amendment Rules are set out in the </w:t>
      </w:r>
      <w:r w:rsidRPr="00DE1924">
        <w:rPr>
          <w:b/>
        </w:rPr>
        <w:t>Attachment</w:t>
      </w:r>
      <w:r w:rsidRPr="00DE1924">
        <w:t>.</w:t>
      </w:r>
    </w:p>
    <w:p w:rsidR="00C31CFB" w:rsidRPr="00DE1924" w:rsidRDefault="00C31CFB" w:rsidP="00A24799">
      <w:pPr>
        <w:autoSpaceDE w:val="0"/>
        <w:autoSpaceDN w:val="0"/>
        <w:adjustRightInd w:val="0"/>
      </w:pPr>
    </w:p>
    <w:p w:rsidR="00BD453D" w:rsidRPr="00DE1924" w:rsidRDefault="00587B1D" w:rsidP="00D47F0E">
      <w:pPr>
        <w:rPr>
          <w:u w:val="single"/>
        </w:rPr>
      </w:pPr>
      <w:r w:rsidRPr="00DE1924">
        <w:rPr>
          <w:u w:val="single"/>
        </w:rPr>
        <w:t>Background</w:t>
      </w:r>
    </w:p>
    <w:p w:rsidR="00AE7E86" w:rsidRPr="00DE1924" w:rsidRDefault="00AE7E86" w:rsidP="00AE7E86">
      <w:pPr>
        <w:rPr>
          <w:szCs w:val="24"/>
        </w:rPr>
      </w:pPr>
      <w:r w:rsidRPr="00DE1924">
        <w:rPr>
          <w:szCs w:val="24"/>
        </w:rPr>
        <w:t xml:space="preserve">The </w:t>
      </w:r>
      <w:r w:rsidRPr="00DE1924">
        <w:t xml:space="preserve">Principal Rules provide for the minimum benefit requirements for psychiatric, rehabilitation and palliative care and other hospital treatment. Schedules 1 to 5 of the Principal Rules set out the minimum levels of benefit which are payable for hospital treatment. Namely, benefits for overnight accommodation (Schedules 1 and 2), same day accommodation (Schedule 3), nursing-home type patients </w:t>
      </w:r>
      <w:r w:rsidR="003F48E7" w:rsidRPr="00DE1924">
        <w:t xml:space="preserve">(NHTP) </w:t>
      </w:r>
      <w:r w:rsidRPr="00DE1924">
        <w:t>(Schedule 4) and second tier default benefits (Schedule 5).</w:t>
      </w:r>
    </w:p>
    <w:p w:rsidR="00AE7E86" w:rsidRPr="00DE1924" w:rsidRDefault="00AE7E86" w:rsidP="00AE7E86">
      <w:pPr>
        <w:rPr>
          <w:u w:val="single"/>
        </w:rPr>
      </w:pPr>
    </w:p>
    <w:p w:rsidR="00AE7E86" w:rsidRPr="00DE1924" w:rsidRDefault="00AE7E86" w:rsidP="00AE7E86">
      <w:r w:rsidRPr="00DE1924">
        <w:t>Schedule 1</w:t>
      </w:r>
      <w:r w:rsidR="003F48E7" w:rsidRPr="00DE1924">
        <w:t xml:space="preserve"> of the Principal Rules </w:t>
      </w:r>
      <w:r w:rsidRPr="00DE1924">
        <w:t xml:space="preserve">categorises MBS item numbers into overnight patient classifications comprising ‘Advanced surgical patient’, ‘Obstetric patient’, ‘Surgical patient’, ‘Psychiatric patient’, ‘Rehabilitation patient’ and ‘Other patients’. Schedule 3 sets out MBS item numbers for the same day hospital accommodation benefits which are payable for privately insured patients in all states and territories. </w:t>
      </w:r>
    </w:p>
    <w:p w:rsidR="00AE7E86" w:rsidRPr="00DE1924" w:rsidRDefault="00AE7E86" w:rsidP="00AE7E86">
      <w:pPr>
        <w:tabs>
          <w:tab w:val="left" w:pos="1482"/>
        </w:tabs>
      </w:pPr>
    </w:p>
    <w:p w:rsidR="00AE7E86" w:rsidRPr="00DE1924" w:rsidRDefault="00AE7E86" w:rsidP="00AE7E86">
      <w:pPr>
        <w:tabs>
          <w:tab w:val="left" w:pos="1482"/>
        </w:tabs>
      </w:pPr>
      <w:r w:rsidRPr="00DE1924">
        <w:t xml:space="preserve">The minimum benefits payable per night for hospital treatment provided to NHTPs in Schedule 4 of the Principal Rules is subject to review and change twice annually, to reflect the indexation applied to the Adult Pension Basic Rate and Maximum Daily Rate of Rental Assistance. </w:t>
      </w:r>
    </w:p>
    <w:p w:rsidR="00AE7E86" w:rsidRPr="00DE1924" w:rsidRDefault="00AE7E86" w:rsidP="00AE7E86">
      <w:pPr>
        <w:tabs>
          <w:tab w:val="left" w:pos="1482"/>
        </w:tabs>
      </w:pPr>
    </w:p>
    <w:p w:rsidR="00AE7E86" w:rsidRPr="00DE1924" w:rsidRDefault="00AE7E86" w:rsidP="00AE7E86">
      <w:pPr>
        <w:rPr>
          <w:szCs w:val="24"/>
          <w:lang w:eastAsia="en-US"/>
        </w:rPr>
      </w:pPr>
      <w:r w:rsidRPr="00DE1924">
        <w:rPr>
          <w:szCs w:val="24"/>
          <w:lang w:eastAsia="en-US"/>
        </w:rPr>
        <w:t xml:space="preserve">Schedule 5 of the Principal Rules requires a health insurer to pay second tier default benefits for most episodes of hospital treatment provided in private hospital facilities that are specified in Schedule 5 if the health insurer does not have a negotiated agreement with the hospital. Schedule 5 </w:t>
      </w:r>
      <w:r w:rsidR="0068570F">
        <w:rPr>
          <w:szCs w:val="24"/>
          <w:lang w:eastAsia="en-US"/>
        </w:rPr>
        <w:t xml:space="preserve">generally </w:t>
      </w:r>
      <w:r w:rsidRPr="00DE1924">
        <w:rPr>
          <w:szCs w:val="24"/>
          <w:lang w:eastAsia="en-US"/>
        </w:rPr>
        <w:t xml:space="preserve">sets a higher minimum level of benefit (for overnight treatment </w:t>
      </w:r>
      <w:r w:rsidRPr="00DE1924">
        <w:rPr>
          <w:szCs w:val="24"/>
          <w:lang w:eastAsia="en-US"/>
        </w:rPr>
        <w:lastRenderedPageBreak/>
        <w:t>and day only treatment provided in specified facilities) than the minimum benefit set for such treatment by Schedules 1, 2 and 3 of the Principal Rules.</w:t>
      </w:r>
    </w:p>
    <w:p w:rsidR="009F5CF1" w:rsidRPr="00DE1924" w:rsidRDefault="009F5CF1" w:rsidP="00973CC5">
      <w:pPr>
        <w:jc w:val="both"/>
        <w:rPr>
          <w:szCs w:val="24"/>
        </w:rPr>
      </w:pPr>
    </w:p>
    <w:p w:rsidR="00105190" w:rsidRPr="00DE1924" w:rsidRDefault="00526D8A" w:rsidP="00973CC5">
      <w:pPr>
        <w:jc w:val="both"/>
        <w:rPr>
          <w:szCs w:val="24"/>
          <w:u w:val="single"/>
        </w:rPr>
      </w:pPr>
      <w:r w:rsidRPr="00DE1924">
        <w:rPr>
          <w:szCs w:val="24"/>
          <w:u w:val="single"/>
        </w:rPr>
        <w:t>Consultation</w:t>
      </w:r>
    </w:p>
    <w:p w:rsidR="00315112" w:rsidRPr="00DE1924" w:rsidRDefault="00315112" w:rsidP="00315112">
      <w:pPr>
        <w:autoSpaceDE w:val="0"/>
        <w:autoSpaceDN w:val="0"/>
        <w:adjustRightInd w:val="0"/>
        <w:rPr>
          <w:szCs w:val="24"/>
        </w:rPr>
      </w:pPr>
      <w:r w:rsidRPr="00DE1924">
        <w:rPr>
          <w:szCs w:val="24"/>
        </w:rPr>
        <w:t xml:space="preserve">Medical advice was sought from </w:t>
      </w:r>
      <w:r w:rsidR="003A34B9">
        <w:rPr>
          <w:szCs w:val="24"/>
        </w:rPr>
        <w:t xml:space="preserve">medical officers </w:t>
      </w:r>
      <w:r w:rsidRPr="00DE1924">
        <w:rPr>
          <w:szCs w:val="24"/>
        </w:rPr>
        <w:t xml:space="preserve">within the Department </w:t>
      </w:r>
      <w:r w:rsidR="00F32FAC">
        <w:rPr>
          <w:szCs w:val="24"/>
        </w:rPr>
        <w:t xml:space="preserve">of Health </w:t>
      </w:r>
      <w:r w:rsidRPr="00DE1924">
        <w:rPr>
          <w:szCs w:val="24"/>
        </w:rPr>
        <w:t>to determine the appropriate level of accommodation benefits</w:t>
      </w:r>
      <w:r w:rsidR="00DA3D85" w:rsidRPr="00DE1924">
        <w:rPr>
          <w:szCs w:val="24"/>
        </w:rPr>
        <w:t xml:space="preserve"> in respect of the MBS item added to the Principal Rules by the Amendment Rules. </w:t>
      </w:r>
    </w:p>
    <w:p w:rsidR="00315112" w:rsidRPr="00DE1924" w:rsidRDefault="00315112" w:rsidP="00AE7E86">
      <w:pPr>
        <w:autoSpaceDE w:val="0"/>
        <w:autoSpaceDN w:val="0"/>
        <w:adjustRightInd w:val="0"/>
        <w:rPr>
          <w:szCs w:val="24"/>
        </w:rPr>
      </w:pPr>
    </w:p>
    <w:p w:rsidR="00F96959" w:rsidRPr="000D7616" w:rsidRDefault="00AC7D77" w:rsidP="00AE7E86">
      <w:pPr>
        <w:autoSpaceDE w:val="0"/>
        <w:autoSpaceDN w:val="0"/>
        <w:adjustRightInd w:val="0"/>
        <w:rPr>
          <w:szCs w:val="24"/>
        </w:rPr>
      </w:pPr>
      <w:r w:rsidRPr="000D7616">
        <w:rPr>
          <w:szCs w:val="24"/>
        </w:rPr>
        <w:t xml:space="preserve">The Amendment Rules implement changes to reflect </w:t>
      </w:r>
      <w:r w:rsidR="00D767C3" w:rsidRPr="000D7616">
        <w:rPr>
          <w:szCs w:val="24"/>
        </w:rPr>
        <w:t xml:space="preserve">the </w:t>
      </w:r>
      <w:r w:rsidRPr="000D7616">
        <w:rPr>
          <w:szCs w:val="24"/>
        </w:rPr>
        <w:t>update ma</w:t>
      </w:r>
      <w:r w:rsidR="00D767C3" w:rsidRPr="000D7616">
        <w:rPr>
          <w:szCs w:val="24"/>
        </w:rPr>
        <w:t>de to the MBS by the instrument</w:t>
      </w:r>
      <w:r w:rsidRPr="000D7616">
        <w:rPr>
          <w:szCs w:val="24"/>
        </w:rPr>
        <w:t xml:space="preserve"> ou</w:t>
      </w:r>
      <w:r w:rsidR="00F45105" w:rsidRPr="000D7616">
        <w:rPr>
          <w:szCs w:val="24"/>
        </w:rPr>
        <w:t>tlined in the Purpose section.</w:t>
      </w:r>
    </w:p>
    <w:p w:rsidR="00AC7D77" w:rsidRPr="000D7616" w:rsidRDefault="00AC7D77" w:rsidP="00AE7E86">
      <w:pPr>
        <w:autoSpaceDE w:val="0"/>
        <w:autoSpaceDN w:val="0"/>
        <w:adjustRightInd w:val="0"/>
        <w:rPr>
          <w:szCs w:val="24"/>
        </w:rPr>
      </w:pPr>
    </w:p>
    <w:p w:rsidR="00AE7E86" w:rsidRPr="00F32FAC" w:rsidRDefault="00AE7E86" w:rsidP="00AE7E86">
      <w:pPr>
        <w:autoSpaceDE w:val="0"/>
        <w:autoSpaceDN w:val="0"/>
        <w:adjustRightInd w:val="0"/>
        <w:rPr>
          <w:szCs w:val="24"/>
        </w:rPr>
      </w:pPr>
      <w:r w:rsidRPr="00F32FAC">
        <w:rPr>
          <w:szCs w:val="24"/>
        </w:rPr>
        <w:t xml:space="preserve">The above </w:t>
      </w:r>
      <w:r w:rsidR="0009089B" w:rsidRPr="00F32FAC">
        <w:rPr>
          <w:szCs w:val="24"/>
        </w:rPr>
        <w:t>instrument</w:t>
      </w:r>
      <w:r w:rsidR="00AC7D77" w:rsidRPr="00F32FAC">
        <w:rPr>
          <w:szCs w:val="24"/>
        </w:rPr>
        <w:t xml:space="preserve"> listed in the Purpose section</w:t>
      </w:r>
      <w:r w:rsidRPr="00F32FAC">
        <w:rPr>
          <w:szCs w:val="24"/>
        </w:rPr>
        <w:t xml:space="preserve"> implement</w:t>
      </w:r>
      <w:r w:rsidR="00AC2A2A" w:rsidRPr="00F32FAC">
        <w:rPr>
          <w:szCs w:val="24"/>
        </w:rPr>
        <w:t>s a decision</w:t>
      </w:r>
      <w:r w:rsidRPr="00F32FAC">
        <w:rPr>
          <w:szCs w:val="24"/>
        </w:rPr>
        <w:t xml:space="preserve"> agreed by </w:t>
      </w:r>
      <w:r w:rsidR="003A34B9" w:rsidRPr="00F32FAC">
        <w:rPr>
          <w:szCs w:val="24"/>
        </w:rPr>
        <w:t xml:space="preserve">the Australian </w:t>
      </w:r>
      <w:r w:rsidRPr="00F32FAC">
        <w:rPr>
          <w:szCs w:val="24"/>
        </w:rPr>
        <w:t>Government following recommendations of the Medical Services Adviso</w:t>
      </w:r>
      <w:r w:rsidR="0009089B" w:rsidRPr="00F32FAC">
        <w:rPr>
          <w:szCs w:val="24"/>
        </w:rPr>
        <w:t>ry Committee (MSAC). The change</w:t>
      </w:r>
      <w:r w:rsidRPr="00F32FAC">
        <w:rPr>
          <w:szCs w:val="24"/>
        </w:rPr>
        <w:t xml:space="preserve"> in the </w:t>
      </w:r>
      <w:r w:rsidR="00C37349" w:rsidRPr="00F32FAC">
        <w:rPr>
          <w:szCs w:val="24"/>
        </w:rPr>
        <w:t>d</w:t>
      </w:r>
      <w:r w:rsidRPr="00F32FAC">
        <w:rPr>
          <w:szCs w:val="24"/>
        </w:rPr>
        <w:t>etermination</w:t>
      </w:r>
      <w:r w:rsidR="00C37349" w:rsidRPr="00F32FAC">
        <w:rPr>
          <w:szCs w:val="24"/>
        </w:rPr>
        <w:t xml:space="preserve"> </w:t>
      </w:r>
      <w:r w:rsidRPr="00F32FAC">
        <w:rPr>
          <w:szCs w:val="24"/>
        </w:rPr>
        <w:t>w</w:t>
      </w:r>
      <w:r w:rsidR="0009089B" w:rsidRPr="00F32FAC">
        <w:rPr>
          <w:szCs w:val="24"/>
        </w:rPr>
        <w:t>as</w:t>
      </w:r>
      <w:r w:rsidRPr="00F32FAC">
        <w:rPr>
          <w:szCs w:val="24"/>
        </w:rPr>
        <w:t xml:space="preserve"> released for public comment prior to finalisation of the recomme</w:t>
      </w:r>
      <w:r w:rsidR="00B55A0D" w:rsidRPr="00F32FAC">
        <w:rPr>
          <w:szCs w:val="24"/>
        </w:rPr>
        <w:t>ndations to Government as below.</w:t>
      </w:r>
    </w:p>
    <w:p w:rsidR="00B55A0D" w:rsidRPr="00F32FAC" w:rsidRDefault="00B55A0D" w:rsidP="00B55A0D">
      <w:pPr>
        <w:autoSpaceDE w:val="0"/>
        <w:autoSpaceDN w:val="0"/>
        <w:adjustRightInd w:val="0"/>
        <w:rPr>
          <w:szCs w:val="24"/>
        </w:rPr>
      </w:pPr>
    </w:p>
    <w:p w:rsidR="00AE7E86" w:rsidRPr="00DE1924" w:rsidRDefault="00AE7E86" w:rsidP="00B55A0D">
      <w:pPr>
        <w:autoSpaceDE w:val="0"/>
        <w:autoSpaceDN w:val="0"/>
        <w:adjustRightInd w:val="0"/>
        <w:rPr>
          <w:szCs w:val="24"/>
        </w:rPr>
      </w:pPr>
      <w:r w:rsidRPr="00F32FAC">
        <w:rPr>
          <w:szCs w:val="24"/>
        </w:rPr>
        <w:t>As part of the MSAC process, consultation was undertaken with professional bodies, consumer groups, the public and clinical experts for applications put forward for consideration by the Committee.</w:t>
      </w:r>
    </w:p>
    <w:p w:rsidR="00B55A0D" w:rsidRPr="00DE1924" w:rsidRDefault="00B55A0D" w:rsidP="00B55A0D">
      <w:pPr>
        <w:autoSpaceDE w:val="0"/>
        <w:autoSpaceDN w:val="0"/>
        <w:adjustRightInd w:val="0"/>
        <w:rPr>
          <w:szCs w:val="24"/>
        </w:rPr>
      </w:pPr>
    </w:p>
    <w:p w:rsidR="003F48E7" w:rsidRPr="00DE1924" w:rsidRDefault="00C31CFB" w:rsidP="00746BE0">
      <w:pPr>
        <w:autoSpaceDE w:val="0"/>
        <w:autoSpaceDN w:val="0"/>
        <w:adjustRightInd w:val="0"/>
        <w:rPr>
          <w:szCs w:val="24"/>
        </w:rPr>
      </w:pPr>
      <w:r w:rsidRPr="00DE1924">
        <w:rPr>
          <w:szCs w:val="24"/>
        </w:rPr>
        <w:t xml:space="preserve">The Amendment Rules commence on </w:t>
      </w:r>
      <w:r w:rsidR="001043D0" w:rsidRPr="00DE1924">
        <w:rPr>
          <w:szCs w:val="24"/>
        </w:rPr>
        <w:t>1</w:t>
      </w:r>
      <w:r w:rsidR="001D15EE">
        <w:rPr>
          <w:szCs w:val="24"/>
        </w:rPr>
        <w:t xml:space="preserve"> </w:t>
      </w:r>
      <w:r w:rsidR="00105D26">
        <w:rPr>
          <w:szCs w:val="24"/>
        </w:rPr>
        <w:t>April</w:t>
      </w:r>
      <w:r w:rsidR="001043D0" w:rsidRPr="00DE1924">
        <w:rPr>
          <w:szCs w:val="24"/>
        </w:rPr>
        <w:t xml:space="preserve"> 2019</w:t>
      </w:r>
      <w:r w:rsidRPr="00DE1924">
        <w:rPr>
          <w:szCs w:val="24"/>
        </w:rPr>
        <w:t xml:space="preserve">. </w:t>
      </w:r>
    </w:p>
    <w:p w:rsidR="00A165CF" w:rsidRPr="00DE1924" w:rsidRDefault="00A165CF" w:rsidP="00746BE0">
      <w:pPr>
        <w:autoSpaceDE w:val="0"/>
        <w:autoSpaceDN w:val="0"/>
        <w:adjustRightInd w:val="0"/>
        <w:rPr>
          <w:szCs w:val="24"/>
        </w:rPr>
      </w:pPr>
    </w:p>
    <w:p w:rsidR="00746BE0" w:rsidRPr="00DE1924" w:rsidRDefault="00746BE0" w:rsidP="00746BE0">
      <w:pPr>
        <w:autoSpaceDE w:val="0"/>
        <w:autoSpaceDN w:val="0"/>
        <w:adjustRightInd w:val="0"/>
        <w:rPr>
          <w:szCs w:val="24"/>
        </w:rPr>
      </w:pPr>
      <w:r w:rsidRPr="00DE1924">
        <w:rPr>
          <w:szCs w:val="24"/>
        </w:rPr>
        <w:t xml:space="preserve">The Amendment Rules are a legislative instrument for the purposes of the </w:t>
      </w:r>
      <w:r w:rsidR="00A165CF" w:rsidRPr="00DE1924">
        <w:rPr>
          <w:szCs w:val="24"/>
        </w:rPr>
        <w:br/>
      </w:r>
      <w:r w:rsidR="00937337" w:rsidRPr="00DE1924">
        <w:rPr>
          <w:i/>
          <w:iCs/>
          <w:szCs w:val="24"/>
        </w:rPr>
        <w:t>Legislation Act 2003</w:t>
      </w:r>
      <w:r w:rsidR="00937337" w:rsidRPr="00DE1924">
        <w:rPr>
          <w:szCs w:val="24"/>
        </w:rPr>
        <w:t>.</w:t>
      </w:r>
    </w:p>
    <w:p w:rsidR="00900AC5" w:rsidRPr="007B6273" w:rsidRDefault="00900AC5" w:rsidP="00900AC5">
      <w:pPr>
        <w:ind w:left="6237" w:firstLine="567"/>
        <w:jc w:val="center"/>
        <w:rPr>
          <w:b/>
        </w:rPr>
      </w:pPr>
      <w:r w:rsidRPr="009E7170">
        <w:rPr>
          <w:b/>
          <w:color w:val="FF0000"/>
        </w:rPr>
        <w:br w:type="page"/>
      </w:r>
      <w:r w:rsidRPr="007B6273">
        <w:rPr>
          <w:b/>
        </w:rPr>
        <w:lastRenderedPageBreak/>
        <w:t>ATTACHMENT</w:t>
      </w:r>
    </w:p>
    <w:p w:rsidR="00900AC5" w:rsidRPr="00DE1924" w:rsidRDefault="00900AC5" w:rsidP="00900AC5">
      <w:pPr>
        <w:pStyle w:val="Header"/>
        <w:tabs>
          <w:tab w:val="clear" w:pos="4153"/>
          <w:tab w:val="clear" w:pos="8306"/>
        </w:tabs>
        <w:jc w:val="center"/>
      </w:pPr>
    </w:p>
    <w:p w:rsidR="00900AC5" w:rsidRPr="00DE1924" w:rsidRDefault="00900AC5" w:rsidP="00900AC5">
      <w:pPr>
        <w:pStyle w:val="Heading6"/>
        <w:tabs>
          <w:tab w:val="left" w:pos="1418"/>
        </w:tabs>
        <w:rPr>
          <w:caps/>
        </w:rPr>
      </w:pPr>
      <w:r w:rsidRPr="00DE1924">
        <w:rPr>
          <w:i w:val="0"/>
          <w:iCs/>
        </w:rPr>
        <w:t xml:space="preserve">DETAILS OF THE </w:t>
      </w:r>
      <w:r w:rsidRPr="00DE1924">
        <w:t xml:space="preserve">PRIVATE HEALTH INSURANCE (BENEFIT REQUIREMENTS) AMENDMENT RULES </w:t>
      </w:r>
      <w:r w:rsidR="00CF2E7D" w:rsidRPr="00DE1924">
        <w:t xml:space="preserve">(No. </w:t>
      </w:r>
      <w:r w:rsidR="00CF2E7D">
        <w:t>3</w:t>
      </w:r>
      <w:r w:rsidR="00CF2E7D" w:rsidRPr="00DE1924">
        <w:t>)</w:t>
      </w:r>
      <w:r w:rsidR="00CF2E7D">
        <w:t xml:space="preserve"> </w:t>
      </w:r>
      <w:r w:rsidRPr="00DE1924">
        <w:t>20</w:t>
      </w:r>
      <w:r w:rsidR="00A9098D" w:rsidRPr="00DE1924">
        <w:t>1</w:t>
      </w:r>
      <w:r w:rsidR="00252F4E" w:rsidRPr="00DE1924">
        <w:t>9</w:t>
      </w:r>
      <w:r w:rsidRPr="00DE1924">
        <w:t xml:space="preserve"> </w:t>
      </w:r>
    </w:p>
    <w:p w:rsidR="00900AC5" w:rsidRPr="009E7170" w:rsidRDefault="00900AC5" w:rsidP="00900AC5">
      <w:pPr>
        <w:pStyle w:val="Header"/>
        <w:tabs>
          <w:tab w:val="clear" w:pos="4153"/>
          <w:tab w:val="clear" w:pos="8306"/>
        </w:tabs>
        <w:jc w:val="both"/>
        <w:rPr>
          <w:b/>
          <w:bCs/>
          <w:color w:val="FF0000"/>
        </w:rPr>
      </w:pPr>
    </w:p>
    <w:p w:rsidR="00900AC5" w:rsidRPr="00DE1924" w:rsidRDefault="00C8424E" w:rsidP="00900AC5">
      <w:pPr>
        <w:pStyle w:val="Header"/>
        <w:tabs>
          <w:tab w:val="clear" w:pos="4153"/>
          <w:tab w:val="clear" w:pos="8306"/>
        </w:tabs>
        <w:jc w:val="both"/>
        <w:rPr>
          <w:b/>
          <w:bCs/>
        </w:rPr>
      </w:pPr>
      <w:r w:rsidRPr="00DE1924">
        <w:rPr>
          <w:b/>
          <w:bCs/>
        </w:rPr>
        <w:t xml:space="preserve">Section </w:t>
      </w:r>
      <w:r w:rsidR="00900AC5" w:rsidRPr="00DE1924">
        <w:rPr>
          <w:b/>
          <w:bCs/>
        </w:rPr>
        <w:t>1</w:t>
      </w:r>
      <w:r w:rsidR="00900AC5" w:rsidRPr="00DE1924">
        <w:rPr>
          <w:b/>
          <w:bCs/>
        </w:rPr>
        <w:tab/>
        <w:t>Name of Rules</w:t>
      </w:r>
    </w:p>
    <w:p w:rsidR="00900AC5" w:rsidRPr="00DE1924" w:rsidRDefault="00900AC5" w:rsidP="00900AC5">
      <w:pPr>
        <w:pStyle w:val="Header"/>
        <w:tabs>
          <w:tab w:val="clear" w:pos="4153"/>
          <w:tab w:val="clear" w:pos="8306"/>
        </w:tabs>
      </w:pPr>
    </w:p>
    <w:p w:rsidR="00900AC5" w:rsidRPr="00DE1924" w:rsidRDefault="001D0B86" w:rsidP="00900AC5">
      <w:pPr>
        <w:pStyle w:val="Header"/>
        <w:tabs>
          <w:tab w:val="clear" w:pos="4153"/>
          <w:tab w:val="clear" w:pos="8306"/>
        </w:tabs>
      </w:pPr>
      <w:r w:rsidRPr="00DE1924">
        <w:t>Section</w:t>
      </w:r>
      <w:r w:rsidR="00900AC5" w:rsidRPr="00DE1924">
        <w:t xml:space="preserve"> 1 provides that the title of the </w:t>
      </w:r>
      <w:r w:rsidR="00E213DA">
        <w:t>instrument</w:t>
      </w:r>
      <w:r w:rsidR="00900AC5" w:rsidRPr="00DE1924">
        <w:t xml:space="preserve"> is the </w:t>
      </w:r>
      <w:r w:rsidR="00900AC5" w:rsidRPr="00DE1924">
        <w:rPr>
          <w:i/>
          <w:iCs/>
        </w:rPr>
        <w:t>Private Health Insurance (Benefit Requirements</w:t>
      </w:r>
      <w:r w:rsidR="00900AC5" w:rsidRPr="00DE1924">
        <w:rPr>
          <w:i/>
        </w:rPr>
        <w:t xml:space="preserve">) Amendment Rules </w:t>
      </w:r>
      <w:r w:rsidR="00CF2E7D" w:rsidRPr="00DE1924">
        <w:rPr>
          <w:i/>
          <w:iCs/>
        </w:rPr>
        <w:t xml:space="preserve">(No. </w:t>
      </w:r>
      <w:r w:rsidR="00CF2E7D">
        <w:rPr>
          <w:i/>
          <w:iCs/>
        </w:rPr>
        <w:t>3</w:t>
      </w:r>
      <w:r w:rsidR="00CF2E7D" w:rsidRPr="00DE1924">
        <w:rPr>
          <w:i/>
          <w:iCs/>
        </w:rPr>
        <w:t xml:space="preserve">) </w:t>
      </w:r>
      <w:r w:rsidR="00900AC5" w:rsidRPr="00DE1924">
        <w:rPr>
          <w:i/>
          <w:iCs/>
        </w:rPr>
        <w:t>201</w:t>
      </w:r>
      <w:r w:rsidR="00252F4E" w:rsidRPr="00DE1924">
        <w:rPr>
          <w:i/>
          <w:iCs/>
        </w:rPr>
        <w:t>9</w:t>
      </w:r>
      <w:r w:rsidR="00900AC5" w:rsidRPr="00DE1924">
        <w:rPr>
          <w:i/>
          <w:iCs/>
        </w:rPr>
        <w:t xml:space="preserve"> </w:t>
      </w:r>
      <w:r w:rsidR="00900AC5" w:rsidRPr="00DE1924">
        <w:rPr>
          <w:iCs/>
        </w:rPr>
        <w:t>(the Amendment Rules).</w:t>
      </w:r>
    </w:p>
    <w:p w:rsidR="00900AC5" w:rsidRPr="00DE1924" w:rsidRDefault="00900AC5" w:rsidP="00900AC5">
      <w:pPr>
        <w:pStyle w:val="Header"/>
        <w:tabs>
          <w:tab w:val="clear" w:pos="4153"/>
          <w:tab w:val="clear" w:pos="8306"/>
        </w:tabs>
        <w:jc w:val="both"/>
      </w:pPr>
    </w:p>
    <w:p w:rsidR="00900AC5" w:rsidRPr="00DE1924" w:rsidRDefault="00C8424E" w:rsidP="00900AC5">
      <w:pPr>
        <w:pStyle w:val="Header"/>
        <w:tabs>
          <w:tab w:val="clear" w:pos="4153"/>
          <w:tab w:val="clear" w:pos="8306"/>
        </w:tabs>
        <w:jc w:val="both"/>
        <w:rPr>
          <w:b/>
          <w:bCs/>
        </w:rPr>
      </w:pPr>
      <w:r w:rsidRPr="00DE1924">
        <w:rPr>
          <w:b/>
          <w:bCs/>
        </w:rPr>
        <w:t>Section 2</w:t>
      </w:r>
      <w:r w:rsidR="00900AC5" w:rsidRPr="00DE1924">
        <w:rPr>
          <w:b/>
          <w:bCs/>
        </w:rPr>
        <w:tab/>
        <w:t>Commencement</w:t>
      </w:r>
    </w:p>
    <w:p w:rsidR="00900AC5" w:rsidRPr="00DE1924" w:rsidRDefault="00900AC5" w:rsidP="00900AC5">
      <w:pPr>
        <w:pStyle w:val="Header"/>
        <w:tabs>
          <w:tab w:val="clear" w:pos="4153"/>
          <w:tab w:val="clear" w:pos="8306"/>
        </w:tabs>
        <w:jc w:val="both"/>
      </w:pPr>
    </w:p>
    <w:p w:rsidR="00C31CFB" w:rsidRPr="00DE1924" w:rsidRDefault="00993592" w:rsidP="00900AC5">
      <w:pPr>
        <w:pStyle w:val="Header"/>
        <w:tabs>
          <w:tab w:val="clear" w:pos="4153"/>
          <w:tab w:val="clear" w:pos="8306"/>
        </w:tabs>
      </w:pPr>
      <w:r w:rsidRPr="00DE1924">
        <w:rPr>
          <w:szCs w:val="24"/>
        </w:rPr>
        <w:t>Section</w:t>
      </w:r>
      <w:r w:rsidR="00900AC5" w:rsidRPr="00DE1924">
        <w:rPr>
          <w:szCs w:val="24"/>
        </w:rPr>
        <w:t xml:space="preserve"> 2 provides that the Amendment Rules commence </w:t>
      </w:r>
      <w:r w:rsidR="00C31CFB" w:rsidRPr="00DE1924">
        <w:t xml:space="preserve">on </w:t>
      </w:r>
      <w:r w:rsidR="001043D0" w:rsidRPr="00DE1924">
        <w:t xml:space="preserve">1 </w:t>
      </w:r>
      <w:r w:rsidR="006B4E8A">
        <w:t>April</w:t>
      </w:r>
      <w:r w:rsidR="001043D0" w:rsidRPr="00DE1924">
        <w:t xml:space="preserve"> 2019</w:t>
      </w:r>
      <w:r w:rsidR="00C31CFB" w:rsidRPr="00DE1924">
        <w:t>.</w:t>
      </w:r>
    </w:p>
    <w:p w:rsidR="00C31CFB" w:rsidRPr="00DE1924" w:rsidRDefault="00C31CFB" w:rsidP="00900AC5">
      <w:pPr>
        <w:pStyle w:val="Header"/>
        <w:tabs>
          <w:tab w:val="clear" w:pos="4153"/>
          <w:tab w:val="clear" w:pos="8306"/>
        </w:tabs>
      </w:pPr>
    </w:p>
    <w:p w:rsidR="00C31CFB" w:rsidRPr="00DE1924" w:rsidRDefault="00C31CFB" w:rsidP="00C31CFB">
      <w:pPr>
        <w:pStyle w:val="Header"/>
        <w:tabs>
          <w:tab w:val="clear" w:pos="4153"/>
          <w:tab w:val="clear" w:pos="8306"/>
        </w:tabs>
        <w:jc w:val="both"/>
        <w:rPr>
          <w:b/>
          <w:bCs/>
        </w:rPr>
      </w:pPr>
      <w:r w:rsidRPr="00DE1924">
        <w:rPr>
          <w:b/>
          <w:bCs/>
        </w:rPr>
        <w:t>Section 3</w:t>
      </w:r>
      <w:r w:rsidRPr="00DE1924">
        <w:rPr>
          <w:b/>
          <w:bCs/>
        </w:rPr>
        <w:tab/>
        <w:t>Authority</w:t>
      </w:r>
    </w:p>
    <w:p w:rsidR="00C31CFB" w:rsidRPr="00DE1924" w:rsidRDefault="00C31CFB" w:rsidP="00C31CFB">
      <w:pPr>
        <w:pStyle w:val="Header"/>
        <w:rPr>
          <w:lang w:val="en-AU"/>
        </w:rPr>
      </w:pPr>
      <w:r w:rsidRPr="00DE1924">
        <w:t xml:space="preserve">Section 3 provides that the </w:t>
      </w:r>
      <w:r w:rsidRPr="00DE1924">
        <w:rPr>
          <w:lang w:val="en-AU"/>
        </w:rPr>
        <w:t xml:space="preserve">Amendment Rules are made under item 3A of the table in section 333-20 of the </w:t>
      </w:r>
      <w:r w:rsidRPr="00DE1924">
        <w:rPr>
          <w:i/>
          <w:lang w:val="en-AU"/>
        </w:rPr>
        <w:t>Private Health Insurance Act 2007</w:t>
      </w:r>
      <w:r w:rsidRPr="00DE1924">
        <w:rPr>
          <w:lang w:val="en-AU"/>
        </w:rPr>
        <w:t>.</w:t>
      </w:r>
    </w:p>
    <w:p w:rsidR="00900AC5" w:rsidRPr="009E7170" w:rsidRDefault="00900AC5" w:rsidP="00900AC5">
      <w:pPr>
        <w:pStyle w:val="Header"/>
        <w:tabs>
          <w:tab w:val="clear" w:pos="4153"/>
          <w:tab w:val="clear" w:pos="8306"/>
        </w:tabs>
        <w:jc w:val="both"/>
        <w:rPr>
          <w:color w:val="FF0000"/>
        </w:rPr>
      </w:pPr>
    </w:p>
    <w:p w:rsidR="00900AC5" w:rsidRPr="00DE1924" w:rsidRDefault="00C8424E" w:rsidP="00900AC5">
      <w:pPr>
        <w:pStyle w:val="Header"/>
        <w:tabs>
          <w:tab w:val="clear" w:pos="4153"/>
          <w:tab w:val="clear" w:pos="8306"/>
          <w:tab w:val="num" w:pos="567"/>
        </w:tabs>
        <w:jc w:val="both"/>
        <w:rPr>
          <w:b/>
          <w:i/>
        </w:rPr>
      </w:pPr>
      <w:r w:rsidRPr="00DE1924">
        <w:rPr>
          <w:b/>
        </w:rPr>
        <w:t xml:space="preserve">Section </w:t>
      </w:r>
      <w:r w:rsidR="00C31CFB" w:rsidRPr="00DE1924">
        <w:rPr>
          <w:b/>
        </w:rPr>
        <w:t>4</w:t>
      </w:r>
      <w:r w:rsidR="00900AC5" w:rsidRPr="00DE1924">
        <w:rPr>
          <w:b/>
        </w:rPr>
        <w:tab/>
      </w:r>
      <w:r w:rsidR="008832EA">
        <w:rPr>
          <w:b/>
        </w:rPr>
        <w:t>Schedules</w:t>
      </w:r>
    </w:p>
    <w:p w:rsidR="00900AC5" w:rsidRPr="00DE1924" w:rsidRDefault="00900AC5" w:rsidP="00900AC5">
      <w:pPr>
        <w:pStyle w:val="Header"/>
        <w:tabs>
          <w:tab w:val="clear" w:pos="4153"/>
          <w:tab w:val="clear" w:pos="8306"/>
          <w:tab w:val="num" w:pos="567"/>
        </w:tabs>
        <w:jc w:val="both"/>
        <w:rPr>
          <w:b/>
        </w:rPr>
      </w:pPr>
    </w:p>
    <w:p w:rsidR="005C0CA1" w:rsidRPr="00DE1924" w:rsidRDefault="005C0CA1" w:rsidP="00C37349">
      <w:pPr>
        <w:pStyle w:val="Header"/>
        <w:tabs>
          <w:tab w:val="clear" w:pos="4153"/>
          <w:tab w:val="clear" w:pos="8306"/>
          <w:tab w:val="num" w:pos="567"/>
        </w:tabs>
      </w:pPr>
      <w:r w:rsidRPr="00DE1924">
        <w:t>Sect</w:t>
      </w:r>
      <w:r w:rsidR="00A165CF" w:rsidRPr="00DE1924">
        <w:t xml:space="preserve">ion </w:t>
      </w:r>
      <w:r w:rsidR="00D02FFA" w:rsidRPr="00DE1924">
        <w:t>4</w:t>
      </w:r>
      <w:r w:rsidR="00A165CF" w:rsidRPr="00DE1924">
        <w:t xml:space="preserve"> provides that the </w:t>
      </w:r>
      <w:r w:rsidR="008832EA">
        <w:t xml:space="preserve">instrument specified in the </w:t>
      </w:r>
      <w:r w:rsidR="00A165CF" w:rsidRPr="00DE1924">
        <w:t>Schedule</w:t>
      </w:r>
      <w:r w:rsidRPr="00DE1924">
        <w:t xml:space="preserve"> </w:t>
      </w:r>
      <w:r w:rsidR="00A165CF" w:rsidRPr="00DE1924">
        <w:t>of</w:t>
      </w:r>
      <w:r w:rsidRPr="00DE1924">
        <w:t xml:space="preserve"> the Amendment Rules </w:t>
      </w:r>
      <w:r w:rsidR="008832EA">
        <w:t xml:space="preserve">will be amended or </w:t>
      </w:r>
      <w:r w:rsidR="008832EA" w:rsidRPr="008832EA">
        <w:rPr>
          <w:lang w:val="en-AU"/>
        </w:rPr>
        <w:t>repealed as set out in the applicable items in the Schedule, and any other item in a Schedule to this instrument has effect according to its terms.</w:t>
      </w:r>
      <w:r w:rsidRPr="00DE1924">
        <w:t xml:space="preserve"> </w:t>
      </w:r>
    </w:p>
    <w:p w:rsidR="00900AC5" w:rsidRPr="00DE1924" w:rsidRDefault="00900AC5" w:rsidP="00900AC5">
      <w:pPr>
        <w:pStyle w:val="Header"/>
        <w:tabs>
          <w:tab w:val="clear" w:pos="4153"/>
          <w:tab w:val="clear" w:pos="8306"/>
          <w:tab w:val="num" w:pos="567"/>
        </w:tabs>
        <w:jc w:val="both"/>
      </w:pPr>
    </w:p>
    <w:p w:rsidR="00654AE6" w:rsidRPr="00DE1924" w:rsidRDefault="00A165CF" w:rsidP="00654AE6">
      <w:pPr>
        <w:jc w:val="both"/>
        <w:rPr>
          <w:b/>
          <w:szCs w:val="24"/>
        </w:rPr>
      </w:pPr>
      <w:r w:rsidRPr="00DE1924">
        <w:rPr>
          <w:b/>
          <w:szCs w:val="24"/>
        </w:rPr>
        <w:t>Schedule</w:t>
      </w:r>
      <w:r w:rsidR="00654AE6" w:rsidRPr="00DE1924">
        <w:rPr>
          <w:b/>
          <w:szCs w:val="24"/>
        </w:rPr>
        <w:t xml:space="preserve"> </w:t>
      </w:r>
      <w:r w:rsidR="004B453A" w:rsidRPr="00DE1924">
        <w:rPr>
          <w:b/>
          <w:szCs w:val="24"/>
        </w:rPr>
        <w:t>1</w:t>
      </w:r>
      <w:r w:rsidR="001171ED" w:rsidRPr="00DE1924">
        <w:rPr>
          <w:b/>
          <w:szCs w:val="24"/>
        </w:rPr>
        <w:t xml:space="preserve"> </w:t>
      </w:r>
      <w:r w:rsidR="00654AE6" w:rsidRPr="00DE1924">
        <w:rPr>
          <w:b/>
          <w:szCs w:val="24"/>
        </w:rPr>
        <w:t xml:space="preserve">– </w:t>
      </w:r>
      <w:r w:rsidR="00C31CFB" w:rsidRPr="00DE1924">
        <w:rPr>
          <w:b/>
          <w:szCs w:val="24"/>
        </w:rPr>
        <w:t>Amendments</w:t>
      </w:r>
    </w:p>
    <w:p w:rsidR="00654AE6" w:rsidRPr="009E7170" w:rsidRDefault="00654AE6" w:rsidP="00654AE6">
      <w:pPr>
        <w:autoSpaceDE w:val="0"/>
        <w:autoSpaceDN w:val="0"/>
        <w:adjustRightInd w:val="0"/>
        <w:rPr>
          <w:color w:val="FF0000"/>
        </w:rPr>
      </w:pPr>
    </w:p>
    <w:p w:rsidR="00AE7E86" w:rsidRPr="00DE1924" w:rsidRDefault="00490C9D" w:rsidP="00010287">
      <w:pPr>
        <w:rPr>
          <w:snapToGrid w:val="0"/>
          <w:lang w:val="en-US" w:eastAsia="en-US"/>
        </w:rPr>
      </w:pPr>
      <w:r w:rsidRPr="00DE1924">
        <w:rPr>
          <w:b/>
          <w:szCs w:val="24"/>
        </w:rPr>
        <w:t>Item</w:t>
      </w:r>
      <w:r w:rsidR="004B453A" w:rsidRPr="00DE1924">
        <w:rPr>
          <w:b/>
          <w:szCs w:val="24"/>
        </w:rPr>
        <w:t>s</w:t>
      </w:r>
      <w:r w:rsidRPr="00DE1924">
        <w:rPr>
          <w:b/>
          <w:szCs w:val="24"/>
        </w:rPr>
        <w:t xml:space="preserve"> 1</w:t>
      </w:r>
      <w:r w:rsidR="004B453A" w:rsidRPr="00DE1924">
        <w:rPr>
          <w:b/>
          <w:szCs w:val="24"/>
        </w:rPr>
        <w:t xml:space="preserve"> </w:t>
      </w:r>
      <w:r w:rsidR="0009089B" w:rsidRPr="00DE1924">
        <w:rPr>
          <w:b/>
          <w:szCs w:val="24"/>
        </w:rPr>
        <w:t>- Schedule 3, clause 8 (paragrap</w:t>
      </w:r>
      <w:r w:rsidR="00DE1924" w:rsidRPr="00DE1924">
        <w:rPr>
          <w:b/>
          <w:szCs w:val="24"/>
        </w:rPr>
        <w:t xml:space="preserve">hs under the heading “Category </w:t>
      </w:r>
      <w:r w:rsidR="00836A52">
        <w:rPr>
          <w:b/>
          <w:szCs w:val="24"/>
        </w:rPr>
        <w:t>1</w:t>
      </w:r>
      <w:r w:rsidR="0009089B" w:rsidRPr="00DE1924">
        <w:rPr>
          <w:b/>
          <w:szCs w:val="24"/>
        </w:rPr>
        <w:t xml:space="preserve"> – </w:t>
      </w:r>
      <w:r w:rsidR="00836A52">
        <w:rPr>
          <w:b/>
          <w:szCs w:val="24"/>
        </w:rPr>
        <w:t>Attendances”</w:t>
      </w:r>
      <w:r w:rsidR="0009089B" w:rsidRPr="00DE1924">
        <w:rPr>
          <w:b/>
          <w:szCs w:val="24"/>
        </w:rPr>
        <w:t>)</w:t>
      </w:r>
    </w:p>
    <w:p w:rsidR="0041543D" w:rsidRPr="00DE1924" w:rsidRDefault="0041543D" w:rsidP="00010287">
      <w:pPr>
        <w:rPr>
          <w:snapToGrid w:val="0"/>
          <w:lang w:val="en-US" w:eastAsia="en-US"/>
        </w:rPr>
      </w:pPr>
    </w:p>
    <w:p w:rsidR="003C6732" w:rsidRPr="00DE1924" w:rsidRDefault="003C6732" w:rsidP="009E66B9">
      <w:pPr>
        <w:rPr>
          <w:snapToGrid w:val="0"/>
          <w:lang w:eastAsia="en-US"/>
        </w:rPr>
      </w:pPr>
      <w:r w:rsidRPr="00DE1924">
        <w:rPr>
          <w:snapToGrid w:val="0"/>
          <w:lang w:eastAsia="en-US"/>
        </w:rPr>
        <w:t xml:space="preserve">Item 1 amends the </w:t>
      </w:r>
      <w:r w:rsidR="008832EA" w:rsidRPr="008832EA">
        <w:rPr>
          <w:i/>
          <w:snapToGrid w:val="0"/>
          <w:lang w:eastAsia="en-US"/>
        </w:rPr>
        <w:t>Private Health Insurance (Benefit Requirements) Rules 2011</w:t>
      </w:r>
      <w:r w:rsidR="008832EA" w:rsidRPr="008832EA">
        <w:rPr>
          <w:snapToGrid w:val="0"/>
          <w:lang w:eastAsia="en-US"/>
        </w:rPr>
        <w:t xml:space="preserve"> (the Principal Rules)</w:t>
      </w:r>
      <w:r w:rsidR="008832EA">
        <w:rPr>
          <w:snapToGrid w:val="0"/>
          <w:lang w:eastAsia="en-US"/>
        </w:rPr>
        <w:t xml:space="preserve"> </w:t>
      </w:r>
      <w:r w:rsidRPr="00DE1924">
        <w:rPr>
          <w:snapToGrid w:val="0"/>
          <w:lang w:eastAsia="en-US"/>
        </w:rPr>
        <w:t xml:space="preserve">by adding MBS item number </w:t>
      </w:r>
      <w:r w:rsidR="00805D2E">
        <w:rPr>
          <w:snapToGrid w:val="0"/>
          <w:lang w:eastAsia="en-US"/>
        </w:rPr>
        <w:t>115</w:t>
      </w:r>
      <w:r w:rsidRPr="00DE1924">
        <w:rPr>
          <w:snapToGrid w:val="0"/>
          <w:lang w:eastAsia="en-US"/>
        </w:rPr>
        <w:t xml:space="preserve"> </w:t>
      </w:r>
      <w:r w:rsidRPr="00836A52">
        <w:rPr>
          <w:snapToGrid w:val="0"/>
          <w:lang w:eastAsia="en-US"/>
        </w:rPr>
        <w:t>to clause 8 of Schedule 3 of the Principal Rules.</w:t>
      </w:r>
    </w:p>
    <w:p w:rsidR="003C6732" w:rsidRPr="00DE1924" w:rsidRDefault="003C6732" w:rsidP="009E66B9">
      <w:pPr>
        <w:rPr>
          <w:snapToGrid w:val="0"/>
          <w:lang w:eastAsia="en-US"/>
        </w:rPr>
      </w:pPr>
    </w:p>
    <w:p w:rsidR="00175D69" w:rsidRPr="00DE1924" w:rsidRDefault="00175D69" w:rsidP="009E66B9">
      <w:pPr>
        <w:rPr>
          <w:snapToGrid w:val="0"/>
          <w:lang w:eastAsia="en-US"/>
        </w:rPr>
      </w:pPr>
      <w:r w:rsidRPr="00DE1924">
        <w:rPr>
          <w:snapToGrid w:val="0"/>
          <w:lang w:val="en-US" w:eastAsia="en-US"/>
        </w:rPr>
        <w:t xml:space="preserve">MBS item </w:t>
      </w:r>
      <w:r w:rsidR="00805D2E">
        <w:rPr>
          <w:snapToGrid w:val="0"/>
          <w:lang w:val="en-US" w:eastAsia="en-US"/>
        </w:rPr>
        <w:t>115</w:t>
      </w:r>
      <w:r w:rsidRPr="00DE1924">
        <w:rPr>
          <w:snapToGrid w:val="0"/>
          <w:lang w:eastAsia="en-US"/>
        </w:rPr>
        <w:t xml:space="preserve"> was added to the </w:t>
      </w:r>
      <w:r w:rsidR="0038303B" w:rsidRPr="00DE1924">
        <w:rPr>
          <w:snapToGrid w:val="0"/>
          <w:lang w:eastAsia="en-US"/>
        </w:rPr>
        <w:t xml:space="preserve">MBS </w:t>
      </w:r>
      <w:r w:rsidR="0009089B" w:rsidRPr="00DE1924">
        <w:rPr>
          <w:snapToGrid w:val="0"/>
          <w:lang w:eastAsia="en-US"/>
        </w:rPr>
        <w:t>by</w:t>
      </w:r>
      <w:r w:rsidR="0068570F">
        <w:rPr>
          <w:snapToGrid w:val="0"/>
          <w:lang w:eastAsia="en-US"/>
        </w:rPr>
        <w:t xml:space="preserve"> the</w:t>
      </w:r>
      <w:r w:rsidR="00DE1924" w:rsidRPr="00DE1924">
        <w:rPr>
          <w:snapToGrid w:val="0"/>
          <w:lang w:eastAsia="en-US"/>
        </w:rPr>
        <w:t xml:space="preserve"> </w:t>
      </w:r>
      <w:r w:rsidR="00DE1924" w:rsidRPr="00DE1924">
        <w:rPr>
          <w:i/>
          <w:snapToGrid w:val="0"/>
          <w:lang w:eastAsia="en-US"/>
        </w:rPr>
        <w:t xml:space="preserve">Health Insurance (Section 3C General Medical Services – </w:t>
      </w:r>
      <w:r w:rsidR="00805D2E">
        <w:rPr>
          <w:i/>
          <w:snapToGrid w:val="0"/>
          <w:lang w:eastAsia="en-US"/>
        </w:rPr>
        <w:t>Unscheduled specialist attendance</w:t>
      </w:r>
      <w:r w:rsidR="00DE1924" w:rsidRPr="00DE1924">
        <w:rPr>
          <w:i/>
          <w:snapToGrid w:val="0"/>
          <w:lang w:eastAsia="en-US"/>
        </w:rPr>
        <w:t>) Determination 2019</w:t>
      </w:r>
      <w:r w:rsidR="009E66B9" w:rsidRPr="00DE1924">
        <w:rPr>
          <w:snapToGrid w:val="0"/>
          <w:lang w:eastAsia="en-US"/>
        </w:rPr>
        <w:t>, which commence</w:t>
      </w:r>
      <w:r w:rsidR="00482D31">
        <w:rPr>
          <w:snapToGrid w:val="0"/>
          <w:lang w:eastAsia="en-US"/>
        </w:rPr>
        <w:t>s</w:t>
      </w:r>
      <w:r w:rsidR="009E66B9" w:rsidRPr="00DE1924">
        <w:rPr>
          <w:snapToGrid w:val="0"/>
          <w:lang w:eastAsia="en-US"/>
        </w:rPr>
        <w:t xml:space="preserve"> on </w:t>
      </w:r>
      <w:r w:rsidR="00805D2E">
        <w:rPr>
          <w:snapToGrid w:val="0"/>
          <w:lang w:eastAsia="en-US"/>
        </w:rPr>
        <w:t xml:space="preserve">1 April </w:t>
      </w:r>
      <w:r w:rsidRPr="00DE1924">
        <w:rPr>
          <w:snapToGrid w:val="0"/>
          <w:lang w:eastAsia="en-US"/>
        </w:rPr>
        <w:t>201</w:t>
      </w:r>
      <w:r w:rsidR="0009089B" w:rsidRPr="00DE1924">
        <w:rPr>
          <w:snapToGrid w:val="0"/>
          <w:lang w:eastAsia="en-US"/>
        </w:rPr>
        <w:t>9</w:t>
      </w:r>
      <w:r w:rsidRPr="00DE1924">
        <w:rPr>
          <w:snapToGrid w:val="0"/>
          <w:lang w:eastAsia="en-US"/>
        </w:rPr>
        <w:t xml:space="preserve">. </w:t>
      </w:r>
    </w:p>
    <w:p w:rsidR="00175D69" w:rsidRPr="009E7170" w:rsidRDefault="00175D69" w:rsidP="009E66B9">
      <w:pPr>
        <w:rPr>
          <w:i/>
          <w:snapToGrid w:val="0"/>
          <w:color w:val="FF0000"/>
          <w:lang w:eastAsia="en-US"/>
        </w:rPr>
      </w:pPr>
    </w:p>
    <w:p w:rsidR="00607767" w:rsidRPr="009E7170" w:rsidRDefault="00607767" w:rsidP="008209A7">
      <w:pPr>
        <w:rPr>
          <w:color w:val="FF0000"/>
          <w:szCs w:val="24"/>
          <w:lang w:val="en-US" w:eastAsia="en-US"/>
        </w:rPr>
      </w:pPr>
    </w:p>
    <w:p w:rsidR="00654AE6" w:rsidRDefault="00654AE6" w:rsidP="00654AE6">
      <w:pPr>
        <w:rPr>
          <w:szCs w:val="24"/>
          <w:lang w:val="en-US" w:eastAsia="en-US"/>
        </w:rPr>
      </w:pPr>
    </w:p>
    <w:p w:rsidR="00024783" w:rsidRPr="008410C2" w:rsidRDefault="005A1C08" w:rsidP="009862FF">
      <w:pPr>
        <w:jc w:val="both"/>
        <w:rPr>
          <w:szCs w:val="24"/>
          <w:lang w:eastAsia="en-US"/>
        </w:rPr>
      </w:pPr>
      <w:r>
        <w:rPr>
          <w:b/>
          <w:szCs w:val="24"/>
        </w:rPr>
        <w:br w:type="page"/>
      </w:r>
    </w:p>
    <w:p w:rsidR="00024783" w:rsidRDefault="002F1511" w:rsidP="00AD64A3">
      <w:pPr>
        <w:rPr>
          <w:szCs w:val="24"/>
          <w:lang w:eastAsia="en-US"/>
        </w:rPr>
      </w:pPr>
      <w:r>
        <w:rPr>
          <w:rFonts w:ascii="Calibri" w:eastAsia="Calibri" w:hAnsi="Calibri"/>
          <w:noProof/>
          <w:sz w:val="22"/>
          <w:szCs w:val="22"/>
        </w:rPr>
        <w:lastRenderedPageBreak/>
        <mc:AlternateContent>
          <mc:Choice Requires="wps">
            <w:drawing>
              <wp:anchor distT="0" distB="0" distL="114300" distR="114300" simplePos="0" relativeHeight="251657728" behindDoc="0" locked="0" layoutInCell="1" allowOverlap="1" wp14:anchorId="0CF857A6" wp14:editId="262C8369">
                <wp:simplePos x="0" y="0"/>
                <wp:positionH relativeFrom="column">
                  <wp:posOffset>-446405</wp:posOffset>
                </wp:positionH>
                <wp:positionV relativeFrom="paragraph">
                  <wp:posOffset>-98425</wp:posOffset>
                </wp:positionV>
                <wp:extent cx="6762115" cy="942848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115" cy="9428480"/>
                        </a:xfrm>
                        <a:prstGeom prst="rect">
                          <a:avLst/>
                        </a:prstGeom>
                        <a:solidFill>
                          <a:srgbClr val="FFFFFF"/>
                        </a:solidFill>
                        <a:ln w="76200" cmpd="tri">
                          <a:solidFill>
                            <a:srgbClr val="000000"/>
                          </a:solidFill>
                          <a:miter lim="800000"/>
                          <a:headEnd/>
                          <a:tailEnd/>
                        </a:ln>
                      </wps:spPr>
                      <wps:txbx>
                        <w:txbxContent>
                          <w:p w:rsidR="004709C4" w:rsidRPr="00E4135E" w:rsidRDefault="004709C4" w:rsidP="00024783">
                            <w:pPr>
                              <w:spacing w:before="360" w:after="120"/>
                              <w:jc w:val="center"/>
                              <w:rPr>
                                <w:b/>
                                <w:sz w:val="28"/>
                                <w:szCs w:val="28"/>
                              </w:rPr>
                            </w:pPr>
                            <w:r w:rsidRPr="00E4135E">
                              <w:rPr>
                                <w:b/>
                                <w:sz w:val="28"/>
                                <w:szCs w:val="28"/>
                              </w:rPr>
                              <w:t>Statement of Compatibility with Human Rights</w:t>
                            </w:r>
                          </w:p>
                          <w:p w:rsidR="004709C4" w:rsidRPr="00E4135E" w:rsidRDefault="004709C4" w:rsidP="00024783">
                            <w:pPr>
                              <w:spacing w:before="120" w:after="120"/>
                              <w:jc w:val="center"/>
                              <w:rPr>
                                <w:szCs w:val="24"/>
                              </w:rPr>
                            </w:pPr>
                            <w:r w:rsidRPr="00E4135E">
                              <w:rPr>
                                <w:i/>
                                <w:szCs w:val="24"/>
                              </w:rPr>
                              <w:t>Prepared in accordance with Part 3 of the Human Rights (Parliamentary Scrutiny) Act 2011</w:t>
                            </w:r>
                          </w:p>
                          <w:p w:rsidR="004709C4" w:rsidRPr="00E4135E" w:rsidRDefault="004709C4" w:rsidP="00A163C5">
                            <w:pPr>
                              <w:jc w:val="center"/>
                              <w:rPr>
                                <w:szCs w:val="24"/>
                              </w:rPr>
                            </w:pPr>
                          </w:p>
                          <w:p w:rsidR="004709C4" w:rsidRPr="00E4135E" w:rsidRDefault="004709C4" w:rsidP="00010287">
                            <w:pPr>
                              <w:spacing w:before="120" w:after="120"/>
                              <w:rPr>
                                <w:b/>
                                <w:szCs w:val="24"/>
                              </w:rPr>
                            </w:pPr>
                            <w:r>
                              <w:rPr>
                                <w:b/>
                                <w:szCs w:val="24"/>
                              </w:rPr>
                              <w:t>Private Health Insurance (Benefit Requirements) Amendment Rules</w:t>
                            </w:r>
                            <w:r w:rsidR="00CF2E7D">
                              <w:rPr>
                                <w:b/>
                                <w:szCs w:val="24"/>
                              </w:rPr>
                              <w:t xml:space="preserve"> </w:t>
                            </w:r>
                            <w:r w:rsidR="00CF2E7D">
                              <w:rPr>
                                <w:b/>
                                <w:szCs w:val="24"/>
                              </w:rPr>
                              <w:t>(No. 3)</w:t>
                            </w:r>
                            <w:r>
                              <w:rPr>
                                <w:b/>
                                <w:szCs w:val="24"/>
                              </w:rPr>
                              <w:t xml:space="preserve"> </w:t>
                            </w:r>
                            <w:r w:rsidR="00F005D2">
                              <w:rPr>
                                <w:b/>
                                <w:szCs w:val="24"/>
                              </w:rPr>
                              <w:t xml:space="preserve">2019 </w:t>
                            </w:r>
                          </w:p>
                          <w:p w:rsidR="004709C4" w:rsidRPr="00E4135E" w:rsidRDefault="004709C4" w:rsidP="00010287">
                            <w:pPr>
                              <w:spacing w:before="120" w:after="120"/>
                              <w:rPr>
                                <w:szCs w:val="24"/>
                              </w:rPr>
                            </w:pPr>
                            <w:r w:rsidRPr="00E4135E">
                              <w:rPr>
                                <w:szCs w:val="24"/>
                              </w:rPr>
                              <w:t>Thi</w:t>
                            </w:r>
                            <w:r>
                              <w:rPr>
                                <w:szCs w:val="24"/>
                              </w:rPr>
                              <w:t xml:space="preserve">s </w:t>
                            </w:r>
                            <w:r w:rsidRPr="00E4135E">
                              <w:rPr>
                                <w:szCs w:val="24"/>
                              </w:rPr>
                              <w:t xml:space="preserve">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rsidR="00AB782B" w:rsidRPr="00A163C5" w:rsidRDefault="00AB782B" w:rsidP="00AB782B">
                            <w:pPr>
                              <w:spacing w:before="120" w:after="120"/>
                              <w:jc w:val="both"/>
                              <w:rPr>
                                <w:b/>
                                <w:szCs w:val="24"/>
                              </w:rPr>
                            </w:pPr>
                            <w:r w:rsidRPr="00A163C5">
                              <w:rPr>
                                <w:b/>
                                <w:szCs w:val="24"/>
                              </w:rPr>
                              <w:t>Overview of the Legislative Instrument</w:t>
                            </w:r>
                          </w:p>
                          <w:p w:rsidR="00CA794B" w:rsidRPr="0015149C" w:rsidRDefault="00AB782B" w:rsidP="00CA794B">
                            <w:pPr>
                              <w:jc w:val="both"/>
                              <w:rPr>
                                <w:szCs w:val="24"/>
                              </w:rPr>
                            </w:pPr>
                            <w:r w:rsidRPr="0015149C">
                              <w:rPr>
                                <w:snapToGrid w:val="0"/>
                              </w:rPr>
                              <w:t xml:space="preserve">The </w:t>
                            </w:r>
                            <w:r w:rsidRPr="0015149C">
                              <w:rPr>
                                <w:i/>
                                <w:snapToGrid w:val="0"/>
                              </w:rPr>
                              <w:t>Private Health Insurance (Benefit Requirements) Amendment Rules</w:t>
                            </w:r>
                            <w:r w:rsidR="00CF2E7D">
                              <w:rPr>
                                <w:i/>
                                <w:snapToGrid w:val="0"/>
                              </w:rPr>
                              <w:t xml:space="preserve"> </w:t>
                            </w:r>
                            <w:r w:rsidR="00CF2E7D" w:rsidRPr="0015149C">
                              <w:rPr>
                                <w:i/>
                                <w:snapToGrid w:val="0"/>
                              </w:rPr>
                              <w:t xml:space="preserve">(No. </w:t>
                            </w:r>
                            <w:r w:rsidR="00CF2E7D">
                              <w:rPr>
                                <w:i/>
                                <w:snapToGrid w:val="0"/>
                              </w:rPr>
                              <w:t>3</w:t>
                            </w:r>
                            <w:r w:rsidR="00CF2E7D" w:rsidRPr="0015149C">
                              <w:rPr>
                                <w:i/>
                                <w:snapToGrid w:val="0"/>
                              </w:rPr>
                              <w:t>)</w:t>
                            </w:r>
                            <w:r w:rsidRPr="0015149C">
                              <w:rPr>
                                <w:i/>
                                <w:snapToGrid w:val="0"/>
                              </w:rPr>
                              <w:t xml:space="preserve"> 201</w:t>
                            </w:r>
                            <w:r w:rsidR="00252F4E" w:rsidRPr="0015149C">
                              <w:rPr>
                                <w:i/>
                                <w:snapToGrid w:val="0"/>
                              </w:rPr>
                              <w:t>9</w:t>
                            </w:r>
                            <w:r w:rsidR="0009089B" w:rsidRPr="0015149C">
                              <w:rPr>
                                <w:snapToGrid w:val="0"/>
                              </w:rPr>
                              <w:t xml:space="preserve"> </w:t>
                            </w:r>
                            <w:r w:rsidR="0009089B" w:rsidRPr="00482D31">
                              <w:rPr>
                                <w:snapToGrid w:val="0"/>
                              </w:rPr>
                              <w:t>amends Schedule</w:t>
                            </w:r>
                            <w:r w:rsidR="00252F4E" w:rsidRPr="00482D31">
                              <w:rPr>
                                <w:snapToGrid w:val="0"/>
                              </w:rPr>
                              <w:t> </w:t>
                            </w:r>
                            <w:r w:rsidR="00CA794B" w:rsidRPr="00482D31">
                              <w:rPr>
                                <w:snapToGrid w:val="0"/>
                              </w:rPr>
                              <w:t>3</w:t>
                            </w:r>
                            <w:r w:rsidRPr="0015149C">
                              <w:rPr>
                                <w:snapToGrid w:val="0"/>
                              </w:rPr>
                              <w:t xml:space="preserve"> of the </w:t>
                            </w:r>
                            <w:r w:rsidRPr="0015149C">
                              <w:rPr>
                                <w:i/>
                                <w:snapToGrid w:val="0"/>
                              </w:rPr>
                              <w:t>Private Health Insurance (Benefit Requirements) Rules 2011</w:t>
                            </w:r>
                            <w:r w:rsidR="00F86A4C" w:rsidRPr="0015149C">
                              <w:rPr>
                                <w:i/>
                                <w:snapToGrid w:val="0"/>
                              </w:rPr>
                              <w:t xml:space="preserve"> </w:t>
                            </w:r>
                            <w:r w:rsidR="00F86A4C" w:rsidRPr="0015149C">
                              <w:rPr>
                                <w:snapToGrid w:val="0"/>
                              </w:rPr>
                              <w:t xml:space="preserve">(the Principal Rules) </w:t>
                            </w:r>
                            <w:r w:rsidRPr="0015149C">
                              <w:rPr>
                                <w:snapToGrid w:val="0"/>
                              </w:rPr>
                              <w:t xml:space="preserve">to </w:t>
                            </w:r>
                            <w:r w:rsidR="00F86A4C" w:rsidRPr="0015149C">
                              <w:rPr>
                                <w:snapToGrid w:val="0"/>
                              </w:rPr>
                              <w:t xml:space="preserve">incorporate </w:t>
                            </w:r>
                            <w:r w:rsidRPr="0015149C">
                              <w:rPr>
                                <w:snapToGrid w:val="0"/>
                              </w:rPr>
                              <w:t>Medicare Benefits Schedule (MBS) item number</w:t>
                            </w:r>
                            <w:r w:rsidR="00F94594" w:rsidRPr="0015149C">
                              <w:rPr>
                                <w:snapToGrid w:val="0"/>
                              </w:rPr>
                              <w:t xml:space="preserve"> </w:t>
                            </w:r>
                            <w:r w:rsidR="0015149C" w:rsidRPr="0015149C">
                              <w:rPr>
                                <w:snapToGrid w:val="0"/>
                              </w:rPr>
                              <w:t>1</w:t>
                            </w:r>
                            <w:r w:rsidR="00805D2E">
                              <w:rPr>
                                <w:snapToGrid w:val="0"/>
                              </w:rPr>
                              <w:t>15</w:t>
                            </w:r>
                            <w:r w:rsidR="00F86A4C" w:rsidRPr="0015149C">
                              <w:rPr>
                                <w:szCs w:val="24"/>
                              </w:rPr>
                              <w:t xml:space="preserve"> to the Principal Rules</w:t>
                            </w:r>
                            <w:r w:rsidR="00F94594" w:rsidRPr="0015149C">
                              <w:rPr>
                                <w:szCs w:val="24"/>
                              </w:rPr>
                              <w:t xml:space="preserve">, as a consequence of that MBS item being added to the MBS by the </w:t>
                            </w:r>
                            <w:r w:rsidR="0015149C" w:rsidRPr="0015149C">
                              <w:rPr>
                                <w:i/>
                                <w:szCs w:val="24"/>
                              </w:rPr>
                              <w:t xml:space="preserve">Health Insurance (Section 3C General Medical Services – </w:t>
                            </w:r>
                            <w:r w:rsidR="00805D2E">
                              <w:rPr>
                                <w:i/>
                                <w:snapToGrid w:val="0"/>
                                <w:lang w:eastAsia="en-US"/>
                              </w:rPr>
                              <w:t>Unscheduled specialist attendance</w:t>
                            </w:r>
                            <w:r w:rsidR="0015149C" w:rsidRPr="0015149C">
                              <w:rPr>
                                <w:i/>
                                <w:szCs w:val="24"/>
                              </w:rPr>
                              <w:t>) Determination 2019</w:t>
                            </w:r>
                            <w:r w:rsidR="00F94594" w:rsidRPr="0015149C">
                              <w:rPr>
                                <w:i/>
                                <w:szCs w:val="24"/>
                              </w:rPr>
                              <w:t>.</w:t>
                            </w:r>
                            <w:r w:rsidR="00F94594" w:rsidRPr="0015149C">
                              <w:rPr>
                                <w:szCs w:val="24"/>
                              </w:rPr>
                              <w:t xml:space="preserve"> </w:t>
                            </w:r>
                            <w:r w:rsidR="00F86A4C" w:rsidRPr="0015149C">
                              <w:rPr>
                                <w:szCs w:val="24"/>
                              </w:rPr>
                              <w:t xml:space="preserve"> </w:t>
                            </w:r>
                          </w:p>
                          <w:p w:rsidR="00AB782B" w:rsidRPr="0015149C" w:rsidRDefault="00AB782B" w:rsidP="00010287">
                            <w:pPr>
                              <w:spacing w:before="120" w:after="120"/>
                              <w:jc w:val="both"/>
                              <w:rPr>
                                <w:b/>
                                <w:szCs w:val="24"/>
                              </w:rPr>
                            </w:pPr>
                            <w:r w:rsidRPr="0015149C">
                              <w:rPr>
                                <w:b/>
                                <w:szCs w:val="24"/>
                              </w:rPr>
                              <w:t>Human rights implications</w:t>
                            </w:r>
                          </w:p>
                          <w:p w:rsidR="00AB782B" w:rsidRDefault="00AB782B" w:rsidP="00AB782B">
                            <w:pPr>
                              <w:autoSpaceDE w:val="0"/>
                              <w:autoSpaceDN w:val="0"/>
                              <w:adjustRightInd w:val="0"/>
                              <w:spacing w:before="120" w:after="120"/>
                              <w:rPr>
                                <w:color w:val="000000"/>
                                <w:szCs w:val="24"/>
                              </w:rPr>
                            </w:pPr>
                            <w:r>
                              <w:rPr>
                                <w:color w:val="000000"/>
                                <w:szCs w:val="24"/>
                              </w:rPr>
                              <w:t>This Legislative Instrument engages Article 12 of the International Covenant on Economic, Social and Cultural Rights, the right to health, by assisting with the progressive realisation by all appropriate means of the right of everyone to the enjoyment of the highest attainable standard of physical and mental health.</w:t>
                            </w:r>
                          </w:p>
                          <w:p w:rsidR="00AB782B" w:rsidRDefault="00AB782B" w:rsidP="00AB782B">
                            <w:pPr>
                              <w:rPr>
                                <w:color w:val="000000"/>
                                <w:szCs w:val="24"/>
                              </w:rPr>
                            </w:pPr>
                            <w:r>
                              <w:rPr>
                                <w:color w:val="000000"/>
                                <w:szCs w:val="24"/>
                              </w:rPr>
                              <w:t>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to improve information provided to consumers of private health services to allow consumers to make more informed choices when purchasing services and requires insurers not to differentiate the premiums they charge according to individual health characteristics such as poor health.</w:t>
                            </w:r>
                          </w:p>
                          <w:p w:rsidR="00AB782B" w:rsidRDefault="00AB782B" w:rsidP="00AB782B">
                            <w:pPr>
                              <w:rPr>
                                <w:color w:val="000000"/>
                                <w:szCs w:val="24"/>
                              </w:rPr>
                            </w:pPr>
                          </w:p>
                          <w:p w:rsidR="00AB782B" w:rsidRDefault="001C77E9" w:rsidP="00AB782B">
                            <w:pPr>
                              <w:rPr>
                                <w:color w:val="000000"/>
                                <w:szCs w:val="24"/>
                              </w:rPr>
                            </w:pPr>
                            <w:r>
                              <w:rPr>
                                <w:color w:val="000000"/>
                                <w:szCs w:val="24"/>
                              </w:rPr>
                              <w:t>T</w:t>
                            </w:r>
                            <w:r w:rsidR="00AB782B">
                              <w:rPr>
                                <w:color w:val="000000"/>
                                <w:szCs w:val="24"/>
                              </w:rPr>
                              <w:t xml:space="preserve">he amendments implemented by this Legislative Instrument </w:t>
                            </w:r>
                            <w:r>
                              <w:rPr>
                                <w:color w:val="000000"/>
                                <w:szCs w:val="24"/>
                              </w:rPr>
                              <w:t>support access to health care reflecting current medical practice by</w:t>
                            </w:r>
                            <w:r w:rsidR="00AB782B">
                              <w:rPr>
                                <w:color w:val="000000"/>
                                <w:szCs w:val="24"/>
                              </w:rPr>
                              <w:t xml:space="preserve"> </w:t>
                            </w:r>
                            <w:r w:rsidR="00B219C8">
                              <w:rPr>
                                <w:color w:val="000000"/>
                                <w:szCs w:val="24"/>
                              </w:rPr>
                              <w:t xml:space="preserve">ensuring </w:t>
                            </w:r>
                            <w:r>
                              <w:rPr>
                                <w:color w:val="000000"/>
                                <w:szCs w:val="24"/>
                              </w:rPr>
                              <w:t>health</w:t>
                            </w:r>
                            <w:r w:rsidR="00AB782B">
                              <w:rPr>
                                <w:color w:val="000000"/>
                                <w:szCs w:val="24"/>
                              </w:rPr>
                              <w:t xml:space="preserve"> insurers provide </w:t>
                            </w:r>
                            <w:r>
                              <w:rPr>
                                <w:color w:val="000000"/>
                                <w:szCs w:val="24"/>
                              </w:rPr>
                              <w:t>an appropriate level of accommodation benefits for medical services affected by the MBS item change.</w:t>
                            </w:r>
                          </w:p>
                          <w:p w:rsidR="00AB782B" w:rsidRDefault="00AB782B" w:rsidP="00AB782B">
                            <w:pPr>
                              <w:rPr>
                                <w:szCs w:val="24"/>
                              </w:rPr>
                            </w:pPr>
                          </w:p>
                          <w:p w:rsidR="00AB782B" w:rsidRDefault="00AB782B" w:rsidP="00AB782B">
                            <w:pPr>
                              <w:rPr>
                                <w:b/>
                                <w:szCs w:val="24"/>
                              </w:rPr>
                            </w:pPr>
                            <w:r>
                              <w:rPr>
                                <w:b/>
                                <w:szCs w:val="24"/>
                              </w:rPr>
                              <w:t>Conclusion</w:t>
                            </w:r>
                          </w:p>
                          <w:p w:rsidR="00AB782B" w:rsidRDefault="00AB782B" w:rsidP="00AB782B">
                            <w:pPr>
                              <w:spacing w:before="120" w:after="120"/>
                              <w:rPr>
                                <w:b/>
                                <w:szCs w:val="24"/>
                              </w:rPr>
                            </w:pPr>
                            <w:r>
                              <w:rPr>
                                <w:szCs w:val="24"/>
                              </w:rPr>
                              <w:t>This Legislative Instrument is compatible with human rights because it advances the protection of human rights.</w:t>
                            </w:r>
                          </w:p>
                          <w:p w:rsidR="00F33669" w:rsidRPr="002318AB" w:rsidRDefault="00F33669" w:rsidP="00F33669">
                            <w:pPr>
                              <w:jc w:val="both"/>
                              <w:rPr>
                                <w:szCs w:val="24"/>
                              </w:rPr>
                            </w:pPr>
                          </w:p>
                          <w:p w:rsidR="00A163C5" w:rsidRDefault="00A163C5" w:rsidP="00A163C5">
                            <w:pPr>
                              <w:jc w:val="center"/>
                              <w:rPr>
                                <w:b/>
                                <w:szCs w:val="24"/>
                              </w:rPr>
                            </w:pPr>
                          </w:p>
                          <w:p w:rsidR="00EE02F9" w:rsidRDefault="00EE02F9" w:rsidP="00245CF6">
                            <w:pPr>
                              <w:jc w:val="center"/>
                              <w:rPr>
                                <w:b/>
                                <w:szCs w:val="24"/>
                              </w:rPr>
                            </w:pPr>
                          </w:p>
                          <w:p w:rsidR="00245CF6" w:rsidRDefault="00245CF6" w:rsidP="00245CF6">
                            <w:pPr>
                              <w:jc w:val="center"/>
                              <w:rPr>
                                <w:b/>
                                <w:szCs w:val="24"/>
                              </w:rPr>
                            </w:pPr>
                            <w:r>
                              <w:rPr>
                                <w:b/>
                                <w:szCs w:val="24"/>
                              </w:rPr>
                              <w:t>Nick Henderson</w:t>
                            </w:r>
                          </w:p>
                          <w:p w:rsidR="00245CF6" w:rsidRDefault="00245CF6" w:rsidP="00245CF6">
                            <w:pPr>
                              <w:jc w:val="center"/>
                              <w:rPr>
                                <w:b/>
                                <w:szCs w:val="24"/>
                              </w:rPr>
                            </w:pPr>
                            <w:r>
                              <w:rPr>
                                <w:b/>
                                <w:szCs w:val="24"/>
                              </w:rPr>
                              <w:t>Assistant Secretary</w:t>
                            </w:r>
                          </w:p>
                          <w:p w:rsidR="00305F1A" w:rsidRPr="00E4135E" w:rsidRDefault="00245CF6" w:rsidP="00245CF6">
                            <w:pPr>
                              <w:jc w:val="center"/>
                              <w:rPr>
                                <w:szCs w:val="24"/>
                              </w:rPr>
                            </w:pPr>
                            <w:r>
                              <w:rPr>
                                <w:b/>
                                <w:szCs w:val="24"/>
                              </w:rPr>
                              <w:t>Private Health Insurance Branch</w:t>
                            </w:r>
                            <w:r w:rsidR="00305F1A">
                              <w:rPr>
                                <w:b/>
                                <w:szCs w:val="24"/>
                              </w:rPr>
                              <w:br/>
                              <w:t>Medical Benefits Division</w:t>
                            </w:r>
                            <w:r w:rsidR="00305F1A">
                              <w:rPr>
                                <w:b/>
                                <w:szCs w:val="24"/>
                              </w:rPr>
                              <w:br/>
                              <w:t>Department of Health</w:t>
                            </w:r>
                          </w:p>
                          <w:p w:rsidR="004709C4" w:rsidRPr="00E4135E" w:rsidRDefault="004709C4" w:rsidP="00C31644">
                            <w:pPr>
                              <w:spacing w:before="120" w:after="120"/>
                              <w:rPr>
                                <w:szCs w:val="24"/>
                              </w:rPr>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857A6" id="Rectangle 6" o:spid="_x0000_s1026" style="position:absolute;margin-left:-35.15pt;margin-top:-7.75pt;width:532.45pt;height:74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" strokeweight="6pt">
                <v:stroke linestyle="thickBetweenThin"/>
                <v:textbox inset="5mm,,5mm">
                  <w:txbxContent>
                    <w:p w:rsidR="004709C4" w:rsidRPr="00E4135E" w:rsidRDefault="004709C4" w:rsidP="00024783">
                      <w:pPr>
                        <w:spacing w:before="360" w:after="120"/>
                        <w:jc w:val="center"/>
                        <w:rPr>
                          <w:b/>
                          <w:sz w:val="28"/>
                          <w:szCs w:val="28"/>
                        </w:rPr>
                      </w:pPr>
                      <w:r w:rsidRPr="00E4135E">
                        <w:rPr>
                          <w:b/>
                          <w:sz w:val="28"/>
                          <w:szCs w:val="28"/>
                        </w:rPr>
                        <w:t>Statement of Compatibility with Human Rights</w:t>
                      </w:r>
                    </w:p>
                    <w:p w:rsidR="004709C4" w:rsidRPr="00E4135E" w:rsidRDefault="004709C4" w:rsidP="00024783">
                      <w:pPr>
                        <w:spacing w:before="120" w:after="120"/>
                        <w:jc w:val="center"/>
                        <w:rPr>
                          <w:szCs w:val="24"/>
                        </w:rPr>
                      </w:pPr>
                      <w:r w:rsidRPr="00E4135E">
                        <w:rPr>
                          <w:i/>
                          <w:szCs w:val="24"/>
                        </w:rPr>
                        <w:t>Prepared in accordance with Part 3 of the Human Rights (Parliamentary Scrutiny) Act 2011</w:t>
                      </w:r>
                    </w:p>
                    <w:p w:rsidR="004709C4" w:rsidRPr="00E4135E" w:rsidRDefault="004709C4" w:rsidP="00A163C5">
                      <w:pPr>
                        <w:jc w:val="center"/>
                        <w:rPr>
                          <w:szCs w:val="24"/>
                        </w:rPr>
                      </w:pPr>
                    </w:p>
                    <w:p w:rsidR="004709C4" w:rsidRPr="00E4135E" w:rsidRDefault="004709C4" w:rsidP="00010287">
                      <w:pPr>
                        <w:spacing w:before="120" w:after="120"/>
                        <w:rPr>
                          <w:b/>
                          <w:szCs w:val="24"/>
                        </w:rPr>
                      </w:pPr>
                      <w:r>
                        <w:rPr>
                          <w:b/>
                          <w:szCs w:val="24"/>
                        </w:rPr>
                        <w:t>Private Health Insurance (Benefit Requirements) Amendment Rules</w:t>
                      </w:r>
                      <w:r w:rsidR="00CF2E7D">
                        <w:rPr>
                          <w:b/>
                          <w:szCs w:val="24"/>
                        </w:rPr>
                        <w:t xml:space="preserve"> </w:t>
                      </w:r>
                      <w:r w:rsidR="00CF2E7D">
                        <w:rPr>
                          <w:b/>
                          <w:szCs w:val="24"/>
                        </w:rPr>
                        <w:t>(No. 3)</w:t>
                      </w:r>
                      <w:r>
                        <w:rPr>
                          <w:b/>
                          <w:szCs w:val="24"/>
                        </w:rPr>
                        <w:t xml:space="preserve"> </w:t>
                      </w:r>
                      <w:r w:rsidR="00F005D2">
                        <w:rPr>
                          <w:b/>
                          <w:szCs w:val="24"/>
                        </w:rPr>
                        <w:t xml:space="preserve">2019 </w:t>
                      </w:r>
                    </w:p>
                    <w:p w:rsidR="004709C4" w:rsidRPr="00E4135E" w:rsidRDefault="004709C4" w:rsidP="00010287">
                      <w:pPr>
                        <w:spacing w:before="120" w:after="120"/>
                        <w:rPr>
                          <w:szCs w:val="24"/>
                        </w:rPr>
                      </w:pPr>
                      <w:r w:rsidRPr="00E4135E">
                        <w:rPr>
                          <w:szCs w:val="24"/>
                        </w:rPr>
                        <w:t>Thi</w:t>
                      </w:r>
                      <w:r>
                        <w:rPr>
                          <w:szCs w:val="24"/>
                        </w:rPr>
                        <w:t xml:space="preserve">s </w:t>
                      </w:r>
                      <w:r w:rsidRPr="00E4135E">
                        <w:rPr>
                          <w:szCs w:val="24"/>
                        </w:rPr>
                        <w:t xml:space="preserve">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rsidR="00AB782B" w:rsidRPr="00A163C5" w:rsidRDefault="00AB782B" w:rsidP="00AB782B">
                      <w:pPr>
                        <w:spacing w:before="120" w:after="120"/>
                        <w:jc w:val="both"/>
                        <w:rPr>
                          <w:b/>
                          <w:szCs w:val="24"/>
                        </w:rPr>
                      </w:pPr>
                      <w:r w:rsidRPr="00A163C5">
                        <w:rPr>
                          <w:b/>
                          <w:szCs w:val="24"/>
                        </w:rPr>
                        <w:t>Overview of the Legislative Instrument</w:t>
                      </w:r>
                    </w:p>
                    <w:p w:rsidR="00CA794B" w:rsidRPr="0015149C" w:rsidRDefault="00AB782B" w:rsidP="00CA794B">
                      <w:pPr>
                        <w:jc w:val="both"/>
                        <w:rPr>
                          <w:szCs w:val="24"/>
                        </w:rPr>
                      </w:pPr>
                      <w:r w:rsidRPr="0015149C">
                        <w:rPr>
                          <w:snapToGrid w:val="0"/>
                        </w:rPr>
                        <w:t xml:space="preserve">The </w:t>
                      </w:r>
                      <w:r w:rsidRPr="0015149C">
                        <w:rPr>
                          <w:i/>
                          <w:snapToGrid w:val="0"/>
                        </w:rPr>
                        <w:t>Private Health Insurance (Benefit Requirements) Amendment Rules</w:t>
                      </w:r>
                      <w:r w:rsidR="00CF2E7D">
                        <w:rPr>
                          <w:i/>
                          <w:snapToGrid w:val="0"/>
                        </w:rPr>
                        <w:t xml:space="preserve"> </w:t>
                      </w:r>
                      <w:r w:rsidR="00CF2E7D" w:rsidRPr="0015149C">
                        <w:rPr>
                          <w:i/>
                          <w:snapToGrid w:val="0"/>
                        </w:rPr>
                        <w:t xml:space="preserve">(No. </w:t>
                      </w:r>
                      <w:r w:rsidR="00CF2E7D">
                        <w:rPr>
                          <w:i/>
                          <w:snapToGrid w:val="0"/>
                        </w:rPr>
                        <w:t>3</w:t>
                      </w:r>
                      <w:r w:rsidR="00CF2E7D" w:rsidRPr="0015149C">
                        <w:rPr>
                          <w:i/>
                          <w:snapToGrid w:val="0"/>
                        </w:rPr>
                        <w:t>)</w:t>
                      </w:r>
                      <w:r w:rsidRPr="0015149C">
                        <w:rPr>
                          <w:i/>
                          <w:snapToGrid w:val="0"/>
                        </w:rPr>
                        <w:t xml:space="preserve"> 201</w:t>
                      </w:r>
                      <w:r w:rsidR="00252F4E" w:rsidRPr="0015149C">
                        <w:rPr>
                          <w:i/>
                          <w:snapToGrid w:val="0"/>
                        </w:rPr>
                        <w:t>9</w:t>
                      </w:r>
                      <w:r w:rsidR="0009089B" w:rsidRPr="0015149C">
                        <w:rPr>
                          <w:snapToGrid w:val="0"/>
                        </w:rPr>
                        <w:t xml:space="preserve"> </w:t>
                      </w:r>
                      <w:r w:rsidR="0009089B" w:rsidRPr="00482D31">
                        <w:rPr>
                          <w:snapToGrid w:val="0"/>
                        </w:rPr>
                        <w:t>amends Schedule</w:t>
                      </w:r>
                      <w:r w:rsidR="00252F4E" w:rsidRPr="00482D31">
                        <w:rPr>
                          <w:snapToGrid w:val="0"/>
                        </w:rPr>
                        <w:t> </w:t>
                      </w:r>
                      <w:r w:rsidR="00CA794B" w:rsidRPr="00482D31">
                        <w:rPr>
                          <w:snapToGrid w:val="0"/>
                        </w:rPr>
                        <w:t>3</w:t>
                      </w:r>
                      <w:r w:rsidRPr="0015149C">
                        <w:rPr>
                          <w:snapToGrid w:val="0"/>
                        </w:rPr>
                        <w:t xml:space="preserve"> of the </w:t>
                      </w:r>
                      <w:r w:rsidRPr="0015149C">
                        <w:rPr>
                          <w:i/>
                          <w:snapToGrid w:val="0"/>
                        </w:rPr>
                        <w:t>Private Health Insurance (Benefit Requirements) Rules 2011</w:t>
                      </w:r>
                      <w:r w:rsidR="00F86A4C" w:rsidRPr="0015149C">
                        <w:rPr>
                          <w:i/>
                          <w:snapToGrid w:val="0"/>
                        </w:rPr>
                        <w:t xml:space="preserve"> </w:t>
                      </w:r>
                      <w:r w:rsidR="00F86A4C" w:rsidRPr="0015149C">
                        <w:rPr>
                          <w:snapToGrid w:val="0"/>
                        </w:rPr>
                        <w:t xml:space="preserve">(the Principal Rules) </w:t>
                      </w:r>
                      <w:r w:rsidRPr="0015149C">
                        <w:rPr>
                          <w:snapToGrid w:val="0"/>
                        </w:rPr>
                        <w:t xml:space="preserve">to </w:t>
                      </w:r>
                      <w:r w:rsidR="00F86A4C" w:rsidRPr="0015149C">
                        <w:rPr>
                          <w:snapToGrid w:val="0"/>
                        </w:rPr>
                        <w:t xml:space="preserve">incorporate </w:t>
                      </w:r>
                      <w:r w:rsidRPr="0015149C">
                        <w:rPr>
                          <w:snapToGrid w:val="0"/>
                        </w:rPr>
                        <w:t>Medicare Benefits Schedule (MBS) item number</w:t>
                      </w:r>
                      <w:r w:rsidR="00F94594" w:rsidRPr="0015149C">
                        <w:rPr>
                          <w:snapToGrid w:val="0"/>
                        </w:rPr>
                        <w:t xml:space="preserve"> </w:t>
                      </w:r>
                      <w:r w:rsidR="0015149C" w:rsidRPr="0015149C">
                        <w:rPr>
                          <w:snapToGrid w:val="0"/>
                        </w:rPr>
                        <w:t>1</w:t>
                      </w:r>
                      <w:r w:rsidR="00805D2E">
                        <w:rPr>
                          <w:snapToGrid w:val="0"/>
                        </w:rPr>
                        <w:t>15</w:t>
                      </w:r>
                      <w:r w:rsidR="00F86A4C" w:rsidRPr="0015149C">
                        <w:rPr>
                          <w:szCs w:val="24"/>
                        </w:rPr>
                        <w:t xml:space="preserve"> to the Principal Rules</w:t>
                      </w:r>
                      <w:r w:rsidR="00F94594" w:rsidRPr="0015149C">
                        <w:rPr>
                          <w:szCs w:val="24"/>
                        </w:rPr>
                        <w:t xml:space="preserve">, as a consequence of that MBS item being added to the MBS by the </w:t>
                      </w:r>
                      <w:r w:rsidR="0015149C" w:rsidRPr="0015149C">
                        <w:rPr>
                          <w:i/>
                          <w:szCs w:val="24"/>
                        </w:rPr>
                        <w:t xml:space="preserve">Health Insurance (Section 3C General Medical Services – </w:t>
                      </w:r>
                      <w:r w:rsidR="00805D2E">
                        <w:rPr>
                          <w:i/>
                          <w:snapToGrid w:val="0"/>
                          <w:lang w:eastAsia="en-US"/>
                        </w:rPr>
                        <w:t>Unscheduled specialist attendance</w:t>
                      </w:r>
                      <w:r w:rsidR="0015149C" w:rsidRPr="0015149C">
                        <w:rPr>
                          <w:i/>
                          <w:szCs w:val="24"/>
                        </w:rPr>
                        <w:t>) Determination 2019</w:t>
                      </w:r>
                      <w:r w:rsidR="00F94594" w:rsidRPr="0015149C">
                        <w:rPr>
                          <w:i/>
                          <w:szCs w:val="24"/>
                        </w:rPr>
                        <w:t>.</w:t>
                      </w:r>
                      <w:r w:rsidR="00F94594" w:rsidRPr="0015149C">
                        <w:rPr>
                          <w:szCs w:val="24"/>
                        </w:rPr>
                        <w:t xml:space="preserve"> </w:t>
                      </w:r>
                      <w:r w:rsidR="00F86A4C" w:rsidRPr="0015149C">
                        <w:rPr>
                          <w:szCs w:val="24"/>
                        </w:rPr>
                        <w:t xml:space="preserve"> </w:t>
                      </w:r>
                    </w:p>
                    <w:p w:rsidR="00AB782B" w:rsidRPr="0015149C" w:rsidRDefault="00AB782B" w:rsidP="00010287">
                      <w:pPr>
                        <w:spacing w:before="120" w:after="120"/>
                        <w:jc w:val="both"/>
                        <w:rPr>
                          <w:b/>
                          <w:szCs w:val="24"/>
                        </w:rPr>
                      </w:pPr>
                      <w:r w:rsidRPr="0015149C">
                        <w:rPr>
                          <w:b/>
                          <w:szCs w:val="24"/>
                        </w:rPr>
                        <w:t>Human rights implications</w:t>
                      </w:r>
                    </w:p>
                    <w:p w:rsidR="00AB782B" w:rsidRDefault="00AB782B" w:rsidP="00AB782B">
                      <w:pPr>
                        <w:autoSpaceDE w:val="0"/>
                        <w:autoSpaceDN w:val="0"/>
                        <w:adjustRightInd w:val="0"/>
                        <w:spacing w:before="120" w:after="120"/>
                        <w:rPr>
                          <w:color w:val="000000"/>
                          <w:szCs w:val="24"/>
                        </w:rPr>
                      </w:pPr>
                      <w:r>
                        <w:rPr>
                          <w:color w:val="000000"/>
                          <w:szCs w:val="24"/>
                        </w:rPr>
                        <w:t>This Legislative Instrument engages Article 12 of the International Covenant on Economic, Social and Cultural Rights, the right to health, by assisting with the progressive realisation by all appropriate means of the right of everyone to the enjoyment of the highest attainable standard of physical and mental health.</w:t>
                      </w:r>
                    </w:p>
                    <w:p w:rsidR="00AB782B" w:rsidRDefault="00AB782B" w:rsidP="00AB782B">
                      <w:pPr>
                        <w:rPr>
                          <w:color w:val="000000"/>
                          <w:szCs w:val="24"/>
                        </w:rPr>
                      </w:pPr>
                      <w:r>
                        <w:rPr>
                          <w:color w:val="000000"/>
                          <w:szCs w:val="24"/>
                        </w:rPr>
                        <w:t>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to improve information provided to consumers of private health services to allow consumers to make more informed choices when purchasing services and requires insurers not to differentiate the premiums they charge according to individual health characteristics such as poor health.</w:t>
                      </w:r>
                    </w:p>
                    <w:p w:rsidR="00AB782B" w:rsidRDefault="00AB782B" w:rsidP="00AB782B">
                      <w:pPr>
                        <w:rPr>
                          <w:color w:val="000000"/>
                          <w:szCs w:val="24"/>
                        </w:rPr>
                      </w:pPr>
                    </w:p>
                    <w:p w:rsidR="00AB782B" w:rsidRDefault="001C77E9" w:rsidP="00AB782B">
                      <w:pPr>
                        <w:rPr>
                          <w:color w:val="000000"/>
                          <w:szCs w:val="24"/>
                        </w:rPr>
                      </w:pPr>
                      <w:r>
                        <w:rPr>
                          <w:color w:val="000000"/>
                          <w:szCs w:val="24"/>
                        </w:rPr>
                        <w:t>T</w:t>
                      </w:r>
                      <w:r w:rsidR="00AB782B">
                        <w:rPr>
                          <w:color w:val="000000"/>
                          <w:szCs w:val="24"/>
                        </w:rPr>
                        <w:t xml:space="preserve">he amendments implemented by this Legislative Instrument </w:t>
                      </w:r>
                      <w:r>
                        <w:rPr>
                          <w:color w:val="000000"/>
                          <w:szCs w:val="24"/>
                        </w:rPr>
                        <w:t>support access to health care reflecting current medical practice by</w:t>
                      </w:r>
                      <w:r w:rsidR="00AB782B">
                        <w:rPr>
                          <w:color w:val="000000"/>
                          <w:szCs w:val="24"/>
                        </w:rPr>
                        <w:t xml:space="preserve"> </w:t>
                      </w:r>
                      <w:r w:rsidR="00B219C8">
                        <w:rPr>
                          <w:color w:val="000000"/>
                          <w:szCs w:val="24"/>
                        </w:rPr>
                        <w:t xml:space="preserve">ensuring </w:t>
                      </w:r>
                      <w:r>
                        <w:rPr>
                          <w:color w:val="000000"/>
                          <w:szCs w:val="24"/>
                        </w:rPr>
                        <w:t>health</w:t>
                      </w:r>
                      <w:r w:rsidR="00AB782B">
                        <w:rPr>
                          <w:color w:val="000000"/>
                          <w:szCs w:val="24"/>
                        </w:rPr>
                        <w:t xml:space="preserve"> insurers provide </w:t>
                      </w:r>
                      <w:r>
                        <w:rPr>
                          <w:color w:val="000000"/>
                          <w:szCs w:val="24"/>
                        </w:rPr>
                        <w:t>an appropriate level of accommodation benefits for medical services affected by the MBS item change.</w:t>
                      </w:r>
                    </w:p>
                    <w:p w:rsidR="00AB782B" w:rsidRDefault="00AB782B" w:rsidP="00AB782B">
                      <w:pPr>
                        <w:rPr>
                          <w:szCs w:val="24"/>
                        </w:rPr>
                      </w:pPr>
                    </w:p>
                    <w:p w:rsidR="00AB782B" w:rsidRDefault="00AB782B" w:rsidP="00AB782B">
                      <w:pPr>
                        <w:rPr>
                          <w:b/>
                          <w:szCs w:val="24"/>
                        </w:rPr>
                      </w:pPr>
                      <w:r>
                        <w:rPr>
                          <w:b/>
                          <w:szCs w:val="24"/>
                        </w:rPr>
                        <w:t>Conclusion</w:t>
                      </w:r>
                    </w:p>
                    <w:p w:rsidR="00AB782B" w:rsidRDefault="00AB782B" w:rsidP="00AB782B">
                      <w:pPr>
                        <w:spacing w:before="120" w:after="120"/>
                        <w:rPr>
                          <w:b/>
                          <w:szCs w:val="24"/>
                        </w:rPr>
                      </w:pPr>
                      <w:r>
                        <w:rPr>
                          <w:szCs w:val="24"/>
                        </w:rPr>
                        <w:t>This Legislative Instrument is compatible with human rights because it advances the protection of human rights.</w:t>
                      </w:r>
                    </w:p>
                    <w:p w:rsidR="00F33669" w:rsidRPr="002318AB" w:rsidRDefault="00F33669" w:rsidP="00F33669">
                      <w:pPr>
                        <w:jc w:val="both"/>
                        <w:rPr>
                          <w:szCs w:val="24"/>
                        </w:rPr>
                      </w:pPr>
                    </w:p>
                    <w:p w:rsidR="00A163C5" w:rsidRDefault="00A163C5" w:rsidP="00A163C5">
                      <w:pPr>
                        <w:jc w:val="center"/>
                        <w:rPr>
                          <w:b/>
                          <w:szCs w:val="24"/>
                        </w:rPr>
                      </w:pPr>
                    </w:p>
                    <w:p w:rsidR="00EE02F9" w:rsidRDefault="00EE02F9" w:rsidP="00245CF6">
                      <w:pPr>
                        <w:jc w:val="center"/>
                        <w:rPr>
                          <w:b/>
                          <w:szCs w:val="24"/>
                        </w:rPr>
                      </w:pPr>
                    </w:p>
                    <w:p w:rsidR="00245CF6" w:rsidRDefault="00245CF6" w:rsidP="00245CF6">
                      <w:pPr>
                        <w:jc w:val="center"/>
                        <w:rPr>
                          <w:b/>
                          <w:szCs w:val="24"/>
                        </w:rPr>
                      </w:pPr>
                      <w:r>
                        <w:rPr>
                          <w:b/>
                          <w:szCs w:val="24"/>
                        </w:rPr>
                        <w:t>Nick Henderson</w:t>
                      </w:r>
                    </w:p>
                    <w:p w:rsidR="00245CF6" w:rsidRDefault="00245CF6" w:rsidP="00245CF6">
                      <w:pPr>
                        <w:jc w:val="center"/>
                        <w:rPr>
                          <w:b/>
                          <w:szCs w:val="24"/>
                        </w:rPr>
                      </w:pPr>
                      <w:r>
                        <w:rPr>
                          <w:b/>
                          <w:szCs w:val="24"/>
                        </w:rPr>
                        <w:t>Assistant Secretary</w:t>
                      </w:r>
                    </w:p>
                    <w:p w:rsidR="00305F1A" w:rsidRPr="00E4135E" w:rsidRDefault="00245CF6" w:rsidP="00245CF6">
                      <w:pPr>
                        <w:jc w:val="center"/>
                        <w:rPr>
                          <w:szCs w:val="24"/>
                        </w:rPr>
                      </w:pPr>
                      <w:r>
                        <w:rPr>
                          <w:b/>
                          <w:szCs w:val="24"/>
                        </w:rPr>
                        <w:t>Private Health Insurance Branch</w:t>
                      </w:r>
                      <w:r w:rsidR="00305F1A">
                        <w:rPr>
                          <w:b/>
                          <w:szCs w:val="24"/>
                        </w:rPr>
                        <w:br/>
                        <w:t>Medical Benefits Division</w:t>
                      </w:r>
                      <w:r w:rsidR="00305F1A">
                        <w:rPr>
                          <w:b/>
                          <w:szCs w:val="24"/>
                        </w:rPr>
                        <w:br/>
                        <w:t>Department of Health</w:t>
                      </w:r>
                    </w:p>
                    <w:p w:rsidR="004709C4" w:rsidRPr="00E4135E" w:rsidRDefault="004709C4" w:rsidP="00C31644">
                      <w:pPr>
                        <w:spacing w:before="120" w:after="120"/>
                        <w:rPr>
                          <w:szCs w:val="24"/>
                        </w:rPr>
                      </w:pPr>
                    </w:p>
                  </w:txbxContent>
                </v:textbox>
              </v:rect>
            </w:pict>
          </mc:Fallback>
        </mc:AlternateContent>
      </w: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sectPr w:rsidR="00024783" w:rsidSect="007B6273">
      <w:headerReference w:type="even" r:id="rId8"/>
      <w:headerReference w:type="default" r:id="rId9"/>
      <w:type w:val="continuous"/>
      <w:pgSz w:w="11906" w:h="16838"/>
      <w:pgMar w:top="1440" w:right="1440" w:bottom="1440" w:left="1440"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52D" w:rsidRDefault="00D3752D">
      <w:r>
        <w:separator/>
      </w:r>
    </w:p>
  </w:endnote>
  <w:endnote w:type="continuationSeparator" w:id="0">
    <w:p w:rsidR="00D3752D" w:rsidRDefault="00D3752D">
      <w:r>
        <w:continuationSeparator/>
      </w:r>
    </w:p>
  </w:endnote>
  <w:endnote w:type="continuationNotice" w:id="1">
    <w:p w:rsidR="00D3752D" w:rsidRDefault="00D375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52D" w:rsidRDefault="00D3752D">
      <w:r>
        <w:separator/>
      </w:r>
    </w:p>
  </w:footnote>
  <w:footnote w:type="continuationSeparator" w:id="0">
    <w:p w:rsidR="00D3752D" w:rsidRDefault="00D3752D">
      <w:r>
        <w:continuationSeparator/>
      </w:r>
    </w:p>
  </w:footnote>
  <w:footnote w:type="continuationNotice" w:id="1">
    <w:p w:rsidR="00D3752D" w:rsidRDefault="00D3752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9C4" w:rsidRDefault="004709C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709C4" w:rsidRDefault="004709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9C4" w:rsidRDefault="004709C4">
    <w:pPr>
      <w:pStyle w:val="Header"/>
      <w:framePr w:wrap="around" w:vAnchor="text" w:hAnchor="margin" w:xAlign="center" w:y="1"/>
      <w:rPr>
        <w:rStyle w:val="PageNumber"/>
      </w:rPr>
    </w:pPr>
  </w:p>
  <w:p w:rsidR="004709C4" w:rsidRPr="00D0290E" w:rsidRDefault="004709C4" w:rsidP="00D0290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02FD"/>
    <w:multiLevelType w:val="hybridMultilevel"/>
    <w:tmpl w:val="662C04FA"/>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D26E35"/>
    <w:multiLevelType w:val="hybridMultilevel"/>
    <w:tmpl w:val="6A78D6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B4150"/>
    <w:multiLevelType w:val="multilevel"/>
    <w:tmpl w:val="691A9262"/>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E1610F"/>
    <w:multiLevelType w:val="hybridMultilevel"/>
    <w:tmpl w:val="445027DA"/>
    <w:lvl w:ilvl="0" w:tplc="77E645EE">
      <w:start w:val="8"/>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1256BA0"/>
    <w:multiLevelType w:val="hybridMultilevel"/>
    <w:tmpl w:val="64548308"/>
    <w:lvl w:ilvl="0" w:tplc="3662A1B6">
      <w:start w:val="1"/>
      <w:numFmt w:val="lowerLetter"/>
      <w:lvlText w:val="%1)"/>
      <w:lvlJc w:val="left"/>
      <w:pPr>
        <w:tabs>
          <w:tab w:val="num" w:pos="1875"/>
        </w:tabs>
        <w:ind w:left="1875" w:hanging="390"/>
      </w:pPr>
      <w:rPr>
        <w:rFonts w:hint="default"/>
      </w:rPr>
    </w:lvl>
    <w:lvl w:ilvl="1" w:tplc="4EE61E84">
      <w:start w:val="17"/>
      <w:numFmt w:val="decimal"/>
      <w:lvlText w:val="%2."/>
      <w:lvlJc w:val="left"/>
      <w:pPr>
        <w:tabs>
          <w:tab w:val="num" w:pos="2565"/>
        </w:tabs>
        <w:ind w:left="2565" w:hanging="360"/>
      </w:pPr>
      <w:rPr>
        <w:rFonts w:hint="default"/>
      </w:r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5" w15:restartNumberingAfterBreak="0">
    <w:nsid w:val="117A2CCD"/>
    <w:multiLevelType w:val="hybridMultilevel"/>
    <w:tmpl w:val="0E74F976"/>
    <w:lvl w:ilvl="0" w:tplc="9C2026F6">
      <w:start w:val="1"/>
      <w:numFmt w:val="lowerRoman"/>
      <w:lvlText w:val="(%1)"/>
      <w:lvlJc w:val="left"/>
      <w:pPr>
        <w:tabs>
          <w:tab w:val="num" w:pos="1140"/>
        </w:tabs>
        <w:ind w:left="1140" w:hanging="720"/>
      </w:pPr>
      <w:rPr>
        <w:rFonts w:hint="default"/>
      </w:r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6" w15:restartNumberingAfterBreak="0">
    <w:nsid w:val="11897249"/>
    <w:multiLevelType w:val="hybridMultilevel"/>
    <w:tmpl w:val="8F58C85C"/>
    <w:lvl w:ilvl="0" w:tplc="DDC43382">
      <w:start w:val="5"/>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1A2307E"/>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134A2CE2"/>
    <w:multiLevelType w:val="hybridMultilevel"/>
    <w:tmpl w:val="5114D3A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20853A12"/>
    <w:multiLevelType w:val="hybridMultilevel"/>
    <w:tmpl w:val="43B62C0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32497F"/>
    <w:multiLevelType w:val="hybridMultilevel"/>
    <w:tmpl w:val="B6D0D3A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B803EC"/>
    <w:multiLevelType w:val="hybridMultilevel"/>
    <w:tmpl w:val="58484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5770F8"/>
    <w:multiLevelType w:val="hybridMultilevel"/>
    <w:tmpl w:val="6E1EFF80"/>
    <w:lvl w:ilvl="0" w:tplc="A9221CE6">
      <w:start w:val="1"/>
      <w:numFmt w:val="decimal"/>
      <w:lvlText w:val="%1."/>
      <w:lvlJc w:val="left"/>
      <w:pPr>
        <w:ind w:left="360" w:hanging="360"/>
      </w:pPr>
      <w:rPr>
        <w:rFonts w:hint="default"/>
        <w:b w:val="0"/>
      </w:rPr>
    </w:lvl>
    <w:lvl w:ilvl="1" w:tplc="0C090017">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C852BA6"/>
    <w:multiLevelType w:val="hybridMultilevel"/>
    <w:tmpl w:val="69542568"/>
    <w:lvl w:ilvl="0" w:tplc="BD2A76A6">
      <w:start w:val="1"/>
      <w:numFmt w:val="bullet"/>
      <w:lvlText w:val=""/>
      <w:lvlJc w:val="left"/>
      <w:pPr>
        <w:tabs>
          <w:tab w:val="num" w:pos="283"/>
        </w:tabs>
        <w:ind w:left="283" w:hanging="283"/>
      </w:pPr>
      <w:rPr>
        <w:rFonts w:ascii="Symbol" w:hAnsi="Symbol" w:cs="Symbol" w:hint="default"/>
        <w:sz w:val="20"/>
        <w:szCs w:val="20"/>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25D6305"/>
    <w:multiLevelType w:val="hybridMultilevel"/>
    <w:tmpl w:val="121AC7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5" w15:restartNumberingAfterBreak="0">
    <w:nsid w:val="328A0469"/>
    <w:multiLevelType w:val="hybridMultilevel"/>
    <w:tmpl w:val="C4660E54"/>
    <w:lvl w:ilvl="0" w:tplc="C952E44A">
      <w:start w:val="1"/>
      <w:numFmt w:val="bullet"/>
      <w:lvlText w:val=""/>
      <w:lvlJc w:val="left"/>
      <w:pPr>
        <w:tabs>
          <w:tab w:val="num" w:pos="720"/>
        </w:tabs>
        <w:ind w:left="720" w:hanging="360"/>
      </w:pPr>
      <w:rPr>
        <w:rFonts w:ascii="Symbol" w:hAnsi="Symbol" w:hint="default"/>
        <w:color w:val="auto"/>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6C6109"/>
    <w:multiLevelType w:val="hybridMultilevel"/>
    <w:tmpl w:val="5C08093C"/>
    <w:lvl w:ilvl="0" w:tplc="C486D582">
      <w:start w:val="6"/>
      <w:numFmt w:val="decimal"/>
      <w:lvlText w:val="%1."/>
      <w:lvlJc w:val="left"/>
      <w:pPr>
        <w:tabs>
          <w:tab w:val="num" w:pos="924"/>
        </w:tabs>
        <w:ind w:left="924" w:hanging="56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3EA16B9A"/>
    <w:multiLevelType w:val="hybridMultilevel"/>
    <w:tmpl w:val="7AD266F6"/>
    <w:lvl w:ilvl="0" w:tplc="0C090001">
      <w:start w:val="1"/>
      <w:numFmt w:val="bullet"/>
      <w:lvlText w:val=""/>
      <w:lvlJc w:val="left"/>
      <w:pPr>
        <w:tabs>
          <w:tab w:val="num" w:pos="1875"/>
        </w:tabs>
        <w:ind w:left="1875" w:hanging="390"/>
      </w:pPr>
      <w:rPr>
        <w:rFonts w:ascii="Symbol" w:hAnsi="Symbol" w:hint="default"/>
      </w:rPr>
    </w:lvl>
    <w:lvl w:ilvl="1" w:tplc="4EE61E84">
      <w:start w:val="17"/>
      <w:numFmt w:val="decimal"/>
      <w:lvlText w:val="%2."/>
      <w:lvlJc w:val="left"/>
      <w:pPr>
        <w:tabs>
          <w:tab w:val="num" w:pos="2565"/>
        </w:tabs>
        <w:ind w:left="2565" w:hanging="360"/>
      </w:pPr>
      <w:rPr>
        <w:rFonts w:hint="default"/>
      </w:r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8" w15:restartNumberingAfterBreak="0">
    <w:nsid w:val="3F211B9B"/>
    <w:multiLevelType w:val="multilevel"/>
    <w:tmpl w:val="7876ABD0"/>
    <w:lvl w:ilvl="0">
      <w:start w:val="1"/>
      <w:numFmt w:val="bullet"/>
      <w:lvlText w:val=""/>
      <w:lvlJc w:val="left"/>
      <w:pPr>
        <w:tabs>
          <w:tab w:val="num" w:pos="720"/>
        </w:tabs>
        <w:ind w:left="720" w:hanging="360"/>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387135"/>
    <w:multiLevelType w:val="hybridMultilevel"/>
    <w:tmpl w:val="8286F1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F46740"/>
    <w:multiLevelType w:val="hybridMultilevel"/>
    <w:tmpl w:val="AE126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E345F2"/>
    <w:multiLevelType w:val="hybridMultilevel"/>
    <w:tmpl w:val="44C8428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2" w15:restartNumberingAfterBreak="0">
    <w:nsid w:val="4BA245B4"/>
    <w:multiLevelType w:val="hybridMultilevel"/>
    <w:tmpl w:val="7876ABD0"/>
    <w:lvl w:ilvl="0" w:tplc="182803E0">
      <w:start w:val="1"/>
      <w:numFmt w:val="bullet"/>
      <w:lvlText w:val=""/>
      <w:lvlJc w:val="left"/>
      <w:pPr>
        <w:tabs>
          <w:tab w:val="num" w:pos="720"/>
        </w:tabs>
        <w:ind w:left="720" w:hanging="360"/>
      </w:pPr>
      <w:rPr>
        <w:rFonts w:ascii="Symbol" w:hAnsi="Symbol" w:hint="default"/>
        <w:color w:val="auto"/>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4C71B8"/>
    <w:multiLevelType w:val="hybridMultilevel"/>
    <w:tmpl w:val="F0C445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D42C69"/>
    <w:multiLevelType w:val="hybridMultilevel"/>
    <w:tmpl w:val="3868436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1B4D82"/>
    <w:multiLevelType w:val="hybridMultilevel"/>
    <w:tmpl w:val="6862DAD2"/>
    <w:lvl w:ilvl="0" w:tplc="66DED830">
      <w:start w:val="1"/>
      <w:numFmt w:val="bullet"/>
      <w:lvlText w:val=""/>
      <w:lvlJc w:val="left"/>
      <w:pPr>
        <w:tabs>
          <w:tab w:val="num" w:pos="357"/>
        </w:tabs>
        <w:ind w:left="357" w:hanging="35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E377BF"/>
    <w:multiLevelType w:val="hybridMultilevel"/>
    <w:tmpl w:val="36000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144413"/>
    <w:multiLevelType w:val="multilevel"/>
    <w:tmpl w:val="86CEFCD8"/>
    <w:lvl w:ilvl="0">
      <w:start w:val="1"/>
      <w:numFmt w:val="decimal"/>
      <w:lvlRestart w:val="0"/>
      <w:lvlText w:val="%1."/>
      <w:lvlJc w:val="left"/>
      <w:pPr>
        <w:tabs>
          <w:tab w:val="num" w:pos="850"/>
        </w:tabs>
        <w:ind w:left="850" w:hanging="850"/>
      </w:pPr>
      <w:rPr>
        <w:rFonts w:hint="default"/>
        <w:sz w:val="24"/>
        <w:szCs w:val="24"/>
      </w:rPr>
    </w:lvl>
    <w:lvl w:ilvl="1">
      <w:start w:val="1"/>
      <w:numFmt w:val="upperLetter"/>
      <w:lvlText w:val="%1%2"/>
      <w:lvlJc w:val="left"/>
      <w:pPr>
        <w:tabs>
          <w:tab w:val="num" w:pos="850"/>
        </w:tabs>
        <w:ind w:left="850" w:hanging="850"/>
      </w:pPr>
      <w:rPr>
        <w:rFonts w:hint="default"/>
      </w:rPr>
    </w:lvl>
    <w:lvl w:ilvl="2">
      <w:start w:val="1"/>
      <w:numFmt w:val="bullet"/>
      <w:lvlText w:val=""/>
      <w:lvlJc w:val="left"/>
      <w:pPr>
        <w:tabs>
          <w:tab w:val="num" w:pos="1561"/>
        </w:tabs>
        <w:ind w:left="1561" w:hanging="851"/>
      </w:pPr>
      <w:rPr>
        <w:rFonts w:ascii="Symbol" w:hAnsi="Symbol" w:hint="default"/>
      </w:rPr>
    </w:lvl>
    <w:lvl w:ilvl="3">
      <w:start w:val="1"/>
      <w:numFmt w:val="lowerRoman"/>
      <w:lvlText w:val="(%4)"/>
      <w:lvlJc w:val="left"/>
      <w:pPr>
        <w:tabs>
          <w:tab w:val="num" w:pos="2551"/>
        </w:tabs>
        <w:ind w:left="2551" w:hanging="850"/>
      </w:pPr>
      <w:rPr>
        <w:rFonts w:hint="default"/>
      </w:rPr>
    </w:lvl>
    <w:lvl w:ilvl="4">
      <w:start w:val="1"/>
      <w:numFmt w:val="upperLetter"/>
      <w:lvlText w:val="(%5)"/>
      <w:lvlJc w:val="left"/>
      <w:pPr>
        <w:tabs>
          <w:tab w:val="num" w:pos="3402"/>
        </w:tabs>
        <w:ind w:left="3402" w:hanging="851"/>
      </w:pPr>
      <w:rPr>
        <w:rFonts w:hint="default"/>
      </w:rPr>
    </w:lvl>
    <w:lvl w:ilvl="5">
      <w:start w:val="1"/>
      <w:numFmt w:val="decimal"/>
      <w:lvlRestart w:val="2"/>
      <w:lvlText w:val="(%6)"/>
      <w:lvlJc w:val="left"/>
      <w:pPr>
        <w:tabs>
          <w:tab w:val="num" w:pos="936"/>
        </w:tabs>
        <w:ind w:left="936" w:hanging="510"/>
      </w:pPr>
      <w:rPr>
        <w:rFonts w:hint="default"/>
      </w:rPr>
    </w:lvl>
    <w:lvl w:ilvl="6">
      <w:start w:val="1"/>
      <w:numFmt w:val="upperLetter"/>
      <w:lvlText w:val="(%6%7)"/>
      <w:lvlJc w:val="left"/>
      <w:pPr>
        <w:tabs>
          <w:tab w:val="num" w:pos="850"/>
        </w:tabs>
        <w:ind w:left="850" w:hanging="51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567"/>
        </w:tabs>
        <w:ind w:left="1582" w:hanging="1582"/>
      </w:pPr>
      <w:rPr>
        <w:rFonts w:hint="default"/>
      </w:rPr>
    </w:lvl>
  </w:abstractNum>
  <w:abstractNum w:abstractNumId="28" w15:restartNumberingAfterBreak="0">
    <w:nsid w:val="5AF236D6"/>
    <w:multiLevelType w:val="hybridMultilevel"/>
    <w:tmpl w:val="34A2AD1A"/>
    <w:lvl w:ilvl="0" w:tplc="6F021FB2">
      <w:start w:val="10"/>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5D652A34"/>
    <w:multiLevelType w:val="hybridMultilevel"/>
    <w:tmpl w:val="7834D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BD236F"/>
    <w:multiLevelType w:val="hybridMultilevel"/>
    <w:tmpl w:val="B6E60480"/>
    <w:lvl w:ilvl="0" w:tplc="09DC891A">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170EEC"/>
    <w:multiLevelType w:val="hybridMultilevel"/>
    <w:tmpl w:val="0F1E34FC"/>
    <w:lvl w:ilvl="0" w:tplc="E866484C">
      <w:start w:val="1"/>
      <w:numFmt w:val="lowerRoman"/>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61194F36"/>
    <w:multiLevelType w:val="hybridMultilevel"/>
    <w:tmpl w:val="09A2C786"/>
    <w:lvl w:ilvl="0" w:tplc="F40052A0">
      <w:start w:val="1"/>
      <w:numFmt w:val="bullet"/>
      <w:lvlText w:val=""/>
      <w:lvlJc w:val="left"/>
      <w:pPr>
        <w:tabs>
          <w:tab w:val="num" w:pos="624"/>
        </w:tabs>
        <w:ind w:left="68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091B7D"/>
    <w:multiLevelType w:val="hybridMultilevel"/>
    <w:tmpl w:val="5EE887CE"/>
    <w:lvl w:ilvl="0" w:tplc="78909D8A">
      <w:start w:val="1"/>
      <w:numFmt w:val="lowerLetter"/>
      <w:lvlText w:val="(%1)"/>
      <w:lvlJc w:val="left"/>
      <w:pPr>
        <w:ind w:left="930" w:hanging="36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34" w15:restartNumberingAfterBreak="0">
    <w:nsid w:val="64902E71"/>
    <w:multiLevelType w:val="hybridMultilevel"/>
    <w:tmpl w:val="3D160254"/>
    <w:lvl w:ilvl="0" w:tplc="0409000F">
      <w:start w:val="5"/>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5541893"/>
    <w:multiLevelType w:val="hybridMultilevel"/>
    <w:tmpl w:val="39E45DAC"/>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5720D31"/>
    <w:multiLevelType w:val="hybridMultilevel"/>
    <w:tmpl w:val="691A9262"/>
    <w:lvl w:ilvl="0" w:tplc="24D464CA">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0005A8"/>
    <w:multiLevelType w:val="hybridMultilevel"/>
    <w:tmpl w:val="F16A311C"/>
    <w:lvl w:ilvl="0" w:tplc="FA3C858C">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6E4B09E5"/>
    <w:multiLevelType w:val="hybridMultilevel"/>
    <w:tmpl w:val="367CA87E"/>
    <w:lvl w:ilvl="0" w:tplc="DC88E9F6">
      <w:start w:val="5"/>
      <w:numFmt w:val="decimal"/>
      <w:lvlText w:val="%1."/>
      <w:lvlJc w:val="left"/>
      <w:pPr>
        <w:tabs>
          <w:tab w:val="num" w:pos="924"/>
        </w:tabs>
        <w:ind w:left="924" w:hanging="56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703023F3"/>
    <w:multiLevelType w:val="hybridMultilevel"/>
    <w:tmpl w:val="127A1F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9E7869"/>
    <w:multiLevelType w:val="hybridMultilevel"/>
    <w:tmpl w:val="36E0B91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F56416"/>
    <w:multiLevelType w:val="hybridMultilevel"/>
    <w:tmpl w:val="01D22AAC"/>
    <w:lvl w:ilvl="0" w:tplc="0C090001">
      <w:start w:val="1"/>
      <w:numFmt w:val="bullet"/>
      <w:lvlText w:val=""/>
      <w:lvlJc w:val="left"/>
      <w:pPr>
        <w:tabs>
          <w:tab w:val="num" w:pos="1080"/>
        </w:tabs>
        <w:ind w:left="1080" w:hanging="360"/>
      </w:pPr>
      <w:rPr>
        <w:rFonts w:ascii="Symbol" w:hAnsi="Symbol" w:hint="default"/>
      </w:rPr>
    </w:lvl>
    <w:lvl w:ilvl="1" w:tplc="8DD49256">
      <w:start w:val="1"/>
      <w:numFmt w:val="bullet"/>
      <w:lvlText w:val=""/>
      <w:lvlJc w:val="left"/>
      <w:pPr>
        <w:tabs>
          <w:tab w:val="num" w:pos="1803"/>
        </w:tabs>
        <w:ind w:left="1803" w:hanging="363"/>
      </w:pPr>
      <w:rPr>
        <w:rFonts w:ascii="Symbol" w:hAnsi="Symbol"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7357255"/>
    <w:multiLevelType w:val="multilevel"/>
    <w:tmpl w:val="112E5034"/>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3" w15:restartNumberingAfterBreak="0">
    <w:nsid w:val="779605B9"/>
    <w:multiLevelType w:val="hybridMultilevel"/>
    <w:tmpl w:val="E51E575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191271"/>
    <w:multiLevelType w:val="hybridMultilevel"/>
    <w:tmpl w:val="D2162492"/>
    <w:lvl w:ilvl="0" w:tplc="0C09000F">
      <w:start w:val="5"/>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5" w15:restartNumberingAfterBreak="0">
    <w:nsid w:val="79AB5809"/>
    <w:multiLevelType w:val="hybridMultilevel"/>
    <w:tmpl w:val="70A29672"/>
    <w:lvl w:ilvl="0" w:tplc="F588140C">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B541095"/>
    <w:multiLevelType w:val="hybridMultilevel"/>
    <w:tmpl w:val="A18CF2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D686147"/>
    <w:multiLevelType w:val="hybridMultilevel"/>
    <w:tmpl w:val="5EF8BCAA"/>
    <w:lvl w:ilvl="0" w:tplc="F93049D0">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2"/>
  </w:num>
  <w:num w:numId="2">
    <w:abstractNumId w:val="39"/>
  </w:num>
  <w:num w:numId="3">
    <w:abstractNumId w:val="41"/>
  </w:num>
  <w:num w:numId="4">
    <w:abstractNumId w:val="35"/>
  </w:num>
  <w:num w:numId="5">
    <w:abstractNumId w:val="38"/>
  </w:num>
  <w:num w:numId="6">
    <w:abstractNumId w:val="16"/>
  </w:num>
  <w:num w:numId="7">
    <w:abstractNumId w:val="7"/>
  </w:num>
  <w:num w:numId="8">
    <w:abstractNumId w:val="28"/>
  </w:num>
  <w:num w:numId="9">
    <w:abstractNumId w:val="23"/>
  </w:num>
  <w:num w:numId="10">
    <w:abstractNumId w:val="1"/>
  </w:num>
  <w:num w:numId="11">
    <w:abstractNumId w:val="19"/>
  </w:num>
  <w:num w:numId="12">
    <w:abstractNumId w:val="31"/>
  </w:num>
  <w:num w:numId="13">
    <w:abstractNumId w:val="37"/>
  </w:num>
  <w:num w:numId="14">
    <w:abstractNumId w:val="8"/>
  </w:num>
  <w:num w:numId="15">
    <w:abstractNumId w:val="5"/>
  </w:num>
  <w:num w:numId="16">
    <w:abstractNumId w:val="6"/>
  </w:num>
  <w:num w:numId="17">
    <w:abstractNumId w:val="44"/>
  </w:num>
  <w:num w:numId="18">
    <w:abstractNumId w:val="3"/>
  </w:num>
  <w:num w:numId="19">
    <w:abstractNumId w:val="25"/>
  </w:num>
  <w:num w:numId="20">
    <w:abstractNumId w:val="10"/>
  </w:num>
  <w:num w:numId="21">
    <w:abstractNumId w:val="24"/>
  </w:num>
  <w:num w:numId="22">
    <w:abstractNumId w:val="40"/>
  </w:num>
  <w:num w:numId="23">
    <w:abstractNumId w:val="30"/>
  </w:num>
  <w:num w:numId="24">
    <w:abstractNumId w:val="36"/>
  </w:num>
  <w:num w:numId="25">
    <w:abstractNumId w:val="0"/>
  </w:num>
  <w:num w:numId="26">
    <w:abstractNumId w:val="47"/>
  </w:num>
  <w:num w:numId="27">
    <w:abstractNumId w:val="46"/>
  </w:num>
  <w:num w:numId="28">
    <w:abstractNumId w:val="43"/>
  </w:num>
  <w:num w:numId="29">
    <w:abstractNumId w:val="9"/>
  </w:num>
  <w:num w:numId="30">
    <w:abstractNumId w:val="32"/>
  </w:num>
  <w:num w:numId="31">
    <w:abstractNumId w:val="4"/>
  </w:num>
  <w:num w:numId="32">
    <w:abstractNumId w:val="34"/>
  </w:num>
  <w:num w:numId="33">
    <w:abstractNumId w:val="2"/>
  </w:num>
  <w:num w:numId="34">
    <w:abstractNumId w:val="22"/>
  </w:num>
  <w:num w:numId="35">
    <w:abstractNumId w:val="18"/>
  </w:num>
  <w:num w:numId="36">
    <w:abstractNumId w:val="15"/>
  </w:num>
  <w:num w:numId="37">
    <w:abstractNumId w:val="33"/>
  </w:num>
  <w:num w:numId="38">
    <w:abstractNumId w:val="45"/>
  </w:num>
  <w:num w:numId="39">
    <w:abstractNumId w:val="14"/>
  </w:num>
  <w:num w:numId="40">
    <w:abstractNumId w:val="27"/>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13"/>
  </w:num>
  <w:num w:numId="46">
    <w:abstractNumId w:val="12"/>
  </w:num>
  <w:num w:numId="47">
    <w:abstractNumId w:val="17"/>
  </w:num>
  <w:num w:numId="48">
    <w:abstractNumId w:val="11"/>
  </w:num>
  <w:num w:numId="49">
    <w:abstractNumId w:val="26"/>
  </w:num>
  <w:num w:numId="50">
    <w:abstractNumId w:val="29"/>
  </w:num>
  <w:num w:numId="51">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7C"/>
    <w:rsid w:val="00000683"/>
    <w:rsid w:val="00002813"/>
    <w:rsid w:val="00003072"/>
    <w:rsid w:val="0000321D"/>
    <w:rsid w:val="0000395C"/>
    <w:rsid w:val="00003ADD"/>
    <w:rsid w:val="00010287"/>
    <w:rsid w:val="00010BB3"/>
    <w:rsid w:val="00010E1F"/>
    <w:rsid w:val="00010F79"/>
    <w:rsid w:val="0001141A"/>
    <w:rsid w:val="00012E15"/>
    <w:rsid w:val="00013CB6"/>
    <w:rsid w:val="00013DAF"/>
    <w:rsid w:val="000140ED"/>
    <w:rsid w:val="00014753"/>
    <w:rsid w:val="00014798"/>
    <w:rsid w:val="0001486F"/>
    <w:rsid w:val="00014C68"/>
    <w:rsid w:val="0001616C"/>
    <w:rsid w:val="000172CE"/>
    <w:rsid w:val="0002007A"/>
    <w:rsid w:val="00020719"/>
    <w:rsid w:val="00021AFA"/>
    <w:rsid w:val="00023AEF"/>
    <w:rsid w:val="000244EA"/>
    <w:rsid w:val="0002461A"/>
    <w:rsid w:val="00024783"/>
    <w:rsid w:val="00025876"/>
    <w:rsid w:val="000259ED"/>
    <w:rsid w:val="00034212"/>
    <w:rsid w:val="00034F5B"/>
    <w:rsid w:val="00034F7D"/>
    <w:rsid w:val="000407A9"/>
    <w:rsid w:val="00040C8D"/>
    <w:rsid w:val="000435C1"/>
    <w:rsid w:val="000438CE"/>
    <w:rsid w:val="0004476D"/>
    <w:rsid w:val="0004484A"/>
    <w:rsid w:val="00045559"/>
    <w:rsid w:val="000502A5"/>
    <w:rsid w:val="00051856"/>
    <w:rsid w:val="00051F85"/>
    <w:rsid w:val="00054BC9"/>
    <w:rsid w:val="00055773"/>
    <w:rsid w:val="00056536"/>
    <w:rsid w:val="000602E8"/>
    <w:rsid w:val="00060380"/>
    <w:rsid w:val="00061D1A"/>
    <w:rsid w:val="00062206"/>
    <w:rsid w:val="00062BB9"/>
    <w:rsid w:val="00062EF8"/>
    <w:rsid w:val="000656AF"/>
    <w:rsid w:val="0006664A"/>
    <w:rsid w:val="000674BC"/>
    <w:rsid w:val="000703A1"/>
    <w:rsid w:val="00070623"/>
    <w:rsid w:val="00071FE1"/>
    <w:rsid w:val="00077015"/>
    <w:rsid w:val="00077490"/>
    <w:rsid w:val="00081855"/>
    <w:rsid w:val="00083EDC"/>
    <w:rsid w:val="00085A5A"/>
    <w:rsid w:val="00086AA6"/>
    <w:rsid w:val="0009089B"/>
    <w:rsid w:val="000916BE"/>
    <w:rsid w:val="00094FE0"/>
    <w:rsid w:val="0009712F"/>
    <w:rsid w:val="00097A3A"/>
    <w:rsid w:val="000B0838"/>
    <w:rsid w:val="000B196C"/>
    <w:rsid w:val="000B1A63"/>
    <w:rsid w:val="000B2988"/>
    <w:rsid w:val="000B2B48"/>
    <w:rsid w:val="000B2C10"/>
    <w:rsid w:val="000B2EB6"/>
    <w:rsid w:val="000B7EE0"/>
    <w:rsid w:val="000C1862"/>
    <w:rsid w:val="000C1AA4"/>
    <w:rsid w:val="000C3A29"/>
    <w:rsid w:val="000C70F1"/>
    <w:rsid w:val="000D20EA"/>
    <w:rsid w:val="000D2111"/>
    <w:rsid w:val="000D2985"/>
    <w:rsid w:val="000D3504"/>
    <w:rsid w:val="000D3B54"/>
    <w:rsid w:val="000D3F0F"/>
    <w:rsid w:val="000D4177"/>
    <w:rsid w:val="000D6592"/>
    <w:rsid w:val="000D66E6"/>
    <w:rsid w:val="000D6B44"/>
    <w:rsid w:val="000D6D60"/>
    <w:rsid w:val="000D7616"/>
    <w:rsid w:val="000E16CA"/>
    <w:rsid w:val="000E3025"/>
    <w:rsid w:val="000E3586"/>
    <w:rsid w:val="000E4BF6"/>
    <w:rsid w:val="000E7AC5"/>
    <w:rsid w:val="000F0625"/>
    <w:rsid w:val="000F235E"/>
    <w:rsid w:val="000F3A0C"/>
    <w:rsid w:val="000F4B0E"/>
    <w:rsid w:val="000F6CD0"/>
    <w:rsid w:val="000F74E6"/>
    <w:rsid w:val="00103FB5"/>
    <w:rsid w:val="001043D0"/>
    <w:rsid w:val="00105190"/>
    <w:rsid w:val="00105D26"/>
    <w:rsid w:val="00105DDF"/>
    <w:rsid w:val="00110A82"/>
    <w:rsid w:val="00112B00"/>
    <w:rsid w:val="0011548B"/>
    <w:rsid w:val="001158B8"/>
    <w:rsid w:val="001171ED"/>
    <w:rsid w:val="001173E1"/>
    <w:rsid w:val="00123C91"/>
    <w:rsid w:val="00124539"/>
    <w:rsid w:val="001305FA"/>
    <w:rsid w:val="001308C8"/>
    <w:rsid w:val="00131099"/>
    <w:rsid w:val="00133072"/>
    <w:rsid w:val="00136EF4"/>
    <w:rsid w:val="00140CBA"/>
    <w:rsid w:val="00141CF5"/>
    <w:rsid w:val="00143E01"/>
    <w:rsid w:val="00143F16"/>
    <w:rsid w:val="0014638F"/>
    <w:rsid w:val="0014661E"/>
    <w:rsid w:val="00147F9D"/>
    <w:rsid w:val="001502B6"/>
    <w:rsid w:val="00150AEF"/>
    <w:rsid w:val="0015149C"/>
    <w:rsid w:val="001519AA"/>
    <w:rsid w:val="00154F2A"/>
    <w:rsid w:val="00160A11"/>
    <w:rsid w:val="00160E2C"/>
    <w:rsid w:val="00161E1F"/>
    <w:rsid w:val="0016231E"/>
    <w:rsid w:val="0016460C"/>
    <w:rsid w:val="00164845"/>
    <w:rsid w:val="00165C2E"/>
    <w:rsid w:val="001666A8"/>
    <w:rsid w:val="001673D6"/>
    <w:rsid w:val="00167472"/>
    <w:rsid w:val="00167CDE"/>
    <w:rsid w:val="00170085"/>
    <w:rsid w:val="00171489"/>
    <w:rsid w:val="00173245"/>
    <w:rsid w:val="00174729"/>
    <w:rsid w:val="00174E75"/>
    <w:rsid w:val="00174EB8"/>
    <w:rsid w:val="00175D69"/>
    <w:rsid w:val="001778EB"/>
    <w:rsid w:val="001802FF"/>
    <w:rsid w:val="0018151D"/>
    <w:rsid w:val="001844E3"/>
    <w:rsid w:val="00185EED"/>
    <w:rsid w:val="0018601F"/>
    <w:rsid w:val="00192124"/>
    <w:rsid w:val="00196C24"/>
    <w:rsid w:val="001A45DA"/>
    <w:rsid w:val="001A4F98"/>
    <w:rsid w:val="001A6261"/>
    <w:rsid w:val="001A7530"/>
    <w:rsid w:val="001B0002"/>
    <w:rsid w:val="001B188D"/>
    <w:rsid w:val="001B1891"/>
    <w:rsid w:val="001B1BA7"/>
    <w:rsid w:val="001B2A13"/>
    <w:rsid w:val="001B3545"/>
    <w:rsid w:val="001B4B15"/>
    <w:rsid w:val="001B5541"/>
    <w:rsid w:val="001B5B5E"/>
    <w:rsid w:val="001B754E"/>
    <w:rsid w:val="001C22B3"/>
    <w:rsid w:val="001C4872"/>
    <w:rsid w:val="001C514B"/>
    <w:rsid w:val="001C6271"/>
    <w:rsid w:val="001C66DD"/>
    <w:rsid w:val="001C6FA7"/>
    <w:rsid w:val="001C77E9"/>
    <w:rsid w:val="001D05DC"/>
    <w:rsid w:val="001D0B86"/>
    <w:rsid w:val="001D0D42"/>
    <w:rsid w:val="001D14FD"/>
    <w:rsid w:val="001D15EE"/>
    <w:rsid w:val="001D2AEE"/>
    <w:rsid w:val="001D58AA"/>
    <w:rsid w:val="001D788B"/>
    <w:rsid w:val="001E12F1"/>
    <w:rsid w:val="001E1E7E"/>
    <w:rsid w:val="001E2A7B"/>
    <w:rsid w:val="001E419F"/>
    <w:rsid w:val="001E430E"/>
    <w:rsid w:val="001E61D3"/>
    <w:rsid w:val="001F2B11"/>
    <w:rsid w:val="001F2C05"/>
    <w:rsid w:val="001F414D"/>
    <w:rsid w:val="001F4B1B"/>
    <w:rsid w:val="001F7C23"/>
    <w:rsid w:val="002020E2"/>
    <w:rsid w:val="002062C5"/>
    <w:rsid w:val="002076F9"/>
    <w:rsid w:val="002119D8"/>
    <w:rsid w:val="00211DA1"/>
    <w:rsid w:val="0021385A"/>
    <w:rsid w:val="00216412"/>
    <w:rsid w:val="00216521"/>
    <w:rsid w:val="002167CC"/>
    <w:rsid w:val="002173D2"/>
    <w:rsid w:val="00220F94"/>
    <w:rsid w:val="0022117D"/>
    <w:rsid w:val="00222F62"/>
    <w:rsid w:val="00230033"/>
    <w:rsid w:val="002309C4"/>
    <w:rsid w:val="00231758"/>
    <w:rsid w:val="002318AB"/>
    <w:rsid w:val="0023205E"/>
    <w:rsid w:val="002327B4"/>
    <w:rsid w:val="00233436"/>
    <w:rsid w:val="0023363E"/>
    <w:rsid w:val="00233CE9"/>
    <w:rsid w:val="00234DE1"/>
    <w:rsid w:val="00235D8F"/>
    <w:rsid w:val="002362A8"/>
    <w:rsid w:val="00236497"/>
    <w:rsid w:val="002419EA"/>
    <w:rsid w:val="00241BC6"/>
    <w:rsid w:val="00241C11"/>
    <w:rsid w:val="0024225B"/>
    <w:rsid w:val="00242C9A"/>
    <w:rsid w:val="00243E61"/>
    <w:rsid w:val="00245AD5"/>
    <w:rsid w:val="00245B4C"/>
    <w:rsid w:val="00245CF6"/>
    <w:rsid w:val="00247E9E"/>
    <w:rsid w:val="00250685"/>
    <w:rsid w:val="00252F4E"/>
    <w:rsid w:val="00253DA5"/>
    <w:rsid w:val="00254FF6"/>
    <w:rsid w:val="00256C3D"/>
    <w:rsid w:val="00257D5A"/>
    <w:rsid w:val="00261485"/>
    <w:rsid w:val="002615A7"/>
    <w:rsid w:val="0026217A"/>
    <w:rsid w:val="0027145F"/>
    <w:rsid w:val="002717C6"/>
    <w:rsid w:val="00271B06"/>
    <w:rsid w:val="0027338B"/>
    <w:rsid w:val="002750AA"/>
    <w:rsid w:val="00276EBA"/>
    <w:rsid w:val="002778AB"/>
    <w:rsid w:val="00277D71"/>
    <w:rsid w:val="00283518"/>
    <w:rsid w:val="00286224"/>
    <w:rsid w:val="00287DAA"/>
    <w:rsid w:val="0029055E"/>
    <w:rsid w:val="002909E7"/>
    <w:rsid w:val="0029122F"/>
    <w:rsid w:val="002917F1"/>
    <w:rsid w:val="002920A2"/>
    <w:rsid w:val="00292BFB"/>
    <w:rsid w:val="002973A6"/>
    <w:rsid w:val="00297BE3"/>
    <w:rsid w:val="002A1384"/>
    <w:rsid w:val="002A15B9"/>
    <w:rsid w:val="002A2F0A"/>
    <w:rsid w:val="002A3E3F"/>
    <w:rsid w:val="002A59B5"/>
    <w:rsid w:val="002A5DA0"/>
    <w:rsid w:val="002A6473"/>
    <w:rsid w:val="002A77AE"/>
    <w:rsid w:val="002A7A04"/>
    <w:rsid w:val="002B151F"/>
    <w:rsid w:val="002B28BC"/>
    <w:rsid w:val="002B319F"/>
    <w:rsid w:val="002B716D"/>
    <w:rsid w:val="002C104F"/>
    <w:rsid w:val="002C28DE"/>
    <w:rsid w:val="002C343F"/>
    <w:rsid w:val="002C376C"/>
    <w:rsid w:val="002C4A12"/>
    <w:rsid w:val="002C546F"/>
    <w:rsid w:val="002C6B5B"/>
    <w:rsid w:val="002D07CD"/>
    <w:rsid w:val="002D0A2F"/>
    <w:rsid w:val="002D0E29"/>
    <w:rsid w:val="002D0FC9"/>
    <w:rsid w:val="002D15E3"/>
    <w:rsid w:val="002D2375"/>
    <w:rsid w:val="002D441D"/>
    <w:rsid w:val="002D5038"/>
    <w:rsid w:val="002E3183"/>
    <w:rsid w:val="002E332C"/>
    <w:rsid w:val="002E3495"/>
    <w:rsid w:val="002E3858"/>
    <w:rsid w:val="002E44C9"/>
    <w:rsid w:val="002E45FF"/>
    <w:rsid w:val="002E5427"/>
    <w:rsid w:val="002E67E2"/>
    <w:rsid w:val="002E7390"/>
    <w:rsid w:val="002F0299"/>
    <w:rsid w:val="002F1511"/>
    <w:rsid w:val="002F2501"/>
    <w:rsid w:val="002F25D7"/>
    <w:rsid w:val="002F27EA"/>
    <w:rsid w:val="002F29E5"/>
    <w:rsid w:val="002F3146"/>
    <w:rsid w:val="002F4262"/>
    <w:rsid w:val="002F4988"/>
    <w:rsid w:val="002F4A73"/>
    <w:rsid w:val="002F4CBD"/>
    <w:rsid w:val="002F5C09"/>
    <w:rsid w:val="002F6285"/>
    <w:rsid w:val="002F732B"/>
    <w:rsid w:val="00300A1C"/>
    <w:rsid w:val="00301C00"/>
    <w:rsid w:val="00303999"/>
    <w:rsid w:val="00304B14"/>
    <w:rsid w:val="00305F1A"/>
    <w:rsid w:val="00307F61"/>
    <w:rsid w:val="0031037C"/>
    <w:rsid w:val="0031065D"/>
    <w:rsid w:val="003121A7"/>
    <w:rsid w:val="0031298D"/>
    <w:rsid w:val="00313AA7"/>
    <w:rsid w:val="00315112"/>
    <w:rsid w:val="00315C42"/>
    <w:rsid w:val="0031686F"/>
    <w:rsid w:val="00321C60"/>
    <w:rsid w:val="00321F1A"/>
    <w:rsid w:val="0032627C"/>
    <w:rsid w:val="003300AA"/>
    <w:rsid w:val="00331B20"/>
    <w:rsid w:val="00333B56"/>
    <w:rsid w:val="003344BB"/>
    <w:rsid w:val="003404D8"/>
    <w:rsid w:val="00342B44"/>
    <w:rsid w:val="00343E4F"/>
    <w:rsid w:val="00343EC1"/>
    <w:rsid w:val="00344652"/>
    <w:rsid w:val="00344FF9"/>
    <w:rsid w:val="00345397"/>
    <w:rsid w:val="0034772B"/>
    <w:rsid w:val="00350756"/>
    <w:rsid w:val="00350982"/>
    <w:rsid w:val="0035437F"/>
    <w:rsid w:val="003548E0"/>
    <w:rsid w:val="003553CA"/>
    <w:rsid w:val="00357665"/>
    <w:rsid w:val="003612B5"/>
    <w:rsid w:val="00365BB7"/>
    <w:rsid w:val="00365BF2"/>
    <w:rsid w:val="00365C2E"/>
    <w:rsid w:val="00367795"/>
    <w:rsid w:val="00367879"/>
    <w:rsid w:val="00370123"/>
    <w:rsid w:val="0037092D"/>
    <w:rsid w:val="003714DE"/>
    <w:rsid w:val="003715AE"/>
    <w:rsid w:val="003723C2"/>
    <w:rsid w:val="00372C67"/>
    <w:rsid w:val="00374D39"/>
    <w:rsid w:val="0037566F"/>
    <w:rsid w:val="00375BDB"/>
    <w:rsid w:val="00376562"/>
    <w:rsid w:val="00376FDE"/>
    <w:rsid w:val="00377D10"/>
    <w:rsid w:val="00380294"/>
    <w:rsid w:val="00380FA3"/>
    <w:rsid w:val="0038303B"/>
    <w:rsid w:val="00384126"/>
    <w:rsid w:val="00385FDF"/>
    <w:rsid w:val="00386463"/>
    <w:rsid w:val="00387B17"/>
    <w:rsid w:val="00390178"/>
    <w:rsid w:val="003902F7"/>
    <w:rsid w:val="00390E8C"/>
    <w:rsid w:val="003916C9"/>
    <w:rsid w:val="0039186D"/>
    <w:rsid w:val="00392973"/>
    <w:rsid w:val="003945BE"/>
    <w:rsid w:val="00394728"/>
    <w:rsid w:val="00394992"/>
    <w:rsid w:val="0039705A"/>
    <w:rsid w:val="003A0560"/>
    <w:rsid w:val="003A0884"/>
    <w:rsid w:val="003A23F8"/>
    <w:rsid w:val="003A2CAE"/>
    <w:rsid w:val="003A34B9"/>
    <w:rsid w:val="003A42FF"/>
    <w:rsid w:val="003A7E5E"/>
    <w:rsid w:val="003B054D"/>
    <w:rsid w:val="003B22E3"/>
    <w:rsid w:val="003B2F38"/>
    <w:rsid w:val="003B3335"/>
    <w:rsid w:val="003B34CA"/>
    <w:rsid w:val="003B5FE6"/>
    <w:rsid w:val="003B6473"/>
    <w:rsid w:val="003B7340"/>
    <w:rsid w:val="003C040F"/>
    <w:rsid w:val="003C0ECF"/>
    <w:rsid w:val="003C416D"/>
    <w:rsid w:val="003C528B"/>
    <w:rsid w:val="003C66E9"/>
    <w:rsid w:val="003C6732"/>
    <w:rsid w:val="003D25B4"/>
    <w:rsid w:val="003D27C3"/>
    <w:rsid w:val="003D4004"/>
    <w:rsid w:val="003E14D5"/>
    <w:rsid w:val="003E22A8"/>
    <w:rsid w:val="003E2C96"/>
    <w:rsid w:val="003E372C"/>
    <w:rsid w:val="003E520D"/>
    <w:rsid w:val="003E78C0"/>
    <w:rsid w:val="003E7B8D"/>
    <w:rsid w:val="003E7E18"/>
    <w:rsid w:val="003F33E9"/>
    <w:rsid w:val="003F48E7"/>
    <w:rsid w:val="003F5A04"/>
    <w:rsid w:val="003F713F"/>
    <w:rsid w:val="004008A7"/>
    <w:rsid w:val="00400BD8"/>
    <w:rsid w:val="00400DB2"/>
    <w:rsid w:val="00402421"/>
    <w:rsid w:val="00403B5D"/>
    <w:rsid w:val="00406446"/>
    <w:rsid w:val="00406964"/>
    <w:rsid w:val="00412334"/>
    <w:rsid w:val="00412788"/>
    <w:rsid w:val="00412877"/>
    <w:rsid w:val="0041329F"/>
    <w:rsid w:val="0041494D"/>
    <w:rsid w:val="00414E71"/>
    <w:rsid w:val="0041543D"/>
    <w:rsid w:val="0041633C"/>
    <w:rsid w:val="0041638B"/>
    <w:rsid w:val="00421C60"/>
    <w:rsid w:val="00421D71"/>
    <w:rsid w:val="00423B5F"/>
    <w:rsid w:val="0042406B"/>
    <w:rsid w:val="004256F4"/>
    <w:rsid w:val="00425811"/>
    <w:rsid w:val="00427285"/>
    <w:rsid w:val="0043333D"/>
    <w:rsid w:val="004344DF"/>
    <w:rsid w:val="00435BAA"/>
    <w:rsid w:val="00435CCC"/>
    <w:rsid w:val="00437349"/>
    <w:rsid w:val="004373E0"/>
    <w:rsid w:val="0044196B"/>
    <w:rsid w:val="00441C72"/>
    <w:rsid w:val="0044276A"/>
    <w:rsid w:val="00443763"/>
    <w:rsid w:val="00444001"/>
    <w:rsid w:val="0044480D"/>
    <w:rsid w:val="0044585B"/>
    <w:rsid w:val="00445FFC"/>
    <w:rsid w:val="004462F5"/>
    <w:rsid w:val="004467F9"/>
    <w:rsid w:val="00447751"/>
    <w:rsid w:val="00451BE1"/>
    <w:rsid w:val="004527AE"/>
    <w:rsid w:val="00452E5E"/>
    <w:rsid w:val="00453252"/>
    <w:rsid w:val="0045346E"/>
    <w:rsid w:val="0045394B"/>
    <w:rsid w:val="004564CD"/>
    <w:rsid w:val="00457D21"/>
    <w:rsid w:val="00460781"/>
    <w:rsid w:val="004616A1"/>
    <w:rsid w:val="0046256F"/>
    <w:rsid w:val="00462FF1"/>
    <w:rsid w:val="00464C1B"/>
    <w:rsid w:val="004655D3"/>
    <w:rsid w:val="00466784"/>
    <w:rsid w:val="0046692A"/>
    <w:rsid w:val="00470628"/>
    <w:rsid w:val="004709C4"/>
    <w:rsid w:val="00470B92"/>
    <w:rsid w:val="00470E45"/>
    <w:rsid w:val="00471339"/>
    <w:rsid w:val="00471552"/>
    <w:rsid w:val="00471AA2"/>
    <w:rsid w:val="004735D1"/>
    <w:rsid w:val="00473DF6"/>
    <w:rsid w:val="004747E8"/>
    <w:rsid w:val="004764E8"/>
    <w:rsid w:val="004766BF"/>
    <w:rsid w:val="00477E67"/>
    <w:rsid w:val="004816AF"/>
    <w:rsid w:val="00481ADE"/>
    <w:rsid w:val="00481BB2"/>
    <w:rsid w:val="00482A75"/>
    <w:rsid w:val="00482D31"/>
    <w:rsid w:val="00483509"/>
    <w:rsid w:val="00485438"/>
    <w:rsid w:val="00485A74"/>
    <w:rsid w:val="00486037"/>
    <w:rsid w:val="00486EED"/>
    <w:rsid w:val="00490A2D"/>
    <w:rsid w:val="00490C9D"/>
    <w:rsid w:val="00493CB2"/>
    <w:rsid w:val="00494EA5"/>
    <w:rsid w:val="00495DE2"/>
    <w:rsid w:val="00496084"/>
    <w:rsid w:val="00497721"/>
    <w:rsid w:val="004A021E"/>
    <w:rsid w:val="004A3F73"/>
    <w:rsid w:val="004A5BE7"/>
    <w:rsid w:val="004A7CB2"/>
    <w:rsid w:val="004B1FFD"/>
    <w:rsid w:val="004B22AE"/>
    <w:rsid w:val="004B2452"/>
    <w:rsid w:val="004B453A"/>
    <w:rsid w:val="004B5813"/>
    <w:rsid w:val="004B6038"/>
    <w:rsid w:val="004B6FD8"/>
    <w:rsid w:val="004C1DF0"/>
    <w:rsid w:val="004C252B"/>
    <w:rsid w:val="004C3238"/>
    <w:rsid w:val="004C365F"/>
    <w:rsid w:val="004C3BD4"/>
    <w:rsid w:val="004C5166"/>
    <w:rsid w:val="004C5571"/>
    <w:rsid w:val="004D0194"/>
    <w:rsid w:val="004D02E9"/>
    <w:rsid w:val="004D04BD"/>
    <w:rsid w:val="004D072B"/>
    <w:rsid w:val="004D46AE"/>
    <w:rsid w:val="004D5F7C"/>
    <w:rsid w:val="004D6670"/>
    <w:rsid w:val="004D686B"/>
    <w:rsid w:val="004D6FB3"/>
    <w:rsid w:val="004E49FE"/>
    <w:rsid w:val="004E4B3A"/>
    <w:rsid w:val="004E5443"/>
    <w:rsid w:val="004E5688"/>
    <w:rsid w:val="004E5F2B"/>
    <w:rsid w:val="004E6613"/>
    <w:rsid w:val="004E79B9"/>
    <w:rsid w:val="004F0448"/>
    <w:rsid w:val="004F04FA"/>
    <w:rsid w:val="004F11D3"/>
    <w:rsid w:val="004F1FC0"/>
    <w:rsid w:val="004F48C0"/>
    <w:rsid w:val="004F4F60"/>
    <w:rsid w:val="004F5CC3"/>
    <w:rsid w:val="00500D13"/>
    <w:rsid w:val="00503035"/>
    <w:rsid w:val="00504FC6"/>
    <w:rsid w:val="00505331"/>
    <w:rsid w:val="00505F8E"/>
    <w:rsid w:val="005061F6"/>
    <w:rsid w:val="00507255"/>
    <w:rsid w:val="005126E2"/>
    <w:rsid w:val="00513216"/>
    <w:rsid w:val="00514C4A"/>
    <w:rsid w:val="00515A9F"/>
    <w:rsid w:val="005200BD"/>
    <w:rsid w:val="00520A53"/>
    <w:rsid w:val="00521722"/>
    <w:rsid w:val="0052201A"/>
    <w:rsid w:val="0052219B"/>
    <w:rsid w:val="00526D8A"/>
    <w:rsid w:val="00526F1A"/>
    <w:rsid w:val="0053024E"/>
    <w:rsid w:val="00530A6A"/>
    <w:rsid w:val="00530DD7"/>
    <w:rsid w:val="00531987"/>
    <w:rsid w:val="00531AE0"/>
    <w:rsid w:val="0053207C"/>
    <w:rsid w:val="00532747"/>
    <w:rsid w:val="005409D1"/>
    <w:rsid w:val="00541A8B"/>
    <w:rsid w:val="0054396C"/>
    <w:rsid w:val="005439D6"/>
    <w:rsid w:val="00545230"/>
    <w:rsid w:val="00545283"/>
    <w:rsid w:val="00545FF9"/>
    <w:rsid w:val="005463A6"/>
    <w:rsid w:val="005466F6"/>
    <w:rsid w:val="00546D0B"/>
    <w:rsid w:val="005470AD"/>
    <w:rsid w:val="005520B7"/>
    <w:rsid w:val="005541DD"/>
    <w:rsid w:val="00554258"/>
    <w:rsid w:val="005548DF"/>
    <w:rsid w:val="005549C3"/>
    <w:rsid w:val="00554B74"/>
    <w:rsid w:val="005550E3"/>
    <w:rsid w:val="0055558C"/>
    <w:rsid w:val="005571AB"/>
    <w:rsid w:val="005572A2"/>
    <w:rsid w:val="005572C5"/>
    <w:rsid w:val="00562997"/>
    <w:rsid w:val="00562D48"/>
    <w:rsid w:val="005636FC"/>
    <w:rsid w:val="00566510"/>
    <w:rsid w:val="005679F8"/>
    <w:rsid w:val="005712E2"/>
    <w:rsid w:val="00571FFC"/>
    <w:rsid w:val="00573B58"/>
    <w:rsid w:val="00574215"/>
    <w:rsid w:val="00575A24"/>
    <w:rsid w:val="00576F78"/>
    <w:rsid w:val="005775B1"/>
    <w:rsid w:val="005807D6"/>
    <w:rsid w:val="005836DA"/>
    <w:rsid w:val="00586C54"/>
    <w:rsid w:val="00587B1D"/>
    <w:rsid w:val="00590014"/>
    <w:rsid w:val="0059108D"/>
    <w:rsid w:val="00591AC2"/>
    <w:rsid w:val="005928F0"/>
    <w:rsid w:val="005949E2"/>
    <w:rsid w:val="0059540B"/>
    <w:rsid w:val="0059600E"/>
    <w:rsid w:val="00596227"/>
    <w:rsid w:val="005A0141"/>
    <w:rsid w:val="005A0275"/>
    <w:rsid w:val="005A096A"/>
    <w:rsid w:val="005A09F9"/>
    <w:rsid w:val="005A1082"/>
    <w:rsid w:val="005A1C08"/>
    <w:rsid w:val="005A2A60"/>
    <w:rsid w:val="005B2411"/>
    <w:rsid w:val="005B4219"/>
    <w:rsid w:val="005B4A50"/>
    <w:rsid w:val="005B5BE3"/>
    <w:rsid w:val="005B61E0"/>
    <w:rsid w:val="005B6354"/>
    <w:rsid w:val="005C0CA1"/>
    <w:rsid w:val="005C0F67"/>
    <w:rsid w:val="005C11C6"/>
    <w:rsid w:val="005C217C"/>
    <w:rsid w:val="005C4CD9"/>
    <w:rsid w:val="005C69EC"/>
    <w:rsid w:val="005D0062"/>
    <w:rsid w:val="005D2A41"/>
    <w:rsid w:val="005D3D89"/>
    <w:rsid w:val="005D4E5C"/>
    <w:rsid w:val="005D7BC3"/>
    <w:rsid w:val="005E123E"/>
    <w:rsid w:val="005E2D86"/>
    <w:rsid w:val="005E50CA"/>
    <w:rsid w:val="005E7BA0"/>
    <w:rsid w:val="005F069C"/>
    <w:rsid w:val="005F2D7C"/>
    <w:rsid w:val="005F3B70"/>
    <w:rsid w:val="005F44C4"/>
    <w:rsid w:val="005F5A36"/>
    <w:rsid w:val="005F6CF5"/>
    <w:rsid w:val="0060091D"/>
    <w:rsid w:val="006011A5"/>
    <w:rsid w:val="00607767"/>
    <w:rsid w:val="0061048D"/>
    <w:rsid w:val="006111E5"/>
    <w:rsid w:val="00611B19"/>
    <w:rsid w:val="006169E9"/>
    <w:rsid w:val="0062031C"/>
    <w:rsid w:val="00620973"/>
    <w:rsid w:val="00620F4D"/>
    <w:rsid w:val="00623CDD"/>
    <w:rsid w:val="006243C7"/>
    <w:rsid w:val="006273F2"/>
    <w:rsid w:val="00632653"/>
    <w:rsid w:val="0063475F"/>
    <w:rsid w:val="00637415"/>
    <w:rsid w:val="006378B1"/>
    <w:rsid w:val="00642083"/>
    <w:rsid w:val="006424D6"/>
    <w:rsid w:val="006437A7"/>
    <w:rsid w:val="00643D37"/>
    <w:rsid w:val="00644163"/>
    <w:rsid w:val="006466B7"/>
    <w:rsid w:val="006467CD"/>
    <w:rsid w:val="00646DBB"/>
    <w:rsid w:val="006502DC"/>
    <w:rsid w:val="00650D24"/>
    <w:rsid w:val="006527ED"/>
    <w:rsid w:val="00652C7A"/>
    <w:rsid w:val="0065391E"/>
    <w:rsid w:val="0065398B"/>
    <w:rsid w:val="006544EC"/>
    <w:rsid w:val="0065491C"/>
    <w:rsid w:val="00654AE6"/>
    <w:rsid w:val="00655EEF"/>
    <w:rsid w:val="006579EA"/>
    <w:rsid w:val="00657FB1"/>
    <w:rsid w:val="006612A2"/>
    <w:rsid w:val="00664B10"/>
    <w:rsid w:val="00666CDA"/>
    <w:rsid w:val="00667E6F"/>
    <w:rsid w:val="00670246"/>
    <w:rsid w:val="006709D2"/>
    <w:rsid w:val="00670D92"/>
    <w:rsid w:val="00674EC8"/>
    <w:rsid w:val="0067582A"/>
    <w:rsid w:val="00676ABE"/>
    <w:rsid w:val="00677186"/>
    <w:rsid w:val="00677281"/>
    <w:rsid w:val="006809B4"/>
    <w:rsid w:val="006809E2"/>
    <w:rsid w:val="00680A6C"/>
    <w:rsid w:val="006817B0"/>
    <w:rsid w:val="006821F1"/>
    <w:rsid w:val="00684795"/>
    <w:rsid w:val="0068570F"/>
    <w:rsid w:val="0069145A"/>
    <w:rsid w:val="0069318B"/>
    <w:rsid w:val="00693BF2"/>
    <w:rsid w:val="00694301"/>
    <w:rsid w:val="006950EB"/>
    <w:rsid w:val="00696129"/>
    <w:rsid w:val="00696C5C"/>
    <w:rsid w:val="0069756E"/>
    <w:rsid w:val="00697CB9"/>
    <w:rsid w:val="006A0238"/>
    <w:rsid w:val="006A2C93"/>
    <w:rsid w:val="006A2EF1"/>
    <w:rsid w:val="006A6212"/>
    <w:rsid w:val="006A6B2C"/>
    <w:rsid w:val="006B1335"/>
    <w:rsid w:val="006B1E07"/>
    <w:rsid w:val="006B34C6"/>
    <w:rsid w:val="006B4E8A"/>
    <w:rsid w:val="006B571C"/>
    <w:rsid w:val="006B6E67"/>
    <w:rsid w:val="006B7354"/>
    <w:rsid w:val="006B7904"/>
    <w:rsid w:val="006C004D"/>
    <w:rsid w:val="006C0380"/>
    <w:rsid w:val="006C04B0"/>
    <w:rsid w:val="006C146B"/>
    <w:rsid w:val="006C1D55"/>
    <w:rsid w:val="006C27F7"/>
    <w:rsid w:val="006C3C82"/>
    <w:rsid w:val="006C525E"/>
    <w:rsid w:val="006C74ED"/>
    <w:rsid w:val="006D0133"/>
    <w:rsid w:val="006D2F41"/>
    <w:rsid w:val="006D4C48"/>
    <w:rsid w:val="006D5F1F"/>
    <w:rsid w:val="006D63CC"/>
    <w:rsid w:val="006D7663"/>
    <w:rsid w:val="006D7A8C"/>
    <w:rsid w:val="006E03AB"/>
    <w:rsid w:val="006E3144"/>
    <w:rsid w:val="006E333D"/>
    <w:rsid w:val="006E3A3D"/>
    <w:rsid w:val="006E407F"/>
    <w:rsid w:val="006E5AE1"/>
    <w:rsid w:val="006F0475"/>
    <w:rsid w:val="006F1D16"/>
    <w:rsid w:val="006F369C"/>
    <w:rsid w:val="006F5840"/>
    <w:rsid w:val="006F5B1C"/>
    <w:rsid w:val="006F5F58"/>
    <w:rsid w:val="006F7179"/>
    <w:rsid w:val="00700D55"/>
    <w:rsid w:val="00701299"/>
    <w:rsid w:val="00701BFB"/>
    <w:rsid w:val="0070260B"/>
    <w:rsid w:val="00702C4E"/>
    <w:rsid w:val="00704EA2"/>
    <w:rsid w:val="00705005"/>
    <w:rsid w:val="007051BD"/>
    <w:rsid w:val="00707795"/>
    <w:rsid w:val="00710AB2"/>
    <w:rsid w:val="00710FBF"/>
    <w:rsid w:val="00713703"/>
    <w:rsid w:val="00715D6F"/>
    <w:rsid w:val="00720850"/>
    <w:rsid w:val="00721001"/>
    <w:rsid w:val="00722B6B"/>
    <w:rsid w:val="00723A50"/>
    <w:rsid w:val="00723F7C"/>
    <w:rsid w:val="0072447C"/>
    <w:rsid w:val="00724A8E"/>
    <w:rsid w:val="00725C1E"/>
    <w:rsid w:val="0072670B"/>
    <w:rsid w:val="00726C64"/>
    <w:rsid w:val="00726FF7"/>
    <w:rsid w:val="00730772"/>
    <w:rsid w:val="00730F5B"/>
    <w:rsid w:val="007311E0"/>
    <w:rsid w:val="0073288F"/>
    <w:rsid w:val="007344DE"/>
    <w:rsid w:val="007349C3"/>
    <w:rsid w:val="007356F4"/>
    <w:rsid w:val="00742AD7"/>
    <w:rsid w:val="0074346B"/>
    <w:rsid w:val="0074397C"/>
    <w:rsid w:val="00744CDF"/>
    <w:rsid w:val="00745012"/>
    <w:rsid w:val="00746BE0"/>
    <w:rsid w:val="00751132"/>
    <w:rsid w:val="007524B4"/>
    <w:rsid w:val="00754A98"/>
    <w:rsid w:val="00760C96"/>
    <w:rsid w:val="00764BE7"/>
    <w:rsid w:val="00766639"/>
    <w:rsid w:val="00766CDB"/>
    <w:rsid w:val="00771E4C"/>
    <w:rsid w:val="007726DA"/>
    <w:rsid w:val="0077437D"/>
    <w:rsid w:val="00775D3A"/>
    <w:rsid w:val="00775EA8"/>
    <w:rsid w:val="007776E1"/>
    <w:rsid w:val="0077789D"/>
    <w:rsid w:val="00781A12"/>
    <w:rsid w:val="0078397D"/>
    <w:rsid w:val="00786AAE"/>
    <w:rsid w:val="00791491"/>
    <w:rsid w:val="00792727"/>
    <w:rsid w:val="0079343D"/>
    <w:rsid w:val="00793B2F"/>
    <w:rsid w:val="00794905"/>
    <w:rsid w:val="00794DFE"/>
    <w:rsid w:val="007A1E9C"/>
    <w:rsid w:val="007A3599"/>
    <w:rsid w:val="007A35AC"/>
    <w:rsid w:val="007A4133"/>
    <w:rsid w:val="007A4D4C"/>
    <w:rsid w:val="007A4FD7"/>
    <w:rsid w:val="007A50BA"/>
    <w:rsid w:val="007B14C1"/>
    <w:rsid w:val="007B2BF9"/>
    <w:rsid w:val="007B2E03"/>
    <w:rsid w:val="007B3D8C"/>
    <w:rsid w:val="007B5141"/>
    <w:rsid w:val="007B534D"/>
    <w:rsid w:val="007B6273"/>
    <w:rsid w:val="007B6468"/>
    <w:rsid w:val="007B6FCE"/>
    <w:rsid w:val="007C01BE"/>
    <w:rsid w:val="007C21B8"/>
    <w:rsid w:val="007C417D"/>
    <w:rsid w:val="007C5769"/>
    <w:rsid w:val="007C6BFD"/>
    <w:rsid w:val="007D63BF"/>
    <w:rsid w:val="007E3742"/>
    <w:rsid w:val="007E4934"/>
    <w:rsid w:val="007E5F8B"/>
    <w:rsid w:val="007E63D6"/>
    <w:rsid w:val="007E6E7F"/>
    <w:rsid w:val="007E7875"/>
    <w:rsid w:val="007E7C32"/>
    <w:rsid w:val="007F1AC9"/>
    <w:rsid w:val="007F1D5B"/>
    <w:rsid w:val="007F5BFA"/>
    <w:rsid w:val="007F6293"/>
    <w:rsid w:val="007F6549"/>
    <w:rsid w:val="00801D23"/>
    <w:rsid w:val="0080358D"/>
    <w:rsid w:val="00804776"/>
    <w:rsid w:val="00804F36"/>
    <w:rsid w:val="00805D2E"/>
    <w:rsid w:val="00805E9C"/>
    <w:rsid w:val="00805EFA"/>
    <w:rsid w:val="008060C5"/>
    <w:rsid w:val="00807CDF"/>
    <w:rsid w:val="00810236"/>
    <w:rsid w:val="00810CBA"/>
    <w:rsid w:val="0081160C"/>
    <w:rsid w:val="00813DC4"/>
    <w:rsid w:val="00814B24"/>
    <w:rsid w:val="00814C5B"/>
    <w:rsid w:val="00814D01"/>
    <w:rsid w:val="0081507E"/>
    <w:rsid w:val="008152DF"/>
    <w:rsid w:val="008161BD"/>
    <w:rsid w:val="008209A7"/>
    <w:rsid w:val="00820FAA"/>
    <w:rsid w:val="00821B06"/>
    <w:rsid w:val="00822744"/>
    <w:rsid w:val="00823E86"/>
    <w:rsid w:val="0082445D"/>
    <w:rsid w:val="00824855"/>
    <w:rsid w:val="00825927"/>
    <w:rsid w:val="0082647A"/>
    <w:rsid w:val="00830C82"/>
    <w:rsid w:val="008311F0"/>
    <w:rsid w:val="0083665F"/>
    <w:rsid w:val="00836A52"/>
    <w:rsid w:val="008375CA"/>
    <w:rsid w:val="0084010A"/>
    <w:rsid w:val="008407B3"/>
    <w:rsid w:val="008410C2"/>
    <w:rsid w:val="00842EDC"/>
    <w:rsid w:val="0084794C"/>
    <w:rsid w:val="008479B9"/>
    <w:rsid w:val="00847B56"/>
    <w:rsid w:val="00847FE9"/>
    <w:rsid w:val="00850972"/>
    <w:rsid w:val="00850B39"/>
    <w:rsid w:val="008513E5"/>
    <w:rsid w:val="008531B3"/>
    <w:rsid w:val="008546F3"/>
    <w:rsid w:val="0085489B"/>
    <w:rsid w:val="008615D7"/>
    <w:rsid w:val="00861B96"/>
    <w:rsid w:val="00862769"/>
    <w:rsid w:val="008634D6"/>
    <w:rsid w:val="00863762"/>
    <w:rsid w:val="00864A66"/>
    <w:rsid w:val="00866C65"/>
    <w:rsid w:val="008670E5"/>
    <w:rsid w:val="00867561"/>
    <w:rsid w:val="00874371"/>
    <w:rsid w:val="0087694F"/>
    <w:rsid w:val="00876C99"/>
    <w:rsid w:val="0088042E"/>
    <w:rsid w:val="008814A9"/>
    <w:rsid w:val="00882861"/>
    <w:rsid w:val="00882D11"/>
    <w:rsid w:val="00882FB1"/>
    <w:rsid w:val="0088328B"/>
    <w:rsid w:val="008832EA"/>
    <w:rsid w:val="00883586"/>
    <w:rsid w:val="0088528A"/>
    <w:rsid w:val="00890E75"/>
    <w:rsid w:val="00891DC2"/>
    <w:rsid w:val="00893117"/>
    <w:rsid w:val="00894789"/>
    <w:rsid w:val="008974D4"/>
    <w:rsid w:val="008A093F"/>
    <w:rsid w:val="008A0FCE"/>
    <w:rsid w:val="008A2EF1"/>
    <w:rsid w:val="008A3ED0"/>
    <w:rsid w:val="008A670B"/>
    <w:rsid w:val="008A6A00"/>
    <w:rsid w:val="008A6D9A"/>
    <w:rsid w:val="008B0B38"/>
    <w:rsid w:val="008B1EE7"/>
    <w:rsid w:val="008B32F9"/>
    <w:rsid w:val="008B3497"/>
    <w:rsid w:val="008B3C39"/>
    <w:rsid w:val="008B4837"/>
    <w:rsid w:val="008B5FE6"/>
    <w:rsid w:val="008B6B3B"/>
    <w:rsid w:val="008B782C"/>
    <w:rsid w:val="008C0C13"/>
    <w:rsid w:val="008C3AEA"/>
    <w:rsid w:val="008C5916"/>
    <w:rsid w:val="008C76D1"/>
    <w:rsid w:val="008C7A52"/>
    <w:rsid w:val="008C7ED4"/>
    <w:rsid w:val="008D1BA9"/>
    <w:rsid w:val="008D2931"/>
    <w:rsid w:val="008D3222"/>
    <w:rsid w:val="008D4717"/>
    <w:rsid w:val="008D6F7D"/>
    <w:rsid w:val="008E10F1"/>
    <w:rsid w:val="008E281D"/>
    <w:rsid w:val="008E3655"/>
    <w:rsid w:val="008E651C"/>
    <w:rsid w:val="008E6DE9"/>
    <w:rsid w:val="008E7D85"/>
    <w:rsid w:val="008E7F4C"/>
    <w:rsid w:val="008F03D4"/>
    <w:rsid w:val="008F09D1"/>
    <w:rsid w:val="008F5662"/>
    <w:rsid w:val="008F64E0"/>
    <w:rsid w:val="00900AC5"/>
    <w:rsid w:val="00901CD2"/>
    <w:rsid w:val="00901EDF"/>
    <w:rsid w:val="00902619"/>
    <w:rsid w:val="009073BA"/>
    <w:rsid w:val="00907AD8"/>
    <w:rsid w:val="00910912"/>
    <w:rsid w:val="00910DE9"/>
    <w:rsid w:val="00911EE6"/>
    <w:rsid w:val="0091363D"/>
    <w:rsid w:val="009167C2"/>
    <w:rsid w:val="00920829"/>
    <w:rsid w:val="00920B1F"/>
    <w:rsid w:val="00920D51"/>
    <w:rsid w:val="00922763"/>
    <w:rsid w:val="00922B3A"/>
    <w:rsid w:val="00923C5C"/>
    <w:rsid w:val="0092563C"/>
    <w:rsid w:val="009256CA"/>
    <w:rsid w:val="00925D4C"/>
    <w:rsid w:val="00926C9F"/>
    <w:rsid w:val="0093133C"/>
    <w:rsid w:val="0093190C"/>
    <w:rsid w:val="00934446"/>
    <w:rsid w:val="00936049"/>
    <w:rsid w:val="00936063"/>
    <w:rsid w:val="009362F4"/>
    <w:rsid w:val="00937337"/>
    <w:rsid w:val="00937A43"/>
    <w:rsid w:val="00942565"/>
    <w:rsid w:val="0094266F"/>
    <w:rsid w:val="00942D1D"/>
    <w:rsid w:val="00943F5E"/>
    <w:rsid w:val="009456CF"/>
    <w:rsid w:val="00945DC9"/>
    <w:rsid w:val="00947F93"/>
    <w:rsid w:val="00952156"/>
    <w:rsid w:val="00954065"/>
    <w:rsid w:val="00960A0A"/>
    <w:rsid w:val="00960C17"/>
    <w:rsid w:val="009628BB"/>
    <w:rsid w:val="00966559"/>
    <w:rsid w:val="0096662F"/>
    <w:rsid w:val="00966DE6"/>
    <w:rsid w:val="0097006B"/>
    <w:rsid w:val="00970E39"/>
    <w:rsid w:val="00971F0F"/>
    <w:rsid w:val="0097213C"/>
    <w:rsid w:val="00973CC5"/>
    <w:rsid w:val="00975CD3"/>
    <w:rsid w:val="00976C24"/>
    <w:rsid w:val="00977A3E"/>
    <w:rsid w:val="0098101E"/>
    <w:rsid w:val="00981066"/>
    <w:rsid w:val="00982257"/>
    <w:rsid w:val="0098343D"/>
    <w:rsid w:val="0098369C"/>
    <w:rsid w:val="0098370C"/>
    <w:rsid w:val="00985D5E"/>
    <w:rsid w:val="009862FF"/>
    <w:rsid w:val="00991863"/>
    <w:rsid w:val="0099199F"/>
    <w:rsid w:val="00993592"/>
    <w:rsid w:val="009A030E"/>
    <w:rsid w:val="009A1DA5"/>
    <w:rsid w:val="009A28CA"/>
    <w:rsid w:val="009A34A0"/>
    <w:rsid w:val="009A490A"/>
    <w:rsid w:val="009A4948"/>
    <w:rsid w:val="009A5D1A"/>
    <w:rsid w:val="009B43FA"/>
    <w:rsid w:val="009B45B4"/>
    <w:rsid w:val="009B4E32"/>
    <w:rsid w:val="009B59AD"/>
    <w:rsid w:val="009C3374"/>
    <w:rsid w:val="009C429B"/>
    <w:rsid w:val="009C4500"/>
    <w:rsid w:val="009C500D"/>
    <w:rsid w:val="009C534D"/>
    <w:rsid w:val="009C6674"/>
    <w:rsid w:val="009C7CD7"/>
    <w:rsid w:val="009D011D"/>
    <w:rsid w:val="009D11A9"/>
    <w:rsid w:val="009D1483"/>
    <w:rsid w:val="009D1894"/>
    <w:rsid w:val="009D1FD2"/>
    <w:rsid w:val="009D2A44"/>
    <w:rsid w:val="009D3BCF"/>
    <w:rsid w:val="009D596A"/>
    <w:rsid w:val="009D7910"/>
    <w:rsid w:val="009E41D7"/>
    <w:rsid w:val="009E5BFC"/>
    <w:rsid w:val="009E66B9"/>
    <w:rsid w:val="009E7170"/>
    <w:rsid w:val="009E7191"/>
    <w:rsid w:val="009F16AD"/>
    <w:rsid w:val="009F1E2C"/>
    <w:rsid w:val="009F25C8"/>
    <w:rsid w:val="009F2D1A"/>
    <w:rsid w:val="009F3742"/>
    <w:rsid w:val="009F4BDF"/>
    <w:rsid w:val="009F5CF1"/>
    <w:rsid w:val="009F673D"/>
    <w:rsid w:val="009F7CD2"/>
    <w:rsid w:val="00A01A7B"/>
    <w:rsid w:val="00A02349"/>
    <w:rsid w:val="00A03099"/>
    <w:rsid w:val="00A040E4"/>
    <w:rsid w:val="00A0519C"/>
    <w:rsid w:val="00A057AA"/>
    <w:rsid w:val="00A1063C"/>
    <w:rsid w:val="00A10DDD"/>
    <w:rsid w:val="00A11DB6"/>
    <w:rsid w:val="00A1321C"/>
    <w:rsid w:val="00A1527E"/>
    <w:rsid w:val="00A15C40"/>
    <w:rsid w:val="00A163C5"/>
    <w:rsid w:val="00A165CF"/>
    <w:rsid w:val="00A2130E"/>
    <w:rsid w:val="00A21625"/>
    <w:rsid w:val="00A21E52"/>
    <w:rsid w:val="00A2211B"/>
    <w:rsid w:val="00A22E80"/>
    <w:rsid w:val="00A23A29"/>
    <w:rsid w:val="00A243B4"/>
    <w:rsid w:val="00A2450F"/>
    <w:rsid w:val="00A2459C"/>
    <w:rsid w:val="00A24799"/>
    <w:rsid w:val="00A25DD2"/>
    <w:rsid w:val="00A26DB2"/>
    <w:rsid w:val="00A3083F"/>
    <w:rsid w:val="00A30AD0"/>
    <w:rsid w:val="00A315E4"/>
    <w:rsid w:val="00A315FD"/>
    <w:rsid w:val="00A317CC"/>
    <w:rsid w:val="00A31A47"/>
    <w:rsid w:val="00A32F26"/>
    <w:rsid w:val="00A37928"/>
    <w:rsid w:val="00A41784"/>
    <w:rsid w:val="00A43800"/>
    <w:rsid w:val="00A50C93"/>
    <w:rsid w:val="00A514B2"/>
    <w:rsid w:val="00A5297D"/>
    <w:rsid w:val="00A5471A"/>
    <w:rsid w:val="00A636AF"/>
    <w:rsid w:val="00A63B38"/>
    <w:rsid w:val="00A63D23"/>
    <w:rsid w:val="00A65576"/>
    <w:rsid w:val="00A679AE"/>
    <w:rsid w:val="00A70676"/>
    <w:rsid w:val="00A7519B"/>
    <w:rsid w:val="00A753B6"/>
    <w:rsid w:val="00A75E17"/>
    <w:rsid w:val="00A77E81"/>
    <w:rsid w:val="00A8012A"/>
    <w:rsid w:val="00A8119B"/>
    <w:rsid w:val="00A82C98"/>
    <w:rsid w:val="00A832EA"/>
    <w:rsid w:val="00A85711"/>
    <w:rsid w:val="00A86475"/>
    <w:rsid w:val="00A9098D"/>
    <w:rsid w:val="00A91C26"/>
    <w:rsid w:val="00A93416"/>
    <w:rsid w:val="00A94440"/>
    <w:rsid w:val="00A94F46"/>
    <w:rsid w:val="00A96CF0"/>
    <w:rsid w:val="00A975E6"/>
    <w:rsid w:val="00A977FD"/>
    <w:rsid w:val="00AA0340"/>
    <w:rsid w:val="00AA08E2"/>
    <w:rsid w:val="00AA2AB1"/>
    <w:rsid w:val="00AA5253"/>
    <w:rsid w:val="00AB060A"/>
    <w:rsid w:val="00AB096E"/>
    <w:rsid w:val="00AB2EC7"/>
    <w:rsid w:val="00AB3BD3"/>
    <w:rsid w:val="00AB414C"/>
    <w:rsid w:val="00AB4217"/>
    <w:rsid w:val="00AB51D5"/>
    <w:rsid w:val="00AB5518"/>
    <w:rsid w:val="00AB64AC"/>
    <w:rsid w:val="00AB6729"/>
    <w:rsid w:val="00AB71C4"/>
    <w:rsid w:val="00AB782B"/>
    <w:rsid w:val="00AB7C3C"/>
    <w:rsid w:val="00AC2A2A"/>
    <w:rsid w:val="00AC426C"/>
    <w:rsid w:val="00AC6B4D"/>
    <w:rsid w:val="00AC7D77"/>
    <w:rsid w:val="00AD189D"/>
    <w:rsid w:val="00AD2196"/>
    <w:rsid w:val="00AD2AC5"/>
    <w:rsid w:val="00AD4508"/>
    <w:rsid w:val="00AD64A3"/>
    <w:rsid w:val="00AD72C9"/>
    <w:rsid w:val="00AE0A4F"/>
    <w:rsid w:val="00AE16E6"/>
    <w:rsid w:val="00AE1A27"/>
    <w:rsid w:val="00AE3849"/>
    <w:rsid w:val="00AE50CA"/>
    <w:rsid w:val="00AE58DA"/>
    <w:rsid w:val="00AE6F51"/>
    <w:rsid w:val="00AE733D"/>
    <w:rsid w:val="00AE7E86"/>
    <w:rsid w:val="00AF002D"/>
    <w:rsid w:val="00AF5A3E"/>
    <w:rsid w:val="00AF67F8"/>
    <w:rsid w:val="00AF7465"/>
    <w:rsid w:val="00AF7B0B"/>
    <w:rsid w:val="00B00475"/>
    <w:rsid w:val="00B00ADD"/>
    <w:rsid w:val="00B0299C"/>
    <w:rsid w:val="00B05A3C"/>
    <w:rsid w:val="00B114CC"/>
    <w:rsid w:val="00B12741"/>
    <w:rsid w:val="00B136DC"/>
    <w:rsid w:val="00B15B80"/>
    <w:rsid w:val="00B15CE3"/>
    <w:rsid w:val="00B17001"/>
    <w:rsid w:val="00B17B97"/>
    <w:rsid w:val="00B21186"/>
    <w:rsid w:val="00B219C8"/>
    <w:rsid w:val="00B23D61"/>
    <w:rsid w:val="00B23E43"/>
    <w:rsid w:val="00B24631"/>
    <w:rsid w:val="00B24C3C"/>
    <w:rsid w:val="00B25074"/>
    <w:rsid w:val="00B25322"/>
    <w:rsid w:val="00B26151"/>
    <w:rsid w:val="00B26416"/>
    <w:rsid w:val="00B26E79"/>
    <w:rsid w:val="00B33A8C"/>
    <w:rsid w:val="00B3464B"/>
    <w:rsid w:val="00B354CD"/>
    <w:rsid w:val="00B36207"/>
    <w:rsid w:val="00B3686E"/>
    <w:rsid w:val="00B417C2"/>
    <w:rsid w:val="00B41824"/>
    <w:rsid w:val="00B41EAB"/>
    <w:rsid w:val="00B421D0"/>
    <w:rsid w:val="00B4289F"/>
    <w:rsid w:val="00B4456C"/>
    <w:rsid w:val="00B44B69"/>
    <w:rsid w:val="00B45C00"/>
    <w:rsid w:val="00B46E6C"/>
    <w:rsid w:val="00B4749D"/>
    <w:rsid w:val="00B47FF1"/>
    <w:rsid w:val="00B51A6A"/>
    <w:rsid w:val="00B53675"/>
    <w:rsid w:val="00B53BDA"/>
    <w:rsid w:val="00B54F5B"/>
    <w:rsid w:val="00B55A0D"/>
    <w:rsid w:val="00B55A4C"/>
    <w:rsid w:val="00B6025C"/>
    <w:rsid w:val="00B61CE1"/>
    <w:rsid w:val="00B628A1"/>
    <w:rsid w:val="00B63FFD"/>
    <w:rsid w:val="00B6496C"/>
    <w:rsid w:val="00B64B99"/>
    <w:rsid w:val="00B65E65"/>
    <w:rsid w:val="00B66F7B"/>
    <w:rsid w:val="00B71C53"/>
    <w:rsid w:val="00B73131"/>
    <w:rsid w:val="00B75DE3"/>
    <w:rsid w:val="00B76C68"/>
    <w:rsid w:val="00B77623"/>
    <w:rsid w:val="00B80517"/>
    <w:rsid w:val="00B80D6E"/>
    <w:rsid w:val="00B82BC4"/>
    <w:rsid w:val="00B831F7"/>
    <w:rsid w:val="00B83348"/>
    <w:rsid w:val="00B83456"/>
    <w:rsid w:val="00B83714"/>
    <w:rsid w:val="00B84E23"/>
    <w:rsid w:val="00B871A4"/>
    <w:rsid w:val="00B9188B"/>
    <w:rsid w:val="00B922D2"/>
    <w:rsid w:val="00B9299E"/>
    <w:rsid w:val="00B93BD6"/>
    <w:rsid w:val="00B9591F"/>
    <w:rsid w:val="00B95D1B"/>
    <w:rsid w:val="00BA1DF4"/>
    <w:rsid w:val="00BA4B1D"/>
    <w:rsid w:val="00BA5A2D"/>
    <w:rsid w:val="00BA6A62"/>
    <w:rsid w:val="00BA7243"/>
    <w:rsid w:val="00BB01CE"/>
    <w:rsid w:val="00BB3236"/>
    <w:rsid w:val="00BB4079"/>
    <w:rsid w:val="00BB5049"/>
    <w:rsid w:val="00BB57B6"/>
    <w:rsid w:val="00BB6645"/>
    <w:rsid w:val="00BB68B6"/>
    <w:rsid w:val="00BB6DFB"/>
    <w:rsid w:val="00BB7CA0"/>
    <w:rsid w:val="00BC1E85"/>
    <w:rsid w:val="00BC490B"/>
    <w:rsid w:val="00BC4ADD"/>
    <w:rsid w:val="00BC4B62"/>
    <w:rsid w:val="00BC6599"/>
    <w:rsid w:val="00BC7BCB"/>
    <w:rsid w:val="00BD0A8E"/>
    <w:rsid w:val="00BD453D"/>
    <w:rsid w:val="00BD62F3"/>
    <w:rsid w:val="00BE24E7"/>
    <w:rsid w:val="00BE2B40"/>
    <w:rsid w:val="00BE3320"/>
    <w:rsid w:val="00BE430C"/>
    <w:rsid w:val="00BE4C82"/>
    <w:rsid w:val="00BF08E8"/>
    <w:rsid w:val="00BF32DA"/>
    <w:rsid w:val="00BF41A8"/>
    <w:rsid w:val="00BF4946"/>
    <w:rsid w:val="00BF5A2D"/>
    <w:rsid w:val="00BF601C"/>
    <w:rsid w:val="00BF6A77"/>
    <w:rsid w:val="00C01949"/>
    <w:rsid w:val="00C027B1"/>
    <w:rsid w:val="00C03463"/>
    <w:rsid w:val="00C035D7"/>
    <w:rsid w:val="00C03F46"/>
    <w:rsid w:val="00C04349"/>
    <w:rsid w:val="00C045C7"/>
    <w:rsid w:val="00C1089E"/>
    <w:rsid w:val="00C10AC3"/>
    <w:rsid w:val="00C12710"/>
    <w:rsid w:val="00C14BD5"/>
    <w:rsid w:val="00C14DC2"/>
    <w:rsid w:val="00C170A8"/>
    <w:rsid w:val="00C2217A"/>
    <w:rsid w:val="00C23656"/>
    <w:rsid w:val="00C27F1D"/>
    <w:rsid w:val="00C30F14"/>
    <w:rsid w:val="00C31644"/>
    <w:rsid w:val="00C31CFB"/>
    <w:rsid w:val="00C37349"/>
    <w:rsid w:val="00C415B5"/>
    <w:rsid w:val="00C439C1"/>
    <w:rsid w:val="00C43A52"/>
    <w:rsid w:val="00C43EA0"/>
    <w:rsid w:val="00C45058"/>
    <w:rsid w:val="00C45114"/>
    <w:rsid w:val="00C4537F"/>
    <w:rsid w:val="00C51BD1"/>
    <w:rsid w:val="00C53A04"/>
    <w:rsid w:val="00C54C8E"/>
    <w:rsid w:val="00C55B16"/>
    <w:rsid w:val="00C56AC1"/>
    <w:rsid w:val="00C60843"/>
    <w:rsid w:val="00C614EB"/>
    <w:rsid w:val="00C62AD8"/>
    <w:rsid w:val="00C6310D"/>
    <w:rsid w:val="00C64B78"/>
    <w:rsid w:val="00C65977"/>
    <w:rsid w:val="00C664DC"/>
    <w:rsid w:val="00C66A3B"/>
    <w:rsid w:val="00C67253"/>
    <w:rsid w:val="00C70D6F"/>
    <w:rsid w:val="00C70F1E"/>
    <w:rsid w:val="00C768A3"/>
    <w:rsid w:val="00C81852"/>
    <w:rsid w:val="00C820EF"/>
    <w:rsid w:val="00C82264"/>
    <w:rsid w:val="00C83B57"/>
    <w:rsid w:val="00C8424E"/>
    <w:rsid w:val="00C846B8"/>
    <w:rsid w:val="00C8630D"/>
    <w:rsid w:val="00C87554"/>
    <w:rsid w:val="00C87978"/>
    <w:rsid w:val="00C87BB3"/>
    <w:rsid w:val="00C91612"/>
    <w:rsid w:val="00C932E8"/>
    <w:rsid w:val="00C97770"/>
    <w:rsid w:val="00CA107E"/>
    <w:rsid w:val="00CA195E"/>
    <w:rsid w:val="00CA3368"/>
    <w:rsid w:val="00CA6375"/>
    <w:rsid w:val="00CA7011"/>
    <w:rsid w:val="00CA794B"/>
    <w:rsid w:val="00CB0412"/>
    <w:rsid w:val="00CB0A99"/>
    <w:rsid w:val="00CB33EA"/>
    <w:rsid w:val="00CB5DD3"/>
    <w:rsid w:val="00CB6FE1"/>
    <w:rsid w:val="00CC129C"/>
    <w:rsid w:val="00CC13B7"/>
    <w:rsid w:val="00CC18AD"/>
    <w:rsid w:val="00CC1C2A"/>
    <w:rsid w:val="00CC4275"/>
    <w:rsid w:val="00CC42DC"/>
    <w:rsid w:val="00CC7761"/>
    <w:rsid w:val="00CD24BF"/>
    <w:rsid w:val="00CD24D6"/>
    <w:rsid w:val="00CD291B"/>
    <w:rsid w:val="00CD3AE5"/>
    <w:rsid w:val="00CD5122"/>
    <w:rsid w:val="00CD61C7"/>
    <w:rsid w:val="00CD6F24"/>
    <w:rsid w:val="00CD7E73"/>
    <w:rsid w:val="00CE063A"/>
    <w:rsid w:val="00CE1B84"/>
    <w:rsid w:val="00CE6D28"/>
    <w:rsid w:val="00CE7F08"/>
    <w:rsid w:val="00CF006A"/>
    <w:rsid w:val="00CF24DB"/>
    <w:rsid w:val="00CF2E7D"/>
    <w:rsid w:val="00CF3F6C"/>
    <w:rsid w:val="00CF53B5"/>
    <w:rsid w:val="00CF6D6D"/>
    <w:rsid w:val="00D01F1B"/>
    <w:rsid w:val="00D0290E"/>
    <w:rsid w:val="00D02FFA"/>
    <w:rsid w:val="00D05BAB"/>
    <w:rsid w:val="00D06ABD"/>
    <w:rsid w:val="00D07833"/>
    <w:rsid w:val="00D11689"/>
    <w:rsid w:val="00D148F2"/>
    <w:rsid w:val="00D156D7"/>
    <w:rsid w:val="00D15DA2"/>
    <w:rsid w:val="00D200DD"/>
    <w:rsid w:val="00D24061"/>
    <w:rsid w:val="00D25F88"/>
    <w:rsid w:val="00D26701"/>
    <w:rsid w:val="00D26711"/>
    <w:rsid w:val="00D27976"/>
    <w:rsid w:val="00D3052A"/>
    <w:rsid w:val="00D326CE"/>
    <w:rsid w:val="00D33CAE"/>
    <w:rsid w:val="00D35DC6"/>
    <w:rsid w:val="00D362CC"/>
    <w:rsid w:val="00D36D31"/>
    <w:rsid w:val="00D3752D"/>
    <w:rsid w:val="00D37A82"/>
    <w:rsid w:val="00D400F7"/>
    <w:rsid w:val="00D404FF"/>
    <w:rsid w:val="00D422BD"/>
    <w:rsid w:val="00D43DBF"/>
    <w:rsid w:val="00D44A36"/>
    <w:rsid w:val="00D45135"/>
    <w:rsid w:val="00D46EFE"/>
    <w:rsid w:val="00D47F0E"/>
    <w:rsid w:val="00D50C4B"/>
    <w:rsid w:val="00D51838"/>
    <w:rsid w:val="00D519AB"/>
    <w:rsid w:val="00D51A27"/>
    <w:rsid w:val="00D51D93"/>
    <w:rsid w:val="00D51FEA"/>
    <w:rsid w:val="00D5387E"/>
    <w:rsid w:val="00D53FC1"/>
    <w:rsid w:val="00D56399"/>
    <w:rsid w:val="00D56E0C"/>
    <w:rsid w:val="00D57F1E"/>
    <w:rsid w:val="00D63A1F"/>
    <w:rsid w:val="00D64348"/>
    <w:rsid w:val="00D64B10"/>
    <w:rsid w:val="00D6626E"/>
    <w:rsid w:val="00D67876"/>
    <w:rsid w:val="00D7102A"/>
    <w:rsid w:val="00D72377"/>
    <w:rsid w:val="00D75177"/>
    <w:rsid w:val="00D7533D"/>
    <w:rsid w:val="00D76509"/>
    <w:rsid w:val="00D767C3"/>
    <w:rsid w:val="00D80B3A"/>
    <w:rsid w:val="00D81A66"/>
    <w:rsid w:val="00D82D81"/>
    <w:rsid w:val="00D831E6"/>
    <w:rsid w:val="00D8496B"/>
    <w:rsid w:val="00D84C3C"/>
    <w:rsid w:val="00D94CD9"/>
    <w:rsid w:val="00D955F4"/>
    <w:rsid w:val="00D95F4C"/>
    <w:rsid w:val="00D96374"/>
    <w:rsid w:val="00D9652F"/>
    <w:rsid w:val="00D97DF6"/>
    <w:rsid w:val="00DA03E9"/>
    <w:rsid w:val="00DA0D81"/>
    <w:rsid w:val="00DA3D85"/>
    <w:rsid w:val="00DA47E2"/>
    <w:rsid w:val="00DA510F"/>
    <w:rsid w:val="00DA52F4"/>
    <w:rsid w:val="00DB0BD6"/>
    <w:rsid w:val="00DB0DAE"/>
    <w:rsid w:val="00DB1582"/>
    <w:rsid w:val="00DB1EBB"/>
    <w:rsid w:val="00DB2AB5"/>
    <w:rsid w:val="00DB2D48"/>
    <w:rsid w:val="00DB4CC6"/>
    <w:rsid w:val="00DB7D9F"/>
    <w:rsid w:val="00DC04A3"/>
    <w:rsid w:val="00DC06D9"/>
    <w:rsid w:val="00DC16DC"/>
    <w:rsid w:val="00DC32F4"/>
    <w:rsid w:val="00DC761B"/>
    <w:rsid w:val="00DD1819"/>
    <w:rsid w:val="00DD3939"/>
    <w:rsid w:val="00DD39E5"/>
    <w:rsid w:val="00DD39FA"/>
    <w:rsid w:val="00DD7ADA"/>
    <w:rsid w:val="00DE06D4"/>
    <w:rsid w:val="00DE1924"/>
    <w:rsid w:val="00DE2C99"/>
    <w:rsid w:val="00DE325E"/>
    <w:rsid w:val="00DE333A"/>
    <w:rsid w:val="00DE36C8"/>
    <w:rsid w:val="00DE45B2"/>
    <w:rsid w:val="00DE479A"/>
    <w:rsid w:val="00DE70D5"/>
    <w:rsid w:val="00DE7B09"/>
    <w:rsid w:val="00DE7BB7"/>
    <w:rsid w:val="00DE7C28"/>
    <w:rsid w:val="00DE7C8F"/>
    <w:rsid w:val="00DF00D3"/>
    <w:rsid w:val="00DF3B48"/>
    <w:rsid w:val="00DF4087"/>
    <w:rsid w:val="00DF7344"/>
    <w:rsid w:val="00DF7E08"/>
    <w:rsid w:val="00E00326"/>
    <w:rsid w:val="00E00449"/>
    <w:rsid w:val="00E00BEC"/>
    <w:rsid w:val="00E017F0"/>
    <w:rsid w:val="00E040FE"/>
    <w:rsid w:val="00E070B6"/>
    <w:rsid w:val="00E07A09"/>
    <w:rsid w:val="00E101CA"/>
    <w:rsid w:val="00E10455"/>
    <w:rsid w:val="00E10651"/>
    <w:rsid w:val="00E13D51"/>
    <w:rsid w:val="00E148EE"/>
    <w:rsid w:val="00E154E9"/>
    <w:rsid w:val="00E16AB1"/>
    <w:rsid w:val="00E17433"/>
    <w:rsid w:val="00E17ED6"/>
    <w:rsid w:val="00E17FB7"/>
    <w:rsid w:val="00E213DA"/>
    <w:rsid w:val="00E22A6F"/>
    <w:rsid w:val="00E243A4"/>
    <w:rsid w:val="00E25CAC"/>
    <w:rsid w:val="00E25F26"/>
    <w:rsid w:val="00E27369"/>
    <w:rsid w:val="00E323D9"/>
    <w:rsid w:val="00E33A53"/>
    <w:rsid w:val="00E33B76"/>
    <w:rsid w:val="00E3476D"/>
    <w:rsid w:val="00E3569A"/>
    <w:rsid w:val="00E35BC9"/>
    <w:rsid w:val="00E3601E"/>
    <w:rsid w:val="00E374BE"/>
    <w:rsid w:val="00E411E0"/>
    <w:rsid w:val="00E41C95"/>
    <w:rsid w:val="00E4308E"/>
    <w:rsid w:val="00E444BC"/>
    <w:rsid w:val="00E456CD"/>
    <w:rsid w:val="00E45C64"/>
    <w:rsid w:val="00E47F8B"/>
    <w:rsid w:val="00E526C7"/>
    <w:rsid w:val="00E52AC3"/>
    <w:rsid w:val="00E52F0E"/>
    <w:rsid w:val="00E53580"/>
    <w:rsid w:val="00E53806"/>
    <w:rsid w:val="00E54110"/>
    <w:rsid w:val="00E5471B"/>
    <w:rsid w:val="00E54D15"/>
    <w:rsid w:val="00E557E2"/>
    <w:rsid w:val="00E558FE"/>
    <w:rsid w:val="00E57478"/>
    <w:rsid w:val="00E601F1"/>
    <w:rsid w:val="00E606AA"/>
    <w:rsid w:val="00E62A84"/>
    <w:rsid w:val="00E647AE"/>
    <w:rsid w:val="00E64AE2"/>
    <w:rsid w:val="00E723AE"/>
    <w:rsid w:val="00E732F1"/>
    <w:rsid w:val="00E73467"/>
    <w:rsid w:val="00E74835"/>
    <w:rsid w:val="00E74990"/>
    <w:rsid w:val="00E80149"/>
    <w:rsid w:val="00E8020A"/>
    <w:rsid w:val="00E805E3"/>
    <w:rsid w:val="00E819A6"/>
    <w:rsid w:val="00E81AE4"/>
    <w:rsid w:val="00E8209E"/>
    <w:rsid w:val="00E856E6"/>
    <w:rsid w:val="00E86AC3"/>
    <w:rsid w:val="00E90315"/>
    <w:rsid w:val="00E90503"/>
    <w:rsid w:val="00E90DE6"/>
    <w:rsid w:val="00E913DF"/>
    <w:rsid w:val="00E941EB"/>
    <w:rsid w:val="00E95EE1"/>
    <w:rsid w:val="00E9622E"/>
    <w:rsid w:val="00E9636F"/>
    <w:rsid w:val="00E96C17"/>
    <w:rsid w:val="00EA025C"/>
    <w:rsid w:val="00EA0606"/>
    <w:rsid w:val="00EA07D4"/>
    <w:rsid w:val="00EA1F62"/>
    <w:rsid w:val="00EA30AD"/>
    <w:rsid w:val="00EA3799"/>
    <w:rsid w:val="00EA39FB"/>
    <w:rsid w:val="00EA4648"/>
    <w:rsid w:val="00EB1C3F"/>
    <w:rsid w:val="00EB4237"/>
    <w:rsid w:val="00EB7D16"/>
    <w:rsid w:val="00EC1985"/>
    <w:rsid w:val="00EC1D4C"/>
    <w:rsid w:val="00EC2564"/>
    <w:rsid w:val="00EC3E1C"/>
    <w:rsid w:val="00EC4331"/>
    <w:rsid w:val="00EC6BA3"/>
    <w:rsid w:val="00EC6CCA"/>
    <w:rsid w:val="00ED1686"/>
    <w:rsid w:val="00ED45EE"/>
    <w:rsid w:val="00ED68E1"/>
    <w:rsid w:val="00ED69D2"/>
    <w:rsid w:val="00EE02F9"/>
    <w:rsid w:val="00EE2563"/>
    <w:rsid w:val="00EE277A"/>
    <w:rsid w:val="00EE331E"/>
    <w:rsid w:val="00EE33D7"/>
    <w:rsid w:val="00EE3B62"/>
    <w:rsid w:val="00EE65DE"/>
    <w:rsid w:val="00EF0B29"/>
    <w:rsid w:val="00EF15B6"/>
    <w:rsid w:val="00EF3144"/>
    <w:rsid w:val="00EF4586"/>
    <w:rsid w:val="00EF471C"/>
    <w:rsid w:val="00EF592F"/>
    <w:rsid w:val="00EF5EC6"/>
    <w:rsid w:val="00EF6747"/>
    <w:rsid w:val="00F005D2"/>
    <w:rsid w:val="00F01F3F"/>
    <w:rsid w:val="00F0272B"/>
    <w:rsid w:val="00F02ED9"/>
    <w:rsid w:val="00F045D0"/>
    <w:rsid w:val="00F04798"/>
    <w:rsid w:val="00F0490D"/>
    <w:rsid w:val="00F0508D"/>
    <w:rsid w:val="00F06F20"/>
    <w:rsid w:val="00F11F31"/>
    <w:rsid w:val="00F126F2"/>
    <w:rsid w:val="00F12A56"/>
    <w:rsid w:val="00F1411D"/>
    <w:rsid w:val="00F14861"/>
    <w:rsid w:val="00F1597F"/>
    <w:rsid w:val="00F16832"/>
    <w:rsid w:val="00F16BEB"/>
    <w:rsid w:val="00F16C53"/>
    <w:rsid w:val="00F17929"/>
    <w:rsid w:val="00F17A4F"/>
    <w:rsid w:val="00F208C1"/>
    <w:rsid w:val="00F212A0"/>
    <w:rsid w:val="00F23353"/>
    <w:rsid w:val="00F23D11"/>
    <w:rsid w:val="00F240BC"/>
    <w:rsid w:val="00F247C5"/>
    <w:rsid w:val="00F25E02"/>
    <w:rsid w:val="00F25EB9"/>
    <w:rsid w:val="00F300FF"/>
    <w:rsid w:val="00F3089A"/>
    <w:rsid w:val="00F30ADF"/>
    <w:rsid w:val="00F314B6"/>
    <w:rsid w:val="00F31EB3"/>
    <w:rsid w:val="00F32412"/>
    <w:rsid w:val="00F3282A"/>
    <w:rsid w:val="00F32852"/>
    <w:rsid w:val="00F32FAC"/>
    <w:rsid w:val="00F33669"/>
    <w:rsid w:val="00F3465C"/>
    <w:rsid w:val="00F34ABD"/>
    <w:rsid w:val="00F37139"/>
    <w:rsid w:val="00F37A29"/>
    <w:rsid w:val="00F405C7"/>
    <w:rsid w:val="00F41D89"/>
    <w:rsid w:val="00F4434B"/>
    <w:rsid w:val="00F44383"/>
    <w:rsid w:val="00F447F5"/>
    <w:rsid w:val="00F44E51"/>
    <w:rsid w:val="00F45105"/>
    <w:rsid w:val="00F452F4"/>
    <w:rsid w:val="00F520A5"/>
    <w:rsid w:val="00F53D61"/>
    <w:rsid w:val="00F552BF"/>
    <w:rsid w:val="00F55B3B"/>
    <w:rsid w:val="00F565FE"/>
    <w:rsid w:val="00F62C3E"/>
    <w:rsid w:val="00F62D37"/>
    <w:rsid w:val="00F6492A"/>
    <w:rsid w:val="00F6530D"/>
    <w:rsid w:val="00F6543E"/>
    <w:rsid w:val="00F717E9"/>
    <w:rsid w:val="00F718EC"/>
    <w:rsid w:val="00F75692"/>
    <w:rsid w:val="00F75844"/>
    <w:rsid w:val="00F75B35"/>
    <w:rsid w:val="00F7667A"/>
    <w:rsid w:val="00F76765"/>
    <w:rsid w:val="00F779EB"/>
    <w:rsid w:val="00F77E50"/>
    <w:rsid w:val="00F84536"/>
    <w:rsid w:val="00F848DB"/>
    <w:rsid w:val="00F86A4C"/>
    <w:rsid w:val="00F86CCC"/>
    <w:rsid w:val="00F9054B"/>
    <w:rsid w:val="00F923DD"/>
    <w:rsid w:val="00F92DB5"/>
    <w:rsid w:val="00F9350D"/>
    <w:rsid w:val="00F93869"/>
    <w:rsid w:val="00F94001"/>
    <w:rsid w:val="00F94594"/>
    <w:rsid w:val="00F94C81"/>
    <w:rsid w:val="00F96190"/>
    <w:rsid w:val="00F96959"/>
    <w:rsid w:val="00FA3E14"/>
    <w:rsid w:val="00FA4FEC"/>
    <w:rsid w:val="00FA679C"/>
    <w:rsid w:val="00FA6C93"/>
    <w:rsid w:val="00FB01AB"/>
    <w:rsid w:val="00FB05EE"/>
    <w:rsid w:val="00FB286A"/>
    <w:rsid w:val="00FB3C17"/>
    <w:rsid w:val="00FB465C"/>
    <w:rsid w:val="00FB627C"/>
    <w:rsid w:val="00FB6C82"/>
    <w:rsid w:val="00FC1616"/>
    <w:rsid w:val="00FC4F51"/>
    <w:rsid w:val="00FC51EE"/>
    <w:rsid w:val="00FC7C13"/>
    <w:rsid w:val="00FD059A"/>
    <w:rsid w:val="00FE1967"/>
    <w:rsid w:val="00FE1E8E"/>
    <w:rsid w:val="00FE2190"/>
    <w:rsid w:val="00FE5348"/>
    <w:rsid w:val="00FF01AB"/>
    <w:rsid w:val="00FF310E"/>
    <w:rsid w:val="00FF446E"/>
    <w:rsid w:val="00FF4613"/>
    <w:rsid w:val="00FF5B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DAA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aliases w:val="h1,c"/>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paragraph" w:styleId="Heading6">
    <w:name w:val="heading 6"/>
    <w:basedOn w:val="Normal"/>
    <w:next w:val="Normal"/>
    <w:qFormat/>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u w:val="single"/>
    </w:rPr>
  </w:style>
  <w:style w:type="paragraph" w:styleId="BodyText">
    <w:name w:val="Body Text"/>
    <w:basedOn w:val="Normal"/>
    <w:rPr>
      <w:b/>
    </w:rPr>
  </w:style>
  <w:style w:type="paragraph" w:styleId="BodyText2">
    <w:name w:val="Body Text 2"/>
    <w:basedOn w:val="Normal"/>
    <w:rPr>
      <w:snapToGrid w:val="0"/>
      <w:color w:val="000000"/>
      <w:lang w:eastAsia="en-US"/>
    </w:rPr>
  </w:style>
  <w:style w:type="paragraph" w:styleId="Header">
    <w:name w:val="header"/>
    <w:basedOn w:val="Normal"/>
    <w:pPr>
      <w:widowControl w:val="0"/>
      <w:tabs>
        <w:tab w:val="center" w:pos="4153"/>
        <w:tab w:val="right" w:pos="8306"/>
      </w:tabs>
    </w:pPr>
    <w:rPr>
      <w:snapToGrid w:val="0"/>
      <w:lang w:val="en-US" w:eastAsia="en-US"/>
    </w:rPr>
  </w:style>
  <w:style w:type="character" w:styleId="PageNumber">
    <w:name w:val="page number"/>
    <w:basedOn w:val="DefaultParagraphFont"/>
  </w:style>
  <w:style w:type="paragraph" w:styleId="Footer">
    <w:name w:val="footer"/>
    <w:basedOn w:val="Normal"/>
    <w:rsid w:val="00775D3A"/>
    <w:pPr>
      <w:tabs>
        <w:tab w:val="center" w:pos="4153"/>
        <w:tab w:val="right" w:pos="8306"/>
      </w:tabs>
    </w:pPr>
  </w:style>
  <w:style w:type="paragraph" w:styleId="NormalWeb">
    <w:name w:val="Normal (Web)"/>
    <w:basedOn w:val="Normal"/>
    <w:rsid w:val="00BF08E8"/>
    <w:pPr>
      <w:spacing w:before="100" w:beforeAutospacing="1" w:after="100" w:afterAutospacing="1"/>
    </w:pPr>
    <w:rPr>
      <w:rFonts w:ascii="Verdana" w:hAnsi="Verdana"/>
      <w:szCs w:val="24"/>
    </w:rPr>
  </w:style>
  <w:style w:type="character" w:styleId="Emphasis">
    <w:name w:val="Emphasis"/>
    <w:qFormat/>
    <w:rsid w:val="00BF08E8"/>
    <w:rPr>
      <w:i/>
      <w:iCs/>
    </w:rPr>
  </w:style>
  <w:style w:type="paragraph" w:styleId="BalloonText">
    <w:name w:val="Balloon Text"/>
    <w:basedOn w:val="Normal"/>
    <w:semiHidden/>
    <w:rsid w:val="0001486F"/>
    <w:rPr>
      <w:rFonts w:ascii="Tahoma" w:hAnsi="Tahoma" w:cs="Tahoma"/>
      <w:sz w:val="16"/>
      <w:szCs w:val="16"/>
    </w:rPr>
  </w:style>
  <w:style w:type="character" w:styleId="CommentReference">
    <w:name w:val="annotation reference"/>
    <w:uiPriority w:val="99"/>
    <w:semiHidden/>
    <w:rsid w:val="003612B5"/>
    <w:rPr>
      <w:sz w:val="16"/>
      <w:szCs w:val="16"/>
    </w:rPr>
  </w:style>
  <w:style w:type="paragraph" w:styleId="CommentText">
    <w:name w:val="annotation text"/>
    <w:basedOn w:val="Normal"/>
    <w:semiHidden/>
    <w:rsid w:val="003612B5"/>
    <w:rPr>
      <w:sz w:val="20"/>
    </w:rPr>
  </w:style>
  <w:style w:type="paragraph" w:styleId="CommentSubject">
    <w:name w:val="annotation subject"/>
    <w:basedOn w:val="CommentText"/>
    <w:next w:val="CommentText"/>
    <w:semiHidden/>
    <w:rsid w:val="003612B5"/>
    <w:rPr>
      <w:b/>
      <w:bCs/>
    </w:rPr>
  </w:style>
  <w:style w:type="paragraph" w:customStyle="1" w:styleId="CharCharCharCharCharCharCharCharCharCharCharCharCharCharCharChar1">
    <w:name w:val="Char Char Char Char Char Char Char Char Char Char Char Char Char Char Char Char1"/>
    <w:basedOn w:val="Normal"/>
    <w:rsid w:val="007D63BF"/>
    <w:rPr>
      <w:rFonts w:ascii="Arial" w:hAnsi="Arial" w:cs="Arial"/>
      <w:sz w:val="22"/>
      <w:szCs w:val="22"/>
      <w:lang w:eastAsia="en-US"/>
    </w:rPr>
  </w:style>
  <w:style w:type="table" w:styleId="TableGrid">
    <w:name w:val="Table Grid"/>
    <w:basedOn w:val="TableNormal"/>
    <w:rsid w:val="009D5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D69D2"/>
    <w:rPr>
      <w:rFonts w:ascii="Arial" w:hAnsi="Arial" w:cs="Arial"/>
      <w:sz w:val="22"/>
      <w:szCs w:val="22"/>
      <w:lang w:eastAsia="en-US"/>
    </w:rPr>
  </w:style>
  <w:style w:type="paragraph" w:customStyle="1" w:styleId="CharCharCharCharCharCharChar">
    <w:name w:val="Char Char Char Char Char Char Char"/>
    <w:basedOn w:val="Normal"/>
    <w:rsid w:val="001D58AA"/>
    <w:rPr>
      <w:rFonts w:ascii="Arial" w:hAnsi="Arial" w:cs="Arial"/>
      <w:sz w:val="22"/>
      <w:szCs w:val="22"/>
      <w:lang w:eastAsia="en-US"/>
    </w:rPr>
  </w:style>
  <w:style w:type="paragraph" w:customStyle="1" w:styleId="CharCharCharCharCharCharCharCharCharCharCharCharCharCharCharChar">
    <w:name w:val="Char Char Char Char Char Char Char Char Char Char Char Char Char Char Char Char"/>
    <w:basedOn w:val="Normal"/>
    <w:rsid w:val="004616A1"/>
    <w:rPr>
      <w:rFonts w:ascii="Arial" w:hAnsi="Arial" w:cs="Arial"/>
      <w:sz w:val="22"/>
      <w:szCs w:val="22"/>
      <w:lang w:eastAsia="en-US"/>
    </w:rPr>
  </w:style>
  <w:style w:type="paragraph" w:customStyle="1" w:styleId="HealthLevel2">
    <w:name w:val="Health Level 2"/>
    <w:basedOn w:val="Normal"/>
    <w:rsid w:val="009C6674"/>
    <w:pPr>
      <w:tabs>
        <w:tab w:val="left" w:pos="851"/>
      </w:tabs>
      <w:autoSpaceDE w:val="0"/>
      <w:autoSpaceDN w:val="0"/>
      <w:spacing w:before="120" w:line="260" w:lineRule="exact"/>
      <w:ind w:left="1701"/>
    </w:pPr>
    <w:rPr>
      <w:color w:val="000000"/>
      <w:szCs w:val="24"/>
      <w:lang w:eastAsia="en-US"/>
    </w:rPr>
  </w:style>
  <w:style w:type="paragraph" w:customStyle="1" w:styleId="Char1">
    <w:name w:val="Char1"/>
    <w:basedOn w:val="Normal"/>
    <w:rsid w:val="00D422BD"/>
    <w:rPr>
      <w:rFonts w:ascii="Arial" w:hAnsi="Arial" w:cs="Arial"/>
      <w:sz w:val="22"/>
      <w:szCs w:val="22"/>
      <w:lang w:eastAsia="en-US"/>
    </w:rPr>
  </w:style>
  <w:style w:type="paragraph" w:customStyle="1" w:styleId="Char1CharCharChar">
    <w:name w:val="Char1 Char Char Char"/>
    <w:basedOn w:val="Normal"/>
    <w:rsid w:val="00BA4B1D"/>
    <w:rPr>
      <w:rFonts w:ascii="Arial" w:hAnsi="Arial" w:cs="Arial"/>
      <w:sz w:val="22"/>
      <w:szCs w:val="22"/>
      <w:lang w:eastAsia="en-US"/>
    </w:rPr>
  </w:style>
  <w:style w:type="paragraph" w:customStyle="1" w:styleId="HealthnumLevel3">
    <w:name w:val="Health (num) Level 3"/>
    <w:basedOn w:val="Normal"/>
    <w:rsid w:val="00B83714"/>
    <w:pPr>
      <w:tabs>
        <w:tab w:val="num" w:pos="2551"/>
      </w:tabs>
      <w:autoSpaceDE w:val="0"/>
      <w:autoSpaceDN w:val="0"/>
      <w:spacing w:before="60" w:line="260" w:lineRule="exact"/>
      <w:ind w:left="2551" w:hanging="850"/>
      <w:jc w:val="both"/>
    </w:pPr>
    <w:rPr>
      <w:color w:val="000000"/>
      <w:szCs w:val="24"/>
      <w:lang w:eastAsia="en-US"/>
    </w:rPr>
  </w:style>
  <w:style w:type="paragraph" w:customStyle="1" w:styleId="CharCharCharCharCharCharCharCharCharCharCharCharChar">
    <w:name w:val="Char Char Char Char Char Char Char Char Char Char Char Char Char"/>
    <w:basedOn w:val="Normal"/>
    <w:rsid w:val="00333B56"/>
    <w:rPr>
      <w:rFonts w:ascii="Arial" w:hAnsi="Arial" w:cs="Arial"/>
      <w:sz w:val="22"/>
      <w:szCs w:val="22"/>
      <w:lang w:eastAsia="en-US"/>
    </w:rPr>
  </w:style>
  <w:style w:type="paragraph" w:customStyle="1" w:styleId="HealthnumLevel5">
    <w:name w:val="Health (num) Level 5"/>
    <w:basedOn w:val="Normal"/>
    <w:link w:val="HealthnumLevel5Char"/>
    <w:rsid w:val="00BC1E85"/>
    <w:pPr>
      <w:autoSpaceDE w:val="0"/>
      <w:autoSpaceDN w:val="0"/>
      <w:spacing w:before="180" w:line="260" w:lineRule="exact"/>
    </w:pPr>
    <w:rPr>
      <w:szCs w:val="24"/>
      <w:lang w:eastAsia="en-US"/>
    </w:rPr>
  </w:style>
  <w:style w:type="character" w:customStyle="1" w:styleId="HealthnumLevel5Char">
    <w:name w:val="Health (num) Level 5 Char"/>
    <w:link w:val="HealthnumLevel5"/>
    <w:rsid w:val="00BC1E85"/>
    <w:rPr>
      <w:sz w:val="24"/>
      <w:szCs w:val="24"/>
      <w:lang w:eastAsia="en-US"/>
    </w:rPr>
  </w:style>
  <w:style w:type="paragraph" w:customStyle="1" w:styleId="Default">
    <w:name w:val="Default"/>
    <w:rsid w:val="00BC1E85"/>
    <w:pPr>
      <w:autoSpaceDE w:val="0"/>
      <w:autoSpaceDN w:val="0"/>
      <w:adjustRightInd w:val="0"/>
    </w:pPr>
    <w:rPr>
      <w:color w:val="000000"/>
      <w:sz w:val="24"/>
      <w:szCs w:val="24"/>
    </w:rPr>
  </w:style>
  <w:style w:type="paragraph" w:customStyle="1" w:styleId="Healthnote">
    <w:name w:val="Health note"/>
    <w:basedOn w:val="Normal"/>
    <w:link w:val="HealthnoteChar"/>
    <w:rsid w:val="00BC1E85"/>
    <w:pPr>
      <w:tabs>
        <w:tab w:val="left" w:pos="567"/>
      </w:tabs>
      <w:autoSpaceDE w:val="0"/>
      <w:autoSpaceDN w:val="0"/>
      <w:spacing w:before="120" w:line="220" w:lineRule="exact"/>
      <w:ind w:left="851"/>
    </w:pPr>
    <w:rPr>
      <w:iCs/>
      <w:color w:val="000000"/>
      <w:sz w:val="20"/>
      <w:lang w:eastAsia="en-US"/>
    </w:rPr>
  </w:style>
  <w:style w:type="character" w:customStyle="1" w:styleId="HealthnoteChar">
    <w:name w:val="Health note Char"/>
    <w:link w:val="Healthnote"/>
    <w:rsid w:val="00BC1E85"/>
    <w:rPr>
      <w:iCs/>
      <w:color w:val="000000"/>
      <w:lang w:eastAsia="en-US"/>
    </w:rPr>
  </w:style>
  <w:style w:type="character" w:customStyle="1" w:styleId="HealthLevel1Char">
    <w:name w:val="Health Level 1 Char"/>
    <w:link w:val="HealthLevel1"/>
    <w:locked/>
    <w:rsid w:val="009F16AD"/>
    <w:rPr>
      <w:color w:val="000000"/>
      <w:sz w:val="24"/>
      <w:szCs w:val="24"/>
      <w:lang w:eastAsia="en-US"/>
    </w:rPr>
  </w:style>
  <w:style w:type="paragraph" w:customStyle="1" w:styleId="HealthLevel1">
    <w:name w:val="Health Level 1"/>
    <w:basedOn w:val="Normal"/>
    <w:link w:val="HealthLevel1Char"/>
    <w:rsid w:val="009F16AD"/>
    <w:pPr>
      <w:tabs>
        <w:tab w:val="left" w:pos="851"/>
      </w:tabs>
      <w:autoSpaceDE w:val="0"/>
      <w:autoSpaceDN w:val="0"/>
      <w:spacing w:before="120" w:line="260" w:lineRule="exact"/>
      <w:ind w:left="851"/>
    </w:pPr>
    <w:rPr>
      <w:color w:val="000000"/>
      <w:szCs w:val="24"/>
      <w:lang w:eastAsia="en-US"/>
    </w:rPr>
  </w:style>
  <w:style w:type="character" w:styleId="Hyperlink">
    <w:name w:val="Hyperlink"/>
    <w:rsid w:val="00AF7465"/>
    <w:rPr>
      <w:color w:val="0000FF"/>
      <w:u w:val="single"/>
    </w:rPr>
  </w:style>
  <w:style w:type="paragraph" w:customStyle="1" w:styleId="Char0">
    <w:name w:val="Char"/>
    <w:basedOn w:val="Normal"/>
    <w:rsid w:val="00054BC9"/>
    <w:rPr>
      <w:rFonts w:ascii="Arial" w:hAnsi="Arial" w:cs="Arial"/>
      <w:sz w:val="22"/>
      <w:szCs w:val="22"/>
      <w:lang w:eastAsia="en-US"/>
    </w:rPr>
  </w:style>
  <w:style w:type="character" w:styleId="FollowedHyperlink">
    <w:name w:val="FollowedHyperlink"/>
    <w:basedOn w:val="DefaultParagraphFont"/>
    <w:rsid w:val="007726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5827">
      <w:bodyDiv w:val="1"/>
      <w:marLeft w:val="0"/>
      <w:marRight w:val="0"/>
      <w:marTop w:val="0"/>
      <w:marBottom w:val="0"/>
      <w:divBdr>
        <w:top w:val="none" w:sz="0" w:space="0" w:color="auto"/>
        <w:left w:val="none" w:sz="0" w:space="0" w:color="auto"/>
        <w:bottom w:val="none" w:sz="0" w:space="0" w:color="auto"/>
        <w:right w:val="none" w:sz="0" w:space="0" w:color="auto"/>
      </w:divBdr>
    </w:div>
    <w:div w:id="258755062">
      <w:bodyDiv w:val="1"/>
      <w:marLeft w:val="0"/>
      <w:marRight w:val="0"/>
      <w:marTop w:val="0"/>
      <w:marBottom w:val="0"/>
      <w:divBdr>
        <w:top w:val="none" w:sz="0" w:space="0" w:color="auto"/>
        <w:left w:val="none" w:sz="0" w:space="0" w:color="auto"/>
        <w:bottom w:val="none" w:sz="0" w:space="0" w:color="auto"/>
        <w:right w:val="none" w:sz="0" w:space="0" w:color="auto"/>
      </w:divBdr>
      <w:divsChild>
        <w:div w:id="1749229567">
          <w:marLeft w:val="0"/>
          <w:marRight w:val="0"/>
          <w:marTop w:val="0"/>
          <w:marBottom w:val="0"/>
          <w:divBdr>
            <w:top w:val="none" w:sz="0" w:space="0" w:color="auto"/>
            <w:left w:val="none" w:sz="0" w:space="0" w:color="auto"/>
            <w:bottom w:val="none" w:sz="0" w:space="0" w:color="auto"/>
            <w:right w:val="none" w:sz="0" w:space="0" w:color="auto"/>
          </w:divBdr>
          <w:divsChild>
            <w:div w:id="1644919616">
              <w:marLeft w:val="0"/>
              <w:marRight w:val="0"/>
              <w:marTop w:val="0"/>
              <w:marBottom w:val="0"/>
              <w:divBdr>
                <w:top w:val="none" w:sz="0" w:space="0" w:color="auto"/>
                <w:left w:val="none" w:sz="0" w:space="0" w:color="auto"/>
                <w:bottom w:val="none" w:sz="0" w:space="0" w:color="auto"/>
                <w:right w:val="none" w:sz="0" w:space="0" w:color="auto"/>
              </w:divBdr>
              <w:divsChild>
                <w:div w:id="1951355782">
                  <w:marLeft w:val="0"/>
                  <w:marRight w:val="0"/>
                  <w:marTop w:val="0"/>
                  <w:marBottom w:val="0"/>
                  <w:divBdr>
                    <w:top w:val="none" w:sz="0" w:space="0" w:color="auto"/>
                    <w:left w:val="none" w:sz="0" w:space="0" w:color="auto"/>
                    <w:bottom w:val="none" w:sz="0" w:space="0" w:color="auto"/>
                    <w:right w:val="none" w:sz="0" w:space="0" w:color="auto"/>
                  </w:divBdr>
                  <w:divsChild>
                    <w:div w:id="2094013845">
                      <w:marLeft w:val="0"/>
                      <w:marRight w:val="0"/>
                      <w:marTop w:val="0"/>
                      <w:marBottom w:val="0"/>
                      <w:divBdr>
                        <w:top w:val="none" w:sz="0" w:space="0" w:color="auto"/>
                        <w:left w:val="none" w:sz="0" w:space="0" w:color="auto"/>
                        <w:bottom w:val="none" w:sz="0" w:space="0" w:color="auto"/>
                        <w:right w:val="none" w:sz="0" w:space="0" w:color="auto"/>
                      </w:divBdr>
                      <w:divsChild>
                        <w:div w:id="1383289301">
                          <w:marLeft w:val="0"/>
                          <w:marRight w:val="0"/>
                          <w:marTop w:val="0"/>
                          <w:marBottom w:val="0"/>
                          <w:divBdr>
                            <w:top w:val="single" w:sz="4" w:space="0" w:color="828282"/>
                            <w:left w:val="single" w:sz="4" w:space="0" w:color="828282"/>
                            <w:bottom w:val="single" w:sz="4" w:space="0" w:color="828282"/>
                            <w:right w:val="single" w:sz="4" w:space="0" w:color="828282"/>
                          </w:divBdr>
                          <w:divsChild>
                            <w:div w:id="1224213366">
                              <w:marLeft w:val="0"/>
                              <w:marRight w:val="0"/>
                              <w:marTop w:val="0"/>
                              <w:marBottom w:val="0"/>
                              <w:divBdr>
                                <w:top w:val="none" w:sz="0" w:space="0" w:color="auto"/>
                                <w:left w:val="none" w:sz="0" w:space="0" w:color="auto"/>
                                <w:bottom w:val="none" w:sz="0" w:space="0" w:color="auto"/>
                                <w:right w:val="none" w:sz="0" w:space="0" w:color="auto"/>
                              </w:divBdr>
                              <w:divsChild>
                                <w:div w:id="1996642322">
                                  <w:marLeft w:val="0"/>
                                  <w:marRight w:val="0"/>
                                  <w:marTop w:val="0"/>
                                  <w:marBottom w:val="0"/>
                                  <w:divBdr>
                                    <w:top w:val="none" w:sz="0" w:space="0" w:color="auto"/>
                                    <w:left w:val="none" w:sz="0" w:space="0" w:color="auto"/>
                                    <w:bottom w:val="none" w:sz="0" w:space="0" w:color="auto"/>
                                    <w:right w:val="none" w:sz="0" w:space="0" w:color="auto"/>
                                  </w:divBdr>
                                  <w:divsChild>
                                    <w:div w:id="1363357112">
                                      <w:marLeft w:val="0"/>
                                      <w:marRight w:val="0"/>
                                      <w:marTop w:val="0"/>
                                      <w:marBottom w:val="0"/>
                                      <w:divBdr>
                                        <w:top w:val="none" w:sz="0" w:space="0" w:color="auto"/>
                                        <w:left w:val="none" w:sz="0" w:space="0" w:color="auto"/>
                                        <w:bottom w:val="none" w:sz="0" w:space="0" w:color="auto"/>
                                        <w:right w:val="none" w:sz="0" w:space="0" w:color="auto"/>
                                      </w:divBdr>
                                      <w:divsChild>
                                        <w:div w:id="1911580184">
                                          <w:marLeft w:val="0"/>
                                          <w:marRight w:val="0"/>
                                          <w:marTop w:val="0"/>
                                          <w:marBottom w:val="0"/>
                                          <w:divBdr>
                                            <w:top w:val="none" w:sz="0" w:space="0" w:color="auto"/>
                                            <w:left w:val="none" w:sz="0" w:space="0" w:color="auto"/>
                                            <w:bottom w:val="none" w:sz="0" w:space="0" w:color="auto"/>
                                            <w:right w:val="none" w:sz="0" w:space="0" w:color="auto"/>
                                          </w:divBdr>
                                          <w:divsChild>
                                            <w:div w:id="1559633568">
                                              <w:marLeft w:val="0"/>
                                              <w:marRight w:val="0"/>
                                              <w:marTop w:val="0"/>
                                              <w:marBottom w:val="0"/>
                                              <w:divBdr>
                                                <w:top w:val="none" w:sz="0" w:space="0" w:color="auto"/>
                                                <w:left w:val="none" w:sz="0" w:space="0" w:color="auto"/>
                                                <w:bottom w:val="none" w:sz="0" w:space="0" w:color="auto"/>
                                                <w:right w:val="none" w:sz="0" w:space="0" w:color="auto"/>
                                              </w:divBdr>
                                              <w:divsChild>
                                                <w:div w:id="10010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501045">
      <w:bodyDiv w:val="1"/>
      <w:marLeft w:val="0"/>
      <w:marRight w:val="0"/>
      <w:marTop w:val="0"/>
      <w:marBottom w:val="0"/>
      <w:divBdr>
        <w:top w:val="none" w:sz="0" w:space="0" w:color="auto"/>
        <w:left w:val="none" w:sz="0" w:space="0" w:color="auto"/>
        <w:bottom w:val="none" w:sz="0" w:space="0" w:color="auto"/>
        <w:right w:val="none" w:sz="0" w:space="0" w:color="auto"/>
      </w:divBdr>
    </w:div>
    <w:div w:id="808012340">
      <w:bodyDiv w:val="1"/>
      <w:marLeft w:val="0"/>
      <w:marRight w:val="0"/>
      <w:marTop w:val="0"/>
      <w:marBottom w:val="0"/>
      <w:divBdr>
        <w:top w:val="none" w:sz="0" w:space="0" w:color="auto"/>
        <w:left w:val="none" w:sz="0" w:space="0" w:color="auto"/>
        <w:bottom w:val="none" w:sz="0" w:space="0" w:color="auto"/>
        <w:right w:val="none" w:sz="0" w:space="0" w:color="auto"/>
      </w:divBdr>
      <w:divsChild>
        <w:div w:id="561064317">
          <w:marLeft w:val="0"/>
          <w:marRight w:val="0"/>
          <w:marTop w:val="0"/>
          <w:marBottom w:val="0"/>
          <w:divBdr>
            <w:top w:val="none" w:sz="0" w:space="0" w:color="auto"/>
            <w:left w:val="none" w:sz="0" w:space="0" w:color="auto"/>
            <w:bottom w:val="none" w:sz="0" w:space="0" w:color="auto"/>
            <w:right w:val="none" w:sz="0" w:space="0" w:color="auto"/>
          </w:divBdr>
          <w:divsChild>
            <w:div w:id="773406515">
              <w:marLeft w:val="0"/>
              <w:marRight w:val="0"/>
              <w:marTop w:val="0"/>
              <w:marBottom w:val="0"/>
              <w:divBdr>
                <w:top w:val="none" w:sz="0" w:space="0" w:color="auto"/>
                <w:left w:val="none" w:sz="0" w:space="0" w:color="auto"/>
                <w:bottom w:val="none" w:sz="0" w:space="0" w:color="auto"/>
                <w:right w:val="none" w:sz="0" w:space="0" w:color="auto"/>
              </w:divBdr>
              <w:divsChild>
                <w:div w:id="828444804">
                  <w:marLeft w:val="0"/>
                  <w:marRight w:val="0"/>
                  <w:marTop w:val="0"/>
                  <w:marBottom w:val="0"/>
                  <w:divBdr>
                    <w:top w:val="none" w:sz="0" w:space="0" w:color="auto"/>
                    <w:left w:val="none" w:sz="0" w:space="0" w:color="auto"/>
                    <w:bottom w:val="none" w:sz="0" w:space="0" w:color="auto"/>
                    <w:right w:val="none" w:sz="0" w:space="0" w:color="auto"/>
                  </w:divBdr>
                  <w:divsChild>
                    <w:div w:id="1068915466">
                      <w:marLeft w:val="0"/>
                      <w:marRight w:val="0"/>
                      <w:marTop w:val="0"/>
                      <w:marBottom w:val="0"/>
                      <w:divBdr>
                        <w:top w:val="none" w:sz="0" w:space="0" w:color="auto"/>
                        <w:left w:val="none" w:sz="0" w:space="0" w:color="auto"/>
                        <w:bottom w:val="none" w:sz="0" w:space="0" w:color="auto"/>
                        <w:right w:val="none" w:sz="0" w:space="0" w:color="auto"/>
                      </w:divBdr>
                      <w:divsChild>
                        <w:div w:id="1090466521">
                          <w:marLeft w:val="0"/>
                          <w:marRight w:val="0"/>
                          <w:marTop w:val="0"/>
                          <w:marBottom w:val="0"/>
                          <w:divBdr>
                            <w:top w:val="single" w:sz="4" w:space="0" w:color="828282"/>
                            <w:left w:val="single" w:sz="4" w:space="0" w:color="828282"/>
                            <w:bottom w:val="single" w:sz="4" w:space="0" w:color="828282"/>
                            <w:right w:val="single" w:sz="4" w:space="0" w:color="828282"/>
                          </w:divBdr>
                          <w:divsChild>
                            <w:div w:id="1486434022">
                              <w:marLeft w:val="0"/>
                              <w:marRight w:val="0"/>
                              <w:marTop w:val="0"/>
                              <w:marBottom w:val="0"/>
                              <w:divBdr>
                                <w:top w:val="none" w:sz="0" w:space="0" w:color="auto"/>
                                <w:left w:val="none" w:sz="0" w:space="0" w:color="auto"/>
                                <w:bottom w:val="none" w:sz="0" w:space="0" w:color="auto"/>
                                <w:right w:val="none" w:sz="0" w:space="0" w:color="auto"/>
                              </w:divBdr>
                              <w:divsChild>
                                <w:div w:id="19792274">
                                  <w:marLeft w:val="0"/>
                                  <w:marRight w:val="0"/>
                                  <w:marTop w:val="0"/>
                                  <w:marBottom w:val="0"/>
                                  <w:divBdr>
                                    <w:top w:val="none" w:sz="0" w:space="0" w:color="auto"/>
                                    <w:left w:val="none" w:sz="0" w:space="0" w:color="auto"/>
                                    <w:bottom w:val="none" w:sz="0" w:space="0" w:color="auto"/>
                                    <w:right w:val="none" w:sz="0" w:space="0" w:color="auto"/>
                                  </w:divBdr>
                                  <w:divsChild>
                                    <w:div w:id="1902522405">
                                      <w:marLeft w:val="0"/>
                                      <w:marRight w:val="0"/>
                                      <w:marTop w:val="0"/>
                                      <w:marBottom w:val="0"/>
                                      <w:divBdr>
                                        <w:top w:val="none" w:sz="0" w:space="0" w:color="auto"/>
                                        <w:left w:val="none" w:sz="0" w:space="0" w:color="auto"/>
                                        <w:bottom w:val="none" w:sz="0" w:space="0" w:color="auto"/>
                                        <w:right w:val="none" w:sz="0" w:space="0" w:color="auto"/>
                                      </w:divBdr>
                                      <w:divsChild>
                                        <w:div w:id="334380479">
                                          <w:marLeft w:val="0"/>
                                          <w:marRight w:val="0"/>
                                          <w:marTop w:val="0"/>
                                          <w:marBottom w:val="0"/>
                                          <w:divBdr>
                                            <w:top w:val="none" w:sz="0" w:space="0" w:color="auto"/>
                                            <w:left w:val="none" w:sz="0" w:space="0" w:color="auto"/>
                                            <w:bottom w:val="none" w:sz="0" w:space="0" w:color="auto"/>
                                            <w:right w:val="none" w:sz="0" w:space="0" w:color="auto"/>
                                          </w:divBdr>
                                          <w:divsChild>
                                            <w:div w:id="1066148837">
                                              <w:marLeft w:val="0"/>
                                              <w:marRight w:val="0"/>
                                              <w:marTop w:val="0"/>
                                              <w:marBottom w:val="0"/>
                                              <w:divBdr>
                                                <w:top w:val="none" w:sz="0" w:space="0" w:color="auto"/>
                                                <w:left w:val="none" w:sz="0" w:space="0" w:color="auto"/>
                                                <w:bottom w:val="none" w:sz="0" w:space="0" w:color="auto"/>
                                                <w:right w:val="none" w:sz="0" w:space="0" w:color="auto"/>
                                              </w:divBdr>
                                              <w:divsChild>
                                                <w:div w:id="15762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0483738">
      <w:bodyDiv w:val="1"/>
      <w:marLeft w:val="0"/>
      <w:marRight w:val="0"/>
      <w:marTop w:val="0"/>
      <w:marBottom w:val="0"/>
      <w:divBdr>
        <w:top w:val="none" w:sz="0" w:space="0" w:color="auto"/>
        <w:left w:val="none" w:sz="0" w:space="0" w:color="auto"/>
        <w:bottom w:val="none" w:sz="0" w:space="0" w:color="auto"/>
        <w:right w:val="none" w:sz="0" w:space="0" w:color="auto"/>
      </w:divBdr>
    </w:div>
    <w:div w:id="926962181">
      <w:bodyDiv w:val="1"/>
      <w:marLeft w:val="0"/>
      <w:marRight w:val="0"/>
      <w:marTop w:val="0"/>
      <w:marBottom w:val="0"/>
      <w:divBdr>
        <w:top w:val="none" w:sz="0" w:space="0" w:color="auto"/>
        <w:left w:val="none" w:sz="0" w:space="0" w:color="auto"/>
        <w:bottom w:val="none" w:sz="0" w:space="0" w:color="auto"/>
        <w:right w:val="none" w:sz="0" w:space="0" w:color="auto"/>
      </w:divBdr>
      <w:divsChild>
        <w:div w:id="2026125017">
          <w:marLeft w:val="0"/>
          <w:marRight w:val="0"/>
          <w:marTop w:val="0"/>
          <w:marBottom w:val="0"/>
          <w:divBdr>
            <w:top w:val="none" w:sz="0" w:space="0" w:color="auto"/>
            <w:left w:val="none" w:sz="0" w:space="0" w:color="auto"/>
            <w:bottom w:val="none" w:sz="0" w:space="0" w:color="auto"/>
            <w:right w:val="none" w:sz="0" w:space="0" w:color="auto"/>
          </w:divBdr>
          <w:divsChild>
            <w:div w:id="2057699534">
              <w:marLeft w:val="0"/>
              <w:marRight w:val="0"/>
              <w:marTop w:val="0"/>
              <w:marBottom w:val="0"/>
              <w:divBdr>
                <w:top w:val="none" w:sz="0" w:space="0" w:color="auto"/>
                <w:left w:val="none" w:sz="0" w:space="0" w:color="auto"/>
                <w:bottom w:val="none" w:sz="0" w:space="0" w:color="auto"/>
                <w:right w:val="none" w:sz="0" w:space="0" w:color="auto"/>
              </w:divBdr>
              <w:divsChild>
                <w:div w:id="1354116553">
                  <w:marLeft w:val="0"/>
                  <w:marRight w:val="0"/>
                  <w:marTop w:val="0"/>
                  <w:marBottom w:val="0"/>
                  <w:divBdr>
                    <w:top w:val="none" w:sz="0" w:space="0" w:color="auto"/>
                    <w:left w:val="none" w:sz="0" w:space="0" w:color="auto"/>
                    <w:bottom w:val="none" w:sz="0" w:space="0" w:color="auto"/>
                    <w:right w:val="none" w:sz="0" w:space="0" w:color="auto"/>
                  </w:divBdr>
                  <w:divsChild>
                    <w:div w:id="1365252003">
                      <w:marLeft w:val="0"/>
                      <w:marRight w:val="0"/>
                      <w:marTop w:val="0"/>
                      <w:marBottom w:val="0"/>
                      <w:divBdr>
                        <w:top w:val="none" w:sz="0" w:space="0" w:color="auto"/>
                        <w:left w:val="none" w:sz="0" w:space="0" w:color="auto"/>
                        <w:bottom w:val="none" w:sz="0" w:space="0" w:color="auto"/>
                        <w:right w:val="none" w:sz="0" w:space="0" w:color="auto"/>
                      </w:divBdr>
                      <w:divsChild>
                        <w:div w:id="1307198411">
                          <w:marLeft w:val="0"/>
                          <w:marRight w:val="0"/>
                          <w:marTop w:val="0"/>
                          <w:marBottom w:val="0"/>
                          <w:divBdr>
                            <w:top w:val="single" w:sz="4" w:space="0" w:color="828282"/>
                            <w:left w:val="single" w:sz="4" w:space="0" w:color="828282"/>
                            <w:bottom w:val="single" w:sz="4" w:space="0" w:color="828282"/>
                            <w:right w:val="single" w:sz="4" w:space="0" w:color="828282"/>
                          </w:divBdr>
                          <w:divsChild>
                            <w:div w:id="1002321389">
                              <w:marLeft w:val="0"/>
                              <w:marRight w:val="0"/>
                              <w:marTop w:val="0"/>
                              <w:marBottom w:val="0"/>
                              <w:divBdr>
                                <w:top w:val="none" w:sz="0" w:space="0" w:color="auto"/>
                                <w:left w:val="none" w:sz="0" w:space="0" w:color="auto"/>
                                <w:bottom w:val="none" w:sz="0" w:space="0" w:color="auto"/>
                                <w:right w:val="none" w:sz="0" w:space="0" w:color="auto"/>
                              </w:divBdr>
                              <w:divsChild>
                                <w:div w:id="819618978">
                                  <w:marLeft w:val="0"/>
                                  <w:marRight w:val="0"/>
                                  <w:marTop w:val="0"/>
                                  <w:marBottom w:val="0"/>
                                  <w:divBdr>
                                    <w:top w:val="none" w:sz="0" w:space="0" w:color="auto"/>
                                    <w:left w:val="none" w:sz="0" w:space="0" w:color="auto"/>
                                    <w:bottom w:val="none" w:sz="0" w:space="0" w:color="auto"/>
                                    <w:right w:val="none" w:sz="0" w:space="0" w:color="auto"/>
                                  </w:divBdr>
                                  <w:divsChild>
                                    <w:div w:id="1161232499">
                                      <w:marLeft w:val="0"/>
                                      <w:marRight w:val="0"/>
                                      <w:marTop w:val="0"/>
                                      <w:marBottom w:val="0"/>
                                      <w:divBdr>
                                        <w:top w:val="none" w:sz="0" w:space="0" w:color="auto"/>
                                        <w:left w:val="none" w:sz="0" w:space="0" w:color="auto"/>
                                        <w:bottom w:val="none" w:sz="0" w:space="0" w:color="auto"/>
                                        <w:right w:val="none" w:sz="0" w:space="0" w:color="auto"/>
                                      </w:divBdr>
                                      <w:divsChild>
                                        <w:div w:id="926571488">
                                          <w:marLeft w:val="0"/>
                                          <w:marRight w:val="0"/>
                                          <w:marTop w:val="0"/>
                                          <w:marBottom w:val="0"/>
                                          <w:divBdr>
                                            <w:top w:val="none" w:sz="0" w:space="0" w:color="auto"/>
                                            <w:left w:val="none" w:sz="0" w:space="0" w:color="auto"/>
                                            <w:bottom w:val="none" w:sz="0" w:space="0" w:color="auto"/>
                                            <w:right w:val="none" w:sz="0" w:space="0" w:color="auto"/>
                                          </w:divBdr>
                                          <w:divsChild>
                                            <w:div w:id="887954669">
                                              <w:marLeft w:val="0"/>
                                              <w:marRight w:val="0"/>
                                              <w:marTop w:val="0"/>
                                              <w:marBottom w:val="0"/>
                                              <w:divBdr>
                                                <w:top w:val="none" w:sz="0" w:space="0" w:color="auto"/>
                                                <w:left w:val="none" w:sz="0" w:space="0" w:color="auto"/>
                                                <w:bottom w:val="none" w:sz="0" w:space="0" w:color="auto"/>
                                                <w:right w:val="none" w:sz="0" w:space="0" w:color="auto"/>
                                              </w:divBdr>
                                              <w:divsChild>
                                                <w:div w:id="111333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3562823">
      <w:bodyDiv w:val="1"/>
      <w:marLeft w:val="0"/>
      <w:marRight w:val="0"/>
      <w:marTop w:val="0"/>
      <w:marBottom w:val="0"/>
      <w:divBdr>
        <w:top w:val="none" w:sz="0" w:space="0" w:color="auto"/>
        <w:left w:val="none" w:sz="0" w:space="0" w:color="auto"/>
        <w:bottom w:val="none" w:sz="0" w:space="0" w:color="auto"/>
        <w:right w:val="none" w:sz="0" w:space="0" w:color="auto"/>
      </w:divBdr>
    </w:div>
    <w:div w:id="1711103682">
      <w:bodyDiv w:val="1"/>
      <w:marLeft w:val="0"/>
      <w:marRight w:val="0"/>
      <w:marTop w:val="0"/>
      <w:marBottom w:val="0"/>
      <w:divBdr>
        <w:top w:val="none" w:sz="0" w:space="0" w:color="auto"/>
        <w:left w:val="none" w:sz="0" w:space="0" w:color="auto"/>
        <w:bottom w:val="none" w:sz="0" w:space="0" w:color="auto"/>
        <w:right w:val="none" w:sz="0" w:space="0" w:color="auto"/>
      </w:divBdr>
    </w:div>
    <w:div w:id="1933315958">
      <w:bodyDiv w:val="1"/>
      <w:marLeft w:val="0"/>
      <w:marRight w:val="0"/>
      <w:marTop w:val="0"/>
      <w:marBottom w:val="0"/>
      <w:divBdr>
        <w:top w:val="none" w:sz="0" w:space="0" w:color="auto"/>
        <w:left w:val="none" w:sz="0" w:space="0" w:color="auto"/>
        <w:bottom w:val="none" w:sz="0" w:space="0" w:color="auto"/>
        <w:right w:val="none" w:sz="0" w:space="0" w:color="auto"/>
      </w:divBdr>
    </w:div>
    <w:div w:id="2006543479">
      <w:bodyDiv w:val="1"/>
      <w:marLeft w:val="0"/>
      <w:marRight w:val="0"/>
      <w:marTop w:val="0"/>
      <w:marBottom w:val="0"/>
      <w:divBdr>
        <w:top w:val="none" w:sz="0" w:space="0" w:color="auto"/>
        <w:left w:val="none" w:sz="0" w:space="0" w:color="auto"/>
        <w:bottom w:val="none" w:sz="0" w:space="0" w:color="auto"/>
        <w:right w:val="none" w:sz="0" w:space="0" w:color="auto"/>
      </w:divBdr>
    </w:div>
    <w:div w:id="206748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B5FFE-85A8-4466-BD91-82F6764FD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EXPLANATORY MEMORANDUM</vt:lpstr>
    </vt:vector>
  </TitlesOfParts>
  <LinksUpToDate>false</LinksUpToDate>
  <CharactersWithSpaces>5247</CharactersWithSpaces>
  <SharedDoc>false</SharedDoc>
  <HLinks>
    <vt:vector size="12" baseType="variant">
      <vt:variant>
        <vt:i4>4915224</vt:i4>
      </vt:variant>
      <vt:variant>
        <vt:i4>3</vt:i4>
      </vt:variant>
      <vt:variant>
        <vt:i4>0</vt:i4>
      </vt:variant>
      <vt:variant>
        <vt:i4>5</vt:i4>
      </vt:variant>
      <vt:variant>
        <vt:lpwstr>http://www.health.gov.au/internet/main/publishing.nsf/Content/health-phicirculars2017-index1</vt:lpwstr>
      </vt:variant>
      <vt:variant>
        <vt:lpwstr/>
      </vt:variant>
      <vt:variant>
        <vt:i4>4915224</vt:i4>
      </vt:variant>
      <vt:variant>
        <vt:i4>0</vt:i4>
      </vt:variant>
      <vt:variant>
        <vt:i4>0</vt:i4>
      </vt:variant>
      <vt:variant>
        <vt:i4>5</vt:i4>
      </vt:variant>
      <vt:variant>
        <vt:lpwstr>http://www.health.gov.au/internet/main/publishing.nsf/Content/health-phicirculars2017-index1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
  <dc:creator/>
  <cp:keywords/>
  <cp:lastModifiedBy/>
  <cp:revision>1</cp:revision>
  <cp:lastPrinted>2012-03-13T06:46:00Z</cp:lastPrinted>
  <dcterms:created xsi:type="dcterms:W3CDTF">2019-03-22T00:55:00Z</dcterms:created>
  <dcterms:modified xsi:type="dcterms:W3CDTF">2019-03-25T01:49:00Z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