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8DDD9" w14:textId="77777777" w:rsidR="007D63BF" w:rsidRPr="006809B4" w:rsidRDefault="007D63BF" w:rsidP="00973CC5">
      <w:pPr>
        <w:pStyle w:val="Title"/>
      </w:pPr>
      <w:r w:rsidRPr="006809B4">
        <w:t>EXPLANATORY STATEMENT</w:t>
      </w:r>
    </w:p>
    <w:p w14:paraId="36F3CA37" w14:textId="77777777" w:rsidR="007D63BF" w:rsidRPr="006809B4" w:rsidRDefault="007D63BF" w:rsidP="00D148F2">
      <w:pPr>
        <w:rPr>
          <w:b/>
          <w:bCs/>
        </w:rPr>
      </w:pPr>
    </w:p>
    <w:p w14:paraId="41A1678A" w14:textId="77777777" w:rsidR="007D63BF" w:rsidRPr="006809B4" w:rsidRDefault="007D63BF" w:rsidP="00973CC5">
      <w:pPr>
        <w:jc w:val="center"/>
      </w:pPr>
      <w:r w:rsidRPr="006809B4">
        <w:t xml:space="preserve">Issued by the Authority of the Minister for Health </w:t>
      </w:r>
    </w:p>
    <w:p w14:paraId="680DDE84" w14:textId="77777777" w:rsidR="007D63BF" w:rsidRPr="006809B4" w:rsidRDefault="007D63BF" w:rsidP="00973CC5">
      <w:pPr>
        <w:jc w:val="center"/>
      </w:pPr>
    </w:p>
    <w:p w14:paraId="771E4F6F" w14:textId="77777777" w:rsidR="005C11C6" w:rsidRPr="006809B4" w:rsidRDefault="007D63BF" w:rsidP="00973CC5">
      <w:pPr>
        <w:jc w:val="center"/>
      </w:pPr>
      <w:r w:rsidRPr="006809B4">
        <w:rPr>
          <w:i/>
        </w:rPr>
        <w:t>P</w:t>
      </w:r>
      <w:r w:rsidR="005C11C6" w:rsidRPr="006809B4">
        <w:rPr>
          <w:i/>
        </w:rPr>
        <w:t xml:space="preserve">rivate Health Insurance Act </w:t>
      </w:r>
      <w:r w:rsidR="00883586" w:rsidRPr="006809B4">
        <w:rPr>
          <w:i/>
        </w:rPr>
        <w:t>200</w:t>
      </w:r>
      <w:r w:rsidR="0078397D" w:rsidRPr="006809B4">
        <w:rPr>
          <w:i/>
        </w:rPr>
        <w:t>7</w:t>
      </w:r>
    </w:p>
    <w:p w14:paraId="60DA3B3A" w14:textId="77777777" w:rsidR="005C11C6" w:rsidRPr="006809B4" w:rsidRDefault="005C11C6" w:rsidP="00973CC5">
      <w:pPr>
        <w:jc w:val="center"/>
        <w:rPr>
          <w:b/>
          <w:u w:val="single"/>
        </w:rPr>
      </w:pPr>
    </w:p>
    <w:p w14:paraId="2F1EFB1C" w14:textId="74318D2A" w:rsidR="00A37928" w:rsidRDefault="00A37928" w:rsidP="00973CC5">
      <w:pPr>
        <w:jc w:val="center"/>
        <w:rPr>
          <w:i/>
        </w:rPr>
      </w:pPr>
      <w:r w:rsidRPr="006809B4">
        <w:rPr>
          <w:i/>
        </w:rPr>
        <w:t>Private Health Insurance (</w:t>
      </w:r>
      <w:r w:rsidR="00FD656F" w:rsidRPr="00FD656F">
        <w:rPr>
          <w:i/>
        </w:rPr>
        <w:t>Complying Product</w:t>
      </w:r>
      <w:r w:rsidR="00DE7C28">
        <w:rPr>
          <w:i/>
        </w:rPr>
        <w:t>)</w:t>
      </w:r>
      <w:r w:rsidR="00435BAA" w:rsidRPr="006809B4">
        <w:rPr>
          <w:i/>
        </w:rPr>
        <w:t xml:space="preserve"> Amendment</w:t>
      </w:r>
      <w:r w:rsidRPr="006809B4">
        <w:rPr>
          <w:i/>
        </w:rPr>
        <w:t xml:space="preserve"> Rules</w:t>
      </w:r>
      <w:r w:rsidR="00805E9C" w:rsidRPr="006809B4">
        <w:rPr>
          <w:i/>
        </w:rPr>
        <w:t xml:space="preserve"> </w:t>
      </w:r>
      <w:r w:rsidR="00DE5429">
        <w:rPr>
          <w:i/>
        </w:rPr>
        <w:t xml:space="preserve">(No. 1) </w:t>
      </w:r>
      <w:r w:rsidRPr="006809B4">
        <w:rPr>
          <w:i/>
        </w:rPr>
        <w:t>20</w:t>
      </w:r>
      <w:r w:rsidR="00A7519B">
        <w:rPr>
          <w:i/>
        </w:rPr>
        <w:t>1</w:t>
      </w:r>
      <w:r w:rsidR="00252F4E">
        <w:rPr>
          <w:i/>
        </w:rPr>
        <w:t>9</w:t>
      </w:r>
    </w:p>
    <w:p w14:paraId="52942F3F" w14:textId="77777777" w:rsidR="00587B1D" w:rsidRPr="006809B4" w:rsidRDefault="00587B1D" w:rsidP="00973CC5">
      <w:pPr>
        <w:jc w:val="center"/>
        <w:rPr>
          <w:i/>
          <w:szCs w:val="24"/>
        </w:rPr>
      </w:pPr>
    </w:p>
    <w:p w14:paraId="19E56812" w14:textId="77777777" w:rsidR="00587B1D" w:rsidRPr="00587B1D" w:rsidRDefault="00587B1D" w:rsidP="00D47F0E">
      <w:pPr>
        <w:rPr>
          <w:u w:val="single"/>
        </w:rPr>
      </w:pPr>
      <w:r w:rsidRPr="00587B1D">
        <w:rPr>
          <w:u w:val="single"/>
        </w:rPr>
        <w:t>Authority</w:t>
      </w:r>
    </w:p>
    <w:p w14:paraId="73419C10" w14:textId="3AE1F2D5" w:rsidR="00AE7E86" w:rsidRPr="00C5338A" w:rsidRDefault="00AE7E86" w:rsidP="00AE7E86">
      <w:pPr>
        <w:pStyle w:val="Subtitle"/>
        <w:rPr>
          <w:szCs w:val="24"/>
          <w:u w:val="none"/>
        </w:rPr>
      </w:pPr>
      <w:r w:rsidRPr="00C5338A">
        <w:rPr>
          <w:szCs w:val="24"/>
          <w:u w:val="none"/>
        </w:rPr>
        <w:t xml:space="preserve">Section 333-20 of the </w:t>
      </w:r>
      <w:r w:rsidRPr="00C5338A">
        <w:rPr>
          <w:i/>
          <w:iCs/>
          <w:szCs w:val="24"/>
          <w:u w:val="none"/>
        </w:rPr>
        <w:t xml:space="preserve">Private Health Insurance Act 2007 </w:t>
      </w:r>
      <w:r w:rsidRPr="00C5338A">
        <w:rPr>
          <w:szCs w:val="24"/>
          <w:u w:val="none"/>
        </w:rPr>
        <w:t xml:space="preserve">(the Act) provides that the Minister may make </w:t>
      </w:r>
      <w:r w:rsidRPr="00472B89">
        <w:rPr>
          <w:szCs w:val="24"/>
          <w:u w:val="none"/>
        </w:rPr>
        <w:t>Private Health Insurance (</w:t>
      </w:r>
      <w:r w:rsidR="00FD656F" w:rsidRPr="00FD656F">
        <w:rPr>
          <w:szCs w:val="24"/>
          <w:u w:val="none"/>
        </w:rPr>
        <w:t>Complying Product</w:t>
      </w:r>
      <w:r w:rsidRPr="00472B89">
        <w:rPr>
          <w:szCs w:val="24"/>
          <w:u w:val="none"/>
        </w:rPr>
        <w:t>) Rules providing</w:t>
      </w:r>
      <w:r w:rsidRPr="00C5338A">
        <w:rPr>
          <w:szCs w:val="24"/>
          <w:u w:val="none"/>
        </w:rPr>
        <w:t xml:space="preserve"> for matters required or permitted by </w:t>
      </w:r>
      <w:r w:rsidR="00FD656F">
        <w:rPr>
          <w:szCs w:val="24"/>
          <w:u w:val="none"/>
        </w:rPr>
        <w:t xml:space="preserve">Chapter 3 </w:t>
      </w:r>
      <w:r w:rsidRPr="00C5338A">
        <w:rPr>
          <w:szCs w:val="24"/>
          <w:u w:val="none"/>
        </w:rPr>
        <w:t xml:space="preserve">of the Act, or necessary or convenient to be provided in order to carry out or give effect to </w:t>
      </w:r>
      <w:r w:rsidR="00FD656F">
        <w:rPr>
          <w:szCs w:val="24"/>
          <w:u w:val="none"/>
        </w:rPr>
        <w:t xml:space="preserve">Chapter 3 </w:t>
      </w:r>
      <w:r w:rsidRPr="00C5338A">
        <w:rPr>
          <w:szCs w:val="24"/>
          <w:u w:val="none"/>
        </w:rPr>
        <w:t>of the Act.</w:t>
      </w:r>
    </w:p>
    <w:p w14:paraId="6E7279DF" w14:textId="77777777" w:rsidR="00675FE8" w:rsidRPr="009D12D0" w:rsidRDefault="00675FE8" w:rsidP="00D47F0E"/>
    <w:p w14:paraId="3D147A4B" w14:textId="16406DDC" w:rsidR="00587B1D" w:rsidRPr="006E46A3" w:rsidRDefault="00587B1D" w:rsidP="00D47F0E">
      <w:pPr>
        <w:rPr>
          <w:u w:val="single"/>
        </w:rPr>
      </w:pPr>
      <w:r w:rsidRPr="006E46A3">
        <w:rPr>
          <w:u w:val="single"/>
        </w:rPr>
        <w:t>Purpose</w:t>
      </w:r>
    </w:p>
    <w:p w14:paraId="5D76CEE6" w14:textId="5F473B60" w:rsidR="00D337EE" w:rsidRPr="006E46A3" w:rsidRDefault="00C31CFB" w:rsidP="00AE7E86">
      <w:pPr>
        <w:autoSpaceDE w:val="0"/>
        <w:autoSpaceDN w:val="0"/>
        <w:adjustRightInd w:val="0"/>
        <w:rPr>
          <w:szCs w:val="24"/>
        </w:rPr>
      </w:pPr>
      <w:r w:rsidRPr="006E46A3">
        <w:rPr>
          <w:szCs w:val="24"/>
        </w:rPr>
        <w:t xml:space="preserve">The purpose of the </w:t>
      </w:r>
      <w:r w:rsidRPr="006E46A3">
        <w:rPr>
          <w:i/>
          <w:szCs w:val="24"/>
        </w:rPr>
        <w:t>Private Health Insurance (</w:t>
      </w:r>
      <w:r w:rsidR="00FD656F">
        <w:rPr>
          <w:i/>
          <w:szCs w:val="24"/>
        </w:rPr>
        <w:t>Complying Product</w:t>
      </w:r>
      <w:r w:rsidRPr="006E46A3">
        <w:rPr>
          <w:i/>
          <w:szCs w:val="24"/>
        </w:rPr>
        <w:t>) Amendment Rules</w:t>
      </w:r>
      <w:r w:rsidR="00DE5429">
        <w:rPr>
          <w:i/>
          <w:szCs w:val="24"/>
        </w:rPr>
        <w:t xml:space="preserve"> (No. 1)</w:t>
      </w:r>
      <w:r w:rsidRPr="006E46A3">
        <w:rPr>
          <w:i/>
          <w:szCs w:val="24"/>
        </w:rPr>
        <w:t xml:space="preserve"> 201</w:t>
      </w:r>
      <w:r w:rsidR="00252F4E" w:rsidRPr="006E46A3">
        <w:rPr>
          <w:i/>
          <w:szCs w:val="24"/>
        </w:rPr>
        <w:t>9</w:t>
      </w:r>
      <w:r w:rsidRPr="006E46A3">
        <w:rPr>
          <w:szCs w:val="24"/>
        </w:rPr>
        <w:t xml:space="preserve"> (the Amendment </w:t>
      </w:r>
      <w:r w:rsidR="00675FE8" w:rsidRPr="006E46A3">
        <w:rPr>
          <w:szCs w:val="24"/>
        </w:rPr>
        <w:t>Rule</w:t>
      </w:r>
      <w:r w:rsidR="00F35BD2">
        <w:rPr>
          <w:szCs w:val="24"/>
        </w:rPr>
        <w:t>s</w:t>
      </w:r>
      <w:r w:rsidRPr="006E46A3">
        <w:rPr>
          <w:szCs w:val="24"/>
        </w:rPr>
        <w:t xml:space="preserve">) is to </w:t>
      </w:r>
      <w:r w:rsidR="00D337EE" w:rsidRPr="006E46A3">
        <w:rPr>
          <w:szCs w:val="24"/>
        </w:rPr>
        <w:t xml:space="preserve">amend </w:t>
      </w:r>
      <w:proofErr w:type="spellStart"/>
      <w:r w:rsidR="00F35BD2">
        <w:rPr>
          <w:szCs w:val="24"/>
        </w:rPr>
        <w:t>subrule</w:t>
      </w:r>
      <w:proofErr w:type="spellEnd"/>
      <w:r w:rsidR="00F35BD2">
        <w:rPr>
          <w:szCs w:val="24"/>
        </w:rPr>
        <w:t xml:space="preserve"> 18(c) of the</w:t>
      </w:r>
      <w:r w:rsidR="00D337EE" w:rsidRPr="006E46A3">
        <w:rPr>
          <w:szCs w:val="24"/>
        </w:rPr>
        <w:t xml:space="preserve"> Principal Rules </w:t>
      </w:r>
      <w:r w:rsidR="00F35BD2">
        <w:rPr>
          <w:szCs w:val="24"/>
        </w:rPr>
        <w:t xml:space="preserve">to extend </w:t>
      </w:r>
      <w:r w:rsidR="00DE5429">
        <w:rPr>
          <w:szCs w:val="24"/>
        </w:rPr>
        <w:t xml:space="preserve">the length of time for which </w:t>
      </w:r>
      <w:r w:rsidR="00690231">
        <w:rPr>
          <w:szCs w:val="24"/>
        </w:rPr>
        <w:t>pilot projects</w:t>
      </w:r>
      <w:r w:rsidR="00DE5429">
        <w:rPr>
          <w:szCs w:val="24"/>
        </w:rPr>
        <w:t xml:space="preserve"> may </w:t>
      </w:r>
      <w:r w:rsidR="00F35BD2">
        <w:rPr>
          <w:szCs w:val="24"/>
        </w:rPr>
        <w:t>be conducted</w:t>
      </w:r>
      <w:r w:rsidR="00DE5429">
        <w:rPr>
          <w:szCs w:val="24"/>
        </w:rPr>
        <w:t xml:space="preserve"> from</w:t>
      </w:r>
      <w:r w:rsidR="00690231">
        <w:rPr>
          <w:szCs w:val="24"/>
        </w:rPr>
        <w:t xml:space="preserve"> a maximum of </w:t>
      </w:r>
      <w:r w:rsidR="00DE5429">
        <w:rPr>
          <w:szCs w:val="24"/>
        </w:rPr>
        <w:t xml:space="preserve">two years to a maximum of </w:t>
      </w:r>
      <w:r w:rsidR="00690231">
        <w:rPr>
          <w:szCs w:val="24"/>
        </w:rPr>
        <w:t>four years</w:t>
      </w:r>
      <w:r w:rsidR="00D337EE" w:rsidRPr="006E46A3">
        <w:rPr>
          <w:szCs w:val="24"/>
        </w:rPr>
        <w:t>.</w:t>
      </w:r>
    </w:p>
    <w:p w14:paraId="2C3B7D0D" w14:textId="77777777" w:rsidR="000368CB" w:rsidRDefault="000368CB" w:rsidP="000368CB">
      <w:pPr>
        <w:autoSpaceDE w:val="0"/>
        <w:autoSpaceDN w:val="0"/>
        <w:adjustRightInd w:val="0"/>
      </w:pPr>
    </w:p>
    <w:p w14:paraId="1ACDFBC7" w14:textId="6B40B3B8" w:rsidR="000368CB" w:rsidRPr="009675B7" w:rsidRDefault="000368CB" w:rsidP="000368CB">
      <w:pPr>
        <w:autoSpaceDE w:val="0"/>
        <w:autoSpaceDN w:val="0"/>
        <w:adjustRightInd w:val="0"/>
      </w:pPr>
      <w:r w:rsidRPr="009675B7">
        <w:t xml:space="preserve">Details of the Amendment Rules are set out in the </w:t>
      </w:r>
      <w:r w:rsidRPr="009675B7">
        <w:rPr>
          <w:b/>
        </w:rPr>
        <w:t>Attachment</w:t>
      </w:r>
      <w:r w:rsidRPr="009675B7">
        <w:t>.</w:t>
      </w:r>
    </w:p>
    <w:p w14:paraId="3245CD66" w14:textId="77777777" w:rsidR="000368CB" w:rsidRDefault="000368CB" w:rsidP="000368CB">
      <w:pPr>
        <w:rPr>
          <w:u w:val="single"/>
        </w:rPr>
      </w:pPr>
    </w:p>
    <w:p w14:paraId="0C2E1C8A" w14:textId="63B50320" w:rsidR="000368CB" w:rsidRDefault="000368CB" w:rsidP="000368CB">
      <w:pPr>
        <w:rPr>
          <w:u w:val="single"/>
        </w:rPr>
      </w:pPr>
      <w:r>
        <w:rPr>
          <w:u w:val="single"/>
        </w:rPr>
        <w:t>Background</w:t>
      </w:r>
    </w:p>
    <w:p w14:paraId="600987D6" w14:textId="77777777" w:rsidR="000368CB" w:rsidRPr="00F83C53" w:rsidRDefault="000368CB" w:rsidP="000368CB">
      <w:r>
        <w:t xml:space="preserve">Subsection 55-15(2) of the Act provides that the </w:t>
      </w:r>
      <w:r w:rsidRPr="006F23FC">
        <w:t xml:space="preserve">Private Health Insurance (Complying Product) Rules may permit pilot projects of a kind </w:t>
      </w:r>
      <w:r w:rsidRPr="006F23FC">
        <w:lastRenderedPageBreak/>
        <w:t>specified in the Rules to be conducted by private health insurers in accordance with requirements specified in the Rules.</w:t>
      </w:r>
      <w:r>
        <w:t xml:space="preserve"> Pilot projects which comply with these requirements are not a breach of the principle of community rating. </w:t>
      </w:r>
      <w:r w:rsidRPr="00F83C53">
        <w:t>Pilot projects are relatively short lived projects allowing an insurer to discriminate on the basis of where a person lives in controlled circumstances.</w:t>
      </w:r>
    </w:p>
    <w:p w14:paraId="68AD154D" w14:textId="77777777" w:rsidR="000368CB" w:rsidRDefault="000368CB" w:rsidP="000368CB"/>
    <w:p w14:paraId="53170EC7" w14:textId="77777777" w:rsidR="000368CB" w:rsidRDefault="000368CB" w:rsidP="000368CB">
      <w:r>
        <w:t xml:space="preserve">Rule 18 of the </w:t>
      </w:r>
      <w:r w:rsidRPr="006F23FC">
        <w:rPr>
          <w:i/>
        </w:rPr>
        <w:t xml:space="preserve">Private Health Insurance (Complying Product) Rules 2015 </w:t>
      </w:r>
      <w:r w:rsidRPr="006F23FC">
        <w:t>(the Principal Rules)</w:t>
      </w:r>
      <w:r>
        <w:t xml:space="preserve"> set out the requirements which apply to pilot projects for the purposes of subsection 55-15(2) of the Act. Relevantly, </w:t>
      </w:r>
      <w:proofErr w:type="spellStart"/>
      <w:r>
        <w:t>subrule</w:t>
      </w:r>
      <w:proofErr w:type="spellEnd"/>
      <w:r>
        <w:t xml:space="preserve"> 18(c) </w:t>
      </w:r>
      <w:r w:rsidRPr="00F35BD2">
        <w:t>regulat</w:t>
      </w:r>
      <w:r>
        <w:t xml:space="preserve">es the maximum length of time over </w:t>
      </w:r>
      <w:proofErr w:type="gramStart"/>
      <w:r>
        <w:t>which</w:t>
      </w:r>
      <w:proofErr w:type="gramEnd"/>
      <w:r>
        <w:t xml:space="preserve"> </w:t>
      </w:r>
      <w:r w:rsidRPr="00F35BD2">
        <w:t xml:space="preserve">pilot project may </w:t>
      </w:r>
      <w:r>
        <w:t xml:space="preserve">be conducted. </w:t>
      </w:r>
    </w:p>
    <w:p w14:paraId="15383156" w14:textId="77777777" w:rsidR="00BD1640" w:rsidRDefault="00BD1640" w:rsidP="00BD1640">
      <w:pPr>
        <w:rPr>
          <w:color w:val="FF0000"/>
          <w:szCs w:val="24"/>
          <w:lang w:eastAsia="en-US"/>
        </w:rPr>
      </w:pPr>
    </w:p>
    <w:p w14:paraId="57DACC3D" w14:textId="77777777" w:rsidR="00105190" w:rsidRPr="00BD1640" w:rsidRDefault="00526D8A" w:rsidP="00973CC5">
      <w:pPr>
        <w:jc w:val="both"/>
        <w:rPr>
          <w:szCs w:val="24"/>
          <w:u w:val="single"/>
        </w:rPr>
      </w:pPr>
      <w:r w:rsidRPr="00BD1640">
        <w:rPr>
          <w:szCs w:val="24"/>
          <w:u w:val="single"/>
        </w:rPr>
        <w:t>Consultation</w:t>
      </w:r>
    </w:p>
    <w:p w14:paraId="68395C88" w14:textId="77777777" w:rsidR="00ED1823" w:rsidRPr="00BD1640" w:rsidRDefault="0072761E" w:rsidP="00ED1823">
      <w:pPr>
        <w:rPr>
          <w:color w:val="FF0000"/>
          <w:szCs w:val="24"/>
          <w:lang w:eastAsia="en-US"/>
        </w:rPr>
      </w:pPr>
      <w:r>
        <w:rPr>
          <w:szCs w:val="24"/>
        </w:rPr>
        <w:t>This amendment resulted from a consultative process, culminating in the recommendation from the Private Health Ministerial Advisory Committee</w:t>
      </w:r>
      <w:r w:rsidR="00A82A3D">
        <w:rPr>
          <w:szCs w:val="24"/>
        </w:rPr>
        <w:t xml:space="preserve">. </w:t>
      </w:r>
      <w:r w:rsidR="00ED1823">
        <w:rPr>
          <w:szCs w:val="24"/>
          <w:lang w:eastAsia="en-US"/>
        </w:rPr>
        <w:t>The Private Health Ministerial Advisory Committee, at its 4 December 2018 meeting recommended to the Minister for Health, that the time allowed for pilot projects be extended from 2 years. The Committee felt that 2 years was insufficient time for some pilot projects to determine the effectiveness of some innovative models of care, given the time it may take to establish the trial, hire staff, recruit patients and evaluate outcomes. It was generally accepted that extending the time for pilot projects may allow the private health sector to innovate more, improving patient outcomes and product value</w:t>
      </w:r>
      <w:r w:rsidR="00ED1823" w:rsidRPr="00AD243E">
        <w:rPr>
          <w:szCs w:val="24"/>
          <w:lang w:eastAsia="en-US"/>
        </w:rPr>
        <w:t>.</w:t>
      </w:r>
    </w:p>
    <w:p w14:paraId="43207B39" w14:textId="77777777" w:rsidR="00B55A0D" w:rsidRPr="00BD1640" w:rsidRDefault="00B55A0D" w:rsidP="00B55A0D">
      <w:pPr>
        <w:autoSpaceDE w:val="0"/>
        <w:autoSpaceDN w:val="0"/>
        <w:adjustRightInd w:val="0"/>
        <w:rPr>
          <w:szCs w:val="24"/>
        </w:rPr>
      </w:pPr>
    </w:p>
    <w:p w14:paraId="76C35A63" w14:textId="454336DA" w:rsidR="003F48E7" w:rsidRPr="00BD1640" w:rsidRDefault="00C31CFB" w:rsidP="00746BE0">
      <w:pPr>
        <w:autoSpaceDE w:val="0"/>
        <w:autoSpaceDN w:val="0"/>
        <w:adjustRightInd w:val="0"/>
        <w:rPr>
          <w:szCs w:val="24"/>
        </w:rPr>
      </w:pPr>
      <w:r w:rsidRPr="00BD1640">
        <w:rPr>
          <w:szCs w:val="24"/>
        </w:rPr>
        <w:t xml:space="preserve">The Amendment Rules commence on </w:t>
      </w:r>
      <w:r w:rsidR="00BD1640">
        <w:rPr>
          <w:szCs w:val="24"/>
        </w:rPr>
        <w:t>the day after the instrument is registered</w:t>
      </w:r>
      <w:r w:rsidRPr="00BD1640">
        <w:rPr>
          <w:szCs w:val="24"/>
        </w:rPr>
        <w:t xml:space="preserve">. </w:t>
      </w:r>
    </w:p>
    <w:p w14:paraId="685018FE" w14:textId="77777777" w:rsidR="00A165CF" w:rsidRPr="00BD1640" w:rsidRDefault="00A165CF" w:rsidP="00746BE0">
      <w:pPr>
        <w:autoSpaceDE w:val="0"/>
        <w:autoSpaceDN w:val="0"/>
        <w:adjustRightInd w:val="0"/>
        <w:rPr>
          <w:szCs w:val="24"/>
        </w:rPr>
      </w:pPr>
    </w:p>
    <w:p w14:paraId="63DBA688" w14:textId="64B83D83" w:rsidR="00746BE0" w:rsidRPr="00BD1640" w:rsidRDefault="00746BE0" w:rsidP="00746BE0">
      <w:pPr>
        <w:autoSpaceDE w:val="0"/>
        <w:autoSpaceDN w:val="0"/>
        <w:adjustRightInd w:val="0"/>
        <w:rPr>
          <w:szCs w:val="24"/>
        </w:rPr>
      </w:pPr>
      <w:r w:rsidRPr="00BD1640">
        <w:rPr>
          <w:szCs w:val="24"/>
        </w:rPr>
        <w:lastRenderedPageBreak/>
        <w:t>The Amendment Rules are a legislative ins</w:t>
      </w:r>
      <w:r w:rsidR="00BD1640">
        <w:rPr>
          <w:szCs w:val="24"/>
        </w:rPr>
        <w:t xml:space="preserve">trument for the purposes of the </w:t>
      </w:r>
      <w:r w:rsidR="00BD1640">
        <w:rPr>
          <w:i/>
          <w:iCs/>
          <w:szCs w:val="24"/>
        </w:rPr>
        <w:t>Legislation Act </w:t>
      </w:r>
      <w:r w:rsidR="00937337" w:rsidRPr="00BD1640">
        <w:rPr>
          <w:i/>
          <w:iCs/>
          <w:szCs w:val="24"/>
        </w:rPr>
        <w:t>2003</w:t>
      </w:r>
      <w:r w:rsidR="00937337" w:rsidRPr="00BD1640">
        <w:rPr>
          <w:szCs w:val="24"/>
        </w:rPr>
        <w:t>.</w:t>
      </w:r>
    </w:p>
    <w:p w14:paraId="7C909C93" w14:textId="77777777" w:rsidR="00900AC5" w:rsidRPr="00A41BFE" w:rsidRDefault="00900AC5" w:rsidP="00900AC5">
      <w:pPr>
        <w:ind w:left="6237" w:firstLine="567"/>
        <w:jc w:val="center"/>
        <w:rPr>
          <w:b/>
        </w:rPr>
      </w:pPr>
      <w:r w:rsidRPr="00B558FB">
        <w:rPr>
          <w:b/>
          <w:color w:val="FF0000"/>
        </w:rPr>
        <w:br w:type="page"/>
      </w:r>
      <w:r w:rsidRPr="00A41BFE">
        <w:rPr>
          <w:b/>
        </w:rPr>
        <w:lastRenderedPageBreak/>
        <w:t>ATTACHMENT</w:t>
      </w:r>
    </w:p>
    <w:p w14:paraId="52D3A631" w14:textId="77777777" w:rsidR="00900AC5" w:rsidRPr="00A41BFE" w:rsidRDefault="00900AC5" w:rsidP="00900AC5">
      <w:pPr>
        <w:pStyle w:val="Header"/>
        <w:tabs>
          <w:tab w:val="clear" w:pos="4153"/>
          <w:tab w:val="clear" w:pos="8306"/>
        </w:tabs>
        <w:jc w:val="center"/>
      </w:pPr>
    </w:p>
    <w:p w14:paraId="1C9B8A22" w14:textId="270E24BA" w:rsidR="00900AC5" w:rsidRPr="00A41BFE" w:rsidRDefault="00900AC5" w:rsidP="00900AC5">
      <w:pPr>
        <w:pStyle w:val="Heading6"/>
        <w:tabs>
          <w:tab w:val="left" w:pos="1418"/>
        </w:tabs>
        <w:rPr>
          <w:caps/>
        </w:rPr>
      </w:pPr>
      <w:r w:rsidRPr="00A41BFE">
        <w:rPr>
          <w:i w:val="0"/>
          <w:iCs/>
        </w:rPr>
        <w:t xml:space="preserve">DETAILS OF THE </w:t>
      </w:r>
      <w:r w:rsidRPr="00A41BFE">
        <w:t>PRIVATE HEALTH INSURANCE (</w:t>
      </w:r>
      <w:r w:rsidR="00FD656F">
        <w:t>COMPLYING PRODUCT</w:t>
      </w:r>
      <w:r w:rsidRPr="00A41BFE">
        <w:t xml:space="preserve">) AMENDMENT RULES </w:t>
      </w:r>
      <w:r w:rsidR="00027CB0">
        <w:t xml:space="preserve">(NO. 1) </w:t>
      </w:r>
      <w:r w:rsidRPr="00A41BFE">
        <w:t>20</w:t>
      </w:r>
      <w:r w:rsidR="00A9098D" w:rsidRPr="00A41BFE">
        <w:t>1</w:t>
      </w:r>
      <w:r w:rsidR="00252F4E" w:rsidRPr="00A41BFE">
        <w:t>9</w:t>
      </w:r>
    </w:p>
    <w:p w14:paraId="160EF626" w14:textId="77777777" w:rsidR="00900AC5" w:rsidRPr="00A41BFE" w:rsidRDefault="00900AC5" w:rsidP="00900AC5">
      <w:pPr>
        <w:pStyle w:val="Header"/>
        <w:tabs>
          <w:tab w:val="clear" w:pos="4153"/>
          <w:tab w:val="clear" w:pos="8306"/>
        </w:tabs>
        <w:jc w:val="both"/>
        <w:rPr>
          <w:b/>
          <w:bCs/>
        </w:rPr>
      </w:pPr>
    </w:p>
    <w:p w14:paraId="5705C155" w14:textId="64A3CBE9" w:rsidR="00900AC5" w:rsidRPr="0055373D" w:rsidRDefault="00C8424E" w:rsidP="00900AC5">
      <w:pPr>
        <w:pStyle w:val="Header"/>
        <w:tabs>
          <w:tab w:val="clear" w:pos="4153"/>
          <w:tab w:val="clear" w:pos="8306"/>
        </w:tabs>
        <w:jc w:val="both"/>
        <w:rPr>
          <w:b/>
          <w:bCs/>
          <w:vertAlign w:val="subscript"/>
        </w:rPr>
      </w:pPr>
      <w:r w:rsidRPr="00A41BFE">
        <w:rPr>
          <w:b/>
          <w:bCs/>
        </w:rPr>
        <w:t xml:space="preserve">Section </w:t>
      </w:r>
      <w:r w:rsidR="00900AC5" w:rsidRPr="00A41BFE">
        <w:rPr>
          <w:b/>
          <w:bCs/>
        </w:rPr>
        <w:t>1</w:t>
      </w:r>
      <w:r w:rsidR="00900AC5" w:rsidRPr="00A41BFE">
        <w:rPr>
          <w:b/>
          <w:bCs/>
        </w:rPr>
        <w:tab/>
        <w:t xml:space="preserve">Name </w:t>
      </w:r>
    </w:p>
    <w:p w14:paraId="12D6B632" w14:textId="77777777" w:rsidR="00900AC5" w:rsidRPr="00A41BFE" w:rsidRDefault="00900AC5" w:rsidP="00900AC5">
      <w:pPr>
        <w:pStyle w:val="Header"/>
        <w:tabs>
          <w:tab w:val="clear" w:pos="4153"/>
          <w:tab w:val="clear" w:pos="8306"/>
        </w:tabs>
      </w:pPr>
    </w:p>
    <w:p w14:paraId="5218473F" w14:textId="5F0E149C" w:rsidR="00900AC5" w:rsidRPr="00A41BFE" w:rsidRDefault="001D0B86" w:rsidP="00900AC5">
      <w:pPr>
        <w:pStyle w:val="Header"/>
        <w:tabs>
          <w:tab w:val="clear" w:pos="4153"/>
          <w:tab w:val="clear" w:pos="8306"/>
        </w:tabs>
      </w:pPr>
      <w:r w:rsidRPr="00A41BFE">
        <w:t>Section</w:t>
      </w:r>
      <w:r w:rsidR="00900AC5" w:rsidRPr="00A41BFE">
        <w:t xml:space="preserve"> 1 provides that the title of the </w:t>
      </w:r>
      <w:r w:rsidR="00630EEF">
        <w:t>instrument</w:t>
      </w:r>
      <w:r w:rsidR="00630EEF" w:rsidRPr="00A41BFE">
        <w:t xml:space="preserve"> </w:t>
      </w:r>
      <w:r w:rsidR="00900AC5" w:rsidRPr="00A41BFE">
        <w:t xml:space="preserve">is the </w:t>
      </w:r>
      <w:r w:rsidR="00900AC5" w:rsidRPr="00A41BFE">
        <w:rPr>
          <w:i/>
          <w:iCs/>
        </w:rPr>
        <w:t>Private Health Insurance (</w:t>
      </w:r>
      <w:r w:rsidR="00FD656F">
        <w:rPr>
          <w:i/>
          <w:iCs/>
        </w:rPr>
        <w:t>Complying Product</w:t>
      </w:r>
      <w:r w:rsidR="00900AC5" w:rsidRPr="00A41BFE">
        <w:rPr>
          <w:i/>
        </w:rPr>
        <w:t>) Amendment Rules</w:t>
      </w:r>
      <w:r w:rsidR="00ED1823">
        <w:rPr>
          <w:i/>
        </w:rPr>
        <w:t xml:space="preserve"> (No. 1)</w:t>
      </w:r>
      <w:r w:rsidR="00900AC5" w:rsidRPr="00A41BFE">
        <w:rPr>
          <w:i/>
        </w:rPr>
        <w:t xml:space="preserve"> </w:t>
      </w:r>
      <w:r w:rsidR="00900AC5" w:rsidRPr="00A41BFE">
        <w:rPr>
          <w:i/>
          <w:iCs/>
        </w:rPr>
        <w:t>201</w:t>
      </w:r>
      <w:r w:rsidR="00252F4E" w:rsidRPr="00A41BFE">
        <w:rPr>
          <w:i/>
          <w:iCs/>
        </w:rPr>
        <w:t>9</w:t>
      </w:r>
      <w:r w:rsidR="00900AC5" w:rsidRPr="00A41BFE">
        <w:rPr>
          <w:i/>
          <w:iCs/>
        </w:rPr>
        <w:t xml:space="preserve"> </w:t>
      </w:r>
      <w:r w:rsidR="00900AC5" w:rsidRPr="00A41BFE">
        <w:rPr>
          <w:iCs/>
        </w:rPr>
        <w:t>(the Amendment Rules).</w:t>
      </w:r>
    </w:p>
    <w:p w14:paraId="087226BD" w14:textId="77777777" w:rsidR="00900AC5" w:rsidRPr="00A41BFE" w:rsidRDefault="00900AC5" w:rsidP="00900AC5">
      <w:pPr>
        <w:pStyle w:val="Header"/>
        <w:tabs>
          <w:tab w:val="clear" w:pos="4153"/>
          <w:tab w:val="clear" w:pos="8306"/>
        </w:tabs>
        <w:jc w:val="both"/>
      </w:pPr>
    </w:p>
    <w:p w14:paraId="1E44D4E3" w14:textId="77777777" w:rsidR="00900AC5" w:rsidRPr="00A41BFE" w:rsidRDefault="00C8424E" w:rsidP="00900AC5">
      <w:pPr>
        <w:pStyle w:val="Header"/>
        <w:tabs>
          <w:tab w:val="clear" w:pos="4153"/>
          <w:tab w:val="clear" w:pos="8306"/>
        </w:tabs>
        <w:jc w:val="both"/>
        <w:rPr>
          <w:b/>
          <w:bCs/>
        </w:rPr>
      </w:pPr>
      <w:r w:rsidRPr="00A41BFE">
        <w:rPr>
          <w:b/>
          <w:bCs/>
        </w:rPr>
        <w:t>Section 2</w:t>
      </w:r>
      <w:r w:rsidR="00900AC5" w:rsidRPr="00A41BFE">
        <w:rPr>
          <w:b/>
          <w:bCs/>
        </w:rPr>
        <w:tab/>
        <w:t>Commencement</w:t>
      </w:r>
    </w:p>
    <w:p w14:paraId="51A7D318" w14:textId="77777777" w:rsidR="00900AC5" w:rsidRPr="00A41BFE" w:rsidRDefault="00900AC5" w:rsidP="00900AC5">
      <w:pPr>
        <w:pStyle w:val="Header"/>
        <w:tabs>
          <w:tab w:val="clear" w:pos="4153"/>
          <w:tab w:val="clear" w:pos="8306"/>
        </w:tabs>
        <w:jc w:val="both"/>
      </w:pPr>
    </w:p>
    <w:p w14:paraId="5AB61407" w14:textId="31343529" w:rsidR="00C31CFB" w:rsidRPr="00A41BFE" w:rsidRDefault="00993592" w:rsidP="00900AC5">
      <w:pPr>
        <w:pStyle w:val="Header"/>
        <w:tabs>
          <w:tab w:val="clear" w:pos="4153"/>
          <w:tab w:val="clear" w:pos="8306"/>
        </w:tabs>
      </w:pPr>
      <w:r w:rsidRPr="00A41BFE">
        <w:rPr>
          <w:szCs w:val="24"/>
        </w:rPr>
        <w:t>Section</w:t>
      </w:r>
      <w:r w:rsidR="00900AC5" w:rsidRPr="00A41BFE">
        <w:rPr>
          <w:szCs w:val="24"/>
        </w:rPr>
        <w:t xml:space="preserve"> 2 provides that the Amendment Rules commence </w:t>
      </w:r>
      <w:r w:rsidR="00C31CFB" w:rsidRPr="00A41BFE">
        <w:t xml:space="preserve">on </w:t>
      </w:r>
      <w:r w:rsidR="00A41BFE" w:rsidRPr="00A41BFE">
        <w:t>the day after registration.</w:t>
      </w:r>
    </w:p>
    <w:p w14:paraId="2B44C716" w14:textId="77777777" w:rsidR="00C31CFB" w:rsidRPr="00BB4CC5" w:rsidRDefault="00C31CFB" w:rsidP="00900AC5">
      <w:pPr>
        <w:pStyle w:val="Header"/>
        <w:tabs>
          <w:tab w:val="clear" w:pos="4153"/>
          <w:tab w:val="clear" w:pos="8306"/>
        </w:tabs>
      </w:pPr>
    </w:p>
    <w:p w14:paraId="25D06746" w14:textId="4E022C49" w:rsidR="00C31CFB" w:rsidRPr="00A41BFE" w:rsidRDefault="00C31CFB" w:rsidP="00C31CFB">
      <w:pPr>
        <w:pStyle w:val="Header"/>
        <w:tabs>
          <w:tab w:val="clear" w:pos="4153"/>
          <w:tab w:val="clear" w:pos="8306"/>
        </w:tabs>
        <w:jc w:val="both"/>
        <w:rPr>
          <w:b/>
          <w:bCs/>
        </w:rPr>
      </w:pPr>
      <w:r w:rsidRPr="00A41BFE">
        <w:rPr>
          <w:b/>
          <w:bCs/>
        </w:rPr>
        <w:t>Section 3</w:t>
      </w:r>
      <w:r w:rsidRPr="00A41BFE">
        <w:rPr>
          <w:b/>
          <w:bCs/>
        </w:rPr>
        <w:tab/>
        <w:t>Authority</w:t>
      </w:r>
    </w:p>
    <w:p w14:paraId="54C79578" w14:textId="6BF0332B" w:rsidR="00C31CFB" w:rsidRPr="00A41BFE" w:rsidRDefault="00C31CFB" w:rsidP="00C31CFB">
      <w:pPr>
        <w:pStyle w:val="Header"/>
        <w:rPr>
          <w:lang w:val="en-AU"/>
        </w:rPr>
      </w:pPr>
      <w:r w:rsidRPr="00A41BFE">
        <w:t xml:space="preserve">Section 3 provides that the </w:t>
      </w:r>
      <w:r w:rsidRPr="00A41BFE">
        <w:rPr>
          <w:lang w:val="en-AU"/>
        </w:rPr>
        <w:t xml:space="preserve">Amendment Rules are made under item </w:t>
      </w:r>
      <w:r w:rsidR="00B13042">
        <w:rPr>
          <w:lang w:val="en-AU"/>
        </w:rPr>
        <w:t>3</w:t>
      </w:r>
      <w:r w:rsidRPr="00A41BFE">
        <w:rPr>
          <w:lang w:val="en-AU"/>
        </w:rPr>
        <w:t xml:space="preserve"> of the table in section 333-20 of the </w:t>
      </w:r>
      <w:r w:rsidRPr="00A41BFE">
        <w:rPr>
          <w:i/>
          <w:lang w:val="en-AU"/>
        </w:rPr>
        <w:t>Private Health Insurance Act 2007</w:t>
      </w:r>
      <w:r w:rsidRPr="00A41BFE">
        <w:rPr>
          <w:lang w:val="en-AU"/>
        </w:rPr>
        <w:t>.</w:t>
      </w:r>
    </w:p>
    <w:p w14:paraId="5114DA50" w14:textId="77777777" w:rsidR="00900AC5" w:rsidRPr="00A41BFE" w:rsidRDefault="00900AC5" w:rsidP="00900AC5">
      <w:pPr>
        <w:pStyle w:val="Header"/>
        <w:tabs>
          <w:tab w:val="clear" w:pos="4153"/>
          <w:tab w:val="clear" w:pos="8306"/>
        </w:tabs>
        <w:jc w:val="both"/>
      </w:pPr>
    </w:p>
    <w:p w14:paraId="2807FDF7" w14:textId="1B668EF7" w:rsidR="00900AC5" w:rsidRPr="00A41BFE" w:rsidRDefault="00C8424E" w:rsidP="00900AC5">
      <w:pPr>
        <w:pStyle w:val="Header"/>
        <w:tabs>
          <w:tab w:val="clear" w:pos="4153"/>
          <w:tab w:val="clear" w:pos="8306"/>
          <w:tab w:val="num" w:pos="567"/>
        </w:tabs>
        <w:jc w:val="both"/>
        <w:rPr>
          <w:b/>
          <w:i/>
        </w:rPr>
      </w:pPr>
      <w:r w:rsidRPr="00A41BFE">
        <w:rPr>
          <w:b/>
        </w:rPr>
        <w:t xml:space="preserve">Section </w:t>
      </w:r>
      <w:r w:rsidR="00C31CFB" w:rsidRPr="00A41BFE">
        <w:rPr>
          <w:b/>
        </w:rPr>
        <w:t>4</w:t>
      </w:r>
      <w:r w:rsidR="00900AC5" w:rsidRPr="00A41BFE">
        <w:rPr>
          <w:b/>
        </w:rPr>
        <w:tab/>
      </w:r>
      <w:r w:rsidR="00630EEF">
        <w:rPr>
          <w:b/>
        </w:rPr>
        <w:t>Schedules</w:t>
      </w:r>
      <w:r w:rsidR="00900AC5" w:rsidRPr="00A41BFE">
        <w:rPr>
          <w:b/>
          <w:i/>
        </w:rPr>
        <w:t xml:space="preserve"> </w:t>
      </w:r>
    </w:p>
    <w:p w14:paraId="55A6AA78" w14:textId="77777777" w:rsidR="00900AC5" w:rsidRPr="00A41BFE" w:rsidRDefault="00900AC5" w:rsidP="00900AC5">
      <w:pPr>
        <w:pStyle w:val="Header"/>
        <w:tabs>
          <w:tab w:val="clear" w:pos="4153"/>
          <w:tab w:val="clear" w:pos="8306"/>
          <w:tab w:val="num" w:pos="567"/>
        </w:tabs>
        <w:jc w:val="both"/>
        <w:rPr>
          <w:b/>
        </w:rPr>
      </w:pPr>
    </w:p>
    <w:p w14:paraId="645D1B65" w14:textId="0B5BC867" w:rsidR="00630EEF" w:rsidRPr="00BC68BF" w:rsidRDefault="005C0CA1" w:rsidP="00630EEF">
      <w:pPr>
        <w:pStyle w:val="Header"/>
        <w:tabs>
          <w:tab w:val="clear" w:pos="4153"/>
          <w:tab w:val="clear" w:pos="8306"/>
          <w:tab w:val="num" w:pos="567"/>
        </w:tabs>
        <w:rPr>
          <w:lang w:val="en-AU"/>
        </w:rPr>
      </w:pPr>
      <w:r w:rsidRPr="00A41BFE">
        <w:t>Sect</w:t>
      </w:r>
      <w:r w:rsidR="00A165CF" w:rsidRPr="00A41BFE">
        <w:t xml:space="preserve">ion </w:t>
      </w:r>
      <w:r w:rsidR="00D02FFA" w:rsidRPr="00A41BFE">
        <w:t>4</w:t>
      </w:r>
      <w:r w:rsidR="00A165CF" w:rsidRPr="00A41BFE">
        <w:t xml:space="preserve"> provides that </w:t>
      </w:r>
      <w:r w:rsidR="00630EEF">
        <w:t xml:space="preserve">each instrument specified in the </w:t>
      </w:r>
      <w:r w:rsidR="00A165CF" w:rsidRPr="00A41BFE">
        <w:t>Schedule</w:t>
      </w:r>
      <w:r w:rsidRPr="00A41BFE">
        <w:t xml:space="preserve"> </w:t>
      </w:r>
      <w:r w:rsidR="00A165CF" w:rsidRPr="00A41BFE">
        <w:t>of</w:t>
      </w:r>
      <w:r w:rsidRPr="00A41BFE">
        <w:t xml:space="preserve"> the Amendment Rules </w:t>
      </w:r>
      <w:r w:rsidR="00630EEF">
        <w:t xml:space="preserve">is amended or repealed </w:t>
      </w:r>
      <w:r w:rsidR="00630EEF" w:rsidRPr="00630EEF">
        <w:rPr>
          <w:lang w:val="en-AU"/>
        </w:rPr>
        <w:t>as set out in the applicable items in the Schedule, and any other item in a Schedule to this instrument has effect according to its terms.</w:t>
      </w:r>
      <w:r w:rsidR="00630EEF" w:rsidRPr="00630EEF">
        <w:t xml:space="preserve"> </w:t>
      </w:r>
    </w:p>
    <w:p w14:paraId="7B1DB090" w14:textId="77777777" w:rsidR="00900AC5" w:rsidRPr="00BB4CC5" w:rsidRDefault="00900AC5" w:rsidP="00900AC5">
      <w:pPr>
        <w:pStyle w:val="Header"/>
        <w:tabs>
          <w:tab w:val="clear" w:pos="4153"/>
          <w:tab w:val="clear" w:pos="8306"/>
          <w:tab w:val="num" w:pos="567"/>
        </w:tabs>
        <w:jc w:val="both"/>
      </w:pPr>
    </w:p>
    <w:p w14:paraId="3D0B6E43" w14:textId="01A0DA83" w:rsidR="00654AE6" w:rsidRPr="005F1B55" w:rsidRDefault="00A165CF" w:rsidP="00654AE6">
      <w:pPr>
        <w:jc w:val="both"/>
        <w:rPr>
          <w:b/>
          <w:szCs w:val="24"/>
        </w:rPr>
      </w:pPr>
      <w:r w:rsidRPr="005F1B55">
        <w:rPr>
          <w:b/>
          <w:szCs w:val="24"/>
        </w:rPr>
        <w:t>Schedule</w:t>
      </w:r>
      <w:r w:rsidR="00654AE6" w:rsidRPr="005F1B55">
        <w:rPr>
          <w:b/>
          <w:szCs w:val="24"/>
        </w:rPr>
        <w:t xml:space="preserve"> </w:t>
      </w:r>
      <w:r w:rsidR="004B453A" w:rsidRPr="005F1B55">
        <w:rPr>
          <w:b/>
          <w:szCs w:val="24"/>
        </w:rPr>
        <w:t>1</w:t>
      </w:r>
      <w:r w:rsidR="001171ED" w:rsidRPr="005F1B55">
        <w:rPr>
          <w:b/>
          <w:szCs w:val="24"/>
        </w:rPr>
        <w:t xml:space="preserve"> </w:t>
      </w:r>
      <w:r w:rsidR="00654AE6" w:rsidRPr="005F1B55">
        <w:rPr>
          <w:b/>
          <w:szCs w:val="24"/>
        </w:rPr>
        <w:t xml:space="preserve">– </w:t>
      </w:r>
      <w:r w:rsidR="00C31CFB" w:rsidRPr="005F1B55">
        <w:rPr>
          <w:b/>
          <w:szCs w:val="24"/>
        </w:rPr>
        <w:t>Amendments</w:t>
      </w:r>
    </w:p>
    <w:p w14:paraId="7A91D42E" w14:textId="77777777" w:rsidR="00654AE6" w:rsidRPr="005F1B55" w:rsidRDefault="00654AE6" w:rsidP="00654AE6">
      <w:pPr>
        <w:autoSpaceDE w:val="0"/>
        <w:autoSpaceDN w:val="0"/>
        <w:adjustRightInd w:val="0"/>
      </w:pPr>
    </w:p>
    <w:p w14:paraId="528A3139" w14:textId="41AEF6E7" w:rsidR="00654AE6" w:rsidRPr="00BB4CC5" w:rsidRDefault="00D337EE" w:rsidP="00654AE6">
      <w:pPr>
        <w:rPr>
          <w:szCs w:val="24"/>
          <w:lang w:val="en-US" w:eastAsia="en-US"/>
        </w:rPr>
      </w:pPr>
      <w:r w:rsidRPr="006E46A3">
        <w:rPr>
          <w:snapToGrid w:val="0"/>
          <w:lang w:eastAsia="en-US"/>
        </w:rPr>
        <w:t xml:space="preserve">Item 1 </w:t>
      </w:r>
      <w:r w:rsidR="00144DDC">
        <w:rPr>
          <w:snapToGrid w:val="0"/>
          <w:lang w:eastAsia="en-US"/>
        </w:rPr>
        <w:t xml:space="preserve">of </w:t>
      </w:r>
      <w:r w:rsidRPr="006E46A3">
        <w:rPr>
          <w:snapToGrid w:val="0"/>
          <w:lang w:eastAsia="en-US"/>
        </w:rPr>
        <w:t xml:space="preserve">Schedule 1 </w:t>
      </w:r>
      <w:r w:rsidR="00FD23B0">
        <w:rPr>
          <w:snapToGrid w:val="0"/>
          <w:lang w:eastAsia="en-US"/>
        </w:rPr>
        <w:t>provides that</w:t>
      </w:r>
      <w:r w:rsidR="00FD23B0" w:rsidRPr="006E46A3">
        <w:rPr>
          <w:snapToGrid w:val="0"/>
          <w:lang w:eastAsia="en-US"/>
        </w:rPr>
        <w:t xml:space="preserve"> </w:t>
      </w:r>
      <w:proofErr w:type="spellStart"/>
      <w:r w:rsidR="00ED1823">
        <w:rPr>
          <w:color w:val="000000"/>
          <w:szCs w:val="22"/>
          <w:shd w:val="clear" w:color="auto" w:fill="FFFFFF"/>
        </w:rPr>
        <w:t>subrule</w:t>
      </w:r>
      <w:proofErr w:type="spellEnd"/>
      <w:r w:rsidR="00ED1823">
        <w:rPr>
          <w:color w:val="000000"/>
          <w:szCs w:val="22"/>
          <w:shd w:val="clear" w:color="auto" w:fill="FFFFFF"/>
        </w:rPr>
        <w:t xml:space="preserve"> 18(c) of </w:t>
      </w:r>
      <w:r w:rsidRPr="006E46A3">
        <w:rPr>
          <w:snapToGrid w:val="0"/>
          <w:lang w:eastAsia="en-US"/>
        </w:rPr>
        <w:t xml:space="preserve">the </w:t>
      </w:r>
      <w:r w:rsidRPr="006E46A3">
        <w:rPr>
          <w:i/>
          <w:snapToGrid w:val="0"/>
          <w:lang w:eastAsia="en-US"/>
        </w:rPr>
        <w:t>Private Health Insurance (</w:t>
      </w:r>
      <w:r w:rsidR="00FD656F">
        <w:rPr>
          <w:i/>
          <w:snapToGrid w:val="0"/>
          <w:lang w:eastAsia="en-US"/>
        </w:rPr>
        <w:t>Complying Product</w:t>
      </w:r>
      <w:r w:rsidRPr="006E46A3">
        <w:rPr>
          <w:i/>
          <w:snapToGrid w:val="0"/>
          <w:lang w:eastAsia="en-US"/>
        </w:rPr>
        <w:t>) Rules 201</w:t>
      </w:r>
      <w:r w:rsidR="00690231">
        <w:rPr>
          <w:i/>
          <w:snapToGrid w:val="0"/>
          <w:lang w:eastAsia="en-US"/>
        </w:rPr>
        <w:t>5</w:t>
      </w:r>
      <w:r w:rsidRPr="006E46A3">
        <w:rPr>
          <w:snapToGrid w:val="0"/>
          <w:lang w:eastAsia="en-US"/>
        </w:rPr>
        <w:t xml:space="preserve"> </w:t>
      </w:r>
      <w:r w:rsidR="00FD23B0">
        <w:rPr>
          <w:snapToGrid w:val="0"/>
          <w:lang w:eastAsia="en-US"/>
        </w:rPr>
        <w:t xml:space="preserve">is amended </w:t>
      </w:r>
      <w:r w:rsidR="00ED1823">
        <w:rPr>
          <w:snapToGrid w:val="0"/>
          <w:lang w:eastAsia="en-US"/>
        </w:rPr>
        <w:t xml:space="preserve">by </w:t>
      </w:r>
      <w:r w:rsidR="005F7E95">
        <w:rPr>
          <w:snapToGrid w:val="0"/>
          <w:lang w:eastAsia="en-US"/>
        </w:rPr>
        <w:t>substituting</w:t>
      </w:r>
      <w:r w:rsidR="00ED1823">
        <w:rPr>
          <w:snapToGrid w:val="0"/>
          <w:lang w:eastAsia="en-US"/>
        </w:rPr>
        <w:t xml:space="preserve"> </w:t>
      </w:r>
      <w:r w:rsidR="00B13042">
        <w:rPr>
          <w:color w:val="000000"/>
          <w:szCs w:val="22"/>
          <w:shd w:val="clear" w:color="auto" w:fill="FFFFFF"/>
        </w:rPr>
        <w:t>“</w:t>
      </w:r>
      <w:r w:rsidR="00B13042">
        <w:rPr>
          <w:color w:val="000000"/>
          <w:shd w:val="clear" w:color="auto" w:fill="FFFFFF"/>
        </w:rPr>
        <w:t>two years</w:t>
      </w:r>
      <w:r w:rsidR="00B13042" w:rsidRPr="003B605B">
        <w:rPr>
          <w:color w:val="000000"/>
          <w:szCs w:val="22"/>
          <w:shd w:val="clear" w:color="auto" w:fill="FFFFFF"/>
        </w:rPr>
        <w:t>”</w:t>
      </w:r>
      <w:r w:rsidR="00ED1823">
        <w:rPr>
          <w:color w:val="000000"/>
          <w:szCs w:val="22"/>
          <w:shd w:val="clear" w:color="auto" w:fill="FFFFFF"/>
        </w:rPr>
        <w:t xml:space="preserve"> with</w:t>
      </w:r>
      <w:r w:rsidR="00B13042">
        <w:rPr>
          <w:color w:val="000000"/>
          <w:szCs w:val="22"/>
          <w:shd w:val="clear" w:color="auto" w:fill="FFFFFF"/>
        </w:rPr>
        <w:t xml:space="preserve"> </w:t>
      </w:r>
      <w:r w:rsidR="00B13042" w:rsidRPr="003B605B">
        <w:rPr>
          <w:color w:val="000000"/>
          <w:szCs w:val="22"/>
          <w:shd w:val="clear" w:color="auto" w:fill="FFFFFF"/>
        </w:rPr>
        <w:t>“</w:t>
      </w:r>
      <w:r w:rsidR="00B13042">
        <w:rPr>
          <w:color w:val="000000"/>
          <w:shd w:val="clear" w:color="auto" w:fill="FFFFFF"/>
        </w:rPr>
        <w:t>four years</w:t>
      </w:r>
      <w:r w:rsidR="00B13042" w:rsidRPr="003B605B">
        <w:rPr>
          <w:color w:val="000000"/>
          <w:szCs w:val="22"/>
          <w:shd w:val="clear" w:color="auto" w:fill="FFFFFF"/>
        </w:rPr>
        <w:t>”.</w:t>
      </w:r>
    </w:p>
    <w:p w14:paraId="1A8F2CE7" w14:textId="77777777" w:rsidR="00024783" w:rsidRPr="00BB4CC5" w:rsidRDefault="005A1C08" w:rsidP="009862FF">
      <w:pPr>
        <w:jc w:val="both"/>
        <w:rPr>
          <w:szCs w:val="24"/>
          <w:lang w:eastAsia="en-US"/>
        </w:rPr>
      </w:pPr>
      <w:r w:rsidRPr="00BB4CC5">
        <w:rPr>
          <w:b/>
          <w:szCs w:val="24"/>
        </w:rPr>
        <w:br w:type="page"/>
      </w:r>
    </w:p>
    <w:p w14:paraId="01BA618E" w14:textId="14BA0A4B" w:rsidR="00024783" w:rsidRPr="00B558FB" w:rsidRDefault="002F1511" w:rsidP="00AD64A3">
      <w:pPr>
        <w:rPr>
          <w:color w:val="FF0000"/>
          <w:szCs w:val="24"/>
          <w:lang w:eastAsia="en-US"/>
        </w:rPr>
      </w:pPr>
      <w:r w:rsidRPr="00B558FB">
        <w:rPr>
          <w:rFonts w:ascii="Calibri" w:eastAsia="Calibri" w:hAnsi="Calibri"/>
          <w:noProof/>
          <w:color w:val="FF0000"/>
          <w:sz w:val="22"/>
          <w:szCs w:val="22"/>
        </w:rPr>
        <w:lastRenderedPageBreak/>
        <mc:AlternateContent>
          <mc:Choice Requires="wps">
            <w:drawing>
              <wp:anchor distT="0" distB="0" distL="114300" distR="114300" simplePos="0" relativeHeight="251657728" behindDoc="0" locked="0" layoutInCell="1" allowOverlap="1" wp14:anchorId="0CF857A6" wp14:editId="262C8369">
                <wp:simplePos x="0" y="0"/>
                <wp:positionH relativeFrom="column">
                  <wp:posOffset>-446405</wp:posOffset>
                </wp:positionH>
                <wp:positionV relativeFrom="paragraph">
                  <wp:posOffset>-98425</wp:posOffset>
                </wp:positionV>
                <wp:extent cx="6762115" cy="942848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115" cy="9428480"/>
                        </a:xfrm>
                        <a:prstGeom prst="rect">
                          <a:avLst/>
                        </a:prstGeom>
                        <a:solidFill>
                          <a:srgbClr val="FFFFFF"/>
                        </a:solidFill>
                        <a:ln w="76200" cmpd="tri">
                          <a:solidFill>
                            <a:srgbClr val="000000"/>
                          </a:solidFill>
                          <a:miter lim="800000"/>
                          <a:headEnd/>
                          <a:tailEnd/>
                        </a:ln>
                      </wps:spPr>
                      <wps:txbx>
                        <w:txbxContent>
                          <w:p w14:paraId="2C3E3282" w14:textId="77777777" w:rsidR="004709C4" w:rsidRPr="00397C01" w:rsidRDefault="004709C4" w:rsidP="00BB70EF">
                            <w:pPr>
                              <w:spacing w:before="120" w:after="120"/>
                              <w:jc w:val="center"/>
                              <w:rPr>
                                <w:b/>
                                <w:sz w:val="28"/>
                                <w:szCs w:val="28"/>
                              </w:rPr>
                            </w:pPr>
                            <w:r w:rsidRPr="00397C01">
                              <w:rPr>
                                <w:b/>
                                <w:sz w:val="28"/>
                                <w:szCs w:val="28"/>
                              </w:rPr>
                              <w:t>Statement of Compatibility with Human Rights</w:t>
                            </w:r>
                          </w:p>
                          <w:p w14:paraId="69246A75" w14:textId="77777777" w:rsidR="004709C4" w:rsidRPr="00397C01" w:rsidRDefault="004709C4" w:rsidP="00BB70EF">
                            <w:pPr>
                              <w:spacing w:before="120" w:after="120"/>
                              <w:jc w:val="center"/>
                              <w:rPr>
                                <w:szCs w:val="24"/>
                              </w:rPr>
                            </w:pPr>
                            <w:r w:rsidRPr="00397C01">
                              <w:rPr>
                                <w:i/>
                                <w:szCs w:val="24"/>
                              </w:rPr>
                              <w:t>Prepared in accordance with Part 3 of the Hum</w:t>
                            </w:r>
                            <w:bookmarkStart w:id="0" w:name="_GoBack"/>
                            <w:bookmarkEnd w:id="0"/>
                            <w:r w:rsidRPr="00397C01">
                              <w:rPr>
                                <w:i/>
                                <w:szCs w:val="24"/>
                              </w:rPr>
                              <w:t>an Rights (Parliamentary Scrutiny) Act 2011</w:t>
                            </w:r>
                          </w:p>
                          <w:p w14:paraId="3515046A" w14:textId="77777777" w:rsidR="004709C4" w:rsidRPr="00B558FB" w:rsidRDefault="004709C4" w:rsidP="00BB70EF">
                            <w:pPr>
                              <w:spacing w:before="120" w:after="120"/>
                              <w:jc w:val="center"/>
                              <w:rPr>
                                <w:color w:val="FF0000"/>
                                <w:szCs w:val="24"/>
                              </w:rPr>
                            </w:pPr>
                          </w:p>
                          <w:p w14:paraId="02571E4B" w14:textId="6D727E9C" w:rsidR="004709C4" w:rsidRPr="00397C01" w:rsidRDefault="004709C4" w:rsidP="00BB70EF">
                            <w:pPr>
                              <w:spacing w:before="120" w:after="120"/>
                              <w:rPr>
                                <w:b/>
                                <w:szCs w:val="24"/>
                              </w:rPr>
                            </w:pPr>
                            <w:r w:rsidRPr="00397C01">
                              <w:rPr>
                                <w:b/>
                                <w:szCs w:val="24"/>
                              </w:rPr>
                              <w:t>Private Health Insurance (</w:t>
                            </w:r>
                            <w:r w:rsidR="00B13042">
                              <w:rPr>
                                <w:b/>
                                <w:szCs w:val="24"/>
                              </w:rPr>
                              <w:t>Complying Product</w:t>
                            </w:r>
                            <w:r w:rsidRPr="00397C01">
                              <w:rPr>
                                <w:b/>
                                <w:szCs w:val="24"/>
                              </w:rPr>
                              <w:t>) Amendment</w:t>
                            </w:r>
                            <w:r w:rsidR="00B93B83">
                              <w:rPr>
                                <w:b/>
                                <w:szCs w:val="24"/>
                              </w:rPr>
                              <w:t xml:space="preserve"> (No. 1)</w:t>
                            </w:r>
                            <w:r w:rsidRPr="00397C01">
                              <w:rPr>
                                <w:b/>
                                <w:szCs w:val="24"/>
                              </w:rPr>
                              <w:t xml:space="preserve"> Rules 201</w:t>
                            </w:r>
                            <w:r w:rsidR="00397C01" w:rsidRPr="00397C01">
                              <w:rPr>
                                <w:b/>
                                <w:szCs w:val="24"/>
                              </w:rPr>
                              <w:t>9</w:t>
                            </w:r>
                          </w:p>
                          <w:p w14:paraId="6331D72B" w14:textId="77777777" w:rsidR="004709C4" w:rsidRPr="00397C01" w:rsidRDefault="004709C4" w:rsidP="00BB70EF">
                            <w:pPr>
                              <w:spacing w:before="120" w:after="120"/>
                              <w:rPr>
                                <w:szCs w:val="24"/>
                              </w:rPr>
                            </w:pPr>
                            <w:r w:rsidRPr="00397C01">
                              <w:rPr>
                                <w:szCs w:val="24"/>
                              </w:rPr>
                              <w:t xml:space="preserve">This Legislative Instrument is compatible with the human rights and freedoms recognised or declared in the international instruments listed in section 3 of the </w:t>
                            </w:r>
                            <w:r w:rsidRPr="00397C01">
                              <w:rPr>
                                <w:i/>
                                <w:szCs w:val="24"/>
                              </w:rPr>
                              <w:t>Human Rights (Parliamentary Scrutiny) Act 2011</w:t>
                            </w:r>
                            <w:r w:rsidRPr="00397C01">
                              <w:rPr>
                                <w:szCs w:val="24"/>
                              </w:rPr>
                              <w:t>.</w:t>
                            </w:r>
                          </w:p>
                          <w:p w14:paraId="77321D01" w14:textId="77777777" w:rsidR="00AB782B" w:rsidRPr="00397C01" w:rsidRDefault="00AB782B" w:rsidP="00BB70EF">
                            <w:pPr>
                              <w:spacing w:before="120" w:after="120"/>
                              <w:jc w:val="both"/>
                              <w:rPr>
                                <w:b/>
                                <w:szCs w:val="24"/>
                              </w:rPr>
                            </w:pPr>
                            <w:r w:rsidRPr="00397C01">
                              <w:rPr>
                                <w:b/>
                                <w:szCs w:val="24"/>
                              </w:rPr>
                              <w:t>Overview of the Legislative Instrument</w:t>
                            </w:r>
                          </w:p>
                          <w:p w14:paraId="678BA6F9" w14:textId="77777777" w:rsidR="00686661" w:rsidRPr="00686661" w:rsidRDefault="00686661" w:rsidP="00686661">
                            <w:pPr>
                              <w:spacing w:before="120" w:after="120"/>
                              <w:jc w:val="both"/>
                              <w:rPr>
                                <w:b/>
                                <w:snapToGrid w:val="0"/>
                              </w:rPr>
                            </w:pPr>
                            <w:r w:rsidRPr="00686661">
                              <w:rPr>
                                <w:snapToGrid w:val="0"/>
                              </w:rPr>
                              <w:t xml:space="preserve">Rule 18 of the </w:t>
                            </w:r>
                            <w:r w:rsidRPr="00686661">
                              <w:rPr>
                                <w:i/>
                                <w:snapToGrid w:val="0"/>
                              </w:rPr>
                              <w:t xml:space="preserve">Private Health Insurance (Complying Product) Rules 2015 </w:t>
                            </w:r>
                            <w:r w:rsidRPr="00686661">
                              <w:rPr>
                                <w:snapToGrid w:val="0"/>
                              </w:rPr>
                              <w:t xml:space="preserve">(the Principal Rules) set out the requirements which apply to pilot projects for the purposes of subsection 55-15(2) of the Act. Relevantly, </w:t>
                            </w:r>
                            <w:proofErr w:type="spellStart"/>
                            <w:r w:rsidRPr="00686661">
                              <w:rPr>
                                <w:snapToGrid w:val="0"/>
                              </w:rPr>
                              <w:t>subrule</w:t>
                            </w:r>
                            <w:proofErr w:type="spellEnd"/>
                            <w:r w:rsidRPr="00686661">
                              <w:rPr>
                                <w:snapToGrid w:val="0"/>
                              </w:rPr>
                              <w:t xml:space="preserve"> 18(c) regulates the maximum length of time over which pilot project may be conducted. </w:t>
                            </w:r>
                          </w:p>
                          <w:p w14:paraId="1DEC6390" w14:textId="7DB4B6CC" w:rsidR="00630EEF" w:rsidRPr="00B6520B" w:rsidRDefault="00AB782B" w:rsidP="00BB70EF">
                            <w:pPr>
                              <w:spacing w:before="120" w:after="120"/>
                              <w:jc w:val="both"/>
                              <w:rPr>
                                <w:szCs w:val="24"/>
                              </w:rPr>
                            </w:pPr>
                            <w:r w:rsidRPr="00397C01">
                              <w:rPr>
                                <w:snapToGrid w:val="0"/>
                              </w:rPr>
                              <w:t xml:space="preserve">The </w:t>
                            </w:r>
                            <w:r w:rsidRPr="00397C01">
                              <w:rPr>
                                <w:i/>
                                <w:snapToGrid w:val="0"/>
                              </w:rPr>
                              <w:t>Private Health Insurance (</w:t>
                            </w:r>
                            <w:r w:rsidR="00B13042">
                              <w:rPr>
                                <w:i/>
                                <w:snapToGrid w:val="0"/>
                              </w:rPr>
                              <w:t>Complying Product</w:t>
                            </w:r>
                            <w:r w:rsidRPr="00397C01">
                              <w:rPr>
                                <w:i/>
                                <w:snapToGrid w:val="0"/>
                              </w:rPr>
                              <w:t>) Amendment Rules 201</w:t>
                            </w:r>
                            <w:r w:rsidR="00252F4E" w:rsidRPr="00397C01">
                              <w:rPr>
                                <w:i/>
                                <w:snapToGrid w:val="0"/>
                              </w:rPr>
                              <w:t>9</w:t>
                            </w:r>
                            <w:r w:rsidR="0009089B" w:rsidRPr="00397C01">
                              <w:rPr>
                                <w:snapToGrid w:val="0"/>
                              </w:rPr>
                              <w:t xml:space="preserve"> amends </w:t>
                            </w:r>
                            <w:proofErr w:type="spellStart"/>
                            <w:r w:rsidR="00B13042">
                              <w:rPr>
                                <w:snapToGrid w:val="0"/>
                              </w:rPr>
                              <w:t>subrule</w:t>
                            </w:r>
                            <w:proofErr w:type="spellEnd"/>
                            <w:r w:rsidR="00B13042">
                              <w:rPr>
                                <w:snapToGrid w:val="0"/>
                              </w:rPr>
                              <w:t xml:space="preserve"> 18(c) </w:t>
                            </w:r>
                            <w:r w:rsidRPr="00397C01">
                              <w:rPr>
                                <w:snapToGrid w:val="0"/>
                              </w:rPr>
                              <w:t xml:space="preserve">of the </w:t>
                            </w:r>
                            <w:r w:rsidR="00F86A4C" w:rsidRPr="00B6520B">
                              <w:rPr>
                                <w:snapToGrid w:val="0"/>
                              </w:rPr>
                              <w:t xml:space="preserve">Principal Rules </w:t>
                            </w:r>
                            <w:r w:rsidRPr="00B6520B">
                              <w:rPr>
                                <w:snapToGrid w:val="0"/>
                              </w:rPr>
                              <w:t>to</w:t>
                            </w:r>
                            <w:r w:rsidR="00397C01" w:rsidRPr="00B6520B">
                              <w:rPr>
                                <w:snapToGrid w:val="0"/>
                              </w:rPr>
                              <w:t xml:space="preserve"> </w:t>
                            </w:r>
                            <w:r w:rsidR="00686661">
                              <w:rPr>
                                <w:snapToGrid w:val="0"/>
                              </w:rPr>
                              <w:t>extend</w:t>
                            </w:r>
                            <w:r w:rsidR="00B13042">
                              <w:rPr>
                                <w:snapToGrid w:val="0"/>
                              </w:rPr>
                              <w:t xml:space="preserve"> the maximum allowable time for a pilot project from </w:t>
                            </w:r>
                            <w:r w:rsidR="00675FE8">
                              <w:rPr>
                                <w:snapToGrid w:val="0"/>
                              </w:rPr>
                              <w:t>two</w:t>
                            </w:r>
                            <w:r w:rsidR="00B13042">
                              <w:rPr>
                                <w:snapToGrid w:val="0"/>
                              </w:rPr>
                              <w:t xml:space="preserve"> years to </w:t>
                            </w:r>
                            <w:r w:rsidR="00675FE8">
                              <w:rPr>
                                <w:snapToGrid w:val="0"/>
                              </w:rPr>
                              <w:t>four</w:t>
                            </w:r>
                            <w:r w:rsidR="00B13042">
                              <w:rPr>
                                <w:snapToGrid w:val="0"/>
                              </w:rPr>
                              <w:t xml:space="preserve"> years.</w:t>
                            </w:r>
                            <w:r w:rsidR="00630EEF" w:rsidRPr="00B6520B">
                              <w:rPr>
                                <w:szCs w:val="24"/>
                              </w:rPr>
                              <w:t xml:space="preserve"> </w:t>
                            </w:r>
                          </w:p>
                          <w:p w14:paraId="17F9714D" w14:textId="77777777" w:rsidR="00AB782B" w:rsidRPr="00397C01" w:rsidRDefault="00AB782B" w:rsidP="00BB70EF">
                            <w:pPr>
                              <w:spacing w:before="120" w:after="120"/>
                              <w:jc w:val="both"/>
                              <w:rPr>
                                <w:b/>
                                <w:szCs w:val="24"/>
                              </w:rPr>
                            </w:pPr>
                            <w:r w:rsidRPr="00B6520B">
                              <w:rPr>
                                <w:b/>
                                <w:szCs w:val="24"/>
                              </w:rPr>
                              <w:t>Human rights implications</w:t>
                            </w:r>
                          </w:p>
                          <w:p w14:paraId="033CEDAB" w14:textId="61A771A5" w:rsidR="00F403E9" w:rsidRPr="00397C01" w:rsidRDefault="00AB782B" w:rsidP="00BB70EF">
                            <w:pPr>
                              <w:autoSpaceDE w:val="0"/>
                              <w:autoSpaceDN w:val="0"/>
                              <w:adjustRightInd w:val="0"/>
                              <w:spacing w:before="120" w:after="120"/>
                              <w:rPr>
                                <w:szCs w:val="24"/>
                              </w:rPr>
                            </w:pPr>
                            <w:r w:rsidRPr="00397C01">
                              <w:rPr>
                                <w:szCs w:val="24"/>
                              </w:rPr>
                              <w:t xml:space="preserve">This Legislative Instrument </w:t>
                            </w:r>
                            <w:r w:rsidR="00630EEF">
                              <w:rPr>
                                <w:szCs w:val="24"/>
                              </w:rPr>
                              <w:t xml:space="preserve">does not raise </w:t>
                            </w:r>
                            <w:r w:rsidR="00630EEF" w:rsidRPr="00630EEF">
                              <w:rPr>
                                <w:szCs w:val="24"/>
                              </w:rPr>
                              <w:t>any of the applicable rig</w:t>
                            </w:r>
                            <w:r w:rsidR="00B13042">
                              <w:rPr>
                                <w:szCs w:val="24"/>
                              </w:rPr>
                              <w:t>hts or freedoms.  Pilot projects are relatively short lived projects allowing an insurer to discriminate on the basis of where a person lives in controlled circumstances. The overall effect is that it allows the private health sector to innovate, allowing better patient care and improved value to consumers</w:t>
                            </w:r>
                            <w:r w:rsidR="00630EEF">
                              <w:rPr>
                                <w:szCs w:val="24"/>
                              </w:rPr>
                              <w:t xml:space="preserve">. </w:t>
                            </w:r>
                          </w:p>
                          <w:p w14:paraId="589B09D2" w14:textId="77777777" w:rsidR="00AB782B" w:rsidRPr="00397C01" w:rsidRDefault="00AB782B" w:rsidP="00BB70EF">
                            <w:pPr>
                              <w:spacing w:before="120" w:after="120"/>
                              <w:rPr>
                                <w:b/>
                                <w:szCs w:val="24"/>
                              </w:rPr>
                            </w:pPr>
                            <w:r w:rsidRPr="00397C01">
                              <w:rPr>
                                <w:b/>
                                <w:szCs w:val="24"/>
                              </w:rPr>
                              <w:t>Conclusion</w:t>
                            </w:r>
                          </w:p>
                          <w:p w14:paraId="4ED4A284" w14:textId="1D32DCF7" w:rsidR="00AB782B" w:rsidRPr="00397C01" w:rsidRDefault="00AB782B" w:rsidP="00BB70EF">
                            <w:pPr>
                              <w:spacing w:before="120" w:after="120"/>
                              <w:rPr>
                                <w:b/>
                                <w:szCs w:val="24"/>
                              </w:rPr>
                            </w:pPr>
                            <w:r w:rsidRPr="00397C01">
                              <w:rPr>
                                <w:szCs w:val="24"/>
                              </w:rPr>
                              <w:t xml:space="preserve">This Legislative Instrument is compatible with human rights </w:t>
                            </w:r>
                            <w:r w:rsidR="00630EEF" w:rsidRPr="00630EEF">
                              <w:rPr>
                                <w:szCs w:val="24"/>
                              </w:rPr>
                              <w:t>as it does not raise any human rights issues.</w:t>
                            </w:r>
                          </w:p>
                          <w:p w14:paraId="739E4EB9" w14:textId="4BF1186C" w:rsidR="00F33669" w:rsidRPr="002318AB" w:rsidRDefault="00F33669" w:rsidP="00BB70EF">
                            <w:pPr>
                              <w:spacing w:before="120" w:after="120"/>
                              <w:jc w:val="both"/>
                              <w:rPr>
                                <w:szCs w:val="24"/>
                              </w:rPr>
                            </w:pPr>
                          </w:p>
                          <w:p w14:paraId="6370A0BE" w14:textId="77777777" w:rsidR="00A163C5" w:rsidRDefault="00A163C5" w:rsidP="00A163C5">
                            <w:pPr>
                              <w:jc w:val="center"/>
                              <w:rPr>
                                <w:b/>
                                <w:szCs w:val="24"/>
                              </w:rPr>
                            </w:pPr>
                          </w:p>
                          <w:p w14:paraId="184CC870" w14:textId="1B4FA911" w:rsidR="00EE02F9" w:rsidRDefault="00EE02F9" w:rsidP="001813C3">
                            <w:pPr>
                              <w:jc w:val="center"/>
                              <w:rPr>
                                <w:b/>
                                <w:szCs w:val="24"/>
                              </w:rPr>
                            </w:pPr>
                          </w:p>
                          <w:p w14:paraId="5A15C039" w14:textId="0F7C3CC0" w:rsidR="001813C3" w:rsidRDefault="001813C3" w:rsidP="001813C3">
                            <w:pPr>
                              <w:jc w:val="center"/>
                              <w:rPr>
                                <w:b/>
                                <w:szCs w:val="24"/>
                              </w:rPr>
                            </w:pPr>
                          </w:p>
                          <w:p w14:paraId="2C3356C3" w14:textId="4894357B" w:rsidR="001813C3" w:rsidRDefault="001813C3" w:rsidP="001813C3">
                            <w:pPr>
                              <w:jc w:val="center"/>
                              <w:rPr>
                                <w:b/>
                                <w:szCs w:val="24"/>
                              </w:rPr>
                            </w:pPr>
                          </w:p>
                          <w:p w14:paraId="78D483D3" w14:textId="77777777" w:rsidR="001813C3" w:rsidRDefault="001813C3" w:rsidP="001813C3">
                            <w:pPr>
                              <w:jc w:val="center"/>
                              <w:rPr>
                                <w:b/>
                                <w:szCs w:val="24"/>
                              </w:rPr>
                            </w:pPr>
                          </w:p>
                          <w:p w14:paraId="1CFE86F2" w14:textId="77777777" w:rsidR="001813C3" w:rsidRDefault="001813C3" w:rsidP="001813C3">
                            <w:pPr>
                              <w:jc w:val="center"/>
                              <w:rPr>
                                <w:b/>
                                <w:szCs w:val="24"/>
                              </w:rPr>
                            </w:pPr>
                            <w:r>
                              <w:rPr>
                                <w:b/>
                                <w:szCs w:val="24"/>
                              </w:rPr>
                              <w:t>Nick Henderson</w:t>
                            </w:r>
                          </w:p>
                          <w:p w14:paraId="4F5FB130" w14:textId="77777777" w:rsidR="001813C3" w:rsidRDefault="001813C3" w:rsidP="001813C3">
                            <w:pPr>
                              <w:jc w:val="center"/>
                              <w:rPr>
                                <w:b/>
                                <w:szCs w:val="24"/>
                              </w:rPr>
                            </w:pPr>
                            <w:r>
                              <w:rPr>
                                <w:b/>
                                <w:szCs w:val="24"/>
                              </w:rPr>
                              <w:t>Assistant Secretary</w:t>
                            </w:r>
                          </w:p>
                          <w:p w14:paraId="72D38824" w14:textId="32516114" w:rsidR="00305F1A" w:rsidRPr="00E4135E" w:rsidRDefault="001813C3" w:rsidP="001813C3">
                            <w:pPr>
                              <w:jc w:val="center"/>
                              <w:rPr>
                                <w:szCs w:val="24"/>
                              </w:rPr>
                            </w:pPr>
                            <w:r>
                              <w:rPr>
                                <w:b/>
                                <w:szCs w:val="24"/>
                              </w:rPr>
                              <w:t>Private Health Insurance Branch</w:t>
                            </w:r>
                            <w:r w:rsidR="00305F1A">
                              <w:rPr>
                                <w:b/>
                                <w:szCs w:val="24"/>
                              </w:rPr>
                              <w:br/>
                              <w:t>Medical Benefits Division</w:t>
                            </w:r>
                            <w:r w:rsidR="00305F1A">
                              <w:rPr>
                                <w:b/>
                                <w:szCs w:val="24"/>
                              </w:rPr>
                              <w:br/>
                              <w:t>Department of Health</w:t>
                            </w:r>
                          </w:p>
                          <w:p w14:paraId="381AB53B" w14:textId="77777777" w:rsidR="004709C4" w:rsidRPr="00E4135E" w:rsidRDefault="004709C4" w:rsidP="00C31644">
                            <w:pPr>
                              <w:spacing w:before="120" w:after="120"/>
                              <w:rPr>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857A6" id="Rectangle 6" o:spid="_x0000_s1026" style="position:absolute;margin-left:-35.15pt;margin-top:-7.75pt;width:532.45pt;height:74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" strokeweight="6pt">
                <v:stroke linestyle="thickBetweenThin"/>
                <v:textbox inset="5mm,,5mm">
                  <w:txbxContent>
                    <w:p w14:paraId="2C3E3282" w14:textId="77777777" w:rsidR="004709C4" w:rsidRPr="00397C01" w:rsidRDefault="004709C4" w:rsidP="00BB70EF">
                      <w:pPr>
                        <w:spacing w:before="120" w:after="120"/>
                        <w:jc w:val="center"/>
                        <w:rPr>
                          <w:b/>
                          <w:sz w:val="28"/>
                          <w:szCs w:val="28"/>
                        </w:rPr>
                      </w:pPr>
                      <w:r w:rsidRPr="00397C01">
                        <w:rPr>
                          <w:b/>
                          <w:sz w:val="28"/>
                          <w:szCs w:val="28"/>
                        </w:rPr>
                        <w:t>Statement of Compatibility with Human Rights</w:t>
                      </w:r>
                    </w:p>
                    <w:p w14:paraId="69246A75" w14:textId="77777777" w:rsidR="004709C4" w:rsidRPr="00397C01" w:rsidRDefault="004709C4" w:rsidP="00BB70EF">
                      <w:pPr>
                        <w:spacing w:before="120" w:after="120"/>
                        <w:jc w:val="center"/>
                        <w:rPr>
                          <w:szCs w:val="24"/>
                        </w:rPr>
                      </w:pPr>
                      <w:r w:rsidRPr="00397C01">
                        <w:rPr>
                          <w:i/>
                          <w:szCs w:val="24"/>
                        </w:rPr>
                        <w:t>Prepared in accordance with Part 3 of the Human Rights (Parliamentary Scrutiny) Act 2011</w:t>
                      </w:r>
                    </w:p>
                    <w:p w14:paraId="3515046A" w14:textId="77777777" w:rsidR="004709C4" w:rsidRPr="00B558FB" w:rsidRDefault="004709C4" w:rsidP="00BB70EF">
                      <w:pPr>
                        <w:spacing w:before="120" w:after="120"/>
                        <w:jc w:val="center"/>
                        <w:rPr>
                          <w:color w:val="FF0000"/>
                          <w:szCs w:val="24"/>
                        </w:rPr>
                      </w:pPr>
                    </w:p>
                    <w:p w14:paraId="02571E4B" w14:textId="6D727E9C" w:rsidR="004709C4" w:rsidRPr="00397C01" w:rsidRDefault="004709C4" w:rsidP="00BB70EF">
                      <w:pPr>
                        <w:spacing w:before="120" w:after="120"/>
                        <w:rPr>
                          <w:b/>
                          <w:szCs w:val="24"/>
                        </w:rPr>
                      </w:pPr>
                      <w:r w:rsidRPr="00397C01">
                        <w:rPr>
                          <w:b/>
                          <w:szCs w:val="24"/>
                        </w:rPr>
                        <w:t>Private Health Insurance (</w:t>
                      </w:r>
                      <w:r w:rsidR="00B13042">
                        <w:rPr>
                          <w:b/>
                          <w:szCs w:val="24"/>
                        </w:rPr>
                        <w:t>Complying Product</w:t>
                      </w:r>
                      <w:r w:rsidRPr="00397C01">
                        <w:rPr>
                          <w:b/>
                          <w:szCs w:val="24"/>
                        </w:rPr>
                        <w:t>) Amendment</w:t>
                      </w:r>
                      <w:r w:rsidR="00B93B83">
                        <w:rPr>
                          <w:b/>
                          <w:szCs w:val="24"/>
                        </w:rPr>
                        <w:t xml:space="preserve"> (No. 1)</w:t>
                      </w:r>
                      <w:r w:rsidRPr="00397C01">
                        <w:rPr>
                          <w:b/>
                          <w:szCs w:val="24"/>
                        </w:rPr>
                        <w:t xml:space="preserve"> Rules 201</w:t>
                      </w:r>
                      <w:r w:rsidR="00397C01" w:rsidRPr="00397C01">
                        <w:rPr>
                          <w:b/>
                          <w:szCs w:val="24"/>
                        </w:rPr>
                        <w:t>9</w:t>
                      </w:r>
                    </w:p>
                    <w:p w14:paraId="6331D72B" w14:textId="77777777" w:rsidR="004709C4" w:rsidRPr="00397C01" w:rsidRDefault="004709C4" w:rsidP="00BB70EF">
                      <w:pPr>
                        <w:spacing w:before="120" w:after="120"/>
                        <w:rPr>
                          <w:szCs w:val="24"/>
                        </w:rPr>
                      </w:pPr>
                      <w:r w:rsidRPr="00397C01">
                        <w:rPr>
                          <w:szCs w:val="24"/>
                        </w:rPr>
                        <w:t xml:space="preserve">This Legislative Instrument is compatible with the human rights and freedoms recognised or declared in the international instruments listed in section 3 of the </w:t>
                      </w:r>
                      <w:r w:rsidRPr="00397C01">
                        <w:rPr>
                          <w:i/>
                          <w:szCs w:val="24"/>
                        </w:rPr>
                        <w:t>Human Rights (Parliamentary Scrutiny) Act 2011</w:t>
                      </w:r>
                      <w:r w:rsidRPr="00397C01">
                        <w:rPr>
                          <w:szCs w:val="24"/>
                        </w:rPr>
                        <w:t>.</w:t>
                      </w:r>
                    </w:p>
                    <w:p w14:paraId="77321D01" w14:textId="77777777" w:rsidR="00AB782B" w:rsidRPr="00397C01" w:rsidRDefault="00AB782B" w:rsidP="00BB70EF">
                      <w:pPr>
                        <w:spacing w:before="120" w:after="120"/>
                        <w:jc w:val="both"/>
                        <w:rPr>
                          <w:b/>
                          <w:szCs w:val="24"/>
                        </w:rPr>
                      </w:pPr>
                      <w:r w:rsidRPr="00397C01">
                        <w:rPr>
                          <w:b/>
                          <w:szCs w:val="24"/>
                        </w:rPr>
                        <w:t>Overview of the Legislative Instrument</w:t>
                      </w:r>
                    </w:p>
                    <w:p w14:paraId="678BA6F9" w14:textId="77777777" w:rsidR="00686661" w:rsidRPr="00686661" w:rsidRDefault="00686661" w:rsidP="00686661">
                      <w:pPr>
                        <w:spacing w:before="120" w:after="120"/>
                        <w:jc w:val="both"/>
                        <w:rPr>
                          <w:b/>
                          <w:snapToGrid w:val="0"/>
                        </w:rPr>
                      </w:pPr>
                      <w:r w:rsidRPr="00686661">
                        <w:rPr>
                          <w:snapToGrid w:val="0"/>
                        </w:rPr>
                        <w:t xml:space="preserve">Rule 18 of the </w:t>
                      </w:r>
                      <w:r w:rsidRPr="00686661">
                        <w:rPr>
                          <w:i/>
                          <w:snapToGrid w:val="0"/>
                        </w:rPr>
                        <w:t xml:space="preserve">Private Health Insurance (Complying Product) Rules 2015 </w:t>
                      </w:r>
                      <w:r w:rsidRPr="00686661">
                        <w:rPr>
                          <w:snapToGrid w:val="0"/>
                        </w:rPr>
                        <w:t xml:space="preserve">(the Principal Rules) set out the requirements which apply to pilot projects for the purposes of subsection 55-15(2) of the Act. Relevantly, subrule 18(c) regulates the maximum length of time over which pilot project may be conducted. </w:t>
                      </w:r>
                    </w:p>
                    <w:p w14:paraId="1DEC6390" w14:textId="7DB4B6CC" w:rsidR="00630EEF" w:rsidRPr="00B6520B" w:rsidRDefault="00AB782B" w:rsidP="00BB70EF">
                      <w:pPr>
                        <w:spacing w:before="120" w:after="120"/>
                        <w:jc w:val="both"/>
                        <w:rPr>
                          <w:szCs w:val="24"/>
                        </w:rPr>
                      </w:pPr>
                      <w:r w:rsidRPr="00397C01">
                        <w:rPr>
                          <w:snapToGrid w:val="0"/>
                        </w:rPr>
                        <w:t xml:space="preserve">The </w:t>
                      </w:r>
                      <w:r w:rsidRPr="00397C01">
                        <w:rPr>
                          <w:i/>
                          <w:snapToGrid w:val="0"/>
                        </w:rPr>
                        <w:t>Private Health Insurance (</w:t>
                      </w:r>
                      <w:r w:rsidR="00B13042">
                        <w:rPr>
                          <w:i/>
                          <w:snapToGrid w:val="0"/>
                        </w:rPr>
                        <w:t>Complying Product</w:t>
                      </w:r>
                      <w:r w:rsidRPr="00397C01">
                        <w:rPr>
                          <w:i/>
                          <w:snapToGrid w:val="0"/>
                        </w:rPr>
                        <w:t>) Amendment Rules 201</w:t>
                      </w:r>
                      <w:r w:rsidR="00252F4E" w:rsidRPr="00397C01">
                        <w:rPr>
                          <w:i/>
                          <w:snapToGrid w:val="0"/>
                        </w:rPr>
                        <w:t>9</w:t>
                      </w:r>
                      <w:r w:rsidR="0009089B" w:rsidRPr="00397C01">
                        <w:rPr>
                          <w:snapToGrid w:val="0"/>
                        </w:rPr>
                        <w:t xml:space="preserve"> amends </w:t>
                      </w:r>
                      <w:r w:rsidR="00B13042">
                        <w:rPr>
                          <w:snapToGrid w:val="0"/>
                        </w:rPr>
                        <w:t xml:space="preserve">subrule 18(c) </w:t>
                      </w:r>
                      <w:r w:rsidRPr="00397C01">
                        <w:rPr>
                          <w:snapToGrid w:val="0"/>
                        </w:rPr>
                        <w:t xml:space="preserve">of the </w:t>
                      </w:r>
                      <w:r w:rsidR="00F86A4C" w:rsidRPr="00B6520B">
                        <w:rPr>
                          <w:snapToGrid w:val="0"/>
                        </w:rPr>
                        <w:t xml:space="preserve">Principal Rules </w:t>
                      </w:r>
                      <w:r w:rsidRPr="00B6520B">
                        <w:rPr>
                          <w:snapToGrid w:val="0"/>
                        </w:rPr>
                        <w:t>to</w:t>
                      </w:r>
                      <w:r w:rsidR="00397C01" w:rsidRPr="00B6520B">
                        <w:rPr>
                          <w:snapToGrid w:val="0"/>
                        </w:rPr>
                        <w:t xml:space="preserve"> </w:t>
                      </w:r>
                      <w:r w:rsidR="00686661">
                        <w:rPr>
                          <w:snapToGrid w:val="0"/>
                        </w:rPr>
                        <w:t>extend</w:t>
                      </w:r>
                      <w:r w:rsidR="00B13042">
                        <w:rPr>
                          <w:snapToGrid w:val="0"/>
                        </w:rPr>
                        <w:t xml:space="preserve"> the maximum allowable time for a pilot project from </w:t>
                      </w:r>
                      <w:r w:rsidR="00675FE8">
                        <w:rPr>
                          <w:snapToGrid w:val="0"/>
                        </w:rPr>
                        <w:t>two</w:t>
                      </w:r>
                      <w:r w:rsidR="00B13042">
                        <w:rPr>
                          <w:snapToGrid w:val="0"/>
                        </w:rPr>
                        <w:t xml:space="preserve"> years to </w:t>
                      </w:r>
                      <w:r w:rsidR="00675FE8">
                        <w:rPr>
                          <w:snapToGrid w:val="0"/>
                        </w:rPr>
                        <w:t>four</w:t>
                      </w:r>
                      <w:r w:rsidR="00B13042">
                        <w:rPr>
                          <w:snapToGrid w:val="0"/>
                        </w:rPr>
                        <w:t xml:space="preserve"> years.</w:t>
                      </w:r>
                      <w:r w:rsidR="00630EEF" w:rsidRPr="00B6520B">
                        <w:rPr>
                          <w:szCs w:val="24"/>
                        </w:rPr>
                        <w:t xml:space="preserve"> </w:t>
                      </w:r>
                    </w:p>
                    <w:p w14:paraId="17F9714D" w14:textId="77777777" w:rsidR="00AB782B" w:rsidRPr="00397C01" w:rsidRDefault="00AB782B" w:rsidP="00BB70EF">
                      <w:pPr>
                        <w:spacing w:before="120" w:after="120"/>
                        <w:jc w:val="both"/>
                        <w:rPr>
                          <w:b/>
                          <w:szCs w:val="24"/>
                        </w:rPr>
                      </w:pPr>
                      <w:r w:rsidRPr="00B6520B">
                        <w:rPr>
                          <w:b/>
                          <w:szCs w:val="24"/>
                        </w:rPr>
                        <w:t>Human rights implications</w:t>
                      </w:r>
                    </w:p>
                    <w:p w14:paraId="033CEDAB" w14:textId="61A771A5" w:rsidR="00F403E9" w:rsidRPr="00397C01" w:rsidRDefault="00AB782B" w:rsidP="00BB70EF">
                      <w:pPr>
                        <w:autoSpaceDE w:val="0"/>
                        <w:autoSpaceDN w:val="0"/>
                        <w:adjustRightInd w:val="0"/>
                        <w:spacing w:before="120" w:after="120"/>
                        <w:rPr>
                          <w:szCs w:val="24"/>
                        </w:rPr>
                      </w:pPr>
                      <w:r w:rsidRPr="00397C01">
                        <w:rPr>
                          <w:szCs w:val="24"/>
                        </w:rPr>
                        <w:t xml:space="preserve">This Legislative Instrument </w:t>
                      </w:r>
                      <w:r w:rsidR="00630EEF">
                        <w:rPr>
                          <w:szCs w:val="24"/>
                        </w:rPr>
                        <w:t xml:space="preserve">does not raise </w:t>
                      </w:r>
                      <w:r w:rsidR="00630EEF" w:rsidRPr="00630EEF">
                        <w:rPr>
                          <w:szCs w:val="24"/>
                        </w:rPr>
                        <w:t>any of the applicable rig</w:t>
                      </w:r>
                      <w:r w:rsidR="00B13042">
                        <w:rPr>
                          <w:szCs w:val="24"/>
                        </w:rPr>
                        <w:t>hts or freedoms.  Pilot projects are relatively short lived projects allowing an insurer to discriminate on the basis of where a person lives in controlled circumstances. The overall effect is that it allows the private health sector to innovate, allowing better patient care and improved value to consumers</w:t>
                      </w:r>
                      <w:r w:rsidR="00630EEF">
                        <w:rPr>
                          <w:szCs w:val="24"/>
                        </w:rPr>
                        <w:t xml:space="preserve">. </w:t>
                      </w:r>
                    </w:p>
                    <w:p w14:paraId="589B09D2" w14:textId="77777777" w:rsidR="00AB782B" w:rsidRPr="00397C01" w:rsidRDefault="00AB782B" w:rsidP="00BB70EF">
                      <w:pPr>
                        <w:spacing w:before="120" w:after="120"/>
                        <w:rPr>
                          <w:b/>
                          <w:szCs w:val="24"/>
                        </w:rPr>
                      </w:pPr>
                      <w:r w:rsidRPr="00397C01">
                        <w:rPr>
                          <w:b/>
                          <w:szCs w:val="24"/>
                        </w:rPr>
                        <w:t>Conclusion</w:t>
                      </w:r>
                    </w:p>
                    <w:p w14:paraId="4ED4A284" w14:textId="1D32DCF7" w:rsidR="00AB782B" w:rsidRPr="00397C01" w:rsidRDefault="00AB782B" w:rsidP="00BB70EF">
                      <w:pPr>
                        <w:spacing w:before="120" w:after="120"/>
                        <w:rPr>
                          <w:b/>
                          <w:szCs w:val="24"/>
                        </w:rPr>
                      </w:pPr>
                      <w:r w:rsidRPr="00397C01">
                        <w:rPr>
                          <w:szCs w:val="24"/>
                        </w:rPr>
                        <w:t xml:space="preserve">This Legislative Instrument is compatible with human rights </w:t>
                      </w:r>
                      <w:r w:rsidR="00630EEF" w:rsidRPr="00630EEF">
                        <w:rPr>
                          <w:szCs w:val="24"/>
                        </w:rPr>
                        <w:t>as it does not raise any human rights issues.</w:t>
                      </w:r>
                    </w:p>
                    <w:p w14:paraId="739E4EB9" w14:textId="4BF1186C" w:rsidR="00F33669" w:rsidRPr="002318AB" w:rsidRDefault="00F33669" w:rsidP="00BB70EF">
                      <w:pPr>
                        <w:spacing w:before="120" w:after="120"/>
                        <w:jc w:val="both"/>
                        <w:rPr>
                          <w:szCs w:val="24"/>
                        </w:rPr>
                      </w:pPr>
                    </w:p>
                    <w:p w14:paraId="6370A0BE" w14:textId="77777777" w:rsidR="00A163C5" w:rsidRDefault="00A163C5" w:rsidP="00A163C5">
                      <w:pPr>
                        <w:jc w:val="center"/>
                        <w:rPr>
                          <w:b/>
                          <w:szCs w:val="24"/>
                        </w:rPr>
                      </w:pPr>
                    </w:p>
                    <w:p w14:paraId="184CC870" w14:textId="1B4FA911" w:rsidR="00EE02F9" w:rsidRDefault="00EE02F9" w:rsidP="001813C3">
                      <w:pPr>
                        <w:jc w:val="center"/>
                        <w:rPr>
                          <w:b/>
                          <w:szCs w:val="24"/>
                        </w:rPr>
                      </w:pPr>
                    </w:p>
                    <w:p w14:paraId="5A15C039" w14:textId="0F7C3CC0" w:rsidR="001813C3" w:rsidRDefault="001813C3" w:rsidP="001813C3">
                      <w:pPr>
                        <w:jc w:val="center"/>
                        <w:rPr>
                          <w:b/>
                          <w:szCs w:val="24"/>
                        </w:rPr>
                      </w:pPr>
                    </w:p>
                    <w:p w14:paraId="2C3356C3" w14:textId="4894357B" w:rsidR="001813C3" w:rsidRDefault="001813C3" w:rsidP="001813C3">
                      <w:pPr>
                        <w:jc w:val="center"/>
                        <w:rPr>
                          <w:b/>
                          <w:szCs w:val="24"/>
                        </w:rPr>
                      </w:pPr>
                    </w:p>
                    <w:p w14:paraId="78D483D3" w14:textId="77777777" w:rsidR="001813C3" w:rsidRDefault="001813C3" w:rsidP="001813C3">
                      <w:pPr>
                        <w:jc w:val="center"/>
                        <w:rPr>
                          <w:b/>
                          <w:szCs w:val="24"/>
                        </w:rPr>
                      </w:pPr>
                    </w:p>
                    <w:p w14:paraId="1CFE86F2" w14:textId="77777777" w:rsidR="001813C3" w:rsidRDefault="001813C3" w:rsidP="001813C3">
                      <w:pPr>
                        <w:jc w:val="center"/>
                        <w:rPr>
                          <w:b/>
                          <w:szCs w:val="24"/>
                        </w:rPr>
                      </w:pPr>
                      <w:r>
                        <w:rPr>
                          <w:b/>
                          <w:szCs w:val="24"/>
                        </w:rPr>
                        <w:t>Nick Henderson</w:t>
                      </w:r>
                    </w:p>
                    <w:p w14:paraId="4F5FB130" w14:textId="77777777" w:rsidR="001813C3" w:rsidRDefault="001813C3" w:rsidP="001813C3">
                      <w:pPr>
                        <w:jc w:val="center"/>
                        <w:rPr>
                          <w:b/>
                          <w:szCs w:val="24"/>
                        </w:rPr>
                      </w:pPr>
                      <w:r>
                        <w:rPr>
                          <w:b/>
                          <w:szCs w:val="24"/>
                        </w:rPr>
                        <w:t>Assistant Secretary</w:t>
                      </w:r>
                    </w:p>
                    <w:p w14:paraId="72D38824" w14:textId="32516114" w:rsidR="00305F1A" w:rsidRPr="00E4135E" w:rsidRDefault="001813C3" w:rsidP="001813C3">
                      <w:pPr>
                        <w:jc w:val="center"/>
                        <w:rPr>
                          <w:szCs w:val="24"/>
                        </w:rPr>
                      </w:pPr>
                      <w:r>
                        <w:rPr>
                          <w:b/>
                          <w:szCs w:val="24"/>
                        </w:rPr>
                        <w:t>Private Health Insurance Branch</w:t>
                      </w:r>
                      <w:r w:rsidR="00305F1A">
                        <w:rPr>
                          <w:b/>
                          <w:szCs w:val="24"/>
                        </w:rPr>
                        <w:br/>
                        <w:t>Medical Benefits Division</w:t>
                      </w:r>
                      <w:r w:rsidR="00305F1A">
                        <w:rPr>
                          <w:b/>
                          <w:szCs w:val="24"/>
                        </w:rPr>
                        <w:br/>
                        <w:t>Department of Health</w:t>
                      </w:r>
                    </w:p>
                    <w:p w14:paraId="381AB53B" w14:textId="77777777" w:rsidR="004709C4" w:rsidRPr="00E4135E" w:rsidRDefault="004709C4" w:rsidP="00C31644">
                      <w:pPr>
                        <w:spacing w:before="120" w:after="120"/>
                        <w:rPr>
                          <w:szCs w:val="24"/>
                        </w:rPr>
                      </w:pPr>
                    </w:p>
                  </w:txbxContent>
                </v:textbox>
              </v:rect>
            </w:pict>
          </mc:Fallback>
        </mc:AlternateContent>
      </w:r>
    </w:p>
    <w:p w14:paraId="663D2A93"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539726C4"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68B7041E"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5025E7B6"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593711C6"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30B1BEE9"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2DF5AC4A"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44DF5CD6"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47F9624C"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453CCE4F"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48C3783A"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0DE82682"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1E1A101C"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68E8D591"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4755FBE2"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48ACEFA2"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2D71EE39"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06CCC86B"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79315DD3"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75E96741"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p w14:paraId="162B0F58" w14:textId="77777777" w:rsidR="00024783" w:rsidRPr="00B558FB" w:rsidRDefault="00024783" w:rsidP="00024783">
      <w:pPr>
        <w:spacing w:after="200" w:line="276" w:lineRule="auto"/>
        <w:ind w:left="720" w:hanging="720"/>
        <w:rPr>
          <w:rFonts w:ascii="Calibri" w:eastAsia="Calibri" w:hAnsi="Calibri"/>
          <w:color w:val="FF0000"/>
          <w:sz w:val="22"/>
          <w:szCs w:val="22"/>
          <w:lang w:eastAsia="en-US"/>
        </w:rPr>
      </w:pPr>
    </w:p>
    <w:sectPr w:rsidR="00024783" w:rsidRPr="00B558FB" w:rsidSect="007B6273">
      <w:headerReference w:type="even" r:id="rId8"/>
      <w:headerReference w:type="default" r:id="rId9"/>
      <w:type w:val="continuous"/>
      <w:pgSz w:w="11906" w:h="16838"/>
      <w:pgMar w:top="1440" w:right="1440" w:bottom="1440" w:left="144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967C5" w14:textId="77777777" w:rsidR="00DE333A" w:rsidRDefault="00DE333A">
      <w:r>
        <w:separator/>
      </w:r>
    </w:p>
  </w:endnote>
  <w:endnote w:type="continuationSeparator" w:id="0">
    <w:p w14:paraId="60FB0ABF" w14:textId="77777777" w:rsidR="00DE333A" w:rsidRDefault="00DE333A">
      <w:r>
        <w:continuationSeparator/>
      </w:r>
    </w:p>
  </w:endnote>
  <w:endnote w:type="continuationNotice" w:id="1">
    <w:p w14:paraId="12F54D9B" w14:textId="77777777" w:rsidR="00DE333A" w:rsidRDefault="00DE3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80F2A" w14:textId="77777777" w:rsidR="00DE333A" w:rsidRDefault="00DE333A">
      <w:r>
        <w:separator/>
      </w:r>
    </w:p>
  </w:footnote>
  <w:footnote w:type="continuationSeparator" w:id="0">
    <w:p w14:paraId="163720B3" w14:textId="77777777" w:rsidR="00DE333A" w:rsidRDefault="00DE333A">
      <w:r>
        <w:continuationSeparator/>
      </w:r>
    </w:p>
  </w:footnote>
  <w:footnote w:type="continuationNotice" w:id="1">
    <w:p w14:paraId="5A7BB235" w14:textId="77777777" w:rsidR="00DE333A" w:rsidRDefault="00DE33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31A39" w14:textId="77777777" w:rsidR="004709C4" w:rsidRDefault="004709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11CADB" w14:textId="77777777" w:rsidR="004709C4" w:rsidRDefault="00470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6D602" w14:textId="77777777" w:rsidR="004709C4" w:rsidRDefault="004709C4">
    <w:pPr>
      <w:pStyle w:val="Header"/>
      <w:framePr w:wrap="around" w:vAnchor="text" w:hAnchor="margin" w:xAlign="center" w:y="1"/>
      <w:rPr>
        <w:rStyle w:val="PageNumber"/>
      </w:rPr>
    </w:pPr>
  </w:p>
  <w:p w14:paraId="720CAC71" w14:textId="77777777" w:rsidR="004709C4" w:rsidRPr="00D0290E" w:rsidRDefault="004709C4" w:rsidP="00D029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2FD"/>
    <w:multiLevelType w:val="hybridMultilevel"/>
    <w:tmpl w:val="662C04FA"/>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D26E35"/>
    <w:multiLevelType w:val="hybridMultilevel"/>
    <w:tmpl w:val="6A78D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B4150"/>
    <w:multiLevelType w:val="multilevel"/>
    <w:tmpl w:val="691A926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1610F"/>
    <w:multiLevelType w:val="hybridMultilevel"/>
    <w:tmpl w:val="445027DA"/>
    <w:lvl w:ilvl="0" w:tplc="77E645EE">
      <w:start w:val="8"/>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1256BA0"/>
    <w:multiLevelType w:val="hybridMultilevel"/>
    <w:tmpl w:val="64548308"/>
    <w:lvl w:ilvl="0" w:tplc="3662A1B6">
      <w:start w:val="1"/>
      <w:numFmt w:val="lowerLetter"/>
      <w:lvlText w:val="%1)"/>
      <w:lvlJc w:val="left"/>
      <w:pPr>
        <w:tabs>
          <w:tab w:val="num" w:pos="1875"/>
        </w:tabs>
        <w:ind w:left="1875" w:hanging="390"/>
      </w:pPr>
      <w:rPr>
        <w:rFonts w:hint="default"/>
      </w:rPr>
    </w:lvl>
    <w:lvl w:ilvl="1" w:tplc="4EE61E84">
      <w:start w:val="17"/>
      <w:numFmt w:val="decimal"/>
      <w:lvlText w:val="%2."/>
      <w:lvlJc w:val="left"/>
      <w:pPr>
        <w:tabs>
          <w:tab w:val="num" w:pos="2565"/>
        </w:tabs>
        <w:ind w:left="2565" w:hanging="360"/>
      </w:pPr>
      <w:rPr>
        <w:rFonts w:hint="default"/>
      </w:r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5" w15:restartNumberingAfterBreak="0">
    <w:nsid w:val="117A2CCD"/>
    <w:multiLevelType w:val="hybridMultilevel"/>
    <w:tmpl w:val="0E74F976"/>
    <w:lvl w:ilvl="0" w:tplc="9C2026F6">
      <w:start w:val="1"/>
      <w:numFmt w:val="lowerRoman"/>
      <w:lvlText w:val="(%1)"/>
      <w:lvlJc w:val="left"/>
      <w:pPr>
        <w:tabs>
          <w:tab w:val="num" w:pos="1140"/>
        </w:tabs>
        <w:ind w:left="1140" w:hanging="720"/>
      </w:pPr>
      <w:rPr>
        <w:rFonts w:hint="default"/>
      </w:r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6" w15:restartNumberingAfterBreak="0">
    <w:nsid w:val="11897249"/>
    <w:multiLevelType w:val="hybridMultilevel"/>
    <w:tmpl w:val="8F58C85C"/>
    <w:lvl w:ilvl="0" w:tplc="DDC43382">
      <w:start w:val="5"/>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1A2307E"/>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134A2CE2"/>
    <w:multiLevelType w:val="hybridMultilevel"/>
    <w:tmpl w:val="5114D3A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0853A12"/>
    <w:multiLevelType w:val="hybridMultilevel"/>
    <w:tmpl w:val="43B62C0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32497F"/>
    <w:multiLevelType w:val="hybridMultilevel"/>
    <w:tmpl w:val="B6D0D3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B803EC"/>
    <w:multiLevelType w:val="hybridMultilevel"/>
    <w:tmpl w:val="58484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5770F8"/>
    <w:multiLevelType w:val="hybridMultilevel"/>
    <w:tmpl w:val="6E1EFF80"/>
    <w:lvl w:ilvl="0" w:tplc="A9221CE6">
      <w:start w:val="1"/>
      <w:numFmt w:val="decimal"/>
      <w:lvlText w:val="%1."/>
      <w:lvlJc w:val="left"/>
      <w:pPr>
        <w:ind w:left="360" w:hanging="360"/>
      </w:pPr>
      <w:rPr>
        <w:rFonts w:hint="default"/>
        <w:b w:val="0"/>
      </w:r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C852BA6"/>
    <w:multiLevelType w:val="hybridMultilevel"/>
    <w:tmpl w:val="69542568"/>
    <w:lvl w:ilvl="0" w:tplc="BD2A76A6">
      <w:start w:val="1"/>
      <w:numFmt w:val="bullet"/>
      <w:lvlText w:val=""/>
      <w:lvlJc w:val="left"/>
      <w:pPr>
        <w:tabs>
          <w:tab w:val="num" w:pos="283"/>
        </w:tabs>
        <w:ind w:left="283" w:hanging="283"/>
      </w:pPr>
      <w:rPr>
        <w:rFonts w:ascii="Symbol" w:hAnsi="Symbol" w:cs="Symbol" w:hint="default"/>
        <w:sz w:val="20"/>
        <w:szCs w:val="20"/>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5D6305"/>
    <w:multiLevelType w:val="hybridMultilevel"/>
    <w:tmpl w:val="121AC7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328A0469"/>
    <w:multiLevelType w:val="hybridMultilevel"/>
    <w:tmpl w:val="C4660E54"/>
    <w:lvl w:ilvl="0" w:tplc="C952E44A">
      <w:start w:val="1"/>
      <w:numFmt w:val="bullet"/>
      <w:lvlText w:val=""/>
      <w:lvlJc w:val="left"/>
      <w:pPr>
        <w:tabs>
          <w:tab w:val="num" w:pos="720"/>
        </w:tabs>
        <w:ind w:left="720" w:hanging="360"/>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6C6109"/>
    <w:multiLevelType w:val="hybridMultilevel"/>
    <w:tmpl w:val="5C08093C"/>
    <w:lvl w:ilvl="0" w:tplc="C486D582">
      <w:start w:val="6"/>
      <w:numFmt w:val="decimal"/>
      <w:lvlText w:val="%1."/>
      <w:lvlJc w:val="left"/>
      <w:pPr>
        <w:tabs>
          <w:tab w:val="num" w:pos="924"/>
        </w:tabs>
        <w:ind w:left="924" w:hanging="56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EA16B9A"/>
    <w:multiLevelType w:val="hybridMultilevel"/>
    <w:tmpl w:val="7AD266F6"/>
    <w:lvl w:ilvl="0" w:tplc="0C090001">
      <w:start w:val="1"/>
      <w:numFmt w:val="bullet"/>
      <w:lvlText w:val=""/>
      <w:lvlJc w:val="left"/>
      <w:pPr>
        <w:tabs>
          <w:tab w:val="num" w:pos="1875"/>
        </w:tabs>
        <w:ind w:left="1875" w:hanging="390"/>
      </w:pPr>
      <w:rPr>
        <w:rFonts w:ascii="Symbol" w:hAnsi="Symbol" w:hint="default"/>
      </w:rPr>
    </w:lvl>
    <w:lvl w:ilvl="1" w:tplc="4EE61E84">
      <w:start w:val="17"/>
      <w:numFmt w:val="decimal"/>
      <w:lvlText w:val="%2."/>
      <w:lvlJc w:val="left"/>
      <w:pPr>
        <w:tabs>
          <w:tab w:val="num" w:pos="2565"/>
        </w:tabs>
        <w:ind w:left="2565" w:hanging="360"/>
      </w:pPr>
      <w:rPr>
        <w:rFonts w:hint="default"/>
      </w:r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8" w15:restartNumberingAfterBreak="0">
    <w:nsid w:val="3F211B9B"/>
    <w:multiLevelType w:val="multilevel"/>
    <w:tmpl w:val="7876ABD0"/>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87135"/>
    <w:multiLevelType w:val="hybridMultilevel"/>
    <w:tmpl w:val="8286F1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F46740"/>
    <w:multiLevelType w:val="hybridMultilevel"/>
    <w:tmpl w:val="AE12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E345F2"/>
    <w:multiLevelType w:val="hybridMultilevel"/>
    <w:tmpl w:val="44C8428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2" w15:restartNumberingAfterBreak="0">
    <w:nsid w:val="4BA245B4"/>
    <w:multiLevelType w:val="hybridMultilevel"/>
    <w:tmpl w:val="7876ABD0"/>
    <w:lvl w:ilvl="0" w:tplc="182803E0">
      <w:start w:val="1"/>
      <w:numFmt w:val="bullet"/>
      <w:lvlText w:val=""/>
      <w:lvlJc w:val="left"/>
      <w:pPr>
        <w:tabs>
          <w:tab w:val="num" w:pos="720"/>
        </w:tabs>
        <w:ind w:left="720" w:hanging="360"/>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4C71B8"/>
    <w:multiLevelType w:val="hybridMultilevel"/>
    <w:tmpl w:val="F0C445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D42C69"/>
    <w:multiLevelType w:val="hybridMultilevel"/>
    <w:tmpl w:val="386843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1B4D82"/>
    <w:multiLevelType w:val="hybridMultilevel"/>
    <w:tmpl w:val="6862DAD2"/>
    <w:lvl w:ilvl="0" w:tplc="66DED830">
      <w:start w:val="1"/>
      <w:numFmt w:val="bullet"/>
      <w:lvlText w:val=""/>
      <w:lvlJc w:val="left"/>
      <w:pPr>
        <w:tabs>
          <w:tab w:val="num" w:pos="357"/>
        </w:tabs>
        <w:ind w:left="357" w:hanging="35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E377BF"/>
    <w:multiLevelType w:val="hybridMultilevel"/>
    <w:tmpl w:val="36000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44413"/>
    <w:multiLevelType w:val="multilevel"/>
    <w:tmpl w:val="86CEFCD8"/>
    <w:lvl w:ilvl="0">
      <w:start w:val="1"/>
      <w:numFmt w:val="decimal"/>
      <w:lvlRestart w:val="0"/>
      <w:lvlText w:val="%1."/>
      <w:lvlJc w:val="left"/>
      <w:pPr>
        <w:tabs>
          <w:tab w:val="num" w:pos="850"/>
        </w:tabs>
        <w:ind w:left="850" w:hanging="850"/>
      </w:pPr>
      <w:rPr>
        <w:rFonts w:hint="default"/>
        <w:sz w:val="24"/>
        <w:szCs w:val="24"/>
      </w:rPr>
    </w:lvl>
    <w:lvl w:ilvl="1">
      <w:start w:val="1"/>
      <w:numFmt w:val="upperLetter"/>
      <w:lvlText w:val="%1%2"/>
      <w:lvlJc w:val="left"/>
      <w:pPr>
        <w:tabs>
          <w:tab w:val="num" w:pos="850"/>
        </w:tabs>
        <w:ind w:left="850" w:hanging="850"/>
      </w:pPr>
      <w:rPr>
        <w:rFonts w:hint="default"/>
      </w:rPr>
    </w:lvl>
    <w:lvl w:ilvl="2">
      <w:start w:val="1"/>
      <w:numFmt w:val="bullet"/>
      <w:lvlText w:val=""/>
      <w:lvlJc w:val="left"/>
      <w:pPr>
        <w:tabs>
          <w:tab w:val="num" w:pos="1561"/>
        </w:tabs>
        <w:ind w:left="1561" w:hanging="851"/>
      </w:pPr>
      <w:rPr>
        <w:rFonts w:ascii="Symbol" w:hAnsi="Symbol" w:hint="default"/>
      </w:rPr>
    </w:lvl>
    <w:lvl w:ilvl="3">
      <w:start w:val="1"/>
      <w:numFmt w:val="lowerRoman"/>
      <w:lvlText w:val="(%4)"/>
      <w:lvlJc w:val="left"/>
      <w:pPr>
        <w:tabs>
          <w:tab w:val="num" w:pos="2551"/>
        </w:tabs>
        <w:ind w:left="2551" w:hanging="850"/>
      </w:pPr>
      <w:rPr>
        <w:rFonts w:hint="default"/>
      </w:rPr>
    </w:lvl>
    <w:lvl w:ilvl="4">
      <w:start w:val="1"/>
      <w:numFmt w:val="upperLetter"/>
      <w:lvlText w:val="(%5)"/>
      <w:lvlJc w:val="left"/>
      <w:pPr>
        <w:tabs>
          <w:tab w:val="num" w:pos="3402"/>
        </w:tabs>
        <w:ind w:left="3402" w:hanging="851"/>
      </w:pPr>
      <w:rPr>
        <w:rFonts w:hint="default"/>
      </w:rPr>
    </w:lvl>
    <w:lvl w:ilvl="5">
      <w:start w:val="1"/>
      <w:numFmt w:val="decimal"/>
      <w:lvlRestart w:val="2"/>
      <w:lvlText w:val="(%6)"/>
      <w:lvlJc w:val="left"/>
      <w:pPr>
        <w:tabs>
          <w:tab w:val="num" w:pos="936"/>
        </w:tabs>
        <w:ind w:left="936" w:hanging="510"/>
      </w:pPr>
      <w:rPr>
        <w:rFonts w:hint="default"/>
      </w:rPr>
    </w:lvl>
    <w:lvl w:ilvl="6">
      <w:start w:val="1"/>
      <w:numFmt w:val="upperLetter"/>
      <w:lvlText w:val="(%6%7)"/>
      <w:lvlJc w:val="left"/>
      <w:pPr>
        <w:tabs>
          <w:tab w:val="num" w:pos="850"/>
        </w:tabs>
        <w:ind w:left="850" w:hanging="5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567"/>
        </w:tabs>
        <w:ind w:left="1582" w:hanging="1582"/>
      </w:pPr>
      <w:rPr>
        <w:rFonts w:hint="default"/>
      </w:rPr>
    </w:lvl>
  </w:abstractNum>
  <w:abstractNum w:abstractNumId="28" w15:restartNumberingAfterBreak="0">
    <w:nsid w:val="5AF236D6"/>
    <w:multiLevelType w:val="hybridMultilevel"/>
    <w:tmpl w:val="34A2AD1A"/>
    <w:lvl w:ilvl="0" w:tplc="6F021FB2">
      <w:start w:val="10"/>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D652A34"/>
    <w:multiLevelType w:val="hybridMultilevel"/>
    <w:tmpl w:val="7834D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BD236F"/>
    <w:multiLevelType w:val="hybridMultilevel"/>
    <w:tmpl w:val="B6E60480"/>
    <w:lvl w:ilvl="0" w:tplc="09DC891A">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170EEC"/>
    <w:multiLevelType w:val="hybridMultilevel"/>
    <w:tmpl w:val="0F1E34FC"/>
    <w:lvl w:ilvl="0" w:tplc="E866484C">
      <w:start w:val="1"/>
      <w:numFmt w:val="lowerRoman"/>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61194F36"/>
    <w:multiLevelType w:val="hybridMultilevel"/>
    <w:tmpl w:val="09A2C786"/>
    <w:lvl w:ilvl="0" w:tplc="F40052A0">
      <w:start w:val="1"/>
      <w:numFmt w:val="bullet"/>
      <w:lvlText w:val=""/>
      <w:lvlJc w:val="left"/>
      <w:pPr>
        <w:tabs>
          <w:tab w:val="num" w:pos="624"/>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091B7D"/>
    <w:multiLevelType w:val="hybridMultilevel"/>
    <w:tmpl w:val="5EE887CE"/>
    <w:lvl w:ilvl="0" w:tplc="78909D8A">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4" w15:restartNumberingAfterBreak="0">
    <w:nsid w:val="64902E71"/>
    <w:multiLevelType w:val="hybridMultilevel"/>
    <w:tmpl w:val="3D160254"/>
    <w:lvl w:ilvl="0" w:tplc="0409000F">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5541893"/>
    <w:multiLevelType w:val="hybridMultilevel"/>
    <w:tmpl w:val="39E45DA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720D31"/>
    <w:multiLevelType w:val="hybridMultilevel"/>
    <w:tmpl w:val="691A9262"/>
    <w:lvl w:ilvl="0" w:tplc="24D464CA">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0005A8"/>
    <w:multiLevelType w:val="hybridMultilevel"/>
    <w:tmpl w:val="F16A311C"/>
    <w:lvl w:ilvl="0" w:tplc="FA3C858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6E4B09E5"/>
    <w:multiLevelType w:val="hybridMultilevel"/>
    <w:tmpl w:val="367CA87E"/>
    <w:lvl w:ilvl="0" w:tplc="DC88E9F6">
      <w:start w:val="5"/>
      <w:numFmt w:val="decimal"/>
      <w:lvlText w:val="%1."/>
      <w:lvlJc w:val="left"/>
      <w:pPr>
        <w:tabs>
          <w:tab w:val="num" w:pos="924"/>
        </w:tabs>
        <w:ind w:left="924" w:hanging="56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703023F3"/>
    <w:multiLevelType w:val="hybridMultilevel"/>
    <w:tmpl w:val="127A1F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9E7869"/>
    <w:multiLevelType w:val="hybridMultilevel"/>
    <w:tmpl w:val="36E0B9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F56416"/>
    <w:multiLevelType w:val="hybridMultilevel"/>
    <w:tmpl w:val="01D22AAC"/>
    <w:lvl w:ilvl="0" w:tplc="0C090001">
      <w:start w:val="1"/>
      <w:numFmt w:val="bullet"/>
      <w:lvlText w:val=""/>
      <w:lvlJc w:val="left"/>
      <w:pPr>
        <w:tabs>
          <w:tab w:val="num" w:pos="1080"/>
        </w:tabs>
        <w:ind w:left="1080" w:hanging="360"/>
      </w:pPr>
      <w:rPr>
        <w:rFonts w:ascii="Symbol" w:hAnsi="Symbol" w:hint="default"/>
      </w:rPr>
    </w:lvl>
    <w:lvl w:ilvl="1" w:tplc="8DD49256">
      <w:start w:val="1"/>
      <w:numFmt w:val="bullet"/>
      <w:lvlText w:val=""/>
      <w:lvlJc w:val="left"/>
      <w:pPr>
        <w:tabs>
          <w:tab w:val="num" w:pos="1803"/>
        </w:tabs>
        <w:ind w:left="1803" w:hanging="363"/>
      </w:pPr>
      <w:rPr>
        <w:rFonts w:ascii="Symbol" w:hAnsi="Symbo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7357255"/>
    <w:multiLevelType w:val="multilevel"/>
    <w:tmpl w:val="112E503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15:restartNumberingAfterBreak="0">
    <w:nsid w:val="779605B9"/>
    <w:multiLevelType w:val="hybridMultilevel"/>
    <w:tmpl w:val="E51E575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191271"/>
    <w:multiLevelType w:val="hybridMultilevel"/>
    <w:tmpl w:val="D2162492"/>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79AB5809"/>
    <w:multiLevelType w:val="hybridMultilevel"/>
    <w:tmpl w:val="70A29672"/>
    <w:lvl w:ilvl="0" w:tplc="F588140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541095"/>
    <w:multiLevelType w:val="hybridMultilevel"/>
    <w:tmpl w:val="A18CF2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686147"/>
    <w:multiLevelType w:val="hybridMultilevel"/>
    <w:tmpl w:val="5EF8BCAA"/>
    <w:lvl w:ilvl="0" w:tplc="F93049D0">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39"/>
  </w:num>
  <w:num w:numId="3">
    <w:abstractNumId w:val="41"/>
  </w:num>
  <w:num w:numId="4">
    <w:abstractNumId w:val="35"/>
  </w:num>
  <w:num w:numId="5">
    <w:abstractNumId w:val="38"/>
  </w:num>
  <w:num w:numId="6">
    <w:abstractNumId w:val="16"/>
  </w:num>
  <w:num w:numId="7">
    <w:abstractNumId w:val="7"/>
  </w:num>
  <w:num w:numId="8">
    <w:abstractNumId w:val="28"/>
  </w:num>
  <w:num w:numId="9">
    <w:abstractNumId w:val="23"/>
  </w:num>
  <w:num w:numId="10">
    <w:abstractNumId w:val="1"/>
  </w:num>
  <w:num w:numId="11">
    <w:abstractNumId w:val="19"/>
  </w:num>
  <w:num w:numId="12">
    <w:abstractNumId w:val="31"/>
  </w:num>
  <w:num w:numId="13">
    <w:abstractNumId w:val="37"/>
  </w:num>
  <w:num w:numId="14">
    <w:abstractNumId w:val="8"/>
  </w:num>
  <w:num w:numId="15">
    <w:abstractNumId w:val="5"/>
  </w:num>
  <w:num w:numId="16">
    <w:abstractNumId w:val="6"/>
  </w:num>
  <w:num w:numId="17">
    <w:abstractNumId w:val="44"/>
  </w:num>
  <w:num w:numId="18">
    <w:abstractNumId w:val="3"/>
  </w:num>
  <w:num w:numId="19">
    <w:abstractNumId w:val="25"/>
  </w:num>
  <w:num w:numId="20">
    <w:abstractNumId w:val="10"/>
  </w:num>
  <w:num w:numId="21">
    <w:abstractNumId w:val="24"/>
  </w:num>
  <w:num w:numId="22">
    <w:abstractNumId w:val="40"/>
  </w:num>
  <w:num w:numId="23">
    <w:abstractNumId w:val="30"/>
  </w:num>
  <w:num w:numId="24">
    <w:abstractNumId w:val="36"/>
  </w:num>
  <w:num w:numId="25">
    <w:abstractNumId w:val="0"/>
  </w:num>
  <w:num w:numId="26">
    <w:abstractNumId w:val="47"/>
  </w:num>
  <w:num w:numId="27">
    <w:abstractNumId w:val="46"/>
  </w:num>
  <w:num w:numId="28">
    <w:abstractNumId w:val="43"/>
  </w:num>
  <w:num w:numId="29">
    <w:abstractNumId w:val="9"/>
  </w:num>
  <w:num w:numId="30">
    <w:abstractNumId w:val="32"/>
  </w:num>
  <w:num w:numId="31">
    <w:abstractNumId w:val="4"/>
  </w:num>
  <w:num w:numId="32">
    <w:abstractNumId w:val="34"/>
  </w:num>
  <w:num w:numId="33">
    <w:abstractNumId w:val="2"/>
  </w:num>
  <w:num w:numId="34">
    <w:abstractNumId w:val="22"/>
  </w:num>
  <w:num w:numId="35">
    <w:abstractNumId w:val="18"/>
  </w:num>
  <w:num w:numId="36">
    <w:abstractNumId w:val="15"/>
  </w:num>
  <w:num w:numId="37">
    <w:abstractNumId w:val="33"/>
  </w:num>
  <w:num w:numId="38">
    <w:abstractNumId w:val="45"/>
  </w:num>
  <w:num w:numId="39">
    <w:abstractNumId w:val="14"/>
  </w:num>
  <w:num w:numId="40">
    <w:abstractNumId w:val="27"/>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13"/>
  </w:num>
  <w:num w:numId="46">
    <w:abstractNumId w:val="12"/>
  </w:num>
  <w:num w:numId="47">
    <w:abstractNumId w:val="17"/>
  </w:num>
  <w:num w:numId="48">
    <w:abstractNumId w:val="11"/>
  </w:num>
  <w:num w:numId="49">
    <w:abstractNumId w:val="26"/>
  </w:num>
  <w:num w:numId="50">
    <w:abstractNumId w:val="29"/>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13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7C"/>
    <w:rsid w:val="00000683"/>
    <w:rsid w:val="00002813"/>
    <w:rsid w:val="00003072"/>
    <w:rsid w:val="0000321D"/>
    <w:rsid w:val="0000395C"/>
    <w:rsid w:val="00003ADD"/>
    <w:rsid w:val="00010287"/>
    <w:rsid w:val="00010BB3"/>
    <w:rsid w:val="00010E1F"/>
    <w:rsid w:val="00010F79"/>
    <w:rsid w:val="0001141A"/>
    <w:rsid w:val="00012E15"/>
    <w:rsid w:val="00013CB6"/>
    <w:rsid w:val="00013DAF"/>
    <w:rsid w:val="000140ED"/>
    <w:rsid w:val="00014753"/>
    <w:rsid w:val="00014798"/>
    <w:rsid w:val="0001486F"/>
    <w:rsid w:val="00014C68"/>
    <w:rsid w:val="0001616C"/>
    <w:rsid w:val="000172CE"/>
    <w:rsid w:val="0002007A"/>
    <w:rsid w:val="00020719"/>
    <w:rsid w:val="00021AFA"/>
    <w:rsid w:val="00023AEF"/>
    <w:rsid w:val="000244EA"/>
    <w:rsid w:val="0002461A"/>
    <w:rsid w:val="00024783"/>
    <w:rsid w:val="00025876"/>
    <w:rsid w:val="000259ED"/>
    <w:rsid w:val="00027CB0"/>
    <w:rsid w:val="00034212"/>
    <w:rsid w:val="00034F5B"/>
    <w:rsid w:val="00034F7D"/>
    <w:rsid w:val="000368CB"/>
    <w:rsid w:val="000407A9"/>
    <w:rsid w:val="00040C8D"/>
    <w:rsid w:val="000435C1"/>
    <w:rsid w:val="000438CE"/>
    <w:rsid w:val="0004476D"/>
    <w:rsid w:val="0004484A"/>
    <w:rsid w:val="00045559"/>
    <w:rsid w:val="000502A5"/>
    <w:rsid w:val="00051856"/>
    <w:rsid w:val="00051F85"/>
    <w:rsid w:val="00054BC9"/>
    <w:rsid w:val="00055773"/>
    <w:rsid w:val="00056536"/>
    <w:rsid w:val="000602E8"/>
    <w:rsid w:val="00060380"/>
    <w:rsid w:val="00061D1A"/>
    <w:rsid w:val="00062206"/>
    <w:rsid w:val="00062BB9"/>
    <w:rsid w:val="00062EF8"/>
    <w:rsid w:val="000656AF"/>
    <w:rsid w:val="0006664A"/>
    <w:rsid w:val="000674BC"/>
    <w:rsid w:val="000703A1"/>
    <w:rsid w:val="00070623"/>
    <w:rsid w:val="00071FE1"/>
    <w:rsid w:val="00077015"/>
    <w:rsid w:val="00077490"/>
    <w:rsid w:val="0008149C"/>
    <w:rsid w:val="00081855"/>
    <w:rsid w:val="00083EDC"/>
    <w:rsid w:val="00085A5A"/>
    <w:rsid w:val="00086AA6"/>
    <w:rsid w:val="0009089B"/>
    <w:rsid w:val="000916BE"/>
    <w:rsid w:val="00094FE0"/>
    <w:rsid w:val="0009712F"/>
    <w:rsid w:val="00097A3A"/>
    <w:rsid w:val="000B0838"/>
    <w:rsid w:val="000B196C"/>
    <w:rsid w:val="000B1A63"/>
    <w:rsid w:val="000B2793"/>
    <w:rsid w:val="000B2988"/>
    <w:rsid w:val="000B2B48"/>
    <w:rsid w:val="000B2C10"/>
    <w:rsid w:val="000B2EB6"/>
    <w:rsid w:val="000B7EE0"/>
    <w:rsid w:val="000C1862"/>
    <w:rsid w:val="000C1AA4"/>
    <w:rsid w:val="000C3A29"/>
    <w:rsid w:val="000C70F1"/>
    <w:rsid w:val="000D20EA"/>
    <w:rsid w:val="000D2111"/>
    <w:rsid w:val="000D2985"/>
    <w:rsid w:val="000D3504"/>
    <w:rsid w:val="000D3B54"/>
    <w:rsid w:val="000D3F0F"/>
    <w:rsid w:val="000D4177"/>
    <w:rsid w:val="000D6592"/>
    <w:rsid w:val="000D66E6"/>
    <w:rsid w:val="000D6B44"/>
    <w:rsid w:val="000D6D60"/>
    <w:rsid w:val="000E16CA"/>
    <w:rsid w:val="000E3025"/>
    <w:rsid w:val="000E3586"/>
    <w:rsid w:val="000E4BF6"/>
    <w:rsid w:val="000E7AC5"/>
    <w:rsid w:val="000F0625"/>
    <w:rsid w:val="000F235E"/>
    <w:rsid w:val="000F3A0C"/>
    <w:rsid w:val="000F4B0E"/>
    <w:rsid w:val="000F6CD0"/>
    <w:rsid w:val="000F74E6"/>
    <w:rsid w:val="00103FB5"/>
    <w:rsid w:val="001043D0"/>
    <w:rsid w:val="00105190"/>
    <w:rsid w:val="00105DDF"/>
    <w:rsid w:val="00110A82"/>
    <w:rsid w:val="00112B00"/>
    <w:rsid w:val="0011548B"/>
    <w:rsid w:val="001158B8"/>
    <w:rsid w:val="001171ED"/>
    <w:rsid w:val="001173E1"/>
    <w:rsid w:val="00123C91"/>
    <w:rsid w:val="00124539"/>
    <w:rsid w:val="001305FA"/>
    <w:rsid w:val="001308C8"/>
    <w:rsid w:val="00131099"/>
    <w:rsid w:val="00133072"/>
    <w:rsid w:val="00136EF4"/>
    <w:rsid w:val="00140CBA"/>
    <w:rsid w:val="00141CF5"/>
    <w:rsid w:val="00143E01"/>
    <w:rsid w:val="00143F16"/>
    <w:rsid w:val="00144DDC"/>
    <w:rsid w:val="0014638F"/>
    <w:rsid w:val="0014661E"/>
    <w:rsid w:val="00147F9D"/>
    <w:rsid w:val="001502B6"/>
    <w:rsid w:val="001519AA"/>
    <w:rsid w:val="00154F2A"/>
    <w:rsid w:val="00160A11"/>
    <w:rsid w:val="00160E2C"/>
    <w:rsid w:val="00161E1F"/>
    <w:rsid w:val="0016231E"/>
    <w:rsid w:val="0016460C"/>
    <w:rsid w:val="00164845"/>
    <w:rsid w:val="00165C2E"/>
    <w:rsid w:val="001666A8"/>
    <w:rsid w:val="001673D6"/>
    <w:rsid w:val="00167472"/>
    <w:rsid w:val="00167CDE"/>
    <w:rsid w:val="00170085"/>
    <w:rsid w:val="00171489"/>
    <w:rsid w:val="00173245"/>
    <w:rsid w:val="00174729"/>
    <w:rsid w:val="00174E75"/>
    <w:rsid w:val="00174EB8"/>
    <w:rsid w:val="00175D69"/>
    <w:rsid w:val="001778EB"/>
    <w:rsid w:val="001802FF"/>
    <w:rsid w:val="001813C3"/>
    <w:rsid w:val="0018151D"/>
    <w:rsid w:val="001844E3"/>
    <w:rsid w:val="00185EED"/>
    <w:rsid w:val="0018601F"/>
    <w:rsid w:val="00192124"/>
    <w:rsid w:val="00196C24"/>
    <w:rsid w:val="001A45DA"/>
    <w:rsid w:val="001A4F98"/>
    <w:rsid w:val="001A6261"/>
    <w:rsid w:val="001A7530"/>
    <w:rsid w:val="001B0002"/>
    <w:rsid w:val="001B188D"/>
    <w:rsid w:val="001B1891"/>
    <w:rsid w:val="001B1BA7"/>
    <w:rsid w:val="001B2A13"/>
    <w:rsid w:val="001B3545"/>
    <w:rsid w:val="001B4B15"/>
    <w:rsid w:val="001B5541"/>
    <w:rsid w:val="001B5B5E"/>
    <w:rsid w:val="001B754E"/>
    <w:rsid w:val="001C22B3"/>
    <w:rsid w:val="001C4872"/>
    <w:rsid w:val="001C514B"/>
    <w:rsid w:val="001C6271"/>
    <w:rsid w:val="001C66DD"/>
    <w:rsid w:val="001C6FA7"/>
    <w:rsid w:val="001C77E9"/>
    <w:rsid w:val="001D05DC"/>
    <w:rsid w:val="001D0B86"/>
    <w:rsid w:val="001D0D42"/>
    <w:rsid w:val="001D14FD"/>
    <w:rsid w:val="001D2AEE"/>
    <w:rsid w:val="001D58AA"/>
    <w:rsid w:val="001D788B"/>
    <w:rsid w:val="001E12F1"/>
    <w:rsid w:val="001E1E7E"/>
    <w:rsid w:val="001E2A7B"/>
    <w:rsid w:val="001E419F"/>
    <w:rsid w:val="001E430E"/>
    <w:rsid w:val="001F2B11"/>
    <w:rsid w:val="001F2C05"/>
    <w:rsid w:val="001F414D"/>
    <w:rsid w:val="001F4B1B"/>
    <w:rsid w:val="001F7C23"/>
    <w:rsid w:val="002020E2"/>
    <w:rsid w:val="002062C5"/>
    <w:rsid w:val="002076F9"/>
    <w:rsid w:val="002119D8"/>
    <w:rsid w:val="00211DA1"/>
    <w:rsid w:val="0021385A"/>
    <w:rsid w:val="00216412"/>
    <w:rsid w:val="00216521"/>
    <w:rsid w:val="002167CC"/>
    <w:rsid w:val="002173D2"/>
    <w:rsid w:val="00220F94"/>
    <w:rsid w:val="0022117D"/>
    <w:rsid w:val="00222F62"/>
    <w:rsid w:val="00230033"/>
    <w:rsid w:val="002309C4"/>
    <w:rsid w:val="00231758"/>
    <w:rsid w:val="002318AB"/>
    <w:rsid w:val="0023205E"/>
    <w:rsid w:val="002327B4"/>
    <w:rsid w:val="00233436"/>
    <w:rsid w:val="0023363E"/>
    <w:rsid w:val="00233CE9"/>
    <w:rsid w:val="00234DE1"/>
    <w:rsid w:val="00235D8F"/>
    <w:rsid w:val="002362A8"/>
    <w:rsid w:val="00236497"/>
    <w:rsid w:val="002419EA"/>
    <w:rsid w:val="00241BC6"/>
    <w:rsid w:val="00241C11"/>
    <w:rsid w:val="0024225B"/>
    <w:rsid w:val="00243E61"/>
    <w:rsid w:val="00245AD5"/>
    <w:rsid w:val="00245B4C"/>
    <w:rsid w:val="00247E9E"/>
    <w:rsid w:val="00250685"/>
    <w:rsid w:val="00252F4E"/>
    <w:rsid w:val="00253DA5"/>
    <w:rsid w:val="00254FF6"/>
    <w:rsid w:val="00256C3D"/>
    <w:rsid w:val="00257D5A"/>
    <w:rsid w:val="00261485"/>
    <w:rsid w:val="002615A7"/>
    <w:rsid w:val="0026217A"/>
    <w:rsid w:val="0027145F"/>
    <w:rsid w:val="002717C6"/>
    <w:rsid w:val="00271B06"/>
    <w:rsid w:val="0027338B"/>
    <w:rsid w:val="002750AA"/>
    <w:rsid w:val="00276EBA"/>
    <w:rsid w:val="002778AB"/>
    <w:rsid w:val="00277D71"/>
    <w:rsid w:val="00283518"/>
    <w:rsid w:val="00286224"/>
    <w:rsid w:val="00287DAA"/>
    <w:rsid w:val="0029055E"/>
    <w:rsid w:val="002909E7"/>
    <w:rsid w:val="0029122F"/>
    <w:rsid w:val="002917F1"/>
    <w:rsid w:val="002920A2"/>
    <w:rsid w:val="00292BFB"/>
    <w:rsid w:val="002973A6"/>
    <w:rsid w:val="00297BE3"/>
    <w:rsid w:val="002A1384"/>
    <w:rsid w:val="002A15B9"/>
    <w:rsid w:val="002A2F0A"/>
    <w:rsid w:val="002A3E3F"/>
    <w:rsid w:val="002A59B5"/>
    <w:rsid w:val="002A5DA0"/>
    <w:rsid w:val="002A6473"/>
    <w:rsid w:val="002A77AE"/>
    <w:rsid w:val="002A7A04"/>
    <w:rsid w:val="002B151F"/>
    <w:rsid w:val="002B28BC"/>
    <w:rsid w:val="002B319F"/>
    <w:rsid w:val="002B716D"/>
    <w:rsid w:val="002C104F"/>
    <w:rsid w:val="002C28DE"/>
    <w:rsid w:val="002C343F"/>
    <w:rsid w:val="002C376C"/>
    <w:rsid w:val="002C4A12"/>
    <w:rsid w:val="002C546F"/>
    <w:rsid w:val="002C6B5B"/>
    <w:rsid w:val="002D0A2F"/>
    <w:rsid w:val="002D0E29"/>
    <w:rsid w:val="002D0FC9"/>
    <w:rsid w:val="002D15E3"/>
    <w:rsid w:val="002D2375"/>
    <w:rsid w:val="002D441D"/>
    <w:rsid w:val="002D5038"/>
    <w:rsid w:val="002E3183"/>
    <w:rsid w:val="002E332C"/>
    <w:rsid w:val="002E3495"/>
    <w:rsid w:val="002E3858"/>
    <w:rsid w:val="002E44C9"/>
    <w:rsid w:val="002E45FF"/>
    <w:rsid w:val="002E5427"/>
    <w:rsid w:val="002E67E2"/>
    <w:rsid w:val="002E7390"/>
    <w:rsid w:val="002F0299"/>
    <w:rsid w:val="002F1511"/>
    <w:rsid w:val="002F2501"/>
    <w:rsid w:val="002F25D7"/>
    <w:rsid w:val="002F27EA"/>
    <w:rsid w:val="002F29E5"/>
    <w:rsid w:val="002F3146"/>
    <w:rsid w:val="002F4262"/>
    <w:rsid w:val="002F4988"/>
    <w:rsid w:val="002F4A73"/>
    <w:rsid w:val="002F4CBD"/>
    <w:rsid w:val="002F5C09"/>
    <w:rsid w:val="002F6285"/>
    <w:rsid w:val="002F732B"/>
    <w:rsid w:val="00300A1C"/>
    <w:rsid w:val="00301C00"/>
    <w:rsid w:val="00303999"/>
    <w:rsid w:val="00304B14"/>
    <w:rsid w:val="00305F1A"/>
    <w:rsid w:val="00307F61"/>
    <w:rsid w:val="0031037C"/>
    <w:rsid w:val="0031065D"/>
    <w:rsid w:val="003121A7"/>
    <w:rsid w:val="0031298D"/>
    <w:rsid w:val="00313AA7"/>
    <w:rsid w:val="00315112"/>
    <w:rsid w:val="00315C42"/>
    <w:rsid w:val="00321C60"/>
    <w:rsid w:val="00321F1A"/>
    <w:rsid w:val="0032627C"/>
    <w:rsid w:val="003300AA"/>
    <w:rsid w:val="00331B20"/>
    <w:rsid w:val="00333B56"/>
    <w:rsid w:val="003344BB"/>
    <w:rsid w:val="003404D8"/>
    <w:rsid w:val="00342B44"/>
    <w:rsid w:val="00343E4F"/>
    <w:rsid w:val="00343EC1"/>
    <w:rsid w:val="00344652"/>
    <w:rsid w:val="00344FF9"/>
    <w:rsid w:val="00345397"/>
    <w:rsid w:val="0034772B"/>
    <w:rsid w:val="00350756"/>
    <w:rsid w:val="00350982"/>
    <w:rsid w:val="0035437F"/>
    <w:rsid w:val="003548E0"/>
    <w:rsid w:val="003553CA"/>
    <w:rsid w:val="00357665"/>
    <w:rsid w:val="003612B5"/>
    <w:rsid w:val="00365BB7"/>
    <w:rsid w:val="00365BF2"/>
    <w:rsid w:val="00365C2E"/>
    <w:rsid w:val="00367795"/>
    <w:rsid w:val="00367879"/>
    <w:rsid w:val="00370123"/>
    <w:rsid w:val="0037092D"/>
    <w:rsid w:val="003714DE"/>
    <w:rsid w:val="003715AE"/>
    <w:rsid w:val="003723C2"/>
    <w:rsid w:val="00372C67"/>
    <w:rsid w:val="00374D39"/>
    <w:rsid w:val="0037566F"/>
    <w:rsid w:val="00375BDB"/>
    <w:rsid w:val="00376562"/>
    <w:rsid w:val="00376FDE"/>
    <w:rsid w:val="00377D10"/>
    <w:rsid w:val="00380294"/>
    <w:rsid w:val="00380FA3"/>
    <w:rsid w:val="0038303B"/>
    <w:rsid w:val="00384126"/>
    <w:rsid w:val="00385FDF"/>
    <w:rsid w:val="00386463"/>
    <w:rsid w:val="00387B17"/>
    <w:rsid w:val="00390178"/>
    <w:rsid w:val="003902F7"/>
    <w:rsid w:val="00390E8C"/>
    <w:rsid w:val="003916C9"/>
    <w:rsid w:val="0039186D"/>
    <w:rsid w:val="00392973"/>
    <w:rsid w:val="003945BE"/>
    <w:rsid w:val="00394728"/>
    <w:rsid w:val="00394992"/>
    <w:rsid w:val="00395C04"/>
    <w:rsid w:val="0039705A"/>
    <w:rsid w:val="00397C01"/>
    <w:rsid w:val="003A0560"/>
    <w:rsid w:val="003A0884"/>
    <w:rsid w:val="003A23F8"/>
    <w:rsid w:val="003A2CAE"/>
    <w:rsid w:val="003A42FF"/>
    <w:rsid w:val="003A7E5E"/>
    <w:rsid w:val="003B054D"/>
    <w:rsid w:val="003B22E3"/>
    <w:rsid w:val="003B2F38"/>
    <w:rsid w:val="003B3335"/>
    <w:rsid w:val="003B34CA"/>
    <w:rsid w:val="003B51EB"/>
    <w:rsid w:val="003B5FE6"/>
    <w:rsid w:val="003B6473"/>
    <w:rsid w:val="003B7340"/>
    <w:rsid w:val="003C040F"/>
    <w:rsid w:val="003C0ECF"/>
    <w:rsid w:val="003C416D"/>
    <w:rsid w:val="003C528B"/>
    <w:rsid w:val="003C66E9"/>
    <w:rsid w:val="003C6732"/>
    <w:rsid w:val="003D25B4"/>
    <w:rsid w:val="003D27C3"/>
    <w:rsid w:val="003D4004"/>
    <w:rsid w:val="003E14D5"/>
    <w:rsid w:val="003E22A8"/>
    <w:rsid w:val="003E2C96"/>
    <w:rsid w:val="003E372C"/>
    <w:rsid w:val="003E520D"/>
    <w:rsid w:val="003E78C0"/>
    <w:rsid w:val="003E7B8D"/>
    <w:rsid w:val="003E7E18"/>
    <w:rsid w:val="003F33E9"/>
    <w:rsid w:val="003F48E7"/>
    <w:rsid w:val="003F5A04"/>
    <w:rsid w:val="003F713F"/>
    <w:rsid w:val="004008A7"/>
    <w:rsid w:val="00400BD8"/>
    <w:rsid w:val="00400DB2"/>
    <w:rsid w:val="00402421"/>
    <w:rsid w:val="00403B5D"/>
    <w:rsid w:val="00406446"/>
    <w:rsid w:val="00406964"/>
    <w:rsid w:val="00412334"/>
    <w:rsid w:val="00412788"/>
    <w:rsid w:val="00412877"/>
    <w:rsid w:val="0041329F"/>
    <w:rsid w:val="0041494D"/>
    <w:rsid w:val="00414E71"/>
    <w:rsid w:val="0041543D"/>
    <w:rsid w:val="0041633C"/>
    <w:rsid w:val="0041638B"/>
    <w:rsid w:val="00421C60"/>
    <w:rsid w:val="00421D71"/>
    <w:rsid w:val="00423B5F"/>
    <w:rsid w:val="0042406B"/>
    <w:rsid w:val="004256F4"/>
    <w:rsid w:val="00425811"/>
    <w:rsid w:val="00427285"/>
    <w:rsid w:val="0043333D"/>
    <w:rsid w:val="004344DF"/>
    <w:rsid w:val="00435BAA"/>
    <w:rsid w:val="00435CCC"/>
    <w:rsid w:val="00437349"/>
    <w:rsid w:val="004373E0"/>
    <w:rsid w:val="0044196B"/>
    <w:rsid w:val="00441C72"/>
    <w:rsid w:val="0044276A"/>
    <w:rsid w:val="00443763"/>
    <w:rsid w:val="00444001"/>
    <w:rsid w:val="0044480D"/>
    <w:rsid w:val="0044585B"/>
    <w:rsid w:val="00445FFC"/>
    <w:rsid w:val="004462F5"/>
    <w:rsid w:val="004467F9"/>
    <w:rsid w:val="00447751"/>
    <w:rsid w:val="00451BE1"/>
    <w:rsid w:val="004527AE"/>
    <w:rsid w:val="00452E5E"/>
    <w:rsid w:val="00453252"/>
    <w:rsid w:val="0045346E"/>
    <w:rsid w:val="0045394B"/>
    <w:rsid w:val="004564CD"/>
    <w:rsid w:val="00457D21"/>
    <w:rsid w:val="00460781"/>
    <w:rsid w:val="004616A1"/>
    <w:rsid w:val="0046256F"/>
    <w:rsid w:val="00462FF1"/>
    <w:rsid w:val="00464C1B"/>
    <w:rsid w:val="004655D3"/>
    <w:rsid w:val="00466784"/>
    <w:rsid w:val="0046692A"/>
    <w:rsid w:val="00470628"/>
    <w:rsid w:val="004709C4"/>
    <w:rsid w:val="00470B92"/>
    <w:rsid w:val="00470E45"/>
    <w:rsid w:val="00471339"/>
    <w:rsid w:val="00471552"/>
    <w:rsid w:val="00471AA2"/>
    <w:rsid w:val="00472B89"/>
    <w:rsid w:val="004735D1"/>
    <w:rsid w:val="00473DF6"/>
    <w:rsid w:val="004747E8"/>
    <w:rsid w:val="004764E8"/>
    <w:rsid w:val="004766BF"/>
    <w:rsid w:val="00477E67"/>
    <w:rsid w:val="004816AF"/>
    <w:rsid w:val="00481ADE"/>
    <w:rsid w:val="00481BB2"/>
    <w:rsid w:val="00482A75"/>
    <w:rsid w:val="00483509"/>
    <w:rsid w:val="00485438"/>
    <w:rsid w:val="00485A74"/>
    <w:rsid w:val="00486037"/>
    <w:rsid w:val="00486EED"/>
    <w:rsid w:val="00490A2D"/>
    <w:rsid w:val="00490C9D"/>
    <w:rsid w:val="00493CB2"/>
    <w:rsid w:val="00494EA5"/>
    <w:rsid w:val="00495DE2"/>
    <w:rsid w:val="00496084"/>
    <w:rsid w:val="00497721"/>
    <w:rsid w:val="004A021E"/>
    <w:rsid w:val="004A3F73"/>
    <w:rsid w:val="004A5BE7"/>
    <w:rsid w:val="004A7CB2"/>
    <w:rsid w:val="004B1FFD"/>
    <w:rsid w:val="004B22AE"/>
    <w:rsid w:val="004B2452"/>
    <w:rsid w:val="004B453A"/>
    <w:rsid w:val="004B5813"/>
    <w:rsid w:val="004B6038"/>
    <w:rsid w:val="004B6FD8"/>
    <w:rsid w:val="004C1DF0"/>
    <w:rsid w:val="004C252B"/>
    <w:rsid w:val="004C3238"/>
    <w:rsid w:val="004C365F"/>
    <w:rsid w:val="004C3BD4"/>
    <w:rsid w:val="004C5166"/>
    <w:rsid w:val="004C5571"/>
    <w:rsid w:val="004D0194"/>
    <w:rsid w:val="004D02E9"/>
    <w:rsid w:val="004D04BD"/>
    <w:rsid w:val="004D072B"/>
    <w:rsid w:val="004D46AE"/>
    <w:rsid w:val="004D5F7C"/>
    <w:rsid w:val="004D6670"/>
    <w:rsid w:val="004D686B"/>
    <w:rsid w:val="004D6FB3"/>
    <w:rsid w:val="004E49FE"/>
    <w:rsid w:val="004E4B3A"/>
    <w:rsid w:val="004E5443"/>
    <w:rsid w:val="004E5688"/>
    <w:rsid w:val="004E5F2B"/>
    <w:rsid w:val="004E6613"/>
    <w:rsid w:val="004E79B9"/>
    <w:rsid w:val="004F0448"/>
    <w:rsid w:val="004F04FA"/>
    <w:rsid w:val="004F11D3"/>
    <w:rsid w:val="004F1FC0"/>
    <w:rsid w:val="004F48C0"/>
    <w:rsid w:val="004F4F60"/>
    <w:rsid w:val="004F5CC3"/>
    <w:rsid w:val="00500D13"/>
    <w:rsid w:val="00503035"/>
    <w:rsid w:val="00504FC6"/>
    <w:rsid w:val="00505331"/>
    <w:rsid w:val="00505F8E"/>
    <w:rsid w:val="005061F6"/>
    <w:rsid w:val="00507255"/>
    <w:rsid w:val="005126E2"/>
    <w:rsid w:val="00513216"/>
    <w:rsid w:val="00514C4A"/>
    <w:rsid w:val="00515A9F"/>
    <w:rsid w:val="005200BD"/>
    <w:rsid w:val="00520A53"/>
    <w:rsid w:val="00521722"/>
    <w:rsid w:val="0052201A"/>
    <w:rsid w:val="0052219B"/>
    <w:rsid w:val="00526D8A"/>
    <w:rsid w:val="00526F1A"/>
    <w:rsid w:val="0053024E"/>
    <w:rsid w:val="00530A6A"/>
    <w:rsid w:val="00530DD7"/>
    <w:rsid w:val="00531987"/>
    <w:rsid w:val="00531AE0"/>
    <w:rsid w:val="0053207C"/>
    <w:rsid w:val="00532747"/>
    <w:rsid w:val="00536F6A"/>
    <w:rsid w:val="005409D1"/>
    <w:rsid w:val="00541A8B"/>
    <w:rsid w:val="0054396C"/>
    <w:rsid w:val="005439D6"/>
    <w:rsid w:val="00545230"/>
    <w:rsid w:val="00545283"/>
    <w:rsid w:val="00545FF9"/>
    <w:rsid w:val="005463A6"/>
    <w:rsid w:val="005466F6"/>
    <w:rsid w:val="00546D0B"/>
    <w:rsid w:val="005470AD"/>
    <w:rsid w:val="005520B7"/>
    <w:rsid w:val="0055373D"/>
    <w:rsid w:val="005541DD"/>
    <w:rsid w:val="00554258"/>
    <w:rsid w:val="005548DF"/>
    <w:rsid w:val="005549C3"/>
    <w:rsid w:val="00554B74"/>
    <w:rsid w:val="005550E3"/>
    <w:rsid w:val="0055558C"/>
    <w:rsid w:val="005571AB"/>
    <w:rsid w:val="005572A2"/>
    <w:rsid w:val="005572C5"/>
    <w:rsid w:val="00562997"/>
    <w:rsid w:val="00562D48"/>
    <w:rsid w:val="005636FC"/>
    <w:rsid w:val="00566510"/>
    <w:rsid w:val="005679F8"/>
    <w:rsid w:val="00571FFC"/>
    <w:rsid w:val="00573B58"/>
    <w:rsid w:val="00574215"/>
    <w:rsid w:val="00575A24"/>
    <w:rsid w:val="00576F78"/>
    <w:rsid w:val="005775B1"/>
    <w:rsid w:val="005807D6"/>
    <w:rsid w:val="005836DA"/>
    <w:rsid w:val="00586C54"/>
    <w:rsid w:val="00587B1D"/>
    <w:rsid w:val="00590014"/>
    <w:rsid w:val="0059108D"/>
    <w:rsid w:val="00591AC2"/>
    <w:rsid w:val="005928F0"/>
    <w:rsid w:val="005949E2"/>
    <w:rsid w:val="0059540B"/>
    <w:rsid w:val="0059600E"/>
    <w:rsid w:val="00596227"/>
    <w:rsid w:val="005A0141"/>
    <w:rsid w:val="005A0275"/>
    <w:rsid w:val="005A096A"/>
    <w:rsid w:val="005A09F9"/>
    <w:rsid w:val="005A1082"/>
    <w:rsid w:val="005A1C08"/>
    <w:rsid w:val="005A2581"/>
    <w:rsid w:val="005A2A60"/>
    <w:rsid w:val="005B2411"/>
    <w:rsid w:val="005B4219"/>
    <w:rsid w:val="005B4A50"/>
    <w:rsid w:val="005B5BE3"/>
    <w:rsid w:val="005B61E0"/>
    <w:rsid w:val="005B6354"/>
    <w:rsid w:val="005C0CA1"/>
    <w:rsid w:val="005C0F67"/>
    <w:rsid w:val="005C11C6"/>
    <w:rsid w:val="005C217C"/>
    <w:rsid w:val="005C4CD9"/>
    <w:rsid w:val="005C69EC"/>
    <w:rsid w:val="005D0062"/>
    <w:rsid w:val="005D2A41"/>
    <w:rsid w:val="005D3D89"/>
    <w:rsid w:val="005D4E5C"/>
    <w:rsid w:val="005D7BC3"/>
    <w:rsid w:val="005E123E"/>
    <w:rsid w:val="005E2D86"/>
    <w:rsid w:val="005E50CA"/>
    <w:rsid w:val="005E7BA0"/>
    <w:rsid w:val="005F069C"/>
    <w:rsid w:val="005F1B55"/>
    <w:rsid w:val="005F2D7C"/>
    <w:rsid w:val="005F3B70"/>
    <w:rsid w:val="005F44C4"/>
    <w:rsid w:val="005F5A36"/>
    <w:rsid w:val="005F6CF5"/>
    <w:rsid w:val="005F7E95"/>
    <w:rsid w:val="0060091D"/>
    <w:rsid w:val="006011A5"/>
    <w:rsid w:val="00607767"/>
    <w:rsid w:val="0061048D"/>
    <w:rsid w:val="006111E5"/>
    <w:rsid w:val="00611B19"/>
    <w:rsid w:val="006169E9"/>
    <w:rsid w:val="0062031C"/>
    <w:rsid w:val="00620973"/>
    <w:rsid w:val="00620F4D"/>
    <w:rsid w:val="00623CDD"/>
    <w:rsid w:val="006243C7"/>
    <w:rsid w:val="006273F2"/>
    <w:rsid w:val="00630EEF"/>
    <w:rsid w:val="00632653"/>
    <w:rsid w:val="0063475F"/>
    <w:rsid w:val="00637415"/>
    <w:rsid w:val="006378B1"/>
    <w:rsid w:val="00642083"/>
    <w:rsid w:val="006424D6"/>
    <w:rsid w:val="006437A7"/>
    <w:rsid w:val="00643D37"/>
    <w:rsid w:val="00644163"/>
    <w:rsid w:val="006466B7"/>
    <w:rsid w:val="006467CD"/>
    <w:rsid w:val="00646DBB"/>
    <w:rsid w:val="006502DC"/>
    <w:rsid w:val="00650D24"/>
    <w:rsid w:val="006527ED"/>
    <w:rsid w:val="00652C7A"/>
    <w:rsid w:val="0065391E"/>
    <w:rsid w:val="0065398B"/>
    <w:rsid w:val="006544EC"/>
    <w:rsid w:val="0065491C"/>
    <w:rsid w:val="00654AE6"/>
    <w:rsid w:val="00655EEF"/>
    <w:rsid w:val="006579EA"/>
    <w:rsid w:val="00657FB1"/>
    <w:rsid w:val="006612A2"/>
    <w:rsid w:val="00664B10"/>
    <w:rsid w:val="00666CDA"/>
    <w:rsid w:val="00667E6F"/>
    <w:rsid w:val="00670246"/>
    <w:rsid w:val="006709D2"/>
    <w:rsid w:val="00670D92"/>
    <w:rsid w:val="00674EC8"/>
    <w:rsid w:val="0067582A"/>
    <w:rsid w:val="00675FE8"/>
    <w:rsid w:val="00676ABE"/>
    <w:rsid w:val="00677186"/>
    <w:rsid w:val="00677281"/>
    <w:rsid w:val="006809B4"/>
    <w:rsid w:val="006809E2"/>
    <w:rsid w:val="00680A6C"/>
    <w:rsid w:val="006817B0"/>
    <w:rsid w:val="006821F1"/>
    <w:rsid w:val="00684795"/>
    <w:rsid w:val="00686661"/>
    <w:rsid w:val="00690231"/>
    <w:rsid w:val="0069145A"/>
    <w:rsid w:val="0069318B"/>
    <w:rsid w:val="00693BF2"/>
    <w:rsid w:val="00694301"/>
    <w:rsid w:val="006950EB"/>
    <w:rsid w:val="00696129"/>
    <w:rsid w:val="00696C5C"/>
    <w:rsid w:val="0069756E"/>
    <w:rsid w:val="00697CB9"/>
    <w:rsid w:val="006A0238"/>
    <w:rsid w:val="006A2C93"/>
    <w:rsid w:val="006A2EF1"/>
    <w:rsid w:val="006A6212"/>
    <w:rsid w:val="006A6B2C"/>
    <w:rsid w:val="006A7EBF"/>
    <w:rsid w:val="006B1335"/>
    <w:rsid w:val="006B1E07"/>
    <w:rsid w:val="006B34C6"/>
    <w:rsid w:val="006B571C"/>
    <w:rsid w:val="006B6E67"/>
    <w:rsid w:val="006B7354"/>
    <w:rsid w:val="006B7904"/>
    <w:rsid w:val="006C004D"/>
    <w:rsid w:val="006C0380"/>
    <w:rsid w:val="006C04B0"/>
    <w:rsid w:val="006C146B"/>
    <w:rsid w:val="006C1D55"/>
    <w:rsid w:val="006C27F7"/>
    <w:rsid w:val="006C3152"/>
    <w:rsid w:val="006C3C82"/>
    <w:rsid w:val="006C525E"/>
    <w:rsid w:val="006C74ED"/>
    <w:rsid w:val="006D0133"/>
    <w:rsid w:val="006D2F41"/>
    <w:rsid w:val="006D4C48"/>
    <w:rsid w:val="006D5F1F"/>
    <w:rsid w:val="006D63CC"/>
    <w:rsid w:val="006D7663"/>
    <w:rsid w:val="006D7A8C"/>
    <w:rsid w:val="006E03AB"/>
    <w:rsid w:val="006E3144"/>
    <w:rsid w:val="006E333D"/>
    <w:rsid w:val="006E3A3D"/>
    <w:rsid w:val="006E407F"/>
    <w:rsid w:val="006E46A3"/>
    <w:rsid w:val="006E5AE1"/>
    <w:rsid w:val="006F0475"/>
    <w:rsid w:val="006F1D16"/>
    <w:rsid w:val="006F23FC"/>
    <w:rsid w:val="006F369C"/>
    <w:rsid w:val="006F5840"/>
    <w:rsid w:val="006F5B1C"/>
    <w:rsid w:val="006F5F58"/>
    <w:rsid w:val="006F7179"/>
    <w:rsid w:val="00700D55"/>
    <w:rsid w:val="00701299"/>
    <w:rsid w:val="00701BFB"/>
    <w:rsid w:val="0070260B"/>
    <w:rsid w:val="00702C4E"/>
    <w:rsid w:val="00704EA2"/>
    <w:rsid w:val="00705005"/>
    <w:rsid w:val="007051BD"/>
    <w:rsid w:val="00707795"/>
    <w:rsid w:val="00710FBF"/>
    <w:rsid w:val="00713703"/>
    <w:rsid w:val="00715D6F"/>
    <w:rsid w:val="00720850"/>
    <w:rsid w:val="00721001"/>
    <w:rsid w:val="00721FC8"/>
    <w:rsid w:val="00722B6B"/>
    <w:rsid w:val="00723A50"/>
    <w:rsid w:val="00723F7C"/>
    <w:rsid w:val="0072447C"/>
    <w:rsid w:val="00724A8E"/>
    <w:rsid w:val="00725C1E"/>
    <w:rsid w:val="0072670B"/>
    <w:rsid w:val="00726C64"/>
    <w:rsid w:val="00726FF7"/>
    <w:rsid w:val="0072761E"/>
    <w:rsid w:val="00730772"/>
    <w:rsid w:val="00730F5B"/>
    <w:rsid w:val="007311E0"/>
    <w:rsid w:val="0073288F"/>
    <w:rsid w:val="007344DE"/>
    <w:rsid w:val="007349C3"/>
    <w:rsid w:val="007356F4"/>
    <w:rsid w:val="00742AD7"/>
    <w:rsid w:val="0074346B"/>
    <w:rsid w:val="0074397C"/>
    <w:rsid w:val="00744CDF"/>
    <w:rsid w:val="00745012"/>
    <w:rsid w:val="00746BE0"/>
    <w:rsid w:val="00751132"/>
    <w:rsid w:val="007524B4"/>
    <w:rsid w:val="00754A98"/>
    <w:rsid w:val="00760C96"/>
    <w:rsid w:val="00764BE7"/>
    <w:rsid w:val="00766639"/>
    <w:rsid w:val="00766CDB"/>
    <w:rsid w:val="00771E4C"/>
    <w:rsid w:val="007726DA"/>
    <w:rsid w:val="0077437D"/>
    <w:rsid w:val="00775D3A"/>
    <w:rsid w:val="00775EA8"/>
    <w:rsid w:val="007776E1"/>
    <w:rsid w:val="0077789D"/>
    <w:rsid w:val="00781A12"/>
    <w:rsid w:val="0078397D"/>
    <w:rsid w:val="00786AAE"/>
    <w:rsid w:val="00791491"/>
    <w:rsid w:val="00792727"/>
    <w:rsid w:val="0079343D"/>
    <w:rsid w:val="00793B2F"/>
    <w:rsid w:val="00794905"/>
    <w:rsid w:val="00794DFE"/>
    <w:rsid w:val="007A1E9C"/>
    <w:rsid w:val="007A3599"/>
    <w:rsid w:val="007A35AC"/>
    <w:rsid w:val="007A4133"/>
    <w:rsid w:val="007A4D4C"/>
    <w:rsid w:val="007A4FD7"/>
    <w:rsid w:val="007A50BA"/>
    <w:rsid w:val="007B14C1"/>
    <w:rsid w:val="007B2BF9"/>
    <w:rsid w:val="007B2E03"/>
    <w:rsid w:val="007B3D8C"/>
    <w:rsid w:val="007B5141"/>
    <w:rsid w:val="007B534D"/>
    <w:rsid w:val="007B6273"/>
    <w:rsid w:val="007B6468"/>
    <w:rsid w:val="007B6FCE"/>
    <w:rsid w:val="007C01BE"/>
    <w:rsid w:val="007C21B8"/>
    <w:rsid w:val="007C417D"/>
    <w:rsid w:val="007C5769"/>
    <w:rsid w:val="007C6BFD"/>
    <w:rsid w:val="007D63BF"/>
    <w:rsid w:val="007E3742"/>
    <w:rsid w:val="007E4934"/>
    <w:rsid w:val="007E5F8B"/>
    <w:rsid w:val="007E63D6"/>
    <w:rsid w:val="007E6E7F"/>
    <w:rsid w:val="007E7875"/>
    <w:rsid w:val="007E7C32"/>
    <w:rsid w:val="007F1AC9"/>
    <w:rsid w:val="007F1D5B"/>
    <w:rsid w:val="007F5BFA"/>
    <w:rsid w:val="007F6293"/>
    <w:rsid w:val="007F6549"/>
    <w:rsid w:val="00801D23"/>
    <w:rsid w:val="0080358D"/>
    <w:rsid w:val="00804776"/>
    <w:rsid w:val="00804F36"/>
    <w:rsid w:val="00805E9C"/>
    <w:rsid w:val="00805EFA"/>
    <w:rsid w:val="008060C5"/>
    <w:rsid w:val="00807CDF"/>
    <w:rsid w:val="00810236"/>
    <w:rsid w:val="00810CBA"/>
    <w:rsid w:val="0081160C"/>
    <w:rsid w:val="00813DC4"/>
    <w:rsid w:val="00814B24"/>
    <w:rsid w:val="00814C5B"/>
    <w:rsid w:val="00814D01"/>
    <w:rsid w:val="0081507E"/>
    <w:rsid w:val="008152DF"/>
    <w:rsid w:val="008161BD"/>
    <w:rsid w:val="008209A7"/>
    <w:rsid w:val="00820FAA"/>
    <w:rsid w:val="00821B06"/>
    <w:rsid w:val="00822744"/>
    <w:rsid w:val="00823E86"/>
    <w:rsid w:val="0082445D"/>
    <w:rsid w:val="00824855"/>
    <w:rsid w:val="00825927"/>
    <w:rsid w:val="0082647A"/>
    <w:rsid w:val="00830C82"/>
    <w:rsid w:val="008311F0"/>
    <w:rsid w:val="0083665F"/>
    <w:rsid w:val="008375CA"/>
    <w:rsid w:val="0084010A"/>
    <w:rsid w:val="008407B3"/>
    <w:rsid w:val="008410C2"/>
    <w:rsid w:val="00842EDC"/>
    <w:rsid w:val="0084794C"/>
    <w:rsid w:val="008479B9"/>
    <w:rsid w:val="00847B56"/>
    <w:rsid w:val="00847FE9"/>
    <w:rsid w:val="00850972"/>
    <w:rsid w:val="00850B39"/>
    <w:rsid w:val="008513E5"/>
    <w:rsid w:val="008531B3"/>
    <w:rsid w:val="008546F3"/>
    <w:rsid w:val="0085489B"/>
    <w:rsid w:val="008615D7"/>
    <w:rsid w:val="00861B96"/>
    <w:rsid w:val="00862769"/>
    <w:rsid w:val="008634D6"/>
    <w:rsid w:val="00863762"/>
    <w:rsid w:val="00864A66"/>
    <w:rsid w:val="00866C65"/>
    <w:rsid w:val="008670E5"/>
    <w:rsid w:val="00867561"/>
    <w:rsid w:val="00871F01"/>
    <w:rsid w:val="00874371"/>
    <w:rsid w:val="0087694F"/>
    <w:rsid w:val="00876C99"/>
    <w:rsid w:val="0087781C"/>
    <w:rsid w:val="0088042E"/>
    <w:rsid w:val="008814A9"/>
    <w:rsid w:val="00882861"/>
    <w:rsid w:val="00882D11"/>
    <w:rsid w:val="00882FB1"/>
    <w:rsid w:val="0088328B"/>
    <w:rsid w:val="00883586"/>
    <w:rsid w:val="0088528A"/>
    <w:rsid w:val="00890E75"/>
    <w:rsid w:val="00891DC2"/>
    <w:rsid w:val="00893117"/>
    <w:rsid w:val="00894789"/>
    <w:rsid w:val="008974D4"/>
    <w:rsid w:val="008A093F"/>
    <w:rsid w:val="008A0FCE"/>
    <w:rsid w:val="008A2EF1"/>
    <w:rsid w:val="008A3AA3"/>
    <w:rsid w:val="008A3ED0"/>
    <w:rsid w:val="008A670B"/>
    <w:rsid w:val="008A6A00"/>
    <w:rsid w:val="008A6D9A"/>
    <w:rsid w:val="008B0B38"/>
    <w:rsid w:val="008B1EE7"/>
    <w:rsid w:val="008B32F9"/>
    <w:rsid w:val="008B3497"/>
    <w:rsid w:val="008B3C39"/>
    <w:rsid w:val="008B4837"/>
    <w:rsid w:val="008B5FE6"/>
    <w:rsid w:val="008B782C"/>
    <w:rsid w:val="008C0C13"/>
    <w:rsid w:val="008C3AEA"/>
    <w:rsid w:val="008C5916"/>
    <w:rsid w:val="008C76D1"/>
    <w:rsid w:val="008C7A52"/>
    <w:rsid w:val="008C7ED4"/>
    <w:rsid w:val="008D1BA9"/>
    <w:rsid w:val="008D2931"/>
    <w:rsid w:val="008D3222"/>
    <w:rsid w:val="008D4717"/>
    <w:rsid w:val="008D6F7D"/>
    <w:rsid w:val="008E10F1"/>
    <w:rsid w:val="008E281D"/>
    <w:rsid w:val="008E3655"/>
    <w:rsid w:val="008E651C"/>
    <w:rsid w:val="008E6DE9"/>
    <w:rsid w:val="008E7D85"/>
    <w:rsid w:val="008E7F4C"/>
    <w:rsid w:val="008F03D4"/>
    <w:rsid w:val="008F09D1"/>
    <w:rsid w:val="008F5662"/>
    <w:rsid w:val="008F64E0"/>
    <w:rsid w:val="00900AC5"/>
    <w:rsid w:val="0090113F"/>
    <w:rsid w:val="00901CD2"/>
    <w:rsid w:val="00901EDF"/>
    <w:rsid w:val="00902619"/>
    <w:rsid w:val="009073BA"/>
    <w:rsid w:val="00907AD8"/>
    <w:rsid w:val="00910912"/>
    <w:rsid w:val="00910DE9"/>
    <w:rsid w:val="00911EE6"/>
    <w:rsid w:val="0091363D"/>
    <w:rsid w:val="009167C2"/>
    <w:rsid w:val="00920829"/>
    <w:rsid w:val="00920B1F"/>
    <w:rsid w:val="00920D51"/>
    <w:rsid w:val="00922763"/>
    <w:rsid w:val="00922B3A"/>
    <w:rsid w:val="00923C5C"/>
    <w:rsid w:val="0092563C"/>
    <w:rsid w:val="009256CA"/>
    <w:rsid w:val="00925D4C"/>
    <w:rsid w:val="00926C9F"/>
    <w:rsid w:val="0093133C"/>
    <w:rsid w:val="0093190C"/>
    <w:rsid w:val="00934446"/>
    <w:rsid w:val="00936049"/>
    <w:rsid w:val="00936063"/>
    <w:rsid w:val="009362F4"/>
    <w:rsid w:val="00937337"/>
    <w:rsid w:val="00937A43"/>
    <w:rsid w:val="00942565"/>
    <w:rsid w:val="0094266F"/>
    <w:rsid w:val="00942D1D"/>
    <w:rsid w:val="00943F5E"/>
    <w:rsid w:val="009456CF"/>
    <w:rsid w:val="00945DC9"/>
    <w:rsid w:val="00947F93"/>
    <w:rsid w:val="00952156"/>
    <w:rsid w:val="00954065"/>
    <w:rsid w:val="00960A0A"/>
    <w:rsid w:val="00960C17"/>
    <w:rsid w:val="009628BB"/>
    <w:rsid w:val="00966559"/>
    <w:rsid w:val="0096662F"/>
    <w:rsid w:val="00966DE6"/>
    <w:rsid w:val="009675B7"/>
    <w:rsid w:val="0097006B"/>
    <w:rsid w:val="00970E39"/>
    <w:rsid w:val="00971F0F"/>
    <w:rsid w:val="0097213C"/>
    <w:rsid w:val="00973CC5"/>
    <w:rsid w:val="00975CD3"/>
    <w:rsid w:val="00976C24"/>
    <w:rsid w:val="00977A3E"/>
    <w:rsid w:val="0098101E"/>
    <w:rsid w:val="00981066"/>
    <w:rsid w:val="0098343D"/>
    <w:rsid w:val="0098369C"/>
    <w:rsid w:val="0098370C"/>
    <w:rsid w:val="00985D5E"/>
    <w:rsid w:val="009862FF"/>
    <w:rsid w:val="00991863"/>
    <w:rsid w:val="0099199F"/>
    <w:rsid w:val="00993592"/>
    <w:rsid w:val="009A030E"/>
    <w:rsid w:val="009A1DA5"/>
    <w:rsid w:val="009A28CA"/>
    <w:rsid w:val="009A34A0"/>
    <w:rsid w:val="009A490A"/>
    <w:rsid w:val="009A4948"/>
    <w:rsid w:val="009A5D1A"/>
    <w:rsid w:val="009B43FA"/>
    <w:rsid w:val="009B45B4"/>
    <w:rsid w:val="009B4E32"/>
    <w:rsid w:val="009B59AD"/>
    <w:rsid w:val="009C3374"/>
    <w:rsid w:val="009C429B"/>
    <w:rsid w:val="009C4500"/>
    <w:rsid w:val="009C500D"/>
    <w:rsid w:val="009C534D"/>
    <w:rsid w:val="009C6674"/>
    <w:rsid w:val="009C7CD7"/>
    <w:rsid w:val="009D011D"/>
    <w:rsid w:val="009D11A9"/>
    <w:rsid w:val="009D12D0"/>
    <w:rsid w:val="009D1483"/>
    <w:rsid w:val="009D1894"/>
    <w:rsid w:val="009D1FD2"/>
    <w:rsid w:val="009D2A44"/>
    <w:rsid w:val="009D3BCF"/>
    <w:rsid w:val="009D596A"/>
    <w:rsid w:val="009D7910"/>
    <w:rsid w:val="009E41D7"/>
    <w:rsid w:val="009E5BFC"/>
    <w:rsid w:val="009E66B9"/>
    <w:rsid w:val="009E7191"/>
    <w:rsid w:val="009F16AD"/>
    <w:rsid w:val="009F1E2C"/>
    <w:rsid w:val="009F25C8"/>
    <w:rsid w:val="009F2D1A"/>
    <w:rsid w:val="009F3742"/>
    <w:rsid w:val="009F4BDF"/>
    <w:rsid w:val="009F5CF1"/>
    <w:rsid w:val="009F673D"/>
    <w:rsid w:val="009F7CD2"/>
    <w:rsid w:val="00A011B5"/>
    <w:rsid w:val="00A01A7B"/>
    <w:rsid w:val="00A02349"/>
    <w:rsid w:val="00A03099"/>
    <w:rsid w:val="00A040E4"/>
    <w:rsid w:val="00A0519C"/>
    <w:rsid w:val="00A057AA"/>
    <w:rsid w:val="00A1063C"/>
    <w:rsid w:val="00A10DDD"/>
    <w:rsid w:val="00A11DB6"/>
    <w:rsid w:val="00A1321C"/>
    <w:rsid w:val="00A1527E"/>
    <w:rsid w:val="00A15C40"/>
    <w:rsid w:val="00A163C5"/>
    <w:rsid w:val="00A165CF"/>
    <w:rsid w:val="00A2130E"/>
    <w:rsid w:val="00A21625"/>
    <w:rsid w:val="00A21E52"/>
    <w:rsid w:val="00A2211B"/>
    <w:rsid w:val="00A22E80"/>
    <w:rsid w:val="00A23A29"/>
    <w:rsid w:val="00A243B4"/>
    <w:rsid w:val="00A2450F"/>
    <w:rsid w:val="00A2459C"/>
    <w:rsid w:val="00A24799"/>
    <w:rsid w:val="00A25DD2"/>
    <w:rsid w:val="00A26DB2"/>
    <w:rsid w:val="00A3083F"/>
    <w:rsid w:val="00A30AD0"/>
    <w:rsid w:val="00A315E4"/>
    <w:rsid w:val="00A315FD"/>
    <w:rsid w:val="00A317CC"/>
    <w:rsid w:val="00A31A47"/>
    <w:rsid w:val="00A32F26"/>
    <w:rsid w:val="00A37928"/>
    <w:rsid w:val="00A41784"/>
    <w:rsid w:val="00A41BFE"/>
    <w:rsid w:val="00A43800"/>
    <w:rsid w:val="00A4627E"/>
    <w:rsid w:val="00A50C93"/>
    <w:rsid w:val="00A514B2"/>
    <w:rsid w:val="00A5297D"/>
    <w:rsid w:val="00A5471A"/>
    <w:rsid w:val="00A636AF"/>
    <w:rsid w:val="00A63B38"/>
    <w:rsid w:val="00A63D23"/>
    <w:rsid w:val="00A65576"/>
    <w:rsid w:val="00A679AE"/>
    <w:rsid w:val="00A70676"/>
    <w:rsid w:val="00A7519B"/>
    <w:rsid w:val="00A753B6"/>
    <w:rsid w:val="00A75E17"/>
    <w:rsid w:val="00A77E81"/>
    <w:rsid w:val="00A8012A"/>
    <w:rsid w:val="00A8119B"/>
    <w:rsid w:val="00A81D8D"/>
    <w:rsid w:val="00A82A3D"/>
    <w:rsid w:val="00A82C98"/>
    <w:rsid w:val="00A832EA"/>
    <w:rsid w:val="00A85711"/>
    <w:rsid w:val="00A86475"/>
    <w:rsid w:val="00A9098D"/>
    <w:rsid w:val="00A91C26"/>
    <w:rsid w:val="00A93416"/>
    <w:rsid w:val="00A94440"/>
    <w:rsid w:val="00A94F46"/>
    <w:rsid w:val="00A96CF0"/>
    <w:rsid w:val="00A975E6"/>
    <w:rsid w:val="00A977FD"/>
    <w:rsid w:val="00AA0340"/>
    <w:rsid w:val="00AA08E2"/>
    <w:rsid w:val="00AA2AB1"/>
    <w:rsid w:val="00AA5253"/>
    <w:rsid w:val="00AB060A"/>
    <w:rsid w:val="00AB096E"/>
    <w:rsid w:val="00AB2EC7"/>
    <w:rsid w:val="00AB3BD3"/>
    <w:rsid w:val="00AB414C"/>
    <w:rsid w:val="00AB4217"/>
    <w:rsid w:val="00AB51D5"/>
    <w:rsid w:val="00AB5518"/>
    <w:rsid w:val="00AB64AC"/>
    <w:rsid w:val="00AB6729"/>
    <w:rsid w:val="00AB71C4"/>
    <w:rsid w:val="00AB782B"/>
    <w:rsid w:val="00AB7C3C"/>
    <w:rsid w:val="00AC2A2A"/>
    <w:rsid w:val="00AC426C"/>
    <w:rsid w:val="00AC6B4D"/>
    <w:rsid w:val="00AC7D77"/>
    <w:rsid w:val="00AD189D"/>
    <w:rsid w:val="00AD2196"/>
    <w:rsid w:val="00AD243E"/>
    <w:rsid w:val="00AD2AC5"/>
    <w:rsid w:val="00AD4508"/>
    <w:rsid w:val="00AD64A3"/>
    <w:rsid w:val="00AD72C9"/>
    <w:rsid w:val="00AE0A4F"/>
    <w:rsid w:val="00AE16E6"/>
    <w:rsid w:val="00AE1A27"/>
    <w:rsid w:val="00AE3849"/>
    <w:rsid w:val="00AE50CA"/>
    <w:rsid w:val="00AE58DA"/>
    <w:rsid w:val="00AE6F51"/>
    <w:rsid w:val="00AE733D"/>
    <w:rsid w:val="00AE7E86"/>
    <w:rsid w:val="00AF002D"/>
    <w:rsid w:val="00AF5A3E"/>
    <w:rsid w:val="00AF67F8"/>
    <w:rsid w:val="00AF7465"/>
    <w:rsid w:val="00AF7B0B"/>
    <w:rsid w:val="00B00475"/>
    <w:rsid w:val="00B00ADD"/>
    <w:rsid w:val="00B0299C"/>
    <w:rsid w:val="00B05A3C"/>
    <w:rsid w:val="00B114CC"/>
    <w:rsid w:val="00B12741"/>
    <w:rsid w:val="00B13042"/>
    <w:rsid w:val="00B136DC"/>
    <w:rsid w:val="00B15B80"/>
    <w:rsid w:val="00B15CE3"/>
    <w:rsid w:val="00B17001"/>
    <w:rsid w:val="00B17B97"/>
    <w:rsid w:val="00B21186"/>
    <w:rsid w:val="00B219C8"/>
    <w:rsid w:val="00B23D61"/>
    <w:rsid w:val="00B23E43"/>
    <w:rsid w:val="00B24631"/>
    <w:rsid w:val="00B24C3C"/>
    <w:rsid w:val="00B25074"/>
    <w:rsid w:val="00B25322"/>
    <w:rsid w:val="00B26151"/>
    <w:rsid w:val="00B26416"/>
    <w:rsid w:val="00B26E79"/>
    <w:rsid w:val="00B33A8C"/>
    <w:rsid w:val="00B3464B"/>
    <w:rsid w:val="00B354CD"/>
    <w:rsid w:val="00B3686E"/>
    <w:rsid w:val="00B417C2"/>
    <w:rsid w:val="00B41824"/>
    <w:rsid w:val="00B41EAB"/>
    <w:rsid w:val="00B421D0"/>
    <w:rsid w:val="00B4289F"/>
    <w:rsid w:val="00B4456C"/>
    <w:rsid w:val="00B44B69"/>
    <w:rsid w:val="00B45C00"/>
    <w:rsid w:val="00B46E6C"/>
    <w:rsid w:val="00B4749D"/>
    <w:rsid w:val="00B47FF1"/>
    <w:rsid w:val="00B51A6A"/>
    <w:rsid w:val="00B53675"/>
    <w:rsid w:val="00B53BDA"/>
    <w:rsid w:val="00B54F5B"/>
    <w:rsid w:val="00B558FB"/>
    <w:rsid w:val="00B55A0D"/>
    <w:rsid w:val="00B55A4C"/>
    <w:rsid w:val="00B6025C"/>
    <w:rsid w:val="00B61CE1"/>
    <w:rsid w:val="00B628A1"/>
    <w:rsid w:val="00B63FFD"/>
    <w:rsid w:val="00B6496C"/>
    <w:rsid w:val="00B64B99"/>
    <w:rsid w:val="00B6520B"/>
    <w:rsid w:val="00B65E65"/>
    <w:rsid w:val="00B66F7B"/>
    <w:rsid w:val="00B71C53"/>
    <w:rsid w:val="00B73131"/>
    <w:rsid w:val="00B75DE3"/>
    <w:rsid w:val="00B76C68"/>
    <w:rsid w:val="00B77623"/>
    <w:rsid w:val="00B80517"/>
    <w:rsid w:val="00B80D6E"/>
    <w:rsid w:val="00B82BC4"/>
    <w:rsid w:val="00B831F7"/>
    <w:rsid w:val="00B83348"/>
    <w:rsid w:val="00B83456"/>
    <w:rsid w:val="00B83714"/>
    <w:rsid w:val="00B84E23"/>
    <w:rsid w:val="00B871A4"/>
    <w:rsid w:val="00B9188B"/>
    <w:rsid w:val="00B922D2"/>
    <w:rsid w:val="00B9299E"/>
    <w:rsid w:val="00B93B83"/>
    <w:rsid w:val="00B93BD6"/>
    <w:rsid w:val="00B9591F"/>
    <w:rsid w:val="00B95D1B"/>
    <w:rsid w:val="00BA1DF4"/>
    <w:rsid w:val="00BA4B1D"/>
    <w:rsid w:val="00BA5A2D"/>
    <w:rsid w:val="00BA6A62"/>
    <w:rsid w:val="00BA7243"/>
    <w:rsid w:val="00BB01CE"/>
    <w:rsid w:val="00BB3236"/>
    <w:rsid w:val="00BB4079"/>
    <w:rsid w:val="00BB4CC5"/>
    <w:rsid w:val="00BB5049"/>
    <w:rsid w:val="00BB57B6"/>
    <w:rsid w:val="00BB6645"/>
    <w:rsid w:val="00BB68B6"/>
    <w:rsid w:val="00BB6DFB"/>
    <w:rsid w:val="00BB70EF"/>
    <w:rsid w:val="00BB7CA0"/>
    <w:rsid w:val="00BC1E85"/>
    <w:rsid w:val="00BC490B"/>
    <w:rsid w:val="00BC4ADD"/>
    <w:rsid w:val="00BC4B62"/>
    <w:rsid w:val="00BC6599"/>
    <w:rsid w:val="00BC68BF"/>
    <w:rsid w:val="00BC7BCB"/>
    <w:rsid w:val="00BD0A8E"/>
    <w:rsid w:val="00BD1640"/>
    <w:rsid w:val="00BD453D"/>
    <w:rsid w:val="00BD62F3"/>
    <w:rsid w:val="00BE24E7"/>
    <w:rsid w:val="00BE2B40"/>
    <w:rsid w:val="00BE3320"/>
    <w:rsid w:val="00BE430C"/>
    <w:rsid w:val="00BE4C82"/>
    <w:rsid w:val="00BF08E8"/>
    <w:rsid w:val="00BF32DA"/>
    <w:rsid w:val="00BF3B78"/>
    <w:rsid w:val="00BF41A8"/>
    <w:rsid w:val="00BF4946"/>
    <w:rsid w:val="00BF5A2D"/>
    <w:rsid w:val="00BF601C"/>
    <w:rsid w:val="00BF6A77"/>
    <w:rsid w:val="00C01949"/>
    <w:rsid w:val="00C027B1"/>
    <w:rsid w:val="00C03463"/>
    <w:rsid w:val="00C035D7"/>
    <w:rsid w:val="00C03F46"/>
    <w:rsid w:val="00C04349"/>
    <w:rsid w:val="00C045C7"/>
    <w:rsid w:val="00C1089E"/>
    <w:rsid w:val="00C12710"/>
    <w:rsid w:val="00C14BD5"/>
    <w:rsid w:val="00C14DC2"/>
    <w:rsid w:val="00C170A8"/>
    <w:rsid w:val="00C2217A"/>
    <w:rsid w:val="00C23656"/>
    <w:rsid w:val="00C27F1D"/>
    <w:rsid w:val="00C30F14"/>
    <w:rsid w:val="00C31644"/>
    <w:rsid w:val="00C31CFB"/>
    <w:rsid w:val="00C37349"/>
    <w:rsid w:val="00C415B5"/>
    <w:rsid w:val="00C439C1"/>
    <w:rsid w:val="00C43A52"/>
    <w:rsid w:val="00C43EA0"/>
    <w:rsid w:val="00C45058"/>
    <w:rsid w:val="00C45114"/>
    <w:rsid w:val="00C51BD1"/>
    <w:rsid w:val="00C5247B"/>
    <w:rsid w:val="00C53A04"/>
    <w:rsid w:val="00C54C8E"/>
    <w:rsid w:val="00C55B16"/>
    <w:rsid w:val="00C56AC1"/>
    <w:rsid w:val="00C60843"/>
    <w:rsid w:val="00C614EB"/>
    <w:rsid w:val="00C62AD8"/>
    <w:rsid w:val="00C6310D"/>
    <w:rsid w:val="00C64B78"/>
    <w:rsid w:val="00C65977"/>
    <w:rsid w:val="00C664DC"/>
    <w:rsid w:val="00C66A3B"/>
    <w:rsid w:val="00C67253"/>
    <w:rsid w:val="00C70D6F"/>
    <w:rsid w:val="00C70F1E"/>
    <w:rsid w:val="00C768A3"/>
    <w:rsid w:val="00C81852"/>
    <w:rsid w:val="00C820EF"/>
    <w:rsid w:val="00C82264"/>
    <w:rsid w:val="00C83B57"/>
    <w:rsid w:val="00C8424E"/>
    <w:rsid w:val="00C846B8"/>
    <w:rsid w:val="00C8630D"/>
    <w:rsid w:val="00C87554"/>
    <w:rsid w:val="00C87978"/>
    <w:rsid w:val="00C87BB3"/>
    <w:rsid w:val="00C91612"/>
    <w:rsid w:val="00C932E8"/>
    <w:rsid w:val="00C97770"/>
    <w:rsid w:val="00CA107E"/>
    <w:rsid w:val="00CA195E"/>
    <w:rsid w:val="00CA3368"/>
    <w:rsid w:val="00CA6375"/>
    <w:rsid w:val="00CA7011"/>
    <w:rsid w:val="00CA794B"/>
    <w:rsid w:val="00CB0412"/>
    <w:rsid w:val="00CB0A99"/>
    <w:rsid w:val="00CB33EA"/>
    <w:rsid w:val="00CB5DD3"/>
    <w:rsid w:val="00CB6FE1"/>
    <w:rsid w:val="00CC129C"/>
    <w:rsid w:val="00CC13B7"/>
    <w:rsid w:val="00CC18AD"/>
    <w:rsid w:val="00CC1C2A"/>
    <w:rsid w:val="00CC4275"/>
    <w:rsid w:val="00CC42DC"/>
    <w:rsid w:val="00CC48A9"/>
    <w:rsid w:val="00CC7761"/>
    <w:rsid w:val="00CD24BF"/>
    <w:rsid w:val="00CD24D6"/>
    <w:rsid w:val="00CD291B"/>
    <w:rsid w:val="00CD3AE5"/>
    <w:rsid w:val="00CD5122"/>
    <w:rsid w:val="00CD61C7"/>
    <w:rsid w:val="00CD6F24"/>
    <w:rsid w:val="00CD7E73"/>
    <w:rsid w:val="00CE063A"/>
    <w:rsid w:val="00CE1B84"/>
    <w:rsid w:val="00CE6D28"/>
    <w:rsid w:val="00CE7F08"/>
    <w:rsid w:val="00CF006A"/>
    <w:rsid w:val="00CF24DB"/>
    <w:rsid w:val="00CF3F6C"/>
    <w:rsid w:val="00CF53B5"/>
    <w:rsid w:val="00CF6D6D"/>
    <w:rsid w:val="00D01F1B"/>
    <w:rsid w:val="00D0290E"/>
    <w:rsid w:val="00D02FFA"/>
    <w:rsid w:val="00D05BAB"/>
    <w:rsid w:val="00D06ABD"/>
    <w:rsid w:val="00D07833"/>
    <w:rsid w:val="00D11689"/>
    <w:rsid w:val="00D148F2"/>
    <w:rsid w:val="00D156D7"/>
    <w:rsid w:val="00D15DA2"/>
    <w:rsid w:val="00D200DD"/>
    <w:rsid w:val="00D221B6"/>
    <w:rsid w:val="00D24061"/>
    <w:rsid w:val="00D25F88"/>
    <w:rsid w:val="00D26701"/>
    <w:rsid w:val="00D26711"/>
    <w:rsid w:val="00D27976"/>
    <w:rsid w:val="00D3052A"/>
    <w:rsid w:val="00D326CE"/>
    <w:rsid w:val="00D337EE"/>
    <w:rsid w:val="00D33CAE"/>
    <w:rsid w:val="00D35DC6"/>
    <w:rsid w:val="00D362CC"/>
    <w:rsid w:val="00D36D31"/>
    <w:rsid w:val="00D37A82"/>
    <w:rsid w:val="00D400F7"/>
    <w:rsid w:val="00D404FF"/>
    <w:rsid w:val="00D422BD"/>
    <w:rsid w:val="00D43DBF"/>
    <w:rsid w:val="00D44A36"/>
    <w:rsid w:val="00D45135"/>
    <w:rsid w:val="00D46EFE"/>
    <w:rsid w:val="00D47F0E"/>
    <w:rsid w:val="00D50C4B"/>
    <w:rsid w:val="00D51838"/>
    <w:rsid w:val="00D519AB"/>
    <w:rsid w:val="00D51A27"/>
    <w:rsid w:val="00D51D93"/>
    <w:rsid w:val="00D51FEA"/>
    <w:rsid w:val="00D5387E"/>
    <w:rsid w:val="00D53FC1"/>
    <w:rsid w:val="00D56399"/>
    <w:rsid w:val="00D56E0C"/>
    <w:rsid w:val="00D57F1E"/>
    <w:rsid w:val="00D63A1F"/>
    <w:rsid w:val="00D64348"/>
    <w:rsid w:val="00D64B10"/>
    <w:rsid w:val="00D6626E"/>
    <w:rsid w:val="00D67876"/>
    <w:rsid w:val="00D7102A"/>
    <w:rsid w:val="00D72377"/>
    <w:rsid w:val="00D75177"/>
    <w:rsid w:val="00D7533D"/>
    <w:rsid w:val="00D76509"/>
    <w:rsid w:val="00D767C3"/>
    <w:rsid w:val="00D80B3A"/>
    <w:rsid w:val="00D81A66"/>
    <w:rsid w:val="00D82D81"/>
    <w:rsid w:val="00D831E6"/>
    <w:rsid w:val="00D8496B"/>
    <w:rsid w:val="00D84C3C"/>
    <w:rsid w:val="00D901C2"/>
    <w:rsid w:val="00D94CD9"/>
    <w:rsid w:val="00D955F4"/>
    <w:rsid w:val="00D95F4C"/>
    <w:rsid w:val="00D96374"/>
    <w:rsid w:val="00D9652F"/>
    <w:rsid w:val="00D97DF6"/>
    <w:rsid w:val="00DA03E9"/>
    <w:rsid w:val="00DA0D81"/>
    <w:rsid w:val="00DA3052"/>
    <w:rsid w:val="00DA3D85"/>
    <w:rsid w:val="00DA47E2"/>
    <w:rsid w:val="00DA510F"/>
    <w:rsid w:val="00DA52F4"/>
    <w:rsid w:val="00DB0BD6"/>
    <w:rsid w:val="00DB0DAE"/>
    <w:rsid w:val="00DB1582"/>
    <w:rsid w:val="00DB1EBB"/>
    <w:rsid w:val="00DB2AB5"/>
    <w:rsid w:val="00DB2D48"/>
    <w:rsid w:val="00DB4CC6"/>
    <w:rsid w:val="00DB7D9F"/>
    <w:rsid w:val="00DC04A3"/>
    <w:rsid w:val="00DC06D9"/>
    <w:rsid w:val="00DC16DC"/>
    <w:rsid w:val="00DC32F4"/>
    <w:rsid w:val="00DC761B"/>
    <w:rsid w:val="00DD1819"/>
    <w:rsid w:val="00DD3939"/>
    <w:rsid w:val="00DD39E5"/>
    <w:rsid w:val="00DD39FA"/>
    <w:rsid w:val="00DD5703"/>
    <w:rsid w:val="00DD7ADA"/>
    <w:rsid w:val="00DE06D4"/>
    <w:rsid w:val="00DE2C99"/>
    <w:rsid w:val="00DE325E"/>
    <w:rsid w:val="00DE333A"/>
    <w:rsid w:val="00DE36C8"/>
    <w:rsid w:val="00DE45B2"/>
    <w:rsid w:val="00DE479A"/>
    <w:rsid w:val="00DE5429"/>
    <w:rsid w:val="00DE70D5"/>
    <w:rsid w:val="00DE7B09"/>
    <w:rsid w:val="00DE7BB7"/>
    <w:rsid w:val="00DE7C28"/>
    <w:rsid w:val="00DE7C8F"/>
    <w:rsid w:val="00DF00D3"/>
    <w:rsid w:val="00DF3B48"/>
    <w:rsid w:val="00DF4087"/>
    <w:rsid w:val="00DF7344"/>
    <w:rsid w:val="00DF7E08"/>
    <w:rsid w:val="00E00326"/>
    <w:rsid w:val="00E00449"/>
    <w:rsid w:val="00E00BEC"/>
    <w:rsid w:val="00E00EBD"/>
    <w:rsid w:val="00E017F0"/>
    <w:rsid w:val="00E040FE"/>
    <w:rsid w:val="00E070B6"/>
    <w:rsid w:val="00E07A09"/>
    <w:rsid w:val="00E101CA"/>
    <w:rsid w:val="00E10455"/>
    <w:rsid w:val="00E10651"/>
    <w:rsid w:val="00E13D51"/>
    <w:rsid w:val="00E148EE"/>
    <w:rsid w:val="00E154E9"/>
    <w:rsid w:val="00E16AB1"/>
    <w:rsid w:val="00E17433"/>
    <w:rsid w:val="00E17ED6"/>
    <w:rsid w:val="00E17FB7"/>
    <w:rsid w:val="00E22A6F"/>
    <w:rsid w:val="00E243A4"/>
    <w:rsid w:val="00E25CAC"/>
    <w:rsid w:val="00E25F26"/>
    <w:rsid w:val="00E27369"/>
    <w:rsid w:val="00E323D9"/>
    <w:rsid w:val="00E33A53"/>
    <w:rsid w:val="00E33B76"/>
    <w:rsid w:val="00E3476D"/>
    <w:rsid w:val="00E3569A"/>
    <w:rsid w:val="00E35BC9"/>
    <w:rsid w:val="00E3601E"/>
    <w:rsid w:val="00E374BE"/>
    <w:rsid w:val="00E411E0"/>
    <w:rsid w:val="00E41C95"/>
    <w:rsid w:val="00E4308E"/>
    <w:rsid w:val="00E444BC"/>
    <w:rsid w:val="00E456CD"/>
    <w:rsid w:val="00E45C64"/>
    <w:rsid w:val="00E47F8B"/>
    <w:rsid w:val="00E526C7"/>
    <w:rsid w:val="00E52AC3"/>
    <w:rsid w:val="00E52F0E"/>
    <w:rsid w:val="00E53580"/>
    <w:rsid w:val="00E53806"/>
    <w:rsid w:val="00E54110"/>
    <w:rsid w:val="00E5471B"/>
    <w:rsid w:val="00E54D15"/>
    <w:rsid w:val="00E557E2"/>
    <w:rsid w:val="00E558FE"/>
    <w:rsid w:val="00E57478"/>
    <w:rsid w:val="00E601F1"/>
    <w:rsid w:val="00E606AA"/>
    <w:rsid w:val="00E62A84"/>
    <w:rsid w:val="00E647AE"/>
    <w:rsid w:val="00E64AE2"/>
    <w:rsid w:val="00E723AE"/>
    <w:rsid w:val="00E732F1"/>
    <w:rsid w:val="00E74835"/>
    <w:rsid w:val="00E74990"/>
    <w:rsid w:val="00E80149"/>
    <w:rsid w:val="00E8020A"/>
    <w:rsid w:val="00E805E3"/>
    <w:rsid w:val="00E819A6"/>
    <w:rsid w:val="00E81AE4"/>
    <w:rsid w:val="00E8209E"/>
    <w:rsid w:val="00E856E6"/>
    <w:rsid w:val="00E86AC3"/>
    <w:rsid w:val="00E90315"/>
    <w:rsid w:val="00E90503"/>
    <w:rsid w:val="00E90DE6"/>
    <w:rsid w:val="00E913DF"/>
    <w:rsid w:val="00E941EB"/>
    <w:rsid w:val="00E95EE1"/>
    <w:rsid w:val="00E9622E"/>
    <w:rsid w:val="00E9636F"/>
    <w:rsid w:val="00E96C17"/>
    <w:rsid w:val="00EA025C"/>
    <w:rsid w:val="00EA0606"/>
    <w:rsid w:val="00EA07D4"/>
    <w:rsid w:val="00EA1F62"/>
    <w:rsid w:val="00EA30AD"/>
    <w:rsid w:val="00EA3799"/>
    <w:rsid w:val="00EA39FB"/>
    <w:rsid w:val="00EA4648"/>
    <w:rsid w:val="00EB1C3F"/>
    <w:rsid w:val="00EB4237"/>
    <w:rsid w:val="00EB7D16"/>
    <w:rsid w:val="00EC1985"/>
    <w:rsid w:val="00EC1D4C"/>
    <w:rsid w:val="00EC2564"/>
    <w:rsid w:val="00EC3E1C"/>
    <w:rsid w:val="00EC4331"/>
    <w:rsid w:val="00EC6CCA"/>
    <w:rsid w:val="00ED1686"/>
    <w:rsid w:val="00ED1823"/>
    <w:rsid w:val="00ED45EE"/>
    <w:rsid w:val="00ED68E1"/>
    <w:rsid w:val="00ED69D2"/>
    <w:rsid w:val="00EE02F9"/>
    <w:rsid w:val="00EE2563"/>
    <w:rsid w:val="00EE277A"/>
    <w:rsid w:val="00EE331E"/>
    <w:rsid w:val="00EE33D7"/>
    <w:rsid w:val="00EE3B62"/>
    <w:rsid w:val="00EE645D"/>
    <w:rsid w:val="00EE65DE"/>
    <w:rsid w:val="00EF0B29"/>
    <w:rsid w:val="00EF15B6"/>
    <w:rsid w:val="00EF3144"/>
    <w:rsid w:val="00EF4586"/>
    <w:rsid w:val="00EF471C"/>
    <w:rsid w:val="00EF592F"/>
    <w:rsid w:val="00EF5EC6"/>
    <w:rsid w:val="00EF6747"/>
    <w:rsid w:val="00F01F3F"/>
    <w:rsid w:val="00F0272B"/>
    <w:rsid w:val="00F02ED9"/>
    <w:rsid w:val="00F045D0"/>
    <w:rsid w:val="00F04798"/>
    <w:rsid w:val="00F0490D"/>
    <w:rsid w:val="00F0508D"/>
    <w:rsid w:val="00F06F20"/>
    <w:rsid w:val="00F11F31"/>
    <w:rsid w:val="00F126F2"/>
    <w:rsid w:val="00F12A56"/>
    <w:rsid w:val="00F1411D"/>
    <w:rsid w:val="00F14861"/>
    <w:rsid w:val="00F1597F"/>
    <w:rsid w:val="00F16832"/>
    <w:rsid w:val="00F16BEB"/>
    <w:rsid w:val="00F16C53"/>
    <w:rsid w:val="00F17929"/>
    <w:rsid w:val="00F17A4F"/>
    <w:rsid w:val="00F208C1"/>
    <w:rsid w:val="00F212A0"/>
    <w:rsid w:val="00F23353"/>
    <w:rsid w:val="00F23D11"/>
    <w:rsid w:val="00F240BC"/>
    <w:rsid w:val="00F247C5"/>
    <w:rsid w:val="00F25E02"/>
    <w:rsid w:val="00F25EB9"/>
    <w:rsid w:val="00F300FF"/>
    <w:rsid w:val="00F3089A"/>
    <w:rsid w:val="00F30ADF"/>
    <w:rsid w:val="00F314B6"/>
    <w:rsid w:val="00F31EB3"/>
    <w:rsid w:val="00F32412"/>
    <w:rsid w:val="00F3282A"/>
    <w:rsid w:val="00F32852"/>
    <w:rsid w:val="00F33669"/>
    <w:rsid w:val="00F3465C"/>
    <w:rsid w:val="00F34ABD"/>
    <w:rsid w:val="00F35BD2"/>
    <w:rsid w:val="00F37139"/>
    <w:rsid w:val="00F37A29"/>
    <w:rsid w:val="00F403E9"/>
    <w:rsid w:val="00F405C7"/>
    <w:rsid w:val="00F41D89"/>
    <w:rsid w:val="00F4434B"/>
    <w:rsid w:val="00F44383"/>
    <w:rsid w:val="00F447F5"/>
    <w:rsid w:val="00F44E51"/>
    <w:rsid w:val="00F45105"/>
    <w:rsid w:val="00F452F4"/>
    <w:rsid w:val="00F520A5"/>
    <w:rsid w:val="00F53D61"/>
    <w:rsid w:val="00F552BF"/>
    <w:rsid w:val="00F55B3B"/>
    <w:rsid w:val="00F565FE"/>
    <w:rsid w:val="00F62C3E"/>
    <w:rsid w:val="00F62D37"/>
    <w:rsid w:val="00F6492A"/>
    <w:rsid w:val="00F6530D"/>
    <w:rsid w:val="00F6543E"/>
    <w:rsid w:val="00F717E9"/>
    <w:rsid w:val="00F718EC"/>
    <w:rsid w:val="00F75692"/>
    <w:rsid w:val="00F75844"/>
    <w:rsid w:val="00F75B35"/>
    <w:rsid w:val="00F7667A"/>
    <w:rsid w:val="00F76765"/>
    <w:rsid w:val="00F779EB"/>
    <w:rsid w:val="00F77E50"/>
    <w:rsid w:val="00F83C53"/>
    <w:rsid w:val="00F84536"/>
    <w:rsid w:val="00F848DB"/>
    <w:rsid w:val="00F86A4C"/>
    <w:rsid w:val="00F86CCC"/>
    <w:rsid w:val="00F9054B"/>
    <w:rsid w:val="00F923DD"/>
    <w:rsid w:val="00F92DB5"/>
    <w:rsid w:val="00F9350D"/>
    <w:rsid w:val="00F93869"/>
    <w:rsid w:val="00F94001"/>
    <w:rsid w:val="00F94594"/>
    <w:rsid w:val="00F94C81"/>
    <w:rsid w:val="00F96190"/>
    <w:rsid w:val="00F96959"/>
    <w:rsid w:val="00FA3E14"/>
    <w:rsid w:val="00FA4FEC"/>
    <w:rsid w:val="00FA679C"/>
    <w:rsid w:val="00FA6C93"/>
    <w:rsid w:val="00FB01AB"/>
    <w:rsid w:val="00FB05EE"/>
    <w:rsid w:val="00FB286A"/>
    <w:rsid w:val="00FB3C17"/>
    <w:rsid w:val="00FB465C"/>
    <w:rsid w:val="00FB627C"/>
    <w:rsid w:val="00FB6C82"/>
    <w:rsid w:val="00FC1616"/>
    <w:rsid w:val="00FC4F51"/>
    <w:rsid w:val="00FC51EE"/>
    <w:rsid w:val="00FC5788"/>
    <w:rsid w:val="00FC7C13"/>
    <w:rsid w:val="00FD059A"/>
    <w:rsid w:val="00FD23B0"/>
    <w:rsid w:val="00FD656F"/>
    <w:rsid w:val="00FE1967"/>
    <w:rsid w:val="00FE1E8E"/>
    <w:rsid w:val="00FE2190"/>
    <w:rsid w:val="00FE5348"/>
    <w:rsid w:val="00FF01AB"/>
    <w:rsid w:val="00FF310E"/>
    <w:rsid w:val="00FF446E"/>
    <w:rsid w:val="00FF4613"/>
    <w:rsid w:val="00FF5B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7ABE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character" w:styleId="FollowedHyperlink">
    <w:name w:val="FollowedHyperlink"/>
    <w:basedOn w:val="DefaultParagraphFont"/>
    <w:rsid w:val="007726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203299618">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501045">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0835-4562-463E-9D44-3DF447DF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3121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3693</CharactersWithSpaces>
  <SharedDoc>false</SharedDoc>
  <HLinks>
    <vt:vector size="12" baseType="variant">
      <vt:variant>
        <vt:i4>4915224</vt:i4>
      </vt:variant>
      <vt:variant>
        <vt:i4>3</vt:i4>
      </vt:variant>
      <vt:variant>
        <vt:i4>0</vt:i4>
      </vt:variant>
      <vt:variant>
        <vt:i4>5</vt:i4>
      </vt:variant>
      <vt:variant>
        <vt:lpwstr>http://www.health.gov.au/internet/main/publishing.nsf/Content/health-phicirculars2017-index1</vt:lpwstr>
      </vt:variant>
      <vt:variant>
        <vt:lpwstr/>
      </vt:variant>
      <vt:variant>
        <vt:i4>4915224</vt:i4>
      </vt:variant>
      <vt:variant>
        <vt:i4>0</vt:i4>
      </vt:variant>
      <vt:variant>
        <vt:i4>0</vt:i4>
      </vt:variant>
      <vt:variant>
        <vt:i4>5</vt:i4>
      </vt:variant>
      <vt:variant>
        <vt:lpwstr>http://www.health.gov.au/internet/main/publishing.nsf/Content/health-phicirculars2017-index1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
  <cp:keywords/>
  <cp:lastModifiedBy/>
  <cp:revision>1</cp:revision>
  <cp:lastPrinted>2012-03-13T06:46:00Z</cp:lastPrinted>
  <dcterms:created xsi:type="dcterms:W3CDTF">2019-03-28T05:15:00Z</dcterms:created>
  <dcterms:modified xsi:type="dcterms:W3CDTF">2019-03-28T05:15:00Z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