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B5DEE" w14:textId="77777777" w:rsidR="00331886" w:rsidRDefault="00331886" w:rsidP="00331886">
      <w:pPr>
        <w:pStyle w:val="Head1"/>
        <w:rPr>
          <w:noProof/>
        </w:rPr>
      </w:pPr>
    </w:p>
    <w:p w14:paraId="306F3FAA" w14:textId="77777777" w:rsidR="00331886" w:rsidRDefault="00331886" w:rsidP="00331886">
      <w:pPr>
        <w:rPr>
          <w:noProof/>
          <w:lang w:eastAsia="en-AU"/>
        </w:rPr>
      </w:pPr>
    </w:p>
    <w:p w14:paraId="36EA2C2F" w14:textId="77777777" w:rsidR="00331886" w:rsidRDefault="00331886" w:rsidP="00331886">
      <w:pPr>
        <w:rPr>
          <w:sz w:val="28"/>
        </w:rPr>
      </w:pPr>
      <w:r>
        <w:rPr>
          <w:noProof/>
          <w:lang w:eastAsia="en-AU"/>
        </w:rPr>
        <w:drawing>
          <wp:inline distT="0" distB="0" distL="0" distR="0" wp14:anchorId="31097B5A" wp14:editId="53CDF546">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0ADCF3B" w14:textId="77777777" w:rsidR="00331886" w:rsidRPr="00FA25AC" w:rsidRDefault="005E7285" w:rsidP="00331886">
      <w:pPr>
        <w:pStyle w:val="ShortT"/>
        <w:spacing w:before="240"/>
      </w:pPr>
      <w:bookmarkStart w:id="0" w:name="_GoBack"/>
      <w:r>
        <w:t>Fuel Quality Standards (Petrol) Determination 2019</w:t>
      </w:r>
    </w:p>
    <w:bookmarkEnd w:id="0"/>
    <w:p w14:paraId="36F3E134" w14:textId="77777777" w:rsidR="00331886" w:rsidRPr="00BC3AE3" w:rsidRDefault="00331886" w:rsidP="00331886">
      <w:pPr>
        <w:pStyle w:val="MadeunderText"/>
      </w:pPr>
      <w:r w:rsidRPr="00BC3AE3">
        <w:t>made under</w:t>
      </w:r>
      <w:r>
        <w:t xml:space="preserve"> section</w:t>
      </w:r>
      <w:r w:rsidR="005E7285">
        <w:t xml:space="preserve"> 21</w:t>
      </w:r>
      <w:r>
        <w:t xml:space="preserve"> of the</w:t>
      </w:r>
    </w:p>
    <w:p w14:paraId="45134867" w14:textId="736F59B8" w:rsidR="00331886" w:rsidRPr="00F22885" w:rsidRDefault="005E7285" w:rsidP="00331886">
      <w:pPr>
        <w:pStyle w:val="CompiledMadeUnder"/>
        <w:spacing w:before="240"/>
      </w:pPr>
      <w:r>
        <w:t>Fuel Quality Standards Act 200</w:t>
      </w:r>
      <w:r w:rsidR="00660761">
        <w:t>0</w:t>
      </w:r>
    </w:p>
    <w:p w14:paraId="0FCD8052" w14:textId="77777777"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sidR="005E7285">
        <w:rPr>
          <w:rFonts w:cs="Arial"/>
          <w:b/>
          <w:sz w:val="32"/>
          <w:szCs w:val="32"/>
        </w:rPr>
        <w:t> 1</w:t>
      </w:r>
      <w:r w:rsidRPr="00DB1E94">
        <w:rPr>
          <w:rFonts w:cs="Arial"/>
          <w:color w:val="FF0000"/>
          <w:sz w:val="24"/>
          <w:szCs w:val="24"/>
        </w:rPr>
        <w:tab/>
      </w:r>
    </w:p>
    <w:p w14:paraId="59C088A7" w14:textId="597D95CB" w:rsidR="00331886" w:rsidRPr="00642BE4" w:rsidRDefault="00331886" w:rsidP="00331886">
      <w:pPr>
        <w:spacing w:before="480"/>
        <w:ind w:left="3600" w:hanging="3600"/>
        <w:rPr>
          <w:rFonts w:cs="Arial"/>
          <w:sz w:val="24"/>
        </w:rPr>
      </w:pPr>
      <w:r w:rsidRPr="00642BE4">
        <w:rPr>
          <w:rFonts w:cs="Arial"/>
          <w:b/>
          <w:sz w:val="24"/>
        </w:rPr>
        <w:t>Compilation date:</w:t>
      </w:r>
      <w:r>
        <w:rPr>
          <w:rFonts w:cs="Arial"/>
          <w:sz w:val="24"/>
        </w:rPr>
        <w:tab/>
      </w:r>
      <w:r w:rsidR="005E7285">
        <w:rPr>
          <w:rFonts w:cs="Arial"/>
          <w:sz w:val="24"/>
        </w:rPr>
        <w:t xml:space="preserve">10 </w:t>
      </w:r>
      <w:r w:rsidR="00C41649">
        <w:rPr>
          <w:rFonts w:cs="Arial"/>
          <w:sz w:val="24"/>
        </w:rPr>
        <w:t>February</w:t>
      </w:r>
      <w:r w:rsidR="005E7285">
        <w:rPr>
          <w:rFonts w:cs="Arial"/>
          <w:sz w:val="24"/>
        </w:rPr>
        <w:t xml:space="preserve"> 2021</w:t>
      </w:r>
    </w:p>
    <w:p w14:paraId="4A4757B8" w14:textId="77777777" w:rsidR="00331886" w:rsidRPr="005E7285" w:rsidRDefault="00331886" w:rsidP="00331886">
      <w:pPr>
        <w:spacing w:before="240"/>
        <w:ind w:left="3600" w:hanging="3600"/>
        <w:rPr>
          <w:rFonts w:cs="Arial"/>
          <w:i/>
          <w:sz w:val="24"/>
        </w:rPr>
      </w:pPr>
      <w:r w:rsidRPr="00642BE4">
        <w:rPr>
          <w:rFonts w:cs="Arial"/>
          <w:b/>
          <w:sz w:val="24"/>
        </w:rPr>
        <w:t>Includes amendments up to:</w:t>
      </w:r>
      <w:r w:rsidRPr="008C1DFD">
        <w:rPr>
          <w:rFonts w:cs="Arial"/>
          <w:sz w:val="24"/>
        </w:rPr>
        <w:tab/>
      </w:r>
      <w:r w:rsidR="005E7285" w:rsidRPr="005E7285">
        <w:rPr>
          <w:rFonts w:cs="Arial"/>
          <w:i/>
          <w:sz w:val="24"/>
        </w:rPr>
        <w:t>Fuel Quality Standards (Petrol) Amendment Determination 2021</w:t>
      </w:r>
      <w:r w:rsidR="005E7285" w:rsidRPr="005E7285">
        <w:rPr>
          <w:rFonts w:cs="Arial"/>
          <w:i/>
          <w:color w:val="FF0000"/>
          <w:sz w:val="24"/>
        </w:rPr>
        <w:t xml:space="preserve"> </w:t>
      </w:r>
    </w:p>
    <w:p w14:paraId="2DFCFAA6"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5D286CBF" w14:textId="77777777" w:rsidR="00331886" w:rsidRPr="00042EA7" w:rsidRDefault="00331886" w:rsidP="00331886">
      <w:pPr>
        <w:spacing w:before="240"/>
        <w:rPr>
          <w:rFonts w:cs="Arial"/>
        </w:rPr>
      </w:pPr>
      <w:r w:rsidRPr="00042EA7">
        <w:rPr>
          <w:rFonts w:cs="Arial"/>
          <w:b/>
          <w:szCs w:val="22"/>
        </w:rPr>
        <w:t>This compilation</w:t>
      </w:r>
    </w:p>
    <w:p w14:paraId="72E0CF4C" w14:textId="77777777" w:rsidR="00331886" w:rsidRPr="00042EA7" w:rsidRDefault="00331886" w:rsidP="00331886">
      <w:pPr>
        <w:spacing w:before="120" w:after="120"/>
        <w:rPr>
          <w:rFonts w:cs="Arial"/>
          <w:szCs w:val="22"/>
        </w:rPr>
      </w:pPr>
      <w:r w:rsidRPr="00042EA7">
        <w:rPr>
          <w:rFonts w:cs="Arial"/>
          <w:szCs w:val="22"/>
        </w:rPr>
        <w:t xml:space="preserve">This is a compilation of the </w:t>
      </w:r>
      <w:r w:rsidRPr="00D91B41">
        <w:rPr>
          <w:rFonts w:cs="Arial"/>
          <w:i/>
          <w:color w:val="FF0000"/>
          <w:szCs w:val="22"/>
        </w:rPr>
        <w:fldChar w:fldCharType="begin"/>
      </w:r>
      <w:r w:rsidRPr="00D91B41">
        <w:rPr>
          <w:rFonts w:cs="Arial"/>
          <w:i/>
          <w:color w:val="FF0000"/>
          <w:szCs w:val="22"/>
        </w:rPr>
        <w:instrText xml:space="preserve"> STYLEREF  ShortT </w:instrText>
      </w:r>
      <w:r w:rsidRPr="00D91B41">
        <w:rPr>
          <w:rFonts w:cs="Arial"/>
          <w:i/>
          <w:color w:val="FF0000"/>
          <w:szCs w:val="22"/>
        </w:rPr>
        <w:fldChar w:fldCharType="separate"/>
      </w:r>
      <w:r w:rsidR="005E7285" w:rsidRPr="00AE17F0">
        <w:rPr>
          <w:rFonts w:cs="Arial"/>
          <w:i/>
          <w:noProof/>
          <w:szCs w:val="22"/>
        </w:rPr>
        <w:t>Fuel Quality Standards (Petrol) Determination 2019</w:t>
      </w:r>
      <w:r w:rsidR="005E7285">
        <w:rPr>
          <w:rFonts w:cs="Arial"/>
          <w:i/>
          <w:noProof/>
          <w:color w:val="FF0000"/>
          <w:szCs w:val="22"/>
        </w:rPr>
        <w:t xml:space="preserve"> </w:t>
      </w:r>
      <w:r w:rsidRPr="00D91B41">
        <w:rPr>
          <w:rFonts w:cs="Arial"/>
          <w:i/>
          <w:color w:val="FF0000"/>
          <w:szCs w:val="22"/>
        </w:rPr>
        <w:fldChar w:fldCharType="end"/>
      </w:r>
      <w:r w:rsidRPr="00042EA7">
        <w:rPr>
          <w:rFonts w:cs="Arial"/>
          <w:szCs w:val="22"/>
        </w:rPr>
        <w:t xml:space="preserve">that shows the text of the law as amended and in force </w:t>
      </w:r>
      <w:r w:rsidRPr="00AE17F0">
        <w:rPr>
          <w:rFonts w:cs="Arial"/>
          <w:szCs w:val="22"/>
        </w:rPr>
        <w:t>on</w:t>
      </w:r>
      <w:r w:rsidR="00AE17F0">
        <w:rPr>
          <w:rFonts w:cs="Arial"/>
          <w:szCs w:val="22"/>
        </w:rPr>
        <w:t xml:space="preserve"> 1</w:t>
      </w:r>
      <w:r w:rsidR="00AE17F0" w:rsidRPr="00AE17F0">
        <w:rPr>
          <w:rFonts w:cs="Arial"/>
          <w:szCs w:val="22"/>
        </w:rPr>
        <w:t>0/02</w:t>
      </w:r>
      <w:r w:rsidRPr="00AE17F0">
        <w:rPr>
          <w:rFonts w:cs="Arial"/>
          <w:szCs w:val="22"/>
        </w:rPr>
        <w:t>/</w:t>
      </w:r>
      <w:r w:rsidR="00AE17F0" w:rsidRPr="00AE17F0">
        <w:rPr>
          <w:rFonts w:cs="Arial"/>
          <w:szCs w:val="22"/>
        </w:rPr>
        <w:t>2021</w:t>
      </w:r>
      <w:r w:rsidRPr="00AE17F0">
        <w:rPr>
          <w:rFonts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14:paraId="357D96BD"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2E0C9B84" w14:textId="77777777" w:rsidR="00331886" w:rsidRPr="00042EA7" w:rsidRDefault="00331886" w:rsidP="00331886">
      <w:pPr>
        <w:tabs>
          <w:tab w:val="left" w:pos="5640"/>
        </w:tabs>
        <w:spacing w:before="120" w:after="120"/>
        <w:rPr>
          <w:rFonts w:cs="Arial"/>
          <w:b/>
          <w:szCs w:val="22"/>
        </w:rPr>
      </w:pPr>
      <w:r w:rsidRPr="00042EA7">
        <w:rPr>
          <w:rFonts w:cs="Arial"/>
          <w:b/>
          <w:szCs w:val="22"/>
        </w:rPr>
        <w:t>Uncommenced amendments</w:t>
      </w:r>
    </w:p>
    <w:p w14:paraId="34B6DC0A" w14:textId="77777777" w:rsidR="00331886" w:rsidRPr="00042EA7" w:rsidRDefault="00331886" w:rsidP="00331886">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14:paraId="6624313D" w14:textId="77777777"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14:paraId="1581E78D"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339CBF66" w14:textId="77777777" w:rsidR="00331886" w:rsidRPr="00042EA7" w:rsidRDefault="00331886" w:rsidP="00331886">
      <w:pPr>
        <w:spacing w:before="120" w:after="120"/>
        <w:rPr>
          <w:rFonts w:cs="Arial"/>
          <w:b/>
          <w:szCs w:val="22"/>
        </w:rPr>
      </w:pPr>
      <w:r w:rsidRPr="00042EA7">
        <w:rPr>
          <w:rFonts w:cs="Arial"/>
          <w:b/>
          <w:szCs w:val="22"/>
        </w:rPr>
        <w:t>Modifications</w:t>
      </w:r>
    </w:p>
    <w:p w14:paraId="1F678838"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61E18FDA"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2558914A"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51CA775C"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5F51D618"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618F301B"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4D357066" w14:textId="77777777" w:rsidR="00331886" w:rsidRDefault="00331886" w:rsidP="00331886">
      <w:pPr>
        <w:sectPr w:rsidR="00331886" w:rsidSect="00331886">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3402" w:gutter="0"/>
          <w:cols w:space="708"/>
          <w:titlePg/>
          <w:docGrid w:linePitch="360"/>
        </w:sectPr>
      </w:pPr>
    </w:p>
    <w:p w14:paraId="1625C4CF" w14:textId="77777777" w:rsidR="00331886" w:rsidRPr="00F562AE" w:rsidRDefault="00331886" w:rsidP="00331886">
      <w:pPr>
        <w:outlineLvl w:val="0"/>
        <w:rPr>
          <w:sz w:val="36"/>
        </w:rPr>
      </w:pPr>
      <w:r w:rsidRPr="007A1328">
        <w:rPr>
          <w:sz w:val="36"/>
        </w:rPr>
        <w:lastRenderedPageBreak/>
        <w:t>Contents</w:t>
      </w:r>
      <w:r w:rsidRPr="00F562AE">
        <w:rPr>
          <w:rFonts w:cs="Arial"/>
          <w:color w:val="FF0000"/>
          <w:sz w:val="24"/>
        </w:rPr>
        <w:t xml:space="preserve"> </w:t>
      </w:r>
    </w:p>
    <w:p w14:paraId="41FC052D" w14:textId="77777777" w:rsidR="00331886" w:rsidRPr="007A1328" w:rsidRDefault="00331886" w:rsidP="00331886"/>
    <w:p w14:paraId="7C5F703A" w14:textId="77777777" w:rsidR="00D059CC" w:rsidRPr="00D059CC" w:rsidRDefault="00D059CC">
      <w:pPr>
        <w:pStyle w:val="TOC3"/>
        <w:tabs>
          <w:tab w:val="right" w:leader="dot" w:pos="8303"/>
        </w:tabs>
        <w:rPr>
          <w:rFonts w:ascii="Times New Roman" w:eastAsiaTheme="minorEastAsia" w:hAnsi="Times New Roman" w:cs="Times New Roman"/>
          <w:i w:val="0"/>
          <w:iCs w:val="0"/>
          <w:noProof/>
          <w:sz w:val="22"/>
          <w:szCs w:val="22"/>
          <w:lang w:eastAsia="en-AU"/>
        </w:rPr>
      </w:pPr>
      <w:r>
        <w:fldChar w:fldCharType="begin"/>
      </w:r>
      <w:r>
        <w:instrText xml:space="preserve"> TOC \h \z \t "Heading 1,1,Heading 2,2,Heading 3,3,ActHead 2,1,ActHead 3,2,Head 1,1,Head 2,2,Head 3,3,MessShortTitle,2,ENotesHeading 1,2,ENotesHeading 2,3" </w:instrText>
      </w:r>
      <w:r>
        <w:fldChar w:fldCharType="separate"/>
      </w:r>
      <w:hyperlink w:anchor="_Toc63780302" w:history="1">
        <w:r w:rsidRPr="00D059CC">
          <w:rPr>
            <w:rStyle w:val="Hyperlink"/>
            <w:rFonts w:ascii="Times New Roman" w:hAnsi="Times New Roman" w:cs="Times New Roman"/>
            <w:i w:val="0"/>
            <w:noProof/>
            <w:sz w:val="22"/>
            <w:szCs w:val="22"/>
          </w:rPr>
          <w:t>1  Name</w:t>
        </w:r>
        <w:r w:rsidRPr="00D059CC">
          <w:rPr>
            <w:rFonts w:ascii="Times New Roman" w:hAnsi="Times New Roman" w:cs="Times New Roman"/>
            <w:i w:val="0"/>
            <w:noProof/>
            <w:webHidden/>
            <w:sz w:val="22"/>
            <w:szCs w:val="22"/>
          </w:rPr>
          <w:tab/>
        </w:r>
        <w:r w:rsidRPr="00D059CC">
          <w:rPr>
            <w:rFonts w:ascii="Times New Roman" w:hAnsi="Times New Roman" w:cs="Times New Roman"/>
            <w:i w:val="0"/>
            <w:noProof/>
            <w:webHidden/>
            <w:sz w:val="22"/>
            <w:szCs w:val="22"/>
          </w:rPr>
          <w:fldChar w:fldCharType="begin"/>
        </w:r>
        <w:r w:rsidRPr="00D059CC">
          <w:rPr>
            <w:rFonts w:ascii="Times New Roman" w:hAnsi="Times New Roman" w:cs="Times New Roman"/>
            <w:i w:val="0"/>
            <w:noProof/>
            <w:webHidden/>
            <w:sz w:val="22"/>
            <w:szCs w:val="22"/>
          </w:rPr>
          <w:instrText xml:space="preserve"> PAGEREF _Toc63780302 \h </w:instrText>
        </w:r>
        <w:r w:rsidRPr="00D059CC">
          <w:rPr>
            <w:rFonts w:ascii="Times New Roman" w:hAnsi="Times New Roman" w:cs="Times New Roman"/>
            <w:i w:val="0"/>
            <w:noProof/>
            <w:webHidden/>
            <w:sz w:val="22"/>
            <w:szCs w:val="22"/>
          </w:rPr>
        </w:r>
        <w:r w:rsidRPr="00D059CC">
          <w:rPr>
            <w:rFonts w:ascii="Times New Roman" w:hAnsi="Times New Roman" w:cs="Times New Roman"/>
            <w:i w:val="0"/>
            <w:noProof/>
            <w:webHidden/>
            <w:sz w:val="22"/>
            <w:szCs w:val="22"/>
          </w:rPr>
          <w:fldChar w:fldCharType="separate"/>
        </w:r>
        <w:r w:rsidRPr="00D059CC">
          <w:rPr>
            <w:rFonts w:ascii="Times New Roman" w:hAnsi="Times New Roman" w:cs="Times New Roman"/>
            <w:i w:val="0"/>
            <w:noProof/>
            <w:webHidden/>
            <w:sz w:val="22"/>
            <w:szCs w:val="22"/>
          </w:rPr>
          <w:t>1</w:t>
        </w:r>
        <w:r w:rsidRPr="00D059CC">
          <w:rPr>
            <w:rFonts w:ascii="Times New Roman" w:hAnsi="Times New Roman" w:cs="Times New Roman"/>
            <w:i w:val="0"/>
            <w:noProof/>
            <w:webHidden/>
            <w:sz w:val="22"/>
            <w:szCs w:val="22"/>
          </w:rPr>
          <w:fldChar w:fldCharType="end"/>
        </w:r>
      </w:hyperlink>
    </w:p>
    <w:p w14:paraId="74615BF3" w14:textId="77777777" w:rsidR="00D059CC" w:rsidRPr="00D059CC" w:rsidRDefault="00AB3A8D">
      <w:pPr>
        <w:pStyle w:val="TOC3"/>
        <w:tabs>
          <w:tab w:val="right" w:leader="dot" w:pos="8303"/>
        </w:tabs>
        <w:rPr>
          <w:rFonts w:ascii="Times New Roman" w:eastAsiaTheme="minorEastAsia" w:hAnsi="Times New Roman" w:cs="Times New Roman"/>
          <w:i w:val="0"/>
          <w:iCs w:val="0"/>
          <w:noProof/>
          <w:sz w:val="22"/>
          <w:szCs w:val="22"/>
          <w:lang w:eastAsia="en-AU"/>
        </w:rPr>
      </w:pPr>
      <w:hyperlink w:anchor="_Toc63780303" w:history="1">
        <w:r w:rsidR="00D059CC" w:rsidRPr="00D059CC">
          <w:rPr>
            <w:rStyle w:val="Hyperlink"/>
            <w:rFonts w:ascii="Times New Roman" w:hAnsi="Times New Roman" w:cs="Times New Roman"/>
            <w:i w:val="0"/>
            <w:noProof/>
            <w:sz w:val="22"/>
            <w:szCs w:val="22"/>
          </w:rPr>
          <w:t>3  Authority</w:t>
        </w:r>
        <w:r w:rsidR="00D059CC" w:rsidRPr="00D059CC">
          <w:rPr>
            <w:rFonts w:ascii="Times New Roman" w:hAnsi="Times New Roman" w:cs="Times New Roman"/>
            <w:i w:val="0"/>
            <w:noProof/>
            <w:webHidden/>
            <w:sz w:val="22"/>
            <w:szCs w:val="22"/>
          </w:rPr>
          <w:tab/>
        </w:r>
        <w:r w:rsidR="00D059CC" w:rsidRPr="00D059CC">
          <w:rPr>
            <w:rFonts w:ascii="Times New Roman" w:hAnsi="Times New Roman" w:cs="Times New Roman"/>
            <w:i w:val="0"/>
            <w:noProof/>
            <w:webHidden/>
            <w:sz w:val="22"/>
            <w:szCs w:val="22"/>
          </w:rPr>
          <w:fldChar w:fldCharType="begin"/>
        </w:r>
        <w:r w:rsidR="00D059CC" w:rsidRPr="00D059CC">
          <w:rPr>
            <w:rFonts w:ascii="Times New Roman" w:hAnsi="Times New Roman" w:cs="Times New Roman"/>
            <w:i w:val="0"/>
            <w:noProof/>
            <w:webHidden/>
            <w:sz w:val="22"/>
            <w:szCs w:val="22"/>
          </w:rPr>
          <w:instrText xml:space="preserve"> PAGEREF _Toc63780303 \h </w:instrText>
        </w:r>
        <w:r w:rsidR="00D059CC" w:rsidRPr="00D059CC">
          <w:rPr>
            <w:rFonts w:ascii="Times New Roman" w:hAnsi="Times New Roman" w:cs="Times New Roman"/>
            <w:i w:val="0"/>
            <w:noProof/>
            <w:webHidden/>
            <w:sz w:val="22"/>
            <w:szCs w:val="22"/>
          </w:rPr>
        </w:r>
        <w:r w:rsidR="00D059CC" w:rsidRPr="00D059CC">
          <w:rPr>
            <w:rFonts w:ascii="Times New Roman" w:hAnsi="Times New Roman" w:cs="Times New Roman"/>
            <w:i w:val="0"/>
            <w:noProof/>
            <w:webHidden/>
            <w:sz w:val="22"/>
            <w:szCs w:val="22"/>
          </w:rPr>
          <w:fldChar w:fldCharType="separate"/>
        </w:r>
        <w:r w:rsidR="00D059CC" w:rsidRPr="00D059CC">
          <w:rPr>
            <w:rFonts w:ascii="Times New Roman" w:hAnsi="Times New Roman" w:cs="Times New Roman"/>
            <w:i w:val="0"/>
            <w:noProof/>
            <w:webHidden/>
            <w:sz w:val="22"/>
            <w:szCs w:val="22"/>
          </w:rPr>
          <w:t>1</w:t>
        </w:r>
        <w:r w:rsidR="00D059CC" w:rsidRPr="00D059CC">
          <w:rPr>
            <w:rFonts w:ascii="Times New Roman" w:hAnsi="Times New Roman" w:cs="Times New Roman"/>
            <w:i w:val="0"/>
            <w:noProof/>
            <w:webHidden/>
            <w:sz w:val="22"/>
            <w:szCs w:val="22"/>
          </w:rPr>
          <w:fldChar w:fldCharType="end"/>
        </w:r>
      </w:hyperlink>
    </w:p>
    <w:p w14:paraId="56117548" w14:textId="77777777" w:rsidR="00D059CC" w:rsidRPr="00D059CC" w:rsidRDefault="00AB3A8D">
      <w:pPr>
        <w:pStyle w:val="TOC3"/>
        <w:tabs>
          <w:tab w:val="right" w:leader="dot" w:pos="8303"/>
        </w:tabs>
        <w:rPr>
          <w:rFonts w:ascii="Times New Roman" w:eastAsiaTheme="minorEastAsia" w:hAnsi="Times New Roman" w:cs="Times New Roman"/>
          <w:i w:val="0"/>
          <w:iCs w:val="0"/>
          <w:noProof/>
          <w:sz w:val="22"/>
          <w:szCs w:val="22"/>
          <w:lang w:eastAsia="en-AU"/>
        </w:rPr>
      </w:pPr>
      <w:hyperlink w:anchor="_Toc63780304" w:history="1">
        <w:r w:rsidR="00D059CC" w:rsidRPr="00D059CC">
          <w:rPr>
            <w:rStyle w:val="Hyperlink"/>
            <w:rFonts w:ascii="Times New Roman" w:hAnsi="Times New Roman" w:cs="Times New Roman"/>
            <w:i w:val="0"/>
            <w:noProof/>
            <w:sz w:val="22"/>
            <w:szCs w:val="22"/>
          </w:rPr>
          <w:t>4  Definitions</w:t>
        </w:r>
        <w:r w:rsidR="00D059CC" w:rsidRPr="00D059CC">
          <w:rPr>
            <w:rFonts w:ascii="Times New Roman" w:hAnsi="Times New Roman" w:cs="Times New Roman"/>
            <w:i w:val="0"/>
            <w:noProof/>
            <w:webHidden/>
            <w:sz w:val="22"/>
            <w:szCs w:val="22"/>
          </w:rPr>
          <w:tab/>
        </w:r>
        <w:r w:rsidR="00D059CC" w:rsidRPr="00D059CC">
          <w:rPr>
            <w:rFonts w:ascii="Times New Roman" w:hAnsi="Times New Roman" w:cs="Times New Roman"/>
            <w:i w:val="0"/>
            <w:noProof/>
            <w:webHidden/>
            <w:sz w:val="22"/>
            <w:szCs w:val="22"/>
          </w:rPr>
          <w:fldChar w:fldCharType="begin"/>
        </w:r>
        <w:r w:rsidR="00D059CC" w:rsidRPr="00D059CC">
          <w:rPr>
            <w:rFonts w:ascii="Times New Roman" w:hAnsi="Times New Roman" w:cs="Times New Roman"/>
            <w:i w:val="0"/>
            <w:noProof/>
            <w:webHidden/>
            <w:sz w:val="22"/>
            <w:szCs w:val="22"/>
          </w:rPr>
          <w:instrText xml:space="preserve"> PAGEREF _Toc63780304 \h </w:instrText>
        </w:r>
        <w:r w:rsidR="00D059CC" w:rsidRPr="00D059CC">
          <w:rPr>
            <w:rFonts w:ascii="Times New Roman" w:hAnsi="Times New Roman" w:cs="Times New Roman"/>
            <w:i w:val="0"/>
            <w:noProof/>
            <w:webHidden/>
            <w:sz w:val="22"/>
            <w:szCs w:val="22"/>
          </w:rPr>
        </w:r>
        <w:r w:rsidR="00D059CC" w:rsidRPr="00D059CC">
          <w:rPr>
            <w:rFonts w:ascii="Times New Roman" w:hAnsi="Times New Roman" w:cs="Times New Roman"/>
            <w:i w:val="0"/>
            <w:noProof/>
            <w:webHidden/>
            <w:sz w:val="22"/>
            <w:szCs w:val="22"/>
          </w:rPr>
          <w:fldChar w:fldCharType="separate"/>
        </w:r>
        <w:r w:rsidR="00D059CC" w:rsidRPr="00D059CC">
          <w:rPr>
            <w:rFonts w:ascii="Times New Roman" w:hAnsi="Times New Roman" w:cs="Times New Roman"/>
            <w:i w:val="0"/>
            <w:noProof/>
            <w:webHidden/>
            <w:sz w:val="22"/>
            <w:szCs w:val="22"/>
          </w:rPr>
          <w:t>1</w:t>
        </w:r>
        <w:r w:rsidR="00D059CC" w:rsidRPr="00D059CC">
          <w:rPr>
            <w:rFonts w:ascii="Times New Roman" w:hAnsi="Times New Roman" w:cs="Times New Roman"/>
            <w:i w:val="0"/>
            <w:noProof/>
            <w:webHidden/>
            <w:sz w:val="22"/>
            <w:szCs w:val="22"/>
          </w:rPr>
          <w:fldChar w:fldCharType="end"/>
        </w:r>
      </w:hyperlink>
    </w:p>
    <w:p w14:paraId="76CD3CAB" w14:textId="77777777" w:rsidR="00D059CC" w:rsidRPr="00D059CC" w:rsidRDefault="00AB3A8D">
      <w:pPr>
        <w:pStyle w:val="TOC3"/>
        <w:tabs>
          <w:tab w:val="right" w:leader="dot" w:pos="8303"/>
        </w:tabs>
        <w:rPr>
          <w:rFonts w:ascii="Times New Roman" w:eastAsiaTheme="minorEastAsia" w:hAnsi="Times New Roman" w:cs="Times New Roman"/>
          <w:i w:val="0"/>
          <w:iCs w:val="0"/>
          <w:noProof/>
          <w:sz w:val="22"/>
          <w:szCs w:val="22"/>
          <w:lang w:eastAsia="en-AU"/>
        </w:rPr>
      </w:pPr>
      <w:hyperlink w:anchor="_Toc63780305" w:history="1">
        <w:r w:rsidR="00D059CC" w:rsidRPr="00D059CC">
          <w:rPr>
            <w:rStyle w:val="Hyperlink"/>
            <w:rFonts w:ascii="Times New Roman" w:hAnsi="Times New Roman" w:cs="Times New Roman"/>
            <w:i w:val="0"/>
            <w:noProof/>
            <w:sz w:val="22"/>
            <w:szCs w:val="22"/>
          </w:rPr>
          <w:t>5  Fuel standard for petrol</w:t>
        </w:r>
        <w:r w:rsidR="00D059CC" w:rsidRPr="00D059CC">
          <w:rPr>
            <w:rFonts w:ascii="Times New Roman" w:hAnsi="Times New Roman" w:cs="Times New Roman"/>
            <w:i w:val="0"/>
            <w:noProof/>
            <w:webHidden/>
            <w:sz w:val="22"/>
            <w:szCs w:val="22"/>
          </w:rPr>
          <w:tab/>
        </w:r>
        <w:r w:rsidR="00D059CC" w:rsidRPr="00D059CC">
          <w:rPr>
            <w:rFonts w:ascii="Times New Roman" w:hAnsi="Times New Roman" w:cs="Times New Roman"/>
            <w:i w:val="0"/>
            <w:noProof/>
            <w:webHidden/>
            <w:sz w:val="22"/>
            <w:szCs w:val="22"/>
          </w:rPr>
          <w:fldChar w:fldCharType="begin"/>
        </w:r>
        <w:r w:rsidR="00D059CC" w:rsidRPr="00D059CC">
          <w:rPr>
            <w:rFonts w:ascii="Times New Roman" w:hAnsi="Times New Roman" w:cs="Times New Roman"/>
            <w:i w:val="0"/>
            <w:noProof/>
            <w:webHidden/>
            <w:sz w:val="22"/>
            <w:szCs w:val="22"/>
          </w:rPr>
          <w:instrText xml:space="preserve"> PAGEREF _Toc63780305 \h </w:instrText>
        </w:r>
        <w:r w:rsidR="00D059CC" w:rsidRPr="00D059CC">
          <w:rPr>
            <w:rFonts w:ascii="Times New Roman" w:hAnsi="Times New Roman" w:cs="Times New Roman"/>
            <w:i w:val="0"/>
            <w:noProof/>
            <w:webHidden/>
            <w:sz w:val="22"/>
            <w:szCs w:val="22"/>
          </w:rPr>
        </w:r>
        <w:r w:rsidR="00D059CC" w:rsidRPr="00D059CC">
          <w:rPr>
            <w:rFonts w:ascii="Times New Roman" w:hAnsi="Times New Roman" w:cs="Times New Roman"/>
            <w:i w:val="0"/>
            <w:noProof/>
            <w:webHidden/>
            <w:sz w:val="22"/>
            <w:szCs w:val="22"/>
          </w:rPr>
          <w:fldChar w:fldCharType="separate"/>
        </w:r>
        <w:r w:rsidR="00D059CC" w:rsidRPr="00D059CC">
          <w:rPr>
            <w:rFonts w:ascii="Times New Roman" w:hAnsi="Times New Roman" w:cs="Times New Roman"/>
            <w:i w:val="0"/>
            <w:noProof/>
            <w:webHidden/>
            <w:sz w:val="22"/>
            <w:szCs w:val="22"/>
          </w:rPr>
          <w:t>1</w:t>
        </w:r>
        <w:r w:rsidR="00D059CC" w:rsidRPr="00D059CC">
          <w:rPr>
            <w:rFonts w:ascii="Times New Roman" w:hAnsi="Times New Roman" w:cs="Times New Roman"/>
            <w:i w:val="0"/>
            <w:noProof/>
            <w:webHidden/>
            <w:sz w:val="22"/>
            <w:szCs w:val="22"/>
          </w:rPr>
          <w:fldChar w:fldCharType="end"/>
        </w:r>
      </w:hyperlink>
    </w:p>
    <w:p w14:paraId="3A9D7371" w14:textId="77777777" w:rsidR="00D059CC" w:rsidRPr="00D059CC" w:rsidRDefault="00AB3A8D">
      <w:pPr>
        <w:pStyle w:val="TOC3"/>
        <w:tabs>
          <w:tab w:val="right" w:leader="dot" w:pos="8303"/>
        </w:tabs>
        <w:rPr>
          <w:rFonts w:ascii="Times New Roman" w:eastAsiaTheme="minorEastAsia" w:hAnsi="Times New Roman" w:cs="Times New Roman"/>
          <w:i w:val="0"/>
          <w:iCs w:val="0"/>
          <w:noProof/>
          <w:sz w:val="22"/>
          <w:szCs w:val="22"/>
          <w:lang w:eastAsia="en-AU"/>
        </w:rPr>
      </w:pPr>
      <w:hyperlink w:anchor="_Toc63780306" w:history="1">
        <w:r w:rsidR="00D059CC" w:rsidRPr="00D059CC">
          <w:rPr>
            <w:rStyle w:val="Hyperlink"/>
            <w:rFonts w:ascii="Times New Roman" w:hAnsi="Times New Roman" w:cs="Times New Roman"/>
            <w:i w:val="0"/>
            <w:noProof/>
            <w:sz w:val="22"/>
            <w:szCs w:val="22"/>
          </w:rPr>
          <w:t>6  Fuel standard for ethanol</w:t>
        </w:r>
        <w:r w:rsidR="00D059CC" w:rsidRPr="00D059CC">
          <w:rPr>
            <w:rFonts w:ascii="Times New Roman" w:hAnsi="Times New Roman" w:cs="Times New Roman"/>
            <w:i w:val="0"/>
            <w:noProof/>
            <w:webHidden/>
            <w:sz w:val="22"/>
            <w:szCs w:val="22"/>
          </w:rPr>
          <w:tab/>
        </w:r>
        <w:r w:rsidR="00D059CC" w:rsidRPr="00D059CC">
          <w:rPr>
            <w:rFonts w:ascii="Times New Roman" w:hAnsi="Times New Roman" w:cs="Times New Roman"/>
            <w:i w:val="0"/>
            <w:noProof/>
            <w:webHidden/>
            <w:sz w:val="22"/>
            <w:szCs w:val="22"/>
          </w:rPr>
          <w:fldChar w:fldCharType="begin"/>
        </w:r>
        <w:r w:rsidR="00D059CC" w:rsidRPr="00D059CC">
          <w:rPr>
            <w:rFonts w:ascii="Times New Roman" w:hAnsi="Times New Roman" w:cs="Times New Roman"/>
            <w:i w:val="0"/>
            <w:noProof/>
            <w:webHidden/>
            <w:sz w:val="22"/>
            <w:szCs w:val="22"/>
          </w:rPr>
          <w:instrText xml:space="preserve"> PAGEREF _Toc63780306 \h </w:instrText>
        </w:r>
        <w:r w:rsidR="00D059CC" w:rsidRPr="00D059CC">
          <w:rPr>
            <w:rFonts w:ascii="Times New Roman" w:hAnsi="Times New Roman" w:cs="Times New Roman"/>
            <w:i w:val="0"/>
            <w:noProof/>
            <w:webHidden/>
            <w:sz w:val="22"/>
            <w:szCs w:val="22"/>
          </w:rPr>
        </w:r>
        <w:r w:rsidR="00D059CC" w:rsidRPr="00D059CC">
          <w:rPr>
            <w:rFonts w:ascii="Times New Roman" w:hAnsi="Times New Roman" w:cs="Times New Roman"/>
            <w:i w:val="0"/>
            <w:noProof/>
            <w:webHidden/>
            <w:sz w:val="22"/>
            <w:szCs w:val="22"/>
          </w:rPr>
          <w:fldChar w:fldCharType="separate"/>
        </w:r>
        <w:r w:rsidR="00D059CC" w:rsidRPr="00D059CC">
          <w:rPr>
            <w:rFonts w:ascii="Times New Roman" w:hAnsi="Times New Roman" w:cs="Times New Roman"/>
            <w:i w:val="0"/>
            <w:noProof/>
            <w:webHidden/>
            <w:sz w:val="22"/>
            <w:szCs w:val="22"/>
          </w:rPr>
          <w:t>3</w:t>
        </w:r>
        <w:r w:rsidR="00D059CC" w:rsidRPr="00D059CC">
          <w:rPr>
            <w:rFonts w:ascii="Times New Roman" w:hAnsi="Times New Roman" w:cs="Times New Roman"/>
            <w:i w:val="0"/>
            <w:noProof/>
            <w:webHidden/>
            <w:sz w:val="22"/>
            <w:szCs w:val="22"/>
          </w:rPr>
          <w:fldChar w:fldCharType="end"/>
        </w:r>
      </w:hyperlink>
    </w:p>
    <w:p w14:paraId="41E8629D" w14:textId="77777777" w:rsidR="00C41649" w:rsidRDefault="00C41649">
      <w:pPr>
        <w:pStyle w:val="TOC2"/>
        <w:tabs>
          <w:tab w:val="right" w:leader="dot" w:pos="8303"/>
        </w:tabs>
        <w:rPr>
          <w:rStyle w:val="Hyperlink"/>
          <w:rFonts w:ascii="Times New Roman" w:hAnsi="Times New Roman" w:cs="Times New Roman"/>
          <w:noProof/>
          <w:sz w:val="22"/>
          <w:szCs w:val="22"/>
        </w:rPr>
      </w:pPr>
    </w:p>
    <w:p w14:paraId="456291B0" w14:textId="77777777" w:rsidR="00D059CC" w:rsidRPr="00DB1270" w:rsidRDefault="00AB3A8D">
      <w:pPr>
        <w:pStyle w:val="TOC2"/>
        <w:tabs>
          <w:tab w:val="right" w:leader="dot" w:pos="8303"/>
        </w:tabs>
        <w:rPr>
          <w:rFonts w:ascii="Times New Roman" w:eastAsiaTheme="minorEastAsia" w:hAnsi="Times New Roman" w:cs="Times New Roman"/>
          <w:smallCaps w:val="0"/>
          <w:noProof/>
          <w:sz w:val="22"/>
          <w:szCs w:val="22"/>
          <w:lang w:eastAsia="en-AU"/>
        </w:rPr>
      </w:pPr>
      <w:hyperlink w:anchor="_Toc63780307" w:history="1">
        <w:r w:rsidR="00D059CC" w:rsidRPr="00DB1270">
          <w:rPr>
            <w:rStyle w:val="Hyperlink"/>
            <w:rFonts w:ascii="Times New Roman" w:hAnsi="Times New Roman" w:cs="Times New Roman"/>
            <w:b/>
            <w:smallCaps w:val="0"/>
            <w:noProof/>
            <w:sz w:val="22"/>
            <w:szCs w:val="22"/>
          </w:rPr>
          <w:t>Endnotes</w:t>
        </w:r>
        <w:r w:rsidR="00D059CC" w:rsidRPr="00DB1270">
          <w:rPr>
            <w:rFonts w:ascii="Times New Roman" w:hAnsi="Times New Roman" w:cs="Times New Roman"/>
            <w:noProof/>
            <w:webHidden/>
            <w:sz w:val="22"/>
            <w:szCs w:val="22"/>
          </w:rPr>
          <w:tab/>
        </w:r>
        <w:r w:rsidR="00D059CC" w:rsidRPr="00DB1270">
          <w:rPr>
            <w:rFonts w:ascii="Times New Roman" w:hAnsi="Times New Roman" w:cs="Times New Roman"/>
            <w:noProof/>
            <w:webHidden/>
            <w:sz w:val="22"/>
            <w:szCs w:val="22"/>
          </w:rPr>
          <w:fldChar w:fldCharType="begin"/>
        </w:r>
        <w:r w:rsidR="00D059CC" w:rsidRPr="00DB1270">
          <w:rPr>
            <w:rFonts w:ascii="Times New Roman" w:hAnsi="Times New Roman" w:cs="Times New Roman"/>
            <w:noProof/>
            <w:webHidden/>
            <w:sz w:val="22"/>
            <w:szCs w:val="22"/>
          </w:rPr>
          <w:instrText xml:space="preserve"> PAGEREF _Toc63780307 \h </w:instrText>
        </w:r>
        <w:r w:rsidR="00D059CC" w:rsidRPr="00DB1270">
          <w:rPr>
            <w:rFonts w:ascii="Times New Roman" w:hAnsi="Times New Roman" w:cs="Times New Roman"/>
            <w:noProof/>
            <w:webHidden/>
            <w:sz w:val="22"/>
            <w:szCs w:val="22"/>
          </w:rPr>
        </w:r>
        <w:r w:rsidR="00D059CC" w:rsidRPr="00DB1270">
          <w:rPr>
            <w:rFonts w:ascii="Times New Roman" w:hAnsi="Times New Roman" w:cs="Times New Roman"/>
            <w:noProof/>
            <w:webHidden/>
            <w:sz w:val="22"/>
            <w:szCs w:val="22"/>
          </w:rPr>
          <w:fldChar w:fldCharType="separate"/>
        </w:r>
        <w:r w:rsidR="00D059CC" w:rsidRPr="00DB1270">
          <w:rPr>
            <w:rFonts w:ascii="Times New Roman" w:hAnsi="Times New Roman" w:cs="Times New Roman"/>
            <w:noProof/>
            <w:webHidden/>
            <w:sz w:val="22"/>
            <w:szCs w:val="22"/>
          </w:rPr>
          <w:t>5</w:t>
        </w:r>
        <w:r w:rsidR="00D059CC" w:rsidRPr="00DB1270">
          <w:rPr>
            <w:rFonts w:ascii="Times New Roman" w:hAnsi="Times New Roman" w:cs="Times New Roman"/>
            <w:noProof/>
            <w:webHidden/>
            <w:sz w:val="22"/>
            <w:szCs w:val="22"/>
          </w:rPr>
          <w:fldChar w:fldCharType="end"/>
        </w:r>
      </w:hyperlink>
    </w:p>
    <w:p w14:paraId="717BEC65" w14:textId="77777777" w:rsidR="00D059CC" w:rsidRPr="00DB1270" w:rsidRDefault="00AB3A8D">
      <w:pPr>
        <w:pStyle w:val="TOC3"/>
        <w:tabs>
          <w:tab w:val="right" w:leader="dot" w:pos="8303"/>
        </w:tabs>
        <w:rPr>
          <w:rFonts w:ascii="Times New Roman" w:eastAsiaTheme="minorEastAsia" w:hAnsi="Times New Roman" w:cs="Times New Roman"/>
          <w:i w:val="0"/>
          <w:iCs w:val="0"/>
          <w:noProof/>
          <w:sz w:val="22"/>
          <w:szCs w:val="22"/>
          <w:lang w:eastAsia="en-AU"/>
        </w:rPr>
      </w:pPr>
      <w:hyperlink w:anchor="_Toc63780308" w:history="1">
        <w:r w:rsidR="00D059CC" w:rsidRPr="00DB1270">
          <w:rPr>
            <w:rStyle w:val="Hyperlink"/>
            <w:rFonts w:ascii="Times New Roman" w:hAnsi="Times New Roman" w:cs="Times New Roman"/>
            <w:i w:val="0"/>
            <w:noProof/>
            <w:sz w:val="22"/>
            <w:szCs w:val="22"/>
          </w:rPr>
          <w:t>Endnote 1—About the endnotes</w:t>
        </w:r>
        <w:r w:rsidR="00D059CC" w:rsidRPr="00DB1270">
          <w:rPr>
            <w:rFonts w:ascii="Times New Roman" w:hAnsi="Times New Roman" w:cs="Times New Roman"/>
            <w:i w:val="0"/>
            <w:noProof/>
            <w:webHidden/>
            <w:sz w:val="22"/>
            <w:szCs w:val="22"/>
          </w:rPr>
          <w:tab/>
        </w:r>
        <w:r w:rsidR="00D059CC" w:rsidRPr="00DB1270">
          <w:rPr>
            <w:rFonts w:ascii="Times New Roman" w:hAnsi="Times New Roman" w:cs="Times New Roman"/>
            <w:i w:val="0"/>
            <w:noProof/>
            <w:webHidden/>
            <w:sz w:val="22"/>
            <w:szCs w:val="22"/>
          </w:rPr>
          <w:fldChar w:fldCharType="begin"/>
        </w:r>
        <w:r w:rsidR="00D059CC" w:rsidRPr="00DB1270">
          <w:rPr>
            <w:rFonts w:ascii="Times New Roman" w:hAnsi="Times New Roman" w:cs="Times New Roman"/>
            <w:i w:val="0"/>
            <w:noProof/>
            <w:webHidden/>
            <w:sz w:val="22"/>
            <w:szCs w:val="22"/>
          </w:rPr>
          <w:instrText xml:space="preserve"> PAGEREF _Toc63780308 \h </w:instrText>
        </w:r>
        <w:r w:rsidR="00D059CC" w:rsidRPr="00DB1270">
          <w:rPr>
            <w:rFonts w:ascii="Times New Roman" w:hAnsi="Times New Roman" w:cs="Times New Roman"/>
            <w:i w:val="0"/>
            <w:noProof/>
            <w:webHidden/>
            <w:sz w:val="22"/>
            <w:szCs w:val="22"/>
          </w:rPr>
        </w:r>
        <w:r w:rsidR="00D059CC" w:rsidRPr="00DB1270">
          <w:rPr>
            <w:rFonts w:ascii="Times New Roman" w:hAnsi="Times New Roman" w:cs="Times New Roman"/>
            <w:i w:val="0"/>
            <w:noProof/>
            <w:webHidden/>
            <w:sz w:val="22"/>
            <w:szCs w:val="22"/>
          </w:rPr>
          <w:fldChar w:fldCharType="separate"/>
        </w:r>
        <w:r w:rsidR="00D059CC" w:rsidRPr="00DB1270">
          <w:rPr>
            <w:rFonts w:ascii="Times New Roman" w:hAnsi="Times New Roman" w:cs="Times New Roman"/>
            <w:i w:val="0"/>
            <w:noProof/>
            <w:webHidden/>
            <w:sz w:val="22"/>
            <w:szCs w:val="22"/>
          </w:rPr>
          <w:t>5</w:t>
        </w:r>
        <w:r w:rsidR="00D059CC" w:rsidRPr="00DB1270">
          <w:rPr>
            <w:rFonts w:ascii="Times New Roman" w:hAnsi="Times New Roman" w:cs="Times New Roman"/>
            <w:i w:val="0"/>
            <w:noProof/>
            <w:webHidden/>
            <w:sz w:val="22"/>
            <w:szCs w:val="22"/>
          </w:rPr>
          <w:fldChar w:fldCharType="end"/>
        </w:r>
      </w:hyperlink>
    </w:p>
    <w:p w14:paraId="3A28C844" w14:textId="77777777" w:rsidR="00D059CC" w:rsidRPr="00DB1270" w:rsidRDefault="00AB3A8D">
      <w:pPr>
        <w:pStyle w:val="TOC3"/>
        <w:tabs>
          <w:tab w:val="right" w:leader="dot" w:pos="8303"/>
        </w:tabs>
        <w:rPr>
          <w:rFonts w:ascii="Times New Roman" w:eastAsiaTheme="minorEastAsia" w:hAnsi="Times New Roman" w:cs="Times New Roman"/>
          <w:i w:val="0"/>
          <w:iCs w:val="0"/>
          <w:noProof/>
          <w:sz w:val="22"/>
          <w:szCs w:val="22"/>
          <w:lang w:eastAsia="en-AU"/>
        </w:rPr>
      </w:pPr>
      <w:hyperlink w:anchor="_Toc63780309" w:history="1">
        <w:r w:rsidR="00D059CC" w:rsidRPr="00DB1270">
          <w:rPr>
            <w:rStyle w:val="Hyperlink"/>
            <w:rFonts w:ascii="Times New Roman" w:hAnsi="Times New Roman" w:cs="Times New Roman"/>
            <w:i w:val="0"/>
            <w:noProof/>
            <w:sz w:val="22"/>
            <w:szCs w:val="22"/>
          </w:rPr>
          <w:t>Endnote 2—Abbreviation key</w:t>
        </w:r>
        <w:r w:rsidR="00D059CC" w:rsidRPr="00DB1270">
          <w:rPr>
            <w:rFonts w:ascii="Times New Roman" w:hAnsi="Times New Roman" w:cs="Times New Roman"/>
            <w:i w:val="0"/>
            <w:noProof/>
            <w:webHidden/>
            <w:sz w:val="22"/>
            <w:szCs w:val="22"/>
          </w:rPr>
          <w:tab/>
        </w:r>
        <w:r w:rsidR="00D059CC" w:rsidRPr="00DB1270">
          <w:rPr>
            <w:rFonts w:ascii="Times New Roman" w:hAnsi="Times New Roman" w:cs="Times New Roman"/>
            <w:i w:val="0"/>
            <w:noProof/>
            <w:webHidden/>
            <w:sz w:val="22"/>
            <w:szCs w:val="22"/>
          </w:rPr>
          <w:fldChar w:fldCharType="begin"/>
        </w:r>
        <w:r w:rsidR="00D059CC" w:rsidRPr="00DB1270">
          <w:rPr>
            <w:rFonts w:ascii="Times New Roman" w:hAnsi="Times New Roman" w:cs="Times New Roman"/>
            <w:i w:val="0"/>
            <w:noProof/>
            <w:webHidden/>
            <w:sz w:val="22"/>
            <w:szCs w:val="22"/>
          </w:rPr>
          <w:instrText xml:space="preserve"> PAGEREF _Toc63780309 \h </w:instrText>
        </w:r>
        <w:r w:rsidR="00D059CC" w:rsidRPr="00DB1270">
          <w:rPr>
            <w:rFonts w:ascii="Times New Roman" w:hAnsi="Times New Roman" w:cs="Times New Roman"/>
            <w:i w:val="0"/>
            <w:noProof/>
            <w:webHidden/>
            <w:sz w:val="22"/>
            <w:szCs w:val="22"/>
          </w:rPr>
        </w:r>
        <w:r w:rsidR="00D059CC" w:rsidRPr="00DB1270">
          <w:rPr>
            <w:rFonts w:ascii="Times New Roman" w:hAnsi="Times New Roman" w:cs="Times New Roman"/>
            <w:i w:val="0"/>
            <w:noProof/>
            <w:webHidden/>
            <w:sz w:val="22"/>
            <w:szCs w:val="22"/>
          </w:rPr>
          <w:fldChar w:fldCharType="separate"/>
        </w:r>
        <w:r w:rsidR="00D059CC" w:rsidRPr="00DB1270">
          <w:rPr>
            <w:rFonts w:ascii="Times New Roman" w:hAnsi="Times New Roman" w:cs="Times New Roman"/>
            <w:i w:val="0"/>
            <w:noProof/>
            <w:webHidden/>
            <w:sz w:val="22"/>
            <w:szCs w:val="22"/>
          </w:rPr>
          <w:t>6</w:t>
        </w:r>
        <w:r w:rsidR="00D059CC" w:rsidRPr="00DB1270">
          <w:rPr>
            <w:rFonts w:ascii="Times New Roman" w:hAnsi="Times New Roman" w:cs="Times New Roman"/>
            <w:i w:val="0"/>
            <w:noProof/>
            <w:webHidden/>
            <w:sz w:val="22"/>
            <w:szCs w:val="22"/>
          </w:rPr>
          <w:fldChar w:fldCharType="end"/>
        </w:r>
      </w:hyperlink>
    </w:p>
    <w:p w14:paraId="4997AFFF" w14:textId="77777777" w:rsidR="00D059CC" w:rsidRPr="00DB1270" w:rsidRDefault="00AB3A8D">
      <w:pPr>
        <w:pStyle w:val="TOC3"/>
        <w:tabs>
          <w:tab w:val="right" w:leader="dot" w:pos="8303"/>
        </w:tabs>
        <w:rPr>
          <w:rFonts w:ascii="Times New Roman" w:eastAsiaTheme="minorEastAsia" w:hAnsi="Times New Roman" w:cs="Times New Roman"/>
          <w:i w:val="0"/>
          <w:iCs w:val="0"/>
          <w:noProof/>
          <w:sz w:val="22"/>
          <w:szCs w:val="22"/>
          <w:lang w:eastAsia="en-AU"/>
        </w:rPr>
      </w:pPr>
      <w:hyperlink w:anchor="_Toc63780310" w:history="1">
        <w:r w:rsidR="00D059CC" w:rsidRPr="00DB1270">
          <w:rPr>
            <w:rStyle w:val="Hyperlink"/>
            <w:rFonts w:ascii="Times New Roman" w:hAnsi="Times New Roman" w:cs="Times New Roman"/>
            <w:i w:val="0"/>
            <w:noProof/>
            <w:sz w:val="22"/>
            <w:szCs w:val="22"/>
          </w:rPr>
          <w:t>Endnote 3—Legislation history</w:t>
        </w:r>
        <w:r w:rsidR="00D059CC" w:rsidRPr="00DB1270">
          <w:rPr>
            <w:rFonts w:ascii="Times New Roman" w:hAnsi="Times New Roman" w:cs="Times New Roman"/>
            <w:i w:val="0"/>
            <w:noProof/>
            <w:webHidden/>
            <w:sz w:val="22"/>
            <w:szCs w:val="22"/>
          </w:rPr>
          <w:tab/>
        </w:r>
        <w:r w:rsidR="00D059CC" w:rsidRPr="00DB1270">
          <w:rPr>
            <w:rFonts w:ascii="Times New Roman" w:hAnsi="Times New Roman" w:cs="Times New Roman"/>
            <w:i w:val="0"/>
            <w:noProof/>
            <w:webHidden/>
            <w:sz w:val="22"/>
            <w:szCs w:val="22"/>
          </w:rPr>
          <w:fldChar w:fldCharType="begin"/>
        </w:r>
        <w:r w:rsidR="00D059CC" w:rsidRPr="00DB1270">
          <w:rPr>
            <w:rFonts w:ascii="Times New Roman" w:hAnsi="Times New Roman" w:cs="Times New Roman"/>
            <w:i w:val="0"/>
            <w:noProof/>
            <w:webHidden/>
            <w:sz w:val="22"/>
            <w:szCs w:val="22"/>
          </w:rPr>
          <w:instrText xml:space="preserve"> PAGEREF _Toc63780310 \h </w:instrText>
        </w:r>
        <w:r w:rsidR="00D059CC" w:rsidRPr="00DB1270">
          <w:rPr>
            <w:rFonts w:ascii="Times New Roman" w:hAnsi="Times New Roman" w:cs="Times New Roman"/>
            <w:i w:val="0"/>
            <w:noProof/>
            <w:webHidden/>
            <w:sz w:val="22"/>
            <w:szCs w:val="22"/>
          </w:rPr>
        </w:r>
        <w:r w:rsidR="00D059CC" w:rsidRPr="00DB1270">
          <w:rPr>
            <w:rFonts w:ascii="Times New Roman" w:hAnsi="Times New Roman" w:cs="Times New Roman"/>
            <w:i w:val="0"/>
            <w:noProof/>
            <w:webHidden/>
            <w:sz w:val="22"/>
            <w:szCs w:val="22"/>
          </w:rPr>
          <w:fldChar w:fldCharType="separate"/>
        </w:r>
        <w:r w:rsidR="00D059CC" w:rsidRPr="00DB1270">
          <w:rPr>
            <w:rFonts w:ascii="Times New Roman" w:hAnsi="Times New Roman" w:cs="Times New Roman"/>
            <w:i w:val="0"/>
            <w:noProof/>
            <w:webHidden/>
            <w:sz w:val="22"/>
            <w:szCs w:val="22"/>
          </w:rPr>
          <w:t>7</w:t>
        </w:r>
        <w:r w:rsidR="00D059CC" w:rsidRPr="00DB1270">
          <w:rPr>
            <w:rFonts w:ascii="Times New Roman" w:hAnsi="Times New Roman" w:cs="Times New Roman"/>
            <w:i w:val="0"/>
            <w:noProof/>
            <w:webHidden/>
            <w:sz w:val="22"/>
            <w:szCs w:val="22"/>
          </w:rPr>
          <w:fldChar w:fldCharType="end"/>
        </w:r>
      </w:hyperlink>
    </w:p>
    <w:p w14:paraId="5B479490" w14:textId="77777777" w:rsidR="00D059CC" w:rsidRPr="00DB1270" w:rsidRDefault="00AB3A8D">
      <w:pPr>
        <w:pStyle w:val="TOC3"/>
        <w:tabs>
          <w:tab w:val="right" w:leader="dot" w:pos="8303"/>
        </w:tabs>
        <w:rPr>
          <w:rFonts w:ascii="Times New Roman" w:eastAsiaTheme="minorEastAsia" w:hAnsi="Times New Roman" w:cs="Times New Roman"/>
          <w:i w:val="0"/>
          <w:iCs w:val="0"/>
          <w:noProof/>
          <w:sz w:val="22"/>
          <w:szCs w:val="22"/>
          <w:lang w:eastAsia="en-AU"/>
        </w:rPr>
      </w:pPr>
      <w:hyperlink w:anchor="_Toc63780311" w:history="1">
        <w:r w:rsidR="00D059CC" w:rsidRPr="00DB1270">
          <w:rPr>
            <w:rStyle w:val="Hyperlink"/>
            <w:rFonts w:ascii="Times New Roman" w:hAnsi="Times New Roman" w:cs="Times New Roman"/>
            <w:i w:val="0"/>
            <w:noProof/>
            <w:sz w:val="22"/>
            <w:szCs w:val="22"/>
          </w:rPr>
          <w:t>Endnote 4—Amendment history</w:t>
        </w:r>
        <w:r w:rsidR="00D059CC" w:rsidRPr="00DB1270">
          <w:rPr>
            <w:rFonts w:ascii="Times New Roman" w:hAnsi="Times New Roman" w:cs="Times New Roman"/>
            <w:i w:val="0"/>
            <w:noProof/>
            <w:webHidden/>
            <w:sz w:val="22"/>
            <w:szCs w:val="22"/>
          </w:rPr>
          <w:tab/>
        </w:r>
        <w:r w:rsidR="00D059CC" w:rsidRPr="00DB1270">
          <w:rPr>
            <w:rFonts w:ascii="Times New Roman" w:hAnsi="Times New Roman" w:cs="Times New Roman"/>
            <w:i w:val="0"/>
            <w:noProof/>
            <w:webHidden/>
            <w:sz w:val="22"/>
            <w:szCs w:val="22"/>
          </w:rPr>
          <w:fldChar w:fldCharType="begin"/>
        </w:r>
        <w:r w:rsidR="00D059CC" w:rsidRPr="00DB1270">
          <w:rPr>
            <w:rFonts w:ascii="Times New Roman" w:hAnsi="Times New Roman" w:cs="Times New Roman"/>
            <w:i w:val="0"/>
            <w:noProof/>
            <w:webHidden/>
            <w:sz w:val="22"/>
            <w:szCs w:val="22"/>
          </w:rPr>
          <w:instrText xml:space="preserve"> PAGEREF _Toc63780311 \h </w:instrText>
        </w:r>
        <w:r w:rsidR="00D059CC" w:rsidRPr="00DB1270">
          <w:rPr>
            <w:rFonts w:ascii="Times New Roman" w:hAnsi="Times New Roman" w:cs="Times New Roman"/>
            <w:i w:val="0"/>
            <w:noProof/>
            <w:webHidden/>
            <w:sz w:val="22"/>
            <w:szCs w:val="22"/>
          </w:rPr>
        </w:r>
        <w:r w:rsidR="00D059CC" w:rsidRPr="00DB1270">
          <w:rPr>
            <w:rFonts w:ascii="Times New Roman" w:hAnsi="Times New Roman" w:cs="Times New Roman"/>
            <w:i w:val="0"/>
            <w:noProof/>
            <w:webHidden/>
            <w:sz w:val="22"/>
            <w:szCs w:val="22"/>
          </w:rPr>
          <w:fldChar w:fldCharType="separate"/>
        </w:r>
        <w:r w:rsidR="00D059CC" w:rsidRPr="00DB1270">
          <w:rPr>
            <w:rFonts w:ascii="Times New Roman" w:hAnsi="Times New Roman" w:cs="Times New Roman"/>
            <w:i w:val="0"/>
            <w:noProof/>
            <w:webHidden/>
            <w:sz w:val="22"/>
            <w:szCs w:val="22"/>
          </w:rPr>
          <w:t>8</w:t>
        </w:r>
        <w:r w:rsidR="00D059CC" w:rsidRPr="00DB1270">
          <w:rPr>
            <w:rFonts w:ascii="Times New Roman" w:hAnsi="Times New Roman" w:cs="Times New Roman"/>
            <w:i w:val="0"/>
            <w:noProof/>
            <w:webHidden/>
            <w:sz w:val="22"/>
            <w:szCs w:val="22"/>
          </w:rPr>
          <w:fldChar w:fldCharType="end"/>
        </w:r>
      </w:hyperlink>
    </w:p>
    <w:p w14:paraId="641B4ABA" w14:textId="77777777" w:rsidR="00331886" w:rsidRPr="00164D8F" w:rsidRDefault="00D059CC" w:rsidP="00D059CC">
      <w:pPr>
        <w:sectPr w:rsidR="00331886" w:rsidRPr="00164D8F" w:rsidSect="00436157">
          <w:headerReference w:type="even" r:id="rId19"/>
          <w:headerReference w:type="default" r:id="rId20"/>
          <w:footerReference w:type="even" r:id="rId21"/>
          <w:footerReference w:type="default" r:id="rId22"/>
          <w:headerReference w:type="first" r:id="rId23"/>
          <w:pgSz w:w="11907" w:h="16839"/>
          <w:pgMar w:top="2378" w:right="1797" w:bottom="1440" w:left="1797" w:header="720" w:footer="709" w:gutter="0"/>
          <w:pgNumType w:fmt="lowerRoman" w:start="1"/>
          <w:cols w:space="708"/>
          <w:docGrid w:linePitch="360"/>
        </w:sectPr>
      </w:pPr>
      <w:r>
        <w:fldChar w:fldCharType="end"/>
      </w:r>
    </w:p>
    <w:p w14:paraId="060EA96D" w14:textId="77777777" w:rsidR="00AE17F0" w:rsidRPr="00554826" w:rsidRDefault="00AE17F0" w:rsidP="00D059CC">
      <w:pPr>
        <w:pStyle w:val="ENotesHeading2"/>
        <w:spacing w:before="280" w:line="240" w:lineRule="auto"/>
      </w:pPr>
      <w:bookmarkStart w:id="1" w:name="_Toc63772975"/>
      <w:bookmarkStart w:id="2" w:name="_Toc63780302"/>
      <w:r w:rsidRPr="00554826">
        <w:t>1  Name</w:t>
      </w:r>
      <w:bookmarkEnd w:id="1"/>
      <w:bookmarkEnd w:id="2"/>
    </w:p>
    <w:p w14:paraId="7B8664A1" w14:textId="77777777" w:rsidR="00AE17F0" w:rsidRDefault="00AE17F0" w:rsidP="00AE17F0">
      <w:pPr>
        <w:pStyle w:val="subsection"/>
      </w:pPr>
      <w:r w:rsidRPr="009C2562">
        <w:tab/>
      </w:r>
      <w:r w:rsidRPr="009C2562">
        <w:tab/>
        <w:t xml:space="preserve">This </w:t>
      </w:r>
      <w:r>
        <w:t xml:space="preserve">instrument </w:t>
      </w:r>
      <w:r w:rsidRPr="009C2562">
        <w:t xml:space="preserve">is the </w:t>
      </w:r>
      <w:bookmarkStart w:id="3" w:name="BKCheck15B_3"/>
      <w:bookmarkEnd w:id="3"/>
      <w:r>
        <w:rPr>
          <w:i/>
        </w:rPr>
        <w:t>Fuel Quality Standards (Petrol) Determination 2019</w:t>
      </w:r>
      <w:r w:rsidRPr="009C2562">
        <w:t>.</w:t>
      </w:r>
    </w:p>
    <w:p w14:paraId="43E5C07F" w14:textId="77777777" w:rsidR="00AE17F0" w:rsidRPr="00554826" w:rsidRDefault="00AE17F0" w:rsidP="00D059CC">
      <w:pPr>
        <w:pStyle w:val="ENotesHeading2"/>
        <w:spacing w:before="280" w:line="240" w:lineRule="auto"/>
      </w:pPr>
      <w:bookmarkStart w:id="4" w:name="_Toc63772976"/>
      <w:bookmarkStart w:id="5" w:name="_Toc63780303"/>
      <w:r w:rsidRPr="00554826">
        <w:t>3  Authority</w:t>
      </w:r>
      <w:bookmarkEnd w:id="4"/>
      <w:bookmarkEnd w:id="5"/>
    </w:p>
    <w:p w14:paraId="6016B096" w14:textId="77777777" w:rsidR="00AE17F0" w:rsidRPr="009C2562" w:rsidRDefault="00AE17F0" w:rsidP="00AE17F0">
      <w:pPr>
        <w:pStyle w:val="subsection"/>
      </w:pPr>
      <w:r w:rsidRPr="009C2562">
        <w:tab/>
      </w:r>
      <w:r w:rsidRPr="009C2562">
        <w:tab/>
        <w:t xml:space="preserve">This instrument is made under </w:t>
      </w:r>
      <w:r>
        <w:t xml:space="preserve">section 21 of the </w:t>
      </w:r>
      <w:r>
        <w:rPr>
          <w:i/>
        </w:rPr>
        <w:t>Fuel Quality Standards Act 2000</w:t>
      </w:r>
      <w:r w:rsidRPr="009C2562">
        <w:t>.</w:t>
      </w:r>
    </w:p>
    <w:p w14:paraId="61814C46" w14:textId="77777777" w:rsidR="00AE17F0" w:rsidRDefault="00AE17F0" w:rsidP="00D059CC">
      <w:pPr>
        <w:pStyle w:val="ENotesHeading2"/>
        <w:spacing w:before="280" w:line="240" w:lineRule="auto"/>
      </w:pPr>
      <w:bookmarkStart w:id="6" w:name="_Toc63772977"/>
      <w:bookmarkStart w:id="7" w:name="_Toc63780304"/>
      <w:r w:rsidRPr="00554826">
        <w:t>4  Definitions</w:t>
      </w:r>
      <w:bookmarkEnd w:id="6"/>
      <w:bookmarkEnd w:id="7"/>
    </w:p>
    <w:p w14:paraId="3857F4D8" w14:textId="77777777" w:rsidR="00AE17F0" w:rsidRDefault="00AE17F0" w:rsidP="00AE17F0">
      <w:pPr>
        <w:pStyle w:val="notetext"/>
      </w:pPr>
      <w:r>
        <w:t>Note:</w:t>
      </w:r>
      <w:r>
        <w:tab/>
        <w:t>A number of expressions used in this instrument are defined in section 4 of the Act, including the following:</w:t>
      </w:r>
    </w:p>
    <w:p w14:paraId="2158CD06" w14:textId="77777777" w:rsidR="00AE17F0" w:rsidRDefault="00AE17F0" w:rsidP="00AE17F0">
      <w:pPr>
        <w:pStyle w:val="notepara"/>
      </w:pPr>
      <w:r>
        <w:t>(a)</w:t>
      </w:r>
      <w:r>
        <w:tab/>
      </w:r>
      <w:r>
        <w:rPr>
          <w:b/>
          <w:i/>
        </w:rPr>
        <w:t>fuel</w:t>
      </w:r>
    </w:p>
    <w:p w14:paraId="66BE2EC0" w14:textId="77777777" w:rsidR="00AE17F0" w:rsidRPr="007E7937" w:rsidRDefault="00AE17F0" w:rsidP="00AE17F0">
      <w:pPr>
        <w:pStyle w:val="notepara"/>
      </w:pPr>
      <w:r>
        <w:t>(b)</w:t>
      </w:r>
      <w:r>
        <w:tab/>
      </w:r>
      <w:r>
        <w:rPr>
          <w:b/>
          <w:i/>
        </w:rPr>
        <w:t>supply</w:t>
      </w:r>
    </w:p>
    <w:p w14:paraId="29147835" w14:textId="77777777" w:rsidR="00AE17F0" w:rsidRPr="009C2562" w:rsidRDefault="00AE17F0" w:rsidP="00AE17F0">
      <w:pPr>
        <w:pStyle w:val="subsection"/>
      </w:pPr>
      <w:r w:rsidRPr="009C2562">
        <w:tab/>
      </w:r>
      <w:r w:rsidRPr="009C2562">
        <w:tab/>
        <w:t>In this instrument:</w:t>
      </w:r>
    </w:p>
    <w:p w14:paraId="115457C8" w14:textId="77777777" w:rsidR="00AE17F0" w:rsidRPr="009C2562" w:rsidRDefault="00AE17F0" w:rsidP="00AE17F0">
      <w:pPr>
        <w:pStyle w:val="Definition"/>
      </w:pPr>
      <w:r w:rsidRPr="009C2562">
        <w:rPr>
          <w:b/>
          <w:i/>
        </w:rPr>
        <w:t>Act</w:t>
      </w:r>
      <w:r w:rsidRPr="009C2562">
        <w:t xml:space="preserve"> means the </w:t>
      </w:r>
      <w:r>
        <w:rPr>
          <w:i/>
        </w:rPr>
        <w:t>Fuel Quality Standards Act 2000</w:t>
      </w:r>
      <w:r>
        <w:t>.</w:t>
      </w:r>
    </w:p>
    <w:p w14:paraId="6BB854EB" w14:textId="77777777" w:rsidR="00AE17F0" w:rsidRDefault="00AE17F0" w:rsidP="00AE17F0">
      <w:pPr>
        <w:pStyle w:val="Definition"/>
      </w:pPr>
      <w:r>
        <w:rPr>
          <w:b/>
          <w:i/>
        </w:rPr>
        <w:t xml:space="preserve">ASTM </w:t>
      </w:r>
      <w:r>
        <w:t>followed by an alphanumeric code means the testing method developed under that code by the standards development organisation called ASTM International.</w:t>
      </w:r>
    </w:p>
    <w:p w14:paraId="199E9D3B" w14:textId="77777777" w:rsidR="00AE17F0" w:rsidRDefault="00AE17F0" w:rsidP="00AE17F0">
      <w:pPr>
        <w:pStyle w:val="Definition"/>
      </w:pPr>
      <w:r>
        <w:rPr>
          <w:b/>
          <w:i/>
        </w:rPr>
        <w:t>CAS no.</w:t>
      </w:r>
      <w:r w:rsidRPr="00C10846">
        <w:rPr>
          <w:i/>
        </w:rPr>
        <w:t>,</w:t>
      </w:r>
      <w:r>
        <w:rPr>
          <w:b/>
        </w:rPr>
        <w:t xml:space="preserve"> </w:t>
      </w:r>
      <w:r>
        <w:t>for a parameter, means the Chemical Abstracts Service Registry number for the parameter.</w:t>
      </w:r>
    </w:p>
    <w:p w14:paraId="75029C99" w14:textId="77777777" w:rsidR="00AE17F0" w:rsidRDefault="00AE17F0" w:rsidP="00AE17F0">
      <w:pPr>
        <w:pStyle w:val="Definition"/>
      </w:pPr>
      <w:r>
        <w:rPr>
          <w:b/>
          <w:i/>
        </w:rPr>
        <w:t xml:space="preserve">petrol </w:t>
      </w:r>
      <w:r>
        <w:t>does not include aviation gasoline (avgas) supplied for use in aircraft.</w:t>
      </w:r>
    </w:p>
    <w:p w14:paraId="003E9452" w14:textId="77777777" w:rsidR="00AE17F0" w:rsidRDefault="00AE17F0" w:rsidP="00AE17F0">
      <w:pPr>
        <w:pStyle w:val="Definition"/>
      </w:pPr>
      <w:r>
        <w:rPr>
          <w:b/>
          <w:i/>
        </w:rPr>
        <w:t xml:space="preserve">pool average </w:t>
      </w:r>
      <w:r>
        <w:t xml:space="preserve">for aromatic content, means the average amount of aromatics in all batches of petrol across all grades manufactured in Australia, or imported, by a supplier in each 12 months starting on </w:t>
      </w:r>
      <w:r w:rsidRPr="007E7937">
        <w:t>1 January</w:t>
      </w:r>
      <w:r>
        <w:t>.</w:t>
      </w:r>
    </w:p>
    <w:p w14:paraId="7BCCAF47" w14:textId="77777777" w:rsidR="00AE17F0" w:rsidRDefault="00AE17F0" w:rsidP="00AE17F0">
      <w:pPr>
        <w:pStyle w:val="Definition"/>
      </w:pPr>
      <w:r>
        <w:rPr>
          <w:b/>
          <w:i/>
        </w:rPr>
        <w:t xml:space="preserve">mg/kg </w:t>
      </w:r>
      <w:r>
        <w:t>means milligrams per kilogram, and is equivalent to ‘parts per million’ or ‘ppm’ by mass.</w:t>
      </w:r>
    </w:p>
    <w:p w14:paraId="766D3E69" w14:textId="77777777" w:rsidR="00AE17F0" w:rsidRDefault="00AE17F0" w:rsidP="00AE17F0">
      <w:pPr>
        <w:pStyle w:val="Definition"/>
      </w:pPr>
      <w:r>
        <w:rPr>
          <w:b/>
          <w:i/>
        </w:rPr>
        <w:t xml:space="preserve">% v/v </w:t>
      </w:r>
      <w:r>
        <w:t>means per cent volume by volume and is equivalent to ‘volume %’, ‘vol %’ and ‘% vol’.</w:t>
      </w:r>
    </w:p>
    <w:p w14:paraId="580047E4" w14:textId="77777777" w:rsidR="00AE17F0" w:rsidRPr="009F7EBB" w:rsidRDefault="00AE17F0" w:rsidP="00AE17F0">
      <w:pPr>
        <w:pStyle w:val="Definition"/>
      </w:pPr>
      <w:r>
        <w:rPr>
          <w:b/>
          <w:i/>
        </w:rPr>
        <w:t xml:space="preserve">% m/m </w:t>
      </w:r>
      <w:r>
        <w:t>means per cent mass by mass, and is equivalent to ‘mass %’, ‘% mass’ and ‘weight %’.</w:t>
      </w:r>
    </w:p>
    <w:p w14:paraId="1DD2D883" w14:textId="77777777" w:rsidR="00AE17F0" w:rsidRPr="00554826" w:rsidRDefault="00AE17F0" w:rsidP="00D059CC">
      <w:pPr>
        <w:pStyle w:val="ENotesHeading2"/>
        <w:spacing w:before="280" w:line="240" w:lineRule="auto"/>
      </w:pPr>
      <w:bookmarkStart w:id="8" w:name="_Toc454781205"/>
      <w:bookmarkStart w:id="9" w:name="_Toc63772978"/>
      <w:bookmarkStart w:id="10" w:name="_Toc63780305"/>
      <w:r>
        <w:t xml:space="preserve">5  </w:t>
      </w:r>
      <w:bookmarkEnd w:id="8"/>
      <w:r>
        <w:t>Fuel standard for petrol</w:t>
      </w:r>
      <w:bookmarkEnd w:id="9"/>
      <w:bookmarkEnd w:id="10"/>
    </w:p>
    <w:p w14:paraId="3CC8D588" w14:textId="77777777" w:rsidR="00AE17F0" w:rsidRDefault="00AE17F0" w:rsidP="00AE17F0">
      <w:pPr>
        <w:pStyle w:val="subsection"/>
      </w:pPr>
      <w:r w:rsidRPr="006065DA">
        <w:tab/>
      </w:r>
      <w:r>
        <w:t>(1)</w:t>
      </w:r>
      <w:r w:rsidRPr="006065DA">
        <w:tab/>
      </w:r>
      <w:r>
        <w:t>In relation to a parameter mentioned in an item of the following table, petrol must comply with the specification for that parameter mentioned in that item.</w:t>
      </w:r>
    </w:p>
    <w:p w14:paraId="7FB4A83B" w14:textId="77777777" w:rsidR="00AE17F0" w:rsidRDefault="00AE17F0" w:rsidP="00AE17F0">
      <w:pPr>
        <w:pStyle w:val="subsection"/>
        <w:spacing w:after="240"/>
      </w:pPr>
      <w:r>
        <w:tab/>
        <w:t>(2)</w:t>
      </w:r>
      <w:r>
        <w:tab/>
        <w:t>For subsection (1), compliance with the specification for a parameter is determined by using the testing method for that parameter mentioned in that item of the table.</w:t>
      </w:r>
    </w:p>
    <w:tbl>
      <w:tblPr>
        <w:tblW w:w="0" w:type="auto"/>
        <w:tblLook w:val="0000" w:firstRow="0" w:lastRow="0" w:firstColumn="0" w:lastColumn="0" w:noHBand="0" w:noVBand="0"/>
      </w:tblPr>
      <w:tblGrid>
        <w:gridCol w:w="587"/>
        <w:gridCol w:w="2596"/>
        <w:gridCol w:w="3559"/>
        <w:gridCol w:w="1571"/>
      </w:tblGrid>
      <w:tr w:rsidR="00AE17F0" w:rsidRPr="00470E2C" w14:paraId="32A350C4" w14:textId="77777777" w:rsidTr="00E128B8">
        <w:trPr>
          <w:cantSplit/>
          <w:tblHeader/>
        </w:trPr>
        <w:tc>
          <w:tcPr>
            <w:tcW w:w="0" w:type="auto"/>
            <w:tcBorders>
              <w:top w:val="nil"/>
              <w:left w:val="nil"/>
              <w:bottom w:val="single" w:sz="4" w:space="0" w:color="auto"/>
              <w:right w:val="nil"/>
            </w:tcBorders>
          </w:tcPr>
          <w:p w14:paraId="50A6D9DE" w14:textId="77777777" w:rsidR="00AE17F0" w:rsidRPr="00470E2C" w:rsidRDefault="00AE17F0" w:rsidP="00E128B8">
            <w:pPr>
              <w:pStyle w:val="TableColHead"/>
            </w:pPr>
            <w:r w:rsidRPr="00470E2C">
              <w:t>Item</w:t>
            </w:r>
          </w:p>
        </w:tc>
        <w:tc>
          <w:tcPr>
            <w:tcW w:w="2640" w:type="dxa"/>
            <w:tcBorders>
              <w:top w:val="nil"/>
              <w:left w:val="nil"/>
              <w:bottom w:val="single" w:sz="4" w:space="0" w:color="auto"/>
              <w:right w:val="nil"/>
            </w:tcBorders>
          </w:tcPr>
          <w:p w14:paraId="2C00EBFF" w14:textId="77777777" w:rsidR="00AE17F0" w:rsidRPr="00470E2C" w:rsidRDefault="00AE17F0" w:rsidP="00E128B8">
            <w:pPr>
              <w:pStyle w:val="TableColHead"/>
            </w:pPr>
            <w:r w:rsidRPr="00470E2C">
              <w:t>Parameter</w:t>
            </w:r>
          </w:p>
        </w:tc>
        <w:tc>
          <w:tcPr>
            <w:tcW w:w="3685" w:type="dxa"/>
            <w:tcBorders>
              <w:top w:val="nil"/>
              <w:left w:val="nil"/>
              <w:bottom w:val="single" w:sz="4" w:space="0" w:color="auto"/>
              <w:right w:val="nil"/>
            </w:tcBorders>
          </w:tcPr>
          <w:p w14:paraId="3A6A6104" w14:textId="77777777" w:rsidR="00AE17F0" w:rsidRPr="00470E2C" w:rsidRDefault="00AE17F0" w:rsidP="00E128B8">
            <w:pPr>
              <w:pStyle w:val="TableColHead"/>
            </w:pPr>
            <w:r w:rsidRPr="00470E2C">
              <w:t>Specification</w:t>
            </w:r>
          </w:p>
        </w:tc>
        <w:tc>
          <w:tcPr>
            <w:tcW w:w="1617" w:type="dxa"/>
            <w:tcBorders>
              <w:top w:val="nil"/>
              <w:left w:val="nil"/>
              <w:bottom w:val="single" w:sz="4" w:space="0" w:color="auto"/>
              <w:right w:val="nil"/>
            </w:tcBorders>
          </w:tcPr>
          <w:p w14:paraId="1E18A5F4" w14:textId="77777777" w:rsidR="00AE17F0" w:rsidRPr="00470E2C" w:rsidRDefault="00AE17F0" w:rsidP="00E128B8">
            <w:pPr>
              <w:pStyle w:val="TableColHead"/>
            </w:pPr>
            <w:r>
              <w:t>Testing Method</w:t>
            </w:r>
          </w:p>
        </w:tc>
      </w:tr>
      <w:tr w:rsidR="00AE17F0" w:rsidRPr="00470E2C" w14:paraId="4BF4CFC0" w14:textId="77777777" w:rsidTr="00E128B8">
        <w:trPr>
          <w:cantSplit/>
        </w:trPr>
        <w:tc>
          <w:tcPr>
            <w:tcW w:w="0" w:type="auto"/>
            <w:tcBorders>
              <w:top w:val="nil"/>
              <w:left w:val="nil"/>
              <w:bottom w:val="nil"/>
              <w:right w:val="nil"/>
            </w:tcBorders>
          </w:tcPr>
          <w:p w14:paraId="3E5E41D9" w14:textId="77777777" w:rsidR="00AE17F0" w:rsidRPr="00470E2C" w:rsidRDefault="00AE17F0" w:rsidP="00E128B8">
            <w:pPr>
              <w:pStyle w:val="TableText0"/>
              <w:ind w:left="-561" w:right="153"/>
              <w:jc w:val="right"/>
            </w:pPr>
            <w:r w:rsidRPr="00470E2C">
              <w:t>1</w:t>
            </w:r>
          </w:p>
        </w:tc>
        <w:tc>
          <w:tcPr>
            <w:tcW w:w="2640" w:type="dxa"/>
            <w:tcBorders>
              <w:top w:val="nil"/>
              <w:left w:val="nil"/>
              <w:bottom w:val="nil"/>
              <w:right w:val="nil"/>
            </w:tcBorders>
          </w:tcPr>
          <w:p w14:paraId="41110915" w14:textId="77777777" w:rsidR="00AE17F0" w:rsidRPr="00470E2C" w:rsidRDefault="00AE17F0" w:rsidP="00E128B8">
            <w:pPr>
              <w:spacing w:before="60" w:after="60"/>
            </w:pPr>
            <w:r>
              <w:t>Aromatics</w:t>
            </w:r>
          </w:p>
        </w:tc>
        <w:tc>
          <w:tcPr>
            <w:tcW w:w="3685" w:type="dxa"/>
            <w:tcBorders>
              <w:top w:val="nil"/>
              <w:left w:val="nil"/>
              <w:bottom w:val="nil"/>
              <w:right w:val="nil"/>
            </w:tcBorders>
          </w:tcPr>
          <w:p w14:paraId="45965002" w14:textId="77777777" w:rsidR="00AE17F0" w:rsidRDefault="00AE17F0" w:rsidP="00E128B8">
            <w:pPr>
              <w:spacing w:before="60" w:after="60"/>
            </w:pPr>
            <w:r>
              <w:t>Between commencement and 31 December 2021:</w:t>
            </w:r>
          </w:p>
          <w:p w14:paraId="32882D5A" w14:textId="77777777" w:rsidR="00AE17F0" w:rsidRDefault="00AE17F0" w:rsidP="00E128B8">
            <w:pPr>
              <w:spacing w:before="60" w:after="60"/>
            </w:pPr>
            <w:r>
              <w:t>45% v/v maximum with a 42% v/v maximum pool average across all grades</w:t>
            </w:r>
          </w:p>
          <w:p w14:paraId="2D409A42" w14:textId="77777777" w:rsidR="00AE17F0" w:rsidRDefault="00AE17F0" w:rsidP="00E128B8">
            <w:pPr>
              <w:spacing w:before="60" w:after="60"/>
            </w:pPr>
          </w:p>
          <w:p w14:paraId="226A912C" w14:textId="77777777" w:rsidR="00AE17F0" w:rsidRDefault="00AE17F0" w:rsidP="00E128B8">
            <w:pPr>
              <w:spacing w:before="60" w:after="60"/>
            </w:pPr>
            <w:r>
              <w:t>On and from 1 January 2022:</w:t>
            </w:r>
          </w:p>
          <w:p w14:paraId="6D500B7D" w14:textId="77777777" w:rsidR="00AE17F0" w:rsidRPr="00470E2C" w:rsidRDefault="00AE17F0" w:rsidP="00E128B8">
            <w:pPr>
              <w:spacing w:before="60" w:after="60"/>
            </w:pPr>
            <w:r>
              <w:t>45% v/v maximum with a 35% v/v maximum pool average across all grades</w:t>
            </w:r>
          </w:p>
        </w:tc>
        <w:tc>
          <w:tcPr>
            <w:tcW w:w="1617" w:type="dxa"/>
            <w:tcBorders>
              <w:top w:val="nil"/>
              <w:left w:val="nil"/>
              <w:bottom w:val="nil"/>
              <w:right w:val="nil"/>
            </w:tcBorders>
          </w:tcPr>
          <w:p w14:paraId="32D5B7B1" w14:textId="77777777" w:rsidR="00AE17F0" w:rsidRPr="00470E2C" w:rsidRDefault="00AE17F0" w:rsidP="00E128B8">
            <w:pPr>
              <w:spacing w:before="60" w:after="60"/>
            </w:pPr>
            <w:r>
              <w:t>ASTM D1319</w:t>
            </w:r>
          </w:p>
        </w:tc>
      </w:tr>
      <w:tr w:rsidR="00AE17F0" w:rsidRPr="00470E2C" w14:paraId="19B98BA2" w14:textId="77777777" w:rsidTr="00E128B8">
        <w:trPr>
          <w:cantSplit/>
        </w:trPr>
        <w:tc>
          <w:tcPr>
            <w:tcW w:w="0" w:type="auto"/>
            <w:tcBorders>
              <w:top w:val="nil"/>
              <w:left w:val="nil"/>
              <w:bottom w:val="nil"/>
              <w:right w:val="nil"/>
            </w:tcBorders>
          </w:tcPr>
          <w:p w14:paraId="09D2D969" w14:textId="77777777" w:rsidR="00AE17F0" w:rsidRPr="00470E2C" w:rsidRDefault="00AE17F0" w:rsidP="00E128B8">
            <w:pPr>
              <w:pStyle w:val="TableText0"/>
              <w:ind w:left="-561" w:right="153"/>
              <w:jc w:val="right"/>
            </w:pPr>
            <w:r w:rsidRPr="00470E2C">
              <w:t>2</w:t>
            </w:r>
          </w:p>
        </w:tc>
        <w:tc>
          <w:tcPr>
            <w:tcW w:w="2640" w:type="dxa"/>
            <w:tcBorders>
              <w:top w:val="nil"/>
              <w:left w:val="nil"/>
              <w:bottom w:val="nil"/>
              <w:right w:val="nil"/>
            </w:tcBorders>
          </w:tcPr>
          <w:p w14:paraId="78EB50C1" w14:textId="77777777" w:rsidR="00AE17F0" w:rsidRPr="00470E2C" w:rsidRDefault="00AE17F0" w:rsidP="00E128B8">
            <w:pPr>
              <w:spacing w:before="60" w:after="60"/>
            </w:pPr>
            <w:r>
              <w:t>Benzene</w:t>
            </w:r>
          </w:p>
        </w:tc>
        <w:tc>
          <w:tcPr>
            <w:tcW w:w="3685" w:type="dxa"/>
            <w:tcBorders>
              <w:top w:val="nil"/>
              <w:left w:val="nil"/>
              <w:bottom w:val="nil"/>
              <w:right w:val="nil"/>
            </w:tcBorders>
          </w:tcPr>
          <w:p w14:paraId="7686047B" w14:textId="77777777" w:rsidR="00AE17F0" w:rsidRPr="00470E2C" w:rsidRDefault="00AE17F0" w:rsidP="00E128B8">
            <w:pPr>
              <w:spacing w:before="60" w:after="60"/>
            </w:pPr>
            <w:r>
              <w:t>1.0% v/v maximum</w:t>
            </w:r>
          </w:p>
        </w:tc>
        <w:tc>
          <w:tcPr>
            <w:tcW w:w="1617" w:type="dxa"/>
            <w:tcBorders>
              <w:top w:val="nil"/>
              <w:left w:val="nil"/>
              <w:bottom w:val="nil"/>
              <w:right w:val="nil"/>
            </w:tcBorders>
          </w:tcPr>
          <w:p w14:paraId="0E66D301" w14:textId="77777777" w:rsidR="00AE17F0" w:rsidRPr="00470E2C" w:rsidRDefault="00AE17F0" w:rsidP="00E128B8">
            <w:pPr>
              <w:spacing w:before="60" w:after="60"/>
            </w:pPr>
            <w:r>
              <w:t>ASTM D5580</w:t>
            </w:r>
          </w:p>
        </w:tc>
      </w:tr>
      <w:tr w:rsidR="00AE17F0" w:rsidRPr="00470E2C" w14:paraId="39A42C77" w14:textId="77777777" w:rsidTr="00E128B8">
        <w:trPr>
          <w:cantSplit/>
        </w:trPr>
        <w:tc>
          <w:tcPr>
            <w:tcW w:w="0" w:type="auto"/>
            <w:tcBorders>
              <w:top w:val="nil"/>
              <w:left w:val="nil"/>
              <w:bottom w:val="nil"/>
              <w:right w:val="nil"/>
            </w:tcBorders>
          </w:tcPr>
          <w:p w14:paraId="7E2E7727" w14:textId="77777777" w:rsidR="00AE17F0" w:rsidRPr="00470E2C" w:rsidRDefault="00AE17F0" w:rsidP="00E128B8">
            <w:pPr>
              <w:pStyle w:val="TableText0"/>
              <w:ind w:left="-561" w:right="153"/>
              <w:jc w:val="right"/>
            </w:pPr>
            <w:r w:rsidRPr="00470E2C">
              <w:t>3</w:t>
            </w:r>
          </w:p>
        </w:tc>
        <w:tc>
          <w:tcPr>
            <w:tcW w:w="2640" w:type="dxa"/>
            <w:tcBorders>
              <w:top w:val="nil"/>
              <w:left w:val="nil"/>
              <w:bottom w:val="nil"/>
              <w:right w:val="nil"/>
            </w:tcBorders>
          </w:tcPr>
          <w:p w14:paraId="579E00F0" w14:textId="77777777" w:rsidR="00AE17F0" w:rsidRPr="00470E2C" w:rsidRDefault="00AE17F0" w:rsidP="00E128B8">
            <w:pPr>
              <w:spacing w:before="60" w:after="60"/>
            </w:pPr>
            <w:r>
              <w:t>Copper corrosion—3 h at 50</w:t>
            </w:r>
            <w:r w:rsidRPr="007E7937">
              <w:t>°C</w:t>
            </w:r>
          </w:p>
        </w:tc>
        <w:tc>
          <w:tcPr>
            <w:tcW w:w="3685" w:type="dxa"/>
            <w:tcBorders>
              <w:top w:val="nil"/>
              <w:left w:val="nil"/>
              <w:bottom w:val="nil"/>
              <w:right w:val="nil"/>
            </w:tcBorders>
          </w:tcPr>
          <w:p w14:paraId="6396D512" w14:textId="77777777" w:rsidR="00AE17F0" w:rsidRPr="00470E2C" w:rsidRDefault="00AE17F0" w:rsidP="00E128B8">
            <w:pPr>
              <w:tabs>
                <w:tab w:val="left" w:pos="1485"/>
              </w:tabs>
              <w:spacing w:before="60" w:after="60"/>
            </w:pPr>
            <w:r>
              <w:t>Class 1</w:t>
            </w:r>
          </w:p>
        </w:tc>
        <w:tc>
          <w:tcPr>
            <w:tcW w:w="1617" w:type="dxa"/>
            <w:tcBorders>
              <w:top w:val="nil"/>
              <w:left w:val="nil"/>
              <w:bottom w:val="nil"/>
              <w:right w:val="nil"/>
            </w:tcBorders>
          </w:tcPr>
          <w:p w14:paraId="2C79043C" w14:textId="77777777" w:rsidR="00AE17F0" w:rsidRPr="00470E2C" w:rsidRDefault="00AE17F0" w:rsidP="00E128B8">
            <w:pPr>
              <w:tabs>
                <w:tab w:val="left" w:pos="1485"/>
              </w:tabs>
              <w:spacing w:before="60" w:after="60"/>
            </w:pPr>
            <w:r>
              <w:t>ASTM D130</w:t>
            </w:r>
          </w:p>
        </w:tc>
      </w:tr>
      <w:tr w:rsidR="00AE17F0" w:rsidRPr="00470E2C" w14:paraId="079EF5E8" w14:textId="77777777" w:rsidTr="00E128B8">
        <w:trPr>
          <w:cantSplit/>
        </w:trPr>
        <w:tc>
          <w:tcPr>
            <w:tcW w:w="0" w:type="auto"/>
            <w:tcBorders>
              <w:top w:val="nil"/>
              <w:left w:val="nil"/>
              <w:bottom w:val="nil"/>
              <w:right w:val="nil"/>
            </w:tcBorders>
          </w:tcPr>
          <w:p w14:paraId="6A4AB3AF" w14:textId="77777777" w:rsidR="00AE17F0" w:rsidRPr="00470E2C" w:rsidRDefault="00AE17F0" w:rsidP="00E128B8">
            <w:pPr>
              <w:pStyle w:val="TableText0"/>
              <w:ind w:left="-561" w:right="153"/>
              <w:jc w:val="right"/>
            </w:pPr>
            <w:r w:rsidRPr="00470E2C">
              <w:t>4</w:t>
            </w:r>
          </w:p>
        </w:tc>
        <w:tc>
          <w:tcPr>
            <w:tcW w:w="2640" w:type="dxa"/>
            <w:tcBorders>
              <w:top w:val="nil"/>
              <w:left w:val="nil"/>
              <w:bottom w:val="nil"/>
              <w:right w:val="nil"/>
            </w:tcBorders>
          </w:tcPr>
          <w:p w14:paraId="4EDC3456" w14:textId="77777777" w:rsidR="00AE17F0" w:rsidRPr="00470E2C" w:rsidRDefault="00AE17F0" w:rsidP="00E128B8">
            <w:pPr>
              <w:spacing w:before="60" w:after="60"/>
            </w:pPr>
            <w:r w:rsidRPr="00194E42">
              <w:t>Diisopropyl ether (DIPE, CAS</w:t>
            </w:r>
            <w:r>
              <w:t> </w:t>
            </w:r>
            <w:r w:rsidRPr="00194E42">
              <w:t>no.</w:t>
            </w:r>
            <w:r>
              <w:t> </w:t>
            </w:r>
            <w:r w:rsidRPr="00194E42">
              <w:t>108</w:t>
            </w:r>
            <w:r>
              <w:noBreakHyphen/>
            </w:r>
            <w:r w:rsidRPr="00194E42">
              <w:t>20</w:t>
            </w:r>
            <w:r>
              <w:noBreakHyphen/>
            </w:r>
            <w:r w:rsidRPr="00194E42">
              <w:t>3)</w:t>
            </w:r>
          </w:p>
        </w:tc>
        <w:tc>
          <w:tcPr>
            <w:tcW w:w="3685" w:type="dxa"/>
            <w:tcBorders>
              <w:top w:val="nil"/>
              <w:left w:val="nil"/>
              <w:bottom w:val="nil"/>
              <w:right w:val="nil"/>
            </w:tcBorders>
          </w:tcPr>
          <w:p w14:paraId="70D0B96E" w14:textId="77777777" w:rsidR="00AE17F0" w:rsidRPr="00470E2C" w:rsidDel="000D48BD" w:rsidRDefault="00AE17F0" w:rsidP="00E128B8">
            <w:pPr>
              <w:spacing w:before="60" w:after="60"/>
            </w:pPr>
            <w:r>
              <w:t>1% v/v maximum</w:t>
            </w:r>
          </w:p>
        </w:tc>
        <w:tc>
          <w:tcPr>
            <w:tcW w:w="1617" w:type="dxa"/>
            <w:tcBorders>
              <w:top w:val="nil"/>
              <w:left w:val="nil"/>
              <w:bottom w:val="nil"/>
              <w:right w:val="nil"/>
            </w:tcBorders>
          </w:tcPr>
          <w:p w14:paraId="1266AA46" w14:textId="77777777" w:rsidR="00AE17F0" w:rsidRPr="00470E2C" w:rsidRDefault="00AE17F0" w:rsidP="00E128B8">
            <w:pPr>
              <w:spacing w:before="60" w:after="60"/>
            </w:pPr>
            <w:r>
              <w:t>ASTM D4815</w:t>
            </w:r>
          </w:p>
        </w:tc>
      </w:tr>
      <w:tr w:rsidR="00AE17F0" w:rsidRPr="00470E2C" w14:paraId="65D613EF" w14:textId="77777777" w:rsidTr="00E128B8">
        <w:trPr>
          <w:cantSplit/>
        </w:trPr>
        <w:tc>
          <w:tcPr>
            <w:tcW w:w="0" w:type="auto"/>
            <w:tcBorders>
              <w:top w:val="nil"/>
              <w:left w:val="nil"/>
              <w:bottom w:val="nil"/>
              <w:right w:val="nil"/>
            </w:tcBorders>
          </w:tcPr>
          <w:p w14:paraId="784C7AC7" w14:textId="77777777" w:rsidR="00AE17F0" w:rsidRPr="00470E2C" w:rsidRDefault="00AE17F0" w:rsidP="00E128B8">
            <w:pPr>
              <w:pStyle w:val="TableText0"/>
              <w:ind w:left="-561" w:right="153"/>
              <w:jc w:val="right"/>
            </w:pPr>
            <w:r w:rsidRPr="00470E2C">
              <w:t>5</w:t>
            </w:r>
          </w:p>
        </w:tc>
        <w:tc>
          <w:tcPr>
            <w:tcW w:w="2640" w:type="dxa"/>
            <w:tcBorders>
              <w:top w:val="nil"/>
              <w:left w:val="nil"/>
              <w:bottom w:val="nil"/>
              <w:right w:val="nil"/>
            </w:tcBorders>
          </w:tcPr>
          <w:p w14:paraId="290F18A9" w14:textId="77777777" w:rsidR="00AE17F0" w:rsidRPr="00470E2C" w:rsidDel="00721E9C" w:rsidRDefault="00AE17F0" w:rsidP="00E128B8">
            <w:pPr>
              <w:spacing w:before="60" w:after="60"/>
            </w:pPr>
            <w:r>
              <w:t>Distillation—final boiling point</w:t>
            </w:r>
          </w:p>
        </w:tc>
        <w:tc>
          <w:tcPr>
            <w:tcW w:w="3685" w:type="dxa"/>
            <w:tcBorders>
              <w:top w:val="nil"/>
              <w:left w:val="nil"/>
              <w:bottom w:val="nil"/>
              <w:right w:val="nil"/>
            </w:tcBorders>
          </w:tcPr>
          <w:p w14:paraId="4331C251" w14:textId="77777777" w:rsidR="00AE17F0" w:rsidRPr="00470E2C" w:rsidRDefault="00AE17F0" w:rsidP="00E128B8">
            <w:pPr>
              <w:spacing w:before="60" w:after="60"/>
            </w:pPr>
            <w:r>
              <w:t>210</w:t>
            </w:r>
            <w:r>
              <w:rPr>
                <w:rFonts w:cs="Times New Roman"/>
              </w:rPr>
              <w:t>°C maximum</w:t>
            </w:r>
          </w:p>
        </w:tc>
        <w:tc>
          <w:tcPr>
            <w:tcW w:w="1617" w:type="dxa"/>
            <w:tcBorders>
              <w:top w:val="nil"/>
              <w:left w:val="nil"/>
              <w:bottom w:val="nil"/>
              <w:right w:val="nil"/>
            </w:tcBorders>
          </w:tcPr>
          <w:p w14:paraId="66F87CBC" w14:textId="77777777" w:rsidR="00AE17F0" w:rsidRPr="00470E2C" w:rsidRDefault="00AE17F0" w:rsidP="00E128B8">
            <w:pPr>
              <w:spacing w:before="60" w:after="60"/>
            </w:pPr>
            <w:r>
              <w:t>ASTM D86</w:t>
            </w:r>
          </w:p>
        </w:tc>
      </w:tr>
      <w:tr w:rsidR="00AE17F0" w:rsidRPr="00470E2C" w14:paraId="5A3CB93C" w14:textId="77777777" w:rsidTr="00E128B8">
        <w:trPr>
          <w:cantSplit/>
        </w:trPr>
        <w:tc>
          <w:tcPr>
            <w:tcW w:w="0" w:type="auto"/>
            <w:tcBorders>
              <w:top w:val="nil"/>
              <w:left w:val="nil"/>
              <w:bottom w:val="nil"/>
              <w:right w:val="nil"/>
            </w:tcBorders>
          </w:tcPr>
          <w:p w14:paraId="60C79748" w14:textId="77777777" w:rsidR="00AE17F0" w:rsidRPr="00470E2C" w:rsidRDefault="00AE17F0" w:rsidP="00E128B8">
            <w:pPr>
              <w:pStyle w:val="TableText0"/>
              <w:ind w:left="-561" w:right="153"/>
              <w:jc w:val="right"/>
            </w:pPr>
            <w:r w:rsidRPr="00470E2C">
              <w:t>6</w:t>
            </w:r>
          </w:p>
        </w:tc>
        <w:tc>
          <w:tcPr>
            <w:tcW w:w="2640" w:type="dxa"/>
            <w:tcBorders>
              <w:top w:val="nil"/>
              <w:left w:val="nil"/>
              <w:bottom w:val="nil"/>
              <w:right w:val="nil"/>
            </w:tcBorders>
          </w:tcPr>
          <w:p w14:paraId="64038EBA" w14:textId="77777777" w:rsidR="00AE17F0" w:rsidRPr="00470E2C" w:rsidRDefault="00AE17F0" w:rsidP="00E128B8">
            <w:pPr>
              <w:spacing w:before="60" w:after="60"/>
            </w:pPr>
            <w:r>
              <w:t>Ethanol</w:t>
            </w:r>
          </w:p>
        </w:tc>
        <w:tc>
          <w:tcPr>
            <w:tcW w:w="3685" w:type="dxa"/>
            <w:tcBorders>
              <w:top w:val="nil"/>
              <w:left w:val="nil"/>
              <w:bottom w:val="nil"/>
              <w:right w:val="nil"/>
            </w:tcBorders>
          </w:tcPr>
          <w:p w14:paraId="77877326" w14:textId="77777777" w:rsidR="00AE17F0" w:rsidRPr="00504981" w:rsidRDefault="00AE17F0" w:rsidP="00E128B8">
            <w:pPr>
              <w:spacing w:before="60" w:after="60"/>
              <w:rPr>
                <w:rFonts w:cs="Times New Roman"/>
                <w:szCs w:val="22"/>
              </w:rPr>
            </w:pPr>
            <w:r>
              <w:rPr>
                <w:rFonts w:cs="Times New Roman"/>
                <w:szCs w:val="22"/>
              </w:rPr>
              <w:t>10% v/v maximum</w:t>
            </w:r>
          </w:p>
        </w:tc>
        <w:tc>
          <w:tcPr>
            <w:tcW w:w="1617" w:type="dxa"/>
            <w:tcBorders>
              <w:top w:val="nil"/>
              <w:left w:val="nil"/>
              <w:bottom w:val="nil"/>
              <w:right w:val="nil"/>
            </w:tcBorders>
          </w:tcPr>
          <w:p w14:paraId="22596321" w14:textId="77777777" w:rsidR="00AE17F0" w:rsidRPr="00470E2C" w:rsidRDefault="00AE17F0" w:rsidP="00E128B8">
            <w:pPr>
              <w:autoSpaceDE w:val="0"/>
              <w:autoSpaceDN w:val="0"/>
              <w:adjustRightInd w:val="0"/>
              <w:spacing w:before="60" w:after="60"/>
            </w:pPr>
            <w:r>
              <w:t>ASTM D4815</w:t>
            </w:r>
          </w:p>
        </w:tc>
      </w:tr>
      <w:tr w:rsidR="00AE17F0" w:rsidRPr="00470E2C" w14:paraId="13A68F53" w14:textId="77777777" w:rsidTr="00E128B8">
        <w:trPr>
          <w:cantSplit/>
        </w:trPr>
        <w:tc>
          <w:tcPr>
            <w:tcW w:w="0" w:type="auto"/>
            <w:tcBorders>
              <w:top w:val="nil"/>
              <w:left w:val="nil"/>
              <w:bottom w:val="nil"/>
              <w:right w:val="nil"/>
            </w:tcBorders>
          </w:tcPr>
          <w:p w14:paraId="669B213D" w14:textId="77777777" w:rsidR="00AE17F0" w:rsidRPr="00470E2C" w:rsidRDefault="00AE17F0" w:rsidP="00E128B8">
            <w:pPr>
              <w:pStyle w:val="TableText0"/>
              <w:ind w:left="-561" w:right="153"/>
              <w:jc w:val="right"/>
            </w:pPr>
            <w:r w:rsidRPr="00470E2C">
              <w:t>7</w:t>
            </w:r>
          </w:p>
        </w:tc>
        <w:tc>
          <w:tcPr>
            <w:tcW w:w="2640" w:type="dxa"/>
            <w:tcBorders>
              <w:top w:val="nil"/>
              <w:left w:val="nil"/>
              <w:bottom w:val="nil"/>
              <w:right w:val="nil"/>
            </w:tcBorders>
          </w:tcPr>
          <w:p w14:paraId="68571752" w14:textId="77777777" w:rsidR="00AE17F0" w:rsidRPr="00470E2C" w:rsidRDefault="00AE17F0" w:rsidP="00E128B8">
            <w:pPr>
              <w:spacing w:before="60" w:after="60"/>
            </w:pPr>
            <w:r>
              <w:t>Ethyl tertiary butyl ether (ETBE, CAS no. 637</w:t>
            </w:r>
            <w:r>
              <w:noBreakHyphen/>
              <w:t>92</w:t>
            </w:r>
            <w:r>
              <w:noBreakHyphen/>
              <w:t>3)</w:t>
            </w:r>
          </w:p>
        </w:tc>
        <w:tc>
          <w:tcPr>
            <w:tcW w:w="3685" w:type="dxa"/>
            <w:tcBorders>
              <w:top w:val="nil"/>
              <w:left w:val="nil"/>
              <w:bottom w:val="nil"/>
              <w:right w:val="nil"/>
            </w:tcBorders>
          </w:tcPr>
          <w:p w14:paraId="70268FC9" w14:textId="77777777" w:rsidR="00AE17F0" w:rsidRPr="00470E2C" w:rsidRDefault="00AE17F0" w:rsidP="00E128B8">
            <w:pPr>
              <w:spacing w:before="60" w:after="60"/>
            </w:pPr>
            <w:r>
              <w:t>1% v/v maximum</w:t>
            </w:r>
          </w:p>
        </w:tc>
        <w:tc>
          <w:tcPr>
            <w:tcW w:w="1617" w:type="dxa"/>
            <w:tcBorders>
              <w:top w:val="nil"/>
              <w:left w:val="nil"/>
              <w:bottom w:val="nil"/>
              <w:right w:val="nil"/>
            </w:tcBorders>
          </w:tcPr>
          <w:p w14:paraId="1266FA8C" w14:textId="77777777" w:rsidR="00AE17F0" w:rsidRPr="00470E2C" w:rsidRDefault="00AE17F0" w:rsidP="00E128B8">
            <w:pPr>
              <w:spacing w:before="60" w:after="60"/>
            </w:pPr>
            <w:r>
              <w:t>ASTM D4815</w:t>
            </w:r>
          </w:p>
        </w:tc>
      </w:tr>
      <w:tr w:rsidR="00AE17F0" w:rsidRPr="00470E2C" w14:paraId="635E9BCC" w14:textId="77777777" w:rsidTr="00E128B8">
        <w:trPr>
          <w:cantSplit/>
        </w:trPr>
        <w:tc>
          <w:tcPr>
            <w:tcW w:w="0" w:type="auto"/>
            <w:tcBorders>
              <w:top w:val="nil"/>
              <w:left w:val="nil"/>
              <w:bottom w:val="nil"/>
              <w:right w:val="nil"/>
            </w:tcBorders>
          </w:tcPr>
          <w:p w14:paraId="77D51B0C" w14:textId="77777777" w:rsidR="00AE17F0" w:rsidRPr="00470E2C" w:rsidRDefault="00AE17F0" w:rsidP="00E128B8">
            <w:pPr>
              <w:pStyle w:val="TableText0"/>
              <w:ind w:left="-561" w:right="153"/>
              <w:jc w:val="right"/>
            </w:pPr>
            <w:r w:rsidRPr="00470E2C">
              <w:t>8</w:t>
            </w:r>
          </w:p>
        </w:tc>
        <w:tc>
          <w:tcPr>
            <w:tcW w:w="2640" w:type="dxa"/>
            <w:tcBorders>
              <w:top w:val="nil"/>
              <w:left w:val="nil"/>
              <w:bottom w:val="nil"/>
              <w:right w:val="nil"/>
            </w:tcBorders>
          </w:tcPr>
          <w:p w14:paraId="457B8888" w14:textId="77777777" w:rsidR="00AE17F0" w:rsidRPr="00470E2C" w:rsidRDefault="00AE17F0" w:rsidP="00E128B8">
            <w:pPr>
              <w:spacing w:before="60" w:after="60"/>
            </w:pPr>
            <w:r>
              <w:t>Existent gum—washed</w:t>
            </w:r>
          </w:p>
        </w:tc>
        <w:tc>
          <w:tcPr>
            <w:tcW w:w="3685" w:type="dxa"/>
            <w:tcBorders>
              <w:top w:val="nil"/>
              <w:left w:val="nil"/>
              <w:bottom w:val="nil"/>
              <w:right w:val="nil"/>
            </w:tcBorders>
          </w:tcPr>
          <w:p w14:paraId="2F3195E9" w14:textId="77777777" w:rsidR="00AE17F0" w:rsidRPr="00504981" w:rsidRDefault="00AE17F0" w:rsidP="00E128B8">
            <w:pPr>
              <w:spacing w:before="60" w:after="60"/>
            </w:pPr>
            <w:r>
              <w:t>5 mg/100 mL maximum</w:t>
            </w:r>
          </w:p>
        </w:tc>
        <w:tc>
          <w:tcPr>
            <w:tcW w:w="1617" w:type="dxa"/>
            <w:tcBorders>
              <w:top w:val="nil"/>
              <w:left w:val="nil"/>
              <w:bottom w:val="nil"/>
              <w:right w:val="nil"/>
            </w:tcBorders>
          </w:tcPr>
          <w:p w14:paraId="1C50D095" w14:textId="77777777" w:rsidR="00AE17F0" w:rsidRPr="00470E2C" w:rsidRDefault="00AE17F0" w:rsidP="00E128B8">
            <w:pPr>
              <w:spacing w:before="60" w:after="60"/>
            </w:pPr>
            <w:r>
              <w:t>ASTM D381</w:t>
            </w:r>
          </w:p>
        </w:tc>
      </w:tr>
      <w:tr w:rsidR="00AE17F0" w:rsidRPr="00470E2C" w14:paraId="0FFCC644" w14:textId="77777777" w:rsidTr="00E128B8">
        <w:trPr>
          <w:cantSplit/>
        </w:trPr>
        <w:tc>
          <w:tcPr>
            <w:tcW w:w="0" w:type="auto"/>
            <w:tcBorders>
              <w:top w:val="nil"/>
              <w:left w:val="nil"/>
              <w:bottom w:val="nil"/>
              <w:right w:val="nil"/>
            </w:tcBorders>
          </w:tcPr>
          <w:p w14:paraId="3F8BDFBD" w14:textId="77777777" w:rsidR="00AE17F0" w:rsidRPr="00470E2C" w:rsidRDefault="00AE17F0" w:rsidP="00E128B8">
            <w:pPr>
              <w:pStyle w:val="TableText0"/>
              <w:ind w:left="-561" w:right="153"/>
              <w:jc w:val="right"/>
            </w:pPr>
            <w:r w:rsidRPr="00470E2C">
              <w:t>9</w:t>
            </w:r>
          </w:p>
        </w:tc>
        <w:tc>
          <w:tcPr>
            <w:tcW w:w="2640" w:type="dxa"/>
            <w:tcBorders>
              <w:top w:val="nil"/>
              <w:left w:val="nil"/>
              <w:bottom w:val="nil"/>
              <w:right w:val="nil"/>
            </w:tcBorders>
          </w:tcPr>
          <w:p w14:paraId="74132E73" w14:textId="77777777" w:rsidR="00AE17F0" w:rsidRPr="00470E2C" w:rsidRDefault="00AE17F0" w:rsidP="00E128B8">
            <w:pPr>
              <w:spacing w:before="60" w:after="60"/>
            </w:pPr>
            <w:r>
              <w:t>Induction period—oxidation stability</w:t>
            </w:r>
          </w:p>
        </w:tc>
        <w:tc>
          <w:tcPr>
            <w:tcW w:w="3685" w:type="dxa"/>
            <w:tcBorders>
              <w:top w:val="nil"/>
              <w:left w:val="nil"/>
              <w:bottom w:val="nil"/>
              <w:right w:val="nil"/>
            </w:tcBorders>
          </w:tcPr>
          <w:p w14:paraId="1EE9D4FC" w14:textId="77777777" w:rsidR="00AE17F0" w:rsidRPr="00470E2C" w:rsidRDefault="00AE17F0" w:rsidP="00E128B8">
            <w:pPr>
              <w:spacing w:before="60" w:after="60"/>
            </w:pPr>
            <w:r>
              <w:t>360 minutes minimum</w:t>
            </w:r>
          </w:p>
        </w:tc>
        <w:tc>
          <w:tcPr>
            <w:tcW w:w="1617" w:type="dxa"/>
            <w:tcBorders>
              <w:top w:val="nil"/>
              <w:left w:val="nil"/>
              <w:bottom w:val="nil"/>
              <w:right w:val="nil"/>
            </w:tcBorders>
          </w:tcPr>
          <w:p w14:paraId="0B9C8DE8" w14:textId="77777777" w:rsidR="00AE17F0" w:rsidRPr="00470E2C" w:rsidRDefault="00AE17F0" w:rsidP="00E128B8">
            <w:pPr>
              <w:spacing w:before="60" w:after="60"/>
            </w:pPr>
            <w:r>
              <w:t>ASTM D525</w:t>
            </w:r>
          </w:p>
        </w:tc>
      </w:tr>
      <w:tr w:rsidR="00AE17F0" w:rsidRPr="00470E2C" w14:paraId="4C9B12C1" w14:textId="77777777" w:rsidTr="00E128B8">
        <w:trPr>
          <w:cantSplit/>
        </w:trPr>
        <w:tc>
          <w:tcPr>
            <w:tcW w:w="0" w:type="auto"/>
            <w:tcBorders>
              <w:top w:val="nil"/>
              <w:left w:val="nil"/>
              <w:right w:val="nil"/>
            </w:tcBorders>
          </w:tcPr>
          <w:p w14:paraId="6F4ECF08" w14:textId="77777777" w:rsidR="00AE17F0" w:rsidRPr="00470E2C" w:rsidRDefault="00AE17F0" w:rsidP="00E128B8">
            <w:pPr>
              <w:pStyle w:val="TableText0"/>
              <w:ind w:left="-561" w:right="153"/>
              <w:jc w:val="right"/>
            </w:pPr>
            <w:r w:rsidRPr="00470E2C">
              <w:t>10</w:t>
            </w:r>
          </w:p>
        </w:tc>
        <w:tc>
          <w:tcPr>
            <w:tcW w:w="2640" w:type="dxa"/>
            <w:tcBorders>
              <w:top w:val="nil"/>
              <w:left w:val="nil"/>
              <w:right w:val="nil"/>
            </w:tcBorders>
          </w:tcPr>
          <w:p w14:paraId="3D6945D1" w14:textId="77777777" w:rsidR="00AE17F0" w:rsidRPr="00470E2C" w:rsidRDefault="00AE17F0" w:rsidP="00E128B8">
            <w:pPr>
              <w:spacing w:before="60" w:after="60"/>
            </w:pPr>
            <w:r>
              <w:t>Lead</w:t>
            </w:r>
          </w:p>
        </w:tc>
        <w:tc>
          <w:tcPr>
            <w:tcW w:w="3685" w:type="dxa"/>
            <w:tcBorders>
              <w:top w:val="nil"/>
              <w:left w:val="nil"/>
              <w:right w:val="nil"/>
            </w:tcBorders>
          </w:tcPr>
          <w:p w14:paraId="0AA82996" w14:textId="77777777" w:rsidR="00AE17F0" w:rsidRPr="00470E2C" w:rsidRDefault="00AE17F0" w:rsidP="00E128B8">
            <w:pPr>
              <w:spacing w:before="60" w:after="60"/>
            </w:pPr>
            <w:r>
              <w:t>5 mg/L maximum</w:t>
            </w:r>
          </w:p>
        </w:tc>
        <w:tc>
          <w:tcPr>
            <w:tcW w:w="1617" w:type="dxa"/>
            <w:tcBorders>
              <w:top w:val="nil"/>
              <w:left w:val="nil"/>
              <w:right w:val="nil"/>
            </w:tcBorders>
          </w:tcPr>
          <w:p w14:paraId="70501DFB" w14:textId="77777777" w:rsidR="00AE17F0" w:rsidRPr="00470E2C" w:rsidRDefault="00AE17F0" w:rsidP="00E128B8">
            <w:pPr>
              <w:spacing w:before="60" w:after="60"/>
            </w:pPr>
            <w:r>
              <w:t>ASTM D3237</w:t>
            </w:r>
          </w:p>
        </w:tc>
      </w:tr>
      <w:tr w:rsidR="00AE17F0" w:rsidRPr="00470E2C" w14:paraId="61719089" w14:textId="77777777" w:rsidTr="00E128B8">
        <w:trPr>
          <w:cantSplit/>
        </w:trPr>
        <w:tc>
          <w:tcPr>
            <w:tcW w:w="0" w:type="auto"/>
            <w:tcBorders>
              <w:top w:val="nil"/>
              <w:left w:val="nil"/>
              <w:right w:val="nil"/>
            </w:tcBorders>
          </w:tcPr>
          <w:p w14:paraId="742B5798" w14:textId="77777777" w:rsidR="00AE17F0" w:rsidRPr="00470E2C" w:rsidRDefault="00AE17F0" w:rsidP="00E128B8">
            <w:pPr>
              <w:pStyle w:val="TableText0"/>
              <w:ind w:left="-561" w:right="153"/>
              <w:jc w:val="right"/>
            </w:pPr>
            <w:r w:rsidRPr="00470E2C">
              <w:t>11</w:t>
            </w:r>
          </w:p>
        </w:tc>
        <w:tc>
          <w:tcPr>
            <w:tcW w:w="2640" w:type="dxa"/>
            <w:tcBorders>
              <w:top w:val="nil"/>
              <w:left w:val="nil"/>
              <w:right w:val="nil"/>
            </w:tcBorders>
          </w:tcPr>
          <w:p w14:paraId="3DCC481F" w14:textId="77777777" w:rsidR="00AE17F0" w:rsidRPr="00470E2C" w:rsidRDefault="00AE17F0" w:rsidP="00E128B8">
            <w:pPr>
              <w:spacing w:before="60" w:after="60"/>
            </w:pPr>
            <w:r w:rsidRPr="00346A32">
              <w:t>Methyl tertiary butyl ether (MTBE, CAS</w:t>
            </w:r>
            <w:r>
              <w:t> </w:t>
            </w:r>
            <w:r w:rsidRPr="00346A32">
              <w:t>no.</w:t>
            </w:r>
            <w:r>
              <w:t> </w:t>
            </w:r>
            <w:r w:rsidRPr="00346A32">
              <w:t>1634-04-4)</w:t>
            </w:r>
          </w:p>
        </w:tc>
        <w:tc>
          <w:tcPr>
            <w:tcW w:w="3685" w:type="dxa"/>
            <w:tcBorders>
              <w:top w:val="nil"/>
              <w:left w:val="nil"/>
              <w:right w:val="nil"/>
            </w:tcBorders>
          </w:tcPr>
          <w:p w14:paraId="60F7A84C" w14:textId="77777777" w:rsidR="00AE17F0" w:rsidRPr="00470E2C" w:rsidRDefault="00AE17F0" w:rsidP="00E128B8">
            <w:pPr>
              <w:spacing w:before="60" w:after="60"/>
            </w:pPr>
            <w:r>
              <w:t>1% v/v maximum</w:t>
            </w:r>
          </w:p>
        </w:tc>
        <w:tc>
          <w:tcPr>
            <w:tcW w:w="1617" w:type="dxa"/>
            <w:tcBorders>
              <w:top w:val="nil"/>
              <w:left w:val="nil"/>
              <w:right w:val="nil"/>
            </w:tcBorders>
          </w:tcPr>
          <w:p w14:paraId="1800600D" w14:textId="77777777" w:rsidR="00AE17F0" w:rsidRPr="00470E2C" w:rsidRDefault="00AE17F0" w:rsidP="00E128B8">
            <w:pPr>
              <w:spacing w:before="60" w:after="60"/>
            </w:pPr>
            <w:r>
              <w:t>ASTM D4815</w:t>
            </w:r>
          </w:p>
        </w:tc>
      </w:tr>
      <w:tr w:rsidR="00AE17F0" w:rsidRPr="00470E2C" w14:paraId="767A1299" w14:textId="77777777" w:rsidTr="00E128B8">
        <w:trPr>
          <w:cantSplit/>
        </w:trPr>
        <w:tc>
          <w:tcPr>
            <w:tcW w:w="0" w:type="auto"/>
            <w:tcBorders>
              <w:left w:val="nil"/>
              <w:bottom w:val="nil"/>
              <w:right w:val="nil"/>
            </w:tcBorders>
          </w:tcPr>
          <w:p w14:paraId="5CC2D25A" w14:textId="77777777" w:rsidR="00AE17F0" w:rsidRPr="00470E2C" w:rsidRDefault="00AE17F0" w:rsidP="00E128B8">
            <w:pPr>
              <w:pStyle w:val="TableText0"/>
              <w:ind w:left="-561" w:right="153"/>
              <w:jc w:val="right"/>
            </w:pPr>
            <w:r w:rsidRPr="00470E2C">
              <w:t>12</w:t>
            </w:r>
          </w:p>
        </w:tc>
        <w:tc>
          <w:tcPr>
            <w:tcW w:w="2640" w:type="dxa"/>
            <w:tcBorders>
              <w:left w:val="nil"/>
              <w:bottom w:val="nil"/>
              <w:right w:val="nil"/>
            </w:tcBorders>
          </w:tcPr>
          <w:p w14:paraId="390CA6D4" w14:textId="77777777" w:rsidR="00AE17F0" w:rsidRPr="00470E2C" w:rsidRDefault="00AE17F0" w:rsidP="00E128B8">
            <w:pPr>
              <w:spacing w:before="60" w:after="60"/>
            </w:pPr>
            <w:r>
              <w:t>Motor octane number (MON)</w:t>
            </w:r>
          </w:p>
        </w:tc>
        <w:tc>
          <w:tcPr>
            <w:tcW w:w="3685" w:type="dxa"/>
            <w:tcBorders>
              <w:left w:val="nil"/>
              <w:bottom w:val="nil"/>
              <w:right w:val="nil"/>
            </w:tcBorders>
          </w:tcPr>
          <w:p w14:paraId="3568EE94" w14:textId="77777777" w:rsidR="00AE17F0" w:rsidRDefault="00AE17F0" w:rsidP="00E128B8">
            <w:pPr>
              <w:spacing w:before="60" w:after="60"/>
            </w:pPr>
            <w:r>
              <w:t xml:space="preserve">91 RON grade: </w:t>
            </w:r>
          </w:p>
          <w:p w14:paraId="15957C42" w14:textId="77777777" w:rsidR="00AE17F0" w:rsidRDefault="00AE17F0" w:rsidP="00E128B8">
            <w:pPr>
              <w:spacing w:before="60" w:after="60"/>
            </w:pPr>
            <w:r>
              <w:t>81.0 minimum</w:t>
            </w:r>
          </w:p>
          <w:p w14:paraId="22CCB74F" w14:textId="77777777" w:rsidR="00AE17F0" w:rsidRDefault="00AE17F0" w:rsidP="00E128B8">
            <w:pPr>
              <w:spacing w:before="60" w:after="60"/>
            </w:pPr>
            <w:r>
              <w:t xml:space="preserve">95 RON grade: </w:t>
            </w:r>
          </w:p>
          <w:p w14:paraId="22A1288B" w14:textId="77777777" w:rsidR="00AE17F0" w:rsidRPr="00504981" w:rsidRDefault="00AE17F0" w:rsidP="00E128B8">
            <w:pPr>
              <w:spacing w:before="60" w:after="60"/>
            </w:pPr>
            <w:r>
              <w:t>85.0 minimum</w:t>
            </w:r>
          </w:p>
        </w:tc>
        <w:tc>
          <w:tcPr>
            <w:tcW w:w="1617" w:type="dxa"/>
            <w:tcBorders>
              <w:left w:val="nil"/>
              <w:bottom w:val="nil"/>
              <w:right w:val="nil"/>
            </w:tcBorders>
          </w:tcPr>
          <w:p w14:paraId="1B9D23FB" w14:textId="77777777" w:rsidR="00AE17F0" w:rsidRPr="00470E2C" w:rsidRDefault="00AE17F0" w:rsidP="00E128B8">
            <w:pPr>
              <w:spacing w:before="60" w:after="60"/>
            </w:pPr>
            <w:r>
              <w:t>ASTM D2700</w:t>
            </w:r>
          </w:p>
        </w:tc>
      </w:tr>
      <w:tr w:rsidR="00AE17F0" w:rsidRPr="00470E2C" w14:paraId="122550CE" w14:textId="77777777" w:rsidTr="00E128B8">
        <w:trPr>
          <w:cantSplit/>
        </w:trPr>
        <w:tc>
          <w:tcPr>
            <w:tcW w:w="0" w:type="auto"/>
            <w:tcBorders>
              <w:top w:val="nil"/>
              <w:left w:val="nil"/>
              <w:bottom w:val="nil"/>
              <w:right w:val="nil"/>
            </w:tcBorders>
          </w:tcPr>
          <w:p w14:paraId="44285D2F" w14:textId="77777777" w:rsidR="00AE17F0" w:rsidRPr="00470E2C" w:rsidRDefault="00AE17F0" w:rsidP="00E128B8">
            <w:pPr>
              <w:pStyle w:val="TableText0"/>
              <w:ind w:left="-561" w:right="153"/>
              <w:jc w:val="right"/>
            </w:pPr>
            <w:r w:rsidRPr="00470E2C">
              <w:t>13</w:t>
            </w:r>
          </w:p>
        </w:tc>
        <w:tc>
          <w:tcPr>
            <w:tcW w:w="2640" w:type="dxa"/>
            <w:tcBorders>
              <w:top w:val="nil"/>
              <w:left w:val="nil"/>
              <w:bottom w:val="nil"/>
              <w:right w:val="nil"/>
            </w:tcBorders>
          </w:tcPr>
          <w:p w14:paraId="5B8BB99A" w14:textId="77777777" w:rsidR="00AE17F0" w:rsidRPr="00470E2C" w:rsidRDefault="00AE17F0" w:rsidP="00E128B8">
            <w:pPr>
              <w:spacing w:before="60" w:after="60"/>
            </w:pPr>
            <w:r>
              <w:t>Olefins</w:t>
            </w:r>
          </w:p>
        </w:tc>
        <w:tc>
          <w:tcPr>
            <w:tcW w:w="3685" w:type="dxa"/>
            <w:tcBorders>
              <w:top w:val="nil"/>
              <w:left w:val="nil"/>
              <w:bottom w:val="nil"/>
              <w:right w:val="nil"/>
            </w:tcBorders>
          </w:tcPr>
          <w:p w14:paraId="1A5C2782" w14:textId="77777777" w:rsidR="00AE17F0" w:rsidRPr="00470E2C" w:rsidRDefault="00AE17F0" w:rsidP="00E128B8">
            <w:pPr>
              <w:spacing w:before="60" w:after="60"/>
            </w:pPr>
            <w:r>
              <w:t>18% v/v maximum</w:t>
            </w:r>
          </w:p>
        </w:tc>
        <w:tc>
          <w:tcPr>
            <w:tcW w:w="1617" w:type="dxa"/>
            <w:tcBorders>
              <w:top w:val="nil"/>
              <w:left w:val="nil"/>
              <w:bottom w:val="nil"/>
              <w:right w:val="nil"/>
            </w:tcBorders>
          </w:tcPr>
          <w:p w14:paraId="5C64628B" w14:textId="77777777" w:rsidR="00AE17F0" w:rsidRPr="00470E2C" w:rsidRDefault="00AE17F0" w:rsidP="00E128B8">
            <w:pPr>
              <w:spacing w:before="60" w:after="60"/>
            </w:pPr>
            <w:r>
              <w:t>ASTM D1319</w:t>
            </w:r>
          </w:p>
        </w:tc>
      </w:tr>
      <w:tr w:rsidR="00AE17F0" w:rsidRPr="00470E2C" w14:paraId="275A74BD" w14:textId="77777777" w:rsidTr="00E128B8">
        <w:trPr>
          <w:cantSplit/>
        </w:trPr>
        <w:tc>
          <w:tcPr>
            <w:tcW w:w="0" w:type="auto"/>
            <w:tcBorders>
              <w:top w:val="nil"/>
              <w:left w:val="nil"/>
              <w:right w:val="nil"/>
            </w:tcBorders>
          </w:tcPr>
          <w:p w14:paraId="3C99AE4D" w14:textId="77777777" w:rsidR="00AE17F0" w:rsidRPr="00470E2C" w:rsidRDefault="00AE17F0" w:rsidP="00E128B8">
            <w:pPr>
              <w:pStyle w:val="TableText0"/>
              <w:ind w:left="-561" w:right="153"/>
              <w:jc w:val="right"/>
            </w:pPr>
            <w:r w:rsidRPr="00470E2C">
              <w:t>14</w:t>
            </w:r>
          </w:p>
        </w:tc>
        <w:tc>
          <w:tcPr>
            <w:tcW w:w="2640" w:type="dxa"/>
            <w:tcBorders>
              <w:top w:val="nil"/>
              <w:left w:val="nil"/>
              <w:right w:val="nil"/>
            </w:tcBorders>
          </w:tcPr>
          <w:p w14:paraId="6EC0940A" w14:textId="77777777" w:rsidR="00AE17F0" w:rsidRPr="00470E2C" w:rsidRDefault="00AE17F0" w:rsidP="00E128B8">
            <w:pPr>
              <w:spacing w:before="60" w:after="60"/>
            </w:pPr>
            <w:r>
              <w:t>Oxygen</w:t>
            </w:r>
          </w:p>
        </w:tc>
        <w:tc>
          <w:tcPr>
            <w:tcW w:w="3685" w:type="dxa"/>
            <w:tcBorders>
              <w:top w:val="nil"/>
              <w:left w:val="nil"/>
              <w:right w:val="nil"/>
            </w:tcBorders>
          </w:tcPr>
          <w:p w14:paraId="6CFC3C31" w14:textId="77777777" w:rsidR="00AE17F0" w:rsidRDefault="00AE17F0" w:rsidP="00E128B8">
            <w:pPr>
              <w:spacing w:before="60" w:after="60"/>
            </w:pPr>
            <w:r>
              <w:t>Petrol without ethanol:</w:t>
            </w:r>
          </w:p>
          <w:p w14:paraId="239E07AF" w14:textId="77777777" w:rsidR="00AE17F0" w:rsidRDefault="00AE17F0" w:rsidP="00E128B8">
            <w:pPr>
              <w:spacing w:before="60" w:after="60"/>
            </w:pPr>
            <w:r>
              <w:t>2.7% m/m maximum</w:t>
            </w:r>
          </w:p>
          <w:p w14:paraId="00997D00" w14:textId="77777777" w:rsidR="00AE17F0" w:rsidRDefault="00AE17F0" w:rsidP="00E128B8">
            <w:pPr>
              <w:spacing w:before="60" w:after="60"/>
            </w:pPr>
            <w:r>
              <w:t>Petrol with ethanol:</w:t>
            </w:r>
          </w:p>
          <w:p w14:paraId="1B5D13DD" w14:textId="77777777" w:rsidR="00AE17F0" w:rsidRPr="00470E2C" w:rsidRDefault="00AE17F0" w:rsidP="00E128B8">
            <w:pPr>
              <w:spacing w:before="60" w:after="60"/>
            </w:pPr>
            <w:r>
              <w:t>3.9% m/m maximum</w:t>
            </w:r>
          </w:p>
        </w:tc>
        <w:tc>
          <w:tcPr>
            <w:tcW w:w="1617" w:type="dxa"/>
            <w:tcBorders>
              <w:top w:val="nil"/>
              <w:left w:val="nil"/>
              <w:right w:val="nil"/>
            </w:tcBorders>
          </w:tcPr>
          <w:p w14:paraId="5CCFB4DD" w14:textId="77777777" w:rsidR="00AE17F0" w:rsidRPr="00470E2C" w:rsidRDefault="00AE17F0" w:rsidP="00E128B8">
            <w:pPr>
              <w:spacing w:before="60" w:after="60"/>
            </w:pPr>
            <w:r>
              <w:t>ASTM D4815</w:t>
            </w:r>
          </w:p>
        </w:tc>
      </w:tr>
      <w:tr w:rsidR="00AE17F0" w:rsidRPr="00470E2C" w14:paraId="49532DB6" w14:textId="77777777" w:rsidTr="00E128B8">
        <w:trPr>
          <w:cantSplit/>
        </w:trPr>
        <w:tc>
          <w:tcPr>
            <w:tcW w:w="0" w:type="auto"/>
            <w:tcBorders>
              <w:top w:val="nil"/>
              <w:left w:val="nil"/>
              <w:right w:val="nil"/>
            </w:tcBorders>
          </w:tcPr>
          <w:p w14:paraId="543D4EC6" w14:textId="77777777" w:rsidR="00AE17F0" w:rsidRPr="00470E2C" w:rsidRDefault="00AE17F0" w:rsidP="00E128B8">
            <w:pPr>
              <w:pStyle w:val="TableText0"/>
              <w:ind w:left="-561" w:right="153"/>
              <w:jc w:val="right"/>
            </w:pPr>
            <w:r w:rsidRPr="00470E2C">
              <w:t>15</w:t>
            </w:r>
          </w:p>
        </w:tc>
        <w:tc>
          <w:tcPr>
            <w:tcW w:w="2640" w:type="dxa"/>
            <w:tcBorders>
              <w:top w:val="nil"/>
              <w:left w:val="nil"/>
              <w:right w:val="nil"/>
            </w:tcBorders>
          </w:tcPr>
          <w:p w14:paraId="4F03F325" w14:textId="77777777" w:rsidR="00AE17F0" w:rsidRPr="00470E2C" w:rsidRDefault="00AE17F0" w:rsidP="00E128B8">
            <w:pPr>
              <w:spacing w:before="60" w:after="60"/>
            </w:pPr>
            <w:r w:rsidRPr="00A2383D">
              <w:t>Phosphorus</w:t>
            </w:r>
          </w:p>
        </w:tc>
        <w:tc>
          <w:tcPr>
            <w:tcW w:w="3685" w:type="dxa"/>
            <w:tcBorders>
              <w:top w:val="nil"/>
              <w:left w:val="nil"/>
              <w:right w:val="nil"/>
            </w:tcBorders>
          </w:tcPr>
          <w:p w14:paraId="6593BDE3" w14:textId="77777777" w:rsidR="00AE17F0" w:rsidRPr="00470E2C" w:rsidRDefault="00AE17F0" w:rsidP="00E128B8">
            <w:pPr>
              <w:spacing w:before="60" w:after="60"/>
            </w:pPr>
            <w:r>
              <w:t>1.3 mg/L maximum</w:t>
            </w:r>
          </w:p>
        </w:tc>
        <w:tc>
          <w:tcPr>
            <w:tcW w:w="1617" w:type="dxa"/>
            <w:tcBorders>
              <w:top w:val="nil"/>
              <w:left w:val="nil"/>
              <w:right w:val="nil"/>
            </w:tcBorders>
          </w:tcPr>
          <w:p w14:paraId="6FE8996F" w14:textId="77777777" w:rsidR="00AE17F0" w:rsidRPr="00470E2C" w:rsidRDefault="00AE17F0" w:rsidP="00E128B8">
            <w:pPr>
              <w:spacing w:before="60" w:after="60"/>
            </w:pPr>
            <w:r>
              <w:t>ASTM D3231</w:t>
            </w:r>
          </w:p>
        </w:tc>
      </w:tr>
      <w:tr w:rsidR="00AE17F0" w:rsidRPr="00470E2C" w14:paraId="7840D82D" w14:textId="77777777" w:rsidTr="00E128B8">
        <w:trPr>
          <w:cantSplit/>
        </w:trPr>
        <w:tc>
          <w:tcPr>
            <w:tcW w:w="0" w:type="auto"/>
            <w:tcBorders>
              <w:top w:val="nil"/>
              <w:left w:val="nil"/>
              <w:bottom w:val="nil"/>
              <w:right w:val="nil"/>
            </w:tcBorders>
          </w:tcPr>
          <w:p w14:paraId="170D78A9" w14:textId="77777777" w:rsidR="00AE17F0" w:rsidRPr="00470E2C" w:rsidRDefault="00AE17F0" w:rsidP="00E128B8">
            <w:pPr>
              <w:pStyle w:val="TableText0"/>
              <w:ind w:left="-561" w:right="153"/>
              <w:jc w:val="right"/>
            </w:pPr>
            <w:r w:rsidRPr="00470E2C">
              <w:t>16</w:t>
            </w:r>
          </w:p>
        </w:tc>
        <w:tc>
          <w:tcPr>
            <w:tcW w:w="2640" w:type="dxa"/>
            <w:tcBorders>
              <w:top w:val="nil"/>
              <w:left w:val="nil"/>
              <w:bottom w:val="nil"/>
              <w:right w:val="nil"/>
            </w:tcBorders>
          </w:tcPr>
          <w:p w14:paraId="7ADAA131" w14:textId="77777777" w:rsidR="00AE17F0" w:rsidRPr="00470E2C" w:rsidRDefault="00AE17F0" w:rsidP="00E128B8">
            <w:pPr>
              <w:spacing w:before="60" w:after="60"/>
            </w:pPr>
            <w:r>
              <w:t>Research octane number (RON)</w:t>
            </w:r>
          </w:p>
        </w:tc>
        <w:tc>
          <w:tcPr>
            <w:tcW w:w="3685" w:type="dxa"/>
            <w:tcBorders>
              <w:top w:val="nil"/>
              <w:left w:val="nil"/>
              <w:bottom w:val="nil"/>
              <w:right w:val="nil"/>
            </w:tcBorders>
          </w:tcPr>
          <w:p w14:paraId="3066BEAD" w14:textId="77777777" w:rsidR="00AE17F0" w:rsidRDefault="00AE17F0" w:rsidP="00E128B8">
            <w:pPr>
              <w:spacing w:before="60" w:after="60"/>
            </w:pPr>
            <w:r>
              <w:t>91 RON grade:</w:t>
            </w:r>
          </w:p>
          <w:p w14:paraId="70ADBFA6" w14:textId="77777777" w:rsidR="00AE17F0" w:rsidRDefault="00AE17F0" w:rsidP="00E128B8">
            <w:pPr>
              <w:spacing w:before="60" w:after="60"/>
            </w:pPr>
            <w:r>
              <w:t>91.0 minimum</w:t>
            </w:r>
          </w:p>
          <w:p w14:paraId="549E241C" w14:textId="77777777" w:rsidR="00AE17F0" w:rsidRDefault="00AE17F0" w:rsidP="00E128B8">
            <w:pPr>
              <w:spacing w:before="60" w:after="60"/>
            </w:pPr>
            <w:r>
              <w:t>95 RON grade:</w:t>
            </w:r>
          </w:p>
          <w:p w14:paraId="51DC3A16" w14:textId="77777777" w:rsidR="00AE17F0" w:rsidRPr="00470E2C" w:rsidRDefault="00AE17F0" w:rsidP="00E128B8">
            <w:pPr>
              <w:spacing w:before="60" w:after="60"/>
            </w:pPr>
            <w:r>
              <w:t>95.0 minimum</w:t>
            </w:r>
          </w:p>
        </w:tc>
        <w:tc>
          <w:tcPr>
            <w:tcW w:w="1617" w:type="dxa"/>
            <w:tcBorders>
              <w:top w:val="nil"/>
              <w:left w:val="nil"/>
              <w:bottom w:val="nil"/>
              <w:right w:val="nil"/>
            </w:tcBorders>
          </w:tcPr>
          <w:p w14:paraId="08AD37C3" w14:textId="77777777" w:rsidR="00AE17F0" w:rsidRPr="00470E2C" w:rsidRDefault="00AE17F0" w:rsidP="00E128B8">
            <w:pPr>
              <w:spacing w:before="60" w:after="60"/>
            </w:pPr>
            <w:r>
              <w:t>ASTM D2699</w:t>
            </w:r>
          </w:p>
        </w:tc>
      </w:tr>
      <w:tr w:rsidR="00AE17F0" w:rsidRPr="00470E2C" w14:paraId="64532D46" w14:textId="77777777" w:rsidTr="00E128B8">
        <w:trPr>
          <w:cantSplit/>
        </w:trPr>
        <w:tc>
          <w:tcPr>
            <w:tcW w:w="0" w:type="auto"/>
            <w:tcBorders>
              <w:top w:val="nil"/>
              <w:left w:val="nil"/>
              <w:right w:val="nil"/>
            </w:tcBorders>
          </w:tcPr>
          <w:p w14:paraId="6AB23A38" w14:textId="77777777" w:rsidR="00AE17F0" w:rsidRPr="00470E2C" w:rsidRDefault="00AE17F0" w:rsidP="00E128B8">
            <w:pPr>
              <w:pStyle w:val="TableText0"/>
              <w:ind w:left="-561" w:right="153"/>
              <w:jc w:val="right"/>
            </w:pPr>
            <w:r w:rsidRPr="00470E2C">
              <w:t>17</w:t>
            </w:r>
          </w:p>
        </w:tc>
        <w:tc>
          <w:tcPr>
            <w:tcW w:w="2640" w:type="dxa"/>
            <w:tcBorders>
              <w:top w:val="nil"/>
              <w:left w:val="nil"/>
              <w:right w:val="nil"/>
            </w:tcBorders>
          </w:tcPr>
          <w:p w14:paraId="52706A8F" w14:textId="77777777" w:rsidR="00AE17F0" w:rsidRPr="00470E2C" w:rsidRDefault="00AE17F0" w:rsidP="00E128B8">
            <w:pPr>
              <w:spacing w:before="60" w:after="60"/>
            </w:pPr>
            <w:r>
              <w:t>Sulfur</w:t>
            </w:r>
          </w:p>
        </w:tc>
        <w:tc>
          <w:tcPr>
            <w:tcW w:w="3685" w:type="dxa"/>
            <w:tcBorders>
              <w:top w:val="nil"/>
              <w:left w:val="nil"/>
              <w:right w:val="nil"/>
            </w:tcBorders>
          </w:tcPr>
          <w:p w14:paraId="3DB4BF39" w14:textId="77777777" w:rsidR="00AE17F0" w:rsidRDefault="00AE17F0" w:rsidP="00E128B8">
            <w:pPr>
              <w:spacing w:before="60" w:after="60"/>
            </w:pPr>
            <w:r>
              <w:t>Between commencement and 30 June 2027:</w:t>
            </w:r>
          </w:p>
          <w:p w14:paraId="5A18CE4A" w14:textId="77777777" w:rsidR="00AE17F0" w:rsidRDefault="00AE17F0" w:rsidP="00E128B8">
            <w:pPr>
              <w:spacing w:before="60" w:after="60"/>
            </w:pPr>
            <w:r>
              <w:t xml:space="preserve">91 RON grade: </w:t>
            </w:r>
          </w:p>
          <w:p w14:paraId="04AECBE5" w14:textId="77777777" w:rsidR="00AE17F0" w:rsidRDefault="00AE17F0" w:rsidP="00E128B8">
            <w:pPr>
              <w:spacing w:before="60" w:after="60"/>
            </w:pPr>
            <w:r>
              <w:t>150 mg/kg maximum</w:t>
            </w:r>
          </w:p>
          <w:p w14:paraId="40D0CFF5" w14:textId="77777777" w:rsidR="00AE17F0" w:rsidRDefault="00AE17F0" w:rsidP="00E128B8">
            <w:pPr>
              <w:spacing w:before="60" w:after="60"/>
            </w:pPr>
            <w:r>
              <w:t xml:space="preserve">95 RON grade: </w:t>
            </w:r>
          </w:p>
          <w:p w14:paraId="25C6B396" w14:textId="77777777" w:rsidR="00AE17F0" w:rsidRDefault="00AE17F0" w:rsidP="00E128B8">
            <w:pPr>
              <w:spacing w:before="60" w:after="60"/>
            </w:pPr>
            <w:r>
              <w:t>50 mg/kg maximum</w:t>
            </w:r>
          </w:p>
          <w:p w14:paraId="52E44334" w14:textId="77777777" w:rsidR="00AE17F0" w:rsidRDefault="00AE17F0" w:rsidP="00E128B8">
            <w:pPr>
              <w:spacing w:before="60" w:after="60"/>
            </w:pPr>
          </w:p>
          <w:p w14:paraId="19F30732" w14:textId="77777777" w:rsidR="00AE17F0" w:rsidRDefault="00AE17F0" w:rsidP="00E128B8">
            <w:pPr>
              <w:spacing w:before="60" w:after="60"/>
            </w:pPr>
            <w:r>
              <w:t xml:space="preserve">On and from 1 July 2027: </w:t>
            </w:r>
          </w:p>
          <w:p w14:paraId="1B67D2D2" w14:textId="77777777" w:rsidR="00AE17F0" w:rsidRPr="00470E2C" w:rsidRDefault="00AE17F0" w:rsidP="00E128B8">
            <w:pPr>
              <w:spacing w:before="60" w:after="60"/>
            </w:pPr>
            <w:r>
              <w:t>All grades: 10 mg/kg maximum</w:t>
            </w:r>
          </w:p>
        </w:tc>
        <w:tc>
          <w:tcPr>
            <w:tcW w:w="1617" w:type="dxa"/>
            <w:tcBorders>
              <w:top w:val="nil"/>
              <w:left w:val="nil"/>
              <w:right w:val="nil"/>
            </w:tcBorders>
          </w:tcPr>
          <w:p w14:paraId="790F8AF7" w14:textId="77777777" w:rsidR="00AE17F0" w:rsidRPr="00470E2C" w:rsidRDefault="00AE17F0" w:rsidP="00E128B8">
            <w:pPr>
              <w:spacing w:before="60" w:after="60"/>
            </w:pPr>
            <w:r>
              <w:t>ASTM D5453</w:t>
            </w:r>
          </w:p>
        </w:tc>
      </w:tr>
      <w:tr w:rsidR="00AE17F0" w:rsidRPr="00470E2C" w14:paraId="036A0B9F" w14:textId="77777777" w:rsidTr="00E128B8">
        <w:trPr>
          <w:cantSplit/>
        </w:trPr>
        <w:tc>
          <w:tcPr>
            <w:tcW w:w="0" w:type="auto"/>
            <w:tcBorders>
              <w:left w:val="nil"/>
              <w:bottom w:val="nil"/>
              <w:right w:val="nil"/>
            </w:tcBorders>
          </w:tcPr>
          <w:p w14:paraId="65FCC6E5" w14:textId="77777777" w:rsidR="00AE17F0" w:rsidRPr="00470E2C" w:rsidRDefault="00AE17F0" w:rsidP="00E128B8">
            <w:pPr>
              <w:pStyle w:val="TableText0"/>
              <w:ind w:left="-561" w:right="153"/>
              <w:jc w:val="right"/>
            </w:pPr>
            <w:r w:rsidRPr="00470E2C">
              <w:t>18</w:t>
            </w:r>
          </w:p>
        </w:tc>
        <w:tc>
          <w:tcPr>
            <w:tcW w:w="2640" w:type="dxa"/>
            <w:tcBorders>
              <w:left w:val="nil"/>
              <w:bottom w:val="nil"/>
              <w:right w:val="nil"/>
            </w:tcBorders>
          </w:tcPr>
          <w:p w14:paraId="2D6731AF" w14:textId="77777777" w:rsidR="00AE17F0" w:rsidRPr="00470E2C" w:rsidRDefault="00AE17F0" w:rsidP="00E128B8">
            <w:pPr>
              <w:spacing w:before="60" w:after="60"/>
            </w:pPr>
            <w:r>
              <w:t>Tertiary butyl alcohol (TBA, CAS no. 75</w:t>
            </w:r>
            <w:r>
              <w:noBreakHyphen/>
              <w:t>65</w:t>
            </w:r>
            <w:r>
              <w:noBreakHyphen/>
              <w:t>0)</w:t>
            </w:r>
          </w:p>
        </w:tc>
        <w:tc>
          <w:tcPr>
            <w:tcW w:w="3685" w:type="dxa"/>
            <w:tcBorders>
              <w:left w:val="nil"/>
              <w:bottom w:val="nil"/>
              <w:right w:val="nil"/>
            </w:tcBorders>
          </w:tcPr>
          <w:p w14:paraId="6AE9CF07" w14:textId="77777777" w:rsidR="00AE17F0" w:rsidRPr="00470E2C" w:rsidRDefault="00AE17F0" w:rsidP="00E128B8">
            <w:pPr>
              <w:spacing w:before="60" w:after="60"/>
            </w:pPr>
            <w:r>
              <w:t>0.5% v/v maximum</w:t>
            </w:r>
          </w:p>
        </w:tc>
        <w:tc>
          <w:tcPr>
            <w:tcW w:w="1617" w:type="dxa"/>
            <w:tcBorders>
              <w:left w:val="nil"/>
              <w:bottom w:val="nil"/>
              <w:right w:val="nil"/>
            </w:tcBorders>
          </w:tcPr>
          <w:p w14:paraId="26B8322F" w14:textId="77777777" w:rsidR="00AE17F0" w:rsidRPr="00470E2C" w:rsidRDefault="00AE17F0" w:rsidP="00E128B8">
            <w:pPr>
              <w:spacing w:before="60" w:after="60"/>
            </w:pPr>
            <w:r>
              <w:t>ASTM D4815</w:t>
            </w:r>
          </w:p>
        </w:tc>
      </w:tr>
    </w:tbl>
    <w:p w14:paraId="164C7E5F" w14:textId="77777777" w:rsidR="00AE17F0" w:rsidRDefault="00AE17F0" w:rsidP="00AE17F0">
      <w:pPr>
        <w:pStyle w:val="subsection"/>
      </w:pPr>
      <w:r>
        <w:tab/>
        <w:t>(3)</w:t>
      </w:r>
      <w:r>
        <w:tab/>
        <w:t>Specifications set out in the table apply to all grades of petrol unless otherwise stated.</w:t>
      </w:r>
    </w:p>
    <w:p w14:paraId="0F98D16A" w14:textId="77777777" w:rsidR="00AE17F0" w:rsidRDefault="00AE17F0" w:rsidP="00AE17F0">
      <w:pPr>
        <w:pStyle w:val="subsection"/>
        <w:rPr>
          <w:szCs w:val="22"/>
        </w:rPr>
      </w:pPr>
      <w:r>
        <w:tab/>
        <w:t>(4)</w:t>
      </w:r>
      <w:r>
        <w:tab/>
        <w:t>Any e</w:t>
      </w:r>
      <w:r>
        <w:rPr>
          <w:szCs w:val="22"/>
        </w:rPr>
        <w:t>thanol component of petrol must comply with the fuel standard for ethanol in section 6.</w:t>
      </w:r>
    </w:p>
    <w:p w14:paraId="74A68D3F" w14:textId="77777777" w:rsidR="00AE17F0" w:rsidRDefault="00AE17F0" w:rsidP="00AE17F0">
      <w:pPr>
        <w:pStyle w:val="subsection"/>
      </w:pPr>
      <w:r>
        <w:rPr>
          <w:szCs w:val="22"/>
        </w:rPr>
        <w:tab/>
        <w:t>(5)</w:t>
      </w:r>
      <w:r>
        <w:rPr>
          <w:szCs w:val="22"/>
        </w:rPr>
        <w:tab/>
        <w:t xml:space="preserve">Compounds containing </w:t>
      </w:r>
      <w:r w:rsidRPr="00A2383D">
        <w:rPr>
          <w:szCs w:val="22"/>
        </w:rPr>
        <w:t>phosphorus</w:t>
      </w:r>
      <w:r>
        <w:rPr>
          <w:szCs w:val="22"/>
        </w:rPr>
        <w:t xml:space="preserve"> must not be added to petrol.</w:t>
      </w:r>
    </w:p>
    <w:p w14:paraId="34859D81" w14:textId="77777777" w:rsidR="00AE17F0" w:rsidRDefault="00AE17F0" w:rsidP="00D059CC">
      <w:pPr>
        <w:pStyle w:val="ENotesHeading2"/>
        <w:spacing w:before="240" w:line="240" w:lineRule="auto"/>
      </w:pPr>
      <w:bookmarkStart w:id="11" w:name="_Toc63772979"/>
      <w:bookmarkStart w:id="12" w:name="_Toc63780306"/>
      <w:r>
        <w:t>6  Fuel standard for ethanol</w:t>
      </w:r>
      <w:bookmarkEnd w:id="11"/>
      <w:bookmarkEnd w:id="12"/>
    </w:p>
    <w:p w14:paraId="04F81BD5" w14:textId="77777777" w:rsidR="00AE17F0" w:rsidRDefault="00AE17F0" w:rsidP="00AE17F0">
      <w:pPr>
        <w:pStyle w:val="subsection"/>
      </w:pPr>
      <w:r>
        <w:tab/>
        <w:t>(1)</w:t>
      </w:r>
      <w:r w:rsidRPr="006065DA">
        <w:tab/>
      </w:r>
      <w:r>
        <w:t>In relation to a parameter mentioned in an item of the following table, ethanol in petrol must comply with the specification for that parameter mentioned in that item.</w:t>
      </w:r>
    </w:p>
    <w:p w14:paraId="3D50762C" w14:textId="77777777" w:rsidR="00AE17F0" w:rsidRDefault="00AE17F0" w:rsidP="00AE17F0">
      <w:pPr>
        <w:pStyle w:val="subsection"/>
        <w:spacing w:after="240"/>
      </w:pPr>
      <w:r>
        <w:tab/>
        <w:t>(2)</w:t>
      </w:r>
      <w:r>
        <w:tab/>
        <w:t>For subsection (1), compliance with the specification for a parameter is determined by using the testing method for that parameter mentioned in that item of the table.</w:t>
      </w:r>
    </w:p>
    <w:tbl>
      <w:tblPr>
        <w:tblW w:w="0" w:type="auto"/>
        <w:tblLook w:val="0000" w:firstRow="0" w:lastRow="0" w:firstColumn="0" w:lastColumn="0" w:noHBand="0" w:noVBand="0"/>
      </w:tblPr>
      <w:tblGrid>
        <w:gridCol w:w="587"/>
        <w:gridCol w:w="2571"/>
        <w:gridCol w:w="3435"/>
        <w:gridCol w:w="1720"/>
      </w:tblGrid>
      <w:tr w:rsidR="00AE17F0" w:rsidRPr="00470E2C" w14:paraId="5BAF7F5D" w14:textId="77777777" w:rsidTr="00E128B8">
        <w:trPr>
          <w:cantSplit/>
          <w:tblHeader/>
        </w:trPr>
        <w:tc>
          <w:tcPr>
            <w:tcW w:w="0" w:type="auto"/>
            <w:tcBorders>
              <w:top w:val="nil"/>
              <w:left w:val="nil"/>
              <w:bottom w:val="single" w:sz="4" w:space="0" w:color="auto"/>
              <w:right w:val="nil"/>
            </w:tcBorders>
          </w:tcPr>
          <w:p w14:paraId="52D24DE0" w14:textId="77777777" w:rsidR="00AE17F0" w:rsidRPr="00470E2C" w:rsidRDefault="00AE17F0" w:rsidP="00E128B8">
            <w:pPr>
              <w:pStyle w:val="TableColHead"/>
            </w:pPr>
            <w:r w:rsidRPr="00470E2C">
              <w:t>Item</w:t>
            </w:r>
          </w:p>
        </w:tc>
        <w:tc>
          <w:tcPr>
            <w:tcW w:w="2640" w:type="dxa"/>
            <w:tcBorders>
              <w:top w:val="nil"/>
              <w:left w:val="nil"/>
              <w:bottom w:val="single" w:sz="4" w:space="0" w:color="auto"/>
              <w:right w:val="nil"/>
            </w:tcBorders>
          </w:tcPr>
          <w:p w14:paraId="690266AF" w14:textId="77777777" w:rsidR="00AE17F0" w:rsidRPr="00470E2C" w:rsidRDefault="00AE17F0" w:rsidP="00E128B8">
            <w:pPr>
              <w:pStyle w:val="TableColHead"/>
            </w:pPr>
            <w:r w:rsidRPr="00470E2C">
              <w:t>Parameter</w:t>
            </w:r>
          </w:p>
        </w:tc>
        <w:tc>
          <w:tcPr>
            <w:tcW w:w="3544" w:type="dxa"/>
            <w:tcBorders>
              <w:top w:val="nil"/>
              <w:left w:val="nil"/>
              <w:bottom w:val="single" w:sz="4" w:space="0" w:color="auto"/>
              <w:right w:val="nil"/>
            </w:tcBorders>
          </w:tcPr>
          <w:p w14:paraId="1C2A3F63" w14:textId="77777777" w:rsidR="00AE17F0" w:rsidRPr="00470E2C" w:rsidRDefault="00AE17F0" w:rsidP="00E128B8">
            <w:pPr>
              <w:pStyle w:val="TableColHead"/>
            </w:pPr>
            <w:r w:rsidRPr="00470E2C">
              <w:t>Specification</w:t>
            </w:r>
          </w:p>
        </w:tc>
        <w:tc>
          <w:tcPr>
            <w:tcW w:w="1758" w:type="dxa"/>
            <w:tcBorders>
              <w:top w:val="nil"/>
              <w:left w:val="nil"/>
              <w:bottom w:val="single" w:sz="4" w:space="0" w:color="auto"/>
              <w:right w:val="nil"/>
            </w:tcBorders>
          </w:tcPr>
          <w:p w14:paraId="1BCE7D74" w14:textId="77777777" w:rsidR="00AE17F0" w:rsidRPr="00470E2C" w:rsidRDefault="00AE17F0" w:rsidP="00E128B8">
            <w:pPr>
              <w:pStyle w:val="TableColHead"/>
            </w:pPr>
            <w:r>
              <w:t>Testing Method</w:t>
            </w:r>
          </w:p>
        </w:tc>
      </w:tr>
      <w:tr w:rsidR="00AE17F0" w:rsidRPr="00470E2C" w14:paraId="0F793C3D" w14:textId="77777777" w:rsidTr="00E128B8">
        <w:trPr>
          <w:cantSplit/>
        </w:trPr>
        <w:tc>
          <w:tcPr>
            <w:tcW w:w="0" w:type="auto"/>
            <w:tcBorders>
              <w:top w:val="nil"/>
              <w:left w:val="nil"/>
              <w:bottom w:val="nil"/>
              <w:right w:val="nil"/>
            </w:tcBorders>
          </w:tcPr>
          <w:p w14:paraId="76B603C6" w14:textId="77777777" w:rsidR="00AE17F0" w:rsidRPr="00470E2C" w:rsidRDefault="00AE17F0" w:rsidP="00E128B8">
            <w:pPr>
              <w:pStyle w:val="TableText0"/>
              <w:ind w:left="-561" w:right="153"/>
              <w:jc w:val="right"/>
            </w:pPr>
            <w:r w:rsidRPr="00470E2C">
              <w:t>1</w:t>
            </w:r>
          </w:p>
        </w:tc>
        <w:tc>
          <w:tcPr>
            <w:tcW w:w="2640" w:type="dxa"/>
            <w:tcBorders>
              <w:top w:val="nil"/>
              <w:left w:val="nil"/>
              <w:bottom w:val="nil"/>
              <w:right w:val="nil"/>
            </w:tcBorders>
          </w:tcPr>
          <w:p w14:paraId="3FBBBFD6" w14:textId="77777777" w:rsidR="00AE17F0" w:rsidRPr="00470E2C" w:rsidRDefault="00AE17F0" w:rsidP="00E128B8">
            <w:pPr>
              <w:spacing w:before="60" w:after="60"/>
            </w:pPr>
            <w:r>
              <w:t>Acidity—as acetic acid</w:t>
            </w:r>
          </w:p>
        </w:tc>
        <w:tc>
          <w:tcPr>
            <w:tcW w:w="3544" w:type="dxa"/>
            <w:tcBorders>
              <w:top w:val="nil"/>
              <w:left w:val="nil"/>
              <w:bottom w:val="nil"/>
              <w:right w:val="nil"/>
            </w:tcBorders>
          </w:tcPr>
          <w:p w14:paraId="20BB46CA" w14:textId="77777777" w:rsidR="00AE17F0" w:rsidRPr="00470E2C" w:rsidRDefault="00AE17F0" w:rsidP="00E128B8">
            <w:pPr>
              <w:spacing w:before="60" w:after="60"/>
            </w:pPr>
            <w:r>
              <w:t>0.006% m/m maximum</w:t>
            </w:r>
          </w:p>
        </w:tc>
        <w:tc>
          <w:tcPr>
            <w:tcW w:w="1758" w:type="dxa"/>
            <w:tcBorders>
              <w:top w:val="nil"/>
              <w:left w:val="nil"/>
              <w:bottom w:val="nil"/>
              <w:right w:val="nil"/>
            </w:tcBorders>
          </w:tcPr>
          <w:p w14:paraId="4B978940" w14:textId="77777777" w:rsidR="00AE17F0" w:rsidRPr="00470E2C" w:rsidRDefault="00AE17F0" w:rsidP="00E128B8">
            <w:pPr>
              <w:spacing w:before="60" w:after="60"/>
            </w:pPr>
            <w:r w:rsidRPr="007E7937">
              <w:t>ASTM D7795</w:t>
            </w:r>
          </w:p>
        </w:tc>
      </w:tr>
      <w:tr w:rsidR="00AE17F0" w:rsidRPr="00470E2C" w14:paraId="7FAF5A9F" w14:textId="77777777" w:rsidTr="00E128B8">
        <w:trPr>
          <w:cantSplit/>
        </w:trPr>
        <w:tc>
          <w:tcPr>
            <w:tcW w:w="0" w:type="auto"/>
            <w:tcBorders>
              <w:top w:val="nil"/>
              <w:left w:val="nil"/>
              <w:bottom w:val="nil"/>
              <w:right w:val="nil"/>
            </w:tcBorders>
          </w:tcPr>
          <w:p w14:paraId="3908976C" w14:textId="77777777" w:rsidR="00AE17F0" w:rsidRPr="00470E2C" w:rsidRDefault="00AE17F0" w:rsidP="00E128B8">
            <w:pPr>
              <w:pStyle w:val="TableText0"/>
              <w:ind w:left="-561" w:right="153"/>
              <w:jc w:val="right"/>
            </w:pPr>
            <w:r w:rsidRPr="00470E2C">
              <w:t>2</w:t>
            </w:r>
          </w:p>
        </w:tc>
        <w:tc>
          <w:tcPr>
            <w:tcW w:w="2640" w:type="dxa"/>
            <w:tcBorders>
              <w:top w:val="nil"/>
              <w:left w:val="nil"/>
              <w:bottom w:val="nil"/>
              <w:right w:val="nil"/>
            </w:tcBorders>
          </w:tcPr>
          <w:p w14:paraId="19A5EAF8" w14:textId="77777777" w:rsidR="00AE17F0" w:rsidRPr="00470E2C" w:rsidRDefault="00AE17F0" w:rsidP="00E128B8">
            <w:pPr>
              <w:spacing w:before="60" w:after="60"/>
            </w:pPr>
            <w:r>
              <w:t>Appearance</w:t>
            </w:r>
          </w:p>
        </w:tc>
        <w:tc>
          <w:tcPr>
            <w:tcW w:w="3544" w:type="dxa"/>
            <w:tcBorders>
              <w:top w:val="nil"/>
              <w:left w:val="nil"/>
              <w:bottom w:val="nil"/>
              <w:right w:val="nil"/>
            </w:tcBorders>
          </w:tcPr>
          <w:p w14:paraId="0D33F2AE" w14:textId="77777777" w:rsidR="00AE17F0" w:rsidRPr="00470E2C" w:rsidRDefault="00AE17F0" w:rsidP="00E128B8">
            <w:pPr>
              <w:spacing w:before="60" w:after="60"/>
            </w:pPr>
            <w:r>
              <w:t>Clear and bright and visibly free of suspended or precipitated contaminants</w:t>
            </w:r>
          </w:p>
        </w:tc>
        <w:tc>
          <w:tcPr>
            <w:tcW w:w="1758" w:type="dxa"/>
            <w:tcBorders>
              <w:top w:val="nil"/>
              <w:left w:val="nil"/>
              <w:bottom w:val="nil"/>
              <w:right w:val="nil"/>
            </w:tcBorders>
          </w:tcPr>
          <w:p w14:paraId="1CF1B4BC" w14:textId="77777777" w:rsidR="00AE17F0" w:rsidRPr="00470E2C" w:rsidRDefault="00AE17F0" w:rsidP="00E128B8">
            <w:pPr>
              <w:spacing w:before="60" w:after="60"/>
            </w:pPr>
            <w:r>
              <w:t>ASTM D4806</w:t>
            </w:r>
          </w:p>
        </w:tc>
      </w:tr>
      <w:tr w:rsidR="00AE17F0" w:rsidRPr="00470E2C" w14:paraId="641921FA" w14:textId="77777777" w:rsidTr="00E128B8">
        <w:trPr>
          <w:cantSplit/>
        </w:trPr>
        <w:tc>
          <w:tcPr>
            <w:tcW w:w="0" w:type="auto"/>
            <w:tcBorders>
              <w:top w:val="nil"/>
              <w:left w:val="nil"/>
              <w:bottom w:val="nil"/>
              <w:right w:val="nil"/>
            </w:tcBorders>
          </w:tcPr>
          <w:p w14:paraId="05348D29" w14:textId="77777777" w:rsidR="00AE17F0" w:rsidRPr="00470E2C" w:rsidRDefault="00AE17F0" w:rsidP="00E128B8">
            <w:pPr>
              <w:pStyle w:val="TableText0"/>
              <w:ind w:left="-561" w:right="153"/>
              <w:jc w:val="right"/>
            </w:pPr>
            <w:r w:rsidRPr="00470E2C">
              <w:t>3</w:t>
            </w:r>
          </w:p>
        </w:tc>
        <w:tc>
          <w:tcPr>
            <w:tcW w:w="2640" w:type="dxa"/>
            <w:tcBorders>
              <w:top w:val="nil"/>
              <w:left w:val="nil"/>
              <w:bottom w:val="nil"/>
              <w:right w:val="nil"/>
            </w:tcBorders>
          </w:tcPr>
          <w:p w14:paraId="4C181A10" w14:textId="77777777" w:rsidR="00AE17F0" w:rsidRPr="00470E2C" w:rsidRDefault="00AE17F0" w:rsidP="00E128B8">
            <w:pPr>
              <w:spacing w:before="60" w:after="60"/>
            </w:pPr>
            <w:r>
              <w:t>Copper</w:t>
            </w:r>
          </w:p>
        </w:tc>
        <w:tc>
          <w:tcPr>
            <w:tcW w:w="3544" w:type="dxa"/>
            <w:tcBorders>
              <w:top w:val="nil"/>
              <w:left w:val="nil"/>
              <w:bottom w:val="nil"/>
              <w:right w:val="nil"/>
            </w:tcBorders>
          </w:tcPr>
          <w:p w14:paraId="53ACAC2E" w14:textId="77777777" w:rsidR="00AE17F0" w:rsidRPr="00470E2C" w:rsidRDefault="00AE17F0" w:rsidP="00E128B8">
            <w:pPr>
              <w:tabs>
                <w:tab w:val="left" w:pos="1485"/>
              </w:tabs>
              <w:spacing w:before="60" w:after="60"/>
            </w:pPr>
            <w:r>
              <w:t>0.1 mg/kg maximum</w:t>
            </w:r>
          </w:p>
        </w:tc>
        <w:tc>
          <w:tcPr>
            <w:tcW w:w="1758" w:type="dxa"/>
            <w:tcBorders>
              <w:top w:val="nil"/>
              <w:left w:val="nil"/>
              <w:bottom w:val="nil"/>
              <w:right w:val="nil"/>
            </w:tcBorders>
          </w:tcPr>
          <w:p w14:paraId="22564EC8" w14:textId="77777777" w:rsidR="00AE17F0" w:rsidRPr="00470E2C" w:rsidRDefault="00AE17F0" w:rsidP="00E128B8">
            <w:pPr>
              <w:tabs>
                <w:tab w:val="left" w:pos="1485"/>
              </w:tabs>
              <w:spacing w:before="60" w:after="60"/>
            </w:pPr>
            <w:r>
              <w:t>EN 15837 (as modified in CEN/TS 15293)</w:t>
            </w:r>
          </w:p>
        </w:tc>
      </w:tr>
      <w:tr w:rsidR="00AE17F0" w:rsidRPr="00470E2C" w14:paraId="2CF4F9B8" w14:textId="77777777" w:rsidTr="00E128B8">
        <w:trPr>
          <w:cantSplit/>
        </w:trPr>
        <w:tc>
          <w:tcPr>
            <w:tcW w:w="0" w:type="auto"/>
            <w:tcBorders>
              <w:top w:val="nil"/>
              <w:left w:val="nil"/>
              <w:bottom w:val="nil"/>
              <w:right w:val="nil"/>
            </w:tcBorders>
          </w:tcPr>
          <w:p w14:paraId="33394D10" w14:textId="77777777" w:rsidR="00AE17F0" w:rsidRPr="00470E2C" w:rsidRDefault="00AE17F0" w:rsidP="00E128B8">
            <w:pPr>
              <w:pStyle w:val="TableText0"/>
              <w:ind w:left="-561" w:right="153"/>
              <w:jc w:val="right"/>
            </w:pPr>
            <w:r w:rsidRPr="00470E2C">
              <w:t>4</w:t>
            </w:r>
          </w:p>
        </w:tc>
        <w:tc>
          <w:tcPr>
            <w:tcW w:w="2640" w:type="dxa"/>
            <w:tcBorders>
              <w:top w:val="nil"/>
              <w:left w:val="nil"/>
              <w:bottom w:val="nil"/>
              <w:right w:val="nil"/>
            </w:tcBorders>
          </w:tcPr>
          <w:p w14:paraId="384E1F1A" w14:textId="77777777" w:rsidR="00AE17F0" w:rsidRPr="00470E2C" w:rsidRDefault="00AE17F0" w:rsidP="00E128B8">
            <w:pPr>
              <w:spacing w:before="60" w:after="60"/>
            </w:pPr>
            <w:r>
              <w:t>Denaturant</w:t>
            </w:r>
          </w:p>
        </w:tc>
        <w:tc>
          <w:tcPr>
            <w:tcW w:w="3544" w:type="dxa"/>
            <w:tcBorders>
              <w:top w:val="nil"/>
              <w:left w:val="nil"/>
              <w:bottom w:val="nil"/>
              <w:right w:val="nil"/>
            </w:tcBorders>
          </w:tcPr>
          <w:p w14:paraId="280BFC71" w14:textId="77777777" w:rsidR="00AE17F0" w:rsidRPr="00470E2C" w:rsidDel="000D48BD" w:rsidRDefault="00AE17F0" w:rsidP="00E128B8">
            <w:pPr>
              <w:spacing w:before="60" w:after="60"/>
            </w:pPr>
            <w:r>
              <w:t>1–1.5% v/v denaturant</w:t>
            </w:r>
          </w:p>
        </w:tc>
        <w:tc>
          <w:tcPr>
            <w:tcW w:w="1758" w:type="dxa"/>
            <w:tcBorders>
              <w:top w:val="nil"/>
              <w:left w:val="nil"/>
              <w:bottom w:val="nil"/>
              <w:right w:val="nil"/>
            </w:tcBorders>
          </w:tcPr>
          <w:p w14:paraId="6EE04647" w14:textId="77777777" w:rsidR="00AE17F0" w:rsidRPr="00470E2C" w:rsidRDefault="00AE17F0" w:rsidP="00E128B8">
            <w:pPr>
              <w:spacing w:before="60" w:after="60"/>
            </w:pPr>
            <w:r>
              <w:t>ASTM D5501</w:t>
            </w:r>
          </w:p>
        </w:tc>
      </w:tr>
      <w:tr w:rsidR="00AE17F0" w:rsidRPr="00470E2C" w14:paraId="54FB0BC3" w14:textId="77777777" w:rsidTr="00E128B8">
        <w:trPr>
          <w:cantSplit/>
        </w:trPr>
        <w:tc>
          <w:tcPr>
            <w:tcW w:w="0" w:type="auto"/>
            <w:tcBorders>
              <w:top w:val="nil"/>
              <w:left w:val="nil"/>
              <w:bottom w:val="nil"/>
              <w:right w:val="nil"/>
            </w:tcBorders>
          </w:tcPr>
          <w:p w14:paraId="4D1CDF49" w14:textId="77777777" w:rsidR="00AE17F0" w:rsidRPr="00470E2C" w:rsidRDefault="00AE17F0" w:rsidP="00E128B8">
            <w:pPr>
              <w:pStyle w:val="TableText0"/>
              <w:ind w:left="-561" w:right="153"/>
              <w:jc w:val="right"/>
            </w:pPr>
            <w:r w:rsidRPr="00470E2C">
              <w:t>5</w:t>
            </w:r>
          </w:p>
        </w:tc>
        <w:tc>
          <w:tcPr>
            <w:tcW w:w="2640" w:type="dxa"/>
            <w:tcBorders>
              <w:top w:val="nil"/>
              <w:left w:val="nil"/>
              <w:bottom w:val="nil"/>
              <w:right w:val="nil"/>
            </w:tcBorders>
          </w:tcPr>
          <w:p w14:paraId="67AECC62" w14:textId="77777777" w:rsidR="00AE17F0" w:rsidRPr="00470E2C" w:rsidDel="00721E9C" w:rsidRDefault="00AE17F0" w:rsidP="00E128B8">
            <w:pPr>
              <w:spacing w:before="60" w:after="60"/>
            </w:pPr>
            <w:r>
              <w:t>Ethanol</w:t>
            </w:r>
          </w:p>
        </w:tc>
        <w:tc>
          <w:tcPr>
            <w:tcW w:w="3544" w:type="dxa"/>
            <w:tcBorders>
              <w:top w:val="nil"/>
              <w:left w:val="nil"/>
              <w:bottom w:val="nil"/>
              <w:right w:val="nil"/>
            </w:tcBorders>
          </w:tcPr>
          <w:p w14:paraId="37E3B5C7" w14:textId="77777777" w:rsidR="00AE17F0" w:rsidRPr="00470E2C" w:rsidRDefault="00AE17F0" w:rsidP="00E128B8">
            <w:pPr>
              <w:spacing w:before="60" w:after="60"/>
            </w:pPr>
            <w:r>
              <w:t>95.6% v/v minimum</w:t>
            </w:r>
          </w:p>
        </w:tc>
        <w:tc>
          <w:tcPr>
            <w:tcW w:w="1758" w:type="dxa"/>
            <w:tcBorders>
              <w:top w:val="nil"/>
              <w:left w:val="nil"/>
              <w:bottom w:val="nil"/>
              <w:right w:val="nil"/>
            </w:tcBorders>
          </w:tcPr>
          <w:p w14:paraId="35C15588" w14:textId="77777777" w:rsidR="00AE17F0" w:rsidRPr="00470E2C" w:rsidRDefault="00AE17F0" w:rsidP="00E128B8">
            <w:pPr>
              <w:spacing w:before="60" w:after="60"/>
            </w:pPr>
            <w:r>
              <w:t>ASTM D5501</w:t>
            </w:r>
          </w:p>
        </w:tc>
      </w:tr>
      <w:tr w:rsidR="00AE17F0" w:rsidRPr="00470E2C" w14:paraId="6C83DFE9" w14:textId="77777777" w:rsidTr="00E128B8">
        <w:trPr>
          <w:cantSplit/>
        </w:trPr>
        <w:tc>
          <w:tcPr>
            <w:tcW w:w="0" w:type="auto"/>
            <w:tcBorders>
              <w:top w:val="nil"/>
              <w:left w:val="nil"/>
              <w:bottom w:val="nil"/>
              <w:right w:val="nil"/>
            </w:tcBorders>
          </w:tcPr>
          <w:p w14:paraId="3DFF0B03" w14:textId="77777777" w:rsidR="00AE17F0" w:rsidRPr="00470E2C" w:rsidRDefault="00AE17F0" w:rsidP="00E128B8">
            <w:pPr>
              <w:pStyle w:val="TableText0"/>
              <w:ind w:left="-561" w:right="153"/>
              <w:jc w:val="right"/>
            </w:pPr>
            <w:r w:rsidRPr="00470E2C">
              <w:t>6</w:t>
            </w:r>
          </w:p>
        </w:tc>
        <w:tc>
          <w:tcPr>
            <w:tcW w:w="2640" w:type="dxa"/>
            <w:tcBorders>
              <w:top w:val="nil"/>
              <w:left w:val="nil"/>
              <w:bottom w:val="nil"/>
              <w:right w:val="nil"/>
            </w:tcBorders>
          </w:tcPr>
          <w:p w14:paraId="7C563D64" w14:textId="77777777" w:rsidR="00AE17F0" w:rsidRPr="00470E2C" w:rsidRDefault="00AE17F0" w:rsidP="00E128B8">
            <w:pPr>
              <w:spacing w:before="60" w:after="60"/>
            </w:pPr>
            <w:r>
              <w:t>Inorganic chloride</w:t>
            </w:r>
          </w:p>
        </w:tc>
        <w:tc>
          <w:tcPr>
            <w:tcW w:w="3544" w:type="dxa"/>
            <w:tcBorders>
              <w:top w:val="nil"/>
              <w:left w:val="nil"/>
              <w:bottom w:val="nil"/>
              <w:right w:val="nil"/>
            </w:tcBorders>
          </w:tcPr>
          <w:p w14:paraId="137E143A" w14:textId="77777777" w:rsidR="00AE17F0" w:rsidRPr="00504981" w:rsidRDefault="00AE17F0" w:rsidP="00E128B8">
            <w:pPr>
              <w:spacing w:before="60" w:after="60"/>
              <w:rPr>
                <w:rFonts w:cs="Times New Roman"/>
                <w:szCs w:val="22"/>
              </w:rPr>
            </w:pPr>
            <w:r>
              <w:rPr>
                <w:rFonts w:cs="Times New Roman"/>
                <w:szCs w:val="22"/>
              </w:rPr>
              <w:t>10 mg/kg maximum</w:t>
            </w:r>
          </w:p>
        </w:tc>
        <w:tc>
          <w:tcPr>
            <w:tcW w:w="1758" w:type="dxa"/>
            <w:tcBorders>
              <w:top w:val="nil"/>
              <w:left w:val="nil"/>
              <w:bottom w:val="nil"/>
              <w:right w:val="nil"/>
            </w:tcBorders>
          </w:tcPr>
          <w:p w14:paraId="66DAA1F3" w14:textId="77777777" w:rsidR="00AE17F0" w:rsidRPr="00470E2C" w:rsidRDefault="00AE17F0" w:rsidP="00E128B8">
            <w:pPr>
              <w:autoSpaceDE w:val="0"/>
              <w:autoSpaceDN w:val="0"/>
              <w:adjustRightInd w:val="0"/>
              <w:spacing w:before="60" w:after="60"/>
            </w:pPr>
            <w:r>
              <w:t>ASTM D7328</w:t>
            </w:r>
          </w:p>
        </w:tc>
      </w:tr>
      <w:tr w:rsidR="00AE17F0" w:rsidRPr="00470E2C" w14:paraId="35058087" w14:textId="77777777" w:rsidTr="00E128B8">
        <w:trPr>
          <w:cantSplit/>
        </w:trPr>
        <w:tc>
          <w:tcPr>
            <w:tcW w:w="0" w:type="auto"/>
            <w:tcBorders>
              <w:top w:val="nil"/>
              <w:left w:val="nil"/>
              <w:bottom w:val="nil"/>
              <w:right w:val="nil"/>
            </w:tcBorders>
          </w:tcPr>
          <w:p w14:paraId="1A31D86C" w14:textId="77777777" w:rsidR="00AE17F0" w:rsidRPr="00470E2C" w:rsidRDefault="00AE17F0" w:rsidP="00E128B8">
            <w:pPr>
              <w:pStyle w:val="TableText0"/>
              <w:ind w:left="-561" w:right="153"/>
              <w:jc w:val="right"/>
            </w:pPr>
            <w:r w:rsidRPr="00470E2C">
              <w:t>7</w:t>
            </w:r>
          </w:p>
        </w:tc>
        <w:tc>
          <w:tcPr>
            <w:tcW w:w="2640" w:type="dxa"/>
            <w:tcBorders>
              <w:top w:val="nil"/>
              <w:left w:val="nil"/>
              <w:bottom w:val="nil"/>
              <w:right w:val="nil"/>
            </w:tcBorders>
          </w:tcPr>
          <w:p w14:paraId="05485492" w14:textId="77777777" w:rsidR="00AE17F0" w:rsidRPr="00470E2C" w:rsidRDefault="00AE17F0" w:rsidP="00E128B8">
            <w:pPr>
              <w:spacing w:before="60" w:after="60"/>
            </w:pPr>
            <w:r>
              <w:t>Methanol</w:t>
            </w:r>
          </w:p>
        </w:tc>
        <w:tc>
          <w:tcPr>
            <w:tcW w:w="3544" w:type="dxa"/>
            <w:tcBorders>
              <w:top w:val="nil"/>
              <w:left w:val="nil"/>
              <w:bottom w:val="nil"/>
              <w:right w:val="nil"/>
            </w:tcBorders>
          </w:tcPr>
          <w:p w14:paraId="42E11465" w14:textId="77777777" w:rsidR="00AE17F0" w:rsidRPr="00470E2C" w:rsidRDefault="00AE17F0" w:rsidP="00E128B8">
            <w:pPr>
              <w:spacing w:before="60" w:after="60"/>
            </w:pPr>
            <w:r>
              <w:t>0.5% v/v maximum</w:t>
            </w:r>
          </w:p>
        </w:tc>
        <w:tc>
          <w:tcPr>
            <w:tcW w:w="1758" w:type="dxa"/>
            <w:tcBorders>
              <w:top w:val="nil"/>
              <w:left w:val="nil"/>
              <w:bottom w:val="nil"/>
              <w:right w:val="nil"/>
            </w:tcBorders>
          </w:tcPr>
          <w:p w14:paraId="4FD838BD" w14:textId="77777777" w:rsidR="00AE17F0" w:rsidRPr="00470E2C" w:rsidRDefault="00AE17F0" w:rsidP="00E128B8">
            <w:pPr>
              <w:spacing w:before="60" w:after="60"/>
            </w:pPr>
            <w:r>
              <w:t>ASTM D5501</w:t>
            </w:r>
          </w:p>
        </w:tc>
      </w:tr>
      <w:tr w:rsidR="00AE17F0" w:rsidRPr="00470E2C" w14:paraId="1299C577" w14:textId="77777777" w:rsidTr="00E128B8">
        <w:trPr>
          <w:cantSplit/>
        </w:trPr>
        <w:tc>
          <w:tcPr>
            <w:tcW w:w="0" w:type="auto"/>
            <w:tcBorders>
              <w:top w:val="nil"/>
              <w:left w:val="nil"/>
              <w:bottom w:val="nil"/>
              <w:right w:val="nil"/>
            </w:tcBorders>
          </w:tcPr>
          <w:p w14:paraId="2F209B07" w14:textId="77777777" w:rsidR="00AE17F0" w:rsidRPr="00470E2C" w:rsidRDefault="00AE17F0" w:rsidP="00E128B8">
            <w:pPr>
              <w:pStyle w:val="TableText0"/>
              <w:ind w:left="-561" w:right="153"/>
              <w:jc w:val="right"/>
            </w:pPr>
            <w:r w:rsidRPr="00470E2C">
              <w:t>8</w:t>
            </w:r>
          </w:p>
        </w:tc>
        <w:tc>
          <w:tcPr>
            <w:tcW w:w="2640" w:type="dxa"/>
            <w:tcBorders>
              <w:top w:val="nil"/>
              <w:left w:val="nil"/>
              <w:bottom w:val="nil"/>
              <w:right w:val="nil"/>
            </w:tcBorders>
          </w:tcPr>
          <w:p w14:paraId="10E8292C" w14:textId="77777777" w:rsidR="00AE17F0" w:rsidRPr="00470E2C" w:rsidRDefault="00AE17F0" w:rsidP="00E128B8">
            <w:pPr>
              <w:spacing w:before="60" w:after="60"/>
            </w:pPr>
            <w:r>
              <w:t>pHe</w:t>
            </w:r>
          </w:p>
        </w:tc>
        <w:tc>
          <w:tcPr>
            <w:tcW w:w="3544" w:type="dxa"/>
            <w:tcBorders>
              <w:top w:val="nil"/>
              <w:left w:val="nil"/>
              <w:bottom w:val="nil"/>
              <w:right w:val="nil"/>
            </w:tcBorders>
          </w:tcPr>
          <w:p w14:paraId="3580375B" w14:textId="77777777" w:rsidR="00AE17F0" w:rsidRPr="00504981" w:rsidRDefault="00AE17F0" w:rsidP="00E128B8">
            <w:pPr>
              <w:spacing w:before="60" w:after="60"/>
            </w:pPr>
            <w:r>
              <w:t>6.5–9.0</w:t>
            </w:r>
          </w:p>
        </w:tc>
        <w:tc>
          <w:tcPr>
            <w:tcW w:w="1758" w:type="dxa"/>
            <w:tcBorders>
              <w:top w:val="nil"/>
              <w:left w:val="nil"/>
              <w:bottom w:val="nil"/>
              <w:right w:val="nil"/>
            </w:tcBorders>
          </w:tcPr>
          <w:p w14:paraId="12D864A5" w14:textId="77777777" w:rsidR="00AE17F0" w:rsidRPr="00470E2C" w:rsidRDefault="00AE17F0" w:rsidP="00E128B8">
            <w:pPr>
              <w:spacing w:before="60" w:after="60"/>
            </w:pPr>
            <w:r>
              <w:t>ASTM D6423</w:t>
            </w:r>
          </w:p>
        </w:tc>
      </w:tr>
      <w:tr w:rsidR="00AE17F0" w:rsidRPr="00470E2C" w14:paraId="670AB615" w14:textId="77777777" w:rsidTr="00E128B8">
        <w:trPr>
          <w:cantSplit/>
        </w:trPr>
        <w:tc>
          <w:tcPr>
            <w:tcW w:w="0" w:type="auto"/>
            <w:tcBorders>
              <w:top w:val="nil"/>
              <w:left w:val="nil"/>
              <w:bottom w:val="nil"/>
              <w:right w:val="nil"/>
            </w:tcBorders>
          </w:tcPr>
          <w:p w14:paraId="30393090" w14:textId="77777777" w:rsidR="00AE17F0" w:rsidRPr="00470E2C" w:rsidRDefault="00AE17F0" w:rsidP="00E128B8">
            <w:pPr>
              <w:pStyle w:val="TableText0"/>
              <w:ind w:left="-561" w:right="153"/>
              <w:jc w:val="right"/>
            </w:pPr>
            <w:r w:rsidRPr="00470E2C">
              <w:t>9</w:t>
            </w:r>
          </w:p>
        </w:tc>
        <w:tc>
          <w:tcPr>
            <w:tcW w:w="2640" w:type="dxa"/>
            <w:tcBorders>
              <w:top w:val="nil"/>
              <w:left w:val="nil"/>
              <w:bottom w:val="nil"/>
              <w:right w:val="nil"/>
            </w:tcBorders>
          </w:tcPr>
          <w:p w14:paraId="1D08BEFC" w14:textId="77777777" w:rsidR="00AE17F0" w:rsidRPr="00470E2C" w:rsidRDefault="00AE17F0" w:rsidP="00E128B8">
            <w:pPr>
              <w:spacing w:before="60" w:after="60"/>
            </w:pPr>
            <w:r>
              <w:t>Solvent washed gum</w:t>
            </w:r>
          </w:p>
        </w:tc>
        <w:tc>
          <w:tcPr>
            <w:tcW w:w="3544" w:type="dxa"/>
            <w:tcBorders>
              <w:top w:val="nil"/>
              <w:left w:val="nil"/>
              <w:bottom w:val="nil"/>
              <w:right w:val="nil"/>
            </w:tcBorders>
          </w:tcPr>
          <w:p w14:paraId="739385A3" w14:textId="77777777" w:rsidR="00AE17F0" w:rsidRPr="00470E2C" w:rsidRDefault="00AE17F0" w:rsidP="00E128B8">
            <w:pPr>
              <w:spacing w:before="60" w:after="60"/>
            </w:pPr>
            <w:r>
              <w:t>5.0 mg/100 mL maximum</w:t>
            </w:r>
          </w:p>
        </w:tc>
        <w:tc>
          <w:tcPr>
            <w:tcW w:w="1758" w:type="dxa"/>
            <w:tcBorders>
              <w:top w:val="nil"/>
              <w:left w:val="nil"/>
              <w:bottom w:val="nil"/>
              <w:right w:val="nil"/>
            </w:tcBorders>
          </w:tcPr>
          <w:p w14:paraId="7D7AB1FA" w14:textId="77777777" w:rsidR="00AE17F0" w:rsidRPr="00470E2C" w:rsidRDefault="00AE17F0" w:rsidP="00E128B8">
            <w:pPr>
              <w:spacing w:before="60" w:after="60"/>
            </w:pPr>
            <w:r>
              <w:t>ASTM D381</w:t>
            </w:r>
          </w:p>
        </w:tc>
      </w:tr>
      <w:tr w:rsidR="00AE17F0" w:rsidRPr="00470E2C" w14:paraId="58B2F133" w14:textId="77777777" w:rsidTr="00E128B8">
        <w:trPr>
          <w:cantSplit/>
        </w:trPr>
        <w:tc>
          <w:tcPr>
            <w:tcW w:w="0" w:type="auto"/>
            <w:tcBorders>
              <w:top w:val="nil"/>
              <w:left w:val="nil"/>
              <w:right w:val="nil"/>
            </w:tcBorders>
          </w:tcPr>
          <w:p w14:paraId="20F843FC" w14:textId="77777777" w:rsidR="00AE17F0" w:rsidRPr="00470E2C" w:rsidRDefault="00AE17F0" w:rsidP="00E128B8">
            <w:pPr>
              <w:pStyle w:val="TableText0"/>
              <w:ind w:left="-561" w:right="153"/>
              <w:jc w:val="right"/>
            </w:pPr>
            <w:r w:rsidRPr="00470E2C">
              <w:t>10</w:t>
            </w:r>
          </w:p>
        </w:tc>
        <w:tc>
          <w:tcPr>
            <w:tcW w:w="2640" w:type="dxa"/>
            <w:tcBorders>
              <w:top w:val="nil"/>
              <w:left w:val="nil"/>
              <w:right w:val="nil"/>
            </w:tcBorders>
          </w:tcPr>
          <w:p w14:paraId="6F54D3CA" w14:textId="77777777" w:rsidR="00AE17F0" w:rsidRPr="00470E2C" w:rsidRDefault="00AE17F0" w:rsidP="00E128B8">
            <w:pPr>
              <w:spacing w:before="60" w:after="60"/>
            </w:pPr>
            <w:r>
              <w:t>Sulfate</w:t>
            </w:r>
          </w:p>
        </w:tc>
        <w:tc>
          <w:tcPr>
            <w:tcW w:w="3544" w:type="dxa"/>
            <w:tcBorders>
              <w:top w:val="nil"/>
              <w:left w:val="nil"/>
              <w:right w:val="nil"/>
            </w:tcBorders>
          </w:tcPr>
          <w:p w14:paraId="244DE3E5" w14:textId="77777777" w:rsidR="00AE17F0" w:rsidRPr="00470E2C" w:rsidRDefault="00AE17F0" w:rsidP="00E128B8">
            <w:pPr>
              <w:spacing w:before="60" w:after="60"/>
            </w:pPr>
            <w:r>
              <w:t>4.0 mg/kg maximum</w:t>
            </w:r>
          </w:p>
        </w:tc>
        <w:tc>
          <w:tcPr>
            <w:tcW w:w="1758" w:type="dxa"/>
            <w:tcBorders>
              <w:top w:val="nil"/>
              <w:left w:val="nil"/>
              <w:right w:val="nil"/>
            </w:tcBorders>
          </w:tcPr>
          <w:p w14:paraId="5B2C973D" w14:textId="77777777" w:rsidR="00AE17F0" w:rsidRPr="00470E2C" w:rsidRDefault="00AE17F0" w:rsidP="00E128B8">
            <w:pPr>
              <w:spacing w:before="60" w:after="60"/>
            </w:pPr>
            <w:r>
              <w:t>ASTM D7328</w:t>
            </w:r>
          </w:p>
        </w:tc>
      </w:tr>
      <w:tr w:rsidR="00AE17F0" w:rsidRPr="00470E2C" w14:paraId="295144C9" w14:textId="77777777" w:rsidTr="00E128B8">
        <w:trPr>
          <w:cantSplit/>
        </w:trPr>
        <w:tc>
          <w:tcPr>
            <w:tcW w:w="0" w:type="auto"/>
            <w:tcBorders>
              <w:top w:val="nil"/>
              <w:left w:val="nil"/>
              <w:right w:val="nil"/>
            </w:tcBorders>
          </w:tcPr>
          <w:p w14:paraId="63DC1CE6" w14:textId="77777777" w:rsidR="00AE17F0" w:rsidRPr="00470E2C" w:rsidRDefault="00AE17F0" w:rsidP="00E128B8">
            <w:pPr>
              <w:pStyle w:val="TableText0"/>
              <w:ind w:left="-561" w:right="153"/>
              <w:jc w:val="right"/>
            </w:pPr>
            <w:r w:rsidRPr="00470E2C">
              <w:t>11</w:t>
            </w:r>
          </w:p>
        </w:tc>
        <w:tc>
          <w:tcPr>
            <w:tcW w:w="2640" w:type="dxa"/>
            <w:tcBorders>
              <w:top w:val="nil"/>
              <w:left w:val="nil"/>
              <w:right w:val="nil"/>
            </w:tcBorders>
          </w:tcPr>
          <w:p w14:paraId="0E4D8890" w14:textId="77777777" w:rsidR="00AE17F0" w:rsidRPr="00470E2C" w:rsidRDefault="00AE17F0" w:rsidP="00E128B8">
            <w:pPr>
              <w:spacing w:before="60" w:after="60"/>
            </w:pPr>
            <w:r>
              <w:t>Sulfur</w:t>
            </w:r>
          </w:p>
        </w:tc>
        <w:tc>
          <w:tcPr>
            <w:tcW w:w="3544" w:type="dxa"/>
            <w:tcBorders>
              <w:top w:val="nil"/>
              <w:left w:val="nil"/>
              <w:right w:val="nil"/>
            </w:tcBorders>
          </w:tcPr>
          <w:p w14:paraId="4F7CAA18" w14:textId="77777777" w:rsidR="00AE17F0" w:rsidRPr="00470E2C" w:rsidRDefault="00AE17F0" w:rsidP="00E128B8">
            <w:pPr>
              <w:spacing w:before="60" w:after="60"/>
            </w:pPr>
            <w:r>
              <w:t>10 mg/kg maximum</w:t>
            </w:r>
          </w:p>
        </w:tc>
        <w:tc>
          <w:tcPr>
            <w:tcW w:w="1758" w:type="dxa"/>
            <w:tcBorders>
              <w:top w:val="nil"/>
              <w:left w:val="nil"/>
              <w:right w:val="nil"/>
            </w:tcBorders>
          </w:tcPr>
          <w:p w14:paraId="7C9633E1" w14:textId="77777777" w:rsidR="00AE17F0" w:rsidRPr="00470E2C" w:rsidRDefault="00AE17F0" w:rsidP="00E128B8">
            <w:pPr>
              <w:spacing w:before="60" w:after="60"/>
            </w:pPr>
            <w:r>
              <w:t>ASTM D5453</w:t>
            </w:r>
          </w:p>
        </w:tc>
      </w:tr>
      <w:tr w:rsidR="00AE17F0" w:rsidRPr="00470E2C" w14:paraId="56637030" w14:textId="77777777" w:rsidTr="00E128B8">
        <w:trPr>
          <w:cantSplit/>
        </w:trPr>
        <w:tc>
          <w:tcPr>
            <w:tcW w:w="0" w:type="auto"/>
            <w:tcBorders>
              <w:left w:val="nil"/>
              <w:bottom w:val="nil"/>
              <w:right w:val="nil"/>
            </w:tcBorders>
          </w:tcPr>
          <w:p w14:paraId="2DC8AB36" w14:textId="77777777" w:rsidR="00AE17F0" w:rsidRPr="00470E2C" w:rsidRDefault="00AE17F0" w:rsidP="00E128B8">
            <w:pPr>
              <w:pStyle w:val="TableText0"/>
              <w:ind w:left="-561" w:right="153"/>
              <w:jc w:val="right"/>
            </w:pPr>
            <w:r w:rsidRPr="00470E2C">
              <w:t>12</w:t>
            </w:r>
          </w:p>
        </w:tc>
        <w:tc>
          <w:tcPr>
            <w:tcW w:w="2640" w:type="dxa"/>
            <w:tcBorders>
              <w:left w:val="nil"/>
              <w:bottom w:val="nil"/>
              <w:right w:val="nil"/>
            </w:tcBorders>
          </w:tcPr>
          <w:p w14:paraId="065D0871" w14:textId="77777777" w:rsidR="00AE17F0" w:rsidRPr="00470E2C" w:rsidRDefault="00AE17F0" w:rsidP="00E128B8">
            <w:pPr>
              <w:spacing w:before="60" w:after="60"/>
            </w:pPr>
            <w:r>
              <w:t>Water</w:t>
            </w:r>
          </w:p>
        </w:tc>
        <w:tc>
          <w:tcPr>
            <w:tcW w:w="3544" w:type="dxa"/>
            <w:tcBorders>
              <w:left w:val="nil"/>
              <w:bottom w:val="nil"/>
              <w:right w:val="nil"/>
            </w:tcBorders>
          </w:tcPr>
          <w:p w14:paraId="3A199804" w14:textId="77777777" w:rsidR="00AE17F0" w:rsidRPr="00504981" w:rsidRDefault="00AE17F0" w:rsidP="00E128B8">
            <w:pPr>
              <w:spacing w:before="60" w:after="60"/>
            </w:pPr>
            <w:r>
              <w:t>1.25% m/m maximum</w:t>
            </w:r>
          </w:p>
        </w:tc>
        <w:tc>
          <w:tcPr>
            <w:tcW w:w="1758" w:type="dxa"/>
            <w:tcBorders>
              <w:left w:val="nil"/>
              <w:bottom w:val="nil"/>
              <w:right w:val="nil"/>
            </w:tcBorders>
          </w:tcPr>
          <w:p w14:paraId="02E99771" w14:textId="77777777" w:rsidR="00AE17F0" w:rsidRPr="00470E2C" w:rsidRDefault="00AE17F0" w:rsidP="00E128B8">
            <w:pPr>
              <w:spacing w:before="60" w:after="60"/>
            </w:pPr>
            <w:r>
              <w:t>ASTM E1064</w:t>
            </w:r>
          </w:p>
        </w:tc>
      </w:tr>
    </w:tbl>
    <w:p w14:paraId="3FD3CCBD" w14:textId="77777777" w:rsidR="00AE17F0" w:rsidRDefault="00AE17F0" w:rsidP="00AE17F0">
      <w:pPr>
        <w:pStyle w:val="subsection"/>
      </w:pPr>
      <w:r>
        <w:tab/>
        <w:t>(3)</w:t>
      </w:r>
      <w:r>
        <w:tab/>
        <w:t>The denaturant component of ethanol must be petrol.</w:t>
      </w:r>
    </w:p>
    <w:p w14:paraId="3B623D56" w14:textId="77777777" w:rsidR="00331886" w:rsidRPr="00BB1D0B" w:rsidRDefault="00331886" w:rsidP="00331886">
      <w:pPr>
        <w:rPr>
          <w:b/>
        </w:rPr>
      </w:pPr>
    </w:p>
    <w:p w14:paraId="42D7DB71" w14:textId="77777777" w:rsidR="00331886" w:rsidRDefault="00331886" w:rsidP="00331886">
      <w:pPr>
        <w:sectPr w:rsidR="00331886" w:rsidSect="00AC07B0">
          <w:headerReference w:type="even" r:id="rId24"/>
          <w:headerReference w:type="default" r:id="rId25"/>
          <w:footerReference w:type="even" r:id="rId26"/>
          <w:footerReference w:type="default" r:id="rId27"/>
          <w:headerReference w:type="first" r:id="rId28"/>
          <w:pgSz w:w="11907" w:h="16839"/>
          <w:pgMar w:top="2378" w:right="1797" w:bottom="1440" w:left="1797" w:header="720" w:footer="709" w:gutter="0"/>
          <w:pgNumType w:start="1"/>
          <w:cols w:space="708"/>
          <w:docGrid w:linePitch="360"/>
        </w:sectPr>
      </w:pPr>
    </w:p>
    <w:p w14:paraId="6E0A57AA" w14:textId="77777777" w:rsidR="00331886" w:rsidRPr="001778F8" w:rsidRDefault="00331886" w:rsidP="00331886">
      <w:pPr>
        <w:pStyle w:val="ENotesHeading1"/>
      </w:pPr>
      <w:bookmarkStart w:id="13" w:name="_Toc63780307"/>
      <w:r>
        <w:t>Endnotes</w:t>
      </w:r>
      <w:bookmarkEnd w:id="13"/>
    </w:p>
    <w:p w14:paraId="1DD1F7E4" w14:textId="77777777" w:rsidR="00331886" w:rsidRPr="00BC57F4" w:rsidRDefault="00331886" w:rsidP="00331886">
      <w:pPr>
        <w:pStyle w:val="ENotesHeading2"/>
        <w:spacing w:line="240" w:lineRule="auto"/>
      </w:pPr>
      <w:bookmarkStart w:id="14" w:name="_Toc63780308"/>
      <w:r w:rsidRPr="00BC57F4">
        <w:t>Endnote 1—About the endnotes</w:t>
      </w:r>
      <w:bookmarkEnd w:id="14"/>
    </w:p>
    <w:p w14:paraId="1B1FA54C" w14:textId="77777777" w:rsidR="00331886" w:rsidRPr="00042EA7" w:rsidRDefault="00331886" w:rsidP="00331886">
      <w:pPr>
        <w:spacing w:after="120"/>
      </w:pPr>
      <w:r w:rsidRPr="00042EA7">
        <w:t>The endnotes provide information about this compilation and the compiled law.</w:t>
      </w:r>
    </w:p>
    <w:p w14:paraId="28150251" w14:textId="77777777" w:rsidR="00331886" w:rsidRPr="00042EA7" w:rsidRDefault="00331886" w:rsidP="00331886">
      <w:pPr>
        <w:spacing w:after="120"/>
      </w:pPr>
      <w:r w:rsidRPr="00042EA7">
        <w:t>The following endnotes are included in every compilation:</w:t>
      </w:r>
    </w:p>
    <w:p w14:paraId="4906AF9F" w14:textId="77777777" w:rsidR="00331886" w:rsidRPr="00042EA7" w:rsidRDefault="00331886" w:rsidP="00331886">
      <w:r w:rsidRPr="00042EA7">
        <w:t>Endnote 1—About the endnotes</w:t>
      </w:r>
    </w:p>
    <w:p w14:paraId="208C4A92" w14:textId="77777777" w:rsidR="00331886" w:rsidRPr="00042EA7" w:rsidRDefault="00331886" w:rsidP="00331886">
      <w:r w:rsidRPr="00042EA7">
        <w:t>Endnote 2—Abbreviation key</w:t>
      </w:r>
    </w:p>
    <w:p w14:paraId="4115746B" w14:textId="77777777" w:rsidR="00331886" w:rsidRPr="00042EA7" w:rsidRDefault="00331886" w:rsidP="00331886">
      <w:r w:rsidRPr="00042EA7">
        <w:t>Endnote 3—Legislation history</w:t>
      </w:r>
    </w:p>
    <w:p w14:paraId="6F1FFB3E" w14:textId="77777777" w:rsidR="00331886" w:rsidRPr="00042EA7" w:rsidRDefault="00331886" w:rsidP="00331886">
      <w:pPr>
        <w:spacing w:after="120"/>
      </w:pPr>
      <w:r w:rsidRPr="00042EA7">
        <w:t>Endnote 4—Amendment history</w:t>
      </w:r>
    </w:p>
    <w:p w14:paraId="38F67994" w14:textId="77777777" w:rsidR="00331886" w:rsidRPr="00042EA7" w:rsidRDefault="00331886" w:rsidP="00331886">
      <w:r w:rsidRPr="00042EA7">
        <w:rPr>
          <w:b/>
        </w:rPr>
        <w:t>Abbreviation key—Endnote 2</w:t>
      </w:r>
    </w:p>
    <w:p w14:paraId="62A2E693" w14:textId="77777777" w:rsidR="00331886" w:rsidRPr="00042EA7" w:rsidRDefault="00331886" w:rsidP="00331886">
      <w:pPr>
        <w:spacing w:after="120"/>
      </w:pPr>
      <w:r w:rsidRPr="00042EA7">
        <w:t>The abbreviation key sets out abbreviations that may be used in the endnotes.</w:t>
      </w:r>
    </w:p>
    <w:p w14:paraId="1E747E01" w14:textId="77777777" w:rsidR="00331886" w:rsidRPr="00042EA7" w:rsidRDefault="00331886" w:rsidP="00331886">
      <w:pPr>
        <w:rPr>
          <w:b/>
        </w:rPr>
      </w:pPr>
      <w:r w:rsidRPr="00042EA7">
        <w:rPr>
          <w:b/>
        </w:rPr>
        <w:t>Legislation history and amendment history—Endnotes 3 and 4</w:t>
      </w:r>
    </w:p>
    <w:p w14:paraId="7612B5B7" w14:textId="77777777" w:rsidR="00331886" w:rsidRPr="00042EA7" w:rsidRDefault="00331886" w:rsidP="00331886">
      <w:pPr>
        <w:spacing w:after="120"/>
      </w:pPr>
      <w:r w:rsidRPr="00042EA7">
        <w:t>Amending laws are annotated in the legislation history and amendment history.</w:t>
      </w:r>
    </w:p>
    <w:p w14:paraId="46D22704"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72F8FE9"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6B08DC0" w14:textId="77777777" w:rsidR="00331886" w:rsidRPr="00042EA7" w:rsidRDefault="00331886" w:rsidP="00331886">
      <w:pPr>
        <w:keepNext/>
      </w:pPr>
      <w:r w:rsidRPr="00042EA7">
        <w:rPr>
          <w:b/>
        </w:rPr>
        <w:t>Misdescribed amendments</w:t>
      </w:r>
    </w:p>
    <w:p w14:paraId="7E3AC9C0" w14:textId="77777777" w:rsidR="00331886" w:rsidRPr="00042EA7" w:rsidRDefault="00331886" w:rsidP="00331886">
      <w:pPr>
        <w:spacing w:after="120"/>
      </w:pPr>
      <w:r w:rsidRPr="00042EA7">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w:t>
      </w:r>
      <w:r>
        <w:t>luded in the amendment history.</w:t>
      </w:r>
    </w:p>
    <w:p w14:paraId="305AC423" w14:textId="77777777" w:rsidR="00331886" w:rsidRPr="00C337CB" w:rsidRDefault="00331886" w:rsidP="00331886">
      <w:pPr>
        <w:spacing w:before="120"/>
      </w:pPr>
      <w:r w:rsidRPr="00C337CB">
        <w:t>If a misdescribed amendment cannot be given effect as intended, the abbreviation “(md not incorp)” is added to the details of the amendment included in the amendment history.</w:t>
      </w:r>
    </w:p>
    <w:p w14:paraId="25233015" w14:textId="77777777" w:rsidR="00331886" w:rsidRPr="00164D8F" w:rsidRDefault="00331886" w:rsidP="00331886"/>
    <w:p w14:paraId="51F86667" w14:textId="77777777" w:rsidR="00331886" w:rsidRDefault="00331886" w:rsidP="00331886">
      <w:pPr>
        <w:pStyle w:val="ENotesHeading2"/>
        <w:pageBreakBefore/>
        <w:outlineLvl w:val="9"/>
      </w:pPr>
      <w:bookmarkStart w:id="15" w:name="_Toc63780309"/>
      <w:r w:rsidRPr="00BC57F4">
        <w:t>Endnote 2—Abbreviation key</w:t>
      </w:r>
      <w:bookmarkEnd w:id="15"/>
    </w:p>
    <w:p w14:paraId="417D4FEA" w14:textId="77777777" w:rsidR="00331886" w:rsidRPr="00164D8F" w:rsidRDefault="00331886" w:rsidP="00331886">
      <w:pPr>
        <w:pStyle w:val="Tabletext"/>
      </w:pPr>
    </w:p>
    <w:tbl>
      <w:tblPr>
        <w:tblW w:w="5000" w:type="pct"/>
        <w:tblLook w:val="0000" w:firstRow="0" w:lastRow="0" w:firstColumn="0" w:lastColumn="0" w:noHBand="0" w:noVBand="0"/>
      </w:tblPr>
      <w:tblGrid>
        <w:gridCol w:w="4454"/>
        <w:gridCol w:w="3859"/>
      </w:tblGrid>
      <w:tr w:rsidR="00331886" w:rsidRPr="00164D8F" w14:paraId="49FACC18" w14:textId="77777777" w:rsidTr="00C37EC7">
        <w:tc>
          <w:tcPr>
            <w:tcW w:w="2679" w:type="pct"/>
            <w:shd w:val="clear" w:color="auto" w:fill="auto"/>
          </w:tcPr>
          <w:p w14:paraId="7F6F9D52" w14:textId="77777777" w:rsidR="00331886" w:rsidRPr="00164D8F" w:rsidRDefault="00331886" w:rsidP="00C37EC7">
            <w:pPr>
              <w:spacing w:before="60"/>
              <w:ind w:left="34"/>
              <w:rPr>
                <w:sz w:val="20"/>
              </w:rPr>
            </w:pPr>
            <w:r w:rsidRPr="00164D8F">
              <w:rPr>
                <w:sz w:val="20"/>
              </w:rPr>
              <w:t>ad = added or inserted</w:t>
            </w:r>
          </w:p>
        </w:tc>
        <w:tc>
          <w:tcPr>
            <w:tcW w:w="2321" w:type="pct"/>
            <w:shd w:val="clear" w:color="auto" w:fill="auto"/>
          </w:tcPr>
          <w:p w14:paraId="77F34068" w14:textId="77777777" w:rsidR="00331886" w:rsidRPr="00164D8F" w:rsidRDefault="00331886" w:rsidP="00C37EC7">
            <w:pPr>
              <w:spacing w:before="60"/>
              <w:ind w:left="34"/>
              <w:rPr>
                <w:sz w:val="20"/>
              </w:rPr>
            </w:pPr>
            <w:r w:rsidRPr="00164D8F">
              <w:rPr>
                <w:sz w:val="20"/>
              </w:rPr>
              <w:t>o = order(s)</w:t>
            </w:r>
          </w:p>
        </w:tc>
      </w:tr>
      <w:tr w:rsidR="00331886" w:rsidRPr="00164D8F" w14:paraId="28E158A6" w14:textId="77777777" w:rsidTr="00C37EC7">
        <w:tc>
          <w:tcPr>
            <w:tcW w:w="2679" w:type="pct"/>
            <w:shd w:val="clear" w:color="auto" w:fill="auto"/>
          </w:tcPr>
          <w:p w14:paraId="3574875E" w14:textId="77777777" w:rsidR="00331886" w:rsidRPr="00164D8F" w:rsidRDefault="00331886" w:rsidP="00C37EC7">
            <w:pPr>
              <w:spacing w:before="60"/>
              <w:ind w:left="34"/>
              <w:rPr>
                <w:sz w:val="20"/>
              </w:rPr>
            </w:pPr>
            <w:r w:rsidRPr="00164D8F">
              <w:rPr>
                <w:sz w:val="20"/>
              </w:rPr>
              <w:t>am = amended</w:t>
            </w:r>
          </w:p>
        </w:tc>
        <w:tc>
          <w:tcPr>
            <w:tcW w:w="2321" w:type="pct"/>
            <w:shd w:val="clear" w:color="auto" w:fill="auto"/>
          </w:tcPr>
          <w:p w14:paraId="5279E209" w14:textId="77777777" w:rsidR="00331886" w:rsidRPr="00164D8F" w:rsidRDefault="00331886" w:rsidP="00C37EC7">
            <w:pPr>
              <w:spacing w:before="60"/>
              <w:ind w:left="34"/>
              <w:rPr>
                <w:sz w:val="20"/>
              </w:rPr>
            </w:pPr>
            <w:r w:rsidRPr="00164D8F">
              <w:rPr>
                <w:sz w:val="20"/>
              </w:rPr>
              <w:t>Ord = Ordinance</w:t>
            </w:r>
          </w:p>
        </w:tc>
      </w:tr>
      <w:tr w:rsidR="00331886" w:rsidRPr="00164D8F" w14:paraId="00CDDC61" w14:textId="77777777" w:rsidTr="00C37EC7">
        <w:tc>
          <w:tcPr>
            <w:tcW w:w="2679" w:type="pct"/>
            <w:shd w:val="clear" w:color="auto" w:fill="auto"/>
          </w:tcPr>
          <w:p w14:paraId="6812A8ED" w14:textId="77777777" w:rsidR="00331886" w:rsidRPr="00164D8F" w:rsidRDefault="00331886" w:rsidP="00C37EC7">
            <w:pPr>
              <w:spacing w:before="60"/>
              <w:ind w:left="34"/>
              <w:rPr>
                <w:sz w:val="20"/>
              </w:rPr>
            </w:pPr>
            <w:r w:rsidRPr="00164D8F">
              <w:rPr>
                <w:sz w:val="20"/>
              </w:rPr>
              <w:t>amdt = amendment</w:t>
            </w:r>
          </w:p>
        </w:tc>
        <w:tc>
          <w:tcPr>
            <w:tcW w:w="2321" w:type="pct"/>
            <w:shd w:val="clear" w:color="auto" w:fill="auto"/>
          </w:tcPr>
          <w:p w14:paraId="2EE77706" w14:textId="77777777" w:rsidR="00331886" w:rsidRPr="00164D8F" w:rsidRDefault="00331886" w:rsidP="00C37EC7">
            <w:pPr>
              <w:spacing w:before="60"/>
              <w:ind w:left="34"/>
              <w:rPr>
                <w:sz w:val="20"/>
              </w:rPr>
            </w:pPr>
            <w:r w:rsidRPr="00164D8F">
              <w:rPr>
                <w:sz w:val="20"/>
              </w:rPr>
              <w:t>orig = original</w:t>
            </w:r>
          </w:p>
        </w:tc>
      </w:tr>
      <w:tr w:rsidR="00331886" w:rsidRPr="00164D8F" w14:paraId="2281F34F" w14:textId="77777777" w:rsidTr="00C37EC7">
        <w:tc>
          <w:tcPr>
            <w:tcW w:w="2679" w:type="pct"/>
            <w:shd w:val="clear" w:color="auto" w:fill="auto"/>
          </w:tcPr>
          <w:p w14:paraId="748C1561" w14:textId="77777777" w:rsidR="00331886" w:rsidRPr="00164D8F" w:rsidRDefault="00331886" w:rsidP="00C37EC7">
            <w:pPr>
              <w:spacing w:before="60"/>
              <w:ind w:left="34"/>
              <w:rPr>
                <w:sz w:val="20"/>
              </w:rPr>
            </w:pPr>
            <w:r w:rsidRPr="00164D8F">
              <w:rPr>
                <w:sz w:val="20"/>
              </w:rPr>
              <w:t>c = clause(s)</w:t>
            </w:r>
          </w:p>
        </w:tc>
        <w:tc>
          <w:tcPr>
            <w:tcW w:w="2321" w:type="pct"/>
            <w:shd w:val="clear" w:color="auto" w:fill="auto"/>
          </w:tcPr>
          <w:p w14:paraId="3D1D2785" w14:textId="77777777" w:rsidR="00331886" w:rsidRPr="00164D8F" w:rsidRDefault="00331886" w:rsidP="00C37EC7">
            <w:pPr>
              <w:spacing w:before="60"/>
              <w:ind w:left="34"/>
              <w:rPr>
                <w:sz w:val="20"/>
              </w:rPr>
            </w:pPr>
            <w:r w:rsidRPr="00164D8F">
              <w:rPr>
                <w:sz w:val="20"/>
              </w:rPr>
              <w:t>par = paragraph(s)/subparagraph(s)</w:t>
            </w:r>
          </w:p>
        </w:tc>
      </w:tr>
      <w:tr w:rsidR="00331886" w:rsidRPr="00164D8F" w14:paraId="593EDBDC" w14:textId="77777777" w:rsidTr="00C37EC7">
        <w:tc>
          <w:tcPr>
            <w:tcW w:w="2679" w:type="pct"/>
            <w:shd w:val="clear" w:color="auto" w:fill="auto"/>
          </w:tcPr>
          <w:p w14:paraId="6E5FD6F1" w14:textId="77777777" w:rsidR="00331886" w:rsidRPr="00164D8F" w:rsidRDefault="00331886" w:rsidP="00C37EC7">
            <w:pPr>
              <w:spacing w:before="60"/>
              <w:ind w:left="34"/>
              <w:rPr>
                <w:sz w:val="20"/>
              </w:rPr>
            </w:pPr>
            <w:r w:rsidRPr="00164D8F">
              <w:rPr>
                <w:sz w:val="20"/>
              </w:rPr>
              <w:t>C[x] = Compilation No. x</w:t>
            </w:r>
          </w:p>
        </w:tc>
        <w:tc>
          <w:tcPr>
            <w:tcW w:w="2321" w:type="pct"/>
            <w:shd w:val="clear" w:color="auto" w:fill="auto"/>
          </w:tcPr>
          <w:p w14:paraId="6DC5D30F" w14:textId="77777777" w:rsidR="00331886" w:rsidRPr="00164D8F" w:rsidRDefault="00331886" w:rsidP="00C37EC7">
            <w:pPr>
              <w:ind w:left="34" w:firstLine="216"/>
              <w:rPr>
                <w:sz w:val="20"/>
              </w:rPr>
            </w:pPr>
            <w:r w:rsidRPr="00164D8F">
              <w:rPr>
                <w:sz w:val="20"/>
              </w:rPr>
              <w:t>/sub</w:t>
            </w:r>
            <w:r>
              <w:rPr>
                <w:sz w:val="20"/>
              </w:rPr>
              <w:noBreakHyphen/>
            </w:r>
            <w:r w:rsidRPr="00164D8F">
              <w:rPr>
                <w:sz w:val="20"/>
              </w:rPr>
              <w:t>subparagraph(s)</w:t>
            </w:r>
          </w:p>
        </w:tc>
      </w:tr>
      <w:tr w:rsidR="00331886" w:rsidRPr="00164D8F" w14:paraId="3B98818E" w14:textId="77777777" w:rsidTr="00C37EC7">
        <w:tc>
          <w:tcPr>
            <w:tcW w:w="2679" w:type="pct"/>
            <w:shd w:val="clear" w:color="auto" w:fill="auto"/>
          </w:tcPr>
          <w:p w14:paraId="5B857909" w14:textId="77777777" w:rsidR="00331886" w:rsidRPr="00164D8F" w:rsidRDefault="00331886" w:rsidP="00C37EC7">
            <w:pPr>
              <w:spacing w:before="60"/>
              <w:ind w:left="34"/>
              <w:rPr>
                <w:sz w:val="20"/>
              </w:rPr>
            </w:pPr>
            <w:r w:rsidRPr="00164D8F">
              <w:rPr>
                <w:sz w:val="20"/>
              </w:rPr>
              <w:t>Ch = Chapter(s)</w:t>
            </w:r>
          </w:p>
        </w:tc>
        <w:tc>
          <w:tcPr>
            <w:tcW w:w="2321" w:type="pct"/>
            <w:shd w:val="clear" w:color="auto" w:fill="auto"/>
          </w:tcPr>
          <w:p w14:paraId="2A81409D" w14:textId="77777777" w:rsidR="00331886" w:rsidRPr="00164D8F" w:rsidRDefault="00331886" w:rsidP="00C37EC7">
            <w:pPr>
              <w:spacing w:before="60"/>
              <w:ind w:left="34"/>
              <w:rPr>
                <w:sz w:val="20"/>
              </w:rPr>
            </w:pPr>
            <w:r w:rsidRPr="00164D8F">
              <w:rPr>
                <w:sz w:val="20"/>
              </w:rPr>
              <w:t>pres = present</w:t>
            </w:r>
          </w:p>
        </w:tc>
      </w:tr>
      <w:tr w:rsidR="00331886" w:rsidRPr="00164D8F" w14:paraId="73DC6B37" w14:textId="77777777" w:rsidTr="00C37EC7">
        <w:tc>
          <w:tcPr>
            <w:tcW w:w="2679" w:type="pct"/>
            <w:shd w:val="clear" w:color="auto" w:fill="auto"/>
          </w:tcPr>
          <w:p w14:paraId="64AEF91A" w14:textId="77777777" w:rsidR="00331886" w:rsidRPr="00164D8F" w:rsidRDefault="00331886" w:rsidP="00C37EC7">
            <w:pPr>
              <w:spacing w:before="60"/>
              <w:ind w:left="34"/>
              <w:rPr>
                <w:sz w:val="20"/>
              </w:rPr>
            </w:pPr>
            <w:r w:rsidRPr="00164D8F">
              <w:rPr>
                <w:sz w:val="20"/>
              </w:rPr>
              <w:t>def = definition(s)</w:t>
            </w:r>
          </w:p>
        </w:tc>
        <w:tc>
          <w:tcPr>
            <w:tcW w:w="2321" w:type="pct"/>
            <w:shd w:val="clear" w:color="auto" w:fill="auto"/>
          </w:tcPr>
          <w:p w14:paraId="27975674" w14:textId="77777777" w:rsidR="00331886" w:rsidRPr="00164D8F" w:rsidRDefault="00331886" w:rsidP="00C37EC7">
            <w:pPr>
              <w:spacing w:before="60"/>
              <w:ind w:left="34"/>
              <w:rPr>
                <w:sz w:val="20"/>
              </w:rPr>
            </w:pPr>
            <w:r w:rsidRPr="00164D8F">
              <w:rPr>
                <w:sz w:val="20"/>
              </w:rPr>
              <w:t>prev = previous</w:t>
            </w:r>
          </w:p>
        </w:tc>
      </w:tr>
      <w:tr w:rsidR="00331886" w:rsidRPr="00164D8F" w14:paraId="1CF1DD6E" w14:textId="77777777" w:rsidTr="00C37EC7">
        <w:tc>
          <w:tcPr>
            <w:tcW w:w="2679" w:type="pct"/>
            <w:shd w:val="clear" w:color="auto" w:fill="auto"/>
          </w:tcPr>
          <w:p w14:paraId="6A0A1D55" w14:textId="77777777" w:rsidR="00331886" w:rsidRPr="00164D8F" w:rsidRDefault="00331886" w:rsidP="00C37EC7">
            <w:pPr>
              <w:spacing w:before="60"/>
              <w:ind w:left="34"/>
              <w:rPr>
                <w:sz w:val="20"/>
              </w:rPr>
            </w:pPr>
            <w:r w:rsidRPr="00164D8F">
              <w:rPr>
                <w:sz w:val="20"/>
              </w:rPr>
              <w:t>Dict = Dictionary</w:t>
            </w:r>
          </w:p>
        </w:tc>
        <w:tc>
          <w:tcPr>
            <w:tcW w:w="2321" w:type="pct"/>
            <w:shd w:val="clear" w:color="auto" w:fill="auto"/>
          </w:tcPr>
          <w:p w14:paraId="21142591" w14:textId="77777777" w:rsidR="00331886" w:rsidRPr="00164D8F" w:rsidRDefault="00331886" w:rsidP="00C37EC7">
            <w:pPr>
              <w:spacing w:before="60"/>
              <w:ind w:left="34"/>
              <w:rPr>
                <w:sz w:val="20"/>
              </w:rPr>
            </w:pPr>
            <w:r w:rsidRPr="00164D8F">
              <w:rPr>
                <w:sz w:val="20"/>
              </w:rPr>
              <w:t>(prev…) = previously</w:t>
            </w:r>
          </w:p>
        </w:tc>
      </w:tr>
      <w:tr w:rsidR="00331886" w:rsidRPr="00164D8F" w14:paraId="5286DAB3" w14:textId="77777777" w:rsidTr="00C37EC7">
        <w:tc>
          <w:tcPr>
            <w:tcW w:w="2679" w:type="pct"/>
            <w:shd w:val="clear" w:color="auto" w:fill="auto"/>
          </w:tcPr>
          <w:p w14:paraId="05C88FD1" w14:textId="77777777" w:rsidR="00331886" w:rsidRPr="00164D8F" w:rsidRDefault="00331886" w:rsidP="00C37EC7">
            <w:pPr>
              <w:spacing w:before="60"/>
              <w:ind w:left="34"/>
              <w:rPr>
                <w:sz w:val="20"/>
              </w:rPr>
            </w:pPr>
            <w:r w:rsidRPr="00164D8F">
              <w:rPr>
                <w:sz w:val="20"/>
              </w:rPr>
              <w:t>disallowed = disallowed by Parliament</w:t>
            </w:r>
          </w:p>
        </w:tc>
        <w:tc>
          <w:tcPr>
            <w:tcW w:w="2321" w:type="pct"/>
            <w:shd w:val="clear" w:color="auto" w:fill="auto"/>
          </w:tcPr>
          <w:p w14:paraId="7A420A02" w14:textId="77777777" w:rsidR="00331886" w:rsidRPr="00164D8F" w:rsidRDefault="00331886" w:rsidP="00C37EC7">
            <w:pPr>
              <w:spacing w:before="60"/>
              <w:ind w:left="34"/>
              <w:rPr>
                <w:sz w:val="20"/>
              </w:rPr>
            </w:pPr>
            <w:r w:rsidRPr="00164D8F">
              <w:rPr>
                <w:sz w:val="20"/>
              </w:rPr>
              <w:t>Pt = Part(s)</w:t>
            </w:r>
          </w:p>
        </w:tc>
      </w:tr>
      <w:tr w:rsidR="00331886" w:rsidRPr="00164D8F" w14:paraId="676DA964" w14:textId="77777777" w:rsidTr="00C37EC7">
        <w:tc>
          <w:tcPr>
            <w:tcW w:w="2679" w:type="pct"/>
            <w:shd w:val="clear" w:color="auto" w:fill="auto"/>
          </w:tcPr>
          <w:p w14:paraId="1A80D521" w14:textId="77777777" w:rsidR="00331886" w:rsidRPr="00164D8F" w:rsidRDefault="00331886" w:rsidP="00C37EC7">
            <w:pPr>
              <w:spacing w:before="60"/>
              <w:ind w:left="34"/>
              <w:rPr>
                <w:sz w:val="20"/>
              </w:rPr>
            </w:pPr>
            <w:r w:rsidRPr="00164D8F">
              <w:rPr>
                <w:sz w:val="20"/>
              </w:rPr>
              <w:t>Div = Division(s)</w:t>
            </w:r>
          </w:p>
        </w:tc>
        <w:tc>
          <w:tcPr>
            <w:tcW w:w="2321" w:type="pct"/>
            <w:shd w:val="clear" w:color="auto" w:fill="auto"/>
          </w:tcPr>
          <w:p w14:paraId="5B7D0D22" w14:textId="77777777" w:rsidR="00331886" w:rsidRPr="00164D8F" w:rsidRDefault="00331886" w:rsidP="00C37EC7">
            <w:pPr>
              <w:spacing w:before="60"/>
              <w:ind w:left="34"/>
              <w:rPr>
                <w:sz w:val="20"/>
              </w:rPr>
            </w:pPr>
            <w:r w:rsidRPr="00164D8F">
              <w:rPr>
                <w:sz w:val="20"/>
              </w:rPr>
              <w:t>r = regulation(s)/rule(s)</w:t>
            </w:r>
          </w:p>
        </w:tc>
      </w:tr>
      <w:tr w:rsidR="00331886" w:rsidRPr="00164D8F" w14:paraId="1F4B56C5" w14:textId="77777777" w:rsidTr="00C37EC7">
        <w:tc>
          <w:tcPr>
            <w:tcW w:w="2679" w:type="pct"/>
            <w:shd w:val="clear" w:color="auto" w:fill="auto"/>
          </w:tcPr>
          <w:p w14:paraId="75084B93" w14:textId="77777777" w:rsidR="00331886" w:rsidRPr="00164D8F" w:rsidRDefault="00331886" w:rsidP="00C37EC7">
            <w:pPr>
              <w:spacing w:before="60"/>
              <w:ind w:left="34"/>
              <w:rPr>
                <w:sz w:val="20"/>
              </w:rPr>
            </w:pPr>
            <w:r w:rsidRPr="00164D8F">
              <w:rPr>
                <w:sz w:val="20"/>
              </w:rPr>
              <w:t>exp = expires/expired or ceases/ceased to have</w:t>
            </w:r>
          </w:p>
        </w:tc>
        <w:tc>
          <w:tcPr>
            <w:tcW w:w="2321" w:type="pct"/>
            <w:shd w:val="clear" w:color="auto" w:fill="auto"/>
          </w:tcPr>
          <w:p w14:paraId="5A4835F8" w14:textId="77777777" w:rsidR="00331886" w:rsidRPr="00164D8F" w:rsidRDefault="00331886" w:rsidP="00C37EC7">
            <w:pPr>
              <w:spacing w:before="60"/>
              <w:ind w:left="34"/>
              <w:rPr>
                <w:sz w:val="20"/>
              </w:rPr>
            </w:pPr>
            <w:r w:rsidRPr="00164D8F">
              <w:rPr>
                <w:sz w:val="20"/>
              </w:rPr>
              <w:t>reloc = relocated</w:t>
            </w:r>
          </w:p>
        </w:tc>
      </w:tr>
      <w:tr w:rsidR="00331886" w:rsidRPr="00164D8F" w14:paraId="566FDC87" w14:textId="77777777" w:rsidTr="00C37EC7">
        <w:tc>
          <w:tcPr>
            <w:tcW w:w="2679" w:type="pct"/>
            <w:shd w:val="clear" w:color="auto" w:fill="auto"/>
          </w:tcPr>
          <w:p w14:paraId="284C77B8" w14:textId="77777777" w:rsidR="00331886" w:rsidRPr="00164D8F" w:rsidRDefault="00331886" w:rsidP="00C37EC7">
            <w:pPr>
              <w:ind w:left="34" w:firstLine="250"/>
              <w:rPr>
                <w:sz w:val="20"/>
              </w:rPr>
            </w:pPr>
            <w:r w:rsidRPr="00164D8F">
              <w:rPr>
                <w:sz w:val="20"/>
              </w:rPr>
              <w:t>effect</w:t>
            </w:r>
          </w:p>
        </w:tc>
        <w:tc>
          <w:tcPr>
            <w:tcW w:w="2321" w:type="pct"/>
            <w:shd w:val="clear" w:color="auto" w:fill="auto"/>
          </w:tcPr>
          <w:p w14:paraId="18999182" w14:textId="77777777" w:rsidR="00331886" w:rsidRPr="00164D8F" w:rsidRDefault="00331886" w:rsidP="00C37EC7">
            <w:pPr>
              <w:spacing w:before="60"/>
              <w:ind w:left="34"/>
              <w:rPr>
                <w:sz w:val="20"/>
              </w:rPr>
            </w:pPr>
            <w:r w:rsidRPr="00164D8F">
              <w:rPr>
                <w:sz w:val="20"/>
              </w:rPr>
              <w:t>renum = renumbered</w:t>
            </w:r>
          </w:p>
        </w:tc>
      </w:tr>
      <w:tr w:rsidR="00331886" w:rsidRPr="00164D8F" w14:paraId="13A49859" w14:textId="77777777" w:rsidTr="00C37EC7">
        <w:tc>
          <w:tcPr>
            <w:tcW w:w="2679" w:type="pct"/>
            <w:shd w:val="clear" w:color="auto" w:fill="auto"/>
          </w:tcPr>
          <w:p w14:paraId="1C6BF8A4" w14:textId="77777777" w:rsidR="00331886" w:rsidRPr="00164D8F" w:rsidRDefault="00331886" w:rsidP="00C37EC7">
            <w:pPr>
              <w:spacing w:before="60"/>
              <w:ind w:left="34"/>
              <w:rPr>
                <w:sz w:val="20"/>
              </w:rPr>
            </w:pPr>
            <w:r w:rsidRPr="00164D8F">
              <w:rPr>
                <w:sz w:val="20"/>
              </w:rPr>
              <w:t>F = Federal Register of Legislation</w:t>
            </w:r>
          </w:p>
        </w:tc>
        <w:tc>
          <w:tcPr>
            <w:tcW w:w="2321" w:type="pct"/>
            <w:shd w:val="clear" w:color="auto" w:fill="auto"/>
          </w:tcPr>
          <w:p w14:paraId="752E7DFF" w14:textId="77777777" w:rsidR="00331886" w:rsidRPr="00164D8F" w:rsidRDefault="00331886" w:rsidP="00C37EC7">
            <w:pPr>
              <w:spacing w:before="60"/>
              <w:ind w:left="34"/>
              <w:rPr>
                <w:sz w:val="20"/>
              </w:rPr>
            </w:pPr>
            <w:r w:rsidRPr="00164D8F">
              <w:rPr>
                <w:sz w:val="20"/>
              </w:rPr>
              <w:t>rep = repealed</w:t>
            </w:r>
          </w:p>
        </w:tc>
      </w:tr>
      <w:tr w:rsidR="00331886" w:rsidRPr="00164D8F" w14:paraId="4BF0686A" w14:textId="77777777" w:rsidTr="00C37EC7">
        <w:tc>
          <w:tcPr>
            <w:tcW w:w="2679" w:type="pct"/>
            <w:shd w:val="clear" w:color="auto" w:fill="auto"/>
          </w:tcPr>
          <w:p w14:paraId="2C7559C9" w14:textId="77777777" w:rsidR="00331886" w:rsidRPr="00164D8F" w:rsidRDefault="00331886" w:rsidP="00C37EC7">
            <w:pPr>
              <w:spacing w:before="60"/>
              <w:ind w:left="34"/>
              <w:rPr>
                <w:sz w:val="20"/>
              </w:rPr>
            </w:pPr>
            <w:r w:rsidRPr="00164D8F">
              <w:rPr>
                <w:sz w:val="20"/>
              </w:rPr>
              <w:t>gaz = gazette</w:t>
            </w:r>
          </w:p>
        </w:tc>
        <w:tc>
          <w:tcPr>
            <w:tcW w:w="2321" w:type="pct"/>
            <w:shd w:val="clear" w:color="auto" w:fill="auto"/>
          </w:tcPr>
          <w:p w14:paraId="2D024A7D" w14:textId="77777777" w:rsidR="00331886" w:rsidRPr="00164D8F" w:rsidRDefault="00331886" w:rsidP="00C37EC7">
            <w:pPr>
              <w:spacing w:before="60"/>
              <w:ind w:left="34"/>
              <w:rPr>
                <w:sz w:val="20"/>
              </w:rPr>
            </w:pPr>
            <w:r w:rsidRPr="00164D8F">
              <w:rPr>
                <w:sz w:val="20"/>
              </w:rPr>
              <w:t>rs = repealed and substituted</w:t>
            </w:r>
          </w:p>
        </w:tc>
      </w:tr>
      <w:tr w:rsidR="00331886" w:rsidRPr="00164D8F" w14:paraId="6BC387B3" w14:textId="77777777" w:rsidTr="00C37EC7">
        <w:tc>
          <w:tcPr>
            <w:tcW w:w="2679" w:type="pct"/>
            <w:shd w:val="clear" w:color="auto" w:fill="auto"/>
          </w:tcPr>
          <w:p w14:paraId="60E27D87" w14:textId="77777777" w:rsidR="00331886" w:rsidRPr="00164D8F" w:rsidRDefault="00331886" w:rsidP="00C37EC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6BF687C5" w14:textId="77777777" w:rsidR="00331886" w:rsidRPr="00164D8F" w:rsidRDefault="00331886" w:rsidP="00C37EC7">
            <w:pPr>
              <w:spacing w:before="60"/>
              <w:ind w:left="34"/>
              <w:rPr>
                <w:sz w:val="20"/>
              </w:rPr>
            </w:pPr>
            <w:r w:rsidRPr="00164D8F">
              <w:rPr>
                <w:sz w:val="20"/>
              </w:rPr>
              <w:t>s = section(s)/subsection(s)</w:t>
            </w:r>
          </w:p>
        </w:tc>
      </w:tr>
      <w:tr w:rsidR="00331886" w:rsidRPr="00164D8F" w14:paraId="15F5C291" w14:textId="77777777" w:rsidTr="00C37EC7">
        <w:tc>
          <w:tcPr>
            <w:tcW w:w="2679" w:type="pct"/>
            <w:shd w:val="clear" w:color="auto" w:fill="auto"/>
          </w:tcPr>
          <w:p w14:paraId="4739D709" w14:textId="77777777" w:rsidR="00331886" w:rsidRPr="00164D8F" w:rsidRDefault="00331886" w:rsidP="00C37EC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10FB5B99" w14:textId="77777777" w:rsidR="00331886" w:rsidRPr="00164D8F" w:rsidRDefault="00331886" w:rsidP="00C37EC7">
            <w:pPr>
              <w:spacing w:before="60"/>
              <w:ind w:left="34"/>
              <w:rPr>
                <w:sz w:val="20"/>
              </w:rPr>
            </w:pPr>
            <w:r w:rsidRPr="00164D8F">
              <w:rPr>
                <w:sz w:val="20"/>
              </w:rPr>
              <w:t>Sch = Schedule(s)</w:t>
            </w:r>
          </w:p>
        </w:tc>
      </w:tr>
      <w:tr w:rsidR="00331886" w:rsidRPr="00164D8F" w14:paraId="3483C5FA" w14:textId="77777777" w:rsidTr="00C37EC7">
        <w:tc>
          <w:tcPr>
            <w:tcW w:w="2679" w:type="pct"/>
            <w:shd w:val="clear" w:color="auto" w:fill="auto"/>
          </w:tcPr>
          <w:p w14:paraId="1036012E" w14:textId="77777777" w:rsidR="00331886" w:rsidRPr="00164D8F" w:rsidRDefault="00331886" w:rsidP="00C37EC7">
            <w:pPr>
              <w:spacing w:before="60"/>
              <w:ind w:left="34"/>
              <w:rPr>
                <w:sz w:val="20"/>
              </w:rPr>
            </w:pPr>
            <w:r w:rsidRPr="00164D8F">
              <w:rPr>
                <w:sz w:val="20"/>
              </w:rPr>
              <w:t>(md) = misdescribed amendment can be given</w:t>
            </w:r>
          </w:p>
        </w:tc>
        <w:tc>
          <w:tcPr>
            <w:tcW w:w="2321" w:type="pct"/>
            <w:shd w:val="clear" w:color="auto" w:fill="auto"/>
          </w:tcPr>
          <w:p w14:paraId="02D806A6" w14:textId="77777777" w:rsidR="00331886" w:rsidRPr="00164D8F" w:rsidRDefault="00331886" w:rsidP="00C37EC7">
            <w:pPr>
              <w:spacing w:before="60"/>
              <w:ind w:left="34"/>
              <w:rPr>
                <w:sz w:val="20"/>
              </w:rPr>
            </w:pPr>
            <w:r w:rsidRPr="00164D8F">
              <w:rPr>
                <w:sz w:val="20"/>
              </w:rPr>
              <w:t>Sdiv = Subdivision(s)</w:t>
            </w:r>
          </w:p>
        </w:tc>
      </w:tr>
      <w:tr w:rsidR="00331886" w:rsidRPr="00164D8F" w14:paraId="20204829" w14:textId="77777777" w:rsidTr="00C37EC7">
        <w:tc>
          <w:tcPr>
            <w:tcW w:w="2679" w:type="pct"/>
            <w:shd w:val="clear" w:color="auto" w:fill="auto"/>
          </w:tcPr>
          <w:p w14:paraId="3E4EE017" w14:textId="77777777" w:rsidR="00331886" w:rsidRPr="00164D8F" w:rsidRDefault="00331886" w:rsidP="00C37EC7">
            <w:pPr>
              <w:ind w:left="34" w:firstLine="250"/>
              <w:rPr>
                <w:sz w:val="20"/>
              </w:rPr>
            </w:pPr>
            <w:r w:rsidRPr="00164D8F">
              <w:rPr>
                <w:sz w:val="20"/>
              </w:rPr>
              <w:t>effect</w:t>
            </w:r>
          </w:p>
        </w:tc>
        <w:tc>
          <w:tcPr>
            <w:tcW w:w="2321" w:type="pct"/>
            <w:shd w:val="clear" w:color="auto" w:fill="auto"/>
          </w:tcPr>
          <w:p w14:paraId="72F79BC8" w14:textId="77777777" w:rsidR="00331886" w:rsidRPr="00164D8F" w:rsidRDefault="00331886" w:rsidP="00C37EC7">
            <w:pPr>
              <w:spacing w:before="60"/>
              <w:ind w:left="34"/>
              <w:rPr>
                <w:sz w:val="20"/>
              </w:rPr>
            </w:pPr>
            <w:r w:rsidRPr="00164D8F">
              <w:rPr>
                <w:sz w:val="20"/>
              </w:rPr>
              <w:t>SLI = Select Legislative Instrument</w:t>
            </w:r>
          </w:p>
        </w:tc>
      </w:tr>
      <w:tr w:rsidR="00331886" w:rsidRPr="00164D8F" w14:paraId="34BE2D9A" w14:textId="77777777" w:rsidTr="00C37EC7">
        <w:tc>
          <w:tcPr>
            <w:tcW w:w="2679" w:type="pct"/>
            <w:shd w:val="clear" w:color="auto" w:fill="auto"/>
          </w:tcPr>
          <w:p w14:paraId="117D1428" w14:textId="77777777" w:rsidR="00331886" w:rsidRPr="00164D8F" w:rsidRDefault="00331886" w:rsidP="00C37EC7">
            <w:pPr>
              <w:spacing w:before="60"/>
              <w:ind w:left="34"/>
              <w:rPr>
                <w:sz w:val="20"/>
              </w:rPr>
            </w:pPr>
            <w:r w:rsidRPr="00164D8F">
              <w:rPr>
                <w:sz w:val="20"/>
              </w:rPr>
              <w:t>(md not incorp) = misdescribed amendment</w:t>
            </w:r>
          </w:p>
        </w:tc>
        <w:tc>
          <w:tcPr>
            <w:tcW w:w="2321" w:type="pct"/>
            <w:shd w:val="clear" w:color="auto" w:fill="auto"/>
          </w:tcPr>
          <w:p w14:paraId="067AEC0C" w14:textId="77777777" w:rsidR="00331886" w:rsidRPr="00164D8F" w:rsidRDefault="00331886" w:rsidP="00C37EC7">
            <w:pPr>
              <w:spacing w:before="60"/>
              <w:ind w:left="34"/>
              <w:rPr>
                <w:sz w:val="20"/>
              </w:rPr>
            </w:pPr>
            <w:r w:rsidRPr="00164D8F">
              <w:rPr>
                <w:sz w:val="20"/>
              </w:rPr>
              <w:t>SR = Statutory Rules</w:t>
            </w:r>
          </w:p>
        </w:tc>
      </w:tr>
      <w:tr w:rsidR="00331886" w:rsidRPr="00164D8F" w14:paraId="63621054" w14:textId="77777777" w:rsidTr="00C37EC7">
        <w:tc>
          <w:tcPr>
            <w:tcW w:w="2679" w:type="pct"/>
            <w:shd w:val="clear" w:color="auto" w:fill="auto"/>
          </w:tcPr>
          <w:p w14:paraId="7EE82AFC" w14:textId="77777777" w:rsidR="00331886" w:rsidRPr="00164D8F" w:rsidRDefault="00331886" w:rsidP="00C37EC7">
            <w:pPr>
              <w:ind w:left="34" w:firstLine="250"/>
              <w:rPr>
                <w:sz w:val="20"/>
              </w:rPr>
            </w:pPr>
            <w:r w:rsidRPr="00164D8F">
              <w:rPr>
                <w:sz w:val="20"/>
              </w:rPr>
              <w:t>cannot be given effect</w:t>
            </w:r>
          </w:p>
        </w:tc>
        <w:tc>
          <w:tcPr>
            <w:tcW w:w="2321" w:type="pct"/>
            <w:shd w:val="clear" w:color="auto" w:fill="auto"/>
          </w:tcPr>
          <w:p w14:paraId="2BC5EEAC" w14:textId="77777777" w:rsidR="00331886" w:rsidRPr="00164D8F" w:rsidRDefault="00331886" w:rsidP="00C37EC7">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331886" w:rsidRPr="00164D8F" w14:paraId="2B187300" w14:textId="77777777" w:rsidTr="00C37EC7">
        <w:tc>
          <w:tcPr>
            <w:tcW w:w="2679" w:type="pct"/>
            <w:shd w:val="clear" w:color="auto" w:fill="auto"/>
          </w:tcPr>
          <w:p w14:paraId="44194A2C" w14:textId="77777777" w:rsidR="00331886" w:rsidRPr="00164D8F" w:rsidRDefault="00331886" w:rsidP="00C37EC7">
            <w:pPr>
              <w:spacing w:before="60"/>
              <w:ind w:left="34"/>
              <w:rPr>
                <w:sz w:val="20"/>
              </w:rPr>
            </w:pPr>
            <w:r w:rsidRPr="00164D8F">
              <w:rPr>
                <w:sz w:val="20"/>
              </w:rPr>
              <w:t>mod = modified/modification</w:t>
            </w:r>
          </w:p>
        </w:tc>
        <w:tc>
          <w:tcPr>
            <w:tcW w:w="2321" w:type="pct"/>
            <w:shd w:val="clear" w:color="auto" w:fill="auto"/>
          </w:tcPr>
          <w:p w14:paraId="193F43CB" w14:textId="77777777" w:rsidR="00331886" w:rsidRPr="00164D8F" w:rsidRDefault="00331886" w:rsidP="00C37EC7">
            <w:pPr>
              <w:spacing w:before="60"/>
              <w:ind w:left="34"/>
              <w:rPr>
                <w:sz w:val="20"/>
              </w:rPr>
            </w:pPr>
            <w:r w:rsidRPr="00164D8F">
              <w:rPr>
                <w:sz w:val="20"/>
              </w:rPr>
              <w:t>SubPt = Subpart(s)</w:t>
            </w:r>
          </w:p>
        </w:tc>
      </w:tr>
      <w:tr w:rsidR="00331886" w:rsidRPr="00164D8F" w14:paraId="592D99FE" w14:textId="77777777" w:rsidTr="00C37EC7">
        <w:tc>
          <w:tcPr>
            <w:tcW w:w="2679" w:type="pct"/>
            <w:shd w:val="clear" w:color="auto" w:fill="auto"/>
          </w:tcPr>
          <w:p w14:paraId="64009FF0" w14:textId="77777777" w:rsidR="00331886" w:rsidRPr="00164D8F" w:rsidRDefault="00331886" w:rsidP="00C37EC7">
            <w:pPr>
              <w:spacing w:before="60"/>
              <w:ind w:left="34"/>
              <w:rPr>
                <w:sz w:val="20"/>
              </w:rPr>
            </w:pPr>
            <w:r w:rsidRPr="00164D8F">
              <w:rPr>
                <w:sz w:val="20"/>
              </w:rPr>
              <w:t>No. = Number(s)</w:t>
            </w:r>
          </w:p>
        </w:tc>
        <w:tc>
          <w:tcPr>
            <w:tcW w:w="2321" w:type="pct"/>
            <w:shd w:val="clear" w:color="auto" w:fill="auto"/>
          </w:tcPr>
          <w:p w14:paraId="0704AB55" w14:textId="77777777" w:rsidR="00331886" w:rsidRPr="00164D8F" w:rsidRDefault="00331886" w:rsidP="00C37EC7">
            <w:pPr>
              <w:spacing w:before="60"/>
              <w:ind w:left="34"/>
              <w:rPr>
                <w:sz w:val="20"/>
              </w:rPr>
            </w:pPr>
            <w:r w:rsidRPr="00164D8F">
              <w:rPr>
                <w:sz w:val="20"/>
                <w:u w:val="single"/>
              </w:rPr>
              <w:t>underlining</w:t>
            </w:r>
            <w:r w:rsidRPr="00164D8F">
              <w:rPr>
                <w:sz w:val="20"/>
              </w:rPr>
              <w:t xml:space="preserve"> = whole or part not</w:t>
            </w:r>
          </w:p>
        </w:tc>
      </w:tr>
      <w:tr w:rsidR="00331886" w:rsidRPr="00164D8F" w14:paraId="6C659D2B" w14:textId="77777777" w:rsidTr="00C37EC7">
        <w:tc>
          <w:tcPr>
            <w:tcW w:w="2679" w:type="pct"/>
            <w:shd w:val="clear" w:color="auto" w:fill="auto"/>
          </w:tcPr>
          <w:p w14:paraId="4579955E" w14:textId="77777777" w:rsidR="00331886" w:rsidRPr="00164D8F" w:rsidRDefault="00331886" w:rsidP="00C37EC7">
            <w:pPr>
              <w:spacing w:before="60"/>
              <w:ind w:left="34"/>
              <w:rPr>
                <w:sz w:val="20"/>
              </w:rPr>
            </w:pPr>
          </w:p>
        </w:tc>
        <w:tc>
          <w:tcPr>
            <w:tcW w:w="2321" w:type="pct"/>
            <w:shd w:val="clear" w:color="auto" w:fill="auto"/>
          </w:tcPr>
          <w:p w14:paraId="646406CC" w14:textId="77777777" w:rsidR="00331886" w:rsidRPr="00164D8F" w:rsidRDefault="00331886" w:rsidP="00C37EC7">
            <w:pPr>
              <w:ind w:left="34" w:firstLine="216"/>
              <w:rPr>
                <w:sz w:val="20"/>
              </w:rPr>
            </w:pPr>
            <w:r w:rsidRPr="00164D8F">
              <w:rPr>
                <w:sz w:val="20"/>
              </w:rPr>
              <w:t>commenced or to be commenced</w:t>
            </w:r>
          </w:p>
        </w:tc>
      </w:tr>
    </w:tbl>
    <w:p w14:paraId="114B6B64" w14:textId="77777777" w:rsidR="00331886" w:rsidRPr="00BC57F4" w:rsidRDefault="00331886" w:rsidP="00331886">
      <w:pPr>
        <w:pStyle w:val="Tabletext"/>
      </w:pPr>
    </w:p>
    <w:p w14:paraId="15639D0B" w14:textId="77777777" w:rsidR="00331886" w:rsidRDefault="00331886" w:rsidP="00331886">
      <w:pPr>
        <w:pStyle w:val="ENotesHeading2"/>
        <w:pageBreakBefore/>
      </w:pPr>
      <w:bookmarkStart w:id="16" w:name="_Toc63780310"/>
      <w:r>
        <w:t>Endnote 3—Legislation history</w:t>
      </w:r>
      <w:bookmarkEnd w:id="16"/>
    </w:p>
    <w:p w14:paraId="298C6DF0"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58FFF7B5" w14:textId="77777777" w:rsidTr="00C37EC7">
        <w:trPr>
          <w:cantSplit/>
          <w:tblHeader/>
        </w:trPr>
        <w:tc>
          <w:tcPr>
            <w:tcW w:w="2405" w:type="dxa"/>
            <w:tcBorders>
              <w:top w:val="single" w:sz="12" w:space="0" w:color="auto"/>
              <w:bottom w:val="single" w:sz="12" w:space="0" w:color="auto"/>
            </w:tcBorders>
            <w:shd w:val="clear" w:color="auto" w:fill="auto"/>
          </w:tcPr>
          <w:p w14:paraId="0B6259D8" w14:textId="77777777" w:rsidR="00331886" w:rsidRPr="00E117A3" w:rsidRDefault="00331886" w:rsidP="00C37EC7">
            <w:pPr>
              <w:pStyle w:val="ENoteTableHeading"/>
            </w:pPr>
            <w:r>
              <w:t>Name</w:t>
            </w:r>
          </w:p>
        </w:tc>
        <w:tc>
          <w:tcPr>
            <w:tcW w:w="1985" w:type="dxa"/>
            <w:tcBorders>
              <w:top w:val="single" w:sz="12" w:space="0" w:color="auto"/>
              <w:bottom w:val="single" w:sz="12" w:space="0" w:color="auto"/>
            </w:tcBorders>
            <w:shd w:val="clear" w:color="auto" w:fill="auto"/>
          </w:tcPr>
          <w:p w14:paraId="571D7C26" w14:textId="77777777" w:rsidR="00331886" w:rsidRPr="00E117A3" w:rsidRDefault="00331886" w:rsidP="00C37EC7">
            <w:pPr>
              <w:pStyle w:val="ENoteTableHeading"/>
            </w:pPr>
            <w:r>
              <w:t>Registration</w:t>
            </w:r>
          </w:p>
        </w:tc>
        <w:tc>
          <w:tcPr>
            <w:tcW w:w="1984" w:type="dxa"/>
            <w:tcBorders>
              <w:top w:val="single" w:sz="12" w:space="0" w:color="auto"/>
              <w:bottom w:val="single" w:sz="12" w:space="0" w:color="auto"/>
            </w:tcBorders>
            <w:shd w:val="clear" w:color="auto" w:fill="auto"/>
          </w:tcPr>
          <w:p w14:paraId="21309EFD" w14:textId="77777777" w:rsidR="00331886" w:rsidRPr="00E117A3" w:rsidRDefault="00331886" w:rsidP="00C37EC7">
            <w:pPr>
              <w:pStyle w:val="ENoteTableHeading"/>
            </w:pPr>
            <w:r>
              <w:t>Commencement</w:t>
            </w:r>
          </w:p>
        </w:tc>
        <w:tc>
          <w:tcPr>
            <w:tcW w:w="1985" w:type="dxa"/>
            <w:tcBorders>
              <w:top w:val="single" w:sz="12" w:space="0" w:color="auto"/>
              <w:bottom w:val="single" w:sz="12" w:space="0" w:color="auto"/>
            </w:tcBorders>
            <w:shd w:val="clear" w:color="auto" w:fill="auto"/>
          </w:tcPr>
          <w:p w14:paraId="615019F0" w14:textId="77777777" w:rsidR="00331886" w:rsidRPr="00E117A3" w:rsidRDefault="00331886" w:rsidP="00C37EC7">
            <w:pPr>
              <w:pStyle w:val="ENoteTableHeading"/>
            </w:pPr>
            <w:r w:rsidRPr="00E117A3">
              <w:t>Application, saving and transitional provisions</w:t>
            </w:r>
          </w:p>
        </w:tc>
      </w:tr>
      <w:tr w:rsidR="00AE17F0" w:rsidRPr="00E117A3" w14:paraId="57C6A395" w14:textId="77777777" w:rsidTr="00C37EC7">
        <w:trPr>
          <w:cantSplit/>
        </w:trPr>
        <w:tc>
          <w:tcPr>
            <w:tcW w:w="2405" w:type="dxa"/>
            <w:tcBorders>
              <w:top w:val="single" w:sz="12" w:space="0" w:color="auto"/>
              <w:bottom w:val="single" w:sz="4" w:space="0" w:color="auto"/>
            </w:tcBorders>
            <w:shd w:val="clear" w:color="auto" w:fill="auto"/>
          </w:tcPr>
          <w:p w14:paraId="6ECECDB1" w14:textId="77777777" w:rsidR="00AE17F0" w:rsidRPr="00D3690B" w:rsidRDefault="00AE17F0" w:rsidP="00AE17F0">
            <w:pPr>
              <w:pStyle w:val="ENoteTableText"/>
              <w:rPr>
                <w:i/>
              </w:rPr>
            </w:pPr>
            <w:r>
              <w:rPr>
                <w:rFonts w:cs="Arial"/>
                <w:i/>
                <w:szCs w:val="22"/>
              </w:rPr>
              <w:t>Fuel Quality Standards (Petrol) Determination 2019</w:t>
            </w:r>
          </w:p>
        </w:tc>
        <w:tc>
          <w:tcPr>
            <w:tcW w:w="1985" w:type="dxa"/>
            <w:tcBorders>
              <w:top w:val="single" w:sz="12" w:space="0" w:color="auto"/>
              <w:bottom w:val="single" w:sz="4" w:space="0" w:color="auto"/>
            </w:tcBorders>
            <w:shd w:val="clear" w:color="auto" w:fill="auto"/>
          </w:tcPr>
          <w:p w14:paraId="0EB5F192" w14:textId="77777777" w:rsidR="00AE17F0" w:rsidRDefault="00AE17F0" w:rsidP="00AE17F0">
            <w:pPr>
              <w:pStyle w:val="ENoteTableText"/>
            </w:pPr>
            <w:r>
              <w:t xml:space="preserve">28 March 2019 </w:t>
            </w:r>
          </w:p>
          <w:p w14:paraId="750121A9" w14:textId="77777777" w:rsidR="00AE17F0" w:rsidRPr="00D3690B" w:rsidRDefault="00AE17F0" w:rsidP="00AE17F0">
            <w:pPr>
              <w:pStyle w:val="ENoteTableText"/>
            </w:pPr>
            <w:r>
              <w:t xml:space="preserve">(FL2019L00455) </w:t>
            </w:r>
          </w:p>
        </w:tc>
        <w:tc>
          <w:tcPr>
            <w:tcW w:w="1984" w:type="dxa"/>
            <w:tcBorders>
              <w:top w:val="single" w:sz="12" w:space="0" w:color="auto"/>
              <w:bottom w:val="single" w:sz="4" w:space="0" w:color="auto"/>
            </w:tcBorders>
            <w:shd w:val="clear" w:color="auto" w:fill="auto"/>
          </w:tcPr>
          <w:p w14:paraId="4775565E" w14:textId="77777777" w:rsidR="00AE17F0" w:rsidRPr="00D3690B" w:rsidRDefault="00AE17F0" w:rsidP="00AE17F0">
            <w:pPr>
              <w:pStyle w:val="ENoteTableText"/>
            </w:pPr>
            <w:r>
              <w:t>1 October 2019</w:t>
            </w:r>
          </w:p>
        </w:tc>
        <w:tc>
          <w:tcPr>
            <w:tcW w:w="1985" w:type="dxa"/>
            <w:tcBorders>
              <w:top w:val="single" w:sz="12" w:space="0" w:color="auto"/>
              <w:bottom w:val="single" w:sz="4" w:space="0" w:color="auto"/>
            </w:tcBorders>
            <w:shd w:val="clear" w:color="auto" w:fill="auto"/>
          </w:tcPr>
          <w:p w14:paraId="7B7F254B" w14:textId="77777777" w:rsidR="00AE17F0" w:rsidRPr="00E117A3" w:rsidRDefault="00AE17F0" w:rsidP="00AE17F0">
            <w:pPr>
              <w:pStyle w:val="ENoteTableText"/>
            </w:pPr>
          </w:p>
        </w:tc>
      </w:tr>
      <w:tr w:rsidR="00331886" w14:paraId="5260910A" w14:textId="77777777" w:rsidTr="00C37EC7">
        <w:trPr>
          <w:cantSplit/>
        </w:trPr>
        <w:tc>
          <w:tcPr>
            <w:tcW w:w="2405" w:type="dxa"/>
            <w:tcBorders>
              <w:bottom w:val="single" w:sz="12" w:space="0" w:color="auto"/>
            </w:tcBorders>
            <w:shd w:val="clear" w:color="auto" w:fill="auto"/>
          </w:tcPr>
          <w:p w14:paraId="7A7E7659" w14:textId="77777777" w:rsidR="00331886" w:rsidRPr="00C41649" w:rsidRDefault="00AE17F0" w:rsidP="00AE17F0">
            <w:pPr>
              <w:pStyle w:val="ENoteTableText"/>
              <w:rPr>
                <w:i/>
              </w:rPr>
            </w:pPr>
            <w:r w:rsidRPr="00C41649">
              <w:rPr>
                <w:i/>
              </w:rPr>
              <w:t xml:space="preserve">Fuel Quality Standards (Petrol) Amendment Determination 2021 </w:t>
            </w:r>
          </w:p>
        </w:tc>
        <w:tc>
          <w:tcPr>
            <w:tcW w:w="1985" w:type="dxa"/>
            <w:tcBorders>
              <w:bottom w:val="single" w:sz="12" w:space="0" w:color="auto"/>
            </w:tcBorders>
            <w:shd w:val="clear" w:color="auto" w:fill="auto"/>
          </w:tcPr>
          <w:p w14:paraId="608F31C3" w14:textId="77777777" w:rsidR="00331886" w:rsidRDefault="00AE17F0" w:rsidP="00C37EC7">
            <w:pPr>
              <w:pStyle w:val="ENoteTableText"/>
            </w:pPr>
            <w:r>
              <w:t xml:space="preserve">9 February 2021 </w:t>
            </w:r>
          </w:p>
          <w:p w14:paraId="7074E260" w14:textId="77777777" w:rsidR="00AE17F0" w:rsidRPr="00E117A3" w:rsidRDefault="00AE17F0" w:rsidP="00C37EC7">
            <w:pPr>
              <w:pStyle w:val="ENoteTableText"/>
            </w:pPr>
            <w:r>
              <w:t>(FL2021L00107)</w:t>
            </w:r>
          </w:p>
        </w:tc>
        <w:tc>
          <w:tcPr>
            <w:tcW w:w="1984" w:type="dxa"/>
            <w:tcBorders>
              <w:bottom w:val="single" w:sz="12" w:space="0" w:color="auto"/>
            </w:tcBorders>
            <w:shd w:val="clear" w:color="auto" w:fill="auto"/>
          </w:tcPr>
          <w:p w14:paraId="4F1D633A" w14:textId="77777777" w:rsidR="00331886" w:rsidRPr="00E117A3" w:rsidRDefault="00AE17F0" w:rsidP="00C37EC7">
            <w:pPr>
              <w:pStyle w:val="ENoteTableText"/>
            </w:pPr>
            <w:r>
              <w:t xml:space="preserve">10 February 2021 </w:t>
            </w:r>
          </w:p>
        </w:tc>
        <w:tc>
          <w:tcPr>
            <w:tcW w:w="1985" w:type="dxa"/>
            <w:tcBorders>
              <w:bottom w:val="single" w:sz="12" w:space="0" w:color="auto"/>
            </w:tcBorders>
            <w:shd w:val="clear" w:color="auto" w:fill="auto"/>
          </w:tcPr>
          <w:p w14:paraId="357486B5" w14:textId="77777777" w:rsidR="00331886" w:rsidRPr="00E117A3" w:rsidRDefault="00331886" w:rsidP="00C37EC7">
            <w:pPr>
              <w:pStyle w:val="ENoteTableText"/>
            </w:pPr>
          </w:p>
        </w:tc>
      </w:tr>
    </w:tbl>
    <w:p w14:paraId="5DA90AD1" w14:textId="77777777" w:rsidR="00331886" w:rsidRDefault="00331886" w:rsidP="00331886">
      <w:pPr>
        <w:pStyle w:val="Tabletext"/>
      </w:pPr>
    </w:p>
    <w:p w14:paraId="3910DA21" w14:textId="77777777" w:rsidR="00331886" w:rsidRDefault="00331886" w:rsidP="00331886">
      <w:pPr>
        <w:pStyle w:val="ENotesHeading2"/>
        <w:pageBreakBefore/>
      </w:pPr>
      <w:bookmarkStart w:id="17" w:name="_Toc63780311"/>
      <w:r>
        <w:t>Endnote 4—Amendment history</w:t>
      </w:r>
      <w:bookmarkEnd w:id="17"/>
    </w:p>
    <w:p w14:paraId="568CF489"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331886" w:rsidRPr="0098546F" w14:paraId="3A00F7AC" w14:textId="77777777" w:rsidTr="00C37EC7">
        <w:trPr>
          <w:cantSplit/>
          <w:tblHeader/>
        </w:trPr>
        <w:tc>
          <w:tcPr>
            <w:tcW w:w="2405" w:type="dxa"/>
            <w:tcBorders>
              <w:top w:val="single" w:sz="12" w:space="0" w:color="auto"/>
              <w:bottom w:val="single" w:sz="12" w:space="0" w:color="auto"/>
            </w:tcBorders>
            <w:shd w:val="clear" w:color="auto" w:fill="auto"/>
          </w:tcPr>
          <w:p w14:paraId="788E0FB9" w14:textId="77777777" w:rsidR="00331886" w:rsidRPr="00E117A3" w:rsidRDefault="00331886" w:rsidP="00C37EC7">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7CFE11E2" w14:textId="77777777" w:rsidR="00331886" w:rsidRPr="00E117A3" w:rsidRDefault="00331886" w:rsidP="00C37EC7">
            <w:pPr>
              <w:pStyle w:val="ENoteTableHeading"/>
            </w:pPr>
            <w:r w:rsidRPr="00E117A3">
              <w:t>How affected</w:t>
            </w:r>
          </w:p>
        </w:tc>
      </w:tr>
      <w:tr w:rsidR="00331886" w:rsidRPr="00143B0F" w14:paraId="507DB8E4" w14:textId="77777777" w:rsidTr="00C37EC7">
        <w:trPr>
          <w:cantSplit/>
        </w:trPr>
        <w:tc>
          <w:tcPr>
            <w:tcW w:w="2405" w:type="dxa"/>
            <w:tcBorders>
              <w:top w:val="single" w:sz="12" w:space="0" w:color="auto"/>
            </w:tcBorders>
            <w:shd w:val="clear" w:color="auto" w:fill="auto"/>
          </w:tcPr>
          <w:p w14:paraId="522A62F7" w14:textId="77777777" w:rsidR="00331886" w:rsidRPr="00AE17F0" w:rsidRDefault="00AE17F0" w:rsidP="00C37EC7">
            <w:pPr>
              <w:pStyle w:val="ENoteTableText"/>
              <w:rPr>
                <w:szCs w:val="16"/>
              </w:rPr>
            </w:pPr>
            <w:r w:rsidRPr="00AE17F0">
              <w:t>s 2</w:t>
            </w:r>
          </w:p>
        </w:tc>
        <w:tc>
          <w:tcPr>
            <w:tcW w:w="5954" w:type="dxa"/>
            <w:tcBorders>
              <w:top w:val="single" w:sz="12" w:space="0" w:color="auto"/>
            </w:tcBorders>
            <w:shd w:val="clear" w:color="auto" w:fill="auto"/>
          </w:tcPr>
          <w:p w14:paraId="3F2383A2" w14:textId="77777777" w:rsidR="00331886" w:rsidRPr="00AE17F0" w:rsidRDefault="00AE17F0" w:rsidP="00AE17F0">
            <w:pPr>
              <w:pStyle w:val="ENoteTableText"/>
              <w:rPr>
                <w:rFonts w:eastAsiaTheme="minorHAnsi" w:cstheme="minorBidi"/>
                <w:szCs w:val="16"/>
                <w:lang w:eastAsia="en-US"/>
              </w:rPr>
            </w:pPr>
            <w:r w:rsidRPr="00AE17F0">
              <w:rPr>
                <w:rFonts w:eastAsiaTheme="minorHAnsi" w:cstheme="minorBidi"/>
                <w:szCs w:val="16"/>
                <w:lang w:eastAsia="en-US"/>
              </w:rPr>
              <w:t>rep LA s 48D</w:t>
            </w:r>
          </w:p>
        </w:tc>
      </w:tr>
      <w:tr w:rsidR="00331886" w14:paraId="07CC1D4F" w14:textId="77777777" w:rsidTr="00C37EC7">
        <w:trPr>
          <w:cantSplit/>
        </w:trPr>
        <w:tc>
          <w:tcPr>
            <w:tcW w:w="2405" w:type="dxa"/>
            <w:shd w:val="clear" w:color="auto" w:fill="auto"/>
          </w:tcPr>
          <w:p w14:paraId="022AD0E8" w14:textId="77777777" w:rsidR="00331886" w:rsidRPr="00AE17F0" w:rsidRDefault="00AE17F0" w:rsidP="00C37EC7">
            <w:pPr>
              <w:pStyle w:val="ENoteTableText"/>
            </w:pPr>
            <w:r w:rsidRPr="00AE17F0">
              <w:t>s 5</w:t>
            </w:r>
          </w:p>
        </w:tc>
        <w:tc>
          <w:tcPr>
            <w:tcW w:w="5954" w:type="dxa"/>
            <w:shd w:val="clear" w:color="auto" w:fill="auto"/>
          </w:tcPr>
          <w:p w14:paraId="3F9D1219" w14:textId="77777777" w:rsidR="00331886" w:rsidRPr="00AE17F0" w:rsidRDefault="00AE17F0" w:rsidP="00C37EC7">
            <w:pPr>
              <w:pStyle w:val="ENoteTableText"/>
            </w:pPr>
            <w:r w:rsidRPr="00AE17F0">
              <w:t>am FL2021L00107</w:t>
            </w:r>
          </w:p>
        </w:tc>
      </w:tr>
      <w:tr w:rsidR="00331886" w14:paraId="180BC770" w14:textId="77777777" w:rsidTr="00C37EC7">
        <w:trPr>
          <w:cantSplit/>
        </w:trPr>
        <w:tc>
          <w:tcPr>
            <w:tcW w:w="2405" w:type="dxa"/>
            <w:tcBorders>
              <w:bottom w:val="single" w:sz="12" w:space="0" w:color="auto"/>
            </w:tcBorders>
            <w:shd w:val="clear" w:color="auto" w:fill="auto"/>
          </w:tcPr>
          <w:p w14:paraId="3C8D0A1C" w14:textId="77777777" w:rsidR="00331886" w:rsidRPr="00AE17F0" w:rsidRDefault="00AE17F0" w:rsidP="00C37EC7">
            <w:pPr>
              <w:pStyle w:val="ENoteTableText"/>
            </w:pPr>
            <w:r w:rsidRPr="00AE17F0">
              <w:t>s 6</w:t>
            </w:r>
          </w:p>
        </w:tc>
        <w:tc>
          <w:tcPr>
            <w:tcW w:w="5954" w:type="dxa"/>
            <w:tcBorders>
              <w:bottom w:val="single" w:sz="12" w:space="0" w:color="auto"/>
            </w:tcBorders>
            <w:shd w:val="clear" w:color="auto" w:fill="auto"/>
          </w:tcPr>
          <w:p w14:paraId="09C9A6AC" w14:textId="77777777" w:rsidR="00331886" w:rsidRPr="00AE17F0" w:rsidRDefault="00AE17F0" w:rsidP="00C37EC7">
            <w:pPr>
              <w:pStyle w:val="ENoteTableText"/>
            </w:pPr>
            <w:r w:rsidRPr="00AE17F0">
              <w:t>am FL2021L00107</w:t>
            </w:r>
          </w:p>
        </w:tc>
      </w:tr>
    </w:tbl>
    <w:p w14:paraId="16EEDAF2" w14:textId="77777777" w:rsidR="00331886" w:rsidRPr="00164D8F" w:rsidRDefault="00331886" w:rsidP="00331886">
      <w:pPr>
        <w:sectPr w:rsidR="00331886" w:rsidRPr="00164D8F" w:rsidSect="00836C1A">
          <w:headerReference w:type="even" r:id="rId29"/>
          <w:headerReference w:type="default" r:id="rId30"/>
          <w:footerReference w:type="even" r:id="rId31"/>
          <w:footerReference w:type="default" r:id="rId32"/>
          <w:footerReference w:type="first" r:id="rId33"/>
          <w:pgSz w:w="11907" w:h="16839"/>
          <w:pgMar w:top="2325" w:right="1797" w:bottom="1440" w:left="1797" w:header="720" w:footer="709" w:gutter="0"/>
          <w:cols w:space="708"/>
          <w:docGrid w:linePitch="360"/>
        </w:sectPr>
      </w:pPr>
    </w:p>
    <w:p w14:paraId="645245C9" w14:textId="77777777" w:rsidR="00331886" w:rsidRPr="00152412" w:rsidRDefault="00331886" w:rsidP="00331886"/>
    <w:sectPr w:rsidR="00331886" w:rsidRPr="00152412" w:rsidSect="00DF6D7F">
      <w:footerReference w:type="even" r:id="rId34"/>
      <w:footerReference w:type="default" r:id="rId3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05D95" w14:textId="77777777" w:rsidR="00307068" w:rsidRDefault="00307068" w:rsidP="008E17F3">
      <w:pPr>
        <w:spacing w:line="240" w:lineRule="auto"/>
      </w:pPr>
      <w:r>
        <w:separator/>
      </w:r>
    </w:p>
  </w:endnote>
  <w:endnote w:type="continuationSeparator" w:id="0">
    <w:p w14:paraId="3CFE3BB5" w14:textId="77777777"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Italic r:id="rId1" w:subsetted="1" w:fontKey="{A5A7044D-F90C-4B87-8682-411A274353FD}"/>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D855" w14:textId="77777777" w:rsidR="00331886" w:rsidRDefault="00331886" w:rsidP="00523750">
    <w:pPr>
      <w:pStyle w:val="Footer"/>
      <w:pBdr>
        <w:top w:val="single" w:sz="6" w:space="1" w:color="auto"/>
      </w:pBd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C13C" w14:textId="77777777" w:rsidR="00331886" w:rsidRPr="007A1328" w:rsidRDefault="00331886" w:rsidP="0086496F">
    <w:pPr>
      <w:pBdr>
        <w:top w:val="single" w:sz="6" w:space="1" w:color="auto"/>
      </w:pBdr>
      <w:spacing w:before="120"/>
      <w:rPr>
        <w:sz w:val="18"/>
      </w:rPr>
    </w:pPr>
  </w:p>
  <w:p w14:paraId="7BC404BE" w14:textId="77777777" w:rsidR="00331886" w:rsidRPr="007A1328" w:rsidRDefault="00331886"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6127C">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29F6E715" w14:textId="77777777" w:rsidR="00331886" w:rsidRPr="007A1328" w:rsidRDefault="00331886" w:rsidP="0086496F">
    <w:pPr>
      <w:rPr>
        <w:i/>
        <w:sz w:val="18"/>
      </w:rPr>
    </w:pPr>
    <w:r w:rsidRPr="007A1328">
      <w:rPr>
        <w:i/>
        <w:sz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963F"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2FF7E700" w14:textId="77777777" w:rsidR="008E17F3" w:rsidRDefault="008E17F3" w:rsidP="008E17F3">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2BD34"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ED95" w14:textId="77777777" w:rsidR="00331886" w:rsidRPr="00E33C1C" w:rsidRDefault="00331886" w:rsidP="00F85C9A">
    <w:pPr>
      <w:pBdr>
        <w:top w:val="single" w:sz="6" w:space="1" w:color="auto"/>
      </w:pBdr>
      <w:spacing w:before="120" w:line="0" w:lineRule="atLeast"/>
      <w:rPr>
        <w:sz w:val="16"/>
        <w:szCs w:val="16"/>
      </w:rPr>
    </w:pPr>
  </w:p>
  <w:p w14:paraId="4F575069" w14:textId="77777777" w:rsidR="00331886" w:rsidRPr="00F85C9A" w:rsidRDefault="00331886"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07A9" w14:textId="77777777" w:rsidR="00331886" w:rsidRDefault="00331886" w:rsidP="003E7949">
    <w:pPr>
      <w:pStyle w:val="Footer"/>
      <w:spacing w:before="120"/>
    </w:pPr>
    <w:r w:rsidRPr="00CB7761">
      <w:t>Prepared by</w:t>
    </w:r>
    <w:r w:rsidR="005E7285">
      <w:t xml:space="preserve"> the Department of Industry, Science, Energy and Resources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7D32"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31886" w:rsidRPr="007B3B51" w14:paraId="79CB69BC" w14:textId="77777777" w:rsidTr="00BF35A6">
      <w:tc>
        <w:tcPr>
          <w:tcW w:w="854" w:type="pct"/>
        </w:tcPr>
        <w:p w14:paraId="48B0ED10"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46834911" w14:textId="77777777" w:rsidR="00331886" w:rsidRPr="007B3B51" w:rsidRDefault="00331886" w:rsidP="0086496F">
          <w:pPr>
            <w:jc w:val="center"/>
            <w:rPr>
              <w:i/>
              <w:sz w:val="16"/>
              <w:szCs w:val="16"/>
            </w:rPr>
          </w:pPr>
          <w:r>
            <w:rPr>
              <w:i/>
              <w:noProof/>
              <w:sz w:val="16"/>
              <w:szCs w:val="16"/>
            </w:rPr>
            <w:t>[name of principal legislative instrument or notifiable instrument]</w:t>
          </w:r>
        </w:p>
      </w:tc>
      <w:tc>
        <w:tcPr>
          <w:tcW w:w="458" w:type="pct"/>
        </w:tcPr>
        <w:p w14:paraId="3596EB3E" w14:textId="77777777" w:rsidR="00331886" w:rsidRPr="007B3B51" w:rsidRDefault="00331886" w:rsidP="0086496F">
          <w:pPr>
            <w:jc w:val="right"/>
            <w:rPr>
              <w:sz w:val="16"/>
              <w:szCs w:val="16"/>
            </w:rPr>
          </w:pPr>
        </w:p>
      </w:tc>
    </w:tr>
    <w:tr w:rsidR="00331886" w:rsidRPr="0055472E" w14:paraId="6895406D" w14:textId="77777777" w:rsidTr="00BF35A6">
      <w:tc>
        <w:tcPr>
          <w:tcW w:w="1499" w:type="pct"/>
          <w:gridSpan w:val="2"/>
        </w:tcPr>
        <w:p w14:paraId="0BA444B1" w14:textId="77777777" w:rsidR="00331886" w:rsidRPr="0055472E" w:rsidRDefault="00331886" w:rsidP="0086496F">
          <w:pPr>
            <w:spacing w:before="120"/>
            <w:rPr>
              <w:sz w:val="16"/>
              <w:szCs w:val="16"/>
            </w:rPr>
          </w:pPr>
          <w:r w:rsidRPr="00130F37">
            <w:rPr>
              <w:sz w:val="16"/>
              <w:szCs w:val="16"/>
            </w:rPr>
            <w:t xml:space="preserve">Compilation No. </w:t>
          </w:r>
          <w:r>
            <w:rPr>
              <w:sz w:val="16"/>
              <w:szCs w:val="16"/>
            </w:rPr>
            <w:t>XX</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end"/>
          </w:r>
        </w:p>
      </w:tc>
      <w:tc>
        <w:tcPr>
          <w:tcW w:w="1999" w:type="pct"/>
        </w:tcPr>
        <w:p w14:paraId="37EBE34A" w14:textId="77777777" w:rsidR="00331886" w:rsidRPr="0055472E" w:rsidRDefault="00331886" w:rsidP="0086496F">
          <w:pPr>
            <w:spacing w:before="120"/>
            <w:jc w:val="center"/>
            <w:rPr>
              <w:sz w:val="16"/>
              <w:szCs w:val="16"/>
            </w:rPr>
          </w:pP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end"/>
          </w:r>
        </w:p>
      </w:tc>
      <w:tc>
        <w:tcPr>
          <w:tcW w:w="1502" w:type="pct"/>
          <w:gridSpan w:val="2"/>
        </w:tcPr>
        <w:p w14:paraId="6F7B4F11" w14:textId="77777777" w:rsidR="00331886" w:rsidRPr="0055472E" w:rsidRDefault="00331886" w:rsidP="0086496F">
          <w:pPr>
            <w:spacing w:before="120"/>
            <w:jc w:val="right"/>
            <w:rPr>
              <w:sz w:val="16"/>
              <w:szCs w:val="16"/>
            </w:rPr>
          </w:pPr>
          <w:r w:rsidRPr="0055472E">
            <w:rPr>
              <w:sz w:val="16"/>
              <w:szCs w:val="16"/>
            </w:rPr>
            <w:t xml:space="preserve">Compilation date: </w:t>
          </w:r>
          <w:r>
            <w:rPr>
              <w:sz w:val="16"/>
              <w:szCs w:val="16"/>
            </w:rPr>
            <w:t>dd/mm/yyyy</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end"/>
          </w:r>
          <w:r w:rsidRPr="0055472E">
            <w:rPr>
              <w:sz w:val="16"/>
              <w:szCs w:val="16"/>
            </w:rPr>
            <w:instrText xml:space="preserve"> </w:instrText>
          </w:r>
          <w:r w:rsidRPr="0055472E">
            <w:rPr>
              <w:sz w:val="16"/>
              <w:szCs w:val="16"/>
            </w:rPr>
            <w:fldChar w:fldCharType="end"/>
          </w:r>
        </w:p>
      </w:tc>
    </w:tr>
  </w:tbl>
  <w:p w14:paraId="40D57C2D" w14:textId="77777777" w:rsidR="00331886" w:rsidRPr="0086496F" w:rsidRDefault="00331886" w:rsidP="008649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10D39"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4C2D8471" w14:textId="77777777" w:rsidTr="00BF35A6">
      <w:tc>
        <w:tcPr>
          <w:tcW w:w="854" w:type="pct"/>
        </w:tcPr>
        <w:p w14:paraId="23652B43" w14:textId="77777777" w:rsidR="00331886" w:rsidRPr="007B3B51" w:rsidRDefault="00331886" w:rsidP="0086496F">
          <w:pPr>
            <w:rPr>
              <w:i/>
              <w:sz w:val="16"/>
              <w:szCs w:val="16"/>
            </w:rPr>
          </w:pPr>
        </w:p>
      </w:tc>
      <w:tc>
        <w:tcPr>
          <w:tcW w:w="3688" w:type="pct"/>
          <w:gridSpan w:val="3"/>
        </w:tcPr>
        <w:p w14:paraId="7B395DDC" w14:textId="77777777" w:rsidR="00331886" w:rsidRPr="007B3B51" w:rsidRDefault="00AE17F0" w:rsidP="0086496F">
          <w:pPr>
            <w:jc w:val="center"/>
            <w:rPr>
              <w:i/>
              <w:sz w:val="16"/>
              <w:szCs w:val="16"/>
            </w:rPr>
          </w:pPr>
          <w:r>
            <w:rPr>
              <w:i/>
              <w:noProof/>
              <w:sz w:val="16"/>
              <w:szCs w:val="16"/>
            </w:rPr>
            <w:t>Fuel Quality Standards (Petrol) Determination 2019</w:t>
          </w:r>
        </w:p>
      </w:tc>
      <w:tc>
        <w:tcPr>
          <w:tcW w:w="458" w:type="pct"/>
        </w:tcPr>
        <w:p w14:paraId="62D2CDC9"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3A8D">
            <w:rPr>
              <w:i/>
              <w:noProof/>
              <w:sz w:val="16"/>
              <w:szCs w:val="16"/>
            </w:rPr>
            <w:t>i</w:t>
          </w:r>
          <w:r w:rsidRPr="007B3B51">
            <w:rPr>
              <w:i/>
              <w:sz w:val="16"/>
              <w:szCs w:val="16"/>
            </w:rPr>
            <w:fldChar w:fldCharType="end"/>
          </w:r>
        </w:p>
      </w:tc>
    </w:tr>
    <w:tr w:rsidR="00331886" w:rsidRPr="00130F37" w14:paraId="4F8E6AD1" w14:textId="77777777" w:rsidTr="00BF35A6">
      <w:tc>
        <w:tcPr>
          <w:tcW w:w="1499" w:type="pct"/>
          <w:gridSpan w:val="2"/>
        </w:tcPr>
        <w:p w14:paraId="093EB686" w14:textId="77777777" w:rsidR="00331886" w:rsidRPr="00130F37" w:rsidRDefault="00331886" w:rsidP="00F41764">
          <w:pPr>
            <w:spacing w:before="120"/>
            <w:rPr>
              <w:sz w:val="16"/>
              <w:szCs w:val="16"/>
            </w:rPr>
          </w:pPr>
          <w:r w:rsidRPr="00130F37">
            <w:rPr>
              <w:sz w:val="16"/>
              <w:szCs w:val="16"/>
            </w:rPr>
            <w:t xml:space="preserve">Compilation No. </w:t>
          </w:r>
          <w:r w:rsidR="00AE17F0">
            <w:rPr>
              <w:sz w:val="16"/>
              <w:szCs w:val="16"/>
            </w:rPr>
            <w:t>1</w:t>
          </w:r>
        </w:p>
      </w:tc>
      <w:tc>
        <w:tcPr>
          <w:tcW w:w="1999" w:type="pct"/>
        </w:tcPr>
        <w:p w14:paraId="45ECF37E" w14:textId="77777777" w:rsidR="00331886" w:rsidRPr="00130F37" w:rsidRDefault="00331886" w:rsidP="0086496F">
          <w:pPr>
            <w:spacing w:before="120"/>
            <w:jc w:val="center"/>
            <w:rPr>
              <w:sz w:val="16"/>
              <w:szCs w:val="16"/>
            </w:rPr>
          </w:pPr>
        </w:p>
      </w:tc>
      <w:tc>
        <w:tcPr>
          <w:tcW w:w="1502" w:type="pct"/>
          <w:gridSpan w:val="2"/>
        </w:tcPr>
        <w:p w14:paraId="2E46072F" w14:textId="77777777" w:rsidR="00331886" w:rsidRPr="00130F37" w:rsidRDefault="00331886" w:rsidP="0086496F">
          <w:pPr>
            <w:spacing w:before="120"/>
            <w:jc w:val="right"/>
            <w:rPr>
              <w:sz w:val="16"/>
              <w:szCs w:val="16"/>
            </w:rPr>
          </w:pPr>
          <w:r w:rsidRPr="0055472E">
            <w:rPr>
              <w:sz w:val="16"/>
              <w:szCs w:val="16"/>
            </w:rPr>
            <w:t xml:space="preserve">Compilation date: </w:t>
          </w:r>
          <w:r w:rsidR="00AE17F0">
            <w:rPr>
              <w:sz w:val="16"/>
              <w:szCs w:val="16"/>
            </w:rPr>
            <w:t>10/02/2021</w:t>
          </w:r>
        </w:p>
      </w:tc>
    </w:tr>
  </w:tbl>
  <w:p w14:paraId="25A4BE7A" w14:textId="77777777" w:rsidR="00331886" w:rsidRPr="0086496F" w:rsidRDefault="00331886" w:rsidP="008649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DE93F" w14:textId="77777777" w:rsidR="00331886" w:rsidRPr="007B3B51" w:rsidRDefault="00331886" w:rsidP="00BB1D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0D15BFC9" w14:textId="77777777" w:rsidTr="0068554D">
      <w:tc>
        <w:tcPr>
          <w:tcW w:w="854" w:type="pct"/>
        </w:tcPr>
        <w:p w14:paraId="4829C863" w14:textId="77777777" w:rsidR="00331886" w:rsidRPr="007B3B51" w:rsidRDefault="00331886" w:rsidP="006855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3A8D">
            <w:rPr>
              <w:i/>
              <w:noProof/>
              <w:sz w:val="16"/>
              <w:szCs w:val="16"/>
            </w:rPr>
            <w:t>4</w:t>
          </w:r>
          <w:r w:rsidRPr="007B3B51">
            <w:rPr>
              <w:i/>
              <w:sz w:val="16"/>
              <w:szCs w:val="16"/>
            </w:rPr>
            <w:fldChar w:fldCharType="end"/>
          </w:r>
        </w:p>
      </w:tc>
      <w:tc>
        <w:tcPr>
          <w:tcW w:w="3688" w:type="pct"/>
          <w:gridSpan w:val="3"/>
        </w:tcPr>
        <w:p w14:paraId="05F96824" w14:textId="3D34B81C" w:rsidR="00331886" w:rsidRPr="007B3B51" w:rsidRDefault="00EB7901" w:rsidP="0068554D">
          <w:pPr>
            <w:jc w:val="center"/>
            <w:rPr>
              <w:i/>
              <w:sz w:val="16"/>
              <w:szCs w:val="16"/>
            </w:rPr>
          </w:pPr>
          <w:r>
            <w:rPr>
              <w:i/>
              <w:noProof/>
              <w:sz w:val="16"/>
              <w:szCs w:val="16"/>
            </w:rPr>
            <w:t>Fuel Quality Standards (Petrol) Determination 2019</w:t>
          </w:r>
        </w:p>
      </w:tc>
      <w:tc>
        <w:tcPr>
          <w:tcW w:w="458" w:type="pct"/>
        </w:tcPr>
        <w:p w14:paraId="4C1CEF50" w14:textId="77777777" w:rsidR="00331886" w:rsidRPr="007B3B51" w:rsidRDefault="00331886" w:rsidP="0068554D">
          <w:pPr>
            <w:jc w:val="right"/>
            <w:rPr>
              <w:sz w:val="16"/>
              <w:szCs w:val="16"/>
            </w:rPr>
          </w:pPr>
        </w:p>
      </w:tc>
    </w:tr>
    <w:tr w:rsidR="00331886" w:rsidRPr="0055472E" w14:paraId="6E359D08" w14:textId="77777777" w:rsidTr="0068554D">
      <w:tc>
        <w:tcPr>
          <w:tcW w:w="1499" w:type="pct"/>
          <w:gridSpan w:val="2"/>
        </w:tcPr>
        <w:p w14:paraId="166B2ED4" w14:textId="74CC8121" w:rsidR="00331886" w:rsidRPr="0055472E" w:rsidRDefault="00331886" w:rsidP="0068554D">
          <w:pPr>
            <w:spacing w:before="120"/>
            <w:rPr>
              <w:sz w:val="16"/>
              <w:szCs w:val="16"/>
            </w:rPr>
          </w:pPr>
          <w:r w:rsidRPr="0055472E">
            <w:rPr>
              <w:sz w:val="16"/>
              <w:szCs w:val="16"/>
            </w:rPr>
            <w:t xml:space="preserve">Compilation No. </w:t>
          </w:r>
          <w:r w:rsidR="00EB7901">
            <w:rPr>
              <w:sz w:val="16"/>
              <w:szCs w:val="16"/>
            </w:rPr>
            <w:t>1</w:t>
          </w:r>
        </w:p>
      </w:tc>
      <w:tc>
        <w:tcPr>
          <w:tcW w:w="1999" w:type="pct"/>
        </w:tcPr>
        <w:p w14:paraId="28F04652" w14:textId="77777777" w:rsidR="00331886" w:rsidRPr="0055472E" w:rsidRDefault="00331886" w:rsidP="0068554D">
          <w:pPr>
            <w:spacing w:before="120"/>
            <w:jc w:val="center"/>
            <w:rPr>
              <w:sz w:val="16"/>
              <w:szCs w:val="16"/>
            </w:rPr>
          </w:pPr>
        </w:p>
      </w:tc>
      <w:tc>
        <w:tcPr>
          <w:tcW w:w="1502" w:type="pct"/>
          <w:gridSpan w:val="2"/>
        </w:tcPr>
        <w:p w14:paraId="24C68052" w14:textId="14C55E49" w:rsidR="00331886" w:rsidRPr="0055472E" w:rsidRDefault="00331886" w:rsidP="00EB7901">
          <w:pPr>
            <w:spacing w:before="120"/>
            <w:jc w:val="right"/>
            <w:rPr>
              <w:sz w:val="16"/>
              <w:szCs w:val="16"/>
            </w:rPr>
          </w:pPr>
          <w:r w:rsidRPr="0055472E">
            <w:rPr>
              <w:sz w:val="16"/>
              <w:szCs w:val="16"/>
            </w:rPr>
            <w:t xml:space="preserve">Compilation date: </w:t>
          </w:r>
          <w:r w:rsidR="00EB7901">
            <w:rPr>
              <w:sz w:val="16"/>
              <w:szCs w:val="16"/>
            </w:rPr>
            <w:t>10/02/2021</w:t>
          </w:r>
        </w:p>
      </w:tc>
    </w:tr>
  </w:tbl>
  <w:p w14:paraId="19D6348B" w14:textId="77777777" w:rsidR="00331886" w:rsidRPr="0086496F" w:rsidRDefault="00331886" w:rsidP="00BB1D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63A5" w14:textId="77777777"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4EBE5D31" w14:textId="77777777" w:rsidTr="000C1A3F">
      <w:tc>
        <w:tcPr>
          <w:tcW w:w="854" w:type="pct"/>
        </w:tcPr>
        <w:p w14:paraId="20D77773" w14:textId="77777777" w:rsidR="00331886" w:rsidRPr="007B3B51" w:rsidRDefault="00331886" w:rsidP="000C1A3F">
          <w:pPr>
            <w:rPr>
              <w:i/>
              <w:sz w:val="16"/>
              <w:szCs w:val="16"/>
            </w:rPr>
          </w:pPr>
        </w:p>
      </w:tc>
      <w:tc>
        <w:tcPr>
          <w:tcW w:w="3688" w:type="pct"/>
          <w:gridSpan w:val="3"/>
        </w:tcPr>
        <w:p w14:paraId="050E4DB3" w14:textId="77777777" w:rsidR="00331886" w:rsidRPr="007B3B51" w:rsidRDefault="00AE17F0" w:rsidP="000C1A3F">
          <w:pPr>
            <w:jc w:val="center"/>
            <w:rPr>
              <w:i/>
              <w:sz w:val="16"/>
              <w:szCs w:val="16"/>
            </w:rPr>
          </w:pPr>
          <w:r>
            <w:rPr>
              <w:i/>
              <w:noProof/>
              <w:sz w:val="16"/>
              <w:szCs w:val="16"/>
            </w:rPr>
            <w:t>Fuel Quality Standards (Petrol) Determination 2019</w:t>
          </w:r>
        </w:p>
      </w:tc>
      <w:tc>
        <w:tcPr>
          <w:tcW w:w="458" w:type="pct"/>
        </w:tcPr>
        <w:p w14:paraId="10C7741E" w14:textId="77777777" w:rsidR="00331886" w:rsidRPr="007B3B51" w:rsidRDefault="00331886" w:rsidP="000C1A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3A8D">
            <w:rPr>
              <w:i/>
              <w:noProof/>
              <w:sz w:val="16"/>
              <w:szCs w:val="16"/>
            </w:rPr>
            <w:t>1</w:t>
          </w:r>
          <w:r w:rsidRPr="007B3B51">
            <w:rPr>
              <w:i/>
              <w:sz w:val="16"/>
              <w:szCs w:val="16"/>
            </w:rPr>
            <w:fldChar w:fldCharType="end"/>
          </w:r>
        </w:p>
      </w:tc>
    </w:tr>
    <w:tr w:rsidR="00331886" w:rsidRPr="00130F37" w14:paraId="55A601A7" w14:textId="77777777" w:rsidTr="000C1A3F">
      <w:tc>
        <w:tcPr>
          <w:tcW w:w="1499" w:type="pct"/>
          <w:gridSpan w:val="2"/>
        </w:tcPr>
        <w:p w14:paraId="780A06C6" w14:textId="77777777" w:rsidR="00331886" w:rsidRPr="00130F37" w:rsidRDefault="00331886" w:rsidP="000C1A3F">
          <w:pPr>
            <w:spacing w:before="120"/>
            <w:rPr>
              <w:sz w:val="16"/>
              <w:szCs w:val="16"/>
            </w:rPr>
          </w:pPr>
          <w:r w:rsidRPr="00130F37">
            <w:rPr>
              <w:sz w:val="16"/>
              <w:szCs w:val="16"/>
            </w:rPr>
            <w:t xml:space="preserve">Compilation No. </w:t>
          </w:r>
          <w:r w:rsidR="00AE17F0">
            <w:rPr>
              <w:sz w:val="16"/>
              <w:szCs w:val="16"/>
            </w:rPr>
            <w:t>1</w:t>
          </w:r>
        </w:p>
      </w:tc>
      <w:tc>
        <w:tcPr>
          <w:tcW w:w="1999" w:type="pct"/>
        </w:tcPr>
        <w:p w14:paraId="33B2E24D" w14:textId="77777777" w:rsidR="00331886" w:rsidRPr="00130F37" w:rsidRDefault="00331886" w:rsidP="000C1A3F">
          <w:pPr>
            <w:spacing w:before="120"/>
            <w:jc w:val="center"/>
            <w:rPr>
              <w:sz w:val="16"/>
              <w:szCs w:val="16"/>
            </w:rPr>
          </w:pPr>
        </w:p>
      </w:tc>
      <w:tc>
        <w:tcPr>
          <w:tcW w:w="1502" w:type="pct"/>
          <w:gridSpan w:val="2"/>
        </w:tcPr>
        <w:p w14:paraId="70A06DED" w14:textId="77777777" w:rsidR="00331886" w:rsidRPr="00130F37" w:rsidRDefault="00331886" w:rsidP="00AE17F0">
          <w:pPr>
            <w:spacing w:before="120"/>
            <w:jc w:val="right"/>
            <w:rPr>
              <w:sz w:val="16"/>
              <w:szCs w:val="16"/>
            </w:rPr>
          </w:pPr>
          <w:r w:rsidRPr="00130F37">
            <w:rPr>
              <w:sz w:val="16"/>
              <w:szCs w:val="16"/>
            </w:rPr>
            <w:t xml:space="preserve">Compilation date: </w:t>
          </w:r>
          <w:r w:rsidR="00AE17F0">
            <w:rPr>
              <w:sz w:val="16"/>
              <w:szCs w:val="16"/>
            </w:rPr>
            <w:t>10/02/2021</w:t>
          </w:r>
        </w:p>
      </w:tc>
    </w:tr>
  </w:tbl>
  <w:p w14:paraId="5C9A3484" w14:textId="77777777" w:rsidR="00331886" w:rsidRPr="0086496F" w:rsidRDefault="00331886" w:rsidP="00903CD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1680"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628DB55" w14:textId="77777777" w:rsidTr="00BF35A6">
      <w:tc>
        <w:tcPr>
          <w:tcW w:w="854" w:type="pct"/>
        </w:tcPr>
        <w:p w14:paraId="2D84F1A9"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3A8D">
            <w:rPr>
              <w:i/>
              <w:noProof/>
              <w:sz w:val="16"/>
              <w:szCs w:val="16"/>
            </w:rPr>
            <w:t>8</w:t>
          </w:r>
          <w:r w:rsidRPr="007B3B51">
            <w:rPr>
              <w:i/>
              <w:sz w:val="16"/>
              <w:szCs w:val="16"/>
            </w:rPr>
            <w:fldChar w:fldCharType="end"/>
          </w:r>
        </w:p>
      </w:tc>
      <w:tc>
        <w:tcPr>
          <w:tcW w:w="3688" w:type="pct"/>
          <w:gridSpan w:val="3"/>
        </w:tcPr>
        <w:p w14:paraId="6037ACF8" w14:textId="77777777" w:rsidR="00331886" w:rsidRPr="007B3B51" w:rsidRDefault="00AE17F0" w:rsidP="0086496F">
          <w:pPr>
            <w:jc w:val="center"/>
            <w:rPr>
              <w:i/>
              <w:sz w:val="16"/>
              <w:szCs w:val="16"/>
            </w:rPr>
          </w:pPr>
          <w:r>
            <w:rPr>
              <w:i/>
              <w:noProof/>
              <w:sz w:val="16"/>
              <w:szCs w:val="16"/>
            </w:rPr>
            <w:t>Fuel Quality Standards (Petrol) Determination 2019</w:t>
          </w:r>
        </w:p>
      </w:tc>
      <w:tc>
        <w:tcPr>
          <w:tcW w:w="458" w:type="pct"/>
        </w:tcPr>
        <w:p w14:paraId="52F3985C" w14:textId="77777777" w:rsidR="00331886" w:rsidRPr="007B3B51" w:rsidRDefault="00331886" w:rsidP="0086496F">
          <w:pPr>
            <w:jc w:val="right"/>
            <w:rPr>
              <w:sz w:val="16"/>
              <w:szCs w:val="16"/>
            </w:rPr>
          </w:pPr>
        </w:p>
      </w:tc>
    </w:tr>
    <w:tr w:rsidR="00331886" w:rsidRPr="0055472E" w14:paraId="50681CC4" w14:textId="77777777" w:rsidTr="00BF35A6">
      <w:tc>
        <w:tcPr>
          <w:tcW w:w="1499" w:type="pct"/>
          <w:gridSpan w:val="2"/>
        </w:tcPr>
        <w:p w14:paraId="48734AE2" w14:textId="77777777" w:rsidR="00331886" w:rsidRPr="0055472E" w:rsidRDefault="00331886" w:rsidP="00836C1A">
          <w:pPr>
            <w:spacing w:before="120"/>
            <w:rPr>
              <w:sz w:val="16"/>
              <w:szCs w:val="16"/>
            </w:rPr>
          </w:pPr>
          <w:r w:rsidRPr="0055472E">
            <w:rPr>
              <w:sz w:val="16"/>
              <w:szCs w:val="16"/>
            </w:rPr>
            <w:t xml:space="preserve">Compilation No. </w:t>
          </w:r>
          <w:r w:rsidR="00AE17F0">
            <w:rPr>
              <w:sz w:val="16"/>
              <w:szCs w:val="16"/>
            </w:rPr>
            <w:t>1</w:t>
          </w:r>
        </w:p>
      </w:tc>
      <w:tc>
        <w:tcPr>
          <w:tcW w:w="1999" w:type="pct"/>
        </w:tcPr>
        <w:p w14:paraId="0A0C9560" w14:textId="77777777" w:rsidR="00331886" w:rsidRPr="0055472E" w:rsidRDefault="00331886" w:rsidP="0086496F">
          <w:pPr>
            <w:spacing w:before="120"/>
            <w:jc w:val="center"/>
            <w:rPr>
              <w:sz w:val="16"/>
              <w:szCs w:val="16"/>
            </w:rPr>
          </w:pPr>
        </w:p>
      </w:tc>
      <w:tc>
        <w:tcPr>
          <w:tcW w:w="1502" w:type="pct"/>
          <w:gridSpan w:val="2"/>
        </w:tcPr>
        <w:p w14:paraId="1FCB2C1D" w14:textId="77777777" w:rsidR="00331886" w:rsidRPr="0055472E" w:rsidRDefault="00331886" w:rsidP="00AE17F0">
          <w:pPr>
            <w:spacing w:before="120"/>
            <w:jc w:val="right"/>
            <w:rPr>
              <w:sz w:val="16"/>
              <w:szCs w:val="16"/>
            </w:rPr>
          </w:pPr>
          <w:r w:rsidRPr="0055472E">
            <w:rPr>
              <w:sz w:val="16"/>
              <w:szCs w:val="16"/>
            </w:rPr>
            <w:t xml:space="preserve">Compilation date: </w:t>
          </w:r>
          <w:r w:rsidR="00AE17F0">
            <w:rPr>
              <w:sz w:val="16"/>
              <w:szCs w:val="16"/>
            </w:rPr>
            <w:t>10/02/2021</w:t>
          </w:r>
        </w:p>
      </w:tc>
    </w:tr>
  </w:tbl>
  <w:p w14:paraId="452468F0" w14:textId="77777777" w:rsidR="00331886" w:rsidRPr="0086496F" w:rsidRDefault="00331886" w:rsidP="0086496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83D2"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4167DE5A" w14:textId="77777777" w:rsidTr="00BF35A6">
      <w:tc>
        <w:tcPr>
          <w:tcW w:w="854" w:type="pct"/>
        </w:tcPr>
        <w:p w14:paraId="1665175D" w14:textId="77777777" w:rsidR="00331886" w:rsidRPr="007B3B51" w:rsidRDefault="00331886" w:rsidP="0086496F">
          <w:pPr>
            <w:rPr>
              <w:i/>
              <w:sz w:val="16"/>
              <w:szCs w:val="16"/>
            </w:rPr>
          </w:pPr>
        </w:p>
      </w:tc>
      <w:tc>
        <w:tcPr>
          <w:tcW w:w="3688" w:type="pct"/>
          <w:gridSpan w:val="3"/>
        </w:tcPr>
        <w:p w14:paraId="3F3DF8DE" w14:textId="77777777" w:rsidR="00331886" w:rsidRPr="007B3B51" w:rsidRDefault="00AE17F0" w:rsidP="00AE17F0">
          <w:pPr>
            <w:jc w:val="center"/>
            <w:rPr>
              <w:i/>
              <w:sz w:val="16"/>
              <w:szCs w:val="16"/>
            </w:rPr>
          </w:pPr>
          <w:r>
            <w:rPr>
              <w:i/>
              <w:noProof/>
              <w:sz w:val="16"/>
              <w:szCs w:val="16"/>
            </w:rPr>
            <w:t>Fuel Quality Standards (Petrol) Determination 2019</w:t>
          </w:r>
        </w:p>
      </w:tc>
      <w:tc>
        <w:tcPr>
          <w:tcW w:w="458" w:type="pct"/>
        </w:tcPr>
        <w:p w14:paraId="47812B53"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3A8D">
            <w:rPr>
              <w:i/>
              <w:noProof/>
              <w:sz w:val="16"/>
              <w:szCs w:val="16"/>
            </w:rPr>
            <w:t>7</w:t>
          </w:r>
          <w:r w:rsidRPr="007B3B51">
            <w:rPr>
              <w:i/>
              <w:sz w:val="16"/>
              <w:szCs w:val="16"/>
            </w:rPr>
            <w:fldChar w:fldCharType="end"/>
          </w:r>
        </w:p>
      </w:tc>
    </w:tr>
    <w:tr w:rsidR="00331886" w:rsidRPr="00130F37" w14:paraId="167041AC" w14:textId="77777777" w:rsidTr="00BF35A6">
      <w:tc>
        <w:tcPr>
          <w:tcW w:w="1499" w:type="pct"/>
          <w:gridSpan w:val="2"/>
        </w:tcPr>
        <w:p w14:paraId="48C9FC4F" w14:textId="77777777" w:rsidR="00331886" w:rsidRPr="00130F37" w:rsidRDefault="00331886" w:rsidP="00836C1A">
          <w:pPr>
            <w:spacing w:before="120"/>
            <w:rPr>
              <w:sz w:val="16"/>
              <w:szCs w:val="16"/>
            </w:rPr>
          </w:pPr>
          <w:r w:rsidRPr="00130F37">
            <w:rPr>
              <w:sz w:val="16"/>
              <w:szCs w:val="16"/>
            </w:rPr>
            <w:t xml:space="preserve">Compilation No. </w:t>
          </w:r>
          <w:r w:rsidR="00AE17F0">
            <w:rPr>
              <w:sz w:val="16"/>
              <w:szCs w:val="16"/>
            </w:rPr>
            <w:t>1</w:t>
          </w:r>
        </w:p>
      </w:tc>
      <w:tc>
        <w:tcPr>
          <w:tcW w:w="1999" w:type="pct"/>
        </w:tcPr>
        <w:p w14:paraId="07E145D5" w14:textId="77777777" w:rsidR="00331886" w:rsidRPr="00130F37" w:rsidRDefault="00331886" w:rsidP="0086496F">
          <w:pPr>
            <w:spacing w:before="120"/>
            <w:jc w:val="center"/>
            <w:rPr>
              <w:sz w:val="16"/>
              <w:szCs w:val="16"/>
            </w:rPr>
          </w:pPr>
        </w:p>
      </w:tc>
      <w:tc>
        <w:tcPr>
          <w:tcW w:w="1502" w:type="pct"/>
          <w:gridSpan w:val="2"/>
        </w:tcPr>
        <w:p w14:paraId="6840BBC4" w14:textId="77777777" w:rsidR="00331886" w:rsidRPr="00130F37" w:rsidRDefault="00331886" w:rsidP="00AE17F0">
          <w:pPr>
            <w:spacing w:before="120"/>
            <w:jc w:val="right"/>
            <w:rPr>
              <w:sz w:val="16"/>
              <w:szCs w:val="16"/>
            </w:rPr>
          </w:pPr>
          <w:r w:rsidRPr="00130F37">
            <w:rPr>
              <w:sz w:val="16"/>
              <w:szCs w:val="16"/>
            </w:rPr>
            <w:t xml:space="preserve">Compilation date: </w:t>
          </w:r>
          <w:r w:rsidR="00AE17F0">
            <w:rPr>
              <w:sz w:val="16"/>
              <w:szCs w:val="16"/>
            </w:rPr>
            <w:t>10/02/2021</w:t>
          </w:r>
        </w:p>
      </w:tc>
    </w:tr>
  </w:tbl>
  <w:p w14:paraId="6B941370" w14:textId="77777777" w:rsidR="00331886" w:rsidRPr="0086496F" w:rsidRDefault="00331886" w:rsidP="00864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25454" w14:textId="77777777" w:rsidR="00307068" w:rsidRDefault="00307068" w:rsidP="008E17F3">
      <w:pPr>
        <w:spacing w:line="240" w:lineRule="auto"/>
      </w:pPr>
      <w:r>
        <w:separator/>
      </w:r>
    </w:p>
  </w:footnote>
  <w:footnote w:type="continuationSeparator" w:id="0">
    <w:p w14:paraId="6C55ED46" w14:textId="77777777" w:rsidR="00307068" w:rsidRDefault="00307068"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D1B66" w14:textId="77777777" w:rsidR="00331886" w:rsidRDefault="00331886" w:rsidP="00523750">
    <w:pPr>
      <w:pStyle w:val="Header"/>
      <w:pBdr>
        <w:bottom w:val="single" w:sz="6" w:space="1" w:color="auto"/>
      </w:pBdr>
      <w:tabs>
        <w:tab w:val="clear" w:pos="4150"/>
        <w:tab w:val="clear" w:pos="8307"/>
      </w:tabs>
    </w:pPr>
  </w:p>
  <w:p w14:paraId="7D9118A1" w14:textId="77777777" w:rsidR="00331886" w:rsidRDefault="00331886" w:rsidP="00523750">
    <w:pPr>
      <w:pStyle w:val="Header"/>
      <w:pBdr>
        <w:bottom w:val="single" w:sz="6" w:space="1" w:color="auto"/>
      </w:pBdr>
      <w:tabs>
        <w:tab w:val="clear" w:pos="4150"/>
        <w:tab w:val="clear" w:pos="8307"/>
      </w:tabs>
    </w:pPr>
  </w:p>
  <w:p w14:paraId="426ADB63" w14:textId="77777777" w:rsidR="00331886" w:rsidRPr="005F1388" w:rsidRDefault="00331886" w:rsidP="0052375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DF8D" w14:textId="77777777" w:rsidR="00331886" w:rsidRPr="007E528B" w:rsidRDefault="00331886" w:rsidP="0086496F">
    <w:pPr>
      <w:rPr>
        <w:sz w:val="26"/>
        <w:szCs w:val="26"/>
      </w:rPr>
    </w:pPr>
  </w:p>
  <w:p w14:paraId="3DBF0195" w14:textId="77777777" w:rsidR="00331886" w:rsidRPr="00750516" w:rsidRDefault="00331886" w:rsidP="0086496F">
    <w:pPr>
      <w:rPr>
        <w:b/>
        <w:sz w:val="20"/>
      </w:rPr>
    </w:pPr>
    <w:r w:rsidRPr="00750516">
      <w:rPr>
        <w:b/>
        <w:sz w:val="20"/>
      </w:rPr>
      <w:t>Endnotes</w:t>
    </w:r>
  </w:p>
  <w:p w14:paraId="63AC9767" w14:textId="77777777" w:rsidR="00331886" w:rsidRPr="007A1328" w:rsidRDefault="00331886" w:rsidP="0086496F">
    <w:pPr>
      <w:rPr>
        <w:sz w:val="20"/>
      </w:rPr>
    </w:pPr>
  </w:p>
  <w:p w14:paraId="6F39484C" w14:textId="77777777" w:rsidR="00331886" w:rsidRPr="007A1328" w:rsidRDefault="00331886" w:rsidP="0086496F">
    <w:pPr>
      <w:rPr>
        <w:b/>
        <w:sz w:val="24"/>
      </w:rPr>
    </w:pPr>
  </w:p>
  <w:p w14:paraId="03976B72" w14:textId="77777777" w:rsidR="00331886" w:rsidRPr="007E528B" w:rsidRDefault="00331886" w:rsidP="00DB127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B3A8D">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A124A" w14:textId="77777777" w:rsidR="00331886" w:rsidRPr="007E528B" w:rsidRDefault="00331886" w:rsidP="0086496F">
    <w:pPr>
      <w:jc w:val="right"/>
      <w:rPr>
        <w:sz w:val="26"/>
        <w:szCs w:val="26"/>
      </w:rPr>
    </w:pPr>
  </w:p>
  <w:p w14:paraId="274C88F6" w14:textId="77777777" w:rsidR="00331886" w:rsidRPr="00750516" w:rsidRDefault="00331886" w:rsidP="0086496F">
    <w:pPr>
      <w:jc w:val="right"/>
      <w:rPr>
        <w:b/>
        <w:sz w:val="20"/>
      </w:rPr>
    </w:pPr>
    <w:r w:rsidRPr="00750516">
      <w:rPr>
        <w:b/>
        <w:sz w:val="20"/>
      </w:rPr>
      <w:t>Endnotes</w:t>
    </w:r>
  </w:p>
  <w:p w14:paraId="3E2F044F" w14:textId="77777777" w:rsidR="00331886" w:rsidRPr="007A1328" w:rsidRDefault="00331886" w:rsidP="0086496F">
    <w:pPr>
      <w:jc w:val="right"/>
      <w:rPr>
        <w:sz w:val="20"/>
      </w:rPr>
    </w:pPr>
  </w:p>
  <w:p w14:paraId="2CC5145B" w14:textId="77777777" w:rsidR="00331886" w:rsidRPr="007A1328" w:rsidRDefault="00331886" w:rsidP="0086496F">
    <w:pPr>
      <w:jc w:val="right"/>
      <w:rPr>
        <w:b/>
        <w:sz w:val="24"/>
      </w:rPr>
    </w:pPr>
  </w:p>
  <w:p w14:paraId="1FAAAFBE" w14:textId="77777777" w:rsidR="00331886" w:rsidRPr="007E528B" w:rsidRDefault="00331886"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B3A8D">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C20C9" w14:textId="77777777" w:rsidR="00331886" w:rsidRPr="00ED79B6" w:rsidRDefault="00331886" w:rsidP="00F85C9A">
    <w:pPr>
      <w:pBdr>
        <w:bottom w:val="single" w:sz="12" w:space="1" w:color="auto"/>
      </w:pBdr>
      <w:spacing w:before="1000" w:line="240" w:lineRule="auto"/>
    </w:pPr>
  </w:p>
  <w:p w14:paraId="6672703F" w14:textId="77777777" w:rsidR="00331886" w:rsidRPr="00F85C9A" w:rsidRDefault="00331886"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07BD1" w14:textId="77777777"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109EC" w14:textId="77777777" w:rsidR="00331886" w:rsidRPr="00ED79B6" w:rsidRDefault="00331886"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C0EC" w14:textId="77777777" w:rsidR="00331886" w:rsidRPr="00ED79B6" w:rsidRDefault="00331886"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ED63" w14:textId="77777777" w:rsidR="00331886" w:rsidRPr="00ED79B6" w:rsidRDefault="0033188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A300" w14:textId="77777777" w:rsidR="00331886" w:rsidRPr="00ED79B6" w:rsidRDefault="00331886" w:rsidP="00BB1D0B">
    <w:pPr>
      <w:pBdr>
        <w:bottom w:val="single" w:sz="6"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C803" w14:textId="77777777" w:rsidR="00331886" w:rsidRPr="00ED79B6" w:rsidRDefault="00331886" w:rsidP="00903CD0">
    <w:pPr>
      <w:pBdr>
        <w:bottom w:val="single" w:sz="6" w:space="1" w:color="auto"/>
      </w:pBdr>
      <w:spacing w:before="100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42F11" w14:textId="77777777" w:rsidR="00331886" w:rsidRPr="00ED79B6" w:rsidRDefault="00331886" w:rsidP="00715914">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6B0B"/>
    <w:rsid w:val="000503C7"/>
    <w:rsid w:val="00056743"/>
    <w:rsid w:val="000614BF"/>
    <w:rsid w:val="000C604C"/>
    <w:rsid w:val="000D05EF"/>
    <w:rsid w:val="0010745C"/>
    <w:rsid w:val="00121165"/>
    <w:rsid w:val="0016127C"/>
    <w:rsid w:val="00166C2F"/>
    <w:rsid w:val="001939E1"/>
    <w:rsid w:val="00195382"/>
    <w:rsid w:val="001C69C4"/>
    <w:rsid w:val="001E3590"/>
    <w:rsid w:val="001E7407"/>
    <w:rsid w:val="00253D1B"/>
    <w:rsid w:val="00295FBA"/>
    <w:rsid w:val="002970D7"/>
    <w:rsid w:val="00297ECB"/>
    <w:rsid w:val="002C7668"/>
    <w:rsid w:val="002D043A"/>
    <w:rsid w:val="002D6A8E"/>
    <w:rsid w:val="00307068"/>
    <w:rsid w:val="00311448"/>
    <w:rsid w:val="00331886"/>
    <w:rsid w:val="00352B0F"/>
    <w:rsid w:val="00360FB0"/>
    <w:rsid w:val="003B5735"/>
    <w:rsid w:val="003D0BFE"/>
    <w:rsid w:val="003D5700"/>
    <w:rsid w:val="003D6F8A"/>
    <w:rsid w:val="003E4160"/>
    <w:rsid w:val="00402CE5"/>
    <w:rsid w:val="004116CD"/>
    <w:rsid w:val="00424CA9"/>
    <w:rsid w:val="00436157"/>
    <w:rsid w:val="0044291A"/>
    <w:rsid w:val="004560FB"/>
    <w:rsid w:val="004653F8"/>
    <w:rsid w:val="00496F97"/>
    <w:rsid w:val="00514788"/>
    <w:rsid w:val="00516B8D"/>
    <w:rsid w:val="005327A0"/>
    <w:rsid w:val="00537FBC"/>
    <w:rsid w:val="00551E4A"/>
    <w:rsid w:val="00584811"/>
    <w:rsid w:val="00594161"/>
    <w:rsid w:val="00594749"/>
    <w:rsid w:val="005E7285"/>
    <w:rsid w:val="00600219"/>
    <w:rsid w:val="00613A55"/>
    <w:rsid w:val="006207A3"/>
    <w:rsid w:val="006279B8"/>
    <w:rsid w:val="00660761"/>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93A33"/>
    <w:rsid w:val="008E17F3"/>
    <w:rsid w:val="008E3B8C"/>
    <w:rsid w:val="008E4F16"/>
    <w:rsid w:val="00927975"/>
    <w:rsid w:val="0094622F"/>
    <w:rsid w:val="0098638B"/>
    <w:rsid w:val="009A71E7"/>
    <w:rsid w:val="009F74FE"/>
    <w:rsid w:val="00A231E2"/>
    <w:rsid w:val="00A64912"/>
    <w:rsid w:val="00A70A74"/>
    <w:rsid w:val="00A91B5C"/>
    <w:rsid w:val="00AB3A8D"/>
    <w:rsid w:val="00AC07B0"/>
    <w:rsid w:val="00AD5641"/>
    <w:rsid w:val="00AE17F0"/>
    <w:rsid w:val="00AF14A0"/>
    <w:rsid w:val="00B33B3C"/>
    <w:rsid w:val="00BE719A"/>
    <w:rsid w:val="00BE720A"/>
    <w:rsid w:val="00C41649"/>
    <w:rsid w:val="00C42BF8"/>
    <w:rsid w:val="00C50043"/>
    <w:rsid w:val="00C544DF"/>
    <w:rsid w:val="00C61CDD"/>
    <w:rsid w:val="00C7573B"/>
    <w:rsid w:val="00C83868"/>
    <w:rsid w:val="00CB3D6B"/>
    <w:rsid w:val="00CB48D8"/>
    <w:rsid w:val="00CD0200"/>
    <w:rsid w:val="00CF0BB2"/>
    <w:rsid w:val="00D059CC"/>
    <w:rsid w:val="00D13441"/>
    <w:rsid w:val="00D70DFB"/>
    <w:rsid w:val="00D766DF"/>
    <w:rsid w:val="00DB1270"/>
    <w:rsid w:val="00DB3CFE"/>
    <w:rsid w:val="00DB6E60"/>
    <w:rsid w:val="00DC7B41"/>
    <w:rsid w:val="00DE7073"/>
    <w:rsid w:val="00DF1CF5"/>
    <w:rsid w:val="00DF6D7F"/>
    <w:rsid w:val="00E74DC7"/>
    <w:rsid w:val="00E76A98"/>
    <w:rsid w:val="00E94B69"/>
    <w:rsid w:val="00EB7901"/>
    <w:rsid w:val="00ED0C49"/>
    <w:rsid w:val="00EE0816"/>
    <w:rsid w:val="00EF2E3A"/>
    <w:rsid w:val="00F04811"/>
    <w:rsid w:val="00F078DC"/>
    <w:rsid w:val="00F11BE4"/>
    <w:rsid w:val="00F23E5F"/>
    <w:rsid w:val="00F51269"/>
    <w:rsid w:val="00F54735"/>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36B0F3"/>
  <w15:docId w15:val="{EEE97E72-D59C-4AEB-9830-B2425CC2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D059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59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59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before="120" w:after="120"/>
    </w:pPr>
    <w:rPr>
      <w:rFonts w:asciiTheme="minorHAnsi" w:eastAsiaTheme="minorHAnsi" w:hAnsiTheme="minorHAnsi" w:cstheme="minorHAnsi"/>
      <w:b/>
      <w:bCs/>
      <w:caps/>
      <w:sz w:val="20"/>
      <w:lang w:eastAsia="en-US"/>
    </w:rPr>
  </w:style>
  <w:style w:type="paragraph" w:styleId="TOC2">
    <w:name w:val="toc 2"/>
    <w:basedOn w:val="OPCParaBase"/>
    <w:next w:val="Normal"/>
    <w:uiPriority w:val="39"/>
    <w:unhideWhenUsed/>
    <w:rsid w:val="00A91B5C"/>
    <w:pPr>
      <w:ind w:left="220"/>
    </w:pPr>
    <w:rPr>
      <w:rFonts w:asciiTheme="minorHAnsi" w:eastAsiaTheme="minorHAnsi" w:hAnsiTheme="minorHAnsi" w:cstheme="minorHAnsi"/>
      <w:smallCaps/>
      <w:sz w:val="20"/>
      <w:lang w:eastAsia="en-US"/>
    </w:rPr>
  </w:style>
  <w:style w:type="paragraph" w:styleId="TOC3">
    <w:name w:val="toc 3"/>
    <w:basedOn w:val="OPCParaBase"/>
    <w:next w:val="Normal"/>
    <w:uiPriority w:val="39"/>
    <w:unhideWhenUsed/>
    <w:rsid w:val="00A91B5C"/>
    <w:pPr>
      <w:ind w:left="440"/>
    </w:pPr>
    <w:rPr>
      <w:rFonts w:asciiTheme="minorHAnsi" w:eastAsiaTheme="minorHAnsi" w:hAnsiTheme="minorHAnsi" w:cstheme="minorHAnsi"/>
      <w:i/>
      <w:iCs/>
      <w:sz w:val="20"/>
      <w:lang w:eastAsia="en-US"/>
    </w:rPr>
  </w:style>
  <w:style w:type="paragraph" w:styleId="TOC4">
    <w:name w:val="toc 4"/>
    <w:basedOn w:val="OPCParaBase"/>
    <w:next w:val="Normal"/>
    <w:uiPriority w:val="39"/>
    <w:unhideWhenUsed/>
    <w:rsid w:val="00A91B5C"/>
    <w:pPr>
      <w:ind w:left="660"/>
    </w:pPr>
    <w:rPr>
      <w:rFonts w:asciiTheme="minorHAnsi" w:eastAsiaTheme="minorHAnsi" w:hAnsiTheme="minorHAnsi" w:cstheme="minorHAnsi"/>
      <w:sz w:val="18"/>
      <w:szCs w:val="18"/>
      <w:lang w:eastAsia="en-US"/>
    </w:rPr>
  </w:style>
  <w:style w:type="paragraph" w:styleId="TOC5">
    <w:name w:val="toc 5"/>
    <w:basedOn w:val="OPCParaBase"/>
    <w:next w:val="Normal"/>
    <w:uiPriority w:val="39"/>
    <w:unhideWhenUsed/>
    <w:rsid w:val="00A91B5C"/>
    <w:pPr>
      <w:ind w:left="880"/>
    </w:pPr>
    <w:rPr>
      <w:rFonts w:asciiTheme="minorHAnsi" w:eastAsiaTheme="minorHAnsi" w:hAnsiTheme="minorHAnsi" w:cstheme="minorHAnsi"/>
      <w:sz w:val="18"/>
      <w:szCs w:val="18"/>
      <w:lang w:eastAsia="en-US"/>
    </w:rPr>
  </w:style>
  <w:style w:type="paragraph" w:styleId="TOC6">
    <w:name w:val="toc 6"/>
    <w:basedOn w:val="OPCParaBase"/>
    <w:next w:val="Normal"/>
    <w:uiPriority w:val="39"/>
    <w:unhideWhenUsed/>
    <w:rsid w:val="00A91B5C"/>
    <w:pPr>
      <w:ind w:left="1100"/>
    </w:pPr>
    <w:rPr>
      <w:rFonts w:asciiTheme="minorHAnsi" w:eastAsiaTheme="minorHAnsi" w:hAnsiTheme="minorHAnsi" w:cstheme="minorHAnsi"/>
      <w:sz w:val="18"/>
      <w:szCs w:val="18"/>
      <w:lang w:eastAsia="en-US"/>
    </w:rPr>
  </w:style>
  <w:style w:type="paragraph" w:styleId="TOC7">
    <w:name w:val="toc 7"/>
    <w:basedOn w:val="OPCParaBase"/>
    <w:next w:val="Normal"/>
    <w:uiPriority w:val="39"/>
    <w:unhideWhenUsed/>
    <w:rsid w:val="00A91B5C"/>
    <w:pPr>
      <w:ind w:left="1320"/>
    </w:pPr>
    <w:rPr>
      <w:rFonts w:asciiTheme="minorHAnsi" w:eastAsiaTheme="minorHAnsi" w:hAnsiTheme="minorHAnsi" w:cstheme="minorHAnsi"/>
      <w:sz w:val="18"/>
      <w:szCs w:val="18"/>
      <w:lang w:eastAsia="en-US"/>
    </w:rPr>
  </w:style>
  <w:style w:type="paragraph" w:styleId="TOC8">
    <w:name w:val="toc 8"/>
    <w:basedOn w:val="OPCParaBase"/>
    <w:next w:val="Normal"/>
    <w:uiPriority w:val="39"/>
    <w:unhideWhenUsed/>
    <w:rsid w:val="00A91B5C"/>
    <w:pPr>
      <w:ind w:left="1540"/>
    </w:pPr>
    <w:rPr>
      <w:rFonts w:asciiTheme="minorHAnsi" w:eastAsiaTheme="minorHAnsi" w:hAnsiTheme="minorHAnsi" w:cstheme="minorHAnsi"/>
      <w:sz w:val="18"/>
      <w:szCs w:val="18"/>
      <w:lang w:eastAsia="en-US"/>
    </w:rPr>
  </w:style>
  <w:style w:type="paragraph" w:styleId="TOC9">
    <w:name w:val="toc 9"/>
    <w:basedOn w:val="OPCParaBase"/>
    <w:next w:val="Normal"/>
    <w:uiPriority w:val="39"/>
    <w:unhideWhenUsed/>
    <w:rsid w:val="00A91B5C"/>
    <w:pPr>
      <w:ind w:left="1760"/>
    </w:pPr>
    <w:rPr>
      <w:rFonts w:asciiTheme="minorHAnsi" w:eastAsiaTheme="minorHAnsi" w:hAnsiTheme="minorHAnsi" w:cstheme="minorHAnsi"/>
      <w:sz w:val="18"/>
      <w:szCs w:val="18"/>
      <w:lang w:eastAsia="en-US"/>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paragraph" w:customStyle="1" w:styleId="TableColHead">
    <w:name w:val="TableColHead"/>
    <w:basedOn w:val="Normal"/>
    <w:rsid w:val="00AE17F0"/>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AE17F0"/>
    <w:pPr>
      <w:spacing w:before="60" w:after="60" w:line="240" w:lineRule="exact"/>
    </w:pPr>
    <w:rPr>
      <w:rFonts w:eastAsia="Times New Roman" w:cs="Times New Roman"/>
      <w:szCs w:val="24"/>
      <w:lang w:eastAsia="en-AU"/>
    </w:rPr>
  </w:style>
  <w:style w:type="character" w:styleId="CommentReference">
    <w:name w:val="annotation reference"/>
    <w:basedOn w:val="DefaultParagraphFont"/>
    <w:uiPriority w:val="99"/>
    <w:semiHidden/>
    <w:unhideWhenUsed/>
    <w:rsid w:val="00AE17F0"/>
    <w:rPr>
      <w:sz w:val="16"/>
      <w:szCs w:val="16"/>
    </w:rPr>
  </w:style>
  <w:style w:type="paragraph" w:styleId="CommentText">
    <w:name w:val="annotation text"/>
    <w:basedOn w:val="Normal"/>
    <w:link w:val="CommentTextChar"/>
    <w:uiPriority w:val="99"/>
    <w:semiHidden/>
    <w:unhideWhenUsed/>
    <w:rsid w:val="00AE17F0"/>
    <w:pPr>
      <w:spacing w:line="240" w:lineRule="auto"/>
    </w:pPr>
    <w:rPr>
      <w:sz w:val="20"/>
    </w:rPr>
  </w:style>
  <w:style w:type="character" w:customStyle="1" w:styleId="CommentTextChar">
    <w:name w:val="Comment Text Char"/>
    <w:basedOn w:val="DefaultParagraphFont"/>
    <w:link w:val="CommentText"/>
    <w:uiPriority w:val="99"/>
    <w:semiHidden/>
    <w:rsid w:val="00AE17F0"/>
  </w:style>
  <w:style w:type="character" w:styleId="Hyperlink">
    <w:name w:val="Hyperlink"/>
    <w:basedOn w:val="DefaultParagraphFont"/>
    <w:uiPriority w:val="99"/>
    <w:unhideWhenUsed/>
    <w:rsid w:val="00AE17F0"/>
    <w:rPr>
      <w:color w:val="0000FF" w:themeColor="hyperlink"/>
      <w:u w:val="single"/>
    </w:rPr>
  </w:style>
  <w:style w:type="character" w:customStyle="1" w:styleId="Heading1Char">
    <w:name w:val="Heading 1 Char"/>
    <w:basedOn w:val="DefaultParagraphFont"/>
    <w:link w:val="Heading1"/>
    <w:uiPriority w:val="9"/>
    <w:rsid w:val="00D059C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059CC"/>
    <w:pPr>
      <w:spacing w:line="259" w:lineRule="auto"/>
      <w:outlineLvl w:val="9"/>
    </w:pPr>
    <w:rPr>
      <w:lang w:val="en-US"/>
    </w:rPr>
  </w:style>
  <w:style w:type="character" w:customStyle="1" w:styleId="Heading2Char">
    <w:name w:val="Heading 2 Char"/>
    <w:basedOn w:val="DefaultParagraphFont"/>
    <w:link w:val="Heading2"/>
    <w:uiPriority w:val="9"/>
    <w:semiHidden/>
    <w:rsid w:val="00D059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59CC"/>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66076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60761"/>
    <w:rPr>
      <w:b/>
      <w:bCs/>
    </w:rPr>
  </w:style>
  <w:style w:type="character" w:customStyle="1" w:styleId="CommentSubjectChar">
    <w:name w:val="Comment Subject Char"/>
    <w:basedOn w:val="CommentTextChar"/>
    <w:link w:val="CommentSubject"/>
    <w:uiPriority w:val="99"/>
    <w:semiHidden/>
    <w:rsid w:val="00660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524</Value>
      <Value>536</Value>
      <Value>434</Value>
    </TaxCatchAll>
    <DocHub_LegalLexID xmlns="64628879-cb16-4650-8031-de1b8c98cea4">67445</DocHub_LegalLexID>
    <g7bcb40ba23249a78edca7d43a67c1c9 xmlns="64628879-cb16-4650-8031-de1b8c98cea4">
      <Terms xmlns="http://schemas.microsoft.com/office/infopath/2007/PartnerControls"/>
    </g7bcb40ba23249a78edca7d43a67c1c9>
    <nd2e77b4082547e79ceed512ba07a64b xmlns="64628879-cb16-4650-8031-de1b8c98cea4">
      <Terms xmlns="http://schemas.microsoft.com/office/infopath/2007/PartnerControls"/>
    </nd2e77b4082547e79ceed512ba07a64b>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Legal privilege</TermName>
          <TermId xmlns="http://schemas.microsoft.com/office/infopath/2007/PartnerControls">e0e7653a-6457-4726-a51f-c98e23f83bad</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64628879-cb16-4650-8031-de1b8c98cea4">
      <Terms xmlns="http://schemas.microsoft.com/office/infopath/2007/PartnerControls"/>
    </adb9bed2e36e4a93af574aeb444da63e>
    <c4141c357104478eb39a303f85ca3b32 xmlns="64628879-cb16-4650-8031-de1b8c98cea4">
      <Terms xmlns="http://schemas.microsoft.com/office/infopath/2007/PartnerControls"/>
    </c4141c357104478eb39a303f85ca3b32>
    <DocHub_PDMSNumber xmlns="64628879-cb16-4650-8031-de1b8c98cea4" xsi:nil="true"/>
    <Comments xmlns="http://schemas.microsoft.com/sharepoint/v3" xsi:nil="true"/>
    <_dlc_DocId xmlns="64628879-cb16-4650-8031-de1b8c98cea4">SEF43VY7DDAF-832118599-624</_dlc_DocId>
    <_dlc_DocIdUrl xmlns="64628879-cb16-4650-8031-de1b8c98cea4">
      <Url>https://dochub/div/corporate/businessfunctions/legalservices/legislation/legislativeinstruments/_layouts/15/DocIdRedir.aspx?ID=SEF43VY7DDAF-832118599-624</Url>
      <Description>SEF43VY7DDAF-832118599-624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21" ma:contentTypeDescription="Create a new document." ma:contentTypeScope="" ma:versionID="602206adff94d8dc817515a62e255d66">
  <xsd:schema xmlns:xsd="http://www.w3.org/2001/XMLSchema" xmlns:xs="http://www.w3.org/2001/XMLSchema" xmlns:p="http://schemas.microsoft.com/office/2006/metadata/properties" xmlns:ns1="http://schemas.microsoft.com/sharepoint/v3" xmlns:ns2="64628879-cb16-4650-8031-de1b8c98cea4" xmlns:ns3="http://schemas.microsoft.com/sharepoint/v4" targetNamespace="http://schemas.microsoft.com/office/2006/metadata/properties" ma:root="true" ma:fieldsID="356b96cf3254a3c990bf436fd242b697" ns1:_="" ns2:_="" ns3:_="">
    <xsd:import namespace="http://schemas.microsoft.com/sharepoint/v3"/>
    <xsd:import namespace="64628879-cb16-4650-8031-de1b8c98cea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element ref="ns3:IconOverlay"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DMSNumber" ma:index="31" nillable="true" ma:displayName="PDMS Number" ma:description="Parliamentary Document Management System (PDMS) Reference Number" ma:indexed="true" ma:internalName="DocHub_PDM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684D-B16E-46F5-9D0A-3B0F582F4B27}">
  <ds:schemaRefs>
    <ds:schemaRef ds:uri="http://schemas.microsoft.com/sharepoint/events"/>
  </ds:schemaRefs>
</ds:datastoreItem>
</file>

<file path=customXml/itemProps2.xml><?xml version="1.0" encoding="utf-8"?>
<ds:datastoreItem xmlns:ds="http://schemas.openxmlformats.org/officeDocument/2006/customXml" ds:itemID="{6DAE1975-917B-4B71-84E1-A0853946BF4D}">
  <ds:schemaRefs>
    <ds:schemaRef ds:uri="http://schemas.microsoft.com/sharepoint/v3/contenttype/forms"/>
  </ds:schemaRefs>
</ds:datastoreItem>
</file>

<file path=customXml/itemProps3.xml><?xml version="1.0" encoding="utf-8"?>
<ds:datastoreItem xmlns:ds="http://schemas.openxmlformats.org/officeDocument/2006/customXml" ds:itemID="{49BACAA8-7346-4D6D-B0BD-22C65FD506FF}">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4628879-cb16-4650-8031-de1b8c98cea4"/>
    <ds:schemaRef ds:uri="http://www.w3.org/XML/1998/namespace"/>
    <ds:schemaRef ds:uri="http://purl.org/dc/dcmitype/"/>
  </ds:schemaRefs>
</ds:datastoreItem>
</file>

<file path=customXml/itemProps4.xml><?xml version="1.0" encoding="utf-8"?>
<ds:datastoreItem xmlns:ds="http://schemas.openxmlformats.org/officeDocument/2006/customXml" ds:itemID="{BBA0381A-7ABF-4901-B736-E509B9BD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86F913-2E3C-48FA-8767-B79B3850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1</TotalTime>
  <Pages>12</Pages>
  <Words>1571</Words>
  <Characters>8955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Musolino, Teddy</cp:lastModifiedBy>
  <cp:revision>2</cp:revision>
  <cp:lastPrinted>2020-03-03T22:17:00Z</cp:lastPrinted>
  <dcterms:created xsi:type="dcterms:W3CDTF">2021-02-12T04:50:00Z</dcterms:created>
  <dcterms:modified xsi:type="dcterms:W3CDTF">2021-02-12T04:50:00Z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ContentTypeId">
    <vt:lpwstr>0x0101006211BFBF94633B4096CEE0E7EF5992F9</vt:lpwstr>
  </property>
  <property fmtid="{D5CDD505-2E9C-101B-9397-08002B2CF9AE}" pid="9" name="DocHub_LegalKeywords">
    <vt:lpwstr/>
  </property>
  <property fmtid="{D5CDD505-2E9C-101B-9397-08002B2CF9AE}" pid="10" name="DocHub_Year">
    <vt:lpwstr>536;#2021|712d5b50-1b62-44de-9d3e-74234783b265</vt:lpwstr>
  </property>
  <property fmtid="{D5CDD505-2E9C-101B-9397-08002B2CF9AE}" pid="11" name="DocHub_DocumentType">
    <vt:lpwstr>524;#Legislative Instrument|edbe159b-95f5-40e7-bf23-9dfb62f2e7f0</vt:lpwstr>
  </property>
  <property fmtid="{D5CDD505-2E9C-101B-9397-08002B2CF9AE}" pid="12" name="DocHub_SecurityClassification">
    <vt:lpwstr>434;#Legal privilege|e0e7653a-6457-4726-a51f-c98e23f83bad</vt:lpwstr>
  </property>
  <property fmtid="{D5CDD505-2E9C-101B-9397-08002B2CF9AE}" pid="13" name="DocHub_LegalClient">
    <vt:lpwstr/>
  </property>
  <property fmtid="{D5CDD505-2E9C-101B-9397-08002B2CF9AE}" pid="14" name="DocHub_Keywords">
    <vt:lpwstr/>
  </property>
  <property fmtid="{D5CDD505-2E9C-101B-9397-08002B2CF9AE}" pid="15" name="DocHub_WorkActivity">
    <vt:lpwstr/>
  </property>
  <property fmtid="{D5CDD505-2E9C-101B-9397-08002B2CF9AE}" pid="16" name="_dlc_DocIdItemGuid">
    <vt:lpwstr>02cc223e-21e2-42ed-aca5-0376269e9716</vt:lpwstr>
  </property>
</Properties>
</file>