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F88" w:rsidRDefault="00E82F88" w:rsidP="00E82F88"/>
    <w:p w:rsidR="00E82F88" w:rsidRDefault="00E82F88" w:rsidP="00E82F88">
      <w:pPr>
        <w:jc w:val="center"/>
        <w:rPr>
          <w:b/>
          <w:bCs/>
          <w:u w:val="single"/>
        </w:rPr>
      </w:pPr>
      <w:r w:rsidRPr="00880A07">
        <w:rPr>
          <w:b/>
          <w:bCs/>
          <w:u w:val="single"/>
        </w:rPr>
        <w:t>EXPLANATORY STATEMENT</w:t>
      </w:r>
    </w:p>
    <w:p w:rsidR="00E82F88" w:rsidRDefault="00E82F88" w:rsidP="00E82F88">
      <w:pPr>
        <w:jc w:val="center"/>
        <w:rPr>
          <w:b/>
          <w:bCs/>
          <w:u w:val="single"/>
        </w:rPr>
      </w:pPr>
    </w:p>
    <w:p w:rsidR="00E82F88" w:rsidRPr="00B947DB" w:rsidRDefault="00E82F88" w:rsidP="00E82F88">
      <w:pPr>
        <w:jc w:val="center"/>
        <w:rPr>
          <w:bCs/>
          <w:i/>
          <w:iCs/>
        </w:rPr>
      </w:pPr>
      <w:r w:rsidRPr="00B947DB">
        <w:rPr>
          <w:bCs/>
          <w:i/>
          <w:iCs/>
        </w:rPr>
        <w:t>Therapeutic Goods Act 1989</w:t>
      </w:r>
    </w:p>
    <w:p w:rsidR="00E82F88" w:rsidRPr="00B947DB" w:rsidRDefault="00E82F88" w:rsidP="00E82F88">
      <w:pPr>
        <w:jc w:val="center"/>
        <w:rPr>
          <w:bCs/>
          <w:u w:val="single"/>
        </w:rPr>
      </w:pPr>
    </w:p>
    <w:p w:rsidR="00E82F88" w:rsidRPr="00B947DB" w:rsidRDefault="00E82F88" w:rsidP="00E82F88">
      <w:pPr>
        <w:jc w:val="center"/>
        <w:rPr>
          <w:i/>
        </w:rPr>
      </w:pPr>
      <w:r w:rsidRPr="00B947DB">
        <w:rPr>
          <w:i/>
        </w:rPr>
        <w:t xml:space="preserve">Therapeutic Goods </w:t>
      </w:r>
      <w:r w:rsidR="006A6517" w:rsidRPr="00B947DB">
        <w:rPr>
          <w:i/>
        </w:rPr>
        <w:t>(Conformity Assessment Standard</w:t>
      </w:r>
      <w:r w:rsidR="007D01DA" w:rsidRPr="00B947DB">
        <w:rPr>
          <w:i/>
        </w:rPr>
        <w:t xml:space="preserve"> for Quality Management Systems</w:t>
      </w:r>
      <w:r w:rsidRPr="00B947DB">
        <w:rPr>
          <w:i/>
        </w:rPr>
        <w:t xml:space="preserve">) Order </w:t>
      </w:r>
      <w:r w:rsidR="00353B71" w:rsidRPr="00B947DB">
        <w:rPr>
          <w:i/>
        </w:rPr>
        <w:t>2019</w:t>
      </w:r>
    </w:p>
    <w:p w:rsidR="00E554BB" w:rsidRPr="00D415FB" w:rsidRDefault="00E82F88" w:rsidP="00E554BB">
      <w:pPr>
        <w:shd w:val="clear" w:color="auto" w:fill="FFFFFF"/>
        <w:spacing w:before="100" w:beforeAutospacing="1" w:after="240"/>
        <w:rPr>
          <w:lang w:val="en-US"/>
        </w:rPr>
      </w:pPr>
      <w:r>
        <w:t xml:space="preserve">The </w:t>
      </w:r>
      <w:r w:rsidRPr="002639F4">
        <w:rPr>
          <w:i/>
        </w:rPr>
        <w:t>Therapeutic Goods Act 1989</w:t>
      </w:r>
      <w:r>
        <w:t xml:space="preserve"> (</w:t>
      </w:r>
      <w:r w:rsidR="00467132">
        <w:t>“</w:t>
      </w:r>
      <w:r>
        <w:t>the Act</w:t>
      </w:r>
      <w:r w:rsidR="00467132">
        <w:t>”</w:t>
      </w:r>
      <w:r>
        <w:t>) provides for the establishment and maintenance of a national system of controls for the quality, safety, efficacy and timely availability of therapeutic goods that are used</w:t>
      </w:r>
      <w:r w:rsidR="00C343F7">
        <w:t xml:space="preserve"> in</w:t>
      </w:r>
      <w:r>
        <w:t>, or exported from, Australia.</w:t>
      </w:r>
      <w:r w:rsidR="00467132">
        <w:t xml:space="preserve"> The Therapeutic Goods Administration (“the TGA”), which is part of the Department of Health, is responsible for administering the Act.</w:t>
      </w:r>
    </w:p>
    <w:p w:rsidR="000C4A0A" w:rsidRDefault="000C4A0A" w:rsidP="000C4A0A">
      <w:pPr>
        <w:spacing w:after="240"/>
      </w:pPr>
      <w:r>
        <w:t xml:space="preserve">Conformity assessment procedures are manufacturing standards specifically designed for the manufacture of medical devices and are set out in Schedule 3 to the </w:t>
      </w:r>
      <w:r w:rsidRPr="004101B2">
        <w:rPr>
          <w:i/>
        </w:rPr>
        <w:t>Therapeutic Goods (Medical Devices) Regulations 2002</w:t>
      </w:r>
      <w:r>
        <w:t xml:space="preserve"> (“the MD Regulations”). Section 41DC of the Act provides that the Minister may, by legislative instrument, determine a conformity assessment standard for specified quality management systems and that the standard may be limited to particular kinds of devices. Compliance with a standard is treated as an application of the parts of the conformity assessment procedures specified in the standard</w:t>
      </w:r>
      <w:r w:rsidR="00AB2FFE">
        <w:t>, for a quality management system (“QMS”) identified in such a standard</w:t>
      </w:r>
      <w:r>
        <w:t>.</w:t>
      </w:r>
    </w:p>
    <w:p w:rsidR="00E82F88" w:rsidRPr="00B947DB" w:rsidRDefault="00467132" w:rsidP="00B947DB">
      <w:pPr>
        <w:spacing w:after="240"/>
      </w:pPr>
      <w:r w:rsidRPr="00467132">
        <w:t>The</w:t>
      </w:r>
      <w:r w:rsidRPr="00B947DB">
        <w:t xml:space="preserve"> </w:t>
      </w:r>
      <w:r w:rsidR="006A6517" w:rsidRPr="002639F4">
        <w:rPr>
          <w:i/>
        </w:rPr>
        <w:t>Therapeutic Goods (Conformity Assessment Standard for Quality Management Systems</w:t>
      </w:r>
      <w:r w:rsidR="007D01DA" w:rsidRPr="007753FA">
        <w:rPr>
          <w:i/>
        </w:rPr>
        <w:t xml:space="preserve">) </w:t>
      </w:r>
      <w:r w:rsidR="006A6517" w:rsidRPr="00CD617C">
        <w:rPr>
          <w:i/>
        </w:rPr>
        <w:t>Order 2019</w:t>
      </w:r>
      <w:r w:rsidR="007D01DA" w:rsidRPr="00B947DB">
        <w:rPr>
          <w:i/>
        </w:rPr>
        <w:t xml:space="preserve"> </w:t>
      </w:r>
      <w:r w:rsidR="007D01DA">
        <w:t>(</w:t>
      </w:r>
      <w:r>
        <w:t>“</w:t>
      </w:r>
      <w:r w:rsidR="007D01DA">
        <w:t xml:space="preserve">the </w:t>
      </w:r>
      <w:r w:rsidR="007C2315">
        <w:t>Order</w:t>
      </w:r>
      <w:r>
        <w:t>”</w:t>
      </w:r>
      <w:r w:rsidR="007C2315">
        <w:t>)</w:t>
      </w:r>
      <w:r w:rsidR="006A6517" w:rsidRPr="00B947DB">
        <w:t xml:space="preserve"> </w:t>
      </w:r>
      <w:r w:rsidR="00E82F88">
        <w:t>is a</w:t>
      </w:r>
      <w:r>
        <w:t xml:space="preserve"> legislative instrument</w:t>
      </w:r>
      <w:r w:rsidR="00E82F88">
        <w:t xml:space="preserve"> made by </w:t>
      </w:r>
      <w:r w:rsidR="000C4A0A">
        <w:t xml:space="preserve">a </w:t>
      </w:r>
      <w:r w:rsidR="00E82F88">
        <w:t>delegate of the Mini</w:t>
      </w:r>
      <w:r w:rsidR="007D01DA">
        <w:t>ster for Health under section 41DC</w:t>
      </w:r>
      <w:r w:rsidR="00E82F88">
        <w:t xml:space="preserve"> of the Act.</w:t>
      </w:r>
      <w:r w:rsidR="00417F03">
        <w:t xml:space="preserve"> The Order constitutes a conformity assessment standard for the quality management systems identified in the Order.</w:t>
      </w:r>
    </w:p>
    <w:p w:rsidR="004101B2" w:rsidRDefault="007C2315" w:rsidP="00E82F88">
      <w:pPr>
        <w:spacing w:after="240"/>
      </w:pPr>
      <w:r>
        <w:t xml:space="preserve">The </w:t>
      </w:r>
      <w:r w:rsidR="00417F03">
        <w:t xml:space="preserve">effect </w:t>
      </w:r>
      <w:r>
        <w:t xml:space="preserve">of the </w:t>
      </w:r>
      <w:r w:rsidR="007D01DA">
        <w:t>Order</w:t>
      </w:r>
      <w:r w:rsidR="00E82F88">
        <w:t xml:space="preserve"> is to </w:t>
      </w:r>
      <w:r w:rsidR="004101B2">
        <w:t xml:space="preserve">provide an </w:t>
      </w:r>
      <w:r w:rsidR="00467132">
        <w:t xml:space="preserve">alternative </w:t>
      </w:r>
      <w:r w:rsidR="004101B2">
        <w:t xml:space="preserve">means for manufacturers of medical devices to demonstrate that they have applied those parts of the conformity assessment procedures that relate to implementing and maintaining a </w:t>
      </w:r>
      <w:r w:rsidR="00526847">
        <w:t xml:space="preserve">QMS </w:t>
      </w:r>
      <w:r w:rsidR="004101B2">
        <w:t xml:space="preserve">in relation to </w:t>
      </w:r>
      <w:r w:rsidR="00627A22">
        <w:t xml:space="preserve">its </w:t>
      </w:r>
      <w:r w:rsidR="004101B2">
        <w:t>manufacture of medical devices. The Order does this by reference to a number of standards published by the International Organisation for Standardization (</w:t>
      </w:r>
      <w:r w:rsidR="00467132">
        <w:t xml:space="preserve">“the </w:t>
      </w:r>
      <w:r w:rsidR="004101B2">
        <w:t>ISO</w:t>
      </w:r>
      <w:r w:rsidR="00467132">
        <w:t>”</w:t>
      </w:r>
      <w:r w:rsidR="004101B2">
        <w:t>).</w:t>
      </w:r>
    </w:p>
    <w:p w:rsidR="00526847" w:rsidRDefault="00526847" w:rsidP="00E82F88">
      <w:pPr>
        <w:spacing w:after="240"/>
      </w:pPr>
      <w:r>
        <w:t>The Order has the effect that if a manufacturer’s QMS complies with the standard specified in the Order, it will be treated as having had applied to it those parts of the conformity assessment procedures specified in the Order.</w:t>
      </w:r>
    </w:p>
    <w:p w:rsidR="00950146" w:rsidRDefault="00526847" w:rsidP="00E82F88">
      <w:pPr>
        <w:spacing w:after="240"/>
      </w:pPr>
      <w:r>
        <w:t xml:space="preserve">The Order also repeals and replaces the previous </w:t>
      </w:r>
      <w:r w:rsidR="007C2315" w:rsidRPr="00B947DB">
        <w:t>Conformity Assessment Standards Order (Standard for Quality Management Systems and Quality Assurance Techniques) 2008</w:t>
      </w:r>
      <w:r w:rsidR="007C2315">
        <w:t xml:space="preserve"> (</w:t>
      </w:r>
      <w:r w:rsidR="00467132">
        <w:t>“</w:t>
      </w:r>
      <w:r w:rsidR="007C2315">
        <w:t xml:space="preserve">the </w:t>
      </w:r>
      <w:r w:rsidR="00467132">
        <w:t xml:space="preserve">former </w:t>
      </w:r>
      <w:r>
        <w:t>Order</w:t>
      </w:r>
      <w:r w:rsidR="00467132">
        <w:t>”</w:t>
      </w:r>
      <w:r w:rsidR="007C2315">
        <w:t>)</w:t>
      </w:r>
      <w:r w:rsidR="00E82F88">
        <w:t xml:space="preserve">, which </w:t>
      </w:r>
      <w:r>
        <w:t>would otherwise sunset on 1 April 2019</w:t>
      </w:r>
      <w:r w:rsidR="000C4A0A">
        <w:t xml:space="preserve"> under the sunsetting provisions of the </w:t>
      </w:r>
      <w:r w:rsidR="000C4A0A" w:rsidRPr="00B947DB">
        <w:rPr>
          <w:i/>
        </w:rPr>
        <w:t>Legislation Act 2003</w:t>
      </w:r>
      <w:r w:rsidR="0016043B">
        <w:t>.</w:t>
      </w:r>
    </w:p>
    <w:p w:rsidR="00E82F88" w:rsidRPr="00D8495C" w:rsidRDefault="00E82F88" w:rsidP="00E82F88">
      <w:pPr>
        <w:spacing w:after="240"/>
        <w:rPr>
          <w:b/>
        </w:rPr>
      </w:pPr>
      <w:r w:rsidRPr="00D8495C">
        <w:rPr>
          <w:b/>
        </w:rPr>
        <w:t>B</w:t>
      </w:r>
      <w:r w:rsidR="00AF0F86" w:rsidRPr="00D8495C">
        <w:rPr>
          <w:b/>
        </w:rPr>
        <w:t>ackground</w:t>
      </w:r>
    </w:p>
    <w:p w:rsidR="00C343F7" w:rsidRDefault="002A3901" w:rsidP="00C343F7">
      <w:pPr>
        <w:spacing w:after="240"/>
      </w:pPr>
      <w:r>
        <w:t>Under section 41DA of the Act, the regulations may set out requirements relating to the obligations of medical device manufacturers, to be known as the con</w:t>
      </w:r>
      <w:r w:rsidR="00B540A1">
        <w:t xml:space="preserve">formity assessment procedures. Conformity assessment procedures are manufacturing standards specifically </w:t>
      </w:r>
      <w:r w:rsidR="00535274">
        <w:t xml:space="preserve">designed </w:t>
      </w:r>
      <w:r w:rsidR="00B540A1">
        <w:t xml:space="preserve">for the manufacture of medical devices, which represent benchmarks for ensuring that devices will be produced </w:t>
      </w:r>
      <w:r w:rsidR="00535274">
        <w:t>in such a manner that they meet</w:t>
      </w:r>
      <w:r w:rsidR="00B540A1">
        <w:t xml:space="preserve"> the specification</w:t>
      </w:r>
      <w:r w:rsidR="00535274">
        <w:t>s</w:t>
      </w:r>
      <w:r w:rsidR="00B540A1">
        <w:t xml:space="preserve"> under which they were approved for general marketing, and </w:t>
      </w:r>
      <w:r w:rsidR="00350A2F">
        <w:t xml:space="preserve">for ensuring </w:t>
      </w:r>
      <w:r w:rsidR="00B540A1">
        <w:t xml:space="preserve">that the conditions under which </w:t>
      </w:r>
      <w:r w:rsidR="00B540A1">
        <w:lastRenderedPageBreak/>
        <w:t>the devices are manufa</w:t>
      </w:r>
      <w:r w:rsidR="00350A2F">
        <w:t xml:space="preserve">ctured will </w:t>
      </w:r>
      <w:r w:rsidR="00B540A1">
        <w:t xml:space="preserve">provide </w:t>
      </w:r>
      <w:r w:rsidR="00350A2F">
        <w:t xml:space="preserve">an </w:t>
      </w:r>
      <w:r w:rsidR="00B540A1">
        <w:t>assurance that the safety and quality of the devices are within acceptable parameters</w:t>
      </w:r>
      <w:r w:rsidR="00C343F7">
        <w:t xml:space="preserve">. </w:t>
      </w:r>
    </w:p>
    <w:p w:rsidR="00467132" w:rsidRDefault="00B540A1" w:rsidP="00E82F88">
      <w:r>
        <w:t>T</w:t>
      </w:r>
      <w:r w:rsidR="002A3901">
        <w:t>he conformity assessment procedures may be limited in their application to one or more medical device classifications, or apply differently to different medic</w:t>
      </w:r>
      <w:r w:rsidR="00CF521D">
        <w:t xml:space="preserve">al device classifications, </w:t>
      </w:r>
      <w:r w:rsidR="002A3901">
        <w:t xml:space="preserve">different kinds of medical devices or different kinds of </w:t>
      </w:r>
      <w:r w:rsidR="00CF521D">
        <w:t xml:space="preserve">medical </w:t>
      </w:r>
      <w:r w:rsidR="002A3901">
        <w:t>device manufacturers.</w:t>
      </w:r>
      <w:r w:rsidR="00467132">
        <w:t xml:space="preserve"> </w:t>
      </w:r>
      <w:r>
        <w:t xml:space="preserve">One requirement of the conformity assessment procedures is that a manufacturer of a kind of medical device must implement a QMS for the design, production, packaging, labelling and final inspection of the kind of device, and </w:t>
      </w:r>
      <w:r w:rsidR="00AB2FFE">
        <w:t xml:space="preserve">that </w:t>
      </w:r>
      <w:r>
        <w:t>such a system must ensure that each kind of device to which the QMS is applied complies with</w:t>
      </w:r>
      <w:r w:rsidR="00467132">
        <w:t>:</w:t>
      </w:r>
    </w:p>
    <w:p w:rsidR="00467132" w:rsidRDefault="00B540A1" w:rsidP="00B947DB">
      <w:pPr>
        <w:pStyle w:val="ListParagraph"/>
        <w:numPr>
          <w:ilvl w:val="0"/>
          <w:numId w:val="17"/>
        </w:numPr>
        <w:spacing w:before="120"/>
        <w:ind w:left="777" w:hanging="357"/>
        <w:contextualSpacing w:val="0"/>
      </w:pPr>
      <w:r>
        <w:t>the Essential Principles</w:t>
      </w:r>
      <w:r w:rsidR="00467132">
        <w:t>,</w:t>
      </w:r>
      <w:r>
        <w:t xml:space="preserve"> </w:t>
      </w:r>
      <w:r w:rsidR="00467132">
        <w:t xml:space="preserve">which </w:t>
      </w:r>
      <w:r>
        <w:t>are minimum benchmarks for the safety and performance of medical devices, set out in Schedule 1 to the MD Regulations</w:t>
      </w:r>
      <w:r w:rsidR="008B7010">
        <w:t>;</w:t>
      </w:r>
    </w:p>
    <w:p w:rsidR="00467132" w:rsidRDefault="00B540A1" w:rsidP="00B947DB">
      <w:pPr>
        <w:pStyle w:val="ListParagraph"/>
        <w:numPr>
          <w:ilvl w:val="0"/>
          <w:numId w:val="17"/>
        </w:numPr>
        <w:spacing w:before="120"/>
        <w:ind w:left="777" w:hanging="357"/>
        <w:contextualSpacing w:val="0"/>
      </w:pPr>
      <w:r>
        <w:t>the medical device classification rules</w:t>
      </w:r>
      <w:r w:rsidR="00467132">
        <w:t xml:space="preserve">, </w:t>
      </w:r>
      <w:r>
        <w:t>set out in Schedules 2 and 2A to the MD Regulations</w:t>
      </w:r>
      <w:r w:rsidR="00467132">
        <w:t>;</w:t>
      </w:r>
      <w:r>
        <w:t xml:space="preserve"> and</w:t>
      </w:r>
    </w:p>
    <w:p w:rsidR="00B540A1" w:rsidRDefault="00B540A1" w:rsidP="00B947DB">
      <w:pPr>
        <w:pStyle w:val="ListParagraph"/>
        <w:numPr>
          <w:ilvl w:val="0"/>
          <w:numId w:val="17"/>
        </w:numPr>
        <w:spacing w:before="120" w:after="120"/>
        <w:ind w:left="777" w:hanging="357"/>
        <w:contextualSpacing w:val="0"/>
      </w:pPr>
      <w:r>
        <w:t xml:space="preserve"> </w:t>
      </w:r>
      <w:proofErr w:type="gramStart"/>
      <w:r>
        <w:t>the</w:t>
      </w:r>
      <w:proofErr w:type="gramEnd"/>
      <w:r>
        <w:t xml:space="preserve"> conformity assessment procedures</w:t>
      </w:r>
      <w:r w:rsidR="008D1545">
        <w:t xml:space="preserve"> set out in Schedule 3 to the MD Regulations</w:t>
      </w:r>
      <w:r>
        <w:t>.</w:t>
      </w:r>
    </w:p>
    <w:p w:rsidR="002F049F" w:rsidRDefault="00C5772D" w:rsidP="00B947DB">
      <w:pPr>
        <w:spacing w:after="240"/>
      </w:pPr>
      <w:r>
        <w:t xml:space="preserve">Sponsors applying to include </w:t>
      </w:r>
      <w:r w:rsidR="008B7010">
        <w:t xml:space="preserve">a </w:t>
      </w:r>
      <w:r>
        <w:t>kind of medical device in the Australian Register of Therapeutic Goods (</w:t>
      </w:r>
      <w:r w:rsidR="008B7010">
        <w:t>“</w:t>
      </w:r>
      <w:r>
        <w:t>the Register</w:t>
      </w:r>
      <w:r w:rsidR="008B7010">
        <w:t>”</w:t>
      </w:r>
      <w:r>
        <w:t xml:space="preserve">) (i.e. to seek marketing approval) must certify that either appropriate conformity assessment procedures have been </w:t>
      </w:r>
      <w:r w:rsidR="00382FCB">
        <w:t xml:space="preserve">applied </w:t>
      </w:r>
      <w:r>
        <w:t xml:space="preserve">to devices of that kind, or that requirements that are comparable to such procedures have been applied to devices of that kind and, in either case, </w:t>
      </w:r>
      <w:r w:rsidR="00485462">
        <w:t xml:space="preserve">that </w:t>
      </w:r>
      <w:r>
        <w:t>the sponsor has sufficient information to substantiate that application</w:t>
      </w:r>
      <w:r w:rsidR="008B7010">
        <w:t>,</w:t>
      </w:r>
      <w:r>
        <w:t xml:space="preserve"> </w:t>
      </w:r>
      <w:r w:rsidR="002F049F">
        <w:t xml:space="preserve">or </w:t>
      </w:r>
      <w:r w:rsidR="008B7010">
        <w:t xml:space="preserve">that </w:t>
      </w:r>
      <w:r w:rsidR="002F049F">
        <w:t>arrangements</w:t>
      </w:r>
      <w:r>
        <w:t xml:space="preserve"> </w:t>
      </w:r>
      <w:r w:rsidR="008B7010">
        <w:t xml:space="preserve">are </w:t>
      </w:r>
      <w:r>
        <w:t>in place with the manufacturer</w:t>
      </w:r>
      <w:r w:rsidR="002F049F">
        <w:t xml:space="preserve"> to be able to obtain such information from them within the period specified in the regulations.</w:t>
      </w:r>
    </w:p>
    <w:p w:rsidR="002A3901" w:rsidRDefault="002F049F" w:rsidP="00B947DB">
      <w:pPr>
        <w:spacing w:after="240"/>
      </w:pPr>
      <w:r>
        <w:t>A kind of device may be cancelled from the Register if the Secretary is satisfied that the certification made in relation to the application of such procedures was not, or is no longer, correct in a material particular (paragraph 41GN(1)(f) of the Act refers)</w:t>
      </w:r>
      <w:r w:rsidR="008B7010">
        <w:t>.</w:t>
      </w:r>
      <w:r>
        <w:t xml:space="preserve"> </w:t>
      </w:r>
      <w:r w:rsidR="008B7010">
        <w:t>C</w:t>
      </w:r>
      <w:r>
        <w:t xml:space="preserve">riminal offences or civil penalties may also apply for sponsors and manufacturers of medical devices </w:t>
      </w:r>
      <w:r w:rsidR="00485462">
        <w:t>that are supplied in circumstances in</w:t>
      </w:r>
      <w:r>
        <w:t xml:space="preserve"> which the conformity assessment procedures</w:t>
      </w:r>
      <w:r w:rsidR="00C5772D">
        <w:t xml:space="preserve"> </w:t>
      </w:r>
      <w:r w:rsidR="00485462">
        <w:t>have not been applied (except where an overseas regulator conformity assessment document is in place in relation to the device).</w:t>
      </w:r>
    </w:p>
    <w:p w:rsidR="00485462" w:rsidRDefault="00485462" w:rsidP="00B947DB">
      <w:pPr>
        <w:spacing w:after="240"/>
      </w:pPr>
      <w:r>
        <w:t>Section 41DC of the Act allows the Minister to make a legislative instrument determining th</w:t>
      </w:r>
      <w:r w:rsidR="00CF521D">
        <w:t>at the matters specified in such an order</w:t>
      </w:r>
      <w:r>
        <w:t xml:space="preserve"> constitute a conformity assessment standard f</w:t>
      </w:r>
      <w:r w:rsidR="00BE5CA1">
        <w:t xml:space="preserve">or the </w:t>
      </w:r>
      <w:r w:rsidR="00417F03">
        <w:t xml:space="preserve">quality management systems </w:t>
      </w:r>
      <w:r>
        <w:t>identified in the order</w:t>
      </w:r>
      <w:r w:rsidR="00417F03">
        <w:t>.</w:t>
      </w:r>
      <w:r>
        <w:t xml:space="preserve"> </w:t>
      </w:r>
      <w:r w:rsidR="008B7010">
        <w:t>This has</w:t>
      </w:r>
      <w:r>
        <w:t xml:space="preserve"> the effect that where a medical device manufact</w:t>
      </w:r>
      <w:r w:rsidR="00BE5CA1">
        <w:t>urer’s QMS</w:t>
      </w:r>
      <w:r>
        <w:t xml:space="preserve"> complies with </w:t>
      </w:r>
      <w:r w:rsidR="00CF521D">
        <w:t>the order</w:t>
      </w:r>
      <w:r w:rsidR="00DE76C8">
        <w:t>, the QMS</w:t>
      </w:r>
      <w:r>
        <w:t xml:space="preserve"> is to be treated as having had applied to it those parts of the conformity assessment proc</w:t>
      </w:r>
      <w:r w:rsidR="00B540A1">
        <w:t>edures specified in the order</w:t>
      </w:r>
      <w:r>
        <w:t>.</w:t>
      </w:r>
    </w:p>
    <w:p w:rsidR="00BE5CA1" w:rsidRDefault="00BE5CA1" w:rsidP="00B947DB">
      <w:pPr>
        <w:spacing w:after="240"/>
      </w:pPr>
      <w:r>
        <w:t xml:space="preserve">The purpose of </w:t>
      </w:r>
      <w:r w:rsidR="00417F03">
        <w:t xml:space="preserve">a </w:t>
      </w:r>
      <w:r>
        <w:t>conformity assessment standards order is to provide medical device manufacture</w:t>
      </w:r>
      <w:r w:rsidR="00AB2FFE">
        <w:t>r</w:t>
      </w:r>
      <w:r>
        <w:t xml:space="preserve">s with a flexible option of demonstrating </w:t>
      </w:r>
      <w:r w:rsidR="008E1032">
        <w:t xml:space="preserve">that </w:t>
      </w:r>
      <w:r w:rsidR="00417F03">
        <w:t xml:space="preserve">it has </w:t>
      </w:r>
      <w:r w:rsidR="008E1032">
        <w:t>applied the</w:t>
      </w:r>
      <w:r>
        <w:t xml:space="preserve"> conformity assessment procedures </w:t>
      </w:r>
      <w:r w:rsidR="0087702E">
        <w:t xml:space="preserve">to the </w:t>
      </w:r>
      <w:r>
        <w:t>kinds of medical devices</w:t>
      </w:r>
      <w:r w:rsidR="0087702E">
        <w:t xml:space="preserve"> that </w:t>
      </w:r>
      <w:r w:rsidR="00417F03">
        <w:t xml:space="preserve">it is </w:t>
      </w:r>
      <w:r w:rsidR="0087702E">
        <w:t xml:space="preserve">manufacturing, through being able to demonstrate that </w:t>
      </w:r>
      <w:r w:rsidR="00417F03">
        <w:t xml:space="preserve">it has </w:t>
      </w:r>
      <w:r w:rsidR="0087702E">
        <w:t>an effective QMS in place that is consistent with international benchmarks</w:t>
      </w:r>
      <w:r>
        <w:t xml:space="preserve">. Compliance with </w:t>
      </w:r>
      <w:r w:rsidR="00417F03">
        <w:t xml:space="preserve">one or more </w:t>
      </w:r>
      <w:r w:rsidR="0045242A">
        <w:t xml:space="preserve">conformity assessment </w:t>
      </w:r>
      <w:r w:rsidR="00417F03">
        <w:t xml:space="preserve">standards </w:t>
      </w:r>
      <w:r>
        <w:t>is not mandatory, but</w:t>
      </w:r>
      <w:r w:rsidR="00784911">
        <w:t xml:space="preserve"> </w:t>
      </w:r>
      <w:r>
        <w:t xml:space="preserve">designed to offer a more flexible and quicker means of demonstrating </w:t>
      </w:r>
      <w:r w:rsidR="0087702E">
        <w:t>compliance with conformity assessment procedures</w:t>
      </w:r>
      <w:r>
        <w:t>.</w:t>
      </w:r>
    </w:p>
    <w:p w:rsidR="00485462" w:rsidRDefault="00485462" w:rsidP="00B947DB">
      <w:pPr>
        <w:spacing w:after="240"/>
      </w:pPr>
      <w:r>
        <w:t>Subsec</w:t>
      </w:r>
      <w:r w:rsidR="00BE5CA1">
        <w:t xml:space="preserve">tion </w:t>
      </w:r>
      <w:proofErr w:type="gramStart"/>
      <w:r w:rsidR="00BE5CA1">
        <w:t>41MG(</w:t>
      </w:r>
      <w:proofErr w:type="gramEnd"/>
      <w:r w:rsidR="00BE5CA1">
        <w:t>1) of the Act makes this</w:t>
      </w:r>
      <w:r>
        <w:t xml:space="preserve"> clear </w:t>
      </w:r>
      <w:r w:rsidR="00BE5CA1">
        <w:t xml:space="preserve">by providing </w:t>
      </w:r>
      <w:r>
        <w:t xml:space="preserve">that the criminal offence </w:t>
      </w:r>
      <w:r w:rsidR="008E1032">
        <w:t xml:space="preserve">and civil penalty </w:t>
      </w:r>
      <w:r>
        <w:t xml:space="preserve">provisions in the Act that relate to failing to apply the conformity assessment procedures (sections 41ME, 41MEA and 41MF) do not apply to the extent </w:t>
      </w:r>
      <w:r w:rsidR="00BE5CA1">
        <w:t>that a QMS</w:t>
      </w:r>
      <w:r w:rsidR="0045242A">
        <w:t xml:space="preserve">, </w:t>
      </w:r>
      <w:r w:rsidR="0045242A">
        <w:lastRenderedPageBreak/>
        <w:t xml:space="preserve">which </w:t>
      </w:r>
      <w:r>
        <w:t xml:space="preserve">has been </w:t>
      </w:r>
      <w:r w:rsidR="0087702E">
        <w:t>applied to a manufacturer’s or sponsor’s devices</w:t>
      </w:r>
      <w:r w:rsidR="0045242A">
        <w:t>,</w:t>
      </w:r>
      <w:r w:rsidR="0087702E">
        <w:t xml:space="preserve"> </w:t>
      </w:r>
      <w:r>
        <w:t>complies with one or more applicable conf</w:t>
      </w:r>
      <w:r w:rsidR="00E93BEB">
        <w:t>ormity as</w:t>
      </w:r>
      <w:r w:rsidR="0087702E">
        <w:t>sessment standards</w:t>
      </w:r>
      <w:r w:rsidR="00E93BEB">
        <w:t>.</w:t>
      </w:r>
    </w:p>
    <w:p w:rsidR="002A3901" w:rsidRDefault="0087702E" w:rsidP="00B947DB">
      <w:pPr>
        <w:spacing w:after="240"/>
      </w:pPr>
      <w:r>
        <w:t xml:space="preserve">The </w:t>
      </w:r>
      <w:r w:rsidR="008B7010">
        <w:t xml:space="preserve">former </w:t>
      </w:r>
      <w:r>
        <w:t>Order</w:t>
      </w:r>
      <w:r w:rsidR="002A3901">
        <w:t xml:space="preserve"> was registered on the Federal Register of Legislation on 24 November 2008,</w:t>
      </w:r>
      <w:r w:rsidR="00485462">
        <w:t xml:space="preserve"> and identifies</w:t>
      </w:r>
      <w:r w:rsidR="002A3901">
        <w:t xml:space="preserve"> a number o</w:t>
      </w:r>
      <w:r w:rsidR="00350A2F">
        <w:t>f ISO</w:t>
      </w:r>
      <w:r w:rsidR="008B7010">
        <w:t xml:space="preserve"> standard</w:t>
      </w:r>
      <w:r w:rsidR="00350A2F">
        <w:t>s</w:t>
      </w:r>
      <w:r w:rsidR="002A3901">
        <w:t xml:space="preserve"> as constituting conformity assessment standards relevant to the implementation of the manufacturer's quality management system and quality assurance techniques. </w:t>
      </w:r>
      <w:r w:rsidR="00054363">
        <w:t>In order to reflect developments and improvements in medical device manufacture since then, t</w:t>
      </w:r>
      <w:r w:rsidR="00350A2F">
        <w:t xml:space="preserve">here is now a need to replace the </w:t>
      </w:r>
      <w:r w:rsidR="008B7010">
        <w:t xml:space="preserve">former </w:t>
      </w:r>
      <w:r w:rsidR="00350A2F">
        <w:t xml:space="preserve">Order with a new </w:t>
      </w:r>
      <w:r w:rsidR="0045242A">
        <w:t xml:space="preserve">conformity assessment standards order </w:t>
      </w:r>
      <w:r w:rsidR="00350A2F">
        <w:t>that updates the range of ISO</w:t>
      </w:r>
      <w:r w:rsidR="008B7010">
        <w:t xml:space="preserve"> standard</w:t>
      </w:r>
      <w:r w:rsidR="00350A2F">
        <w:t xml:space="preserve">s specified. </w:t>
      </w:r>
    </w:p>
    <w:p w:rsidR="00E554BB" w:rsidRDefault="00054363" w:rsidP="00E554BB">
      <w:pPr>
        <w:spacing w:after="240"/>
      </w:pPr>
      <w:r>
        <w:t>In particular, t</w:t>
      </w:r>
      <w:r w:rsidR="008F5E94">
        <w:t>he standard ISO 13485</w:t>
      </w:r>
      <w:r w:rsidR="007D3417">
        <w:t>:2003</w:t>
      </w:r>
      <w:r w:rsidR="008F5E94">
        <w:t xml:space="preserve"> </w:t>
      </w:r>
      <w:r w:rsidR="008F5E94">
        <w:rPr>
          <w:i/>
          <w:iCs/>
        </w:rPr>
        <w:t>Medical device</w:t>
      </w:r>
      <w:r w:rsidR="008B7010">
        <w:rPr>
          <w:i/>
          <w:iCs/>
        </w:rPr>
        <w:sym w:font="Symbol" w:char="F0BE"/>
      </w:r>
      <w:r w:rsidR="008F5E94">
        <w:rPr>
          <w:i/>
          <w:iCs/>
        </w:rPr>
        <w:t>Quality management systems</w:t>
      </w:r>
      <w:r w:rsidR="008B7010">
        <w:rPr>
          <w:i/>
          <w:iCs/>
        </w:rPr>
        <w:sym w:font="Symbol" w:char="F0BE"/>
      </w:r>
      <w:r w:rsidR="008F5E94">
        <w:rPr>
          <w:i/>
          <w:iCs/>
        </w:rPr>
        <w:t>Requirements for regulatory purposes</w:t>
      </w:r>
      <w:r w:rsidR="008F5E94" w:rsidRPr="008F5E94">
        <w:t xml:space="preserve"> </w:t>
      </w:r>
      <w:r w:rsidR="008F5E94">
        <w:t xml:space="preserve">is an important standard that was created to </w:t>
      </w:r>
      <w:r w:rsidR="008F5E94" w:rsidRPr="008F5E94">
        <w:t xml:space="preserve">support medical device manufacturers in designing </w:t>
      </w:r>
      <w:r w:rsidR="0045242A">
        <w:t xml:space="preserve">quality management systems </w:t>
      </w:r>
      <w:r w:rsidR="008F5E94" w:rsidRPr="008F5E94">
        <w:t>that establish and maintain the effectiveness of their processes</w:t>
      </w:r>
      <w:r>
        <w:t>, and was adopted by the former Order</w:t>
      </w:r>
      <w:r w:rsidR="008F5E94" w:rsidRPr="008F5E94">
        <w:t>. It</w:t>
      </w:r>
      <w:r>
        <w:t>s purpose is to</w:t>
      </w:r>
      <w:r w:rsidR="008F5E94" w:rsidRPr="008F5E94">
        <w:t xml:space="preserve"> ensure the consistent design, development, production, installation, and delivery of medical devices that are safe for their intended purpose.</w:t>
      </w:r>
      <w:r w:rsidR="00E5089C">
        <w:t xml:space="preserve"> </w:t>
      </w:r>
    </w:p>
    <w:p w:rsidR="00E554BB" w:rsidRDefault="002A3901" w:rsidP="00E554BB">
      <w:pPr>
        <w:spacing w:after="240"/>
      </w:pPr>
      <w:r>
        <w:t>In 2016</w:t>
      </w:r>
      <w:r w:rsidR="00CF521D">
        <w:t>,</w:t>
      </w:r>
      <w:r w:rsidR="00A221FB">
        <w:t xml:space="preserve"> the ISO published a new revised version of</w:t>
      </w:r>
      <w:r>
        <w:t xml:space="preserve"> ISO 13485</w:t>
      </w:r>
      <w:r w:rsidR="00A221FB">
        <w:t xml:space="preserve"> (ISO 13485:2016)</w:t>
      </w:r>
      <w:r>
        <w:t>,</w:t>
      </w:r>
      <w:r w:rsidR="002A047E">
        <w:t xml:space="preserve"> </w:t>
      </w:r>
      <w:r w:rsidR="00054363">
        <w:t>to</w:t>
      </w:r>
      <w:r w:rsidR="002A047E">
        <w:t xml:space="preserve"> </w:t>
      </w:r>
      <w:r>
        <w:t>rep</w:t>
      </w:r>
      <w:r w:rsidR="002A047E">
        <w:t>lac</w:t>
      </w:r>
      <w:r w:rsidR="00054363">
        <w:t>e</w:t>
      </w:r>
      <w:r w:rsidR="002B263C">
        <w:t xml:space="preserve"> IS</w:t>
      </w:r>
      <w:r w:rsidR="004A1F17">
        <w:t>O</w:t>
      </w:r>
      <w:r w:rsidR="002B263C">
        <w:t xml:space="preserve"> 13485:</w:t>
      </w:r>
      <w:r>
        <w:t xml:space="preserve">2003. </w:t>
      </w:r>
      <w:r w:rsidR="002A047E">
        <w:t>The ISO provided for a</w:t>
      </w:r>
      <w:r>
        <w:t xml:space="preserve"> 3</w:t>
      </w:r>
      <w:r w:rsidR="002639F4">
        <w:t xml:space="preserve"> </w:t>
      </w:r>
      <w:r>
        <w:t>ye</w:t>
      </w:r>
      <w:r w:rsidR="002B263C">
        <w:t>ar tra</w:t>
      </w:r>
      <w:r w:rsidR="002A047E">
        <w:t xml:space="preserve">nsition period </w:t>
      </w:r>
      <w:r w:rsidR="002B263C">
        <w:t>in which</w:t>
      </w:r>
      <w:r>
        <w:t xml:space="preserve"> ISO 13485:2003 and ISO 13485:2016 coexisted, al</w:t>
      </w:r>
      <w:r w:rsidR="002B263C">
        <w:t xml:space="preserve">lowing users </w:t>
      </w:r>
      <w:r>
        <w:t xml:space="preserve">to transition to the </w:t>
      </w:r>
      <w:r w:rsidR="002B263C">
        <w:t>updated standard</w:t>
      </w:r>
      <w:r>
        <w:t>. This transition perio</w:t>
      </w:r>
      <w:r w:rsidR="002B263C">
        <w:t>d end</w:t>
      </w:r>
      <w:r w:rsidR="008F5E94">
        <w:t>ed</w:t>
      </w:r>
      <w:r w:rsidR="002B263C">
        <w:t xml:space="preserve"> on 1 March 2019, after which time the ISO </w:t>
      </w:r>
      <w:r>
        <w:t xml:space="preserve">only </w:t>
      </w:r>
      <w:r w:rsidR="002B263C">
        <w:t>recommend</w:t>
      </w:r>
      <w:r w:rsidR="00AB2FFE">
        <w:t>s</w:t>
      </w:r>
      <w:r w:rsidR="002B263C">
        <w:t xml:space="preserve"> </w:t>
      </w:r>
      <w:r>
        <w:t>ISO 13485:20</w:t>
      </w:r>
      <w:r w:rsidR="002B263C">
        <w:t xml:space="preserve">16 </w:t>
      </w:r>
      <w:r>
        <w:t>as the acceptable standard</w:t>
      </w:r>
      <w:r w:rsidR="002B263C">
        <w:t xml:space="preserve"> for quality management systems</w:t>
      </w:r>
      <w:r>
        <w:t>. The TGA published notification</w:t>
      </w:r>
      <w:r w:rsidR="00054363">
        <w:t>s in relation</w:t>
      </w:r>
      <w:r>
        <w:t xml:space="preserve"> to </w:t>
      </w:r>
      <w:r w:rsidR="002B263C">
        <w:t>medical device manufacturers and sponsors about</w:t>
      </w:r>
      <w:r w:rsidR="002A047E">
        <w:t xml:space="preserve"> this transition period on it</w:t>
      </w:r>
      <w:r>
        <w:t xml:space="preserve">s website </w:t>
      </w:r>
      <w:r w:rsidR="002B263C">
        <w:t>(</w:t>
      </w:r>
      <w:hyperlink r:id="rId9" w:history="1">
        <w:r w:rsidR="002B263C" w:rsidRPr="004B6B3E">
          <w:rPr>
            <w:rStyle w:val="Hyperlink"/>
          </w:rPr>
          <w:t>www.tga.gov.au</w:t>
        </w:r>
      </w:hyperlink>
      <w:r w:rsidR="002B263C">
        <w:t xml:space="preserve">) </w:t>
      </w:r>
      <w:r>
        <w:t>on 9 August 2016</w:t>
      </w:r>
      <w:r w:rsidR="00054363">
        <w:t>,</w:t>
      </w:r>
      <w:r w:rsidR="008F5E94">
        <w:t xml:space="preserve"> and 1 March 2019</w:t>
      </w:r>
      <w:r>
        <w:t>.</w:t>
      </w:r>
      <w:r w:rsidR="00E554BB" w:rsidRPr="00E554BB">
        <w:t xml:space="preserve"> </w:t>
      </w:r>
    </w:p>
    <w:p w:rsidR="00E554BB" w:rsidRDefault="001B1AC8" w:rsidP="00E554BB">
      <w:pPr>
        <w:spacing w:after="240"/>
      </w:pPr>
      <w:r>
        <w:t>Given the end of the ISO’s transition period and its endorsement of ISO 13485:2016 from 1</w:t>
      </w:r>
      <w:r w:rsidR="008B7010">
        <w:t> </w:t>
      </w:r>
      <w:r>
        <w:t xml:space="preserve">March 2019, and that the </w:t>
      </w:r>
      <w:r w:rsidR="002639F4">
        <w:t xml:space="preserve">former </w:t>
      </w:r>
      <w:r>
        <w:t xml:space="preserve">Order would sunset from 1 April 2019, the Order repeals and replaces the </w:t>
      </w:r>
      <w:r w:rsidR="008B7010">
        <w:t xml:space="preserve">former </w:t>
      </w:r>
      <w:r>
        <w:t xml:space="preserve">Order with a new </w:t>
      </w:r>
      <w:r w:rsidR="008B7010">
        <w:t>o</w:t>
      </w:r>
      <w:r>
        <w:t xml:space="preserve">rder that, in particular, substitutes the references to ISO </w:t>
      </w:r>
      <w:r w:rsidR="00F0004E">
        <w:t>13485:</w:t>
      </w:r>
      <w:r>
        <w:t>2003 with r</w:t>
      </w:r>
      <w:r w:rsidR="00F0004E">
        <w:t>eferences to the new ISO 13485:</w:t>
      </w:r>
      <w:r>
        <w:t>2016.</w:t>
      </w:r>
      <w:r w:rsidR="00E554BB" w:rsidRPr="00E554BB">
        <w:t xml:space="preserve"> </w:t>
      </w:r>
    </w:p>
    <w:p w:rsidR="00E554BB" w:rsidRDefault="001B1AC8" w:rsidP="00E554BB">
      <w:pPr>
        <w:spacing w:after="240"/>
      </w:pPr>
      <w:r>
        <w:t xml:space="preserve">This follows the recent action of other comparable overseas regulators </w:t>
      </w:r>
      <w:r w:rsidR="0098269A">
        <w:t xml:space="preserve">to replace requirements relating to ISO </w:t>
      </w:r>
      <w:r w:rsidR="00F0004E">
        <w:t>13485:2003 with ISO 13485:</w:t>
      </w:r>
      <w:r w:rsidR="0098269A">
        <w:t xml:space="preserve">2016, </w:t>
      </w:r>
      <w:r>
        <w:t xml:space="preserve">such as Health Canada </w:t>
      </w:r>
      <w:r w:rsidR="0098269A">
        <w:t>from 1 January 2019, and the European Union</w:t>
      </w:r>
      <w:r>
        <w:t xml:space="preserve"> </w:t>
      </w:r>
      <w:r w:rsidR="00A4791F">
        <w:t xml:space="preserve">(“EU”) </w:t>
      </w:r>
      <w:r>
        <w:t>from 31 March 2019.</w:t>
      </w:r>
      <w:r w:rsidR="00E554BB" w:rsidRPr="00E554BB">
        <w:t xml:space="preserve"> </w:t>
      </w:r>
    </w:p>
    <w:p w:rsidR="00054363" w:rsidRDefault="00054363" w:rsidP="00B947DB">
      <w:r>
        <w:t>In comparison with ISO 13485:2003</w:t>
      </w:r>
      <w:r w:rsidR="007D3417">
        <w:t xml:space="preserve"> t</w:t>
      </w:r>
      <w:r>
        <w:t xml:space="preserve">he adoption of the new ISO 13485:2016 includes, in particular, requirements that: </w:t>
      </w:r>
    </w:p>
    <w:p w:rsidR="00054363" w:rsidRDefault="00E5089C" w:rsidP="00B947DB">
      <w:pPr>
        <w:pStyle w:val="ListParagraph"/>
        <w:numPr>
          <w:ilvl w:val="0"/>
          <w:numId w:val="21"/>
        </w:numPr>
        <w:spacing w:before="120" w:after="240"/>
      </w:pPr>
      <w:r>
        <w:t>all processes that are part of a manufacturer</w:t>
      </w:r>
      <w:r w:rsidR="002639F4">
        <w:t>’</w:t>
      </w:r>
      <w:r>
        <w:t>s QMS be developed using a risk-based approach, including outsourced processes</w:t>
      </w:r>
      <w:r w:rsidR="00054363">
        <w:t>;</w:t>
      </w:r>
      <w:r>
        <w:t xml:space="preserve"> </w:t>
      </w:r>
    </w:p>
    <w:p w:rsidR="00054363" w:rsidRDefault="00E5089C" w:rsidP="00B947DB">
      <w:pPr>
        <w:pStyle w:val="ListParagraph"/>
        <w:numPr>
          <w:ilvl w:val="0"/>
          <w:numId w:val="21"/>
        </w:numPr>
        <w:spacing w:after="240"/>
      </w:pPr>
      <w:r>
        <w:t xml:space="preserve">a comprehensive technical file </w:t>
      </w:r>
      <w:r w:rsidR="00063224">
        <w:t xml:space="preserve">be maintained </w:t>
      </w:r>
      <w:r>
        <w:t xml:space="preserve">for each </w:t>
      </w:r>
      <w:r w:rsidR="00ED1E28">
        <w:t>manufactured</w:t>
      </w:r>
      <w:r>
        <w:t xml:space="preserve"> device that includes a description of the device</w:t>
      </w:r>
      <w:r w:rsidR="00054363">
        <w:t>,</w:t>
      </w:r>
      <w:r>
        <w:t xml:space="preserve"> relevant specifications and </w:t>
      </w:r>
      <w:r w:rsidR="00054363">
        <w:t xml:space="preserve">other </w:t>
      </w:r>
      <w:r>
        <w:t>records</w:t>
      </w:r>
      <w:r w:rsidR="00054363">
        <w:t>;</w:t>
      </w:r>
      <w:r>
        <w:t xml:space="preserve"> </w:t>
      </w:r>
      <w:r w:rsidR="00063224">
        <w:t>and</w:t>
      </w:r>
    </w:p>
    <w:p w:rsidR="00E554BB" w:rsidRDefault="00063224" w:rsidP="00B947DB">
      <w:pPr>
        <w:pStyle w:val="ListParagraph"/>
        <w:numPr>
          <w:ilvl w:val="0"/>
          <w:numId w:val="21"/>
        </w:numPr>
        <w:spacing w:after="240"/>
      </w:pPr>
      <w:proofErr w:type="gramStart"/>
      <w:r>
        <w:t>relate</w:t>
      </w:r>
      <w:proofErr w:type="gramEnd"/>
      <w:r>
        <w:t xml:space="preserve"> to </w:t>
      </w:r>
      <w:r w:rsidR="00AB2FFE">
        <w:t xml:space="preserve">the </w:t>
      </w:r>
      <w:r w:rsidR="00E5089C">
        <w:t>validation of computer software used in the QMS, complaint</w:t>
      </w:r>
      <w:r w:rsidR="00AB2FFE">
        <w:t>s</w:t>
      </w:r>
      <w:r w:rsidR="00E5089C">
        <w:t xml:space="preserve"> handling </w:t>
      </w:r>
      <w:r w:rsidR="00ED1E28">
        <w:t xml:space="preserve">and regulatory reporting </w:t>
      </w:r>
      <w:r w:rsidR="00E5089C">
        <w:t xml:space="preserve">processes, </w:t>
      </w:r>
      <w:r>
        <w:t xml:space="preserve">the </w:t>
      </w:r>
      <w:r w:rsidR="00E5089C">
        <w:t xml:space="preserve">validation of processes for sterilisation and sterile barrier systems and </w:t>
      </w:r>
      <w:r w:rsidR="00ED1E28">
        <w:t xml:space="preserve">defining and assessing </w:t>
      </w:r>
      <w:r>
        <w:t xml:space="preserve">the </w:t>
      </w:r>
      <w:r w:rsidR="00ED1E28">
        <w:t>competencies</w:t>
      </w:r>
      <w:r w:rsidR="00D0299D">
        <w:t xml:space="preserve"> of personnel.</w:t>
      </w:r>
    </w:p>
    <w:p w:rsidR="00E554BB" w:rsidRDefault="00F0004E" w:rsidP="00B947DB">
      <w:r>
        <w:t>A number of the other ISO</w:t>
      </w:r>
      <w:r w:rsidR="008B7010">
        <w:t xml:space="preserve"> standard</w:t>
      </w:r>
      <w:r>
        <w:t>s</w:t>
      </w:r>
      <w:r w:rsidR="008B7010">
        <w:t>,</w:t>
      </w:r>
      <w:r>
        <w:t xml:space="preserve"> or parts of ISO</w:t>
      </w:r>
      <w:r w:rsidR="008B7010">
        <w:t xml:space="preserve"> standard</w:t>
      </w:r>
      <w:r>
        <w:t>s</w:t>
      </w:r>
      <w:r w:rsidR="008B7010">
        <w:t>,</w:t>
      </w:r>
      <w:r>
        <w:t xml:space="preserve"> referred to in the </w:t>
      </w:r>
      <w:r w:rsidR="008B7010">
        <w:t xml:space="preserve">former </w:t>
      </w:r>
      <w:r>
        <w:t xml:space="preserve">Order have also been updated by the ISO since </w:t>
      </w:r>
      <w:r w:rsidR="008C5B8F">
        <w:t>that</w:t>
      </w:r>
      <w:r w:rsidR="00AA237B">
        <w:t xml:space="preserve"> </w:t>
      </w:r>
      <w:r w:rsidR="0045242A">
        <w:t>o</w:t>
      </w:r>
      <w:r>
        <w:t>rder was first introduced</w:t>
      </w:r>
      <w:r w:rsidR="00AA237B">
        <w:t>,</w:t>
      </w:r>
      <w:r>
        <w:t xml:space="preserve"> for example</w:t>
      </w:r>
      <w:r w:rsidR="00AA237B">
        <w:t>:</w:t>
      </w:r>
    </w:p>
    <w:p w:rsidR="00AA237B" w:rsidRPr="00B947DB" w:rsidRDefault="00F0004E" w:rsidP="00B947DB">
      <w:pPr>
        <w:pStyle w:val="ListParagraph"/>
        <w:numPr>
          <w:ilvl w:val="0"/>
          <w:numId w:val="20"/>
        </w:numPr>
        <w:tabs>
          <w:tab w:val="left" w:pos="2569"/>
        </w:tabs>
        <w:spacing w:before="120"/>
        <w:rPr>
          <w:sz w:val="20"/>
        </w:rPr>
      </w:pPr>
      <w:r>
        <w:t xml:space="preserve">ISO 11137-2:2006 </w:t>
      </w:r>
      <w:r w:rsidRPr="00B947DB">
        <w:rPr>
          <w:i/>
        </w:rPr>
        <w:t>Sterilization of health care products</w:t>
      </w:r>
      <w:r w:rsidR="00AA237B">
        <w:sym w:font="Symbol" w:char="F0BE"/>
      </w:r>
      <w:r w:rsidRPr="00B947DB">
        <w:rPr>
          <w:i/>
        </w:rPr>
        <w:t>Radiation</w:t>
      </w:r>
      <w:r w:rsidR="00AA237B">
        <w:sym w:font="Symbol" w:char="F0BE"/>
      </w:r>
      <w:r w:rsidRPr="00B947DB">
        <w:rPr>
          <w:i/>
        </w:rPr>
        <w:t>Part 2: Establishing the sterilization dose</w:t>
      </w:r>
      <w:r>
        <w:t xml:space="preserve"> </w:t>
      </w:r>
      <w:r w:rsidR="00AA237B">
        <w:t>has been revised by</w:t>
      </w:r>
      <w:r>
        <w:t xml:space="preserve"> ISO 11137-2:2013 </w:t>
      </w:r>
      <w:r w:rsidRPr="00B947DB">
        <w:rPr>
          <w:i/>
        </w:rPr>
        <w:t>Sterilization of health care products</w:t>
      </w:r>
      <w:r w:rsidR="00AA237B">
        <w:sym w:font="Symbol" w:char="F0BE"/>
      </w:r>
      <w:r w:rsidRPr="00B947DB">
        <w:rPr>
          <w:i/>
        </w:rPr>
        <w:t>Radiation</w:t>
      </w:r>
      <w:r w:rsidR="00AA237B">
        <w:sym w:font="Symbol" w:char="F0BE"/>
      </w:r>
      <w:r w:rsidRPr="00B947DB">
        <w:rPr>
          <w:i/>
        </w:rPr>
        <w:t>Part 2: Establishing the sterilization dose</w:t>
      </w:r>
      <w:r w:rsidR="00AA237B" w:rsidRPr="00B947DB">
        <w:rPr>
          <w:i/>
        </w:rPr>
        <w:t>;</w:t>
      </w:r>
      <w:r>
        <w:t xml:space="preserve"> and</w:t>
      </w:r>
    </w:p>
    <w:p w:rsidR="00F0004E" w:rsidRPr="00AA237B" w:rsidRDefault="00F0004E" w:rsidP="00B947DB">
      <w:pPr>
        <w:pStyle w:val="ListParagraph"/>
        <w:numPr>
          <w:ilvl w:val="0"/>
          <w:numId w:val="18"/>
        </w:numPr>
        <w:tabs>
          <w:tab w:val="left" w:pos="2569"/>
        </w:tabs>
        <w:spacing w:after="120"/>
        <w:ind w:left="714" w:hanging="357"/>
        <w:rPr>
          <w:sz w:val="20"/>
        </w:rPr>
      </w:pPr>
      <w:r>
        <w:lastRenderedPageBreak/>
        <w:t xml:space="preserve">ISO 13408-1:1998 </w:t>
      </w:r>
      <w:r w:rsidRPr="00B947DB">
        <w:rPr>
          <w:i/>
        </w:rPr>
        <w:t>Aseptic processing of health care products</w:t>
      </w:r>
      <w:r w:rsidR="00AA237B">
        <w:rPr>
          <w:i/>
        </w:rPr>
        <w:sym w:font="Symbol" w:char="F0BE"/>
      </w:r>
      <w:r w:rsidRPr="00B947DB">
        <w:rPr>
          <w:i/>
        </w:rPr>
        <w:t>Part 1: General requirements</w:t>
      </w:r>
      <w:r>
        <w:t xml:space="preserve"> </w:t>
      </w:r>
      <w:r w:rsidR="00AA237B">
        <w:t>has been revised by</w:t>
      </w:r>
      <w:r>
        <w:t xml:space="preserve"> </w:t>
      </w:r>
      <w:r w:rsidRPr="00F0004E">
        <w:t xml:space="preserve">ISO 13408-1:2008 </w:t>
      </w:r>
      <w:r w:rsidRPr="00B947DB">
        <w:rPr>
          <w:i/>
        </w:rPr>
        <w:t>Aseptic processing of health care products</w:t>
      </w:r>
      <w:r w:rsidR="00AA237B">
        <w:rPr>
          <w:i/>
        </w:rPr>
        <w:sym w:font="Symbol" w:char="F0BE"/>
      </w:r>
      <w:r w:rsidRPr="00B947DB">
        <w:rPr>
          <w:i/>
        </w:rPr>
        <w:t>Part 1: General requirements</w:t>
      </w:r>
      <w:r w:rsidRPr="00F0004E">
        <w:t>.</w:t>
      </w:r>
    </w:p>
    <w:p w:rsidR="00E554BB" w:rsidRDefault="007D3417" w:rsidP="00E554BB">
      <w:pPr>
        <w:spacing w:after="240"/>
      </w:pPr>
      <w:r>
        <w:t>These i</w:t>
      </w:r>
      <w:r w:rsidR="00D0299D" w:rsidRPr="005F32E8">
        <w:t xml:space="preserve">nternational standards are </w:t>
      </w:r>
      <w:r>
        <w:t>important</w:t>
      </w:r>
      <w:r w:rsidR="00CD174D">
        <w:t xml:space="preserve"> </w:t>
      </w:r>
      <w:r w:rsidR="00D0299D" w:rsidRPr="005F32E8">
        <w:t xml:space="preserve">documents that are developed and updated by groups of international experts </w:t>
      </w:r>
      <w:r>
        <w:t>(with</w:t>
      </w:r>
      <w:r w:rsidR="00D0299D" w:rsidRPr="005F32E8">
        <w:t xml:space="preserve"> </w:t>
      </w:r>
      <w:r>
        <w:t xml:space="preserve">some involvement of </w:t>
      </w:r>
      <w:r w:rsidR="00D0299D" w:rsidRPr="005F32E8">
        <w:t>Australian representatives</w:t>
      </w:r>
      <w:r>
        <w:t>)</w:t>
      </w:r>
      <w:r w:rsidR="00D0299D" w:rsidRPr="005F32E8">
        <w:t xml:space="preserve">. Updates to </w:t>
      </w:r>
      <w:r w:rsidR="0045242A">
        <w:t xml:space="preserve">the </w:t>
      </w:r>
      <w:r w:rsidR="00F50C78">
        <w:t xml:space="preserve">international </w:t>
      </w:r>
      <w:r w:rsidR="0045242A">
        <w:t xml:space="preserve">standards </w:t>
      </w:r>
      <w:r w:rsidR="00D0299D" w:rsidRPr="005F32E8">
        <w:t>reflect changes to international best practice</w:t>
      </w:r>
      <w:r w:rsidR="00A519F1">
        <w:t xml:space="preserve"> and</w:t>
      </w:r>
      <w:r w:rsidR="00D0299D" w:rsidRPr="005F32E8">
        <w:t xml:space="preserve"> the emergence of new technologies and manufacturing procedures</w:t>
      </w:r>
      <w:r w:rsidR="00CD174D">
        <w:t xml:space="preserve">, and the adoption of more up to date versions </w:t>
      </w:r>
      <w:r w:rsidR="00F50C78">
        <w:t xml:space="preserve">of the standards </w:t>
      </w:r>
      <w:r w:rsidR="00CD174D">
        <w:t>by the Order is design</w:t>
      </w:r>
      <w:r w:rsidR="00834297">
        <w:t xml:space="preserve">ed to ensure that </w:t>
      </w:r>
      <w:r w:rsidR="00A519F1">
        <w:t>it</w:t>
      </w:r>
      <w:r w:rsidR="00CD174D">
        <w:t xml:space="preserve"> reflect</w:t>
      </w:r>
      <w:r w:rsidR="00A519F1">
        <w:t>s</w:t>
      </w:r>
      <w:r w:rsidR="00CD174D">
        <w:t xml:space="preserve"> current and internationally consistent requiremen</w:t>
      </w:r>
      <w:r w:rsidR="00A519F1">
        <w:t xml:space="preserve">ts for </w:t>
      </w:r>
      <w:r w:rsidR="00DE76C8">
        <w:t>QMS</w:t>
      </w:r>
      <w:r w:rsidR="0045242A">
        <w:t>s</w:t>
      </w:r>
      <w:r w:rsidR="00D0299D" w:rsidRPr="005F32E8">
        <w:t>.</w:t>
      </w:r>
    </w:p>
    <w:p w:rsidR="00E82F88" w:rsidRPr="006348D2" w:rsidRDefault="00E82F88" w:rsidP="00A13CCD">
      <w:pPr>
        <w:pStyle w:val="Heading3"/>
        <w:spacing w:after="120"/>
        <w:rPr>
          <w:rFonts w:ascii="Times New Roman" w:hAnsi="Times New Roman" w:cs="Times New Roman"/>
          <w:sz w:val="24"/>
          <w:szCs w:val="24"/>
        </w:rPr>
      </w:pPr>
      <w:r w:rsidRPr="006348D2">
        <w:rPr>
          <w:rFonts w:ascii="Times New Roman" w:hAnsi="Times New Roman" w:cs="Times New Roman"/>
          <w:sz w:val="24"/>
          <w:szCs w:val="24"/>
        </w:rPr>
        <w:t>C</w:t>
      </w:r>
      <w:r w:rsidR="000B7871" w:rsidRPr="006348D2">
        <w:rPr>
          <w:rFonts w:ascii="Times New Roman" w:hAnsi="Times New Roman" w:cs="Times New Roman"/>
          <w:sz w:val="24"/>
          <w:szCs w:val="24"/>
        </w:rPr>
        <w:t>onsultation</w:t>
      </w:r>
    </w:p>
    <w:p w:rsidR="00E554BB" w:rsidRDefault="00482D40" w:rsidP="00E554BB">
      <w:pPr>
        <w:spacing w:after="240"/>
      </w:pPr>
      <w:r w:rsidRPr="00120903">
        <w:t xml:space="preserve">The TGA has </w:t>
      </w:r>
      <w:r w:rsidR="00EA176A">
        <w:t xml:space="preserve">notified stakeholders of the end of the transition period </w:t>
      </w:r>
      <w:r w:rsidR="009557E9">
        <w:t xml:space="preserve">for ISO 13485:2003 </w:t>
      </w:r>
      <w:r w:rsidR="00EA176A">
        <w:t xml:space="preserve">and subsequent plans to repeal and remake the </w:t>
      </w:r>
      <w:r w:rsidR="009557E9">
        <w:t xml:space="preserve">order </w:t>
      </w:r>
      <w:r w:rsidR="00EA176A">
        <w:t xml:space="preserve">through letters sent to Australian medical device manufacturers and a statement published on the TGA website. </w:t>
      </w:r>
    </w:p>
    <w:p w:rsidR="00834297" w:rsidRDefault="008A68F0" w:rsidP="00E554BB">
      <w:pPr>
        <w:spacing w:after="240"/>
      </w:pPr>
      <w:r>
        <w:t xml:space="preserve">The TGA tabled </w:t>
      </w:r>
      <w:r w:rsidR="005F32E8">
        <w:t xml:space="preserve">a </w:t>
      </w:r>
      <w:r w:rsidR="00C51A5E">
        <w:t xml:space="preserve">draft of the new </w:t>
      </w:r>
      <w:r w:rsidR="00261F3F">
        <w:t>O</w:t>
      </w:r>
      <w:r w:rsidR="009557E9">
        <w:t>rder</w:t>
      </w:r>
      <w:r w:rsidR="005F32E8">
        <w:t xml:space="preserve"> </w:t>
      </w:r>
      <w:r>
        <w:t xml:space="preserve">at the Regulatory and Technical Consultative Forum </w:t>
      </w:r>
      <w:r w:rsidR="00C571E6">
        <w:t>(</w:t>
      </w:r>
      <w:r w:rsidR="009557E9">
        <w:t>“</w:t>
      </w:r>
      <w:proofErr w:type="spellStart"/>
      <w:r w:rsidR="00C571E6">
        <w:t>RegTech</w:t>
      </w:r>
      <w:proofErr w:type="spellEnd"/>
      <w:r w:rsidR="009557E9">
        <w:t>”</w:t>
      </w:r>
      <w:r w:rsidR="00C571E6">
        <w:t>) on 28 February 2019</w:t>
      </w:r>
      <w:r w:rsidR="00E93D56">
        <w:t xml:space="preserve">, and invited comments on it from </w:t>
      </w:r>
      <w:proofErr w:type="spellStart"/>
      <w:r w:rsidR="00E93D56">
        <w:t>RegTech</w:t>
      </w:r>
      <w:proofErr w:type="spellEnd"/>
      <w:r w:rsidR="00E93D56">
        <w:t xml:space="preserve"> participants and their members</w:t>
      </w:r>
      <w:r w:rsidR="00C571E6">
        <w:t xml:space="preserve">. </w:t>
      </w:r>
      <w:proofErr w:type="spellStart"/>
      <w:r w:rsidR="00261F3F">
        <w:t>RegTech</w:t>
      </w:r>
      <w:proofErr w:type="spellEnd"/>
      <w:r w:rsidR="00261F3F">
        <w:t xml:space="preserve"> is </w:t>
      </w:r>
      <w:r w:rsidR="00E93D56">
        <w:t>comprised of the TGA and key medical devices stakeholders</w:t>
      </w:r>
      <w:r w:rsidR="00261F3F">
        <w:t xml:space="preserve"> the Medical Technology Association of Australia (“MTAA”), the Australian Dental Industry Association (“ADIA”), </w:t>
      </w:r>
      <w:proofErr w:type="spellStart"/>
      <w:r w:rsidR="00261F3F">
        <w:t>AusBiotech</w:t>
      </w:r>
      <w:proofErr w:type="spellEnd"/>
      <w:r w:rsidR="00261F3F">
        <w:t>, Pathology Technology Australia and the Association of Therapeutic Goods Consultants</w:t>
      </w:r>
      <w:r w:rsidR="00E93D56">
        <w:t>.</w:t>
      </w:r>
      <w:r w:rsidR="00261F3F">
        <w:t xml:space="preserve"> </w:t>
      </w:r>
      <w:r w:rsidR="00E93D56">
        <w:t xml:space="preserve">In particular, it was highlighted for </w:t>
      </w:r>
      <w:proofErr w:type="spellStart"/>
      <w:r w:rsidR="00C571E6">
        <w:t>RegTech</w:t>
      </w:r>
      <w:proofErr w:type="spellEnd"/>
      <w:r w:rsidR="00C571E6">
        <w:t xml:space="preserve"> </w:t>
      </w:r>
      <w:r w:rsidR="00961A59">
        <w:t>participants</w:t>
      </w:r>
      <w:r w:rsidR="00C571E6">
        <w:t xml:space="preserve"> </w:t>
      </w:r>
      <w:r w:rsidR="00E93D56">
        <w:t xml:space="preserve">that </w:t>
      </w:r>
      <w:r>
        <w:t xml:space="preserve">the </w:t>
      </w:r>
      <w:r w:rsidR="00E93D56">
        <w:t xml:space="preserve">new </w:t>
      </w:r>
      <w:r w:rsidR="0045242A">
        <w:t>O</w:t>
      </w:r>
      <w:r w:rsidR="009557E9">
        <w:t>rder</w:t>
      </w:r>
      <w:r>
        <w:t xml:space="preserve"> </w:t>
      </w:r>
      <w:r w:rsidR="00E93D56">
        <w:t xml:space="preserve">would </w:t>
      </w:r>
      <w:r w:rsidR="00C51A5E">
        <w:t>specify ISO</w:t>
      </w:r>
      <w:r w:rsidR="00C571E6">
        <w:t xml:space="preserve"> </w:t>
      </w:r>
      <w:r w:rsidR="00C51A5E">
        <w:t>13485:2016 as the appropriate conformity assessment standard</w:t>
      </w:r>
      <w:r w:rsidR="00CD693A">
        <w:t xml:space="preserve"> for QMS</w:t>
      </w:r>
      <w:r w:rsidR="00C51A5E">
        <w:t xml:space="preserve">, and </w:t>
      </w:r>
      <w:r w:rsidR="00E93D56">
        <w:t xml:space="preserve">would also </w:t>
      </w:r>
      <w:r w:rsidR="00961A59">
        <w:t>updat</w:t>
      </w:r>
      <w:r w:rsidR="00E93D56">
        <w:t>e</w:t>
      </w:r>
      <w:r w:rsidR="00961A59">
        <w:t xml:space="preserve"> the </w:t>
      </w:r>
      <w:r w:rsidR="00CD693A">
        <w:t xml:space="preserve">other </w:t>
      </w:r>
      <w:r w:rsidR="00C51A5E">
        <w:t xml:space="preserve">standards </w:t>
      </w:r>
      <w:r w:rsidR="00961A59">
        <w:t xml:space="preserve">specified </w:t>
      </w:r>
      <w:r w:rsidR="00E93D56">
        <w:t>in relation to</w:t>
      </w:r>
      <w:r w:rsidR="00C51A5E">
        <w:t xml:space="preserve"> the manufacture of </w:t>
      </w:r>
      <w:r w:rsidR="00961A59">
        <w:t xml:space="preserve">sterile </w:t>
      </w:r>
      <w:r w:rsidR="00C51A5E">
        <w:t>medical devices. P</w:t>
      </w:r>
      <w:r w:rsidR="00EA176A">
        <w:t xml:space="preserve">eak industry bodies </w:t>
      </w:r>
      <w:r w:rsidR="00961A59">
        <w:t>provided feedback supporting</w:t>
      </w:r>
      <w:r w:rsidR="00D0299D">
        <w:t xml:space="preserve"> the adoption of the latest standards in the Order.</w:t>
      </w:r>
      <w:r w:rsidR="00CD693A">
        <w:t xml:space="preserve"> </w:t>
      </w:r>
    </w:p>
    <w:p w:rsidR="00E554BB" w:rsidRDefault="00961A59" w:rsidP="00E554BB">
      <w:pPr>
        <w:spacing w:after="240"/>
      </w:pPr>
      <w:r w:rsidRPr="00961A59">
        <w:t xml:space="preserve">The </w:t>
      </w:r>
      <w:r w:rsidRPr="00961A59">
        <w:rPr>
          <w:bCs/>
        </w:rPr>
        <w:t>Medical Technology Association of Australia</w:t>
      </w:r>
      <w:r w:rsidRPr="00961A59">
        <w:t xml:space="preserve"> </w:t>
      </w:r>
      <w:r>
        <w:t>(MTAA) also recommended</w:t>
      </w:r>
      <w:r w:rsidR="00834297">
        <w:t xml:space="preserve"> that</w:t>
      </w:r>
      <w:r>
        <w:t xml:space="preserve"> </w:t>
      </w:r>
      <w:r w:rsidRPr="00261F3F">
        <w:t xml:space="preserve">the </w:t>
      </w:r>
      <w:r w:rsidR="00261F3F">
        <w:t xml:space="preserve">that </w:t>
      </w:r>
      <w:r w:rsidR="00834297">
        <w:t xml:space="preserve">the former Order </w:t>
      </w:r>
      <w:r w:rsidRPr="00261F3F">
        <w:t xml:space="preserve">be replaced with a </w:t>
      </w:r>
      <w:r w:rsidR="00E93D56">
        <w:t xml:space="preserve">more </w:t>
      </w:r>
      <w:r w:rsidRPr="00261F3F">
        <w:t xml:space="preserve">comprehensive CASO that references </w:t>
      </w:r>
      <w:r w:rsidR="00834297">
        <w:t>the EU’s harmonised standards (for the purposes of affording a presumption of conformity with the EU’s requirements)</w:t>
      </w:r>
      <w:r w:rsidRPr="00261F3F">
        <w:t xml:space="preserve"> and </w:t>
      </w:r>
      <w:r w:rsidR="00834297">
        <w:t xml:space="preserve">the </w:t>
      </w:r>
      <w:r w:rsidR="00E93D56">
        <w:t xml:space="preserve">recognised consensus standards published by the </w:t>
      </w:r>
      <w:r w:rsidRPr="00E93D56">
        <w:t>U</w:t>
      </w:r>
      <w:r w:rsidR="00E93D56" w:rsidRPr="00E93D56">
        <w:t xml:space="preserve">nited </w:t>
      </w:r>
      <w:r w:rsidRPr="00E93D56">
        <w:t>S</w:t>
      </w:r>
      <w:r w:rsidR="00E93D56" w:rsidRPr="00E93D56">
        <w:t>tates’</w:t>
      </w:r>
      <w:r w:rsidRPr="00E93D56">
        <w:t xml:space="preserve"> F</w:t>
      </w:r>
      <w:r w:rsidR="00E93D56" w:rsidRPr="00E93D56">
        <w:t xml:space="preserve">ood and </w:t>
      </w:r>
      <w:r w:rsidRPr="00E93D56">
        <w:t>D</w:t>
      </w:r>
      <w:r w:rsidR="00E93D56" w:rsidRPr="00E93D56">
        <w:t xml:space="preserve">rug </w:t>
      </w:r>
      <w:r w:rsidRPr="00E93D56">
        <w:t>A</w:t>
      </w:r>
      <w:r w:rsidR="00E93D56" w:rsidRPr="00E93D56">
        <w:t>dministration</w:t>
      </w:r>
      <w:r w:rsidRPr="00961A59">
        <w:rPr>
          <w:i/>
        </w:rPr>
        <w:t>.</w:t>
      </w:r>
      <w:r w:rsidR="006D7A06">
        <w:t xml:space="preserve"> </w:t>
      </w:r>
      <w:r w:rsidR="00834297">
        <w:t xml:space="preserve">This proposal will be carefully considered and discussed more broadly with stakeholders including the other </w:t>
      </w:r>
      <w:proofErr w:type="spellStart"/>
      <w:r w:rsidR="00834297">
        <w:t>RegTech</w:t>
      </w:r>
      <w:proofErr w:type="spellEnd"/>
      <w:r w:rsidR="00834297">
        <w:t xml:space="preserve"> participants.</w:t>
      </w:r>
    </w:p>
    <w:p w:rsidR="00E554BB" w:rsidRDefault="00DC4ECD" w:rsidP="00E554BB">
      <w:pPr>
        <w:spacing w:after="240"/>
      </w:pPr>
      <w:r>
        <w:t xml:space="preserve">Discretionary standards in relation to medical devices, like </w:t>
      </w:r>
      <w:r w:rsidR="00784911">
        <w:t>conformity assessment standard orders</w:t>
      </w:r>
      <w:r>
        <w:t>, are subject to a carve-out from the regulation impact statement process</w:t>
      </w:r>
      <w:r w:rsidR="009557E9">
        <w:t>. This is because</w:t>
      </w:r>
      <w:r>
        <w:t xml:space="preserve"> </w:t>
      </w:r>
      <w:r w:rsidR="00784911">
        <w:t xml:space="preserve">those orders </w:t>
      </w:r>
      <w:r>
        <w:t>are not regulatory in nature as they are voluntary standards that are available for use by stakeholders if they choose to do so (</w:t>
      </w:r>
      <w:r w:rsidR="0004328A">
        <w:t xml:space="preserve">Office of Best Practice Regulation </w:t>
      </w:r>
      <w:r>
        <w:t>reference: 14416)</w:t>
      </w:r>
      <w:r w:rsidR="0004328A">
        <w:t>.</w:t>
      </w:r>
      <w:r w:rsidR="00E554BB" w:rsidRPr="00E554BB">
        <w:t xml:space="preserve"> </w:t>
      </w:r>
    </w:p>
    <w:p w:rsidR="00AF0F86" w:rsidRPr="00BB37B7" w:rsidRDefault="00AF0F86" w:rsidP="00AF0F86">
      <w:pPr>
        <w:autoSpaceDE w:val="0"/>
        <w:autoSpaceDN w:val="0"/>
        <w:spacing w:after="120"/>
        <w:rPr>
          <w:b/>
        </w:rPr>
      </w:pPr>
      <w:r w:rsidRPr="00BB37B7">
        <w:rPr>
          <w:b/>
        </w:rPr>
        <w:t>Incorporation</w:t>
      </w:r>
      <w:r w:rsidR="009557E9">
        <w:rPr>
          <w:b/>
        </w:rPr>
        <w:t xml:space="preserve"> by reference</w:t>
      </w:r>
    </w:p>
    <w:p w:rsidR="00E554BB" w:rsidRDefault="000B7871" w:rsidP="00E554BB">
      <w:pPr>
        <w:spacing w:after="240"/>
      </w:pPr>
      <w:r>
        <w:t xml:space="preserve">The Order refers in Schedules 1 and 2 </w:t>
      </w:r>
      <w:r w:rsidR="00AF0F86">
        <w:t>to a number of</w:t>
      </w:r>
      <w:r w:rsidR="009557E9">
        <w:t xml:space="preserve"> standards published by the</w:t>
      </w:r>
      <w:r w:rsidR="00AF0F86">
        <w:t xml:space="preserve"> ISO, including for example ISO 13485:2016</w:t>
      </w:r>
      <w:r>
        <w:t xml:space="preserve">. In accordance with section 14 of the </w:t>
      </w:r>
      <w:r w:rsidRPr="000B7871">
        <w:rPr>
          <w:i/>
        </w:rPr>
        <w:t>Legislation Act 2003</w:t>
      </w:r>
      <w:r>
        <w:t>, the intention</w:t>
      </w:r>
      <w:r w:rsidR="00AF0F86">
        <w:t xml:space="preserve"> in each such instan</w:t>
      </w:r>
      <w:r>
        <w:t>ce</w:t>
      </w:r>
      <w:r w:rsidR="00AF0F86">
        <w:t xml:space="preserve"> is to adopt those </w:t>
      </w:r>
      <w:r w:rsidR="009557E9">
        <w:t>standards</w:t>
      </w:r>
      <w:r w:rsidR="00AF0F86">
        <w:t xml:space="preserve"> </w:t>
      </w:r>
      <w:r>
        <w:t xml:space="preserve">as they are in force at the time of the Order’s commencement – </w:t>
      </w:r>
      <w:r w:rsidR="009557E9">
        <w:t>that being</w:t>
      </w:r>
      <w:r w:rsidR="00784911">
        <w:t>,</w:t>
      </w:r>
      <w:r w:rsidR="009557E9">
        <w:t xml:space="preserve"> </w:t>
      </w:r>
      <w:r>
        <w:t>31 March 2019.</w:t>
      </w:r>
      <w:r w:rsidR="00E554BB" w:rsidRPr="00E554BB">
        <w:t xml:space="preserve"> </w:t>
      </w:r>
    </w:p>
    <w:p w:rsidR="00E554BB" w:rsidRDefault="0044352D" w:rsidP="00E554BB">
      <w:pPr>
        <w:spacing w:after="240"/>
      </w:pPr>
      <w:r>
        <w:t>U</w:t>
      </w:r>
      <w:r w:rsidR="000B7871">
        <w:t>nfortunately these ISO</w:t>
      </w:r>
      <w:r>
        <w:t xml:space="preserve"> standard</w:t>
      </w:r>
      <w:r w:rsidR="000B7871">
        <w:t xml:space="preserve">s </w:t>
      </w:r>
      <w:r w:rsidR="00D26EBD">
        <w:t>are not available for free</w:t>
      </w:r>
      <w:r w:rsidR="00784911">
        <w:t>,</w:t>
      </w:r>
      <w:r w:rsidR="00C67654">
        <w:t xml:space="preserve"> as the publications are subject to copyright. The standards</w:t>
      </w:r>
      <w:r w:rsidR="002035B3">
        <w:t xml:space="preserve"> are available for purchase online from the ISO store at </w:t>
      </w:r>
      <w:hyperlink r:id="rId10" w:history="1">
        <w:r w:rsidR="002035B3" w:rsidRPr="00FA796D">
          <w:rPr>
            <w:rStyle w:val="Hyperlink"/>
          </w:rPr>
          <w:t>https://www.iso.org/home.html</w:t>
        </w:r>
      </w:hyperlink>
      <w:r w:rsidR="002035B3">
        <w:t xml:space="preserve"> </w:t>
      </w:r>
      <w:r w:rsidR="00C67654">
        <w:t>(</w:t>
      </w:r>
      <w:r w:rsidR="002035B3">
        <w:t>e.g. $223 for ISO 13485:2016)</w:t>
      </w:r>
      <w:r w:rsidR="00C67654">
        <w:t xml:space="preserve">. However, </w:t>
      </w:r>
      <w:r w:rsidR="002035B3">
        <w:t xml:space="preserve">it is anticipated that the persons most affected by their adoption </w:t>
      </w:r>
      <w:r w:rsidR="00C67654">
        <w:t>(</w:t>
      </w:r>
      <w:r w:rsidR="002035B3">
        <w:t xml:space="preserve">manufacturers and sponsors of medical </w:t>
      </w:r>
      <w:r w:rsidR="002035B3">
        <w:lastRenderedPageBreak/>
        <w:t>devices</w:t>
      </w:r>
      <w:r w:rsidR="00C67654">
        <w:t>)</w:t>
      </w:r>
      <w:r w:rsidR="002035B3">
        <w:t xml:space="preserve"> would be in possession of these documents in order to manufacture their medical devices (including in relation to the manufacture of medical devices that are supplied in other countries).</w:t>
      </w:r>
      <w:r w:rsidR="00412001">
        <w:t xml:space="preserve"> As these </w:t>
      </w:r>
      <w:r w:rsidR="00E6033E">
        <w:t>ISO</w:t>
      </w:r>
      <w:r w:rsidR="009557E9">
        <w:t xml:space="preserve"> standard</w:t>
      </w:r>
      <w:r w:rsidR="00E6033E">
        <w:t xml:space="preserve">s are important international benchmarks for the safe manufacture of medical devices, it would be </w:t>
      </w:r>
      <w:r w:rsidR="007C611B">
        <w:t>in</w:t>
      </w:r>
      <w:r w:rsidR="00E6033E">
        <w:t xml:space="preserve">feasible from a regulatory perspective </w:t>
      </w:r>
      <w:r w:rsidR="007C611B">
        <w:t xml:space="preserve">for sponsors and manufacturers </w:t>
      </w:r>
      <w:r w:rsidR="00E6033E">
        <w:t>not</w:t>
      </w:r>
      <w:r w:rsidR="007C611B">
        <w:t xml:space="preserve"> to</w:t>
      </w:r>
      <w:r w:rsidR="00E6033E">
        <w:t xml:space="preserve"> adopt such benchmarks </w:t>
      </w:r>
      <w:r w:rsidR="007C611B">
        <w:t xml:space="preserve">on the basis that </w:t>
      </w:r>
      <w:r w:rsidR="00E6033E">
        <w:t xml:space="preserve">they are not available for free (particularly given their </w:t>
      </w:r>
      <w:r w:rsidR="007C611B">
        <w:t xml:space="preserve">adoption </w:t>
      </w:r>
      <w:r w:rsidR="00E6033E">
        <w:t>by other comparable regulators overseas).</w:t>
      </w:r>
    </w:p>
    <w:p w:rsidR="00B045B5" w:rsidRDefault="00E6033E" w:rsidP="00E554BB">
      <w:pPr>
        <w:spacing w:after="240"/>
      </w:pPr>
      <w:r>
        <w:t>It should also be noted that the National Library’s Trove online system (</w:t>
      </w:r>
      <w:hyperlink r:id="rId11" w:history="1">
        <w:r>
          <w:rPr>
            <w:rStyle w:val="Hyperlink"/>
          </w:rPr>
          <w:t>https://trove.nla.gov.au/</w:t>
        </w:r>
      </w:hyperlink>
      <w:r>
        <w:t>) allows users to identify libraries in Australia that are open to the public where editions (in most cases, earlier e</w:t>
      </w:r>
      <w:r w:rsidR="00C75C1C">
        <w:t>ditions) of these ISO</w:t>
      </w:r>
      <w:r w:rsidR="009557E9">
        <w:t xml:space="preserve"> standard</w:t>
      </w:r>
      <w:r w:rsidR="00C75C1C">
        <w:t xml:space="preserve">s, or related documents, </w:t>
      </w:r>
      <w:r>
        <w:t>may be viewed</w:t>
      </w:r>
      <w:r w:rsidR="00C825C6">
        <w:t xml:space="preserve"> (for example, </w:t>
      </w:r>
      <w:r w:rsidR="00C825C6" w:rsidRPr="00C825C6">
        <w:rPr>
          <w:i/>
        </w:rPr>
        <w:t>AS ISO 11135-2002</w:t>
      </w:r>
      <w:r w:rsidR="009557E9">
        <w:rPr>
          <w:i/>
        </w:rPr>
        <w:sym w:font="Symbol" w:char="F0BE"/>
      </w:r>
      <w:r w:rsidR="00C825C6" w:rsidRPr="00C825C6">
        <w:rPr>
          <w:i/>
        </w:rPr>
        <w:t>Medical devices</w:t>
      </w:r>
      <w:r w:rsidR="009557E9">
        <w:rPr>
          <w:i/>
        </w:rPr>
        <w:sym w:font="Symbol" w:char="F0BE"/>
      </w:r>
      <w:r w:rsidR="00C825C6" w:rsidRPr="00C825C6">
        <w:rPr>
          <w:i/>
        </w:rPr>
        <w:t>Validation and routine control of ethylene oxide sterilization</w:t>
      </w:r>
      <w:r w:rsidR="00C825C6">
        <w:t xml:space="preserve"> is available at the Queensland University of Technology library, and a guide to ISO 13485:2016</w:t>
      </w:r>
      <w:r w:rsidR="00B045B5">
        <w:t>,</w:t>
      </w:r>
      <w:r w:rsidR="00C825C6">
        <w:t xml:space="preserve"> </w:t>
      </w:r>
      <w:r w:rsidR="00C825C6" w:rsidRPr="00C554F1">
        <w:rPr>
          <w:i/>
        </w:rPr>
        <w:t>ISO 13485:2016</w:t>
      </w:r>
      <w:r w:rsidR="009557E9">
        <w:rPr>
          <w:i/>
        </w:rPr>
        <w:sym w:font="Symbol" w:char="F0BE"/>
      </w:r>
      <w:r w:rsidR="00C825C6" w:rsidRPr="00C554F1">
        <w:rPr>
          <w:i/>
        </w:rPr>
        <w:t>Medical devices</w:t>
      </w:r>
      <w:r w:rsidR="009557E9">
        <w:rPr>
          <w:i/>
        </w:rPr>
        <w:sym w:font="Symbol" w:char="F0BE"/>
      </w:r>
      <w:r w:rsidR="00C825C6" w:rsidRPr="00C554F1">
        <w:rPr>
          <w:i/>
        </w:rPr>
        <w:t>A practical guide</w:t>
      </w:r>
      <w:r w:rsidR="00C825C6">
        <w:t>, by ISO technical experts and the National Standards Authority of Ireland</w:t>
      </w:r>
      <w:r w:rsidR="00B045B5">
        <w:t>,</w:t>
      </w:r>
      <w:r w:rsidR="00C825C6">
        <w:t xml:space="preserve"> is available to be viewed for free at the University of Queensland Library (</w:t>
      </w:r>
      <w:hyperlink r:id="rId12" w:history="1">
        <w:r w:rsidR="00C825C6" w:rsidRPr="00FA796D">
          <w:rPr>
            <w:rStyle w:val="Hyperlink"/>
          </w:rPr>
          <w:t>https://trove.nla.gov.au/work/232207651?q=ISO+13485%3A2016&amp;c=book&amp;versionId=256355077</w:t>
        </w:r>
      </w:hyperlink>
      <w:r w:rsidR="00C825C6">
        <w:t>)</w:t>
      </w:r>
      <w:r>
        <w:t xml:space="preserve">. </w:t>
      </w:r>
    </w:p>
    <w:p w:rsidR="00E554BB" w:rsidRDefault="00E6033E" w:rsidP="00E554BB">
      <w:pPr>
        <w:spacing w:after="240"/>
      </w:pPr>
      <w:r>
        <w:t xml:space="preserve">Members of the public may also approach any library that participates in inter-library loans to request an inter-library loan with such university libraries, </w:t>
      </w:r>
      <w:r w:rsidR="00784911">
        <w:t xml:space="preserve">or </w:t>
      </w:r>
      <w:r>
        <w:t>to obtain a photocopy of a particular part or monograph for personal study or research (but not for commercial purposes), at a usual cost of $16.50 per request (enquiries should be made with local libraries, State libraries and the National Library).</w:t>
      </w:r>
      <w:r w:rsidR="00E554BB" w:rsidRPr="00E554BB">
        <w:t xml:space="preserve"> </w:t>
      </w:r>
    </w:p>
    <w:p w:rsidR="00E554BB" w:rsidRDefault="00C825C6" w:rsidP="00E554BB">
      <w:pPr>
        <w:spacing w:after="240"/>
      </w:pPr>
      <w:r>
        <w:rPr>
          <w:lang w:val="en-US"/>
        </w:rPr>
        <w:t>The ISO store (</w:t>
      </w:r>
      <w:hyperlink r:id="rId13" w:history="1">
        <w:r w:rsidRPr="00FA796D">
          <w:rPr>
            <w:rStyle w:val="Hyperlink"/>
          </w:rPr>
          <w:t>https://www.iso.org/home.html</w:t>
        </w:r>
      </w:hyperlink>
      <w:r>
        <w:t>) also includes a brief summary and “preview” of each ISO</w:t>
      </w:r>
      <w:r w:rsidR="009557E9">
        <w:t xml:space="preserve"> standard</w:t>
      </w:r>
      <w:r>
        <w:t xml:space="preserve">, </w:t>
      </w:r>
      <w:r>
        <w:rPr>
          <w:lang w:val="en-US"/>
        </w:rPr>
        <w:t xml:space="preserve">including information about the ISO </w:t>
      </w:r>
      <w:r w:rsidR="009557E9">
        <w:rPr>
          <w:lang w:val="en-US"/>
        </w:rPr>
        <w:t xml:space="preserve">standard </w:t>
      </w:r>
      <w:r>
        <w:rPr>
          <w:lang w:val="en-US"/>
        </w:rPr>
        <w:t xml:space="preserve">and its subject matter and intended purpose, as well as the foreword, introduction, scope, terms and definitions and table of contents (for example, the following link provides this range of information for ISO 25424:2018 </w:t>
      </w:r>
      <w:r w:rsidRPr="00C825C6">
        <w:rPr>
          <w:i/>
          <w:lang w:val="en-US"/>
        </w:rPr>
        <w:t>Sterilization of health care products</w:t>
      </w:r>
      <w:r w:rsidR="00B045B5">
        <w:rPr>
          <w:i/>
          <w:lang w:val="en-US"/>
        </w:rPr>
        <w:sym w:font="Symbol" w:char="F0BE"/>
      </w:r>
      <w:r w:rsidRPr="00C825C6">
        <w:rPr>
          <w:i/>
          <w:lang w:val="en-US"/>
        </w:rPr>
        <w:t xml:space="preserve">Low temperature steam and formaldehyde </w:t>
      </w:r>
      <w:r w:rsidR="00B045B5">
        <w:rPr>
          <w:i/>
          <w:lang w:val="en-US"/>
        </w:rPr>
        <w:sym w:font="Symbol" w:char="F0BE"/>
      </w:r>
      <w:r w:rsidRPr="00C825C6">
        <w:rPr>
          <w:i/>
          <w:lang w:val="en-US"/>
        </w:rPr>
        <w:t>Requirements for development, validation and routine control of a sterilization process for medical devices</w:t>
      </w:r>
      <w:r>
        <w:rPr>
          <w:lang w:val="en-US"/>
        </w:rPr>
        <w:t xml:space="preserve"> </w:t>
      </w:r>
      <w:hyperlink r:id="rId14" w:history="1">
        <w:r w:rsidRPr="002F220E">
          <w:rPr>
            <w:rStyle w:val="Hyperlink"/>
            <w:lang w:val="en-US"/>
          </w:rPr>
          <w:t>https://www.iso.org/standard/70822.html</w:t>
        </w:r>
      </w:hyperlink>
      <w:r>
        <w:rPr>
          <w:lang w:val="en-US"/>
        </w:rPr>
        <w:t>).</w:t>
      </w:r>
      <w:r w:rsidR="00E554BB" w:rsidRPr="00E554BB">
        <w:t xml:space="preserve"> </w:t>
      </w:r>
    </w:p>
    <w:p w:rsidR="00E554BB" w:rsidRDefault="00017F2D" w:rsidP="00E554BB">
      <w:pPr>
        <w:spacing w:after="240"/>
      </w:pPr>
      <w:r>
        <w:t xml:space="preserve">Details of </w:t>
      </w:r>
      <w:r w:rsidR="00B045B5">
        <w:t>t</w:t>
      </w:r>
      <w:r>
        <w:t xml:space="preserve">he </w:t>
      </w:r>
      <w:r w:rsidR="007D01DA">
        <w:t>Order</w:t>
      </w:r>
      <w:r w:rsidR="009D289C">
        <w:t xml:space="preserve"> </w:t>
      </w:r>
      <w:r w:rsidR="00E82F88">
        <w:t xml:space="preserve">are set out in </w:t>
      </w:r>
      <w:r w:rsidR="00E82F88" w:rsidRPr="00B947DB">
        <w:rPr>
          <w:b/>
        </w:rPr>
        <w:t>Attachment A</w:t>
      </w:r>
      <w:r w:rsidR="00E82F88">
        <w:t>.</w:t>
      </w:r>
      <w:r w:rsidR="00E554BB" w:rsidRPr="00E554BB">
        <w:t xml:space="preserve"> </w:t>
      </w:r>
    </w:p>
    <w:p w:rsidR="00E554BB" w:rsidRDefault="00017F2D" w:rsidP="00E554BB">
      <w:pPr>
        <w:spacing w:after="240"/>
      </w:pPr>
      <w:r>
        <w:t xml:space="preserve">The </w:t>
      </w:r>
      <w:r w:rsidR="007D01DA">
        <w:t>Order</w:t>
      </w:r>
      <w:r w:rsidR="009D289C">
        <w:t xml:space="preserve"> </w:t>
      </w:r>
      <w:r w:rsidR="00E82F88">
        <w:t xml:space="preserve">is compatible with the human rights and freedoms recognised or declared under section 3 of the </w:t>
      </w:r>
      <w:r w:rsidR="00E82F88" w:rsidRPr="006348D2">
        <w:rPr>
          <w:i/>
        </w:rPr>
        <w:t>Human Rights (Parliamentary Scrutiny) Act 2011</w:t>
      </w:r>
      <w:r w:rsidR="00E82F88">
        <w:t xml:space="preserve">. A full statement of compatibility is set out in </w:t>
      </w:r>
      <w:r w:rsidR="00E82F88" w:rsidRPr="00B947DB">
        <w:rPr>
          <w:b/>
        </w:rPr>
        <w:t>Attachment B</w:t>
      </w:r>
      <w:r w:rsidR="00E82F88">
        <w:t>.</w:t>
      </w:r>
      <w:r w:rsidR="00E554BB" w:rsidRPr="00E554BB">
        <w:t xml:space="preserve"> </w:t>
      </w:r>
    </w:p>
    <w:p w:rsidR="00E554BB" w:rsidRDefault="00017F2D" w:rsidP="00E554BB">
      <w:pPr>
        <w:spacing w:after="240"/>
      </w:pPr>
      <w:r>
        <w:t xml:space="preserve">The </w:t>
      </w:r>
      <w:r w:rsidR="007D01DA">
        <w:t>Order</w:t>
      </w:r>
      <w:r w:rsidR="00E82F88">
        <w:t xml:space="preserve"> is a disallowable legislative instrument</w:t>
      </w:r>
      <w:r w:rsidR="009557E9">
        <w:t xml:space="preserve"> for the purposes of the Legislation Act</w:t>
      </w:r>
      <w:r w:rsidR="00E82F88">
        <w:t xml:space="preserve">, and commences on </w:t>
      </w:r>
      <w:r w:rsidR="00BB37B7">
        <w:t>3</w:t>
      </w:r>
      <w:r w:rsidR="00E71D82">
        <w:t>1 March 2019</w:t>
      </w:r>
      <w:r w:rsidR="00E82F88">
        <w:t>.</w:t>
      </w:r>
      <w:r w:rsidR="00E554BB" w:rsidRPr="00E554BB">
        <w:t xml:space="preserve"> </w:t>
      </w:r>
    </w:p>
    <w:p w:rsidR="00E82F88" w:rsidRPr="00DB0E8D" w:rsidRDefault="00E82F88" w:rsidP="00E82F88">
      <w:pPr>
        <w:pStyle w:val="Heading3"/>
        <w:spacing w:before="120" w:after="240"/>
        <w:jc w:val="right"/>
        <w:rPr>
          <w:rFonts w:ascii="Times New Roman" w:hAnsi="Times New Roman" w:cs="Times New Roman"/>
          <w:sz w:val="24"/>
          <w:szCs w:val="24"/>
        </w:rPr>
      </w:pPr>
      <w:r>
        <w:rPr>
          <w:rFonts w:ascii="TimesNewRomanPSMT" w:hAnsi="TimesNewRomanPSMT" w:cs="TimesNewRomanPSMT"/>
          <w:sz w:val="24"/>
          <w:szCs w:val="24"/>
        </w:rPr>
        <w:br w:type="page"/>
      </w:r>
      <w:r w:rsidR="009557E9" w:rsidRPr="00DB0E8D">
        <w:rPr>
          <w:rFonts w:ascii="Times New Roman" w:hAnsi="Times New Roman" w:cs="Times New Roman"/>
          <w:sz w:val="24"/>
          <w:szCs w:val="24"/>
        </w:rPr>
        <w:lastRenderedPageBreak/>
        <w:t>A</w:t>
      </w:r>
      <w:r w:rsidR="009557E9">
        <w:rPr>
          <w:rFonts w:ascii="Times New Roman" w:hAnsi="Times New Roman" w:cs="Times New Roman"/>
          <w:sz w:val="24"/>
          <w:szCs w:val="24"/>
        </w:rPr>
        <w:t>ttachment</w:t>
      </w:r>
      <w:r w:rsidR="009557E9" w:rsidRPr="00DB0E8D">
        <w:rPr>
          <w:rFonts w:ascii="Times New Roman" w:hAnsi="Times New Roman" w:cs="Times New Roman"/>
          <w:sz w:val="24"/>
          <w:szCs w:val="24"/>
        </w:rPr>
        <w:t xml:space="preserve"> </w:t>
      </w:r>
      <w:r w:rsidRPr="00DB0E8D">
        <w:rPr>
          <w:rFonts w:ascii="Times New Roman" w:hAnsi="Times New Roman" w:cs="Times New Roman"/>
          <w:sz w:val="24"/>
          <w:szCs w:val="24"/>
        </w:rPr>
        <w:t>A</w:t>
      </w:r>
    </w:p>
    <w:p w:rsidR="00E82F88" w:rsidRPr="00DB0E8D" w:rsidRDefault="00E82F88" w:rsidP="00E82F88">
      <w:pPr>
        <w:rPr>
          <w:rFonts w:ascii="Times New (W1)" w:hAnsi="Times New (W1)" w:cs="Times New (W1)"/>
          <w:b/>
          <w:bCs/>
        </w:rPr>
      </w:pPr>
      <w:bookmarkStart w:id="0" w:name="_Toc199566624"/>
      <w:r>
        <w:rPr>
          <w:b/>
        </w:rPr>
        <w:t xml:space="preserve">Details </w:t>
      </w:r>
      <w:r w:rsidRPr="00C825C6">
        <w:rPr>
          <w:b/>
        </w:rPr>
        <w:t>of</w:t>
      </w:r>
      <w:r w:rsidR="00AD37E1">
        <w:rPr>
          <w:b/>
        </w:rPr>
        <w:t xml:space="preserve"> the</w:t>
      </w:r>
      <w:r w:rsidRPr="00C825C6">
        <w:rPr>
          <w:b/>
        </w:rPr>
        <w:t xml:space="preserve"> </w:t>
      </w:r>
      <w:r w:rsidR="00C825C6" w:rsidRPr="00C825C6">
        <w:rPr>
          <w:b/>
          <w:i/>
        </w:rPr>
        <w:t>Therapeutic Goods (Conformity Assessment Standard for Quality Management Systems) Order 2019</w:t>
      </w:r>
    </w:p>
    <w:p w:rsidR="00E82F88" w:rsidRDefault="00E82F88" w:rsidP="00B947DB"/>
    <w:p w:rsidR="00E82F88" w:rsidRDefault="00E82F88" w:rsidP="00E82F88">
      <w:pPr>
        <w:autoSpaceDE w:val="0"/>
        <w:autoSpaceDN w:val="0"/>
        <w:adjustRightInd w:val="0"/>
        <w:spacing w:after="120"/>
        <w:outlineLvl w:val="1"/>
      </w:pPr>
      <w:r>
        <w:rPr>
          <w:b/>
        </w:rPr>
        <w:t>Section 1</w:t>
      </w:r>
      <w:r>
        <w:t xml:space="preserve"> </w:t>
      </w:r>
      <w:r w:rsidRPr="00D71897">
        <w:rPr>
          <w:b/>
        </w:rPr>
        <w:t>Name</w:t>
      </w:r>
    </w:p>
    <w:p w:rsidR="00E82F88" w:rsidRPr="00506774" w:rsidRDefault="00E82F88" w:rsidP="00E82F88">
      <w:pPr>
        <w:autoSpaceDE w:val="0"/>
        <w:autoSpaceDN w:val="0"/>
        <w:adjustRightInd w:val="0"/>
        <w:spacing w:after="240"/>
        <w:outlineLvl w:val="1"/>
      </w:pPr>
      <w:r>
        <w:t>This section provides that the name of th</w:t>
      </w:r>
      <w:r w:rsidR="00E71D82">
        <w:t>e</w:t>
      </w:r>
      <w:r>
        <w:t xml:space="preserve"> Order is</w:t>
      </w:r>
      <w:r w:rsidR="009557E9">
        <w:t xml:space="preserve"> the</w:t>
      </w:r>
      <w:r>
        <w:t xml:space="preserve"> </w:t>
      </w:r>
      <w:bookmarkEnd w:id="0"/>
      <w:r w:rsidR="00C825C6" w:rsidRPr="006A6517">
        <w:rPr>
          <w:i/>
        </w:rPr>
        <w:t>Therapeutic Goods (Conformity Assessment Standard for Quality Management Systems</w:t>
      </w:r>
      <w:r w:rsidR="00C825C6">
        <w:rPr>
          <w:i/>
        </w:rPr>
        <w:t xml:space="preserve">) </w:t>
      </w:r>
      <w:r w:rsidR="00C825C6" w:rsidRPr="006A6517">
        <w:rPr>
          <w:i/>
        </w:rPr>
        <w:t>Order 2019</w:t>
      </w:r>
      <w:r>
        <w:rPr>
          <w:i/>
        </w:rPr>
        <w:t>.</w:t>
      </w:r>
    </w:p>
    <w:p w:rsidR="00E82F88" w:rsidRDefault="00E82F88" w:rsidP="00E82F88">
      <w:pPr>
        <w:tabs>
          <w:tab w:val="left" w:pos="851"/>
        </w:tabs>
        <w:spacing w:after="120"/>
        <w:outlineLvl w:val="0"/>
      </w:pPr>
      <w:bookmarkStart w:id="1" w:name="_Toc199566625"/>
      <w:r>
        <w:rPr>
          <w:b/>
        </w:rPr>
        <w:t>Section 2</w:t>
      </w:r>
      <w:r w:rsidRPr="00D71897">
        <w:rPr>
          <w:b/>
        </w:rPr>
        <w:t xml:space="preserve"> Commencement</w:t>
      </w:r>
    </w:p>
    <w:p w:rsidR="00E82F88" w:rsidRDefault="00E82F88" w:rsidP="00E82F88">
      <w:pPr>
        <w:tabs>
          <w:tab w:val="left" w:pos="851"/>
        </w:tabs>
        <w:spacing w:after="240"/>
        <w:outlineLvl w:val="0"/>
      </w:pPr>
      <w:r>
        <w:t>This section provides that</w:t>
      </w:r>
      <w:bookmarkEnd w:id="1"/>
      <w:r>
        <w:t xml:space="preserve"> th</w:t>
      </w:r>
      <w:r w:rsidR="00E71D82">
        <w:t>e</w:t>
      </w:r>
      <w:r>
        <w:t xml:space="preserve"> Order commences on </w:t>
      </w:r>
      <w:r w:rsidR="00E435F4">
        <w:t>3</w:t>
      </w:r>
      <w:r w:rsidR="00E71D82">
        <w:t>1 March 2019</w:t>
      </w:r>
      <w:r>
        <w:t>.</w:t>
      </w:r>
    </w:p>
    <w:p w:rsidR="00E82F88" w:rsidRDefault="00E82F88" w:rsidP="00E82F88">
      <w:pPr>
        <w:tabs>
          <w:tab w:val="left" w:pos="851"/>
        </w:tabs>
        <w:spacing w:after="120"/>
        <w:outlineLvl w:val="0"/>
        <w:rPr>
          <w:b/>
        </w:rPr>
      </w:pPr>
      <w:bookmarkStart w:id="2" w:name="_Toc199566627"/>
      <w:r>
        <w:rPr>
          <w:b/>
        </w:rPr>
        <w:t>Section 3</w:t>
      </w:r>
      <w:bookmarkEnd w:id="2"/>
      <w:r>
        <w:t xml:space="preserve"> </w:t>
      </w:r>
      <w:r w:rsidRPr="00D71897">
        <w:rPr>
          <w:b/>
        </w:rPr>
        <w:t>Authority</w:t>
      </w:r>
    </w:p>
    <w:p w:rsidR="00E82F88" w:rsidRDefault="00E82F88" w:rsidP="00E82F88">
      <w:pPr>
        <w:tabs>
          <w:tab w:val="left" w:pos="851"/>
        </w:tabs>
        <w:spacing w:after="240"/>
        <w:outlineLvl w:val="0"/>
      </w:pPr>
      <w:r>
        <w:t>This section provides that the legislative authority fo</w:t>
      </w:r>
      <w:r w:rsidR="00E435F4">
        <w:t>r making the Order is section 41DC</w:t>
      </w:r>
      <w:r>
        <w:t xml:space="preserve"> of the </w:t>
      </w:r>
      <w:r w:rsidRPr="00D71897">
        <w:rPr>
          <w:i/>
        </w:rPr>
        <w:t>Therapeutic Goods Act 1989</w:t>
      </w:r>
      <w:r>
        <w:t xml:space="preserve"> (</w:t>
      </w:r>
      <w:r w:rsidR="00AD37E1">
        <w:t>“</w:t>
      </w:r>
      <w:r>
        <w:t>the Act</w:t>
      </w:r>
      <w:r w:rsidR="00AD37E1">
        <w:t>”</w:t>
      </w:r>
      <w:r>
        <w:t>).</w:t>
      </w:r>
    </w:p>
    <w:p w:rsidR="00E435F4" w:rsidRDefault="00E435F4" w:rsidP="00017F2D">
      <w:pPr>
        <w:tabs>
          <w:tab w:val="left" w:pos="851"/>
        </w:tabs>
        <w:spacing w:after="120"/>
        <w:outlineLvl w:val="0"/>
        <w:rPr>
          <w:b/>
        </w:rPr>
      </w:pPr>
      <w:r>
        <w:rPr>
          <w:b/>
        </w:rPr>
        <w:t>Section 4 Definitions</w:t>
      </w:r>
    </w:p>
    <w:p w:rsidR="00892B95" w:rsidRDefault="00E435F4" w:rsidP="00017F2D">
      <w:pPr>
        <w:tabs>
          <w:tab w:val="left" w:pos="851"/>
        </w:tabs>
        <w:spacing w:after="120"/>
        <w:outlineLvl w:val="0"/>
      </w:pPr>
      <w:r>
        <w:t xml:space="preserve">This section sets out definitions for a number of terms used in the Order, for example </w:t>
      </w:r>
      <w:r w:rsidR="009557E9">
        <w:t>“</w:t>
      </w:r>
      <w:r>
        <w:t>ISO</w:t>
      </w:r>
      <w:r w:rsidR="009557E9">
        <w:t>”</w:t>
      </w:r>
      <w:r>
        <w:t xml:space="preserve">, </w:t>
      </w:r>
      <w:r w:rsidR="00AD37E1">
        <w:t xml:space="preserve">and </w:t>
      </w:r>
      <w:r w:rsidR="009557E9">
        <w:t>“</w:t>
      </w:r>
      <w:r>
        <w:t>standard</w:t>
      </w:r>
      <w:r w:rsidR="009557E9">
        <w:t>”</w:t>
      </w:r>
      <w:r w:rsidR="00892B95">
        <w:t>.</w:t>
      </w:r>
    </w:p>
    <w:p w:rsidR="00AD37E1" w:rsidRDefault="00AD37E1" w:rsidP="00B947DB">
      <w:pPr>
        <w:tabs>
          <w:tab w:val="left" w:pos="851"/>
        </w:tabs>
        <w:spacing w:after="240"/>
        <w:outlineLvl w:val="0"/>
      </w:pPr>
      <w:r>
        <w:t xml:space="preserve">This section also makes it clear that a number of terms have the same meaning as given in the Act, for example, </w:t>
      </w:r>
      <w:r w:rsidR="00CE1091">
        <w:t>“</w:t>
      </w:r>
      <w:r>
        <w:t>conformity assessment procedures</w:t>
      </w:r>
      <w:r w:rsidR="00CE1091">
        <w:t>”, “</w:t>
      </w:r>
      <w:r>
        <w:t>manufacturer, of a medical device</w:t>
      </w:r>
      <w:r w:rsidR="00CE1091">
        <w:t>”</w:t>
      </w:r>
      <w:r>
        <w:t xml:space="preserve"> and </w:t>
      </w:r>
      <w:r w:rsidR="00CE1091">
        <w:t>“</w:t>
      </w:r>
      <w:r>
        <w:t>medical device</w:t>
      </w:r>
      <w:r w:rsidR="00CE1091">
        <w:t>”</w:t>
      </w:r>
      <w:r>
        <w:t>.</w:t>
      </w:r>
    </w:p>
    <w:p w:rsidR="00892B95" w:rsidRPr="00892B95" w:rsidRDefault="00892B95" w:rsidP="00017F2D">
      <w:pPr>
        <w:tabs>
          <w:tab w:val="left" w:pos="851"/>
        </w:tabs>
        <w:spacing w:after="120"/>
        <w:outlineLvl w:val="0"/>
        <w:rPr>
          <w:b/>
        </w:rPr>
      </w:pPr>
      <w:r w:rsidRPr="00892B95">
        <w:rPr>
          <w:b/>
        </w:rPr>
        <w:t>Section 5 Conformity assessment standard</w:t>
      </w:r>
      <w:r w:rsidR="00D5596F">
        <w:rPr>
          <w:b/>
        </w:rPr>
        <w:t>s</w:t>
      </w:r>
      <w:r w:rsidR="009557E9">
        <w:rPr>
          <w:b/>
        </w:rPr>
        <w:sym w:font="Symbol" w:char="F0BE"/>
      </w:r>
      <w:r w:rsidRPr="00892B95">
        <w:rPr>
          <w:b/>
        </w:rPr>
        <w:t>quality management systems</w:t>
      </w:r>
    </w:p>
    <w:p w:rsidR="009557E9" w:rsidRDefault="00892B95" w:rsidP="00017F2D">
      <w:pPr>
        <w:tabs>
          <w:tab w:val="left" w:pos="851"/>
        </w:tabs>
        <w:spacing w:after="120"/>
        <w:outlineLvl w:val="0"/>
      </w:pPr>
      <w:r>
        <w:t>This section provides that the matters specified in a standard</w:t>
      </w:r>
      <w:r w:rsidR="00EB1CDB">
        <w:t>,</w:t>
      </w:r>
      <w:r>
        <w:t xml:space="preserve"> or part of a standard</w:t>
      </w:r>
      <w:r w:rsidR="00EB1CDB">
        <w:t>,</w:t>
      </w:r>
      <w:r>
        <w:t xml:space="preserve"> mentioned in </w:t>
      </w:r>
      <w:r w:rsidR="00EB1CDB">
        <w:t xml:space="preserve">column 2 of an item in the table in </w:t>
      </w:r>
      <w:r>
        <w:t>Schedule 1</w:t>
      </w:r>
      <w:r w:rsidR="009557E9">
        <w:t xml:space="preserve"> to the Order</w:t>
      </w:r>
      <w:r>
        <w:t xml:space="preserve"> constitute a conformity assessment standard for a QMS mentioned in Parts 1, 4 or 5 of Schedule 3 to the Regulations.</w:t>
      </w:r>
    </w:p>
    <w:p w:rsidR="00E435F4" w:rsidRPr="00E435F4" w:rsidRDefault="00892B95" w:rsidP="00017F2D">
      <w:pPr>
        <w:tabs>
          <w:tab w:val="left" w:pos="851"/>
        </w:tabs>
        <w:spacing w:after="120"/>
        <w:outlineLvl w:val="0"/>
      </w:pPr>
      <w:r>
        <w:t>This section also makes it clear that where a medical device manufacturer’s QMS complies with a standard</w:t>
      </w:r>
      <w:r w:rsidR="00EB1CDB">
        <w:t>,</w:t>
      </w:r>
      <w:r>
        <w:t xml:space="preserve"> or part of a standard</w:t>
      </w:r>
      <w:r w:rsidR="00EB1CDB">
        <w:t>,</w:t>
      </w:r>
      <w:r>
        <w:t xml:space="preserve"> mentioned in </w:t>
      </w:r>
      <w:r w:rsidR="00EB1CDB">
        <w:t xml:space="preserve">column 2 of an item in the table in </w:t>
      </w:r>
      <w:r>
        <w:t>Schedule 1</w:t>
      </w:r>
      <w:r w:rsidR="009557E9">
        <w:t xml:space="preserve"> to the Order</w:t>
      </w:r>
      <w:r>
        <w:t xml:space="preserve">, </w:t>
      </w:r>
      <w:r w:rsidR="00EB1CDB">
        <w:t>then</w:t>
      </w:r>
      <w:r>
        <w:t xml:space="preserve"> the QMS is to be treated as having had applied to it those parts of the conformity assessment procedures specified in</w:t>
      </w:r>
      <w:r w:rsidR="009557E9">
        <w:t xml:space="preserve"> </w:t>
      </w:r>
      <w:r w:rsidR="00EB1CDB">
        <w:t xml:space="preserve">column 3 of </w:t>
      </w:r>
      <w:r w:rsidR="009557E9">
        <w:t>that</w:t>
      </w:r>
      <w:r>
        <w:t xml:space="preserve"> </w:t>
      </w:r>
      <w:r w:rsidR="00EB1CDB">
        <w:t>item</w:t>
      </w:r>
      <w:r>
        <w:t>.</w:t>
      </w:r>
    </w:p>
    <w:p w:rsidR="00E435F4" w:rsidRDefault="00892B95" w:rsidP="00017F2D">
      <w:pPr>
        <w:tabs>
          <w:tab w:val="left" w:pos="851"/>
        </w:tabs>
        <w:spacing w:after="120"/>
        <w:outlineLvl w:val="0"/>
        <w:rPr>
          <w:b/>
        </w:rPr>
      </w:pPr>
      <w:r>
        <w:rPr>
          <w:b/>
        </w:rPr>
        <w:t>Section 6 Conformity assessment standard</w:t>
      </w:r>
      <w:r w:rsidR="00EB1CDB">
        <w:rPr>
          <w:b/>
        </w:rPr>
        <w:t>s</w:t>
      </w:r>
      <w:r w:rsidR="009557E9">
        <w:rPr>
          <w:b/>
        </w:rPr>
        <w:sym w:font="Symbol" w:char="F0BE"/>
      </w:r>
      <w:r>
        <w:rPr>
          <w:b/>
        </w:rPr>
        <w:t>quality management systems for kinds of medical devices intended to be supplied in a sterile state</w:t>
      </w:r>
    </w:p>
    <w:p w:rsidR="007B7F5D" w:rsidRDefault="00892B95" w:rsidP="00CB428D">
      <w:pPr>
        <w:tabs>
          <w:tab w:val="left" w:pos="851"/>
        </w:tabs>
        <w:spacing w:after="120"/>
        <w:outlineLvl w:val="0"/>
      </w:pPr>
      <w:r>
        <w:t>This section provides that the matters specified in a standard</w:t>
      </w:r>
      <w:r w:rsidR="00E67D3D">
        <w:t>,</w:t>
      </w:r>
      <w:r>
        <w:t xml:space="preserve"> or part of a standard</w:t>
      </w:r>
      <w:r w:rsidR="00E67D3D">
        <w:t>,</w:t>
      </w:r>
      <w:r>
        <w:t xml:space="preserve"> mentioned in </w:t>
      </w:r>
      <w:r w:rsidR="00E67D3D">
        <w:t xml:space="preserve">column 2 of an item in the table in </w:t>
      </w:r>
      <w:r>
        <w:t>Schedule 2</w:t>
      </w:r>
      <w:r w:rsidR="007B7F5D">
        <w:t xml:space="preserve"> to the Order</w:t>
      </w:r>
      <w:r>
        <w:t xml:space="preserve">, when used for a purpose mentioned in </w:t>
      </w:r>
      <w:r w:rsidR="00E67D3D">
        <w:t>column 3 of that item</w:t>
      </w:r>
      <w:r>
        <w:t>, constitute a conformity assessment standard for a QMS mentioned in Parts 1</w:t>
      </w:r>
      <w:r w:rsidR="00E67D3D">
        <w:t xml:space="preserve"> or</w:t>
      </w:r>
      <w:r>
        <w:t xml:space="preserve"> 4 of Schedule 3 to the Regulations that relates to the manufacture of </w:t>
      </w:r>
      <w:r w:rsidR="00CB428D">
        <w:t>medical devices intended by the</w:t>
      </w:r>
      <w:r>
        <w:t xml:space="preserve"> manufacturer to be supplied in a sterile state.</w:t>
      </w:r>
    </w:p>
    <w:p w:rsidR="00CB428D" w:rsidRPr="00E435F4" w:rsidRDefault="00892B95" w:rsidP="00CB428D">
      <w:pPr>
        <w:tabs>
          <w:tab w:val="left" w:pos="851"/>
        </w:tabs>
        <w:spacing w:after="120"/>
        <w:outlineLvl w:val="0"/>
      </w:pPr>
      <w:r>
        <w:t xml:space="preserve">This section also makes it clear that where </w:t>
      </w:r>
      <w:r w:rsidR="00CB428D">
        <w:t xml:space="preserve">such </w:t>
      </w:r>
      <w:r>
        <w:t xml:space="preserve">a medical device manufacturer’s QMS </w:t>
      </w:r>
      <w:r w:rsidR="00CB428D">
        <w:t>complies with a standard</w:t>
      </w:r>
      <w:r w:rsidR="00E67D3D">
        <w:t>,</w:t>
      </w:r>
      <w:r w:rsidR="00CB428D">
        <w:t xml:space="preserve"> or part of a standard</w:t>
      </w:r>
      <w:r w:rsidR="00E67D3D">
        <w:t>,</w:t>
      </w:r>
      <w:r w:rsidR="00CB428D">
        <w:t xml:space="preserve"> mentioned in </w:t>
      </w:r>
      <w:r w:rsidR="00E67D3D">
        <w:t xml:space="preserve">column 2 of an item in the table in </w:t>
      </w:r>
      <w:r w:rsidR="00CB428D">
        <w:t>Schedule 2</w:t>
      </w:r>
      <w:r w:rsidR="007B7F5D">
        <w:t xml:space="preserve"> to the Order</w:t>
      </w:r>
      <w:r w:rsidR="00CB428D">
        <w:t xml:space="preserve"> for a purpose specified in </w:t>
      </w:r>
      <w:r w:rsidR="00E67D3D">
        <w:t xml:space="preserve">column 3 of </w:t>
      </w:r>
      <w:r w:rsidR="007B7F5D">
        <w:t xml:space="preserve">that </w:t>
      </w:r>
      <w:r w:rsidR="00E67D3D">
        <w:t>item</w:t>
      </w:r>
      <w:r w:rsidR="00CB428D">
        <w:t>,</w:t>
      </w:r>
      <w:r w:rsidR="00E67D3D">
        <w:t xml:space="preserve"> then</w:t>
      </w:r>
      <w:r w:rsidR="00CB428D">
        <w:t xml:space="preserve"> the QMS is to be treated as having had applied to it those parts of the conformity assessment procedures specified in </w:t>
      </w:r>
      <w:r w:rsidR="00B420B8">
        <w:t>column 4 of that item</w:t>
      </w:r>
      <w:r w:rsidR="00CB428D">
        <w:t>.</w:t>
      </w:r>
    </w:p>
    <w:p w:rsidR="00892B95" w:rsidRPr="00892B95" w:rsidRDefault="00CB428D" w:rsidP="00017F2D">
      <w:pPr>
        <w:tabs>
          <w:tab w:val="left" w:pos="851"/>
        </w:tabs>
        <w:spacing w:after="120"/>
        <w:outlineLvl w:val="0"/>
      </w:pPr>
      <w:r>
        <w:t xml:space="preserve">One of the effects of section 5 and section 6 is that a manufacturer who manufactures kinds of medical devices that are intended to be supplied in a sterile state may demonstrate the </w:t>
      </w:r>
      <w:r>
        <w:lastRenderedPageBreak/>
        <w:t>application of conformity assessment procedures to</w:t>
      </w:r>
      <w:r w:rsidR="00784911">
        <w:t xml:space="preserve"> its</w:t>
      </w:r>
      <w:r>
        <w:t xml:space="preserve"> devices by relying on the standards in </w:t>
      </w:r>
      <w:r w:rsidR="00D0299D">
        <w:t xml:space="preserve">both </w:t>
      </w:r>
      <w:r>
        <w:t xml:space="preserve">Schedule 1 </w:t>
      </w:r>
      <w:r w:rsidR="00D0299D">
        <w:t xml:space="preserve">and </w:t>
      </w:r>
      <w:r>
        <w:t>Schedule 2.</w:t>
      </w:r>
    </w:p>
    <w:p w:rsidR="00F45355" w:rsidRDefault="00017F2D" w:rsidP="00017F2D">
      <w:pPr>
        <w:tabs>
          <w:tab w:val="left" w:pos="851"/>
        </w:tabs>
        <w:spacing w:after="120"/>
        <w:outlineLvl w:val="0"/>
      </w:pPr>
      <w:r>
        <w:rPr>
          <w:b/>
        </w:rPr>
        <w:t xml:space="preserve">Section </w:t>
      </w:r>
      <w:r w:rsidR="00CB428D">
        <w:rPr>
          <w:b/>
        </w:rPr>
        <w:t>7</w:t>
      </w:r>
      <w:r w:rsidR="00480EFF">
        <w:rPr>
          <w:b/>
        </w:rPr>
        <w:t xml:space="preserve"> </w:t>
      </w:r>
      <w:r w:rsidR="00CB428D">
        <w:rPr>
          <w:b/>
        </w:rPr>
        <w:t>Repeal</w:t>
      </w:r>
      <w:r w:rsidR="00602755">
        <w:rPr>
          <w:b/>
        </w:rPr>
        <w:t>s</w:t>
      </w:r>
    </w:p>
    <w:p w:rsidR="00480EFF" w:rsidRDefault="00480EFF" w:rsidP="00480EFF">
      <w:pPr>
        <w:pStyle w:val="smallpara"/>
        <w:spacing w:before="0" w:beforeAutospacing="0" w:after="240" w:afterAutospacing="0"/>
        <w:rPr>
          <w:rFonts w:ascii="Times New Roman" w:hAnsi="Times New Roman" w:cs="Times New Roman"/>
          <w:sz w:val="24"/>
          <w:szCs w:val="24"/>
        </w:rPr>
      </w:pPr>
      <w:bookmarkStart w:id="3" w:name="_Toc518788307"/>
      <w:bookmarkStart w:id="4" w:name="_Toc98919887"/>
      <w:bookmarkStart w:id="5" w:name="_Toc121709903"/>
      <w:r>
        <w:rPr>
          <w:rFonts w:ascii="Times New Roman" w:hAnsi="Times New Roman" w:cs="Times New Roman"/>
          <w:sz w:val="24"/>
          <w:szCs w:val="24"/>
        </w:rPr>
        <w:t>This section provides that each in</w:t>
      </w:r>
      <w:r w:rsidR="00CB428D">
        <w:rPr>
          <w:rFonts w:ascii="Times New Roman" w:hAnsi="Times New Roman" w:cs="Times New Roman"/>
          <w:sz w:val="24"/>
          <w:szCs w:val="24"/>
        </w:rPr>
        <w:t xml:space="preserve">strument that is specified in </w:t>
      </w:r>
      <w:r>
        <w:rPr>
          <w:rFonts w:ascii="Times New Roman" w:hAnsi="Times New Roman" w:cs="Times New Roman"/>
          <w:sz w:val="24"/>
          <w:szCs w:val="24"/>
        </w:rPr>
        <w:t>Schedule</w:t>
      </w:r>
      <w:r w:rsidR="00D0299D">
        <w:rPr>
          <w:rFonts w:ascii="Times New Roman" w:hAnsi="Times New Roman" w:cs="Times New Roman"/>
          <w:sz w:val="24"/>
          <w:szCs w:val="24"/>
        </w:rPr>
        <w:t xml:space="preserve"> </w:t>
      </w:r>
      <w:r w:rsidR="00CB428D">
        <w:rPr>
          <w:rFonts w:ascii="Times New Roman" w:hAnsi="Times New Roman" w:cs="Times New Roman"/>
          <w:sz w:val="24"/>
          <w:szCs w:val="24"/>
        </w:rPr>
        <w:t xml:space="preserve">3 to the Order is </w:t>
      </w:r>
      <w:r>
        <w:rPr>
          <w:rFonts w:ascii="Times New Roman" w:hAnsi="Times New Roman" w:cs="Times New Roman"/>
          <w:sz w:val="24"/>
          <w:szCs w:val="24"/>
        </w:rPr>
        <w:t>repealed as set ou</w:t>
      </w:r>
      <w:r w:rsidR="00CB428D">
        <w:rPr>
          <w:rFonts w:ascii="Times New Roman" w:hAnsi="Times New Roman" w:cs="Times New Roman"/>
          <w:sz w:val="24"/>
          <w:szCs w:val="24"/>
        </w:rPr>
        <w:t>t in the applicable items in that</w:t>
      </w:r>
      <w:r>
        <w:rPr>
          <w:rFonts w:ascii="Times New Roman" w:hAnsi="Times New Roman" w:cs="Times New Roman"/>
          <w:sz w:val="24"/>
          <w:szCs w:val="24"/>
        </w:rPr>
        <w:t xml:space="preserve"> Schedule.</w:t>
      </w:r>
    </w:p>
    <w:p w:rsidR="00480EFF" w:rsidRDefault="00480EFF" w:rsidP="00332DA9">
      <w:pPr>
        <w:pStyle w:val="smallpara"/>
        <w:spacing w:before="0" w:beforeAutospacing="0" w:after="120" w:afterAutospacing="0"/>
        <w:rPr>
          <w:rFonts w:ascii="Times New Roman" w:hAnsi="Times New Roman" w:cs="Times New Roman"/>
          <w:b/>
          <w:sz w:val="24"/>
          <w:szCs w:val="24"/>
        </w:rPr>
      </w:pPr>
      <w:r w:rsidRPr="00480EFF">
        <w:rPr>
          <w:rFonts w:ascii="Times New Roman" w:hAnsi="Times New Roman" w:cs="Times New Roman"/>
          <w:b/>
          <w:sz w:val="24"/>
          <w:szCs w:val="24"/>
        </w:rPr>
        <w:t xml:space="preserve">Schedule 1 </w:t>
      </w:r>
      <w:r w:rsidR="00E010EE">
        <w:rPr>
          <w:rFonts w:ascii="Times New Roman" w:hAnsi="Times New Roman" w:cs="Times New Roman"/>
          <w:b/>
          <w:sz w:val="24"/>
          <w:szCs w:val="24"/>
        </w:rPr>
        <w:t>Conformity assessment standard</w:t>
      </w:r>
      <w:r w:rsidR="007B7F5D">
        <w:rPr>
          <w:rFonts w:ascii="Times New Roman" w:hAnsi="Times New Roman" w:cs="Times New Roman"/>
          <w:b/>
          <w:sz w:val="24"/>
          <w:szCs w:val="24"/>
        </w:rPr>
        <w:t>s</w:t>
      </w:r>
    </w:p>
    <w:p w:rsidR="00E010EE" w:rsidRDefault="00610D88" w:rsidP="00480EFF">
      <w:pPr>
        <w:pStyle w:val="smallpara"/>
        <w:spacing w:before="0" w:beforeAutospacing="0" w:after="240" w:afterAutospacing="0"/>
        <w:rPr>
          <w:rFonts w:ascii="Times New Roman" w:hAnsi="Times New Roman" w:cs="Times New Roman"/>
          <w:sz w:val="24"/>
          <w:szCs w:val="24"/>
        </w:rPr>
      </w:pPr>
      <w:r>
        <w:rPr>
          <w:rFonts w:ascii="Times New Roman" w:hAnsi="Times New Roman" w:cs="Times New Roman"/>
          <w:sz w:val="24"/>
          <w:szCs w:val="24"/>
        </w:rPr>
        <w:t xml:space="preserve">Schedule </w:t>
      </w:r>
      <w:r w:rsidR="007B7F5D">
        <w:rPr>
          <w:rFonts w:ascii="Times New Roman" w:hAnsi="Times New Roman" w:cs="Times New Roman"/>
          <w:sz w:val="24"/>
          <w:szCs w:val="24"/>
        </w:rPr>
        <w:t xml:space="preserve">1 </w:t>
      </w:r>
      <w:r>
        <w:rPr>
          <w:rFonts w:ascii="Times New Roman" w:hAnsi="Times New Roman" w:cs="Times New Roman"/>
          <w:sz w:val="24"/>
          <w:szCs w:val="24"/>
        </w:rPr>
        <w:t>specifies standards and parts of standards</w:t>
      </w:r>
      <w:r w:rsidR="00210511">
        <w:rPr>
          <w:rFonts w:ascii="Times New Roman" w:hAnsi="Times New Roman" w:cs="Times New Roman"/>
          <w:sz w:val="24"/>
          <w:szCs w:val="24"/>
        </w:rPr>
        <w:t xml:space="preserve"> that</w:t>
      </w:r>
      <w:r w:rsidR="00E010EE">
        <w:rPr>
          <w:rFonts w:ascii="Times New Roman" w:hAnsi="Times New Roman" w:cs="Times New Roman"/>
          <w:sz w:val="24"/>
          <w:szCs w:val="24"/>
        </w:rPr>
        <w:t xml:space="preserve">, under section 5, </w:t>
      </w:r>
      <w:r w:rsidR="00210511">
        <w:rPr>
          <w:rFonts w:ascii="Times New Roman" w:hAnsi="Times New Roman" w:cs="Times New Roman"/>
          <w:sz w:val="24"/>
          <w:szCs w:val="24"/>
        </w:rPr>
        <w:t>constitute</w:t>
      </w:r>
      <w:r w:rsidR="00E010EE">
        <w:rPr>
          <w:rFonts w:ascii="Times New Roman" w:hAnsi="Times New Roman" w:cs="Times New Roman"/>
          <w:sz w:val="24"/>
          <w:szCs w:val="24"/>
        </w:rPr>
        <w:t xml:space="preserve"> a conformity assessment for </w:t>
      </w:r>
      <w:r w:rsidR="00784911">
        <w:rPr>
          <w:rFonts w:ascii="Times New Roman" w:hAnsi="Times New Roman" w:cs="Times New Roman"/>
          <w:sz w:val="24"/>
          <w:szCs w:val="24"/>
        </w:rPr>
        <w:t xml:space="preserve">the quality management systems </w:t>
      </w:r>
      <w:r w:rsidR="00E010EE">
        <w:rPr>
          <w:rFonts w:ascii="Times New Roman" w:hAnsi="Times New Roman" w:cs="Times New Roman"/>
          <w:sz w:val="24"/>
          <w:szCs w:val="24"/>
        </w:rPr>
        <w:t>identified in section 5. This Schedule also identifies the conformity assessment procedures that such a QMS will be treated as having had applied to it</w:t>
      </w:r>
      <w:r w:rsidR="00E90EA7">
        <w:rPr>
          <w:rFonts w:ascii="Times New Roman" w:hAnsi="Times New Roman" w:cs="Times New Roman"/>
          <w:sz w:val="24"/>
          <w:szCs w:val="24"/>
        </w:rPr>
        <w:t>,</w:t>
      </w:r>
      <w:r w:rsidR="00E010EE">
        <w:rPr>
          <w:rFonts w:ascii="Times New Roman" w:hAnsi="Times New Roman" w:cs="Times New Roman"/>
          <w:sz w:val="24"/>
          <w:szCs w:val="24"/>
        </w:rPr>
        <w:t xml:space="preserve"> if it complies with the standards or parts of standards specified in </w:t>
      </w:r>
      <w:r w:rsidR="007B7F5D">
        <w:rPr>
          <w:rFonts w:ascii="Times New Roman" w:hAnsi="Times New Roman" w:cs="Times New Roman"/>
          <w:sz w:val="24"/>
          <w:szCs w:val="24"/>
        </w:rPr>
        <w:t xml:space="preserve">this </w:t>
      </w:r>
      <w:r w:rsidR="00E010EE">
        <w:rPr>
          <w:rFonts w:ascii="Times New Roman" w:hAnsi="Times New Roman" w:cs="Times New Roman"/>
          <w:sz w:val="24"/>
          <w:szCs w:val="24"/>
        </w:rPr>
        <w:t>Schedule.</w:t>
      </w:r>
    </w:p>
    <w:p w:rsidR="00332DA9" w:rsidRPr="00E010EE" w:rsidRDefault="00E010EE" w:rsidP="00480EFF">
      <w:pPr>
        <w:pStyle w:val="smallpara"/>
        <w:spacing w:before="0" w:beforeAutospacing="0" w:after="240" w:afterAutospacing="0"/>
        <w:rPr>
          <w:rFonts w:ascii="Times New Roman" w:hAnsi="Times New Roman" w:cs="Times New Roman"/>
          <w:b/>
          <w:sz w:val="24"/>
          <w:szCs w:val="24"/>
        </w:rPr>
      </w:pPr>
      <w:r w:rsidRPr="00E010EE">
        <w:rPr>
          <w:rFonts w:ascii="Times New Roman" w:hAnsi="Times New Roman" w:cs="Times New Roman"/>
          <w:b/>
          <w:sz w:val="24"/>
          <w:szCs w:val="24"/>
        </w:rPr>
        <w:t>Schedule 2 Conformity assessment standard</w:t>
      </w:r>
      <w:r w:rsidR="007B7F5D">
        <w:rPr>
          <w:rFonts w:ascii="Times New Roman" w:hAnsi="Times New Roman" w:cs="Times New Roman"/>
          <w:b/>
          <w:sz w:val="24"/>
          <w:szCs w:val="24"/>
        </w:rPr>
        <w:t>s</w:t>
      </w:r>
      <w:r w:rsidRPr="00E010EE">
        <w:rPr>
          <w:rFonts w:ascii="Times New Roman" w:hAnsi="Times New Roman" w:cs="Times New Roman"/>
          <w:b/>
          <w:sz w:val="24"/>
          <w:szCs w:val="24"/>
        </w:rPr>
        <w:t xml:space="preserve"> for medical devices intended to be supplied in a sterile state</w:t>
      </w:r>
    </w:p>
    <w:p w:rsidR="00E010EE" w:rsidRPr="00332DA9" w:rsidRDefault="00E010EE" w:rsidP="00480EFF">
      <w:pPr>
        <w:pStyle w:val="smallpara"/>
        <w:spacing w:before="0" w:beforeAutospacing="0" w:after="240" w:afterAutospacing="0"/>
        <w:rPr>
          <w:rFonts w:ascii="Times New Roman" w:hAnsi="Times New Roman" w:cs="Times New Roman"/>
          <w:sz w:val="24"/>
          <w:szCs w:val="24"/>
        </w:rPr>
      </w:pPr>
      <w:r>
        <w:rPr>
          <w:rFonts w:ascii="Times New Roman" w:hAnsi="Times New Roman" w:cs="Times New Roman"/>
          <w:sz w:val="24"/>
          <w:szCs w:val="24"/>
        </w:rPr>
        <w:t xml:space="preserve">Schedule </w:t>
      </w:r>
      <w:r w:rsidR="007B7F5D">
        <w:rPr>
          <w:rFonts w:ascii="Times New Roman" w:hAnsi="Times New Roman" w:cs="Times New Roman"/>
          <w:sz w:val="24"/>
          <w:szCs w:val="24"/>
        </w:rPr>
        <w:t xml:space="preserve">2 </w:t>
      </w:r>
      <w:r>
        <w:rPr>
          <w:rFonts w:ascii="Times New Roman" w:hAnsi="Times New Roman" w:cs="Times New Roman"/>
          <w:sz w:val="24"/>
          <w:szCs w:val="24"/>
        </w:rPr>
        <w:t xml:space="preserve">specifies </w:t>
      </w:r>
      <w:r w:rsidR="00F4362F">
        <w:rPr>
          <w:rFonts w:ascii="Times New Roman" w:hAnsi="Times New Roman" w:cs="Times New Roman"/>
          <w:sz w:val="24"/>
          <w:szCs w:val="24"/>
        </w:rPr>
        <w:t xml:space="preserve">standards and parts of standards that, under section 6, constitute a conformity assessment for </w:t>
      </w:r>
      <w:r w:rsidR="00784911">
        <w:rPr>
          <w:rFonts w:ascii="Times New Roman" w:hAnsi="Times New Roman" w:cs="Times New Roman"/>
          <w:sz w:val="24"/>
          <w:szCs w:val="24"/>
        </w:rPr>
        <w:t xml:space="preserve">the quality management systems </w:t>
      </w:r>
      <w:r w:rsidR="00F4362F">
        <w:rPr>
          <w:rFonts w:ascii="Times New Roman" w:hAnsi="Times New Roman" w:cs="Times New Roman"/>
          <w:sz w:val="24"/>
          <w:szCs w:val="24"/>
        </w:rPr>
        <w:t xml:space="preserve">identified in section 6 when used by a manufacturer for a purpose mentioned in </w:t>
      </w:r>
      <w:r w:rsidR="007B7F5D">
        <w:rPr>
          <w:rFonts w:ascii="Times New Roman" w:hAnsi="Times New Roman" w:cs="Times New Roman"/>
          <w:sz w:val="24"/>
          <w:szCs w:val="24"/>
        </w:rPr>
        <w:t xml:space="preserve">the </w:t>
      </w:r>
      <w:r w:rsidR="00F4362F">
        <w:rPr>
          <w:rFonts w:ascii="Times New Roman" w:hAnsi="Times New Roman" w:cs="Times New Roman"/>
          <w:sz w:val="24"/>
          <w:szCs w:val="24"/>
        </w:rPr>
        <w:t>Schedule. This Schedule also identifies the conformity assessment procedures that such a QMS will be treated as having had applied to it</w:t>
      </w:r>
      <w:r w:rsidR="00E90EA7">
        <w:rPr>
          <w:rFonts w:ascii="Times New Roman" w:hAnsi="Times New Roman" w:cs="Times New Roman"/>
          <w:sz w:val="24"/>
          <w:szCs w:val="24"/>
        </w:rPr>
        <w:t>,</w:t>
      </w:r>
      <w:r w:rsidR="00F4362F">
        <w:rPr>
          <w:rFonts w:ascii="Times New Roman" w:hAnsi="Times New Roman" w:cs="Times New Roman"/>
          <w:sz w:val="24"/>
          <w:szCs w:val="24"/>
        </w:rPr>
        <w:t xml:space="preserve"> if it complies with the standards or parts of standards specified for a purpose mentioned in Schedule 2.</w:t>
      </w:r>
    </w:p>
    <w:p w:rsidR="00E90EA7" w:rsidRDefault="00E90EA7" w:rsidP="00E90EA7">
      <w:pPr>
        <w:pStyle w:val="smallpara"/>
        <w:spacing w:before="0" w:beforeAutospacing="0" w:after="240" w:afterAutospacing="0"/>
        <w:rPr>
          <w:rFonts w:ascii="Times New Roman" w:hAnsi="Times New Roman" w:cs="Times New Roman"/>
          <w:sz w:val="24"/>
          <w:szCs w:val="24"/>
        </w:rPr>
      </w:pPr>
      <w:r>
        <w:rPr>
          <w:rFonts w:ascii="Times New Roman" w:hAnsi="Times New Roman" w:cs="Times New Roman"/>
          <w:b/>
          <w:sz w:val="24"/>
          <w:szCs w:val="24"/>
        </w:rPr>
        <w:t>Schedule 3</w:t>
      </w:r>
      <w:r w:rsidRPr="00A205EA">
        <w:rPr>
          <w:rFonts w:ascii="Times New Roman" w:hAnsi="Times New Roman" w:cs="Times New Roman"/>
          <w:b/>
          <w:sz w:val="24"/>
          <w:szCs w:val="24"/>
        </w:rPr>
        <w:t xml:space="preserve"> Repeals</w:t>
      </w:r>
    </w:p>
    <w:p w:rsidR="00E90EA7" w:rsidRDefault="00E90EA7" w:rsidP="00E90EA7">
      <w:pPr>
        <w:tabs>
          <w:tab w:val="left" w:pos="851"/>
        </w:tabs>
        <w:spacing w:after="240"/>
        <w:outlineLvl w:val="0"/>
      </w:pPr>
      <w:r>
        <w:t>This Schedule repeals Conformity Assessment Standards Order (Standard for Quality Management Systems and Quality Assurance Techniques) 2008.</w:t>
      </w:r>
    </w:p>
    <w:p w:rsidR="00E82F88" w:rsidRPr="00CD731C" w:rsidRDefault="00E82F88" w:rsidP="00480EFF">
      <w:pPr>
        <w:pStyle w:val="smallpara"/>
        <w:spacing w:before="0" w:beforeAutospacing="0" w:after="240" w:afterAutospacing="0"/>
        <w:jc w:val="right"/>
        <w:rPr>
          <w:rFonts w:ascii="Times New Roman" w:hAnsi="Times New Roman" w:cs="Times New Roman"/>
          <w:b/>
          <w:sz w:val="24"/>
          <w:szCs w:val="24"/>
        </w:rPr>
      </w:pPr>
      <w:r>
        <w:rPr>
          <w:rFonts w:ascii="Times New Roman" w:hAnsi="Times New Roman" w:cs="Times New Roman"/>
          <w:sz w:val="24"/>
          <w:szCs w:val="24"/>
        </w:rPr>
        <w:br w:type="page"/>
      </w:r>
      <w:r w:rsidR="009557E9" w:rsidRPr="00CD731C">
        <w:rPr>
          <w:rFonts w:ascii="Times New Roman" w:hAnsi="Times New Roman" w:cs="Times New Roman"/>
          <w:b/>
          <w:sz w:val="24"/>
          <w:szCs w:val="24"/>
        </w:rPr>
        <w:lastRenderedPageBreak/>
        <w:t>A</w:t>
      </w:r>
      <w:r w:rsidR="009557E9">
        <w:rPr>
          <w:rFonts w:ascii="Times New Roman" w:hAnsi="Times New Roman" w:cs="Times New Roman"/>
          <w:b/>
          <w:sz w:val="24"/>
          <w:szCs w:val="24"/>
        </w:rPr>
        <w:t>ttachment</w:t>
      </w:r>
      <w:r w:rsidR="009557E9" w:rsidRPr="00CD731C">
        <w:rPr>
          <w:rFonts w:ascii="Times New Roman" w:hAnsi="Times New Roman" w:cs="Times New Roman"/>
          <w:b/>
          <w:sz w:val="24"/>
          <w:szCs w:val="24"/>
        </w:rPr>
        <w:t xml:space="preserve"> </w:t>
      </w:r>
      <w:r w:rsidRPr="00CD731C">
        <w:rPr>
          <w:rFonts w:ascii="Times New Roman" w:hAnsi="Times New Roman" w:cs="Times New Roman"/>
          <w:b/>
          <w:sz w:val="24"/>
          <w:szCs w:val="24"/>
        </w:rPr>
        <w:t>B</w:t>
      </w:r>
    </w:p>
    <w:bookmarkEnd w:id="3"/>
    <w:bookmarkEnd w:id="4"/>
    <w:bookmarkEnd w:id="5"/>
    <w:p w:rsidR="00E82F88" w:rsidRPr="00B95376" w:rsidRDefault="00E82F88" w:rsidP="00E82F88">
      <w:pPr>
        <w:shd w:val="clear" w:color="auto" w:fill="FFFFFF"/>
        <w:spacing w:before="100" w:beforeAutospacing="1" w:after="120"/>
        <w:jc w:val="center"/>
        <w:rPr>
          <w:lang w:val="en-US"/>
        </w:rPr>
      </w:pPr>
      <w:r w:rsidRPr="00B95376">
        <w:rPr>
          <w:b/>
          <w:bCs/>
        </w:rPr>
        <w:t>Statement of Compatibility with Human Rights</w:t>
      </w:r>
    </w:p>
    <w:p w:rsidR="00E82F88" w:rsidRPr="00B947DB" w:rsidRDefault="00E82F88" w:rsidP="00143F97">
      <w:pPr>
        <w:shd w:val="clear" w:color="auto" w:fill="FFFFFF"/>
        <w:spacing w:before="100" w:beforeAutospacing="1" w:after="120"/>
        <w:rPr>
          <w:i/>
          <w:lang w:val="en-US"/>
        </w:rPr>
      </w:pPr>
      <w:proofErr w:type="gramStart"/>
      <w:r w:rsidRPr="00B947DB">
        <w:rPr>
          <w:i/>
        </w:rPr>
        <w:t>Prepared in accordance with Part 3 of the</w:t>
      </w:r>
      <w:r w:rsidRPr="002639F4">
        <w:rPr>
          <w:i/>
          <w:iCs/>
        </w:rPr>
        <w:t xml:space="preserve"> Human Rights (Parliamentary Scrutiny) Act 2011</w:t>
      </w:r>
      <w:r w:rsidRPr="00B947DB">
        <w:rPr>
          <w:i/>
        </w:rPr>
        <w:t>.</w:t>
      </w:r>
      <w:proofErr w:type="gramEnd"/>
    </w:p>
    <w:p w:rsidR="004725F8" w:rsidRDefault="004725F8" w:rsidP="00B947DB">
      <w:pPr>
        <w:shd w:val="clear" w:color="auto" w:fill="FFFFFF"/>
        <w:spacing w:before="100" w:beforeAutospacing="1" w:after="120"/>
        <w:jc w:val="center"/>
        <w:rPr>
          <w:b/>
          <w:i/>
        </w:rPr>
      </w:pPr>
      <w:r w:rsidRPr="00C825C6">
        <w:rPr>
          <w:b/>
          <w:i/>
        </w:rPr>
        <w:t>Therapeutic Goods (Conformity Assessment Standard for Quality Management Systems) Order 2019</w:t>
      </w:r>
    </w:p>
    <w:p w:rsidR="00E82F88" w:rsidRPr="00B95376" w:rsidRDefault="00E82F88" w:rsidP="00E82F88">
      <w:pPr>
        <w:shd w:val="clear" w:color="auto" w:fill="FFFFFF"/>
        <w:spacing w:before="100" w:beforeAutospacing="1" w:after="120"/>
        <w:rPr>
          <w:lang w:val="en-US"/>
        </w:rPr>
      </w:pPr>
      <w:r w:rsidRPr="00B95376">
        <w:t xml:space="preserve">This </w:t>
      </w:r>
      <w:r w:rsidR="007B7F5D">
        <w:t xml:space="preserve">disallowable </w:t>
      </w:r>
      <w:r w:rsidRPr="00B95376">
        <w:t xml:space="preserve">legislative instrument is compatible with the human rights and freedoms recognised or declared in the international instruments listed in section 3 of the </w:t>
      </w:r>
      <w:r w:rsidRPr="00B95376">
        <w:rPr>
          <w:i/>
          <w:iCs/>
        </w:rPr>
        <w:t>Human Rights (Parliamentary Scrutiny) Act 2011</w:t>
      </w:r>
      <w:r w:rsidRPr="00B95376">
        <w:t>.</w:t>
      </w:r>
    </w:p>
    <w:p w:rsidR="00E82F88" w:rsidRPr="00B95376" w:rsidRDefault="00E82F88" w:rsidP="00E82F88">
      <w:pPr>
        <w:shd w:val="clear" w:color="auto" w:fill="FFFFFF"/>
        <w:spacing w:before="100" w:beforeAutospacing="1" w:after="120"/>
        <w:rPr>
          <w:lang w:val="en-US"/>
        </w:rPr>
      </w:pPr>
      <w:r w:rsidRPr="00B95376">
        <w:rPr>
          <w:b/>
          <w:bCs/>
        </w:rPr>
        <w:t xml:space="preserve">Overview of the </w:t>
      </w:r>
      <w:r w:rsidR="00E554BB">
        <w:rPr>
          <w:b/>
          <w:bCs/>
        </w:rPr>
        <w:t>l</w:t>
      </w:r>
      <w:r w:rsidRPr="00B95376">
        <w:rPr>
          <w:b/>
          <w:bCs/>
        </w:rPr>
        <w:t xml:space="preserve">egislative </w:t>
      </w:r>
      <w:r w:rsidR="00E554BB">
        <w:rPr>
          <w:b/>
          <w:bCs/>
        </w:rPr>
        <w:t>i</w:t>
      </w:r>
      <w:r w:rsidRPr="00B95376">
        <w:rPr>
          <w:b/>
          <w:bCs/>
        </w:rPr>
        <w:t>nstrument</w:t>
      </w:r>
      <w:bookmarkStart w:id="6" w:name="_GoBack"/>
      <w:bookmarkEnd w:id="6"/>
    </w:p>
    <w:p w:rsidR="00515EDC" w:rsidRDefault="007B7F5D" w:rsidP="00515EDC">
      <w:pPr>
        <w:spacing w:after="240"/>
      </w:pPr>
      <w:r w:rsidRPr="00B947DB">
        <w:t>The</w:t>
      </w:r>
      <w:r>
        <w:rPr>
          <w:i/>
        </w:rPr>
        <w:t xml:space="preserve"> </w:t>
      </w:r>
      <w:r w:rsidR="00835205" w:rsidRPr="006A6517">
        <w:rPr>
          <w:i/>
        </w:rPr>
        <w:t>Therapeutic Goods (Conformity Assessment Standard for Quality Management Systems</w:t>
      </w:r>
      <w:r w:rsidR="00835205">
        <w:rPr>
          <w:i/>
        </w:rPr>
        <w:t xml:space="preserve">) </w:t>
      </w:r>
      <w:r w:rsidR="00835205" w:rsidRPr="006A6517">
        <w:rPr>
          <w:i/>
        </w:rPr>
        <w:t xml:space="preserve">Order </w:t>
      </w:r>
      <w:r w:rsidR="00835205" w:rsidRPr="00B947DB">
        <w:rPr>
          <w:i/>
        </w:rPr>
        <w:t>2019</w:t>
      </w:r>
      <w:r w:rsidR="00835205">
        <w:t xml:space="preserve"> is an order made by </w:t>
      </w:r>
      <w:r w:rsidR="00804D64">
        <w:t xml:space="preserve">a </w:t>
      </w:r>
      <w:r w:rsidR="00835205">
        <w:t xml:space="preserve">delegate of the Minister under section 41DC of the </w:t>
      </w:r>
      <w:r w:rsidR="00835205" w:rsidRPr="00835205">
        <w:rPr>
          <w:i/>
        </w:rPr>
        <w:t>Therapeutic Goods Act 1989</w:t>
      </w:r>
      <w:r w:rsidR="00835205">
        <w:t xml:space="preserve"> (</w:t>
      </w:r>
      <w:r w:rsidR="00E554BB">
        <w:t>“</w:t>
      </w:r>
      <w:r w:rsidR="00835205">
        <w:t>the Act</w:t>
      </w:r>
      <w:r w:rsidR="00E554BB">
        <w:t>”</w:t>
      </w:r>
      <w:r w:rsidR="00835205">
        <w:t>)</w:t>
      </w:r>
      <w:r w:rsidR="00E554BB">
        <w:t xml:space="preserve"> and commences on 31 March 2019.</w:t>
      </w:r>
      <w:r w:rsidR="00804D64">
        <w:t xml:space="preserve"> </w:t>
      </w:r>
      <w:r w:rsidR="00515EDC">
        <w:t>Section 41DC of the Act allows the Minister to make an order by legislative instrument, determining that the matters specified in such an order constitute a conformity assessment standard for the quality management systems (QMS) identified in the order, with the effect that where a medical device manufacturer’s QMS complies with the order, the system is to be treated as having had applied to it those parts of the conformity assessment procedures specified in the order.</w:t>
      </w:r>
      <w:r w:rsidR="00515EDC" w:rsidRPr="00E554BB">
        <w:t xml:space="preserve"> </w:t>
      </w:r>
    </w:p>
    <w:p w:rsidR="00535274" w:rsidRDefault="00E554BB" w:rsidP="004725F8">
      <w:pPr>
        <w:spacing w:after="240"/>
      </w:pPr>
      <w:r>
        <w:t>The instrument</w:t>
      </w:r>
      <w:r w:rsidR="00B42D7C">
        <w:t xml:space="preserve"> is designed</w:t>
      </w:r>
      <w:r w:rsidR="00835205">
        <w:t xml:space="preserve"> </w:t>
      </w:r>
      <w:r w:rsidR="004725F8">
        <w:t xml:space="preserve">to provide an </w:t>
      </w:r>
      <w:r w:rsidR="00317F45">
        <w:t xml:space="preserve">alternative </w:t>
      </w:r>
      <w:r w:rsidR="004725F8">
        <w:t>means for manufacturers of medical devices to dem</w:t>
      </w:r>
      <w:r w:rsidR="00535274">
        <w:t>onstrate that they have applied specified</w:t>
      </w:r>
      <w:r w:rsidR="004725F8">
        <w:t xml:space="preserve"> conformity assessment procedures </w:t>
      </w:r>
      <w:r w:rsidR="00535274">
        <w:t xml:space="preserve">in </w:t>
      </w:r>
      <w:r w:rsidR="00784911">
        <w:t xml:space="preserve">its </w:t>
      </w:r>
      <w:r w:rsidR="00535274">
        <w:t xml:space="preserve">manufacturing processes. </w:t>
      </w:r>
      <w:r w:rsidR="00515EDC">
        <w:t>C</w:t>
      </w:r>
      <w:r w:rsidR="00535274">
        <w:t>onformity assessment procedures</w:t>
      </w:r>
      <w:r w:rsidR="00515EDC" w:rsidRPr="00515EDC">
        <w:t xml:space="preserve"> </w:t>
      </w:r>
      <w:r w:rsidR="00515EDC">
        <w:t>are manufacturing standards specifically designed for the manufacture of medical devices and</w:t>
      </w:r>
      <w:r w:rsidR="00535274">
        <w:t xml:space="preserve"> are</w:t>
      </w:r>
      <w:r>
        <w:t xml:space="preserve"> set out</w:t>
      </w:r>
      <w:r w:rsidR="00535274">
        <w:t xml:space="preserve"> in Schedule 3 to the </w:t>
      </w:r>
      <w:r w:rsidR="00535274" w:rsidRPr="004101B2">
        <w:rPr>
          <w:i/>
        </w:rPr>
        <w:t>Therapeutic Goods (Medical Devices) Regulations 2002</w:t>
      </w:r>
      <w:r w:rsidR="00535274">
        <w:t xml:space="preserve"> (</w:t>
      </w:r>
      <w:r w:rsidR="007B7F5D">
        <w:t>“</w:t>
      </w:r>
      <w:r w:rsidR="00535274">
        <w:t>the MD Regulations</w:t>
      </w:r>
      <w:r w:rsidR="007B7F5D">
        <w:t>”</w:t>
      </w:r>
      <w:r w:rsidR="00535274">
        <w:t>).</w:t>
      </w:r>
    </w:p>
    <w:p w:rsidR="004725F8" w:rsidRDefault="004725F8" w:rsidP="004725F8">
      <w:pPr>
        <w:spacing w:after="240"/>
      </w:pPr>
      <w:r>
        <w:t xml:space="preserve">The </w:t>
      </w:r>
      <w:r w:rsidR="00E554BB">
        <w:t>instrument</w:t>
      </w:r>
      <w:r w:rsidR="007B7F5D">
        <w:t xml:space="preserve"> </w:t>
      </w:r>
      <w:r>
        <w:t>does this by reference to a number of standards</w:t>
      </w:r>
      <w:r w:rsidR="00515EDC">
        <w:t>,</w:t>
      </w:r>
      <w:r>
        <w:t xml:space="preserve"> </w:t>
      </w:r>
      <w:r w:rsidR="00535274">
        <w:t>or parts of standards</w:t>
      </w:r>
      <w:r w:rsidR="00515EDC">
        <w:t>,</w:t>
      </w:r>
      <w:r w:rsidR="00535274">
        <w:t xml:space="preserve"> </w:t>
      </w:r>
      <w:r>
        <w:t>published by the International Organisation for Standardization (</w:t>
      </w:r>
      <w:r w:rsidR="007B7F5D">
        <w:t xml:space="preserve">“the </w:t>
      </w:r>
      <w:r>
        <w:t>ISO</w:t>
      </w:r>
      <w:r w:rsidR="007B7F5D">
        <w:t>”</w:t>
      </w:r>
      <w:r>
        <w:t>).</w:t>
      </w:r>
      <w:r w:rsidR="00B42D7C">
        <w:t xml:space="preserve"> </w:t>
      </w:r>
      <w:r>
        <w:t xml:space="preserve">The </w:t>
      </w:r>
      <w:r w:rsidR="007B7F5D">
        <w:t xml:space="preserve">instrument </w:t>
      </w:r>
      <w:r>
        <w:t xml:space="preserve">has the effect that if a manufacturer’s QMS complies with the standard specified in the </w:t>
      </w:r>
      <w:r w:rsidR="007B7F5D">
        <w:t>instrument</w:t>
      </w:r>
      <w:r>
        <w:t>, it will be treated as having had applied to it those parts of the conformity assessment p</w:t>
      </w:r>
      <w:r w:rsidR="00DE76C8">
        <w:t>rocedures specified in the instrument</w:t>
      </w:r>
      <w:r>
        <w:t>.</w:t>
      </w:r>
    </w:p>
    <w:p w:rsidR="004725F8" w:rsidRDefault="004725F8" w:rsidP="004725F8">
      <w:pPr>
        <w:spacing w:after="240"/>
      </w:pPr>
      <w:r>
        <w:t xml:space="preserve">The </w:t>
      </w:r>
      <w:r w:rsidR="007B7F5D">
        <w:t xml:space="preserve">instrument </w:t>
      </w:r>
      <w:r>
        <w:t xml:space="preserve">repeals and replaces the </w:t>
      </w:r>
      <w:r w:rsidRPr="00B947DB">
        <w:t>Conformity Assessment Standards Order (Standard for Quality Management Systems and Quality Assurance Techniques) 2008</w:t>
      </w:r>
      <w:r>
        <w:t xml:space="preserve"> (</w:t>
      </w:r>
      <w:r w:rsidR="007B7F5D">
        <w:t>“</w:t>
      </w:r>
      <w:r>
        <w:t xml:space="preserve">the </w:t>
      </w:r>
      <w:r w:rsidR="007B7F5D">
        <w:t xml:space="preserve">former </w:t>
      </w:r>
      <w:r>
        <w:t>Order</w:t>
      </w:r>
      <w:r w:rsidR="007B7F5D">
        <w:t>”</w:t>
      </w:r>
      <w:r>
        <w:t>), which would otherwise sunset on 1 April 2019</w:t>
      </w:r>
      <w:r w:rsidR="00804D64">
        <w:t xml:space="preserve"> under the sunsetting provisions of the </w:t>
      </w:r>
      <w:r w:rsidR="00804D64" w:rsidRPr="006B7678">
        <w:rPr>
          <w:i/>
        </w:rPr>
        <w:t>Legislation Act 2003</w:t>
      </w:r>
      <w:r>
        <w:t>.</w:t>
      </w:r>
    </w:p>
    <w:p w:rsidR="00E554BB" w:rsidRDefault="003671F2" w:rsidP="00E554BB">
      <w:pPr>
        <w:spacing w:after="240"/>
      </w:pPr>
      <w:r>
        <w:t xml:space="preserve">The purpose of such conformity assessment standards orders is to provide medical device manufactures with a flexible option of demonstrating that </w:t>
      </w:r>
      <w:r w:rsidR="00784911">
        <w:t xml:space="preserve">it has </w:t>
      </w:r>
      <w:r>
        <w:t xml:space="preserve">applied the conformity assessment procedures to the kinds of medical devices that </w:t>
      </w:r>
      <w:r w:rsidR="00784911">
        <w:t xml:space="preserve">it is </w:t>
      </w:r>
      <w:r>
        <w:t xml:space="preserve">manufacturing, through being able to demonstrate that </w:t>
      </w:r>
      <w:r w:rsidR="00784911">
        <w:t xml:space="preserve">it has </w:t>
      </w:r>
      <w:r>
        <w:t>an effective QMS in place that is consistent with international benchmarks. Compliance with conformity assessment standards orders is not mandatory, but designed to offer a more flexible and quicker means of demonstrating compliance with the conformity assessment procedures.</w:t>
      </w:r>
      <w:r w:rsidR="00E554BB" w:rsidRPr="00E554BB">
        <w:t xml:space="preserve"> </w:t>
      </w:r>
    </w:p>
    <w:p w:rsidR="00E554BB" w:rsidRDefault="003671F2" w:rsidP="00E554BB">
      <w:pPr>
        <w:spacing w:after="240"/>
      </w:pPr>
      <w:r>
        <w:lastRenderedPageBreak/>
        <w:t xml:space="preserve">Subsection </w:t>
      </w:r>
      <w:proofErr w:type="gramStart"/>
      <w:r>
        <w:t>41MG(</w:t>
      </w:r>
      <w:proofErr w:type="gramEnd"/>
      <w:r>
        <w:t xml:space="preserve">1) of the Act makes this clear by providing that the criminal offence and civil penalty provisions in the Act that relate to failing to apply the conformity assessment procedures (sections 41ME, 41MEA and 41MF) do not apply to the extent that a QMS that has been applied to a manufacturer’s or sponsor’s devices complies with one or more applicable conformity assessment standards.  </w:t>
      </w:r>
    </w:p>
    <w:p w:rsidR="00E554BB" w:rsidRDefault="00963A4C" w:rsidP="00E554BB">
      <w:pPr>
        <w:spacing w:after="240"/>
      </w:pPr>
      <w:r>
        <w:t>Given the end of the ISO’s transition period and its endorsement of ISO 13485:2016 from 1</w:t>
      </w:r>
      <w:r w:rsidR="007753FA">
        <w:t> </w:t>
      </w:r>
      <w:r>
        <w:t xml:space="preserve">March 2019, and that the </w:t>
      </w:r>
      <w:r w:rsidR="00EA196D">
        <w:t xml:space="preserve">former </w:t>
      </w:r>
      <w:r>
        <w:t xml:space="preserve">Order would sunset from 1 April 2019, the </w:t>
      </w:r>
      <w:r w:rsidR="00EA196D">
        <w:t xml:space="preserve">instrument </w:t>
      </w:r>
      <w:r>
        <w:t xml:space="preserve">repeals and replaces the </w:t>
      </w:r>
      <w:r w:rsidR="00EA196D">
        <w:t xml:space="preserve">former </w:t>
      </w:r>
      <w:r>
        <w:t xml:space="preserve">Order with a new </w:t>
      </w:r>
      <w:r w:rsidR="00EA196D">
        <w:t>o</w:t>
      </w:r>
      <w:r>
        <w:t>rder that, in particular, substitutes the references to ISO 13485:2003 with references to the new ISO 13485:2016.</w:t>
      </w:r>
      <w:r w:rsidR="00E554BB" w:rsidRPr="00E554BB">
        <w:t xml:space="preserve"> </w:t>
      </w:r>
    </w:p>
    <w:p w:rsidR="00E554BB" w:rsidRDefault="00963A4C" w:rsidP="00E554BB">
      <w:pPr>
        <w:spacing w:after="240"/>
      </w:pPr>
      <w:r>
        <w:t>This follows the recent action of other comparable overseas regulators to replace requirements relating to ISO 13485:2003 with ISO 13485:2016, such as Health Canada from 1 January 2019, and the European Union from 31 March 2019.</w:t>
      </w:r>
      <w:r w:rsidR="00E554BB" w:rsidRPr="00E554BB">
        <w:t xml:space="preserve"> </w:t>
      </w:r>
    </w:p>
    <w:p w:rsidR="007D3417" w:rsidRDefault="007D3417" w:rsidP="00B947DB">
      <w:r>
        <w:t xml:space="preserve">In </w:t>
      </w:r>
      <w:r w:rsidR="00A519F1">
        <w:t>comparison with ISO 13485:2003, t</w:t>
      </w:r>
      <w:r>
        <w:t xml:space="preserve">he adoption of the new ISO 13485:2016 includes, in particular, requirements that: </w:t>
      </w:r>
    </w:p>
    <w:p w:rsidR="007D3417" w:rsidRDefault="007D3417" w:rsidP="00B947DB">
      <w:pPr>
        <w:pStyle w:val="ListParagraph"/>
        <w:numPr>
          <w:ilvl w:val="0"/>
          <w:numId w:val="21"/>
        </w:numPr>
        <w:spacing w:before="120" w:after="240"/>
      </w:pPr>
      <w:r>
        <w:t xml:space="preserve">all processes that are part of a manufacturer’s QMS be developed using a risk-based approach, including outsourced processes; </w:t>
      </w:r>
    </w:p>
    <w:p w:rsidR="007D3417" w:rsidRDefault="007D3417" w:rsidP="007D3417">
      <w:pPr>
        <w:pStyle w:val="ListParagraph"/>
        <w:numPr>
          <w:ilvl w:val="0"/>
          <w:numId w:val="21"/>
        </w:numPr>
        <w:spacing w:after="240"/>
      </w:pPr>
      <w:r>
        <w:t>a comprehensive technical file be maintained for each manufactured device that includes a description of the device, relevant specifications and other records; and</w:t>
      </w:r>
    </w:p>
    <w:p w:rsidR="007D3417" w:rsidRDefault="007D3417" w:rsidP="007D3417">
      <w:pPr>
        <w:pStyle w:val="ListParagraph"/>
        <w:numPr>
          <w:ilvl w:val="0"/>
          <w:numId w:val="21"/>
        </w:numPr>
        <w:spacing w:after="240"/>
      </w:pPr>
      <w:proofErr w:type="gramStart"/>
      <w:r>
        <w:t>relate</w:t>
      </w:r>
      <w:proofErr w:type="gramEnd"/>
      <w:r>
        <w:t xml:space="preserve"> to the validation of computer software used in the QMS, complaints handling and regulatory reporting processes, the validation of processes for sterilisation and sterile barrier systems and defining and assessing the competencies of personnel.</w:t>
      </w:r>
    </w:p>
    <w:p w:rsidR="00E554BB" w:rsidRDefault="00963A4C" w:rsidP="00B947DB">
      <w:r>
        <w:t>A number of the other ISO</w:t>
      </w:r>
      <w:r w:rsidR="00EA196D">
        <w:t xml:space="preserve"> standard</w:t>
      </w:r>
      <w:r>
        <w:t>s or parts of ISO</w:t>
      </w:r>
      <w:r w:rsidR="00EA196D">
        <w:t xml:space="preserve"> standard</w:t>
      </w:r>
      <w:r>
        <w:t xml:space="preserve">s referred to in the </w:t>
      </w:r>
      <w:r w:rsidR="00EA196D">
        <w:t xml:space="preserve">former </w:t>
      </w:r>
      <w:r w:rsidR="00CD617C">
        <w:t>Order</w:t>
      </w:r>
      <w:r>
        <w:t xml:space="preserve"> have also been updated by the ISO since </w:t>
      </w:r>
      <w:r w:rsidR="00EA196D">
        <w:t xml:space="preserve">that </w:t>
      </w:r>
      <w:r w:rsidR="00CD617C">
        <w:t>order</w:t>
      </w:r>
      <w:r>
        <w:t xml:space="preserve"> was first introduced</w:t>
      </w:r>
      <w:r w:rsidR="00EA196D">
        <w:t xml:space="preserve">, </w:t>
      </w:r>
      <w:r>
        <w:t>for example</w:t>
      </w:r>
      <w:r w:rsidR="00EA196D">
        <w:t>:</w:t>
      </w:r>
    </w:p>
    <w:p w:rsidR="00EA196D" w:rsidRPr="00B947DB" w:rsidRDefault="00963A4C" w:rsidP="00B947DB">
      <w:pPr>
        <w:pStyle w:val="ListParagraph"/>
        <w:numPr>
          <w:ilvl w:val="0"/>
          <w:numId w:val="19"/>
        </w:numPr>
        <w:tabs>
          <w:tab w:val="left" w:pos="2569"/>
        </w:tabs>
        <w:spacing w:before="120"/>
        <w:ind w:left="777" w:hanging="357"/>
        <w:contextualSpacing w:val="0"/>
        <w:rPr>
          <w:sz w:val="20"/>
        </w:rPr>
      </w:pPr>
      <w:r>
        <w:t xml:space="preserve">ISO 11137-2:2006 </w:t>
      </w:r>
      <w:r w:rsidRPr="00B947DB">
        <w:rPr>
          <w:i/>
        </w:rPr>
        <w:t>Sterilization of health care products</w:t>
      </w:r>
      <w:r w:rsidR="00EA196D">
        <w:sym w:font="Symbol" w:char="F0BE"/>
      </w:r>
      <w:r w:rsidRPr="00B947DB">
        <w:rPr>
          <w:i/>
        </w:rPr>
        <w:t>Radiation</w:t>
      </w:r>
      <w:r w:rsidR="00EA196D">
        <w:sym w:font="Symbol" w:char="F0BE"/>
      </w:r>
      <w:r w:rsidRPr="00B947DB">
        <w:rPr>
          <w:i/>
        </w:rPr>
        <w:t>Part 2: Establishing the sterilization dose</w:t>
      </w:r>
      <w:r>
        <w:t xml:space="preserve"> </w:t>
      </w:r>
      <w:r w:rsidR="00EA196D">
        <w:t>has been revised by</w:t>
      </w:r>
      <w:r>
        <w:t xml:space="preserve"> ISO 11137-2:2013 </w:t>
      </w:r>
      <w:r w:rsidRPr="00B947DB">
        <w:rPr>
          <w:i/>
        </w:rPr>
        <w:t>Sterilization of health care products</w:t>
      </w:r>
      <w:r w:rsidR="00EA196D">
        <w:rPr>
          <w:i/>
        </w:rPr>
        <w:sym w:font="Symbol" w:char="F0BE"/>
      </w:r>
      <w:r w:rsidRPr="00B947DB">
        <w:rPr>
          <w:i/>
        </w:rPr>
        <w:t>Radiation</w:t>
      </w:r>
      <w:r w:rsidR="00EA196D">
        <w:rPr>
          <w:i/>
        </w:rPr>
        <w:sym w:font="Symbol" w:char="F0BE"/>
      </w:r>
      <w:r w:rsidRPr="00B947DB">
        <w:rPr>
          <w:i/>
        </w:rPr>
        <w:t>Part 2: Establishing the sterilization dose</w:t>
      </w:r>
      <w:r w:rsidR="00EA196D">
        <w:t>;</w:t>
      </w:r>
      <w:r>
        <w:t xml:space="preserve"> and</w:t>
      </w:r>
    </w:p>
    <w:p w:rsidR="00A519F1" w:rsidRDefault="00963A4C" w:rsidP="00B947DB">
      <w:pPr>
        <w:pStyle w:val="ListParagraph"/>
        <w:numPr>
          <w:ilvl w:val="0"/>
          <w:numId w:val="19"/>
        </w:numPr>
        <w:tabs>
          <w:tab w:val="left" w:pos="2569"/>
        </w:tabs>
        <w:spacing w:before="120"/>
        <w:ind w:left="777" w:hanging="357"/>
        <w:contextualSpacing w:val="0"/>
      </w:pPr>
      <w:r>
        <w:t xml:space="preserve">ISO 13408-1:1998 </w:t>
      </w:r>
      <w:r w:rsidRPr="00B947DB">
        <w:rPr>
          <w:i/>
        </w:rPr>
        <w:t>Aseptic processing of health care products</w:t>
      </w:r>
      <w:r w:rsidR="00EA196D">
        <w:rPr>
          <w:i/>
        </w:rPr>
        <w:sym w:font="Symbol" w:char="F0BE"/>
      </w:r>
      <w:r w:rsidRPr="00B947DB">
        <w:rPr>
          <w:i/>
        </w:rPr>
        <w:t>Part 1: General requirements</w:t>
      </w:r>
      <w:r>
        <w:t xml:space="preserve"> </w:t>
      </w:r>
      <w:r w:rsidR="00EA196D">
        <w:t xml:space="preserve">has been revised by </w:t>
      </w:r>
      <w:r w:rsidRPr="00F0004E">
        <w:t xml:space="preserve">ISO 13408-1:2008 </w:t>
      </w:r>
      <w:r w:rsidRPr="00B947DB">
        <w:rPr>
          <w:i/>
        </w:rPr>
        <w:t>Aseptic processing of health care products</w:t>
      </w:r>
      <w:r w:rsidR="00EA196D">
        <w:rPr>
          <w:i/>
        </w:rPr>
        <w:sym w:font="Symbol" w:char="F0BE"/>
      </w:r>
      <w:r w:rsidRPr="00B947DB">
        <w:rPr>
          <w:i/>
        </w:rPr>
        <w:t>Part 1: General requirements</w:t>
      </w:r>
      <w:r w:rsidRPr="00F0004E">
        <w:t>.</w:t>
      </w:r>
    </w:p>
    <w:p w:rsidR="00A519F1" w:rsidRDefault="00A519F1" w:rsidP="00B947DB">
      <w:pPr>
        <w:shd w:val="clear" w:color="auto" w:fill="FFFFFF"/>
        <w:spacing w:before="100" w:beforeAutospacing="1" w:after="120"/>
      </w:pPr>
      <w:r>
        <w:t>These i</w:t>
      </w:r>
      <w:r w:rsidRPr="005F32E8">
        <w:t xml:space="preserve">nternational standards are </w:t>
      </w:r>
      <w:r>
        <w:t xml:space="preserve">important </w:t>
      </w:r>
      <w:r w:rsidRPr="005F32E8">
        <w:t xml:space="preserve">documents that are developed and updated by groups of international experts </w:t>
      </w:r>
      <w:r>
        <w:t>(with</w:t>
      </w:r>
      <w:r w:rsidRPr="005F32E8">
        <w:t xml:space="preserve"> </w:t>
      </w:r>
      <w:r>
        <w:t xml:space="preserve">some involvement of </w:t>
      </w:r>
      <w:r w:rsidRPr="005F32E8">
        <w:t>Australian representatives</w:t>
      </w:r>
      <w:r>
        <w:t>)</w:t>
      </w:r>
      <w:r w:rsidRPr="005F32E8">
        <w:t xml:space="preserve">. Updates to </w:t>
      </w:r>
      <w:r w:rsidR="00F50C78">
        <w:t xml:space="preserve">the international standards </w:t>
      </w:r>
      <w:r w:rsidRPr="005F32E8">
        <w:t>reflect changes to international best practice</w:t>
      </w:r>
      <w:r>
        <w:t xml:space="preserve"> and</w:t>
      </w:r>
      <w:r w:rsidRPr="005F32E8">
        <w:t xml:space="preserve"> the emergence of new technologies and manufacturing procedures</w:t>
      </w:r>
      <w:r>
        <w:t xml:space="preserve">, and the adoption of more up to date versions </w:t>
      </w:r>
      <w:r w:rsidR="00F50C78">
        <w:t xml:space="preserve">of the standards </w:t>
      </w:r>
      <w:r w:rsidR="00DE76C8">
        <w:t>by the instrument</w:t>
      </w:r>
      <w:r>
        <w:t xml:space="preserve"> is designed to ensure that it reflects current and internationally consistent requirements for QMSs</w:t>
      </w:r>
      <w:r w:rsidRPr="005F32E8">
        <w:t>.</w:t>
      </w:r>
    </w:p>
    <w:p w:rsidR="00E82F88" w:rsidRPr="00B947DB" w:rsidRDefault="00E82F88" w:rsidP="00B947DB">
      <w:pPr>
        <w:shd w:val="clear" w:color="auto" w:fill="FFFFFF"/>
        <w:spacing w:before="100" w:beforeAutospacing="1" w:after="120"/>
        <w:rPr>
          <w:b/>
          <w:bCs/>
        </w:rPr>
      </w:pPr>
      <w:r w:rsidRPr="00B95376">
        <w:rPr>
          <w:b/>
          <w:bCs/>
        </w:rPr>
        <w:t>Human rights implications</w:t>
      </w:r>
    </w:p>
    <w:p w:rsidR="00E554BB" w:rsidRDefault="00EA196D" w:rsidP="00E554BB">
      <w:pPr>
        <w:spacing w:after="240"/>
      </w:pPr>
      <w:r>
        <w:t xml:space="preserve">The instrument </w:t>
      </w:r>
      <w:r w:rsidRPr="00567BD7">
        <w:t xml:space="preserve">engages the right to health in </w:t>
      </w:r>
      <w:r>
        <w:t>A</w:t>
      </w:r>
      <w:r w:rsidRPr="00567BD7">
        <w:t>rticle 12 of the International Covenant on Economic, Social and Cultural Rights (</w:t>
      </w:r>
      <w:r>
        <w:t>“</w:t>
      </w:r>
      <w:r w:rsidRPr="00567BD7">
        <w:t>the ICESCR</w:t>
      </w:r>
      <w:r>
        <w:t>”</w:t>
      </w:r>
      <w:r w:rsidRPr="00567BD7">
        <w:t>).</w:t>
      </w:r>
      <w:r>
        <w:t xml:space="preserve"> </w:t>
      </w:r>
      <w:r w:rsidRPr="00567BD7">
        <w:t xml:space="preserve">Article 12 of the IESCR promotes the right of all individuals to enjoy the highest attainable standard of physical and mental health, and includes an obligation to take reasonable measures within available resources to progressively secure broader enjoyment of the right. In </w:t>
      </w:r>
      <w:r w:rsidRPr="00567BD7">
        <w:rPr>
          <w:i/>
          <w:iCs/>
        </w:rPr>
        <w:t xml:space="preserve">General Comment No. 14: The Right </w:t>
      </w:r>
      <w:r w:rsidRPr="00567BD7">
        <w:rPr>
          <w:i/>
          <w:iCs/>
        </w:rPr>
        <w:lastRenderedPageBreak/>
        <w:t xml:space="preserve">to the Highest Attainable Standard of Health (Art. 12) </w:t>
      </w:r>
      <w:r w:rsidRPr="00567BD7">
        <w:t>(2000),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r w:rsidR="00E554BB" w:rsidRPr="00E554BB">
        <w:t xml:space="preserve"> </w:t>
      </w:r>
    </w:p>
    <w:p w:rsidR="00E554BB" w:rsidRDefault="00EA196D" w:rsidP="00E554BB">
      <w:pPr>
        <w:spacing w:after="240"/>
      </w:pPr>
      <w:r w:rsidRPr="00567BD7">
        <w:t xml:space="preserve">The </w:t>
      </w:r>
      <w:r>
        <w:t xml:space="preserve">instrument </w:t>
      </w:r>
      <w:r w:rsidRPr="00567BD7">
        <w:t xml:space="preserve">takes positive steps to promote the right to health by </w:t>
      </w:r>
      <w:r>
        <w:t xml:space="preserve">offering manufacturers of medical devices a flexible and </w:t>
      </w:r>
      <w:r w:rsidR="007753FA">
        <w:t>efficient</w:t>
      </w:r>
      <w:r>
        <w:t xml:space="preserve"> option of demonstrating that appropriate conformity assessment procedures have been applied to </w:t>
      </w:r>
      <w:r w:rsidR="00A519F1">
        <w:t xml:space="preserve">the manufacture of </w:t>
      </w:r>
      <w:r w:rsidR="000C23E5">
        <w:t>its</w:t>
      </w:r>
      <w:r>
        <w:t xml:space="preserve"> medical devices</w:t>
      </w:r>
      <w:r w:rsidR="00A519F1">
        <w:t>, by reference to standards developed by the ISO and that are consistent with international best practice in relation to manufacturing medical devices</w:t>
      </w:r>
      <w:r>
        <w:t xml:space="preserve">. </w:t>
      </w:r>
      <w:r w:rsidR="00A519F1">
        <w:t>As such, t</w:t>
      </w:r>
      <w:r>
        <w:t>h</w:t>
      </w:r>
      <w:r w:rsidR="00A519F1">
        <w:t>e instrument</w:t>
      </w:r>
      <w:r>
        <w:t xml:space="preserve"> will assist in ensuring the </w:t>
      </w:r>
      <w:r w:rsidRPr="007B784B">
        <w:rPr>
          <w:sz w:val="23"/>
          <w:szCs w:val="23"/>
        </w:rPr>
        <w:t>safety and satisfactory performance of medical devices</w:t>
      </w:r>
      <w:r>
        <w:rPr>
          <w:sz w:val="23"/>
          <w:szCs w:val="23"/>
        </w:rPr>
        <w:t>, as well as</w:t>
      </w:r>
      <w:r w:rsidRPr="007B784B">
        <w:rPr>
          <w:sz w:val="23"/>
          <w:szCs w:val="23"/>
        </w:rPr>
        <w:t xml:space="preserve"> their timely availability</w:t>
      </w:r>
      <w:r>
        <w:rPr>
          <w:sz w:val="23"/>
          <w:szCs w:val="23"/>
        </w:rPr>
        <w:t>,</w:t>
      </w:r>
      <w:r w:rsidRPr="006009EA">
        <w:rPr>
          <w:sz w:val="23"/>
          <w:szCs w:val="23"/>
        </w:rPr>
        <w:t xml:space="preserve"> </w:t>
      </w:r>
      <w:r w:rsidRPr="007B784B">
        <w:rPr>
          <w:sz w:val="23"/>
          <w:szCs w:val="23"/>
        </w:rPr>
        <w:t>in Australia</w:t>
      </w:r>
      <w:r>
        <w:rPr>
          <w:sz w:val="23"/>
          <w:szCs w:val="23"/>
        </w:rPr>
        <w:t>.</w:t>
      </w:r>
      <w:r w:rsidR="00E554BB" w:rsidRPr="00E554BB">
        <w:t xml:space="preserve"> </w:t>
      </w:r>
    </w:p>
    <w:p w:rsidR="00E82F88" w:rsidRPr="00B95376" w:rsidRDefault="00E82F88" w:rsidP="00E82F88">
      <w:pPr>
        <w:shd w:val="clear" w:color="auto" w:fill="FFFFFF"/>
        <w:spacing w:before="100" w:beforeAutospacing="1" w:after="120"/>
        <w:rPr>
          <w:lang w:val="en-US"/>
        </w:rPr>
      </w:pPr>
      <w:r w:rsidRPr="00B95376">
        <w:rPr>
          <w:b/>
          <w:bCs/>
        </w:rPr>
        <w:t>Conclusion</w:t>
      </w:r>
    </w:p>
    <w:p w:rsidR="00E554BB" w:rsidRDefault="00165946" w:rsidP="00E554BB">
      <w:pPr>
        <w:spacing w:after="240"/>
      </w:pPr>
      <w:r>
        <w:t>T</w:t>
      </w:r>
      <w:r w:rsidR="00480EFF">
        <w:t xml:space="preserve">he </w:t>
      </w:r>
      <w:r>
        <w:t xml:space="preserve">instrument </w:t>
      </w:r>
      <w:r w:rsidR="00480EFF">
        <w:t>is</w:t>
      </w:r>
      <w:r w:rsidR="00E82F88">
        <w:t xml:space="preserve"> </w:t>
      </w:r>
      <w:r w:rsidR="00E82F88" w:rsidRPr="00B95376">
        <w:t xml:space="preserve">compatible with human rights </w:t>
      </w:r>
      <w:r w:rsidR="00E82F88">
        <w:t xml:space="preserve">because it </w:t>
      </w:r>
      <w:r>
        <w:t xml:space="preserve">promotes the right to health in Article 12 of the ICESCR as outlined above, and otherwise </w:t>
      </w:r>
      <w:r w:rsidR="00E82F88" w:rsidRPr="00B95376">
        <w:t>does not raise any human rights issues.</w:t>
      </w:r>
      <w:r w:rsidR="00E554BB" w:rsidRPr="00E554BB">
        <w:t xml:space="preserve"> </w:t>
      </w:r>
    </w:p>
    <w:p w:rsidR="00E82F88" w:rsidRPr="009234AA" w:rsidRDefault="00DE76C8" w:rsidP="00E82F88">
      <w:pPr>
        <w:shd w:val="clear" w:color="auto" w:fill="FFFFFF"/>
        <w:spacing w:before="100" w:beforeAutospacing="1" w:after="120"/>
      </w:pPr>
      <w:r>
        <w:rPr>
          <w:b/>
          <w:bCs/>
        </w:rPr>
        <w:t>Miranda Lauman</w:t>
      </w:r>
      <w:r w:rsidR="00E82F88" w:rsidRPr="00B95376">
        <w:rPr>
          <w:b/>
          <w:bCs/>
        </w:rPr>
        <w:t xml:space="preserve">, delegate of the Minister for Health </w:t>
      </w:r>
    </w:p>
    <w:p w:rsidR="004618D4" w:rsidRPr="00E82F88" w:rsidRDefault="004618D4" w:rsidP="007753FA"/>
    <w:sectPr w:rsidR="004618D4" w:rsidRPr="00E82F88" w:rsidSect="00121233">
      <w:footerReference w:type="default" r:id="rId15"/>
      <w:headerReference w:type="first" r:id="rId16"/>
      <w:footerReference w:type="first" r:id="rId17"/>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46B" w:rsidRDefault="0077646B">
      <w:r>
        <w:separator/>
      </w:r>
    </w:p>
  </w:endnote>
  <w:endnote w:type="continuationSeparator" w:id="0">
    <w:p w:rsidR="0077646B" w:rsidRDefault="0077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Times New (W1)">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15083"/>
      <w:docPartObj>
        <w:docPartGallery w:val="Page Numbers (Bottom of Page)"/>
        <w:docPartUnique/>
      </w:docPartObj>
    </w:sdtPr>
    <w:sdtEndPr>
      <w:rPr>
        <w:noProof/>
      </w:rPr>
    </w:sdtEndPr>
    <w:sdtContent>
      <w:p w:rsidR="00121233" w:rsidRDefault="00121233">
        <w:pPr>
          <w:pStyle w:val="Footer"/>
          <w:jc w:val="right"/>
        </w:pPr>
        <w:r>
          <w:fldChar w:fldCharType="begin"/>
        </w:r>
        <w:r>
          <w:instrText xml:space="preserve"> PAGE   \* MERGEFORMAT </w:instrText>
        </w:r>
        <w:r>
          <w:fldChar w:fldCharType="separate"/>
        </w:r>
        <w:r w:rsidR="00605E59">
          <w:rPr>
            <w:noProof/>
          </w:rPr>
          <w:t>10</w:t>
        </w:r>
        <w:r>
          <w:rPr>
            <w:noProof/>
          </w:rPr>
          <w:fldChar w:fldCharType="end"/>
        </w:r>
      </w:p>
    </w:sdtContent>
  </w:sdt>
  <w:p w:rsidR="004618D4" w:rsidRPr="00D616D0" w:rsidRDefault="004618D4">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903761"/>
      <w:docPartObj>
        <w:docPartGallery w:val="Page Numbers (Bottom of Page)"/>
        <w:docPartUnique/>
      </w:docPartObj>
    </w:sdtPr>
    <w:sdtEndPr>
      <w:rPr>
        <w:noProof/>
      </w:rPr>
    </w:sdtEndPr>
    <w:sdtContent>
      <w:p w:rsidR="00121233" w:rsidRDefault="0012123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4618D4" w:rsidRPr="00D616D0" w:rsidRDefault="004618D4">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46B" w:rsidRDefault="0077646B">
      <w:r>
        <w:separator/>
      </w:r>
    </w:p>
  </w:footnote>
  <w:footnote w:type="continuationSeparator" w:id="0">
    <w:p w:rsidR="0077646B" w:rsidRDefault="00776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8D4" w:rsidRDefault="004618D4">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FABEB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1E3B30"/>
    <w:multiLevelType w:val="multilevel"/>
    <w:tmpl w:val="1B32B982"/>
    <w:lvl w:ilvl="0">
      <w:start w:val="1"/>
      <w:numFmt w:val="decimal"/>
      <w:pStyle w:val="JIEACSHeading1"/>
      <w:lvlText w:val="%1"/>
      <w:lvlJc w:val="left"/>
      <w:pPr>
        <w:tabs>
          <w:tab w:val="num" w:pos="432"/>
        </w:tabs>
        <w:ind w:left="432" w:hanging="432"/>
      </w:pPr>
      <w:rPr>
        <w:rFonts w:hint="default"/>
      </w:rPr>
    </w:lvl>
    <w:lvl w:ilvl="1">
      <w:start w:val="1"/>
      <w:numFmt w:val="decimal"/>
      <w:pStyle w:val="JIEACSNumberedHeading2"/>
      <w:lvlText w:val="%1.%2"/>
      <w:lvlJc w:val="left"/>
      <w:pPr>
        <w:tabs>
          <w:tab w:val="num" w:pos="907"/>
        </w:tabs>
        <w:ind w:left="567" w:hanging="567"/>
      </w:pPr>
      <w:rPr>
        <w:rFonts w:hint="default"/>
        <w:b/>
        <w:i w:val="0"/>
        <w:sz w:val="24"/>
        <w:szCs w:val="24"/>
      </w:rPr>
    </w:lvl>
    <w:lvl w:ilvl="2">
      <w:start w:val="1"/>
      <w:numFmt w:val="decimal"/>
      <w:pStyle w:val="JIEACSNumberedHeading3"/>
      <w:lvlText w:val="%1.%2.%3"/>
      <w:lvlJc w:val="left"/>
      <w:pPr>
        <w:tabs>
          <w:tab w:val="num" w:pos="907"/>
        </w:tabs>
        <w:ind w:left="907" w:hanging="907"/>
      </w:pPr>
      <w:rPr>
        <w:rFonts w:hint="default"/>
        <w:b w:val="0"/>
        <w:i w:val="0"/>
      </w:rPr>
    </w:lvl>
    <w:lvl w:ilvl="3">
      <w:start w:val="1"/>
      <w:numFmt w:val="decimal"/>
      <w:lvlText w:val="%1.%2.%3.%4"/>
      <w:lvlJc w:val="left"/>
      <w:pPr>
        <w:tabs>
          <w:tab w:val="num" w:pos="907"/>
        </w:tabs>
        <w:ind w:left="907" w:hanging="907"/>
      </w:pPr>
      <w:rPr>
        <w:rFonts w:ascii="Times New Roman" w:hAnsi="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6CF68AB"/>
    <w:multiLevelType w:val="hybridMultilevel"/>
    <w:tmpl w:val="8ED27EC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nsid w:val="0D1D54BB"/>
    <w:multiLevelType w:val="hybridMultilevel"/>
    <w:tmpl w:val="8BA0E862"/>
    <w:lvl w:ilvl="0" w:tplc="CCA6712E">
      <w:start w:val="1"/>
      <w:numFmt w:val="decimal"/>
      <w:lvlText w:val="%1"/>
      <w:lvlJc w:val="left"/>
      <w:pPr>
        <w:tabs>
          <w:tab w:val="num" w:pos="1440"/>
        </w:tabs>
        <w:ind w:left="1440" w:hanging="900"/>
      </w:pPr>
      <w:rPr>
        <w:rFonts w:hint="default"/>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4">
    <w:nsid w:val="15035B84"/>
    <w:multiLevelType w:val="hybridMultilevel"/>
    <w:tmpl w:val="E0444F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B534528"/>
    <w:multiLevelType w:val="hybridMultilevel"/>
    <w:tmpl w:val="9450366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nsid w:val="2B70253D"/>
    <w:multiLevelType w:val="hybridMultilevel"/>
    <w:tmpl w:val="D2AA7456"/>
    <w:lvl w:ilvl="0" w:tplc="B9CC42AA">
      <w:start w:val="1"/>
      <w:numFmt w:val="lowerRoman"/>
      <w:lvlText w:val="(%1)"/>
      <w:lvlJc w:val="left"/>
      <w:pPr>
        <w:ind w:left="2490" w:hanging="720"/>
      </w:pPr>
      <w:rPr>
        <w:rFonts w:hint="default"/>
      </w:rPr>
    </w:lvl>
    <w:lvl w:ilvl="1" w:tplc="0C090019" w:tentative="1">
      <w:start w:val="1"/>
      <w:numFmt w:val="lowerLetter"/>
      <w:lvlText w:val="%2."/>
      <w:lvlJc w:val="left"/>
      <w:pPr>
        <w:ind w:left="2850" w:hanging="360"/>
      </w:pPr>
    </w:lvl>
    <w:lvl w:ilvl="2" w:tplc="0C09001B" w:tentative="1">
      <w:start w:val="1"/>
      <w:numFmt w:val="lowerRoman"/>
      <w:lvlText w:val="%3."/>
      <w:lvlJc w:val="right"/>
      <w:pPr>
        <w:ind w:left="3570" w:hanging="180"/>
      </w:pPr>
    </w:lvl>
    <w:lvl w:ilvl="3" w:tplc="0C09000F" w:tentative="1">
      <w:start w:val="1"/>
      <w:numFmt w:val="decimal"/>
      <w:lvlText w:val="%4."/>
      <w:lvlJc w:val="left"/>
      <w:pPr>
        <w:ind w:left="4290" w:hanging="360"/>
      </w:pPr>
    </w:lvl>
    <w:lvl w:ilvl="4" w:tplc="0C090019" w:tentative="1">
      <w:start w:val="1"/>
      <w:numFmt w:val="lowerLetter"/>
      <w:lvlText w:val="%5."/>
      <w:lvlJc w:val="left"/>
      <w:pPr>
        <w:ind w:left="5010" w:hanging="360"/>
      </w:pPr>
    </w:lvl>
    <w:lvl w:ilvl="5" w:tplc="0C09001B" w:tentative="1">
      <w:start w:val="1"/>
      <w:numFmt w:val="lowerRoman"/>
      <w:lvlText w:val="%6."/>
      <w:lvlJc w:val="right"/>
      <w:pPr>
        <w:ind w:left="5730" w:hanging="180"/>
      </w:pPr>
    </w:lvl>
    <w:lvl w:ilvl="6" w:tplc="0C09000F" w:tentative="1">
      <w:start w:val="1"/>
      <w:numFmt w:val="decimal"/>
      <w:lvlText w:val="%7."/>
      <w:lvlJc w:val="left"/>
      <w:pPr>
        <w:ind w:left="6450" w:hanging="360"/>
      </w:pPr>
    </w:lvl>
    <w:lvl w:ilvl="7" w:tplc="0C090019" w:tentative="1">
      <w:start w:val="1"/>
      <w:numFmt w:val="lowerLetter"/>
      <w:lvlText w:val="%8."/>
      <w:lvlJc w:val="left"/>
      <w:pPr>
        <w:ind w:left="7170" w:hanging="360"/>
      </w:pPr>
    </w:lvl>
    <w:lvl w:ilvl="8" w:tplc="0C09001B" w:tentative="1">
      <w:start w:val="1"/>
      <w:numFmt w:val="lowerRoman"/>
      <w:lvlText w:val="%9."/>
      <w:lvlJc w:val="right"/>
      <w:pPr>
        <w:ind w:left="7890" w:hanging="180"/>
      </w:pPr>
    </w:lvl>
  </w:abstractNum>
  <w:abstractNum w:abstractNumId="7">
    <w:nsid w:val="34822A7E"/>
    <w:multiLevelType w:val="multilevel"/>
    <w:tmpl w:val="BB6E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BA600E"/>
    <w:multiLevelType w:val="hybridMultilevel"/>
    <w:tmpl w:val="77E04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64D46CE"/>
    <w:multiLevelType w:val="hybridMultilevel"/>
    <w:tmpl w:val="41D87486"/>
    <w:lvl w:ilvl="0" w:tplc="842ACCEE">
      <w:start w:val="1"/>
      <w:numFmt w:val="lowerLetter"/>
      <w:lvlText w:val="(%1)"/>
      <w:lvlJc w:val="left"/>
      <w:pPr>
        <w:ind w:left="1665" w:hanging="360"/>
      </w:pPr>
      <w:rPr>
        <w:rFonts w:hint="default"/>
      </w:rPr>
    </w:lvl>
    <w:lvl w:ilvl="1" w:tplc="0C090019">
      <w:start w:val="1"/>
      <w:numFmt w:val="lowerLetter"/>
      <w:lvlText w:val="%2."/>
      <w:lvlJc w:val="left"/>
      <w:pPr>
        <w:ind w:left="2385" w:hanging="360"/>
      </w:pPr>
    </w:lvl>
    <w:lvl w:ilvl="2" w:tplc="0C09001B" w:tentative="1">
      <w:start w:val="1"/>
      <w:numFmt w:val="lowerRoman"/>
      <w:lvlText w:val="%3."/>
      <w:lvlJc w:val="right"/>
      <w:pPr>
        <w:ind w:left="3105" w:hanging="180"/>
      </w:pPr>
    </w:lvl>
    <w:lvl w:ilvl="3" w:tplc="0C09000F" w:tentative="1">
      <w:start w:val="1"/>
      <w:numFmt w:val="decimal"/>
      <w:lvlText w:val="%4."/>
      <w:lvlJc w:val="left"/>
      <w:pPr>
        <w:ind w:left="3825" w:hanging="360"/>
      </w:pPr>
    </w:lvl>
    <w:lvl w:ilvl="4" w:tplc="0C090019" w:tentative="1">
      <w:start w:val="1"/>
      <w:numFmt w:val="lowerLetter"/>
      <w:lvlText w:val="%5."/>
      <w:lvlJc w:val="left"/>
      <w:pPr>
        <w:ind w:left="4545" w:hanging="360"/>
      </w:pPr>
    </w:lvl>
    <w:lvl w:ilvl="5" w:tplc="0C09001B" w:tentative="1">
      <w:start w:val="1"/>
      <w:numFmt w:val="lowerRoman"/>
      <w:lvlText w:val="%6."/>
      <w:lvlJc w:val="right"/>
      <w:pPr>
        <w:ind w:left="5265" w:hanging="180"/>
      </w:pPr>
    </w:lvl>
    <w:lvl w:ilvl="6" w:tplc="0C09000F" w:tentative="1">
      <w:start w:val="1"/>
      <w:numFmt w:val="decimal"/>
      <w:lvlText w:val="%7."/>
      <w:lvlJc w:val="left"/>
      <w:pPr>
        <w:ind w:left="5985" w:hanging="360"/>
      </w:pPr>
    </w:lvl>
    <w:lvl w:ilvl="7" w:tplc="0C090019" w:tentative="1">
      <w:start w:val="1"/>
      <w:numFmt w:val="lowerLetter"/>
      <w:lvlText w:val="%8."/>
      <w:lvlJc w:val="left"/>
      <w:pPr>
        <w:ind w:left="6705" w:hanging="360"/>
      </w:pPr>
    </w:lvl>
    <w:lvl w:ilvl="8" w:tplc="0C09001B" w:tentative="1">
      <w:start w:val="1"/>
      <w:numFmt w:val="lowerRoman"/>
      <w:lvlText w:val="%9."/>
      <w:lvlJc w:val="right"/>
      <w:pPr>
        <w:ind w:left="7425" w:hanging="180"/>
      </w:pPr>
    </w:lvl>
  </w:abstractNum>
  <w:abstractNum w:abstractNumId="10">
    <w:nsid w:val="466C6690"/>
    <w:multiLevelType w:val="hybridMultilevel"/>
    <w:tmpl w:val="C212C3C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1">
    <w:nsid w:val="537916DA"/>
    <w:multiLevelType w:val="hybridMultilevel"/>
    <w:tmpl w:val="129659AC"/>
    <w:lvl w:ilvl="0" w:tplc="7D78EC8A">
      <w:start w:val="1"/>
      <w:numFmt w:val="bullet"/>
      <w:lvlText w:val=""/>
      <w:lvlJc w:val="left"/>
      <w:pPr>
        <w:tabs>
          <w:tab w:val="num" w:pos="567"/>
        </w:tabs>
        <w:ind w:left="567" w:hanging="283"/>
      </w:pPr>
      <w:rPr>
        <w:rFonts w:ascii="Symbol" w:hAnsi="Symbol" w:cs="Symbol" w:hint="default"/>
        <w:sz w:val="16"/>
        <w:szCs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12">
    <w:nsid w:val="56C17A7C"/>
    <w:multiLevelType w:val="hybridMultilevel"/>
    <w:tmpl w:val="72742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A5E1B53"/>
    <w:multiLevelType w:val="hybridMultilevel"/>
    <w:tmpl w:val="FA869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AB631FF"/>
    <w:multiLevelType w:val="hybridMultilevel"/>
    <w:tmpl w:val="6BD65C2E"/>
    <w:lvl w:ilvl="0" w:tplc="C59A2EA0">
      <w:start w:val="1"/>
      <w:numFmt w:val="bullet"/>
      <w:lvlText w:val=""/>
      <w:lvlJc w:val="left"/>
      <w:pPr>
        <w:tabs>
          <w:tab w:val="num" w:pos="360"/>
        </w:tabs>
        <w:ind w:left="360" w:hanging="360"/>
      </w:pPr>
      <w:rPr>
        <w:rFonts w:ascii="Symbol" w:hAnsi="Symbol" w:hint="default"/>
      </w:rPr>
    </w:lvl>
    <w:lvl w:ilvl="1" w:tplc="0ECE4028">
      <w:start w:val="1"/>
      <w:numFmt w:val="bullet"/>
      <w:lvlText w:val=""/>
      <w:lvlJc w:val="left"/>
      <w:pPr>
        <w:tabs>
          <w:tab w:val="num" w:pos="284"/>
        </w:tabs>
        <w:ind w:left="284" w:hanging="284"/>
      </w:pPr>
      <w:rPr>
        <w:rFonts w:ascii="Symbol" w:hAnsi="Symbol" w:hint="default"/>
      </w:rPr>
    </w:lvl>
    <w:lvl w:ilvl="2" w:tplc="0C090005">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5">
    <w:nsid w:val="5AE3725C"/>
    <w:multiLevelType w:val="hybridMultilevel"/>
    <w:tmpl w:val="F5A8F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9400F4F"/>
    <w:multiLevelType w:val="hybridMultilevel"/>
    <w:tmpl w:val="33386AB4"/>
    <w:lvl w:ilvl="0" w:tplc="3AE60788">
      <w:start w:val="1"/>
      <w:numFmt w:val="lowerRoman"/>
      <w:lvlText w:val="(%1)"/>
      <w:lvlJc w:val="left"/>
      <w:pPr>
        <w:ind w:left="1854" w:hanging="720"/>
      </w:pPr>
    </w:lvl>
    <w:lvl w:ilvl="1" w:tplc="0C090019">
      <w:start w:val="1"/>
      <w:numFmt w:val="lowerLetter"/>
      <w:lvlText w:val="%2."/>
      <w:lvlJc w:val="left"/>
      <w:pPr>
        <w:ind w:left="2214" w:hanging="360"/>
      </w:pPr>
    </w:lvl>
    <w:lvl w:ilvl="2" w:tplc="0C09001B">
      <w:start w:val="1"/>
      <w:numFmt w:val="lowerRoman"/>
      <w:lvlText w:val="%3."/>
      <w:lvlJc w:val="right"/>
      <w:pPr>
        <w:ind w:left="2934" w:hanging="180"/>
      </w:pPr>
    </w:lvl>
    <w:lvl w:ilvl="3" w:tplc="0C09000F">
      <w:start w:val="1"/>
      <w:numFmt w:val="decimal"/>
      <w:lvlText w:val="%4."/>
      <w:lvlJc w:val="left"/>
      <w:pPr>
        <w:ind w:left="3654" w:hanging="360"/>
      </w:pPr>
    </w:lvl>
    <w:lvl w:ilvl="4" w:tplc="0C090019">
      <w:start w:val="1"/>
      <w:numFmt w:val="lowerLetter"/>
      <w:lvlText w:val="%5."/>
      <w:lvlJc w:val="left"/>
      <w:pPr>
        <w:ind w:left="4374" w:hanging="360"/>
      </w:pPr>
    </w:lvl>
    <w:lvl w:ilvl="5" w:tplc="0C09001B">
      <w:start w:val="1"/>
      <w:numFmt w:val="lowerRoman"/>
      <w:lvlText w:val="%6."/>
      <w:lvlJc w:val="right"/>
      <w:pPr>
        <w:ind w:left="5094" w:hanging="180"/>
      </w:pPr>
    </w:lvl>
    <w:lvl w:ilvl="6" w:tplc="0C09000F">
      <w:start w:val="1"/>
      <w:numFmt w:val="decimal"/>
      <w:lvlText w:val="%7."/>
      <w:lvlJc w:val="left"/>
      <w:pPr>
        <w:ind w:left="5814" w:hanging="360"/>
      </w:pPr>
    </w:lvl>
    <w:lvl w:ilvl="7" w:tplc="0C090019">
      <w:start w:val="1"/>
      <w:numFmt w:val="lowerLetter"/>
      <w:lvlText w:val="%8."/>
      <w:lvlJc w:val="left"/>
      <w:pPr>
        <w:ind w:left="6534" w:hanging="360"/>
      </w:pPr>
    </w:lvl>
    <w:lvl w:ilvl="8" w:tplc="0C09001B">
      <w:start w:val="1"/>
      <w:numFmt w:val="lowerRoman"/>
      <w:lvlText w:val="%9."/>
      <w:lvlJc w:val="right"/>
      <w:pPr>
        <w:ind w:left="7254" w:hanging="180"/>
      </w:pPr>
    </w:lvl>
  </w:abstractNum>
  <w:abstractNum w:abstractNumId="17">
    <w:nsid w:val="714418B9"/>
    <w:multiLevelType w:val="hybridMultilevel"/>
    <w:tmpl w:val="62E08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34A1D8D"/>
    <w:multiLevelType w:val="hybridMultilevel"/>
    <w:tmpl w:val="E52C6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47611C6"/>
    <w:multiLevelType w:val="multilevel"/>
    <w:tmpl w:val="0E5666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
  </w:num>
  <w:num w:numId="3">
    <w:abstractNumId w:val="7"/>
  </w:num>
  <w:num w:numId="4">
    <w:abstractNumId w:val="1"/>
  </w:num>
  <w:num w:numId="5">
    <w:abstractNumId w:val="10"/>
  </w:num>
  <w:num w:numId="6">
    <w:abstractNumId w:val="19"/>
  </w:num>
  <w:num w:numId="7">
    <w:abstractNumId w:val="14"/>
  </w:num>
  <w:num w:numId="8">
    <w:abstractNumId w:val="15"/>
  </w:num>
  <w:num w:numId="9">
    <w:abstractNumId w:val="0"/>
  </w:num>
  <w:num w:numId="10">
    <w:abstractNumId w:val="17"/>
  </w:num>
  <w:num w:numId="11">
    <w:abstractNumId w:val="12"/>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9"/>
  </w:num>
  <w:num w:numId="15">
    <w:abstractNumId w:val="6"/>
  </w:num>
  <w:num w:numId="16">
    <w:abstractNumId w:val="0"/>
  </w:num>
  <w:num w:numId="17">
    <w:abstractNumId w:val="2"/>
  </w:num>
  <w:num w:numId="18">
    <w:abstractNumId w:val="13"/>
  </w:num>
  <w:num w:numId="19">
    <w:abstractNumId w:val="5"/>
  </w:num>
  <w:num w:numId="20">
    <w:abstractNumId w:val="8"/>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8D4"/>
    <w:rsid w:val="000053E8"/>
    <w:rsid w:val="00011C02"/>
    <w:rsid w:val="00012131"/>
    <w:rsid w:val="00012B27"/>
    <w:rsid w:val="00017F2D"/>
    <w:rsid w:val="00023B24"/>
    <w:rsid w:val="00023B90"/>
    <w:rsid w:val="0003724B"/>
    <w:rsid w:val="0004328A"/>
    <w:rsid w:val="00054363"/>
    <w:rsid w:val="00055568"/>
    <w:rsid w:val="00063224"/>
    <w:rsid w:val="000650AF"/>
    <w:rsid w:val="000800D1"/>
    <w:rsid w:val="00080487"/>
    <w:rsid w:val="000850B7"/>
    <w:rsid w:val="00097051"/>
    <w:rsid w:val="000A3515"/>
    <w:rsid w:val="000A423E"/>
    <w:rsid w:val="000B7871"/>
    <w:rsid w:val="000C23E5"/>
    <w:rsid w:val="000C4A0A"/>
    <w:rsid w:val="00120903"/>
    <w:rsid w:val="00121233"/>
    <w:rsid w:val="00143F97"/>
    <w:rsid w:val="001519B8"/>
    <w:rsid w:val="0016043B"/>
    <w:rsid w:val="00165946"/>
    <w:rsid w:val="001808E0"/>
    <w:rsid w:val="00191CFF"/>
    <w:rsid w:val="00192AD3"/>
    <w:rsid w:val="001B1AC8"/>
    <w:rsid w:val="001C1BE9"/>
    <w:rsid w:val="001C4FE5"/>
    <w:rsid w:val="001E5508"/>
    <w:rsid w:val="001E6335"/>
    <w:rsid w:val="001F2627"/>
    <w:rsid w:val="002035B3"/>
    <w:rsid w:val="00210511"/>
    <w:rsid w:val="0021230B"/>
    <w:rsid w:val="00235869"/>
    <w:rsid w:val="002422D8"/>
    <w:rsid w:val="002507D8"/>
    <w:rsid w:val="00261F3F"/>
    <w:rsid w:val="002639F4"/>
    <w:rsid w:val="00267C0F"/>
    <w:rsid w:val="002707C6"/>
    <w:rsid w:val="00270BF5"/>
    <w:rsid w:val="0027292E"/>
    <w:rsid w:val="00274BDB"/>
    <w:rsid w:val="0029704C"/>
    <w:rsid w:val="002A047E"/>
    <w:rsid w:val="002A0510"/>
    <w:rsid w:val="002A3901"/>
    <w:rsid w:val="002B263C"/>
    <w:rsid w:val="002F049F"/>
    <w:rsid w:val="002F6139"/>
    <w:rsid w:val="00317F45"/>
    <w:rsid w:val="00330BC9"/>
    <w:rsid w:val="00332DA9"/>
    <w:rsid w:val="0034270A"/>
    <w:rsid w:val="00350A2F"/>
    <w:rsid w:val="00353B71"/>
    <w:rsid w:val="003671F2"/>
    <w:rsid w:val="0038013C"/>
    <w:rsid w:val="00382FCB"/>
    <w:rsid w:val="003E422B"/>
    <w:rsid w:val="003F5DCE"/>
    <w:rsid w:val="004101B2"/>
    <w:rsid w:val="00410C40"/>
    <w:rsid w:val="00412001"/>
    <w:rsid w:val="00417F03"/>
    <w:rsid w:val="00422EB2"/>
    <w:rsid w:val="0044352D"/>
    <w:rsid w:val="0045242A"/>
    <w:rsid w:val="004618D4"/>
    <w:rsid w:val="00467132"/>
    <w:rsid w:val="004725F8"/>
    <w:rsid w:val="00474F60"/>
    <w:rsid w:val="00480EFF"/>
    <w:rsid w:val="00482D40"/>
    <w:rsid w:val="00485462"/>
    <w:rsid w:val="004A1F17"/>
    <w:rsid w:val="004C156C"/>
    <w:rsid w:val="004D719E"/>
    <w:rsid w:val="004E5C97"/>
    <w:rsid w:val="005073DA"/>
    <w:rsid w:val="00515EDC"/>
    <w:rsid w:val="00523207"/>
    <w:rsid w:val="00526847"/>
    <w:rsid w:val="00535274"/>
    <w:rsid w:val="00536CF6"/>
    <w:rsid w:val="005412FF"/>
    <w:rsid w:val="00564105"/>
    <w:rsid w:val="005844D5"/>
    <w:rsid w:val="00586E8A"/>
    <w:rsid w:val="005A1475"/>
    <w:rsid w:val="005A1835"/>
    <w:rsid w:val="005A7E96"/>
    <w:rsid w:val="005C0864"/>
    <w:rsid w:val="005C62E4"/>
    <w:rsid w:val="005D3B5D"/>
    <w:rsid w:val="005D4C55"/>
    <w:rsid w:val="005F32E8"/>
    <w:rsid w:val="00602755"/>
    <w:rsid w:val="00605E59"/>
    <w:rsid w:val="00610D88"/>
    <w:rsid w:val="00627A22"/>
    <w:rsid w:val="006348D2"/>
    <w:rsid w:val="00643180"/>
    <w:rsid w:val="00697592"/>
    <w:rsid w:val="006A5247"/>
    <w:rsid w:val="006A54F6"/>
    <w:rsid w:val="006A6517"/>
    <w:rsid w:val="006A6DE5"/>
    <w:rsid w:val="006B0DBF"/>
    <w:rsid w:val="006D6426"/>
    <w:rsid w:val="006D7A06"/>
    <w:rsid w:val="007007F8"/>
    <w:rsid w:val="007218E0"/>
    <w:rsid w:val="00723868"/>
    <w:rsid w:val="00747990"/>
    <w:rsid w:val="007753FA"/>
    <w:rsid w:val="0077646B"/>
    <w:rsid w:val="007766A5"/>
    <w:rsid w:val="00783D87"/>
    <w:rsid w:val="00784911"/>
    <w:rsid w:val="007B3C8D"/>
    <w:rsid w:val="007B7F5D"/>
    <w:rsid w:val="007C1334"/>
    <w:rsid w:val="007C191D"/>
    <w:rsid w:val="007C2315"/>
    <w:rsid w:val="007C611B"/>
    <w:rsid w:val="007D01DA"/>
    <w:rsid w:val="007D0F4B"/>
    <w:rsid w:val="007D3417"/>
    <w:rsid w:val="007E184C"/>
    <w:rsid w:val="007E4B34"/>
    <w:rsid w:val="00804D64"/>
    <w:rsid w:val="00812AFC"/>
    <w:rsid w:val="008207BA"/>
    <w:rsid w:val="00824299"/>
    <w:rsid w:val="00834297"/>
    <w:rsid w:val="00835205"/>
    <w:rsid w:val="0085091A"/>
    <w:rsid w:val="00862D7C"/>
    <w:rsid w:val="00867870"/>
    <w:rsid w:val="00876E68"/>
    <w:rsid w:val="0087702E"/>
    <w:rsid w:val="0088424C"/>
    <w:rsid w:val="00892B26"/>
    <w:rsid w:val="00892B95"/>
    <w:rsid w:val="008A68F0"/>
    <w:rsid w:val="008B7010"/>
    <w:rsid w:val="008C5B8F"/>
    <w:rsid w:val="008D1545"/>
    <w:rsid w:val="008E1032"/>
    <w:rsid w:val="008F15C8"/>
    <w:rsid w:val="008F5E94"/>
    <w:rsid w:val="00905825"/>
    <w:rsid w:val="00906C72"/>
    <w:rsid w:val="00907ABE"/>
    <w:rsid w:val="00916567"/>
    <w:rsid w:val="00921496"/>
    <w:rsid w:val="009231A6"/>
    <w:rsid w:val="009446AA"/>
    <w:rsid w:val="009452FC"/>
    <w:rsid w:val="00950146"/>
    <w:rsid w:val="009557E9"/>
    <w:rsid w:val="00961A59"/>
    <w:rsid w:val="009625BD"/>
    <w:rsid w:val="00963A4C"/>
    <w:rsid w:val="00974B08"/>
    <w:rsid w:val="009754F9"/>
    <w:rsid w:val="0098269A"/>
    <w:rsid w:val="009856FF"/>
    <w:rsid w:val="00987A69"/>
    <w:rsid w:val="00996809"/>
    <w:rsid w:val="00997EAF"/>
    <w:rsid w:val="009A5ED0"/>
    <w:rsid w:val="009A7530"/>
    <w:rsid w:val="009B1D81"/>
    <w:rsid w:val="009B2F5F"/>
    <w:rsid w:val="009D289C"/>
    <w:rsid w:val="009E0F47"/>
    <w:rsid w:val="009E3B8C"/>
    <w:rsid w:val="009E73AE"/>
    <w:rsid w:val="009F54D3"/>
    <w:rsid w:val="00A10C85"/>
    <w:rsid w:val="00A13CCD"/>
    <w:rsid w:val="00A221FB"/>
    <w:rsid w:val="00A4791F"/>
    <w:rsid w:val="00A509A0"/>
    <w:rsid w:val="00A519F1"/>
    <w:rsid w:val="00A63D21"/>
    <w:rsid w:val="00A7103D"/>
    <w:rsid w:val="00A84B4F"/>
    <w:rsid w:val="00A91B69"/>
    <w:rsid w:val="00AA1321"/>
    <w:rsid w:val="00AA237B"/>
    <w:rsid w:val="00AA6DC0"/>
    <w:rsid w:val="00AB0FC0"/>
    <w:rsid w:val="00AB2FFE"/>
    <w:rsid w:val="00AB7043"/>
    <w:rsid w:val="00AC0B56"/>
    <w:rsid w:val="00AD37E1"/>
    <w:rsid w:val="00AE0EDC"/>
    <w:rsid w:val="00AF0F86"/>
    <w:rsid w:val="00B045B5"/>
    <w:rsid w:val="00B072E4"/>
    <w:rsid w:val="00B216AF"/>
    <w:rsid w:val="00B420B8"/>
    <w:rsid w:val="00B42D7C"/>
    <w:rsid w:val="00B51627"/>
    <w:rsid w:val="00B540A1"/>
    <w:rsid w:val="00B83D8A"/>
    <w:rsid w:val="00B918B9"/>
    <w:rsid w:val="00B947DB"/>
    <w:rsid w:val="00BB37B7"/>
    <w:rsid w:val="00BB7889"/>
    <w:rsid w:val="00BC09A7"/>
    <w:rsid w:val="00BE5CA1"/>
    <w:rsid w:val="00C0244B"/>
    <w:rsid w:val="00C343F7"/>
    <w:rsid w:val="00C35EE4"/>
    <w:rsid w:val="00C51A5E"/>
    <w:rsid w:val="00C554F1"/>
    <w:rsid w:val="00C571E6"/>
    <w:rsid w:val="00C5772D"/>
    <w:rsid w:val="00C67654"/>
    <w:rsid w:val="00C75C1C"/>
    <w:rsid w:val="00C825C6"/>
    <w:rsid w:val="00C922F9"/>
    <w:rsid w:val="00CB3603"/>
    <w:rsid w:val="00CB428D"/>
    <w:rsid w:val="00CB502C"/>
    <w:rsid w:val="00CC3201"/>
    <w:rsid w:val="00CD174D"/>
    <w:rsid w:val="00CD617C"/>
    <w:rsid w:val="00CD693A"/>
    <w:rsid w:val="00CD731C"/>
    <w:rsid w:val="00CE1091"/>
    <w:rsid w:val="00CE6944"/>
    <w:rsid w:val="00CF521D"/>
    <w:rsid w:val="00D0299D"/>
    <w:rsid w:val="00D03CBE"/>
    <w:rsid w:val="00D04E88"/>
    <w:rsid w:val="00D252E4"/>
    <w:rsid w:val="00D26EBD"/>
    <w:rsid w:val="00D313DF"/>
    <w:rsid w:val="00D5596F"/>
    <w:rsid w:val="00D61D0B"/>
    <w:rsid w:val="00D65EEB"/>
    <w:rsid w:val="00D71897"/>
    <w:rsid w:val="00D8495C"/>
    <w:rsid w:val="00D93DB1"/>
    <w:rsid w:val="00DA291A"/>
    <w:rsid w:val="00DB0E8D"/>
    <w:rsid w:val="00DB5B09"/>
    <w:rsid w:val="00DC4ECD"/>
    <w:rsid w:val="00DE1791"/>
    <w:rsid w:val="00DE76C8"/>
    <w:rsid w:val="00E010EE"/>
    <w:rsid w:val="00E435F4"/>
    <w:rsid w:val="00E5089C"/>
    <w:rsid w:val="00E52E69"/>
    <w:rsid w:val="00E53752"/>
    <w:rsid w:val="00E554BB"/>
    <w:rsid w:val="00E6033E"/>
    <w:rsid w:val="00E67D3D"/>
    <w:rsid w:val="00E71D82"/>
    <w:rsid w:val="00E82F88"/>
    <w:rsid w:val="00E90EA7"/>
    <w:rsid w:val="00E93BEB"/>
    <w:rsid w:val="00E93D56"/>
    <w:rsid w:val="00EA05A0"/>
    <w:rsid w:val="00EA176A"/>
    <w:rsid w:val="00EA196D"/>
    <w:rsid w:val="00EA351E"/>
    <w:rsid w:val="00EA5ABE"/>
    <w:rsid w:val="00EB1CDB"/>
    <w:rsid w:val="00EB4313"/>
    <w:rsid w:val="00EB43DA"/>
    <w:rsid w:val="00EB5FFB"/>
    <w:rsid w:val="00EB730B"/>
    <w:rsid w:val="00ED1E28"/>
    <w:rsid w:val="00F0004E"/>
    <w:rsid w:val="00F16D83"/>
    <w:rsid w:val="00F241A7"/>
    <w:rsid w:val="00F34527"/>
    <w:rsid w:val="00F4362F"/>
    <w:rsid w:val="00F45355"/>
    <w:rsid w:val="00F50C78"/>
    <w:rsid w:val="00F56961"/>
    <w:rsid w:val="00F60544"/>
    <w:rsid w:val="00F859B9"/>
    <w:rsid w:val="00F87CA8"/>
    <w:rsid w:val="00F90BC1"/>
    <w:rsid w:val="00FA6A4A"/>
    <w:rsid w:val="00FB101B"/>
    <w:rsid w:val="00FB31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aliases w:val="s"/>
    <w:basedOn w:val="Heading1"/>
    <w:next w:val="subsection"/>
    <w:qFormat/>
    <w:pPr>
      <w:keepLines/>
      <w:autoSpaceDE w:val="0"/>
      <w:autoSpaceDN w:val="0"/>
      <w:spacing w:before="280" w:line="260" w:lineRule="atLeast"/>
      <w:ind w:left="1134" w:hanging="1134"/>
      <w:outlineLvl w:val="4"/>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
    <w:name w:val="Definition"/>
    <w:aliases w:val="dd"/>
    <w:basedOn w:val="Normal"/>
    <w:pPr>
      <w:autoSpaceDE w:val="0"/>
      <w:autoSpaceDN w:val="0"/>
      <w:spacing w:before="180" w:line="260" w:lineRule="atLeast"/>
      <w:ind w:left="1134"/>
    </w:pPr>
    <w:rPr>
      <w:sz w:val="22"/>
      <w:szCs w:val="22"/>
    </w:rPr>
  </w:style>
  <w:style w:type="paragraph" w:styleId="Footer">
    <w:name w:val="footer"/>
    <w:basedOn w:val="Normal"/>
    <w:link w:val="FooterChar"/>
    <w:uiPriority w:val="99"/>
    <w:pPr>
      <w:tabs>
        <w:tab w:val="center" w:pos="4153"/>
        <w:tab w:val="right" w:pos="8306"/>
      </w:tabs>
    </w:pPr>
  </w:style>
  <w:style w:type="paragraph" w:customStyle="1" w:styleId="paragraph">
    <w:name w:val="paragraph"/>
    <w:aliases w:val="a"/>
    <w:basedOn w:val="Normal"/>
    <w:pPr>
      <w:tabs>
        <w:tab w:val="right" w:pos="1531"/>
      </w:tabs>
      <w:autoSpaceDE w:val="0"/>
      <w:autoSpaceDN w:val="0"/>
      <w:spacing w:before="40" w:line="260" w:lineRule="atLeast"/>
      <w:ind w:left="1644" w:hanging="1644"/>
    </w:pPr>
    <w:rPr>
      <w:sz w:val="22"/>
      <w:szCs w:val="22"/>
    </w:rPr>
  </w:style>
  <w:style w:type="paragraph" w:customStyle="1" w:styleId="paragraphsub">
    <w:name w:val="paragraph(sub)"/>
    <w:aliases w:val="aa"/>
    <w:basedOn w:val="paragraph"/>
    <w:pPr>
      <w:tabs>
        <w:tab w:val="clear" w:pos="1531"/>
        <w:tab w:val="right" w:pos="1985"/>
      </w:tabs>
      <w:ind w:left="2098" w:hanging="2098"/>
    </w:pPr>
  </w:style>
  <w:style w:type="character" w:customStyle="1" w:styleId="CharSectno">
    <w:name w:val="CharSectno"/>
    <w:basedOn w:val="DefaultParagraphFont"/>
  </w:style>
  <w:style w:type="paragraph" w:customStyle="1" w:styleId="subsection">
    <w:name w:val="subsection"/>
    <w:aliases w:val="ss"/>
    <w:basedOn w:val="Normal"/>
    <w:link w:val="subsectionChar"/>
    <w:pPr>
      <w:tabs>
        <w:tab w:val="right" w:pos="1021"/>
      </w:tabs>
      <w:autoSpaceDE w:val="0"/>
      <w:autoSpaceDN w:val="0"/>
      <w:spacing w:before="180" w:line="260" w:lineRule="atLeast"/>
      <w:ind w:left="1134" w:hanging="1134"/>
    </w:pPr>
    <w:rPr>
      <w:sz w:val="22"/>
      <w:szCs w:val="22"/>
    </w:rPr>
  </w:style>
  <w:style w:type="paragraph" w:customStyle="1" w:styleId="Penalty">
    <w:name w:val="Penalty"/>
    <w:basedOn w:val="Normal"/>
    <w:pPr>
      <w:tabs>
        <w:tab w:val="left" w:pos="2977"/>
      </w:tabs>
      <w:autoSpaceDE w:val="0"/>
      <w:autoSpaceDN w:val="0"/>
      <w:spacing w:before="180" w:line="260" w:lineRule="atLeast"/>
      <w:ind w:left="1985" w:hanging="851"/>
    </w:pPr>
    <w:rPr>
      <w:sz w:val="22"/>
      <w:szCs w:val="22"/>
    </w:rPr>
  </w:style>
  <w:style w:type="paragraph" w:customStyle="1" w:styleId="subsection2">
    <w:name w:val="subsection2"/>
    <w:aliases w:val="ss2"/>
    <w:basedOn w:val="subsection"/>
    <w:next w:val="subsection"/>
    <w:pPr>
      <w:tabs>
        <w:tab w:val="clear" w:pos="1021"/>
      </w:tabs>
      <w:spacing w:before="40"/>
      <w:ind w:firstLine="0"/>
    </w:pPr>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pPr>
      <w:spacing w:before="100" w:beforeAutospacing="1" w:after="100" w:afterAutospacing="1"/>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EACSHeading1">
    <w:name w:val="JIEACS Heading 1"/>
    <w:basedOn w:val="Normal"/>
    <w:pPr>
      <w:numPr>
        <w:numId w:val="4"/>
      </w:numPr>
      <w:spacing w:before="120" w:after="240"/>
    </w:pPr>
    <w:rPr>
      <w:rFonts w:ascii="Arial" w:hAnsi="Arial" w:cs="Arial"/>
      <w:b/>
      <w:sz w:val="36"/>
      <w:szCs w:val="36"/>
      <w:lang w:eastAsia="en-US"/>
    </w:rPr>
  </w:style>
  <w:style w:type="paragraph" w:customStyle="1" w:styleId="JIEACSNumberedHeading3">
    <w:name w:val="JIEACS Numbered Heading 3"/>
    <w:basedOn w:val="Normal"/>
    <w:pPr>
      <w:keepLines/>
      <w:numPr>
        <w:ilvl w:val="2"/>
        <w:numId w:val="4"/>
      </w:numPr>
      <w:spacing w:before="120" w:after="240"/>
    </w:pPr>
    <w:rPr>
      <w:szCs w:val="20"/>
      <w:lang w:eastAsia="en-US"/>
    </w:rPr>
  </w:style>
  <w:style w:type="paragraph" w:customStyle="1" w:styleId="JIEACSNumberedHeading2">
    <w:name w:val="JIEACS Numbered Heading 2"/>
    <w:basedOn w:val="Normal"/>
    <w:pPr>
      <w:numPr>
        <w:ilvl w:val="1"/>
        <w:numId w:val="4"/>
      </w:numPr>
      <w:spacing w:before="120" w:after="240"/>
    </w:pPr>
    <w:rPr>
      <w:rFonts w:ascii="Arial" w:hAnsi="Arial" w:cs="Arial"/>
      <w:b/>
      <w:i/>
      <w:sz w:val="28"/>
      <w:szCs w:val="36"/>
      <w:lang w:eastAsia="en-US"/>
    </w:rPr>
  </w:style>
  <w:style w:type="paragraph" w:customStyle="1" w:styleId="smallpara">
    <w:name w:val="smallpara"/>
    <w:basedOn w:val="Normal"/>
    <w:pPr>
      <w:spacing w:before="100" w:beforeAutospacing="1" w:after="100" w:afterAutospacing="1"/>
    </w:pPr>
    <w:rPr>
      <w:rFonts w:ascii="Arial" w:hAnsi="Arial" w:cs="Arial"/>
      <w:sz w:val="17"/>
      <w:szCs w:val="17"/>
    </w:rPr>
  </w:style>
  <w:style w:type="paragraph" w:customStyle="1" w:styleId="a">
    <w:basedOn w:val="Normal"/>
    <w:rPr>
      <w:rFonts w:ascii="Arial" w:hAnsi="Arial" w:cs="Arial"/>
      <w:sz w:val="22"/>
      <w:szCs w:val="22"/>
      <w:lang w:eastAsia="en-US"/>
    </w:rPr>
  </w:style>
  <w:style w:type="character" w:customStyle="1" w:styleId="bold">
    <w:name w:val="bold"/>
    <w:basedOn w:val="DefaultParagraphFont"/>
  </w:style>
  <w:style w:type="character" w:styleId="Hyperlink">
    <w:name w:val="Hyperlink"/>
    <w:uiPriority w:val="99"/>
    <w:rPr>
      <w:color w:val="0000FF"/>
      <w:u w:val="single"/>
    </w:rPr>
  </w:style>
  <w:style w:type="paragraph" w:customStyle="1" w:styleId="a0">
    <w:name w:val="_"/>
    <w:basedOn w:val="Normal"/>
    <w:pPr>
      <w:widowControl w:val="0"/>
      <w:ind w:left="260" w:hanging="260"/>
    </w:pPr>
    <w:rPr>
      <w:snapToGrid w:val="0"/>
      <w:szCs w:val="20"/>
      <w:lang w:val="en-US" w:eastAsia="en-US"/>
    </w:rPr>
  </w:style>
  <w:style w:type="paragraph" w:customStyle="1" w:styleId="Char1">
    <w:name w:val="Char1"/>
    <w:basedOn w:val="Normal"/>
    <w:rPr>
      <w:rFonts w:ascii="Arial" w:hAnsi="Arial" w:cs="Arial"/>
      <w:sz w:val="22"/>
      <w:szCs w:val="22"/>
      <w:lang w:eastAsia="en-US"/>
    </w:rPr>
  </w:style>
  <w:style w:type="character" w:customStyle="1" w:styleId="FooterChar">
    <w:name w:val="Footer Char"/>
    <w:link w:val="Footer"/>
    <w:uiPriority w:val="99"/>
    <w:rsid w:val="005A7E96"/>
    <w:rPr>
      <w:sz w:val="24"/>
      <w:szCs w:val="24"/>
    </w:rPr>
  </w:style>
  <w:style w:type="paragraph" w:styleId="ListBullet">
    <w:name w:val="List Bullet"/>
    <w:basedOn w:val="Normal"/>
    <w:uiPriority w:val="2"/>
    <w:qFormat/>
    <w:rsid w:val="00EA05A0"/>
    <w:pPr>
      <w:numPr>
        <w:numId w:val="9"/>
      </w:numPr>
      <w:tabs>
        <w:tab w:val="left" w:pos="397"/>
      </w:tabs>
      <w:spacing w:after="120"/>
    </w:pPr>
    <w:rPr>
      <w:szCs w:val="20"/>
      <w:lang w:eastAsia="en-US"/>
    </w:rPr>
  </w:style>
  <w:style w:type="paragraph" w:styleId="FootnoteText">
    <w:name w:val="footnote text"/>
    <w:basedOn w:val="Normal"/>
    <w:link w:val="FootnoteTextChar"/>
    <w:rsid w:val="00E52E69"/>
    <w:pPr>
      <w:keepLines/>
      <w:spacing w:line="240" w:lineRule="atLeast"/>
    </w:pPr>
    <w:rPr>
      <w:rFonts w:ascii="Cambria" w:eastAsia="Cambria" w:hAnsi="Cambria"/>
      <w:sz w:val="20"/>
      <w:szCs w:val="20"/>
      <w:lang w:eastAsia="en-US"/>
    </w:rPr>
  </w:style>
  <w:style w:type="character" w:customStyle="1" w:styleId="FootnoteTextChar">
    <w:name w:val="Footnote Text Char"/>
    <w:link w:val="FootnoteText"/>
    <w:rsid w:val="00E52E69"/>
    <w:rPr>
      <w:rFonts w:ascii="Cambria" w:eastAsia="Cambria" w:hAnsi="Cambria"/>
      <w:lang w:eastAsia="en-US"/>
    </w:rPr>
  </w:style>
  <w:style w:type="character" w:styleId="FootnoteReference">
    <w:name w:val="footnote reference"/>
    <w:uiPriority w:val="99"/>
    <w:unhideWhenUsed/>
    <w:rsid w:val="00E52E69"/>
    <w:rPr>
      <w:vertAlign w:val="superscript"/>
    </w:rPr>
  </w:style>
  <w:style w:type="paragraph" w:customStyle="1" w:styleId="P2">
    <w:name w:val="P2"/>
    <w:aliases w:val="(i)"/>
    <w:basedOn w:val="Normal"/>
    <w:rsid w:val="00E52E69"/>
    <w:pPr>
      <w:tabs>
        <w:tab w:val="right" w:pos="1758"/>
        <w:tab w:val="left" w:pos="2155"/>
      </w:tabs>
      <w:spacing w:before="60" w:line="260" w:lineRule="exact"/>
      <w:ind w:left="1985" w:hanging="1985"/>
      <w:jc w:val="both"/>
    </w:pPr>
    <w:rPr>
      <w:lang w:eastAsia="en-US"/>
    </w:rPr>
  </w:style>
  <w:style w:type="character" w:customStyle="1" w:styleId="subsectionChar">
    <w:name w:val="subsection Char"/>
    <w:aliases w:val="ss Char"/>
    <w:link w:val="subsection"/>
    <w:locked/>
    <w:rsid w:val="00270BF5"/>
    <w:rPr>
      <w:sz w:val="22"/>
      <w:szCs w:val="22"/>
    </w:rPr>
  </w:style>
  <w:style w:type="character" w:customStyle="1" w:styleId="CommentTextChar">
    <w:name w:val="Comment Text Char"/>
    <w:link w:val="CommentText"/>
    <w:uiPriority w:val="99"/>
    <w:semiHidden/>
    <w:rsid w:val="00BB7889"/>
  </w:style>
  <w:style w:type="character" w:styleId="FollowedHyperlink">
    <w:name w:val="FollowedHyperlink"/>
    <w:basedOn w:val="DefaultParagraphFont"/>
    <w:uiPriority w:val="99"/>
    <w:semiHidden/>
    <w:unhideWhenUsed/>
    <w:rsid w:val="00C75C1C"/>
    <w:rPr>
      <w:color w:val="800080" w:themeColor="followedHyperlink"/>
      <w:u w:val="single"/>
    </w:rPr>
  </w:style>
  <w:style w:type="paragraph" w:styleId="Revision">
    <w:name w:val="Revision"/>
    <w:hidden/>
    <w:uiPriority w:val="99"/>
    <w:semiHidden/>
    <w:rsid w:val="00CB428D"/>
    <w:rPr>
      <w:sz w:val="24"/>
      <w:szCs w:val="24"/>
    </w:rPr>
  </w:style>
  <w:style w:type="character" w:styleId="Strong">
    <w:name w:val="Strong"/>
    <w:basedOn w:val="DefaultParagraphFont"/>
    <w:uiPriority w:val="22"/>
    <w:qFormat/>
    <w:rsid w:val="00474F60"/>
    <w:rPr>
      <w:b/>
      <w:bCs/>
    </w:rPr>
  </w:style>
  <w:style w:type="paragraph" w:styleId="ListParagraph">
    <w:name w:val="List Paragraph"/>
    <w:basedOn w:val="Normal"/>
    <w:uiPriority w:val="34"/>
    <w:qFormat/>
    <w:rsid w:val="004671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aliases w:val="s"/>
    <w:basedOn w:val="Heading1"/>
    <w:next w:val="subsection"/>
    <w:qFormat/>
    <w:pPr>
      <w:keepLines/>
      <w:autoSpaceDE w:val="0"/>
      <w:autoSpaceDN w:val="0"/>
      <w:spacing w:before="280" w:line="260" w:lineRule="atLeast"/>
      <w:ind w:left="1134" w:hanging="1134"/>
      <w:outlineLvl w:val="4"/>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
    <w:name w:val="Definition"/>
    <w:aliases w:val="dd"/>
    <w:basedOn w:val="Normal"/>
    <w:pPr>
      <w:autoSpaceDE w:val="0"/>
      <w:autoSpaceDN w:val="0"/>
      <w:spacing w:before="180" w:line="260" w:lineRule="atLeast"/>
      <w:ind w:left="1134"/>
    </w:pPr>
    <w:rPr>
      <w:sz w:val="22"/>
      <w:szCs w:val="22"/>
    </w:rPr>
  </w:style>
  <w:style w:type="paragraph" w:styleId="Footer">
    <w:name w:val="footer"/>
    <w:basedOn w:val="Normal"/>
    <w:link w:val="FooterChar"/>
    <w:uiPriority w:val="99"/>
    <w:pPr>
      <w:tabs>
        <w:tab w:val="center" w:pos="4153"/>
        <w:tab w:val="right" w:pos="8306"/>
      </w:tabs>
    </w:pPr>
  </w:style>
  <w:style w:type="paragraph" w:customStyle="1" w:styleId="paragraph">
    <w:name w:val="paragraph"/>
    <w:aliases w:val="a"/>
    <w:basedOn w:val="Normal"/>
    <w:pPr>
      <w:tabs>
        <w:tab w:val="right" w:pos="1531"/>
      </w:tabs>
      <w:autoSpaceDE w:val="0"/>
      <w:autoSpaceDN w:val="0"/>
      <w:spacing w:before="40" w:line="260" w:lineRule="atLeast"/>
      <w:ind w:left="1644" w:hanging="1644"/>
    </w:pPr>
    <w:rPr>
      <w:sz w:val="22"/>
      <w:szCs w:val="22"/>
    </w:rPr>
  </w:style>
  <w:style w:type="paragraph" w:customStyle="1" w:styleId="paragraphsub">
    <w:name w:val="paragraph(sub)"/>
    <w:aliases w:val="aa"/>
    <w:basedOn w:val="paragraph"/>
    <w:pPr>
      <w:tabs>
        <w:tab w:val="clear" w:pos="1531"/>
        <w:tab w:val="right" w:pos="1985"/>
      </w:tabs>
      <w:ind w:left="2098" w:hanging="2098"/>
    </w:pPr>
  </w:style>
  <w:style w:type="character" w:customStyle="1" w:styleId="CharSectno">
    <w:name w:val="CharSectno"/>
    <w:basedOn w:val="DefaultParagraphFont"/>
  </w:style>
  <w:style w:type="paragraph" w:customStyle="1" w:styleId="subsection">
    <w:name w:val="subsection"/>
    <w:aliases w:val="ss"/>
    <w:basedOn w:val="Normal"/>
    <w:link w:val="subsectionChar"/>
    <w:pPr>
      <w:tabs>
        <w:tab w:val="right" w:pos="1021"/>
      </w:tabs>
      <w:autoSpaceDE w:val="0"/>
      <w:autoSpaceDN w:val="0"/>
      <w:spacing w:before="180" w:line="260" w:lineRule="atLeast"/>
      <w:ind w:left="1134" w:hanging="1134"/>
    </w:pPr>
    <w:rPr>
      <w:sz w:val="22"/>
      <w:szCs w:val="22"/>
    </w:rPr>
  </w:style>
  <w:style w:type="paragraph" w:customStyle="1" w:styleId="Penalty">
    <w:name w:val="Penalty"/>
    <w:basedOn w:val="Normal"/>
    <w:pPr>
      <w:tabs>
        <w:tab w:val="left" w:pos="2977"/>
      </w:tabs>
      <w:autoSpaceDE w:val="0"/>
      <w:autoSpaceDN w:val="0"/>
      <w:spacing w:before="180" w:line="260" w:lineRule="atLeast"/>
      <w:ind w:left="1985" w:hanging="851"/>
    </w:pPr>
    <w:rPr>
      <w:sz w:val="22"/>
      <w:szCs w:val="22"/>
    </w:rPr>
  </w:style>
  <w:style w:type="paragraph" w:customStyle="1" w:styleId="subsection2">
    <w:name w:val="subsection2"/>
    <w:aliases w:val="ss2"/>
    <w:basedOn w:val="subsection"/>
    <w:next w:val="subsection"/>
    <w:pPr>
      <w:tabs>
        <w:tab w:val="clear" w:pos="1021"/>
      </w:tabs>
      <w:spacing w:before="40"/>
      <w:ind w:firstLine="0"/>
    </w:pPr>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pPr>
      <w:spacing w:before="100" w:beforeAutospacing="1" w:after="100" w:afterAutospacing="1"/>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EACSHeading1">
    <w:name w:val="JIEACS Heading 1"/>
    <w:basedOn w:val="Normal"/>
    <w:pPr>
      <w:numPr>
        <w:numId w:val="4"/>
      </w:numPr>
      <w:spacing w:before="120" w:after="240"/>
    </w:pPr>
    <w:rPr>
      <w:rFonts w:ascii="Arial" w:hAnsi="Arial" w:cs="Arial"/>
      <w:b/>
      <w:sz w:val="36"/>
      <w:szCs w:val="36"/>
      <w:lang w:eastAsia="en-US"/>
    </w:rPr>
  </w:style>
  <w:style w:type="paragraph" w:customStyle="1" w:styleId="JIEACSNumberedHeading3">
    <w:name w:val="JIEACS Numbered Heading 3"/>
    <w:basedOn w:val="Normal"/>
    <w:pPr>
      <w:keepLines/>
      <w:numPr>
        <w:ilvl w:val="2"/>
        <w:numId w:val="4"/>
      </w:numPr>
      <w:spacing w:before="120" w:after="240"/>
    </w:pPr>
    <w:rPr>
      <w:szCs w:val="20"/>
      <w:lang w:eastAsia="en-US"/>
    </w:rPr>
  </w:style>
  <w:style w:type="paragraph" w:customStyle="1" w:styleId="JIEACSNumberedHeading2">
    <w:name w:val="JIEACS Numbered Heading 2"/>
    <w:basedOn w:val="Normal"/>
    <w:pPr>
      <w:numPr>
        <w:ilvl w:val="1"/>
        <w:numId w:val="4"/>
      </w:numPr>
      <w:spacing w:before="120" w:after="240"/>
    </w:pPr>
    <w:rPr>
      <w:rFonts w:ascii="Arial" w:hAnsi="Arial" w:cs="Arial"/>
      <w:b/>
      <w:i/>
      <w:sz w:val="28"/>
      <w:szCs w:val="36"/>
      <w:lang w:eastAsia="en-US"/>
    </w:rPr>
  </w:style>
  <w:style w:type="paragraph" w:customStyle="1" w:styleId="smallpara">
    <w:name w:val="smallpara"/>
    <w:basedOn w:val="Normal"/>
    <w:pPr>
      <w:spacing w:before="100" w:beforeAutospacing="1" w:after="100" w:afterAutospacing="1"/>
    </w:pPr>
    <w:rPr>
      <w:rFonts w:ascii="Arial" w:hAnsi="Arial" w:cs="Arial"/>
      <w:sz w:val="17"/>
      <w:szCs w:val="17"/>
    </w:rPr>
  </w:style>
  <w:style w:type="paragraph" w:customStyle="1" w:styleId="a">
    <w:basedOn w:val="Normal"/>
    <w:rPr>
      <w:rFonts w:ascii="Arial" w:hAnsi="Arial" w:cs="Arial"/>
      <w:sz w:val="22"/>
      <w:szCs w:val="22"/>
      <w:lang w:eastAsia="en-US"/>
    </w:rPr>
  </w:style>
  <w:style w:type="character" w:customStyle="1" w:styleId="bold">
    <w:name w:val="bold"/>
    <w:basedOn w:val="DefaultParagraphFont"/>
  </w:style>
  <w:style w:type="character" w:styleId="Hyperlink">
    <w:name w:val="Hyperlink"/>
    <w:uiPriority w:val="99"/>
    <w:rPr>
      <w:color w:val="0000FF"/>
      <w:u w:val="single"/>
    </w:rPr>
  </w:style>
  <w:style w:type="paragraph" w:customStyle="1" w:styleId="a0">
    <w:name w:val="_"/>
    <w:basedOn w:val="Normal"/>
    <w:pPr>
      <w:widowControl w:val="0"/>
      <w:ind w:left="260" w:hanging="260"/>
    </w:pPr>
    <w:rPr>
      <w:snapToGrid w:val="0"/>
      <w:szCs w:val="20"/>
      <w:lang w:val="en-US" w:eastAsia="en-US"/>
    </w:rPr>
  </w:style>
  <w:style w:type="paragraph" w:customStyle="1" w:styleId="Char1">
    <w:name w:val="Char1"/>
    <w:basedOn w:val="Normal"/>
    <w:rPr>
      <w:rFonts w:ascii="Arial" w:hAnsi="Arial" w:cs="Arial"/>
      <w:sz w:val="22"/>
      <w:szCs w:val="22"/>
      <w:lang w:eastAsia="en-US"/>
    </w:rPr>
  </w:style>
  <w:style w:type="character" w:customStyle="1" w:styleId="FooterChar">
    <w:name w:val="Footer Char"/>
    <w:link w:val="Footer"/>
    <w:uiPriority w:val="99"/>
    <w:rsid w:val="005A7E96"/>
    <w:rPr>
      <w:sz w:val="24"/>
      <w:szCs w:val="24"/>
    </w:rPr>
  </w:style>
  <w:style w:type="paragraph" w:styleId="ListBullet">
    <w:name w:val="List Bullet"/>
    <w:basedOn w:val="Normal"/>
    <w:uiPriority w:val="2"/>
    <w:qFormat/>
    <w:rsid w:val="00EA05A0"/>
    <w:pPr>
      <w:numPr>
        <w:numId w:val="9"/>
      </w:numPr>
      <w:tabs>
        <w:tab w:val="left" w:pos="397"/>
      </w:tabs>
      <w:spacing w:after="120"/>
    </w:pPr>
    <w:rPr>
      <w:szCs w:val="20"/>
      <w:lang w:eastAsia="en-US"/>
    </w:rPr>
  </w:style>
  <w:style w:type="paragraph" w:styleId="FootnoteText">
    <w:name w:val="footnote text"/>
    <w:basedOn w:val="Normal"/>
    <w:link w:val="FootnoteTextChar"/>
    <w:rsid w:val="00E52E69"/>
    <w:pPr>
      <w:keepLines/>
      <w:spacing w:line="240" w:lineRule="atLeast"/>
    </w:pPr>
    <w:rPr>
      <w:rFonts w:ascii="Cambria" w:eastAsia="Cambria" w:hAnsi="Cambria"/>
      <w:sz w:val="20"/>
      <w:szCs w:val="20"/>
      <w:lang w:eastAsia="en-US"/>
    </w:rPr>
  </w:style>
  <w:style w:type="character" w:customStyle="1" w:styleId="FootnoteTextChar">
    <w:name w:val="Footnote Text Char"/>
    <w:link w:val="FootnoteText"/>
    <w:rsid w:val="00E52E69"/>
    <w:rPr>
      <w:rFonts w:ascii="Cambria" w:eastAsia="Cambria" w:hAnsi="Cambria"/>
      <w:lang w:eastAsia="en-US"/>
    </w:rPr>
  </w:style>
  <w:style w:type="character" w:styleId="FootnoteReference">
    <w:name w:val="footnote reference"/>
    <w:uiPriority w:val="99"/>
    <w:unhideWhenUsed/>
    <w:rsid w:val="00E52E69"/>
    <w:rPr>
      <w:vertAlign w:val="superscript"/>
    </w:rPr>
  </w:style>
  <w:style w:type="paragraph" w:customStyle="1" w:styleId="P2">
    <w:name w:val="P2"/>
    <w:aliases w:val="(i)"/>
    <w:basedOn w:val="Normal"/>
    <w:rsid w:val="00E52E69"/>
    <w:pPr>
      <w:tabs>
        <w:tab w:val="right" w:pos="1758"/>
        <w:tab w:val="left" w:pos="2155"/>
      </w:tabs>
      <w:spacing w:before="60" w:line="260" w:lineRule="exact"/>
      <w:ind w:left="1985" w:hanging="1985"/>
      <w:jc w:val="both"/>
    </w:pPr>
    <w:rPr>
      <w:lang w:eastAsia="en-US"/>
    </w:rPr>
  </w:style>
  <w:style w:type="character" w:customStyle="1" w:styleId="subsectionChar">
    <w:name w:val="subsection Char"/>
    <w:aliases w:val="ss Char"/>
    <w:link w:val="subsection"/>
    <w:locked/>
    <w:rsid w:val="00270BF5"/>
    <w:rPr>
      <w:sz w:val="22"/>
      <w:szCs w:val="22"/>
    </w:rPr>
  </w:style>
  <w:style w:type="character" w:customStyle="1" w:styleId="CommentTextChar">
    <w:name w:val="Comment Text Char"/>
    <w:link w:val="CommentText"/>
    <w:uiPriority w:val="99"/>
    <w:semiHidden/>
    <w:rsid w:val="00BB7889"/>
  </w:style>
  <w:style w:type="character" w:styleId="FollowedHyperlink">
    <w:name w:val="FollowedHyperlink"/>
    <w:basedOn w:val="DefaultParagraphFont"/>
    <w:uiPriority w:val="99"/>
    <w:semiHidden/>
    <w:unhideWhenUsed/>
    <w:rsid w:val="00C75C1C"/>
    <w:rPr>
      <w:color w:val="800080" w:themeColor="followedHyperlink"/>
      <w:u w:val="single"/>
    </w:rPr>
  </w:style>
  <w:style w:type="paragraph" w:styleId="Revision">
    <w:name w:val="Revision"/>
    <w:hidden/>
    <w:uiPriority w:val="99"/>
    <w:semiHidden/>
    <w:rsid w:val="00CB428D"/>
    <w:rPr>
      <w:sz w:val="24"/>
      <w:szCs w:val="24"/>
    </w:rPr>
  </w:style>
  <w:style w:type="character" w:styleId="Strong">
    <w:name w:val="Strong"/>
    <w:basedOn w:val="DefaultParagraphFont"/>
    <w:uiPriority w:val="22"/>
    <w:qFormat/>
    <w:rsid w:val="00474F60"/>
    <w:rPr>
      <w:b/>
      <w:bCs/>
    </w:rPr>
  </w:style>
  <w:style w:type="paragraph" w:styleId="ListParagraph">
    <w:name w:val="List Paragraph"/>
    <w:basedOn w:val="Normal"/>
    <w:uiPriority w:val="34"/>
    <w:qFormat/>
    <w:rsid w:val="00467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49528">
      <w:bodyDiv w:val="1"/>
      <w:marLeft w:val="0"/>
      <w:marRight w:val="0"/>
      <w:marTop w:val="0"/>
      <w:marBottom w:val="0"/>
      <w:divBdr>
        <w:top w:val="none" w:sz="0" w:space="0" w:color="auto"/>
        <w:left w:val="none" w:sz="0" w:space="0" w:color="auto"/>
        <w:bottom w:val="none" w:sz="0" w:space="0" w:color="auto"/>
        <w:right w:val="none" w:sz="0" w:space="0" w:color="auto"/>
      </w:divBdr>
      <w:divsChild>
        <w:div w:id="1656448204">
          <w:marLeft w:val="0"/>
          <w:marRight w:val="0"/>
          <w:marTop w:val="0"/>
          <w:marBottom w:val="0"/>
          <w:divBdr>
            <w:top w:val="none" w:sz="0" w:space="0" w:color="auto"/>
            <w:left w:val="none" w:sz="0" w:space="0" w:color="auto"/>
            <w:bottom w:val="none" w:sz="0" w:space="0" w:color="auto"/>
            <w:right w:val="none" w:sz="0" w:space="0" w:color="auto"/>
          </w:divBdr>
          <w:divsChild>
            <w:div w:id="956912832">
              <w:marLeft w:val="0"/>
              <w:marRight w:val="0"/>
              <w:marTop w:val="0"/>
              <w:marBottom w:val="0"/>
              <w:divBdr>
                <w:top w:val="none" w:sz="0" w:space="0" w:color="auto"/>
                <w:left w:val="none" w:sz="0" w:space="0" w:color="auto"/>
                <w:bottom w:val="none" w:sz="0" w:space="0" w:color="auto"/>
                <w:right w:val="none" w:sz="0" w:space="0" w:color="auto"/>
              </w:divBdr>
              <w:divsChild>
                <w:div w:id="709305561">
                  <w:marLeft w:val="0"/>
                  <w:marRight w:val="0"/>
                  <w:marTop w:val="0"/>
                  <w:marBottom w:val="0"/>
                  <w:divBdr>
                    <w:top w:val="none" w:sz="0" w:space="0" w:color="auto"/>
                    <w:left w:val="none" w:sz="0" w:space="0" w:color="auto"/>
                    <w:bottom w:val="none" w:sz="0" w:space="0" w:color="auto"/>
                    <w:right w:val="none" w:sz="0" w:space="0" w:color="auto"/>
                  </w:divBdr>
                  <w:divsChild>
                    <w:div w:id="895508688">
                      <w:marLeft w:val="0"/>
                      <w:marRight w:val="0"/>
                      <w:marTop w:val="0"/>
                      <w:marBottom w:val="0"/>
                      <w:divBdr>
                        <w:top w:val="none" w:sz="0" w:space="0" w:color="auto"/>
                        <w:left w:val="none" w:sz="0" w:space="0" w:color="auto"/>
                        <w:bottom w:val="none" w:sz="0" w:space="0" w:color="auto"/>
                        <w:right w:val="none" w:sz="0" w:space="0" w:color="auto"/>
                      </w:divBdr>
                      <w:divsChild>
                        <w:div w:id="1655527481">
                          <w:marLeft w:val="0"/>
                          <w:marRight w:val="0"/>
                          <w:marTop w:val="0"/>
                          <w:marBottom w:val="0"/>
                          <w:divBdr>
                            <w:top w:val="none" w:sz="0" w:space="0" w:color="auto"/>
                            <w:left w:val="none" w:sz="0" w:space="0" w:color="auto"/>
                            <w:bottom w:val="none" w:sz="0" w:space="0" w:color="auto"/>
                            <w:right w:val="none" w:sz="0" w:space="0" w:color="auto"/>
                          </w:divBdr>
                          <w:divsChild>
                            <w:div w:id="2116514983">
                              <w:marLeft w:val="0"/>
                              <w:marRight w:val="0"/>
                              <w:marTop w:val="0"/>
                              <w:marBottom w:val="0"/>
                              <w:divBdr>
                                <w:top w:val="none" w:sz="0" w:space="0" w:color="auto"/>
                                <w:left w:val="none" w:sz="0" w:space="0" w:color="auto"/>
                                <w:bottom w:val="none" w:sz="0" w:space="0" w:color="auto"/>
                                <w:right w:val="none" w:sz="0" w:space="0" w:color="auto"/>
                              </w:divBdr>
                              <w:divsChild>
                                <w:div w:id="2131969079">
                                  <w:marLeft w:val="0"/>
                                  <w:marRight w:val="0"/>
                                  <w:marTop w:val="0"/>
                                  <w:marBottom w:val="0"/>
                                  <w:divBdr>
                                    <w:top w:val="none" w:sz="0" w:space="0" w:color="auto"/>
                                    <w:left w:val="none" w:sz="0" w:space="0" w:color="auto"/>
                                    <w:bottom w:val="none" w:sz="0" w:space="0" w:color="auto"/>
                                    <w:right w:val="none" w:sz="0" w:space="0" w:color="auto"/>
                                  </w:divBdr>
                                  <w:divsChild>
                                    <w:div w:id="1906722190">
                                      <w:marLeft w:val="0"/>
                                      <w:marRight w:val="0"/>
                                      <w:marTop w:val="0"/>
                                      <w:marBottom w:val="0"/>
                                      <w:divBdr>
                                        <w:top w:val="none" w:sz="0" w:space="0" w:color="auto"/>
                                        <w:left w:val="none" w:sz="0" w:space="0" w:color="auto"/>
                                        <w:bottom w:val="none" w:sz="0" w:space="0" w:color="auto"/>
                                        <w:right w:val="none" w:sz="0" w:space="0" w:color="auto"/>
                                      </w:divBdr>
                                      <w:divsChild>
                                        <w:div w:id="1406149724">
                                          <w:marLeft w:val="0"/>
                                          <w:marRight w:val="0"/>
                                          <w:marTop w:val="0"/>
                                          <w:marBottom w:val="0"/>
                                          <w:divBdr>
                                            <w:top w:val="none" w:sz="0" w:space="0" w:color="auto"/>
                                            <w:left w:val="none" w:sz="0" w:space="0" w:color="auto"/>
                                            <w:bottom w:val="none" w:sz="0" w:space="0" w:color="auto"/>
                                            <w:right w:val="none" w:sz="0" w:space="0" w:color="auto"/>
                                          </w:divBdr>
                                          <w:divsChild>
                                            <w:div w:id="1867020565">
                                              <w:marLeft w:val="0"/>
                                              <w:marRight w:val="0"/>
                                              <w:marTop w:val="0"/>
                                              <w:marBottom w:val="0"/>
                                              <w:divBdr>
                                                <w:top w:val="none" w:sz="0" w:space="0" w:color="auto"/>
                                                <w:left w:val="none" w:sz="0" w:space="0" w:color="auto"/>
                                                <w:bottom w:val="none" w:sz="0" w:space="0" w:color="auto"/>
                                                <w:right w:val="none" w:sz="0" w:space="0" w:color="auto"/>
                                              </w:divBdr>
                                              <w:divsChild>
                                                <w:div w:id="1911846726">
                                                  <w:marLeft w:val="0"/>
                                                  <w:marRight w:val="0"/>
                                                  <w:marTop w:val="0"/>
                                                  <w:marBottom w:val="0"/>
                                                  <w:divBdr>
                                                    <w:top w:val="none" w:sz="0" w:space="0" w:color="auto"/>
                                                    <w:left w:val="none" w:sz="0" w:space="0" w:color="auto"/>
                                                    <w:bottom w:val="none" w:sz="0" w:space="0" w:color="auto"/>
                                                    <w:right w:val="none" w:sz="0" w:space="0" w:color="auto"/>
                                                  </w:divBdr>
                                                  <w:divsChild>
                                                    <w:div w:id="1768496506">
                                                      <w:marLeft w:val="0"/>
                                                      <w:marRight w:val="0"/>
                                                      <w:marTop w:val="0"/>
                                                      <w:marBottom w:val="0"/>
                                                      <w:divBdr>
                                                        <w:top w:val="none" w:sz="0" w:space="0" w:color="auto"/>
                                                        <w:left w:val="none" w:sz="0" w:space="0" w:color="auto"/>
                                                        <w:bottom w:val="none" w:sz="0" w:space="0" w:color="auto"/>
                                                        <w:right w:val="none" w:sz="0" w:space="0" w:color="auto"/>
                                                      </w:divBdr>
                                                      <w:divsChild>
                                                        <w:div w:id="64627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5668201">
      <w:bodyDiv w:val="1"/>
      <w:marLeft w:val="0"/>
      <w:marRight w:val="0"/>
      <w:marTop w:val="0"/>
      <w:marBottom w:val="0"/>
      <w:divBdr>
        <w:top w:val="none" w:sz="0" w:space="0" w:color="auto"/>
        <w:left w:val="none" w:sz="0" w:space="0" w:color="auto"/>
        <w:bottom w:val="none" w:sz="0" w:space="0" w:color="auto"/>
        <w:right w:val="none" w:sz="0" w:space="0" w:color="auto"/>
      </w:divBdr>
    </w:div>
    <w:div w:id="406536109">
      <w:bodyDiv w:val="1"/>
      <w:marLeft w:val="0"/>
      <w:marRight w:val="0"/>
      <w:marTop w:val="0"/>
      <w:marBottom w:val="0"/>
      <w:divBdr>
        <w:top w:val="none" w:sz="0" w:space="0" w:color="auto"/>
        <w:left w:val="none" w:sz="0" w:space="0" w:color="auto"/>
        <w:bottom w:val="none" w:sz="0" w:space="0" w:color="auto"/>
        <w:right w:val="none" w:sz="0" w:space="0" w:color="auto"/>
      </w:divBdr>
    </w:div>
    <w:div w:id="488406285">
      <w:bodyDiv w:val="1"/>
      <w:marLeft w:val="0"/>
      <w:marRight w:val="0"/>
      <w:marTop w:val="0"/>
      <w:marBottom w:val="0"/>
      <w:divBdr>
        <w:top w:val="none" w:sz="0" w:space="0" w:color="auto"/>
        <w:left w:val="none" w:sz="0" w:space="0" w:color="auto"/>
        <w:bottom w:val="none" w:sz="0" w:space="0" w:color="auto"/>
        <w:right w:val="none" w:sz="0" w:space="0" w:color="auto"/>
      </w:divBdr>
    </w:div>
    <w:div w:id="658970939">
      <w:bodyDiv w:val="1"/>
      <w:marLeft w:val="0"/>
      <w:marRight w:val="0"/>
      <w:marTop w:val="0"/>
      <w:marBottom w:val="0"/>
      <w:divBdr>
        <w:top w:val="none" w:sz="0" w:space="0" w:color="auto"/>
        <w:left w:val="none" w:sz="0" w:space="0" w:color="auto"/>
        <w:bottom w:val="none" w:sz="0" w:space="0" w:color="auto"/>
        <w:right w:val="none" w:sz="0" w:space="0" w:color="auto"/>
      </w:divBdr>
      <w:divsChild>
        <w:div w:id="2037996394">
          <w:marLeft w:val="0"/>
          <w:marRight w:val="0"/>
          <w:marTop w:val="0"/>
          <w:marBottom w:val="0"/>
          <w:divBdr>
            <w:top w:val="none" w:sz="0" w:space="0" w:color="auto"/>
            <w:left w:val="none" w:sz="0" w:space="0" w:color="auto"/>
            <w:bottom w:val="none" w:sz="0" w:space="0" w:color="auto"/>
            <w:right w:val="none" w:sz="0" w:space="0" w:color="auto"/>
          </w:divBdr>
          <w:divsChild>
            <w:div w:id="1853840467">
              <w:marLeft w:val="0"/>
              <w:marRight w:val="0"/>
              <w:marTop w:val="0"/>
              <w:marBottom w:val="0"/>
              <w:divBdr>
                <w:top w:val="none" w:sz="0" w:space="0" w:color="auto"/>
                <w:left w:val="none" w:sz="0" w:space="0" w:color="auto"/>
                <w:bottom w:val="none" w:sz="0" w:space="0" w:color="auto"/>
                <w:right w:val="none" w:sz="0" w:space="0" w:color="auto"/>
              </w:divBdr>
              <w:divsChild>
                <w:div w:id="145355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15159">
      <w:bodyDiv w:val="1"/>
      <w:marLeft w:val="0"/>
      <w:marRight w:val="0"/>
      <w:marTop w:val="0"/>
      <w:marBottom w:val="0"/>
      <w:divBdr>
        <w:top w:val="none" w:sz="0" w:space="0" w:color="auto"/>
        <w:left w:val="none" w:sz="0" w:space="0" w:color="auto"/>
        <w:bottom w:val="none" w:sz="0" w:space="0" w:color="auto"/>
        <w:right w:val="none" w:sz="0" w:space="0" w:color="auto"/>
      </w:divBdr>
    </w:div>
    <w:div w:id="876087836">
      <w:bodyDiv w:val="1"/>
      <w:marLeft w:val="0"/>
      <w:marRight w:val="0"/>
      <w:marTop w:val="0"/>
      <w:marBottom w:val="0"/>
      <w:divBdr>
        <w:top w:val="none" w:sz="0" w:space="0" w:color="auto"/>
        <w:left w:val="none" w:sz="0" w:space="0" w:color="auto"/>
        <w:bottom w:val="none" w:sz="0" w:space="0" w:color="auto"/>
        <w:right w:val="none" w:sz="0" w:space="0" w:color="auto"/>
      </w:divBdr>
    </w:div>
    <w:div w:id="877820763">
      <w:bodyDiv w:val="1"/>
      <w:marLeft w:val="0"/>
      <w:marRight w:val="0"/>
      <w:marTop w:val="0"/>
      <w:marBottom w:val="0"/>
      <w:divBdr>
        <w:top w:val="none" w:sz="0" w:space="0" w:color="auto"/>
        <w:left w:val="none" w:sz="0" w:space="0" w:color="auto"/>
        <w:bottom w:val="none" w:sz="0" w:space="0" w:color="auto"/>
        <w:right w:val="none" w:sz="0" w:space="0" w:color="auto"/>
      </w:divBdr>
    </w:div>
    <w:div w:id="894705783">
      <w:bodyDiv w:val="1"/>
      <w:marLeft w:val="0"/>
      <w:marRight w:val="0"/>
      <w:marTop w:val="0"/>
      <w:marBottom w:val="0"/>
      <w:divBdr>
        <w:top w:val="none" w:sz="0" w:space="0" w:color="auto"/>
        <w:left w:val="none" w:sz="0" w:space="0" w:color="auto"/>
        <w:bottom w:val="none" w:sz="0" w:space="0" w:color="auto"/>
        <w:right w:val="none" w:sz="0" w:space="0" w:color="auto"/>
      </w:divBdr>
    </w:div>
    <w:div w:id="1220870572">
      <w:bodyDiv w:val="1"/>
      <w:marLeft w:val="0"/>
      <w:marRight w:val="0"/>
      <w:marTop w:val="0"/>
      <w:marBottom w:val="0"/>
      <w:divBdr>
        <w:top w:val="none" w:sz="0" w:space="0" w:color="auto"/>
        <w:left w:val="none" w:sz="0" w:space="0" w:color="auto"/>
        <w:bottom w:val="none" w:sz="0" w:space="0" w:color="auto"/>
        <w:right w:val="none" w:sz="0" w:space="0" w:color="auto"/>
      </w:divBdr>
      <w:divsChild>
        <w:div w:id="1591235538">
          <w:marLeft w:val="0"/>
          <w:marRight w:val="0"/>
          <w:marTop w:val="0"/>
          <w:marBottom w:val="0"/>
          <w:divBdr>
            <w:top w:val="none" w:sz="0" w:space="0" w:color="auto"/>
            <w:left w:val="none" w:sz="0" w:space="0" w:color="auto"/>
            <w:bottom w:val="none" w:sz="0" w:space="0" w:color="auto"/>
            <w:right w:val="none" w:sz="0" w:space="0" w:color="auto"/>
          </w:divBdr>
          <w:divsChild>
            <w:div w:id="1780636717">
              <w:marLeft w:val="0"/>
              <w:marRight w:val="0"/>
              <w:marTop w:val="0"/>
              <w:marBottom w:val="0"/>
              <w:divBdr>
                <w:top w:val="none" w:sz="0" w:space="0" w:color="auto"/>
                <w:left w:val="none" w:sz="0" w:space="0" w:color="auto"/>
                <w:bottom w:val="none" w:sz="0" w:space="0" w:color="auto"/>
                <w:right w:val="none" w:sz="0" w:space="0" w:color="auto"/>
              </w:divBdr>
              <w:divsChild>
                <w:div w:id="139692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1414">
      <w:bodyDiv w:val="1"/>
      <w:marLeft w:val="0"/>
      <w:marRight w:val="0"/>
      <w:marTop w:val="0"/>
      <w:marBottom w:val="0"/>
      <w:divBdr>
        <w:top w:val="none" w:sz="0" w:space="0" w:color="auto"/>
        <w:left w:val="none" w:sz="0" w:space="0" w:color="auto"/>
        <w:bottom w:val="none" w:sz="0" w:space="0" w:color="auto"/>
        <w:right w:val="none" w:sz="0" w:space="0" w:color="auto"/>
      </w:divBdr>
    </w:div>
    <w:div w:id="1651593105">
      <w:bodyDiv w:val="1"/>
      <w:marLeft w:val="0"/>
      <w:marRight w:val="0"/>
      <w:marTop w:val="0"/>
      <w:marBottom w:val="0"/>
      <w:divBdr>
        <w:top w:val="none" w:sz="0" w:space="0" w:color="auto"/>
        <w:left w:val="none" w:sz="0" w:space="0" w:color="auto"/>
        <w:bottom w:val="none" w:sz="0" w:space="0" w:color="auto"/>
        <w:right w:val="none" w:sz="0" w:space="0" w:color="auto"/>
      </w:divBdr>
      <w:divsChild>
        <w:div w:id="191577578">
          <w:marLeft w:val="0"/>
          <w:marRight w:val="0"/>
          <w:marTop w:val="0"/>
          <w:marBottom w:val="0"/>
          <w:divBdr>
            <w:top w:val="none" w:sz="0" w:space="0" w:color="auto"/>
            <w:left w:val="none" w:sz="0" w:space="0" w:color="auto"/>
            <w:bottom w:val="none" w:sz="0" w:space="0" w:color="auto"/>
            <w:right w:val="none" w:sz="0" w:space="0" w:color="auto"/>
          </w:divBdr>
          <w:divsChild>
            <w:div w:id="1005672418">
              <w:marLeft w:val="0"/>
              <w:marRight w:val="0"/>
              <w:marTop w:val="0"/>
              <w:marBottom w:val="0"/>
              <w:divBdr>
                <w:top w:val="none" w:sz="0" w:space="0" w:color="auto"/>
                <w:left w:val="none" w:sz="0" w:space="0" w:color="auto"/>
                <w:bottom w:val="none" w:sz="0" w:space="0" w:color="auto"/>
                <w:right w:val="none" w:sz="0" w:space="0" w:color="auto"/>
              </w:divBdr>
              <w:divsChild>
                <w:div w:id="1003623881">
                  <w:marLeft w:val="0"/>
                  <w:marRight w:val="0"/>
                  <w:marTop w:val="0"/>
                  <w:marBottom w:val="0"/>
                  <w:divBdr>
                    <w:top w:val="none" w:sz="0" w:space="0" w:color="auto"/>
                    <w:left w:val="none" w:sz="0" w:space="0" w:color="auto"/>
                    <w:bottom w:val="none" w:sz="0" w:space="0" w:color="auto"/>
                    <w:right w:val="none" w:sz="0" w:space="0" w:color="auto"/>
                  </w:divBdr>
                  <w:divsChild>
                    <w:div w:id="434979322">
                      <w:marLeft w:val="0"/>
                      <w:marRight w:val="0"/>
                      <w:marTop w:val="0"/>
                      <w:marBottom w:val="0"/>
                      <w:divBdr>
                        <w:top w:val="none" w:sz="0" w:space="0" w:color="auto"/>
                        <w:left w:val="none" w:sz="0" w:space="0" w:color="auto"/>
                        <w:bottom w:val="none" w:sz="0" w:space="0" w:color="auto"/>
                        <w:right w:val="none" w:sz="0" w:space="0" w:color="auto"/>
                      </w:divBdr>
                      <w:divsChild>
                        <w:div w:id="1229921446">
                          <w:marLeft w:val="0"/>
                          <w:marRight w:val="0"/>
                          <w:marTop w:val="0"/>
                          <w:marBottom w:val="0"/>
                          <w:divBdr>
                            <w:top w:val="none" w:sz="0" w:space="0" w:color="auto"/>
                            <w:left w:val="none" w:sz="0" w:space="0" w:color="auto"/>
                            <w:bottom w:val="none" w:sz="0" w:space="0" w:color="auto"/>
                            <w:right w:val="none" w:sz="0" w:space="0" w:color="auto"/>
                          </w:divBdr>
                          <w:divsChild>
                            <w:div w:id="44917762">
                              <w:marLeft w:val="0"/>
                              <w:marRight w:val="0"/>
                              <w:marTop w:val="0"/>
                              <w:marBottom w:val="0"/>
                              <w:divBdr>
                                <w:top w:val="none" w:sz="0" w:space="0" w:color="auto"/>
                                <w:left w:val="none" w:sz="0" w:space="0" w:color="auto"/>
                                <w:bottom w:val="none" w:sz="0" w:space="0" w:color="auto"/>
                                <w:right w:val="none" w:sz="0" w:space="0" w:color="auto"/>
                              </w:divBdr>
                              <w:divsChild>
                                <w:div w:id="1781602476">
                                  <w:marLeft w:val="0"/>
                                  <w:marRight w:val="0"/>
                                  <w:marTop w:val="0"/>
                                  <w:marBottom w:val="0"/>
                                  <w:divBdr>
                                    <w:top w:val="none" w:sz="0" w:space="0" w:color="auto"/>
                                    <w:left w:val="none" w:sz="0" w:space="0" w:color="auto"/>
                                    <w:bottom w:val="none" w:sz="0" w:space="0" w:color="auto"/>
                                    <w:right w:val="none" w:sz="0" w:space="0" w:color="auto"/>
                                  </w:divBdr>
                                  <w:divsChild>
                                    <w:div w:id="5840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713819">
      <w:bodyDiv w:val="1"/>
      <w:marLeft w:val="0"/>
      <w:marRight w:val="0"/>
      <w:marTop w:val="0"/>
      <w:marBottom w:val="0"/>
      <w:divBdr>
        <w:top w:val="none" w:sz="0" w:space="0" w:color="auto"/>
        <w:left w:val="none" w:sz="0" w:space="0" w:color="auto"/>
        <w:bottom w:val="none" w:sz="0" w:space="0" w:color="auto"/>
        <w:right w:val="none" w:sz="0" w:space="0" w:color="auto"/>
      </w:divBdr>
      <w:divsChild>
        <w:div w:id="633364506">
          <w:marLeft w:val="0"/>
          <w:marRight w:val="0"/>
          <w:marTop w:val="0"/>
          <w:marBottom w:val="0"/>
          <w:divBdr>
            <w:top w:val="none" w:sz="0" w:space="0" w:color="auto"/>
            <w:left w:val="none" w:sz="0" w:space="0" w:color="auto"/>
            <w:bottom w:val="none" w:sz="0" w:space="0" w:color="auto"/>
            <w:right w:val="none" w:sz="0" w:space="0" w:color="auto"/>
          </w:divBdr>
          <w:divsChild>
            <w:div w:id="16874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1566">
      <w:bodyDiv w:val="1"/>
      <w:marLeft w:val="0"/>
      <w:marRight w:val="0"/>
      <w:marTop w:val="0"/>
      <w:marBottom w:val="0"/>
      <w:divBdr>
        <w:top w:val="none" w:sz="0" w:space="0" w:color="auto"/>
        <w:left w:val="none" w:sz="0" w:space="0" w:color="auto"/>
        <w:bottom w:val="none" w:sz="0" w:space="0" w:color="auto"/>
        <w:right w:val="none" w:sz="0" w:space="0" w:color="auto"/>
      </w:divBdr>
      <w:divsChild>
        <w:div w:id="682628704">
          <w:marLeft w:val="0"/>
          <w:marRight w:val="0"/>
          <w:marTop w:val="0"/>
          <w:marBottom w:val="0"/>
          <w:divBdr>
            <w:top w:val="none" w:sz="0" w:space="0" w:color="auto"/>
            <w:left w:val="none" w:sz="0" w:space="0" w:color="auto"/>
            <w:bottom w:val="none" w:sz="0" w:space="0" w:color="auto"/>
            <w:right w:val="none" w:sz="0" w:space="0" w:color="auto"/>
          </w:divBdr>
          <w:divsChild>
            <w:div w:id="1443264344">
              <w:marLeft w:val="0"/>
              <w:marRight w:val="0"/>
              <w:marTop w:val="0"/>
              <w:marBottom w:val="0"/>
              <w:divBdr>
                <w:top w:val="none" w:sz="0" w:space="0" w:color="auto"/>
                <w:left w:val="none" w:sz="0" w:space="0" w:color="auto"/>
                <w:bottom w:val="none" w:sz="0" w:space="0" w:color="auto"/>
                <w:right w:val="none" w:sz="0" w:space="0" w:color="auto"/>
              </w:divBdr>
              <w:divsChild>
                <w:div w:id="849105141">
                  <w:marLeft w:val="0"/>
                  <w:marRight w:val="0"/>
                  <w:marTop w:val="0"/>
                  <w:marBottom w:val="0"/>
                  <w:divBdr>
                    <w:top w:val="none" w:sz="0" w:space="0" w:color="auto"/>
                    <w:left w:val="none" w:sz="0" w:space="0" w:color="auto"/>
                    <w:bottom w:val="none" w:sz="0" w:space="0" w:color="auto"/>
                    <w:right w:val="none" w:sz="0" w:space="0" w:color="auto"/>
                  </w:divBdr>
                  <w:divsChild>
                    <w:div w:id="1407848881">
                      <w:marLeft w:val="0"/>
                      <w:marRight w:val="0"/>
                      <w:marTop w:val="0"/>
                      <w:marBottom w:val="0"/>
                      <w:divBdr>
                        <w:top w:val="none" w:sz="0" w:space="0" w:color="auto"/>
                        <w:left w:val="none" w:sz="0" w:space="0" w:color="auto"/>
                        <w:bottom w:val="none" w:sz="0" w:space="0" w:color="auto"/>
                        <w:right w:val="none" w:sz="0" w:space="0" w:color="auto"/>
                      </w:divBdr>
                      <w:divsChild>
                        <w:div w:id="726148407">
                          <w:marLeft w:val="0"/>
                          <w:marRight w:val="0"/>
                          <w:marTop w:val="0"/>
                          <w:marBottom w:val="0"/>
                          <w:divBdr>
                            <w:top w:val="none" w:sz="0" w:space="0" w:color="auto"/>
                            <w:left w:val="none" w:sz="0" w:space="0" w:color="auto"/>
                            <w:bottom w:val="none" w:sz="0" w:space="0" w:color="auto"/>
                            <w:right w:val="none" w:sz="0" w:space="0" w:color="auto"/>
                          </w:divBdr>
                          <w:divsChild>
                            <w:div w:id="489757482">
                              <w:marLeft w:val="0"/>
                              <w:marRight w:val="0"/>
                              <w:marTop w:val="0"/>
                              <w:marBottom w:val="0"/>
                              <w:divBdr>
                                <w:top w:val="none" w:sz="0" w:space="0" w:color="auto"/>
                                <w:left w:val="none" w:sz="0" w:space="0" w:color="auto"/>
                                <w:bottom w:val="none" w:sz="0" w:space="0" w:color="auto"/>
                                <w:right w:val="none" w:sz="0" w:space="0" w:color="auto"/>
                              </w:divBdr>
                              <w:divsChild>
                                <w:div w:id="1772554208">
                                  <w:marLeft w:val="0"/>
                                  <w:marRight w:val="0"/>
                                  <w:marTop w:val="0"/>
                                  <w:marBottom w:val="0"/>
                                  <w:divBdr>
                                    <w:top w:val="none" w:sz="0" w:space="0" w:color="auto"/>
                                    <w:left w:val="none" w:sz="0" w:space="0" w:color="auto"/>
                                    <w:bottom w:val="none" w:sz="0" w:space="0" w:color="auto"/>
                                    <w:right w:val="none" w:sz="0" w:space="0" w:color="auto"/>
                                  </w:divBdr>
                                  <w:divsChild>
                                    <w:div w:id="2368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so.org/home.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rove.nla.gov.au/work/232207651?q=ISO+13485%3A2016&amp;c=book&amp;versionId=25635507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rove.nla.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iso.org/home.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yperlink" Target="https://www.iso.org/standard/708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C7FA3-86CD-4A31-85EF-F1A57CE80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4211</Words>
  <Characters>24007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Amendment to definition of British Pharmacopoeia</vt:lpstr>
    </vt:vector>
  </TitlesOfParts>
  <Company>Therapeutic Goods Administration</Company>
  <LinksUpToDate>false</LinksUpToDate>
  <CharactersWithSpaces>28162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to definition of British Pharmacopoeia</dc:title>
  <dc:creator>LEVIN, Liana</dc:creator>
  <cp:lastModifiedBy>CARTER, Bless</cp:lastModifiedBy>
  <cp:revision>2</cp:revision>
  <cp:lastPrinted>2008-08-15T05:06:00Z</cp:lastPrinted>
  <dcterms:created xsi:type="dcterms:W3CDTF">2019-03-26T06:17:00Z</dcterms:created>
  <dcterms:modified xsi:type="dcterms:W3CDTF">2019-03-26T06:17:00Z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