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B8" w:rsidRDefault="00C75FB7" w:rsidP="00C75FB7">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Legislative Instrument</w:t>
      </w:r>
    </w:p>
    <w:p w:rsidR="00C75FB7" w:rsidRPr="006275C0" w:rsidRDefault="00C75FB7">
      <w:pPr>
        <w:pStyle w:val="Header"/>
        <w:pBdr>
          <w:top w:val="double" w:sz="4" w:space="1" w:color="auto"/>
          <w:bottom w:val="double" w:sz="4" w:space="1" w:color="auto"/>
        </w:pBdr>
        <w:tabs>
          <w:tab w:val="clear" w:pos="4153"/>
          <w:tab w:val="clear" w:pos="8306"/>
        </w:tabs>
        <w:jc w:val="center"/>
        <w:rPr>
          <w:rFonts w:ascii="Arial" w:hAnsi="Arial" w:cs="Arial"/>
          <w:sz w:val="36"/>
          <w:szCs w:val="36"/>
        </w:rPr>
      </w:pPr>
    </w:p>
    <w:p w:rsidR="00CF72B8" w:rsidRDefault="005F5048">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r w:rsidRPr="004C4F5F">
        <w:rPr>
          <w:rFonts w:ascii="Arial" w:hAnsi="Arial" w:cs="Arial"/>
          <w:sz w:val="34"/>
          <w:szCs w:val="34"/>
        </w:rPr>
        <w:t xml:space="preserve">Excise By-Law </w:t>
      </w:r>
      <w:r w:rsidR="00585AF2">
        <w:rPr>
          <w:rFonts w:ascii="Arial" w:hAnsi="Arial" w:cs="Arial"/>
          <w:sz w:val="34"/>
          <w:szCs w:val="34"/>
        </w:rPr>
        <w:t>- Prescribed Condensate Production Area</w:t>
      </w:r>
    </w:p>
    <w:bookmarkEnd w:id="0"/>
    <w:p w:rsidR="00FD730D" w:rsidRPr="00323820" w:rsidRDefault="00FD730D">
      <w:pPr>
        <w:spacing w:after="120"/>
        <w:rPr>
          <w:rFonts w:ascii="Arial" w:hAnsi="Arial" w:cs="Arial"/>
          <w:i/>
          <w:sz w:val="22"/>
          <w:szCs w:val="22"/>
        </w:rPr>
      </w:pPr>
    </w:p>
    <w:p w:rsidR="00CF72B8" w:rsidRDefault="00FD730D" w:rsidP="00C406E5">
      <w:pPr>
        <w:rPr>
          <w:rFonts w:ascii="Arial" w:hAnsi="Arial" w:cs="Arial"/>
          <w:sz w:val="22"/>
          <w:szCs w:val="22"/>
        </w:rPr>
      </w:pPr>
      <w:r w:rsidRPr="007930BB">
        <w:rPr>
          <w:rFonts w:ascii="Arial" w:hAnsi="Arial" w:cs="Arial"/>
          <w:sz w:val="22"/>
          <w:szCs w:val="22"/>
        </w:rPr>
        <w:t xml:space="preserve">I, Timothy Dyce, </w:t>
      </w:r>
      <w:r w:rsidR="009F7683">
        <w:rPr>
          <w:rFonts w:ascii="Arial" w:hAnsi="Arial" w:cs="Arial"/>
          <w:sz w:val="22"/>
          <w:szCs w:val="22"/>
        </w:rPr>
        <w:t>Deputy</w:t>
      </w:r>
      <w:r w:rsidRPr="007930BB">
        <w:rPr>
          <w:rFonts w:ascii="Arial" w:hAnsi="Arial" w:cs="Arial"/>
          <w:sz w:val="22"/>
          <w:szCs w:val="22"/>
        </w:rPr>
        <w:t xml:space="preserve"> Commissioner of Taxation</w:t>
      </w:r>
      <w:r w:rsidR="0078044F">
        <w:rPr>
          <w:rFonts w:ascii="Arial" w:hAnsi="Arial" w:cs="Arial"/>
          <w:sz w:val="22"/>
          <w:szCs w:val="22"/>
        </w:rPr>
        <w:t>,</w:t>
      </w:r>
      <w:r w:rsidRPr="007930BB">
        <w:rPr>
          <w:rFonts w:ascii="Arial" w:hAnsi="Arial" w:cs="Arial"/>
          <w:sz w:val="22"/>
          <w:szCs w:val="22"/>
        </w:rPr>
        <w:t xml:space="preserve"> </w:t>
      </w:r>
      <w:r w:rsidR="009F7683" w:rsidRPr="007930BB">
        <w:rPr>
          <w:rFonts w:ascii="Arial" w:hAnsi="Arial" w:cs="Arial"/>
          <w:sz w:val="22"/>
          <w:szCs w:val="22"/>
        </w:rPr>
        <w:t>make th</w:t>
      </w:r>
      <w:r w:rsidR="009F7683">
        <w:rPr>
          <w:rFonts w:ascii="Arial" w:hAnsi="Arial" w:cs="Arial"/>
          <w:sz w:val="22"/>
          <w:szCs w:val="22"/>
        </w:rPr>
        <w:t>is</w:t>
      </w:r>
      <w:r w:rsidR="009F7683" w:rsidRPr="007930BB">
        <w:rPr>
          <w:rFonts w:ascii="Arial" w:hAnsi="Arial" w:cs="Arial"/>
          <w:sz w:val="22"/>
          <w:szCs w:val="22"/>
        </w:rPr>
        <w:t xml:space="preserve"> </w:t>
      </w:r>
      <w:r w:rsidR="009F7683">
        <w:rPr>
          <w:rFonts w:ascii="Arial" w:hAnsi="Arial" w:cs="Arial"/>
          <w:sz w:val="22"/>
          <w:szCs w:val="22"/>
        </w:rPr>
        <w:t>B</w:t>
      </w:r>
      <w:r w:rsidR="009F7683" w:rsidRPr="007930BB">
        <w:rPr>
          <w:rFonts w:ascii="Arial" w:hAnsi="Arial" w:cs="Arial"/>
          <w:sz w:val="22"/>
          <w:szCs w:val="22"/>
        </w:rPr>
        <w:t>y-law</w:t>
      </w:r>
      <w:r w:rsidR="002D7DC9">
        <w:rPr>
          <w:rFonts w:ascii="Arial" w:hAnsi="Arial" w:cs="Arial"/>
          <w:sz w:val="22"/>
          <w:szCs w:val="22"/>
        </w:rPr>
        <w:t xml:space="preserve"> under</w:t>
      </w:r>
      <w:r w:rsidR="006C62DE">
        <w:rPr>
          <w:rFonts w:ascii="Arial" w:hAnsi="Arial" w:cs="Arial"/>
          <w:sz w:val="22"/>
          <w:szCs w:val="22"/>
        </w:rPr>
        <w:t xml:space="preserve"> </w:t>
      </w:r>
      <w:r w:rsidR="00270D29">
        <w:rPr>
          <w:rFonts w:ascii="Arial" w:hAnsi="Arial" w:cs="Arial"/>
          <w:sz w:val="22"/>
          <w:szCs w:val="22"/>
        </w:rPr>
        <w:t>s</w:t>
      </w:r>
      <w:r w:rsidR="006C62DE" w:rsidRPr="007930BB">
        <w:rPr>
          <w:rFonts w:ascii="Arial" w:hAnsi="Arial" w:cs="Arial"/>
          <w:sz w:val="22"/>
          <w:szCs w:val="22"/>
        </w:rPr>
        <w:t xml:space="preserve">ection 165 of the </w:t>
      </w:r>
      <w:r w:rsidR="006C62DE" w:rsidRPr="007930BB">
        <w:rPr>
          <w:rFonts w:ascii="Arial" w:hAnsi="Arial" w:cs="Arial"/>
          <w:i/>
          <w:sz w:val="22"/>
          <w:szCs w:val="22"/>
        </w:rPr>
        <w:t>Excise Act 1901</w:t>
      </w:r>
      <w:r w:rsidR="006C62DE" w:rsidRPr="007930BB">
        <w:rPr>
          <w:rFonts w:ascii="Arial" w:hAnsi="Arial" w:cs="Arial"/>
          <w:sz w:val="22"/>
          <w:szCs w:val="22"/>
        </w:rPr>
        <w:t>.</w:t>
      </w:r>
    </w:p>
    <w:p w:rsidR="00FD730D" w:rsidRDefault="00FD730D">
      <w:pPr>
        <w:spacing w:after="120"/>
        <w:rPr>
          <w:rFonts w:ascii="Arial" w:hAnsi="Arial" w:cs="Arial"/>
          <w:sz w:val="22"/>
          <w:szCs w:val="22"/>
        </w:rPr>
      </w:pPr>
    </w:p>
    <w:p w:rsidR="002D7DC9" w:rsidRPr="002D7DC9" w:rsidRDefault="006C62DE" w:rsidP="002D7DC9">
      <w:pPr>
        <w:rPr>
          <w:rFonts w:ascii="Arial" w:hAnsi="Arial" w:cs="Arial"/>
          <w:b/>
          <w:sz w:val="22"/>
          <w:szCs w:val="22"/>
        </w:rPr>
      </w:pPr>
      <w:r>
        <w:rPr>
          <w:rFonts w:ascii="Arial" w:hAnsi="Arial" w:cs="Arial"/>
          <w:b/>
          <w:sz w:val="22"/>
          <w:szCs w:val="22"/>
        </w:rPr>
        <w:t>Timothy Dyce</w:t>
      </w:r>
    </w:p>
    <w:p w:rsidR="002D7DC9" w:rsidRPr="002D7DC9" w:rsidRDefault="002D7DC9" w:rsidP="002D7DC9">
      <w:pPr>
        <w:rPr>
          <w:rFonts w:ascii="Arial" w:hAnsi="Arial" w:cs="Arial"/>
          <w:sz w:val="22"/>
          <w:szCs w:val="22"/>
        </w:rPr>
      </w:pPr>
      <w:r w:rsidRPr="002D7DC9">
        <w:rPr>
          <w:rFonts w:ascii="Arial" w:hAnsi="Arial" w:cs="Arial"/>
          <w:sz w:val="22"/>
          <w:szCs w:val="22"/>
        </w:rPr>
        <w:t>Deputy Commissioner of Taxation</w:t>
      </w:r>
    </w:p>
    <w:p w:rsidR="002D7DC9" w:rsidRPr="00ED6398" w:rsidRDefault="002D7DC9" w:rsidP="002D7DC9">
      <w:pPr>
        <w:rPr>
          <w:rFonts w:ascii="Arial" w:hAnsi="Arial" w:cs="Arial"/>
          <w:sz w:val="22"/>
          <w:szCs w:val="22"/>
        </w:rPr>
      </w:pPr>
      <w:r w:rsidRPr="00ED6398">
        <w:rPr>
          <w:rFonts w:ascii="Arial" w:hAnsi="Arial" w:cs="Arial"/>
          <w:sz w:val="22"/>
          <w:szCs w:val="22"/>
        </w:rPr>
        <w:t xml:space="preserve">Dated: </w:t>
      </w:r>
      <w:r w:rsidR="00A52865" w:rsidRPr="00ED6398">
        <w:rPr>
          <w:rFonts w:ascii="Arial" w:hAnsi="Arial" w:cs="Arial"/>
          <w:sz w:val="22"/>
          <w:szCs w:val="22"/>
        </w:rPr>
        <w:t>01 March</w:t>
      </w:r>
      <w:r w:rsidRPr="00ED6398">
        <w:rPr>
          <w:rFonts w:ascii="Arial" w:hAnsi="Arial" w:cs="Arial"/>
          <w:sz w:val="22"/>
          <w:szCs w:val="22"/>
        </w:rPr>
        <w:t xml:space="preserve"> 20</w:t>
      </w:r>
      <w:r w:rsidR="006C62DE" w:rsidRPr="00ED6398">
        <w:rPr>
          <w:rFonts w:ascii="Arial" w:hAnsi="Arial" w:cs="Arial"/>
          <w:sz w:val="22"/>
          <w:szCs w:val="22"/>
        </w:rPr>
        <w:t>1</w:t>
      </w:r>
      <w:r w:rsidR="00A52865" w:rsidRPr="00ED6398">
        <w:rPr>
          <w:rFonts w:ascii="Arial" w:hAnsi="Arial" w:cs="Arial"/>
          <w:sz w:val="22"/>
          <w:szCs w:val="22"/>
        </w:rPr>
        <w:t>9</w:t>
      </w:r>
    </w:p>
    <w:p w:rsidR="00C75FB7" w:rsidRPr="00C75FB7" w:rsidRDefault="00C75FB7" w:rsidP="00C406E5">
      <w:pPr>
        <w:pBdr>
          <w:bottom w:val="double" w:sz="4" w:space="3" w:color="auto"/>
        </w:pBdr>
        <w:rPr>
          <w:sz w:val="22"/>
          <w:szCs w:val="22"/>
        </w:rPr>
      </w:pPr>
    </w:p>
    <w:p w:rsidR="00685383" w:rsidRPr="00CF72B8" w:rsidRDefault="00685383" w:rsidP="00CF72B8">
      <w:pPr>
        <w:spacing w:after="120"/>
        <w:rPr>
          <w:rFonts w:ascii="Arial" w:hAnsi="Arial" w:cs="Arial"/>
          <w:sz w:val="22"/>
          <w:szCs w:val="22"/>
        </w:rPr>
      </w:pPr>
    </w:p>
    <w:p w:rsidR="00685383" w:rsidRPr="00CF72B8" w:rsidRDefault="00685383" w:rsidP="00CF72B8">
      <w:pPr>
        <w:pStyle w:val="Headin2"/>
        <w:numPr>
          <w:ilvl w:val="0"/>
          <w:numId w:val="25"/>
        </w:numPr>
        <w:tabs>
          <w:tab w:val="clear" w:pos="720"/>
        </w:tabs>
        <w:ind w:left="709" w:hanging="709"/>
        <w:rPr>
          <w:sz w:val="22"/>
          <w:szCs w:val="22"/>
        </w:rPr>
      </w:pPr>
      <w:r w:rsidRPr="00CF72B8">
        <w:rPr>
          <w:sz w:val="22"/>
          <w:szCs w:val="22"/>
        </w:rPr>
        <w:t>Name of instrument</w:t>
      </w:r>
    </w:p>
    <w:p w:rsidR="00CF72B8" w:rsidRDefault="00685383" w:rsidP="00CF72B8">
      <w:pPr>
        <w:spacing w:after="120"/>
        <w:ind w:left="709"/>
        <w:rPr>
          <w:rFonts w:ascii="Arial" w:hAnsi="Arial" w:cs="Arial"/>
          <w:sz w:val="22"/>
          <w:szCs w:val="22"/>
        </w:rPr>
      </w:pPr>
      <w:r w:rsidRPr="00CF72B8">
        <w:rPr>
          <w:rFonts w:ascii="Arial" w:hAnsi="Arial" w:cs="Arial"/>
          <w:sz w:val="22"/>
          <w:szCs w:val="22"/>
        </w:rPr>
        <w:t xml:space="preserve">This </w:t>
      </w:r>
      <w:r w:rsidR="00AD4619" w:rsidRPr="00CF72B8">
        <w:rPr>
          <w:rFonts w:ascii="Arial" w:hAnsi="Arial" w:cs="Arial"/>
          <w:sz w:val="22"/>
          <w:szCs w:val="22"/>
        </w:rPr>
        <w:t>instrument</w:t>
      </w:r>
      <w:r w:rsidRPr="00CF72B8">
        <w:rPr>
          <w:rFonts w:ascii="Arial" w:hAnsi="Arial" w:cs="Arial"/>
          <w:sz w:val="22"/>
          <w:szCs w:val="22"/>
        </w:rPr>
        <w:t xml:space="preserve"> is </w:t>
      </w:r>
      <w:r w:rsidRPr="00CF72B8">
        <w:rPr>
          <w:rFonts w:ascii="Arial" w:hAnsi="Arial" w:cs="Arial"/>
          <w:i/>
          <w:sz w:val="22"/>
          <w:szCs w:val="22"/>
        </w:rPr>
        <w:t xml:space="preserve">Excise By-Law </w:t>
      </w:r>
      <w:r w:rsidR="00DC1514">
        <w:rPr>
          <w:rFonts w:ascii="Arial" w:hAnsi="Arial" w:cs="Arial"/>
          <w:i/>
          <w:sz w:val="22"/>
          <w:szCs w:val="22"/>
        </w:rPr>
        <w:t xml:space="preserve">- </w:t>
      </w:r>
      <w:r w:rsidR="00585AF2">
        <w:rPr>
          <w:rFonts w:ascii="Arial" w:hAnsi="Arial" w:cs="Arial"/>
          <w:i/>
          <w:sz w:val="22"/>
          <w:szCs w:val="22"/>
        </w:rPr>
        <w:t>Prescribed Condensate Production Area.</w:t>
      </w:r>
    </w:p>
    <w:p w:rsidR="00685383" w:rsidRPr="00CF72B8" w:rsidRDefault="00685383" w:rsidP="00CF72B8">
      <w:pPr>
        <w:spacing w:after="120"/>
        <w:rPr>
          <w:rFonts w:ascii="Arial" w:hAnsi="Arial" w:cs="Arial"/>
          <w:sz w:val="22"/>
          <w:szCs w:val="22"/>
        </w:rPr>
      </w:pPr>
    </w:p>
    <w:p w:rsidR="00685383" w:rsidRPr="00CF72B8" w:rsidRDefault="00685383" w:rsidP="00CF72B8">
      <w:pPr>
        <w:pStyle w:val="Headin2"/>
        <w:numPr>
          <w:ilvl w:val="0"/>
          <w:numId w:val="25"/>
        </w:numPr>
        <w:tabs>
          <w:tab w:val="clear" w:pos="720"/>
        </w:tabs>
        <w:ind w:left="709" w:hanging="709"/>
        <w:rPr>
          <w:sz w:val="22"/>
          <w:szCs w:val="22"/>
        </w:rPr>
      </w:pPr>
      <w:r w:rsidRPr="00CF72B8">
        <w:rPr>
          <w:sz w:val="22"/>
          <w:szCs w:val="22"/>
        </w:rPr>
        <w:t>Commencement</w:t>
      </w:r>
    </w:p>
    <w:p w:rsidR="00CF72B8" w:rsidRDefault="00685383" w:rsidP="0002461E">
      <w:pPr>
        <w:spacing w:after="120"/>
        <w:ind w:left="709"/>
        <w:rPr>
          <w:rFonts w:ascii="Arial" w:hAnsi="Arial" w:cs="Arial"/>
          <w:sz w:val="22"/>
          <w:szCs w:val="22"/>
        </w:rPr>
      </w:pPr>
      <w:r w:rsidRPr="00CF72B8">
        <w:rPr>
          <w:rFonts w:ascii="Arial" w:hAnsi="Arial" w:cs="Arial"/>
          <w:sz w:val="22"/>
          <w:szCs w:val="22"/>
        </w:rPr>
        <w:t xml:space="preserve">This instrument </w:t>
      </w:r>
      <w:r w:rsidR="006C62DE" w:rsidRPr="00CF72B8">
        <w:rPr>
          <w:rFonts w:ascii="Arial" w:hAnsi="Arial" w:cs="Arial"/>
          <w:sz w:val="22"/>
          <w:szCs w:val="22"/>
        </w:rPr>
        <w:t>commences on the day after it is registered</w:t>
      </w:r>
      <w:r w:rsidR="0042085E">
        <w:rPr>
          <w:rFonts w:ascii="Arial" w:hAnsi="Arial" w:cs="Arial"/>
          <w:sz w:val="22"/>
          <w:szCs w:val="22"/>
        </w:rPr>
        <w:t xml:space="preserve"> on the Federal Register of Legislation</w:t>
      </w:r>
      <w:r w:rsidRPr="00CF72B8">
        <w:rPr>
          <w:rFonts w:ascii="Arial" w:hAnsi="Arial" w:cs="Arial"/>
          <w:sz w:val="22"/>
          <w:szCs w:val="22"/>
        </w:rPr>
        <w:t>.</w:t>
      </w:r>
    </w:p>
    <w:p w:rsidR="00685383" w:rsidRPr="0002461E" w:rsidRDefault="00685383" w:rsidP="0002461E">
      <w:pPr>
        <w:spacing w:after="120"/>
        <w:rPr>
          <w:rFonts w:ascii="Arial" w:hAnsi="Arial" w:cs="Arial"/>
          <w:sz w:val="22"/>
          <w:szCs w:val="22"/>
        </w:rPr>
      </w:pPr>
    </w:p>
    <w:p w:rsidR="006C62DE" w:rsidRPr="00CF72B8" w:rsidRDefault="006C62DE" w:rsidP="00CF72B8">
      <w:pPr>
        <w:pStyle w:val="Headin2"/>
        <w:numPr>
          <w:ilvl w:val="0"/>
          <w:numId w:val="25"/>
        </w:numPr>
        <w:tabs>
          <w:tab w:val="clear" w:pos="720"/>
        </w:tabs>
        <w:ind w:left="709" w:hanging="709"/>
        <w:rPr>
          <w:sz w:val="22"/>
          <w:szCs w:val="22"/>
        </w:rPr>
      </w:pPr>
      <w:r w:rsidRPr="00CF72B8">
        <w:rPr>
          <w:sz w:val="22"/>
          <w:szCs w:val="22"/>
        </w:rPr>
        <w:t>Revoking Previous instrument</w:t>
      </w:r>
    </w:p>
    <w:p w:rsidR="006C62DE" w:rsidRPr="00CF72B8" w:rsidRDefault="003152DD" w:rsidP="0002461E">
      <w:pPr>
        <w:spacing w:after="120"/>
        <w:ind w:left="709"/>
        <w:rPr>
          <w:rFonts w:ascii="Arial" w:hAnsi="Arial" w:cs="Arial"/>
          <w:sz w:val="22"/>
          <w:szCs w:val="22"/>
          <w:u w:val="single"/>
        </w:rPr>
      </w:pPr>
      <w:r w:rsidRPr="00CF72B8">
        <w:rPr>
          <w:rFonts w:ascii="Arial" w:hAnsi="Arial" w:cs="Arial"/>
          <w:sz w:val="22"/>
          <w:szCs w:val="22"/>
        </w:rPr>
        <w:t xml:space="preserve">This instrument repeals and replaces </w:t>
      </w:r>
      <w:r w:rsidRPr="00CF72B8">
        <w:rPr>
          <w:rFonts w:ascii="Arial" w:hAnsi="Arial" w:cs="Arial"/>
          <w:i/>
          <w:sz w:val="22"/>
          <w:szCs w:val="22"/>
        </w:rPr>
        <w:t xml:space="preserve">Excise By-Law 156 </w:t>
      </w:r>
      <w:r w:rsidRPr="00CF72B8">
        <w:rPr>
          <w:rFonts w:ascii="Arial" w:hAnsi="Arial" w:cs="Arial"/>
          <w:sz w:val="22"/>
          <w:szCs w:val="22"/>
        </w:rPr>
        <w:t>(F2008L04516), registered on 27 November 2008</w:t>
      </w:r>
      <w:r w:rsidR="00086320" w:rsidRPr="00CF72B8">
        <w:rPr>
          <w:rFonts w:ascii="Arial" w:hAnsi="Arial" w:cs="Arial"/>
          <w:sz w:val="22"/>
          <w:szCs w:val="22"/>
        </w:rPr>
        <w:t>.</w:t>
      </w:r>
    </w:p>
    <w:p w:rsidR="006C62DE" w:rsidRPr="00CF72B8" w:rsidRDefault="006C62DE" w:rsidP="0002461E">
      <w:pPr>
        <w:spacing w:after="120"/>
        <w:rPr>
          <w:rFonts w:ascii="Arial" w:hAnsi="Arial" w:cs="Arial"/>
          <w:sz w:val="22"/>
          <w:szCs w:val="22"/>
        </w:rPr>
      </w:pPr>
    </w:p>
    <w:p w:rsidR="00685383" w:rsidRPr="00CF72B8" w:rsidRDefault="00685383" w:rsidP="00CF72B8">
      <w:pPr>
        <w:pStyle w:val="Headin2"/>
        <w:numPr>
          <w:ilvl w:val="0"/>
          <w:numId w:val="25"/>
        </w:numPr>
        <w:tabs>
          <w:tab w:val="clear" w:pos="720"/>
        </w:tabs>
        <w:ind w:left="709" w:hanging="709"/>
        <w:rPr>
          <w:sz w:val="22"/>
          <w:szCs w:val="22"/>
        </w:rPr>
      </w:pPr>
      <w:r w:rsidRPr="00CF72B8">
        <w:rPr>
          <w:sz w:val="22"/>
          <w:szCs w:val="22"/>
        </w:rPr>
        <w:t>Application</w:t>
      </w:r>
    </w:p>
    <w:p w:rsidR="00CF72B8" w:rsidRDefault="006C62DE" w:rsidP="0002461E">
      <w:pPr>
        <w:spacing w:after="120"/>
        <w:ind w:left="709"/>
        <w:rPr>
          <w:rFonts w:ascii="Arial" w:hAnsi="Arial" w:cs="Arial"/>
          <w:sz w:val="22"/>
          <w:szCs w:val="22"/>
        </w:rPr>
      </w:pPr>
      <w:r w:rsidRPr="00CF72B8">
        <w:rPr>
          <w:rFonts w:ascii="Arial" w:hAnsi="Arial" w:cs="Arial"/>
          <w:sz w:val="22"/>
          <w:szCs w:val="22"/>
        </w:rPr>
        <w:t>This By-</w:t>
      </w:r>
      <w:r w:rsidR="006339D0" w:rsidRPr="00CF72B8">
        <w:rPr>
          <w:rFonts w:ascii="Arial" w:hAnsi="Arial" w:cs="Arial"/>
          <w:sz w:val="22"/>
          <w:szCs w:val="22"/>
        </w:rPr>
        <w:t>L</w:t>
      </w:r>
      <w:r w:rsidRPr="00CF72B8">
        <w:rPr>
          <w:rFonts w:ascii="Arial" w:hAnsi="Arial" w:cs="Arial"/>
          <w:sz w:val="22"/>
          <w:szCs w:val="22"/>
        </w:rPr>
        <w:t>aw applies to condensate produced from production areas on or after the date of commencement.</w:t>
      </w:r>
      <w:r w:rsidR="00D82CC6">
        <w:rPr>
          <w:rFonts w:ascii="Arial" w:hAnsi="Arial" w:cs="Arial"/>
          <w:sz w:val="22"/>
          <w:szCs w:val="22"/>
        </w:rPr>
        <w:t xml:space="preserve">  </w:t>
      </w:r>
      <w:r w:rsidR="00D82CC6" w:rsidRPr="00CF72B8">
        <w:rPr>
          <w:rFonts w:ascii="Arial" w:hAnsi="Arial" w:cs="Arial"/>
          <w:b/>
          <w:sz w:val="22"/>
          <w:szCs w:val="22"/>
        </w:rPr>
        <w:t>Condensate</w:t>
      </w:r>
      <w:r w:rsidR="00D82CC6" w:rsidRPr="00CF72B8">
        <w:rPr>
          <w:rFonts w:ascii="Arial" w:hAnsi="Arial" w:cs="Arial"/>
          <w:sz w:val="22"/>
          <w:szCs w:val="22"/>
        </w:rPr>
        <w:t xml:space="preserve"> has the meaning given by subsection 4(1) of the </w:t>
      </w:r>
      <w:r w:rsidR="00D82CC6" w:rsidRPr="00CF72B8">
        <w:rPr>
          <w:rFonts w:ascii="Arial" w:hAnsi="Arial" w:cs="Arial"/>
          <w:i/>
          <w:sz w:val="22"/>
          <w:szCs w:val="22"/>
        </w:rPr>
        <w:t>Excise Act 1901</w:t>
      </w:r>
      <w:r w:rsidR="00D82CC6" w:rsidRPr="00CF72B8">
        <w:rPr>
          <w:rFonts w:ascii="Arial" w:hAnsi="Arial" w:cs="Arial"/>
          <w:sz w:val="22"/>
          <w:szCs w:val="22"/>
        </w:rPr>
        <w:t>.</w:t>
      </w:r>
    </w:p>
    <w:p w:rsidR="006C62DE" w:rsidRPr="0002461E" w:rsidRDefault="006C62DE" w:rsidP="0002461E">
      <w:pPr>
        <w:spacing w:after="120"/>
        <w:rPr>
          <w:rFonts w:ascii="Arial" w:hAnsi="Arial" w:cs="Arial"/>
          <w:sz w:val="22"/>
          <w:szCs w:val="22"/>
        </w:rPr>
      </w:pPr>
    </w:p>
    <w:p w:rsidR="006C62DE" w:rsidRPr="00CF72B8" w:rsidRDefault="006C62DE" w:rsidP="00CF72B8">
      <w:pPr>
        <w:pStyle w:val="Headin2"/>
        <w:numPr>
          <w:ilvl w:val="0"/>
          <w:numId w:val="25"/>
        </w:numPr>
        <w:tabs>
          <w:tab w:val="clear" w:pos="720"/>
        </w:tabs>
        <w:ind w:left="709" w:hanging="709"/>
        <w:rPr>
          <w:sz w:val="22"/>
          <w:szCs w:val="22"/>
        </w:rPr>
      </w:pPr>
      <w:r w:rsidRPr="00CF72B8">
        <w:rPr>
          <w:sz w:val="22"/>
          <w:szCs w:val="22"/>
        </w:rPr>
        <w:t>By-Law</w:t>
      </w:r>
    </w:p>
    <w:p w:rsidR="00950B1B" w:rsidRPr="00CF72B8" w:rsidRDefault="00CF096D" w:rsidP="0002461E">
      <w:pPr>
        <w:spacing w:after="120"/>
        <w:ind w:left="709"/>
        <w:rPr>
          <w:rFonts w:ascii="Arial" w:hAnsi="Arial" w:cs="Arial"/>
          <w:sz w:val="22"/>
          <w:szCs w:val="22"/>
        </w:rPr>
      </w:pPr>
      <w:r w:rsidRPr="00CF72B8">
        <w:rPr>
          <w:rFonts w:ascii="Arial" w:hAnsi="Arial" w:cs="Arial"/>
          <w:sz w:val="22"/>
          <w:szCs w:val="22"/>
        </w:rPr>
        <w:t xml:space="preserve">For the purposes of the definition of </w:t>
      </w:r>
      <w:r w:rsidRPr="00CF72B8">
        <w:rPr>
          <w:rFonts w:ascii="Arial" w:hAnsi="Arial" w:cs="Arial"/>
          <w:b/>
          <w:i/>
          <w:sz w:val="22"/>
          <w:szCs w:val="22"/>
        </w:rPr>
        <w:t>‘prescribed condensate production area</w:t>
      </w:r>
      <w:r w:rsidR="006C62DE" w:rsidRPr="00CF72B8">
        <w:rPr>
          <w:rFonts w:ascii="Arial" w:hAnsi="Arial" w:cs="Arial"/>
          <w:b/>
          <w:i/>
          <w:sz w:val="22"/>
          <w:szCs w:val="22"/>
        </w:rPr>
        <w:t>’</w:t>
      </w:r>
      <w:r w:rsidR="006C62DE" w:rsidRPr="00CF72B8">
        <w:rPr>
          <w:rFonts w:ascii="Arial" w:hAnsi="Arial" w:cs="Arial"/>
          <w:sz w:val="22"/>
          <w:szCs w:val="22"/>
        </w:rPr>
        <w:t xml:space="preserve"> </w:t>
      </w:r>
      <w:r w:rsidRPr="00CF72B8">
        <w:rPr>
          <w:rFonts w:ascii="Arial" w:hAnsi="Arial" w:cs="Arial"/>
          <w:sz w:val="22"/>
          <w:szCs w:val="22"/>
        </w:rPr>
        <w:t xml:space="preserve"> in subsection 6CA(1) of the </w:t>
      </w:r>
      <w:r w:rsidRPr="00CF72B8">
        <w:rPr>
          <w:rFonts w:ascii="Arial" w:hAnsi="Arial" w:cs="Arial"/>
          <w:i/>
          <w:sz w:val="22"/>
          <w:szCs w:val="22"/>
        </w:rPr>
        <w:t>Excise Tariff Act 1921</w:t>
      </w:r>
      <w:r w:rsidRPr="00CF72B8">
        <w:rPr>
          <w:rFonts w:ascii="Arial" w:hAnsi="Arial" w:cs="Arial"/>
          <w:sz w:val="22"/>
          <w:szCs w:val="22"/>
        </w:rPr>
        <w:t>, the condensate production areas specified in paragraphs A, B, C and D below are prescribed</w:t>
      </w:r>
      <w:r w:rsidR="00950B1B" w:rsidRPr="00CF72B8">
        <w:rPr>
          <w:rFonts w:ascii="Arial" w:hAnsi="Arial" w:cs="Arial"/>
          <w:sz w:val="22"/>
          <w:szCs w:val="22"/>
        </w:rPr>
        <w:t>.</w:t>
      </w:r>
    </w:p>
    <w:p w:rsidR="00CF096D" w:rsidRPr="00CF72B8" w:rsidRDefault="00CF096D" w:rsidP="0002461E">
      <w:pPr>
        <w:spacing w:after="120"/>
        <w:ind w:left="709"/>
        <w:rPr>
          <w:rFonts w:ascii="Arial" w:hAnsi="Arial" w:cs="Arial"/>
          <w:sz w:val="22"/>
          <w:szCs w:val="22"/>
        </w:rPr>
      </w:pPr>
    </w:p>
    <w:p w:rsidR="006F12E1" w:rsidRPr="0002461E" w:rsidRDefault="006F12E1" w:rsidP="0002461E">
      <w:pPr>
        <w:spacing w:after="120"/>
        <w:ind w:left="709"/>
        <w:rPr>
          <w:rFonts w:ascii="Arial" w:hAnsi="Arial" w:cs="Arial"/>
          <w:szCs w:val="24"/>
        </w:rPr>
      </w:pPr>
      <w:r w:rsidRPr="0002461E">
        <w:rPr>
          <w:rFonts w:ascii="Arial" w:hAnsi="Arial" w:cs="Arial"/>
          <w:szCs w:val="24"/>
        </w:rPr>
        <w:t>A. Western Australia</w:t>
      </w:r>
    </w:p>
    <w:p w:rsidR="006F12E1" w:rsidRPr="00CF72B8" w:rsidRDefault="006F12E1" w:rsidP="0002461E">
      <w:pPr>
        <w:spacing w:after="120"/>
        <w:ind w:left="709"/>
        <w:rPr>
          <w:rFonts w:ascii="Arial" w:hAnsi="Arial" w:cs="Arial"/>
          <w:b/>
          <w:sz w:val="22"/>
          <w:szCs w:val="22"/>
        </w:rPr>
      </w:pPr>
      <w:r w:rsidRPr="00CF72B8">
        <w:rPr>
          <w:rFonts w:ascii="Arial" w:hAnsi="Arial" w:cs="Arial"/>
          <w:b/>
          <w:sz w:val="22"/>
          <w:szCs w:val="22"/>
        </w:rPr>
        <w:t>Carnarvon Basin</w:t>
      </w:r>
    </w:p>
    <w:p w:rsidR="006F12E1" w:rsidRPr="00CF72B8" w:rsidRDefault="006F12E1" w:rsidP="0002461E">
      <w:pPr>
        <w:spacing w:after="120"/>
        <w:ind w:left="709"/>
        <w:rPr>
          <w:rFonts w:ascii="Arial" w:hAnsi="Arial" w:cs="Arial"/>
          <w:sz w:val="22"/>
          <w:szCs w:val="22"/>
        </w:rPr>
      </w:pPr>
      <w:r w:rsidRPr="00CF72B8">
        <w:rPr>
          <w:rFonts w:ascii="Arial" w:hAnsi="Arial" w:cs="Arial"/>
          <w:sz w:val="22"/>
          <w:szCs w:val="22"/>
        </w:rPr>
        <w:t>Each of the production areas known as Angel, Barrow Island, Campbell, Chervil,</w:t>
      </w:r>
      <w:r w:rsidR="005621A9">
        <w:rPr>
          <w:rFonts w:ascii="Arial" w:hAnsi="Arial" w:cs="Arial"/>
          <w:sz w:val="22"/>
          <w:szCs w:val="22"/>
        </w:rPr>
        <w:t xml:space="preserve"> </w:t>
      </w:r>
      <w:r w:rsidRPr="00CF72B8">
        <w:rPr>
          <w:rFonts w:ascii="Arial" w:hAnsi="Arial" w:cs="Arial"/>
          <w:sz w:val="22"/>
          <w:szCs w:val="22"/>
        </w:rPr>
        <w:t xml:space="preserve">Cossack, </w:t>
      </w:r>
      <w:proofErr w:type="spellStart"/>
      <w:r w:rsidRPr="00CF72B8">
        <w:rPr>
          <w:rFonts w:ascii="Arial" w:hAnsi="Arial" w:cs="Arial"/>
          <w:sz w:val="22"/>
          <w:szCs w:val="22"/>
        </w:rPr>
        <w:t>Cowle</w:t>
      </w:r>
      <w:proofErr w:type="spellEnd"/>
      <w:r w:rsidRPr="00CF72B8">
        <w:rPr>
          <w:rFonts w:ascii="Arial" w:hAnsi="Arial" w:cs="Arial"/>
          <w:sz w:val="22"/>
          <w:szCs w:val="22"/>
        </w:rPr>
        <w:t>, Crest, Harriet/Lenita, Lambert/Hermes, Legendre/Legendre South, North Herald, Roller/Skate, Rankin Trend, Rosette, Rough Range, Saladin/Yammaderry, Sinbad, South Pepper, Tanami and Wanaea.</w:t>
      </w:r>
    </w:p>
    <w:p w:rsidR="006F12E1" w:rsidRPr="00CF72B8" w:rsidRDefault="006F12E1" w:rsidP="0002461E">
      <w:pPr>
        <w:spacing w:after="120"/>
        <w:ind w:left="709"/>
        <w:rPr>
          <w:rFonts w:ascii="Arial" w:hAnsi="Arial" w:cs="Arial"/>
          <w:sz w:val="22"/>
          <w:szCs w:val="22"/>
        </w:rPr>
      </w:pPr>
    </w:p>
    <w:p w:rsidR="006F12E1" w:rsidRPr="00CF72B8" w:rsidRDefault="006F12E1" w:rsidP="0002461E">
      <w:pPr>
        <w:spacing w:after="120"/>
        <w:ind w:left="709"/>
        <w:rPr>
          <w:rFonts w:ascii="Arial" w:hAnsi="Arial" w:cs="Arial"/>
          <w:b/>
          <w:sz w:val="22"/>
          <w:szCs w:val="22"/>
        </w:rPr>
      </w:pPr>
      <w:r w:rsidRPr="00CF72B8">
        <w:rPr>
          <w:rFonts w:ascii="Arial" w:hAnsi="Arial" w:cs="Arial"/>
          <w:b/>
          <w:sz w:val="22"/>
          <w:szCs w:val="22"/>
        </w:rPr>
        <w:t>Canning Basin</w:t>
      </w:r>
    </w:p>
    <w:p w:rsidR="006F12E1" w:rsidRPr="00CF72B8" w:rsidRDefault="006F12E1" w:rsidP="0002461E">
      <w:pPr>
        <w:spacing w:after="120"/>
        <w:ind w:left="709"/>
        <w:rPr>
          <w:rFonts w:ascii="Arial" w:hAnsi="Arial" w:cs="Arial"/>
          <w:sz w:val="22"/>
          <w:szCs w:val="22"/>
        </w:rPr>
      </w:pPr>
      <w:r w:rsidRPr="00CF72B8">
        <w:rPr>
          <w:rFonts w:ascii="Arial" w:hAnsi="Arial" w:cs="Arial"/>
          <w:sz w:val="22"/>
          <w:szCs w:val="22"/>
        </w:rPr>
        <w:t>Each of the production areas known as Blina, Sundown and West Terrace.</w:t>
      </w:r>
    </w:p>
    <w:p w:rsidR="006F12E1" w:rsidRPr="00CF72B8" w:rsidRDefault="006F12E1" w:rsidP="0002461E">
      <w:pPr>
        <w:spacing w:after="120"/>
        <w:ind w:left="709"/>
        <w:rPr>
          <w:rFonts w:ascii="Arial" w:hAnsi="Arial" w:cs="Arial"/>
          <w:sz w:val="22"/>
          <w:szCs w:val="22"/>
        </w:rPr>
      </w:pPr>
    </w:p>
    <w:p w:rsidR="006F12E1" w:rsidRPr="00CF72B8" w:rsidRDefault="006F12E1" w:rsidP="0002461E">
      <w:pPr>
        <w:spacing w:after="120"/>
        <w:ind w:left="709"/>
        <w:rPr>
          <w:rFonts w:ascii="Arial" w:hAnsi="Arial" w:cs="Arial"/>
          <w:b/>
          <w:sz w:val="22"/>
          <w:szCs w:val="22"/>
        </w:rPr>
      </w:pPr>
      <w:r w:rsidRPr="00CF72B8">
        <w:rPr>
          <w:rFonts w:ascii="Arial" w:hAnsi="Arial" w:cs="Arial"/>
          <w:b/>
          <w:sz w:val="22"/>
          <w:szCs w:val="22"/>
        </w:rPr>
        <w:t>Perth Basin</w:t>
      </w:r>
    </w:p>
    <w:p w:rsidR="006F12E1" w:rsidRPr="00CF72B8" w:rsidRDefault="006F12E1" w:rsidP="0002461E">
      <w:pPr>
        <w:spacing w:after="120"/>
        <w:ind w:left="709"/>
        <w:rPr>
          <w:rFonts w:ascii="Arial" w:hAnsi="Arial" w:cs="Arial"/>
          <w:sz w:val="22"/>
          <w:szCs w:val="22"/>
        </w:rPr>
      </w:pPr>
      <w:r w:rsidRPr="00CF72B8">
        <w:rPr>
          <w:rFonts w:ascii="Arial" w:hAnsi="Arial" w:cs="Arial"/>
          <w:sz w:val="22"/>
          <w:szCs w:val="22"/>
        </w:rPr>
        <w:t>Each of the production areas known as Dongara, Yardarino, Mondara and Mount Horner.</w:t>
      </w:r>
    </w:p>
    <w:p w:rsidR="006C62DE" w:rsidRPr="00CF72B8" w:rsidRDefault="006C62DE" w:rsidP="0002461E">
      <w:pPr>
        <w:spacing w:after="120"/>
        <w:ind w:left="709"/>
        <w:rPr>
          <w:rFonts w:ascii="Arial" w:hAnsi="Arial" w:cs="Arial"/>
          <w:sz w:val="22"/>
          <w:szCs w:val="22"/>
        </w:rPr>
      </w:pPr>
    </w:p>
    <w:p w:rsidR="006F12E1" w:rsidRPr="005621A9" w:rsidRDefault="006F12E1" w:rsidP="005621A9">
      <w:pPr>
        <w:spacing w:after="120"/>
        <w:ind w:left="709"/>
        <w:rPr>
          <w:rFonts w:ascii="Arial" w:hAnsi="Arial" w:cs="Arial"/>
          <w:szCs w:val="24"/>
        </w:rPr>
      </w:pPr>
      <w:r w:rsidRPr="005621A9">
        <w:rPr>
          <w:rFonts w:ascii="Arial" w:hAnsi="Arial" w:cs="Arial"/>
          <w:szCs w:val="24"/>
        </w:rPr>
        <w:t>B. Queensland</w:t>
      </w:r>
    </w:p>
    <w:p w:rsidR="006F12E1" w:rsidRPr="00CF72B8" w:rsidRDefault="006F12E1" w:rsidP="0002461E">
      <w:pPr>
        <w:spacing w:after="120"/>
        <w:ind w:left="709"/>
        <w:rPr>
          <w:rFonts w:ascii="Arial" w:hAnsi="Arial" w:cs="Arial"/>
          <w:b/>
          <w:sz w:val="22"/>
          <w:szCs w:val="22"/>
        </w:rPr>
      </w:pPr>
      <w:r w:rsidRPr="00CF72B8">
        <w:rPr>
          <w:rFonts w:ascii="Arial" w:hAnsi="Arial" w:cs="Arial"/>
          <w:b/>
          <w:sz w:val="22"/>
          <w:szCs w:val="22"/>
        </w:rPr>
        <w:t>Bowen/Surat Basin</w:t>
      </w:r>
    </w:p>
    <w:p w:rsidR="006F12E1" w:rsidRPr="00CF72B8" w:rsidRDefault="006F12E1" w:rsidP="0002461E">
      <w:pPr>
        <w:spacing w:after="120"/>
        <w:ind w:left="709"/>
        <w:rPr>
          <w:rFonts w:ascii="Arial" w:hAnsi="Arial" w:cs="Arial"/>
          <w:sz w:val="22"/>
          <w:szCs w:val="22"/>
        </w:rPr>
      </w:pPr>
      <w:r w:rsidRPr="00CF72B8">
        <w:rPr>
          <w:rFonts w:ascii="Arial" w:hAnsi="Arial" w:cs="Arial"/>
          <w:sz w:val="22"/>
          <w:szCs w:val="22"/>
        </w:rPr>
        <w:t>Each of the production areas known as Alton, Anabranch, Beaufort, Bennett, Boggo Creek, Bony Creek, Boxleigh, Cabawin, Caneon, Conloi, Duarran, Eluanbrook, Euthulla, Fairymount, Grafton Range, Hope Creek, Kincora, Lamen, Louise, Lyndon caves, Maffra, Mascotte, Mayfield, McWhirter, Merivale, Mooga, Moonie, Myrtleville, Narrows, Oberina, Pickanjinnie, Pine Ridge, Pleasant Hills, Pringle Downs, Raslie,  Richmond, Riverslea, Rolleston, Roma, Samari Plains, Silver Springs, Snake Creek, Snake Creek East, Sunnybank, Tarrawonga,</w:t>
      </w:r>
      <w:r w:rsidR="00601D57" w:rsidRPr="00CF72B8">
        <w:rPr>
          <w:rFonts w:ascii="Arial" w:hAnsi="Arial" w:cs="Arial"/>
          <w:sz w:val="22"/>
          <w:szCs w:val="22"/>
        </w:rPr>
        <w:t xml:space="preserve"> Thomby Creek, Trinidad, Waratah, </w:t>
      </w:r>
      <w:proofErr w:type="spellStart"/>
      <w:r w:rsidR="00601D57" w:rsidRPr="00CF72B8">
        <w:rPr>
          <w:rFonts w:ascii="Arial" w:hAnsi="Arial" w:cs="Arial"/>
          <w:sz w:val="22"/>
          <w:szCs w:val="22"/>
        </w:rPr>
        <w:t>Warroon</w:t>
      </w:r>
      <w:proofErr w:type="spellEnd"/>
      <w:r w:rsidR="00601D57" w:rsidRPr="00CF72B8">
        <w:rPr>
          <w:rFonts w:ascii="Arial" w:hAnsi="Arial" w:cs="Arial"/>
          <w:sz w:val="22"/>
          <w:szCs w:val="22"/>
        </w:rPr>
        <w:t xml:space="preserve">, Washpool, </w:t>
      </w:r>
      <w:proofErr w:type="spellStart"/>
      <w:r w:rsidR="00601D57" w:rsidRPr="00CF72B8">
        <w:rPr>
          <w:rFonts w:ascii="Arial" w:hAnsi="Arial" w:cs="Arial"/>
          <w:sz w:val="22"/>
          <w:szCs w:val="22"/>
        </w:rPr>
        <w:t>Yellowbank</w:t>
      </w:r>
      <w:proofErr w:type="spellEnd"/>
      <w:r w:rsidR="00601D57" w:rsidRPr="00CF72B8">
        <w:rPr>
          <w:rFonts w:ascii="Arial" w:hAnsi="Arial" w:cs="Arial"/>
          <w:sz w:val="22"/>
          <w:szCs w:val="22"/>
        </w:rPr>
        <w:t xml:space="preserve">, </w:t>
      </w:r>
      <w:proofErr w:type="spellStart"/>
      <w:r w:rsidR="00601D57" w:rsidRPr="00CF72B8">
        <w:rPr>
          <w:rFonts w:ascii="Arial" w:hAnsi="Arial" w:cs="Arial"/>
          <w:sz w:val="22"/>
          <w:szCs w:val="22"/>
        </w:rPr>
        <w:t>Yellowbank</w:t>
      </w:r>
      <w:proofErr w:type="spellEnd"/>
      <w:r w:rsidR="00601D57" w:rsidRPr="00CF72B8">
        <w:rPr>
          <w:rFonts w:ascii="Arial" w:hAnsi="Arial" w:cs="Arial"/>
          <w:sz w:val="22"/>
          <w:szCs w:val="22"/>
        </w:rPr>
        <w:t xml:space="preserve"> Creek, </w:t>
      </w:r>
      <w:proofErr w:type="spellStart"/>
      <w:r w:rsidR="00601D57" w:rsidRPr="00CF72B8">
        <w:rPr>
          <w:rFonts w:ascii="Arial" w:hAnsi="Arial" w:cs="Arial"/>
          <w:sz w:val="22"/>
          <w:szCs w:val="22"/>
        </w:rPr>
        <w:t>Timbury</w:t>
      </w:r>
      <w:proofErr w:type="spellEnd"/>
      <w:r w:rsidR="00601D57" w:rsidRPr="00CF72B8">
        <w:rPr>
          <w:rFonts w:ascii="Arial" w:hAnsi="Arial" w:cs="Arial"/>
          <w:sz w:val="22"/>
          <w:szCs w:val="22"/>
        </w:rPr>
        <w:t xml:space="preserve"> </w:t>
      </w:r>
      <w:r w:rsidR="00DC1514">
        <w:rPr>
          <w:rFonts w:ascii="Arial" w:hAnsi="Arial" w:cs="Arial"/>
          <w:sz w:val="22"/>
          <w:szCs w:val="22"/>
        </w:rPr>
        <w:t>H</w:t>
      </w:r>
      <w:r w:rsidR="00DC1514" w:rsidRPr="00CF72B8">
        <w:rPr>
          <w:rFonts w:ascii="Arial" w:hAnsi="Arial" w:cs="Arial"/>
          <w:sz w:val="22"/>
          <w:szCs w:val="22"/>
        </w:rPr>
        <w:t>ills</w:t>
      </w:r>
      <w:r w:rsidR="00601D57" w:rsidRPr="00CF72B8">
        <w:rPr>
          <w:rFonts w:ascii="Arial" w:hAnsi="Arial" w:cs="Arial"/>
          <w:sz w:val="22"/>
          <w:szCs w:val="22"/>
        </w:rPr>
        <w:t xml:space="preserve">, Wallumbilla South, </w:t>
      </w:r>
      <w:proofErr w:type="spellStart"/>
      <w:r w:rsidR="00601D57" w:rsidRPr="00CF72B8">
        <w:rPr>
          <w:rFonts w:ascii="Arial" w:hAnsi="Arial" w:cs="Arial"/>
          <w:sz w:val="22"/>
          <w:szCs w:val="22"/>
        </w:rPr>
        <w:t>Warooby</w:t>
      </w:r>
      <w:proofErr w:type="spellEnd"/>
      <w:r w:rsidR="00601D57" w:rsidRPr="00CF72B8">
        <w:rPr>
          <w:rFonts w:ascii="Arial" w:hAnsi="Arial" w:cs="Arial"/>
          <w:sz w:val="22"/>
          <w:szCs w:val="22"/>
        </w:rPr>
        <w:t xml:space="preserve">, </w:t>
      </w:r>
      <w:proofErr w:type="spellStart"/>
      <w:r w:rsidR="00601D57" w:rsidRPr="00CF72B8">
        <w:rPr>
          <w:rFonts w:ascii="Arial" w:hAnsi="Arial" w:cs="Arial"/>
          <w:sz w:val="22"/>
          <w:szCs w:val="22"/>
        </w:rPr>
        <w:t>Westlands</w:t>
      </w:r>
      <w:proofErr w:type="spellEnd"/>
      <w:r w:rsidR="00601D57" w:rsidRPr="00CF72B8">
        <w:rPr>
          <w:rFonts w:ascii="Arial" w:hAnsi="Arial" w:cs="Arial"/>
          <w:sz w:val="22"/>
          <w:szCs w:val="22"/>
        </w:rPr>
        <w:t>, Wingnut and Yanalah.</w:t>
      </w:r>
    </w:p>
    <w:p w:rsidR="00601D57" w:rsidRPr="00CF72B8" w:rsidRDefault="00601D57" w:rsidP="0002461E">
      <w:pPr>
        <w:spacing w:after="120"/>
        <w:ind w:left="709"/>
        <w:rPr>
          <w:rFonts w:ascii="Arial" w:hAnsi="Arial" w:cs="Arial"/>
          <w:sz w:val="22"/>
          <w:szCs w:val="22"/>
        </w:rPr>
      </w:pPr>
    </w:p>
    <w:p w:rsidR="00CF72B8" w:rsidRDefault="006F12E1" w:rsidP="0002461E">
      <w:pPr>
        <w:spacing w:after="120"/>
        <w:ind w:left="709"/>
        <w:rPr>
          <w:rFonts w:ascii="Arial" w:hAnsi="Arial" w:cs="Arial"/>
          <w:b/>
          <w:sz w:val="22"/>
          <w:szCs w:val="22"/>
        </w:rPr>
      </w:pPr>
      <w:r w:rsidRPr="00CF72B8">
        <w:rPr>
          <w:rFonts w:ascii="Arial" w:hAnsi="Arial" w:cs="Arial"/>
          <w:b/>
          <w:sz w:val="22"/>
          <w:szCs w:val="22"/>
        </w:rPr>
        <w:t>Cooper/Eromanga Basin</w:t>
      </w:r>
    </w:p>
    <w:p w:rsidR="006F12E1" w:rsidRPr="00CF72B8" w:rsidRDefault="006F12E1" w:rsidP="0002461E">
      <w:pPr>
        <w:spacing w:after="120"/>
        <w:ind w:left="709"/>
        <w:rPr>
          <w:rFonts w:ascii="Arial" w:hAnsi="Arial" w:cs="Arial"/>
          <w:sz w:val="22"/>
          <w:szCs w:val="22"/>
        </w:rPr>
      </w:pPr>
      <w:r w:rsidRPr="00CF72B8">
        <w:rPr>
          <w:rFonts w:ascii="Arial" w:hAnsi="Arial" w:cs="Arial"/>
          <w:sz w:val="22"/>
          <w:szCs w:val="22"/>
        </w:rPr>
        <w:t xml:space="preserve">Each of the production areas known as </w:t>
      </w:r>
      <w:proofErr w:type="spellStart"/>
      <w:r w:rsidRPr="00CF72B8">
        <w:rPr>
          <w:rFonts w:ascii="Arial" w:hAnsi="Arial" w:cs="Arial"/>
          <w:sz w:val="22"/>
          <w:szCs w:val="22"/>
        </w:rPr>
        <w:t>Challum</w:t>
      </w:r>
      <w:proofErr w:type="spellEnd"/>
      <w:r w:rsidRPr="00CF72B8">
        <w:rPr>
          <w:rFonts w:ascii="Arial" w:hAnsi="Arial" w:cs="Arial"/>
          <w:sz w:val="22"/>
          <w:szCs w:val="22"/>
        </w:rPr>
        <w:t xml:space="preserve">, Cook, Graham, </w:t>
      </w:r>
      <w:proofErr w:type="spellStart"/>
      <w:r w:rsidRPr="00CF72B8">
        <w:rPr>
          <w:rFonts w:ascii="Arial" w:hAnsi="Arial" w:cs="Arial"/>
          <w:sz w:val="22"/>
          <w:szCs w:val="22"/>
        </w:rPr>
        <w:t>Kercamurra</w:t>
      </w:r>
      <w:proofErr w:type="spellEnd"/>
      <w:r w:rsidRPr="00CF72B8">
        <w:rPr>
          <w:rFonts w:ascii="Arial" w:hAnsi="Arial" w:cs="Arial"/>
          <w:sz w:val="22"/>
          <w:szCs w:val="22"/>
        </w:rPr>
        <w:t>,</w:t>
      </w:r>
      <w:r w:rsidR="005621A9">
        <w:rPr>
          <w:rFonts w:ascii="Arial" w:hAnsi="Arial" w:cs="Arial"/>
          <w:sz w:val="22"/>
          <w:szCs w:val="22"/>
        </w:rPr>
        <w:t xml:space="preserve"> </w:t>
      </w:r>
      <w:proofErr w:type="spellStart"/>
      <w:r w:rsidRPr="00CF72B8">
        <w:rPr>
          <w:rFonts w:ascii="Arial" w:hAnsi="Arial" w:cs="Arial"/>
          <w:sz w:val="22"/>
          <w:szCs w:val="22"/>
        </w:rPr>
        <w:t>Kihee</w:t>
      </w:r>
      <w:proofErr w:type="spellEnd"/>
      <w:r w:rsidRPr="00CF72B8">
        <w:rPr>
          <w:rFonts w:ascii="Arial" w:hAnsi="Arial" w:cs="Arial"/>
          <w:sz w:val="22"/>
          <w:szCs w:val="22"/>
        </w:rPr>
        <w:t xml:space="preserve">, Maxwell, </w:t>
      </w:r>
      <w:proofErr w:type="spellStart"/>
      <w:r w:rsidRPr="00CF72B8">
        <w:rPr>
          <w:rFonts w:ascii="Arial" w:hAnsi="Arial" w:cs="Arial"/>
          <w:sz w:val="22"/>
          <w:szCs w:val="22"/>
        </w:rPr>
        <w:t>Tennaperra</w:t>
      </w:r>
      <w:proofErr w:type="spellEnd"/>
      <w:r w:rsidRPr="00CF72B8">
        <w:rPr>
          <w:rFonts w:ascii="Arial" w:hAnsi="Arial" w:cs="Arial"/>
          <w:sz w:val="22"/>
          <w:szCs w:val="22"/>
        </w:rPr>
        <w:t xml:space="preserve">, </w:t>
      </w:r>
      <w:proofErr w:type="spellStart"/>
      <w:r w:rsidRPr="00CF72B8">
        <w:rPr>
          <w:rFonts w:ascii="Arial" w:hAnsi="Arial" w:cs="Arial"/>
          <w:sz w:val="22"/>
          <w:szCs w:val="22"/>
        </w:rPr>
        <w:t>Thungo</w:t>
      </w:r>
      <w:proofErr w:type="spellEnd"/>
      <w:r w:rsidRPr="00CF72B8">
        <w:rPr>
          <w:rFonts w:ascii="Arial" w:hAnsi="Arial" w:cs="Arial"/>
          <w:sz w:val="22"/>
          <w:szCs w:val="22"/>
        </w:rPr>
        <w:t>, Toby, Yanda, Black Stump, Bodalla South,</w:t>
      </w:r>
      <w:r w:rsidR="005621A9">
        <w:rPr>
          <w:rFonts w:ascii="Arial" w:hAnsi="Arial" w:cs="Arial"/>
          <w:sz w:val="22"/>
          <w:szCs w:val="22"/>
        </w:rPr>
        <w:t xml:space="preserve"> </w:t>
      </w:r>
      <w:proofErr w:type="spellStart"/>
      <w:r w:rsidRPr="00CF72B8">
        <w:rPr>
          <w:rFonts w:ascii="Arial" w:hAnsi="Arial" w:cs="Arial"/>
          <w:sz w:val="22"/>
          <w:szCs w:val="22"/>
        </w:rPr>
        <w:t>Bogala</w:t>
      </w:r>
      <w:proofErr w:type="spellEnd"/>
      <w:r w:rsidRPr="00CF72B8">
        <w:rPr>
          <w:rFonts w:ascii="Arial" w:hAnsi="Arial" w:cs="Arial"/>
          <w:sz w:val="22"/>
          <w:szCs w:val="22"/>
        </w:rPr>
        <w:t xml:space="preserve">, </w:t>
      </w:r>
      <w:proofErr w:type="spellStart"/>
      <w:r w:rsidRPr="00CF72B8">
        <w:rPr>
          <w:rFonts w:ascii="Arial" w:hAnsi="Arial" w:cs="Arial"/>
          <w:sz w:val="22"/>
          <w:szCs w:val="22"/>
        </w:rPr>
        <w:t>Chookoo</w:t>
      </w:r>
      <w:proofErr w:type="spellEnd"/>
      <w:r w:rsidRPr="00CF72B8">
        <w:rPr>
          <w:rFonts w:ascii="Arial" w:hAnsi="Arial" w:cs="Arial"/>
          <w:sz w:val="22"/>
          <w:szCs w:val="22"/>
        </w:rPr>
        <w:t xml:space="preserve">, </w:t>
      </w:r>
      <w:proofErr w:type="spellStart"/>
      <w:r w:rsidRPr="00CF72B8">
        <w:rPr>
          <w:rFonts w:ascii="Arial" w:hAnsi="Arial" w:cs="Arial"/>
          <w:sz w:val="22"/>
          <w:szCs w:val="22"/>
        </w:rPr>
        <w:t>Cooroo</w:t>
      </w:r>
      <w:proofErr w:type="spellEnd"/>
      <w:r w:rsidRPr="00CF72B8">
        <w:rPr>
          <w:rFonts w:ascii="Arial" w:hAnsi="Arial" w:cs="Arial"/>
          <w:sz w:val="22"/>
          <w:szCs w:val="22"/>
        </w:rPr>
        <w:t xml:space="preserve">, Glenvale, Ipundu, Jackson, Jackson South, Kenmore, Koora, Kooroopa, </w:t>
      </w:r>
      <w:proofErr w:type="spellStart"/>
      <w:r w:rsidRPr="00CF72B8">
        <w:rPr>
          <w:rFonts w:ascii="Arial" w:hAnsi="Arial" w:cs="Arial"/>
          <w:sz w:val="22"/>
          <w:szCs w:val="22"/>
        </w:rPr>
        <w:t>Mooliampah</w:t>
      </w:r>
      <w:proofErr w:type="spellEnd"/>
      <w:r w:rsidRPr="00CF72B8">
        <w:rPr>
          <w:rFonts w:ascii="Arial" w:hAnsi="Arial" w:cs="Arial"/>
          <w:sz w:val="22"/>
          <w:szCs w:val="22"/>
        </w:rPr>
        <w:t xml:space="preserve">, </w:t>
      </w:r>
      <w:proofErr w:type="spellStart"/>
      <w:r w:rsidRPr="00CF72B8">
        <w:rPr>
          <w:rFonts w:ascii="Arial" w:hAnsi="Arial" w:cs="Arial"/>
          <w:sz w:val="22"/>
          <w:szCs w:val="22"/>
        </w:rPr>
        <w:t>Naccowlah</w:t>
      </w:r>
      <w:proofErr w:type="spellEnd"/>
      <w:r w:rsidRPr="00CF72B8">
        <w:rPr>
          <w:rFonts w:ascii="Arial" w:hAnsi="Arial" w:cs="Arial"/>
          <w:sz w:val="22"/>
          <w:szCs w:val="22"/>
        </w:rPr>
        <w:t xml:space="preserve"> South, </w:t>
      </w:r>
      <w:proofErr w:type="spellStart"/>
      <w:r w:rsidRPr="00CF72B8">
        <w:rPr>
          <w:rFonts w:ascii="Arial" w:hAnsi="Arial" w:cs="Arial"/>
          <w:sz w:val="22"/>
          <w:szCs w:val="22"/>
        </w:rPr>
        <w:t>Naccowlah</w:t>
      </w:r>
      <w:proofErr w:type="spellEnd"/>
      <w:r w:rsidRPr="00CF72B8">
        <w:rPr>
          <w:rFonts w:ascii="Arial" w:hAnsi="Arial" w:cs="Arial"/>
          <w:sz w:val="22"/>
          <w:szCs w:val="22"/>
        </w:rPr>
        <w:t xml:space="preserve"> West, </w:t>
      </w:r>
      <w:proofErr w:type="spellStart"/>
      <w:r w:rsidRPr="00CF72B8">
        <w:rPr>
          <w:rFonts w:ascii="Arial" w:hAnsi="Arial" w:cs="Arial"/>
          <w:sz w:val="22"/>
          <w:szCs w:val="22"/>
        </w:rPr>
        <w:t>Nockatunga</w:t>
      </w:r>
      <w:proofErr w:type="spellEnd"/>
      <w:r w:rsidRPr="00CF72B8">
        <w:rPr>
          <w:rFonts w:ascii="Arial" w:hAnsi="Arial" w:cs="Arial"/>
          <w:sz w:val="22"/>
          <w:szCs w:val="22"/>
        </w:rPr>
        <w:t>,</w:t>
      </w:r>
      <w:r w:rsidR="005621A9">
        <w:rPr>
          <w:rFonts w:ascii="Arial" w:hAnsi="Arial" w:cs="Arial"/>
          <w:sz w:val="22"/>
          <w:szCs w:val="22"/>
        </w:rPr>
        <w:t xml:space="preserve"> </w:t>
      </w:r>
      <w:r w:rsidRPr="00CF72B8">
        <w:rPr>
          <w:rFonts w:ascii="Arial" w:hAnsi="Arial" w:cs="Arial"/>
          <w:sz w:val="22"/>
          <w:szCs w:val="22"/>
        </w:rPr>
        <w:t xml:space="preserve">Sigma, </w:t>
      </w:r>
      <w:proofErr w:type="spellStart"/>
      <w:r w:rsidRPr="00CF72B8">
        <w:rPr>
          <w:rFonts w:ascii="Arial" w:hAnsi="Arial" w:cs="Arial"/>
          <w:sz w:val="22"/>
          <w:szCs w:val="22"/>
        </w:rPr>
        <w:t>Takyah</w:t>
      </w:r>
      <w:proofErr w:type="spellEnd"/>
      <w:r w:rsidRPr="00CF72B8">
        <w:rPr>
          <w:rFonts w:ascii="Arial" w:hAnsi="Arial" w:cs="Arial"/>
          <w:sz w:val="22"/>
          <w:szCs w:val="22"/>
        </w:rPr>
        <w:t xml:space="preserve">, </w:t>
      </w:r>
      <w:proofErr w:type="spellStart"/>
      <w:r w:rsidRPr="00CF72B8">
        <w:rPr>
          <w:rFonts w:ascii="Arial" w:hAnsi="Arial" w:cs="Arial"/>
          <w:sz w:val="22"/>
          <w:szCs w:val="22"/>
        </w:rPr>
        <w:t>Talgeberry</w:t>
      </w:r>
      <w:proofErr w:type="spellEnd"/>
      <w:r w:rsidRPr="00CF72B8">
        <w:rPr>
          <w:rFonts w:ascii="Arial" w:hAnsi="Arial" w:cs="Arial"/>
          <w:sz w:val="22"/>
          <w:szCs w:val="22"/>
        </w:rPr>
        <w:t xml:space="preserve">, </w:t>
      </w:r>
      <w:proofErr w:type="spellStart"/>
      <w:r w:rsidRPr="00CF72B8">
        <w:rPr>
          <w:rFonts w:ascii="Arial" w:hAnsi="Arial" w:cs="Arial"/>
          <w:sz w:val="22"/>
          <w:szCs w:val="22"/>
        </w:rPr>
        <w:t>Tickalara</w:t>
      </w:r>
      <w:proofErr w:type="spellEnd"/>
      <w:r w:rsidRPr="00CF72B8">
        <w:rPr>
          <w:rFonts w:ascii="Arial" w:hAnsi="Arial" w:cs="Arial"/>
          <w:sz w:val="22"/>
          <w:szCs w:val="22"/>
        </w:rPr>
        <w:t xml:space="preserve">, </w:t>
      </w:r>
      <w:proofErr w:type="spellStart"/>
      <w:r w:rsidRPr="00CF72B8">
        <w:rPr>
          <w:rFonts w:ascii="Arial" w:hAnsi="Arial" w:cs="Arial"/>
          <w:sz w:val="22"/>
          <w:szCs w:val="22"/>
        </w:rPr>
        <w:t>Tinpilla</w:t>
      </w:r>
      <w:proofErr w:type="spellEnd"/>
      <w:r w:rsidRPr="00CF72B8">
        <w:rPr>
          <w:rFonts w:ascii="Arial" w:hAnsi="Arial" w:cs="Arial"/>
          <w:sz w:val="22"/>
          <w:szCs w:val="22"/>
        </w:rPr>
        <w:t>, Tintaburra, Watson, Watson South and Wilson.</w:t>
      </w:r>
    </w:p>
    <w:p w:rsidR="006F12E1" w:rsidRPr="00CF72B8" w:rsidRDefault="006F12E1" w:rsidP="0002461E">
      <w:pPr>
        <w:spacing w:after="120"/>
        <w:ind w:left="709"/>
        <w:rPr>
          <w:rFonts w:ascii="Arial" w:hAnsi="Arial" w:cs="Arial"/>
          <w:sz w:val="22"/>
          <w:szCs w:val="22"/>
        </w:rPr>
      </w:pPr>
    </w:p>
    <w:p w:rsidR="006F12E1" w:rsidRPr="005621A9" w:rsidRDefault="006F12E1" w:rsidP="0002461E">
      <w:pPr>
        <w:spacing w:after="120"/>
        <w:ind w:left="709"/>
        <w:rPr>
          <w:rFonts w:ascii="Arial" w:hAnsi="Arial" w:cs="Arial"/>
          <w:szCs w:val="24"/>
        </w:rPr>
      </w:pPr>
      <w:r w:rsidRPr="005621A9">
        <w:rPr>
          <w:rFonts w:ascii="Arial" w:hAnsi="Arial" w:cs="Arial"/>
          <w:szCs w:val="24"/>
        </w:rPr>
        <w:t>C.  South Australia</w:t>
      </w:r>
    </w:p>
    <w:p w:rsidR="00CF72B8" w:rsidRDefault="006F12E1" w:rsidP="0002461E">
      <w:pPr>
        <w:spacing w:after="120"/>
        <w:ind w:left="709"/>
        <w:rPr>
          <w:rFonts w:ascii="Arial" w:hAnsi="Arial" w:cs="Arial"/>
          <w:b/>
          <w:sz w:val="22"/>
          <w:szCs w:val="22"/>
        </w:rPr>
      </w:pPr>
      <w:r w:rsidRPr="00CF72B8">
        <w:rPr>
          <w:rFonts w:ascii="Arial" w:hAnsi="Arial" w:cs="Arial"/>
          <w:b/>
          <w:sz w:val="22"/>
          <w:szCs w:val="22"/>
        </w:rPr>
        <w:t>Cooper/Eromanga Basin</w:t>
      </w:r>
    </w:p>
    <w:p w:rsidR="006F12E1" w:rsidRPr="00CF72B8" w:rsidRDefault="006F12E1" w:rsidP="0002461E">
      <w:pPr>
        <w:spacing w:after="120"/>
        <w:ind w:left="709"/>
        <w:rPr>
          <w:rFonts w:ascii="Arial" w:hAnsi="Arial" w:cs="Arial"/>
          <w:sz w:val="22"/>
          <w:szCs w:val="22"/>
        </w:rPr>
      </w:pPr>
      <w:r w:rsidRPr="00CF72B8">
        <w:rPr>
          <w:rFonts w:ascii="Arial" w:hAnsi="Arial" w:cs="Arial"/>
          <w:sz w:val="22"/>
          <w:szCs w:val="22"/>
        </w:rPr>
        <w:t>Each of the production areas known as Alwyn, Big Lake, Bookabourdie, Brolga, Brumby, Burke, Cuttapirrie, Daralingie, Della, Dirkala, Dullingari, Dullingari North, Fly Lake, Gidgealpa, Jena, Kerinna, Kidman, Limestone Creek/Biala, Marabooka, Meranji, Merimelia, Moomba, Moorari, Mudrangie, Mundarie, Muteroo, Narcoonowie, Namur, Nungeroo, Spencer North, Spencer South, Spencer West, Strzelecki, Tirrawarra, Toolachee, Yapeni, Ulandi, Wancoocha and Woolkina.</w:t>
      </w:r>
    </w:p>
    <w:p w:rsidR="006F12E1" w:rsidRPr="00CF72B8" w:rsidRDefault="006F12E1" w:rsidP="0002461E">
      <w:pPr>
        <w:spacing w:after="120"/>
        <w:ind w:left="709"/>
        <w:rPr>
          <w:rFonts w:ascii="Arial" w:hAnsi="Arial" w:cs="Arial"/>
          <w:sz w:val="22"/>
          <w:szCs w:val="22"/>
        </w:rPr>
      </w:pPr>
    </w:p>
    <w:p w:rsidR="006F12E1" w:rsidRPr="005621A9" w:rsidRDefault="006F12E1" w:rsidP="0002461E">
      <w:pPr>
        <w:spacing w:after="120"/>
        <w:ind w:left="709"/>
        <w:rPr>
          <w:rFonts w:ascii="Arial" w:hAnsi="Arial" w:cs="Arial"/>
          <w:szCs w:val="24"/>
        </w:rPr>
      </w:pPr>
      <w:r w:rsidRPr="005621A9">
        <w:rPr>
          <w:rFonts w:ascii="Arial" w:hAnsi="Arial" w:cs="Arial"/>
          <w:szCs w:val="24"/>
        </w:rPr>
        <w:t>D. Northern Territory</w:t>
      </w:r>
    </w:p>
    <w:p w:rsidR="006F12E1" w:rsidRPr="00CF72B8" w:rsidRDefault="006F12E1" w:rsidP="0002461E">
      <w:pPr>
        <w:spacing w:after="120"/>
        <w:ind w:left="709"/>
        <w:rPr>
          <w:rFonts w:ascii="Arial" w:hAnsi="Arial" w:cs="Arial"/>
          <w:b/>
          <w:sz w:val="22"/>
          <w:szCs w:val="22"/>
        </w:rPr>
      </w:pPr>
      <w:r w:rsidRPr="00CF72B8">
        <w:rPr>
          <w:rFonts w:ascii="Arial" w:hAnsi="Arial" w:cs="Arial"/>
          <w:b/>
          <w:sz w:val="22"/>
          <w:szCs w:val="22"/>
        </w:rPr>
        <w:t>Amadeus Basin</w:t>
      </w:r>
    </w:p>
    <w:p w:rsidR="00CF096D" w:rsidRPr="00CF72B8" w:rsidRDefault="006F12E1" w:rsidP="0002461E">
      <w:pPr>
        <w:spacing w:after="120"/>
        <w:ind w:left="709"/>
        <w:rPr>
          <w:rFonts w:ascii="Arial" w:hAnsi="Arial" w:cs="Arial"/>
          <w:sz w:val="22"/>
          <w:szCs w:val="22"/>
        </w:rPr>
      </w:pPr>
      <w:r w:rsidRPr="00CF72B8">
        <w:rPr>
          <w:rFonts w:ascii="Arial" w:hAnsi="Arial" w:cs="Arial"/>
          <w:sz w:val="22"/>
          <w:szCs w:val="22"/>
        </w:rPr>
        <w:t>Each of the production areas known as East Mereenie, Mereenie and Palm Valley.</w:t>
      </w:r>
    </w:p>
    <w:sectPr w:rsidR="00CF096D" w:rsidRPr="00CF72B8">
      <w:headerReference w:type="even" r:id="rId8"/>
      <w:headerReference w:type="default" r:id="rId9"/>
      <w:headerReference w:type="first" r:id="rId10"/>
      <w:pgSz w:w="11906" w:h="16838" w:code="9"/>
      <w:pgMar w:top="1440" w:right="1286" w:bottom="1358" w:left="1440" w:header="720" w:footer="72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54" w:rsidRDefault="00ED0954">
      <w:r>
        <w:separator/>
      </w:r>
    </w:p>
  </w:endnote>
  <w:endnote w:type="continuationSeparator" w:id="0">
    <w:p w:rsidR="00ED0954" w:rsidRDefault="00ED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54" w:rsidRDefault="00ED0954">
      <w:r>
        <w:separator/>
      </w:r>
    </w:p>
  </w:footnote>
  <w:footnote w:type="continuationSeparator" w:id="0">
    <w:p w:rsidR="00ED0954" w:rsidRDefault="00ED0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0D" w:rsidRPr="0067541C" w:rsidRDefault="00FD730D">
    <w:pPr>
      <w:pStyle w:val="Header"/>
      <w:rPr>
        <w:rFonts w:ascii="Arial" w:hAnsi="Arial" w:cs="Arial"/>
        <w:sz w:val="52"/>
      </w:rPr>
    </w:pPr>
    <w:r w:rsidRPr="0067541C">
      <w:rPr>
        <w:rFonts w:ascii="Arial" w:hAnsi="Arial" w:cs="Arial"/>
        <w:sz w:val="20"/>
      </w:rPr>
      <w:t>Taxation Determination</w:t>
    </w:r>
  </w:p>
  <w:p w:rsidR="00FD730D" w:rsidRPr="0067541C" w:rsidRDefault="00FD730D">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separate"/>
    </w:r>
    <w:r w:rsidR="009B04E5">
      <w:rPr>
        <w:rFonts w:ascii="Arial" w:hAnsi="Arial" w:cs="Arial"/>
        <w:b/>
        <w:bCs/>
        <w:sz w:val="52"/>
        <w:lang w:val="en-US"/>
      </w:rPr>
      <w:t>Error! Reference source not found.</w:t>
    </w:r>
    <w:r w:rsidRPr="0067541C">
      <w:rPr>
        <w:rFonts w:ascii="Arial" w:hAnsi="Arial" w:cs="Arial"/>
        <w:sz w:val="52"/>
      </w:rPr>
      <w:fldChar w:fldCharType="end"/>
    </w:r>
  </w:p>
  <w:p w:rsidR="00FD730D" w:rsidRPr="0067541C" w:rsidRDefault="00FD730D">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9B04E5">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0D" w:rsidRDefault="00FD730D">
    <w:pPr>
      <w:pStyle w:val="Header"/>
      <w:tabs>
        <w:tab w:val="clear" w:pos="4153"/>
        <w:tab w:val="clear" w:pos="8306"/>
        <w:tab w:val="center" w:pos="1418"/>
        <w:tab w:val="right" w:pos="8789"/>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30D" w:rsidRPr="001A6644" w:rsidRDefault="00ED6398">
    <w:pPr>
      <w:pStyle w:val="Header"/>
      <w:tabs>
        <w:tab w:val="clear" w:pos="4153"/>
        <w:tab w:val="clear" w:pos="8306"/>
      </w:tabs>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simplePos x="0" y="0"/>
              <wp:positionH relativeFrom="column">
                <wp:posOffset>-173990</wp:posOffset>
              </wp:positionH>
              <wp:positionV relativeFrom="paragraph">
                <wp:posOffset>116840</wp:posOffset>
              </wp:positionV>
              <wp:extent cx="2595880" cy="793115"/>
              <wp:effectExtent l="0"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79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730D" w:rsidRDefault="00ED6398">
                          <w:r>
                            <w:rPr>
                              <w:noProof/>
                            </w:rPr>
                            <w:drawing>
                              <wp:inline distT="0" distB="0" distL="0" distR="0">
                                <wp:extent cx="2414270" cy="702310"/>
                                <wp:effectExtent l="0" t="0" r="5080" b="2540"/>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0231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7pt;margin-top:9.2pt;width:204.4pt;height:6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" filled="f" stroked="f">
              <v:textbox style="mso-fit-shape-to-text:t">
                <w:txbxContent>
                  <w:p w:rsidR="00FD730D" w:rsidRDefault="00ED6398">
                    <w:r>
                      <w:rPr>
                        <w:noProof/>
                      </w:rPr>
                      <w:drawing>
                        <wp:inline distT="0" distB="0" distL="0" distR="0">
                          <wp:extent cx="2414270" cy="702310"/>
                          <wp:effectExtent l="0" t="0" r="5080" b="2540"/>
                          <wp:docPr id="2"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4270" cy="702310"/>
                                  </a:xfrm>
                                  <a:prstGeom prst="rect">
                                    <a:avLst/>
                                  </a:prstGeom>
                                  <a:noFill/>
                                  <a:ln>
                                    <a:noFill/>
                                  </a:ln>
                                </pic:spPr>
                              </pic:pic>
                            </a:graphicData>
                          </a:graphic>
                        </wp:inline>
                      </w:drawing>
                    </w:r>
                  </w:p>
                </w:txbxContent>
              </v:textbox>
            </v:shape>
          </w:pict>
        </mc:Fallback>
      </mc:AlternateContent>
    </w:r>
  </w:p>
  <w:p w:rsidR="00FD730D" w:rsidRPr="001A6644" w:rsidRDefault="00FD730D">
    <w:pPr>
      <w:pStyle w:val="Header"/>
      <w:tabs>
        <w:tab w:val="clear" w:pos="4153"/>
        <w:tab w:val="clear" w:pos="8306"/>
      </w:tabs>
      <w:rPr>
        <w:rFonts w:ascii="Arial" w:hAnsi="Arial" w:cs="Arial"/>
        <w:sz w:val="20"/>
      </w:rPr>
    </w:pPr>
  </w:p>
  <w:p w:rsidR="00FD730D" w:rsidRPr="001A6644" w:rsidRDefault="00FD730D">
    <w:pPr>
      <w:pStyle w:val="Header"/>
      <w:tabs>
        <w:tab w:val="clear" w:pos="4153"/>
        <w:tab w:val="clear" w:pos="8306"/>
      </w:tabs>
      <w:rPr>
        <w:rFonts w:ascii="Arial" w:hAnsi="Arial" w:cs="Arial"/>
        <w:sz w:val="20"/>
      </w:rPr>
    </w:pPr>
  </w:p>
  <w:p w:rsidR="00FD730D" w:rsidRPr="001A6644" w:rsidRDefault="00FD730D">
    <w:pPr>
      <w:pStyle w:val="Header"/>
      <w:tabs>
        <w:tab w:val="clear" w:pos="4153"/>
        <w:tab w:val="clear" w:pos="8306"/>
        <w:tab w:val="left" w:pos="6255"/>
      </w:tabs>
      <w:rPr>
        <w:rFonts w:ascii="Arial" w:hAnsi="Arial" w:cs="Arial"/>
        <w:sz w:val="20"/>
      </w:rPr>
    </w:pPr>
    <w:r>
      <w:rPr>
        <w:rFonts w:ascii="Arial" w:hAnsi="Arial" w:cs="Arial"/>
        <w:sz w:val="20"/>
      </w:rPr>
      <w:tab/>
    </w:r>
  </w:p>
  <w:p w:rsidR="00FD730D" w:rsidRPr="001A6644" w:rsidRDefault="00FD730D">
    <w:pPr>
      <w:pStyle w:val="Header"/>
      <w:tabs>
        <w:tab w:val="clear" w:pos="4153"/>
        <w:tab w:val="clear" w:pos="8306"/>
      </w:tabs>
      <w:rPr>
        <w:rFonts w:ascii="Arial" w:hAnsi="Arial" w:cs="Arial"/>
        <w:sz w:val="20"/>
      </w:rPr>
    </w:pPr>
  </w:p>
  <w:p w:rsidR="00FD730D" w:rsidRDefault="00FD730D">
    <w:pPr>
      <w:pStyle w:val="Header"/>
      <w:tabs>
        <w:tab w:val="clear" w:pos="4153"/>
        <w:tab w:val="clear" w:pos="8306"/>
      </w:tabs>
      <w:rPr>
        <w:rFonts w:ascii="Arial" w:hAnsi="Arial" w:cs="Arial"/>
        <w:sz w:val="20"/>
      </w:rPr>
    </w:pPr>
  </w:p>
  <w:p w:rsidR="00FD730D" w:rsidRPr="001A6644" w:rsidRDefault="00FD730D">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813"/>
    <w:multiLevelType w:val="hybridMultilevel"/>
    <w:tmpl w:val="0646F9EC"/>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nsid w:val="08665C70"/>
    <w:multiLevelType w:val="hybridMultilevel"/>
    <w:tmpl w:val="FDC0733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17764CB3"/>
    <w:multiLevelType w:val="hybridMultilevel"/>
    <w:tmpl w:val="42E010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6">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A1E5ED8"/>
    <w:multiLevelType w:val="hybridMultilevel"/>
    <w:tmpl w:val="C2D2A76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C567045"/>
    <w:multiLevelType w:val="hybridMultilevel"/>
    <w:tmpl w:val="8D1A9F20"/>
    <w:lvl w:ilvl="0" w:tplc="E9F0632E">
      <w:start w:val="6"/>
      <w:numFmt w:val="decimal"/>
      <w:lvlText w:val="%1."/>
      <w:lvlJc w:val="left"/>
      <w:pPr>
        <w:tabs>
          <w:tab w:val="num" w:pos="1980"/>
        </w:tabs>
        <w:ind w:left="198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4664277D"/>
    <w:multiLevelType w:val="hybridMultilevel"/>
    <w:tmpl w:val="5DCA654A"/>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4">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38E2883"/>
    <w:multiLevelType w:val="hybridMultilevel"/>
    <w:tmpl w:val="AB5A24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65A4F81"/>
    <w:multiLevelType w:val="multilevel"/>
    <w:tmpl w:val="D1EE481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nsid w:val="69565A8C"/>
    <w:multiLevelType w:val="hybridMultilevel"/>
    <w:tmpl w:val="0E96E35C"/>
    <w:lvl w:ilvl="0" w:tplc="7A06DD3E">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1">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25">
    <w:nsid w:val="7E3B6674"/>
    <w:multiLevelType w:val="multilevel"/>
    <w:tmpl w:val="1CB0F37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021"/>
        </w:tabs>
        <w:ind w:left="1021" w:hanging="661"/>
      </w:pPr>
      <w:rPr>
        <w:rFonts w:hint="default"/>
      </w:rPr>
    </w:lvl>
    <w:lvl w:ilvl="2">
      <w:start w:val="1"/>
      <w:numFmt w:val="decimal"/>
      <w:lvlText w:val="%1.%2.%3."/>
      <w:lvlJc w:val="left"/>
      <w:pPr>
        <w:tabs>
          <w:tab w:val="num" w:pos="1531"/>
        </w:tabs>
        <w:ind w:left="1531" w:hanging="81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11"/>
  </w:num>
  <w:num w:numId="4">
    <w:abstractNumId w:val="23"/>
  </w:num>
  <w:num w:numId="5">
    <w:abstractNumId w:val="3"/>
  </w:num>
  <w:num w:numId="6">
    <w:abstractNumId w:val="5"/>
  </w:num>
  <w:num w:numId="7">
    <w:abstractNumId w:val="17"/>
  </w:num>
  <w:num w:numId="8">
    <w:abstractNumId w:val="16"/>
  </w:num>
  <w:num w:numId="9">
    <w:abstractNumId w:val="12"/>
  </w:num>
  <w:num w:numId="10">
    <w:abstractNumId w:val="8"/>
  </w:num>
  <w:num w:numId="11">
    <w:abstractNumId w:val="26"/>
  </w:num>
  <w:num w:numId="12">
    <w:abstractNumId w:val="18"/>
  </w:num>
  <w:num w:numId="13">
    <w:abstractNumId w:val="22"/>
  </w:num>
  <w:num w:numId="14">
    <w:abstractNumId w:val="21"/>
  </w:num>
  <w:num w:numId="15">
    <w:abstractNumId w:val="7"/>
  </w:num>
  <w:num w:numId="16">
    <w:abstractNumId w:val="4"/>
  </w:num>
  <w:num w:numId="17">
    <w:abstractNumId w:val="25"/>
  </w:num>
  <w:num w:numId="18">
    <w:abstractNumId w:val="19"/>
  </w:num>
  <w:num w:numId="19">
    <w:abstractNumId w:val="13"/>
  </w:num>
  <w:num w:numId="20">
    <w:abstractNumId w:val="0"/>
  </w:num>
  <w:num w:numId="21">
    <w:abstractNumId w:val="9"/>
  </w:num>
  <w:num w:numId="22">
    <w:abstractNumId w:val="15"/>
  </w:num>
  <w:num w:numId="23">
    <w:abstractNumId w:val="1"/>
  </w:num>
  <w:num w:numId="24">
    <w:abstractNumId w:val="10"/>
  </w:num>
  <w:num w:numId="25">
    <w:abstractNumId w:val="14"/>
  </w:num>
  <w:num w:numId="26">
    <w:abstractNumId w:val="2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F2"/>
    <w:rsid w:val="0002461E"/>
    <w:rsid w:val="00086320"/>
    <w:rsid w:val="000D15F5"/>
    <w:rsid w:val="000D5DD0"/>
    <w:rsid w:val="00121545"/>
    <w:rsid w:val="00122CFC"/>
    <w:rsid w:val="001A6995"/>
    <w:rsid w:val="001E3C7E"/>
    <w:rsid w:val="00200A68"/>
    <w:rsid w:val="002127D6"/>
    <w:rsid w:val="00252035"/>
    <w:rsid w:val="00270D29"/>
    <w:rsid w:val="00291B87"/>
    <w:rsid w:val="002B28A0"/>
    <w:rsid w:val="002D7DC9"/>
    <w:rsid w:val="002E397E"/>
    <w:rsid w:val="002F059E"/>
    <w:rsid w:val="002F58EC"/>
    <w:rsid w:val="0030799F"/>
    <w:rsid w:val="003152DD"/>
    <w:rsid w:val="003465C7"/>
    <w:rsid w:val="003467BF"/>
    <w:rsid w:val="00371ED4"/>
    <w:rsid w:val="003855CF"/>
    <w:rsid w:val="0042085E"/>
    <w:rsid w:val="00465F4F"/>
    <w:rsid w:val="00497B75"/>
    <w:rsid w:val="004B1E26"/>
    <w:rsid w:val="004C0359"/>
    <w:rsid w:val="004C4F5F"/>
    <w:rsid w:val="004C58F8"/>
    <w:rsid w:val="005621A9"/>
    <w:rsid w:val="00585AF2"/>
    <w:rsid w:val="005E1BB9"/>
    <w:rsid w:val="005F5048"/>
    <w:rsid w:val="006017BE"/>
    <w:rsid w:val="00601D57"/>
    <w:rsid w:val="006275C0"/>
    <w:rsid w:val="006339D0"/>
    <w:rsid w:val="00685383"/>
    <w:rsid w:val="006C62DE"/>
    <w:rsid w:val="006E4025"/>
    <w:rsid w:val="006E6071"/>
    <w:rsid w:val="006F12E1"/>
    <w:rsid w:val="00726D8A"/>
    <w:rsid w:val="0075063A"/>
    <w:rsid w:val="007615A6"/>
    <w:rsid w:val="0078044F"/>
    <w:rsid w:val="007F3543"/>
    <w:rsid w:val="00802DE3"/>
    <w:rsid w:val="00804BA0"/>
    <w:rsid w:val="0085263B"/>
    <w:rsid w:val="008554EE"/>
    <w:rsid w:val="008D5AA6"/>
    <w:rsid w:val="008E0995"/>
    <w:rsid w:val="00950B1B"/>
    <w:rsid w:val="009A7993"/>
    <w:rsid w:val="009B04E5"/>
    <w:rsid w:val="009B67A6"/>
    <w:rsid w:val="009F7683"/>
    <w:rsid w:val="00A13A67"/>
    <w:rsid w:val="00A52865"/>
    <w:rsid w:val="00A77385"/>
    <w:rsid w:val="00A9513E"/>
    <w:rsid w:val="00AB0B49"/>
    <w:rsid w:val="00AB644E"/>
    <w:rsid w:val="00AD4619"/>
    <w:rsid w:val="00B163BB"/>
    <w:rsid w:val="00B25E6C"/>
    <w:rsid w:val="00B67071"/>
    <w:rsid w:val="00B86AEF"/>
    <w:rsid w:val="00BD02D9"/>
    <w:rsid w:val="00C315C7"/>
    <w:rsid w:val="00C406E5"/>
    <w:rsid w:val="00C507D7"/>
    <w:rsid w:val="00C75FB7"/>
    <w:rsid w:val="00CD6A56"/>
    <w:rsid w:val="00CF096D"/>
    <w:rsid w:val="00CF72B8"/>
    <w:rsid w:val="00D46ED9"/>
    <w:rsid w:val="00D55126"/>
    <w:rsid w:val="00D71146"/>
    <w:rsid w:val="00D82CC6"/>
    <w:rsid w:val="00DA09CE"/>
    <w:rsid w:val="00DC1514"/>
    <w:rsid w:val="00DC4B79"/>
    <w:rsid w:val="00DC6B64"/>
    <w:rsid w:val="00DD1E32"/>
    <w:rsid w:val="00DD6B18"/>
    <w:rsid w:val="00E72657"/>
    <w:rsid w:val="00E774F2"/>
    <w:rsid w:val="00ED0954"/>
    <w:rsid w:val="00ED6398"/>
    <w:rsid w:val="00F31270"/>
    <w:rsid w:val="00F56CF3"/>
    <w:rsid w:val="00FC22D7"/>
    <w:rsid w:val="00FD730D"/>
    <w:rsid w:val="00FF4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1B"/>
    <w:rPr>
      <w:sz w:val="24"/>
    </w:rPr>
  </w:style>
  <w:style w:type="paragraph" w:styleId="Heading2">
    <w:name w:val="heading 2"/>
    <w:basedOn w:val="Normal"/>
    <w:next w:val="Normal"/>
    <w:qFormat/>
    <w:pPr>
      <w:keepNext/>
      <w:spacing w:after="120"/>
      <w:outlineLvl w:val="1"/>
    </w:pPr>
    <w:rPr>
      <w:rFonts w:ascii="Arial" w:hAnsi="Arial"/>
      <w:b/>
      <w:sz w:val="22"/>
    </w:rPr>
  </w:style>
  <w:style w:type="paragraph" w:styleId="Heading3">
    <w:name w:val="heading 3"/>
    <w:basedOn w:val="Normal"/>
    <w:next w:val="Normal"/>
    <w:qFormat/>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Cs w:val="24"/>
    </w:rPr>
  </w:style>
  <w:style w:type="paragraph" w:styleId="Footer">
    <w:name w:val="footer"/>
    <w:basedOn w:val="Normal"/>
    <w:pPr>
      <w:tabs>
        <w:tab w:val="center" w:pos="4153"/>
        <w:tab w:val="right" w:pos="8306"/>
      </w:tabs>
    </w:pPr>
  </w:style>
  <w:style w:type="paragraph" w:styleId="Title">
    <w:name w:val="Title"/>
    <w:basedOn w:val="Normal"/>
    <w:next w:val="Normal"/>
    <w:qFormat/>
    <w:pPr>
      <w:spacing w:before="240" w:after="240"/>
    </w:pPr>
    <w:rPr>
      <w:rFonts w:ascii="Arial" w:hAnsi="Arial"/>
      <w:b/>
      <w:sz w:val="40"/>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Heading1a">
    <w:name w:val="Heading 1a"/>
    <w:next w:val="Normal"/>
    <w:pPr>
      <w:keepNext/>
      <w:keepLines/>
      <w:spacing w:before="480"/>
      <w:outlineLvl w:val="0"/>
    </w:pPr>
    <w:rPr>
      <w:rFonts w:ascii="Verdana" w:hAnsi="Verdana"/>
      <w:b/>
      <w:noProof/>
      <w:sz w:val="28"/>
    </w:rPr>
  </w:style>
  <w:style w:type="paragraph" w:customStyle="1" w:styleId="a">
    <w:basedOn w:val="Normal"/>
    <w:pPr>
      <w:spacing w:after="160" w:line="240" w:lineRule="exact"/>
    </w:pPr>
    <w:rPr>
      <w:rFonts w:ascii="Verdana" w:hAnsi="Verdana"/>
      <w:sz w:val="21"/>
      <w:lang w:val="en-US" w:eastAsia="en-US"/>
    </w:rPr>
  </w:style>
  <w:style w:type="paragraph" w:customStyle="1" w:styleId="CharCharCharCharCharCharChar">
    <w:name w:val="Char Char Char Char Char Char Char"/>
    <w:basedOn w:val="Normal"/>
    <w:pPr>
      <w:spacing w:after="160" w:line="240" w:lineRule="exact"/>
    </w:pPr>
    <w:rPr>
      <w:rFonts w:ascii="Verdana" w:hAnsi="Verdana"/>
      <w:sz w:val="20"/>
      <w:szCs w:val="24"/>
      <w:lang w:val="en-US" w:eastAsia="en-US"/>
    </w:rPr>
  </w:style>
  <w:style w:type="paragraph" w:styleId="DocumentMap">
    <w:name w:val="Document Map"/>
    <w:basedOn w:val="Normal"/>
    <w:semiHidden/>
    <w:pPr>
      <w:shd w:val="clear" w:color="auto" w:fill="000080"/>
    </w:pPr>
    <w:rPr>
      <w:rFonts w:ascii="Tahoma" w:hAnsi="Tahoma" w:cs="Tahoma"/>
      <w:sz w:val="20"/>
    </w:rPr>
  </w:style>
  <w:style w:type="paragraph" w:styleId="Revision">
    <w:name w:val="Revision"/>
    <w:hidden/>
    <w:uiPriority w:val="99"/>
    <w:semiHidden/>
    <w:rsid w:val="003152DD"/>
    <w:rPr>
      <w:sz w:val="24"/>
    </w:rPr>
  </w:style>
  <w:style w:type="paragraph" w:customStyle="1" w:styleId="Headin2">
    <w:name w:val="Headin 2"/>
    <w:basedOn w:val="Normal"/>
    <w:qFormat/>
    <w:rsid w:val="00CF72B8"/>
    <w:pPr>
      <w:spacing w:after="120"/>
    </w:pPr>
    <w:rPr>
      <w:rFonts w:ascii="Arial" w:hAnsi="Arial" w:cs="Arial"/>
      <w:b/>
    </w:rPr>
  </w:style>
  <w:style w:type="character" w:customStyle="1" w:styleId="CommentTextChar">
    <w:name w:val="Comment Text Char"/>
    <w:link w:val="CommentText"/>
    <w:semiHidden/>
    <w:rsid w:val="00FF45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1B"/>
    <w:rPr>
      <w:sz w:val="24"/>
    </w:rPr>
  </w:style>
  <w:style w:type="paragraph" w:styleId="Heading2">
    <w:name w:val="heading 2"/>
    <w:basedOn w:val="Normal"/>
    <w:next w:val="Normal"/>
    <w:qFormat/>
    <w:pPr>
      <w:keepNext/>
      <w:spacing w:after="120"/>
      <w:outlineLvl w:val="1"/>
    </w:pPr>
    <w:rPr>
      <w:rFonts w:ascii="Arial" w:hAnsi="Arial"/>
      <w:b/>
      <w:sz w:val="22"/>
    </w:rPr>
  </w:style>
  <w:style w:type="paragraph" w:styleId="Heading3">
    <w:name w:val="heading 3"/>
    <w:basedOn w:val="Normal"/>
    <w:next w:val="Normal"/>
    <w:qFormat/>
    <w:pPr>
      <w:keepNext/>
      <w:spacing w:before="240" w:after="60"/>
      <w:outlineLvl w:val="2"/>
    </w:pPr>
    <w:rPr>
      <w:rFonts w:ascii="Arial"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spacing w:before="100" w:beforeAutospacing="1" w:after="100" w:afterAutospacing="1"/>
    </w:pPr>
    <w:rPr>
      <w:szCs w:val="24"/>
    </w:rPr>
  </w:style>
  <w:style w:type="paragraph" w:styleId="Footer">
    <w:name w:val="footer"/>
    <w:basedOn w:val="Normal"/>
    <w:pPr>
      <w:tabs>
        <w:tab w:val="center" w:pos="4153"/>
        <w:tab w:val="right" w:pos="8306"/>
      </w:tabs>
    </w:pPr>
  </w:style>
  <w:style w:type="paragraph" w:styleId="Title">
    <w:name w:val="Title"/>
    <w:basedOn w:val="Normal"/>
    <w:next w:val="Normal"/>
    <w:qFormat/>
    <w:pPr>
      <w:spacing w:before="240" w:after="240"/>
    </w:pPr>
    <w:rPr>
      <w:rFonts w:ascii="Arial" w:hAnsi="Arial"/>
      <w:b/>
      <w:sz w:val="40"/>
      <w:lang w:eastAsia="en-US"/>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customStyle="1" w:styleId="Heading1a">
    <w:name w:val="Heading 1a"/>
    <w:next w:val="Normal"/>
    <w:pPr>
      <w:keepNext/>
      <w:keepLines/>
      <w:spacing w:before="480"/>
      <w:outlineLvl w:val="0"/>
    </w:pPr>
    <w:rPr>
      <w:rFonts w:ascii="Verdana" w:hAnsi="Verdana"/>
      <w:b/>
      <w:noProof/>
      <w:sz w:val="28"/>
    </w:rPr>
  </w:style>
  <w:style w:type="paragraph" w:customStyle="1" w:styleId="a">
    <w:basedOn w:val="Normal"/>
    <w:pPr>
      <w:spacing w:after="160" w:line="240" w:lineRule="exact"/>
    </w:pPr>
    <w:rPr>
      <w:rFonts w:ascii="Verdana" w:hAnsi="Verdana"/>
      <w:sz w:val="21"/>
      <w:lang w:val="en-US" w:eastAsia="en-US"/>
    </w:rPr>
  </w:style>
  <w:style w:type="paragraph" w:customStyle="1" w:styleId="CharCharCharCharCharCharChar">
    <w:name w:val="Char Char Char Char Char Char Char"/>
    <w:basedOn w:val="Normal"/>
    <w:pPr>
      <w:spacing w:after="160" w:line="240" w:lineRule="exact"/>
    </w:pPr>
    <w:rPr>
      <w:rFonts w:ascii="Verdana" w:hAnsi="Verdana"/>
      <w:sz w:val="20"/>
      <w:szCs w:val="24"/>
      <w:lang w:val="en-US" w:eastAsia="en-US"/>
    </w:rPr>
  </w:style>
  <w:style w:type="paragraph" w:styleId="DocumentMap">
    <w:name w:val="Document Map"/>
    <w:basedOn w:val="Normal"/>
    <w:semiHidden/>
    <w:pPr>
      <w:shd w:val="clear" w:color="auto" w:fill="000080"/>
    </w:pPr>
    <w:rPr>
      <w:rFonts w:ascii="Tahoma" w:hAnsi="Tahoma" w:cs="Tahoma"/>
      <w:sz w:val="20"/>
    </w:rPr>
  </w:style>
  <w:style w:type="paragraph" w:styleId="Revision">
    <w:name w:val="Revision"/>
    <w:hidden/>
    <w:uiPriority w:val="99"/>
    <w:semiHidden/>
    <w:rsid w:val="003152DD"/>
    <w:rPr>
      <w:sz w:val="24"/>
    </w:rPr>
  </w:style>
  <w:style w:type="paragraph" w:customStyle="1" w:styleId="Headin2">
    <w:name w:val="Headin 2"/>
    <w:basedOn w:val="Normal"/>
    <w:qFormat/>
    <w:rsid w:val="00CF72B8"/>
    <w:pPr>
      <w:spacing w:after="120"/>
    </w:pPr>
    <w:rPr>
      <w:rFonts w:ascii="Arial" w:hAnsi="Arial" w:cs="Arial"/>
      <w:b/>
    </w:rPr>
  </w:style>
  <w:style w:type="character" w:customStyle="1" w:styleId="CommentTextChar">
    <w:name w:val="Comment Text Char"/>
    <w:link w:val="CommentText"/>
    <w:semiHidden/>
    <w:rsid w:val="00FF4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812675413">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 w:id="211374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DRAFT A New Tax System (Goods and Services Tax) Recipient Created Tax Invoice Instrument RCTI 2005/1</vt:lpstr>
    </vt:vector>
  </TitlesOfParts>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 New Tax System (Goods and Services Tax) Recipient Created Tax Invoice Instrument RCTI 2005/1</dc:title>
  <dc:creator/>
  <cp:lastModifiedBy/>
  <cp:revision>1</cp:revision>
  <cp:lastPrinted>2008-11-25T05:13:00Z</cp:lastPrinted>
  <dcterms:created xsi:type="dcterms:W3CDTF">2019-03-25T06:10:00Z</dcterms:created>
  <dcterms:modified xsi:type="dcterms:W3CDTF">2019-03-25T06:10:00Z</dcterms:modified>
</cp:coreProperties>
</file>