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F0DE4" w14:textId="77777777" w:rsidR="001F2A16" w:rsidRPr="007E0A01" w:rsidRDefault="001F2A16" w:rsidP="00C375E7">
      <w:pPr>
        <w:pStyle w:val="Header"/>
        <w:pBdr>
          <w:top w:val="double" w:sz="4" w:space="1" w:color="auto"/>
        </w:pBdr>
        <w:tabs>
          <w:tab w:val="clear" w:pos="4153"/>
          <w:tab w:val="clear" w:pos="8306"/>
        </w:tabs>
        <w:jc w:val="center"/>
        <w:rPr>
          <w:rFonts w:ascii="Arial" w:hAnsi="Arial" w:cs="Arial"/>
          <w:sz w:val="34"/>
          <w:szCs w:val="34"/>
        </w:rPr>
      </w:pPr>
      <w:r w:rsidRPr="007E0A01">
        <w:rPr>
          <w:rFonts w:ascii="Arial" w:hAnsi="Arial" w:cs="Arial"/>
          <w:sz w:val="34"/>
          <w:szCs w:val="34"/>
        </w:rPr>
        <w:t>Explanatory Statement</w:t>
      </w:r>
    </w:p>
    <w:p w14:paraId="69B848C1" w14:textId="77777777" w:rsidR="004A4EAD" w:rsidRDefault="004A4EAD" w:rsidP="00614AEB">
      <w:pPr>
        <w:pStyle w:val="Header"/>
        <w:tabs>
          <w:tab w:val="clear" w:pos="4153"/>
          <w:tab w:val="clear" w:pos="8306"/>
        </w:tabs>
        <w:rPr>
          <w:rFonts w:ascii="Arial" w:hAnsi="Arial" w:cs="Arial"/>
          <w:sz w:val="34"/>
          <w:szCs w:val="34"/>
        </w:rPr>
      </w:pPr>
    </w:p>
    <w:p w14:paraId="59D93729" w14:textId="5F57B1E4" w:rsidR="00614AEB" w:rsidRPr="00614AEB" w:rsidRDefault="004A4EAD" w:rsidP="00C375E7">
      <w:pPr>
        <w:pStyle w:val="Header"/>
        <w:pBdr>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 xml:space="preserve">Income Tax: </w:t>
      </w:r>
      <w:r w:rsidR="00614AEB" w:rsidRPr="00614AEB">
        <w:rPr>
          <w:rFonts w:ascii="Arial" w:hAnsi="Arial" w:cs="Arial"/>
          <w:sz w:val="34"/>
          <w:szCs w:val="34"/>
        </w:rPr>
        <w:t xml:space="preserve">Employment Termination Payments Redundancy Trusts (12 month rule) </w:t>
      </w:r>
      <w:r w:rsidR="00F56332">
        <w:rPr>
          <w:rFonts w:ascii="Arial" w:hAnsi="Arial" w:cs="Arial"/>
          <w:sz w:val="34"/>
          <w:szCs w:val="34"/>
        </w:rPr>
        <w:t>Determination</w:t>
      </w:r>
      <w:bookmarkStart w:id="0" w:name="_GoBack"/>
      <w:bookmarkEnd w:id="0"/>
      <w:r w:rsidR="00614AEB" w:rsidRPr="00614AEB">
        <w:rPr>
          <w:rFonts w:ascii="Arial" w:hAnsi="Arial" w:cs="Arial"/>
          <w:sz w:val="34"/>
          <w:szCs w:val="34"/>
        </w:rPr>
        <w:t xml:space="preserve"> </w:t>
      </w:r>
      <w:r w:rsidRPr="00614AEB">
        <w:rPr>
          <w:rFonts w:ascii="Arial" w:hAnsi="Arial" w:cs="Arial"/>
          <w:sz w:val="34"/>
          <w:szCs w:val="34"/>
        </w:rPr>
        <w:t>20</w:t>
      </w:r>
      <w:r>
        <w:rPr>
          <w:rFonts w:ascii="Arial" w:hAnsi="Arial" w:cs="Arial"/>
          <w:sz w:val="34"/>
          <w:szCs w:val="34"/>
        </w:rPr>
        <w:t>19</w:t>
      </w:r>
    </w:p>
    <w:p w14:paraId="45B83AE4" w14:textId="6C9EDE64" w:rsidR="002D7D3B" w:rsidRDefault="002D7D3B" w:rsidP="00C375E7">
      <w:pPr>
        <w:pStyle w:val="Header"/>
        <w:tabs>
          <w:tab w:val="clear" w:pos="4153"/>
          <w:tab w:val="clear" w:pos="8306"/>
        </w:tabs>
        <w:jc w:val="center"/>
        <w:rPr>
          <w:rFonts w:ascii="Arial" w:hAnsi="Arial" w:cs="Arial"/>
          <w:szCs w:val="24"/>
        </w:rPr>
      </w:pPr>
    </w:p>
    <w:p w14:paraId="6E4F0DE8" w14:textId="6B235672" w:rsidR="001F2A16" w:rsidRPr="002D7D3B" w:rsidRDefault="001F2A16" w:rsidP="0099555F">
      <w:pPr>
        <w:pStyle w:val="Header"/>
        <w:tabs>
          <w:tab w:val="clear" w:pos="4153"/>
          <w:tab w:val="clear" w:pos="8306"/>
        </w:tabs>
        <w:jc w:val="center"/>
        <w:rPr>
          <w:rFonts w:ascii="Arial" w:hAnsi="Arial" w:cs="Arial"/>
          <w:szCs w:val="24"/>
        </w:rPr>
      </w:pPr>
    </w:p>
    <w:p w14:paraId="6E4F0DE9" w14:textId="62BA3EEA" w:rsidR="00486653" w:rsidRPr="002D7D3B" w:rsidRDefault="00486653" w:rsidP="002D7D3B">
      <w:pPr>
        <w:pStyle w:val="Heading2"/>
        <w:rPr>
          <w:rFonts w:cs="Arial"/>
          <w:szCs w:val="22"/>
        </w:rPr>
      </w:pPr>
      <w:r w:rsidRPr="002D7D3B">
        <w:rPr>
          <w:rFonts w:cs="Arial"/>
          <w:szCs w:val="22"/>
        </w:rPr>
        <w:t xml:space="preserve">General Outline of </w:t>
      </w:r>
      <w:r w:rsidR="00DC2F50" w:rsidRPr="002D7D3B">
        <w:rPr>
          <w:rFonts w:cs="Arial"/>
          <w:szCs w:val="22"/>
        </w:rPr>
        <w:t>Instrument</w:t>
      </w:r>
    </w:p>
    <w:p w14:paraId="6E4F0DEB" w14:textId="1E0C8E4C" w:rsidR="00486653" w:rsidRPr="002D7D3B" w:rsidRDefault="00486653"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This </w:t>
      </w:r>
      <w:r w:rsidR="00DC2F50" w:rsidRPr="002D7D3B">
        <w:rPr>
          <w:rFonts w:ascii="Arial" w:hAnsi="Arial" w:cs="Arial"/>
          <w:sz w:val="22"/>
          <w:szCs w:val="22"/>
        </w:rPr>
        <w:t>instrument</w:t>
      </w:r>
      <w:r w:rsidRPr="002D7D3B">
        <w:rPr>
          <w:rFonts w:ascii="Arial" w:hAnsi="Arial" w:cs="Arial"/>
          <w:sz w:val="22"/>
          <w:szCs w:val="22"/>
        </w:rPr>
        <w:t xml:space="preserve"> is made under</w:t>
      </w:r>
      <w:r w:rsidR="00614AEB" w:rsidRPr="002D7D3B">
        <w:rPr>
          <w:rFonts w:ascii="Arial" w:hAnsi="Arial" w:cs="Arial"/>
          <w:sz w:val="22"/>
          <w:szCs w:val="22"/>
        </w:rPr>
        <w:t xml:space="preserve"> subsection 82</w:t>
      </w:r>
      <w:r w:rsidR="00614AEB" w:rsidRPr="002D7D3B">
        <w:rPr>
          <w:rFonts w:ascii="Arial" w:hAnsi="Arial" w:cs="Arial"/>
          <w:sz w:val="22"/>
          <w:szCs w:val="22"/>
        </w:rPr>
        <w:noBreakHyphen/>
      </w:r>
      <w:proofErr w:type="gramStart"/>
      <w:r w:rsidR="00614AEB" w:rsidRPr="002D7D3B">
        <w:rPr>
          <w:rFonts w:ascii="Arial" w:hAnsi="Arial" w:cs="Arial"/>
          <w:sz w:val="22"/>
          <w:szCs w:val="22"/>
        </w:rPr>
        <w:t>130(</w:t>
      </w:r>
      <w:proofErr w:type="gramEnd"/>
      <w:r w:rsidR="00614AEB" w:rsidRPr="002D7D3B">
        <w:rPr>
          <w:rFonts w:ascii="Arial" w:hAnsi="Arial" w:cs="Arial"/>
          <w:sz w:val="22"/>
          <w:szCs w:val="22"/>
        </w:rPr>
        <w:t xml:space="preserve">7) of the </w:t>
      </w:r>
      <w:r w:rsidR="00614AEB" w:rsidRPr="002D7D3B">
        <w:rPr>
          <w:rFonts w:ascii="Arial" w:hAnsi="Arial" w:cs="Arial"/>
          <w:i/>
          <w:sz w:val="22"/>
          <w:szCs w:val="22"/>
        </w:rPr>
        <w:t>Income Tax Assessment Act 1997</w:t>
      </w:r>
      <w:r w:rsidR="00614AEB" w:rsidRPr="002D7D3B">
        <w:rPr>
          <w:rFonts w:ascii="Arial" w:hAnsi="Arial" w:cs="Arial"/>
          <w:sz w:val="22"/>
          <w:szCs w:val="22"/>
        </w:rPr>
        <w:t xml:space="preserve"> (ITAA 1997).</w:t>
      </w:r>
    </w:p>
    <w:p w14:paraId="73496531" w14:textId="62BBB3AD" w:rsidR="00614AEB" w:rsidRPr="002D7D3B" w:rsidRDefault="00614AEB"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This </w:t>
      </w:r>
      <w:r w:rsidR="00DC2F50" w:rsidRPr="002D7D3B">
        <w:rPr>
          <w:rFonts w:ascii="Arial" w:hAnsi="Arial" w:cs="Arial"/>
          <w:sz w:val="22"/>
          <w:szCs w:val="22"/>
        </w:rPr>
        <w:t>instrument</w:t>
      </w:r>
      <w:r w:rsidRPr="002D7D3B">
        <w:rPr>
          <w:rFonts w:ascii="Arial" w:hAnsi="Arial" w:cs="Arial"/>
          <w:sz w:val="22"/>
          <w:szCs w:val="22"/>
        </w:rPr>
        <w:t xml:space="preserve"> extends the definition of employment termination payment to include certain payments from redundancy trusts that are received more than 12 months after the termination of a person's employment.</w:t>
      </w:r>
    </w:p>
    <w:p w14:paraId="3A054C9A" w14:textId="000E5310" w:rsidR="00614AEB" w:rsidRPr="002D7D3B" w:rsidRDefault="00486653"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The </w:t>
      </w:r>
      <w:r w:rsidR="00DC2F50" w:rsidRPr="002D7D3B">
        <w:rPr>
          <w:rFonts w:ascii="Arial" w:hAnsi="Arial" w:cs="Arial"/>
          <w:sz w:val="22"/>
          <w:szCs w:val="22"/>
        </w:rPr>
        <w:t>instrument</w:t>
      </w:r>
      <w:r w:rsidRPr="002D7D3B">
        <w:rPr>
          <w:rFonts w:ascii="Arial" w:hAnsi="Arial" w:cs="Arial"/>
          <w:sz w:val="22"/>
          <w:szCs w:val="22"/>
        </w:rPr>
        <w:t xml:space="preserve"> is a legislative instrument for the purposes of the </w:t>
      </w:r>
      <w:r w:rsidR="0079789E" w:rsidRPr="002D7D3B">
        <w:rPr>
          <w:rFonts w:ascii="Arial" w:hAnsi="Arial" w:cs="Arial"/>
          <w:i/>
          <w:sz w:val="22"/>
          <w:szCs w:val="22"/>
        </w:rPr>
        <w:t xml:space="preserve">Legislation </w:t>
      </w:r>
      <w:r w:rsidRPr="002D7D3B">
        <w:rPr>
          <w:rFonts w:ascii="Arial" w:hAnsi="Arial" w:cs="Arial"/>
          <w:i/>
          <w:sz w:val="22"/>
          <w:szCs w:val="22"/>
        </w:rPr>
        <w:t>Act 2003</w:t>
      </w:r>
      <w:r w:rsidRPr="002D7D3B">
        <w:rPr>
          <w:rFonts w:ascii="Arial" w:hAnsi="Arial" w:cs="Arial"/>
          <w:sz w:val="22"/>
          <w:szCs w:val="22"/>
        </w:rPr>
        <w:t>.</w:t>
      </w:r>
    </w:p>
    <w:p w14:paraId="353ECC42" w14:textId="1830E96D" w:rsidR="00614AEB" w:rsidRPr="002D7D3B" w:rsidRDefault="00614AEB"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Under subsection 33(3) of the </w:t>
      </w:r>
      <w:r w:rsidRPr="002D7D3B">
        <w:rPr>
          <w:rFonts w:ascii="Arial" w:hAnsi="Arial" w:cs="Arial"/>
          <w:i/>
          <w:iCs/>
          <w:sz w:val="22"/>
          <w:szCs w:val="22"/>
        </w:rPr>
        <w:t>Acts Interpretation Act 1901,</w:t>
      </w:r>
      <w:r w:rsidRPr="002D7D3B">
        <w:rPr>
          <w:rFonts w:ascii="Arial" w:hAnsi="Arial" w:cs="Arial"/>
          <w:sz w:val="22"/>
          <w:szCs w:val="22"/>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E4F0DF5" w14:textId="1E78B186" w:rsidR="00486653" w:rsidRPr="002D7D3B" w:rsidRDefault="00486653" w:rsidP="00DF448F">
      <w:pPr>
        <w:spacing w:after="120"/>
        <w:rPr>
          <w:rFonts w:ascii="Arial" w:hAnsi="Arial" w:cs="Arial"/>
          <w:sz w:val="22"/>
          <w:szCs w:val="22"/>
        </w:rPr>
      </w:pPr>
    </w:p>
    <w:p w14:paraId="6E4F0DF6" w14:textId="77777777" w:rsidR="00486653" w:rsidRPr="002D7D3B" w:rsidRDefault="00486653" w:rsidP="002D7D3B">
      <w:pPr>
        <w:pStyle w:val="Heading2"/>
        <w:rPr>
          <w:rFonts w:cs="Arial"/>
          <w:szCs w:val="22"/>
        </w:rPr>
      </w:pPr>
      <w:r w:rsidRPr="002D7D3B">
        <w:rPr>
          <w:rFonts w:cs="Arial"/>
          <w:szCs w:val="22"/>
        </w:rPr>
        <w:t>Date of effect</w:t>
      </w:r>
    </w:p>
    <w:p w14:paraId="6E4F0DF8" w14:textId="3749DCFD" w:rsidR="00380CC4" w:rsidRPr="002D7D3B" w:rsidRDefault="00380CC4"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The </w:t>
      </w:r>
      <w:r w:rsidR="00DC2F50" w:rsidRPr="002D7D3B">
        <w:rPr>
          <w:rFonts w:ascii="Arial" w:hAnsi="Arial" w:cs="Arial"/>
          <w:sz w:val="22"/>
          <w:szCs w:val="22"/>
        </w:rPr>
        <w:t>instrument</w:t>
      </w:r>
      <w:r w:rsidRPr="002D7D3B">
        <w:rPr>
          <w:rFonts w:ascii="Arial" w:hAnsi="Arial" w:cs="Arial"/>
          <w:sz w:val="22"/>
          <w:szCs w:val="22"/>
        </w:rPr>
        <w:t xml:space="preserve"> </w:t>
      </w:r>
      <w:r w:rsidR="00E51D3D" w:rsidRPr="002D7D3B">
        <w:rPr>
          <w:rFonts w:ascii="Arial" w:hAnsi="Arial" w:cs="Arial"/>
          <w:sz w:val="22"/>
          <w:szCs w:val="22"/>
        </w:rPr>
        <w:t xml:space="preserve">is taken to have </w:t>
      </w:r>
      <w:r w:rsidR="00472276" w:rsidRPr="002D7D3B">
        <w:rPr>
          <w:rFonts w:ascii="Arial" w:hAnsi="Arial" w:cs="Arial"/>
          <w:sz w:val="22"/>
          <w:szCs w:val="22"/>
        </w:rPr>
        <w:t>commence</w:t>
      </w:r>
      <w:r w:rsidR="00E51D3D" w:rsidRPr="002D7D3B">
        <w:rPr>
          <w:rFonts w:ascii="Arial" w:hAnsi="Arial" w:cs="Arial"/>
          <w:sz w:val="22"/>
          <w:szCs w:val="22"/>
        </w:rPr>
        <w:t>d</w:t>
      </w:r>
      <w:r w:rsidR="00472276" w:rsidRPr="002D7D3B">
        <w:rPr>
          <w:rFonts w:ascii="Arial" w:hAnsi="Arial" w:cs="Arial"/>
          <w:sz w:val="22"/>
          <w:szCs w:val="22"/>
        </w:rPr>
        <w:t xml:space="preserve"> on the day after it is registered</w:t>
      </w:r>
      <w:r w:rsidR="00E51D3D" w:rsidRPr="002D7D3B">
        <w:rPr>
          <w:rFonts w:ascii="Arial" w:hAnsi="Arial" w:cs="Arial"/>
          <w:sz w:val="22"/>
          <w:szCs w:val="22"/>
        </w:rPr>
        <w:t xml:space="preserve"> on the Federal Register of Legislation.</w:t>
      </w:r>
    </w:p>
    <w:p w14:paraId="6E4F0DF9" w14:textId="77777777" w:rsidR="00795D0C" w:rsidRPr="002D7D3B" w:rsidRDefault="00795D0C" w:rsidP="00DF448F">
      <w:pPr>
        <w:spacing w:after="120"/>
        <w:rPr>
          <w:rFonts w:ascii="Arial" w:hAnsi="Arial" w:cs="Arial"/>
          <w:sz w:val="22"/>
          <w:szCs w:val="22"/>
        </w:rPr>
      </w:pPr>
    </w:p>
    <w:p w14:paraId="6E4F0DFD" w14:textId="27AFA257" w:rsidR="00486653" w:rsidRPr="002D7D3B" w:rsidRDefault="00486653" w:rsidP="002D7D3B">
      <w:pPr>
        <w:pStyle w:val="Heading2"/>
        <w:rPr>
          <w:rFonts w:cs="Arial"/>
          <w:szCs w:val="22"/>
        </w:rPr>
      </w:pPr>
      <w:r w:rsidRPr="002D7D3B">
        <w:rPr>
          <w:rFonts w:cs="Arial"/>
          <w:szCs w:val="22"/>
        </w:rPr>
        <w:t xml:space="preserve">What is this </w:t>
      </w:r>
      <w:r w:rsidR="00DC2F50" w:rsidRPr="002D7D3B">
        <w:rPr>
          <w:rFonts w:cs="Arial"/>
          <w:szCs w:val="22"/>
        </w:rPr>
        <w:t>instrument</w:t>
      </w:r>
      <w:r w:rsidRPr="002D7D3B">
        <w:rPr>
          <w:rFonts w:cs="Arial"/>
          <w:szCs w:val="22"/>
        </w:rPr>
        <w:t xml:space="preserve"> about</w:t>
      </w:r>
    </w:p>
    <w:p w14:paraId="425F2632" w14:textId="17F3A193" w:rsidR="00472276" w:rsidRPr="002D7D3B" w:rsidRDefault="00472276"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This </w:t>
      </w:r>
      <w:r w:rsidR="00DC2F50" w:rsidRPr="002D7D3B">
        <w:rPr>
          <w:rFonts w:ascii="Arial" w:hAnsi="Arial" w:cs="Arial"/>
          <w:sz w:val="22"/>
          <w:szCs w:val="22"/>
        </w:rPr>
        <w:t>instrument</w:t>
      </w:r>
      <w:r w:rsidRPr="002D7D3B">
        <w:rPr>
          <w:rFonts w:ascii="Arial" w:hAnsi="Arial" w:cs="Arial"/>
          <w:sz w:val="22"/>
          <w:szCs w:val="22"/>
        </w:rPr>
        <w:t xml:space="preserve"> makes a payment from a redundancy trust</w:t>
      </w:r>
      <w:r w:rsidR="00C97D08" w:rsidRPr="002D7D3B">
        <w:rPr>
          <w:rFonts w:ascii="Arial" w:hAnsi="Arial" w:cs="Arial"/>
          <w:sz w:val="22"/>
          <w:szCs w:val="22"/>
        </w:rPr>
        <w:t>,</w:t>
      </w:r>
      <w:r w:rsidRPr="002D7D3B">
        <w:rPr>
          <w:rFonts w:ascii="Arial" w:hAnsi="Arial" w:cs="Arial"/>
          <w:sz w:val="22"/>
          <w:szCs w:val="22"/>
        </w:rPr>
        <w:t xml:space="preserve"> that is received more than 12 months after termination of a person's employment</w:t>
      </w:r>
      <w:r w:rsidR="00C97D08" w:rsidRPr="002D7D3B">
        <w:rPr>
          <w:rFonts w:ascii="Arial" w:hAnsi="Arial" w:cs="Arial"/>
          <w:sz w:val="22"/>
          <w:szCs w:val="22"/>
        </w:rPr>
        <w:t>,</w:t>
      </w:r>
      <w:r w:rsidRPr="002D7D3B">
        <w:rPr>
          <w:rFonts w:ascii="Arial" w:hAnsi="Arial" w:cs="Arial"/>
          <w:sz w:val="22"/>
          <w:szCs w:val="22"/>
        </w:rPr>
        <w:t xml:space="preserve"> an employment termination payment, if the payment is in consequence of the termination of the person's employment and:</w:t>
      </w:r>
    </w:p>
    <w:p w14:paraId="4B1168C1" w14:textId="77777777" w:rsidR="002D7D3B" w:rsidRPr="002D7D3B" w:rsidRDefault="00500D8F" w:rsidP="00E437F5">
      <w:pPr>
        <w:keepNext/>
        <w:keepLines/>
        <w:numPr>
          <w:ilvl w:val="1"/>
          <w:numId w:val="43"/>
        </w:numPr>
        <w:tabs>
          <w:tab w:val="clear" w:pos="1440"/>
        </w:tabs>
        <w:spacing w:after="120"/>
        <w:ind w:left="1418" w:hanging="709"/>
        <w:rPr>
          <w:rFonts w:ascii="Arial" w:hAnsi="Arial" w:cs="Arial"/>
          <w:sz w:val="22"/>
          <w:szCs w:val="22"/>
        </w:rPr>
      </w:pPr>
      <w:r w:rsidRPr="002D7D3B">
        <w:rPr>
          <w:rFonts w:ascii="Arial" w:hAnsi="Arial" w:cs="Arial"/>
          <w:sz w:val="22"/>
          <w:szCs w:val="22"/>
        </w:rPr>
        <w:t xml:space="preserve">and </w:t>
      </w:r>
      <w:r w:rsidR="00472276" w:rsidRPr="002D7D3B">
        <w:rPr>
          <w:rFonts w:ascii="Arial" w:hAnsi="Arial" w:cs="Arial"/>
          <w:sz w:val="22"/>
          <w:szCs w:val="22"/>
        </w:rPr>
        <w:t xml:space="preserve">an application for the payment </w:t>
      </w:r>
      <w:r w:rsidRPr="002D7D3B">
        <w:rPr>
          <w:rFonts w:ascii="Arial" w:hAnsi="Arial" w:cs="Arial"/>
          <w:sz w:val="22"/>
          <w:szCs w:val="22"/>
        </w:rPr>
        <w:t>was</w:t>
      </w:r>
      <w:r w:rsidR="00472276" w:rsidRPr="002D7D3B">
        <w:rPr>
          <w:rFonts w:ascii="Arial" w:hAnsi="Arial" w:cs="Arial"/>
          <w:sz w:val="22"/>
          <w:szCs w:val="22"/>
        </w:rPr>
        <w:t xml:space="preserve"> lodged with the trustee of the redundancy trust within 12 months of the person becoming entitled to the payment according to the terms of the trust deed of the redundancy trust; and</w:t>
      </w:r>
    </w:p>
    <w:p w14:paraId="2AF309DB" w14:textId="77777777" w:rsidR="00500D8F" w:rsidRPr="002D7D3B" w:rsidRDefault="00500D8F" w:rsidP="00E437F5">
      <w:pPr>
        <w:numPr>
          <w:ilvl w:val="1"/>
          <w:numId w:val="43"/>
        </w:numPr>
        <w:tabs>
          <w:tab w:val="clear" w:pos="1440"/>
        </w:tabs>
        <w:spacing w:after="120"/>
        <w:ind w:left="1418" w:hanging="709"/>
        <w:rPr>
          <w:rFonts w:ascii="Arial" w:hAnsi="Arial" w:cs="Arial"/>
          <w:sz w:val="22"/>
          <w:szCs w:val="22"/>
        </w:rPr>
      </w:pPr>
      <w:r w:rsidRPr="002D7D3B">
        <w:rPr>
          <w:rFonts w:ascii="Arial" w:hAnsi="Arial" w:cs="Arial"/>
          <w:sz w:val="22"/>
          <w:szCs w:val="22"/>
        </w:rPr>
        <w:t>the payment was made by the trustee of the redundancy trust:</w:t>
      </w:r>
    </w:p>
    <w:p w14:paraId="48CDDDAA" w14:textId="6D9922F3" w:rsidR="00500D8F" w:rsidRPr="002D7D3B" w:rsidRDefault="00500D8F" w:rsidP="00E437F5">
      <w:pPr>
        <w:numPr>
          <w:ilvl w:val="2"/>
          <w:numId w:val="38"/>
        </w:numPr>
        <w:tabs>
          <w:tab w:val="clear" w:pos="2340"/>
        </w:tabs>
        <w:spacing w:after="120"/>
        <w:ind w:left="2127" w:hanging="709"/>
        <w:rPr>
          <w:rFonts w:ascii="Arial" w:hAnsi="Arial" w:cs="Arial"/>
          <w:sz w:val="22"/>
          <w:szCs w:val="22"/>
        </w:rPr>
      </w:pPr>
      <w:r w:rsidRPr="002D7D3B">
        <w:rPr>
          <w:rFonts w:ascii="Arial" w:hAnsi="Arial" w:cs="Arial"/>
          <w:sz w:val="22"/>
          <w:szCs w:val="22"/>
        </w:rPr>
        <w:t>as soon as practicable after receipt of the application for payment; or</w:t>
      </w:r>
    </w:p>
    <w:p w14:paraId="1CBDAB0F" w14:textId="1AA92F69" w:rsidR="00500D8F" w:rsidRPr="002D7D3B" w:rsidRDefault="00500D8F" w:rsidP="00E437F5">
      <w:pPr>
        <w:numPr>
          <w:ilvl w:val="2"/>
          <w:numId w:val="38"/>
        </w:numPr>
        <w:tabs>
          <w:tab w:val="clear" w:pos="2340"/>
        </w:tabs>
        <w:spacing w:after="120"/>
        <w:ind w:left="2127" w:hanging="709"/>
        <w:rPr>
          <w:rFonts w:ascii="Arial" w:hAnsi="Arial" w:cs="Arial"/>
          <w:sz w:val="22"/>
          <w:szCs w:val="22"/>
        </w:rPr>
      </w:pPr>
      <w:r w:rsidRPr="002D7D3B">
        <w:rPr>
          <w:rFonts w:ascii="Arial" w:hAnsi="Arial" w:cs="Arial"/>
          <w:sz w:val="22"/>
          <w:szCs w:val="22"/>
        </w:rPr>
        <w:t>no later than 2 years after the termination of the person's employment that led to the entitlement;</w:t>
      </w:r>
    </w:p>
    <w:p w14:paraId="10EBC5D9" w14:textId="77777777" w:rsidR="002D7D3B" w:rsidRPr="002D7D3B" w:rsidRDefault="00500D8F" w:rsidP="00C55C8C">
      <w:pPr>
        <w:spacing w:after="120"/>
        <w:ind w:left="1418"/>
        <w:rPr>
          <w:rFonts w:ascii="Arial" w:hAnsi="Arial" w:cs="Arial"/>
          <w:sz w:val="22"/>
          <w:szCs w:val="22"/>
        </w:rPr>
      </w:pPr>
      <w:proofErr w:type="gramStart"/>
      <w:r w:rsidRPr="002D7D3B">
        <w:rPr>
          <w:rFonts w:ascii="Arial" w:hAnsi="Arial" w:cs="Arial"/>
          <w:sz w:val="22"/>
          <w:szCs w:val="22"/>
        </w:rPr>
        <w:t>whichever</w:t>
      </w:r>
      <w:proofErr w:type="gramEnd"/>
      <w:r w:rsidRPr="002D7D3B">
        <w:rPr>
          <w:rFonts w:ascii="Arial" w:hAnsi="Arial" w:cs="Arial"/>
          <w:sz w:val="22"/>
          <w:szCs w:val="22"/>
        </w:rPr>
        <w:t xml:space="preserve"> occurs earlier</w:t>
      </w:r>
      <w:r w:rsidR="00932D6D" w:rsidRPr="002D7D3B">
        <w:rPr>
          <w:rFonts w:ascii="Arial" w:hAnsi="Arial" w:cs="Arial"/>
          <w:sz w:val="22"/>
          <w:szCs w:val="22"/>
        </w:rPr>
        <w:t>.</w:t>
      </w:r>
    </w:p>
    <w:p w14:paraId="333F57ED" w14:textId="77777777" w:rsidR="00472276" w:rsidRPr="002D7D3B" w:rsidRDefault="00472276"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lastRenderedPageBreak/>
        <w:t>Termination of a person’s employment includes retirement from employment and cessation of employment because of death as stated in section 80-10 of the ITAA 1997.</w:t>
      </w:r>
    </w:p>
    <w:p w14:paraId="51201DA6" w14:textId="77777777" w:rsidR="00472276" w:rsidRPr="002D7D3B" w:rsidRDefault="00472276"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The person must be a member of the redundancy trust at the time the application for the payment is lodged with the trustee of the redundancy trust or have been a member at the time of death in the case of a death benefit payment.</w:t>
      </w:r>
    </w:p>
    <w:p w14:paraId="6E4F0E02" w14:textId="77777777" w:rsidR="00486653" w:rsidRPr="002D7D3B" w:rsidRDefault="00486653" w:rsidP="00DF448F">
      <w:pPr>
        <w:spacing w:after="120"/>
        <w:rPr>
          <w:rFonts w:ascii="Arial" w:hAnsi="Arial" w:cs="Arial"/>
          <w:sz w:val="22"/>
          <w:szCs w:val="22"/>
        </w:rPr>
      </w:pPr>
    </w:p>
    <w:p w14:paraId="6E4F0E03" w14:textId="788A4031" w:rsidR="00486653" w:rsidRPr="002D7D3B" w:rsidRDefault="00486653" w:rsidP="002D7D3B">
      <w:pPr>
        <w:pStyle w:val="Heading2"/>
        <w:rPr>
          <w:rFonts w:cs="Arial"/>
          <w:szCs w:val="22"/>
        </w:rPr>
      </w:pPr>
      <w:r w:rsidRPr="002D7D3B">
        <w:rPr>
          <w:rFonts w:cs="Arial"/>
          <w:szCs w:val="22"/>
        </w:rPr>
        <w:t xml:space="preserve">What is the effect of this </w:t>
      </w:r>
      <w:r w:rsidR="00DC2F50" w:rsidRPr="002D7D3B">
        <w:rPr>
          <w:rFonts w:cs="Arial"/>
          <w:szCs w:val="22"/>
        </w:rPr>
        <w:t>instrument</w:t>
      </w:r>
    </w:p>
    <w:p w14:paraId="5B44854A" w14:textId="7B054F28" w:rsidR="0080053B" w:rsidRPr="002D7D3B" w:rsidRDefault="0080053B"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This </w:t>
      </w:r>
      <w:r w:rsidR="00DC2F50" w:rsidRPr="002D7D3B">
        <w:rPr>
          <w:rFonts w:ascii="Arial" w:hAnsi="Arial" w:cs="Arial"/>
          <w:sz w:val="22"/>
          <w:szCs w:val="22"/>
        </w:rPr>
        <w:t>instrument</w:t>
      </w:r>
      <w:r w:rsidRPr="002D7D3B">
        <w:rPr>
          <w:rFonts w:ascii="Arial" w:hAnsi="Arial" w:cs="Arial"/>
          <w:sz w:val="22"/>
          <w:szCs w:val="22"/>
        </w:rPr>
        <w:t xml:space="preserve"> extends the tax law definition of employment termination payment by removing the requirement that a payment is made within 12 months of a person’s termination of employment in the circumstances explained above. This will extend the kinds of payments that receive the concessional tax treatment applying to employment termination payments</w:t>
      </w:r>
      <w:r w:rsidR="00CC36F1" w:rsidRPr="002D7D3B">
        <w:rPr>
          <w:rFonts w:ascii="Arial" w:hAnsi="Arial" w:cs="Arial"/>
          <w:sz w:val="22"/>
          <w:szCs w:val="22"/>
        </w:rPr>
        <w:t>.</w:t>
      </w:r>
    </w:p>
    <w:p w14:paraId="0C8239F1" w14:textId="77777777" w:rsidR="0080574C" w:rsidRPr="002D7D3B" w:rsidRDefault="0080574C" w:rsidP="00DF448F">
      <w:pPr>
        <w:spacing w:after="120"/>
        <w:rPr>
          <w:rFonts w:ascii="Arial" w:hAnsi="Arial" w:cs="Arial"/>
          <w:sz w:val="22"/>
          <w:szCs w:val="22"/>
        </w:rPr>
      </w:pPr>
    </w:p>
    <w:p w14:paraId="2E0F06FF" w14:textId="77777777" w:rsidR="0080574C" w:rsidRPr="002D7D3B" w:rsidRDefault="0080574C" w:rsidP="002D7D3B">
      <w:pPr>
        <w:pStyle w:val="Heading2"/>
        <w:rPr>
          <w:rFonts w:cs="Arial"/>
          <w:szCs w:val="22"/>
        </w:rPr>
      </w:pPr>
      <w:r w:rsidRPr="002D7D3B">
        <w:rPr>
          <w:rFonts w:cs="Arial"/>
          <w:szCs w:val="22"/>
        </w:rPr>
        <w:t>Cost of Compliance</w:t>
      </w:r>
    </w:p>
    <w:p w14:paraId="649BEE9F" w14:textId="660AAC90" w:rsidR="0080574C" w:rsidRPr="002D7D3B" w:rsidRDefault="0080574C"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Cost I</w:t>
      </w:r>
      <w:r w:rsidR="00CB1673">
        <w:rPr>
          <w:rFonts w:ascii="Arial" w:hAnsi="Arial" w:cs="Arial"/>
          <w:sz w:val="22"/>
          <w:szCs w:val="22"/>
        </w:rPr>
        <w:t xml:space="preserve">mpact: Minor – There will be </w:t>
      </w:r>
      <w:r w:rsidRPr="002D7D3B">
        <w:rPr>
          <w:rFonts w:ascii="Arial" w:hAnsi="Arial" w:cs="Arial"/>
          <w:sz w:val="22"/>
          <w:szCs w:val="22"/>
        </w:rPr>
        <w:t>minimal impacts for both implementation and ongoing compliance costs. The legislative instrument is minor or machinery in nature.</w:t>
      </w:r>
    </w:p>
    <w:p w14:paraId="1EAFDABB" w14:textId="77777777" w:rsidR="0080574C" w:rsidRPr="00DF448F" w:rsidRDefault="0080574C" w:rsidP="00DF448F">
      <w:pPr>
        <w:spacing w:after="120"/>
        <w:rPr>
          <w:rFonts w:ascii="Arial" w:hAnsi="Arial" w:cs="Arial"/>
          <w:sz w:val="22"/>
          <w:szCs w:val="22"/>
        </w:rPr>
      </w:pPr>
    </w:p>
    <w:p w14:paraId="1150FCB0" w14:textId="60613565" w:rsidR="0080053B" w:rsidRPr="002D7D3B" w:rsidRDefault="00F67F22" w:rsidP="002D7D3B">
      <w:pPr>
        <w:pStyle w:val="Heading2"/>
        <w:rPr>
          <w:rFonts w:cs="Arial"/>
          <w:szCs w:val="22"/>
        </w:rPr>
      </w:pPr>
      <w:r w:rsidRPr="002D7D3B">
        <w:rPr>
          <w:rFonts w:cs="Arial"/>
          <w:szCs w:val="22"/>
        </w:rPr>
        <w:t>Back Repeal of previous instrument</w:t>
      </w:r>
    </w:p>
    <w:p w14:paraId="4611D7A6" w14:textId="77777777" w:rsidR="002D7D3B" w:rsidRPr="002D7D3B" w:rsidRDefault="00F67F22"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This </w:t>
      </w:r>
      <w:r w:rsidR="00DC2F50" w:rsidRPr="002D7D3B">
        <w:rPr>
          <w:rFonts w:ascii="Arial" w:hAnsi="Arial" w:cs="Arial"/>
          <w:sz w:val="22"/>
          <w:szCs w:val="22"/>
        </w:rPr>
        <w:t>instrument</w:t>
      </w:r>
      <w:r w:rsidRPr="002D7D3B">
        <w:rPr>
          <w:rFonts w:ascii="Arial" w:hAnsi="Arial" w:cs="Arial"/>
          <w:sz w:val="22"/>
          <w:szCs w:val="22"/>
        </w:rPr>
        <w:t xml:space="preserve"> replaces </w:t>
      </w:r>
      <w:r w:rsidRPr="002D7D3B">
        <w:rPr>
          <w:rFonts w:ascii="Arial" w:hAnsi="Arial" w:cs="Arial"/>
          <w:i/>
          <w:sz w:val="22"/>
          <w:szCs w:val="22"/>
        </w:rPr>
        <w:t>Employment Termination Payments Redundancy Trusts (12 month rule) Determination 2009</w:t>
      </w:r>
      <w:r w:rsidRPr="002D7D3B">
        <w:rPr>
          <w:rFonts w:ascii="Arial" w:hAnsi="Arial" w:cs="Arial"/>
          <w:sz w:val="22"/>
          <w:szCs w:val="22"/>
        </w:rPr>
        <w:t xml:space="preserve"> F2009L00716 (the previous </w:t>
      </w:r>
      <w:r w:rsidR="00DC2F50" w:rsidRPr="002D7D3B">
        <w:rPr>
          <w:rFonts w:ascii="Arial" w:hAnsi="Arial" w:cs="Arial"/>
          <w:sz w:val="22"/>
          <w:szCs w:val="22"/>
        </w:rPr>
        <w:t>instrument</w:t>
      </w:r>
      <w:r w:rsidRPr="002D7D3B">
        <w:rPr>
          <w:rFonts w:ascii="Arial" w:hAnsi="Arial" w:cs="Arial"/>
          <w:sz w:val="22"/>
          <w:szCs w:val="22"/>
        </w:rPr>
        <w:t xml:space="preserve">) registered on </w:t>
      </w:r>
      <w:r w:rsidR="00337FB9" w:rsidRPr="002D7D3B">
        <w:rPr>
          <w:rFonts w:ascii="Arial" w:hAnsi="Arial" w:cs="Arial"/>
          <w:sz w:val="22"/>
          <w:szCs w:val="22"/>
        </w:rPr>
        <w:t>12 March</w:t>
      </w:r>
      <w:r w:rsidRPr="002D7D3B">
        <w:rPr>
          <w:rFonts w:ascii="Arial" w:hAnsi="Arial" w:cs="Arial"/>
          <w:sz w:val="22"/>
          <w:szCs w:val="22"/>
        </w:rPr>
        <w:t xml:space="preserve"> 2009. The previous </w:t>
      </w:r>
      <w:r w:rsidR="00DC2F50" w:rsidRPr="002D7D3B">
        <w:rPr>
          <w:rFonts w:ascii="Arial" w:hAnsi="Arial" w:cs="Arial"/>
          <w:sz w:val="22"/>
          <w:szCs w:val="22"/>
        </w:rPr>
        <w:t>instrument</w:t>
      </w:r>
      <w:r w:rsidRPr="002D7D3B">
        <w:rPr>
          <w:rFonts w:ascii="Arial" w:hAnsi="Arial" w:cs="Arial"/>
          <w:sz w:val="22"/>
          <w:szCs w:val="22"/>
        </w:rPr>
        <w:t xml:space="preserve"> is repealed on commencement of this </w:t>
      </w:r>
      <w:r w:rsidR="006B06C5" w:rsidRPr="002D7D3B">
        <w:rPr>
          <w:rFonts w:ascii="Arial" w:hAnsi="Arial" w:cs="Arial"/>
          <w:sz w:val="22"/>
          <w:szCs w:val="22"/>
        </w:rPr>
        <w:t>instrument</w:t>
      </w:r>
      <w:r w:rsidRPr="002D7D3B">
        <w:rPr>
          <w:rFonts w:ascii="Arial" w:hAnsi="Arial" w:cs="Arial"/>
          <w:sz w:val="22"/>
          <w:szCs w:val="22"/>
        </w:rPr>
        <w:t>.</w:t>
      </w:r>
    </w:p>
    <w:p w14:paraId="439E21D4" w14:textId="020CF4A4" w:rsidR="00F67F22" w:rsidRPr="002D7D3B" w:rsidRDefault="00F67F22" w:rsidP="002D7D3B">
      <w:pPr>
        <w:spacing w:after="120"/>
        <w:rPr>
          <w:rFonts w:ascii="Arial" w:hAnsi="Arial" w:cs="Arial"/>
          <w:sz w:val="22"/>
          <w:szCs w:val="22"/>
        </w:rPr>
      </w:pPr>
    </w:p>
    <w:p w14:paraId="6E4F0E0B" w14:textId="77777777" w:rsidR="00486653" w:rsidRPr="002D7D3B" w:rsidRDefault="00486653" w:rsidP="002D7D3B">
      <w:pPr>
        <w:pStyle w:val="Heading2"/>
        <w:rPr>
          <w:rFonts w:cs="Arial"/>
          <w:szCs w:val="22"/>
        </w:rPr>
      </w:pPr>
      <w:r w:rsidRPr="002D7D3B">
        <w:rPr>
          <w:rFonts w:cs="Arial"/>
          <w:szCs w:val="22"/>
        </w:rPr>
        <w:t>Background</w:t>
      </w:r>
    </w:p>
    <w:p w14:paraId="69144AF2" w14:textId="683588E2" w:rsidR="00595B84" w:rsidRPr="002D7D3B" w:rsidRDefault="00595B84"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Th</w:t>
      </w:r>
      <w:r w:rsidR="00E312D6" w:rsidRPr="002D7D3B">
        <w:rPr>
          <w:rFonts w:ascii="Arial" w:hAnsi="Arial" w:cs="Arial"/>
          <w:sz w:val="22"/>
          <w:szCs w:val="22"/>
        </w:rPr>
        <w:t>is</w:t>
      </w:r>
      <w:r w:rsidRPr="002D7D3B">
        <w:rPr>
          <w:rFonts w:ascii="Arial" w:hAnsi="Arial" w:cs="Arial"/>
          <w:sz w:val="22"/>
          <w:szCs w:val="22"/>
        </w:rPr>
        <w:t xml:space="preserve"> </w:t>
      </w:r>
      <w:r w:rsidR="00DC2F50" w:rsidRPr="002D7D3B">
        <w:rPr>
          <w:rFonts w:ascii="Arial" w:hAnsi="Arial" w:cs="Arial"/>
          <w:sz w:val="22"/>
          <w:szCs w:val="22"/>
        </w:rPr>
        <w:t>instrument</w:t>
      </w:r>
      <w:r w:rsidRPr="002D7D3B">
        <w:rPr>
          <w:rFonts w:ascii="Arial" w:hAnsi="Arial" w:cs="Arial"/>
          <w:sz w:val="22"/>
          <w:szCs w:val="22"/>
        </w:rPr>
        <w:t xml:space="preserve"> extends the definition of employment termination payments from redundancy trusts to include certain payments that are received more than 12 months after the termination of a person's employment.</w:t>
      </w:r>
    </w:p>
    <w:p w14:paraId="6FEA2A75" w14:textId="63623E9B" w:rsidR="00A17126" w:rsidRPr="002D7D3B" w:rsidRDefault="00E437F5" w:rsidP="002D7D3B">
      <w:pPr>
        <w:numPr>
          <w:ilvl w:val="0"/>
          <w:numId w:val="16"/>
        </w:numPr>
        <w:tabs>
          <w:tab w:val="clear" w:pos="720"/>
        </w:tabs>
        <w:spacing w:after="120"/>
        <w:ind w:left="709" w:hanging="709"/>
        <w:rPr>
          <w:rFonts w:ascii="Arial" w:hAnsi="Arial" w:cs="Arial"/>
          <w:sz w:val="22"/>
          <w:szCs w:val="22"/>
        </w:rPr>
      </w:pPr>
      <w:r>
        <w:rPr>
          <w:rFonts w:ascii="Arial" w:hAnsi="Arial" w:cs="Arial"/>
          <w:sz w:val="22"/>
          <w:szCs w:val="22"/>
        </w:rPr>
        <w:t xml:space="preserve">Some </w:t>
      </w:r>
      <w:r w:rsidR="00E312D6" w:rsidRPr="002D7D3B">
        <w:rPr>
          <w:rFonts w:ascii="Arial" w:hAnsi="Arial" w:cs="Arial"/>
          <w:sz w:val="22"/>
          <w:szCs w:val="22"/>
        </w:rPr>
        <w:t xml:space="preserve">minor </w:t>
      </w:r>
      <w:r w:rsidR="00A17126" w:rsidRPr="002D7D3B">
        <w:rPr>
          <w:rFonts w:ascii="Arial" w:hAnsi="Arial" w:cs="Arial"/>
          <w:sz w:val="22"/>
          <w:szCs w:val="22"/>
        </w:rPr>
        <w:t xml:space="preserve">changes </w:t>
      </w:r>
      <w:r w:rsidR="00E312D6" w:rsidRPr="002D7D3B">
        <w:rPr>
          <w:rFonts w:ascii="Arial" w:hAnsi="Arial" w:cs="Arial"/>
          <w:sz w:val="22"/>
          <w:szCs w:val="22"/>
        </w:rPr>
        <w:t xml:space="preserve">have been made to this </w:t>
      </w:r>
      <w:r w:rsidR="00DC2F50" w:rsidRPr="002D7D3B">
        <w:rPr>
          <w:rFonts w:ascii="Arial" w:hAnsi="Arial" w:cs="Arial"/>
          <w:sz w:val="22"/>
          <w:szCs w:val="22"/>
        </w:rPr>
        <w:t>instrument</w:t>
      </w:r>
      <w:r>
        <w:rPr>
          <w:rFonts w:ascii="Arial" w:hAnsi="Arial" w:cs="Arial"/>
          <w:sz w:val="22"/>
          <w:szCs w:val="22"/>
        </w:rPr>
        <w:t xml:space="preserve"> </w:t>
      </w:r>
      <w:r w:rsidR="00A17126" w:rsidRPr="002D7D3B">
        <w:rPr>
          <w:rFonts w:ascii="Arial" w:hAnsi="Arial" w:cs="Arial"/>
          <w:sz w:val="22"/>
          <w:szCs w:val="22"/>
        </w:rPr>
        <w:t>to</w:t>
      </w:r>
      <w:r w:rsidR="0047356E" w:rsidRPr="002D7D3B">
        <w:rPr>
          <w:rFonts w:ascii="Arial" w:hAnsi="Arial" w:cs="Arial"/>
          <w:sz w:val="22"/>
          <w:szCs w:val="22"/>
        </w:rPr>
        <w:t>:</w:t>
      </w:r>
    </w:p>
    <w:p w14:paraId="59895271" w14:textId="1A99D0D2" w:rsidR="00B648AB" w:rsidRPr="002D7D3B" w:rsidRDefault="00A17126" w:rsidP="00E437F5">
      <w:pPr>
        <w:numPr>
          <w:ilvl w:val="0"/>
          <w:numId w:val="44"/>
        </w:numPr>
        <w:tabs>
          <w:tab w:val="clear" w:pos="720"/>
        </w:tabs>
        <w:spacing w:after="120"/>
        <w:ind w:left="1418" w:hanging="709"/>
        <w:rPr>
          <w:rFonts w:ascii="Arial" w:hAnsi="Arial" w:cs="Arial"/>
          <w:sz w:val="22"/>
          <w:szCs w:val="22"/>
        </w:rPr>
      </w:pPr>
      <w:r w:rsidRPr="002D7D3B">
        <w:rPr>
          <w:rFonts w:ascii="Arial" w:hAnsi="Arial" w:cs="Arial"/>
          <w:sz w:val="22"/>
          <w:szCs w:val="22"/>
        </w:rPr>
        <w:t xml:space="preserve">Update the definition of ‘redundancy trust’ to take into account changes to </w:t>
      </w:r>
      <w:r w:rsidR="00B648AB" w:rsidRPr="002D7D3B">
        <w:rPr>
          <w:rFonts w:ascii="Arial" w:hAnsi="Arial" w:cs="Arial"/>
          <w:sz w:val="22"/>
          <w:szCs w:val="22"/>
        </w:rPr>
        <w:t xml:space="preserve">the underlying definition in the </w:t>
      </w:r>
      <w:r w:rsidR="00B648AB" w:rsidRPr="002D7D3B">
        <w:rPr>
          <w:rFonts w:ascii="Arial" w:hAnsi="Arial" w:cs="Arial"/>
          <w:i/>
          <w:sz w:val="22"/>
          <w:szCs w:val="22"/>
        </w:rPr>
        <w:t>Fringe Benefits Tax Assessment Act</w:t>
      </w:r>
      <w:r w:rsidR="00E437F5">
        <w:rPr>
          <w:rFonts w:ascii="Arial" w:hAnsi="Arial" w:cs="Arial"/>
          <w:i/>
          <w:sz w:val="22"/>
          <w:szCs w:val="22"/>
        </w:rPr>
        <w:t> </w:t>
      </w:r>
      <w:r w:rsidR="00B648AB" w:rsidRPr="002D7D3B">
        <w:rPr>
          <w:rFonts w:ascii="Arial" w:hAnsi="Arial" w:cs="Arial"/>
          <w:i/>
          <w:sz w:val="22"/>
          <w:szCs w:val="22"/>
        </w:rPr>
        <w:t>1986</w:t>
      </w:r>
      <w:r w:rsidR="00337FB9" w:rsidRPr="002D7D3B">
        <w:rPr>
          <w:rFonts w:ascii="Arial" w:hAnsi="Arial" w:cs="Arial"/>
          <w:i/>
          <w:sz w:val="22"/>
          <w:szCs w:val="22"/>
        </w:rPr>
        <w:t>;</w:t>
      </w:r>
      <w:r w:rsidR="00B648AB" w:rsidRPr="002D7D3B">
        <w:rPr>
          <w:rFonts w:ascii="Arial" w:hAnsi="Arial" w:cs="Arial"/>
          <w:sz w:val="22"/>
          <w:szCs w:val="22"/>
        </w:rPr>
        <w:t xml:space="preserve"> and</w:t>
      </w:r>
    </w:p>
    <w:p w14:paraId="6E43E1F8" w14:textId="2AC80DE7" w:rsidR="00E43E89" w:rsidRPr="002D7D3B" w:rsidRDefault="005C279D" w:rsidP="00E437F5">
      <w:pPr>
        <w:numPr>
          <w:ilvl w:val="0"/>
          <w:numId w:val="44"/>
        </w:numPr>
        <w:tabs>
          <w:tab w:val="clear" w:pos="720"/>
        </w:tabs>
        <w:spacing w:after="120"/>
        <w:ind w:left="1418" w:hanging="709"/>
        <w:rPr>
          <w:rFonts w:ascii="Arial" w:hAnsi="Arial" w:cs="Arial"/>
          <w:sz w:val="22"/>
          <w:szCs w:val="22"/>
        </w:rPr>
      </w:pPr>
      <w:r w:rsidRPr="002D7D3B">
        <w:rPr>
          <w:rFonts w:ascii="Arial" w:hAnsi="Arial" w:cs="Arial"/>
          <w:sz w:val="22"/>
          <w:szCs w:val="22"/>
        </w:rPr>
        <w:t xml:space="preserve">Remove a provision concerning transitional arrangements for redundancy trust entitlements that arose prior to </w:t>
      </w:r>
      <w:r w:rsidR="00E43E89" w:rsidRPr="002D7D3B">
        <w:rPr>
          <w:rFonts w:ascii="Arial" w:hAnsi="Arial" w:cs="Arial"/>
          <w:sz w:val="22"/>
          <w:szCs w:val="22"/>
        </w:rPr>
        <w:t>1 July 20</w:t>
      </w:r>
      <w:r w:rsidR="00CC36F1" w:rsidRPr="002D7D3B">
        <w:rPr>
          <w:rFonts w:ascii="Arial" w:hAnsi="Arial" w:cs="Arial"/>
          <w:sz w:val="22"/>
          <w:szCs w:val="22"/>
        </w:rPr>
        <w:t>0</w:t>
      </w:r>
      <w:r w:rsidR="00E43E89" w:rsidRPr="002D7D3B">
        <w:rPr>
          <w:rFonts w:ascii="Arial" w:hAnsi="Arial" w:cs="Arial"/>
          <w:sz w:val="22"/>
          <w:szCs w:val="22"/>
        </w:rPr>
        <w:t>7</w:t>
      </w:r>
      <w:r w:rsidR="0047356E" w:rsidRPr="002D7D3B">
        <w:rPr>
          <w:rFonts w:ascii="Arial" w:hAnsi="Arial" w:cs="Arial"/>
          <w:sz w:val="22"/>
          <w:szCs w:val="22"/>
        </w:rPr>
        <w:t>, the date</w:t>
      </w:r>
      <w:r w:rsidR="00E43E89" w:rsidRPr="002D7D3B">
        <w:rPr>
          <w:rFonts w:ascii="Arial" w:hAnsi="Arial" w:cs="Arial"/>
          <w:sz w:val="22"/>
          <w:szCs w:val="22"/>
        </w:rPr>
        <w:t xml:space="preserve"> the current legislation was introduced.</w:t>
      </w:r>
    </w:p>
    <w:p w14:paraId="5BC8BECF" w14:textId="77777777" w:rsidR="00812682" w:rsidRPr="002D7D3B" w:rsidRDefault="00812682"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Payments made in consequence of the termination of a person's employment will be employment termination payments if they are not specifically excluded from the definition of an employment termination payment by being listed in section 82-135 of the ITAA 1997. A superannuation benefit is specifically excluded. Payments that meet the definition of employment termination payment qualify for concessional taxation treatment.</w:t>
      </w:r>
    </w:p>
    <w:p w14:paraId="151F4EB8" w14:textId="77777777" w:rsidR="00812682" w:rsidRPr="002D7D3B" w:rsidRDefault="00812682" w:rsidP="002D7D3B">
      <w:pPr>
        <w:numPr>
          <w:ilvl w:val="0"/>
          <w:numId w:val="16"/>
        </w:numPr>
        <w:tabs>
          <w:tab w:val="clear" w:pos="720"/>
        </w:tabs>
        <w:spacing w:after="120"/>
        <w:ind w:left="709" w:hanging="709"/>
        <w:rPr>
          <w:rFonts w:ascii="Arial" w:hAnsi="Arial" w:cs="Arial"/>
          <w:i/>
          <w:sz w:val="22"/>
          <w:szCs w:val="22"/>
        </w:rPr>
      </w:pPr>
      <w:r w:rsidRPr="002D7D3B">
        <w:rPr>
          <w:rFonts w:ascii="Arial" w:hAnsi="Arial" w:cs="Arial"/>
          <w:sz w:val="22"/>
          <w:szCs w:val="22"/>
        </w:rPr>
        <w:t xml:space="preserve">In order to qualify as an employment termination payment, the law requires the payment to be received no later than 12 months after a person's </w:t>
      </w:r>
      <w:r w:rsidRPr="002D7D3B">
        <w:rPr>
          <w:rFonts w:ascii="Arial" w:hAnsi="Arial" w:cs="Arial"/>
          <w:sz w:val="22"/>
          <w:szCs w:val="22"/>
        </w:rPr>
        <w:lastRenderedPageBreak/>
        <w:t>termination of employment under paragraph 82-130(1</w:t>
      </w:r>
      <w:proofErr w:type="gramStart"/>
      <w:r w:rsidRPr="002D7D3B">
        <w:rPr>
          <w:rFonts w:ascii="Arial" w:hAnsi="Arial" w:cs="Arial"/>
          <w:sz w:val="22"/>
          <w:szCs w:val="22"/>
        </w:rPr>
        <w:t>)(</w:t>
      </w:r>
      <w:proofErr w:type="gramEnd"/>
      <w:r w:rsidRPr="002D7D3B">
        <w:rPr>
          <w:rFonts w:ascii="Arial" w:hAnsi="Arial" w:cs="Arial"/>
          <w:sz w:val="22"/>
          <w:szCs w:val="22"/>
        </w:rPr>
        <w:t>b) of the ITAA 1997. This can be referred to as the 12 month rule.</w:t>
      </w:r>
    </w:p>
    <w:p w14:paraId="2A44D2C0" w14:textId="32BC9403" w:rsidR="00812682" w:rsidRPr="002D7D3B" w:rsidRDefault="00812682" w:rsidP="002D7D3B">
      <w:pPr>
        <w:numPr>
          <w:ilvl w:val="0"/>
          <w:numId w:val="16"/>
        </w:numPr>
        <w:tabs>
          <w:tab w:val="clear" w:pos="720"/>
        </w:tabs>
        <w:spacing w:after="120"/>
        <w:ind w:left="709" w:hanging="709"/>
        <w:rPr>
          <w:rFonts w:ascii="Arial" w:hAnsi="Arial" w:cs="Arial"/>
          <w:i/>
          <w:sz w:val="22"/>
          <w:szCs w:val="22"/>
        </w:rPr>
      </w:pPr>
      <w:r w:rsidRPr="002D7D3B">
        <w:rPr>
          <w:rFonts w:ascii="Arial" w:hAnsi="Arial" w:cs="Arial"/>
          <w:sz w:val="22"/>
          <w:szCs w:val="22"/>
        </w:rPr>
        <w:t>However, provision is made for the Commissioner to allow a payment made after the</w:t>
      </w:r>
      <w:r w:rsidR="00676184" w:rsidRPr="002D7D3B">
        <w:rPr>
          <w:rFonts w:ascii="Arial" w:hAnsi="Arial" w:cs="Arial"/>
          <w:sz w:val="22"/>
          <w:szCs w:val="22"/>
        </w:rPr>
        <w:t xml:space="preserve"> </w:t>
      </w:r>
      <w:r w:rsidRPr="002D7D3B">
        <w:rPr>
          <w:rFonts w:ascii="Arial" w:hAnsi="Arial" w:cs="Arial"/>
          <w:sz w:val="22"/>
          <w:szCs w:val="22"/>
        </w:rPr>
        <w:t>12 month period to still be treated as an employment termination payment. Accordingly, the Commissioner has the power to make determinations covering a class of payments or recipients or in respect of an individual taxpayer to exclude the requirement of the 12 month rule.</w:t>
      </w:r>
    </w:p>
    <w:p w14:paraId="66C6EF05" w14:textId="5B9ADA34" w:rsidR="00812682" w:rsidRPr="002D7D3B" w:rsidRDefault="00812682"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The Explanatory Memorandum to the </w:t>
      </w:r>
      <w:r w:rsidRPr="002D7D3B">
        <w:rPr>
          <w:rFonts w:ascii="Arial" w:hAnsi="Arial" w:cs="Arial"/>
          <w:i/>
          <w:sz w:val="22"/>
          <w:szCs w:val="22"/>
        </w:rPr>
        <w:t xml:space="preserve">Tax Laws Amendment (Simplified Superannuation) </w:t>
      </w:r>
      <w:r w:rsidR="00FD1008" w:rsidRPr="002D7D3B">
        <w:rPr>
          <w:rFonts w:ascii="Arial" w:hAnsi="Arial" w:cs="Arial"/>
          <w:i/>
          <w:sz w:val="22"/>
          <w:szCs w:val="22"/>
        </w:rPr>
        <w:t>Act 2007</w:t>
      </w:r>
      <w:r w:rsidR="00FD1008" w:rsidRPr="002D7D3B">
        <w:rPr>
          <w:rFonts w:ascii="Arial" w:hAnsi="Arial" w:cs="Arial"/>
          <w:sz w:val="22"/>
          <w:szCs w:val="22"/>
        </w:rPr>
        <w:t xml:space="preserve"> </w:t>
      </w:r>
      <w:r w:rsidRPr="002D7D3B">
        <w:rPr>
          <w:rFonts w:ascii="Arial" w:hAnsi="Arial" w:cs="Arial"/>
          <w:sz w:val="22"/>
          <w:szCs w:val="22"/>
        </w:rPr>
        <w:t>(the Explanatory Memorandum) provides:</w:t>
      </w:r>
    </w:p>
    <w:p w14:paraId="5606B3FA" w14:textId="2A8A38C4" w:rsidR="00812682" w:rsidRPr="00E437F5" w:rsidRDefault="00812682" w:rsidP="00E437F5">
      <w:pPr>
        <w:spacing w:after="120"/>
        <w:ind w:left="1418"/>
        <w:rPr>
          <w:rFonts w:ascii="Arial" w:hAnsi="Arial" w:cs="Arial"/>
          <w:sz w:val="22"/>
          <w:szCs w:val="22"/>
        </w:rPr>
      </w:pPr>
      <w:r w:rsidRPr="00E437F5">
        <w:rPr>
          <w:rFonts w:ascii="Arial" w:hAnsi="Arial" w:cs="Arial"/>
          <w:sz w:val="22"/>
          <w:szCs w:val="22"/>
        </w:rPr>
        <w:t>4.19</w:t>
      </w:r>
      <w:r w:rsidR="00E437F5" w:rsidRPr="00E437F5">
        <w:rPr>
          <w:rFonts w:ascii="Arial" w:hAnsi="Arial" w:cs="Arial"/>
          <w:sz w:val="22"/>
          <w:szCs w:val="22"/>
        </w:rPr>
        <w:tab/>
      </w:r>
      <w:r w:rsidRPr="00E437F5">
        <w:rPr>
          <w:rFonts w:ascii="Arial" w:hAnsi="Arial" w:cs="Arial"/>
          <w:sz w:val="22"/>
          <w:szCs w:val="22"/>
        </w:rPr>
        <w:t>The 12-month rule exists to prevent abuse of the tax concession offered for these payments by using a series of payments over a number of income years. The provisions dealing with the Commissioner’s ability to issue a determination are provided to allow flexibility where delays in payment are reasonable and not constructed with the intent of delivering taxation advantages.</w:t>
      </w:r>
    </w:p>
    <w:p w14:paraId="2576C1FB" w14:textId="07870C70" w:rsidR="00812682" w:rsidRPr="002D7D3B" w:rsidRDefault="00812682"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As indicated in the Explanatory Memorandum, the Commissioner will only issue a determination where the delay of more than 12 months for receipt of payment is reasonable and not constructed with the intent to deliver taxation advantages</w:t>
      </w:r>
      <w:r w:rsidR="00676184" w:rsidRPr="002D7D3B">
        <w:rPr>
          <w:rFonts w:ascii="Arial" w:hAnsi="Arial" w:cs="Arial"/>
          <w:sz w:val="22"/>
          <w:szCs w:val="22"/>
        </w:rPr>
        <w:t>.</w:t>
      </w:r>
    </w:p>
    <w:p w14:paraId="23C1F25E" w14:textId="77777777" w:rsidR="002D7D3B" w:rsidRPr="002D7D3B" w:rsidRDefault="00812682"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Accordingly, the Commissioner may make a determination on a case by case basis pursuant to subsection 82-130(5) of the ITAA 1997. Furthermore, in recognition of the likelihood that there could be more than one individual receiving the same type of payment, the Commissioner also may make a determination for a class of payments or recipients under subsection 82</w:t>
      </w:r>
      <w:r w:rsidR="0079789E" w:rsidRPr="002D7D3B">
        <w:rPr>
          <w:rFonts w:ascii="Arial" w:hAnsi="Arial" w:cs="Arial"/>
          <w:sz w:val="22"/>
          <w:szCs w:val="22"/>
        </w:rPr>
        <w:noBreakHyphen/>
      </w:r>
      <w:r w:rsidRPr="002D7D3B">
        <w:rPr>
          <w:rFonts w:ascii="Arial" w:hAnsi="Arial" w:cs="Arial"/>
          <w:sz w:val="22"/>
          <w:szCs w:val="22"/>
        </w:rPr>
        <w:t>130(7) of the ITAA 1997.</w:t>
      </w:r>
    </w:p>
    <w:p w14:paraId="240D468F" w14:textId="0E3C9C38" w:rsidR="00812682" w:rsidRPr="002D7D3B" w:rsidRDefault="00812682"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Entitlement to payments from redundancy trusts varies and in some cases members do not become entitled to payment of their benefits within 12 months of their termination of employment</w:t>
      </w:r>
      <w:r w:rsidR="004F681A" w:rsidRPr="002D7D3B">
        <w:rPr>
          <w:rFonts w:ascii="Arial" w:hAnsi="Arial" w:cs="Arial"/>
          <w:sz w:val="22"/>
          <w:szCs w:val="22"/>
        </w:rPr>
        <w:t>.</w:t>
      </w:r>
    </w:p>
    <w:p w14:paraId="30E67F01" w14:textId="607D1CC8" w:rsidR="00381DCD" w:rsidRPr="002D7D3B" w:rsidRDefault="00381DCD"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This </w:t>
      </w:r>
      <w:r w:rsidR="0045442B" w:rsidRPr="002D7D3B">
        <w:rPr>
          <w:rFonts w:ascii="Arial" w:hAnsi="Arial" w:cs="Arial"/>
          <w:sz w:val="22"/>
          <w:szCs w:val="22"/>
        </w:rPr>
        <w:t>D</w:t>
      </w:r>
      <w:r w:rsidRPr="002D7D3B">
        <w:rPr>
          <w:rFonts w:ascii="Arial" w:hAnsi="Arial" w:cs="Arial"/>
          <w:sz w:val="22"/>
          <w:szCs w:val="22"/>
        </w:rPr>
        <w:t xml:space="preserve">etermination, made under subsection 82-130(7) </w:t>
      </w:r>
      <w:r w:rsidRPr="002D7D3B">
        <w:rPr>
          <w:rFonts w:ascii="Arial" w:hAnsi="Arial" w:cs="Arial"/>
          <w:iCs/>
          <w:sz w:val="22"/>
          <w:szCs w:val="22"/>
        </w:rPr>
        <w:t xml:space="preserve">of the </w:t>
      </w:r>
      <w:r w:rsidRPr="002D7D3B">
        <w:rPr>
          <w:rFonts w:ascii="Arial" w:hAnsi="Arial" w:cs="Arial"/>
          <w:sz w:val="22"/>
          <w:szCs w:val="22"/>
        </w:rPr>
        <w:t>ITAA 1997, will provide an exception to the 12 month rule for a class of payments where:</w:t>
      </w:r>
    </w:p>
    <w:p w14:paraId="2C3A2E35" w14:textId="77777777" w:rsidR="00381DCD" w:rsidRPr="002D7D3B" w:rsidRDefault="00381DCD" w:rsidP="00E20454">
      <w:pPr>
        <w:numPr>
          <w:ilvl w:val="1"/>
          <w:numId w:val="46"/>
        </w:numPr>
        <w:tabs>
          <w:tab w:val="clear" w:pos="1440"/>
        </w:tabs>
        <w:spacing w:after="120"/>
        <w:ind w:left="1418" w:hanging="709"/>
        <w:rPr>
          <w:rFonts w:ascii="Arial" w:hAnsi="Arial" w:cs="Arial"/>
          <w:sz w:val="22"/>
          <w:szCs w:val="22"/>
        </w:rPr>
      </w:pPr>
      <w:r w:rsidRPr="002D7D3B">
        <w:rPr>
          <w:rFonts w:ascii="Arial" w:eastAsia="Arial" w:hAnsi="Arial" w:cs="Arial"/>
          <w:sz w:val="22"/>
          <w:szCs w:val="22"/>
        </w:rPr>
        <w:t>the person whose employment was terminated was a member of a redundancy trust and an application for the payment was lodged with the trustee of the redundancy trust within 12 months of the person becoming entitled to the payment under the terms of the trust deed of the redundancy trust; and</w:t>
      </w:r>
    </w:p>
    <w:p w14:paraId="4F0B5F3A" w14:textId="77777777" w:rsidR="00381DCD" w:rsidRPr="002D7D3B" w:rsidRDefault="00381DCD" w:rsidP="00E20454">
      <w:pPr>
        <w:numPr>
          <w:ilvl w:val="1"/>
          <w:numId w:val="46"/>
        </w:numPr>
        <w:tabs>
          <w:tab w:val="clear" w:pos="1440"/>
        </w:tabs>
        <w:spacing w:after="120"/>
        <w:ind w:left="1418" w:hanging="709"/>
        <w:rPr>
          <w:rFonts w:ascii="Arial" w:hAnsi="Arial" w:cs="Arial"/>
          <w:sz w:val="22"/>
          <w:szCs w:val="22"/>
        </w:rPr>
      </w:pPr>
      <w:r w:rsidRPr="002D7D3B">
        <w:rPr>
          <w:rFonts w:ascii="Arial" w:hAnsi="Arial" w:cs="Arial"/>
          <w:sz w:val="22"/>
          <w:szCs w:val="22"/>
        </w:rPr>
        <w:t>the payment was made by the trustee of the redundancy trust:</w:t>
      </w:r>
    </w:p>
    <w:p w14:paraId="025101DA" w14:textId="3966D0AE" w:rsidR="00381DCD" w:rsidRPr="002D7D3B" w:rsidRDefault="00381DCD" w:rsidP="00E20454">
      <w:pPr>
        <w:numPr>
          <w:ilvl w:val="0"/>
          <w:numId w:val="45"/>
        </w:numPr>
        <w:spacing w:after="120"/>
        <w:ind w:left="2127" w:hanging="709"/>
        <w:rPr>
          <w:rFonts w:ascii="Arial" w:hAnsi="Arial" w:cs="Arial"/>
          <w:sz w:val="22"/>
          <w:szCs w:val="22"/>
        </w:rPr>
      </w:pPr>
      <w:r w:rsidRPr="002D7D3B">
        <w:rPr>
          <w:rFonts w:ascii="Arial" w:hAnsi="Arial" w:cs="Arial"/>
          <w:sz w:val="22"/>
          <w:szCs w:val="22"/>
        </w:rPr>
        <w:t>as soon as practicable after receipt of the application for payment; or</w:t>
      </w:r>
    </w:p>
    <w:p w14:paraId="78C0AA22" w14:textId="685977A9" w:rsidR="00381DCD" w:rsidRPr="002D7D3B" w:rsidRDefault="00381DCD" w:rsidP="00E20454">
      <w:pPr>
        <w:numPr>
          <w:ilvl w:val="0"/>
          <w:numId w:val="45"/>
        </w:numPr>
        <w:spacing w:after="120"/>
        <w:ind w:left="2127" w:hanging="709"/>
        <w:rPr>
          <w:rFonts w:ascii="Arial" w:hAnsi="Arial" w:cs="Arial"/>
          <w:sz w:val="22"/>
          <w:szCs w:val="22"/>
        </w:rPr>
      </w:pPr>
      <w:r w:rsidRPr="002D7D3B">
        <w:rPr>
          <w:rFonts w:ascii="Arial" w:hAnsi="Arial" w:cs="Arial"/>
          <w:sz w:val="22"/>
          <w:szCs w:val="22"/>
        </w:rPr>
        <w:t>no later than 2 years after the termination of the person's employment that led to the entitlement;</w:t>
      </w:r>
    </w:p>
    <w:p w14:paraId="124BE56D" w14:textId="1E7341E2" w:rsidR="00381DCD" w:rsidRPr="002D7D3B" w:rsidRDefault="00381DCD" w:rsidP="002D7D3B">
      <w:pPr>
        <w:spacing w:after="120"/>
        <w:ind w:left="1440"/>
        <w:rPr>
          <w:rFonts w:ascii="Arial" w:hAnsi="Arial" w:cs="Arial"/>
          <w:sz w:val="22"/>
          <w:szCs w:val="22"/>
        </w:rPr>
      </w:pPr>
      <w:proofErr w:type="gramStart"/>
      <w:r w:rsidRPr="002D7D3B">
        <w:rPr>
          <w:rFonts w:ascii="Arial" w:hAnsi="Arial" w:cs="Arial"/>
          <w:sz w:val="22"/>
          <w:szCs w:val="22"/>
        </w:rPr>
        <w:t>whichever</w:t>
      </w:r>
      <w:proofErr w:type="gramEnd"/>
      <w:r w:rsidRPr="002D7D3B">
        <w:rPr>
          <w:rFonts w:ascii="Arial" w:hAnsi="Arial" w:cs="Arial"/>
          <w:sz w:val="22"/>
          <w:szCs w:val="22"/>
        </w:rPr>
        <w:t xml:space="preserve"> occurs earlier</w:t>
      </w:r>
      <w:r w:rsidR="00676184" w:rsidRPr="002D7D3B">
        <w:rPr>
          <w:rFonts w:ascii="Arial" w:hAnsi="Arial" w:cs="Arial"/>
          <w:sz w:val="22"/>
          <w:szCs w:val="22"/>
        </w:rPr>
        <w:t>.</w:t>
      </w:r>
    </w:p>
    <w:p w14:paraId="4E867A27" w14:textId="77777777" w:rsidR="00812682" w:rsidRPr="002D7D3B" w:rsidRDefault="00812682" w:rsidP="002D7D3B">
      <w:pPr>
        <w:spacing w:after="120"/>
        <w:rPr>
          <w:rFonts w:ascii="Arial" w:hAnsi="Arial" w:cs="Arial"/>
          <w:sz w:val="22"/>
          <w:szCs w:val="22"/>
        </w:rPr>
      </w:pPr>
    </w:p>
    <w:p w14:paraId="40503FA8" w14:textId="77777777" w:rsidR="002D7D3B" w:rsidRPr="002D7D3B" w:rsidRDefault="00EC7E49" w:rsidP="002D7D3B">
      <w:pPr>
        <w:pStyle w:val="Heading3"/>
        <w:spacing w:before="0" w:after="120"/>
        <w:rPr>
          <w:i/>
          <w:sz w:val="22"/>
          <w:szCs w:val="22"/>
        </w:rPr>
      </w:pPr>
      <w:r w:rsidRPr="002D7D3B">
        <w:rPr>
          <w:i/>
          <w:sz w:val="22"/>
          <w:szCs w:val="22"/>
        </w:rPr>
        <w:t>Examples</w:t>
      </w:r>
    </w:p>
    <w:p w14:paraId="5BEB1BBC" w14:textId="77777777" w:rsidR="002D7D3B" w:rsidRPr="002D7D3B" w:rsidRDefault="00EC7E49" w:rsidP="002328C5">
      <w:pPr>
        <w:pStyle w:val="Heading4"/>
        <w:spacing w:before="0" w:after="120"/>
        <w:rPr>
          <w:rFonts w:ascii="Arial" w:hAnsi="Arial" w:cs="Arial"/>
          <w:b w:val="0"/>
          <w:color w:val="auto"/>
          <w:sz w:val="22"/>
          <w:szCs w:val="22"/>
        </w:rPr>
      </w:pPr>
      <w:r w:rsidRPr="002D7D3B">
        <w:rPr>
          <w:rFonts w:ascii="Arial" w:hAnsi="Arial" w:cs="Arial"/>
          <w:b w:val="0"/>
          <w:color w:val="auto"/>
          <w:sz w:val="22"/>
          <w:szCs w:val="22"/>
        </w:rPr>
        <w:t>Example 1</w:t>
      </w:r>
    </w:p>
    <w:p w14:paraId="15C3F388" w14:textId="72B2FB59"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An individual terminates employment on 1 August 2019. The termination entitles them to the payment of a benefit from the redundancy trust of which they are a member. The benefit they are entitled to is an amount equal to their </w:t>
      </w:r>
      <w:r w:rsidRPr="002D7D3B">
        <w:rPr>
          <w:rFonts w:ascii="Arial" w:hAnsi="Arial" w:cs="Arial"/>
          <w:sz w:val="22"/>
          <w:szCs w:val="22"/>
        </w:rPr>
        <w:lastRenderedPageBreak/>
        <w:t>account balance with the redundancy trust. The member applies to the trustee of the redundancy trust for their benefit on 15 July 2020. Due to processing requirements within the redundancy trust the trustee pays their ben</w:t>
      </w:r>
      <w:r w:rsidR="002D7D3B" w:rsidRPr="002D7D3B">
        <w:rPr>
          <w:rFonts w:ascii="Arial" w:hAnsi="Arial" w:cs="Arial"/>
          <w:sz w:val="22"/>
          <w:szCs w:val="22"/>
        </w:rPr>
        <w:t>efit to them on 11 August 2020.</w:t>
      </w:r>
    </w:p>
    <w:p w14:paraId="73A96E48" w14:textId="32CE5497"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The payment on 11 August 2020 while paid in consequence of the person's termination will not meet the definition of an employment termination payment because the requirement in paragraph 82-130(1</w:t>
      </w:r>
      <w:proofErr w:type="gramStart"/>
      <w:r w:rsidRPr="002D7D3B">
        <w:rPr>
          <w:rFonts w:ascii="Arial" w:hAnsi="Arial" w:cs="Arial"/>
          <w:sz w:val="22"/>
          <w:szCs w:val="22"/>
        </w:rPr>
        <w:t>)(</w:t>
      </w:r>
      <w:proofErr w:type="gramEnd"/>
      <w:r w:rsidRPr="002D7D3B">
        <w:rPr>
          <w:rFonts w:ascii="Arial" w:hAnsi="Arial" w:cs="Arial"/>
          <w:sz w:val="22"/>
          <w:szCs w:val="22"/>
        </w:rPr>
        <w:t xml:space="preserve">b) of the ITAA 1997 has not been met. However, the payment will meet the extended definition of employment termination payment under this </w:t>
      </w:r>
      <w:r w:rsidR="0045442B" w:rsidRPr="002D7D3B">
        <w:rPr>
          <w:rFonts w:ascii="Arial" w:hAnsi="Arial" w:cs="Arial"/>
          <w:sz w:val="22"/>
          <w:szCs w:val="22"/>
        </w:rPr>
        <w:t>D</w:t>
      </w:r>
      <w:r w:rsidRPr="002D7D3B">
        <w:rPr>
          <w:rFonts w:ascii="Arial" w:hAnsi="Arial" w:cs="Arial"/>
          <w:sz w:val="22"/>
          <w:szCs w:val="22"/>
        </w:rPr>
        <w:t>etermination as the application for payment was lodged with the trustee of the redundancy trust within 12 months of the termination of employment and the payment was made as soon as practicable by the trustee and within 2 years of the termination of employment.</w:t>
      </w:r>
    </w:p>
    <w:p w14:paraId="5697A9E7" w14:textId="6593D6EF" w:rsidR="003413D8" w:rsidRPr="002D7D3B" w:rsidRDefault="003413D8" w:rsidP="00DF448F">
      <w:pPr>
        <w:spacing w:after="120"/>
        <w:rPr>
          <w:rFonts w:ascii="Arial" w:hAnsi="Arial" w:cs="Arial"/>
          <w:sz w:val="22"/>
          <w:szCs w:val="22"/>
        </w:rPr>
      </w:pPr>
    </w:p>
    <w:p w14:paraId="26133BDD" w14:textId="73713D16" w:rsidR="002D7D3B" w:rsidRPr="002D7D3B" w:rsidRDefault="00EC7E49" w:rsidP="002328C5">
      <w:pPr>
        <w:pStyle w:val="Heading4"/>
        <w:spacing w:before="0" w:after="120"/>
        <w:rPr>
          <w:rFonts w:ascii="Arial" w:hAnsi="Arial" w:cs="Arial"/>
          <w:b w:val="0"/>
          <w:color w:val="auto"/>
          <w:sz w:val="22"/>
          <w:szCs w:val="22"/>
        </w:rPr>
      </w:pPr>
      <w:r w:rsidRPr="002D7D3B">
        <w:rPr>
          <w:rFonts w:ascii="Arial" w:hAnsi="Arial" w:cs="Arial"/>
          <w:b w:val="0"/>
          <w:color w:val="auto"/>
          <w:sz w:val="22"/>
          <w:szCs w:val="22"/>
        </w:rPr>
        <w:t>Example 2</w:t>
      </w:r>
    </w:p>
    <w:p w14:paraId="0C1B2D40" w14:textId="308FF9FA"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An individual's employment is terminated on 1 August 2019. Under the terms of the trust deed the member does not become entitled to payment of a benefit from their redundancy trust until 52 weeks after the termination. The member applies to the trustee of the redundancy trust for their benefit on 1 September 2020. The benefit is paid to the individual by the trustee on 1 October 2020.</w:t>
      </w:r>
    </w:p>
    <w:p w14:paraId="6F944239" w14:textId="1E75AC7C"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The payment on 1 October 20</w:t>
      </w:r>
      <w:r w:rsidR="00B82B82" w:rsidRPr="002D7D3B">
        <w:rPr>
          <w:rFonts w:ascii="Arial" w:hAnsi="Arial" w:cs="Arial"/>
          <w:sz w:val="22"/>
          <w:szCs w:val="22"/>
        </w:rPr>
        <w:t>20</w:t>
      </w:r>
      <w:r w:rsidRPr="002D7D3B">
        <w:rPr>
          <w:rFonts w:ascii="Arial" w:hAnsi="Arial" w:cs="Arial"/>
          <w:sz w:val="22"/>
          <w:szCs w:val="22"/>
        </w:rPr>
        <w:t xml:space="preserve"> while paid in consequence of the person's termination will not meet the definition of an employment termination payment because the requirement in paragraph 82-130(1</w:t>
      </w:r>
      <w:proofErr w:type="gramStart"/>
      <w:r w:rsidRPr="002D7D3B">
        <w:rPr>
          <w:rFonts w:ascii="Arial" w:hAnsi="Arial" w:cs="Arial"/>
          <w:sz w:val="22"/>
          <w:szCs w:val="22"/>
        </w:rPr>
        <w:t>)(</w:t>
      </w:r>
      <w:proofErr w:type="gramEnd"/>
      <w:r w:rsidRPr="002D7D3B">
        <w:rPr>
          <w:rFonts w:ascii="Arial" w:hAnsi="Arial" w:cs="Arial"/>
          <w:sz w:val="22"/>
          <w:szCs w:val="22"/>
        </w:rPr>
        <w:t xml:space="preserve">b) of the ITAA 1997 has not been met. The payment will however meet the extended definition of an employment termination payment under this </w:t>
      </w:r>
      <w:r w:rsidR="0045442B" w:rsidRPr="002D7D3B">
        <w:rPr>
          <w:rFonts w:ascii="Arial" w:hAnsi="Arial" w:cs="Arial"/>
          <w:sz w:val="22"/>
          <w:szCs w:val="22"/>
        </w:rPr>
        <w:t>D</w:t>
      </w:r>
      <w:r w:rsidRPr="002D7D3B">
        <w:rPr>
          <w:rFonts w:ascii="Arial" w:hAnsi="Arial" w:cs="Arial"/>
          <w:sz w:val="22"/>
          <w:szCs w:val="22"/>
        </w:rPr>
        <w:t>etermination as the application for payment was lodged with the trustee of the redundancy trust within 12 months of the member becoming entitled to the payment under the terms of the trust deed and the payment was made less than 2 years after the termination of employment.</w:t>
      </w:r>
    </w:p>
    <w:p w14:paraId="18093B62" w14:textId="45F8A9BB" w:rsidR="00B82B82" w:rsidRPr="002D7D3B" w:rsidRDefault="00B82B82" w:rsidP="00DF448F">
      <w:pPr>
        <w:spacing w:after="120"/>
        <w:rPr>
          <w:rFonts w:ascii="Arial" w:hAnsi="Arial" w:cs="Arial"/>
          <w:sz w:val="22"/>
          <w:szCs w:val="22"/>
        </w:rPr>
      </w:pPr>
    </w:p>
    <w:p w14:paraId="1C40C890" w14:textId="46F8D234" w:rsidR="002D7D3B" w:rsidRPr="002D7D3B" w:rsidRDefault="00EC7E49" w:rsidP="002328C5">
      <w:pPr>
        <w:pStyle w:val="Heading4"/>
        <w:spacing w:before="0" w:after="120"/>
        <w:rPr>
          <w:rFonts w:ascii="Arial" w:hAnsi="Arial" w:cs="Arial"/>
          <w:b w:val="0"/>
          <w:color w:val="auto"/>
          <w:sz w:val="22"/>
          <w:szCs w:val="22"/>
        </w:rPr>
      </w:pPr>
      <w:r w:rsidRPr="002D7D3B">
        <w:rPr>
          <w:rFonts w:ascii="Arial" w:hAnsi="Arial" w:cs="Arial"/>
          <w:b w:val="0"/>
          <w:color w:val="auto"/>
          <w:sz w:val="22"/>
          <w:szCs w:val="22"/>
        </w:rPr>
        <w:t xml:space="preserve">Example </w:t>
      </w:r>
      <w:r w:rsidR="00B17C18" w:rsidRPr="002D7D3B">
        <w:rPr>
          <w:rFonts w:ascii="Arial" w:hAnsi="Arial" w:cs="Arial"/>
          <w:b w:val="0"/>
          <w:color w:val="auto"/>
          <w:sz w:val="22"/>
          <w:szCs w:val="22"/>
        </w:rPr>
        <w:t>3</w:t>
      </w:r>
    </w:p>
    <w:p w14:paraId="52A4E570" w14:textId="2366E186"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An individual's employment is terminated on 1 August 20</w:t>
      </w:r>
      <w:r w:rsidR="00B82B82" w:rsidRPr="002D7D3B">
        <w:rPr>
          <w:rFonts w:ascii="Arial" w:hAnsi="Arial" w:cs="Arial"/>
          <w:sz w:val="22"/>
          <w:szCs w:val="22"/>
        </w:rPr>
        <w:t>19</w:t>
      </w:r>
      <w:r w:rsidRPr="002D7D3B">
        <w:rPr>
          <w:rFonts w:ascii="Arial" w:hAnsi="Arial" w:cs="Arial"/>
          <w:sz w:val="22"/>
          <w:szCs w:val="22"/>
        </w:rPr>
        <w:t>. Under the terms of the trust deed the individual became entitled to payment of a benefit from their redundancy trust because they are unemployed and have no offer of re-employment pending in the building industry. However, the member believes it will only be a short period of time before the individual will be able to obtain a new position in the industry.</w:t>
      </w:r>
    </w:p>
    <w:p w14:paraId="57FDC241" w14:textId="3CE6884E"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One week later on the 8 August 20</w:t>
      </w:r>
      <w:r w:rsidR="00B82B82" w:rsidRPr="002D7D3B">
        <w:rPr>
          <w:rFonts w:ascii="Arial" w:hAnsi="Arial" w:cs="Arial"/>
          <w:sz w:val="22"/>
          <w:szCs w:val="22"/>
        </w:rPr>
        <w:t>19</w:t>
      </w:r>
      <w:r w:rsidRPr="002D7D3B">
        <w:rPr>
          <w:rFonts w:ascii="Arial" w:hAnsi="Arial" w:cs="Arial"/>
          <w:sz w:val="22"/>
          <w:szCs w:val="22"/>
        </w:rPr>
        <w:t xml:space="preserve"> the individual obtains employment in the industry with another employer. Under the terms of the trust deed the individual can no longer make a claim for an entitlement because he is again employed in the industry. The member works for the new employer for a period of two years and on the 9 August 20</w:t>
      </w:r>
      <w:r w:rsidR="00B82B82" w:rsidRPr="002D7D3B">
        <w:rPr>
          <w:rFonts w:ascii="Arial" w:hAnsi="Arial" w:cs="Arial"/>
          <w:sz w:val="22"/>
          <w:szCs w:val="22"/>
        </w:rPr>
        <w:t>21</w:t>
      </w:r>
      <w:r w:rsidRPr="002D7D3B">
        <w:rPr>
          <w:rFonts w:ascii="Arial" w:hAnsi="Arial" w:cs="Arial"/>
          <w:sz w:val="22"/>
          <w:szCs w:val="22"/>
        </w:rPr>
        <w:t xml:space="preserve"> is terminated. The individual then decides he is leaving the building industry forever and can make a claim for his benefits from the redundancy trust.</w:t>
      </w:r>
    </w:p>
    <w:p w14:paraId="7064AA0D" w14:textId="7307DBC5" w:rsidR="002D7D3B" w:rsidRPr="002D7D3B" w:rsidRDefault="00EC7E49"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For the purposes of this legislative instrument the date of 9 August 20</w:t>
      </w:r>
      <w:r w:rsidR="00B82B82" w:rsidRPr="002D7D3B">
        <w:rPr>
          <w:rFonts w:ascii="Arial" w:hAnsi="Arial" w:cs="Arial"/>
          <w:sz w:val="22"/>
          <w:szCs w:val="22"/>
        </w:rPr>
        <w:t>21</w:t>
      </w:r>
      <w:r w:rsidRPr="002D7D3B">
        <w:rPr>
          <w:rFonts w:ascii="Arial" w:hAnsi="Arial" w:cs="Arial"/>
          <w:sz w:val="22"/>
          <w:szCs w:val="22"/>
        </w:rPr>
        <w:t xml:space="preserve"> is the date of termination that entitled the individual to payment from the redundancy trust. This date is to be used when calculating the time period to 'application for payment' and to 'actual payment'.</w:t>
      </w:r>
    </w:p>
    <w:p w14:paraId="6E4F0E0E" w14:textId="25BD7600" w:rsidR="00486653" w:rsidRPr="002D7D3B" w:rsidRDefault="00486653" w:rsidP="00DF448F">
      <w:pPr>
        <w:spacing w:after="120"/>
        <w:rPr>
          <w:rFonts w:ascii="Arial" w:hAnsi="Arial" w:cs="Arial"/>
          <w:sz w:val="22"/>
          <w:szCs w:val="22"/>
        </w:rPr>
      </w:pPr>
    </w:p>
    <w:p w14:paraId="6E4F0E0F" w14:textId="4922B89A" w:rsidR="00486653" w:rsidRPr="002D7D3B" w:rsidRDefault="00E20454" w:rsidP="00E20454">
      <w:pPr>
        <w:pStyle w:val="Heading2"/>
        <w:rPr>
          <w:rFonts w:cs="Arial"/>
          <w:szCs w:val="22"/>
        </w:rPr>
      </w:pPr>
      <w:r>
        <w:rPr>
          <w:rFonts w:cs="Arial"/>
          <w:szCs w:val="22"/>
        </w:rPr>
        <w:lastRenderedPageBreak/>
        <w:t>Consultation</w:t>
      </w:r>
    </w:p>
    <w:p w14:paraId="0A6F83CE" w14:textId="32239755" w:rsidR="002D7D3B" w:rsidRPr="002D7D3B" w:rsidRDefault="001E2A3E" w:rsidP="002D7D3B">
      <w:pPr>
        <w:numPr>
          <w:ilvl w:val="0"/>
          <w:numId w:val="16"/>
        </w:numPr>
        <w:tabs>
          <w:tab w:val="clear" w:pos="720"/>
        </w:tabs>
        <w:spacing w:after="120"/>
        <w:ind w:left="709" w:hanging="709"/>
        <w:rPr>
          <w:rFonts w:ascii="Arial" w:hAnsi="Arial" w:cs="Arial"/>
          <w:sz w:val="22"/>
          <w:szCs w:val="22"/>
          <w:lang w:eastAsia="en-US"/>
        </w:rPr>
      </w:pPr>
      <w:r w:rsidRPr="002D7D3B">
        <w:rPr>
          <w:rFonts w:ascii="Arial" w:hAnsi="Arial" w:cs="Arial"/>
          <w:sz w:val="22"/>
          <w:szCs w:val="22"/>
          <w:lang w:eastAsia="en-US"/>
        </w:rPr>
        <w:t>The draft instrument and explanatory statement were published on the ATO legal database http://www.ato.gov.au/law seeking feedback and comments for a two week period ending on 22 February 2019. In addition, the draft instrument and explanatory statement were published on the ATO Consultation Hub. Consultation was undertaken with representatives of the construction industry redundancy trusts including the Australian Construction Industry Redundancy Trust (ACIRT), the Building Employees Redundancy Trust (BERT), the Redundancy Payment Central Fund Limited (known as Incolink), the WA Construction Industry Redundancy Fund, the Building Industry Redundancy Scheme Trust (BIRST), and the Contracting Industry Redundancy Trust (CIRT)</w:t>
      </w:r>
      <w:r w:rsidR="00E20454">
        <w:rPr>
          <w:rFonts w:ascii="Arial" w:hAnsi="Arial" w:cs="Arial"/>
          <w:sz w:val="22"/>
          <w:szCs w:val="22"/>
          <w:lang w:eastAsia="en-US"/>
        </w:rPr>
        <w:t>.</w:t>
      </w:r>
    </w:p>
    <w:p w14:paraId="334B1A55" w14:textId="49323DF9" w:rsidR="002D7D3B" w:rsidRPr="002D7D3B" w:rsidRDefault="001E2A3E" w:rsidP="002D7D3B">
      <w:pPr>
        <w:numPr>
          <w:ilvl w:val="0"/>
          <w:numId w:val="16"/>
        </w:numPr>
        <w:tabs>
          <w:tab w:val="clear" w:pos="720"/>
        </w:tabs>
        <w:spacing w:after="120"/>
        <w:ind w:left="709" w:hanging="709"/>
        <w:rPr>
          <w:rFonts w:ascii="Arial" w:hAnsi="Arial" w:cs="Arial"/>
          <w:sz w:val="22"/>
          <w:szCs w:val="22"/>
        </w:rPr>
      </w:pPr>
      <w:r w:rsidRPr="002D7D3B">
        <w:rPr>
          <w:rFonts w:ascii="Arial" w:hAnsi="Arial" w:cs="Arial"/>
          <w:sz w:val="22"/>
          <w:szCs w:val="22"/>
        </w:rPr>
        <w:t xml:space="preserve">Feedback was received from one party who requested the scope of the legislative instrument be broadened to allow an extended time for </w:t>
      </w:r>
      <w:r w:rsidR="00D8317E" w:rsidRPr="002D7D3B">
        <w:rPr>
          <w:rFonts w:ascii="Arial" w:hAnsi="Arial" w:cs="Arial"/>
          <w:sz w:val="22"/>
          <w:szCs w:val="22"/>
        </w:rPr>
        <w:t xml:space="preserve">a member to </w:t>
      </w:r>
      <w:r w:rsidRPr="002D7D3B">
        <w:rPr>
          <w:rFonts w:ascii="Arial" w:hAnsi="Arial" w:cs="Arial"/>
          <w:sz w:val="22"/>
          <w:szCs w:val="22"/>
        </w:rPr>
        <w:t>lodg</w:t>
      </w:r>
      <w:r w:rsidR="00D8317E" w:rsidRPr="002D7D3B">
        <w:rPr>
          <w:rFonts w:ascii="Arial" w:hAnsi="Arial" w:cs="Arial"/>
          <w:sz w:val="22"/>
          <w:szCs w:val="22"/>
        </w:rPr>
        <w:t>e</w:t>
      </w:r>
      <w:r w:rsidRPr="002D7D3B">
        <w:rPr>
          <w:rFonts w:ascii="Arial" w:hAnsi="Arial" w:cs="Arial"/>
          <w:sz w:val="22"/>
          <w:szCs w:val="22"/>
        </w:rPr>
        <w:t xml:space="preserve"> an application for payment with the trustee of the redundancy trust</w:t>
      </w:r>
      <w:r w:rsidR="0005702C" w:rsidRPr="002D7D3B">
        <w:rPr>
          <w:rFonts w:ascii="Arial" w:hAnsi="Arial" w:cs="Arial"/>
          <w:sz w:val="22"/>
          <w:szCs w:val="22"/>
        </w:rPr>
        <w:t>.</w:t>
      </w:r>
      <w:r w:rsidRPr="002D7D3B">
        <w:rPr>
          <w:rFonts w:ascii="Arial" w:hAnsi="Arial" w:cs="Arial"/>
          <w:sz w:val="22"/>
          <w:szCs w:val="22"/>
        </w:rPr>
        <w:t xml:space="preserve"> </w:t>
      </w:r>
      <w:r w:rsidR="00D8317E" w:rsidRPr="002D7D3B">
        <w:rPr>
          <w:rFonts w:ascii="Arial" w:hAnsi="Arial" w:cs="Arial"/>
          <w:sz w:val="22"/>
          <w:szCs w:val="22"/>
        </w:rPr>
        <w:t xml:space="preserve">However, it </w:t>
      </w:r>
      <w:r w:rsidR="00EB43D3" w:rsidRPr="002D7D3B">
        <w:rPr>
          <w:rFonts w:ascii="Arial" w:hAnsi="Arial" w:cs="Arial"/>
          <w:sz w:val="22"/>
          <w:szCs w:val="22"/>
        </w:rPr>
        <w:t>was</w:t>
      </w:r>
      <w:r w:rsidR="00D8317E" w:rsidRPr="002D7D3B">
        <w:rPr>
          <w:rFonts w:ascii="Arial" w:hAnsi="Arial" w:cs="Arial"/>
          <w:sz w:val="22"/>
          <w:szCs w:val="22"/>
        </w:rPr>
        <w:t xml:space="preserve"> considered that the period </w:t>
      </w:r>
      <w:r w:rsidR="00EB43D3" w:rsidRPr="002D7D3B">
        <w:rPr>
          <w:rFonts w:ascii="Arial" w:hAnsi="Arial" w:cs="Arial"/>
          <w:sz w:val="22"/>
          <w:szCs w:val="22"/>
        </w:rPr>
        <w:t xml:space="preserve">of time </w:t>
      </w:r>
      <w:r w:rsidR="0005702C" w:rsidRPr="002D7D3B">
        <w:rPr>
          <w:rFonts w:ascii="Arial" w:hAnsi="Arial" w:cs="Arial"/>
          <w:sz w:val="22"/>
          <w:szCs w:val="22"/>
        </w:rPr>
        <w:t>a</w:t>
      </w:r>
      <w:r w:rsidR="00A761CA" w:rsidRPr="002D7D3B">
        <w:rPr>
          <w:rFonts w:ascii="Arial" w:hAnsi="Arial" w:cs="Arial"/>
          <w:sz w:val="22"/>
          <w:szCs w:val="22"/>
        </w:rPr>
        <w:t xml:space="preserve">lready allowed for </w:t>
      </w:r>
      <w:r w:rsidR="00EB43D3" w:rsidRPr="002D7D3B">
        <w:rPr>
          <w:rFonts w:ascii="Arial" w:hAnsi="Arial" w:cs="Arial"/>
          <w:sz w:val="22"/>
          <w:szCs w:val="22"/>
        </w:rPr>
        <w:t xml:space="preserve">under the draft instrument </w:t>
      </w:r>
      <w:r w:rsidR="00D8317E" w:rsidRPr="002D7D3B">
        <w:rPr>
          <w:rFonts w:ascii="Arial" w:hAnsi="Arial" w:cs="Arial"/>
          <w:sz w:val="22"/>
          <w:szCs w:val="22"/>
        </w:rPr>
        <w:t>is consistent with the objectives of th</w:t>
      </w:r>
      <w:r w:rsidR="00EB43D3" w:rsidRPr="002D7D3B">
        <w:rPr>
          <w:rFonts w:ascii="Arial" w:hAnsi="Arial" w:cs="Arial"/>
          <w:sz w:val="22"/>
          <w:szCs w:val="22"/>
        </w:rPr>
        <w:t>e</w:t>
      </w:r>
      <w:r w:rsidR="00D8317E" w:rsidRPr="002D7D3B">
        <w:rPr>
          <w:rFonts w:ascii="Arial" w:hAnsi="Arial" w:cs="Arial"/>
          <w:sz w:val="22"/>
          <w:szCs w:val="22"/>
        </w:rPr>
        <w:t xml:space="preserve"> Determination. Consequently there are no amendments to the legislative instrument as a result of the feedback received.</w:t>
      </w:r>
    </w:p>
    <w:p w14:paraId="2B74B7BA" w14:textId="278051B9" w:rsidR="00845694" w:rsidRPr="002D7D3B" w:rsidRDefault="00A761CA" w:rsidP="002D7D3B">
      <w:pPr>
        <w:numPr>
          <w:ilvl w:val="0"/>
          <w:numId w:val="16"/>
        </w:numPr>
        <w:tabs>
          <w:tab w:val="clear" w:pos="720"/>
        </w:tabs>
        <w:spacing w:after="120"/>
        <w:ind w:left="709" w:hanging="709"/>
        <w:rPr>
          <w:rFonts w:ascii="Arial" w:hAnsi="Arial" w:cs="Arial"/>
          <w:sz w:val="22"/>
          <w:szCs w:val="22"/>
          <w:lang w:eastAsia="en-US"/>
        </w:rPr>
      </w:pPr>
      <w:r w:rsidRPr="002D7D3B">
        <w:rPr>
          <w:rFonts w:ascii="Arial" w:hAnsi="Arial" w:cs="Arial"/>
          <w:sz w:val="22"/>
          <w:szCs w:val="22"/>
        </w:rPr>
        <w:t>Consistent with paragraph 16 a</w:t>
      </w:r>
      <w:r w:rsidR="00D8317E" w:rsidRPr="002D7D3B">
        <w:rPr>
          <w:rFonts w:ascii="Arial" w:hAnsi="Arial" w:cs="Arial"/>
          <w:sz w:val="22"/>
          <w:szCs w:val="22"/>
        </w:rPr>
        <w:t xml:space="preserve"> member</w:t>
      </w:r>
      <w:r w:rsidRPr="002D7D3B">
        <w:rPr>
          <w:rFonts w:ascii="Arial" w:hAnsi="Arial" w:cs="Arial"/>
          <w:sz w:val="22"/>
          <w:szCs w:val="22"/>
        </w:rPr>
        <w:t xml:space="preserve"> or a class of members</w:t>
      </w:r>
      <w:r w:rsidR="00D8317E" w:rsidRPr="002D7D3B">
        <w:rPr>
          <w:rFonts w:ascii="Arial" w:hAnsi="Arial" w:cs="Arial"/>
          <w:sz w:val="22"/>
          <w:szCs w:val="22"/>
        </w:rPr>
        <w:t xml:space="preserve"> of a redundancy trust whose termination payment does not meet the 12 month rule</w:t>
      </w:r>
      <w:r w:rsidR="002C4BFC" w:rsidRPr="002D7D3B">
        <w:rPr>
          <w:rFonts w:ascii="Arial" w:hAnsi="Arial" w:cs="Arial"/>
          <w:sz w:val="22"/>
          <w:szCs w:val="22"/>
        </w:rPr>
        <w:t>,</w:t>
      </w:r>
      <w:r w:rsidR="00D8317E" w:rsidRPr="002D7D3B">
        <w:rPr>
          <w:rFonts w:ascii="Arial" w:hAnsi="Arial" w:cs="Arial"/>
          <w:sz w:val="22"/>
          <w:szCs w:val="22"/>
        </w:rPr>
        <w:t xml:space="preserve"> and who is not covered by this Determination</w:t>
      </w:r>
      <w:r w:rsidR="002C4BFC" w:rsidRPr="002D7D3B">
        <w:rPr>
          <w:rFonts w:ascii="Arial" w:hAnsi="Arial" w:cs="Arial"/>
          <w:sz w:val="22"/>
          <w:szCs w:val="22"/>
        </w:rPr>
        <w:t>,</w:t>
      </w:r>
      <w:r w:rsidR="00D8317E" w:rsidRPr="002D7D3B">
        <w:rPr>
          <w:rFonts w:ascii="Arial" w:hAnsi="Arial" w:cs="Arial"/>
          <w:sz w:val="22"/>
          <w:szCs w:val="22"/>
        </w:rPr>
        <w:t xml:space="preserve"> may still</w:t>
      </w:r>
      <w:r w:rsidR="001E2A3E" w:rsidRPr="002D7D3B">
        <w:rPr>
          <w:rFonts w:ascii="Arial" w:hAnsi="Arial" w:cs="Arial"/>
          <w:sz w:val="22"/>
          <w:szCs w:val="22"/>
        </w:rPr>
        <w:t xml:space="preserve"> apply </w:t>
      </w:r>
      <w:r w:rsidR="0079789E" w:rsidRPr="002D7D3B">
        <w:rPr>
          <w:rFonts w:ascii="Arial" w:hAnsi="Arial" w:cs="Arial"/>
          <w:sz w:val="22"/>
          <w:szCs w:val="22"/>
        </w:rPr>
        <w:t>to</w:t>
      </w:r>
      <w:r w:rsidR="001E2A3E" w:rsidRPr="002D7D3B">
        <w:rPr>
          <w:rFonts w:ascii="Arial" w:hAnsi="Arial" w:cs="Arial"/>
          <w:sz w:val="22"/>
          <w:szCs w:val="22"/>
        </w:rPr>
        <w:t xml:space="preserve"> the Commissioner</w:t>
      </w:r>
      <w:r w:rsidR="0079789E" w:rsidRPr="002D7D3B">
        <w:rPr>
          <w:rFonts w:ascii="Arial" w:hAnsi="Arial" w:cs="Arial"/>
          <w:sz w:val="22"/>
          <w:szCs w:val="22"/>
        </w:rPr>
        <w:t xml:space="preserve"> </w:t>
      </w:r>
      <w:r w:rsidR="00D8317E" w:rsidRPr="002D7D3B">
        <w:rPr>
          <w:rFonts w:ascii="Arial" w:hAnsi="Arial" w:cs="Arial"/>
          <w:sz w:val="22"/>
          <w:szCs w:val="22"/>
        </w:rPr>
        <w:t>for</w:t>
      </w:r>
      <w:r w:rsidR="0079789E" w:rsidRPr="002D7D3B">
        <w:rPr>
          <w:rFonts w:ascii="Arial" w:hAnsi="Arial" w:cs="Arial"/>
          <w:sz w:val="22"/>
          <w:szCs w:val="22"/>
        </w:rPr>
        <w:t xml:space="preserve"> a determination </w:t>
      </w:r>
      <w:r w:rsidR="001E2A3E" w:rsidRPr="002D7D3B">
        <w:rPr>
          <w:rFonts w:ascii="Arial" w:hAnsi="Arial" w:cs="Arial"/>
          <w:sz w:val="22"/>
          <w:szCs w:val="22"/>
        </w:rPr>
        <w:t>under subsection</w:t>
      </w:r>
      <w:r w:rsidR="003135FC" w:rsidRPr="002D7D3B">
        <w:rPr>
          <w:rFonts w:ascii="Arial" w:hAnsi="Arial" w:cs="Arial"/>
          <w:sz w:val="22"/>
          <w:szCs w:val="22"/>
        </w:rPr>
        <w:t xml:space="preserve"> </w:t>
      </w:r>
      <w:r w:rsidR="001E2A3E" w:rsidRPr="002D7D3B">
        <w:rPr>
          <w:rFonts w:ascii="Arial" w:hAnsi="Arial" w:cs="Arial"/>
          <w:sz w:val="22"/>
          <w:szCs w:val="22"/>
        </w:rPr>
        <w:t>82</w:t>
      </w:r>
      <w:r w:rsidR="003135FC" w:rsidRPr="002D7D3B">
        <w:rPr>
          <w:rFonts w:ascii="Arial" w:hAnsi="Arial" w:cs="Arial"/>
          <w:sz w:val="22"/>
          <w:szCs w:val="22"/>
        </w:rPr>
        <w:noBreakHyphen/>
      </w:r>
      <w:proofErr w:type="gramStart"/>
      <w:r w:rsidR="001E2A3E" w:rsidRPr="002D7D3B">
        <w:rPr>
          <w:rFonts w:ascii="Arial" w:hAnsi="Arial" w:cs="Arial"/>
          <w:sz w:val="22"/>
          <w:szCs w:val="22"/>
        </w:rPr>
        <w:t>130(</w:t>
      </w:r>
      <w:proofErr w:type="gramEnd"/>
      <w:r w:rsidR="001E2A3E" w:rsidRPr="002D7D3B">
        <w:rPr>
          <w:rFonts w:ascii="Arial" w:hAnsi="Arial" w:cs="Arial"/>
          <w:sz w:val="22"/>
          <w:szCs w:val="22"/>
        </w:rPr>
        <w:t>5) of the ITAA 1997</w:t>
      </w:r>
      <w:r w:rsidR="00D8317E" w:rsidRPr="002D7D3B">
        <w:rPr>
          <w:rFonts w:ascii="Arial" w:hAnsi="Arial" w:cs="Arial"/>
          <w:sz w:val="22"/>
          <w:szCs w:val="22"/>
        </w:rPr>
        <w:t xml:space="preserve"> that the 12</w:t>
      </w:r>
      <w:r w:rsidR="003135FC" w:rsidRPr="002D7D3B">
        <w:rPr>
          <w:rFonts w:ascii="Arial" w:hAnsi="Arial" w:cs="Arial"/>
          <w:sz w:val="22"/>
          <w:szCs w:val="22"/>
        </w:rPr>
        <w:t> </w:t>
      </w:r>
      <w:r w:rsidR="00D8317E" w:rsidRPr="002D7D3B">
        <w:rPr>
          <w:rFonts w:ascii="Arial" w:hAnsi="Arial" w:cs="Arial"/>
          <w:sz w:val="22"/>
          <w:szCs w:val="22"/>
        </w:rPr>
        <w:t>month rule does not apply due to their individual circumstances</w:t>
      </w:r>
      <w:r w:rsidR="002C4BFC" w:rsidRPr="002D7D3B">
        <w:rPr>
          <w:rFonts w:ascii="Arial" w:hAnsi="Arial" w:cs="Arial"/>
          <w:sz w:val="22"/>
          <w:szCs w:val="22"/>
        </w:rPr>
        <w:t>. Alternatively an application may be made</w:t>
      </w:r>
      <w:r w:rsidRPr="002D7D3B">
        <w:rPr>
          <w:rFonts w:ascii="Arial" w:hAnsi="Arial" w:cs="Arial"/>
          <w:sz w:val="22"/>
          <w:szCs w:val="22"/>
        </w:rPr>
        <w:t xml:space="preserve"> </w:t>
      </w:r>
      <w:r w:rsidR="003135FC" w:rsidRPr="002D7D3B">
        <w:rPr>
          <w:rFonts w:ascii="Arial" w:hAnsi="Arial" w:cs="Arial"/>
          <w:sz w:val="22"/>
          <w:szCs w:val="22"/>
        </w:rPr>
        <w:t xml:space="preserve">under </w:t>
      </w:r>
      <w:r w:rsidR="007E7ED3" w:rsidRPr="002D7D3B">
        <w:rPr>
          <w:rFonts w:ascii="Arial" w:hAnsi="Arial" w:cs="Arial"/>
          <w:sz w:val="22"/>
          <w:szCs w:val="22"/>
        </w:rPr>
        <w:t xml:space="preserve">subsection </w:t>
      </w:r>
      <w:r w:rsidR="003135FC" w:rsidRPr="002D7D3B">
        <w:rPr>
          <w:rFonts w:ascii="Arial" w:hAnsi="Arial" w:cs="Arial"/>
          <w:sz w:val="22"/>
          <w:szCs w:val="22"/>
        </w:rPr>
        <w:t>82</w:t>
      </w:r>
      <w:r w:rsidR="003135FC" w:rsidRPr="002D7D3B">
        <w:rPr>
          <w:rFonts w:ascii="Arial" w:hAnsi="Arial" w:cs="Arial"/>
          <w:sz w:val="22"/>
          <w:szCs w:val="22"/>
        </w:rPr>
        <w:noBreakHyphen/>
      </w:r>
      <w:proofErr w:type="gramStart"/>
      <w:r w:rsidRPr="002D7D3B">
        <w:rPr>
          <w:rFonts w:ascii="Arial" w:hAnsi="Arial" w:cs="Arial"/>
          <w:sz w:val="22"/>
          <w:szCs w:val="22"/>
        </w:rPr>
        <w:t>130(</w:t>
      </w:r>
      <w:proofErr w:type="gramEnd"/>
      <w:r w:rsidRPr="002D7D3B">
        <w:rPr>
          <w:rFonts w:ascii="Arial" w:hAnsi="Arial" w:cs="Arial"/>
          <w:sz w:val="22"/>
          <w:szCs w:val="22"/>
        </w:rPr>
        <w:t xml:space="preserve">7) of the ITAA 1997 in relation to </w:t>
      </w:r>
      <w:r w:rsidR="008609FB" w:rsidRPr="002D7D3B">
        <w:rPr>
          <w:rFonts w:ascii="Arial" w:hAnsi="Arial" w:cs="Arial"/>
          <w:sz w:val="22"/>
          <w:szCs w:val="22"/>
        </w:rPr>
        <w:t>the particular circumstance of a class of payments or recipients</w:t>
      </w:r>
      <w:r w:rsidRPr="002D7D3B">
        <w:rPr>
          <w:rFonts w:ascii="Arial" w:hAnsi="Arial" w:cs="Arial"/>
          <w:sz w:val="22"/>
          <w:szCs w:val="22"/>
        </w:rPr>
        <w:t>.</w:t>
      </w:r>
    </w:p>
    <w:p w14:paraId="7621832F" w14:textId="77777777" w:rsidR="00B01BE6" w:rsidRPr="002D7D3B" w:rsidRDefault="00B01BE6" w:rsidP="00DF448F">
      <w:pPr>
        <w:spacing w:after="120"/>
        <w:rPr>
          <w:rFonts w:ascii="Arial" w:hAnsi="Arial" w:cs="Arial"/>
          <w:sz w:val="22"/>
          <w:szCs w:val="22"/>
        </w:rPr>
      </w:pPr>
    </w:p>
    <w:p w14:paraId="1A717731" w14:textId="3C37E05D" w:rsidR="00E20454" w:rsidRPr="00E20454" w:rsidRDefault="008E5A65" w:rsidP="00CA41DF">
      <w:pPr>
        <w:pStyle w:val="Heading2"/>
        <w:spacing w:after="60"/>
        <w:rPr>
          <w:rFonts w:cs="Arial"/>
          <w:szCs w:val="22"/>
        </w:rPr>
      </w:pPr>
      <w:r w:rsidRPr="002D7D3B">
        <w:rPr>
          <w:rFonts w:cs="Arial"/>
          <w:szCs w:val="22"/>
        </w:rPr>
        <w:t>Legislative references:</w:t>
      </w:r>
    </w:p>
    <w:p w14:paraId="33ADEBDA" w14:textId="129097DB" w:rsidR="008E5A65" w:rsidRPr="00E20454" w:rsidRDefault="008E5A65" w:rsidP="00E20454">
      <w:pPr>
        <w:rPr>
          <w:rFonts w:ascii="Arial" w:hAnsi="Arial" w:cs="Arial"/>
          <w:i/>
          <w:sz w:val="20"/>
        </w:rPr>
      </w:pPr>
      <w:r w:rsidRPr="00E20454">
        <w:rPr>
          <w:rFonts w:ascii="Arial" w:hAnsi="Arial" w:cs="Arial"/>
          <w:i/>
          <w:sz w:val="20"/>
        </w:rPr>
        <w:t>Acts Interpretation Act 1901</w:t>
      </w:r>
    </w:p>
    <w:p w14:paraId="323DD7E6" w14:textId="77777777" w:rsidR="008E5A65" w:rsidRPr="00E20454" w:rsidRDefault="008E5A65" w:rsidP="00E20454">
      <w:pPr>
        <w:rPr>
          <w:rFonts w:ascii="Arial" w:hAnsi="Arial" w:cs="Arial"/>
          <w:i/>
          <w:sz w:val="20"/>
        </w:rPr>
      </w:pPr>
      <w:r w:rsidRPr="00E20454">
        <w:rPr>
          <w:rFonts w:ascii="Arial" w:hAnsi="Arial" w:cs="Arial"/>
          <w:i/>
          <w:sz w:val="20"/>
        </w:rPr>
        <w:t>Fringe Benefits Tax Assessment Act 1986</w:t>
      </w:r>
    </w:p>
    <w:p w14:paraId="099053E5" w14:textId="77777777" w:rsidR="008E5A65" w:rsidRPr="00E20454" w:rsidRDefault="008E5A65" w:rsidP="00E20454">
      <w:pPr>
        <w:rPr>
          <w:rFonts w:ascii="Arial" w:hAnsi="Arial" w:cs="Arial"/>
          <w:i/>
          <w:sz w:val="20"/>
        </w:rPr>
      </w:pPr>
      <w:r w:rsidRPr="00E20454">
        <w:rPr>
          <w:rFonts w:ascii="Arial" w:hAnsi="Arial" w:cs="Arial"/>
          <w:i/>
          <w:sz w:val="20"/>
        </w:rPr>
        <w:t>Human Rights (Parliamentary Scrutiny) Act 2011</w:t>
      </w:r>
    </w:p>
    <w:p w14:paraId="00EF3AA8" w14:textId="77777777" w:rsidR="008E5A65" w:rsidRPr="00E20454" w:rsidRDefault="008E5A65" w:rsidP="00E20454">
      <w:pPr>
        <w:rPr>
          <w:rFonts w:ascii="Arial" w:hAnsi="Arial" w:cs="Arial"/>
          <w:i/>
          <w:sz w:val="20"/>
        </w:rPr>
      </w:pPr>
      <w:r w:rsidRPr="00E20454">
        <w:rPr>
          <w:rFonts w:ascii="Arial" w:hAnsi="Arial" w:cs="Arial"/>
          <w:i/>
          <w:sz w:val="20"/>
        </w:rPr>
        <w:t>Income Tax Assessment Act 1997</w:t>
      </w:r>
    </w:p>
    <w:p w14:paraId="74A9F6ED" w14:textId="0CB26B29" w:rsidR="008E5A65" w:rsidRPr="00E20454" w:rsidRDefault="008E5A65" w:rsidP="00E20454">
      <w:pPr>
        <w:spacing w:after="120"/>
        <w:rPr>
          <w:rFonts w:ascii="Arial" w:hAnsi="Arial" w:cs="Arial"/>
          <w:i/>
          <w:sz w:val="20"/>
        </w:rPr>
      </w:pPr>
      <w:r w:rsidRPr="00E20454">
        <w:rPr>
          <w:rFonts w:ascii="Arial" w:hAnsi="Arial" w:cs="Arial"/>
          <w:i/>
          <w:sz w:val="20"/>
        </w:rPr>
        <w:t>Legislati</w:t>
      </w:r>
      <w:r w:rsidR="00426E25" w:rsidRPr="00E20454">
        <w:rPr>
          <w:rFonts w:ascii="Arial" w:hAnsi="Arial" w:cs="Arial"/>
          <w:i/>
          <w:sz w:val="20"/>
        </w:rPr>
        <w:t xml:space="preserve">on </w:t>
      </w:r>
      <w:r w:rsidRPr="00E20454">
        <w:rPr>
          <w:rFonts w:ascii="Arial" w:hAnsi="Arial" w:cs="Arial"/>
          <w:i/>
          <w:sz w:val="20"/>
        </w:rPr>
        <w:t>Act 2003</w:t>
      </w:r>
    </w:p>
    <w:p w14:paraId="3772CF45" w14:textId="77777777" w:rsidR="008E5A65" w:rsidRPr="00E20454" w:rsidRDefault="008E5A65" w:rsidP="00E20454">
      <w:pPr>
        <w:spacing w:after="120"/>
        <w:rPr>
          <w:rFonts w:ascii="Arial" w:hAnsi="Arial" w:cs="Arial"/>
          <w:i/>
          <w:sz w:val="20"/>
        </w:rPr>
      </w:pPr>
      <w:r w:rsidRPr="00E20454">
        <w:rPr>
          <w:rFonts w:ascii="Arial" w:hAnsi="Arial" w:cs="Arial"/>
          <w:i/>
          <w:sz w:val="20"/>
        </w:rPr>
        <w:t>Tax Laws Amendment (Simplified Superannuation) Act 2007 (Explanatory Memorandum)</w:t>
      </w:r>
    </w:p>
    <w:p w14:paraId="6E4F0E1A" w14:textId="77777777" w:rsidR="00E53399" w:rsidRPr="00E20454" w:rsidRDefault="00E53399" w:rsidP="00DF448F">
      <w:pPr>
        <w:spacing w:after="120"/>
        <w:rPr>
          <w:rFonts w:ascii="Arial" w:hAnsi="Arial" w:cs="Arial"/>
          <w:sz w:val="22"/>
          <w:szCs w:val="22"/>
        </w:rPr>
      </w:pPr>
    </w:p>
    <w:p w14:paraId="62798F61" w14:textId="5D1C7DBC" w:rsidR="008E5A65" w:rsidRPr="002D7D3B" w:rsidRDefault="008E5A65" w:rsidP="002D7D3B">
      <w:pPr>
        <w:spacing w:after="120"/>
        <w:rPr>
          <w:rFonts w:ascii="Arial" w:hAnsi="Arial" w:cs="Arial"/>
          <w:sz w:val="22"/>
          <w:szCs w:val="22"/>
        </w:rPr>
      </w:pPr>
      <w:r w:rsidRPr="002D7D3B">
        <w:rPr>
          <w:rFonts w:ascii="Arial" w:hAnsi="Arial" w:cs="Arial"/>
          <w:sz w:val="22"/>
          <w:szCs w:val="22"/>
        </w:rPr>
        <w:br w:type="page"/>
      </w:r>
    </w:p>
    <w:p w14:paraId="29107475" w14:textId="77777777" w:rsidR="008E5A65" w:rsidRPr="002D7D3B" w:rsidRDefault="008E5A65" w:rsidP="00DF448F">
      <w:pPr>
        <w:spacing w:after="120"/>
        <w:rPr>
          <w:rFonts w:ascii="Arial" w:hAnsi="Arial" w:cs="Arial"/>
          <w:sz w:val="22"/>
          <w:szCs w:val="22"/>
        </w:rPr>
      </w:pPr>
    </w:p>
    <w:p w14:paraId="5AD36FB1" w14:textId="38BF7C2C" w:rsidR="002D7D3B" w:rsidRPr="002D7D3B" w:rsidRDefault="00E53399" w:rsidP="002D7D3B">
      <w:pPr>
        <w:pStyle w:val="Heading3"/>
        <w:spacing w:before="0" w:after="120"/>
        <w:jc w:val="center"/>
        <w:rPr>
          <w:sz w:val="22"/>
          <w:szCs w:val="22"/>
        </w:rPr>
      </w:pPr>
      <w:r w:rsidRPr="002D7D3B">
        <w:rPr>
          <w:sz w:val="22"/>
          <w:szCs w:val="22"/>
        </w:rPr>
        <w:t xml:space="preserve">Statement of compatibility </w:t>
      </w:r>
      <w:r w:rsidR="00C11D03" w:rsidRPr="002D7D3B">
        <w:rPr>
          <w:sz w:val="22"/>
          <w:szCs w:val="22"/>
        </w:rPr>
        <w:t>with Human Rights</w:t>
      </w:r>
    </w:p>
    <w:p w14:paraId="6E4F0E1B" w14:textId="250B6699" w:rsidR="00E53399" w:rsidRPr="002D7D3B" w:rsidRDefault="008E5A65" w:rsidP="00CA41DF">
      <w:pPr>
        <w:spacing w:after="120"/>
        <w:rPr>
          <w:rFonts w:ascii="Arial" w:hAnsi="Arial" w:cs="Arial"/>
          <w:sz w:val="22"/>
          <w:szCs w:val="22"/>
        </w:rPr>
      </w:pPr>
      <w:r w:rsidRPr="002D7D3B">
        <w:rPr>
          <w:rFonts w:ascii="Arial" w:hAnsi="Arial" w:cs="Arial"/>
          <w:sz w:val="22"/>
          <w:szCs w:val="22"/>
        </w:rPr>
        <w:t xml:space="preserve">This Statement is prepared </w:t>
      </w:r>
      <w:r w:rsidR="00E53399" w:rsidRPr="002D7D3B">
        <w:rPr>
          <w:rFonts w:ascii="Arial" w:hAnsi="Arial" w:cs="Arial"/>
          <w:sz w:val="22"/>
          <w:szCs w:val="22"/>
        </w:rPr>
        <w:t xml:space="preserve">in accordance with Part 3 of the </w:t>
      </w:r>
      <w:r w:rsidR="00E53399" w:rsidRPr="002D7D3B">
        <w:rPr>
          <w:rFonts w:ascii="Arial" w:hAnsi="Arial" w:cs="Arial"/>
          <w:i/>
          <w:sz w:val="22"/>
          <w:szCs w:val="22"/>
        </w:rPr>
        <w:t>Human Rights (Parliamentary Scrutiny) Act 2011</w:t>
      </w:r>
    </w:p>
    <w:p w14:paraId="6E4F0E1C" w14:textId="52C58655" w:rsidR="00D77015" w:rsidRPr="002D7D3B" w:rsidRDefault="00D77015" w:rsidP="002D7D3B">
      <w:pPr>
        <w:spacing w:after="120"/>
        <w:rPr>
          <w:rFonts w:ascii="Arial" w:hAnsi="Arial" w:cs="Arial"/>
          <w:i/>
          <w:sz w:val="22"/>
          <w:szCs w:val="22"/>
        </w:rPr>
      </w:pPr>
    </w:p>
    <w:p w14:paraId="559FB3CB" w14:textId="119DF29D" w:rsidR="00CD027E" w:rsidRPr="002D7D3B" w:rsidRDefault="008E5A65" w:rsidP="002D7D3B">
      <w:pPr>
        <w:spacing w:after="120"/>
        <w:jc w:val="center"/>
        <w:rPr>
          <w:rFonts w:ascii="Arial" w:hAnsi="Arial" w:cs="Arial"/>
          <w:b/>
          <w:sz w:val="22"/>
          <w:szCs w:val="22"/>
        </w:rPr>
      </w:pPr>
      <w:r w:rsidRPr="002D7D3B">
        <w:rPr>
          <w:rFonts w:ascii="Arial" w:hAnsi="Arial" w:cs="Arial"/>
          <w:b/>
          <w:sz w:val="22"/>
          <w:szCs w:val="22"/>
        </w:rPr>
        <w:t xml:space="preserve">Income Tax: </w:t>
      </w:r>
      <w:r w:rsidR="00CD027E" w:rsidRPr="002D7D3B">
        <w:rPr>
          <w:rFonts w:ascii="Arial" w:hAnsi="Arial" w:cs="Arial"/>
          <w:b/>
          <w:sz w:val="22"/>
          <w:szCs w:val="22"/>
        </w:rPr>
        <w:t xml:space="preserve">Employment Termination Payments Redundancy </w:t>
      </w:r>
      <w:proofErr w:type="gramStart"/>
      <w:r w:rsidR="00CD027E" w:rsidRPr="002D7D3B">
        <w:rPr>
          <w:rFonts w:ascii="Arial" w:hAnsi="Arial" w:cs="Arial"/>
          <w:b/>
          <w:sz w:val="22"/>
          <w:szCs w:val="22"/>
        </w:rPr>
        <w:t>Trusts</w:t>
      </w:r>
      <w:proofErr w:type="gramEnd"/>
      <w:r w:rsidR="00CA41DF">
        <w:rPr>
          <w:rFonts w:ascii="Arial" w:hAnsi="Arial" w:cs="Arial"/>
          <w:b/>
          <w:sz w:val="22"/>
          <w:szCs w:val="22"/>
        </w:rPr>
        <w:br/>
      </w:r>
      <w:r w:rsidR="00CD027E" w:rsidRPr="002D7D3B">
        <w:rPr>
          <w:rFonts w:ascii="Arial" w:hAnsi="Arial" w:cs="Arial"/>
          <w:b/>
          <w:sz w:val="22"/>
          <w:szCs w:val="22"/>
        </w:rPr>
        <w:t xml:space="preserve">(12 month rule) </w:t>
      </w:r>
      <w:r w:rsidR="00500D8F" w:rsidRPr="002D7D3B">
        <w:rPr>
          <w:rFonts w:ascii="Arial" w:hAnsi="Arial" w:cs="Arial"/>
          <w:b/>
          <w:sz w:val="22"/>
          <w:szCs w:val="22"/>
        </w:rPr>
        <w:t>Determination</w:t>
      </w:r>
      <w:r w:rsidR="00CD027E" w:rsidRPr="002D7D3B">
        <w:rPr>
          <w:rFonts w:ascii="Arial" w:hAnsi="Arial" w:cs="Arial"/>
          <w:b/>
          <w:sz w:val="22"/>
          <w:szCs w:val="22"/>
        </w:rPr>
        <w:t xml:space="preserve"> </w:t>
      </w:r>
      <w:r w:rsidRPr="002D7D3B">
        <w:rPr>
          <w:rFonts w:ascii="Arial" w:hAnsi="Arial" w:cs="Arial"/>
          <w:b/>
          <w:sz w:val="22"/>
          <w:szCs w:val="22"/>
        </w:rPr>
        <w:t>2019</w:t>
      </w:r>
    </w:p>
    <w:p w14:paraId="049A10CD" w14:textId="77777777" w:rsidR="002D7D3B" w:rsidRPr="002D7D3B" w:rsidRDefault="00075B58" w:rsidP="00CA41DF">
      <w:pPr>
        <w:spacing w:after="120"/>
        <w:rPr>
          <w:rFonts w:ascii="Arial" w:hAnsi="Arial" w:cs="Arial"/>
          <w:sz w:val="22"/>
          <w:szCs w:val="22"/>
        </w:rPr>
      </w:pPr>
      <w:r w:rsidRPr="002D7D3B">
        <w:rPr>
          <w:rFonts w:ascii="Arial" w:hAnsi="Arial" w:cs="Arial"/>
          <w:sz w:val="22"/>
          <w:szCs w:val="22"/>
        </w:rPr>
        <w:t xml:space="preserve">This Legislative Instrument is compatible with the human rights and freedoms recognised or declared in the international instruments listed in section 3 of the </w:t>
      </w:r>
      <w:r w:rsidRPr="002D7D3B">
        <w:rPr>
          <w:rFonts w:ascii="Arial" w:hAnsi="Arial" w:cs="Arial"/>
          <w:i/>
          <w:sz w:val="22"/>
          <w:szCs w:val="22"/>
        </w:rPr>
        <w:t>Human Rights (Parliamentary Scrutiny) Act 2011.</w:t>
      </w:r>
    </w:p>
    <w:p w14:paraId="6E4F0E23" w14:textId="4396A08D" w:rsidR="00075B58" w:rsidRPr="002D7D3B" w:rsidRDefault="00075B58" w:rsidP="00DF448F">
      <w:pPr>
        <w:spacing w:after="120"/>
        <w:rPr>
          <w:rFonts w:ascii="Arial" w:hAnsi="Arial" w:cs="Arial"/>
          <w:sz w:val="22"/>
          <w:szCs w:val="22"/>
        </w:rPr>
      </w:pPr>
    </w:p>
    <w:p w14:paraId="6E4F0E24" w14:textId="329C9BCB" w:rsidR="00075B58" w:rsidRPr="002D7D3B" w:rsidRDefault="00075B58" w:rsidP="002D7D3B">
      <w:pPr>
        <w:spacing w:after="120"/>
        <w:rPr>
          <w:rFonts w:ascii="Arial" w:hAnsi="Arial" w:cs="Arial"/>
          <w:b/>
          <w:sz w:val="22"/>
          <w:szCs w:val="22"/>
        </w:rPr>
      </w:pPr>
      <w:r w:rsidRPr="002D7D3B">
        <w:rPr>
          <w:rFonts w:ascii="Arial" w:hAnsi="Arial" w:cs="Arial"/>
          <w:b/>
          <w:sz w:val="22"/>
          <w:szCs w:val="22"/>
        </w:rPr>
        <w:t xml:space="preserve">Overview of </w:t>
      </w:r>
      <w:r w:rsidR="007E0A01" w:rsidRPr="002D7D3B">
        <w:rPr>
          <w:rFonts w:ascii="Arial" w:hAnsi="Arial" w:cs="Arial"/>
          <w:b/>
          <w:sz w:val="22"/>
          <w:szCs w:val="22"/>
        </w:rPr>
        <w:t xml:space="preserve">the </w:t>
      </w:r>
      <w:r w:rsidRPr="002D7D3B">
        <w:rPr>
          <w:rFonts w:ascii="Arial" w:hAnsi="Arial" w:cs="Arial"/>
          <w:b/>
          <w:sz w:val="22"/>
          <w:szCs w:val="22"/>
        </w:rPr>
        <w:t>Legislative Instrument</w:t>
      </w:r>
    </w:p>
    <w:p w14:paraId="6E4F0E25" w14:textId="17058392" w:rsidR="00075B58" w:rsidRPr="002D7D3B" w:rsidRDefault="00CD027E" w:rsidP="00CA41DF">
      <w:pPr>
        <w:spacing w:after="120"/>
        <w:rPr>
          <w:rFonts w:ascii="Arial" w:hAnsi="Arial" w:cs="Arial"/>
          <w:sz w:val="22"/>
          <w:szCs w:val="22"/>
        </w:rPr>
      </w:pPr>
      <w:r w:rsidRPr="002D7D3B">
        <w:rPr>
          <w:rFonts w:ascii="Arial" w:hAnsi="Arial" w:cs="Arial"/>
          <w:sz w:val="22"/>
          <w:szCs w:val="22"/>
        </w:rPr>
        <w:t xml:space="preserve">This </w:t>
      </w:r>
      <w:r w:rsidR="00500D8F" w:rsidRPr="002D7D3B">
        <w:rPr>
          <w:rFonts w:ascii="Arial" w:hAnsi="Arial" w:cs="Arial"/>
          <w:sz w:val="22"/>
          <w:szCs w:val="22"/>
        </w:rPr>
        <w:t>Legislative I</w:t>
      </w:r>
      <w:r w:rsidRPr="002D7D3B">
        <w:rPr>
          <w:rFonts w:ascii="Arial" w:hAnsi="Arial" w:cs="Arial"/>
          <w:sz w:val="22"/>
          <w:szCs w:val="22"/>
        </w:rPr>
        <w:t>nstrument extends the definition of employment termination payment to include certain payments from redundancy trusts</w:t>
      </w:r>
      <w:r w:rsidR="00CA41DF">
        <w:rPr>
          <w:rFonts w:ascii="Arial" w:hAnsi="Arial" w:cs="Arial"/>
          <w:sz w:val="22"/>
          <w:szCs w:val="22"/>
        </w:rPr>
        <w:t xml:space="preserve"> that are received more than 12 </w:t>
      </w:r>
      <w:r w:rsidRPr="002D7D3B">
        <w:rPr>
          <w:rFonts w:ascii="Arial" w:hAnsi="Arial" w:cs="Arial"/>
          <w:sz w:val="22"/>
          <w:szCs w:val="22"/>
        </w:rPr>
        <w:t>months after the termination of a person's employment.</w:t>
      </w:r>
    </w:p>
    <w:p w14:paraId="6E4F0E26" w14:textId="77777777" w:rsidR="00075B58" w:rsidRPr="002D7D3B" w:rsidRDefault="00075B58" w:rsidP="00DF448F">
      <w:pPr>
        <w:spacing w:after="120"/>
        <w:rPr>
          <w:rFonts w:ascii="Arial" w:hAnsi="Arial" w:cs="Arial"/>
          <w:sz w:val="22"/>
          <w:szCs w:val="22"/>
        </w:rPr>
      </w:pPr>
    </w:p>
    <w:p w14:paraId="6E4F0E27" w14:textId="77777777" w:rsidR="00075B58" w:rsidRPr="002D7D3B" w:rsidRDefault="00075B58" w:rsidP="002D7D3B">
      <w:pPr>
        <w:spacing w:after="120"/>
        <w:rPr>
          <w:rFonts w:ascii="Arial" w:hAnsi="Arial" w:cs="Arial"/>
          <w:b/>
          <w:sz w:val="22"/>
          <w:szCs w:val="22"/>
        </w:rPr>
      </w:pPr>
      <w:r w:rsidRPr="002D7D3B">
        <w:rPr>
          <w:rFonts w:ascii="Arial" w:hAnsi="Arial" w:cs="Arial"/>
          <w:b/>
          <w:sz w:val="22"/>
          <w:szCs w:val="22"/>
        </w:rPr>
        <w:t>Human rights implications</w:t>
      </w:r>
    </w:p>
    <w:p w14:paraId="6E4F0E28" w14:textId="68E64BEF" w:rsidR="00075B58" w:rsidRPr="002D7D3B" w:rsidRDefault="00075B58" w:rsidP="002D7D3B">
      <w:pPr>
        <w:spacing w:after="120"/>
        <w:rPr>
          <w:rFonts w:ascii="Arial" w:hAnsi="Arial" w:cs="Arial"/>
          <w:sz w:val="22"/>
          <w:szCs w:val="22"/>
        </w:rPr>
      </w:pPr>
      <w:r w:rsidRPr="002D7D3B">
        <w:rPr>
          <w:rFonts w:ascii="Arial" w:hAnsi="Arial" w:cs="Arial"/>
          <w:sz w:val="22"/>
          <w:szCs w:val="22"/>
        </w:rPr>
        <w:t xml:space="preserve">This Legislative Instrument does not engage any of the applicable rights or freedoms. </w:t>
      </w:r>
      <w:r w:rsidR="00CD027E" w:rsidRPr="002D7D3B">
        <w:rPr>
          <w:rFonts w:ascii="Arial" w:hAnsi="Arial" w:cs="Arial"/>
          <w:sz w:val="22"/>
          <w:szCs w:val="22"/>
        </w:rPr>
        <w:t xml:space="preserve">By extending the definition of employment termination payment, this </w:t>
      </w:r>
      <w:r w:rsidR="00500D8F" w:rsidRPr="002D7D3B">
        <w:rPr>
          <w:rFonts w:ascii="Arial" w:hAnsi="Arial" w:cs="Arial"/>
          <w:sz w:val="22"/>
          <w:szCs w:val="22"/>
        </w:rPr>
        <w:t>Legislative I</w:t>
      </w:r>
      <w:r w:rsidR="00CD027E" w:rsidRPr="002D7D3B">
        <w:rPr>
          <w:rFonts w:ascii="Arial" w:hAnsi="Arial" w:cs="Arial"/>
          <w:sz w:val="22"/>
          <w:szCs w:val="22"/>
        </w:rPr>
        <w:t>nstrument potentially increases those entitled to concessionally taxed employment termination payments.</w:t>
      </w:r>
    </w:p>
    <w:p w14:paraId="6E4F0E29" w14:textId="77777777" w:rsidR="00075B58" w:rsidRPr="00DF448F" w:rsidRDefault="00075B58" w:rsidP="00DF448F">
      <w:pPr>
        <w:spacing w:after="120"/>
        <w:rPr>
          <w:rFonts w:ascii="Arial" w:hAnsi="Arial" w:cs="Arial"/>
          <w:sz w:val="22"/>
          <w:szCs w:val="22"/>
        </w:rPr>
      </w:pPr>
    </w:p>
    <w:p w14:paraId="6E4F0E2A" w14:textId="77777777" w:rsidR="00075B58" w:rsidRPr="002D7D3B" w:rsidRDefault="00075B58" w:rsidP="002D7D3B">
      <w:pPr>
        <w:spacing w:after="120"/>
        <w:rPr>
          <w:rFonts w:ascii="Arial" w:hAnsi="Arial" w:cs="Arial"/>
          <w:b/>
          <w:sz w:val="22"/>
          <w:szCs w:val="22"/>
        </w:rPr>
      </w:pPr>
      <w:r w:rsidRPr="002D7D3B">
        <w:rPr>
          <w:rFonts w:ascii="Arial" w:hAnsi="Arial" w:cs="Arial"/>
          <w:b/>
          <w:sz w:val="22"/>
          <w:szCs w:val="22"/>
        </w:rPr>
        <w:t>Conclusion</w:t>
      </w:r>
    </w:p>
    <w:p w14:paraId="6E4F0E2B" w14:textId="71A71056" w:rsidR="00075B58" w:rsidRPr="002D7D3B" w:rsidRDefault="00075B58" w:rsidP="002D7D3B">
      <w:pPr>
        <w:spacing w:after="120"/>
        <w:rPr>
          <w:rFonts w:ascii="Arial" w:hAnsi="Arial" w:cs="Arial"/>
          <w:sz w:val="22"/>
          <w:szCs w:val="22"/>
        </w:rPr>
      </w:pPr>
      <w:r w:rsidRPr="002D7D3B">
        <w:rPr>
          <w:rFonts w:ascii="Arial" w:hAnsi="Arial" w:cs="Arial"/>
          <w:sz w:val="22"/>
          <w:szCs w:val="22"/>
        </w:rPr>
        <w:t>This Legislative Instrument is compatible with human rights as it does not raise any human rights issues.</w:t>
      </w:r>
    </w:p>
    <w:sectPr w:rsidR="00075B58" w:rsidRPr="002D7D3B" w:rsidSect="00146ED8">
      <w:headerReference w:type="even" r:id="rId15"/>
      <w:headerReference w:type="default" r:id="rId16"/>
      <w:headerReference w:type="first" r:id="rId17"/>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98BA8" w14:textId="77777777" w:rsidR="00440279" w:rsidRDefault="00440279">
      <w:r>
        <w:separator/>
      </w:r>
    </w:p>
  </w:endnote>
  <w:endnote w:type="continuationSeparator" w:id="0">
    <w:p w14:paraId="234E2F41" w14:textId="77777777" w:rsidR="00440279" w:rsidRDefault="0044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C0A5D" w14:textId="77777777" w:rsidR="00440279" w:rsidRDefault="00440279">
      <w:r>
        <w:separator/>
      </w:r>
    </w:p>
  </w:footnote>
  <w:footnote w:type="continuationSeparator" w:id="0">
    <w:p w14:paraId="7E305905" w14:textId="77777777" w:rsidR="00440279" w:rsidRDefault="00440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0E60"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360FF16B" w14:textId="77777777" w:rsidR="002D7D3B" w:rsidRDefault="00587C50">
    <w:pPr>
      <w:pStyle w:val="Header"/>
      <w:rPr>
        <w:rFonts w:ascii="Arial" w:hAnsi="Arial" w:cs="Arial"/>
        <w:b/>
        <w:sz w:val="52"/>
      </w:rPr>
    </w:pPr>
    <w:r w:rsidRPr="0067541C">
      <w:rPr>
        <w:rFonts w:ascii="Arial" w:hAnsi="Arial" w:cs="Arial"/>
        <w:b/>
        <w:sz w:val="52"/>
      </w:rPr>
      <w:t>TD</w:t>
    </w:r>
  </w:p>
  <w:p w14:paraId="6E4F0E62" w14:textId="25833834"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5D4BCA">
      <w:rPr>
        <w:rFonts w:ascii="Arial" w:hAnsi="Arial" w:cs="Arial"/>
        <w:noProof/>
        <w:snapToGrid w:val="0"/>
        <w:sz w:val="20"/>
        <w:lang w:eastAsia="en-US"/>
      </w:rPr>
      <w:t>7</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0E63"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0E64" w14:textId="77777777"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14:paraId="6E4F0E65" w14:textId="594742BC"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r>
      <w:rPr>
        <w:rFonts w:ascii="Arial" w:hAnsi="Arial" w:cs="Arial"/>
        <w:b/>
        <w:sz w:val="32"/>
        <w:szCs w:val="32"/>
      </w:rPr>
      <w:t xml:space="preserve">  </w:t>
    </w:r>
    <w:r w:rsidRPr="00146ED8">
      <w:rPr>
        <w:rFonts w:ascii="Arial" w:hAnsi="Arial" w:cs="Arial"/>
        <w:b/>
        <w:sz w:val="28"/>
        <w:szCs w:val="28"/>
      </w:rPr>
      <w:t xml:space="preserve">Instrument ID: </w:t>
    </w:r>
    <w:r w:rsidR="00243769" w:rsidRPr="00243769">
      <w:rPr>
        <w:rFonts w:ascii="Arial" w:hAnsi="Arial" w:cs="Arial"/>
        <w:b/>
        <w:sz w:val="28"/>
        <w:szCs w:val="28"/>
      </w:rPr>
      <w:t>2019/SPR/0008</w:t>
    </w:r>
  </w:p>
  <w:p w14:paraId="6E4F0E66"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6E4F0E68" wp14:editId="6E4F0E69">
          <wp:extent cx="2413635" cy="701675"/>
          <wp:effectExtent l="0" t="0" r="5715" b="317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6E4F0E67"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BC00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E102DD5"/>
    <w:multiLevelType w:val="hybridMultilevel"/>
    <w:tmpl w:val="E834CBCE"/>
    <w:lvl w:ilvl="0" w:tplc="02224C8E">
      <w:start w:val="1"/>
      <w:numFmt w:val="lowerLetter"/>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8">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nsid w:val="17D15D30"/>
    <w:multiLevelType w:val="hybridMultilevel"/>
    <w:tmpl w:val="AAE0F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19190F90"/>
    <w:multiLevelType w:val="hybridMultilevel"/>
    <w:tmpl w:val="74CAF172"/>
    <w:lvl w:ilvl="0" w:tplc="0C090017">
      <w:start w:val="1"/>
      <w:numFmt w:val="lowerLetter"/>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202200DD"/>
    <w:multiLevelType w:val="hybridMultilevel"/>
    <w:tmpl w:val="ADECB814"/>
    <w:lvl w:ilvl="0" w:tplc="04104052">
      <w:start w:val="1"/>
      <w:numFmt w:val="decimal"/>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6FCEB1C6">
      <w:start w:val="1"/>
      <w:numFmt w:val="lowerRoman"/>
      <w:lvlText w:val="(%3)"/>
      <w:lvlJc w:val="left"/>
      <w:pPr>
        <w:tabs>
          <w:tab w:val="num" w:pos="2340"/>
        </w:tabs>
        <w:ind w:left="2340" w:hanging="360"/>
      </w:pPr>
      <w:rPr>
        <w:rFonts w:ascii="Arial" w:eastAsia="Times New Roman" w:hAnsi="Arial" w:cs="Arial"/>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7">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8">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2">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3">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86069B7"/>
    <w:multiLevelType w:val="hybridMultilevel"/>
    <w:tmpl w:val="3072D764"/>
    <w:lvl w:ilvl="0" w:tplc="913297CE">
      <w:start w:val="9"/>
      <w:numFmt w:val="lowerLetter"/>
      <w:lvlText w:val="(%1)"/>
      <w:lvlJc w:val="left"/>
      <w:pPr>
        <w:ind w:left="2340" w:hanging="360"/>
      </w:pPr>
      <w:rPr>
        <w:rFonts w:hint="default"/>
        <w:color w:val="000000"/>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6">
    <w:nsid w:val="3FCC3903"/>
    <w:multiLevelType w:val="hybridMultilevel"/>
    <w:tmpl w:val="5C4E8832"/>
    <w:lvl w:ilvl="0" w:tplc="5A2A81BA">
      <w:start w:val="1"/>
      <w:numFmt w:val="decimal"/>
      <w:lvlText w:val="%1."/>
      <w:lvlJc w:val="left"/>
      <w:pPr>
        <w:tabs>
          <w:tab w:val="num" w:pos="720"/>
        </w:tabs>
        <w:ind w:left="720" w:hanging="360"/>
      </w:pPr>
      <w:rPr>
        <w:rFonts w:hint="default"/>
        <w:i w:val="0"/>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9">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5EA5A91"/>
    <w:multiLevelType w:val="hybridMultilevel"/>
    <w:tmpl w:val="90708494"/>
    <w:lvl w:ilvl="0" w:tplc="04104052">
      <w:start w:val="1"/>
      <w:numFmt w:val="decimal"/>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4B4F6927"/>
    <w:multiLevelType w:val="hybridMultilevel"/>
    <w:tmpl w:val="A22E440A"/>
    <w:lvl w:ilvl="0" w:tplc="073248BA">
      <w:start w:val="1"/>
      <w:numFmt w:val="lowerRoman"/>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32">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nsid w:val="56EB2D02"/>
    <w:multiLevelType w:val="hybridMultilevel"/>
    <w:tmpl w:val="C964A3D4"/>
    <w:lvl w:ilvl="0" w:tplc="5A2A81BA">
      <w:start w:val="1"/>
      <w:numFmt w:val="decimal"/>
      <w:lvlText w:val="%1."/>
      <w:lvlJc w:val="left"/>
      <w:pPr>
        <w:tabs>
          <w:tab w:val="num" w:pos="720"/>
        </w:tabs>
        <w:ind w:left="720" w:hanging="360"/>
      </w:pPr>
      <w:rPr>
        <w:rFonts w:hint="default"/>
        <w:i w:val="0"/>
        <w:sz w:val="22"/>
        <w:szCs w:val="22"/>
      </w:rPr>
    </w:lvl>
    <w:lvl w:ilvl="1" w:tplc="02224C8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6">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FD73BB3"/>
    <w:multiLevelType w:val="hybridMultilevel"/>
    <w:tmpl w:val="FF4EFF64"/>
    <w:lvl w:ilvl="0" w:tplc="5A2A81BA">
      <w:start w:val="1"/>
      <w:numFmt w:val="decimal"/>
      <w:lvlText w:val="%1."/>
      <w:lvlJc w:val="left"/>
      <w:pPr>
        <w:tabs>
          <w:tab w:val="num" w:pos="720"/>
        </w:tabs>
        <w:ind w:left="720" w:hanging="360"/>
      </w:pPr>
      <w:rPr>
        <w:rFonts w:hint="default"/>
        <w:i w:val="0"/>
        <w:sz w:val="22"/>
        <w:szCs w:val="22"/>
      </w:rPr>
    </w:lvl>
    <w:lvl w:ilvl="1" w:tplc="02224C8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27"/>
  </w:num>
  <w:num w:numId="4">
    <w:abstractNumId w:val="43"/>
  </w:num>
  <w:num w:numId="5">
    <w:abstractNumId w:val="6"/>
  </w:num>
  <w:num w:numId="6">
    <w:abstractNumId w:val="16"/>
  </w:num>
  <w:num w:numId="7">
    <w:abstractNumId w:val="38"/>
  </w:num>
  <w:num w:numId="8">
    <w:abstractNumId w:val="37"/>
  </w:num>
  <w:num w:numId="9">
    <w:abstractNumId w:val="29"/>
  </w:num>
  <w:num w:numId="10">
    <w:abstractNumId w:val="24"/>
  </w:num>
  <w:num w:numId="11">
    <w:abstractNumId w:val="44"/>
  </w:num>
  <w:num w:numId="12">
    <w:abstractNumId w:val="39"/>
  </w:num>
  <w:num w:numId="13">
    <w:abstractNumId w:val="42"/>
  </w:num>
  <w:num w:numId="14">
    <w:abstractNumId w:val="41"/>
  </w:num>
  <w:num w:numId="15">
    <w:abstractNumId w:val="23"/>
  </w:num>
  <w:num w:numId="16">
    <w:abstractNumId w:val="26"/>
  </w:num>
  <w:num w:numId="17">
    <w:abstractNumId w:val="13"/>
  </w:num>
  <w:num w:numId="18">
    <w:abstractNumId w:val="19"/>
  </w:num>
  <w:num w:numId="19">
    <w:abstractNumId w:val="4"/>
  </w:num>
  <w:num w:numId="20">
    <w:abstractNumId w:val="2"/>
  </w:num>
  <w:num w:numId="21">
    <w:abstractNumId w:val="15"/>
  </w:num>
  <w:num w:numId="22">
    <w:abstractNumId w:val="35"/>
  </w:num>
  <w:num w:numId="23">
    <w:abstractNumId w:val="11"/>
  </w:num>
  <w:num w:numId="24">
    <w:abstractNumId w:val="22"/>
  </w:num>
  <w:num w:numId="25">
    <w:abstractNumId w:val="33"/>
  </w:num>
  <w:num w:numId="26">
    <w:abstractNumId w:val="32"/>
  </w:num>
  <w:num w:numId="27">
    <w:abstractNumId w:val="10"/>
  </w:num>
  <w:num w:numId="28">
    <w:abstractNumId w:val="36"/>
  </w:num>
  <w:num w:numId="29">
    <w:abstractNumId w:val="21"/>
  </w:num>
  <w:num w:numId="30">
    <w:abstractNumId w:val="17"/>
  </w:num>
  <w:num w:numId="31">
    <w:abstractNumId w:val="7"/>
  </w:num>
  <w:num w:numId="32">
    <w:abstractNumId w:val="1"/>
  </w:num>
  <w:num w:numId="33">
    <w:abstractNumId w:val="8"/>
  </w:num>
  <w:num w:numId="34">
    <w:abstractNumId w:val="28"/>
  </w:num>
  <w:num w:numId="35">
    <w:abstractNumId w:val="40"/>
  </w:num>
  <w:num w:numId="36">
    <w:abstractNumId w:val="20"/>
  </w:num>
  <w:num w:numId="37">
    <w:abstractNumId w:val="26"/>
  </w:num>
  <w:num w:numId="38">
    <w:abstractNumId w:val="14"/>
  </w:num>
  <w:num w:numId="39">
    <w:abstractNumId w:val="12"/>
  </w:num>
  <w:num w:numId="40">
    <w:abstractNumId w:val="9"/>
  </w:num>
  <w:num w:numId="41">
    <w:abstractNumId w:val="30"/>
  </w:num>
  <w:num w:numId="42">
    <w:abstractNumId w:val="25"/>
  </w:num>
  <w:num w:numId="43">
    <w:abstractNumId w:val="34"/>
  </w:num>
  <w:num w:numId="44">
    <w:abstractNumId w:val="3"/>
  </w:num>
  <w:num w:numId="45">
    <w:abstractNumId w:val="31"/>
  </w:num>
  <w:num w:numId="46">
    <w:abstractNumId w:val="4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117B2"/>
    <w:rsid w:val="0001796D"/>
    <w:rsid w:val="00017BF0"/>
    <w:rsid w:val="0002568B"/>
    <w:rsid w:val="00043FA7"/>
    <w:rsid w:val="000552E8"/>
    <w:rsid w:val="00056585"/>
    <w:rsid w:val="0005674F"/>
    <w:rsid w:val="0005702C"/>
    <w:rsid w:val="00057F59"/>
    <w:rsid w:val="00065C6E"/>
    <w:rsid w:val="000718B1"/>
    <w:rsid w:val="00073F1B"/>
    <w:rsid w:val="00075B58"/>
    <w:rsid w:val="000B0FF9"/>
    <w:rsid w:val="000B11DD"/>
    <w:rsid w:val="000C390A"/>
    <w:rsid w:val="000C77DD"/>
    <w:rsid w:val="000E295B"/>
    <w:rsid w:val="000E45A0"/>
    <w:rsid w:val="000E5A78"/>
    <w:rsid w:val="000F2199"/>
    <w:rsid w:val="00107460"/>
    <w:rsid w:val="00112415"/>
    <w:rsid w:val="001263CC"/>
    <w:rsid w:val="0013678D"/>
    <w:rsid w:val="00140A34"/>
    <w:rsid w:val="00146ED8"/>
    <w:rsid w:val="00167202"/>
    <w:rsid w:val="001828A4"/>
    <w:rsid w:val="00190677"/>
    <w:rsid w:val="001A263B"/>
    <w:rsid w:val="001A3BE2"/>
    <w:rsid w:val="001B27E2"/>
    <w:rsid w:val="001C2690"/>
    <w:rsid w:val="001C35E7"/>
    <w:rsid w:val="001C4578"/>
    <w:rsid w:val="001E11D9"/>
    <w:rsid w:val="001E2A3E"/>
    <w:rsid w:val="001F28A6"/>
    <w:rsid w:val="001F2A16"/>
    <w:rsid w:val="001F6921"/>
    <w:rsid w:val="001F7C3E"/>
    <w:rsid w:val="00201969"/>
    <w:rsid w:val="00213FA5"/>
    <w:rsid w:val="00215066"/>
    <w:rsid w:val="002328C5"/>
    <w:rsid w:val="0023733A"/>
    <w:rsid w:val="00237921"/>
    <w:rsid w:val="0024044F"/>
    <w:rsid w:val="00243769"/>
    <w:rsid w:val="00245D00"/>
    <w:rsid w:val="00257F2D"/>
    <w:rsid w:val="00261C98"/>
    <w:rsid w:val="00262F9F"/>
    <w:rsid w:val="00266D2D"/>
    <w:rsid w:val="00272983"/>
    <w:rsid w:val="0027331F"/>
    <w:rsid w:val="00285E76"/>
    <w:rsid w:val="002949C3"/>
    <w:rsid w:val="002A10A4"/>
    <w:rsid w:val="002A26FE"/>
    <w:rsid w:val="002B1423"/>
    <w:rsid w:val="002C4BFC"/>
    <w:rsid w:val="002D7D3B"/>
    <w:rsid w:val="002F1257"/>
    <w:rsid w:val="00310C61"/>
    <w:rsid w:val="003135FC"/>
    <w:rsid w:val="003171B3"/>
    <w:rsid w:val="0032559D"/>
    <w:rsid w:val="00326B5C"/>
    <w:rsid w:val="00333567"/>
    <w:rsid w:val="00337FB9"/>
    <w:rsid w:val="003413D8"/>
    <w:rsid w:val="00344575"/>
    <w:rsid w:val="0035113C"/>
    <w:rsid w:val="00354525"/>
    <w:rsid w:val="00380CC4"/>
    <w:rsid w:val="00381DCD"/>
    <w:rsid w:val="0038458A"/>
    <w:rsid w:val="003C0686"/>
    <w:rsid w:val="003D08CF"/>
    <w:rsid w:val="003D0CBA"/>
    <w:rsid w:val="003D0F6A"/>
    <w:rsid w:val="003D4BA8"/>
    <w:rsid w:val="003E5269"/>
    <w:rsid w:val="003E5508"/>
    <w:rsid w:val="00405394"/>
    <w:rsid w:val="004066E4"/>
    <w:rsid w:val="0040680B"/>
    <w:rsid w:val="00407361"/>
    <w:rsid w:val="00417C55"/>
    <w:rsid w:val="00423717"/>
    <w:rsid w:val="00424A7B"/>
    <w:rsid w:val="00426E25"/>
    <w:rsid w:val="00431690"/>
    <w:rsid w:val="00440279"/>
    <w:rsid w:val="004426EE"/>
    <w:rsid w:val="004447C1"/>
    <w:rsid w:val="0045442B"/>
    <w:rsid w:val="0045590D"/>
    <w:rsid w:val="0046211F"/>
    <w:rsid w:val="0046641E"/>
    <w:rsid w:val="0046787B"/>
    <w:rsid w:val="00472276"/>
    <w:rsid w:val="0047356E"/>
    <w:rsid w:val="00486653"/>
    <w:rsid w:val="004A4EAD"/>
    <w:rsid w:val="004A5FDA"/>
    <w:rsid w:val="004B0479"/>
    <w:rsid w:val="004D098C"/>
    <w:rsid w:val="004D24A9"/>
    <w:rsid w:val="004E5357"/>
    <w:rsid w:val="004F4A07"/>
    <w:rsid w:val="004F5EB1"/>
    <w:rsid w:val="004F681A"/>
    <w:rsid w:val="004F6887"/>
    <w:rsid w:val="00500D8F"/>
    <w:rsid w:val="005030AD"/>
    <w:rsid w:val="0051249C"/>
    <w:rsid w:val="005176E7"/>
    <w:rsid w:val="00520330"/>
    <w:rsid w:val="00524B6B"/>
    <w:rsid w:val="0052502C"/>
    <w:rsid w:val="005413EE"/>
    <w:rsid w:val="00587443"/>
    <w:rsid w:val="00587C50"/>
    <w:rsid w:val="005917F3"/>
    <w:rsid w:val="00595B84"/>
    <w:rsid w:val="005A0B09"/>
    <w:rsid w:val="005B0ACD"/>
    <w:rsid w:val="005B50A2"/>
    <w:rsid w:val="005C279D"/>
    <w:rsid w:val="005C3408"/>
    <w:rsid w:val="005C6796"/>
    <w:rsid w:val="005D4BCA"/>
    <w:rsid w:val="005D611B"/>
    <w:rsid w:val="005F1ACE"/>
    <w:rsid w:val="005F256D"/>
    <w:rsid w:val="0060183A"/>
    <w:rsid w:val="00603110"/>
    <w:rsid w:val="00611C8E"/>
    <w:rsid w:val="00614AEB"/>
    <w:rsid w:val="00631F30"/>
    <w:rsid w:val="00642420"/>
    <w:rsid w:val="00646158"/>
    <w:rsid w:val="0065064D"/>
    <w:rsid w:val="0066622C"/>
    <w:rsid w:val="00666487"/>
    <w:rsid w:val="00673B37"/>
    <w:rsid w:val="00676184"/>
    <w:rsid w:val="006945EA"/>
    <w:rsid w:val="006B06C5"/>
    <w:rsid w:val="006B5470"/>
    <w:rsid w:val="006D0138"/>
    <w:rsid w:val="006D029D"/>
    <w:rsid w:val="006D6F52"/>
    <w:rsid w:val="006F6260"/>
    <w:rsid w:val="00701718"/>
    <w:rsid w:val="00710359"/>
    <w:rsid w:val="00712FFF"/>
    <w:rsid w:val="00722DBF"/>
    <w:rsid w:val="007314A4"/>
    <w:rsid w:val="00735157"/>
    <w:rsid w:val="00735F98"/>
    <w:rsid w:val="00774945"/>
    <w:rsid w:val="00775490"/>
    <w:rsid w:val="00782260"/>
    <w:rsid w:val="00795D0C"/>
    <w:rsid w:val="0079789E"/>
    <w:rsid w:val="007A55BA"/>
    <w:rsid w:val="007C1FBD"/>
    <w:rsid w:val="007C5C8E"/>
    <w:rsid w:val="007E0A01"/>
    <w:rsid w:val="007E22F5"/>
    <w:rsid w:val="007E7ED3"/>
    <w:rsid w:val="007F25F3"/>
    <w:rsid w:val="007F4901"/>
    <w:rsid w:val="0080053B"/>
    <w:rsid w:val="0080574C"/>
    <w:rsid w:val="00810C7E"/>
    <w:rsid w:val="00812682"/>
    <w:rsid w:val="00812FFB"/>
    <w:rsid w:val="00836B02"/>
    <w:rsid w:val="00845694"/>
    <w:rsid w:val="008467D4"/>
    <w:rsid w:val="00846FCA"/>
    <w:rsid w:val="00850FB0"/>
    <w:rsid w:val="0085238E"/>
    <w:rsid w:val="008540EA"/>
    <w:rsid w:val="00856FCF"/>
    <w:rsid w:val="008609FB"/>
    <w:rsid w:val="00866A00"/>
    <w:rsid w:val="008702A6"/>
    <w:rsid w:val="008757CE"/>
    <w:rsid w:val="0088392C"/>
    <w:rsid w:val="00897C0E"/>
    <w:rsid w:val="00897E31"/>
    <w:rsid w:val="008A046F"/>
    <w:rsid w:val="008A405A"/>
    <w:rsid w:val="008A5CC8"/>
    <w:rsid w:val="008A6A6A"/>
    <w:rsid w:val="008B650A"/>
    <w:rsid w:val="008B787C"/>
    <w:rsid w:val="008C3898"/>
    <w:rsid w:val="008C66CC"/>
    <w:rsid w:val="008E5A65"/>
    <w:rsid w:val="008F483C"/>
    <w:rsid w:val="00912D61"/>
    <w:rsid w:val="009322D7"/>
    <w:rsid w:val="00932BDE"/>
    <w:rsid w:val="00932D6D"/>
    <w:rsid w:val="00963B6D"/>
    <w:rsid w:val="00967725"/>
    <w:rsid w:val="009872F8"/>
    <w:rsid w:val="009902F8"/>
    <w:rsid w:val="00993BB8"/>
    <w:rsid w:val="0099555F"/>
    <w:rsid w:val="009A22A1"/>
    <w:rsid w:val="009B3A1B"/>
    <w:rsid w:val="009B6332"/>
    <w:rsid w:val="009C0912"/>
    <w:rsid w:val="009D6694"/>
    <w:rsid w:val="009E3059"/>
    <w:rsid w:val="009E68BD"/>
    <w:rsid w:val="009F0300"/>
    <w:rsid w:val="00A04E08"/>
    <w:rsid w:val="00A06F7B"/>
    <w:rsid w:val="00A167A8"/>
    <w:rsid w:val="00A17126"/>
    <w:rsid w:val="00A21F0A"/>
    <w:rsid w:val="00A26011"/>
    <w:rsid w:val="00A35D16"/>
    <w:rsid w:val="00A4090F"/>
    <w:rsid w:val="00A475C4"/>
    <w:rsid w:val="00A506C2"/>
    <w:rsid w:val="00A62116"/>
    <w:rsid w:val="00A62886"/>
    <w:rsid w:val="00A67CC0"/>
    <w:rsid w:val="00A72CD9"/>
    <w:rsid w:val="00A74C38"/>
    <w:rsid w:val="00A761CA"/>
    <w:rsid w:val="00A77D24"/>
    <w:rsid w:val="00A8572F"/>
    <w:rsid w:val="00A93E07"/>
    <w:rsid w:val="00A979CF"/>
    <w:rsid w:val="00AA4DF8"/>
    <w:rsid w:val="00AB0787"/>
    <w:rsid w:val="00AB780C"/>
    <w:rsid w:val="00AD1EFA"/>
    <w:rsid w:val="00AD5ADE"/>
    <w:rsid w:val="00AE7138"/>
    <w:rsid w:val="00AF4CAF"/>
    <w:rsid w:val="00B01BE6"/>
    <w:rsid w:val="00B117BA"/>
    <w:rsid w:val="00B145FD"/>
    <w:rsid w:val="00B17C18"/>
    <w:rsid w:val="00B20D87"/>
    <w:rsid w:val="00B46795"/>
    <w:rsid w:val="00B578AC"/>
    <w:rsid w:val="00B607FB"/>
    <w:rsid w:val="00B62E29"/>
    <w:rsid w:val="00B6433F"/>
    <w:rsid w:val="00B648AB"/>
    <w:rsid w:val="00B64CF5"/>
    <w:rsid w:val="00B76C9B"/>
    <w:rsid w:val="00B823A1"/>
    <w:rsid w:val="00B82B82"/>
    <w:rsid w:val="00B8428B"/>
    <w:rsid w:val="00B842B1"/>
    <w:rsid w:val="00B861FE"/>
    <w:rsid w:val="00BA41F5"/>
    <w:rsid w:val="00BB3C9C"/>
    <w:rsid w:val="00BB7825"/>
    <w:rsid w:val="00BF4822"/>
    <w:rsid w:val="00C0047D"/>
    <w:rsid w:val="00C01D22"/>
    <w:rsid w:val="00C104B6"/>
    <w:rsid w:val="00C10F02"/>
    <w:rsid w:val="00C114F4"/>
    <w:rsid w:val="00C11D03"/>
    <w:rsid w:val="00C15F58"/>
    <w:rsid w:val="00C22B3E"/>
    <w:rsid w:val="00C31967"/>
    <w:rsid w:val="00C371DE"/>
    <w:rsid w:val="00C375E7"/>
    <w:rsid w:val="00C409AE"/>
    <w:rsid w:val="00C42D50"/>
    <w:rsid w:val="00C44FFE"/>
    <w:rsid w:val="00C542E6"/>
    <w:rsid w:val="00C54DF8"/>
    <w:rsid w:val="00C55C8C"/>
    <w:rsid w:val="00C56635"/>
    <w:rsid w:val="00C60B49"/>
    <w:rsid w:val="00C7440A"/>
    <w:rsid w:val="00C865ED"/>
    <w:rsid w:val="00C8775A"/>
    <w:rsid w:val="00C94477"/>
    <w:rsid w:val="00C97D08"/>
    <w:rsid w:val="00CA0877"/>
    <w:rsid w:val="00CA1A57"/>
    <w:rsid w:val="00CA41DF"/>
    <w:rsid w:val="00CA5DA3"/>
    <w:rsid w:val="00CA6B59"/>
    <w:rsid w:val="00CB1673"/>
    <w:rsid w:val="00CB3B6C"/>
    <w:rsid w:val="00CC1833"/>
    <w:rsid w:val="00CC189F"/>
    <w:rsid w:val="00CC3368"/>
    <w:rsid w:val="00CC36F1"/>
    <w:rsid w:val="00CD027E"/>
    <w:rsid w:val="00CD468F"/>
    <w:rsid w:val="00CD7A11"/>
    <w:rsid w:val="00CF19C4"/>
    <w:rsid w:val="00D13C04"/>
    <w:rsid w:val="00D20A78"/>
    <w:rsid w:val="00D278BA"/>
    <w:rsid w:val="00D40454"/>
    <w:rsid w:val="00D4059C"/>
    <w:rsid w:val="00D53D8F"/>
    <w:rsid w:val="00D55C9C"/>
    <w:rsid w:val="00D61C76"/>
    <w:rsid w:val="00D77015"/>
    <w:rsid w:val="00D8317E"/>
    <w:rsid w:val="00D91DCF"/>
    <w:rsid w:val="00D92B48"/>
    <w:rsid w:val="00DA301E"/>
    <w:rsid w:val="00DB1693"/>
    <w:rsid w:val="00DC2F50"/>
    <w:rsid w:val="00DD5B07"/>
    <w:rsid w:val="00DE1B85"/>
    <w:rsid w:val="00DE6821"/>
    <w:rsid w:val="00DF2022"/>
    <w:rsid w:val="00DF34BE"/>
    <w:rsid w:val="00DF448F"/>
    <w:rsid w:val="00DF5D59"/>
    <w:rsid w:val="00E20454"/>
    <w:rsid w:val="00E239E4"/>
    <w:rsid w:val="00E312D6"/>
    <w:rsid w:val="00E36A38"/>
    <w:rsid w:val="00E437F5"/>
    <w:rsid w:val="00E43E89"/>
    <w:rsid w:val="00E51D3D"/>
    <w:rsid w:val="00E53399"/>
    <w:rsid w:val="00E77995"/>
    <w:rsid w:val="00E81CF3"/>
    <w:rsid w:val="00E87099"/>
    <w:rsid w:val="00EA28E6"/>
    <w:rsid w:val="00EB2859"/>
    <w:rsid w:val="00EB43D3"/>
    <w:rsid w:val="00EB4467"/>
    <w:rsid w:val="00EC7E49"/>
    <w:rsid w:val="00EE0BDE"/>
    <w:rsid w:val="00EE1FED"/>
    <w:rsid w:val="00EF78C4"/>
    <w:rsid w:val="00F04CD7"/>
    <w:rsid w:val="00F20DEC"/>
    <w:rsid w:val="00F23E15"/>
    <w:rsid w:val="00F244A2"/>
    <w:rsid w:val="00F35064"/>
    <w:rsid w:val="00F374D8"/>
    <w:rsid w:val="00F530C6"/>
    <w:rsid w:val="00F55787"/>
    <w:rsid w:val="00F56332"/>
    <w:rsid w:val="00F5684D"/>
    <w:rsid w:val="00F57AB6"/>
    <w:rsid w:val="00F6480F"/>
    <w:rsid w:val="00F67F22"/>
    <w:rsid w:val="00F70C2E"/>
    <w:rsid w:val="00F86713"/>
    <w:rsid w:val="00F932E0"/>
    <w:rsid w:val="00FB7701"/>
    <w:rsid w:val="00FC40F0"/>
    <w:rsid w:val="00FC6D3B"/>
    <w:rsid w:val="00FD0129"/>
    <w:rsid w:val="00FD1008"/>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27E"/>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2D7D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paragraph" w:styleId="Revision">
    <w:name w:val="Revision"/>
    <w:hidden/>
    <w:uiPriority w:val="99"/>
    <w:semiHidden/>
    <w:rsid w:val="00CA1A57"/>
    <w:rPr>
      <w:sz w:val="24"/>
    </w:rPr>
  </w:style>
  <w:style w:type="character" w:customStyle="1" w:styleId="Heading4Char">
    <w:name w:val="Heading 4 Char"/>
    <w:basedOn w:val="DefaultParagraphFont"/>
    <w:link w:val="Heading4"/>
    <w:rsid w:val="002D7D3B"/>
    <w:rPr>
      <w:rFonts w:asciiTheme="majorHAnsi" w:eastAsiaTheme="majorEastAsia" w:hAnsiTheme="majorHAnsi" w:cstheme="majorBidi"/>
      <w:b/>
      <w:bCs/>
      <w:i/>
      <w:iCs/>
      <w:color w:val="4F81BD" w:themeColor="accent1"/>
      <w:sz w:val="24"/>
    </w:rPr>
  </w:style>
  <w:style w:type="paragraph" w:styleId="ListBullet">
    <w:name w:val="List Bullet"/>
    <w:basedOn w:val="Normal"/>
    <w:rsid w:val="002328C5"/>
    <w:pPr>
      <w:numPr>
        <w:numId w:val="4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27E"/>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2D7D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paragraph" w:styleId="Revision">
    <w:name w:val="Revision"/>
    <w:hidden/>
    <w:uiPriority w:val="99"/>
    <w:semiHidden/>
    <w:rsid w:val="00CA1A57"/>
    <w:rPr>
      <w:sz w:val="24"/>
    </w:rPr>
  </w:style>
  <w:style w:type="character" w:customStyle="1" w:styleId="Heading4Char">
    <w:name w:val="Heading 4 Char"/>
    <w:basedOn w:val="DefaultParagraphFont"/>
    <w:link w:val="Heading4"/>
    <w:rsid w:val="002D7D3B"/>
    <w:rPr>
      <w:rFonts w:asciiTheme="majorHAnsi" w:eastAsiaTheme="majorEastAsia" w:hAnsiTheme="majorHAnsi" w:cstheme="majorBidi"/>
      <w:b/>
      <w:bCs/>
      <w:i/>
      <w:iCs/>
      <w:color w:val="4F81BD" w:themeColor="accent1"/>
      <w:sz w:val="24"/>
    </w:rPr>
  </w:style>
  <w:style w:type="paragraph" w:styleId="ListBullet">
    <w:name w:val="List Bullet"/>
    <w:basedOn w:val="Normal"/>
    <w:rsid w:val="002328C5"/>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997">
      <w:bodyDiv w:val="1"/>
      <w:marLeft w:val="0"/>
      <w:marRight w:val="0"/>
      <w:marTop w:val="0"/>
      <w:marBottom w:val="0"/>
      <w:divBdr>
        <w:top w:val="none" w:sz="0" w:space="0" w:color="auto"/>
        <w:left w:val="none" w:sz="0" w:space="0" w:color="auto"/>
        <w:bottom w:val="none" w:sz="0" w:space="0" w:color="auto"/>
        <w:right w:val="none" w:sz="0" w:space="0" w:color="auto"/>
      </w:divBdr>
    </w:div>
    <w:div w:id="144130350">
      <w:bodyDiv w:val="1"/>
      <w:marLeft w:val="0"/>
      <w:marRight w:val="0"/>
      <w:marTop w:val="0"/>
      <w:marBottom w:val="0"/>
      <w:divBdr>
        <w:top w:val="none" w:sz="0" w:space="0" w:color="auto"/>
        <w:left w:val="none" w:sz="0" w:space="0" w:color="auto"/>
        <w:bottom w:val="none" w:sz="0" w:space="0" w:color="auto"/>
        <w:right w:val="none" w:sz="0" w:space="0" w:color="auto"/>
      </w:divBdr>
    </w:div>
    <w:div w:id="173081550">
      <w:bodyDiv w:val="1"/>
      <w:marLeft w:val="0"/>
      <w:marRight w:val="0"/>
      <w:marTop w:val="0"/>
      <w:marBottom w:val="0"/>
      <w:divBdr>
        <w:top w:val="none" w:sz="0" w:space="0" w:color="auto"/>
        <w:left w:val="none" w:sz="0" w:space="0" w:color="auto"/>
        <w:bottom w:val="none" w:sz="0" w:space="0" w:color="auto"/>
        <w:right w:val="none" w:sz="0" w:space="0" w:color="auto"/>
      </w:divBdr>
    </w:div>
    <w:div w:id="268007075">
      <w:bodyDiv w:val="1"/>
      <w:marLeft w:val="0"/>
      <w:marRight w:val="0"/>
      <w:marTop w:val="0"/>
      <w:marBottom w:val="0"/>
      <w:divBdr>
        <w:top w:val="none" w:sz="0" w:space="0" w:color="auto"/>
        <w:left w:val="none" w:sz="0" w:space="0" w:color="auto"/>
        <w:bottom w:val="none" w:sz="0" w:space="0" w:color="auto"/>
        <w:right w:val="none" w:sz="0" w:space="0" w:color="auto"/>
      </w:divBdr>
    </w:div>
    <w:div w:id="313797012">
      <w:bodyDiv w:val="1"/>
      <w:marLeft w:val="0"/>
      <w:marRight w:val="0"/>
      <w:marTop w:val="0"/>
      <w:marBottom w:val="0"/>
      <w:divBdr>
        <w:top w:val="none" w:sz="0" w:space="0" w:color="auto"/>
        <w:left w:val="none" w:sz="0" w:space="0" w:color="auto"/>
        <w:bottom w:val="none" w:sz="0" w:space="0" w:color="auto"/>
        <w:right w:val="none" w:sz="0" w:space="0" w:color="auto"/>
      </w:divBdr>
    </w:div>
    <w:div w:id="569852493">
      <w:bodyDiv w:val="1"/>
      <w:marLeft w:val="0"/>
      <w:marRight w:val="0"/>
      <w:marTop w:val="0"/>
      <w:marBottom w:val="0"/>
      <w:divBdr>
        <w:top w:val="none" w:sz="0" w:space="0" w:color="auto"/>
        <w:left w:val="none" w:sz="0" w:space="0" w:color="auto"/>
        <w:bottom w:val="none" w:sz="0" w:space="0" w:color="auto"/>
        <w:right w:val="none" w:sz="0" w:space="0" w:color="auto"/>
      </w:divBdr>
    </w:div>
    <w:div w:id="713964624">
      <w:bodyDiv w:val="1"/>
      <w:marLeft w:val="0"/>
      <w:marRight w:val="0"/>
      <w:marTop w:val="0"/>
      <w:marBottom w:val="0"/>
      <w:divBdr>
        <w:top w:val="none" w:sz="0" w:space="0" w:color="auto"/>
        <w:left w:val="none" w:sz="0" w:space="0" w:color="auto"/>
        <w:bottom w:val="none" w:sz="0" w:space="0" w:color="auto"/>
        <w:right w:val="none" w:sz="0" w:space="0" w:color="auto"/>
      </w:divBdr>
    </w:div>
    <w:div w:id="721828548">
      <w:bodyDiv w:val="1"/>
      <w:marLeft w:val="0"/>
      <w:marRight w:val="0"/>
      <w:marTop w:val="0"/>
      <w:marBottom w:val="0"/>
      <w:divBdr>
        <w:top w:val="none" w:sz="0" w:space="0" w:color="auto"/>
        <w:left w:val="none" w:sz="0" w:space="0" w:color="auto"/>
        <w:bottom w:val="none" w:sz="0" w:space="0" w:color="auto"/>
        <w:right w:val="none" w:sz="0" w:space="0" w:color="auto"/>
      </w:divBdr>
    </w:div>
    <w:div w:id="1039863208">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66821823">
      <w:bodyDiv w:val="1"/>
      <w:marLeft w:val="0"/>
      <w:marRight w:val="0"/>
      <w:marTop w:val="0"/>
      <w:marBottom w:val="0"/>
      <w:divBdr>
        <w:top w:val="none" w:sz="0" w:space="0" w:color="auto"/>
        <w:left w:val="none" w:sz="0" w:space="0" w:color="auto"/>
        <w:bottom w:val="none" w:sz="0" w:space="0" w:color="auto"/>
        <w:right w:val="none" w:sz="0" w:space="0" w:color="auto"/>
      </w:divBdr>
    </w:div>
    <w:div w:id="1225331638">
      <w:bodyDiv w:val="1"/>
      <w:marLeft w:val="0"/>
      <w:marRight w:val="0"/>
      <w:marTop w:val="0"/>
      <w:marBottom w:val="0"/>
      <w:divBdr>
        <w:top w:val="none" w:sz="0" w:space="0" w:color="auto"/>
        <w:left w:val="none" w:sz="0" w:space="0" w:color="auto"/>
        <w:bottom w:val="none" w:sz="0" w:space="0" w:color="auto"/>
        <w:right w:val="none" w:sz="0" w:space="0" w:color="auto"/>
      </w:divBdr>
    </w:div>
    <w:div w:id="1631545696">
      <w:bodyDiv w:val="1"/>
      <w:marLeft w:val="0"/>
      <w:marRight w:val="0"/>
      <w:marTop w:val="0"/>
      <w:marBottom w:val="0"/>
      <w:divBdr>
        <w:top w:val="none" w:sz="0" w:space="0" w:color="auto"/>
        <w:left w:val="none" w:sz="0" w:space="0" w:color="auto"/>
        <w:bottom w:val="none" w:sz="0" w:space="0" w:color="auto"/>
        <w:right w:val="none" w:sz="0" w:space="0" w:color="auto"/>
      </w:divBdr>
    </w:div>
    <w:div w:id="1663659186">
      <w:bodyDiv w:val="1"/>
      <w:marLeft w:val="0"/>
      <w:marRight w:val="0"/>
      <w:marTop w:val="0"/>
      <w:marBottom w:val="0"/>
      <w:divBdr>
        <w:top w:val="none" w:sz="0" w:space="0" w:color="auto"/>
        <w:left w:val="none" w:sz="0" w:space="0" w:color="auto"/>
        <w:bottom w:val="none" w:sz="0" w:space="0" w:color="auto"/>
        <w:right w:val="none" w:sz="0" w:space="0" w:color="auto"/>
      </w:divBdr>
    </w:div>
    <w:div w:id="1916628963">
      <w:bodyDiv w:val="1"/>
      <w:marLeft w:val="0"/>
      <w:marRight w:val="0"/>
      <w:marTop w:val="0"/>
      <w:marBottom w:val="0"/>
      <w:divBdr>
        <w:top w:val="none" w:sz="0" w:space="0" w:color="auto"/>
        <w:left w:val="none" w:sz="0" w:space="0" w:color="auto"/>
        <w:bottom w:val="none" w:sz="0" w:space="0" w:color="auto"/>
        <w:right w:val="none" w:sz="0" w:space="0" w:color="auto"/>
      </w:divBdr>
    </w:div>
    <w:div w:id="2030257419">
      <w:bodyDiv w:val="1"/>
      <w:marLeft w:val="0"/>
      <w:marRight w:val="0"/>
      <w:marTop w:val="0"/>
      <w:marBottom w:val="0"/>
      <w:divBdr>
        <w:top w:val="none" w:sz="0" w:space="0" w:color="auto"/>
        <w:left w:val="none" w:sz="0" w:space="0" w:color="auto"/>
        <w:bottom w:val="none" w:sz="0" w:space="0" w:color="auto"/>
        <w:right w:val="none" w:sz="0" w:space="0" w:color="auto"/>
      </w:divBdr>
    </w:div>
    <w:div w:id="206853063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 w:id="2128306484">
      <w:bodyDiv w:val="1"/>
      <w:marLeft w:val="75"/>
      <w:marRight w:val="75"/>
      <w:marTop w:val="75"/>
      <w:marBottom w:val="75"/>
      <w:divBdr>
        <w:top w:val="none" w:sz="0" w:space="0" w:color="auto"/>
        <w:left w:val="none" w:sz="0" w:space="0" w:color="auto"/>
        <w:bottom w:val="none" w:sz="0" w:space="0" w:color="auto"/>
        <w:right w:val="none" w:sz="0" w:space="0" w:color="auto"/>
      </w:divBdr>
    </w:div>
    <w:div w:id="21460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2027-04-21T01:40:16+00:00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customXsn xmlns="http://schemas.microsoft.com/office/2006/metadata/customXsn">
  <xsnLocation/>
  <cached>True</cached>
  <openByDefault>False</openByDefault>
  <xsnScope>http://sharepoint</xsnScope>
</customXsn>
</file>

<file path=customXml/item4.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40" ma:contentTypeDescription="" ma:contentTypeScope="" ma:versionID="648be8763a6aea8338c6a7265d703936">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70f7ab4a0ee816d215b7013c42be5da4"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nillable="true"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ma:readOnly="false">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adOnly="fals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2.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3.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4.xml><?xml version="1.0" encoding="utf-8"?>
<ds:datastoreItem xmlns:ds="http://schemas.openxmlformats.org/officeDocument/2006/customXml" ds:itemID="{5FEC8A72-D1DE-4E56-884D-0B4CAFB98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6.xml><?xml version="1.0" encoding="utf-8"?>
<ds:datastoreItem xmlns:ds="http://schemas.openxmlformats.org/officeDocument/2006/customXml" ds:itemID="{9092B523-521B-4F01-8DAB-0EC284B7888D}">
  <ds:schemaRefs>
    <ds:schemaRef ds:uri="office.server.policy"/>
  </ds:schemaRefs>
</ds:datastoreItem>
</file>

<file path=customXml/itemProps7.xml><?xml version="1.0" encoding="utf-8"?>
<ds:datastoreItem xmlns:ds="http://schemas.openxmlformats.org/officeDocument/2006/customXml" ds:itemID="{9E41FF2D-5434-4F23-BF82-23B3DE8E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13235</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Ducat, Stuart</cp:lastModifiedBy>
  <cp:revision>2</cp:revision>
  <cp:lastPrinted>2019-02-28T22:07:00Z</cp:lastPrinted>
  <dcterms:created xsi:type="dcterms:W3CDTF">2019-03-25T03:43:00Z</dcterms:created>
  <dcterms:modified xsi:type="dcterms:W3CDTF">2019-03-25T03:43:00Z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