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B7275" w14:textId="3B8E39DB" w:rsidR="009E526F" w:rsidRDefault="00DA57F5" w:rsidP="009E526F">
      <w:pPr>
        <w:tabs>
          <w:tab w:val="right" w:pos="9072"/>
        </w:tabs>
        <w:ind w:right="91"/>
        <w:jc w:val="center"/>
        <w:rPr>
          <w:b/>
          <w:u w:val="single"/>
        </w:rPr>
      </w:pPr>
      <w:bookmarkStart w:id="0" w:name="_GoBack"/>
      <w:bookmarkEnd w:id="0"/>
      <w:r>
        <w:rPr>
          <w:b/>
          <w:u w:val="single"/>
        </w:rPr>
        <w:t>Explanatory Statement</w:t>
      </w:r>
    </w:p>
    <w:p w14:paraId="5672C4C6" w14:textId="77777777" w:rsidR="009E526F" w:rsidRDefault="009E526F" w:rsidP="00DA57F5">
      <w:pPr>
        <w:shd w:val="clear" w:color="auto" w:fill="FFFFFF"/>
        <w:rPr>
          <w:color w:val="000000"/>
        </w:rPr>
      </w:pPr>
    </w:p>
    <w:p w14:paraId="0BF3CAB5" w14:textId="77777777" w:rsidR="009E526F" w:rsidRDefault="009E526F" w:rsidP="009E526F">
      <w:pPr>
        <w:shd w:val="clear" w:color="auto" w:fill="FFFFFF"/>
        <w:jc w:val="center"/>
        <w:rPr>
          <w:color w:val="000000"/>
        </w:rPr>
      </w:pPr>
      <w:r w:rsidRPr="005B1E94">
        <w:rPr>
          <w:color w:val="000000"/>
        </w:rPr>
        <w:t>Issued by the Authority of the Minister for Foreign Affairs</w:t>
      </w:r>
    </w:p>
    <w:p w14:paraId="22B42F03" w14:textId="77777777" w:rsidR="009E526F" w:rsidRPr="005B1E94" w:rsidRDefault="009E526F" w:rsidP="009E526F">
      <w:pPr>
        <w:shd w:val="clear" w:color="auto" w:fill="FFFFFF"/>
        <w:jc w:val="center"/>
        <w:rPr>
          <w:color w:val="000000"/>
        </w:rPr>
      </w:pPr>
    </w:p>
    <w:p w14:paraId="757C54D6" w14:textId="77777777" w:rsidR="00BA4941" w:rsidRDefault="00BA4941" w:rsidP="00BA4941">
      <w:pPr>
        <w:jc w:val="center"/>
        <w:rPr>
          <w:i/>
        </w:rPr>
      </w:pPr>
      <w:r>
        <w:rPr>
          <w:i/>
        </w:rPr>
        <w:t>Charter of the United Nations Act 1945</w:t>
      </w:r>
    </w:p>
    <w:p w14:paraId="3DCF9246" w14:textId="77777777" w:rsidR="00BA4941" w:rsidRDefault="00BA4941" w:rsidP="00BA4941">
      <w:pPr>
        <w:jc w:val="center"/>
        <w:rPr>
          <w:i/>
        </w:rPr>
      </w:pPr>
    </w:p>
    <w:p w14:paraId="5F2B5D12" w14:textId="2FD92F9A" w:rsidR="00122BFA" w:rsidRDefault="00BA4941" w:rsidP="00BA4941">
      <w:pPr>
        <w:jc w:val="center"/>
        <w:rPr>
          <w:i/>
        </w:rPr>
      </w:pPr>
      <w:r>
        <w:rPr>
          <w:i/>
        </w:rPr>
        <w:t>Charter o</w:t>
      </w:r>
      <w:r w:rsidR="00EC30C8">
        <w:rPr>
          <w:i/>
        </w:rPr>
        <w:t xml:space="preserve">f the United Nations </w:t>
      </w:r>
      <w:r w:rsidR="00F4682E">
        <w:rPr>
          <w:i/>
        </w:rPr>
        <w:t>Legislation</w:t>
      </w:r>
      <w:r>
        <w:rPr>
          <w:i/>
        </w:rPr>
        <w:t xml:space="preserve"> </w:t>
      </w:r>
      <w:r w:rsidR="00F32DDD">
        <w:rPr>
          <w:i/>
        </w:rPr>
        <w:t xml:space="preserve">Amendment </w:t>
      </w:r>
    </w:p>
    <w:p w14:paraId="1D9E6CFC" w14:textId="77777777" w:rsidR="00BA4941" w:rsidRDefault="006B3B27" w:rsidP="00BA4941">
      <w:pPr>
        <w:jc w:val="center"/>
      </w:pPr>
      <w:r>
        <w:rPr>
          <w:i/>
        </w:rPr>
        <w:t>(2019</w:t>
      </w:r>
      <w:r w:rsidR="00F32DDD">
        <w:rPr>
          <w:i/>
        </w:rPr>
        <w:t xml:space="preserve"> Measures No</w:t>
      </w:r>
      <w:r w:rsidR="00122BFA">
        <w:rPr>
          <w:i/>
        </w:rPr>
        <w:t>.</w:t>
      </w:r>
      <w:r w:rsidR="00F32DDD">
        <w:rPr>
          <w:i/>
        </w:rPr>
        <w:t xml:space="preserve"> 1) </w:t>
      </w:r>
      <w:r w:rsidR="00BA4941">
        <w:rPr>
          <w:i/>
        </w:rPr>
        <w:t>Regulation</w:t>
      </w:r>
      <w:r w:rsidR="00DA57F5">
        <w:rPr>
          <w:i/>
        </w:rPr>
        <w:t>s</w:t>
      </w:r>
      <w:r w:rsidR="00BA4941">
        <w:rPr>
          <w:i/>
        </w:rPr>
        <w:t xml:space="preserve"> 201</w:t>
      </w:r>
      <w:r>
        <w:rPr>
          <w:i/>
        </w:rPr>
        <w:t>9</w:t>
      </w:r>
    </w:p>
    <w:p w14:paraId="61C7B32C" w14:textId="77777777" w:rsidR="00BC4DA5" w:rsidRDefault="00BC4DA5" w:rsidP="00BC4DA5"/>
    <w:p w14:paraId="6B7B2C57" w14:textId="77777777" w:rsidR="006A7F4B" w:rsidRDefault="00F32DDD" w:rsidP="00F32DDD">
      <w:r>
        <w:t xml:space="preserve">The </w:t>
      </w:r>
      <w:r>
        <w:rPr>
          <w:i/>
        </w:rPr>
        <w:t>Charter of the United Nations Act 1945</w:t>
      </w:r>
      <w:r>
        <w:t xml:space="preserve"> (the Act) provides legislative approval for the Charter of the United Nations (the Charter) in Australian law. </w:t>
      </w:r>
      <w:r w:rsidR="008624E0">
        <w:t xml:space="preserve">United Nations </w:t>
      </w:r>
      <w:r w:rsidR="008624E0" w:rsidRPr="008624E0">
        <w:t xml:space="preserve">Security Council </w:t>
      </w:r>
      <w:r w:rsidR="008624E0">
        <w:t xml:space="preserve">(UNSC) </w:t>
      </w:r>
      <w:r w:rsidR="008624E0" w:rsidRPr="008624E0">
        <w:t>decisions made under Chapter VII</w:t>
      </w:r>
      <w:r w:rsidR="008624E0">
        <w:t xml:space="preserve"> of the Charter</w:t>
      </w:r>
      <w:r w:rsidR="008624E0" w:rsidRPr="008624E0">
        <w:t xml:space="preserve"> relate to action with respect to threats to the peace, breaches of the peace, and acts of aggression.</w:t>
      </w:r>
      <w:r w:rsidR="008624E0">
        <w:t xml:space="preserve"> Article 25 of the Charter requires United Nations Member States to accept and carry out the decisions of the UNSC. </w:t>
      </w:r>
    </w:p>
    <w:p w14:paraId="76FC457F" w14:textId="77777777" w:rsidR="006A7F4B" w:rsidRDefault="006A7F4B" w:rsidP="00F32DDD"/>
    <w:p w14:paraId="45317E98" w14:textId="6F60FDFA" w:rsidR="00F32DDD" w:rsidRDefault="00F32DDD" w:rsidP="00F32DDD">
      <w:r>
        <w:t xml:space="preserve">Section 6 of the Act </w:t>
      </w:r>
      <w:r w:rsidR="008624E0">
        <w:t xml:space="preserve">therefore </w:t>
      </w:r>
      <w:r>
        <w:t>provides that the Governor-General may make regulations to give effect to decisions of the UNSC under Chapter VII of the Charter</w:t>
      </w:r>
      <w:r w:rsidR="008624E0">
        <w:t>,</w:t>
      </w:r>
      <w:r>
        <w:t xml:space="preserve"> that Article 25 of the Charter requires Australia to carry out, insofar as those decisions require Australia to apply measures not involving the use of armed force.</w:t>
      </w:r>
    </w:p>
    <w:p w14:paraId="16D25E5E" w14:textId="77777777" w:rsidR="00F32DDD" w:rsidRDefault="00F32DDD" w:rsidP="00F32DDD"/>
    <w:p w14:paraId="1F7B0B20" w14:textId="07E7986A" w:rsidR="00F32DDD" w:rsidRDefault="00F32DDD" w:rsidP="00F32DDD">
      <w:pPr>
        <w:rPr>
          <w:i/>
        </w:rPr>
      </w:pPr>
      <w:r>
        <w:t xml:space="preserve">The </w:t>
      </w:r>
      <w:r>
        <w:rPr>
          <w:i/>
        </w:rPr>
        <w:t xml:space="preserve">Charter of the United Nations </w:t>
      </w:r>
      <w:r w:rsidR="00F4682E">
        <w:rPr>
          <w:i/>
        </w:rPr>
        <w:t>Legislation</w:t>
      </w:r>
      <w:r w:rsidR="006B3B27">
        <w:rPr>
          <w:i/>
        </w:rPr>
        <w:t xml:space="preserve"> Amendment (2019</w:t>
      </w:r>
      <w:r>
        <w:rPr>
          <w:i/>
        </w:rPr>
        <w:t xml:space="preserve"> </w:t>
      </w:r>
      <w:r w:rsidR="006B3B27">
        <w:rPr>
          <w:i/>
        </w:rPr>
        <w:t>Measures No. 1) Regulations 2019</w:t>
      </w:r>
      <w:r>
        <w:rPr>
          <w:i/>
        </w:rPr>
        <w:t xml:space="preserve"> </w:t>
      </w:r>
      <w:r>
        <w:t xml:space="preserve">(the Regulations) </w:t>
      </w:r>
      <w:r>
        <w:rPr>
          <w:bCs/>
          <w:lang w:val="en-GB"/>
        </w:rPr>
        <w:t>amend</w:t>
      </w:r>
      <w:r w:rsidR="00F4682E">
        <w:rPr>
          <w:bCs/>
          <w:lang w:val="en-GB"/>
        </w:rPr>
        <w:t xml:space="preserve"> the</w:t>
      </w:r>
      <w:r>
        <w:rPr>
          <w:bCs/>
          <w:lang w:val="en-GB"/>
        </w:rPr>
        <w:t xml:space="preserve"> </w:t>
      </w:r>
      <w:r w:rsidR="00F4682E" w:rsidRPr="00D359F2">
        <w:rPr>
          <w:bCs/>
          <w:i/>
          <w:lang w:val="en-GB"/>
        </w:rPr>
        <w:t xml:space="preserve">Charter of </w:t>
      </w:r>
      <w:r w:rsidR="00F4682E">
        <w:rPr>
          <w:bCs/>
          <w:i/>
          <w:lang w:val="en-GB"/>
        </w:rPr>
        <w:t>the United Nations (Sanctions—Eritrea) Regulations 2010</w:t>
      </w:r>
      <w:r w:rsidR="00F4682E">
        <w:rPr>
          <w:bCs/>
          <w:lang w:val="en-GB"/>
        </w:rPr>
        <w:t xml:space="preserve"> (the Principal Eritrea Regulations)</w:t>
      </w:r>
      <w:r w:rsidR="00F4682E">
        <w:rPr>
          <w:bCs/>
          <w:i/>
          <w:lang w:val="en-GB"/>
        </w:rPr>
        <w:t xml:space="preserve"> </w:t>
      </w:r>
      <w:r w:rsidR="00F4682E" w:rsidRPr="00262950">
        <w:rPr>
          <w:bCs/>
          <w:lang w:val="en-GB"/>
        </w:rPr>
        <w:t xml:space="preserve">and the </w:t>
      </w:r>
      <w:r w:rsidR="00F4682E" w:rsidRPr="00D359F2">
        <w:rPr>
          <w:bCs/>
          <w:i/>
          <w:lang w:val="en-GB"/>
        </w:rPr>
        <w:t>Charter of the United Nations (Sanctions</w:t>
      </w:r>
      <w:r w:rsidR="00F4682E">
        <w:rPr>
          <w:bCs/>
          <w:i/>
          <w:lang w:val="en-GB"/>
        </w:rPr>
        <w:t>—Somalia) Regulations 2008</w:t>
      </w:r>
      <w:r w:rsidR="00F4682E" w:rsidRPr="00D359F2">
        <w:rPr>
          <w:bCs/>
          <w:i/>
          <w:lang w:val="en-GB"/>
        </w:rPr>
        <w:t xml:space="preserve"> </w:t>
      </w:r>
      <w:r w:rsidR="00F4682E" w:rsidRPr="000344ED">
        <w:rPr>
          <w:bCs/>
          <w:lang w:val="en-GB"/>
        </w:rPr>
        <w:t>(</w:t>
      </w:r>
      <w:r w:rsidR="00F4682E">
        <w:rPr>
          <w:bCs/>
          <w:lang w:val="en-GB"/>
        </w:rPr>
        <w:t>the P</w:t>
      </w:r>
      <w:r w:rsidR="00F4682E" w:rsidRPr="000344ED">
        <w:rPr>
          <w:bCs/>
          <w:lang w:val="en-GB"/>
        </w:rPr>
        <w:t xml:space="preserve">rincipal </w:t>
      </w:r>
      <w:r w:rsidR="00F4682E">
        <w:rPr>
          <w:bCs/>
          <w:lang w:val="en-GB"/>
        </w:rPr>
        <w:t xml:space="preserve">Somalia </w:t>
      </w:r>
      <w:r w:rsidR="00F4682E" w:rsidRPr="000344ED">
        <w:rPr>
          <w:bCs/>
          <w:lang w:val="en-GB"/>
        </w:rPr>
        <w:t xml:space="preserve">Regulations) to </w:t>
      </w:r>
      <w:r w:rsidR="00F4682E">
        <w:t xml:space="preserve">implement UNSC Resolution 2444 (2018) (UNSCR 2444) to lift sanctions in relation to Eritrea, and to update references in relation to </w:t>
      </w:r>
      <w:r w:rsidR="00D96E57">
        <w:t xml:space="preserve">the </w:t>
      </w:r>
      <w:r w:rsidR="00F4682E">
        <w:t>Somalia</w:t>
      </w:r>
      <w:r w:rsidR="00D96E57">
        <w:t xml:space="preserve"> sanctions regime</w:t>
      </w:r>
      <w:r w:rsidR="00F4682E">
        <w:t xml:space="preserve">, consistent with Australia’s international obligations.  </w:t>
      </w:r>
    </w:p>
    <w:p w14:paraId="4E668F55" w14:textId="77777777" w:rsidR="00F32DDD" w:rsidRDefault="00F32DDD" w:rsidP="00F32DDD"/>
    <w:p w14:paraId="0475C260" w14:textId="65E70174" w:rsidR="00F4682E" w:rsidRDefault="00F4682E" w:rsidP="00F4682E">
      <w:r>
        <w:t>The preamble to UNSCR 2444 notes that the Security Council was acting under Chapter VII of the Charter. Decisions of the Security Council contained in UNSCR 2444 are binding on Australi</w:t>
      </w:r>
      <w:r w:rsidR="00052D0A">
        <w:t>a.</w:t>
      </w:r>
    </w:p>
    <w:p w14:paraId="34AE997E" w14:textId="77777777" w:rsidR="00F4682E" w:rsidRDefault="00F4682E" w:rsidP="00F4682E"/>
    <w:p w14:paraId="29434E97" w14:textId="7EBD8506" w:rsidR="00F4682E" w:rsidRDefault="00F4682E" w:rsidP="00F4682E">
      <w:r>
        <w:t xml:space="preserve">UNSCR 2444 was adopted on 14 November </w:t>
      </w:r>
      <w:r w:rsidRPr="00D96E57">
        <w:t xml:space="preserve">2018 in the context of </w:t>
      </w:r>
      <w:r w:rsidR="008C4D32">
        <w:t>positive developments towards</w:t>
      </w:r>
      <w:r w:rsidRPr="00D96E57">
        <w:t xml:space="preserve"> peace, stability and reconciliation</w:t>
      </w:r>
      <w:r w:rsidR="00D96E57" w:rsidRPr="00D96E57">
        <w:t xml:space="preserve"> in the region</w:t>
      </w:r>
      <w:r w:rsidRPr="00D96E57">
        <w:t>. It requires all Member States to lift UN</w:t>
      </w:r>
      <w:r w:rsidRPr="00D96E57">
        <w:noBreakHyphen/>
        <w:t>mandated sanctions in relation to Eritrea.</w:t>
      </w:r>
      <w:r>
        <w:t xml:space="preserve">  </w:t>
      </w:r>
    </w:p>
    <w:p w14:paraId="162ACC34" w14:textId="77777777" w:rsidR="00F4682E" w:rsidRDefault="00F4682E" w:rsidP="00F4682E"/>
    <w:p w14:paraId="02E89619" w14:textId="16B99D0B" w:rsidR="00F4682E" w:rsidRDefault="00F4682E" w:rsidP="00F4682E">
      <w:pPr>
        <w:rPr>
          <w:bCs/>
          <w:lang w:val="en-GB"/>
        </w:rPr>
      </w:pPr>
      <w:r>
        <w:rPr>
          <w:bCs/>
          <w:lang w:val="en-GB"/>
        </w:rPr>
        <w:t>Section 8 of the Act provides that regulations giving effect to a particular decision of the UNSC cease to have effect when Article 25 of the Charter ceases to require Australia to carry out that decision. Consequently, the Principal Eritrea Regulations expired on 14 November 2018.</w:t>
      </w:r>
    </w:p>
    <w:p w14:paraId="2FD30131" w14:textId="77777777" w:rsidR="00F4682E" w:rsidRDefault="00F4682E" w:rsidP="00F4682E">
      <w:pPr>
        <w:rPr>
          <w:bCs/>
          <w:lang w:val="en-GB"/>
        </w:rPr>
      </w:pPr>
    </w:p>
    <w:p w14:paraId="4CE192EA" w14:textId="59C0B70C" w:rsidR="00F4682E" w:rsidRPr="003E55E5" w:rsidRDefault="00F4682E" w:rsidP="00F4682E">
      <w:pPr>
        <w:rPr>
          <w:bCs/>
          <w:lang w:val="en-GB"/>
        </w:rPr>
      </w:pPr>
      <w:r>
        <w:rPr>
          <w:bCs/>
          <w:lang w:val="en-GB"/>
        </w:rPr>
        <w:t xml:space="preserve">The Regulations repeal the expired Principal Eritrea Regulations, and effect a consequential amendment to the </w:t>
      </w:r>
      <w:r>
        <w:rPr>
          <w:bCs/>
          <w:i/>
          <w:lang w:val="en-GB"/>
        </w:rPr>
        <w:t>Charter of the United Nations (Dealing with Assets) Regulations 2008</w:t>
      </w:r>
      <w:r>
        <w:rPr>
          <w:bCs/>
          <w:lang w:val="en-GB"/>
        </w:rPr>
        <w:t xml:space="preserve"> to remove reference to Eritrea.</w:t>
      </w:r>
    </w:p>
    <w:p w14:paraId="04CDEAE3" w14:textId="77777777" w:rsidR="00F4682E" w:rsidRPr="000C2368" w:rsidRDefault="00F4682E" w:rsidP="00F4682E">
      <w:pPr>
        <w:rPr>
          <w:color w:val="000000"/>
        </w:rPr>
      </w:pPr>
    </w:p>
    <w:p w14:paraId="6AB8ABB4" w14:textId="71E7BDF8" w:rsidR="00F4682E" w:rsidRDefault="00F4682E" w:rsidP="00F4682E">
      <w:r>
        <w:rPr>
          <w:bCs/>
          <w:lang w:val="en-GB"/>
        </w:rPr>
        <w:t xml:space="preserve">The </w:t>
      </w:r>
      <w:r w:rsidRPr="000C2368">
        <w:rPr>
          <w:bCs/>
          <w:lang w:val="en-GB"/>
        </w:rPr>
        <w:t>Regulation</w:t>
      </w:r>
      <w:r>
        <w:rPr>
          <w:bCs/>
          <w:lang w:val="en-GB"/>
        </w:rPr>
        <w:t xml:space="preserve">s amend the Principal Somalia </w:t>
      </w:r>
      <w:r w:rsidRPr="000C2368">
        <w:rPr>
          <w:bCs/>
          <w:lang w:val="en-GB"/>
        </w:rPr>
        <w:t xml:space="preserve">Regulations </w:t>
      </w:r>
      <w:r>
        <w:rPr>
          <w:bCs/>
          <w:lang w:val="en-GB"/>
        </w:rPr>
        <w:t>to</w:t>
      </w:r>
      <w:r>
        <w:t xml:space="preserve"> update the reference to the United Nations Consolidated Appeal for Somalia, to reflect paragraph 48 of UNSCR 2444, which instead refers to the United Nations Humanitarian Response </w:t>
      </w:r>
      <w:r>
        <w:lastRenderedPageBreak/>
        <w:t>Plan for Somalia.</w:t>
      </w:r>
      <w:r w:rsidR="00D96E57">
        <w:t xml:space="preserve"> The Regulations also remove outdated and unnecessary notes from the Principal Somalia Regulations.</w:t>
      </w:r>
    </w:p>
    <w:p w14:paraId="499FFCCB" w14:textId="77777777" w:rsidR="00F4682E" w:rsidRDefault="00F4682E" w:rsidP="00F4682E">
      <w:pPr>
        <w:widowControl w:val="0"/>
        <w:autoSpaceDE w:val="0"/>
        <w:autoSpaceDN w:val="0"/>
        <w:adjustRightInd w:val="0"/>
        <w:rPr>
          <w:rFonts w:ascii="Times" w:hAnsi="Times" w:cs="Times"/>
          <w:noProof/>
          <w:color w:val="000000"/>
          <w:lang w:eastAsia="zh-CN"/>
        </w:rPr>
      </w:pPr>
    </w:p>
    <w:p w14:paraId="19B1E0E0" w14:textId="692BE0D3" w:rsidR="00F4682E" w:rsidRPr="00CD35B7" w:rsidRDefault="00F4682E" w:rsidP="00F4682E">
      <w:pPr>
        <w:widowControl w:val="0"/>
        <w:autoSpaceDE w:val="0"/>
        <w:autoSpaceDN w:val="0"/>
        <w:adjustRightInd w:val="0"/>
      </w:pPr>
      <w:r>
        <w:rPr>
          <w:rFonts w:ascii="Times" w:hAnsi="Times" w:cs="Times"/>
          <w:noProof/>
          <w:color w:val="000000"/>
          <w:lang w:eastAsia="zh-CN"/>
        </w:rPr>
        <w:t xml:space="preserve">UNSC Resolutions, including those referred to in the Regulations, can be </w:t>
      </w:r>
      <w:r>
        <w:t>found on the United Nations website.</w:t>
      </w:r>
    </w:p>
    <w:p w14:paraId="5F060990" w14:textId="77777777" w:rsidR="00F4682E" w:rsidRDefault="00F4682E" w:rsidP="00F4682E"/>
    <w:p w14:paraId="27D41956" w14:textId="7944C9FE" w:rsidR="00F4682E" w:rsidRDefault="00F4682E" w:rsidP="00F4682E">
      <w:r>
        <w:t xml:space="preserve">No public consultation was undertaken in relation to the proposed Regulations under section 17 of the </w:t>
      </w:r>
      <w:r w:rsidRPr="007319EB">
        <w:rPr>
          <w:i/>
        </w:rPr>
        <w:t>Legislation Act 2003</w:t>
      </w:r>
      <w:r>
        <w:t xml:space="preserve"> as the instrument implements Australia’s international legal obligations arising from decisions of the UNSC. The Department of Foreign Affairs and Trade conducts regular outreach to the Australian business community to explain Australian sanction laws implementing UNSC sanctions.</w:t>
      </w:r>
    </w:p>
    <w:p w14:paraId="0EDCB83C" w14:textId="77777777" w:rsidR="00F4682E" w:rsidRDefault="00F4682E" w:rsidP="00F4682E"/>
    <w:p w14:paraId="44948DEB" w14:textId="535CE89A" w:rsidR="00F4682E" w:rsidRPr="00CD35B7" w:rsidRDefault="00F4682E" w:rsidP="00F4682E">
      <w:r>
        <w:t xml:space="preserve">Details of the Regulations are set out in the </w:t>
      </w:r>
      <w:r>
        <w:rPr>
          <w:u w:val="single"/>
        </w:rPr>
        <w:t>Attachment</w:t>
      </w:r>
      <w:r>
        <w:t>.</w:t>
      </w:r>
    </w:p>
    <w:p w14:paraId="12154C16" w14:textId="77777777" w:rsidR="00F4682E" w:rsidRDefault="00F4682E" w:rsidP="00F4682E"/>
    <w:p w14:paraId="5614A80E" w14:textId="6EB47C4B" w:rsidR="00F4682E" w:rsidRDefault="00F4682E" w:rsidP="00F4682E">
      <w:pPr>
        <w:autoSpaceDE w:val="0"/>
        <w:autoSpaceDN w:val="0"/>
        <w:adjustRightInd w:val="0"/>
      </w:pPr>
      <w:r>
        <w:t>The Act specifies no conditions that need to be satisfied before the power to make the Regulations may be exercised.</w:t>
      </w:r>
    </w:p>
    <w:p w14:paraId="71800689" w14:textId="77777777" w:rsidR="00F4682E" w:rsidRDefault="00F4682E" w:rsidP="00F4682E">
      <w:pPr>
        <w:autoSpaceDE w:val="0"/>
        <w:autoSpaceDN w:val="0"/>
        <w:adjustRightInd w:val="0"/>
      </w:pPr>
    </w:p>
    <w:p w14:paraId="5787B3B9" w14:textId="147FC330" w:rsidR="00F4682E" w:rsidRDefault="00F4682E" w:rsidP="00F4682E">
      <w:pPr>
        <w:autoSpaceDE w:val="0"/>
        <w:autoSpaceDN w:val="0"/>
        <w:adjustRightInd w:val="0"/>
      </w:pPr>
      <w:r>
        <w:t xml:space="preserve">The Regulations </w:t>
      </w:r>
      <w:r w:rsidR="00C53A72">
        <w:t>are</w:t>
      </w:r>
      <w:r>
        <w:t xml:space="preserve"> a legislative instrument for the purpose of the </w:t>
      </w:r>
      <w:r w:rsidRPr="003B6E87">
        <w:rPr>
          <w:i/>
          <w:iCs/>
          <w:lang w:val="en-GB"/>
        </w:rPr>
        <w:t>Legislation Act 2003</w:t>
      </w:r>
      <w:r w:rsidRPr="003B6E87">
        <w:t xml:space="preserve">. </w:t>
      </w:r>
    </w:p>
    <w:p w14:paraId="0C06A716" w14:textId="77777777" w:rsidR="00F4682E" w:rsidRPr="003B6E87" w:rsidRDefault="00F4682E" w:rsidP="00F4682E">
      <w:pPr>
        <w:autoSpaceDE w:val="0"/>
        <w:autoSpaceDN w:val="0"/>
        <w:adjustRightInd w:val="0"/>
      </w:pPr>
    </w:p>
    <w:p w14:paraId="7644B987" w14:textId="0F48B4D1" w:rsidR="00F4682E" w:rsidRDefault="00F4682E" w:rsidP="00F4682E">
      <w:pPr>
        <w:autoSpaceDE w:val="0"/>
        <w:autoSpaceDN w:val="0"/>
        <w:adjustRightInd w:val="0"/>
      </w:pPr>
      <w:r>
        <w:t xml:space="preserve">The </w:t>
      </w:r>
      <w:r w:rsidRPr="00D96E57">
        <w:t xml:space="preserve">Regulations commence on the day after </w:t>
      </w:r>
      <w:r w:rsidR="00C53A72" w:rsidRPr="00D96E57">
        <w:t>registrat</w:t>
      </w:r>
      <w:r w:rsidR="00C53A72">
        <w:t>ion</w:t>
      </w:r>
      <w:r>
        <w:t xml:space="preserve"> on the Federal Register of Legislation.</w:t>
      </w:r>
    </w:p>
    <w:p w14:paraId="458E5545" w14:textId="77777777" w:rsidR="00F4682E" w:rsidRDefault="00F4682E" w:rsidP="00F4682E">
      <w:pPr>
        <w:autoSpaceDE w:val="0"/>
        <w:autoSpaceDN w:val="0"/>
        <w:adjustRightInd w:val="0"/>
      </w:pPr>
    </w:p>
    <w:p w14:paraId="1966B69F" w14:textId="77777777" w:rsidR="00893DD9" w:rsidRPr="00F4682E" w:rsidRDefault="00893DD9" w:rsidP="00893DD9">
      <w:pPr>
        <w:rPr>
          <w:color w:val="1F497D"/>
          <w:sz w:val="22"/>
          <w:szCs w:val="22"/>
        </w:rPr>
      </w:pPr>
      <w:r w:rsidRPr="00F4682E">
        <w:rPr>
          <w:iCs/>
        </w:rPr>
        <w:t>The Office of Best Practice Regulation has advised that a Regulation Impact Statement is not required when implementing a decision of the UNSC concerning sanctions (OBPR reference: 21407).</w:t>
      </w:r>
    </w:p>
    <w:p w14:paraId="1478A4B7" w14:textId="77777777" w:rsidR="00C2657E" w:rsidRPr="00F4682E" w:rsidRDefault="00C2657E" w:rsidP="009E526F">
      <w:pPr>
        <w:tabs>
          <w:tab w:val="left" w:pos="6521"/>
        </w:tabs>
        <w:ind w:right="91"/>
      </w:pPr>
    </w:p>
    <w:p w14:paraId="7353C7BC" w14:textId="77777777" w:rsidR="004841B8" w:rsidRDefault="004841B8" w:rsidP="004841B8">
      <w:pPr>
        <w:spacing w:before="120"/>
      </w:pPr>
      <w:r w:rsidRPr="00F4682E">
        <w:t xml:space="preserve">The Regulations are compatible with the human rights and freedoms recognised or declared in the international instruments listed in section 3 of the </w:t>
      </w:r>
      <w:r w:rsidRPr="00F4682E">
        <w:rPr>
          <w:i/>
        </w:rPr>
        <w:t>Human Rights (Parliamentary Scrutiny) Act 2011</w:t>
      </w:r>
      <w:r w:rsidRPr="00F4682E">
        <w:t xml:space="preserve"> as set out in </w:t>
      </w:r>
      <w:r w:rsidRPr="00F4682E">
        <w:rPr>
          <w:u w:val="single"/>
        </w:rPr>
        <w:t>Attachment B</w:t>
      </w:r>
      <w:r w:rsidRPr="00F4682E">
        <w:t>.</w:t>
      </w:r>
      <w:r w:rsidR="00C0190D">
        <w:t xml:space="preserve"> </w:t>
      </w:r>
    </w:p>
    <w:p w14:paraId="70226D88" w14:textId="77777777" w:rsidR="004841B8" w:rsidRDefault="004841B8" w:rsidP="004841B8">
      <w:pPr>
        <w:tabs>
          <w:tab w:val="left" w:pos="6521"/>
        </w:tabs>
        <w:ind w:right="91"/>
      </w:pPr>
    </w:p>
    <w:p w14:paraId="73D0EC85" w14:textId="77777777" w:rsidR="00DA48E7" w:rsidRDefault="00DA48E7" w:rsidP="00DA48E7">
      <w:pPr>
        <w:autoSpaceDE w:val="0"/>
        <w:autoSpaceDN w:val="0"/>
        <w:adjustRightInd w:val="0"/>
        <w:ind w:left="3600" w:firstLine="720"/>
        <w:jc w:val="right"/>
      </w:pPr>
      <w:r w:rsidRPr="008603ED">
        <w:rPr>
          <w:iCs/>
          <w:u w:val="single"/>
        </w:rPr>
        <w:t>Authority</w:t>
      </w:r>
      <w:r w:rsidRPr="008603ED">
        <w:rPr>
          <w:iCs/>
        </w:rPr>
        <w:t xml:space="preserve">: </w:t>
      </w:r>
      <w:r w:rsidRPr="008603ED">
        <w:t xml:space="preserve">Section 6 of the </w:t>
      </w:r>
    </w:p>
    <w:p w14:paraId="310E9CBC" w14:textId="77777777" w:rsidR="00DA48E7" w:rsidRDefault="00DA48E7" w:rsidP="00DA48E7">
      <w:pPr>
        <w:autoSpaceDE w:val="0"/>
        <w:autoSpaceDN w:val="0"/>
        <w:adjustRightInd w:val="0"/>
        <w:ind w:left="3600" w:firstLine="720"/>
        <w:jc w:val="right"/>
        <w:rPr>
          <w:i/>
          <w:iCs/>
        </w:rPr>
      </w:pPr>
      <w:r w:rsidRPr="008603ED">
        <w:rPr>
          <w:i/>
          <w:iCs/>
        </w:rPr>
        <w:t xml:space="preserve">Charter of the United </w:t>
      </w:r>
    </w:p>
    <w:p w14:paraId="189F99DD" w14:textId="77777777" w:rsidR="00DA48E7" w:rsidRPr="008603ED" w:rsidRDefault="00DA48E7" w:rsidP="00DA48E7">
      <w:pPr>
        <w:autoSpaceDE w:val="0"/>
        <w:autoSpaceDN w:val="0"/>
        <w:adjustRightInd w:val="0"/>
        <w:ind w:left="3600" w:firstLine="720"/>
        <w:jc w:val="right"/>
        <w:rPr>
          <w:iCs/>
        </w:rPr>
      </w:pPr>
      <w:r w:rsidRPr="008603ED">
        <w:rPr>
          <w:i/>
          <w:iCs/>
        </w:rPr>
        <w:t>Nations Act 1945</w:t>
      </w:r>
    </w:p>
    <w:p w14:paraId="3DDE644A" w14:textId="77777777" w:rsidR="009E526F" w:rsidRPr="005B1E94" w:rsidRDefault="009E526F" w:rsidP="009E526F">
      <w:pPr>
        <w:tabs>
          <w:tab w:val="left" w:pos="6521"/>
        </w:tabs>
        <w:ind w:right="91"/>
      </w:pPr>
    </w:p>
    <w:p w14:paraId="17BA3CC8" w14:textId="77777777" w:rsidR="00F32DDD" w:rsidRDefault="00BC4DA5" w:rsidP="00F32DDD">
      <w:pPr>
        <w:jc w:val="right"/>
        <w:rPr>
          <w:b/>
          <w:u w:val="single"/>
        </w:rPr>
      </w:pPr>
      <w:r>
        <w:rPr>
          <w:b/>
        </w:rPr>
        <w:br w:type="page"/>
      </w:r>
      <w:r w:rsidR="00F32DDD">
        <w:rPr>
          <w:b/>
          <w:u w:val="single"/>
        </w:rPr>
        <w:lastRenderedPageBreak/>
        <w:t xml:space="preserve">ATTACHMENT </w:t>
      </w:r>
      <w:r w:rsidR="00244E1E">
        <w:rPr>
          <w:b/>
          <w:u w:val="single"/>
        </w:rPr>
        <w:t>A</w:t>
      </w:r>
    </w:p>
    <w:p w14:paraId="5EBA8C96" w14:textId="77777777" w:rsidR="00F32DDD" w:rsidRDefault="00F32DDD" w:rsidP="00F32DDD">
      <w:pPr>
        <w:rPr>
          <w:b/>
          <w:u w:val="single"/>
        </w:rPr>
      </w:pPr>
    </w:p>
    <w:p w14:paraId="2BC96CF6" w14:textId="77777777" w:rsidR="0024546E" w:rsidRDefault="0024546E" w:rsidP="0024546E">
      <w:pPr>
        <w:rPr>
          <w:b/>
          <w:i/>
          <w:u w:val="single"/>
        </w:rPr>
      </w:pPr>
      <w:r>
        <w:rPr>
          <w:b/>
          <w:u w:val="single"/>
        </w:rPr>
        <w:t xml:space="preserve">Details of the proposed </w:t>
      </w:r>
      <w:r>
        <w:rPr>
          <w:b/>
          <w:i/>
          <w:u w:val="single"/>
        </w:rPr>
        <w:t>Charter of the United Nations Legislation Amendment (2019 Measures No. 1) Regulations 2019</w:t>
      </w:r>
    </w:p>
    <w:p w14:paraId="6965EF4F" w14:textId="77777777" w:rsidR="0024546E" w:rsidRDefault="0024546E" w:rsidP="0024546E">
      <w:pPr>
        <w:rPr>
          <w:b/>
          <w:i/>
          <w:u w:val="single"/>
        </w:rPr>
      </w:pPr>
    </w:p>
    <w:p w14:paraId="069A90A8" w14:textId="77777777" w:rsidR="0024546E" w:rsidRDefault="0024546E" w:rsidP="0024546E">
      <w:pPr>
        <w:rPr>
          <w:u w:val="single"/>
        </w:rPr>
      </w:pPr>
      <w:r>
        <w:rPr>
          <w:u w:val="single"/>
        </w:rPr>
        <w:t>Section 1 – Name</w:t>
      </w:r>
    </w:p>
    <w:p w14:paraId="72AC202B" w14:textId="143D09BC" w:rsidR="0024546E" w:rsidRDefault="0024546E" w:rsidP="0024546E">
      <w:r>
        <w:t>Section 1 provides that the title of the instrument is the</w:t>
      </w:r>
      <w:r w:rsidRPr="00991958">
        <w:rPr>
          <w:i/>
        </w:rPr>
        <w:t xml:space="preserve"> Charter of the United Nations </w:t>
      </w:r>
      <w:r>
        <w:rPr>
          <w:i/>
        </w:rPr>
        <w:t>Legislation</w:t>
      </w:r>
      <w:r w:rsidRPr="00991958">
        <w:rPr>
          <w:i/>
        </w:rPr>
        <w:t xml:space="preserve"> </w:t>
      </w:r>
      <w:r>
        <w:rPr>
          <w:i/>
        </w:rPr>
        <w:t xml:space="preserve">Amendment (2019 Measures No. 1) </w:t>
      </w:r>
      <w:r w:rsidRPr="00991958">
        <w:rPr>
          <w:i/>
        </w:rPr>
        <w:t>Regulation</w:t>
      </w:r>
      <w:r>
        <w:rPr>
          <w:i/>
        </w:rPr>
        <w:t>s</w:t>
      </w:r>
      <w:r w:rsidRPr="00991958">
        <w:rPr>
          <w:i/>
        </w:rPr>
        <w:t xml:space="preserve"> 201</w:t>
      </w:r>
      <w:r>
        <w:rPr>
          <w:i/>
        </w:rPr>
        <w:t>9</w:t>
      </w:r>
      <w:r>
        <w:t>.</w:t>
      </w:r>
    </w:p>
    <w:p w14:paraId="505B1917" w14:textId="77777777" w:rsidR="0024546E" w:rsidRDefault="0024546E" w:rsidP="0024546E"/>
    <w:p w14:paraId="51DE70C7" w14:textId="77777777" w:rsidR="0024546E" w:rsidRDefault="0024546E" w:rsidP="0024546E">
      <w:r>
        <w:rPr>
          <w:u w:val="single"/>
        </w:rPr>
        <w:t>Section 2 – Commencement</w:t>
      </w:r>
    </w:p>
    <w:p w14:paraId="5D9971EF" w14:textId="38B3A34E" w:rsidR="0024546E" w:rsidRDefault="0024546E" w:rsidP="0024546E">
      <w:r>
        <w:t>Section 2 provides that all provisions of the instrument commence the day after the instrument is registered.</w:t>
      </w:r>
    </w:p>
    <w:p w14:paraId="62B4D063" w14:textId="77777777" w:rsidR="0024546E" w:rsidRDefault="0024546E" w:rsidP="0024546E"/>
    <w:p w14:paraId="4DAB5BC0" w14:textId="77777777" w:rsidR="0024546E" w:rsidRDefault="0024546E" w:rsidP="0024546E">
      <w:r>
        <w:rPr>
          <w:u w:val="single"/>
        </w:rPr>
        <w:t>Section 3 – Authority</w:t>
      </w:r>
    </w:p>
    <w:p w14:paraId="41EBC345" w14:textId="5629CC0F" w:rsidR="0024546E" w:rsidRDefault="0024546E" w:rsidP="0024546E">
      <w:r>
        <w:t xml:space="preserve">Section 3 provides that the instrument is made under the </w:t>
      </w:r>
      <w:r>
        <w:rPr>
          <w:i/>
        </w:rPr>
        <w:t>Charter of the United Nations Act 1945</w:t>
      </w:r>
      <w:r>
        <w:t>.</w:t>
      </w:r>
    </w:p>
    <w:p w14:paraId="0CAF04D6" w14:textId="77777777" w:rsidR="0024546E" w:rsidRDefault="0024546E" w:rsidP="0024546E"/>
    <w:p w14:paraId="31594642" w14:textId="77777777" w:rsidR="0024546E" w:rsidRPr="003E52CA" w:rsidRDefault="0024546E" w:rsidP="0024546E">
      <w:pPr>
        <w:rPr>
          <w:u w:val="single"/>
        </w:rPr>
      </w:pPr>
      <w:r w:rsidRPr="003E52CA">
        <w:rPr>
          <w:u w:val="single"/>
        </w:rPr>
        <w:t>Section 4 – Schedule</w:t>
      </w:r>
    </w:p>
    <w:p w14:paraId="48E91483" w14:textId="304D36E1" w:rsidR="0024546E" w:rsidRPr="003E52CA" w:rsidRDefault="0024546E" w:rsidP="0024546E">
      <w:r w:rsidRPr="003E52CA">
        <w:t>Section 4 establish</w:t>
      </w:r>
      <w:r>
        <w:t>es</w:t>
      </w:r>
      <w:r w:rsidRPr="003E52CA">
        <w:t xml:space="preserve"> that each instrument that is specified in a Schedule to the </w:t>
      </w:r>
      <w:r>
        <w:t>proposed Regulations</w:t>
      </w:r>
      <w:r w:rsidRPr="003E52CA">
        <w:t xml:space="preserve"> is amended or repealed as set out in the applicable items in the Schedule concerned, and any other item in a Schedule to the </w:t>
      </w:r>
      <w:r>
        <w:t xml:space="preserve">proposed </w:t>
      </w:r>
      <w:r w:rsidRPr="003E52CA">
        <w:t>Regulation</w:t>
      </w:r>
      <w:r>
        <w:t>s</w:t>
      </w:r>
      <w:r w:rsidRPr="003E52CA">
        <w:t xml:space="preserve"> has effect according to its terms.</w:t>
      </w:r>
    </w:p>
    <w:p w14:paraId="30C4CAD2" w14:textId="77777777" w:rsidR="0024546E" w:rsidRPr="003E52CA" w:rsidRDefault="0024546E" w:rsidP="0024546E"/>
    <w:p w14:paraId="08A59CFB" w14:textId="77777777" w:rsidR="0024546E" w:rsidRDefault="0024546E" w:rsidP="0024546E">
      <w:pPr>
        <w:rPr>
          <w:u w:val="single"/>
        </w:rPr>
      </w:pPr>
      <w:r>
        <w:rPr>
          <w:u w:val="single"/>
        </w:rPr>
        <w:t>Schedule 1—Repeals and a</w:t>
      </w:r>
      <w:r w:rsidRPr="003E52CA">
        <w:rPr>
          <w:u w:val="single"/>
        </w:rPr>
        <w:t>mendments</w:t>
      </w:r>
    </w:p>
    <w:p w14:paraId="5E1BB082" w14:textId="77777777" w:rsidR="008A5BCF" w:rsidRDefault="008A5BCF" w:rsidP="0024546E">
      <w:pPr>
        <w:rPr>
          <w:u w:val="single"/>
        </w:rPr>
      </w:pPr>
    </w:p>
    <w:p w14:paraId="5483EF9F" w14:textId="5A5A87E1" w:rsidR="0024546E" w:rsidRDefault="0024546E" w:rsidP="0024546E">
      <w:pPr>
        <w:rPr>
          <w:u w:val="single"/>
        </w:rPr>
      </w:pPr>
      <w:r>
        <w:rPr>
          <w:u w:val="single"/>
        </w:rPr>
        <w:t>Part 1—Repeals</w:t>
      </w:r>
    </w:p>
    <w:p w14:paraId="648C8791" w14:textId="77777777" w:rsidR="0024546E" w:rsidRDefault="0024546E" w:rsidP="0024546E">
      <w:pPr>
        <w:rPr>
          <w:u w:val="single"/>
        </w:rPr>
      </w:pPr>
    </w:p>
    <w:p w14:paraId="7E39B996" w14:textId="77777777" w:rsidR="0024546E" w:rsidRPr="005C4A00" w:rsidRDefault="0024546E" w:rsidP="0024546E">
      <w:pPr>
        <w:rPr>
          <w:i/>
          <w:u w:val="single"/>
        </w:rPr>
      </w:pPr>
      <w:r w:rsidRPr="005C4A00">
        <w:rPr>
          <w:i/>
          <w:u w:val="single"/>
        </w:rPr>
        <w:t>Charter of the United Nations (Sanctions</w:t>
      </w:r>
      <w:r>
        <w:rPr>
          <w:i/>
          <w:u w:val="single"/>
        </w:rPr>
        <w:t>—Eritrea</w:t>
      </w:r>
      <w:r w:rsidRPr="005C4A00">
        <w:rPr>
          <w:i/>
          <w:u w:val="single"/>
        </w:rPr>
        <w:t>) Regulation</w:t>
      </w:r>
      <w:r>
        <w:rPr>
          <w:i/>
          <w:u w:val="single"/>
        </w:rPr>
        <w:t xml:space="preserve">s </w:t>
      </w:r>
      <w:r w:rsidRPr="005C4A00">
        <w:rPr>
          <w:i/>
          <w:u w:val="single"/>
        </w:rPr>
        <w:t>201</w:t>
      </w:r>
      <w:r>
        <w:rPr>
          <w:i/>
          <w:u w:val="single"/>
        </w:rPr>
        <w:t>0</w:t>
      </w:r>
    </w:p>
    <w:p w14:paraId="0791AFA0" w14:textId="77777777" w:rsidR="0024546E" w:rsidRPr="003E52CA" w:rsidRDefault="0024546E" w:rsidP="0024546E">
      <w:pPr>
        <w:rPr>
          <w:u w:val="single"/>
        </w:rPr>
      </w:pPr>
    </w:p>
    <w:p w14:paraId="7B0B319D" w14:textId="77777777" w:rsidR="0024546E" w:rsidRPr="003E52CA" w:rsidRDefault="0024546E" w:rsidP="0024546E">
      <w:pPr>
        <w:rPr>
          <w:b/>
        </w:rPr>
      </w:pPr>
      <w:r>
        <w:rPr>
          <w:b/>
        </w:rPr>
        <w:t>Item 1</w:t>
      </w:r>
    </w:p>
    <w:p w14:paraId="777B3F7B" w14:textId="19735093" w:rsidR="0024546E" w:rsidRPr="003E52CA" w:rsidRDefault="0024546E" w:rsidP="0024546E">
      <w:r>
        <w:t>Item 1</w:t>
      </w:r>
      <w:r w:rsidRPr="003E52CA">
        <w:t xml:space="preserve"> </w:t>
      </w:r>
      <w:r>
        <w:t xml:space="preserve">repeals the whole of the Principal Eritrea Regulations. </w:t>
      </w:r>
    </w:p>
    <w:p w14:paraId="4E3F3DCE" w14:textId="77777777" w:rsidR="0024546E" w:rsidRPr="003E52CA" w:rsidRDefault="0024546E" w:rsidP="0024546E">
      <w:pPr>
        <w:rPr>
          <w:b/>
        </w:rPr>
      </w:pPr>
    </w:p>
    <w:p w14:paraId="6B32E5DE" w14:textId="77777777" w:rsidR="0024546E" w:rsidRDefault="0024546E" w:rsidP="0024546E">
      <w:pPr>
        <w:rPr>
          <w:u w:val="single"/>
        </w:rPr>
      </w:pPr>
      <w:r>
        <w:rPr>
          <w:u w:val="single"/>
        </w:rPr>
        <w:t>Schedule 1—Repeals and a</w:t>
      </w:r>
      <w:r w:rsidRPr="003E52CA">
        <w:rPr>
          <w:u w:val="single"/>
        </w:rPr>
        <w:t>mendments</w:t>
      </w:r>
    </w:p>
    <w:p w14:paraId="1AA97448" w14:textId="77777777" w:rsidR="0024546E" w:rsidRDefault="0024546E" w:rsidP="0024546E">
      <w:pPr>
        <w:rPr>
          <w:u w:val="single"/>
        </w:rPr>
      </w:pPr>
    </w:p>
    <w:p w14:paraId="71DEA0BB" w14:textId="77777777" w:rsidR="0024546E" w:rsidRDefault="0024546E" w:rsidP="0024546E">
      <w:pPr>
        <w:rPr>
          <w:u w:val="single"/>
        </w:rPr>
      </w:pPr>
      <w:r>
        <w:rPr>
          <w:u w:val="single"/>
        </w:rPr>
        <w:t>Part 1—Amendments</w:t>
      </w:r>
    </w:p>
    <w:p w14:paraId="04C91714" w14:textId="77777777" w:rsidR="0024546E" w:rsidRDefault="0024546E" w:rsidP="0024546E">
      <w:pPr>
        <w:rPr>
          <w:u w:val="single"/>
        </w:rPr>
      </w:pPr>
    </w:p>
    <w:p w14:paraId="31871888" w14:textId="77777777" w:rsidR="0024546E" w:rsidRPr="005C4A00" w:rsidRDefault="0024546E" w:rsidP="0024546E">
      <w:pPr>
        <w:rPr>
          <w:i/>
          <w:u w:val="single"/>
        </w:rPr>
      </w:pPr>
      <w:r w:rsidRPr="005C4A00">
        <w:rPr>
          <w:i/>
          <w:u w:val="single"/>
        </w:rPr>
        <w:t xml:space="preserve">Charter </w:t>
      </w:r>
      <w:r>
        <w:rPr>
          <w:i/>
          <w:u w:val="single"/>
        </w:rPr>
        <w:t>of the United Nations (Dealing with Assets</w:t>
      </w:r>
      <w:r w:rsidRPr="005C4A00">
        <w:rPr>
          <w:i/>
          <w:u w:val="single"/>
        </w:rPr>
        <w:t>) Regulation</w:t>
      </w:r>
      <w:r>
        <w:rPr>
          <w:i/>
          <w:u w:val="single"/>
        </w:rPr>
        <w:t xml:space="preserve">s </w:t>
      </w:r>
      <w:r w:rsidRPr="005C4A00">
        <w:rPr>
          <w:i/>
          <w:u w:val="single"/>
        </w:rPr>
        <w:t>20</w:t>
      </w:r>
      <w:r>
        <w:rPr>
          <w:i/>
          <w:u w:val="single"/>
        </w:rPr>
        <w:t>08</w:t>
      </w:r>
    </w:p>
    <w:p w14:paraId="26C4F113" w14:textId="77777777" w:rsidR="0024546E" w:rsidRDefault="0024546E" w:rsidP="0024546E">
      <w:pPr>
        <w:rPr>
          <w:b/>
        </w:rPr>
      </w:pPr>
    </w:p>
    <w:p w14:paraId="6C612D4E" w14:textId="77777777" w:rsidR="0024546E" w:rsidRPr="003E52CA" w:rsidRDefault="0024546E" w:rsidP="0024546E">
      <w:pPr>
        <w:rPr>
          <w:b/>
        </w:rPr>
      </w:pPr>
      <w:r>
        <w:rPr>
          <w:b/>
        </w:rPr>
        <w:t>Item 2</w:t>
      </w:r>
    </w:p>
    <w:p w14:paraId="67140D82" w14:textId="6C1BCA3E" w:rsidR="0024546E" w:rsidRPr="004509F8" w:rsidRDefault="0024546E" w:rsidP="0024546E">
      <w:r>
        <w:t>Item 2</w:t>
      </w:r>
      <w:r w:rsidRPr="003E52CA">
        <w:t xml:space="preserve"> </w:t>
      </w:r>
      <w:r>
        <w:t xml:space="preserve">repeals paragraph (e) of the definition of </w:t>
      </w:r>
      <w:r w:rsidRPr="006D288F">
        <w:t>‘Sanctions Regulations’</w:t>
      </w:r>
      <w:r>
        <w:t xml:space="preserve"> in regulation 4.</w:t>
      </w:r>
    </w:p>
    <w:p w14:paraId="07571DF4" w14:textId="77777777" w:rsidR="0024546E" w:rsidRPr="003E52CA" w:rsidRDefault="0024546E" w:rsidP="0024546E"/>
    <w:p w14:paraId="3424D86E" w14:textId="77777777" w:rsidR="0024546E" w:rsidRPr="005C4A00" w:rsidRDefault="0024546E" w:rsidP="0024546E">
      <w:pPr>
        <w:rPr>
          <w:i/>
          <w:u w:val="single"/>
        </w:rPr>
      </w:pPr>
      <w:r w:rsidRPr="005C4A00">
        <w:rPr>
          <w:i/>
          <w:u w:val="single"/>
        </w:rPr>
        <w:t>Charter of the United Nations (Sanctions</w:t>
      </w:r>
      <w:r>
        <w:rPr>
          <w:i/>
          <w:u w:val="single"/>
        </w:rPr>
        <w:t>—Somalia</w:t>
      </w:r>
      <w:r w:rsidRPr="005C4A00">
        <w:rPr>
          <w:i/>
          <w:u w:val="single"/>
        </w:rPr>
        <w:t>) Regulation</w:t>
      </w:r>
      <w:r>
        <w:rPr>
          <w:i/>
          <w:u w:val="single"/>
        </w:rPr>
        <w:t>s 2008</w:t>
      </w:r>
    </w:p>
    <w:p w14:paraId="048FD60C" w14:textId="77777777" w:rsidR="0024546E" w:rsidRPr="003E52CA" w:rsidRDefault="0024546E" w:rsidP="0024546E">
      <w:pPr>
        <w:rPr>
          <w:b/>
        </w:rPr>
      </w:pPr>
      <w:r>
        <w:rPr>
          <w:b/>
        </w:rPr>
        <w:t>Item 3</w:t>
      </w:r>
    </w:p>
    <w:p w14:paraId="1D1334EC" w14:textId="7A05E919" w:rsidR="0024546E" w:rsidRPr="003E52CA" w:rsidRDefault="0024546E" w:rsidP="0024546E">
      <w:r>
        <w:t>Item 3</w:t>
      </w:r>
      <w:r w:rsidRPr="003E52CA">
        <w:t xml:space="preserve"> </w:t>
      </w:r>
      <w:r>
        <w:t>replaces reference to the ‘United Nations Consolidated Appeal for Somalia’ with reference to the ‘United Nations Humanitarian Response Plan for Somalia’</w:t>
      </w:r>
      <w:r w:rsidR="0051307E">
        <w:t xml:space="preserve"> in subparagraph 13(2)(b)(iii).</w:t>
      </w:r>
    </w:p>
    <w:p w14:paraId="04E1FBCF" w14:textId="77777777" w:rsidR="0024546E" w:rsidRPr="003E52CA" w:rsidRDefault="0024546E" w:rsidP="0024546E">
      <w:pPr>
        <w:rPr>
          <w:b/>
        </w:rPr>
      </w:pPr>
    </w:p>
    <w:p w14:paraId="6C85DEE8" w14:textId="77777777" w:rsidR="0024546E" w:rsidRDefault="0024546E" w:rsidP="0024546E">
      <w:pPr>
        <w:rPr>
          <w:b/>
        </w:rPr>
      </w:pPr>
      <w:r>
        <w:rPr>
          <w:b/>
        </w:rPr>
        <w:br w:type="page"/>
      </w:r>
    </w:p>
    <w:p w14:paraId="66C558A6" w14:textId="77777777" w:rsidR="0024546E" w:rsidRPr="000C1FE6" w:rsidRDefault="0024546E" w:rsidP="0024546E">
      <w:pPr>
        <w:rPr>
          <w:b/>
        </w:rPr>
      </w:pPr>
      <w:r>
        <w:rPr>
          <w:b/>
        </w:rPr>
        <w:t>Item 4</w:t>
      </w:r>
    </w:p>
    <w:p w14:paraId="6DDCE586" w14:textId="490A195E" w:rsidR="0051307E" w:rsidRDefault="0024546E" w:rsidP="0024546E">
      <w:r>
        <w:t>Item 4</w:t>
      </w:r>
      <w:r w:rsidRPr="000C1FE6">
        <w:t xml:space="preserve"> </w:t>
      </w:r>
      <w:r>
        <w:t>repeals t</w:t>
      </w:r>
      <w:r w:rsidR="0051307E">
        <w:t>he note to subregulation 13(2).</w:t>
      </w:r>
    </w:p>
    <w:p w14:paraId="10C8AAFE" w14:textId="77777777" w:rsidR="0051307E" w:rsidRDefault="0051307E" w:rsidP="0024546E"/>
    <w:p w14:paraId="37E57A17" w14:textId="5D971107" w:rsidR="0051307E" w:rsidRPr="003E52CA" w:rsidRDefault="0051307E" w:rsidP="0051307E">
      <w:pPr>
        <w:rPr>
          <w:b/>
        </w:rPr>
      </w:pPr>
      <w:r>
        <w:rPr>
          <w:b/>
        </w:rPr>
        <w:t>Item 5</w:t>
      </w:r>
    </w:p>
    <w:p w14:paraId="79899DAB" w14:textId="20041DF4" w:rsidR="0051307E" w:rsidRPr="003E52CA" w:rsidRDefault="0051307E" w:rsidP="0051307E">
      <w:r>
        <w:t>Item 5</w:t>
      </w:r>
      <w:r w:rsidRPr="003E52CA">
        <w:t xml:space="preserve"> </w:t>
      </w:r>
      <w:r>
        <w:t>replaces reference to the ‘United Nations Consolidated Appeal for Somalia’ with reference to the ‘United Nations Humanitarian Response Plan for Somalia’ in subparagraph 14(2)(b)(iii).</w:t>
      </w:r>
    </w:p>
    <w:p w14:paraId="315668FF" w14:textId="77777777" w:rsidR="0051307E" w:rsidRDefault="0051307E" w:rsidP="0024546E"/>
    <w:p w14:paraId="08E41A1A" w14:textId="1257AC6A" w:rsidR="0051307E" w:rsidRPr="000C1FE6" w:rsidRDefault="0051307E" w:rsidP="0051307E">
      <w:pPr>
        <w:rPr>
          <w:b/>
        </w:rPr>
      </w:pPr>
      <w:r>
        <w:rPr>
          <w:b/>
        </w:rPr>
        <w:t>Item 6</w:t>
      </w:r>
    </w:p>
    <w:p w14:paraId="31CA19D5" w14:textId="64115276" w:rsidR="0051307E" w:rsidRDefault="0051307E" w:rsidP="0051307E">
      <w:r>
        <w:t>Item 6</w:t>
      </w:r>
      <w:r w:rsidRPr="000C1FE6">
        <w:t xml:space="preserve"> </w:t>
      </w:r>
      <w:r>
        <w:t>repeals the note to subregulation 14(2).</w:t>
      </w:r>
    </w:p>
    <w:p w14:paraId="37F07F2A" w14:textId="77777777" w:rsidR="00F32DDD" w:rsidRDefault="00F32DDD" w:rsidP="00F32DDD">
      <w:pPr>
        <w:jc w:val="right"/>
        <w:rPr>
          <w:b/>
          <w:u w:val="single"/>
        </w:rPr>
      </w:pPr>
    </w:p>
    <w:p w14:paraId="204B5044" w14:textId="77777777" w:rsidR="00F32DDD" w:rsidRDefault="00F32DDD" w:rsidP="00F32DDD">
      <w:pPr>
        <w:jc w:val="right"/>
        <w:rPr>
          <w:b/>
          <w:u w:val="single"/>
        </w:rPr>
      </w:pPr>
    </w:p>
    <w:p w14:paraId="04530AA9" w14:textId="77777777" w:rsidR="00244E1E" w:rsidRDefault="00244E1E">
      <w:pPr>
        <w:rPr>
          <w:b/>
          <w:u w:val="single"/>
        </w:rPr>
      </w:pPr>
      <w:r>
        <w:rPr>
          <w:b/>
          <w:u w:val="single"/>
        </w:rPr>
        <w:br w:type="page"/>
      </w:r>
    </w:p>
    <w:p w14:paraId="00CCB397" w14:textId="77777777" w:rsidR="00BD40FA" w:rsidRPr="006C38EA" w:rsidRDefault="00BD40FA" w:rsidP="00F32DDD">
      <w:pPr>
        <w:jc w:val="right"/>
        <w:rPr>
          <w:b/>
          <w:u w:val="single"/>
        </w:rPr>
      </w:pPr>
      <w:r w:rsidRPr="006C38EA">
        <w:rPr>
          <w:b/>
          <w:u w:val="single"/>
        </w:rPr>
        <w:t>ATTACHMENT B</w:t>
      </w:r>
    </w:p>
    <w:p w14:paraId="48125231" w14:textId="77777777" w:rsidR="00BD40FA" w:rsidRPr="006C38EA" w:rsidRDefault="00BD40FA" w:rsidP="00BD40FA">
      <w:pPr>
        <w:jc w:val="center"/>
        <w:rPr>
          <w:b/>
        </w:rPr>
      </w:pPr>
    </w:p>
    <w:p w14:paraId="01E7ED55" w14:textId="77777777" w:rsidR="00BD40FA" w:rsidRPr="006C38EA" w:rsidRDefault="00BD40FA" w:rsidP="00BD40FA">
      <w:pPr>
        <w:rPr>
          <w:b/>
        </w:rPr>
      </w:pPr>
    </w:p>
    <w:p w14:paraId="3988986A" w14:textId="77777777" w:rsidR="00BD40FA" w:rsidRPr="006C38EA" w:rsidRDefault="00BD40FA" w:rsidP="00BD40FA">
      <w:pPr>
        <w:jc w:val="center"/>
        <w:rPr>
          <w:lang w:eastAsia="en-AU"/>
        </w:rPr>
      </w:pPr>
      <w:r w:rsidRPr="006C38EA">
        <w:rPr>
          <w:b/>
          <w:bCs/>
          <w:u w:val="single"/>
          <w:lang w:eastAsia="en-AU"/>
        </w:rPr>
        <w:t>Statement of Compatibility with Human Rights</w:t>
      </w:r>
    </w:p>
    <w:p w14:paraId="484BFFBD" w14:textId="77777777" w:rsidR="00BD40FA" w:rsidRPr="006C38EA" w:rsidRDefault="00BD40FA" w:rsidP="00BD40FA">
      <w:pPr>
        <w:widowControl w:val="0"/>
        <w:jc w:val="center"/>
        <w:rPr>
          <w:noProof/>
          <w:lang w:eastAsia="en-AU"/>
        </w:rPr>
      </w:pPr>
    </w:p>
    <w:p w14:paraId="269ECF5A" w14:textId="77777777" w:rsidR="00BD40FA" w:rsidRPr="006C38EA" w:rsidRDefault="00BD40FA" w:rsidP="00BD40FA">
      <w:pPr>
        <w:widowControl w:val="0"/>
        <w:jc w:val="center"/>
        <w:rPr>
          <w:noProof/>
          <w:lang w:eastAsia="en-AU"/>
        </w:rPr>
      </w:pPr>
      <w:r w:rsidRPr="006C38EA">
        <w:rPr>
          <w:noProof/>
          <w:lang w:eastAsia="en-AU"/>
        </w:rPr>
        <w:t xml:space="preserve">Prepared in accordance with Part 3 of the </w:t>
      </w:r>
      <w:r w:rsidRPr="006C38EA">
        <w:rPr>
          <w:i/>
          <w:noProof/>
          <w:lang w:eastAsia="en-AU"/>
        </w:rPr>
        <w:t>Human Rights (Parliamentary Scrutiny) Act 2011</w:t>
      </w:r>
    </w:p>
    <w:p w14:paraId="3585736E" w14:textId="77777777" w:rsidR="00BD40FA" w:rsidRPr="006C38EA" w:rsidRDefault="00BD40FA" w:rsidP="00BD40FA">
      <w:pPr>
        <w:widowControl w:val="0"/>
        <w:jc w:val="center"/>
        <w:rPr>
          <w:bCs/>
          <w:noProof/>
          <w:lang w:eastAsia="zh-CN"/>
        </w:rPr>
      </w:pPr>
    </w:p>
    <w:p w14:paraId="01F88FCA" w14:textId="77777777" w:rsidR="0024546E" w:rsidRDefault="0024546E" w:rsidP="0024546E">
      <w:pPr>
        <w:jc w:val="center"/>
        <w:rPr>
          <w:i/>
        </w:rPr>
      </w:pPr>
      <w:r>
        <w:rPr>
          <w:i/>
        </w:rPr>
        <w:t xml:space="preserve">Charter of the United Nations Legislation Amendment </w:t>
      </w:r>
    </w:p>
    <w:p w14:paraId="37B0DE13" w14:textId="77777777" w:rsidR="0024546E" w:rsidRDefault="0024546E" w:rsidP="0024546E">
      <w:pPr>
        <w:jc w:val="center"/>
      </w:pPr>
      <w:r>
        <w:rPr>
          <w:i/>
        </w:rPr>
        <w:t>(2019 Measures No. 1) Regulations 2019</w:t>
      </w:r>
    </w:p>
    <w:p w14:paraId="5BAA2497" w14:textId="17444065" w:rsidR="000529D0" w:rsidRPr="00DB3D00" w:rsidRDefault="0024546E" w:rsidP="0024546E">
      <w:pPr>
        <w:jc w:val="center"/>
      </w:pPr>
      <w:r w:rsidRPr="00DB3D00">
        <w:t xml:space="preserve"> </w:t>
      </w:r>
      <w:r w:rsidR="00DB3D00" w:rsidRPr="00DB3D00">
        <w:t>(the Regulations)</w:t>
      </w:r>
    </w:p>
    <w:p w14:paraId="294AA8B2" w14:textId="77777777" w:rsidR="00BD40FA" w:rsidRPr="006C38EA" w:rsidRDefault="00BD40FA" w:rsidP="00BD40FA">
      <w:pPr>
        <w:jc w:val="center"/>
        <w:rPr>
          <w:i/>
          <w:iCs/>
          <w:noProof/>
          <w:lang w:eastAsia="zh-CN"/>
        </w:rPr>
      </w:pPr>
      <w:r w:rsidRPr="006C38EA">
        <w:rPr>
          <w:i/>
          <w:u w:val="single"/>
          <w:lang w:eastAsia="en-AU"/>
        </w:rPr>
        <w:t xml:space="preserve"> </w:t>
      </w:r>
    </w:p>
    <w:p w14:paraId="30368776" w14:textId="77777777" w:rsidR="00BD40FA" w:rsidRPr="006C38EA" w:rsidRDefault="00BD40FA" w:rsidP="00BD40FA">
      <w:pPr>
        <w:widowControl w:val="0"/>
        <w:rPr>
          <w:noProof/>
          <w:lang w:eastAsia="en-AU"/>
        </w:rPr>
      </w:pPr>
    </w:p>
    <w:p w14:paraId="36F788B1" w14:textId="639E18D8" w:rsidR="00BD40FA" w:rsidRPr="006C38EA" w:rsidRDefault="00C53A72" w:rsidP="00BD40FA">
      <w:pPr>
        <w:rPr>
          <w:bCs/>
          <w:noProof/>
          <w:lang w:eastAsia="zh-CN"/>
        </w:rPr>
      </w:pPr>
      <w:r>
        <w:rPr>
          <w:bCs/>
          <w:noProof/>
          <w:lang w:eastAsia="zh-CN"/>
        </w:rPr>
        <w:t>This Legislative I</w:t>
      </w:r>
      <w:r w:rsidR="00331BBD">
        <w:rPr>
          <w:bCs/>
          <w:noProof/>
          <w:lang w:eastAsia="zh-CN"/>
        </w:rPr>
        <w:t>nstrument is</w:t>
      </w:r>
      <w:r w:rsidR="00BD40FA" w:rsidRPr="006C38EA">
        <w:rPr>
          <w:bCs/>
          <w:noProof/>
          <w:lang w:eastAsia="zh-CN"/>
        </w:rPr>
        <w:t xml:space="preserve"> compatible with the human rights and freedoms recognised or declared in the international instruments listed in section 3 of the </w:t>
      </w:r>
      <w:r w:rsidR="00BD40FA" w:rsidRPr="006C38EA">
        <w:rPr>
          <w:bCs/>
          <w:i/>
          <w:noProof/>
          <w:lang w:eastAsia="zh-CN"/>
        </w:rPr>
        <w:t>Human Rights (Parliamentary Scrutiny) Act 2011.</w:t>
      </w:r>
      <w:r w:rsidR="00BD40FA" w:rsidRPr="006C38EA">
        <w:rPr>
          <w:bCs/>
          <w:noProof/>
          <w:lang w:eastAsia="zh-CN"/>
        </w:rPr>
        <w:t xml:space="preserve"> </w:t>
      </w:r>
    </w:p>
    <w:p w14:paraId="5143CB70" w14:textId="77777777" w:rsidR="00BD40FA" w:rsidRDefault="00BD40FA" w:rsidP="00BD40FA">
      <w:pPr>
        <w:rPr>
          <w:bCs/>
          <w:noProof/>
          <w:lang w:eastAsia="zh-CN"/>
        </w:rPr>
      </w:pPr>
    </w:p>
    <w:p w14:paraId="30E05910" w14:textId="77777777" w:rsidR="00331BBD" w:rsidRDefault="00331BBD" w:rsidP="00BD40FA">
      <w:pPr>
        <w:rPr>
          <w:bCs/>
          <w:noProof/>
          <w:u w:val="single"/>
          <w:lang w:eastAsia="zh-CN"/>
        </w:rPr>
      </w:pPr>
      <w:r w:rsidRPr="00331BBD">
        <w:rPr>
          <w:bCs/>
          <w:noProof/>
          <w:u w:val="single"/>
          <w:lang w:eastAsia="zh-CN"/>
        </w:rPr>
        <w:t>Overview</w:t>
      </w:r>
    </w:p>
    <w:p w14:paraId="74957383" w14:textId="77777777" w:rsidR="00C07C6C" w:rsidRDefault="00C07C6C" w:rsidP="00BD40FA">
      <w:pPr>
        <w:rPr>
          <w:bCs/>
          <w:noProof/>
          <w:u w:val="single"/>
          <w:lang w:eastAsia="zh-CN"/>
        </w:rPr>
      </w:pPr>
    </w:p>
    <w:p w14:paraId="532F0F39" w14:textId="34C5D093" w:rsidR="006A7F4B" w:rsidRDefault="00C07C6C" w:rsidP="00BD40FA">
      <w:r>
        <w:t xml:space="preserve">The </w:t>
      </w:r>
      <w:r>
        <w:rPr>
          <w:i/>
        </w:rPr>
        <w:t>Charter of the United Nations Act 1945</w:t>
      </w:r>
      <w:r>
        <w:t xml:space="preserve"> (the Act) provides legislative approval for the Charter of the United Nations (the Charter) in Australian law. </w:t>
      </w:r>
      <w:r w:rsidR="006A7F4B">
        <w:t xml:space="preserve">United Nations </w:t>
      </w:r>
      <w:r w:rsidR="008624E0" w:rsidRPr="008624E0">
        <w:t>Security Council</w:t>
      </w:r>
      <w:r w:rsidR="006A7F4B">
        <w:t xml:space="preserve"> (UNSC)</w:t>
      </w:r>
      <w:r w:rsidR="008624E0" w:rsidRPr="008624E0">
        <w:t xml:space="preserve"> decisions made under Chapter VII</w:t>
      </w:r>
      <w:r w:rsidR="008624E0">
        <w:t xml:space="preserve"> of the Charter</w:t>
      </w:r>
      <w:r w:rsidR="008624E0" w:rsidRPr="008624E0">
        <w:t xml:space="preserve"> relate to action with respect to threats to the peace, breaches of the peace, and acts of aggression.</w:t>
      </w:r>
      <w:r w:rsidR="008624E0">
        <w:t xml:space="preserve"> Article 25 of the Charter requires United Nations Member States to accept and carry out the decisions of the </w:t>
      </w:r>
      <w:r w:rsidR="006A7F4B">
        <w:t>UNSC</w:t>
      </w:r>
      <w:r w:rsidR="008624E0">
        <w:t xml:space="preserve">. </w:t>
      </w:r>
    </w:p>
    <w:p w14:paraId="60C744DF" w14:textId="77777777" w:rsidR="006A7F4B" w:rsidRDefault="006A7F4B" w:rsidP="00BD40FA"/>
    <w:p w14:paraId="64EDDE3A" w14:textId="4D44B1FD" w:rsidR="00425291" w:rsidRPr="00C07C6C" w:rsidRDefault="00C07C6C" w:rsidP="00BD40FA">
      <w:r>
        <w:t xml:space="preserve">Section 6 of the Act </w:t>
      </w:r>
      <w:r w:rsidR="008624E0">
        <w:t xml:space="preserve">therefore </w:t>
      </w:r>
      <w:r>
        <w:t>provides that the Governor-General may make regulations to give effect to decisions of the UNSC under Chapter VII of the Charter</w:t>
      </w:r>
      <w:r w:rsidR="006A7F4B">
        <w:t>,</w:t>
      </w:r>
      <w:r>
        <w:t xml:space="preserve"> that Article 25 of the Charter requires Australia to carry out, insofar as those decisions require Australia to apply measures not involving the use of armed force.  </w:t>
      </w:r>
    </w:p>
    <w:p w14:paraId="29C57855" w14:textId="2FB1A736" w:rsidR="00331BBD" w:rsidRPr="006C38EA" w:rsidRDefault="00331BBD" w:rsidP="00BD40FA">
      <w:pPr>
        <w:rPr>
          <w:bCs/>
          <w:noProof/>
          <w:lang w:eastAsia="zh-CN"/>
        </w:rPr>
      </w:pPr>
    </w:p>
    <w:p w14:paraId="70A3543A" w14:textId="704A925D" w:rsidR="00314D71" w:rsidRDefault="0024546E" w:rsidP="0024546E">
      <w:pPr>
        <w:rPr>
          <w:bCs/>
          <w:lang w:val="en-GB"/>
        </w:rPr>
      </w:pPr>
      <w:r>
        <w:t>Th</w:t>
      </w:r>
      <w:r w:rsidR="00C53A72">
        <w:t>is</w:t>
      </w:r>
      <w:r>
        <w:t xml:space="preserve"> </w:t>
      </w:r>
      <w:r w:rsidR="00C53A72">
        <w:t>Legislative Instrument</w:t>
      </w:r>
      <w:r>
        <w:t xml:space="preserve"> </w:t>
      </w:r>
      <w:r>
        <w:rPr>
          <w:bCs/>
          <w:lang w:val="en-GB"/>
        </w:rPr>
        <w:t>amend</w:t>
      </w:r>
      <w:r w:rsidR="00C53A72">
        <w:rPr>
          <w:bCs/>
          <w:lang w:val="en-GB"/>
        </w:rPr>
        <w:t>s</w:t>
      </w:r>
      <w:r>
        <w:rPr>
          <w:bCs/>
          <w:lang w:val="en-GB"/>
        </w:rPr>
        <w:t xml:space="preserve"> the </w:t>
      </w:r>
      <w:r w:rsidRPr="00D359F2">
        <w:rPr>
          <w:bCs/>
          <w:i/>
          <w:lang w:val="en-GB"/>
        </w:rPr>
        <w:t xml:space="preserve">Charter of </w:t>
      </w:r>
      <w:r>
        <w:rPr>
          <w:bCs/>
          <w:i/>
          <w:lang w:val="en-GB"/>
        </w:rPr>
        <w:t>the United Nations (Sanctions—Eritrea) Regulations 2010</w:t>
      </w:r>
      <w:r>
        <w:rPr>
          <w:bCs/>
          <w:lang w:val="en-GB"/>
        </w:rPr>
        <w:t xml:space="preserve"> (the Principal Eritrea Regulations)</w:t>
      </w:r>
      <w:r>
        <w:rPr>
          <w:bCs/>
          <w:i/>
          <w:lang w:val="en-GB"/>
        </w:rPr>
        <w:t xml:space="preserve"> </w:t>
      </w:r>
      <w:r w:rsidRPr="00262950">
        <w:rPr>
          <w:bCs/>
          <w:lang w:val="en-GB"/>
        </w:rPr>
        <w:t xml:space="preserve">and the </w:t>
      </w:r>
      <w:r w:rsidRPr="00D359F2">
        <w:rPr>
          <w:bCs/>
          <w:i/>
          <w:lang w:val="en-GB"/>
        </w:rPr>
        <w:t>Charter of the United Nations (Sanctions</w:t>
      </w:r>
      <w:r>
        <w:rPr>
          <w:bCs/>
          <w:i/>
          <w:lang w:val="en-GB"/>
        </w:rPr>
        <w:t>—Somalia) Regulations 2008</w:t>
      </w:r>
      <w:r w:rsidRPr="00D359F2">
        <w:rPr>
          <w:bCs/>
          <w:i/>
          <w:lang w:val="en-GB"/>
        </w:rPr>
        <w:t xml:space="preserve"> </w:t>
      </w:r>
      <w:r w:rsidRPr="000344ED">
        <w:rPr>
          <w:bCs/>
          <w:lang w:val="en-GB"/>
        </w:rPr>
        <w:t>(</w:t>
      </w:r>
      <w:r>
        <w:rPr>
          <w:bCs/>
          <w:lang w:val="en-GB"/>
        </w:rPr>
        <w:t>the P</w:t>
      </w:r>
      <w:r w:rsidRPr="000344ED">
        <w:rPr>
          <w:bCs/>
          <w:lang w:val="en-GB"/>
        </w:rPr>
        <w:t xml:space="preserve">rincipal </w:t>
      </w:r>
      <w:r>
        <w:rPr>
          <w:bCs/>
          <w:lang w:val="en-GB"/>
        </w:rPr>
        <w:t xml:space="preserve">Somalia </w:t>
      </w:r>
      <w:r w:rsidRPr="000344ED">
        <w:rPr>
          <w:bCs/>
          <w:lang w:val="en-GB"/>
        </w:rPr>
        <w:t xml:space="preserve">Regulations) </w:t>
      </w:r>
      <w:r w:rsidR="00C53A72">
        <w:rPr>
          <w:bCs/>
          <w:lang w:val="en-GB"/>
        </w:rPr>
        <w:t>under the Act</w:t>
      </w:r>
      <w:r w:rsidR="00314D71">
        <w:rPr>
          <w:bCs/>
          <w:lang w:val="en-GB"/>
        </w:rPr>
        <w:t xml:space="preserve">. </w:t>
      </w:r>
    </w:p>
    <w:p w14:paraId="57803E37" w14:textId="77777777" w:rsidR="00314D71" w:rsidRDefault="00314D71" w:rsidP="0024546E">
      <w:pPr>
        <w:rPr>
          <w:bCs/>
          <w:lang w:val="en-GB"/>
        </w:rPr>
      </w:pPr>
    </w:p>
    <w:p w14:paraId="3C14A245" w14:textId="33462F1D" w:rsidR="00725FF9" w:rsidRDefault="00314D71" w:rsidP="0024546E">
      <w:r>
        <w:rPr>
          <w:bCs/>
          <w:lang w:val="en-GB"/>
        </w:rPr>
        <w:t>This Legislative Instrument</w:t>
      </w:r>
      <w:r w:rsidR="0024546E" w:rsidRPr="000344ED">
        <w:rPr>
          <w:bCs/>
          <w:lang w:val="en-GB"/>
        </w:rPr>
        <w:t xml:space="preserve"> </w:t>
      </w:r>
      <w:r w:rsidR="0024546E">
        <w:t>implement</w:t>
      </w:r>
      <w:r>
        <w:t>s</w:t>
      </w:r>
      <w:r w:rsidR="0024546E">
        <w:t xml:space="preserve"> the decisions of the United Nations Security Council (UNSC) in Resolution 2444 (2018) (UNSCR 2444) to lift </w:t>
      </w:r>
      <w:r w:rsidR="001E6B75">
        <w:t xml:space="preserve">UN-mandated </w:t>
      </w:r>
      <w:r w:rsidR="0024546E">
        <w:t>sanctions in relation to Eritrea, and to update references in relation to Somalia, consistent with Australia’s international obligations.</w:t>
      </w:r>
      <w:r w:rsidR="00C53A72">
        <w:t xml:space="preserve"> </w:t>
      </w:r>
    </w:p>
    <w:p w14:paraId="2755D14E" w14:textId="77777777" w:rsidR="00725FF9" w:rsidRDefault="00725FF9" w:rsidP="0024546E"/>
    <w:p w14:paraId="726C4969" w14:textId="6A2FA4BE" w:rsidR="00425291" w:rsidRDefault="00E66AAA" w:rsidP="00425291">
      <w:r>
        <w:t>The preamble to UNSCR 2444 notes that the Security Council was acting under Chapter VII of the Charter.</w:t>
      </w:r>
      <w:r w:rsidR="0024546E" w:rsidRPr="006C38EA">
        <w:t xml:space="preserve"> </w:t>
      </w:r>
      <w:r w:rsidR="00425291">
        <w:t>Decisions of the Security Council contained in UNSCR 2444 are binding on Australia.</w:t>
      </w:r>
    </w:p>
    <w:p w14:paraId="5652DC7C" w14:textId="501956A3" w:rsidR="0024546E" w:rsidRPr="00B73F9F" w:rsidRDefault="0024546E" w:rsidP="0024546E"/>
    <w:p w14:paraId="5CA4D721" w14:textId="734D7F81" w:rsidR="00BD40FA" w:rsidRPr="006C38EA" w:rsidRDefault="00BD40FA" w:rsidP="00BD40FA">
      <w:pPr>
        <w:rPr>
          <w:b/>
        </w:rPr>
      </w:pPr>
    </w:p>
    <w:p w14:paraId="3ADE05EC" w14:textId="77777777" w:rsidR="00BD40FA" w:rsidRPr="006C38EA" w:rsidRDefault="00BD40FA" w:rsidP="00BD40FA">
      <w:pPr>
        <w:rPr>
          <w:b/>
        </w:rPr>
      </w:pPr>
      <w:r>
        <w:rPr>
          <w:b/>
        </w:rPr>
        <w:t>H</w:t>
      </w:r>
      <w:r w:rsidRPr="006C38EA">
        <w:rPr>
          <w:b/>
        </w:rPr>
        <w:t>uman rights</w:t>
      </w:r>
      <w:r>
        <w:rPr>
          <w:b/>
        </w:rPr>
        <w:t xml:space="preserve"> compatibility</w:t>
      </w:r>
    </w:p>
    <w:p w14:paraId="72960F04" w14:textId="77777777" w:rsidR="00BD40FA" w:rsidRPr="006C38EA" w:rsidRDefault="00BD40FA" w:rsidP="00BD40FA"/>
    <w:p w14:paraId="3358586C" w14:textId="77777777" w:rsidR="00314D71" w:rsidRDefault="00314D71" w:rsidP="00C53A72">
      <w:pPr>
        <w:rPr>
          <w:color w:val="000000"/>
        </w:rPr>
      </w:pPr>
      <w:r>
        <w:rPr>
          <w:color w:val="000000"/>
        </w:rPr>
        <w:t>Given its primary purpose is to lift sanctions on Eritrea, t</w:t>
      </w:r>
      <w:r w:rsidR="00C53A72">
        <w:rPr>
          <w:color w:val="000000"/>
        </w:rPr>
        <w:t xml:space="preserve">his Legislative Instrument does not engage any of the applicable rights or freedoms. </w:t>
      </w:r>
    </w:p>
    <w:p w14:paraId="7397DAF8" w14:textId="77777777" w:rsidR="00314D71" w:rsidRDefault="00314D71" w:rsidP="00C53A72">
      <w:pPr>
        <w:rPr>
          <w:color w:val="000000"/>
        </w:rPr>
      </w:pPr>
    </w:p>
    <w:p w14:paraId="75F9A911" w14:textId="7A851687" w:rsidR="00C53A72" w:rsidRDefault="00E96022" w:rsidP="00C53A72">
      <w:pPr>
        <w:rPr>
          <w:bCs/>
          <w:lang w:val="en-GB"/>
        </w:rPr>
      </w:pPr>
      <w:r>
        <w:rPr>
          <w:bCs/>
          <w:lang w:val="en-GB"/>
        </w:rPr>
        <w:t>S</w:t>
      </w:r>
      <w:r w:rsidR="00C53A72">
        <w:rPr>
          <w:bCs/>
          <w:lang w:val="en-GB"/>
        </w:rPr>
        <w:t>ection 8 of the Act provides that regulations giving effect to a particular decision of the UNSC cease to have effect when Article 25 of the Charter ceases to require Australia to carry out that decision. Consequently, the Principal Eritrea Regulations expired on 14 November 2018</w:t>
      </w:r>
      <w:r w:rsidR="00725FF9">
        <w:rPr>
          <w:bCs/>
          <w:lang w:val="en-GB"/>
        </w:rPr>
        <w:t xml:space="preserve"> when UNSCR 2444 was adopted</w:t>
      </w:r>
      <w:r w:rsidR="00C53A72">
        <w:rPr>
          <w:bCs/>
          <w:lang w:val="en-GB"/>
        </w:rPr>
        <w:t xml:space="preserve">, and this Legislative Instrument </w:t>
      </w:r>
      <w:r w:rsidR="00606445">
        <w:rPr>
          <w:bCs/>
          <w:lang w:val="en-GB"/>
        </w:rPr>
        <w:t xml:space="preserve">serves to </w:t>
      </w:r>
      <w:r w:rsidR="00C53A72">
        <w:rPr>
          <w:bCs/>
          <w:lang w:val="en-GB"/>
        </w:rPr>
        <w:t>explicitly remove them from Australia’s legislative sanctions framework.</w:t>
      </w:r>
      <w:r w:rsidR="00F966FE">
        <w:rPr>
          <w:bCs/>
          <w:lang w:val="en-GB"/>
        </w:rPr>
        <w:t xml:space="preserve"> The Legislative Instrument also effects a consequential amendment to the </w:t>
      </w:r>
      <w:r w:rsidR="00F966FE">
        <w:rPr>
          <w:bCs/>
          <w:i/>
          <w:lang w:val="en-GB"/>
        </w:rPr>
        <w:t>Charter of the United Nations (Dealing with Assets) Regulations 2008</w:t>
      </w:r>
      <w:r w:rsidR="00F966FE">
        <w:rPr>
          <w:bCs/>
          <w:lang w:val="en-GB"/>
        </w:rPr>
        <w:t xml:space="preserve"> to remove reference to Eritrea.</w:t>
      </w:r>
      <w:r w:rsidR="000B1CDF">
        <w:rPr>
          <w:bCs/>
          <w:lang w:val="en-GB"/>
        </w:rPr>
        <w:t xml:space="preserve"> These amendments do not engage human rights</w:t>
      </w:r>
      <w:r w:rsidR="0059434F">
        <w:rPr>
          <w:bCs/>
          <w:lang w:val="en-GB"/>
        </w:rPr>
        <w:t xml:space="preserve"> issues</w:t>
      </w:r>
      <w:r w:rsidR="000B1CDF">
        <w:rPr>
          <w:bCs/>
          <w:lang w:val="en-GB"/>
        </w:rPr>
        <w:t xml:space="preserve">. </w:t>
      </w:r>
    </w:p>
    <w:p w14:paraId="191240A6" w14:textId="05E6C12F" w:rsidR="00C53A72" w:rsidRDefault="00C53A72" w:rsidP="00BD40FA">
      <w:pPr>
        <w:rPr>
          <w:iCs/>
          <w:lang w:eastAsia="en-AU"/>
        </w:rPr>
      </w:pPr>
    </w:p>
    <w:p w14:paraId="008DE1C6" w14:textId="3642B7BA" w:rsidR="00C53A72" w:rsidRDefault="00C53A72" w:rsidP="00BD40FA">
      <w:pPr>
        <w:rPr>
          <w:iCs/>
          <w:lang w:eastAsia="en-AU"/>
        </w:rPr>
      </w:pPr>
      <w:r>
        <w:rPr>
          <w:iCs/>
          <w:lang w:eastAsia="en-AU"/>
        </w:rPr>
        <w:t xml:space="preserve">Other </w:t>
      </w:r>
      <w:r w:rsidR="00E96022">
        <w:rPr>
          <w:iCs/>
          <w:lang w:eastAsia="en-AU"/>
        </w:rPr>
        <w:t xml:space="preserve">minor </w:t>
      </w:r>
      <w:r>
        <w:rPr>
          <w:iCs/>
          <w:lang w:eastAsia="en-AU"/>
        </w:rPr>
        <w:t xml:space="preserve">amendments to the Principal Somalia Regulations </w:t>
      </w:r>
      <w:r w:rsidR="009A7F11">
        <w:rPr>
          <w:iCs/>
          <w:lang w:eastAsia="en-AU"/>
        </w:rPr>
        <w:t xml:space="preserve">update references in the Regulations to reflect UNSCR 2444 but </w:t>
      </w:r>
      <w:r w:rsidR="00B73F9F">
        <w:rPr>
          <w:iCs/>
          <w:lang w:eastAsia="en-AU"/>
        </w:rPr>
        <w:t>do not change the effect of those Regulations, and therefore do not engage additional rights or freedoms</w:t>
      </w:r>
      <w:r>
        <w:rPr>
          <w:iCs/>
          <w:lang w:eastAsia="en-AU"/>
        </w:rPr>
        <w:t>.</w:t>
      </w:r>
    </w:p>
    <w:p w14:paraId="76AA1522" w14:textId="77777777" w:rsidR="00C53A72" w:rsidRDefault="00C53A72" w:rsidP="00BD40FA">
      <w:pPr>
        <w:rPr>
          <w:iCs/>
          <w:lang w:eastAsia="en-AU"/>
        </w:rPr>
      </w:pPr>
    </w:p>
    <w:p w14:paraId="5CF8C402" w14:textId="77777777" w:rsidR="00297A2E" w:rsidRPr="00FD21AB" w:rsidRDefault="00297A2E" w:rsidP="00297A2E">
      <w:pPr>
        <w:rPr>
          <w:b/>
        </w:rPr>
      </w:pPr>
      <w:r w:rsidRPr="00FD21AB">
        <w:rPr>
          <w:b/>
        </w:rPr>
        <w:t>Conclusion</w:t>
      </w:r>
    </w:p>
    <w:p w14:paraId="4E846BE0" w14:textId="77777777" w:rsidR="00297A2E" w:rsidRPr="00297A2E" w:rsidRDefault="00297A2E" w:rsidP="00297A2E">
      <w:pPr>
        <w:rPr>
          <w:b/>
          <w:highlight w:val="yellow"/>
        </w:rPr>
      </w:pPr>
    </w:p>
    <w:p w14:paraId="1B554278" w14:textId="4F979801" w:rsidR="000775CB" w:rsidRPr="00FB1564" w:rsidRDefault="00C53A72" w:rsidP="00991958">
      <w:r>
        <w:rPr>
          <w:color w:val="000000"/>
        </w:rPr>
        <w:t>This Legislative Instrument is compatible with human rights as it does not raise any human rights issues.</w:t>
      </w:r>
    </w:p>
    <w:sectPr w:rsidR="000775CB" w:rsidRPr="00FB156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71E0E" w14:textId="77777777" w:rsidR="005B1141" w:rsidRDefault="005B1141" w:rsidP="005B1141">
      <w:r>
        <w:separator/>
      </w:r>
    </w:p>
  </w:endnote>
  <w:endnote w:type="continuationSeparator" w:id="0">
    <w:p w14:paraId="0ED8C479" w14:textId="77777777" w:rsidR="005B1141" w:rsidRDefault="005B1141" w:rsidP="005B1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5D23D" w14:textId="77777777" w:rsidR="005B1141" w:rsidRDefault="005B1141" w:rsidP="005B1141">
      <w:r>
        <w:separator/>
      </w:r>
    </w:p>
  </w:footnote>
  <w:footnote w:type="continuationSeparator" w:id="0">
    <w:p w14:paraId="1F9F6A8B" w14:textId="77777777" w:rsidR="005B1141" w:rsidRDefault="005B1141" w:rsidP="005B1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CC40B32"/>
    <w:lvl w:ilvl="0" w:tplc="8A02DD40">
      <w:start w:val="1"/>
      <w:numFmt w:val="bullet"/>
      <w:pStyle w:val="DotPoint1"/>
      <w:lvlText w:val=""/>
      <w:lvlJc w:val="left"/>
      <w:pPr>
        <w:tabs>
          <w:tab w:val="num" w:pos="567"/>
        </w:tabs>
        <w:ind w:left="567" w:hanging="567"/>
      </w:pPr>
      <w:rPr>
        <w:rFonts w:ascii="Symbol" w:hAnsi="Symbol" w:hint="default"/>
      </w:rPr>
    </w:lvl>
    <w:lvl w:ilvl="1" w:tplc="6406A814">
      <w:start w:val="1"/>
      <w:numFmt w:val="bullet"/>
      <w:pStyle w:val="DotPoint1"/>
      <w:lvlText w:val=""/>
      <w:lvlJc w:val="left"/>
      <w:pPr>
        <w:tabs>
          <w:tab w:val="num" w:pos="1647"/>
        </w:tabs>
        <w:ind w:left="1647" w:hanging="567"/>
      </w:pPr>
      <w:rPr>
        <w:rFonts w:ascii="Symbol" w:hAnsi="Symbol" w:hint="default"/>
      </w:rPr>
    </w:lvl>
    <w:lvl w:ilvl="2" w:tplc="94A62E16">
      <w:start w:val="1"/>
      <w:numFmt w:val="bullet"/>
      <w:pStyle w:val="DotPoint1"/>
      <w:lvlText w:val=""/>
      <w:lvlJc w:val="left"/>
      <w:pPr>
        <w:tabs>
          <w:tab w:val="num" w:pos="2367"/>
        </w:tabs>
        <w:ind w:left="2367" w:hanging="567"/>
      </w:pPr>
      <w:rPr>
        <w:rFonts w:ascii="Symbol" w:hAnsi="Symbol" w:hint="default"/>
      </w:rPr>
    </w:lvl>
    <w:lvl w:ilvl="3" w:tplc="878C840A">
      <w:start w:val="1"/>
      <w:numFmt w:val="bullet"/>
      <w:lvlText w:val=""/>
      <w:lvlJc w:val="left"/>
      <w:pPr>
        <w:tabs>
          <w:tab w:val="num" w:pos="2880"/>
        </w:tabs>
        <w:ind w:left="2880" w:hanging="360"/>
      </w:pPr>
      <w:rPr>
        <w:rFonts w:ascii="Symbol" w:hAnsi="Symbol" w:hint="default"/>
      </w:rPr>
    </w:lvl>
    <w:lvl w:ilvl="4" w:tplc="1C58DEEC">
      <w:start w:val="1"/>
      <w:numFmt w:val="bullet"/>
      <w:lvlText w:val="o"/>
      <w:lvlJc w:val="left"/>
      <w:pPr>
        <w:tabs>
          <w:tab w:val="num" w:pos="3600"/>
        </w:tabs>
        <w:ind w:left="3600" w:hanging="360"/>
      </w:pPr>
      <w:rPr>
        <w:rFonts w:ascii="Courier New" w:hAnsi="Courier New" w:cs="Times New Roman" w:hint="default"/>
      </w:rPr>
    </w:lvl>
    <w:lvl w:ilvl="5" w:tplc="92A659DE">
      <w:start w:val="1"/>
      <w:numFmt w:val="bullet"/>
      <w:lvlText w:val=""/>
      <w:lvlJc w:val="left"/>
      <w:pPr>
        <w:tabs>
          <w:tab w:val="num" w:pos="4320"/>
        </w:tabs>
        <w:ind w:left="4320" w:hanging="360"/>
      </w:pPr>
      <w:rPr>
        <w:rFonts w:ascii="Wingdings" w:hAnsi="Wingdings" w:hint="default"/>
      </w:rPr>
    </w:lvl>
    <w:lvl w:ilvl="6" w:tplc="FC46AC22">
      <w:start w:val="1"/>
      <w:numFmt w:val="bullet"/>
      <w:lvlText w:val=""/>
      <w:lvlJc w:val="left"/>
      <w:pPr>
        <w:tabs>
          <w:tab w:val="num" w:pos="5040"/>
        </w:tabs>
        <w:ind w:left="5040" w:hanging="360"/>
      </w:pPr>
      <w:rPr>
        <w:rFonts w:ascii="Symbol" w:hAnsi="Symbol" w:hint="default"/>
      </w:rPr>
    </w:lvl>
    <w:lvl w:ilvl="7" w:tplc="0B784AC0">
      <w:start w:val="1"/>
      <w:numFmt w:val="bullet"/>
      <w:lvlText w:val="o"/>
      <w:lvlJc w:val="left"/>
      <w:pPr>
        <w:tabs>
          <w:tab w:val="num" w:pos="5760"/>
        </w:tabs>
        <w:ind w:left="5760" w:hanging="360"/>
      </w:pPr>
      <w:rPr>
        <w:rFonts w:ascii="Courier New" w:hAnsi="Courier New" w:cs="Times New Roman" w:hint="default"/>
      </w:rPr>
    </w:lvl>
    <w:lvl w:ilvl="8" w:tplc="2DEAEC3C">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DB03ED"/>
    <w:multiLevelType w:val="hybridMultilevel"/>
    <w:tmpl w:val="9348D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A71EBD"/>
    <w:multiLevelType w:val="hybridMultilevel"/>
    <w:tmpl w:val="9F702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2703757"/>
    <w:multiLevelType w:val="hybridMultilevel"/>
    <w:tmpl w:val="7CC40B32"/>
    <w:lvl w:ilvl="0" w:tplc="C51C71D8">
      <w:start w:val="1"/>
      <w:numFmt w:val="bullet"/>
      <w:lvlText w:val=""/>
      <w:lvlJc w:val="left"/>
      <w:pPr>
        <w:tabs>
          <w:tab w:val="num" w:pos="567"/>
        </w:tabs>
        <w:ind w:left="567" w:hanging="567"/>
      </w:pPr>
      <w:rPr>
        <w:rFonts w:ascii="Symbol" w:hAnsi="Symbol" w:hint="default"/>
      </w:rPr>
    </w:lvl>
    <w:lvl w:ilvl="1" w:tplc="FFFFFFFF">
      <w:start w:val="1"/>
      <w:numFmt w:val="bullet"/>
      <w:lvlText w:val=""/>
      <w:lvlJc w:val="left"/>
      <w:pPr>
        <w:tabs>
          <w:tab w:val="num" w:pos="1647"/>
        </w:tabs>
        <w:ind w:left="1647" w:hanging="567"/>
      </w:pPr>
      <w:rPr>
        <w:rFonts w:ascii="Symbol" w:hAnsi="Symbol" w:hint="default"/>
      </w:rPr>
    </w:lvl>
    <w:lvl w:ilvl="2" w:tplc="FFFFFFFF">
      <w:start w:val="1"/>
      <w:numFmt w:val="bullet"/>
      <w:lvlText w:val=""/>
      <w:lvlJc w:val="left"/>
      <w:pPr>
        <w:tabs>
          <w:tab w:val="num" w:pos="2367"/>
        </w:tabs>
        <w:ind w:left="2367" w:hanging="567"/>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E56ADB"/>
    <w:multiLevelType w:val="hybridMultilevel"/>
    <w:tmpl w:val="1D56E76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865340D"/>
    <w:multiLevelType w:val="hybridMultilevel"/>
    <w:tmpl w:val="BC605F7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FA111D9"/>
    <w:multiLevelType w:val="hybridMultilevel"/>
    <w:tmpl w:val="BC605F7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2"/>
  </w:num>
  <w:num w:numId="5">
    <w:abstractNumId w:val="1"/>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941"/>
    <w:rsid w:val="00031F87"/>
    <w:rsid w:val="00045607"/>
    <w:rsid w:val="000529D0"/>
    <w:rsid w:val="00052D0A"/>
    <w:rsid w:val="0006225E"/>
    <w:rsid w:val="0006767D"/>
    <w:rsid w:val="000775CB"/>
    <w:rsid w:val="000A5055"/>
    <w:rsid w:val="000B1CDF"/>
    <w:rsid w:val="000D1270"/>
    <w:rsid w:val="000D620D"/>
    <w:rsid w:val="000E7AD0"/>
    <w:rsid w:val="00102A17"/>
    <w:rsid w:val="00122BFA"/>
    <w:rsid w:val="00143A3D"/>
    <w:rsid w:val="001619EE"/>
    <w:rsid w:val="00167D98"/>
    <w:rsid w:val="00167E19"/>
    <w:rsid w:val="00184B61"/>
    <w:rsid w:val="001859AD"/>
    <w:rsid w:val="00197063"/>
    <w:rsid w:val="001A6D7F"/>
    <w:rsid w:val="001C598E"/>
    <w:rsid w:val="001E6B75"/>
    <w:rsid w:val="001E7DBA"/>
    <w:rsid w:val="00207BB5"/>
    <w:rsid w:val="00207C25"/>
    <w:rsid w:val="002219D2"/>
    <w:rsid w:val="00222831"/>
    <w:rsid w:val="00231942"/>
    <w:rsid w:val="0024058C"/>
    <w:rsid w:val="00244E1E"/>
    <w:rsid w:val="0024546E"/>
    <w:rsid w:val="00255084"/>
    <w:rsid w:val="002804EC"/>
    <w:rsid w:val="00291DB3"/>
    <w:rsid w:val="00297A2E"/>
    <w:rsid w:val="002A1611"/>
    <w:rsid w:val="002A3D02"/>
    <w:rsid w:val="002C7789"/>
    <w:rsid w:val="002E4C20"/>
    <w:rsid w:val="002F7A04"/>
    <w:rsid w:val="003123F0"/>
    <w:rsid w:val="00314D71"/>
    <w:rsid w:val="00320548"/>
    <w:rsid w:val="00331BBD"/>
    <w:rsid w:val="00343830"/>
    <w:rsid w:val="00344A74"/>
    <w:rsid w:val="0037639B"/>
    <w:rsid w:val="003C0638"/>
    <w:rsid w:val="003D0267"/>
    <w:rsid w:val="003E2390"/>
    <w:rsid w:val="003E28F0"/>
    <w:rsid w:val="003E634F"/>
    <w:rsid w:val="003F4884"/>
    <w:rsid w:val="00402D03"/>
    <w:rsid w:val="004213DA"/>
    <w:rsid w:val="00425291"/>
    <w:rsid w:val="0043128B"/>
    <w:rsid w:val="00432B45"/>
    <w:rsid w:val="00445684"/>
    <w:rsid w:val="004841B8"/>
    <w:rsid w:val="0049711C"/>
    <w:rsid w:val="004C307D"/>
    <w:rsid w:val="004E723B"/>
    <w:rsid w:val="004E75DD"/>
    <w:rsid w:val="004F121D"/>
    <w:rsid w:val="0051307E"/>
    <w:rsid w:val="00530618"/>
    <w:rsid w:val="00536986"/>
    <w:rsid w:val="00536998"/>
    <w:rsid w:val="00560FAF"/>
    <w:rsid w:val="00561DB6"/>
    <w:rsid w:val="0059434F"/>
    <w:rsid w:val="005B1141"/>
    <w:rsid w:val="005B6A9E"/>
    <w:rsid w:val="005C3D38"/>
    <w:rsid w:val="005E1B11"/>
    <w:rsid w:val="005F5F1A"/>
    <w:rsid w:val="00606445"/>
    <w:rsid w:val="00614E2E"/>
    <w:rsid w:val="00631AED"/>
    <w:rsid w:val="00637433"/>
    <w:rsid w:val="006456FD"/>
    <w:rsid w:val="00662037"/>
    <w:rsid w:val="0067149D"/>
    <w:rsid w:val="00672D88"/>
    <w:rsid w:val="0069314E"/>
    <w:rsid w:val="006A7F4B"/>
    <w:rsid w:val="006B3B27"/>
    <w:rsid w:val="006C38EA"/>
    <w:rsid w:val="006D147A"/>
    <w:rsid w:val="006E1B4F"/>
    <w:rsid w:val="006E4E5C"/>
    <w:rsid w:val="007015DD"/>
    <w:rsid w:val="00725FF9"/>
    <w:rsid w:val="007506DD"/>
    <w:rsid w:val="00753AF8"/>
    <w:rsid w:val="007935FC"/>
    <w:rsid w:val="007B00CA"/>
    <w:rsid w:val="007C6051"/>
    <w:rsid w:val="007F5ADA"/>
    <w:rsid w:val="00824BFB"/>
    <w:rsid w:val="00845D4A"/>
    <w:rsid w:val="008570C6"/>
    <w:rsid w:val="008624E0"/>
    <w:rsid w:val="00867168"/>
    <w:rsid w:val="00874C7F"/>
    <w:rsid w:val="00893DD9"/>
    <w:rsid w:val="008A5BCF"/>
    <w:rsid w:val="008C4D32"/>
    <w:rsid w:val="008D3D32"/>
    <w:rsid w:val="00911D03"/>
    <w:rsid w:val="00913F38"/>
    <w:rsid w:val="0094085B"/>
    <w:rsid w:val="00952ED4"/>
    <w:rsid w:val="00960B1B"/>
    <w:rsid w:val="0097105B"/>
    <w:rsid w:val="0097731E"/>
    <w:rsid w:val="00983E53"/>
    <w:rsid w:val="00991958"/>
    <w:rsid w:val="009A5E0D"/>
    <w:rsid w:val="009A7F11"/>
    <w:rsid w:val="009C3AF5"/>
    <w:rsid w:val="009C665B"/>
    <w:rsid w:val="009D0D33"/>
    <w:rsid w:val="009E526F"/>
    <w:rsid w:val="00A124F8"/>
    <w:rsid w:val="00A14383"/>
    <w:rsid w:val="00A305DE"/>
    <w:rsid w:val="00A30DCD"/>
    <w:rsid w:val="00A5323B"/>
    <w:rsid w:val="00A57F61"/>
    <w:rsid w:val="00A601B8"/>
    <w:rsid w:val="00A63BFB"/>
    <w:rsid w:val="00A71D2F"/>
    <w:rsid w:val="00A97EE1"/>
    <w:rsid w:val="00AA099C"/>
    <w:rsid w:val="00AB6E63"/>
    <w:rsid w:val="00B26F30"/>
    <w:rsid w:val="00B34261"/>
    <w:rsid w:val="00B62778"/>
    <w:rsid w:val="00B73F9F"/>
    <w:rsid w:val="00BA2D6F"/>
    <w:rsid w:val="00BA3286"/>
    <w:rsid w:val="00BA4941"/>
    <w:rsid w:val="00BA6F54"/>
    <w:rsid w:val="00BB0356"/>
    <w:rsid w:val="00BC4DA5"/>
    <w:rsid w:val="00BD40FA"/>
    <w:rsid w:val="00C0190D"/>
    <w:rsid w:val="00C07C6C"/>
    <w:rsid w:val="00C17255"/>
    <w:rsid w:val="00C17DEB"/>
    <w:rsid w:val="00C2657E"/>
    <w:rsid w:val="00C53A72"/>
    <w:rsid w:val="00C5592D"/>
    <w:rsid w:val="00C63A5F"/>
    <w:rsid w:val="00C63E78"/>
    <w:rsid w:val="00CC4A0C"/>
    <w:rsid w:val="00CF3E5C"/>
    <w:rsid w:val="00D03DA8"/>
    <w:rsid w:val="00D0758C"/>
    <w:rsid w:val="00D152C0"/>
    <w:rsid w:val="00D20BC5"/>
    <w:rsid w:val="00D263A0"/>
    <w:rsid w:val="00D56860"/>
    <w:rsid w:val="00D616B9"/>
    <w:rsid w:val="00D64185"/>
    <w:rsid w:val="00D8027A"/>
    <w:rsid w:val="00D8424C"/>
    <w:rsid w:val="00D96E57"/>
    <w:rsid w:val="00DA48E7"/>
    <w:rsid w:val="00DA57F5"/>
    <w:rsid w:val="00DA7A8B"/>
    <w:rsid w:val="00DA7EDC"/>
    <w:rsid w:val="00DB1AE3"/>
    <w:rsid w:val="00DB3D00"/>
    <w:rsid w:val="00DD0E92"/>
    <w:rsid w:val="00DE7514"/>
    <w:rsid w:val="00DF5D3B"/>
    <w:rsid w:val="00E03805"/>
    <w:rsid w:val="00E10021"/>
    <w:rsid w:val="00E20878"/>
    <w:rsid w:val="00E33FED"/>
    <w:rsid w:val="00E66AAA"/>
    <w:rsid w:val="00E86486"/>
    <w:rsid w:val="00E96022"/>
    <w:rsid w:val="00E974F3"/>
    <w:rsid w:val="00EB1F5D"/>
    <w:rsid w:val="00EC159E"/>
    <w:rsid w:val="00EC30C8"/>
    <w:rsid w:val="00EC7B79"/>
    <w:rsid w:val="00ED6AA7"/>
    <w:rsid w:val="00EF2B5B"/>
    <w:rsid w:val="00F32DDD"/>
    <w:rsid w:val="00F419B2"/>
    <w:rsid w:val="00F4682E"/>
    <w:rsid w:val="00F46D07"/>
    <w:rsid w:val="00F53510"/>
    <w:rsid w:val="00F576F8"/>
    <w:rsid w:val="00F66B09"/>
    <w:rsid w:val="00F94261"/>
    <w:rsid w:val="00F966FE"/>
    <w:rsid w:val="00FB1564"/>
    <w:rsid w:val="00FB4387"/>
    <w:rsid w:val="00FB6CC2"/>
    <w:rsid w:val="00FD21AB"/>
    <w:rsid w:val="00FE4840"/>
    <w:rsid w:val="00FF342E"/>
    <w:rsid w:val="00FF56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FE2FE"/>
  <w15:docId w15:val="{26D5DF88-0DEF-4A16-9C6D-E1CCCC51F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02D03"/>
    <w:rPr>
      <w:color w:val="0000FF" w:themeColor="hyperlink"/>
      <w:u w:val="single"/>
    </w:rPr>
  </w:style>
  <w:style w:type="paragraph" w:customStyle="1" w:styleId="Default">
    <w:name w:val="Default"/>
    <w:rsid w:val="00CC4A0C"/>
    <w:pPr>
      <w:autoSpaceDE w:val="0"/>
      <w:autoSpaceDN w:val="0"/>
      <w:adjustRightInd w:val="0"/>
    </w:pPr>
    <w:rPr>
      <w:color w:val="000000"/>
      <w:sz w:val="24"/>
      <w:szCs w:val="24"/>
    </w:rPr>
  </w:style>
  <w:style w:type="paragraph" w:styleId="ListParagraph">
    <w:name w:val="List Paragraph"/>
    <w:basedOn w:val="Normal"/>
    <w:uiPriority w:val="34"/>
    <w:qFormat/>
    <w:rsid w:val="00CC4A0C"/>
    <w:pPr>
      <w:ind w:left="720"/>
      <w:contextualSpacing/>
    </w:pPr>
  </w:style>
  <w:style w:type="character" w:customStyle="1" w:styleId="apple-converted-space">
    <w:name w:val="apple-converted-space"/>
    <w:basedOn w:val="DefaultParagraphFont"/>
    <w:rsid w:val="009E526F"/>
  </w:style>
  <w:style w:type="paragraph" w:customStyle="1" w:styleId="AFMANormal">
    <w:name w:val="AFMA Normal"/>
    <w:rsid w:val="00960B1B"/>
    <w:pPr>
      <w:keepLines/>
      <w:spacing w:before="240"/>
      <w:jc w:val="both"/>
    </w:pPr>
    <w:rPr>
      <w:kern w:val="20"/>
      <w:sz w:val="24"/>
      <w:lang w:eastAsia="en-US"/>
    </w:rPr>
  </w:style>
  <w:style w:type="paragraph" w:customStyle="1" w:styleId="notedraft">
    <w:name w:val="note(draft)"/>
    <w:aliases w:val="nd"/>
    <w:basedOn w:val="Normal"/>
    <w:rsid w:val="00672D88"/>
    <w:pPr>
      <w:spacing w:before="240"/>
      <w:ind w:left="284" w:hanging="284"/>
    </w:pPr>
    <w:rPr>
      <w:i/>
      <w:szCs w:val="20"/>
      <w:lang w:eastAsia="en-AU"/>
    </w:rPr>
  </w:style>
  <w:style w:type="paragraph" w:customStyle="1" w:styleId="ms-rteelement-p">
    <w:name w:val="ms-rteelement-p"/>
    <w:basedOn w:val="Normal"/>
    <w:uiPriority w:val="99"/>
    <w:rsid w:val="00AB6E63"/>
    <w:pPr>
      <w:spacing w:line="300" w:lineRule="auto"/>
    </w:pPr>
    <w:rPr>
      <w:rFonts w:eastAsiaTheme="minorHAnsi"/>
      <w:color w:val="576170"/>
      <w:sz w:val="34"/>
      <w:szCs w:val="34"/>
      <w:lang w:eastAsia="en-AU"/>
    </w:rPr>
  </w:style>
  <w:style w:type="paragraph" w:styleId="NormalWeb">
    <w:name w:val="Normal (Web)"/>
    <w:basedOn w:val="Normal"/>
    <w:uiPriority w:val="99"/>
    <w:unhideWhenUsed/>
    <w:rsid w:val="005B1141"/>
    <w:pPr>
      <w:spacing w:before="100" w:beforeAutospacing="1" w:after="100" w:afterAutospacing="1"/>
    </w:pPr>
    <w:rPr>
      <w:lang w:eastAsia="en-AU"/>
    </w:rPr>
  </w:style>
  <w:style w:type="paragraph" w:styleId="FootnoteText">
    <w:name w:val="footnote text"/>
    <w:basedOn w:val="Normal"/>
    <w:link w:val="FootnoteTextChar"/>
    <w:uiPriority w:val="99"/>
    <w:semiHidden/>
    <w:unhideWhenUsed/>
    <w:rsid w:val="005B1141"/>
    <w:pPr>
      <w:suppressAutoHyphens/>
    </w:pPr>
    <w:rPr>
      <w:rFonts w:asciiTheme="minorHAnsi" w:eastAsiaTheme="minorHAnsi" w:hAnsiTheme="minorHAnsi" w:cstheme="minorBidi"/>
      <w:color w:val="1F497D" w:themeColor="text2"/>
      <w:sz w:val="20"/>
      <w:szCs w:val="20"/>
      <w:lang w:val="en-GB"/>
    </w:rPr>
  </w:style>
  <w:style w:type="character" w:customStyle="1" w:styleId="FootnoteTextChar">
    <w:name w:val="Footnote Text Char"/>
    <w:basedOn w:val="DefaultParagraphFont"/>
    <w:link w:val="FootnoteText"/>
    <w:uiPriority w:val="99"/>
    <w:semiHidden/>
    <w:rsid w:val="005B1141"/>
    <w:rPr>
      <w:rFonts w:asciiTheme="minorHAnsi" w:eastAsiaTheme="minorHAnsi" w:hAnsiTheme="minorHAnsi" w:cstheme="minorBidi"/>
      <w:color w:val="1F497D" w:themeColor="text2"/>
      <w:lang w:val="en-GB" w:eastAsia="en-US"/>
    </w:rPr>
  </w:style>
  <w:style w:type="character" w:styleId="FootnoteReference">
    <w:name w:val="footnote reference"/>
    <w:basedOn w:val="DefaultParagraphFont"/>
    <w:uiPriority w:val="99"/>
    <w:semiHidden/>
    <w:unhideWhenUsed/>
    <w:rsid w:val="005B1141"/>
    <w:rPr>
      <w:vertAlign w:val="superscript"/>
    </w:rPr>
  </w:style>
  <w:style w:type="character" w:customStyle="1" w:styleId="None">
    <w:name w:val="None"/>
    <w:rsid w:val="005B1141"/>
  </w:style>
  <w:style w:type="paragraph" w:customStyle="1" w:styleId="DotPoint1">
    <w:name w:val="Dot Point 1"/>
    <w:basedOn w:val="Normal"/>
    <w:rsid w:val="00331BBD"/>
    <w:pPr>
      <w:numPr>
        <w:ilvl w:val="2"/>
        <w:numId w:val="6"/>
      </w:numPr>
      <w:spacing w:before="60" w:after="60"/>
    </w:pPr>
    <w:rPr>
      <w:lang w:eastAsia="en-AU"/>
    </w:rPr>
  </w:style>
  <w:style w:type="paragraph" w:styleId="BalloonText">
    <w:name w:val="Balloon Text"/>
    <w:basedOn w:val="Normal"/>
    <w:link w:val="BalloonTextChar"/>
    <w:semiHidden/>
    <w:unhideWhenUsed/>
    <w:rsid w:val="00560FAF"/>
    <w:rPr>
      <w:rFonts w:ascii="Segoe UI" w:hAnsi="Segoe UI" w:cs="Segoe UI"/>
      <w:sz w:val="18"/>
      <w:szCs w:val="18"/>
    </w:rPr>
  </w:style>
  <w:style w:type="character" w:customStyle="1" w:styleId="BalloonTextChar">
    <w:name w:val="Balloon Text Char"/>
    <w:basedOn w:val="DefaultParagraphFont"/>
    <w:link w:val="BalloonText"/>
    <w:semiHidden/>
    <w:rsid w:val="00560FAF"/>
    <w:rPr>
      <w:rFonts w:ascii="Segoe UI" w:hAnsi="Segoe UI" w:cs="Segoe UI"/>
      <w:sz w:val="18"/>
      <w:szCs w:val="18"/>
      <w:lang w:eastAsia="en-US"/>
    </w:rPr>
  </w:style>
  <w:style w:type="character" w:styleId="CommentReference">
    <w:name w:val="annotation reference"/>
    <w:basedOn w:val="DefaultParagraphFont"/>
    <w:semiHidden/>
    <w:unhideWhenUsed/>
    <w:rsid w:val="003F4884"/>
    <w:rPr>
      <w:sz w:val="16"/>
      <w:szCs w:val="16"/>
    </w:rPr>
  </w:style>
  <w:style w:type="paragraph" w:styleId="CommentText">
    <w:name w:val="annotation text"/>
    <w:basedOn w:val="Normal"/>
    <w:link w:val="CommentTextChar"/>
    <w:unhideWhenUsed/>
    <w:rsid w:val="003F4884"/>
    <w:rPr>
      <w:sz w:val="20"/>
      <w:szCs w:val="20"/>
    </w:rPr>
  </w:style>
  <w:style w:type="character" w:customStyle="1" w:styleId="CommentTextChar">
    <w:name w:val="Comment Text Char"/>
    <w:basedOn w:val="DefaultParagraphFont"/>
    <w:link w:val="CommentText"/>
    <w:rsid w:val="003F4884"/>
    <w:rPr>
      <w:lang w:eastAsia="en-US"/>
    </w:rPr>
  </w:style>
  <w:style w:type="paragraph" w:styleId="CommentSubject">
    <w:name w:val="annotation subject"/>
    <w:basedOn w:val="CommentText"/>
    <w:next w:val="CommentText"/>
    <w:link w:val="CommentSubjectChar"/>
    <w:semiHidden/>
    <w:unhideWhenUsed/>
    <w:rsid w:val="003F4884"/>
    <w:rPr>
      <w:b/>
      <w:bCs/>
    </w:rPr>
  </w:style>
  <w:style w:type="character" w:customStyle="1" w:styleId="CommentSubjectChar">
    <w:name w:val="Comment Subject Char"/>
    <w:basedOn w:val="CommentTextChar"/>
    <w:link w:val="CommentSubject"/>
    <w:semiHidden/>
    <w:rsid w:val="003F488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192121">
      <w:bodyDiv w:val="1"/>
      <w:marLeft w:val="0"/>
      <w:marRight w:val="0"/>
      <w:marTop w:val="0"/>
      <w:marBottom w:val="0"/>
      <w:divBdr>
        <w:top w:val="none" w:sz="0" w:space="0" w:color="auto"/>
        <w:left w:val="none" w:sz="0" w:space="0" w:color="auto"/>
        <w:bottom w:val="none" w:sz="0" w:space="0" w:color="auto"/>
        <w:right w:val="none" w:sz="0" w:space="0" w:color="auto"/>
      </w:divBdr>
    </w:div>
    <w:div w:id="550044463">
      <w:bodyDiv w:val="1"/>
      <w:marLeft w:val="0"/>
      <w:marRight w:val="0"/>
      <w:marTop w:val="0"/>
      <w:marBottom w:val="0"/>
      <w:divBdr>
        <w:top w:val="none" w:sz="0" w:space="0" w:color="auto"/>
        <w:left w:val="none" w:sz="0" w:space="0" w:color="auto"/>
        <w:bottom w:val="none" w:sz="0" w:space="0" w:color="auto"/>
        <w:right w:val="none" w:sz="0" w:space="0" w:color="auto"/>
      </w:divBdr>
    </w:div>
    <w:div w:id="633632481">
      <w:bodyDiv w:val="1"/>
      <w:marLeft w:val="0"/>
      <w:marRight w:val="0"/>
      <w:marTop w:val="0"/>
      <w:marBottom w:val="0"/>
      <w:divBdr>
        <w:top w:val="none" w:sz="0" w:space="0" w:color="auto"/>
        <w:left w:val="none" w:sz="0" w:space="0" w:color="auto"/>
        <w:bottom w:val="none" w:sz="0" w:space="0" w:color="auto"/>
        <w:right w:val="none" w:sz="0" w:space="0" w:color="auto"/>
      </w:divBdr>
    </w:div>
    <w:div w:id="921373030">
      <w:bodyDiv w:val="1"/>
      <w:marLeft w:val="0"/>
      <w:marRight w:val="0"/>
      <w:marTop w:val="0"/>
      <w:marBottom w:val="0"/>
      <w:divBdr>
        <w:top w:val="none" w:sz="0" w:space="0" w:color="auto"/>
        <w:left w:val="none" w:sz="0" w:space="0" w:color="auto"/>
        <w:bottom w:val="none" w:sz="0" w:space="0" w:color="auto"/>
        <w:right w:val="none" w:sz="0" w:space="0" w:color="auto"/>
      </w:divBdr>
    </w:div>
    <w:div w:id="1178470195">
      <w:bodyDiv w:val="1"/>
      <w:marLeft w:val="0"/>
      <w:marRight w:val="0"/>
      <w:marTop w:val="0"/>
      <w:marBottom w:val="0"/>
      <w:divBdr>
        <w:top w:val="none" w:sz="0" w:space="0" w:color="auto"/>
        <w:left w:val="none" w:sz="0" w:space="0" w:color="auto"/>
        <w:bottom w:val="none" w:sz="0" w:space="0" w:color="auto"/>
        <w:right w:val="none" w:sz="0" w:space="0" w:color="auto"/>
      </w:divBdr>
    </w:div>
    <w:div w:id="1282493109">
      <w:bodyDiv w:val="1"/>
      <w:marLeft w:val="0"/>
      <w:marRight w:val="0"/>
      <w:marTop w:val="0"/>
      <w:marBottom w:val="0"/>
      <w:divBdr>
        <w:top w:val="none" w:sz="0" w:space="0" w:color="auto"/>
        <w:left w:val="none" w:sz="0" w:space="0" w:color="auto"/>
        <w:bottom w:val="none" w:sz="0" w:space="0" w:color="auto"/>
        <w:right w:val="none" w:sz="0" w:space="0" w:color="auto"/>
      </w:divBdr>
    </w:div>
    <w:div w:id="1366756436">
      <w:bodyDiv w:val="1"/>
      <w:marLeft w:val="0"/>
      <w:marRight w:val="0"/>
      <w:marTop w:val="0"/>
      <w:marBottom w:val="0"/>
      <w:divBdr>
        <w:top w:val="none" w:sz="0" w:space="0" w:color="auto"/>
        <w:left w:val="none" w:sz="0" w:space="0" w:color="auto"/>
        <w:bottom w:val="none" w:sz="0" w:space="0" w:color="auto"/>
        <w:right w:val="none" w:sz="0" w:space="0" w:color="auto"/>
      </w:divBdr>
    </w:div>
    <w:div w:id="1411542029">
      <w:bodyDiv w:val="1"/>
      <w:marLeft w:val="0"/>
      <w:marRight w:val="0"/>
      <w:marTop w:val="0"/>
      <w:marBottom w:val="0"/>
      <w:divBdr>
        <w:top w:val="none" w:sz="0" w:space="0" w:color="auto"/>
        <w:left w:val="none" w:sz="0" w:space="0" w:color="auto"/>
        <w:bottom w:val="none" w:sz="0" w:space="0" w:color="auto"/>
        <w:right w:val="none" w:sz="0" w:space="0" w:color="auto"/>
      </w:divBdr>
    </w:div>
    <w:div w:id="201806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7C09FD8D-DFF0-4E0F-BC2E-6916650EBF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C4EA81E3C95E44F9232BBF4F5E8A53A" ma:contentTypeVersion="" ma:contentTypeDescription="PDMS Document Site Content Type" ma:contentTypeScope="" ma:versionID="72942a9d4393a98652e05a5d95aea932">
  <xsd:schema xmlns:xsd="http://www.w3.org/2001/XMLSchema" xmlns:xs="http://www.w3.org/2001/XMLSchema" xmlns:p="http://schemas.microsoft.com/office/2006/metadata/properties" xmlns:ns2="7C09FD8D-DFF0-4E0F-BC2E-6916650EBF21" targetNamespace="http://schemas.microsoft.com/office/2006/metadata/properties" ma:root="true" ma:fieldsID="7a68c56191a995fdd8b87b6846f3c45c" ns2:_="">
    <xsd:import namespace="7C09FD8D-DFF0-4E0F-BC2E-6916650EBF2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9FD8D-DFF0-4E0F-BC2E-6916650EBF2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BC064-CE41-43E6-A130-2F549FEDFFFC}">
  <ds:schemaRefs>
    <ds:schemaRef ds:uri="http://schemas.microsoft.com/sharepoint/v3/contenttype/forms"/>
  </ds:schemaRefs>
</ds:datastoreItem>
</file>

<file path=customXml/itemProps2.xml><?xml version="1.0" encoding="utf-8"?>
<ds:datastoreItem xmlns:ds="http://schemas.openxmlformats.org/officeDocument/2006/customXml" ds:itemID="{65AF67DE-4F6C-42AB-B5E8-00F7B5F416FF}">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7C09FD8D-DFF0-4E0F-BC2E-6916650EBF21"/>
    <ds:schemaRef ds:uri="http://www.w3.org/XML/1998/namespace"/>
  </ds:schemaRefs>
</ds:datastoreItem>
</file>

<file path=customXml/itemProps3.xml><?xml version="1.0" encoding="utf-8"?>
<ds:datastoreItem xmlns:ds="http://schemas.openxmlformats.org/officeDocument/2006/customXml" ds:itemID="{2C019453-0339-4D13-817B-F9E830724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09FD8D-DFF0-4E0F-BC2E-6916650EBF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A76915-B022-4261-87ED-EE4A4E22C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1383</Words>
  <Characters>7887</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Melissa</dc:creator>
  <cp:lastModifiedBy>Shipley, Nell</cp:lastModifiedBy>
  <cp:revision>2</cp:revision>
  <cp:lastPrinted>2019-02-14T03:16:00Z</cp:lastPrinted>
  <dcterms:created xsi:type="dcterms:W3CDTF">2019-03-25T05:04:00Z</dcterms:created>
  <dcterms:modified xsi:type="dcterms:W3CDTF">2019-03-25T05:04:00Z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78942b0c-a052-46df-b609-81e9f9a75f67</vt:lpwstr>
  </property>
  <property fmtid="{D5CDD505-2E9C-101B-9397-08002B2CF9AE}" pid="3" name="ContentTypeId">
    <vt:lpwstr>0x010100266966F133664895A6EE3632470D45F5006C4EA81E3C95E44F9232BBF4F5E8A53A</vt:lpwstr>
  </property>
  <property fmtid="{D5CDD505-2E9C-101B-9397-08002B2CF9AE}" pid="4" name="SEC">
    <vt:lpwstr>UNCLASSIFIED</vt:lpwstr>
  </property>
  <property fmtid="{D5CDD505-2E9C-101B-9397-08002B2CF9AE}" pid="5" name="DLM">
    <vt:lpwstr>No DLM</vt:lpwstr>
  </property>
</Properties>
</file>