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F63A0" w14:textId="596F3E44" w:rsidR="00AD52D8" w:rsidRDefault="00AD52D8" w:rsidP="002865C4">
      <w:pPr>
        <w:pStyle w:val="Heading"/>
        <w:jc w:val="center"/>
        <w:rPr>
          <w:rFonts w:ascii="Times New Roman" w:hAnsi="Times New Roman" w:cs="Times New Roman"/>
          <w:sz w:val="24"/>
          <w:szCs w:val="24"/>
        </w:rPr>
      </w:pPr>
      <w:bookmarkStart w:id="0" w:name="bkInstrumentTitle"/>
      <w:bookmarkStart w:id="1" w:name="_GoBack"/>
      <w:bookmarkEnd w:id="0"/>
      <w:bookmarkEnd w:id="1"/>
      <w:r>
        <w:rPr>
          <w:rFonts w:ascii="Times New Roman" w:hAnsi="Times New Roman" w:cs="Times New Roman"/>
          <w:sz w:val="24"/>
          <w:szCs w:val="24"/>
        </w:rPr>
        <w:t>PRIVATE HEALTH INSURANCE (PR</w:t>
      </w:r>
      <w:r w:rsidR="00D8184D">
        <w:rPr>
          <w:rFonts w:ascii="Times New Roman" w:hAnsi="Times New Roman" w:cs="Times New Roman"/>
          <w:sz w:val="24"/>
          <w:szCs w:val="24"/>
        </w:rPr>
        <w:t>UDENTIAL SUPERVISION) RULES 2019</w:t>
      </w:r>
    </w:p>
    <w:p w14:paraId="5CA34F15" w14:textId="77777777" w:rsidR="005941E1" w:rsidRPr="008B7528" w:rsidRDefault="005941E1" w:rsidP="00EA6BF0">
      <w:pPr>
        <w:pStyle w:val="Heading"/>
        <w:tabs>
          <w:tab w:val="left" w:pos="360"/>
        </w:tabs>
        <w:ind w:left="-360"/>
        <w:jc w:val="center"/>
        <w:rPr>
          <w:rFonts w:ascii="Times New Roman" w:hAnsi="Times New Roman" w:cs="Times New Roman"/>
          <w:sz w:val="24"/>
          <w:szCs w:val="24"/>
          <w:u w:val="single"/>
        </w:rPr>
      </w:pPr>
      <w:bookmarkStart w:id="2" w:name="bkInstrumentSubTitle"/>
      <w:bookmarkStart w:id="3" w:name="bkStart"/>
      <w:bookmarkEnd w:id="2"/>
      <w:bookmarkEnd w:id="3"/>
      <w:r w:rsidRPr="008B7528">
        <w:rPr>
          <w:rFonts w:ascii="Times New Roman" w:hAnsi="Times New Roman" w:cs="Times New Roman"/>
          <w:sz w:val="24"/>
          <w:szCs w:val="24"/>
          <w:u w:val="single"/>
        </w:rPr>
        <w:t>EXPLANATORY STATEMENT</w:t>
      </w:r>
    </w:p>
    <w:p w14:paraId="001DD1F1" w14:textId="77777777" w:rsidR="00102F9E" w:rsidRDefault="005941E1" w:rsidP="005941E1">
      <w:pPr>
        <w:pStyle w:val="Heading"/>
        <w:jc w:val="center"/>
        <w:rPr>
          <w:rFonts w:ascii="Times New Roman" w:hAnsi="Times New Roman" w:cs="Times New Roman"/>
          <w:sz w:val="24"/>
          <w:szCs w:val="24"/>
        </w:rPr>
      </w:pPr>
      <w:r>
        <w:rPr>
          <w:rFonts w:ascii="Times New Roman" w:hAnsi="Times New Roman" w:cs="Times New Roman"/>
          <w:sz w:val="24"/>
          <w:szCs w:val="24"/>
        </w:rPr>
        <w:t>Prepared by the Australian Prudential Regulation Authority</w:t>
      </w:r>
      <w:r w:rsidR="00102F9E">
        <w:rPr>
          <w:rFonts w:ascii="Times New Roman" w:hAnsi="Times New Roman" w:cs="Times New Roman"/>
          <w:sz w:val="24"/>
          <w:szCs w:val="24"/>
        </w:rPr>
        <w:t xml:space="preserve"> </w:t>
      </w:r>
    </w:p>
    <w:p w14:paraId="130BC0F4" w14:textId="605891DA" w:rsidR="00330418" w:rsidRDefault="00330418" w:rsidP="007A7931">
      <w:pPr>
        <w:pStyle w:val="Heading"/>
        <w:tabs>
          <w:tab w:val="left" w:pos="360"/>
        </w:tabs>
        <w:ind w:left="-360"/>
        <w:jc w:val="center"/>
        <w:rPr>
          <w:rFonts w:ascii="Times New Roman" w:hAnsi="Times New Roman" w:cs="Times New Roman"/>
          <w:b w:val="0"/>
          <w:i/>
          <w:color w:val="000000"/>
          <w:sz w:val="24"/>
          <w:szCs w:val="24"/>
        </w:rPr>
      </w:pPr>
      <w:r w:rsidRPr="00330418">
        <w:rPr>
          <w:rFonts w:ascii="Times New Roman" w:hAnsi="Times New Roman" w:cs="Times New Roman"/>
          <w:b w:val="0"/>
          <w:i/>
          <w:color w:val="000000"/>
          <w:sz w:val="24"/>
          <w:szCs w:val="24"/>
        </w:rPr>
        <w:t>Private Health Insurance (Prudential Supervision) Act 2015</w:t>
      </w:r>
      <w:r w:rsidR="00464655">
        <w:rPr>
          <w:rFonts w:ascii="Times New Roman" w:hAnsi="Times New Roman" w:cs="Times New Roman"/>
          <w:b w:val="0"/>
          <w:i/>
          <w:color w:val="000000"/>
          <w:sz w:val="24"/>
          <w:szCs w:val="24"/>
        </w:rPr>
        <w:t>,</w:t>
      </w:r>
      <w:r w:rsidRPr="00330418">
        <w:rPr>
          <w:rFonts w:ascii="Times New Roman" w:hAnsi="Times New Roman" w:cs="Times New Roman"/>
          <w:b w:val="0"/>
          <w:i/>
          <w:color w:val="000000"/>
          <w:sz w:val="24"/>
          <w:szCs w:val="24"/>
        </w:rPr>
        <w:t xml:space="preserve"> </w:t>
      </w:r>
      <w:r w:rsidR="00A7417A">
        <w:rPr>
          <w:rFonts w:ascii="Times New Roman" w:hAnsi="Times New Roman" w:cs="Times New Roman"/>
          <w:b w:val="0"/>
          <w:i/>
          <w:color w:val="000000"/>
          <w:sz w:val="24"/>
          <w:szCs w:val="24"/>
        </w:rPr>
        <w:t>subsection 174(1)</w:t>
      </w:r>
    </w:p>
    <w:p w14:paraId="2C4B1B7A" w14:textId="77777777" w:rsidR="005D52ED" w:rsidRDefault="005D52ED" w:rsidP="005D52ED">
      <w:pPr>
        <w:ind w:left="-340"/>
        <w:rPr>
          <w:rFonts w:ascii="Times New Roman" w:hAnsi="Times New Roman"/>
          <w:sz w:val="24"/>
        </w:rPr>
      </w:pPr>
      <w:bookmarkStart w:id="4" w:name="bkAct"/>
      <w:bookmarkStart w:id="5" w:name="bkExplanatory"/>
      <w:bookmarkEnd w:id="4"/>
      <w:bookmarkEnd w:id="5"/>
    </w:p>
    <w:p w14:paraId="2748771D" w14:textId="08E986F2" w:rsidR="002B6985" w:rsidRDefault="002B6985" w:rsidP="005D52ED">
      <w:pPr>
        <w:ind w:left="-340"/>
        <w:rPr>
          <w:rFonts w:ascii="Times New Roman" w:hAnsi="Times New Roman"/>
          <w:sz w:val="24"/>
        </w:rPr>
      </w:pPr>
      <w:r w:rsidRPr="002B6985">
        <w:rPr>
          <w:rFonts w:ascii="Times New Roman" w:hAnsi="Times New Roman"/>
          <w:sz w:val="24"/>
        </w:rPr>
        <w:t xml:space="preserve">Under subsection 174(1) of the </w:t>
      </w:r>
      <w:r w:rsidRPr="00D8184D">
        <w:rPr>
          <w:rFonts w:ascii="Times New Roman" w:hAnsi="Times New Roman"/>
          <w:i/>
          <w:sz w:val="24"/>
        </w:rPr>
        <w:t>Private Health Insurance (Prudential Supervision) Act</w:t>
      </w:r>
      <w:r w:rsidRPr="002B6985">
        <w:rPr>
          <w:rFonts w:ascii="Times New Roman" w:hAnsi="Times New Roman"/>
          <w:sz w:val="24"/>
        </w:rPr>
        <w:t xml:space="preserve"> </w:t>
      </w:r>
      <w:r w:rsidRPr="00D8184D">
        <w:rPr>
          <w:rFonts w:ascii="Times New Roman" w:hAnsi="Times New Roman"/>
          <w:i/>
          <w:sz w:val="24"/>
        </w:rPr>
        <w:t>2015</w:t>
      </w:r>
      <w:r w:rsidRPr="002B6985">
        <w:rPr>
          <w:rFonts w:ascii="Times New Roman" w:hAnsi="Times New Roman"/>
          <w:sz w:val="24"/>
        </w:rPr>
        <w:t xml:space="preserve"> (the Act), APRA has the power to make APRA rules, in writing, prescribing matters required or permitted by the Act to be prescribed by APRA rules, or necessary or convenient to be prescribed for carrying out or giving effect to the Act.</w:t>
      </w:r>
    </w:p>
    <w:p w14:paraId="57B4D7E0" w14:textId="6D5D30DC" w:rsidR="001B7FEF" w:rsidRPr="005D52ED" w:rsidRDefault="001B7FEF" w:rsidP="00672704">
      <w:pPr>
        <w:rPr>
          <w:rFonts w:ascii="Times New Roman" w:hAnsi="Times New Roman"/>
          <w:sz w:val="24"/>
        </w:rPr>
      </w:pPr>
    </w:p>
    <w:p w14:paraId="5F63FEF9" w14:textId="7E6BFE2B" w:rsidR="00677C2F" w:rsidRDefault="006447C5" w:rsidP="00677C2F">
      <w:pPr>
        <w:ind w:left="-363"/>
        <w:rPr>
          <w:rFonts w:ascii="Times New Roman" w:hAnsi="Times New Roman"/>
          <w:sz w:val="24"/>
        </w:rPr>
      </w:pPr>
      <w:r w:rsidRPr="005D52ED">
        <w:rPr>
          <w:rFonts w:ascii="Times New Roman" w:hAnsi="Times New Roman"/>
          <w:sz w:val="24"/>
        </w:rPr>
        <w:t xml:space="preserve">The </w:t>
      </w:r>
      <w:r w:rsidRPr="00672704">
        <w:rPr>
          <w:rFonts w:ascii="Times New Roman" w:hAnsi="Times New Roman"/>
          <w:i/>
          <w:sz w:val="24"/>
        </w:rPr>
        <w:t>P</w:t>
      </w:r>
      <w:r w:rsidR="00BC7F71" w:rsidRPr="00672704">
        <w:rPr>
          <w:rFonts w:ascii="Times New Roman" w:hAnsi="Times New Roman"/>
          <w:i/>
          <w:sz w:val="24"/>
        </w:rPr>
        <w:t xml:space="preserve">rivate Health Insurance (Prudential </w:t>
      </w:r>
      <w:r w:rsidRPr="00672704">
        <w:rPr>
          <w:rFonts w:ascii="Times New Roman" w:hAnsi="Times New Roman"/>
          <w:i/>
          <w:sz w:val="24"/>
        </w:rPr>
        <w:t>Supervision) Rules</w:t>
      </w:r>
      <w:r w:rsidR="00BC7F71" w:rsidRPr="00672704">
        <w:rPr>
          <w:rFonts w:ascii="Times New Roman" w:hAnsi="Times New Roman"/>
          <w:i/>
          <w:sz w:val="24"/>
        </w:rPr>
        <w:t xml:space="preserve"> </w:t>
      </w:r>
      <w:r w:rsidR="00BC7F71" w:rsidRPr="00EB4FB6">
        <w:rPr>
          <w:rFonts w:ascii="Times New Roman" w:hAnsi="Times New Roman"/>
          <w:i/>
          <w:sz w:val="24"/>
        </w:rPr>
        <w:t>201</w:t>
      </w:r>
      <w:r w:rsidR="00BB00DB" w:rsidRPr="00EB4FB6">
        <w:rPr>
          <w:rFonts w:ascii="Times New Roman" w:hAnsi="Times New Roman"/>
          <w:i/>
          <w:sz w:val="24"/>
        </w:rPr>
        <w:t>9</w:t>
      </w:r>
      <w:r w:rsidR="002B6985" w:rsidRPr="00524F78">
        <w:rPr>
          <w:rFonts w:ascii="Times New Roman" w:hAnsi="Times New Roman"/>
          <w:i/>
          <w:sz w:val="24"/>
        </w:rPr>
        <w:t xml:space="preserve"> </w:t>
      </w:r>
      <w:r w:rsidR="00BC7F71" w:rsidRPr="002B6985">
        <w:rPr>
          <w:rFonts w:ascii="Times New Roman" w:hAnsi="Times New Roman"/>
          <w:sz w:val="24"/>
        </w:rPr>
        <w:t>(</w:t>
      </w:r>
      <w:r w:rsidR="00BC7F71" w:rsidRPr="00D8184D">
        <w:rPr>
          <w:rFonts w:ascii="Times New Roman" w:hAnsi="Times New Roman"/>
          <w:sz w:val="24"/>
        </w:rPr>
        <w:t xml:space="preserve">the </w:t>
      </w:r>
      <w:r w:rsidR="00464655">
        <w:rPr>
          <w:rFonts w:ascii="Times New Roman" w:hAnsi="Times New Roman"/>
          <w:sz w:val="24"/>
        </w:rPr>
        <w:t>I</w:t>
      </w:r>
      <w:r w:rsidR="00BC7F71" w:rsidRPr="00D8184D">
        <w:rPr>
          <w:rFonts w:ascii="Times New Roman" w:hAnsi="Times New Roman"/>
          <w:sz w:val="24"/>
        </w:rPr>
        <w:t>nstrument</w:t>
      </w:r>
      <w:r w:rsidR="00BC7F71" w:rsidRPr="00EB4FB6">
        <w:rPr>
          <w:rFonts w:ascii="Times New Roman" w:hAnsi="Times New Roman"/>
          <w:sz w:val="24"/>
        </w:rPr>
        <w:t>)</w:t>
      </w:r>
      <w:r w:rsidRPr="005D52ED">
        <w:rPr>
          <w:rFonts w:ascii="Times New Roman" w:hAnsi="Times New Roman"/>
          <w:sz w:val="24"/>
        </w:rPr>
        <w:t xml:space="preserve"> will commence </w:t>
      </w:r>
      <w:r w:rsidR="002A067D">
        <w:rPr>
          <w:rFonts w:ascii="Times New Roman" w:hAnsi="Times New Roman"/>
          <w:sz w:val="24"/>
        </w:rPr>
        <w:t xml:space="preserve">on the day after they are registered on the Federal Register of </w:t>
      </w:r>
      <w:r w:rsidR="002B6985">
        <w:rPr>
          <w:rFonts w:ascii="Times New Roman" w:hAnsi="Times New Roman"/>
          <w:sz w:val="24"/>
        </w:rPr>
        <w:t>Legislation.</w:t>
      </w:r>
    </w:p>
    <w:p w14:paraId="2D642DEE" w14:textId="77777777" w:rsidR="00677C2F" w:rsidRDefault="00677C2F" w:rsidP="00677C2F">
      <w:pPr>
        <w:ind w:left="-363"/>
        <w:rPr>
          <w:rFonts w:ascii="Times New Roman" w:hAnsi="Times New Roman"/>
          <w:sz w:val="24"/>
        </w:rPr>
      </w:pPr>
    </w:p>
    <w:p w14:paraId="523D2214" w14:textId="54EB1909" w:rsidR="00677C2F" w:rsidRDefault="006447C5" w:rsidP="00677C2F">
      <w:pPr>
        <w:ind w:left="-363"/>
        <w:rPr>
          <w:rFonts w:ascii="Times New Roman" w:hAnsi="Times New Roman"/>
          <w:sz w:val="24"/>
        </w:rPr>
      </w:pPr>
      <w:r w:rsidRPr="005D52ED">
        <w:rPr>
          <w:rFonts w:ascii="Times New Roman" w:hAnsi="Times New Roman"/>
          <w:sz w:val="24"/>
        </w:rPr>
        <w:t>The Instrument revoke</w:t>
      </w:r>
      <w:r w:rsidR="00DC2075">
        <w:rPr>
          <w:rFonts w:ascii="Times New Roman" w:hAnsi="Times New Roman"/>
          <w:sz w:val="24"/>
        </w:rPr>
        <w:t>s</w:t>
      </w:r>
      <w:r w:rsidR="00913E03">
        <w:rPr>
          <w:rFonts w:ascii="Times New Roman" w:hAnsi="Times New Roman"/>
          <w:sz w:val="24"/>
        </w:rPr>
        <w:t xml:space="preserve"> </w:t>
      </w:r>
      <w:r w:rsidRPr="005D52ED">
        <w:rPr>
          <w:rFonts w:ascii="Times New Roman" w:hAnsi="Times New Roman"/>
          <w:sz w:val="24"/>
        </w:rPr>
        <w:t xml:space="preserve">the </w:t>
      </w:r>
      <w:r w:rsidRPr="00677C2F">
        <w:rPr>
          <w:rFonts w:ascii="Times New Roman" w:hAnsi="Times New Roman"/>
          <w:i/>
          <w:sz w:val="24"/>
        </w:rPr>
        <w:t>Private Health Insurance (Prudential Supervision) Rules 201</w:t>
      </w:r>
      <w:r w:rsidR="006901E5" w:rsidRPr="00677C2F">
        <w:rPr>
          <w:rFonts w:ascii="Times New Roman" w:hAnsi="Times New Roman"/>
          <w:i/>
          <w:sz w:val="24"/>
        </w:rPr>
        <w:t>6</w:t>
      </w:r>
      <w:r w:rsidR="00913E03">
        <w:rPr>
          <w:rFonts w:ascii="Times New Roman" w:hAnsi="Times New Roman"/>
          <w:sz w:val="24"/>
        </w:rPr>
        <w:t xml:space="preserve"> </w:t>
      </w:r>
      <w:r w:rsidRPr="005D52ED">
        <w:rPr>
          <w:rFonts w:ascii="Times New Roman" w:hAnsi="Times New Roman"/>
          <w:sz w:val="24"/>
        </w:rPr>
        <w:t>(</w:t>
      </w:r>
      <w:r w:rsidR="00E272D1">
        <w:rPr>
          <w:rFonts w:ascii="Times New Roman" w:hAnsi="Times New Roman"/>
          <w:sz w:val="24"/>
        </w:rPr>
        <w:t>P</w:t>
      </w:r>
      <w:r w:rsidRPr="00677C2F">
        <w:rPr>
          <w:rFonts w:ascii="Times New Roman" w:hAnsi="Times New Roman"/>
          <w:sz w:val="24"/>
        </w:rPr>
        <w:t xml:space="preserve">revious </w:t>
      </w:r>
      <w:r w:rsidR="00E272D1">
        <w:rPr>
          <w:rFonts w:ascii="Times New Roman" w:hAnsi="Times New Roman"/>
          <w:sz w:val="24"/>
        </w:rPr>
        <w:t>I</w:t>
      </w:r>
      <w:r w:rsidRPr="00677C2F">
        <w:rPr>
          <w:rFonts w:ascii="Times New Roman" w:hAnsi="Times New Roman"/>
          <w:sz w:val="24"/>
        </w:rPr>
        <w:t>nstrument</w:t>
      </w:r>
      <w:r w:rsidRPr="005D52ED">
        <w:rPr>
          <w:rFonts w:ascii="Times New Roman" w:hAnsi="Times New Roman"/>
          <w:sz w:val="24"/>
        </w:rPr>
        <w:t>)</w:t>
      </w:r>
      <w:r w:rsidR="006D1FF2">
        <w:rPr>
          <w:rFonts w:ascii="Times New Roman" w:hAnsi="Times New Roman"/>
          <w:sz w:val="24"/>
        </w:rPr>
        <w:t>.</w:t>
      </w:r>
    </w:p>
    <w:p w14:paraId="0E5148D6" w14:textId="77777777" w:rsidR="00677C2F" w:rsidRPr="00677C2F" w:rsidRDefault="00677C2F" w:rsidP="00677C2F">
      <w:pPr>
        <w:ind w:left="-363"/>
        <w:rPr>
          <w:rFonts w:ascii="Times New Roman" w:hAnsi="Times New Roman"/>
          <w:sz w:val="24"/>
        </w:rPr>
      </w:pPr>
    </w:p>
    <w:p w14:paraId="75F79283" w14:textId="04CC5E6E" w:rsidR="005941E1" w:rsidRDefault="005941E1" w:rsidP="006D1FF2">
      <w:pPr>
        <w:pStyle w:val="Heading"/>
        <w:numPr>
          <w:ilvl w:val="0"/>
          <w:numId w:val="1"/>
        </w:numPr>
        <w:ind w:hanging="720"/>
        <w:jc w:val="both"/>
        <w:rPr>
          <w:rFonts w:ascii="Times New Roman" w:hAnsi="Times New Roman" w:cs="Times New Roman"/>
          <w:sz w:val="24"/>
          <w:szCs w:val="24"/>
        </w:rPr>
      </w:pPr>
      <w:r>
        <w:rPr>
          <w:rFonts w:ascii="Times New Roman" w:hAnsi="Times New Roman" w:cs="Times New Roman"/>
          <w:sz w:val="24"/>
          <w:szCs w:val="24"/>
        </w:rPr>
        <w:t>Background</w:t>
      </w:r>
    </w:p>
    <w:p w14:paraId="1AAD80EF" w14:textId="1E5A9FFC" w:rsidR="00483A30" w:rsidRDefault="006901E5" w:rsidP="006D0F68">
      <w:pPr>
        <w:spacing w:before="100" w:beforeAutospacing="1" w:after="240"/>
        <w:ind w:left="-360"/>
        <w:rPr>
          <w:rFonts w:ascii="Times New Roman" w:hAnsi="Times New Roman"/>
          <w:sz w:val="24"/>
        </w:rPr>
      </w:pPr>
      <w:bookmarkStart w:id="6" w:name="bkBackground"/>
      <w:bookmarkEnd w:id="6"/>
      <w:r>
        <w:rPr>
          <w:rFonts w:ascii="Times New Roman" w:hAnsi="Times New Roman"/>
          <w:sz w:val="24"/>
        </w:rPr>
        <w:t xml:space="preserve">The </w:t>
      </w:r>
      <w:r w:rsidR="00464655">
        <w:rPr>
          <w:rFonts w:ascii="Times New Roman" w:hAnsi="Times New Roman"/>
          <w:sz w:val="24"/>
        </w:rPr>
        <w:t>Instrument</w:t>
      </w:r>
      <w:r w:rsidR="00464655">
        <w:rPr>
          <w:rFonts w:ascii="Times New Roman" w:hAnsi="Times New Roman"/>
          <w:i/>
          <w:sz w:val="24"/>
        </w:rPr>
        <w:t xml:space="preserve"> </w:t>
      </w:r>
      <w:r w:rsidR="00483A30">
        <w:rPr>
          <w:rFonts w:ascii="Times New Roman" w:hAnsi="Times New Roman"/>
          <w:sz w:val="24"/>
        </w:rPr>
        <w:t>prescribe</w:t>
      </w:r>
      <w:r w:rsidR="00464655">
        <w:rPr>
          <w:rFonts w:ascii="Times New Roman" w:hAnsi="Times New Roman"/>
          <w:sz w:val="24"/>
        </w:rPr>
        <w:t>s</w:t>
      </w:r>
      <w:r w:rsidR="00483A30">
        <w:rPr>
          <w:rFonts w:ascii="Times New Roman" w:hAnsi="Times New Roman"/>
          <w:sz w:val="24"/>
        </w:rPr>
        <w:t xml:space="preserve"> </w:t>
      </w:r>
      <w:r w:rsidR="00464655">
        <w:rPr>
          <w:rFonts w:ascii="Times New Roman" w:hAnsi="Times New Roman"/>
          <w:sz w:val="24"/>
        </w:rPr>
        <w:t xml:space="preserve">various requirements </w:t>
      </w:r>
      <w:r w:rsidR="00483A30">
        <w:rPr>
          <w:rFonts w:ascii="Times New Roman" w:hAnsi="Times New Roman"/>
          <w:sz w:val="24"/>
        </w:rPr>
        <w:t>applicable to private health insurers</w:t>
      </w:r>
      <w:r w:rsidR="00AC0251">
        <w:rPr>
          <w:rFonts w:ascii="Times New Roman" w:hAnsi="Times New Roman"/>
          <w:sz w:val="24"/>
        </w:rPr>
        <w:t xml:space="preserve"> </w:t>
      </w:r>
      <w:r w:rsidR="00464655">
        <w:rPr>
          <w:rFonts w:ascii="Times New Roman" w:hAnsi="Times New Roman"/>
          <w:sz w:val="24"/>
        </w:rPr>
        <w:t>including</w:t>
      </w:r>
      <w:r w:rsidR="00483A30">
        <w:rPr>
          <w:rFonts w:ascii="Times New Roman" w:hAnsi="Times New Roman"/>
          <w:sz w:val="24"/>
        </w:rPr>
        <w:t xml:space="preserve"> rules in relation to the expenditure and application of health benefits funds, restructure of health benefits funds, mergers and acquisitions of health benefits funds and reporting and notifications requirements.</w:t>
      </w:r>
    </w:p>
    <w:p w14:paraId="20F2353A" w14:textId="22F1FC9D" w:rsidR="00C837A1" w:rsidRDefault="00483A30" w:rsidP="00AD52D8">
      <w:pPr>
        <w:ind w:left="-363"/>
        <w:rPr>
          <w:rFonts w:ascii="Times New Roman" w:hAnsi="Times New Roman"/>
          <w:sz w:val="24"/>
        </w:rPr>
      </w:pPr>
      <w:r>
        <w:rPr>
          <w:rFonts w:ascii="Times New Roman" w:hAnsi="Times New Roman"/>
          <w:sz w:val="24"/>
        </w:rPr>
        <w:t xml:space="preserve">The Rules </w:t>
      </w:r>
      <w:r w:rsidR="006901E5">
        <w:rPr>
          <w:rFonts w:ascii="Times New Roman" w:hAnsi="Times New Roman"/>
          <w:sz w:val="24"/>
        </w:rPr>
        <w:t xml:space="preserve">were amended in 2016 </w:t>
      </w:r>
      <w:r w:rsidR="00BB00DB">
        <w:rPr>
          <w:rFonts w:ascii="Times New Roman" w:hAnsi="Times New Roman"/>
          <w:sz w:val="24"/>
        </w:rPr>
        <w:t xml:space="preserve">by the </w:t>
      </w:r>
      <w:r w:rsidR="00E272D1">
        <w:rPr>
          <w:rFonts w:ascii="Times New Roman" w:hAnsi="Times New Roman"/>
          <w:sz w:val="24"/>
        </w:rPr>
        <w:t>P</w:t>
      </w:r>
      <w:r w:rsidR="00BB00DB">
        <w:rPr>
          <w:rFonts w:ascii="Times New Roman" w:hAnsi="Times New Roman"/>
          <w:sz w:val="24"/>
        </w:rPr>
        <w:t xml:space="preserve">revious </w:t>
      </w:r>
      <w:r w:rsidR="00E272D1">
        <w:rPr>
          <w:rFonts w:ascii="Times New Roman" w:hAnsi="Times New Roman"/>
          <w:sz w:val="24"/>
        </w:rPr>
        <w:t>I</w:t>
      </w:r>
      <w:r w:rsidR="00BB00DB">
        <w:rPr>
          <w:rFonts w:ascii="Times New Roman" w:hAnsi="Times New Roman"/>
          <w:sz w:val="24"/>
        </w:rPr>
        <w:t xml:space="preserve">nstrument </w:t>
      </w:r>
      <w:r w:rsidR="006901E5">
        <w:rPr>
          <w:rFonts w:ascii="Times New Roman" w:hAnsi="Times New Roman"/>
          <w:sz w:val="24"/>
        </w:rPr>
        <w:t xml:space="preserve">to </w:t>
      </w:r>
      <w:r>
        <w:rPr>
          <w:rFonts w:ascii="Times New Roman" w:hAnsi="Times New Roman"/>
          <w:sz w:val="24"/>
        </w:rPr>
        <w:t xml:space="preserve">preserve a provision allowing donation </w:t>
      </w:r>
      <w:r w:rsidR="00566934">
        <w:rPr>
          <w:rFonts w:ascii="Times New Roman" w:hAnsi="Times New Roman"/>
          <w:sz w:val="24"/>
        </w:rPr>
        <w:t xml:space="preserve">to medical research as a specified purpose under subparagraph 28(2)(a)(iv) of the Act. </w:t>
      </w:r>
    </w:p>
    <w:p w14:paraId="111F4463" w14:textId="77D0F369" w:rsidR="002B6985" w:rsidRDefault="004608DA" w:rsidP="004608DA">
      <w:pPr>
        <w:tabs>
          <w:tab w:val="left" w:pos="1890"/>
        </w:tabs>
        <w:ind w:left="-363"/>
        <w:rPr>
          <w:rFonts w:ascii="Times New Roman" w:hAnsi="Times New Roman"/>
          <w:sz w:val="24"/>
        </w:rPr>
      </w:pPr>
      <w:r>
        <w:rPr>
          <w:rFonts w:ascii="Times New Roman" w:hAnsi="Times New Roman"/>
          <w:sz w:val="24"/>
        </w:rPr>
        <w:tab/>
      </w:r>
    </w:p>
    <w:p w14:paraId="778F466E" w14:textId="33CFB8AF" w:rsidR="002B6985" w:rsidRDefault="002B6985" w:rsidP="00AD52D8">
      <w:pPr>
        <w:ind w:left="-363"/>
        <w:rPr>
          <w:rFonts w:ascii="Times New Roman" w:hAnsi="Times New Roman"/>
          <w:sz w:val="24"/>
        </w:rPr>
      </w:pPr>
      <w:r w:rsidRPr="005D52ED">
        <w:rPr>
          <w:rFonts w:ascii="Times New Roman" w:hAnsi="Times New Roman"/>
          <w:sz w:val="24"/>
        </w:rPr>
        <w:lastRenderedPageBreak/>
        <w:t xml:space="preserve">The </w:t>
      </w:r>
      <w:r w:rsidR="00087970">
        <w:rPr>
          <w:rFonts w:ascii="Times New Roman" w:hAnsi="Times New Roman"/>
          <w:sz w:val="24"/>
        </w:rPr>
        <w:t>I</w:t>
      </w:r>
      <w:r>
        <w:rPr>
          <w:rFonts w:ascii="Times New Roman" w:hAnsi="Times New Roman"/>
          <w:sz w:val="24"/>
        </w:rPr>
        <w:t xml:space="preserve">nstrument corrects </w:t>
      </w:r>
      <w:r w:rsidR="00087970">
        <w:rPr>
          <w:rFonts w:ascii="Times New Roman" w:hAnsi="Times New Roman"/>
          <w:sz w:val="24"/>
        </w:rPr>
        <w:t xml:space="preserve">paragraph </w:t>
      </w:r>
      <w:r>
        <w:rPr>
          <w:rFonts w:ascii="Times New Roman" w:hAnsi="Times New Roman"/>
          <w:sz w:val="24"/>
        </w:rPr>
        <w:t xml:space="preserve">reference errors in the </w:t>
      </w:r>
      <w:r w:rsidR="00087970">
        <w:rPr>
          <w:rFonts w:ascii="Times New Roman" w:hAnsi="Times New Roman"/>
          <w:sz w:val="24"/>
        </w:rPr>
        <w:t>P</w:t>
      </w:r>
      <w:r w:rsidRPr="005D52ED">
        <w:rPr>
          <w:rFonts w:ascii="Times New Roman" w:hAnsi="Times New Roman"/>
          <w:sz w:val="24"/>
        </w:rPr>
        <w:t xml:space="preserve">revious </w:t>
      </w:r>
      <w:r w:rsidR="00087970">
        <w:rPr>
          <w:rFonts w:ascii="Times New Roman" w:hAnsi="Times New Roman"/>
          <w:sz w:val="24"/>
        </w:rPr>
        <w:t>I</w:t>
      </w:r>
      <w:r w:rsidRPr="005D52ED">
        <w:rPr>
          <w:rFonts w:ascii="Times New Roman" w:hAnsi="Times New Roman"/>
          <w:sz w:val="24"/>
        </w:rPr>
        <w:t>nstrument</w:t>
      </w:r>
      <w:r>
        <w:rPr>
          <w:rFonts w:ascii="Times New Roman" w:hAnsi="Times New Roman"/>
          <w:sz w:val="24"/>
        </w:rPr>
        <w:t>. It does not make any other changes.</w:t>
      </w:r>
    </w:p>
    <w:p w14:paraId="5B41E3DE" w14:textId="77777777" w:rsidR="00677C2F" w:rsidRDefault="00677C2F" w:rsidP="00AD52D8">
      <w:pPr>
        <w:ind w:left="-363"/>
        <w:rPr>
          <w:rFonts w:ascii="Times New Roman" w:hAnsi="Times New Roman"/>
          <w:sz w:val="24"/>
        </w:rPr>
      </w:pPr>
    </w:p>
    <w:p w14:paraId="57DF27ED" w14:textId="5340619F" w:rsidR="006D1FF2" w:rsidRPr="006D1FF2" w:rsidRDefault="008B7528" w:rsidP="006D1FF2">
      <w:pPr>
        <w:pStyle w:val="Heading"/>
        <w:numPr>
          <w:ilvl w:val="0"/>
          <w:numId w:val="1"/>
        </w:numPr>
        <w:ind w:hanging="720"/>
        <w:jc w:val="both"/>
        <w:rPr>
          <w:rFonts w:ascii="Times New Roman" w:hAnsi="Times New Roman" w:cs="Times New Roman"/>
          <w:sz w:val="24"/>
          <w:szCs w:val="24"/>
        </w:rPr>
      </w:pPr>
      <w:r>
        <w:rPr>
          <w:rFonts w:ascii="Times New Roman" w:hAnsi="Times New Roman" w:cs="Times New Roman"/>
          <w:sz w:val="24"/>
          <w:szCs w:val="24"/>
        </w:rPr>
        <w:t>Purpose of the instrument</w:t>
      </w:r>
    </w:p>
    <w:p w14:paraId="2DF4A01E" w14:textId="77777777" w:rsidR="006D1FF2" w:rsidRDefault="006D1FF2" w:rsidP="006D1FF2">
      <w:pPr>
        <w:ind w:left="-363"/>
        <w:rPr>
          <w:rFonts w:ascii="Times New Roman" w:hAnsi="Times New Roman"/>
          <w:sz w:val="24"/>
        </w:rPr>
      </w:pPr>
    </w:p>
    <w:p w14:paraId="14DFE84A" w14:textId="24B9BB1A" w:rsidR="00EB4FB6" w:rsidRDefault="00A87CC7" w:rsidP="006D1FF2">
      <w:pPr>
        <w:ind w:left="-363"/>
        <w:rPr>
          <w:rFonts w:ascii="Times New Roman" w:hAnsi="Times New Roman"/>
          <w:sz w:val="24"/>
        </w:rPr>
      </w:pPr>
      <w:r>
        <w:rPr>
          <w:rFonts w:ascii="Times New Roman" w:hAnsi="Times New Roman"/>
          <w:sz w:val="24"/>
        </w:rPr>
        <w:t xml:space="preserve">The purpose of the </w:t>
      </w:r>
      <w:r w:rsidR="00087970">
        <w:rPr>
          <w:rFonts w:ascii="Times New Roman" w:hAnsi="Times New Roman"/>
          <w:sz w:val="24"/>
        </w:rPr>
        <w:t>I</w:t>
      </w:r>
      <w:r>
        <w:rPr>
          <w:rFonts w:ascii="Times New Roman" w:hAnsi="Times New Roman"/>
          <w:sz w:val="24"/>
        </w:rPr>
        <w:t>nstrument i</w:t>
      </w:r>
      <w:r w:rsidR="00227582">
        <w:rPr>
          <w:rFonts w:ascii="Times New Roman" w:hAnsi="Times New Roman"/>
          <w:sz w:val="24"/>
        </w:rPr>
        <w:t>s</w:t>
      </w:r>
      <w:r>
        <w:rPr>
          <w:rFonts w:ascii="Times New Roman" w:hAnsi="Times New Roman"/>
          <w:sz w:val="24"/>
        </w:rPr>
        <w:t xml:space="preserve"> to </w:t>
      </w:r>
      <w:r w:rsidR="00087970">
        <w:rPr>
          <w:rFonts w:ascii="Times New Roman" w:hAnsi="Times New Roman"/>
          <w:sz w:val="24"/>
        </w:rPr>
        <w:t xml:space="preserve">both </w:t>
      </w:r>
      <w:r w:rsidR="00EB4FB6">
        <w:rPr>
          <w:rFonts w:ascii="Times New Roman" w:hAnsi="Times New Roman"/>
          <w:sz w:val="24"/>
        </w:rPr>
        <w:t xml:space="preserve">revoke the </w:t>
      </w:r>
      <w:r w:rsidR="00087970">
        <w:rPr>
          <w:rFonts w:ascii="Times New Roman" w:hAnsi="Times New Roman"/>
          <w:sz w:val="24"/>
        </w:rPr>
        <w:t>P</w:t>
      </w:r>
      <w:r w:rsidR="00EB4FB6">
        <w:rPr>
          <w:rFonts w:ascii="Times New Roman" w:hAnsi="Times New Roman"/>
          <w:sz w:val="24"/>
        </w:rPr>
        <w:t xml:space="preserve">revious </w:t>
      </w:r>
      <w:r w:rsidR="00087970">
        <w:rPr>
          <w:rFonts w:ascii="Times New Roman" w:hAnsi="Times New Roman"/>
          <w:sz w:val="24"/>
        </w:rPr>
        <w:t>I</w:t>
      </w:r>
      <w:r w:rsidR="00EB4FB6">
        <w:rPr>
          <w:rFonts w:ascii="Times New Roman" w:hAnsi="Times New Roman"/>
          <w:sz w:val="24"/>
        </w:rPr>
        <w:t>nstrument and to make th</w:t>
      </w:r>
      <w:r w:rsidR="00087970">
        <w:rPr>
          <w:rFonts w:ascii="Times New Roman" w:hAnsi="Times New Roman"/>
          <w:sz w:val="24"/>
        </w:rPr>
        <w:t>e</w:t>
      </w:r>
      <w:r w:rsidR="00EB4FB6">
        <w:rPr>
          <w:rFonts w:ascii="Times New Roman" w:hAnsi="Times New Roman"/>
          <w:sz w:val="24"/>
        </w:rPr>
        <w:t xml:space="preserve"> </w:t>
      </w:r>
      <w:r w:rsidR="00AC0251">
        <w:rPr>
          <w:rFonts w:ascii="Times New Roman" w:hAnsi="Times New Roman"/>
          <w:sz w:val="24"/>
        </w:rPr>
        <w:t>Instrument</w:t>
      </w:r>
      <w:r w:rsidR="00EB4FB6">
        <w:rPr>
          <w:rFonts w:ascii="Times New Roman" w:hAnsi="Times New Roman"/>
          <w:sz w:val="24"/>
        </w:rPr>
        <w:t xml:space="preserve"> </w:t>
      </w:r>
      <w:r w:rsidR="00087970">
        <w:rPr>
          <w:rFonts w:ascii="Times New Roman" w:hAnsi="Times New Roman"/>
          <w:sz w:val="24"/>
        </w:rPr>
        <w:t>so as to correct</w:t>
      </w:r>
      <w:r>
        <w:rPr>
          <w:rFonts w:ascii="Times New Roman" w:hAnsi="Times New Roman"/>
          <w:sz w:val="24"/>
        </w:rPr>
        <w:t xml:space="preserve"> </w:t>
      </w:r>
      <w:r w:rsidR="000B454F">
        <w:rPr>
          <w:rFonts w:ascii="Times New Roman" w:hAnsi="Times New Roman"/>
          <w:sz w:val="24"/>
        </w:rPr>
        <w:t xml:space="preserve">incorrect </w:t>
      </w:r>
      <w:r w:rsidR="007C2B85">
        <w:rPr>
          <w:rFonts w:ascii="Times New Roman" w:hAnsi="Times New Roman"/>
          <w:sz w:val="24"/>
        </w:rPr>
        <w:t>paragraph references</w:t>
      </w:r>
      <w:r w:rsidR="00087970">
        <w:rPr>
          <w:rFonts w:ascii="Times New Roman" w:hAnsi="Times New Roman"/>
          <w:sz w:val="24"/>
        </w:rPr>
        <w:t xml:space="preserve"> in the Previous Instrument</w:t>
      </w:r>
      <w:r w:rsidR="00EB4FB6">
        <w:rPr>
          <w:rFonts w:ascii="Times New Roman" w:hAnsi="Times New Roman"/>
          <w:sz w:val="24"/>
        </w:rPr>
        <w:t>.</w:t>
      </w:r>
    </w:p>
    <w:p w14:paraId="09CFA2AE" w14:textId="77777777" w:rsidR="00677C2F" w:rsidRDefault="00677C2F" w:rsidP="006D1FF2">
      <w:pPr>
        <w:ind w:left="-363"/>
        <w:rPr>
          <w:rFonts w:ascii="Times New Roman" w:hAnsi="Times New Roman"/>
          <w:sz w:val="24"/>
        </w:rPr>
      </w:pPr>
    </w:p>
    <w:p w14:paraId="368399E1" w14:textId="77777777" w:rsidR="00AD52D8" w:rsidRPr="006D1FF2" w:rsidRDefault="00AD52D8" w:rsidP="006D1FF2">
      <w:pPr>
        <w:pStyle w:val="Heading"/>
        <w:numPr>
          <w:ilvl w:val="0"/>
          <w:numId w:val="1"/>
        </w:numPr>
        <w:ind w:hanging="720"/>
        <w:jc w:val="both"/>
        <w:rPr>
          <w:rFonts w:ascii="Times New Roman" w:hAnsi="Times New Roman"/>
          <w:sz w:val="24"/>
        </w:rPr>
      </w:pPr>
      <w:r w:rsidRPr="006D1FF2">
        <w:rPr>
          <w:rFonts w:ascii="Times New Roman" w:hAnsi="Times New Roman" w:cs="Times New Roman"/>
          <w:sz w:val="24"/>
          <w:szCs w:val="24"/>
        </w:rPr>
        <w:t>Consultation</w:t>
      </w:r>
    </w:p>
    <w:p w14:paraId="67EDEEF2" w14:textId="77777777" w:rsidR="006D1FF2" w:rsidRDefault="006D1FF2" w:rsidP="00AD52D8">
      <w:pPr>
        <w:ind w:left="-363"/>
        <w:rPr>
          <w:rFonts w:ascii="Times New Roman" w:hAnsi="Times New Roman"/>
          <w:sz w:val="24"/>
        </w:rPr>
      </w:pPr>
      <w:bookmarkStart w:id="7" w:name="bkPurpose"/>
      <w:bookmarkStart w:id="8" w:name="bkoperation"/>
      <w:bookmarkStart w:id="9" w:name="bkConsultationNo"/>
      <w:bookmarkStart w:id="10" w:name="bkConsultation"/>
      <w:bookmarkEnd w:id="7"/>
      <w:bookmarkEnd w:id="8"/>
      <w:bookmarkEnd w:id="9"/>
      <w:bookmarkEnd w:id="10"/>
    </w:p>
    <w:p w14:paraId="7D8BD396" w14:textId="07F421DC" w:rsidR="00B25C09" w:rsidRPr="006D1FF2" w:rsidRDefault="00165463" w:rsidP="00AD52D8">
      <w:pPr>
        <w:ind w:left="-363"/>
        <w:rPr>
          <w:rFonts w:ascii="Times New Roman" w:hAnsi="Times New Roman"/>
          <w:sz w:val="24"/>
          <w:highlight w:val="yellow"/>
        </w:rPr>
      </w:pPr>
      <w:r w:rsidRPr="004F540E">
        <w:rPr>
          <w:rFonts w:ascii="Times New Roman" w:hAnsi="Times New Roman"/>
          <w:sz w:val="24"/>
        </w:rPr>
        <w:t xml:space="preserve">Due </w:t>
      </w:r>
      <w:r w:rsidR="00524F78" w:rsidRPr="004F540E">
        <w:rPr>
          <w:rFonts w:ascii="Times New Roman" w:hAnsi="Times New Roman"/>
          <w:sz w:val="24"/>
        </w:rPr>
        <w:t>to</w:t>
      </w:r>
      <w:r w:rsidR="00524F78" w:rsidRPr="00524F78">
        <w:rPr>
          <w:rFonts w:ascii="Times New Roman" w:hAnsi="Times New Roman"/>
          <w:sz w:val="24"/>
        </w:rPr>
        <w:t xml:space="preserve"> the minor </w:t>
      </w:r>
      <w:r w:rsidR="007C2B85">
        <w:rPr>
          <w:rFonts w:ascii="Times New Roman" w:hAnsi="Times New Roman"/>
          <w:sz w:val="24"/>
        </w:rPr>
        <w:t xml:space="preserve">and machinery </w:t>
      </w:r>
      <w:r w:rsidR="00524F78" w:rsidRPr="00524F78">
        <w:rPr>
          <w:rFonts w:ascii="Times New Roman" w:hAnsi="Times New Roman"/>
          <w:sz w:val="24"/>
        </w:rPr>
        <w:t>nature of the amendments, a formal consultation process</w:t>
      </w:r>
      <w:r w:rsidR="00524F78">
        <w:rPr>
          <w:rFonts w:ascii="Times New Roman" w:hAnsi="Times New Roman"/>
          <w:sz w:val="24"/>
        </w:rPr>
        <w:t xml:space="preserve"> is not required</w:t>
      </w:r>
      <w:r w:rsidR="00524F78" w:rsidRPr="00524F78">
        <w:rPr>
          <w:rFonts w:ascii="Times New Roman" w:hAnsi="Times New Roman"/>
          <w:sz w:val="24"/>
        </w:rPr>
        <w:t>.</w:t>
      </w:r>
      <w:r w:rsidR="006D1FF2">
        <w:rPr>
          <w:rFonts w:ascii="Times New Roman" w:hAnsi="Times New Roman"/>
          <w:sz w:val="24"/>
        </w:rPr>
        <w:t xml:space="preserve"> Stakeholders will be notified of the correction by email.</w:t>
      </w:r>
    </w:p>
    <w:p w14:paraId="00E1DCAA" w14:textId="31506353" w:rsidR="003F5D57" w:rsidRPr="00672704" w:rsidRDefault="00460E89" w:rsidP="00672704">
      <w:pPr>
        <w:pStyle w:val="Heading"/>
        <w:numPr>
          <w:ilvl w:val="0"/>
          <w:numId w:val="1"/>
        </w:numPr>
        <w:ind w:hanging="720"/>
        <w:jc w:val="both"/>
        <w:rPr>
          <w:rFonts w:ascii="Times New Roman" w:hAnsi="Times New Roman"/>
          <w:sz w:val="24"/>
        </w:rPr>
      </w:pPr>
      <w:bookmarkStart w:id="11" w:name="bkRISNO"/>
      <w:bookmarkEnd w:id="11"/>
      <w:r>
        <w:rPr>
          <w:rFonts w:ascii="Times New Roman" w:hAnsi="Times New Roman"/>
          <w:sz w:val="24"/>
        </w:rPr>
        <w:t xml:space="preserve">Statement of compatibility prepared in accordance with Part 3 of the Human Rights (Parliamentary  Scrutiny) Act </w:t>
      </w:r>
      <w:r w:rsidR="00672704">
        <w:rPr>
          <w:rFonts w:ascii="Times New Roman" w:hAnsi="Times New Roman"/>
          <w:sz w:val="24"/>
        </w:rPr>
        <w:t>2011</w:t>
      </w:r>
    </w:p>
    <w:p w14:paraId="73DB1077" w14:textId="77777777" w:rsidR="00654FDA" w:rsidRDefault="00654FDA" w:rsidP="00654FDA">
      <w:pPr>
        <w:pStyle w:val="Heading"/>
        <w:spacing w:after="240"/>
        <w:ind w:left="-426"/>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3613939A" w14:textId="52923C10" w:rsidR="00654FDA" w:rsidRDefault="00F160DC" w:rsidP="00672704">
      <w:pPr>
        <w:spacing w:before="100" w:beforeAutospacing="1" w:after="240"/>
        <w:ind w:left="-360"/>
        <w:rPr>
          <w:rFonts w:ascii="Times New Roman" w:hAnsi="Times New Roman"/>
          <w:b/>
          <w:i/>
          <w:color w:val="000000"/>
          <w:sz w:val="24"/>
        </w:rPr>
      </w:pPr>
      <w:r>
        <w:rPr>
          <w:rFonts w:ascii="Times New Roman" w:hAnsi="Times New Roman"/>
          <w:b/>
          <w:i/>
          <w:color w:val="000000"/>
          <w:sz w:val="24"/>
        </w:rPr>
        <w:t xml:space="preserve">  </w:t>
      </w:r>
    </w:p>
    <w:p w14:paraId="28124F64" w14:textId="77777777" w:rsidR="00654FDA" w:rsidRDefault="00654FDA" w:rsidP="00672704">
      <w:pPr>
        <w:spacing w:before="100" w:beforeAutospacing="1" w:after="240"/>
        <w:ind w:left="-360"/>
        <w:rPr>
          <w:rFonts w:ascii="Times New Roman" w:hAnsi="Times New Roman"/>
          <w:b/>
          <w:i/>
          <w:color w:val="000000"/>
          <w:sz w:val="24"/>
        </w:rPr>
      </w:pPr>
    </w:p>
    <w:p w14:paraId="617C7E00" w14:textId="77777777" w:rsidR="00654FDA" w:rsidRDefault="00654FDA">
      <w:pPr>
        <w:rPr>
          <w:rFonts w:ascii="Times New Roman" w:hAnsi="Times New Roman"/>
          <w:b/>
          <w:sz w:val="24"/>
        </w:rPr>
      </w:pPr>
      <w:r>
        <w:rPr>
          <w:rFonts w:ascii="Times New Roman" w:hAnsi="Times New Roman"/>
          <w:b/>
          <w:sz w:val="24"/>
        </w:rPr>
        <w:br w:type="page"/>
      </w:r>
    </w:p>
    <w:p w14:paraId="7FFABB8F" w14:textId="77777777" w:rsidR="00654FDA" w:rsidRDefault="00654FDA" w:rsidP="00654FDA">
      <w:pPr>
        <w:spacing w:before="100" w:beforeAutospacing="1" w:after="240"/>
        <w:jc w:val="center"/>
        <w:rPr>
          <w:rFonts w:ascii="Times New Roman" w:hAnsi="Times New Roman"/>
          <w:b/>
          <w:sz w:val="24"/>
        </w:rPr>
      </w:pPr>
      <w:r>
        <w:rPr>
          <w:rFonts w:ascii="Times New Roman" w:hAnsi="Times New Roman"/>
          <w:b/>
          <w:sz w:val="24"/>
        </w:rPr>
        <w:lastRenderedPageBreak/>
        <w:t>ATTACHMENT A</w:t>
      </w:r>
    </w:p>
    <w:p w14:paraId="50FA5CED" w14:textId="77777777" w:rsidR="00654FDA" w:rsidRPr="006C3AA6" w:rsidRDefault="00654FDA" w:rsidP="00654FDA">
      <w:pPr>
        <w:spacing w:before="100" w:beforeAutospacing="1" w:after="240"/>
        <w:jc w:val="center"/>
        <w:rPr>
          <w:rFonts w:ascii="Helvetica Neue" w:hAnsi="Helvetica Neue"/>
          <w:b/>
          <w:sz w:val="19"/>
          <w:szCs w:val="19"/>
        </w:rPr>
      </w:pPr>
      <w:r w:rsidRPr="006C3AA6">
        <w:rPr>
          <w:rFonts w:ascii="Times New Roman" w:hAnsi="Times New Roman"/>
          <w:b/>
          <w:sz w:val="24"/>
        </w:rPr>
        <w:t>Statement of Compatibility with Human Rights</w:t>
      </w:r>
    </w:p>
    <w:p w14:paraId="2FCBD33B" w14:textId="77777777" w:rsidR="00654FDA" w:rsidRPr="006C3AA6" w:rsidRDefault="00654FDA" w:rsidP="00654FDA">
      <w:pPr>
        <w:spacing w:before="100" w:beforeAutospacing="1" w:after="240"/>
        <w:ind w:left="-426"/>
        <w:rPr>
          <w:rFonts w:ascii="Helvetica Neue" w:hAnsi="Helvetica Neue"/>
          <w:sz w:val="19"/>
          <w:szCs w:val="19"/>
        </w:rPr>
      </w:pPr>
      <w:r w:rsidRPr="006C3AA6">
        <w:rPr>
          <w:rFonts w:ascii="Times New Roman" w:hAnsi="Times New Roman"/>
          <w:i/>
          <w:iCs/>
          <w:sz w:val="24"/>
        </w:rPr>
        <w:t>Prepared in accordance with Part 3 of the Human Rights (Parliamentary Scrutiny) Act 2011</w:t>
      </w:r>
    </w:p>
    <w:p w14:paraId="39733DD3" w14:textId="7C59C12E" w:rsidR="00830266" w:rsidRDefault="00830266" w:rsidP="00672704">
      <w:pPr>
        <w:spacing w:before="100" w:beforeAutospacing="1" w:after="240"/>
        <w:ind w:left="-360"/>
        <w:rPr>
          <w:rFonts w:ascii="Times New Roman" w:hAnsi="Times New Roman"/>
          <w:b/>
          <w:i/>
          <w:color w:val="000000"/>
          <w:sz w:val="24"/>
        </w:rPr>
      </w:pPr>
      <w:r w:rsidRPr="00672704">
        <w:rPr>
          <w:rFonts w:ascii="Times New Roman" w:hAnsi="Times New Roman"/>
          <w:b/>
          <w:i/>
          <w:color w:val="000000"/>
          <w:sz w:val="24"/>
        </w:rPr>
        <w:t xml:space="preserve">Private Health Insurance (Prudential Supervision) </w:t>
      </w:r>
      <w:r>
        <w:rPr>
          <w:rFonts w:ascii="Times New Roman" w:hAnsi="Times New Roman"/>
          <w:b/>
          <w:i/>
          <w:color w:val="000000"/>
          <w:sz w:val="24"/>
        </w:rPr>
        <w:t>Rules 201</w:t>
      </w:r>
      <w:r w:rsidR="00094994">
        <w:rPr>
          <w:rFonts w:ascii="Times New Roman" w:hAnsi="Times New Roman"/>
          <w:b/>
          <w:i/>
          <w:color w:val="000000"/>
          <w:sz w:val="24"/>
        </w:rPr>
        <w:t>9</w:t>
      </w:r>
    </w:p>
    <w:p w14:paraId="151794C2" w14:textId="77777777" w:rsidR="00830266" w:rsidRDefault="00830266" w:rsidP="00672704">
      <w:pPr>
        <w:spacing w:before="100" w:beforeAutospacing="1" w:after="240"/>
        <w:ind w:left="-360"/>
        <w:rPr>
          <w:rFonts w:ascii="Helvetica Neue" w:hAnsi="Helvetica Neue"/>
          <w:sz w:val="19"/>
          <w:szCs w:val="19"/>
        </w:rPr>
      </w:pPr>
      <w:r w:rsidRPr="00672704">
        <w:rPr>
          <w:rFonts w:ascii="Times New Roman" w:hAnsi="Times New Roman"/>
          <w:sz w:val="24"/>
        </w:rPr>
        <w:t xml:space="preserve">This Legislative Instrument is compatible with the human rights and freedoms recognised or declared in the international instruments listed in section 3 of the </w:t>
      </w:r>
      <w:r w:rsidRPr="00672704">
        <w:rPr>
          <w:rFonts w:ascii="Times New Roman" w:hAnsi="Times New Roman"/>
          <w:i/>
          <w:iCs/>
          <w:sz w:val="24"/>
        </w:rPr>
        <w:t>Human Rights (Parliamentary Scrutiny) Act 2011</w:t>
      </w:r>
      <w:r w:rsidRPr="00672704">
        <w:rPr>
          <w:rFonts w:ascii="Times New Roman" w:hAnsi="Times New Roman"/>
          <w:sz w:val="24"/>
        </w:rPr>
        <w:t xml:space="preserve"> (HRPS Act).</w:t>
      </w:r>
    </w:p>
    <w:p w14:paraId="44B2866E" w14:textId="77777777" w:rsidR="00830266" w:rsidRDefault="00830266" w:rsidP="00672704">
      <w:pPr>
        <w:spacing w:before="100" w:beforeAutospacing="1" w:after="240"/>
        <w:ind w:left="-360"/>
        <w:rPr>
          <w:rFonts w:ascii="Times New Roman" w:hAnsi="Times New Roman"/>
          <w:bCs/>
          <w:sz w:val="24"/>
        </w:rPr>
      </w:pPr>
      <w:r w:rsidRPr="00672704">
        <w:rPr>
          <w:rFonts w:ascii="Times New Roman" w:hAnsi="Times New Roman"/>
          <w:b/>
          <w:bCs/>
          <w:sz w:val="24"/>
        </w:rPr>
        <w:t xml:space="preserve">Overview of the Legislative Instrument </w:t>
      </w:r>
    </w:p>
    <w:p w14:paraId="7DA49608" w14:textId="1A5503F0" w:rsidR="001A360C" w:rsidRDefault="00830266" w:rsidP="00672704">
      <w:pPr>
        <w:spacing w:before="100" w:beforeAutospacing="1" w:after="240"/>
        <w:ind w:left="-360"/>
        <w:rPr>
          <w:rFonts w:ascii="Times New Roman" w:hAnsi="Times New Roman"/>
          <w:sz w:val="24"/>
        </w:rPr>
      </w:pPr>
      <w:r w:rsidRPr="002E5681">
        <w:rPr>
          <w:rFonts w:ascii="Times New Roman" w:hAnsi="Times New Roman"/>
          <w:sz w:val="24"/>
        </w:rPr>
        <w:t xml:space="preserve">The </w:t>
      </w:r>
      <w:r w:rsidRPr="002E5681">
        <w:rPr>
          <w:rFonts w:ascii="Times New Roman" w:hAnsi="Times New Roman"/>
          <w:i/>
          <w:sz w:val="24"/>
        </w:rPr>
        <w:t xml:space="preserve">Private Health Insurance (Prudential Supervision) </w:t>
      </w:r>
      <w:r>
        <w:rPr>
          <w:rFonts w:ascii="Times New Roman" w:hAnsi="Times New Roman"/>
          <w:i/>
          <w:sz w:val="24"/>
        </w:rPr>
        <w:t>R</w:t>
      </w:r>
      <w:r w:rsidRPr="002E5681">
        <w:rPr>
          <w:rFonts w:ascii="Times New Roman" w:hAnsi="Times New Roman"/>
          <w:i/>
          <w:sz w:val="24"/>
        </w:rPr>
        <w:t>ule</w:t>
      </w:r>
      <w:r>
        <w:rPr>
          <w:rFonts w:ascii="Times New Roman" w:hAnsi="Times New Roman"/>
          <w:i/>
          <w:sz w:val="24"/>
        </w:rPr>
        <w:t>s</w:t>
      </w:r>
      <w:r w:rsidRPr="002E5681">
        <w:rPr>
          <w:rFonts w:ascii="Times New Roman" w:hAnsi="Times New Roman"/>
          <w:i/>
          <w:sz w:val="24"/>
        </w:rPr>
        <w:t xml:space="preserve"> </w:t>
      </w:r>
      <w:r w:rsidR="00672704">
        <w:rPr>
          <w:rFonts w:ascii="Times New Roman" w:hAnsi="Times New Roman"/>
          <w:i/>
          <w:sz w:val="24"/>
        </w:rPr>
        <w:t>201</w:t>
      </w:r>
      <w:r w:rsidR="00094994">
        <w:rPr>
          <w:rFonts w:ascii="Times New Roman" w:hAnsi="Times New Roman"/>
          <w:i/>
          <w:sz w:val="24"/>
        </w:rPr>
        <w:t>9</w:t>
      </w:r>
      <w:r>
        <w:rPr>
          <w:rFonts w:ascii="Times New Roman" w:hAnsi="Times New Roman"/>
          <w:i/>
          <w:sz w:val="24"/>
        </w:rPr>
        <w:t xml:space="preserve"> </w:t>
      </w:r>
      <w:r w:rsidR="00227582">
        <w:rPr>
          <w:rFonts w:ascii="Times New Roman" w:hAnsi="Times New Roman"/>
          <w:sz w:val="24"/>
        </w:rPr>
        <w:t>prescribe</w:t>
      </w:r>
      <w:r w:rsidR="005E59D9">
        <w:rPr>
          <w:rFonts w:ascii="Times New Roman" w:hAnsi="Times New Roman"/>
          <w:sz w:val="24"/>
        </w:rPr>
        <w:t xml:space="preserve"> </w:t>
      </w:r>
      <w:r w:rsidR="00672704">
        <w:rPr>
          <w:rFonts w:ascii="Times New Roman" w:hAnsi="Times New Roman"/>
          <w:sz w:val="24"/>
        </w:rPr>
        <w:t>matters applicable</w:t>
      </w:r>
      <w:r w:rsidR="00227582">
        <w:rPr>
          <w:rFonts w:ascii="Times New Roman" w:hAnsi="Times New Roman"/>
          <w:sz w:val="24"/>
        </w:rPr>
        <w:t xml:space="preserve"> to private health </w:t>
      </w:r>
      <w:r w:rsidR="00672704">
        <w:rPr>
          <w:rFonts w:ascii="Times New Roman" w:hAnsi="Times New Roman"/>
          <w:sz w:val="24"/>
        </w:rPr>
        <w:t>insurers</w:t>
      </w:r>
      <w:r w:rsidR="000B57A0">
        <w:rPr>
          <w:rFonts w:ascii="Times New Roman" w:hAnsi="Times New Roman"/>
          <w:sz w:val="24"/>
        </w:rPr>
        <w:t>.</w:t>
      </w:r>
    </w:p>
    <w:p w14:paraId="0FDC0D65" w14:textId="13FB2E4B" w:rsidR="00830266" w:rsidRPr="00227582" w:rsidRDefault="001A360C" w:rsidP="00672704">
      <w:pPr>
        <w:spacing w:before="100" w:beforeAutospacing="1" w:after="240"/>
        <w:ind w:left="-360"/>
        <w:rPr>
          <w:rFonts w:ascii="Helvetica Neue" w:hAnsi="Helvetica Neue"/>
          <w:sz w:val="19"/>
          <w:szCs w:val="19"/>
        </w:rPr>
      </w:pPr>
      <w:r>
        <w:rPr>
          <w:rFonts w:ascii="Times New Roman" w:hAnsi="Times New Roman"/>
          <w:sz w:val="24"/>
        </w:rPr>
        <w:t xml:space="preserve">The </w:t>
      </w:r>
      <w:r w:rsidR="00A37C77">
        <w:rPr>
          <w:rFonts w:ascii="Times New Roman" w:hAnsi="Times New Roman"/>
          <w:sz w:val="24"/>
        </w:rPr>
        <w:t>I</w:t>
      </w:r>
      <w:r>
        <w:rPr>
          <w:rFonts w:ascii="Times New Roman" w:hAnsi="Times New Roman"/>
          <w:sz w:val="24"/>
        </w:rPr>
        <w:t xml:space="preserve">nstrument </w:t>
      </w:r>
      <w:r w:rsidR="00A37C77">
        <w:rPr>
          <w:rFonts w:ascii="Times New Roman" w:hAnsi="Times New Roman"/>
          <w:sz w:val="24"/>
        </w:rPr>
        <w:t xml:space="preserve">specifies </w:t>
      </w:r>
      <w:r>
        <w:rPr>
          <w:rFonts w:ascii="Times New Roman" w:hAnsi="Times New Roman"/>
          <w:sz w:val="24"/>
        </w:rPr>
        <w:t>rules in relation to the expenditure and application of health benefit</w:t>
      </w:r>
      <w:r w:rsidR="00EC006F">
        <w:rPr>
          <w:rFonts w:ascii="Times New Roman" w:hAnsi="Times New Roman"/>
          <w:sz w:val="24"/>
        </w:rPr>
        <w:t>s</w:t>
      </w:r>
      <w:r>
        <w:rPr>
          <w:rFonts w:ascii="Times New Roman" w:hAnsi="Times New Roman"/>
          <w:sz w:val="24"/>
        </w:rPr>
        <w:t xml:space="preserve"> funds, restructure of health benefit</w:t>
      </w:r>
      <w:r w:rsidR="00EC006F">
        <w:rPr>
          <w:rFonts w:ascii="Times New Roman" w:hAnsi="Times New Roman"/>
          <w:sz w:val="24"/>
        </w:rPr>
        <w:t>s</w:t>
      </w:r>
      <w:r>
        <w:rPr>
          <w:rFonts w:ascii="Times New Roman" w:hAnsi="Times New Roman"/>
          <w:sz w:val="24"/>
        </w:rPr>
        <w:t xml:space="preserve"> funds, mergers and acquisitions of health benefits funds</w:t>
      </w:r>
      <w:r w:rsidR="00A37C77">
        <w:rPr>
          <w:rFonts w:ascii="Times New Roman" w:hAnsi="Times New Roman"/>
          <w:sz w:val="24"/>
        </w:rPr>
        <w:t>,</w:t>
      </w:r>
      <w:r>
        <w:rPr>
          <w:rFonts w:ascii="Times New Roman" w:hAnsi="Times New Roman"/>
          <w:sz w:val="24"/>
        </w:rPr>
        <w:t xml:space="preserve"> and reporting and notifications requirements. </w:t>
      </w:r>
    </w:p>
    <w:p w14:paraId="07FA9098" w14:textId="77777777" w:rsidR="003F5D57" w:rsidRDefault="00830266" w:rsidP="00672704">
      <w:pPr>
        <w:spacing w:before="100" w:beforeAutospacing="1" w:after="240"/>
        <w:ind w:left="-360"/>
        <w:rPr>
          <w:rFonts w:ascii="Helvetica Neue" w:hAnsi="Helvetica Neue"/>
          <w:sz w:val="19"/>
          <w:szCs w:val="19"/>
        </w:rPr>
      </w:pPr>
      <w:r w:rsidRPr="00672704">
        <w:rPr>
          <w:rFonts w:ascii="Times New Roman" w:hAnsi="Times New Roman"/>
          <w:b/>
          <w:bCs/>
          <w:sz w:val="24"/>
        </w:rPr>
        <w:t>Human rights implications</w:t>
      </w:r>
    </w:p>
    <w:p w14:paraId="3289D3D6" w14:textId="262BA00E" w:rsidR="00830266" w:rsidRDefault="00830266" w:rsidP="00672704">
      <w:pPr>
        <w:spacing w:before="100" w:beforeAutospacing="1" w:after="240"/>
        <w:ind w:left="-426"/>
        <w:rPr>
          <w:rFonts w:ascii="Helvetica Neue" w:hAnsi="Helvetica Neue"/>
          <w:sz w:val="19"/>
          <w:szCs w:val="19"/>
        </w:rPr>
      </w:pPr>
      <w:r w:rsidRPr="00672704">
        <w:rPr>
          <w:rFonts w:ascii="Times New Roman" w:hAnsi="Times New Roman"/>
          <w:sz w:val="24"/>
        </w:rPr>
        <w:t xml:space="preserve">APRA has assessed this Legislative Instrument and is of the view that it does not engage any of the applicable rights or freedoms recognised or declared in the international instruments listed in section 3 of the HRPS Act. Accordingly, in APRA’s assessment, the </w:t>
      </w:r>
      <w:r w:rsidR="00A37C77">
        <w:rPr>
          <w:rFonts w:ascii="Times New Roman" w:hAnsi="Times New Roman"/>
          <w:sz w:val="24"/>
        </w:rPr>
        <w:t>I</w:t>
      </w:r>
      <w:r w:rsidRPr="00672704">
        <w:rPr>
          <w:rFonts w:ascii="Times New Roman" w:hAnsi="Times New Roman"/>
          <w:sz w:val="24"/>
        </w:rPr>
        <w:t>nstrument is compatible with human rights.</w:t>
      </w:r>
    </w:p>
    <w:p w14:paraId="6C90908E" w14:textId="77777777" w:rsidR="003F5D57" w:rsidRDefault="00830266" w:rsidP="00672704">
      <w:pPr>
        <w:spacing w:before="100" w:beforeAutospacing="1" w:after="240"/>
        <w:ind w:left="-360"/>
        <w:rPr>
          <w:rFonts w:ascii="Helvetica Neue" w:hAnsi="Helvetica Neue"/>
          <w:sz w:val="19"/>
          <w:szCs w:val="19"/>
        </w:rPr>
      </w:pPr>
      <w:r w:rsidRPr="00672704">
        <w:rPr>
          <w:rFonts w:ascii="Times New Roman" w:hAnsi="Times New Roman"/>
          <w:b/>
          <w:bCs/>
          <w:sz w:val="24"/>
        </w:rPr>
        <w:t>Conclusion</w:t>
      </w:r>
    </w:p>
    <w:p w14:paraId="744D79E3" w14:textId="46292C66" w:rsidR="00460E89" w:rsidRPr="00B25C09" w:rsidRDefault="00830266" w:rsidP="009E7B41">
      <w:pPr>
        <w:spacing w:before="100" w:beforeAutospacing="1" w:after="240"/>
        <w:ind w:left="-360"/>
      </w:pPr>
      <w:r w:rsidRPr="00672704">
        <w:rPr>
          <w:rFonts w:ascii="Times New Roman" w:hAnsi="Times New Roman"/>
          <w:sz w:val="24"/>
        </w:rPr>
        <w:t xml:space="preserve">The </w:t>
      </w:r>
      <w:r w:rsidRPr="00672704">
        <w:rPr>
          <w:rFonts w:ascii="Times New Roman" w:hAnsi="Times New Roman"/>
          <w:i/>
          <w:sz w:val="24"/>
        </w:rPr>
        <w:t>Private Health Insurance (Pr</w:t>
      </w:r>
      <w:r w:rsidR="006D1FF2">
        <w:rPr>
          <w:rFonts w:ascii="Times New Roman" w:hAnsi="Times New Roman"/>
          <w:i/>
          <w:sz w:val="24"/>
        </w:rPr>
        <w:t>udential Supervision) Rules 2019</w:t>
      </w:r>
      <w:r w:rsidRPr="00672704">
        <w:rPr>
          <w:rFonts w:ascii="Times New Roman" w:hAnsi="Times New Roman"/>
          <w:i/>
          <w:sz w:val="24"/>
        </w:rPr>
        <w:t xml:space="preserve"> </w:t>
      </w:r>
      <w:r w:rsidRPr="00672704">
        <w:rPr>
          <w:rFonts w:ascii="Times New Roman" w:hAnsi="Times New Roman"/>
          <w:sz w:val="24"/>
        </w:rPr>
        <w:t xml:space="preserve">are compatible with human rights because </w:t>
      </w:r>
      <w:r w:rsidR="00A37C77">
        <w:rPr>
          <w:rFonts w:ascii="Times New Roman" w:hAnsi="Times New Roman"/>
          <w:sz w:val="24"/>
        </w:rPr>
        <w:t>they</w:t>
      </w:r>
      <w:r w:rsidRPr="00672704">
        <w:rPr>
          <w:rFonts w:ascii="Times New Roman" w:hAnsi="Times New Roman"/>
          <w:sz w:val="24"/>
        </w:rPr>
        <w:t xml:space="preserve"> do not raise any human rights issues.</w:t>
      </w:r>
    </w:p>
    <w:sectPr w:rsidR="00460E89" w:rsidRPr="00B25C09" w:rsidSect="002330A5">
      <w:footerReference w:type="even" r:id="rId13"/>
      <w:footerReference w:type="default" r:id="rId14"/>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34D29" w14:textId="77777777" w:rsidR="00C953A4" w:rsidRDefault="00C953A4">
      <w:r>
        <w:separator/>
      </w:r>
    </w:p>
  </w:endnote>
  <w:endnote w:type="continuationSeparator" w:id="0">
    <w:p w14:paraId="63A858B1" w14:textId="77777777" w:rsidR="00C953A4" w:rsidRDefault="00C9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A70D" w14:textId="77777777" w:rsidR="00436690" w:rsidRDefault="00436690" w:rsidP="00000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434">
      <w:rPr>
        <w:rStyle w:val="PageNumber"/>
        <w:noProof/>
      </w:rPr>
      <w:t>2</w:t>
    </w:r>
    <w:r>
      <w:rPr>
        <w:rStyle w:val="PageNumber"/>
      </w:rPr>
      <w:fldChar w:fldCharType="end"/>
    </w:r>
  </w:p>
  <w:p w14:paraId="66105192" w14:textId="77777777" w:rsidR="00436690" w:rsidRDefault="00436690"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065F" w14:textId="1674704E" w:rsidR="00436690" w:rsidRDefault="00436690" w:rsidP="00000A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A5C62" w14:textId="77777777" w:rsidR="00C953A4" w:rsidRDefault="00C953A4">
      <w:r>
        <w:separator/>
      </w:r>
    </w:p>
  </w:footnote>
  <w:footnote w:type="continuationSeparator" w:id="0">
    <w:p w14:paraId="7A0886B3" w14:textId="77777777" w:rsidR="00C953A4" w:rsidRDefault="00C95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47E6"/>
    <w:multiLevelType w:val="hybridMultilevel"/>
    <w:tmpl w:val="1A4E6570"/>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15:restartNumberingAfterBreak="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7"/>
  </w:num>
  <w:num w:numId="4">
    <w:abstractNumId w:val="5"/>
  </w:num>
  <w:num w:numId="5">
    <w:abstractNumId w:val="4"/>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18"/>
    <w:rsid w:val="00000AE6"/>
    <w:rsid w:val="00012695"/>
    <w:rsid w:val="000201AE"/>
    <w:rsid w:val="000218B6"/>
    <w:rsid w:val="00026726"/>
    <w:rsid w:val="0002731C"/>
    <w:rsid w:val="00027386"/>
    <w:rsid w:val="00030BD8"/>
    <w:rsid w:val="000324C9"/>
    <w:rsid w:val="00032E46"/>
    <w:rsid w:val="00033B73"/>
    <w:rsid w:val="00043838"/>
    <w:rsid w:val="00055C1B"/>
    <w:rsid w:val="00056C6C"/>
    <w:rsid w:val="00056DFC"/>
    <w:rsid w:val="000631DA"/>
    <w:rsid w:val="00063B11"/>
    <w:rsid w:val="00071FB5"/>
    <w:rsid w:val="00076969"/>
    <w:rsid w:val="00080B55"/>
    <w:rsid w:val="0008190A"/>
    <w:rsid w:val="0008339C"/>
    <w:rsid w:val="00087970"/>
    <w:rsid w:val="00094994"/>
    <w:rsid w:val="000A3CA3"/>
    <w:rsid w:val="000A579A"/>
    <w:rsid w:val="000B22C3"/>
    <w:rsid w:val="000B3626"/>
    <w:rsid w:val="000B454F"/>
    <w:rsid w:val="000B5532"/>
    <w:rsid w:val="000B57A0"/>
    <w:rsid w:val="000B59FF"/>
    <w:rsid w:val="000C3A21"/>
    <w:rsid w:val="000D046E"/>
    <w:rsid w:val="000D6AC0"/>
    <w:rsid w:val="000E055A"/>
    <w:rsid w:val="000E7F69"/>
    <w:rsid w:val="000F309E"/>
    <w:rsid w:val="000F3E1E"/>
    <w:rsid w:val="000F6592"/>
    <w:rsid w:val="00102F9E"/>
    <w:rsid w:val="0010495D"/>
    <w:rsid w:val="00105F5C"/>
    <w:rsid w:val="00110071"/>
    <w:rsid w:val="0012491A"/>
    <w:rsid w:val="00124EE2"/>
    <w:rsid w:val="00126BDF"/>
    <w:rsid w:val="001271A7"/>
    <w:rsid w:val="00146362"/>
    <w:rsid w:val="00147418"/>
    <w:rsid w:val="00161AFD"/>
    <w:rsid w:val="0016350A"/>
    <w:rsid w:val="001636BF"/>
    <w:rsid w:val="00163AE4"/>
    <w:rsid w:val="00165463"/>
    <w:rsid w:val="001735C0"/>
    <w:rsid w:val="00176630"/>
    <w:rsid w:val="00176D2F"/>
    <w:rsid w:val="00183A1C"/>
    <w:rsid w:val="00191382"/>
    <w:rsid w:val="0019482E"/>
    <w:rsid w:val="001A0790"/>
    <w:rsid w:val="001A360C"/>
    <w:rsid w:val="001A3EF3"/>
    <w:rsid w:val="001B5981"/>
    <w:rsid w:val="001B6E91"/>
    <w:rsid w:val="001B7FEF"/>
    <w:rsid w:val="001C0BC5"/>
    <w:rsid w:val="001D16A9"/>
    <w:rsid w:val="001D1DC0"/>
    <w:rsid w:val="001E06CB"/>
    <w:rsid w:val="001E2A73"/>
    <w:rsid w:val="001E2DB0"/>
    <w:rsid w:val="001E54DD"/>
    <w:rsid w:val="001E623B"/>
    <w:rsid w:val="001E6EA4"/>
    <w:rsid w:val="001F4FB6"/>
    <w:rsid w:val="00201AB3"/>
    <w:rsid w:val="002105BD"/>
    <w:rsid w:val="002114F1"/>
    <w:rsid w:val="00216449"/>
    <w:rsid w:val="00223C69"/>
    <w:rsid w:val="00225921"/>
    <w:rsid w:val="00227582"/>
    <w:rsid w:val="002330A5"/>
    <w:rsid w:val="002341A1"/>
    <w:rsid w:val="002430F8"/>
    <w:rsid w:val="002504E2"/>
    <w:rsid w:val="002529DB"/>
    <w:rsid w:val="00254ED3"/>
    <w:rsid w:val="00263982"/>
    <w:rsid w:val="002642DC"/>
    <w:rsid w:val="00265913"/>
    <w:rsid w:val="00282B1D"/>
    <w:rsid w:val="00285041"/>
    <w:rsid w:val="002865C4"/>
    <w:rsid w:val="002962EE"/>
    <w:rsid w:val="002A067D"/>
    <w:rsid w:val="002A0F36"/>
    <w:rsid w:val="002A47FA"/>
    <w:rsid w:val="002B2A6A"/>
    <w:rsid w:val="002B6511"/>
    <w:rsid w:val="002B6780"/>
    <w:rsid w:val="002B6985"/>
    <w:rsid w:val="002B6E99"/>
    <w:rsid w:val="002C3F98"/>
    <w:rsid w:val="002C7D5C"/>
    <w:rsid w:val="002D003A"/>
    <w:rsid w:val="002D15B6"/>
    <w:rsid w:val="002D5680"/>
    <w:rsid w:val="002D7440"/>
    <w:rsid w:val="002E68FA"/>
    <w:rsid w:val="002F2782"/>
    <w:rsid w:val="002F626F"/>
    <w:rsid w:val="00300114"/>
    <w:rsid w:val="003033E4"/>
    <w:rsid w:val="00314F61"/>
    <w:rsid w:val="003168CC"/>
    <w:rsid w:val="003217EB"/>
    <w:rsid w:val="00323DBD"/>
    <w:rsid w:val="00327643"/>
    <w:rsid w:val="00330418"/>
    <w:rsid w:val="0034386A"/>
    <w:rsid w:val="00347FCC"/>
    <w:rsid w:val="00354FD6"/>
    <w:rsid w:val="0036074D"/>
    <w:rsid w:val="00361A51"/>
    <w:rsid w:val="003664C9"/>
    <w:rsid w:val="003671DF"/>
    <w:rsid w:val="00385EBA"/>
    <w:rsid w:val="003A0FB4"/>
    <w:rsid w:val="003A123D"/>
    <w:rsid w:val="003A551B"/>
    <w:rsid w:val="003B6B84"/>
    <w:rsid w:val="003B6F4D"/>
    <w:rsid w:val="003C1F4C"/>
    <w:rsid w:val="003C3568"/>
    <w:rsid w:val="003D14AA"/>
    <w:rsid w:val="003D53F0"/>
    <w:rsid w:val="003D671F"/>
    <w:rsid w:val="003E1487"/>
    <w:rsid w:val="003E2F84"/>
    <w:rsid w:val="003E399F"/>
    <w:rsid w:val="003E5F28"/>
    <w:rsid w:val="003E7F89"/>
    <w:rsid w:val="003F2D0E"/>
    <w:rsid w:val="003F5D57"/>
    <w:rsid w:val="004025C9"/>
    <w:rsid w:val="00403EA8"/>
    <w:rsid w:val="0040568B"/>
    <w:rsid w:val="00414E21"/>
    <w:rsid w:val="00416296"/>
    <w:rsid w:val="00426F46"/>
    <w:rsid w:val="00427335"/>
    <w:rsid w:val="00436690"/>
    <w:rsid w:val="00443B03"/>
    <w:rsid w:val="00446793"/>
    <w:rsid w:val="00452B8B"/>
    <w:rsid w:val="00452BFF"/>
    <w:rsid w:val="004533C1"/>
    <w:rsid w:val="00455CFD"/>
    <w:rsid w:val="00456B13"/>
    <w:rsid w:val="00457733"/>
    <w:rsid w:val="004608DA"/>
    <w:rsid w:val="00460E89"/>
    <w:rsid w:val="00463269"/>
    <w:rsid w:val="00464655"/>
    <w:rsid w:val="00466BE1"/>
    <w:rsid w:val="00480AB5"/>
    <w:rsid w:val="00483A30"/>
    <w:rsid w:val="00485359"/>
    <w:rsid w:val="00485782"/>
    <w:rsid w:val="004913BF"/>
    <w:rsid w:val="00491AD1"/>
    <w:rsid w:val="004974E6"/>
    <w:rsid w:val="00497A10"/>
    <w:rsid w:val="004A34BD"/>
    <w:rsid w:val="004A44D9"/>
    <w:rsid w:val="004A6A0F"/>
    <w:rsid w:val="004A7EF8"/>
    <w:rsid w:val="004B004C"/>
    <w:rsid w:val="004B621D"/>
    <w:rsid w:val="004B69D9"/>
    <w:rsid w:val="004C79A4"/>
    <w:rsid w:val="004F0124"/>
    <w:rsid w:val="004F0E6C"/>
    <w:rsid w:val="004F3053"/>
    <w:rsid w:val="004F4CCA"/>
    <w:rsid w:val="004F540E"/>
    <w:rsid w:val="00505C2A"/>
    <w:rsid w:val="00514E54"/>
    <w:rsid w:val="0051573E"/>
    <w:rsid w:val="00523E14"/>
    <w:rsid w:val="00524F78"/>
    <w:rsid w:val="005323E9"/>
    <w:rsid w:val="005378DF"/>
    <w:rsid w:val="00541768"/>
    <w:rsid w:val="00544186"/>
    <w:rsid w:val="00544768"/>
    <w:rsid w:val="0054724E"/>
    <w:rsid w:val="00554D51"/>
    <w:rsid w:val="00555B4D"/>
    <w:rsid w:val="00561055"/>
    <w:rsid w:val="00562B07"/>
    <w:rsid w:val="00565315"/>
    <w:rsid w:val="00566934"/>
    <w:rsid w:val="00567A9A"/>
    <w:rsid w:val="005718A5"/>
    <w:rsid w:val="00574616"/>
    <w:rsid w:val="005748FE"/>
    <w:rsid w:val="005833B9"/>
    <w:rsid w:val="00587962"/>
    <w:rsid w:val="00590110"/>
    <w:rsid w:val="00591630"/>
    <w:rsid w:val="00592576"/>
    <w:rsid w:val="00593BF7"/>
    <w:rsid w:val="005941E1"/>
    <w:rsid w:val="005A743A"/>
    <w:rsid w:val="005C37A6"/>
    <w:rsid w:val="005C3C75"/>
    <w:rsid w:val="005C701A"/>
    <w:rsid w:val="005C7AB3"/>
    <w:rsid w:val="005D0304"/>
    <w:rsid w:val="005D435B"/>
    <w:rsid w:val="005D52ED"/>
    <w:rsid w:val="005D7020"/>
    <w:rsid w:val="005E59D9"/>
    <w:rsid w:val="005F0577"/>
    <w:rsid w:val="005F5DF4"/>
    <w:rsid w:val="005F6BAC"/>
    <w:rsid w:val="00611A4D"/>
    <w:rsid w:val="0061258F"/>
    <w:rsid w:val="006208F9"/>
    <w:rsid w:val="006210C2"/>
    <w:rsid w:val="00625D6C"/>
    <w:rsid w:val="0063474F"/>
    <w:rsid w:val="00634FF0"/>
    <w:rsid w:val="00635A7C"/>
    <w:rsid w:val="006447C5"/>
    <w:rsid w:val="00644F26"/>
    <w:rsid w:val="00645119"/>
    <w:rsid w:val="00647B94"/>
    <w:rsid w:val="00652397"/>
    <w:rsid w:val="00654FDA"/>
    <w:rsid w:val="00663C9A"/>
    <w:rsid w:val="00672704"/>
    <w:rsid w:val="00673E01"/>
    <w:rsid w:val="00677C2F"/>
    <w:rsid w:val="00685CF1"/>
    <w:rsid w:val="006901E5"/>
    <w:rsid w:val="00694F60"/>
    <w:rsid w:val="0069656C"/>
    <w:rsid w:val="006967C8"/>
    <w:rsid w:val="006A0387"/>
    <w:rsid w:val="006A05FB"/>
    <w:rsid w:val="006B2F88"/>
    <w:rsid w:val="006B4444"/>
    <w:rsid w:val="006B6285"/>
    <w:rsid w:val="006B6613"/>
    <w:rsid w:val="006C0777"/>
    <w:rsid w:val="006C0888"/>
    <w:rsid w:val="006C6A19"/>
    <w:rsid w:val="006D0F68"/>
    <w:rsid w:val="006D1265"/>
    <w:rsid w:val="006D1FF2"/>
    <w:rsid w:val="006E15EA"/>
    <w:rsid w:val="006E222F"/>
    <w:rsid w:val="006F6C05"/>
    <w:rsid w:val="00702EF7"/>
    <w:rsid w:val="00704E26"/>
    <w:rsid w:val="007060F0"/>
    <w:rsid w:val="007066F9"/>
    <w:rsid w:val="00712E3F"/>
    <w:rsid w:val="00717A79"/>
    <w:rsid w:val="0073041E"/>
    <w:rsid w:val="00733B48"/>
    <w:rsid w:val="007408CC"/>
    <w:rsid w:val="00743617"/>
    <w:rsid w:val="00744E6B"/>
    <w:rsid w:val="00760CF4"/>
    <w:rsid w:val="00770264"/>
    <w:rsid w:val="00780C75"/>
    <w:rsid w:val="00785B77"/>
    <w:rsid w:val="00796DE0"/>
    <w:rsid w:val="007A788F"/>
    <w:rsid w:val="007A7931"/>
    <w:rsid w:val="007B093E"/>
    <w:rsid w:val="007B49C0"/>
    <w:rsid w:val="007C2B85"/>
    <w:rsid w:val="007C3365"/>
    <w:rsid w:val="007E32B4"/>
    <w:rsid w:val="007F50A4"/>
    <w:rsid w:val="008015D2"/>
    <w:rsid w:val="0080222F"/>
    <w:rsid w:val="0080552D"/>
    <w:rsid w:val="00806B31"/>
    <w:rsid w:val="00807B3F"/>
    <w:rsid w:val="008124F3"/>
    <w:rsid w:val="0082354F"/>
    <w:rsid w:val="00826B4E"/>
    <w:rsid w:val="00826BB5"/>
    <w:rsid w:val="00830266"/>
    <w:rsid w:val="00830C54"/>
    <w:rsid w:val="00830E90"/>
    <w:rsid w:val="0083482E"/>
    <w:rsid w:val="00837FB3"/>
    <w:rsid w:val="00844445"/>
    <w:rsid w:val="0084490C"/>
    <w:rsid w:val="0084495C"/>
    <w:rsid w:val="00852A63"/>
    <w:rsid w:val="00853398"/>
    <w:rsid w:val="00860DC0"/>
    <w:rsid w:val="008713A5"/>
    <w:rsid w:val="00881B57"/>
    <w:rsid w:val="008825C2"/>
    <w:rsid w:val="0088539F"/>
    <w:rsid w:val="00885D7C"/>
    <w:rsid w:val="008903F9"/>
    <w:rsid w:val="008A1A5F"/>
    <w:rsid w:val="008A7848"/>
    <w:rsid w:val="008B1DD5"/>
    <w:rsid w:val="008B5B9B"/>
    <w:rsid w:val="008B7528"/>
    <w:rsid w:val="008C0F09"/>
    <w:rsid w:val="008C228A"/>
    <w:rsid w:val="008D0E01"/>
    <w:rsid w:val="008E1C9F"/>
    <w:rsid w:val="008E25C7"/>
    <w:rsid w:val="008E445F"/>
    <w:rsid w:val="008F07CE"/>
    <w:rsid w:val="008F6AA0"/>
    <w:rsid w:val="00910F17"/>
    <w:rsid w:val="00913E03"/>
    <w:rsid w:val="00915A33"/>
    <w:rsid w:val="00922097"/>
    <w:rsid w:val="009225A8"/>
    <w:rsid w:val="00932D57"/>
    <w:rsid w:val="009403D0"/>
    <w:rsid w:val="00953841"/>
    <w:rsid w:val="00956A1C"/>
    <w:rsid w:val="009732D4"/>
    <w:rsid w:val="0097405F"/>
    <w:rsid w:val="00981651"/>
    <w:rsid w:val="00985A96"/>
    <w:rsid w:val="00997B46"/>
    <w:rsid w:val="00997F93"/>
    <w:rsid w:val="009A542B"/>
    <w:rsid w:val="009B599A"/>
    <w:rsid w:val="009C19B4"/>
    <w:rsid w:val="009D2AD1"/>
    <w:rsid w:val="009E216B"/>
    <w:rsid w:val="009E3745"/>
    <w:rsid w:val="009E7B41"/>
    <w:rsid w:val="009F2DFF"/>
    <w:rsid w:val="00A03AB9"/>
    <w:rsid w:val="00A047B5"/>
    <w:rsid w:val="00A15209"/>
    <w:rsid w:val="00A15C73"/>
    <w:rsid w:val="00A208EB"/>
    <w:rsid w:val="00A32B98"/>
    <w:rsid w:val="00A37C77"/>
    <w:rsid w:val="00A40D5C"/>
    <w:rsid w:val="00A43FF9"/>
    <w:rsid w:val="00A51D19"/>
    <w:rsid w:val="00A51E96"/>
    <w:rsid w:val="00A52755"/>
    <w:rsid w:val="00A55057"/>
    <w:rsid w:val="00A56364"/>
    <w:rsid w:val="00A63792"/>
    <w:rsid w:val="00A66958"/>
    <w:rsid w:val="00A66DF3"/>
    <w:rsid w:val="00A73289"/>
    <w:rsid w:val="00A7417A"/>
    <w:rsid w:val="00A82561"/>
    <w:rsid w:val="00A87CC7"/>
    <w:rsid w:val="00A96F6A"/>
    <w:rsid w:val="00AA08EC"/>
    <w:rsid w:val="00AA2735"/>
    <w:rsid w:val="00AB0A7D"/>
    <w:rsid w:val="00AB1F92"/>
    <w:rsid w:val="00AB3FCB"/>
    <w:rsid w:val="00AB533D"/>
    <w:rsid w:val="00AC0251"/>
    <w:rsid w:val="00AC031B"/>
    <w:rsid w:val="00AC2996"/>
    <w:rsid w:val="00AC3F07"/>
    <w:rsid w:val="00AC4D52"/>
    <w:rsid w:val="00AD31BC"/>
    <w:rsid w:val="00AD52D8"/>
    <w:rsid w:val="00AD62C5"/>
    <w:rsid w:val="00AE287A"/>
    <w:rsid w:val="00AE2D97"/>
    <w:rsid w:val="00AE7E64"/>
    <w:rsid w:val="00AF067D"/>
    <w:rsid w:val="00AF3144"/>
    <w:rsid w:val="00AF7338"/>
    <w:rsid w:val="00B02043"/>
    <w:rsid w:val="00B12376"/>
    <w:rsid w:val="00B25C09"/>
    <w:rsid w:val="00B27510"/>
    <w:rsid w:val="00B458A3"/>
    <w:rsid w:val="00B46846"/>
    <w:rsid w:val="00B52C31"/>
    <w:rsid w:val="00B5529E"/>
    <w:rsid w:val="00B55CF9"/>
    <w:rsid w:val="00B57341"/>
    <w:rsid w:val="00B65AA3"/>
    <w:rsid w:val="00B71A97"/>
    <w:rsid w:val="00B77BD4"/>
    <w:rsid w:val="00B84194"/>
    <w:rsid w:val="00B97B6E"/>
    <w:rsid w:val="00BA0BC1"/>
    <w:rsid w:val="00BA3189"/>
    <w:rsid w:val="00BB00DB"/>
    <w:rsid w:val="00BB27C5"/>
    <w:rsid w:val="00BB387D"/>
    <w:rsid w:val="00BC2BFB"/>
    <w:rsid w:val="00BC6A8D"/>
    <w:rsid w:val="00BC7F71"/>
    <w:rsid w:val="00BD301E"/>
    <w:rsid w:val="00BE5F98"/>
    <w:rsid w:val="00BF10FD"/>
    <w:rsid w:val="00BF7549"/>
    <w:rsid w:val="00C007F6"/>
    <w:rsid w:val="00C03925"/>
    <w:rsid w:val="00C047E7"/>
    <w:rsid w:val="00C06282"/>
    <w:rsid w:val="00C16BD6"/>
    <w:rsid w:val="00C17ED3"/>
    <w:rsid w:val="00C2447B"/>
    <w:rsid w:val="00C30434"/>
    <w:rsid w:val="00C3551A"/>
    <w:rsid w:val="00C41329"/>
    <w:rsid w:val="00C464F8"/>
    <w:rsid w:val="00C57B96"/>
    <w:rsid w:val="00C62FA1"/>
    <w:rsid w:val="00C65DC0"/>
    <w:rsid w:val="00C66F5F"/>
    <w:rsid w:val="00C72F5E"/>
    <w:rsid w:val="00C837A1"/>
    <w:rsid w:val="00C90010"/>
    <w:rsid w:val="00C94DCF"/>
    <w:rsid w:val="00C953A4"/>
    <w:rsid w:val="00C9694D"/>
    <w:rsid w:val="00C96E5E"/>
    <w:rsid w:val="00C97019"/>
    <w:rsid w:val="00CA29DB"/>
    <w:rsid w:val="00CC1195"/>
    <w:rsid w:val="00CC39E7"/>
    <w:rsid w:val="00CC4BE4"/>
    <w:rsid w:val="00CC793B"/>
    <w:rsid w:val="00CD0116"/>
    <w:rsid w:val="00CD519A"/>
    <w:rsid w:val="00CE6586"/>
    <w:rsid w:val="00CF6510"/>
    <w:rsid w:val="00CF7B05"/>
    <w:rsid w:val="00D04EA3"/>
    <w:rsid w:val="00D161B4"/>
    <w:rsid w:val="00D2126B"/>
    <w:rsid w:val="00D22D14"/>
    <w:rsid w:val="00D244F1"/>
    <w:rsid w:val="00D2460E"/>
    <w:rsid w:val="00D27DE1"/>
    <w:rsid w:val="00D3515D"/>
    <w:rsid w:val="00D419FD"/>
    <w:rsid w:val="00D4290F"/>
    <w:rsid w:val="00D4387C"/>
    <w:rsid w:val="00D44DB1"/>
    <w:rsid w:val="00D56C0A"/>
    <w:rsid w:val="00D63690"/>
    <w:rsid w:val="00D66CB2"/>
    <w:rsid w:val="00D7240A"/>
    <w:rsid w:val="00D724D7"/>
    <w:rsid w:val="00D77584"/>
    <w:rsid w:val="00D80BBF"/>
    <w:rsid w:val="00D8184D"/>
    <w:rsid w:val="00D818A6"/>
    <w:rsid w:val="00D8796B"/>
    <w:rsid w:val="00D94F65"/>
    <w:rsid w:val="00D96744"/>
    <w:rsid w:val="00D96A48"/>
    <w:rsid w:val="00D96D53"/>
    <w:rsid w:val="00D97845"/>
    <w:rsid w:val="00DA146C"/>
    <w:rsid w:val="00DA3F2E"/>
    <w:rsid w:val="00DA5D0D"/>
    <w:rsid w:val="00DA6495"/>
    <w:rsid w:val="00DB2DC5"/>
    <w:rsid w:val="00DC11E5"/>
    <w:rsid w:val="00DC2075"/>
    <w:rsid w:val="00DC2B2A"/>
    <w:rsid w:val="00DD3416"/>
    <w:rsid w:val="00DE11A1"/>
    <w:rsid w:val="00DE6BEB"/>
    <w:rsid w:val="00DF0814"/>
    <w:rsid w:val="00DF31E3"/>
    <w:rsid w:val="00DF6CF4"/>
    <w:rsid w:val="00DF716C"/>
    <w:rsid w:val="00E04278"/>
    <w:rsid w:val="00E13541"/>
    <w:rsid w:val="00E14D72"/>
    <w:rsid w:val="00E21E01"/>
    <w:rsid w:val="00E272D1"/>
    <w:rsid w:val="00E53839"/>
    <w:rsid w:val="00E566E4"/>
    <w:rsid w:val="00E60B70"/>
    <w:rsid w:val="00E60C03"/>
    <w:rsid w:val="00E65CBA"/>
    <w:rsid w:val="00E67C6B"/>
    <w:rsid w:val="00E8014D"/>
    <w:rsid w:val="00E8155D"/>
    <w:rsid w:val="00E829A2"/>
    <w:rsid w:val="00E82C4D"/>
    <w:rsid w:val="00E83ADE"/>
    <w:rsid w:val="00E854D2"/>
    <w:rsid w:val="00E866D6"/>
    <w:rsid w:val="00E90876"/>
    <w:rsid w:val="00E91BB7"/>
    <w:rsid w:val="00E9434C"/>
    <w:rsid w:val="00EA0357"/>
    <w:rsid w:val="00EA6BF0"/>
    <w:rsid w:val="00EA6CD5"/>
    <w:rsid w:val="00EB2024"/>
    <w:rsid w:val="00EB4FB6"/>
    <w:rsid w:val="00EC006F"/>
    <w:rsid w:val="00ED64E9"/>
    <w:rsid w:val="00EE189C"/>
    <w:rsid w:val="00EF4430"/>
    <w:rsid w:val="00F0354E"/>
    <w:rsid w:val="00F101EC"/>
    <w:rsid w:val="00F160DC"/>
    <w:rsid w:val="00F221C2"/>
    <w:rsid w:val="00F25037"/>
    <w:rsid w:val="00F4269A"/>
    <w:rsid w:val="00F53DE9"/>
    <w:rsid w:val="00F579EC"/>
    <w:rsid w:val="00F62BE0"/>
    <w:rsid w:val="00F62FDB"/>
    <w:rsid w:val="00F66599"/>
    <w:rsid w:val="00F71B7F"/>
    <w:rsid w:val="00FA5216"/>
    <w:rsid w:val="00FC1DCC"/>
    <w:rsid w:val="00FD1524"/>
    <w:rsid w:val="00FD30EE"/>
    <w:rsid w:val="00FD5583"/>
    <w:rsid w:val="00FE0073"/>
    <w:rsid w:val="00FE1606"/>
    <w:rsid w:val="00FF19E9"/>
    <w:rsid w:val="00FF4047"/>
    <w:rsid w:val="00FF4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60840F5"/>
  <w15:docId w15:val="{95A5623A-4E3B-4CD9-A942-5F46C5B3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41"/>
    <w:rPr>
      <w:rFonts w:ascii="Trebuchet MS" w:hAnsi="Trebuchet MS"/>
      <w:sz w:val="22"/>
      <w:szCs w:val="24"/>
      <w:lang w:eastAsia="en-US"/>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basedOn w:val="DefaultParagraphFont"/>
    <w:rsid w:val="00076969"/>
    <w:rPr>
      <w:color w:val="0000FF"/>
      <w:u w:val="single"/>
    </w:rPr>
  </w:style>
  <w:style w:type="paragraph" w:styleId="FootnoteText">
    <w:name w:val="footnote text"/>
    <w:basedOn w:val="Normal"/>
    <w:semiHidden/>
    <w:rsid w:val="00611A4D"/>
    <w:rPr>
      <w:sz w:val="20"/>
      <w:szCs w:val="20"/>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basedOn w:val="DefaultParagraphFont"/>
    <w:semiHidden/>
    <w:rsid w:val="00611A4D"/>
    <w:rPr>
      <w:vertAlign w:val="superscript"/>
    </w:rPr>
  </w:style>
  <w:style w:type="paragraph" w:styleId="Header">
    <w:name w:val="header"/>
    <w:basedOn w:val="Normal"/>
    <w:rsid w:val="00807B3F"/>
    <w:pPr>
      <w:tabs>
        <w:tab w:val="center" w:pos="4153"/>
        <w:tab w:val="right" w:pos="8306"/>
      </w:tabs>
    </w:pPr>
  </w:style>
  <w:style w:type="paragraph" w:styleId="Footer">
    <w:name w:val="footer"/>
    <w:basedOn w:val="Normal"/>
    <w:rsid w:val="00807B3F"/>
    <w:pPr>
      <w:tabs>
        <w:tab w:val="center" w:pos="4153"/>
        <w:tab w:val="right" w:pos="8306"/>
      </w:tabs>
    </w:pPr>
  </w:style>
  <w:style w:type="character" w:styleId="PageNumber">
    <w:name w:val="page number"/>
    <w:basedOn w:val="DefaultParagraphFont"/>
    <w:rsid w:val="00807B3F"/>
  </w:style>
  <w:style w:type="paragraph" w:styleId="ListParagraph">
    <w:name w:val="List Paragraph"/>
    <w:basedOn w:val="Normal"/>
    <w:uiPriority w:val="34"/>
    <w:qFormat/>
    <w:rsid w:val="00AD52D8"/>
    <w:pPr>
      <w:ind w:left="720"/>
      <w:contextualSpacing/>
    </w:pPr>
  </w:style>
  <w:style w:type="paragraph" w:styleId="BalloonText">
    <w:name w:val="Balloon Text"/>
    <w:basedOn w:val="Normal"/>
    <w:link w:val="BalloonTextChar"/>
    <w:uiPriority w:val="99"/>
    <w:semiHidden/>
    <w:unhideWhenUsed/>
    <w:rsid w:val="00CC3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9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460E89"/>
    <w:rPr>
      <w:sz w:val="16"/>
      <w:szCs w:val="16"/>
    </w:rPr>
  </w:style>
  <w:style w:type="paragraph" w:styleId="CommentText">
    <w:name w:val="annotation text"/>
    <w:basedOn w:val="Normal"/>
    <w:link w:val="CommentTextChar"/>
    <w:uiPriority w:val="99"/>
    <w:semiHidden/>
    <w:unhideWhenUsed/>
    <w:rsid w:val="00460E89"/>
    <w:rPr>
      <w:sz w:val="20"/>
      <w:szCs w:val="20"/>
    </w:rPr>
  </w:style>
  <w:style w:type="character" w:customStyle="1" w:styleId="CommentTextChar">
    <w:name w:val="Comment Text Char"/>
    <w:basedOn w:val="DefaultParagraphFont"/>
    <w:link w:val="CommentText"/>
    <w:uiPriority w:val="99"/>
    <w:semiHidden/>
    <w:rsid w:val="00460E89"/>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460E89"/>
    <w:rPr>
      <w:b/>
      <w:bCs/>
    </w:rPr>
  </w:style>
  <w:style w:type="character" w:customStyle="1" w:styleId="CommentSubjectChar">
    <w:name w:val="Comment Subject Char"/>
    <w:basedOn w:val="CommentTextChar"/>
    <w:link w:val="CommentSubject"/>
    <w:uiPriority w:val="99"/>
    <w:semiHidden/>
    <w:rsid w:val="00460E89"/>
    <w:rPr>
      <w:rFonts w:ascii="Trebuchet MS" w:hAnsi="Trebuchet MS"/>
      <w:b/>
      <w:bCs/>
      <w:lang w:eastAsia="en-US"/>
    </w:rPr>
  </w:style>
  <w:style w:type="paragraph" w:styleId="Revision">
    <w:name w:val="Revision"/>
    <w:hidden/>
    <w:uiPriority w:val="99"/>
    <w:semiHidden/>
    <w:rsid w:val="00460E89"/>
    <w:rPr>
      <w:rFonts w:ascii="Trebuchet MS" w:hAnsi="Trebuchet M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39850">
      <w:bodyDiv w:val="1"/>
      <w:marLeft w:val="0"/>
      <w:marRight w:val="0"/>
      <w:marTop w:val="0"/>
      <w:marBottom w:val="0"/>
      <w:divBdr>
        <w:top w:val="none" w:sz="0" w:space="0" w:color="auto"/>
        <w:left w:val="none" w:sz="0" w:space="0" w:color="auto"/>
        <w:bottom w:val="none" w:sz="0" w:space="0" w:color="auto"/>
        <w:right w:val="none" w:sz="0" w:space="0" w:color="auto"/>
      </w:divBdr>
    </w:div>
    <w:div w:id="19214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b42a91f5-fceb-4fbb-955b-19409a9e4079</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83</Value>
      <Value>134</Value>
      <Value>228</Value>
      <Value>93</Value>
      <Value>26</Value>
      <Value>8</Value>
      <Value>24</Value>
      <Value>142</Value>
      <Value>158</Value>
      <Value>4</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5JENXJJSCC7A-445999044-10738</_dlc_DocId>
    <_dlc_DocIdUrl xmlns="814d62cb-2db6-4c25-ab62-b9075facbc11">
      <Url>https://im/teams/LEGAL/_layouts/15/DocIdRedir.aspx?ID=5JENXJJSCC7A-445999044-10738</Url>
      <Description>5JENXJJSCC7A-445999044-10738</Description>
    </_dlc_DocIdUrl>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D4D58-E1BC-4EEA-A7C5-F4E7991F5F2C}">
  <ds:schemaRefs>
    <ds:schemaRef ds:uri="http://schemas.microsoft.com/sharepoint/events"/>
  </ds:schemaRefs>
</ds:datastoreItem>
</file>

<file path=customXml/itemProps2.xml><?xml version="1.0" encoding="utf-8"?>
<ds:datastoreItem xmlns:ds="http://schemas.openxmlformats.org/officeDocument/2006/customXml" ds:itemID="{E4371D8D-0DAF-43AF-827C-570C8AECDB15}">
  <ds:schemaRefs>
    <ds:schemaRef ds:uri="http://schemas.microsoft.com/sharepoint/v3/contenttype/forms"/>
  </ds:schemaRefs>
</ds:datastoreItem>
</file>

<file path=customXml/itemProps3.xml><?xml version="1.0" encoding="utf-8"?>
<ds:datastoreItem xmlns:ds="http://schemas.openxmlformats.org/officeDocument/2006/customXml" ds:itemID="{9FDE031D-DF0F-4B1B-9886-B9067100DEE4}">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0917182-F361-437F-98C6-20703CD757BE}">
  <ds:schemaRefs>
    <ds:schemaRef ds:uri="Microsoft.SharePoint.Taxonomy.ContentTypeSync"/>
  </ds:schemaRefs>
</ds:datastoreItem>
</file>

<file path=customXml/itemProps5.xml><?xml version="1.0" encoding="utf-8"?>
<ds:datastoreItem xmlns:ds="http://schemas.openxmlformats.org/officeDocument/2006/customXml" ds:itemID="{77AEAB25-157F-4AA6-BE4E-F29B12C81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24E7B0-B9C3-4469-A84B-D68D11B2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2953</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2019 Explanatory Statement PHI Prudential Superviosn Rules</vt:lpstr>
    </vt:vector>
  </TitlesOfParts>
  <Company>APRA</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Explanatory Statement PHI Prudential Superviosn Rules</dc:title>
  <dc:subject/>
  <dc:creator>Belik, Andrei</dc:creator>
  <cp:keywords>[SEC=UNCLASSIFIED]</cp:keywords>
  <dc:description/>
  <cp:lastModifiedBy>Chen, Alice</cp:lastModifiedBy>
  <cp:revision>3</cp:revision>
  <cp:lastPrinted>2019-03-22T04:18:00Z</cp:lastPrinted>
  <dcterms:created xsi:type="dcterms:W3CDTF">2019-03-22T04:17:00Z</dcterms:created>
  <dcterms:modified xsi:type="dcterms:W3CDTF">2019-03-22T04:18:00Z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444F01160448A97DEE1911854EE3A69FDCCD1A76</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526FE8B3F53721119CCC2DAC133DF6F48A1CF810</vt:lpwstr>
  </property>
  <property fmtid="{D5CDD505-2E9C-101B-9397-08002B2CF9AE}" pid="7" name="PM_InsertionValue">
    <vt:lpwstr>UNCLASSIFIED</vt:lpwstr>
  </property>
  <property fmtid="{D5CDD505-2E9C-101B-9397-08002B2CF9AE}" pid="8" name="PM_Hash_Salt">
    <vt:lpwstr>483F914F49E8DA8E40FE3F8B3C3F075D</vt:lpwstr>
  </property>
  <property fmtid="{D5CDD505-2E9C-101B-9397-08002B2CF9AE}" pid="9" name="PM_Hash_Version">
    <vt:lpwstr>2014.2</vt:lpwstr>
  </property>
  <property fmtid="{D5CDD505-2E9C-101B-9397-08002B2CF9AE}" pid="10" name="PM_Hash_Salt_Prev">
    <vt:lpwstr>E9FE824925087B15EB19824D5D56AA2D</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ContentTypeId">
    <vt:lpwstr>0x0101008CA7A4F8331B45C7B0D3158B4994D0CA0200577EC0F5A1FBFC498F9A8436B963F8A6</vt:lpwstr>
  </property>
  <property fmtid="{D5CDD505-2E9C-101B-9397-08002B2CF9AE}" pid="15" name="_dlc_DocIdItemGuid">
    <vt:lpwstr>c735fb24-c120-4925-96d7-317fbbf26993</vt:lpwstr>
  </property>
  <property fmtid="{D5CDD505-2E9C-101B-9397-08002B2CF9AE}" pid="16" name="IsLocked">
    <vt:lpwstr>False</vt:lpwstr>
  </property>
  <property fmtid="{D5CDD505-2E9C-101B-9397-08002B2CF9AE}" pid="17" name="APRACostCentre">
    <vt:lpwstr>158;#PAD300|98bbdbe4-d019-48eb-87c4-aa31a7f2f98f;#24;#Legal - ADI|652d8d2a-ab45-47b4-ac6e-fe6ac9299b39;#26;#Legal - Insurance: General|8229dc1a-d7f2-47b2-844a-b026fed0c13d;#93;#Legal - Insurance: Health|21611e62-d688-4f0d-8807-02701cc43699;#83;#Legal - Insurance: Life|56f18b50-6605-4f3f-97e3-cad1cb5394e0;#4;#Legal - Resolution ＆ Corporate|696624b1-19f4-47b2-a07b-57868a922a96;#134;#Legal - Superannuation|cce3181d-fd23-4eee-94d3-c66abc2350cf</vt:lpwstr>
  </property>
  <property fmtid="{D5CDD505-2E9C-101B-9397-08002B2CF9AE}" pid="18" name="IT system type">
    <vt:lpwstr/>
  </property>
  <property fmtid="{D5CDD505-2E9C-101B-9397-08002B2CF9AE}" pid="19" name="APRACategory">
    <vt:lpwstr/>
  </property>
  <property fmtid="{D5CDD505-2E9C-101B-9397-08002B2CF9AE}" pid="20" name="APRADocumentType">
    <vt:lpwstr>142;#Prudential standard|6ce5a155-9ab2-41e3-9b2a-5baab4b7f1d1</vt:lpwstr>
  </property>
  <property fmtid="{D5CDD505-2E9C-101B-9397-08002B2CF9AE}" pid="21" name="APRAStatus">
    <vt:lpwstr>1;#Draft|0e1556d2-3fe8-443a-ada7-3620563b46b3</vt:lpwstr>
  </property>
  <property fmtid="{D5CDD505-2E9C-101B-9397-08002B2CF9AE}" pid="22" name="APRAPRSG">
    <vt:lpwstr/>
  </property>
  <property fmtid="{D5CDD505-2E9C-101B-9397-08002B2CF9AE}" pid="23" name="APRAActivity">
    <vt:lpwstr>8;#Legal|b42a91f5-fceb-4fbb-955b-19409a9e4079</vt:lpwstr>
  </property>
  <property fmtid="{D5CDD505-2E9C-101B-9397-08002B2CF9AE}" pid="24" name="APRAEntityAdviceSupport">
    <vt:lpwstr/>
  </property>
  <property fmtid="{D5CDD505-2E9C-101B-9397-08002B2CF9AE}" pid="25" name="APRAIndustry">
    <vt:lpwstr/>
  </property>
  <property fmtid="{D5CDD505-2E9C-101B-9397-08002B2CF9AE}" pid="26" name="APRALegislation">
    <vt:lpwstr/>
  </property>
  <property fmtid="{D5CDD505-2E9C-101B-9397-08002B2CF9AE}" pid="27" name="APRAYear">
    <vt:lpwstr>228;#2019|7f488d12-1aa7-4fe3-8821-bfe8262e80d0</vt:lpwstr>
  </property>
  <property fmtid="{D5CDD505-2E9C-101B-9397-08002B2CF9AE}" pid="28" name="APRAExternalOrganisation">
    <vt:lpwstr/>
  </property>
  <property fmtid="{D5CDD505-2E9C-101B-9397-08002B2CF9AE}" pid="29" name="APRAIRTR">
    <vt:lpwstr/>
  </property>
  <property fmtid="{D5CDD505-2E9C-101B-9397-08002B2CF9AE}" pid="30" name="APRAPeriod">
    <vt:lpwstr/>
  </property>
  <property fmtid="{D5CDD505-2E9C-101B-9397-08002B2CF9AE}" pid="31" name="RecordPoint_WorkflowType">
    <vt:lpwstr>ActiveSubmitStub</vt:lpwstr>
  </property>
  <property fmtid="{D5CDD505-2E9C-101B-9397-08002B2CF9AE}" pid="32" name="RecordPoint_ActiveItemWebId">
    <vt:lpwstr>{75a71c27-8d66-4282-ae60-1bfc22a83be1}</vt:lpwstr>
  </property>
  <property fmtid="{D5CDD505-2E9C-101B-9397-08002B2CF9AE}" pid="33" name="RecordPoint_ActiveItemSiteId">
    <vt:lpwstr>{88691c01-5bbb-4215-adc0-66cb7065b0af}</vt:lpwstr>
  </property>
  <property fmtid="{D5CDD505-2E9C-101B-9397-08002B2CF9AE}" pid="34" name="RecordPoint_ActiveItemListId">
    <vt:lpwstr>{0e59e171-09d8-4401-800a-327154450cb3}</vt:lpwstr>
  </property>
  <property fmtid="{D5CDD505-2E9C-101B-9397-08002B2CF9AE}" pid="35" name="RecordPoint_ActiveItemUniqueId">
    <vt:lpwstr>{c735fb24-c120-4925-96d7-317fbbf26993}</vt:lpwstr>
  </property>
  <property fmtid="{D5CDD505-2E9C-101B-9397-08002B2CF9AE}" pid="36" name="RecordPoint_RecordNumberSubmitted">
    <vt:lpwstr/>
  </property>
  <property fmtid="{D5CDD505-2E9C-101B-9397-08002B2CF9AE}" pid="37" name="RecordPoint_SubmissionCompleted">
    <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ies>
</file>