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8316F3" w:rsidRDefault="00DA186E" w:rsidP="00B05CF4">
      <w:pPr>
        <w:rPr>
          <w:sz w:val="28"/>
        </w:rPr>
      </w:pPr>
      <w:r w:rsidRPr="008316F3">
        <w:rPr>
          <w:noProof/>
          <w:lang w:eastAsia="en-AU"/>
        </w:rPr>
        <w:drawing>
          <wp:inline distT="0" distB="0" distL="0" distR="0" wp14:anchorId="3078DFA4" wp14:editId="282864C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316F3" w:rsidRDefault="00715914" w:rsidP="00715914">
      <w:pPr>
        <w:rPr>
          <w:sz w:val="19"/>
        </w:rPr>
      </w:pPr>
    </w:p>
    <w:p w:rsidR="00715914" w:rsidRPr="008316F3" w:rsidRDefault="00626C93" w:rsidP="00715914">
      <w:pPr>
        <w:pStyle w:val="ShortT"/>
      </w:pPr>
      <w:r w:rsidRPr="008316F3">
        <w:t>Veterans</w:t>
      </w:r>
      <w:r w:rsidR="00395BFC" w:rsidRPr="008316F3">
        <w:t>’</w:t>
      </w:r>
      <w:r w:rsidRPr="008316F3">
        <w:t xml:space="preserve"> Entitlements (Non</w:t>
      </w:r>
      <w:r w:rsidR="008316F3">
        <w:noBreakHyphen/>
      </w:r>
      <w:r w:rsidRPr="008316F3">
        <w:t>warlike Service) Determination</w:t>
      </w:r>
      <w:r w:rsidR="008316F3" w:rsidRPr="008316F3">
        <w:t> </w:t>
      </w:r>
      <w:r w:rsidRPr="008316F3">
        <w:t>201</w:t>
      </w:r>
      <w:r w:rsidR="00DD6EF0" w:rsidRPr="008316F3">
        <w:t>9</w:t>
      </w:r>
    </w:p>
    <w:p w:rsidR="007D327A" w:rsidRPr="008316F3" w:rsidRDefault="007D327A" w:rsidP="00EC6C9B">
      <w:pPr>
        <w:pStyle w:val="SignCoverPageStart"/>
        <w:rPr>
          <w:szCs w:val="22"/>
        </w:rPr>
      </w:pPr>
      <w:r w:rsidRPr="008316F3">
        <w:rPr>
          <w:szCs w:val="22"/>
        </w:rPr>
        <w:t>I, Darren Chester, Minister for Defence Personnel, make the following determination.</w:t>
      </w:r>
    </w:p>
    <w:p w:rsidR="007D327A" w:rsidRPr="008316F3" w:rsidRDefault="007D327A" w:rsidP="00EC6C9B">
      <w:pPr>
        <w:keepNext/>
        <w:spacing w:before="300" w:line="240" w:lineRule="atLeast"/>
        <w:ind w:right="397"/>
        <w:jc w:val="both"/>
        <w:rPr>
          <w:szCs w:val="22"/>
        </w:rPr>
      </w:pPr>
      <w:r w:rsidRPr="008316F3">
        <w:rPr>
          <w:szCs w:val="22"/>
        </w:rPr>
        <w:t>Dated</w:t>
      </w:r>
      <w:r w:rsidRPr="008316F3">
        <w:rPr>
          <w:szCs w:val="22"/>
        </w:rPr>
        <w:tab/>
      </w:r>
      <w:r w:rsidRPr="008316F3">
        <w:rPr>
          <w:szCs w:val="22"/>
        </w:rPr>
        <w:fldChar w:fldCharType="begin"/>
      </w:r>
      <w:r w:rsidRPr="008316F3">
        <w:rPr>
          <w:szCs w:val="22"/>
        </w:rPr>
        <w:instrText xml:space="preserve"> DOCPROPERTY  DateMade </w:instrText>
      </w:r>
      <w:r w:rsidRPr="008316F3">
        <w:rPr>
          <w:szCs w:val="22"/>
        </w:rPr>
        <w:fldChar w:fldCharType="separate"/>
      </w:r>
      <w:r w:rsidR="0070178D">
        <w:rPr>
          <w:szCs w:val="22"/>
        </w:rPr>
        <w:t>13 March 2019</w:t>
      </w:r>
      <w:r w:rsidRPr="008316F3">
        <w:rPr>
          <w:szCs w:val="22"/>
        </w:rPr>
        <w:fldChar w:fldCharType="end"/>
      </w:r>
    </w:p>
    <w:p w:rsidR="007D327A" w:rsidRPr="008316F3" w:rsidRDefault="007D327A" w:rsidP="00EC6C9B">
      <w:pPr>
        <w:keepNext/>
        <w:tabs>
          <w:tab w:val="left" w:pos="3402"/>
        </w:tabs>
        <w:spacing w:before="1440" w:line="300" w:lineRule="atLeast"/>
        <w:ind w:right="397"/>
        <w:rPr>
          <w:szCs w:val="22"/>
        </w:rPr>
      </w:pPr>
      <w:r w:rsidRPr="008316F3">
        <w:rPr>
          <w:szCs w:val="22"/>
        </w:rPr>
        <w:t>Darren Chester</w:t>
      </w:r>
    </w:p>
    <w:p w:rsidR="007D327A" w:rsidRPr="008316F3" w:rsidRDefault="007D327A" w:rsidP="00EC6C9B">
      <w:pPr>
        <w:pStyle w:val="SignCoverPageEnd"/>
        <w:spacing w:after="0"/>
        <w:rPr>
          <w:szCs w:val="22"/>
        </w:rPr>
      </w:pPr>
      <w:r w:rsidRPr="008316F3">
        <w:rPr>
          <w:szCs w:val="22"/>
        </w:rPr>
        <w:t>Minister for Defence Personnel</w:t>
      </w:r>
    </w:p>
    <w:p w:rsidR="007D327A" w:rsidRPr="008316F3" w:rsidRDefault="007D327A" w:rsidP="00EC6C9B"/>
    <w:p w:rsidR="007D327A" w:rsidRPr="008316F3" w:rsidRDefault="007D327A" w:rsidP="007D327A"/>
    <w:p w:rsidR="00715914" w:rsidRPr="008316F3" w:rsidRDefault="00715914" w:rsidP="00715914">
      <w:pPr>
        <w:pStyle w:val="Header"/>
        <w:tabs>
          <w:tab w:val="clear" w:pos="4150"/>
          <w:tab w:val="clear" w:pos="8307"/>
        </w:tabs>
      </w:pPr>
      <w:r w:rsidRPr="008316F3">
        <w:rPr>
          <w:rStyle w:val="CharChapNo"/>
        </w:rPr>
        <w:t xml:space="preserve"> </w:t>
      </w:r>
      <w:r w:rsidRPr="008316F3">
        <w:rPr>
          <w:rStyle w:val="CharChapText"/>
        </w:rPr>
        <w:t xml:space="preserve"> </w:t>
      </w:r>
    </w:p>
    <w:p w:rsidR="00715914" w:rsidRPr="008316F3" w:rsidRDefault="00715914" w:rsidP="00715914">
      <w:pPr>
        <w:pStyle w:val="Header"/>
        <w:tabs>
          <w:tab w:val="clear" w:pos="4150"/>
          <w:tab w:val="clear" w:pos="8307"/>
        </w:tabs>
      </w:pPr>
      <w:r w:rsidRPr="008316F3">
        <w:rPr>
          <w:rStyle w:val="CharPartNo"/>
        </w:rPr>
        <w:t xml:space="preserve"> </w:t>
      </w:r>
      <w:r w:rsidRPr="008316F3">
        <w:rPr>
          <w:rStyle w:val="CharPartText"/>
        </w:rPr>
        <w:t xml:space="preserve"> </w:t>
      </w:r>
    </w:p>
    <w:p w:rsidR="00715914" w:rsidRPr="008316F3" w:rsidRDefault="00715914" w:rsidP="00715914">
      <w:pPr>
        <w:pStyle w:val="Header"/>
        <w:tabs>
          <w:tab w:val="clear" w:pos="4150"/>
          <w:tab w:val="clear" w:pos="8307"/>
        </w:tabs>
      </w:pPr>
      <w:r w:rsidRPr="008316F3">
        <w:rPr>
          <w:rStyle w:val="CharDivNo"/>
        </w:rPr>
        <w:t xml:space="preserve"> </w:t>
      </w:r>
      <w:r w:rsidRPr="008316F3">
        <w:rPr>
          <w:rStyle w:val="CharDivText"/>
        </w:rPr>
        <w:t xml:space="preserve"> </w:t>
      </w:r>
    </w:p>
    <w:p w:rsidR="00715914" w:rsidRPr="008316F3" w:rsidRDefault="00715914" w:rsidP="00715914">
      <w:pPr>
        <w:sectPr w:rsidR="00715914" w:rsidRPr="008316F3" w:rsidSect="0015605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8316F3" w:rsidRDefault="00715914" w:rsidP="00C942AF">
      <w:pPr>
        <w:rPr>
          <w:sz w:val="36"/>
        </w:rPr>
      </w:pPr>
      <w:r w:rsidRPr="008316F3">
        <w:rPr>
          <w:sz w:val="36"/>
        </w:rPr>
        <w:lastRenderedPageBreak/>
        <w:t>Contents</w:t>
      </w:r>
    </w:p>
    <w:p w:rsidR="00621CBE" w:rsidRPr="008316F3" w:rsidRDefault="00621CBE">
      <w:pPr>
        <w:pStyle w:val="TOC5"/>
        <w:rPr>
          <w:rFonts w:asciiTheme="minorHAnsi" w:eastAsiaTheme="minorEastAsia" w:hAnsiTheme="minorHAnsi" w:cstheme="minorBidi"/>
          <w:noProof/>
          <w:kern w:val="0"/>
          <w:sz w:val="22"/>
          <w:szCs w:val="22"/>
        </w:rPr>
      </w:pPr>
      <w:r w:rsidRPr="008316F3">
        <w:fldChar w:fldCharType="begin"/>
      </w:r>
      <w:r w:rsidRPr="008316F3">
        <w:instrText xml:space="preserve"> TOC \o "1-9" </w:instrText>
      </w:r>
      <w:r w:rsidRPr="008316F3">
        <w:fldChar w:fldCharType="separate"/>
      </w:r>
      <w:r w:rsidRPr="008316F3">
        <w:rPr>
          <w:noProof/>
        </w:rPr>
        <w:t>1</w:t>
      </w:r>
      <w:r w:rsidRPr="008316F3">
        <w:rPr>
          <w:noProof/>
        </w:rPr>
        <w:tab/>
        <w:t>Name</w:t>
      </w:r>
      <w:r w:rsidRPr="008316F3">
        <w:rPr>
          <w:noProof/>
        </w:rPr>
        <w:tab/>
      </w:r>
      <w:r w:rsidRPr="008316F3">
        <w:rPr>
          <w:noProof/>
        </w:rPr>
        <w:fldChar w:fldCharType="begin"/>
      </w:r>
      <w:r w:rsidRPr="008316F3">
        <w:rPr>
          <w:noProof/>
        </w:rPr>
        <w:instrText xml:space="preserve"> PAGEREF _Toc530571244 \h </w:instrText>
      </w:r>
      <w:r w:rsidRPr="008316F3">
        <w:rPr>
          <w:noProof/>
        </w:rPr>
      </w:r>
      <w:r w:rsidRPr="008316F3">
        <w:rPr>
          <w:noProof/>
        </w:rPr>
        <w:fldChar w:fldCharType="separate"/>
      </w:r>
      <w:r w:rsidR="0070178D">
        <w:rPr>
          <w:noProof/>
        </w:rPr>
        <w:t>1</w:t>
      </w:r>
      <w:r w:rsidRPr="008316F3">
        <w:rPr>
          <w:noProof/>
        </w:rPr>
        <w:fldChar w:fldCharType="end"/>
      </w:r>
    </w:p>
    <w:p w:rsidR="00621CBE" w:rsidRPr="008316F3" w:rsidRDefault="00621CBE">
      <w:pPr>
        <w:pStyle w:val="TOC5"/>
        <w:rPr>
          <w:rFonts w:asciiTheme="minorHAnsi" w:eastAsiaTheme="minorEastAsia" w:hAnsiTheme="minorHAnsi" w:cstheme="minorBidi"/>
          <w:noProof/>
          <w:kern w:val="0"/>
          <w:sz w:val="22"/>
          <w:szCs w:val="22"/>
        </w:rPr>
      </w:pPr>
      <w:r w:rsidRPr="008316F3">
        <w:rPr>
          <w:noProof/>
        </w:rPr>
        <w:t>2</w:t>
      </w:r>
      <w:r w:rsidRPr="008316F3">
        <w:rPr>
          <w:noProof/>
        </w:rPr>
        <w:tab/>
        <w:t>Commencement</w:t>
      </w:r>
      <w:r w:rsidRPr="008316F3">
        <w:rPr>
          <w:noProof/>
        </w:rPr>
        <w:tab/>
      </w:r>
      <w:r w:rsidRPr="008316F3">
        <w:rPr>
          <w:noProof/>
        </w:rPr>
        <w:fldChar w:fldCharType="begin"/>
      </w:r>
      <w:r w:rsidRPr="008316F3">
        <w:rPr>
          <w:noProof/>
        </w:rPr>
        <w:instrText xml:space="preserve"> PAGEREF _Toc530571245 \h </w:instrText>
      </w:r>
      <w:r w:rsidRPr="008316F3">
        <w:rPr>
          <w:noProof/>
        </w:rPr>
      </w:r>
      <w:r w:rsidRPr="008316F3">
        <w:rPr>
          <w:noProof/>
        </w:rPr>
        <w:fldChar w:fldCharType="separate"/>
      </w:r>
      <w:r w:rsidR="0070178D">
        <w:rPr>
          <w:noProof/>
        </w:rPr>
        <w:t>1</w:t>
      </w:r>
      <w:r w:rsidRPr="008316F3">
        <w:rPr>
          <w:noProof/>
        </w:rPr>
        <w:fldChar w:fldCharType="end"/>
      </w:r>
    </w:p>
    <w:p w:rsidR="00621CBE" w:rsidRPr="008316F3" w:rsidRDefault="00621CBE">
      <w:pPr>
        <w:pStyle w:val="TOC5"/>
        <w:rPr>
          <w:rFonts w:asciiTheme="minorHAnsi" w:eastAsiaTheme="minorEastAsia" w:hAnsiTheme="minorHAnsi" w:cstheme="minorBidi"/>
          <w:noProof/>
          <w:kern w:val="0"/>
          <w:sz w:val="22"/>
          <w:szCs w:val="22"/>
        </w:rPr>
      </w:pPr>
      <w:r w:rsidRPr="008316F3">
        <w:rPr>
          <w:noProof/>
        </w:rPr>
        <w:t>3</w:t>
      </w:r>
      <w:r w:rsidRPr="008316F3">
        <w:rPr>
          <w:noProof/>
        </w:rPr>
        <w:tab/>
        <w:t>Authority</w:t>
      </w:r>
      <w:r w:rsidRPr="008316F3">
        <w:rPr>
          <w:noProof/>
        </w:rPr>
        <w:tab/>
      </w:r>
      <w:r w:rsidRPr="008316F3">
        <w:rPr>
          <w:noProof/>
        </w:rPr>
        <w:fldChar w:fldCharType="begin"/>
      </w:r>
      <w:r w:rsidRPr="008316F3">
        <w:rPr>
          <w:noProof/>
        </w:rPr>
        <w:instrText xml:space="preserve"> PAGEREF _Toc530571246 \h </w:instrText>
      </w:r>
      <w:r w:rsidRPr="008316F3">
        <w:rPr>
          <w:noProof/>
        </w:rPr>
      </w:r>
      <w:r w:rsidRPr="008316F3">
        <w:rPr>
          <w:noProof/>
        </w:rPr>
        <w:fldChar w:fldCharType="separate"/>
      </w:r>
      <w:r w:rsidR="0070178D">
        <w:rPr>
          <w:noProof/>
        </w:rPr>
        <w:t>1</w:t>
      </w:r>
      <w:r w:rsidRPr="008316F3">
        <w:rPr>
          <w:noProof/>
        </w:rPr>
        <w:fldChar w:fldCharType="end"/>
      </w:r>
    </w:p>
    <w:p w:rsidR="00621CBE" w:rsidRPr="008316F3" w:rsidRDefault="00621CBE">
      <w:pPr>
        <w:pStyle w:val="TOC5"/>
        <w:rPr>
          <w:rFonts w:asciiTheme="minorHAnsi" w:eastAsiaTheme="minorEastAsia" w:hAnsiTheme="minorHAnsi" w:cstheme="minorBidi"/>
          <w:noProof/>
          <w:kern w:val="0"/>
          <w:sz w:val="22"/>
          <w:szCs w:val="22"/>
        </w:rPr>
      </w:pPr>
      <w:r w:rsidRPr="008316F3">
        <w:rPr>
          <w:noProof/>
        </w:rPr>
        <w:t>4</w:t>
      </w:r>
      <w:r w:rsidRPr="008316F3">
        <w:rPr>
          <w:noProof/>
        </w:rPr>
        <w:tab/>
        <w:t>Schedule</w:t>
      </w:r>
      <w:r w:rsidR="008316F3" w:rsidRPr="008316F3">
        <w:rPr>
          <w:noProof/>
        </w:rPr>
        <w:t> </w:t>
      </w:r>
      <w:r w:rsidRPr="008316F3">
        <w:rPr>
          <w:noProof/>
        </w:rPr>
        <w:t>2</w:t>
      </w:r>
      <w:r w:rsidRPr="008316F3">
        <w:rPr>
          <w:noProof/>
        </w:rPr>
        <w:tab/>
      </w:r>
      <w:r w:rsidRPr="008316F3">
        <w:rPr>
          <w:noProof/>
        </w:rPr>
        <w:fldChar w:fldCharType="begin"/>
      </w:r>
      <w:r w:rsidRPr="008316F3">
        <w:rPr>
          <w:noProof/>
        </w:rPr>
        <w:instrText xml:space="preserve"> PAGEREF _Toc530571247 \h </w:instrText>
      </w:r>
      <w:r w:rsidRPr="008316F3">
        <w:rPr>
          <w:noProof/>
        </w:rPr>
      </w:r>
      <w:r w:rsidRPr="008316F3">
        <w:rPr>
          <w:noProof/>
        </w:rPr>
        <w:fldChar w:fldCharType="separate"/>
      </w:r>
      <w:r w:rsidR="0070178D">
        <w:rPr>
          <w:noProof/>
        </w:rPr>
        <w:t>1</w:t>
      </w:r>
      <w:r w:rsidRPr="008316F3">
        <w:rPr>
          <w:noProof/>
        </w:rPr>
        <w:fldChar w:fldCharType="end"/>
      </w:r>
    </w:p>
    <w:p w:rsidR="00621CBE" w:rsidRPr="008316F3" w:rsidRDefault="00621CBE">
      <w:pPr>
        <w:pStyle w:val="TOC5"/>
        <w:rPr>
          <w:rFonts w:asciiTheme="minorHAnsi" w:eastAsiaTheme="minorEastAsia" w:hAnsiTheme="minorHAnsi" w:cstheme="minorBidi"/>
          <w:noProof/>
          <w:kern w:val="0"/>
          <w:sz w:val="22"/>
          <w:szCs w:val="22"/>
        </w:rPr>
      </w:pPr>
      <w:r w:rsidRPr="008316F3">
        <w:rPr>
          <w:noProof/>
        </w:rPr>
        <w:t>5</w:t>
      </w:r>
      <w:r w:rsidRPr="008316F3">
        <w:rPr>
          <w:noProof/>
        </w:rPr>
        <w:tab/>
        <w:t>Definitions</w:t>
      </w:r>
      <w:r w:rsidRPr="008316F3">
        <w:rPr>
          <w:noProof/>
        </w:rPr>
        <w:tab/>
      </w:r>
      <w:r w:rsidRPr="008316F3">
        <w:rPr>
          <w:noProof/>
        </w:rPr>
        <w:fldChar w:fldCharType="begin"/>
      </w:r>
      <w:r w:rsidRPr="008316F3">
        <w:rPr>
          <w:noProof/>
        </w:rPr>
        <w:instrText xml:space="preserve"> PAGEREF _Toc530571248 \h </w:instrText>
      </w:r>
      <w:r w:rsidRPr="008316F3">
        <w:rPr>
          <w:noProof/>
        </w:rPr>
      </w:r>
      <w:r w:rsidRPr="008316F3">
        <w:rPr>
          <w:noProof/>
        </w:rPr>
        <w:fldChar w:fldCharType="separate"/>
      </w:r>
      <w:r w:rsidR="0070178D">
        <w:rPr>
          <w:noProof/>
        </w:rPr>
        <w:t>1</w:t>
      </w:r>
      <w:r w:rsidRPr="008316F3">
        <w:rPr>
          <w:noProof/>
        </w:rPr>
        <w:fldChar w:fldCharType="end"/>
      </w:r>
    </w:p>
    <w:p w:rsidR="00621CBE" w:rsidRPr="008316F3" w:rsidRDefault="00621CBE">
      <w:pPr>
        <w:pStyle w:val="TOC5"/>
        <w:rPr>
          <w:rFonts w:asciiTheme="minorHAnsi" w:eastAsiaTheme="minorEastAsia" w:hAnsiTheme="minorHAnsi" w:cstheme="minorBidi"/>
          <w:noProof/>
          <w:kern w:val="0"/>
          <w:sz w:val="22"/>
          <w:szCs w:val="22"/>
        </w:rPr>
      </w:pPr>
      <w:r w:rsidRPr="008316F3">
        <w:rPr>
          <w:noProof/>
        </w:rPr>
        <w:t>6</w:t>
      </w:r>
      <w:r w:rsidRPr="008316F3">
        <w:rPr>
          <w:noProof/>
        </w:rPr>
        <w:tab/>
        <w:t>Non</w:t>
      </w:r>
      <w:r w:rsidR="008316F3">
        <w:rPr>
          <w:noProof/>
        </w:rPr>
        <w:noBreakHyphen/>
      </w:r>
      <w:r w:rsidRPr="008316F3">
        <w:rPr>
          <w:noProof/>
        </w:rPr>
        <w:t>warlike service</w:t>
      </w:r>
      <w:r w:rsidRPr="008316F3">
        <w:rPr>
          <w:noProof/>
        </w:rPr>
        <w:tab/>
      </w:r>
      <w:r w:rsidRPr="008316F3">
        <w:rPr>
          <w:noProof/>
        </w:rPr>
        <w:fldChar w:fldCharType="begin"/>
      </w:r>
      <w:r w:rsidRPr="008316F3">
        <w:rPr>
          <w:noProof/>
        </w:rPr>
        <w:instrText xml:space="preserve"> PAGEREF _Toc530571249 \h </w:instrText>
      </w:r>
      <w:r w:rsidRPr="008316F3">
        <w:rPr>
          <w:noProof/>
        </w:rPr>
      </w:r>
      <w:r w:rsidRPr="008316F3">
        <w:rPr>
          <w:noProof/>
        </w:rPr>
        <w:fldChar w:fldCharType="separate"/>
      </w:r>
      <w:r w:rsidR="0070178D">
        <w:rPr>
          <w:noProof/>
        </w:rPr>
        <w:t>1</w:t>
      </w:r>
      <w:r w:rsidRPr="008316F3">
        <w:rPr>
          <w:noProof/>
        </w:rPr>
        <w:fldChar w:fldCharType="end"/>
      </w:r>
    </w:p>
    <w:p w:rsidR="00621CBE" w:rsidRPr="008316F3" w:rsidRDefault="00621CBE">
      <w:pPr>
        <w:pStyle w:val="TOC1"/>
        <w:rPr>
          <w:rFonts w:asciiTheme="minorHAnsi" w:eastAsiaTheme="minorEastAsia" w:hAnsiTheme="minorHAnsi" w:cstheme="minorBidi"/>
          <w:b w:val="0"/>
          <w:noProof/>
          <w:kern w:val="0"/>
          <w:sz w:val="22"/>
          <w:szCs w:val="22"/>
        </w:rPr>
      </w:pPr>
      <w:r w:rsidRPr="008316F3">
        <w:rPr>
          <w:noProof/>
        </w:rPr>
        <w:t>Schedule</w:t>
      </w:r>
      <w:r w:rsidR="008316F3" w:rsidRPr="008316F3">
        <w:rPr>
          <w:noProof/>
        </w:rPr>
        <w:t> </w:t>
      </w:r>
      <w:r w:rsidRPr="008316F3">
        <w:rPr>
          <w:noProof/>
        </w:rPr>
        <w:t>1—Non</w:t>
      </w:r>
      <w:r w:rsidR="008316F3">
        <w:rPr>
          <w:noProof/>
        </w:rPr>
        <w:noBreakHyphen/>
      </w:r>
      <w:r w:rsidRPr="008316F3">
        <w:rPr>
          <w:noProof/>
        </w:rPr>
        <w:t>warlike service</w:t>
      </w:r>
      <w:r w:rsidRPr="008316F3">
        <w:rPr>
          <w:b w:val="0"/>
          <w:noProof/>
          <w:sz w:val="18"/>
        </w:rPr>
        <w:tab/>
      </w:r>
      <w:r w:rsidRPr="008316F3">
        <w:rPr>
          <w:b w:val="0"/>
          <w:noProof/>
          <w:sz w:val="18"/>
        </w:rPr>
        <w:fldChar w:fldCharType="begin"/>
      </w:r>
      <w:r w:rsidRPr="008316F3">
        <w:rPr>
          <w:b w:val="0"/>
          <w:noProof/>
          <w:sz w:val="18"/>
        </w:rPr>
        <w:instrText xml:space="preserve"> PAGEREF _Toc530571250 \h </w:instrText>
      </w:r>
      <w:r w:rsidRPr="008316F3">
        <w:rPr>
          <w:b w:val="0"/>
          <w:noProof/>
          <w:sz w:val="18"/>
        </w:rPr>
      </w:r>
      <w:r w:rsidRPr="008316F3">
        <w:rPr>
          <w:b w:val="0"/>
          <w:noProof/>
          <w:sz w:val="18"/>
        </w:rPr>
        <w:fldChar w:fldCharType="separate"/>
      </w:r>
      <w:r w:rsidR="0070178D">
        <w:rPr>
          <w:b w:val="0"/>
          <w:noProof/>
          <w:sz w:val="18"/>
        </w:rPr>
        <w:t>2</w:t>
      </w:r>
      <w:r w:rsidRPr="008316F3">
        <w:rPr>
          <w:b w:val="0"/>
          <w:noProof/>
          <w:sz w:val="18"/>
        </w:rPr>
        <w:fldChar w:fldCharType="end"/>
      </w:r>
    </w:p>
    <w:p w:rsidR="00621CBE" w:rsidRPr="008316F3" w:rsidRDefault="00621CBE">
      <w:pPr>
        <w:pStyle w:val="TOC5"/>
        <w:rPr>
          <w:rFonts w:asciiTheme="minorHAnsi" w:eastAsiaTheme="minorEastAsia" w:hAnsiTheme="minorHAnsi" w:cstheme="minorBidi"/>
          <w:noProof/>
          <w:kern w:val="0"/>
          <w:sz w:val="22"/>
          <w:szCs w:val="22"/>
        </w:rPr>
      </w:pPr>
      <w:r w:rsidRPr="008316F3">
        <w:rPr>
          <w:noProof/>
        </w:rPr>
        <w:t>1</w:t>
      </w:r>
      <w:r w:rsidRPr="008316F3">
        <w:rPr>
          <w:noProof/>
        </w:rPr>
        <w:tab/>
        <w:t>Non</w:t>
      </w:r>
      <w:r w:rsidR="008316F3">
        <w:rPr>
          <w:noProof/>
        </w:rPr>
        <w:noBreakHyphen/>
      </w:r>
      <w:r w:rsidRPr="008316F3">
        <w:rPr>
          <w:noProof/>
        </w:rPr>
        <w:t>warlike service</w:t>
      </w:r>
      <w:r w:rsidRPr="008316F3">
        <w:rPr>
          <w:noProof/>
        </w:rPr>
        <w:tab/>
      </w:r>
      <w:r w:rsidRPr="008316F3">
        <w:rPr>
          <w:noProof/>
        </w:rPr>
        <w:fldChar w:fldCharType="begin"/>
      </w:r>
      <w:r w:rsidRPr="008316F3">
        <w:rPr>
          <w:noProof/>
        </w:rPr>
        <w:instrText xml:space="preserve"> PAGEREF _Toc530571251 \h </w:instrText>
      </w:r>
      <w:r w:rsidRPr="008316F3">
        <w:rPr>
          <w:noProof/>
        </w:rPr>
      </w:r>
      <w:r w:rsidRPr="008316F3">
        <w:rPr>
          <w:noProof/>
        </w:rPr>
        <w:fldChar w:fldCharType="separate"/>
      </w:r>
      <w:r w:rsidR="0070178D">
        <w:rPr>
          <w:noProof/>
        </w:rPr>
        <w:t>2</w:t>
      </w:r>
      <w:r w:rsidRPr="008316F3">
        <w:rPr>
          <w:noProof/>
        </w:rPr>
        <w:fldChar w:fldCharType="end"/>
      </w:r>
    </w:p>
    <w:p w:rsidR="00621CBE" w:rsidRPr="008316F3" w:rsidRDefault="00621CBE">
      <w:pPr>
        <w:pStyle w:val="TOC6"/>
        <w:rPr>
          <w:rFonts w:asciiTheme="minorHAnsi" w:eastAsiaTheme="minorEastAsia" w:hAnsiTheme="minorHAnsi" w:cstheme="minorBidi"/>
          <w:b w:val="0"/>
          <w:noProof/>
          <w:kern w:val="0"/>
          <w:sz w:val="22"/>
          <w:szCs w:val="22"/>
        </w:rPr>
      </w:pPr>
      <w:r w:rsidRPr="008316F3">
        <w:rPr>
          <w:noProof/>
        </w:rPr>
        <w:t>Schedule</w:t>
      </w:r>
      <w:r w:rsidR="008316F3" w:rsidRPr="008316F3">
        <w:rPr>
          <w:noProof/>
        </w:rPr>
        <w:t> </w:t>
      </w:r>
      <w:r w:rsidRPr="008316F3">
        <w:rPr>
          <w:noProof/>
        </w:rPr>
        <w:t>2—Repeals of instruments</w:t>
      </w:r>
      <w:r w:rsidRPr="008316F3">
        <w:rPr>
          <w:b w:val="0"/>
          <w:noProof/>
          <w:sz w:val="18"/>
        </w:rPr>
        <w:tab/>
      </w:r>
      <w:r w:rsidRPr="008316F3">
        <w:rPr>
          <w:b w:val="0"/>
          <w:noProof/>
          <w:sz w:val="18"/>
        </w:rPr>
        <w:fldChar w:fldCharType="begin"/>
      </w:r>
      <w:r w:rsidRPr="008316F3">
        <w:rPr>
          <w:b w:val="0"/>
          <w:noProof/>
          <w:sz w:val="18"/>
        </w:rPr>
        <w:instrText xml:space="preserve"> PAGEREF _Toc530571252 \h </w:instrText>
      </w:r>
      <w:r w:rsidRPr="008316F3">
        <w:rPr>
          <w:b w:val="0"/>
          <w:noProof/>
          <w:sz w:val="18"/>
        </w:rPr>
      </w:r>
      <w:r w:rsidRPr="008316F3">
        <w:rPr>
          <w:b w:val="0"/>
          <w:noProof/>
          <w:sz w:val="18"/>
        </w:rPr>
        <w:fldChar w:fldCharType="separate"/>
      </w:r>
      <w:r w:rsidR="0070178D">
        <w:rPr>
          <w:b w:val="0"/>
          <w:noProof/>
          <w:sz w:val="18"/>
        </w:rPr>
        <w:t>9</w:t>
      </w:r>
      <w:r w:rsidRPr="008316F3">
        <w:rPr>
          <w:b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Determination of Non</w:t>
      </w:r>
      <w:r w:rsidR="008316F3">
        <w:rPr>
          <w:noProof/>
        </w:rPr>
        <w:noBreakHyphen/>
      </w:r>
      <w:r w:rsidRPr="008316F3">
        <w:rPr>
          <w:noProof/>
        </w:rPr>
        <w:t xml:space="preserve">warlike Service </w:t>
      </w:r>
      <w:r w:rsidR="008316F3">
        <w:rPr>
          <w:noProof/>
        </w:rPr>
        <w:noBreakHyphen/>
      </w:r>
      <w:r w:rsidRPr="008316F3">
        <w:rPr>
          <w:noProof/>
        </w:rPr>
        <w:t xml:space="preserve"> BERLIN AIRLIFT (Federal Register of Legislation No. F2006B00566)</w:t>
      </w:r>
      <w:r w:rsidRPr="008316F3">
        <w:rPr>
          <w:i w:val="0"/>
          <w:noProof/>
          <w:sz w:val="18"/>
        </w:rPr>
        <w:tab/>
      </w:r>
      <w:r w:rsidRPr="008316F3">
        <w:rPr>
          <w:i w:val="0"/>
          <w:noProof/>
          <w:sz w:val="18"/>
        </w:rPr>
        <w:fldChar w:fldCharType="begin"/>
      </w:r>
      <w:r w:rsidRPr="008316F3">
        <w:rPr>
          <w:i w:val="0"/>
          <w:noProof/>
          <w:sz w:val="18"/>
        </w:rPr>
        <w:instrText xml:space="preserve"> PAGEREF _Toc530571253 \h </w:instrText>
      </w:r>
      <w:r w:rsidRPr="008316F3">
        <w:rPr>
          <w:i w:val="0"/>
          <w:noProof/>
          <w:sz w:val="18"/>
        </w:rPr>
      </w:r>
      <w:r w:rsidRPr="008316F3">
        <w:rPr>
          <w:i w:val="0"/>
          <w:noProof/>
          <w:sz w:val="18"/>
        </w:rPr>
        <w:fldChar w:fldCharType="separate"/>
      </w:r>
      <w:r w:rsidR="0070178D">
        <w:rPr>
          <w:i w:val="0"/>
          <w:noProof/>
          <w:sz w:val="18"/>
        </w:rPr>
        <w:t>9</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Determination of Non</w:t>
      </w:r>
      <w:r w:rsidR="008316F3">
        <w:rPr>
          <w:noProof/>
        </w:rPr>
        <w:noBreakHyphen/>
      </w:r>
      <w:r w:rsidRPr="008316F3">
        <w:rPr>
          <w:noProof/>
        </w:rPr>
        <w:t>warlike Service (Federal Register of Legislation No. F2006L02913)</w:t>
      </w:r>
      <w:r w:rsidRPr="008316F3">
        <w:rPr>
          <w:i w:val="0"/>
          <w:noProof/>
          <w:sz w:val="18"/>
        </w:rPr>
        <w:tab/>
      </w:r>
      <w:r w:rsidRPr="008316F3">
        <w:rPr>
          <w:i w:val="0"/>
          <w:noProof/>
          <w:sz w:val="18"/>
        </w:rPr>
        <w:fldChar w:fldCharType="begin"/>
      </w:r>
      <w:r w:rsidRPr="008316F3">
        <w:rPr>
          <w:i w:val="0"/>
          <w:noProof/>
          <w:sz w:val="18"/>
        </w:rPr>
        <w:instrText xml:space="preserve"> PAGEREF _Toc530571254 \h </w:instrText>
      </w:r>
      <w:r w:rsidRPr="008316F3">
        <w:rPr>
          <w:i w:val="0"/>
          <w:noProof/>
          <w:sz w:val="18"/>
        </w:rPr>
      </w:r>
      <w:r w:rsidRPr="008316F3">
        <w:rPr>
          <w:i w:val="0"/>
          <w:noProof/>
          <w:sz w:val="18"/>
        </w:rPr>
        <w:fldChar w:fldCharType="separate"/>
      </w:r>
      <w:r w:rsidR="0070178D">
        <w:rPr>
          <w:i w:val="0"/>
          <w:noProof/>
          <w:sz w:val="18"/>
        </w:rPr>
        <w:t>9</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Determination of Non</w:t>
      </w:r>
      <w:r w:rsidR="008316F3">
        <w:rPr>
          <w:noProof/>
        </w:rPr>
        <w:noBreakHyphen/>
      </w:r>
      <w:r w:rsidRPr="008316F3">
        <w:rPr>
          <w:noProof/>
        </w:rPr>
        <w:t>warlike Service (Federal Register of Legislation No. F2006L02915)</w:t>
      </w:r>
      <w:r w:rsidRPr="008316F3">
        <w:rPr>
          <w:i w:val="0"/>
          <w:noProof/>
          <w:sz w:val="18"/>
        </w:rPr>
        <w:tab/>
      </w:r>
      <w:r w:rsidRPr="008316F3">
        <w:rPr>
          <w:i w:val="0"/>
          <w:noProof/>
          <w:sz w:val="18"/>
        </w:rPr>
        <w:fldChar w:fldCharType="begin"/>
      </w:r>
      <w:r w:rsidRPr="008316F3">
        <w:rPr>
          <w:i w:val="0"/>
          <w:noProof/>
          <w:sz w:val="18"/>
        </w:rPr>
        <w:instrText xml:space="preserve"> PAGEREF _Toc530571255 \h </w:instrText>
      </w:r>
      <w:r w:rsidRPr="008316F3">
        <w:rPr>
          <w:i w:val="0"/>
          <w:noProof/>
          <w:sz w:val="18"/>
        </w:rPr>
      </w:r>
      <w:r w:rsidRPr="008316F3">
        <w:rPr>
          <w:i w:val="0"/>
          <w:noProof/>
          <w:sz w:val="18"/>
        </w:rPr>
        <w:fldChar w:fldCharType="separate"/>
      </w:r>
      <w:r w:rsidR="0070178D">
        <w:rPr>
          <w:i w:val="0"/>
          <w:noProof/>
          <w:sz w:val="18"/>
        </w:rPr>
        <w:t>9</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Determination of Non</w:t>
      </w:r>
      <w:r w:rsidR="008316F3">
        <w:rPr>
          <w:noProof/>
        </w:rPr>
        <w:noBreakHyphen/>
      </w:r>
      <w:r w:rsidRPr="008316F3">
        <w:rPr>
          <w:noProof/>
        </w:rPr>
        <w:t>warlike Service (Federal Register of Legislation No. F2006L02916)</w:t>
      </w:r>
      <w:r w:rsidRPr="008316F3">
        <w:rPr>
          <w:i w:val="0"/>
          <w:noProof/>
          <w:sz w:val="18"/>
        </w:rPr>
        <w:tab/>
      </w:r>
      <w:r w:rsidRPr="008316F3">
        <w:rPr>
          <w:i w:val="0"/>
          <w:noProof/>
          <w:sz w:val="18"/>
        </w:rPr>
        <w:fldChar w:fldCharType="begin"/>
      </w:r>
      <w:r w:rsidRPr="008316F3">
        <w:rPr>
          <w:i w:val="0"/>
          <w:noProof/>
          <w:sz w:val="18"/>
        </w:rPr>
        <w:instrText xml:space="preserve"> PAGEREF _Toc530571256 \h </w:instrText>
      </w:r>
      <w:r w:rsidRPr="008316F3">
        <w:rPr>
          <w:i w:val="0"/>
          <w:noProof/>
          <w:sz w:val="18"/>
        </w:rPr>
      </w:r>
      <w:r w:rsidRPr="008316F3">
        <w:rPr>
          <w:i w:val="0"/>
          <w:noProof/>
          <w:sz w:val="18"/>
        </w:rPr>
        <w:fldChar w:fldCharType="separate"/>
      </w:r>
      <w:r w:rsidR="0070178D">
        <w:rPr>
          <w:i w:val="0"/>
          <w:noProof/>
          <w:sz w:val="18"/>
        </w:rPr>
        <w:t>9</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Determination of non</w:t>
      </w:r>
      <w:r w:rsidR="008316F3">
        <w:rPr>
          <w:noProof/>
        </w:rPr>
        <w:noBreakHyphen/>
      </w:r>
      <w:r w:rsidRPr="008316F3">
        <w:rPr>
          <w:noProof/>
        </w:rPr>
        <w:t>warlike service (OPERATION AGRICOLA) (Federal Register of Legislation No. F2007B00578)</w:t>
      </w:r>
      <w:r w:rsidRPr="008316F3">
        <w:rPr>
          <w:i w:val="0"/>
          <w:noProof/>
          <w:sz w:val="18"/>
        </w:rPr>
        <w:tab/>
      </w:r>
      <w:r w:rsidRPr="008316F3">
        <w:rPr>
          <w:i w:val="0"/>
          <w:noProof/>
          <w:sz w:val="18"/>
        </w:rPr>
        <w:fldChar w:fldCharType="begin"/>
      </w:r>
      <w:r w:rsidRPr="008316F3">
        <w:rPr>
          <w:i w:val="0"/>
          <w:noProof/>
          <w:sz w:val="18"/>
        </w:rPr>
        <w:instrText xml:space="preserve"> PAGEREF _Toc530571257 \h </w:instrText>
      </w:r>
      <w:r w:rsidRPr="008316F3">
        <w:rPr>
          <w:i w:val="0"/>
          <w:noProof/>
          <w:sz w:val="18"/>
        </w:rPr>
      </w:r>
      <w:r w:rsidRPr="008316F3">
        <w:rPr>
          <w:i w:val="0"/>
          <w:noProof/>
          <w:sz w:val="18"/>
        </w:rPr>
        <w:fldChar w:fldCharType="separate"/>
      </w:r>
      <w:r w:rsidR="0070178D">
        <w:rPr>
          <w:i w:val="0"/>
          <w:noProof/>
          <w:sz w:val="18"/>
        </w:rPr>
        <w:t>9</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Determination of non</w:t>
      </w:r>
      <w:r w:rsidR="008316F3">
        <w:rPr>
          <w:noProof/>
        </w:rPr>
        <w:noBreakHyphen/>
      </w:r>
      <w:r w:rsidRPr="008316F3">
        <w:rPr>
          <w:noProof/>
        </w:rPr>
        <w:t>warlike service (OPERATION ALLIED FORCE) (Federal Register of Legislation No. F2007B00576)</w:t>
      </w:r>
      <w:r w:rsidRPr="008316F3">
        <w:rPr>
          <w:i w:val="0"/>
          <w:noProof/>
          <w:sz w:val="18"/>
        </w:rPr>
        <w:tab/>
      </w:r>
      <w:r w:rsidRPr="008316F3">
        <w:rPr>
          <w:i w:val="0"/>
          <w:noProof/>
          <w:sz w:val="18"/>
        </w:rPr>
        <w:fldChar w:fldCharType="begin"/>
      </w:r>
      <w:r w:rsidRPr="008316F3">
        <w:rPr>
          <w:i w:val="0"/>
          <w:noProof/>
          <w:sz w:val="18"/>
        </w:rPr>
        <w:instrText xml:space="preserve"> PAGEREF _Toc530571258 \h </w:instrText>
      </w:r>
      <w:r w:rsidRPr="008316F3">
        <w:rPr>
          <w:i w:val="0"/>
          <w:noProof/>
          <w:sz w:val="18"/>
        </w:rPr>
      </w:r>
      <w:r w:rsidRPr="008316F3">
        <w:rPr>
          <w:i w:val="0"/>
          <w:noProof/>
          <w:sz w:val="18"/>
        </w:rPr>
        <w:fldChar w:fldCharType="separate"/>
      </w:r>
      <w:r w:rsidR="0070178D">
        <w:rPr>
          <w:i w:val="0"/>
          <w:noProof/>
          <w:sz w:val="18"/>
        </w:rPr>
        <w:t>9</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Determination of Non</w:t>
      </w:r>
      <w:r w:rsidR="008316F3">
        <w:rPr>
          <w:noProof/>
        </w:rPr>
        <w:noBreakHyphen/>
      </w:r>
      <w:r w:rsidRPr="008316F3">
        <w:rPr>
          <w:noProof/>
        </w:rPr>
        <w:t xml:space="preserve">warlike Service </w:t>
      </w:r>
      <w:r w:rsidR="008316F3">
        <w:rPr>
          <w:noProof/>
        </w:rPr>
        <w:noBreakHyphen/>
      </w:r>
      <w:r w:rsidRPr="008316F3">
        <w:rPr>
          <w:noProof/>
        </w:rPr>
        <w:t xml:space="preserve"> OPERATION ANODE (Federal Register of Legislation No. F2006B00719)</w:t>
      </w:r>
      <w:r w:rsidRPr="008316F3">
        <w:rPr>
          <w:i w:val="0"/>
          <w:noProof/>
          <w:sz w:val="18"/>
        </w:rPr>
        <w:tab/>
      </w:r>
      <w:r w:rsidRPr="008316F3">
        <w:rPr>
          <w:i w:val="0"/>
          <w:noProof/>
          <w:sz w:val="18"/>
        </w:rPr>
        <w:fldChar w:fldCharType="begin"/>
      </w:r>
      <w:r w:rsidRPr="008316F3">
        <w:rPr>
          <w:i w:val="0"/>
          <w:noProof/>
          <w:sz w:val="18"/>
        </w:rPr>
        <w:instrText xml:space="preserve"> PAGEREF _Toc530571259 \h </w:instrText>
      </w:r>
      <w:r w:rsidRPr="008316F3">
        <w:rPr>
          <w:i w:val="0"/>
          <w:noProof/>
          <w:sz w:val="18"/>
        </w:rPr>
      </w:r>
      <w:r w:rsidRPr="008316F3">
        <w:rPr>
          <w:i w:val="0"/>
          <w:noProof/>
          <w:sz w:val="18"/>
        </w:rPr>
        <w:fldChar w:fldCharType="separate"/>
      </w:r>
      <w:r w:rsidR="0070178D">
        <w:rPr>
          <w:i w:val="0"/>
          <w:noProof/>
          <w:sz w:val="18"/>
        </w:rPr>
        <w:t>9</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Determination of Non</w:t>
      </w:r>
      <w:r w:rsidR="008316F3">
        <w:rPr>
          <w:noProof/>
        </w:rPr>
        <w:noBreakHyphen/>
      </w:r>
      <w:r w:rsidRPr="008316F3">
        <w:rPr>
          <w:noProof/>
        </w:rPr>
        <w:t xml:space="preserve">warlike Service </w:t>
      </w:r>
      <w:r w:rsidR="008316F3">
        <w:rPr>
          <w:noProof/>
        </w:rPr>
        <w:noBreakHyphen/>
      </w:r>
      <w:r w:rsidRPr="008316F3">
        <w:rPr>
          <w:noProof/>
        </w:rPr>
        <w:t xml:space="preserve"> Operation ASTUTE (Federal Register of Legislation No. F2006L02013)</w:t>
      </w:r>
      <w:r w:rsidRPr="008316F3">
        <w:rPr>
          <w:i w:val="0"/>
          <w:noProof/>
          <w:sz w:val="18"/>
        </w:rPr>
        <w:tab/>
      </w:r>
      <w:r w:rsidRPr="008316F3">
        <w:rPr>
          <w:i w:val="0"/>
          <w:noProof/>
          <w:sz w:val="18"/>
        </w:rPr>
        <w:fldChar w:fldCharType="begin"/>
      </w:r>
      <w:r w:rsidRPr="008316F3">
        <w:rPr>
          <w:i w:val="0"/>
          <w:noProof/>
          <w:sz w:val="18"/>
        </w:rPr>
        <w:instrText xml:space="preserve"> PAGEREF _Toc530571260 \h </w:instrText>
      </w:r>
      <w:r w:rsidRPr="008316F3">
        <w:rPr>
          <w:i w:val="0"/>
          <w:noProof/>
          <w:sz w:val="18"/>
        </w:rPr>
      </w:r>
      <w:r w:rsidRPr="008316F3">
        <w:rPr>
          <w:i w:val="0"/>
          <w:noProof/>
          <w:sz w:val="18"/>
        </w:rPr>
        <w:fldChar w:fldCharType="separate"/>
      </w:r>
      <w:r w:rsidR="0070178D">
        <w:rPr>
          <w:i w:val="0"/>
          <w:noProof/>
          <w:sz w:val="18"/>
        </w:rPr>
        <w:t>9</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Determination of Non</w:t>
      </w:r>
      <w:r w:rsidR="008316F3">
        <w:rPr>
          <w:noProof/>
        </w:rPr>
        <w:noBreakHyphen/>
      </w:r>
      <w:r w:rsidRPr="008316F3">
        <w:rPr>
          <w:noProof/>
        </w:rPr>
        <w:t xml:space="preserve">warlike Service </w:t>
      </w:r>
      <w:r w:rsidR="008316F3">
        <w:rPr>
          <w:noProof/>
        </w:rPr>
        <w:noBreakHyphen/>
      </w:r>
      <w:r w:rsidRPr="008316F3">
        <w:rPr>
          <w:noProof/>
        </w:rPr>
        <w:t xml:space="preserve"> OPERATION AZURE (Federal Register of Legislation No. F2005L04106)</w:t>
      </w:r>
      <w:r w:rsidRPr="008316F3">
        <w:rPr>
          <w:i w:val="0"/>
          <w:noProof/>
          <w:sz w:val="18"/>
        </w:rPr>
        <w:tab/>
      </w:r>
      <w:r w:rsidRPr="008316F3">
        <w:rPr>
          <w:i w:val="0"/>
          <w:noProof/>
          <w:sz w:val="18"/>
        </w:rPr>
        <w:fldChar w:fldCharType="begin"/>
      </w:r>
      <w:r w:rsidRPr="008316F3">
        <w:rPr>
          <w:i w:val="0"/>
          <w:noProof/>
          <w:sz w:val="18"/>
        </w:rPr>
        <w:instrText xml:space="preserve"> PAGEREF _Toc530571261 \h </w:instrText>
      </w:r>
      <w:r w:rsidRPr="008316F3">
        <w:rPr>
          <w:i w:val="0"/>
          <w:noProof/>
          <w:sz w:val="18"/>
        </w:rPr>
      </w:r>
      <w:r w:rsidRPr="008316F3">
        <w:rPr>
          <w:i w:val="0"/>
          <w:noProof/>
          <w:sz w:val="18"/>
        </w:rPr>
        <w:fldChar w:fldCharType="separate"/>
      </w:r>
      <w:r w:rsidR="0070178D">
        <w:rPr>
          <w:i w:val="0"/>
          <w:noProof/>
          <w:sz w:val="18"/>
        </w:rPr>
        <w:t>9</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Determination of Non</w:t>
      </w:r>
      <w:r w:rsidR="008316F3">
        <w:rPr>
          <w:noProof/>
        </w:rPr>
        <w:noBreakHyphen/>
      </w:r>
      <w:r w:rsidRPr="008316F3">
        <w:rPr>
          <w:noProof/>
        </w:rPr>
        <w:t xml:space="preserve">warlike Service </w:t>
      </w:r>
      <w:r w:rsidR="008316F3">
        <w:rPr>
          <w:noProof/>
        </w:rPr>
        <w:noBreakHyphen/>
      </w:r>
      <w:r w:rsidRPr="008316F3">
        <w:rPr>
          <w:noProof/>
        </w:rPr>
        <w:t xml:space="preserve"> OPERATION BANNER (Federal Register of Legislation No. F2006B00718)</w:t>
      </w:r>
      <w:r w:rsidRPr="008316F3">
        <w:rPr>
          <w:i w:val="0"/>
          <w:noProof/>
          <w:sz w:val="18"/>
        </w:rPr>
        <w:tab/>
      </w:r>
      <w:r w:rsidRPr="008316F3">
        <w:rPr>
          <w:i w:val="0"/>
          <w:noProof/>
          <w:sz w:val="18"/>
        </w:rPr>
        <w:fldChar w:fldCharType="begin"/>
      </w:r>
      <w:r w:rsidRPr="008316F3">
        <w:rPr>
          <w:i w:val="0"/>
          <w:noProof/>
          <w:sz w:val="18"/>
        </w:rPr>
        <w:instrText xml:space="preserve"> PAGEREF _Toc530571262 \h </w:instrText>
      </w:r>
      <w:r w:rsidRPr="008316F3">
        <w:rPr>
          <w:i w:val="0"/>
          <w:noProof/>
          <w:sz w:val="18"/>
        </w:rPr>
      </w:r>
      <w:r w:rsidRPr="008316F3">
        <w:rPr>
          <w:i w:val="0"/>
          <w:noProof/>
          <w:sz w:val="18"/>
        </w:rPr>
        <w:fldChar w:fldCharType="separate"/>
      </w:r>
      <w:r w:rsidR="0070178D">
        <w:rPr>
          <w:i w:val="0"/>
          <w:noProof/>
          <w:sz w:val="18"/>
        </w:rPr>
        <w:t>9</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Determination of Non</w:t>
      </w:r>
      <w:r w:rsidR="008316F3">
        <w:rPr>
          <w:noProof/>
        </w:rPr>
        <w:noBreakHyphen/>
      </w:r>
      <w:r w:rsidRPr="008316F3">
        <w:rPr>
          <w:noProof/>
        </w:rPr>
        <w:t xml:space="preserve">warlike Service </w:t>
      </w:r>
      <w:r w:rsidR="008316F3">
        <w:rPr>
          <w:noProof/>
        </w:rPr>
        <w:noBreakHyphen/>
      </w:r>
      <w:r w:rsidRPr="008316F3">
        <w:rPr>
          <w:noProof/>
        </w:rPr>
        <w:t xml:space="preserve"> OPERATION BEL ISI AND OPERATION BEL ISI II (Federal Register of Legislation No. F2006B00576)</w:t>
      </w:r>
      <w:r w:rsidRPr="008316F3">
        <w:rPr>
          <w:i w:val="0"/>
          <w:noProof/>
          <w:sz w:val="18"/>
        </w:rPr>
        <w:tab/>
      </w:r>
      <w:r w:rsidRPr="008316F3">
        <w:rPr>
          <w:i w:val="0"/>
          <w:noProof/>
          <w:sz w:val="18"/>
        </w:rPr>
        <w:fldChar w:fldCharType="begin"/>
      </w:r>
      <w:r w:rsidRPr="008316F3">
        <w:rPr>
          <w:i w:val="0"/>
          <w:noProof/>
          <w:sz w:val="18"/>
        </w:rPr>
        <w:instrText xml:space="preserve"> PAGEREF _Toc530571263 \h </w:instrText>
      </w:r>
      <w:r w:rsidRPr="008316F3">
        <w:rPr>
          <w:i w:val="0"/>
          <w:noProof/>
          <w:sz w:val="18"/>
        </w:rPr>
      </w:r>
      <w:r w:rsidRPr="008316F3">
        <w:rPr>
          <w:i w:val="0"/>
          <w:noProof/>
          <w:sz w:val="18"/>
        </w:rPr>
        <w:fldChar w:fldCharType="separate"/>
      </w:r>
      <w:r w:rsidR="0070178D">
        <w:rPr>
          <w:i w:val="0"/>
          <w:noProof/>
          <w:sz w:val="18"/>
        </w:rPr>
        <w:t>9</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Determination of Non</w:t>
      </w:r>
      <w:r w:rsidR="008316F3">
        <w:rPr>
          <w:noProof/>
        </w:rPr>
        <w:noBreakHyphen/>
      </w:r>
      <w:r w:rsidRPr="008316F3">
        <w:rPr>
          <w:noProof/>
        </w:rPr>
        <w:t xml:space="preserve">warlike Service </w:t>
      </w:r>
      <w:r w:rsidR="008316F3">
        <w:rPr>
          <w:noProof/>
        </w:rPr>
        <w:noBreakHyphen/>
      </w:r>
      <w:r w:rsidRPr="008316F3">
        <w:rPr>
          <w:noProof/>
        </w:rPr>
        <w:t xml:space="preserve"> OPERATION CITADEL (Federal Register of Legislation No. F2006B00571)</w:t>
      </w:r>
      <w:r w:rsidRPr="008316F3">
        <w:rPr>
          <w:i w:val="0"/>
          <w:noProof/>
          <w:sz w:val="18"/>
        </w:rPr>
        <w:tab/>
      </w:r>
      <w:r w:rsidRPr="008316F3">
        <w:rPr>
          <w:i w:val="0"/>
          <w:noProof/>
          <w:sz w:val="18"/>
        </w:rPr>
        <w:fldChar w:fldCharType="begin"/>
      </w:r>
      <w:r w:rsidRPr="008316F3">
        <w:rPr>
          <w:i w:val="0"/>
          <w:noProof/>
          <w:sz w:val="18"/>
        </w:rPr>
        <w:instrText xml:space="preserve"> PAGEREF _Toc530571264 \h </w:instrText>
      </w:r>
      <w:r w:rsidRPr="008316F3">
        <w:rPr>
          <w:i w:val="0"/>
          <w:noProof/>
          <w:sz w:val="18"/>
        </w:rPr>
      </w:r>
      <w:r w:rsidRPr="008316F3">
        <w:rPr>
          <w:i w:val="0"/>
          <w:noProof/>
          <w:sz w:val="18"/>
        </w:rPr>
        <w:fldChar w:fldCharType="separate"/>
      </w:r>
      <w:r w:rsidR="0070178D">
        <w:rPr>
          <w:i w:val="0"/>
          <w:noProof/>
          <w:sz w:val="18"/>
        </w:rPr>
        <w:t>9</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Determination of Non</w:t>
      </w:r>
      <w:r w:rsidR="008316F3">
        <w:rPr>
          <w:noProof/>
        </w:rPr>
        <w:noBreakHyphen/>
      </w:r>
      <w:r w:rsidRPr="008316F3">
        <w:rPr>
          <w:noProof/>
        </w:rPr>
        <w:t xml:space="preserve">warlike Service </w:t>
      </w:r>
      <w:r w:rsidR="008316F3">
        <w:rPr>
          <w:noProof/>
        </w:rPr>
        <w:noBreakHyphen/>
      </w:r>
      <w:r w:rsidRPr="008316F3">
        <w:rPr>
          <w:noProof/>
        </w:rPr>
        <w:t xml:space="preserve"> OPERATION DAMASK (Federal Register of Legislation No. F2006B11477)</w:t>
      </w:r>
      <w:r w:rsidRPr="008316F3">
        <w:rPr>
          <w:i w:val="0"/>
          <w:noProof/>
          <w:sz w:val="18"/>
        </w:rPr>
        <w:tab/>
      </w:r>
      <w:r w:rsidRPr="008316F3">
        <w:rPr>
          <w:i w:val="0"/>
          <w:noProof/>
          <w:sz w:val="18"/>
        </w:rPr>
        <w:fldChar w:fldCharType="begin"/>
      </w:r>
      <w:r w:rsidRPr="008316F3">
        <w:rPr>
          <w:i w:val="0"/>
          <w:noProof/>
          <w:sz w:val="18"/>
        </w:rPr>
        <w:instrText xml:space="preserve"> PAGEREF _Toc530571265 \h </w:instrText>
      </w:r>
      <w:r w:rsidRPr="008316F3">
        <w:rPr>
          <w:i w:val="0"/>
          <w:noProof/>
          <w:sz w:val="18"/>
        </w:rPr>
      </w:r>
      <w:r w:rsidRPr="008316F3">
        <w:rPr>
          <w:i w:val="0"/>
          <w:noProof/>
          <w:sz w:val="18"/>
        </w:rPr>
        <w:fldChar w:fldCharType="separate"/>
      </w:r>
      <w:r w:rsidR="0070178D">
        <w:rPr>
          <w:i w:val="0"/>
          <w:noProof/>
          <w:sz w:val="18"/>
        </w:rPr>
        <w:t>10</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Determination of Non</w:t>
      </w:r>
      <w:r w:rsidR="008316F3">
        <w:rPr>
          <w:noProof/>
        </w:rPr>
        <w:noBreakHyphen/>
      </w:r>
      <w:r w:rsidRPr="008316F3">
        <w:rPr>
          <w:noProof/>
        </w:rPr>
        <w:t>warlike Service (OPERATION FABER) (Federal Register of Legislation No. F2007B00580)</w:t>
      </w:r>
      <w:r w:rsidRPr="008316F3">
        <w:rPr>
          <w:i w:val="0"/>
          <w:noProof/>
          <w:sz w:val="18"/>
        </w:rPr>
        <w:tab/>
      </w:r>
      <w:r w:rsidRPr="008316F3">
        <w:rPr>
          <w:i w:val="0"/>
          <w:noProof/>
          <w:sz w:val="18"/>
        </w:rPr>
        <w:fldChar w:fldCharType="begin"/>
      </w:r>
      <w:r w:rsidRPr="008316F3">
        <w:rPr>
          <w:i w:val="0"/>
          <w:noProof/>
          <w:sz w:val="18"/>
        </w:rPr>
        <w:instrText xml:space="preserve"> PAGEREF _Toc530571266 \h </w:instrText>
      </w:r>
      <w:r w:rsidRPr="008316F3">
        <w:rPr>
          <w:i w:val="0"/>
          <w:noProof/>
          <w:sz w:val="18"/>
        </w:rPr>
      </w:r>
      <w:r w:rsidRPr="008316F3">
        <w:rPr>
          <w:i w:val="0"/>
          <w:noProof/>
          <w:sz w:val="18"/>
        </w:rPr>
        <w:fldChar w:fldCharType="separate"/>
      </w:r>
      <w:r w:rsidR="0070178D">
        <w:rPr>
          <w:i w:val="0"/>
          <w:noProof/>
          <w:sz w:val="18"/>
        </w:rPr>
        <w:t>10</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Determination of Non</w:t>
      </w:r>
      <w:r w:rsidR="008316F3">
        <w:rPr>
          <w:noProof/>
        </w:rPr>
        <w:noBreakHyphen/>
      </w:r>
      <w:r w:rsidRPr="008316F3">
        <w:rPr>
          <w:noProof/>
        </w:rPr>
        <w:t>warlike Service (OPERATION FABER) (Federal Register of Legislation No. F2007B00581)</w:t>
      </w:r>
      <w:r w:rsidRPr="008316F3">
        <w:rPr>
          <w:i w:val="0"/>
          <w:noProof/>
          <w:sz w:val="18"/>
        </w:rPr>
        <w:tab/>
      </w:r>
      <w:r w:rsidRPr="008316F3">
        <w:rPr>
          <w:i w:val="0"/>
          <w:noProof/>
          <w:sz w:val="18"/>
        </w:rPr>
        <w:fldChar w:fldCharType="begin"/>
      </w:r>
      <w:r w:rsidRPr="008316F3">
        <w:rPr>
          <w:i w:val="0"/>
          <w:noProof/>
          <w:sz w:val="18"/>
        </w:rPr>
        <w:instrText xml:space="preserve"> PAGEREF _Toc530571267 \h </w:instrText>
      </w:r>
      <w:r w:rsidRPr="008316F3">
        <w:rPr>
          <w:i w:val="0"/>
          <w:noProof/>
          <w:sz w:val="18"/>
        </w:rPr>
      </w:r>
      <w:r w:rsidRPr="008316F3">
        <w:rPr>
          <w:i w:val="0"/>
          <w:noProof/>
          <w:sz w:val="18"/>
        </w:rPr>
        <w:fldChar w:fldCharType="separate"/>
      </w:r>
      <w:r w:rsidR="0070178D">
        <w:rPr>
          <w:i w:val="0"/>
          <w:noProof/>
          <w:sz w:val="18"/>
        </w:rPr>
        <w:t>10</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Determination of Non</w:t>
      </w:r>
      <w:r w:rsidR="008316F3">
        <w:rPr>
          <w:noProof/>
        </w:rPr>
        <w:noBreakHyphen/>
      </w:r>
      <w:r w:rsidRPr="008316F3">
        <w:rPr>
          <w:noProof/>
        </w:rPr>
        <w:t xml:space="preserve">warlike Service </w:t>
      </w:r>
      <w:r w:rsidR="008316F3">
        <w:rPr>
          <w:noProof/>
        </w:rPr>
        <w:noBreakHyphen/>
      </w:r>
      <w:r w:rsidRPr="008316F3">
        <w:rPr>
          <w:noProof/>
        </w:rPr>
        <w:t xml:space="preserve"> OPERATION HEDGEROW (Federal Register of Legislation No. F2008L04179)</w:t>
      </w:r>
      <w:r w:rsidRPr="008316F3">
        <w:rPr>
          <w:i w:val="0"/>
          <w:noProof/>
          <w:sz w:val="18"/>
        </w:rPr>
        <w:tab/>
      </w:r>
      <w:r w:rsidRPr="008316F3">
        <w:rPr>
          <w:i w:val="0"/>
          <w:noProof/>
          <w:sz w:val="18"/>
        </w:rPr>
        <w:fldChar w:fldCharType="begin"/>
      </w:r>
      <w:r w:rsidRPr="008316F3">
        <w:rPr>
          <w:i w:val="0"/>
          <w:noProof/>
          <w:sz w:val="18"/>
        </w:rPr>
        <w:instrText xml:space="preserve"> PAGEREF _Toc530571268 \h </w:instrText>
      </w:r>
      <w:r w:rsidRPr="008316F3">
        <w:rPr>
          <w:i w:val="0"/>
          <w:noProof/>
          <w:sz w:val="18"/>
        </w:rPr>
      </w:r>
      <w:r w:rsidRPr="008316F3">
        <w:rPr>
          <w:i w:val="0"/>
          <w:noProof/>
          <w:sz w:val="18"/>
        </w:rPr>
        <w:fldChar w:fldCharType="separate"/>
      </w:r>
      <w:r w:rsidR="0070178D">
        <w:rPr>
          <w:i w:val="0"/>
          <w:noProof/>
          <w:sz w:val="18"/>
        </w:rPr>
        <w:t>10</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Determination of non</w:t>
      </w:r>
      <w:r w:rsidR="008316F3">
        <w:rPr>
          <w:noProof/>
        </w:rPr>
        <w:noBreakHyphen/>
      </w:r>
      <w:r w:rsidRPr="008316F3">
        <w:rPr>
          <w:noProof/>
        </w:rPr>
        <w:t>warlike service (OPERATION JOINT GUARDIAN) (Federal Register of Legislation No. F2007B00579)</w:t>
      </w:r>
      <w:r w:rsidRPr="008316F3">
        <w:rPr>
          <w:i w:val="0"/>
          <w:noProof/>
          <w:sz w:val="18"/>
        </w:rPr>
        <w:tab/>
      </w:r>
      <w:r w:rsidRPr="008316F3">
        <w:rPr>
          <w:i w:val="0"/>
          <w:noProof/>
          <w:sz w:val="18"/>
        </w:rPr>
        <w:fldChar w:fldCharType="begin"/>
      </w:r>
      <w:r w:rsidRPr="008316F3">
        <w:rPr>
          <w:i w:val="0"/>
          <w:noProof/>
          <w:sz w:val="18"/>
        </w:rPr>
        <w:instrText xml:space="preserve"> PAGEREF _Toc530571269 \h </w:instrText>
      </w:r>
      <w:r w:rsidRPr="008316F3">
        <w:rPr>
          <w:i w:val="0"/>
          <w:noProof/>
          <w:sz w:val="18"/>
        </w:rPr>
      </w:r>
      <w:r w:rsidRPr="008316F3">
        <w:rPr>
          <w:i w:val="0"/>
          <w:noProof/>
          <w:sz w:val="18"/>
        </w:rPr>
        <w:fldChar w:fldCharType="separate"/>
      </w:r>
      <w:r w:rsidR="0070178D">
        <w:rPr>
          <w:i w:val="0"/>
          <w:noProof/>
          <w:sz w:val="18"/>
        </w:rPr>
        <w:t>10</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Determination of Non</w:t>
      </w:r>
      <w:r w:rsidR="008316F3">
        <w:rPr>
          <w:noProof/>
        </w:rPr>
        <w:noBreakHyphen/>
      </w:r>
      <w:r w:rsidRPr="008316F3">
        <w:rPr>
          <w:noProof/>
        </w:rPr>
        <w:t xml:space="preserve">Warlike Service </w:t>
      </w:r>
      <w:r w:rsidR="008316F3">
        <w:rPr>
          <w:noProof/>
        </w:rPr>
        <w:noBreakHyphen/>
      </w:r>
      <w:r w:rsidRPr="008316F3">
        <w:rPr>
          <w:noProof/>
        </w:rPr>
        <w:t xml:space="preserve"> OPERATION PLUMBOB (Federal Register of Legislation No. F2006B00574)</w:t>
      </w:r>
      <w:r w:rsidRPr="008316F3">
        <w:rPr>
          <w:i w:val="0"/>
          <w:noProof/>
          <w:sz w:val="18"/>
        </w:rPr>
        <w:tab/>
      </w:r>
      <w:r w:rsidRPr="008316F3">
        <w:rPr>
          <w:i w:val="0"/>
          <w:noProof/>
          <w:sz w:val="18"/>
        </w:rPr>
        <w:fldChar w:fldCharType="begin"/>
      </w:r>
      <w:r w:rsidRPr="008316F3">
        <w:rPr>
          <w:i w:val="0"/>
          <w:noProof/>
          <w:sz w:val="18"/>
        </w:rPr>
        <w:instrText xml:space="preserve"> PAGEREF _Toc530571270 \h </w:instrText>
      </w:r>
      <w:r w:rsidRPr="008316F3">
        <w:rPr>
          <w:i w:val="0"/>
          <w:noProof/>
          <w:sz w:val="18"/>
        </w:rPr>
      </w:r>
      <w:r w:rsidRPr="008316F3">
        <w:rPr>
          <w:i w:val="0"/>
          <w:noProof/>
          <w:sz w:val="18"/>
        </w:rPr>
        <w:fldChar w:fldCharType="separate"/>
      </w:r>
      <w:r w:rsidR="0070178D">
        <w:rPr>
          <w:i w:val="0"/>
          <w:noProof/>
          <w:sz w:val="18"/>
        </w:rPr>
        <w:t>10</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lastRenderedPageBreak/>
        <w:t>Determination of Non</w:t>
      </w:r>
      <w:r w:rsidR="008316F3">
        <w:rPr>
          <w:noProof/>
        </w:rPr>
        <w:noBreakHyphen/>
      </w:r>
      <w:r w:rsidRPr="008316F3">
        <w:rPr>
          <w:noProof/>
        </w:rPr>
        <w:t xml:space="preserve">warlike service </w:t>
      </w:r>
      <w:r w:rsidR="008316F3">
        <w:rPr>
          <w:noProof/>
        </w:rPr>
        <w:noBreakHyphen/>
      </w:r>
      <w:r w:rsidRPr="008316F3">
        <w:rPr>
          <w:noProof/>
        </w:rPr>
        <w:t xml:space="preserve"> OPERATION POLLARD (Federal Register of Legislation No. F2006B00950)</w:t>
      </w:r>
      <w:r w:rsidRPr="008316F3">
        <w:rPr>
          <w:i w:val="0"/>
          <w:noProof/>
          <w:sz w:val="18"/>
        </w:rPr>
        <w:tab/>
      </w:r>
      <w:r w:rsidRPr="008316F3">
        <w:rPr>
          <w:i w:val="0"/>
          <w:noProof/>
          <w:sz w:val="18"/>
        </w:rPr>
        <w:fldChar w:fldCharType="begin"/>
      </w:r>
      <w:r w:rsidRPr="008316F3">
        <w:rPr>
          <w:i w:val="0"/>
          <w:noProof/>
          <w:sz w:val="18"/>
        </w:rPr>
        <w:instrText xml:space="preserve"> PAGEREF _Toc530571271 \h </w:instrText>
      </w:r>
      <w:r w:rsidRPr="008316F3">
        <w:rPr>
          <w:i w:val="0"/>
          <w:noProof/>
          <w:sz w:val="18"/>
        </w:rPr>
      </w:r>
      <w:r w:rsidRPr="008316F3">
        <w:rPr>
          <w:i w:val="0"/>
          <w:noProof/>
          <w:sz w:val="18"/>
        </w:rPr>
        <w:fldChar w:fldCharType="separate"/>
      </w:r>
      <w:r w:rsidR="0070178D">
        <w:rPr>
          <w:i w:val="0"/>
          <w:noProof/>
          <w:sz w:val="18"/>
        </w:rPr>
        <w:t>10</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Determination of Non</w:t>
      </w:r>
      <w:r w:rsidR="008316F3">
        <w:rPr>
          <w:noProof/>
        </w:rPr>
        <w:noBreakHyphen/>
      </w:r>
      <w:r w:rsidRPr="008316F3">
        <w:rPr>
          <w:noProof/>
        </w:rPr>
        <w:t xml:space="preserve">Warlike Service </w:t>
      </w:r>
      <w:r w:rsidR="008316F3">
        <w:rPr>
          <w:noProof/>
        </w:rPr>
        <w:noBreakHyphen/>
      </w:r>
      <w:r w:rsidRPr="008316F3">
        <w:rPr>
          <w:noProof/>
        </w:rPr>
        <w:t xml:space="preserve"> OPERATION POMELO (Federal Register of Legislation No. F2006B00932)</w:t>
      </w:r>
      <w:r w:rsidRPr="008316F3">
        <w:rPr>
          <w:i w:val="0"/>
          <w:noProof/>
          <w:sz w:val="18"/>
        </w:rPr>
        <w:tab/>
      </w:r>
      <w:r w:rsidRPr="008316F3">
        <w:rPr>
          <w:i w:val="0"/>
          <w:noProof/>
          <w:sz w:val="18"/>
        </w:rPr>
        <w:fldChar w:fldCharType="begin"/>
      </w:r>
      <w:r w:rsidRPr="008316F3">
        <w:rPr>
          <w:i w:val="0"/>
          <w:noProof/>
          <w:sz w:val="18"/>
        </w:rPr>
        <w:instrText xml:space="preserve"> PAGEREF _Toc530571272 \h </w:instrText>
      </w:r>
      <w:r w:rsidRPr="008316F3">
        <w:rPr>
          <w:i w:val="0"/>
          <w:noProof/>
          <w:sz w:val="18"/>
        </w:rPr>
      </w:r>
      <w:r w:rsidRPr="008316F3">
        <w:rPr>
          <w:i w:val="0"/>
          <w:noProof/>
          <w:sz w:val="18"/>
        </w:rPr>
        <w:fldChar w:fldCharType="separate"/>
      </w:r>
      <w:r w:rsidR="0070178D">
        <w:rPr>
          <w:i w:val="0"/>
          <w:noProof/>
          <w:sz w:val="18"/>
        </w:rPr>
        <w:t>10</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Determination of Non</w:t>
      </w:r>
      <w:r w:rsidR="008316F3">
        <w:rPr>
          <w:noProof/>
        </w:rPr>
        <w:noBreakHyphen/>
      </w:r>
      <w:r w:rsidRPr="008316F3">
        <w:rPr>
          <w:noProof/>
        </w:rPr>
        <w:t xml:space="preserve">warlike Service </w:t>
      </w:r>
      <w:r w:rsidR="008316F3">
        <w:rPr>
          <w:noProof/>
        </w:rPr>
        <w:noBreakHyphen/>
      </w:r>
      <w:r w:rsidRPr="008316F3">
        <w:rPr>
          <w:noProof/>
        </w:rPr>
        <w:t xml:space="preserve"> OPERATION QUICKSTEP (Federal Register of Legislation No. F2007L04870)</w:t>
      </w:r>
      <w:r w:rsidRPr="008316F3">
        <w:rPr>
          <w:i w:val="0"/>
          <w:noProof/>
          <w:sz w:val="18"/>
        </w:rPr>
        <w:tab/>
      </w:r>
      <w:r w:rsidRPr="008316F3">
        <w:rPr>
          <w:i w:val="0"/>
          <w:noProof/>
          <w:sz w:val="18"/>
        </w:rPr>
        <w:fldChar w:fldCharType="begin"/>
      </w:r>
      <w:r w:rsidRPr="008316F3">
        <w:rPr>
          <w:i w:val="0"/>
          <w:noProof/>
          <w:sz w:val="18"/>
        </w:rPr>
        <w:instrText xml:space="preserve"> PAGEREF _Toc530571273 \h </w:instrText>
      </w:r>
      <w:r w:rsidRPr="008316F3">
        <w:rPr>
          <w:i w:val="0"/>
          <w:noProof/>
          <w:sz w:val="18"/>
        </w:rPr>
      </w:r>
      <w:r w:rsidRPr="008316F3">
        <w:rPr>
          <w:i w:val="0"/>
          <w:noProof/>
          <w:sz w:val="18"/>
        </w:rPr>
        <w:fldChar w:fldCharType="separate"/>
      </w:r>
      <w:r w:rsidR="0070178D">
        <w:rPr>
          <w:i w:val="0"/>
          <w:noProof/>
          <w:sz w:val="18"/>
        </w:rPr>
        <w:t>10</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Determination of Non</w:t>
      </w:r>
      <w:r w:rsidR="008316F3">
        <w:rPr>
          <w:noProof/>
        </w:rPr>
        <w:noBreakHyphen/>
      </w:r>
      <w:r w:rsidRPr="008316F3">
        <w:rPr>
          <w:noProof/>
        </w:rPr>
        <w:t xml:space="preserve">warlike Service </w:t>
      </w:r>
      <w:r w:rsidR="008316F3">
        <w:rPr>
          <w:noProof/>
        </w:rPr>
        <w:noBreakHyphen/>
      </w:r>
      <w:r w:rsidRPr="008316F3">
        <w:rPr>
          <w:noProof/>
        </w:rPr>
        <w:t xml:space="preserve"> Operation RAMP (Federal Register of Legislation No. F2006L03709)</w:t>
      </w:r>
      <w:r w:rsidRPr="008316F3">
        <w:rPr>
          <w:i w:val="0"/>
          <w:noProof/>
          <w:sz w:val="18"/>
        </w:rPr>
        <w:tab/>
      </w:r>
      <w:r w:rsidRPr="008316F3">
        <w:rPr>
          <w:i w:val="0"/>
          <w:noProof/>
          <w:sz w:val="18"/>
        </w:rPr>
        <w:fldChar w:fldCharType="begin"/>
      </w:r>
      <w:r w:rsidRPr="008316F3">
        <w:rPr>
          <w:i w:val="0"/>
          <w:noProof/>
          <w:sz w:val="18"/>
        </w:rPr>
        <w:instrText xml:space="preserve"> PAGEREF _Toc530571274 \h </w:instrText>
      </w:r>
      <w:r w:rsidRPr="008316F3">
        <w:rPr>
          <w:i w:val="0"/>
          <w:noProof/>
          <w:sz w:val="18"/>
        </w:rPr>
      </w:r>
      <w:r w:rsidRPr="008316F3">
        <w:rPr>
          <w:i w:val="0"/>
          <w:noProof/>
          <w:sz w:val="18"/>
        </w:rPr>
        <w:fldChar w:fldCharType="separate"/>
      </w:r>
      <w:r w:rsidR="0070178D">
        <w:rPr>
          <w:i w:val="0"/>
          <w:noProof/>
          <w:sz w:val="18"/>
        </w:rPr>
        <w:t>10</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Determination of Non</w:t>
      </w:r>
      <w:r w:rsidR="008316F3">
        <w:rPr>
          <w:noProof/>
        </w:rPr>
        <w:noBreakHyphen/>
      </w:r>
      <w:r w:rsidRPr="008316F3">
        <w:rPr>
          <w:noProof/>
        </w:rPr>
        <w:t xml:space="preserve">warlike Service </w:t>
      </w:r>
      <w:r w:rsidR="008316F3">
        <w:rPr>
          <w:noProof/>
        </w:rPr>
        <w:noBreakHyphen/>
      </w:r>
      <w:r w:rsidRPr="008316F3">
        <w:rPr>
          <w:noProof/>
        </w:rPr>
        <w:t xml:space="preserve"> OPERATION SPIRE (Federal Register of Legislation No. F2005L04103)</w:t>
      </w:r>
      <w:r w:rsidRPr="008316F3">
        <w:rPr>
          <w:i w:val="0"/>
          <w:noProof/>
          <w:sz w:val="18"/>
        </w:rPr>
        <w:tab/>
      </w:r>
      <w:r w:rsidRPr="008316F3">
        <w:rPr>
          <w:i w:val="0"/>
          <w:noProof/>
          <w:sz w:val="18"/>
        </w:rPr>
        <w:fldChar w:fldCharType="begin"/>
      </w:r>
      <w:r w:rsidRPr="008316F3">
        <w:rPr>
          <w:i w:val="0"/>
          <w:noProof/>
          <w:sz w:val="18"/>
        </w:rPr>
        <w:instrText xml:space="preserve"> PAGEREF _Toc530571275 \h </w:instrText>
      </w:r>
      <w:r w:rsidRPr="008316F3">
        <w:rPr>
          <w:i w:val="0"/>
          <w:noProof/>
          <w:sz w:val="18"/>
        </w:rPr>
      </w:r>
      <w:r w:rsidRPr="008316F3">
        <w:rPr>
          <w:i w:val="0"/>
          <w:noProof/>
          <w:sz w:val="18"/>
        </w:rPr>
        <w:fldChar w:fldCharType="separate"/>
      </w:r>
      <w:r w:rsidR="0070178D">
        <w:rPr>
          <w:i w:val="0"/>
          <w:noProof/>
          <w:sz w:val="18"/>
        </w:rPr>
        <w:t>10</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Determination of Non</w:t>
      </w:r>
      <w:r w:rsidR="008316F3">
        <w:rPr>
          <w:noProof/>
        </w:rPr>
        <w:noBreakHyphen/>
      </w:r>
      <w:r w:rsidRPr="008316F3">
        <w:rPr>
          <w:noProof/>
        </w:rPr>
        <w:t>warlike Service (OPERATION SPITFIRE) (Federal Register of Legislation No. F2006B00499)</w:t>
      </w:r>
      <w:r w:rsidRPr="008316F3">
        <w:rPr>
          <w:i w:val="0"/>
          <w:noProof/>
          <w:sz w:val="18"/>
        </w:rPr>
        <w:tab/>
      </w:r>
      <w:r w:rsidRPr="008316F3">
        <w:rPr>
          <w:i w:val="0"/>
          <w:noProof/>
          <w:sz w:val="18"/>
        </w:rPr>
        <w:fldChar w:fldCharType="begin"/>
      </w:r>
      <w:r w:rsidRPr="008316F3">
        <w:rPr>
          <w:i w:val="0"/>
          <w:noProof/>
          <w:sz w:val="18"/>
        </w:rPr>
        <w:instrText xml:space="preserve"> PAGEREF _Toc530571276 \h </w:instrText>
      </w:r>
      <w:r w:rsidRPr="008316F3">
        <w:rPr>
          <w:i w:val="0"/>
          <w:noProof/>
          <w:sz w:val="18"/>
        </w:rPr>
      </w:r>
      <w:r w:rsidRPr="008316F3">
        <w:rPr>
          <w:i w:val="0"/>
          <w:noProof/>
          <w:sz w:val="18"/>
        </w:rPr>
        <w:fldChar w:fldCharType="separate"/>
      </w:r>
      <w:r w:rsidR="0070178D">
        <w:rPr>
          <w:i w:val="0"/>
          <w:noProof/>
          <w:sz w:val="18"/>
        </w:rPr>
        <w:t>10</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Determination of Non</w:t>
      </w:r>
      <w:r w:rsidR="008316F3">
        <w:rPr>
          <w:noProof/>
        </w:rPr>
        <w:noBreakHyphen/>
      </w:r>
      <w:r w:rsidRPr="008316F3">
        <w:rPr>
          <w:noProof/>
        </w:rPr>
        <w:t xml:space="preserve">Warlike Service </w:t>
      </w:r>
      <w:r w:rsidR="008316F3">
        <w:rPr>
          <w:noProof/>
        </w:rPr>
        <w:noBreakHyphen/>
      </w:r>
      <w:r w:rsidRPr="008316F3">
        <w:rPr>
          <w:noProof/>
        </w:rPr>
        <w:t xml:space="preserve"> OPERATION TREK (Federal Register of Legislation No. F2006B00951)</w:t>
      </w:r>
      <w:r w:rsidRPr="008316F3">
        <w:rPr>
          <w:i w:val="0"/>
          <w:noProof/>
          <w:sz w:val="18"/>
        </w:rPr>
        <w:tab/>
      </w:r>
      <w:r w:rsidRPr="008316F3">
        <w:rPr>
          <w:i w:val="0"/>
          <w:noProof/>
          <w:sz w:val="18"/>
        </w:rPr>
        <w:fldChar w:fldCharType="begin"/>
      </w:r>
      <w:r w:rsidRPr="008316F3">
        <w:rPr>
          <w:i w:val="0"/>
          <w:noProof/>
          <w:sz w:val="18"/>
        </w:rPr>
        <w:instrText xml:space="preserve"> PAGEREF _Toc530571277 \h </w:instrText>
      </w:r>
      <w:r w:rsidRPr="008316F3">
        <w:rPr>
          <w:i w:val="0"/>
          <w:noProof/>
          <w:sz w:val="18"/>
        </w:rPr>
      </w:r>
      <w:r w:rsidRPr="008316F3">
        <w:rPr>
          <w:i w:val="0"/>
          <w:noProof/>
          <w:sz w:val="18"/>
        </w:rPr>
        <w:fldChar w:fldCharType="separate"/>
      </w:r>
      <w:r w:rsidR="0070178D">
        <w:rPr>
          <w:i w:val="0"/>
          <w:noProof/>
          <w:sz w:val="18"/>
        </w:rPr>
        <w:t>10</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Veterans’ Entitlements (Non</w:t>
      </w:r>
      <w:r w:rsidR="008316F3">
        <w:rPr>
          <w:noProof/>
        </w:rPr>
        <w:noBreakHyphen/>
      </w:r>
      <w:r w:rsidRPr="008316F3">
        <w:rPr>
          <w:noProof/>
        </w:rPr>
        <w:t xml:space="preserve">warlike Service </w:t>
      </w:r>
      <w:r w:rsidR="008316F3">
        <w:rPr>
          <w:noProof/>
        </w:rPr>
        <w:noBreakHyphen/>
      </w:r>
      <w:r w:rsidRPr="008316F3">
        <w:rPr>
          <w:noProof/>
        </w:rPr>
        <w:t xml:space="preserve"> NATO no</w:t>
      </w:r>
      <w:r w:rsidR="008316F3">
        <w:rPr>
          <w:noProof/>
        </w:rPr>
        <w:noBreakHyphen/>
      </w:r>
      <w:r w:rsidRPr="008316F3">
        <w:rPr>
          <w:noProof/>
        </w:rPr>
        <w:t>fly</w:t>
      </w:r>
      <w:r w:rsidR="008316F3">
        <w:rPr>
          <w:noProof/>
        </w:rPr>
        <w:noBreakHyphen/>
      </w:r>
      <w:r w:rsidRPr="008316F3">
        <w:rPr>
          <w:noProof/>
        </w:rPr>
        <w:t>zone and maritime enforcement operation against Libya) Determination</w:t>
      </w:r>
      <w:r w:rsidR="008316F3" w:rsidRPr="008316F3">
        <w:rPr>
          <w:noProof/>
        </w:rPr>
        <w:t> </w:t>
      </w:r>
      <w:r w:rsidRPr="008316F3">
        <w:rPr>
          <w:noProof/>
        </w:rPr>
        <w:t>2012</w:t>
      </w:r>
      <w:r w:rsidRPr="008316F3">
        <w:rPr>
          <w:i w:val="0"/>
          <w:noProof/>
          <w:sz w:val="18"/>
        </w:rPr>
        <w:tab/>
      </w:r>
      <w:r w:rsidRPr="008316F3">
        <w:rPr>
          <w:i w:val="0"/>
          <w:noProof/>
          <w:sz w:val="18"/>
        </w:rPr>
        <w:fldChar w:fldCharType="begin"/>
      </w:r>
      <w:r w:rsidRPr="008316F3">
        <w:rPr>
          <w:i w:val="0"/>
          <w:noProof/>
          <w:sz w:val="18"/>
        </w:rPr>
        <w:instrText xml:space="preserve"> PAGEREF _Toc530571278 \h </w:instrText>
      </w:r>
      <w:r w:rsidRPr="008316F3">
        <w:rPr>
          <w:i w:val="0"/>
          <w:noProof/>
          <w:sz w:val="18"/>
        </w:rPr>
      </w:r>
      <w:r w:rsidRPr="008316F3">
        <w:rPr>
          <w:i w:val="0"/>
          <w:noProof/>
          <w:sz w:val="18"/>
        </w:rPr>
        <w:fldChar w:fldCharType="separate"/>
      </w:r>
      <w:r w:rsidR="0070178D">
        <w:rPr>
          <w:i w:val="0"/>
          <w:noProof/>
          <w:sz w:val="18"/>
        </w:rPr>
        <w:t>10</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Veterans’ Entitlements (Non</w:t>
      </w:r>
      <w:r w:rsidR="008316F3">
        <w:rPr>
          <w:noProof/>
        </w:rPr>
        <w:noBreakHyphen/>
      </w:r>
      <w:r w:rsidRPr="008316F3">
        <w:rPr>
          <w:noProof/>
        </w:rPr>
        <w:t>warlike Service—Operation Accordion) Determination</w:t>
      </w:r>
      <w:r w:rsidR="008316F3" w:rsidRPr="008316F3">
        <w:rPr>
          <w:noProof/>
        </w:rPr>
        <w:t> </w:t>
      </w:r>
      <w:r w:rsidRPr="008316F3">
        <w:rPr>
          <w:noProof/>
        </w:rPr>
        <w:t>2014</w:t>
      </w:r>
      <w:r w:rsidRPr="008316F3">
        <w:rPr>
          <w:i w:val="0"/>
          <w:noProof/>
          <w:sz w:val="18"/>
        </w:rPr>
        <w:tab/>
      </w:r>
      <w:r w:rsidRPr="008316F3">
        <w:rPr>
          <w:i w:val="0"/>
          <w:noProof/>
          <w:sz w:val="18"/>
        </w:rPr>
        <w:fldChar w:fldCharType="begin"/>
      </w:r>
      <w:r w:rsidRPr="008316F3">
        <w:rPr>
          <w:i w:val="0"/>
          <w:noProof/>
          <w:sz w:val="18"/>
        </w:rPr>
        <w:instrText xml:space="preserve"> PAGEREF _Toc530571279 \h </w:instrText>
      </w:r>
      <w:r w:rsidRPr="008316F3">
        <w:rPr>
          <w:i w:val="0"/>
          <w:noProof/>
          <w:sz w:val="18"/>
        </w:rPr>
      </w:r>
      <w:r w:rsidRPr="008316F3">
        <w:rPr>
          <w:i w:val="0"/>
          <w:noProof/>
          <w:sz w:val="18"/>
        </w:rPr>
        <w:fldChar w:fldCharType="separate"/>
      </w:r>
      <w:r w:rsidR="0070178D">
        <w:rPr>
          <w:i w:val="0"/>
          <w:noProof/>
          <w:sz w:val="18"/>
        </w:rPr>
        <w:t>11</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Veterans’ Entitlements (Non</w:t>
      </w:r>
      <w:r w:rsidR="008316F3">
        <w:rPr>
          <w:noProof/>
        </w:rPr>
        <w:noBreakHyphen/>
      </w:r>
      <w:r w:rsidRPr="008316F3">
        <w:rPr>
          <w:noProof/>
        </w:rPr>
        <w:t xml:space="preserve">warlike Service </w:t>
      </w:r>
      <w:r w:rsidR="008316F3">
        <w:rPr>
          <w:noProof/>
        </w:rPr>
        <w:noBreakHyphen/>
      </w:r>
      <w:r w:rsidRPr="008316F3">
        <w:rPr>
          <w:noProof/>
        </w:rPr>
        <w:t xml:space="preserve"> Operation Aslan) Determination</w:t>
      </w:r>
      <w:r w:rsidR="008316F3" w:rsidRPr="008316F3">
        <w:rPr>
          <w:noProof/>
        </w:rPr>
        <w:t> </w:t>
      </w:r>
      <w:r w:rsidRPr="008316F3">
        <w:rPr>
          <w:noProof/>
        </w:rPr>
        <w:t>2012</w:t>
      </w:r>
      <w:r w:rsidRPr="008316F3">
        <w:rPr>
          <w:i w:val="0"/>
          <w:noProof/>
          <w:sz w:val="18"/>
        </w:rPr>
        <w:tab/>
      </w:r>
      <w:r w:rsidRPr="008316F3">
        <w:rPr>
          <w:i w:val="0"/>
          <w:noProof/>
          <w:sz w:val="18"/>
        </w:rPr>
        <w:fldChar w:fldCharType="begin"/>
      </w:r>
      <w:r w:rsidRPr="008316F3">
        <w:rPr>
          <w:i w:val="0"/>
          <w:noProof/>
          <w:sz w:val="18"/>
        </w:rPr>
        <w:instrText xml:space="preserve"> PAGEREF _Toc530571280 \h </w:instrText>
      </w:r>
      <w:r w:rsidRPr="008316F3">
        <w:rPr>
          <w:i w:val="0"/>
          <w:noProof/>
          <w:sz w:val="18"/>
        </w:rPr>
      </w:r>
      <w:r w:rsidRPr="008316F3">
        <w:rPr>
          <w:i w:val="0"/>
          <w:noProof/>
          <w:sz w:val="18"/>
        </w:rPr>
        <w:fldChar w:fldCharType="separate"/>
      </w:r>
      <w:r w:rsidR="0070178D">
        <w:rPr>
          <w:i w:val="0"/>
          <w:noProof/>
          <w:sz w:val="18"/>
        </w:rPr>
        <w:t>11</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Veterans’ Entitlements (Non</w:t>
      </w:r>
      <w:r w:rsidR="008316F3">
        <w:rPr>
          <w:noProof/>
        </w:rPr>
        <w:noBreakHyphen/>
      </w:r>
      <w:r w:rsidRPr="008316F3">
        <w:rPr>
          <w:noProof/>
        </w:rPr>
        <w:t>warlike Service—Operation Augury) Determination</w:t>
      </w:r>
      <w:r w:rsidR="008316F3" w:rsidRPr="008316F3">
        <w:rPr>
          <w:noProof/>
        </w:rPr>
        <w:t> </w:t>
      </w:r>
      <w:r w:rsidRPr="008316F3">
        <w:rPr>
          <w:noProof/>
        </w:rPr>
        <w:t>2017</w:t>
      </w:r>
      <w:r w:rsidRPr="008316F3">
        <w:rPr>
          <w:i w:val="0"/>
          <w:noProof/>
          <w:sz w:val="18"/>
        </w:rPr>
        <w:tab/>
      </w:r>
      <w:r w:rsidRPr="008316F3">
        <w:rPr>
          <w:i w:val="0"/>
          <w:noProof/>
          <w:sz w:val="18"/>
        </w:rPr>
        <w:fldChar w:fldCharType="begin"/>
      </w:r>
      <w:r w:rsidRPr="008316F3">
        <w:rPr>
          <w:i w:val="0"/>
          <w:noProof/>
          <w:sz w:val="18"/>
        </w:rPr>
        <w:instrText xml:space="preserve"> PAGEREF _Toc530571281 \h </w:instrText>
      </w:r>
      <w:r w:rsidRPr="008316F3">
        <w:rPr>
          <w:i w:val="0"/>
          <w:noProof/>
          <w:sz w:val="18"/>
        </w:rPr>
      </w:r>
      <w:r w:rsidRPr="008316F3">
        <w:rPr>
          <w:i w:val="0"/>
          <w:noProof/>
          <w:sz w:val="18"/>
        </w:rPr>
        <w:fldChar w:fldCharType="separate"/>
      </w:r>
      <w:r w:rsidR="0070178D">
        <w:rPr>
          <w:i w:val="0"/>
          <w:noProof/>
          <w:sz w:val="18"/>
        </w:rPr>
        <w:t>11</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Veterans’ Entitlements (Non</w:t>
      </w:r>
      <w:r w:rsidR="008316F3">
        <w:rPr>
          <w:noProof/>
        </w:rPr>
        <w:noBreakHyphen/>
      </w:r>
      <w:r w:rsidRPr="008316F3">
        <w:rPr>
          <w:noProof/>
        </w:rPr>
        <w:t>warlike Service—Operation Hawick) Determination</w:t>
      </w:r>
      <w:r w:rsidR="008316F3" w:rsidRPr="008316F3">
        <w:rPr>
          <w:noProof/>
        </w:rPr>
        <w:t> </w:t>
      </w:r>
      <w:r w:rsidRPr="008316F3">
        <w:rPr>
          <w:noProof/>
        </w:rPr>
        <w:t>2014</w:t>
      </w:r>
      <w:r w:rsidRPr="008316F3">
        <w:rPr>
          <w:i w:val="0"/>
          <w:noProof/>
          <w:sz w:val="18"/>
        </w:rPr>
        <w:tab/>
      </w:r>
      <w:r w:rsidRPr="008316F3">
        <w:rPr>
          <w:i w:val="0"/>
          <w:noProof/>
          <w:sz w:val="18"/>
        </w:rPr>
        <w:fldChar w:fldCharType="begin"/>
      </w:r>
      <w:r w:rsidRPr="008316F3">
        <w:rPr>
          <w:i w:val="0"/>
          <w:noProof/>
          <w:sz w:val="18"/>
        </w:rPr>
        <w:instrText xml:space="preserve"> PAGEREF _Toc530571282 \h </w:instrText>
      </w:r>
      <w:r w:rsidRPr="008316F3">
        <w:rPr>
          <w:i w:val="0"/>
          <w:noProof/>
          <w:sz w:val="18"/>
        </w:rPr>
      </w:r>
      <w:r w:rsidRPr="008316F3">
        <w:rPr>
          <w:i w:val="0"/>
          <w:noProof/>
          <w:sz w:val="18"/>
        </w:rPr>
        <w:fldChar w:fldCharType="separate"/>
      </w:r>
      <w:r w:rsidR="0070178D">
        <w:rPr>
          <w:i w:val="0"/>
          <w:noProof/>
          <w:sz w:val="18"/>
        </w:rPr>
        <w:t>11</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Veterans’ Entitlements (Non</w:t>
      </w:r>
      <w:r w:rsidR="008316F3">
        <w:rPr>
          <w:noProof/>
        </w:rPr>
        <w:noBreakHyphen/>
      </w:r>
      <w:r w:rsidRPr="008316F3">
        <w:rPr>
          <w:noProof/>
        </w:rPr>
        <w:t>warlike Service—Operation Litten) Determination</w:t>
      </w:r>
      <w:r w:rsidR="008316F3" w:rsidRPr="008316F3">
        <w:rPr>
          <w:noProof/>
        </w:rPr>
        <w:t> </w:t>
      </w:r>
      <w:r w:rsidRPr="008316F3">
        <w:rPr>
          <w:noProof/>
        </w:rPr>
        <w:t>2017</w:t>
      </w:r>
      <w:r w:rsidRPr="008316F3">
        <w:rPr>
          <w:i w:val="0"/>
          <w:noProof/>
          <w:sz w:val="18"/>
        </w:rPr>
        <w:tab/>
      </w:r>
      <w:r w:rsidRPr="008316F3">
        <w:rPr>
          <w:i w:val="0"/>
          <w:noProof/>
          <w:sz w:val="18"/>
        </w:rPr>
        <w:fldChar w:fldCharType="begin"/>
      </w:r>
      <w:r w:rsidRPr="008316F3">
        <w:rPr>
          <w:i w:val="0"/>
          <w:noProof/>
          <w:sz w:val="18"/>
        </w:rPr>
        <w:instrText xml:space="preserve"> PAGEREF _Toc530571283 \h </w:instrText>
      </w:r>
      <w:r w:rsidRPr="008316F3">
        <w:rPr>
          <w:i w:val="0"/>
          <w:noProof/>
          <w:sz w:val="18"/>
        </w:rPr>
      </w:r>
      <w:r w:rsidRPr="008316F3">
        <w:rPr>
          <w:i w:val="0"/>
          <w:noProof/>
          <w:sz w:val="18"/>
        </w:rPr>
        <w:fldChar w:fldCharType="separate"/>
      </w:r>
      <w:r w:rsidR="0070178D">
        <w:rPr>
          <w:i w:val="0"/>
          <w:noProof/>
          <w:sz w:val="18"/>
        </w:rPr>
        <w:t>11</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Veterans’ Entitlements (Non</w:t>
      </w:r>
      <w:r w:rsidR="008316F3">
        <w:rPr>
          <w:noProof/>
        </w:rPr>
        <w:noBreakHyphen/>
      </w:r>
      <w:r w:rsidRPr="008316F3">
        <w:rPr>
          <w:noProof/>
        </w:rPr>
        <w:t>warlike Service—Operation Manitou) Determination</w:t>
      </w:r>
      <w:r w:rsidR="008316F3" w:rsidRPr="008316F3">
        <w:rPr>
          <w:noProof/>
        </w:rPr>
        <w:t> </w:t>
      </w:r>
      <w:r w:rsidRPr="008316F3">
        <w:rPr>
          <w:noProof/>
        </w:rPr>
        <w:t>2017</w:t>
      </w:r>
      <w:r w:rsidRPr="008316F3">
        <w:rPr>
          <w:i w:val="0"/>
          <w:noProof/>
          <w:sz w:val="18"/>
        </w:rPr>
        <w:tab/>
      </w:r>
      <w:r w:rsidRPr="008316F3">
        <w:rPr>
          <w:i w:val="0"/>
          <w:noProof/>
          <w:sz w:val="18"/>
        </w:rPr>
        <w:fldChar w:fldCharType="begin"/>
      </w:r>
      <w:r w:rsidRPr="008316F3">
        <w:rPr>
          <w:i w:val="0"/>
          <w:noProof/>
          <w:sz w:val="18"/>
        </w:rPr>
        <w:instrText xml:space="preserve"> PAGEREF _Toc530571284 \h </w:instrText>
      </w:r>
      <w:r w:rsidRPr="008316F3">
        <w:rPr>
          <w:i w:val="0"/>
          <w:noProof/>
          <w:sz w:val="18"/>
        </w:rPr>
      </w:r>
      <w:r w:rsidRPr="008316F3">
        <w:rPr>
          <w:i w:val="0"/>
          <w:noProof/>
          <w:sz w:val="18"/>
        </w:rPr>
        <w:fldChar w:fldCharType="separate"/>
      </w:r>
      <w:r w:rsidR="0070178D">
        <w:rPr>
          <w:i w:val="0"/>
          <w:noProof/>
          <w:sz w:val="18"/>
        </w:rPr>
        <w:t>11</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Veterans’ Entitlements (Non</w:t>
      </w:r>
      <w:r w:rsidR="008316F3">
        <w:rPr>
          <w:noProof/>
        </w:rPr>
        <w:noBreakHyphen/>
      </w:r>
      <w:r w:rsidRPr="008316F3">
        <w:rPr>
          <w:noProof/>
        </w:rPr>
        <w:t>warlike Service—Operation Okra) Determination</w:t>
      </w:r>
      <w:r w:rsidR="008316F3" w:rsidRPr="008316F3">
        <w:rPr>
          <w:noProof/>
        </w:rPr>
        <w:t> </w:t>
      </w:r>
      <w:r w:rsidRPr="008316F3">
        <w:rPr>
          <w:noProof/>
        </w:rPr>
        <w:t>2016</w:t>
      </w:r>
      <w:r w:rsidRPr="008316F3">
        <w:rPr>
          <w:i w:val="0"/>
          <w:noProof/>
          <w:sz w:val="18"/>
        </w:rPr>
        <w:tab/>
      </w:r>
      <w:r w:rsidRPr="008316F3">
        <w:rPr>
          <w:i w:val="0"/>
          <w:noProof/>
          <w:sz w:val="18"/>
        </w:rPr>
        <w:fldChar w:fldCharType="begin"/>
      </w:r>
      <w:r w:rsidRPr="008316F3">
        <w:rPr>
          <w:i w:val="0"/>
          <w:noProof/>
          <w:sz w:val="18"/>
        </w:rPr>
        <w:instrText xml:space="preserve"> PAGEREF _Toc530571285 \h </w:instrText>
      </w:r>
      <w:r w:rsidRPr="008316F3">
        <w:rPr>
          <w:i w:val="0"/>
          <w:noProof/>
          <w:sz w:val="18"/>
        </w:rPr>
      </w:r>
      <w:r w:rsidRPr="008316F3">
        <w:rPr>
          <w:i w:val="0"/>
          <w:noProof/>
          <w:sz w:val="18"/>
        </w:rPr>
        <w:fldChar w:fldCharType="separate"/>
      </w:r>
      <w:r w:rsidR="0070178D">
        <w:rPr>
          <w:i w:val="0"/>
          <w:noProof/>
          <w:sz w:val="18"/>
        </w:rPr>
        <w:t>11</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Veterans’ Entitlements (Non</w:t>
      </w:r>
      <w:r w:rsidR="008316F3">
        <w:rPr>
          <w:noProof/>
        </w:rPr>
        <w:noBreakHyphen/>
      </w:r>
      <w:r w:rsidRPr="008316F3">
        <w:rPr>
          <w:noProof/>
        </w:rPr>
        <w:t>warlike Service — Operation Paladin) Determination</w:t>
      </w:r>
      <w:r w:rsidR="008316F3" w:rsidRPr="008316F3">
        <w:rPr>
          <w:noProof/>
        </w:rPr>
        <w:t> </w:t>
      </w:r>
      <w:r w:rsidRPr="008316F3">
        <w:rPr>
          <w:noProof/>
        </w:rPr>
        <w:t>2011</w:t>
      </w:r>
      <w:r w:rsidRPr="008316F3">
        <w:rPr>
          <w:i w:val="0"/>
          <w:noProof/>
          <w:sz w:val="18"/>
        </w:rPr>
        <w:tab/>
      </w:r>
      <w:r w:rsidRPr="008316F3">
        <w:rPr>
          <w:i w:val="0"/>
          <w:noProof/>
          <w:sz w:val="18"/>
        </w:rPr>
        <w:fldChar w:fldCharType="begin"/>
      </w:r>
      <w:r w:rsidRPr="008316F3">
        <w:rPr>
          <w:i w:val="0"/>
          <w:noProof/>
          <w:sz w:val="18"/>
        </w:rPr>
        <w:instrText xml:space="preserve"> PAGEREF _Toc530571286 \h </w:instrText>
      </w:r>
      <w:r w:rsidRPr="008316F3">
        <w:rPr>
          <w:i w:val="0"/>
          <w:noProof/>
          <w:sz w:val="18"/>
        </w:rPr>
      </w:r>
      <w:r w:rsidRPr="008316F3">
        <w:rPr>
          <w:i w:val="0"/>
          <w:noProof/>
          <w:sz w:val="18"/>
        </w:rPr>
        <w:fldChar w:fldCharType="separate"/>
      </w:r>
      <w:r w:rsidR="0070178D">
        <w:rPr>
          <w:i w:val="0"/>
          <w:noProof/>
          <w:sz w:val="18"/>
        </w:rPr>
        <w:t>11</w:t>
      </w:r>
      <w:r w:rsidRPr="008316F3">
        <w:rPr>
          <w:i w:val="0"/>
          <w:noProof/>
          <w:sz w:val="18"/>
        </w:rPr>
        <w:fldChar w:fldCharType="end"/>
      </w:r>
    </w:p>
    <w:p w:rsidR="00621CBE" w:rsidRPr="008316F3" w:rsidRDefault="00621CBE">
      <w:pPr>
        <w:pStyle w:val="TOC9"/>
        <w:rPr>
          <w:rFonts w:asciiTheme="minorHAnsi" w:eastAsiaTheme="minorEastAsia" w:hAnsiTheme="minorHAnsi" w:cstheme="minorBidi"/>
          <w:i w:val="0"/>
          <w:noProof/>
          <w:kern w:val="0"/>
          <w:sz w:val="22"/>
          <w:szCs w:val="22"/>
        </w:rPr>
      </w:pPr>
      <w:r w:rsidRPr="008316F3">
        <w:rPr>
          <w:noProof/>
        </w:rPr>
        <w:t>Veterans’ Entitlements (Non</w:t>
      </w:r>
      <w:r w:rsidR="008316F3">
        <w:rPr>
          <w:noProof/>
        </w:rPr>
        <w:noBreakHyphen/>
      </w:r>
      <w:r w:rsidRPr="008316F3">
        <w:rPr>
          <w:noProof/>
        </w:rPr>
        <w:t>warlike Service—Operation Quickstep Tonga) Determination</w:t>
      </w:r>
      <w:r w:rsidR="008316F3" w:rsidRPr="008316F3">
        <w:rPr>
          <w:noProof/>
        </w:rPr>
        <w:t> </w:t>
      </w:r>
      <w:r w:rsidRPr="008316F3">
        <w:rPr>
          <w:noProof/>
        </w:rPr>
        <w:t>2012</w:t>
      </w:r>
      <w:r w:rsidRPr="008316F3">
        <w:rPr>
          <w:i w:val="0"/>
          <w:noProof/>
          <w:sz w:val="18"/>
        </w:rPr>
        <w:tab/>
      </w:r>
      <w:r w:rsidRPr="008316F3">
        <w:rPr>
          <w:i w:val="0"/>
          <w:noProof/>
          <w:sz w:val="18"/>
        </w:rPr>
        <w:fldChar w:fldCharType="begin"/>
      </w:r>
      <w:r w:rsidRPr="008316F3">
        <w:rPr>
          <w:i w:val="0"/>
          <w:noProof/>
          <w:sz w:val="18"/>
        </w:rPr>
        <w:instrText xml:space="preserve"> PAGEREF _Toc530571287 \h </w:instrText>
      </w:r>
      <w:r w:rsidRPr="008316F3">
        <w:rPr>
          <w:i w:val="0"/>
          <w:noProof/>
          <w:sz w:val="18"/>
        </w:rPr>
      </w:r>
      <w:r w:rsidRPr="008316F3">
        <w:rPr>
          <w:i w:val="0"/>
          <w:noProof/>
          <w:sz w:val="18"/>
        </w:rPr>
        <w:fldChar w:fldCharType="separate"/>
      </w:r>
      <w:r w:rsidR="0070178D">
        <w:rPr>
          <w:i w:val="0"/>
          <w:noProof/>
          <w:sz w:val="18"/>
        </w:rPr>
        <w:t>11</w:t>
      </w:r>
      <w:r w:rsidRPr="008316F3">
        <w:rPr>
          <w:i w:val="0"/>
          <w:noProof/>
          <w:sz w:val="18"/>
        </w:rPr>
        <w:fldChar w:fldCharType="end"/>
      </w:r>
    </w:p>
    <w:p w:rsidR="00670EA1" w:rsidRPr="008316F3" w:rsidRDefault="00621CBE" w:rsidP="00715914">
      <w:r w:rsidRPr="008316F3">
        <w:fldChar w:fldCharType="end"/>
      </w:r>
    </w:p>
    <w:p w:rsidR="00670EA1" w:rsidRPr="008316F3" w:rsidRDefault="00670EA1" w:rsidP="00715914">
      <w:pPr>
        <w:sectPr w:rsidR="00670EA1" w:rsidRPr="008316F3" w:rsidSect="00156053">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8316F3" w:rsidRDefault="00715914" w:rsidP="00715914">
      <w:pPr>
        <w:pStyle w:val="ActHead5"/>
      </w:pPr>
      <w:bookmarkStart w:id="0" w:name="_Toc530571244"/>
      <w:r w:rsidRPr="008316F3">
        <w:rPr>
          <w:rStyle w:val="CharSectno"/>
        </w:rPr>
        <w:t>1</w:t>
      </w:r>
      <w:r w:rsidRPr="008316F3">
        <w:t xml:space="preserve">  </w:t>
      </w:r>
      <w:r w:rsidR="00CE493D" w:rsidRPr="008316F3">
        <w:t>Name</w:t>
      </w:r>
      <w:bookmarkEnd w:id="0"/>
    </w:p>
    <w:p w:rsidR="00715914" w:rsidRPr="008316F3" w:rsidRDefault="00715914" w:rsidP="00715914">
      <w:pPr>
        <w:pStyle w:val="subsection"/>
      </w:pPr>
      <w:r w:rsidRPr="008316F3">
        <w:tab/>
      </w:r>
      <w:r w:rsidRPr="008316F3">
        <w:tab/>
      </w:r>
      <w:r w:rsidR="00626C93" w:rsidRPr="008316F3">
        <w:t>This instrument is</w:t>
      </w:r>
      <w:r w:rsidR="00CE493D" w:rsidRPr="008316F3">
        <w:t xml:space="preserve"> the </w:t>
      </w:r>
      <w:r w:rsidR="00BC76AC" w:rsidRPr="008316F3">
        <w:rPr>
          <w:i/>
        </w:rPr>
        <w:fldChar w:fldCharType="begin"/>
      </w:r>
      <w:r w:rsidR="00BC76AC" w:rsidRPr="008316F3">
        <w:rPr>
          <w:i/>
        </w:rPr>
        <w:instrText xml:space="preserve"> STYLEREF  ShortT </w:instrText>
      </w:r>
      <w:r w:rsidR="00BC76AC" w:rsidRPr="008316F3">
        <w:rPr>
          <w:i/>
        </w:rPr>
        <w:fldChar w:fldCharType="separate"/>
      </w:r>
      <w:r w:rsidR="0070178D">
        <w:rPr>
          <w:i/>
          <w:noProof/>
        </w:rPr>
        <w:t>Veterans’ Entitlements (Non-warlike Service) Determination 2019</w:t>
      </w:r>
      <w:r w:rsidR="00BC76AC" w:rsidRPr="008316F3">
        <w:rPr>
          <w:i/>
        </w:rPr>
        <w:fldChar w:fldCharType="end"/>
      </w:r>
      <w:r w:rsidRPr="008316F3">
        <w:t>.</w:t>
      </w:r>
    </w:p>
    <w:p w:rsidR="00715914" w:rsidRPr="008316F3" w:rsidRDefault="00715914" w:rsidP="00715914">
      <w:pPr>
        <w:pStyle w:val="ActHead5"/>
      </w:pPr>
      <w:bookmarkStart w:id="1" w:name="_Toc530571245"/>
      <w:r w:rsidRPr="008316F3">
        <w:rPr>
          <w:rStyle w:val="CharSectno"/>
        </w:rPr>
        <w:t>2</w:t>
      </w:r>
      <w:r w:rsidRPr="008316F3">
        <w:t xml:space="preserve">  Commencement</w:t>
      </w:r>
      <w:bookmarkEnd w:id="1"/>
    </w:p>
    <w:p w:rsidR="00BA0C87" w:rsidRPr="008316F3" w:rsidRDefault="00BA0C87" w:rsidP="0089417F">
      <w:pPr>
        <w:pStyle w:val="subsection"/>
      </w:pPr>
      <w:r w:rsidRPr="008316F3">
        <w:tab/>
        <w:t>(1)</w:t>
      </w:r>
      <w:r w:rsidRPr="008316F3">
        <w:tab/>
        <w:t xml:space="preserve">Each provision of </w:t>
      </w:r>
      <w:r w:rsidR="00626C93" w:rsidRPr="008316F3">
        <w:t>this instrument</w:t>
      </w:r>
      <w:r w:rsidRPr="008316F3">
        <w:t xml:space="preserve"> specified in column 1 of the table commences, or is taken to have commenced, in accordance with column 2 of the table. Any other statement in column 2 has effect according to its terms.</w:t>
      </w:r>
    </w:p>
    <w:p w:rsidR="00BA0C87" w:rsidRPr="008316F3" w:rsidRDefault="00BA0C87" w:rsidP="0089417F">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69"/>
        <w:gridCol w:w="4480"/>
        <w:gridCol w:w="1878"/>
      </w:tblGrid>
      <w:tr w:rsidR="00C942AF" w:rsidRPr="008316F3" w:rsidTr="0089417F">
        <w:trPr>
          <w:tblHeader/>
        </w:trPr>
        <w:tc>
          <w:tcPr>
            <w:tcW w:w="5000" w:type="pct"/>
            <w:gridSpan w:val="3"/>
            <w:tcBorders>
              <w:top w:val="single" w:sz="12" w:space="0" w:color="auto"/>
              <w:bottom w:val="single" w:sz="2" w:space="0" w:color="auto"/>
            </w:tcBorders>
            <w:shd w:val="clear" w:color="auto" w:fill="auto"/>
            <w:hideMark/>
          </w:tcPr>
          <w:p w:rsidR="00C942AF" w:rsidRPr="008316F3" w:rsidRDefault="00C942AF" w:rsidP="0089417F">
            <w:pPr>
              <w:pStyle w:val="TableHeading"/>
            </w:pPr>
            <w:r w:rsidRPr="008316F3">
              <w:t>Commencement information</w:t>
            </w:r>
          </w:p>
        </w:tc>
      </w:tr>
      <w:tr w:rsidR="00C942AF" w:rsidRPr="008316F3" w:rsidTr="0089417F">
        <w:trPr>
          <w:tblHeader/>
        </w:trPr>
        <w:tc>
          <w:tcPr>
            <w:tcW w:w="1272" w:type="pct"/>
            <w:tcBorders>
              <w:top w:val="single" w:sz="2" w:space="0" w:color="auto"/>
              <w:bottom w:val="single" w:sz="2" w:space="0" w:color="auto"/>
            </w:tcBorders>
            <w:shd w:val="clear" w:color="auto" w:fill="auto"/>
            <w:hideMark/>
          </w:tcPr>
          <w:p w:rsidR="00C942AF" w:rsidRPr="008316F3" w:rsidRDefault="00C942AF" w:rsidP="0089417F">
            <w:pPr>
              <w:pStyle w:val="TableHeading"/>
            </w:pPr>
            <w:r w:rsidRPr="008316F3">
              <w:t>Column 1</w:t>
            </w:r>
          </w:p>
        </w:tc>
        <w:tc>
          <w:tcPr>
            <w:tcW w:w="2627" w:type="pct"/>
            <w:tcBorders>
              <w:top w:val="single" w:sz="2" w:space="0" w:color="auto"/>
              <w:bottom w:val="single" w:sz="2" w:space="0" w:color="auto"/>
            </w:tcBorders>
            <w:shd w:val="clear" w:color="auto" w:fill="auto"/>
            <w:hideMark/>
          </w:tcPr>
          <w:p w:rsidR="00C942AF" w:rsidRPr="008316F3" w:rsidRDefault="00C942AF" w:rsidP="0089417F">
            <w:pPr>
              <w:pStyle w:val="TableHeading"/>
            </w:pPr>
            <w:r w:rsidRPr="008316F3">
              <w:t>Column 2</w:t>
            </w:r>
          </w:p>
        </w:tc>
        <w:tc>
          <w:tcPr>
            <w:tcW w:w="1101" w:type="pct"/>
            <w:tcBorders>
              <w:top w:val="single" w:sz="2" w:space="0" w:color="auto"/>
              <w:bottom w:val="single" w:sz="2" w:space="0" w:color="auto"/>
            </w:tcBorders>
            <w:shd w:val="clear" w:color="auto" w:fill="auto"/>
            <w:hideMark/>
          </w:tcPr>
          <w:p w:rsidR="00C942AF" w:rsidRPr="008316F3" w:rsidRDefault="00C942AF" w:rsidP="0089417F">
            <w:pPr>
              <w:pStyle w:val="TableHeading"/>
            </w:pPr>
            <w:r w:rsidRPr="008316F3">
              <w:t>Column 3</w:t>
            </w:r>
          </w:p>
        </w:tc>
      </w:tr>
      <w:tr w:rsidR="00C942AF" w:rsidRPr="008316F3" w:rsidTr="0089417F">
        <w:trPr>
          <w:tblHeader/>
        </w:trPr>
        <w:tc>
          <w:tcPr>
            <w:tcW w:w="1272" w:type="pct"/>
            <w:tcBorders>
              <w:top w:val="single" w:sz="2" w:space="0" w:color="auto"/>
              <w:bottom w:val="single" w:sz="12" w:space="0" w:color="auto"/>
            </w:tcBorders>
            <w:shd w:val="clear" w:color="auto" w:fill="auto"/>
            <w:hideMark/>
          </w:tcPr>
          <w:p w:rsidR="00C942AF" w:rsidRPr="008316F3" w:rsidRDefault="00C942AF" w:rsidP="0089417F">
            <w:pPr>
              <w:pStyle w:val="TableHeading"/>
            </w:pPr>
            <w:r w:rsidRPr="008316F3">
              <w:t>Provisions</w:t>
            </w:r>
          </w:p>
        </w:tc>
        <w:tc>
          <w:tcPr>
            <w:tcW w:w="2627" w:type="pct"/>
            <w:tcBorders>
              <w:top w:val="single" w:sz="2" w:space="0" w:color="auto"/>
              <w:bottom w:val="single" w:sz="12" w:space="0" w:color="auto"/>
            </w:tcBorders>
            <w:shd w:val="clear" w:color="auto" w:fill="auto"/>
            <w:hideMark/>
          </w:tcPr>
          <w:p w:rsidR="00C942AF" w:rsidRPr="008316F3" w:rsidRDefault="00C942AF" w:rsidP="0089417F">
            <w:pPr>
              <w:pStyle w:val="TableHeading"/>
            </w:pPr>
            <w:r w:rsidRPr="008316F3">
              <w:t>Commencement</w:t>
            </w:r>
          </w:p>
        </w:tc>
        <w:tc>
          <w:tcPr>
            <w:tcW w:w="1101" w:type="pct"/>
            <w:tcBorders>
              <w:top w:val="single" w:sz="2" w:space="0" w:color="auto"/>
              <w:bottom w:val="single" w:sz="12" w:space="0" w:color="auto"/>
            </w:tcBorders>
            <w:shd w:val="clear" w:color="auto" w:fill="auto"/>
            <w:hideMark/>
          </w:tcPr>
          <w:p w:rsidR="00C942AF" w:rsidRPr="008316F3" w:rsidRDefault="00C942AF" w:rsidP="0089417F">
            <w:pPr>
              <w:pStyle w:val="TableHeading"/>
            </w:pPr>
            <w:r w:rsidRPr="008316F3">
              <w:t>Date/Details</w:t>
            </w:r>
          </w:p>
        </w:tc>
      </w:tr>
      <w:tr w:rsidR="00C942AF" w:rsidRPr="008316F3" w:rsidTr="0089417F">
        <w:tc>
          <w:tcPr>
            <w:tcW w:w="1272" w:type="pct"/>
            <w:tcBorders>
              <w:top w:val="single" w:sz="12" w:space="0" w:color="auto"/>
              <w:bottom w:val="single" w:sz="12" w:space="0" w:color="auto"/>
            </w:tcBorders>
            <w:shd w:val="clear" w:color="auto" w:fill="auto"/>
            <w:hideMark/>
          </w:tcPr>
          <w:p w:rsidR="00C942AF" w:rsidRPr="008316F3" w:rsidRDefault="0088178D" w:rsidP="0089417F">
            <w:pPr>
              <w:pStyle w:val="Tabletext"/>
            </w:pPr>
            <w:r w:rsidRPr="008316F3">
              <w:t>1</w:t>
            </w:r>
            <w:r w:rsidR="00C942AF" w:rsidRPr="008316F3">
              <w:t>.  The whole of this instrument</w:t>
            </w:r>
          </w:p>
        </w:tc>
        <w:tc>
          <w:tcPr>
            <w:tcW w:w="2627" w:type="pct"/>
            <w:tcBorders>
              <w:top w:val="single" w:sz="12" w:space="0" w:color="auto"/>
              <w:bottom w:val="single" w:sz="12" w:space="0" w:color="auto"/>
            </w:tcBorders>
            <w:shd w:val="clear" w:color="auto" w:fill="auto"/>
          </w:tcPr>
          <w:p w:rsidR="00C942AF" w:rsidRPr="008316F3" w:rsidRDefault="00C942AF" w:rsidP="0089417F">
            <w:pPr>
              <w:pStyle w:val="Tabletext"/>
            </w:pPr>
            <w:r w:rsidRPr="008316F3">
              <w:t>The day after this instrument is registered.</w:t>
            </w:r>
          </w:p>
        </w:tc>
        <w:tc>
          <w:tcPr>
            <w:tcW w:w="1101" w:type="pct"/>
            <w:tcBorders>
              <w:top w:val="single" w:sz="12" w:space="0" w:color="auto"/>
              <w:bottom w:val="single" w:sz="12" w:space="0" w:color="auto"/>
            </w:tcBorders>
            <w:shd w:val="clear" w:color="auto" w:fill="auto"/>
          </w:tcPr>
          <w:p w:rsidR="00C942AF" w:rsidRPr="008316F3" w:rsidRDefault="006B470E" w:rsidP="0089417F">
            <w:pPr>
              <w:pStyle w:val="Tabletext"/>
            </w:pPr>
            <w:r>
              <w:t>26 March 2019</w:t>
            </w:r>
            <w:bookmarkStart w:id="2" w:name="_GoBack"/>
            <w:bookmarkEnd w:id="2"/>
          </w:p>
        </w:tc>
      </w:tr>
    </w:tbl>
    <w:p w:rsidR="00BA0C87" w:rsidRPr="008316F3" w:rsidRDefault="00BA0C87" w:rsidP="0089417F">
      <w:pPr>
        <w:pStyle w:val="notetext"/>
      </w:pPr>
      <w:r w:rsidRPr="008316F3">
        <w:rPr>
          <w:snapToGrid w:val="0"/>
          <w:lang w:eastAsia="en-US"/>
        </w:rPr>
        <w:t>Note:</w:t>
      </w:r>
      <w:r w:rsidRPr="008316F3">
        <w:rPr>
          <w:snapToGrid w:val="0"/>
          <w:lang w:eastAsia="en-US"/>
        </w:rPr>
        <w:tab/>
        <w:t xml:space="preserve">This table relates only to the provisions of </w:t>
      </w:r>
      <w:r w:rsidR="00626C93" w:rsidRPr="008316F3">
        <w:rPr>
          <w:snapToGrid w:val="0"/>
          <w:lang w:eastAsia="en-US"/>
        </w:rPr>
        <w:t>this instrument</w:t>
      </w:r>
      <w:r w:rsidRPr="008316F3">
        <w:t xml:space="preserve"> </w:t>
      </w:r>
      <w:r w:rsidRPr="008316F3">
        <w:rPr>
          <w:snapToGrid w:val="0"/>
          <w:lang w:eastAsia="en-US"/>
        </w:rPr>
        <w:t xml:space="preserve">as originally made. It will not be amended to deal with any later amendments of </w:t>
      </w:r>
      <w:r w:rsidR="00626C93" w:rsidRPr="008316F3">
        <w:rPr>
          <w:snapToGrid w:val="0"/>
          <w:lang w:eastAsia="en-US"/>
        </w:rPr>
        <w:t>this instrument</w:t>
      </w:r>
      <w:r w:rsidRPr="008316F3">
        <w:rPr>
          <w:snapToGrid w:val="0"/>
          <w:lang w:eastAsia="en-US"/>
        </w:rPr>
        <w:t>.</w:t>
      </w:r>
    </w:p>
    <w:p w:rsidR="00BA0C87" w:rsidRPr="008316F3" w:rsidRDefault="00BA0C87" w:rsidP="0089417F">
      <w:pPr>
        <w:pStyle w:val="subsection"/>
      </w:pPr>
      <w:r w:rsidRPr="008316F3">
        <w:tab/>
        <w:t>(2)</w:t>
      </w:r>
      <w:r w:rsidRPr="008316F3">
        <w:tab/>
        <w:t xml:space="preserve">Any information in column 3 of the table is not part of </w:t>
      </w:r>
      <w:r w:rsidR="00626C93" w:rsidRPr="008316F3">
        <w:t>this instrument</w:t>
      </w:r>
      <w:r w:rsidRPr="008316F3">
        <w:t xml:space="preserve">. Information may be inserted in this column, or information in it may be edited, in any published version of </w:t>
      </w:r>
      <w:r w:rsidR="00626C93" w:rsidRPr="008316F3">
        <w:t>this instrument</w:t>
      </w:r>
      <w:r w:rsidRPr="008316F3">
        <w:t>.</w:t>
      </w:r>
    </w:p>
    <w:p w:rsidR="007500C8" w:rsidRPr="008316F3" w:rsidRDefault="007500C8" w:rsidP="007500C8">
      <w:pPr>
        <w:pStyle w:val="ActHead5"/>
      </w:pPr>
      <w:bookmarkStart w:id="3" w:name="_Toc530571246"/>
      <w:r w:rsidRPr="008316F3">
        <w:rPr>
          <w:rStyle w:val="CharSectno"/>
        </w:rPr>
        <w:t>3</w:t>
      </w:r>
      <w:r w:rsidRPr="008316F3">
        <w:t xml:space="preserve">  Authority</w:t>
      </w:r>
      <w:bookmarkEnd w:id="3"/>
    </w:p>
    <w:p w:rsidR="00C942AF" w:rsidRPr="008316F3" w:rsidRDefault="007500C8" w:rsidP="00C942AF">
      <w:pPr>
        <w:pStyle w:val="subsection"/>
      </w:pPr>
      <w:r w:rsidRPr="008316F3">
        <w:tab/>
      </w:r>
      <w:r w:rsidRPr="008316F3">
        <w:tab/>
      </w:r>
      <w:r w:rsidR="00626C93" w:rsidRPr="008316F3">
        <w:t>This instrument is</w:t>
      </w:r>
      <w:r w:rsidRPr="008316F3">
        <w:t xml:space="preserve"> made under </w:t>
      </w:r>
      <w:r w:rsidR="00F310A0" w:rsidRPr="008316F3">
        <w:t xml:space="preserve">the </w:t>
      </w:r>
      <w:r w:rsidR="00C942AF" w:rsidRPr="008316F3">
        <w:t xml:space="preserve">definition of </w:t>
      </w:r>
      <w:r w:rsidR="00C942AF" w:rsidRPr="008316F3">
        <w:rPr>
          <w:b/>
          <w:i/>
        </w:rPr>
        <w:t>non</w:t>
      </w:r>
      <w:r w:rsidR="008316F3">
        <w:rPr>
          <w:b/>
          <w:i/>
        </w:rPr>
        <w:noBreakHyphen/>
      </w:r>
      <w:r w:rsidR="00C942AF" w:rsidRPr="008316F3">
        <w:rPr>
          <w:b/>
          <w:i/>
        </w:rPr>
        <w:t>warlike service</w:t>
      </w:r>
      <w:r w:rsidR="00C942AF" w:rsidRPr="008316F3">
        <w:t xml:space="preserve"> in subsection</w:t>
      </w:r>
      <w:r w:rsidR="008316F3" w:rsidRPr="008316F3">
        <w:t> </w:t>
      </w:r>
      <w:r w:rsidR="00C942AF" w:rsidRPr="008316F3">
        <w:t xml:space="preserve">5C(1) of the </w:t>
      </w:r>
      <w:r w:rsidR="00C942AF" w:rsidRPr="008316F3">
        <w:rPr>
          <w:i/>
        </w:rPr>
        <w:t>Veterans</w:t>
      </w:r>
      <w:r w:rsidR="00395BFC" w:rsidRPr="008316F3">
        <w:rPr>
          <w:i/>
        </w:rPr>
        <w:t>’</w:t>
      </w:r>
      <w:r w:rsidR="00C942AF" w:rsidRPr="008316F3">
        <w:rPr>
          <w:i/>
        </w:rPr>
        <w:t xml:space="preserve"> Entitlements Act 1986</w:t>
      </w:r>
      <w:r w:rsidR="00C942AF" w:rsidRPr="008316F3">
        <w:t>.</w:t>
      </w:r>
    </w:p>
    <w:p w:rsidR="00C942AF" w:rsidRPr="008316F3" w:rsidRDefault="00C942AF" w:rsidP="00C942AF">
      <w:pPr>
        <w:pStyle w:val="ActHead5"/>
      </w:pPr>
      <w:bookmarkStart w:id="4" w:name="_Toc530571247"/>
      <w:r w:rsidRPr="008316F3">
        <w:rPr>
          <w:rStyle w:val="CharSectno"/>
        </w:rPr>
        <w:t>4</w:t>
      </w:r>
      <w:r w:rsidRPr="008316F3">
        <w:t xml:space="preserve">  Schedule</w:t>
      </w:r>
      <w:r w:rsidR="008316F3" w:rsidRPr="008316F3">
        <w:t> </w:t>
      </w:r>
      <w:r w:rsidR="00F30EC5" w:rsidRPr="008316F3">
        <w:t>2</w:t>
      </w:r>
      <w:bookmarkEnd w:id="4"/>
    </w:p>
    <w:p w:rsidR="00C942AF" w:rsidRPr="008316F3" w:rsidRDefault="00C942AF" w:rsidP="00C942AF">
      <w:pPr>
        <w:pStyle w:val="subsection"/>
      </w:pPr>
      <w:r w:rsidRPr="008316F3">
        <w:tab/>
      </w:r>
      <w:r w:rsidRPr="008316F3">
        <w:tab/>
        <w:t>Each instrument that is specified in Schedule</w:t>
      </w:r>
      <w:r w:rsidR="008316F3" w:rsidRPr="008316F3">
        <w:t> </w:t>
      </w:r>
      <w:r w:rsidR="00F30EC5" w:rsidRPr="008316F3">
        <w:t xml:space="preserve">2 </w:t>
      </w:r>
      <w:r w:rsidRPr="008316F3">
        <w:t>to this instrument is amended or repealed as set out in the applicable items in th</w:t>
      </w:r>
      <w:r w:rsidR="00690F71" w:rsidRPr="008316F3">
        <w:t>at</w:t>
      </w:r>
      <w:r w:rsidRPr="008316F3">
        <w:t xml:space="preserve"> Schedule, and any other item in </w:t>
      </w:r>
      <w:r w:rsidR="00F30EC5" w:rsidRPr="008316F3">
        <w:t>th</w:t>
      </w:r>
      <w:r w:rsidRPr="008316F3">
        <w:t>a</w:t>
      </w:r>
      <w:r w:rsidR="00F30EC5" w:rsidRPr="008316F3">
        <w:t>t</w:t>
      </w:r>
      <w:r w:rsidRPr="008316F3">
        <w:t xml:space="preserve"> Schedule has effect according to its terms.</w:t>
      </w:r>
    </w:p>
    <w:p w:rsidR="00157B8B" w:rsidRPr="008316F3" w:rsidRDefault="00C942AF" w:rsidP="00C942AF">
      <w:pPr>
        <w:pStyle w:val="ActHead5"/>
      </w:pPr>
      <w:bookmarkStart w:id="5" w:name="_Toc530571248"/>
      <w:r w:rsidRPr="008316F3">
        <w:rPr>
          <w:rStyle w:val="CharSectno"/>
        </w:rPr>
        <w:t>5</w:t>
      </w:r>
      <w:r w:rsidRPr="008316F3">
        <w:t xml:space="preserve">  Definitions</w:t>
      </w:r>
      <w:bookmarkEnd w:id="5"/>
    </w:p>
    <w:p w:rsidR="00921E46" w:rsidRPr="008316F3" w:rsidRDefault="00921E46" w:rsidP="00921E46">
      <w:pPr>
        <w:pStyle w:val="subsection"/>
      </w:pPr>
      <w:r w:rsidRPr="008316F3">
        <w:tab/>
      </w:r>
      <w:r w:rsidRPr="008316F3">
        <w:tab/>
        <w:t>In this instrument:</w:t>
      </w:r>
    </w:p>
    <w:p w:rsidR="00C942AF" w:rsidRPr="008316F3" w:rsidRDefault="00395BFC" w:rsidP="00395BFC">
      <w:pPr>
        <w:pStyle w:val="Definition"/>
      </w:pPr>
      <w:r w:rsidRPr="008316F3">
        <w:rPr>
          <w:b/>
          <w:i/>
        </w:rPr>
        <w:t>Act</w:t>
      </w:r>
      <w:r w:rsidRPr="008316F3">
        <w:t xml:space="preserve"> means the </w:t>
      </w:r>
      <w:r w:rsidRPr="008316F3">
        <w:rPr>
          <w:i/>
        </w:rPr>
        <w:t>Veterans’ Entitlements Act 1986</w:t>
      </w:r>
      <w:r w:rsidRPr="008316F3">
        <w:t>.</w:t>
      </w:r>
    </w:p>
    <w:p w:rsidR="000409E5" w:rsidRPr="008316F3" w:rsidRDefault="000409E5" w:rsidP="00395BFC">
      <w:pPr>
        <w:pStyle w:val="Definition"/>
      </w:pPr>
      <w:r w:rsidRPr="008316F3">
        <w:rPr>
          <w:b/>
          <w:i/>
        </w:rPr>
        <w:t>NATO</w:t>
      </w:r>
      <w:r w:rsidRPr="008316F3">
        <w:t xml:space="preserve"> means the North Atlantic Treaty Organization.</w:t>
      </w:r>
    </w:p>
    <w:p w:rsidR="00C942AF" w:rsidRPr="008316F3" w:rsidRDefault="00C942AF" w:rsidP="00C942AF">
      <w:pPr>
        <w:pStyle w:val="ActHead5"/>
      </w:pPr>
      <w:bookmarkStart w:id="6" w:name="_Toc530571249"/>
      <w:r w:rsidRPr="008316F3">
        <w:rPr>
          <w:rStyle w:val="CharSectno"/>
        </w:rPr>
        <w:t>6</w:t>
      </w:r>
      <w:r w:rsidRPr="008316F3">
        <w:t xml:space="preserve">  Non</w:t>
      </w:r>
      <w:r w:rsidR="008316F3">
        <w:noBreakHyphen/>
      </w:r>
      <w:r w:rsidRPr="008316F3">
        <w:t>warlike service</w:t>
      </w:r>
      <w:bookmarkEnd w:id="6"/>
    </w:p>
    <w:p w:rsidR="00C942AF" w:rsidRPr="008316F3" w:rsidRDefault="00C942AF" w:rsidP="00C942AF">
      <w:pPr>
        <w:pStyle w:val="subsection"/>
      </w:pPr>
      <w:r w:rsidRPr="008316F3">
        <w:tab/>
      </w:r>
      <w:r w:rsidRPr="008316F3">
        <w:tab/>
        <w:t>Schedule</w:t>
      </w:r>
      <w:r w:rsidR="008316F3" w:rsidRPr="008316F3">
        <w:t> </w:t>
      </w:r>
      <w:r w:rsidRPr="008316F3">
        <w:t xml:space="preserve">1 specifies service </w:t>
      </w:r>
      <w:r w:rsidR="00F310A0" w:rsidRPr="008316F3">
        <w:t xml:space="preserve">in </w:t>
      </w:r>
      <w:r w:rsidRPr="008316F3">
        <w:t>the Defence Force that is non</w:t>
      </w:r>
      <w:r w:rsidR="008316F3">
        <w:noBreakHyphen/>
      </w:r>
      <w:r w:rsidRPr="008316F3">
        <w:t>warlike service for the purposes of the Act.</w:t>
      </w:r>
    </w:p>
    <w:p w:rsidR="00395BFC" w:rsidRPr="008316F3" w:rsidRDefault="00395BFC">
      <w:pPr>
        <w:sectPr w:rsidR="00395BFC" w:rsidRPr="008316F3" w:rsidSect="00156053">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395BFC" w:rsidRPr="008316F3" w:rsidRDefault="00395BFC" w:rsidP="00395BFC">
      <w:pPr>
        <w:pStyle w:val="ActHead1"/>
      </w:pPr>
      <w:bookmarkStart w:id="7" w:name="_Toc530571250"/>
      <w:r w:rsidRPr="008316F3">
        <w:rPr>
          <w:rStyle w:val="CharChapNo"/>
        </w:rPr>
        <w:t>Schedule</w:t>
      </w:r>
      <w:r w:rsidR="008316F3" w:rsidRPr="008316F3">
        <w:rPr>
          <w:rStyle w:val="CharChapNo"/>
        </w:rPr>
        <w:t> </w:t>
      </w:r>
      <w:r w:rsidRPr="008316F3">
        <w:rPr>
          <w:rStyle w:val="CharChapNo"/>
        </w:rPr>
        <w:t>1</w:t>
      </w:r>
      <w:r w:rsidRPr="008316F3">
        <w:t>—</w:t>
      </w:r>
      <w:r w:rsidRPr="008316F3">
        <w:rPr>
          <w:rStyle w:val="CharChapText"/>
        </w:rPr>
        <w:t>Non</w:t>
      </w:r>
      <w:r w:rsidR="008316F3" w:rsidRPr="008316F3">
        <w:rPr>
          <w:rStyle w:val="CharChapText"/>
        </w:rPr>
        <w:noBreakHyphen/>
      </w:r>
      <w:r w:rsidRPr="008316F3">
        <w:rPr>
          <w:rStyle w:val="CharChapText"/>
        </w:rPr>
        <w:t>warlike service</w:t>
      </w:r>
      <w:bookmarkEnd w:id="7"/>
    </w:p>
    <w:p w:rsidR="00395BFC" w:rsidRPr="008316F3" w:rsidRDefault="00395BFC" w:rsidP="00395BFC">
      <w:pPr>
        <w:pStyle w:val="notemargin"/>
      </w:pPr>
      <w:r w:rsidRPr="008316F3">
        <w:t>Note:</w:t>
      </w:r>
      <w:r w:rsidRPr="008316F3">
        <w:tab/>
        <w:t>See section</w:t>
      </w:r>
      <w:r w:rsidR="008316F3" w:rsidRPr="008316F3">
        <w:t> </w:t>
      </w:r>
      <w:r w:rsidRPr="008316F3">
        <w:t>6.</w:t>
      </w:r>
    </w:p>
    <w:p w:rsidR="009203BE" w:rsidRPr="008316F3" w:rsidRDefault="009203BE" w:rsidP="009203BE">
      <w:pPr>
        <w:pStyle w:val="Header"/>
      </w:pPr>
      <w:bookmarkStart w:id="8" w:name="f_Check_Lines_below"/>
      <w:bookmarkEnd w:id="8"/>
      <w:r w:rsidRPr="008316F3">
        <w:rPr>
          <w:rStyle w:val="CharPartNo"/>
        </w:rPr>
        <w:t xml:space="preserve"> </w:t>
      </w:r>
      <w:r w:rsidRPr="008316F3">
        <w:rPr>
          <w:rStyle w:val="CharPartText"/>
        </w:rPr>
        <w:t xml:space="preserve"> </w:t>
      </w:r>
    </w:p>
    <w:p w:rsidR="009203BE" w:rsidRPr="008316F3" w:rsidRDefault="009203BE" w:rsidP="009203BE">
      <w:pPr>
        <w:pStyle w:val="Header"/>
      </w:pPr>
      <w:r w:rsidRPr="008316F3">
        <w:rPr>
          <w:rStyle w:val="CharDivNo"/>
        </w:rPr>
        <w:t xml:space="preserve"> </w:t>
      </w:r>
      <w:r w:rsidRPr="008316F3">
        <w:rPr>
          <w:rStyle w:val="CharDivText"/>
        </w:rPr>
        <w:t xml:space="preserve"> </w:t>
      </w:r>
    </w:p>
    <w:p w:rsidR="00395BFC" w:rsidRPr="008316F3" w:rsidRDefault="00395BFC" w:rsidP="00395BFC">
      <w:pPr>
        <w:pStyle w:val="ActHead5"/>
      </w:pPr>
      <w:bookmarkStart w:id="9" w:name="_Toc530571251"/>
      <w:r w:rsidRPr="008316F3">
        <w:rPr>
          <w:rStyle w:val="CharSectno"/>
        </w:rPr>
        <w:t>1</w:t>
      </w:r>
      <w:r w:rsidRPr="008316F3">
        <w:t xml:space="preserve">  Non</w:t>
      </w:r>
      <w:r w:rsidR="008316F3">
        <w:noBreakHyphen/>
      </w:r>
      <w:r w:rsidRPr="008316F3">
        <w:t>warlike service</w:t>
      </w:r>
      <w:bookmarkEnd w:id="9"/>
    </w:p>
    <w:p w:rsidR="00FE68C2" w:rsidRPr="008316F3" w:rsidRDefault="00613F29" w:rsidP="00395BFC">
      <w:pPr>
        <w:pStyle w:val="subsection"/>
      </w:pPr>
      <w:r w:rsidRPr="008316F3">
        <w:tab/>
      </w:r>
      <w:r w:rsidRPr="008316F3">
        <w:tab/>
      </w:r>
      <w:r w:rsidR="00395BFC" w:rsidRPr="008316F3">
        <w:t xml:space="preserve">For the purposes of the definition of </w:t>
      </w:r>
      <w:r w:rsidR="00395BFC" w:rsidRPr="008316F3">
        <w:rPr>
          <w:b/>
          <w:i/>
        </w:rPr>
        <w:t>non</w:t>
      </w:r>
      <w:r w:rsidR="008316F3">
        <w:rPr>
          <w:b/>
          <w:i/>
        </w:rPr>
        <w:noBreakHyphen/>
      </w:r>
      <w:r w:rsidR="00395BFC" w:rsidRPr="008316F3">
        <w:rPr>
          <w:b/>
          <w:i/>
        </w:rPr>
        <w:t>warlike service</w:t>
      </w:r>
      <w:r w:rsidR="00395BFC" w:rsidRPr="008316F3">
        <w:t xml:space="preserve"> in subsection</w:t>
      </w:r>
      <w:r w:rsidR="008316F3" w:rsidRPr="008316F3">
        <w:t> </w:t>
      </w:r>
      <w:r w:rsidR="00395BFC" w:rsidRPr="008316F3">
        <w:t>5C(1) of the Act</w:t>
      </w:r>
      <w:r w:rsidR="00FE68C2" w:rsidRPr="008316F3">
        <w:t>:</w:t>
      </w:r>
    </w:p>
    <w:p w:rsidR="00602A25" w:rsidRPr="008316F3" w:rsidRDefault="00FE68C2" w:rsidP="00602A25">
      <w:pPr>
        <w:pStyle w:val="paragraph"/>
      </w:pPr>
      <w:r w:rsidRPr="008316F3">
        <w:tab/>
      </w:r>
      <w:r w:rsidR="00602A25" w:rsidRPr="008316F3">
        <w:t>(a)</w:t>
      </w:r>
      <w:r w:rsidR="00602A25" w:rsidRPr="008316F3">
        <w:tab/>
        <w:t>service in the Defence Force in the Berlin Airlift operation is non</w:t>
      </w:r>
      <w:r w:rsidR="008316F3">
        <w:noBreakHyphen/>
      </w:r>
      <w:r w:rsidR="00602A25" w:rsidRPr="008316F3">
        <w:t>warlike service if:</w:t>
      </w:r>
    </w:p>
    <w:p w:rsidR="00602A25" w:rsidRPr="008316F3" w:rsidRDefault="00602A25" w:rsidP="00602A25">
      <w:pPr>
        <w:pStyle w:val="paragraphsub"/>
      </w:pPr>
      <w:r w:rsidRPr="008316F3">
        <w:tab/>
        <w:t>(</w:t>
      </w:r>
      <w:proofErr w:type="spellStart"/>
      <w:r w:rsidRPr="008316F3">
        <w:t>i</w:t>
      </w:r>
      <w:proofErr w:type="spellEnd"/>
      <w:r w:rsidRPr="008316F3">
        <w:t>)</w:t>
      </w:r>
      <w:r w:rsidRPr="008316F3">
        <w:tab/>
        <w:t xml:space="preserve">the service </w:t>
      </w:r>
      <w:r w:rsidR="004510C0" w:rsidRPr="008316F3">
        <w:t>was</w:t>
      </w:r>
      <w:r w:rsidRPr="008316F3">
        <w:t xml:space="preserve"> as a member of the Royal Australian Air Force aircrew involved in the humanitarian aid operation conducted by the Western allies to assist West Berlin during the blockade of West Berlin by the Soviet Union; and</w:t>
      </w:r>
    </w:p>
    <w:p w:rsidR="00602A25" w:rsidRPr="008316F3" w:rsidRDefault="00602A25" w:rsidP="00602A25">
      <w:pPr>
        <w:pStyle w:val="paragraphsub"/>
      </w:pPr>
      <w:r w:rsidRPr="008316F3">
        <w:tab/>
        <w:t>(ii)</w:t>
      </w:r>
      <w:r w:rsidRPr="008316F3">
        <w:tab/>
        <w:t xml:space="preserve">the service </w:t>
      </w:r>
      <w:r w:rsidR="004510C0" w:rsidRPr="008316F3">
        <w:t xml:space="preserve">occurred </w:t>
      </w:r>
      <w:r w:rsidRPr="008316F3">
        <w:t>during the period 15</w:t>
      </w:r>
      <w:r w:rsidR="008316F3" w:rsidRPr="008316F3">
        <w:t> </w:t>
      </w:r>
      <w:r w:rsidRPr="008316F3">
        <w:t>September 1948 to 29</w:t>
      </w:r>
      <w:r w:rsidR="008316F3" w:rsidRPr="008316F3">
        <w:t> </w:t>
      </w:r>
      <w:r w:rsidRPr="008316F3">
        <w:t>August 1949; or</w:t>
      </w:r>
    </w:p>
    <w:p w:rsidR="00395BFC" w:rsidRPr="008316F3" w:rsidRDefault="00602A25" w:rsidP="00FE68C2">
      <w:pPr>
        <w:pStyle w:val="paragraph"/>
      </w:pPr>
      <w:r w:rsidRPr="008316F3">
        <w:tab/>
      </w:r>
      <w:r w:rsidR="00FE68C2" w:rsidRPr="008316F3">
        <w:t>(</w:t>
      </w:r>
      <w:r w:rsidRPr="008316F3">
        <w:t>b</w:t>
      </w:r>
      <w:r w:rsidR="00FE68C2" w:rsidRPr="008316F3">
        <w:t>)</w:t>
      </w:r>
      <w:r w:rsidR="00FE68C2" w:rsidRPr="008316F3">
        <w:tab/>
      </w:r>
      <w:r w:rsidRPr="008316F3">
        <w:t xml:space="preserve">service in </w:t>
      </w:r>
      <w:r w:rsidR="003331C1" w:rsidRPr="008316F3">
        <w:t xml:space="preserve">the Defence Force in </w:t>
      </w:r>
      <w:r w:rsidR="00395BFC" w:rsidRPr="008316F3">
        <w:t>an operation mentioned in an item of the following table is non</w:t>
      </w:r>
      <w:r w:rsidR="008316F3">
        <w:noBreakHyphen/>
      </w:r>
      <w:r w:rsidR="00395BFC" w:rsidRPr="008316F3">
        <w:t>warlike service if:</w:t>
      </w:r>
    </w:p>
    <w:p w:rsidR="00395BFC" w:rsidRPr="008316F3" w:rsidRDefault="00395BFC" w:rsidP="00FE68C2">
      <w:pPr>
        <w:pStyle w:val="paragraphsub"/>
      </w:pPr>
      <w:r w:rsidRPr="008316F3">
        <w:tab/>
        <w:t>(</w:t>
      </w:r>
      <w:proofErr w:type="spellStart"/>
      <w:r w:rsidR="00FE68C2" w:rsidRPr="008316F3">
        <w:t>i</w:t>
      </w:r>
      <w:proofErr w:type="spellEnd"/>
      <w:r w:rsidRPr="008316F3">
        <w:t>)</w:t>
      </w:r>
      <w:r w:rsidRPr="008316F3">
        <w:tab/>
      </w:r>
      <w:r w:rsidR="00602A25" w:rsidRPr="008316F3">
        <w:t xml:space="preserve">the service </w:t>
      </w:r>
      <w:r w:rsidR="004510C0" w:rsidRPr="008316F3">
        <w:t xml:space="preserve">was </w:t>
      </w:r>
      <w:r w:rsidRPr="008316F3">
        <w:t>in an area of operation mentioned in the item; and</w:t>
      </w:r>
    </w:p>
    <w:p w:rsidR="00395BFC" w:rsidRPr="008316F3" w:rsidRDefault="00FE68C2" w:rsidP="00FE68C2">
      <w:pPr>
        <w:pStyle w:val="paragraphsub"/>
      </w:pPr>
      <w:r w:rsidRPr="008316F3">
        <w:tab/>
        <w:t>(ii</w:t>
      </w:r>
      <w:r w:rsidR="00395BFC" w:rsidRPr="008316F3">
        <w:t>)</w:t>
      </w:r>
      <w:r w:rsidR="00395BFC" w:rsidRPr="008316F3">
        <w:tab/>
      </w:r>
      <w:r w:rsidR="00602A25" w:rsidRPr="008316F3">
        <w:t xml:space="preserve">the service </w:t>
      </w:r>
      <w:r w:rsidR="00395BFC" w:rsidRPr="008316F3">
        <w:t>occur</w:t>
      </w:r>
      <w:r w:rsidR="004510C0" w:rsidRPr="008316F3">
        <w:t>red</w:t>
      </w:r>
      <w:r w:rsidR="00395BFC" w:rsidRPr="008316F3">
        <w:t xml:space="preserve"> during </w:t>
      </w:r>
      <w:r w:rsidR="00817C0B" w:rsidRPr="008316F3">
        <w:t xml:space="preserve">the </w:t>
      </w:r>
      <w:r w:rsidR="00395BFC" w:rsidRPr="008316F3">
        <w:t>period mentioned in the item</w:t>
      </w:r>
      <w:r w:rsidR="00817C0B" w:rsidRPr="008316F3">
        <w:t xml:space="preserve"> in relation to that area of operation</w:t>
      </w:r>
      <w:r w:rsidR="00602A25" w:rsidRPr="008316F3">
        <w:t>.</w:t>
      </w:r>
    </w:p>
    <w:p w:rsidR="002F2D77" w:rsidRPr="008316F3" w:rsidRDefault="002F2D77" w:rsidP="00D52FA8">
      <w:pPr>
        <w:pStyle w:val="Tabletext"/>
      </w:pPr>
    </w:p>
    <w:tbl>
      <w:tblPr>
        <w:tblW w:w="4967" w:type="pct"/>
        <w:tblBorders>
          <w:top w:val="single" w:sz="4" w:space="0" w:color="auto"/>
          <w:bottom w:val="single" w:sz="2" w:space="0" w:color="auto"/>
          <w:insideH w:val="single" w:sz="2" w:space="0" w:color="auto"/>
        </w:tblBorders>
        <w:tblLook w:val="0000" w:firstRow="0" w:lastRow="0" w:firstColumn="0" w:lastColumn="0" w:noHBand="0" w:noVBand="0"/>
      </w:tblPr>
      <w:tblGrid>
        <w:gridCol w:w="618"/>
        <w:gridCol w:w="1249"/>
        <w:gridCol w:w="1873"/>
        <w:gridCol w:w="2786"/>
        <w:gridCol w:w="1947"/>
      </w:tblGrid>
      <w:tr w:rsidR="005F1548" w:rsidRPr="008316F3" w:rsidTr="009203BE">
        <w:trPr>
          <w:tblHeader/>
        </w:trPr>
        <w:tc>
          <w:tcPr>
            <w:tcW w:w="5000" w:type="pct"/>
            <w:gridSpan w:val="5"/>
            <w:tcBorders>
              <w:top w:val="single" w:sz="12" w:space="0" w:color="auto"/>
              <w:bottom w:val="single" w:sz="6" w:space="0" w:color="auto"/>
            </w:tcBorders>
            <w:shd w:val="clear" w:color="auto" w:fill="auto"/>
          </w:tcPr>
          <w:p w:rsidR="005F1548" w:rsidRPr="008316F3" w:rsidRDefault="005F1548" w:rsidP="000F1869">
            <w:pPr>
              <w:pStyle w:val="TableHeading"/>
            </w:pPr>
            <w:r w:rsidRPr="008316F3">
              <w:t>Non</w:t>
            </w:r>
            <w:r w:rsidR="008316F3">
              <w:noBreakHyphen/>
            </w:r>
            <w:r w:rsidRPr="008316F3">
              <w:t>warlike service</w:t>
            </w:r>
          </w:p>
        </w:tc>
      </w:tr>
      <w:tr w:rsidR="005F1548" w:rsidRPr="008316F3" w:rsidTr="009203BE">
        <w:trPr>
          <w:tblHeader/>
        </w:trPr>
        <w:tc>
          <w:tcPr>
            <w:tcW w:w="365" w:type="pct"/>
            <w:tcBorders>
              <w:top w:val="single" w:sz="6" w:space="0" w:color="auto"/>
              <w:bottom w:val="single" w:sz="12" w:space="0" w:color="auto"/>
            </w:tcBorders>
            <w:shd w:val="clear" w:color="auto" w:fill="auto"/>
          </w:tcPr>
          <w:p w:rsidR="005F1548" w:rsidRPr="008316F3" w:rsidRDefault="005F1548" w:rsidP="000F1869">
            <w:pPr>
              <w:pStyle w:val="TableHeading"/>
            </w:pPr>
            <w:r w:rsidRPr="008316F3">
              <w:t>Item</w:t>
            </w:r>
          </w:p>
        </w:tc>
        <w:tc>
          <w:tcPr>
            <w:tcW w:w="737" w:type="pct"/>
            <w:tcBorders>
              <w:top w:val="single" w:sz="6" w:space="0" w:color="auto"/>
              <w:bottom w:val="single" w:sz="12" w:space="0" w:color="auto"/>
            </w:tcBorders>
            <w:shd w:val="clear" w:color="auto" w:fill="auto"/>
          </w:tcPr>
          <w:p w:rsidR="005F1548" w:rsidRPr="008316F3" w:rsidRDefault="005F1548" w:rsidP="000F1869">
            <w:pPr>
              <w:pStyle w:val="TableHeading"/>
            </w:pPr>
            <w:r w:rsidRPr="008316F3">
              <w:t>Name of operation</w:t>
            </w:r>
          </w:p>
        </w:tc>
        <w:tc>
          <w:tcPr>
            <w:tcW w:w="1105" w:type="pct"/>
            <w:tcBorders>
              <w:top w:val="single" w:sz="6" w:space="0" w:color="auto"/>
              <w:bottom w:val="single" w:sz="12" w:space="0" w:color="auto"/>
            </w:tcBorders>
            <w:shd w:val="clear" w:color="auto" w:fill="auto"/>
          </w:tcPr>
          <w:p w:rsidR="005F1548" w:rsidRPr="008316F3" w:rsidRDefault="005F1548" w:rsidP="000F1869">
            <w:pPr>
              <w:pStyle w:val="TableHeading"/>
            </w:pPr>
            <w:r w:rsidRPr="008316F3">
              <w:t>Nature of operation</w:t>
            </w:r>
          </w:p>
        </w:tc>
        <w:tc>
          <w:tcPr>
            <w:tcW w:w="1644" w:type="pct"/>
            <w:tcBorders>
              <w:top w:val="single" w:sz="6" w:space="0" w:color="auto"/>
              <w:bottom w:val="single" w:sz="12" w:space="0" w:color="auto"/>
            </w:tcBorders>
            <w:shd w:val="clear" w:color="auto" w:fill="auto"/>
          </w:tcPr>
          <w:p w:rsidR="005F1548" w:rsidRPr="008316F3" w:rsidRDefault="005F1548" w:rsidP="000F1869">
            <w:pPr>
              <w:pStyle w:val="TableHeading"/>
            </w:pPr>
            <w:r w:rsidRPr="008316F3">
              <w:t>Area of operation</w:t>
            </w:r>
          </w:p>
        </w:tc>
        <w:tc>
          <w:tcPr>
            <w:tcW w:w="1149" w:type="pct"/>
            <w:tcBorders>
              <w:top w:val="single" w:sz="6" w:space="0" w:color="auto"/>
              <w:bottom w:val="single" w:sz="12" w:space="0" w:color="auto"/>
            </w:tcBorders>
            <w:shd w:val="clear" w:color="auto" w:fill="auto"/>
          </w:tcPr>
          <w:p w:rsidR="005F1548" w:rsidRPr="008316F3" w:rsidRDefault="005F1548" w:rsidP="000F1869">
            <w:pPr>
              <w:pStyle w:val="TableHeading"/>
            </w:pPr>
            <w:r w:rsidRPr="008316F3">
              <w:t>Period</w:t>
            </w:r>
          </w:p>
        </w:tc>
      </w:tr>
      <w:tr w:rsidR="00B3581D" w:rsidRPr="008316F3" w:rsidTr="009203BE">
        <w:tc>
          <w:tcPr>
            <w:tcW w:w="365" w:type="pct"/>
            <w:shd w:val="clear" w:color="auto" w:fill="auto"/>
          </w:tcPr>
          <w:p w:rsidR="00B3581D" w:rsidRPr="008316F3" w:rsidRDefault="00796A78" w:rsidP="000409E5">
            <w:pPr>
              <w:pStyle w:val="Tabletext"/>
            </w:pPr>
            <w:bookmarkStart w:id="10" w:name="opcBkStart"/>
            <w:bookmarkEnd w:id="10"/>
            <w:r w:rsidRPr="008316F3">
              <w:t>1</w:t>
            </w:r>
          </w:p>
        </w:tc>
        <w:tc>
          <w:tcPr>
            <w:tcW w:w="737" w:type="pct"/>
            <w:shd w:val="clear" w:color="auto" w:fill="auto"/>
          </w:tcPr>
          <w:p w:rsidR="00B3581D" w:rsidRPr="008316F3" w:rsidRDefault="00B3581D" w:rsidP="000409E5">
            <w:pPr>
              <w:pStyle w:val="Tabletext"/>
            </w:pPr>
            <w:r w:rsidRPr="008316F3">
              <w:t>Banner</w:t>
            </w:r>
          </w:p>
        </w:tc>
        <w:tc>
          <w:tcPr>
            <w:tcW w:w="1105" w:type="pct"/>
            <w:shd w:val="clear" w:color="auto" w:fill="auto"/>
          </w:tcPr>
          <w:p w:rsidR="00B3581D" w:rsidRPr="008316F3" w:rsidRDefault="00EC6C9B" w:rsidP="000409E5">
            <w:pPr>
              <w:pStyle w:val="Tabletext"/>
            </w:pPr>
            <w:r w:rsidRPr="008316F3">
              <w:t>Defence Force contribution to the Cambodia Mine Action Centre and the United Nations Military Liaison Team</w:t>
            </w:r>
          </w:p>
        </w:tc>
        <w:tc>
          <w:tcPr>
            <w:tcW w:w="1644" w:type="pct"/>
            <w:shd w:val="clear" w:color="auto" w:fill="auto"/>
          </w:tcPr>
          <w:p w:rsidR="00B3581D" w:rsidRPr="008316F3" w:rsidRDefault="00B3581D" w:rsidP="000409E5">
            <w:pPr>
              <w:pStyle w:val="Tabletext"/>
            </w:pPr>
            <w:r w:rsidRPr="008316F3">
              <w:t>Cambodia and the areas of Laos and Thailand that are not more than 50</w:t>
            </w:r>
            <w:r w:rsidR="009203BE" w:rsidRPr="008316F3">
              <w:t xml:space="preserve"> </w:t>
            </w:r>
            <w:r w:rsidRPr="008316F3">
              <w:t>km from the border with Cambodia</w:t>
            </w:r>
          </w:p>
        </w:tc>
        <w:tc>
          <w:tcPr>
            <w:tcW w:w="1149" w:type="pct"/>
            <w:shd w:val="clear" w:color="auto" w:fill="auto"/>
          </w:tcPr>
          <w:p w:rsidR="00B3581D" w:rsidRPr="008316F3" w:rsidRDefault="00B3581D" w:rsidP="000409E5">
            <w:pPr>
              <w:pStyle w:val="Tabletext"/>
            </w:pPr>
            <w:r w:rsidRPr="008316F3">
              <w:t>8</w:t>
            </w:r>
            <w:r w:rsidR="008316F3" w:rsidRPr="008316F3">
              <w:t> </w:t>
            </w:r>
            <w:r w:rsidRPr="008316F3">
              <w:t>October 1993–4</w:t>
            </w:r>
            <w:r w:rsidR="008316F3" w:rsidRPr="008316F3">
              <w:t> </w:t>
            </w:r>
            <w:r w:rsidRPr="008316F3">
              <w:t>October 1999</w:t>
            </w:r>
          </w:p>
        </w:tc>
      </w:tr>
      <w:tr w:rsidR="00B3581D" w:rsidRPr="008316F3" w:rsidTr="009203BE">
        <w:tc>
          <w:tcPr>
            <w:tcW w:w="365" w:type="pct"/>
            <w:shd w:val="clear" w:color="auto" w:fill="auto"/>
          </w:tcPr>
          <w:p w:rsidR="00B3581D" w:rsidRPr="008316F3" w:rsidRDefault="00796A78" w:rsidP="000409E5">
            <w:pPr>
              <w:pStyle w:val="Tabletext"/>
            </w:pPr>
            <w:r w:rsidRPr="008316F3">
              <w:t>2</w:t>
            </w:r>
          </w:p>
        </w:tc>
        <w:tc>
          <w:tcPr>
            <w:tcW w:w="737" w:type="pct"/>
            <w:shd w:val="clear" w:color="auto" w:fill="auto"/>
          </w:tcPr>
          <w:p w:rsidR="00B3581D" w:rsidRPr="008316F3" w:rsidRDefault="00B3581D" w:rsidP="000409E5">
            <w:pPr>
              <w:pStyle w:val="Tabletext"/>
              <w:rPr>
                <w:i/>
              </w:rPr>
            </w:pPr>
          </w:p>
        </w:tc>
        <w:tc>
          <w:tcPr>
            <w:tcW w:w="1105" w:type="pct"/>
            <w:shd w:val="clear" w:color="auto" w:fill="auto"/>
          </w:tcPr>
          <w:p w:rsidR="00B3581D" w:rsidRPr="008316F3" w:rsidRDefault="00EC6C9B" w:rsidP="00EC6C9B">
            <w:pPr>
              <w:pStyle w:val="Tabletext"/>
            </w:pPr>
            <w:r w:rsidRPr="008316F3">
              <w:t>Defence Force c</w:t>
            </w:r>
            <w:r w:rsidR="00E90E3D" w:rsidRPr="008316F3">
              <w:t xml:space="preserve">ontribution to the </w:t>
            </w:r>
            <w:r w:rsidR="00B3581D" w:rsidRPr="008316F3">
              <w:t>United Nations Observer Mission in Guatemala</w:t>
            </w:r>
          </w:p>
        </w:tc>
        <w:tc>
          <w:tcPr>
            <w:tcW w:w="1644" w:type="pct"/>
            <w:shd w:val="clear" w:color="auto" w:fill="auto"/>
          </w:tcPr>
          <w:p w:rsidR="00B3581D" w:rsidRPr="008316F3" w:rsidRDefault="00B3581D" w:rsidP="000409E5">
            <w:pPr>
              <w:pStyle w:val="Tabletext"/>
            </w:pPr>
            <w:r w:rsidRPr="008316F3">
              <w:t>Guatemala</w:t>
            </w:r>
          </w:p>
        </w:tc>
        <w:tc>
          <w:tcPr>
            <w:tcW w:w="1149" w:type="pct"/>
            <w:shd w:val="clear" w:color="auto" w:fill="auto"/>
          </w:tcPr>
          <w:p w:rsidR="00B3581D" w:rsidRPr="008316F3" w:rsidRDefault="00B3581D" w:rsidP="000409E5">
            <w:pPr>
              <w:pStyle w:val="Tabletext"/>
            </w:pPr>
            <w:r w:rsidRPr="008316F3">
              <w:t>13</w:t>
            </w:r>
            <w:r w:rsidR="008316F3" w:rsidRPr="008316F3">
              <w:t> </w:t>
            </w:r>
            <w:r w:rsidRPr="008316F3">
              <w:t>February 1997–12</w:t>
            </w:r>
            <w:r w:rsidR="008316F3" w:rsidRPr="008316F3">
              <w:t> </w:t>
            </w:r>
            <w:r w:rsidRPr="008316F3">
              <w:t>May 1997</w:t>
            </w:r>
          </w:p>
        </w:tc>
      </w:tr>
      <w:tr w:rsidR="00B3581D" w:rsidRPr="008316F3" w:rsidTr="009203BE">
        <w:tc>
          <w:tcPr>
            <w:tcW w:w="365" w:type="pct"/>
            <w:shd w:val="clear" w:color="auto" w:fill="auto"/>
          </w:tcPr>
          <w:p w:rsidR="00B3581D" w:rsidRPr="008316F3" w:rsidRDefault="00796A78" w:rsidP="000F1869">
            <w:pPr>
              <w:pStyle w:val="Tabletext"/>
            </w:pPr>
            <w:r w:rsidRPr="008316F3">
              <w:t>3</w:t>
            </w:r>
          </w:p>
        </w:tc>
        <w:tc>
          <w:tcPr>
            <w:tcW w:w="737" w:type="pct"/>
            <w:shd w:val="clear" w:color="auto" w:fill="auto"/>
          </w:tcPr>
          <w:p w:rsidR="00B3581D" w:rsidRPr="008316F3" w:rsidRDefault="00B3581D" w:rsidP="00F40768">
            <w:pPr>
              <w:pStyle w:val="Tabletext"/>
            </w:pPr>
            <w:r w:rsidRPr="008316F3">
              <w:t>Vista</w:t>
            </w:r>
          </w:p>
        </w:tc>
        <w:tc>
          <w:tcPr>
            <w:tcW w:w="1105" w:type="pct"/>
            <w:shd w:val="clear" w:color="auto" w:fill="auto"/>
          </w:tcPr>
          <w:p w:rsidR="00B3581D" w:rsidRPr="008316F3" w:rsidRDefault="00EC6C9B" w:rsidP="00EC6C9B">
            <w:pPr>
              <w:pStyle w:val="Tabletext"/>
            </w:pPr>
            <w:r w:rsidRPr="008316F3">
              <w:t>Defence Force withdrawal of non</w:t>
            </w:r>
            <w:r w:rsidR="008316F3">
              <w:noBreakHyphen/>
            </w:r>
            <w:r w:rsidRPr="008316F3">
              <w:t>essential Australian personnel from Cambodia</w:t>
            </w:r>
          </w:p>
        </w:tc>
        <w:tc>
          <w:tcPr>
            <w:tcW w:w="1644" w:type="pct"/>
            <w:shd w:val="clear" w:color="auto" w:fill="auto"/>
          </w:tcPr>
          <w:p w:rsidR="00B3581D" w:rsidRPr="008316F3" w:rsidRDefault="00B3581D" w:rsidP="000F1869">
            <w:pPr>
              <w:pStyle w:val="Tabletext"/>
            </w:pPr>
            <w:r w:rsidRPr="008316F3">
              <w:t>Cambodia</w:t>
            </w:r>
          </w:p>
        </w:tc>
        <w:tc>
          <w:tcPr>
            <w:tcW w:w="1149" w:type="pct"/>
            <w:shd w:val="clear" w:color="auto" w:fill="auto"/>
          </w:tcPr>
          <w:p w:rsidR="00B3581D" w:rsidRPr="008316F3" w:rsidRDefault="00B3581D" w:rsidP="000F1869">
            <w:pPr>
              <w:pStyle w:val="Tabletext"/>
            </w:pPr>
            <w:r w:rsidRPr="008316F3">
              <w:t>5</w:t>
            </w:r>
            <w:r w:rsidR="008316F3" w:rsidRPr="008316F3">
              <w:t> </w:t>
            </w:r>
            <w:r w:rsidRPr="008316F3">
              <w:t>July 1997–14</w:t>
            </w:r>
            <w:r w:rsidR="008316F3" w:rsidRPr="008316F3">
              <w:t> </w:t>
            </w:r>
            <w:r w:rsidRPr="008316F3">
              <w:t>July 1997</w:t>
            </w:r>
          </w:p>
        </w:tc>
      </w:tr>
      <w:tr w:rsidR="00B3581D" w:rsidRPr="008316F3" w:rsidTr="009203BE">
        <w:tc>
          <w:tcPr>
            <w:tcW w:w="365" w:type="pct"/>
            <w:shd w:val="clear" w:color="auto" w:fill="auto"/>
          </w:tcPr>
          <w:p w:rsidR="00B3581D" w:rsidRPr="008316F3" w:rsidRDefault="00796A78" w:rsidP="000409E5">
            <w:pPr>
              <w:pStyle w:val="Tabletext"/>
            </w:pPr>
            <w:r w:rsidRPr="008316F3">
              <w:t>4</w:t>
            </w:r>
          </w:p>
        </w:tc>
        <w:tc>
          <w:tcPr>
            <w:tcW w:w="737" w:type="pct"/>
            <w:shd w:val="clear" w:color="auto" w:fill="auto"/>
          </w:tcPr>
          <w:p w:rsidR="00B3581D" w:rsidRPr="008316F3" w:rsidRDefault="00B3581D" w:rsidP="000409E5">
            <w:pPr>
              <w:pStyle w:val="Tabletext"/>
            </w:pPr>
          </w:p>
        </w:tc>
        <w:tc>
          <w:tcPr>
            <w:tcW w:w="1105" w:type="pct"/>
            <w:shd w:val="clear" w:color="auto" w:fill="auto"/>
          </w:tcPr>
          <w:p w:rsidR="00B3581D" w:rsidRPr="008316F3" w:rsidRDefault="00351792" w:rsidP="00EC6C9B">
            <w:pPr>
              <w:pStyle w:val="Tabletext"/>
            </w:pPr>
            <w:r w:rsidRPr="008316F3">
              <w:t>Defence Force contribution to the</w:t>
            </w:r>
            <w:r w:rsidR="00EC6C9B" w:rsidRPr="008316F3">
              <w:t xml:space="preserve"> United Nations Survey Team in Congo</w:t>
            </w:r>
          </w:p>
        </w:tc>
        <w:tc>
          <w:tcPr>
            <w:tcW w:w="1644" w:type="pct"/>
            <w:shd w:val="clear" w:color="auto" w:fill="auto"/>
          </w:tcPr>
          <w:p w:rsidR="00B3581D" w:rsidRPr="008316F3" w:rsidRDefault="00B3581D" w:rsidP="00E90E3D">
            <w:pPr>
              <w:pStyle w:val="Tabletext"/>
            </w:pPr>
            <w:r w:rsidRPr="008316F3">
              <w:t>Libreville (Gabon), Pointe Noire (Republic of the Congo) and Brazzaville (</w:t>
            </w:r>
            <w:r w:rsidR="00E90E3D" w:rsidRPr="008316F3">
              <w:t xml:space="preserve">Republic of </w:t>
            </w:r>
            <w:r w:rsidRPr="008316F3">
              <w:t>Congo)</w:t>
            </w:r>
          </w:p>
        </w:tc>
        <w:tc>
          <w:tcPr>
            <w:tcW w:w="1149" w:type="pct"/>
            <w:shd w:val="clear" w:color="auto" w:fill="auto"/>
          </w:tcPr>
          <w:p w:rsidR="00B3581D" w:rsidRPr="008316F3" w:rsidRDefault="00B3581D" w:rsidP="000409E5">
            <w:pPr>
              <w:pStyle w:val="Tabletext"/>
            </w:pPr>
            <w:r w:rsidRPr="008316F3">
              <w:t>25</w:t>
            </w:r>
            <w:r w:rsidR="008316F3" w:rsidRPr="008316F3">
              <w:t> </w:t>
            </w:r>
            <w:r w:rsidRPr="008316F3">
              <w:t>July 1997–7</w:t>
            </w:r>
            <w:r w:rsidR="008316F3" w:rsidRPr="008316F3">
              <w:t> </w:t>
            </w:r>
            <w:r w:rsidRPr="008316F3">
              <w:t>August 1997</w:t>
            </w:r>
          </w:p>
        </w:tc>
      </w:tr>
      <w:tr w:rsidR="00B3581D" w:rsidRPr="008316F3" w:rsidTr="009203BE">
        <w:tc>
          <w:tcPr>
            <w:tcW w:w="365" w:type="pct"/>
            <w:shd w:val="clear" w:color="auto" w:fill="auto"/>
          </w:tcPr>
          <w:p w:rsidR="00B3581D" w:rsidRPr="008316F3" w:rsidRDefault="00796A78" w:rsidP="000409E5">
            <w:pPr>
              <w:pStyle w:val="Tabletext"/>
            </w:pPr>
            <w:r w:rsidRPr="008316F3">
              <w:t>5</w:t>
            </w:r>
          </w:p>
        </w:tc>
        <w:tc>
          <w:tcPr>
            <w:tcW w:w="737" w:type="pct"/>
            <w:shd w:val="clear" w:color="auto" w:fill="auto"/>
          </w:tcPr>
          <w:p w:rsidR="00B3581D" w:rsidRPr="008316F3" w:rsidRDefault="00B3581D" w:rsidP="000409E5">
            <w:pPr>
              <w:pStyle w:val="Tabletext"/>
            </w:pPr>
            <w:r w:rsidRPr="008316F3">
              <w:t>Bel Isi and Bel Isi II</w:t>
            </w:r>
          </w:p>
        </w:tc>
        <w:tc>
          <w:tcPr>
            <w:tcW w:w="1105" w:type="pct"/>
            <w:shd w:val="clear" w:color="auto" w:fill="auto"/>
          </w:tcPr>
          <w:p w:rsidR="00B3581D" w:rsidRPr="008316F3" w:rsidRDefault="00351792" w:rsidP="00EC6C9B">
            <w:pPr>
              <w:pStyle w:val="Tabletext"/>
            </w:pPr>
            <w:r w:rsidRPr="008316F3">
              <w:t>Defence Force contribution to the T</w:t>
            </w:r>
            <w:r w:rsidR="00B3581D" w:rsidRPr="008316F3">
              <w:t>ruce Monitoring</w:t>
            </w:r>
            <w:r w:rsidRPr="008316F3">
              <w:t xml:space="preserve"> Group </w:t>
            </w:r>
            <w:r w:rsidR="00E90E3D" w:rsidRPr="008316F3">
              <w:t xml:space="preserve">or the </w:t>
            </w:r>
            <w:r w:rsidR="00B3581D" w:rsidRPr="008316F3">
              <w:t>Peace Monitoring Group</w:t>
            </w:r>
          </w:p>
        </w:tc>
        <w:tc>
          <w:tcPr>
            <w:tcW w:w="1644" w:type="pct"/>
            <w:shd w:val="clear" w:color="auto" w:fill="auto"/>
          </w:tcPr>
          <w:p w:rsidR="00B3581D" w:rsidRPr="008316F3" w:rsidRDefault="00EC6C9B" w:rsidP="003D17E3">
            <w:pPr>
              <w:pStyle w:val="Tabletext"/>
            </w:pPr>
            <w:r w:rsidRPr="008316F3">
              <w:t>Bougainville</w:t>
            </w:r>
            <w:r w:rsidR="003D17E3" w:rsidRPr="008316F3">
              <w:t xml:space="preserve"> Island</w:t>
            </w:r>
            <w:r w:rsidR="00B3581D" w:rsidRPr="008316F3">
              <w:t xml:space="preserve">, </w:t>
            </w:r>
            <w:proofErr w:type="spellStart"/>
            <w:r w:rsidR="00B3581D" w:rsidRPr="008316F3">
              <w:t>Buka</w:t>
            </w:r>
            <w:proofErr w:type="spellEnd"/>
            <w:r w:rsidR="00B3581D" w:rsidRPr="008316F3">
              <w:t xml:space="preserve"> Island and the territorial waters of Papua New Guinea surrounding those islands</w:t>
            </w:r>
          </w:p>
        </w:tc>
        <w:tc>
          <w:tcPr>
            <w:tcW w:w="1149" w:type="pct"/>
            <w:shd w:val="clear" w:color="auto" w:fill="auto"/>
          </w:tcPr>
          <w:p w:rsidR="00B3581D" w:rsidRPr="008316F3" w:rsidRDefault="00B3581D" w:rsidP="000409E5">
            <w:pPr>
              <w:pStyle w:val="Tabletext"/>
            </w:pPr>
            <w:r w:rsidRPr="008316F3">
              <w:t>20</w:t>
            </w:r>
            <w:r w:rsidR="008316F3" w:rsidRPr="008316F3">
              <w:t> </w:t>
            </w:r>
            <w:r w:rsidRPr="008316F3">
              <w:t>November 1997–26</w:t>
            </w:r>
            <w:r w:rsidR="008316F3" w:rsidRPr="008316F3">
              <w:t> </w:t>
            </w:r>
            <w:r w:rsidRPr="008316F3">
              <w:t>August 2003</w:t>
            </w:r>
          </w:p>
        </w:tc>
      </w:tr>
      <w:tr w:rsidR="00B3581D" w:rsidRPr="008316F3" w:rsidTr="009203BE">
        <w:tc>
          <w:tcPr>
            <w:tcW w:w="365" w:type="pct"/>
            <w:shd w:val="clear" w:color="auto" w:fill="auto"/>
          </w:tcPr>
          <w:p w:rsidR="00B3581D" w:rsidRPr="008316F3" w:rsidRDefault="00796A78" w:rsidP="000409E5">
            <w:pPr>
              <w:pStyle w:val="Tabletext"/>
            </w:pPr>
            <w:r w:rsidRPr="008316F3">
              <w:t>6</w:t>
            </w:r>
          </w:p>
        </w:tc>
        <w:tc>
          <w:tcPr>
            <w:tcW w:w="737" w:type="pct"/>
            <w:shd w:val="clear" w:color="auto" w:fill="auto"/>
          </w:tcPr>
          <w:p w:rsidR="00B3581D" w:rsidRPr="008316F3" w:rsidRDefault="00B3581D" w:rsidP="000409E5">
            <w:pPr>
              <w:pStyle w:val="Tabletext"/>
            </w:pPr>
            <w:r w:rsidRPr="008316F3">
              <w:t>Pollard</w:t>
            </w:r>
          </w:p>
        </w:tc>
        <w:tc>
          <w:tcPr>
            <w:tcW w:w="1105" w:type="pct"/>
            <w:shd w:val="clear" w:color="auto" w:fill="auto"/>
          </w:tcPr>
          <w:p w:rsidR="00B3581D" w:rsidRPr="008316F3" w:rsidRDefault="00EC6C9B" w:rsidP="000409E5">
            <w:pPr>
              <w:pStyle w:val="Tabletext"/>
            </w:pPr>
            <w:r w:rsidRPr="008316F3">
              <w:t>Defence Force contribution to the Coalition Force in the Middle East</w:t>
            </w:r>
          </w:p>
        </w:tc>
        <w:tc>
          <w:tcPr>
            <w:tcW w:w="1644" w:type="pct"/>
            <w:shd w:val="clear" w:color="auto" w:fill="auto"/>
          </w:tcPr>
          <w:p w:rsidR="00B3581D" w:rsidRPr="008316F3" w:rsidRDefault="00B3581D" w:rsidP="000409E5">
            <w:pPr>
              <w:pStyle w:val="Tabletext"/>
            </w:pPr>
            <w:r w:rsidRPr="008316F3">
              <w:t>All sea, airspace and land North and West from 5°00′S, 68°00</w:t>
            </w:r>
            <w:r w:rsidRPr="008316F3">
              <w:rPr>
                <w:szCs w:val="22"/>
              </w:rPr>
              <w:t>′</w:t>
            </w:r>
            <w:r w:rsidRPr="008316F3">
              <w:t>E and encompassing the outer boundaries of Pakistan, Afghanistan, Iran, Iraq, Jordan, Egypt, Sudan and Kenya</w:t>
            </w:r>
          </w:p>
        </w:tc>
        <w:tc>
          <w:tcPr>
            <w:tcW w:w="1149" w:type="pct"/>
            <w:shd w:val="clear" w:color="auto" w:fill="auto"/>
          </w:tcPr>
          <w:p w:rsidR="00B3581D" w:rsidRPr="008316F3" w:rsidRDefault="00B3581D" w:rsidP="000409E5">
            <w:pPr>
              <w:pStyle w:val="Tabletext"/>
            </w:pPr>
            <w:r w:rsidRPr="008316F3">
              <w:t>17</w:t>
            </w:r>
            <w:r w:rsidR="008316F3" w:rsidRPr="008316F3">
              <w:t> </w:t>
            </w:r>
            <w:r w:rsidRPr="008316F3">
              <w:t>February 1998–1</w:t>
            </w:r>
            <w:r w:rsidR="008316F3" w:rsidRPr="008316F3">
              <w:t> </w:t>
            </w:r>
            <w:r w:rsidRPr="008316F3">
              <w:t>October 2001</w:t>
            </w:r>
          </w:p>
        </w:tc>
      </w:tr>
      <w:tr w:rsidR="0005521F" w:rsidRPr="008316F3" w:rsidTr="009203BE">
        <w:tc>
          <w:tcPr>
            <w:tcW w:w="365" w:type="pct"/>
            <w:shd w:val="clear" w:color="auto" w:fill="auto"/>
          </w:tcPr>
          <w:p w:rsidR="0005521F" w:rsidRPr="008316F3" w:rsidRDefault="00796A78" w:rsidP="000409E5">
            <w:pPr>
              <w:pStyle w:val="Tabletext"/>
            </w:pPr>
            <w:r w:rsidRPr="008316F3">
              <w:t>7</w:t>
            </w:r>
          </w:p>
        </w:tc>
        <w:tc>
          <w:tcPr>
            <w:tcW w:w="737" w:type="pct"/>
            <w:shd w:val="clear" w:color="auto" w:fill="auto"/>
          </w:tcPr>
          <w:p w:rsidR="0005521F" w:rsidRPr="008316F3" w:rsidRDefault="0005521F" w:rsidP="000409E5">
            <w:pPr>
              <w:pStyle w:val="Tabletext"/>
            </w:pPr>
            <w:r w:rsidRPr="008316F3">
              <w:t>Agricola</w:t>
            </w:r>
          </w:p>
        </w:tc>
        <w:tc>
          <w:tcPr>
            <w:tcW w:w="1105" w:type="pct"/>
            <w:shd w:val="clear" w:color="auto" w:fill="auto"/>
          </w:tcPr>
          <w:p w:rsidR="0005521F" w:rsidRPr="008316F3" w:rsidRDefault="0005521F" w:rsidP="000409E5">
            <w:pPr>
              <w:pStyle w:val="Tabletext"/>
            </w:pPr>
          </w:p>
        </w:tc>
        <w:tc>
          <w:tcPr>
            <w:tcW w:w="1644" w:type="pct"/>
            <w:shd w:val="clear" w:color="auto" w:fill="auto"/>
          </w:tcPr>
          <w:p w:rsidR="0005521F" w:rsidRPr="008316F3" w:rsidRDefault="0005521F" w:rsidP="000409E5">
            <w:pPr>
              <w:pStyle w:val="Tabletext"/>
            </w:pPr>
            <w:r w:rsidRPr="008316F3">
              <w:t>Federal Republic of Yugoslavia, Albania and the Former Yugoslav Republic of Macedonia</w:t>
            </w:r>
          </w:p>
        </w:tc>
        <w:tc>
          <w:tcPr>
            <w:tcW w:w="1149" w:type="pct"/>
            <w:shd w:val="clear" w:color="auto" w:fill="auto"/>
          </w:tcPr>
          <w:p w:rsidR="0005521F" w:rsidRPr="008316F3" w:rsidRDefault="0005521F" w:rsidP="000409E5">
            <w:pPr>
              <w:pStyle w:val="Tabletext"/>
            </w:pPr>
            <w:r w:rsidRPr="008316F3">
              <w:t>25</w:t>
            </w:r>
            <w:r w:rsidR="008316F3" w:rsidRPr="008316F3">
              <w:t> </w:t>
            </w:r>
            <w:r w:rsidRPr="008316F3">
              <w:t>February 1999–10</w:t>
            </w:r>
            <w:r w:rsidR="008316F3" w:rsidRPr="008316F3">
              <w:t> </w:t>
            </w:r>
            <w:r w:rsidRPr="008316F3">
              <w:t>June 1999</w:t>
            </w:r>
          </w:p>
        </w:tc>
      </w:tr>
      <w:tr w:rsidR="0005521F" w:rsidRPr="008316F3" w:rsidTr="009203BE">
        <w:tc>
          <w:tcPr>
            <w:tcW w:w="365" w:type="pct"/>
            <w:shd w:val="clear" w:color="auto" w:fill="auto"/>
          </w:tcPr>
          <w:p w:rsidR="0005521F" w:rsidRPr="008316F3" w:rsidRDefault="00796A78" w:rsidP="000409E5">
            <w:pPr>
              <w:pStyle w:val="Tabletext"/>
            </w:pPr>
            <w:r w:rsidRPr="008316F3">
              <w:t>8</w:t>
            </w:r>
          </w:p>
        </w:tc>
        <w:tc>
          <w:tcPr>
            <w:tcW w:w="737" w:type="pct"/>
            <w:shd w:val="clear" w:color="auto" w:fill="auto"/>
          </w:tcPr>
          <w:p w:rsidR="0005521F" w:rsidRPr="008316F3" w:rsidRDefault="0005521F" w:rsidP="000409E5">
            <w:pPr>
              <w:pStyle w:val="Tabletext"/>
            </w:pPr>
            <w:r w:rsidRPr="008316F3">
              <w:t>Damask</w:t>
            </w:r>
          </w:p>
        </w:tc>
        <w:tc>
          <w:tcPr>
            <w:tcW w:w="1105" w:type="pct"/>
            <w:shd w:val="clear" w:color="auto" w:fill="auto"/>
          </w:tcPr>
          <w:p w:rsidR="0005521F" w:rsidRPr="008316F3" w:rsidRDefault="0005521F" w:rsidP="000409E5">
            <w:pPr>
              <w:pStyle w:val="Tabletext"/>
            </w:pPr>
            <w:r w:rsidRPr="008316F3">
              <w:t>Defence Force contribution to the Multi</w:t>
            </w:r>
            <w:r w:rsidR="008316F3">
              <w:noBreakHyphen/>
            </w:r>
            <w:r w:rsidRPr="008316F3">
              <w:t>national Maritime Interception Force</w:t>
            </w:r>
          </w:p>
        </w:tc>
        <w:tc>
          <w:tcPr>
            <w:tcW w:w="1644" w:type="pct"/>
            <w:shd w:val="clear" w:color="auto" w:fill="auto"/>
          </w:tcPr>
          <w:p w:rsidR="0005521F" w:rsidRPr="008316F3" w:rsidRDefault="0005521F" w:rsidP="000409E5">
            <w:pPr>
              <w:pStyle w:val="Tabletext"/>
            </w:pPr>
            <w:r w:rsidRPr="008316F3">
              <w:t>The area:</w:t>
            </w:r>
          </w:p>
          <w:p w:rsidR="0005521F" w:rsidRPr="008316F3" w:rsidRDefault="0005521F" w:rsidP="000409E5">
            <w:pPr>
              <w:pStyle w:val="Tablea"/>
              <w:rPr>
                <w:lang w:eastAsia="en-US"/>
              </w:rPr>
            </w:pPr>
            <w:r w:rsidRPr="008316F3">
              <w:t xml:space="preserve">(a) comprising all sea of the Arabian Gulf, the Gulf of Oman and the northern Arabian Sea bounded by </w:t>
            </w:r>
            <w:r w:rsidRPr="008316F3">
              <w:rPr>
                <w:lang w:eastAsia="en-US"/>
              </w:rPr>
              <w:t>latitude 20°00</w:t>
            </w:r>
            <w:r w:rsidRPr="008316F3">
              <w:rPr>
                <w:szCs w:val="22"/>
              </w:rPr>
              <w:t>′</w:t>
            </w:r>
            <w:r w:rsidRPr="008316F3">
              <w:rPr>
                <w:lang w:eastAsia="en-US"/>
              </w:rPr>
              <w:t xml:space="preserve">N and </w:t>
            </w:r>
            <w:r w:rsidRPr="008316F3">
              <w:t>longitude 61°</w:t>
            </w:r>
            <w:r w:rsidRPr="008316F3">
              <w:rPr>
                <w:lang w:eastAsia="en-US"/>
              </w:rPr>
              <w:t>50</w:t>
            </w:r>
            <w:r w:rsidRPr="008316F3">
              <w:rPr>
                <w:szCs w:val="22"/>
              </w:rPr>
              <w:t>′E</w:t>
            </w:r>
            <w:r w:rsidRPr="008316F3">
              <w:rPr>
                <w:lang w:eastAsia="en-US"/>
              </w:rPr>
              <w:t>; and</w:t>
            </w:r>
          </w:p>
          <w:p w:rsidR="0005521F" w:rsidRPr="008316F3" w:rsidRDefault="0005521F" w:rsidP="000409E5">
            <w:pPr>
              <w:pStyle w:val="Tablea"/>
            </w:pPr>
            <w:r w:rsidRPr="008316F3">
              <w:t xml:space="preserve">(b) including the ports adjacent to the area mentioned in </w:t>
            </w:r>
            <w:r w:rsidR="008316F3" w:rsidRPr="008316F3">
              <w:t>paragraph (</w:t>
            </w:r>
            <w:r w:rsidRPr="008316F3">
              <w:t>a), and the airfields and military facilities adjacent to those ports</w:t>
            </w:r>
          </w:p>
        </w:tc>
        <w:tc>
          <w:tcPr>
            <w:tcW w:w="1149" w:type="pct"/>
            <w:shd w:val="clear" w:color="auto" w:fill="auto"/>
          </w:tcPr>
          <w:p w:rsidR="0005521F" w:rsidRPr="008316F3" w:rsidRDefault="0005521F" w:rsidP="000409E5">
            <w:pPr>
              <w:pStyle w:val="Tabletext"/>
            </w:pPr>
            <w:r w:rsidRPr="008316F3">
              <w:t>18</w:t>
            </w:r>
            <w:r w:rsidR="008316F3" w:rsidRPr="008316F3">
              <w:t> </w:t>
            </w:r>
            <w:r w:rsidRPr="008316F3">
              <w:t>March 1999–19</w:t>
            </w:r>
            <w:r w:rsidR="008316F3" w:rsidRPr="008316F3">
              <w:t> </w:t>
            </w:r>
            <w:r w:rsidRPr="008316F3">
              <w:t>October 2001</w:t>
            </w:r>
          </w:p>
        </w:tc>
      </w:tr>
      <w:tr w:rsidR="0005521F" w:rsidRPr="008316F3" w:rsidTr="009203BE">
        <w:tc>
          <w:tcPr>
            <w:tcW w:w="365" w:type="pct"/>
            <w:shd w:val="clear" w:color="auto" w:fill="auto"/>
          </w:tcPr>
          <w:p w:rsidR="0005521F" w:rsidRPr="008316F3" w:rsidRDefault="00796A78" w:rsidP="000409E5">
            <w:pPr>
              <w:pStyle w:val="Tabletext"/>
            </w:pPr>
            <w:r w:rsidRPr="008316F3">
              <w:t>9</w:t>
            </w:r>
          </w:p>
        </w:tc>
        <w:tc>
          <w:tcPr>
            <w:tcW w:w="737" w:type="pct"/>
            <w:shd w:val="clear" w:color="auto" w:fill="auto"/>
          </w:tcPr>
          <w:p w:rsidR="0005521F" w:rsidRPr="008316F3" w:rsidRDefault="0005521F" w:rsidP="000409E5">
            <w:pPr>
              <w:pStyle w:val="Tabletext"/>
            </w:pPr>
            <w:r w:rsidRPr="008316F3">
              <w:t>Allied Force</w:t>
            </w:r>
          </w:p>
        </w:tc>
        <w:tc>
          <w:tcPr>
            <w:tcW w:w="1105" w:type="pct"/>
            <w:shd w:val="clear" w:color="auto" w:fill="auto"/>
          </w:tcPr>
          <w:p w:rsidR="0005521F" w:rsidRPr="008316F3" w:rsidRDefault="0005521F" w:rsidP="000409E5">
            <w:pPr>
              <w:pStyle w:val="Tabletext"/>
            </w:pPr>
            <w:r w:rsidRPr="008316F3">
              <w:t>Defence Force contribution to the NATO operation against the Federal Republic of Yugoslavia</w:t>
            </w:r>
          </w:p>
        </w:tc>
        <w:tc>
          <w:tcPr>
            <w:tcW w:w="1644" w:type="pct"/>
            <w:shd w:val="clear" w:color="auto" w:fill="auto"/>
          </w:tcPr>
          <w:p w:rsidR="0005521F" w:rsidRPr="008316F3" w:rsidRDefault="0005521F" w:rsidP="000409E5">
            <w:pPr>
              <w:pStyle w:val="Tabletext"/>
            </w:pPr>
            <w:r w:rsidRPr="008316F3">
              <w:t>Federal Republic of Yugoslavia, Albania, the Former Yugoslav Republic of Macedonia, the Adriatic Sea and NATO bases in Italy</w:t>
            </w:r>
          </w:p>
        </w:tc>
        <w:tc>
          <w:tcPr>
            <w:tcW w:w="1149" w:type="pct"/>
            <w:shd w:val="clear" w:color="auto" w:fill="auto"/>
          </w:tcPr>
          <w:p w:rsidR="0005521F" w:rsidRPr="008316F3" w:rsidRDefault="0005521F" w:rsidP="000409E5">
            <w:pPr>
              <w:pStyle w:val="Tabletext"/>
            </w:pPr>
            <w:r w:rsidRPr="008316F3">
              <w:t>15</w:t>
            </w:r>
            <w:r w:rsidR="008316F3" w:rsidRPr="008316F3">
              <w:t> </w:t>
            </w:r>
            <w:r w:rsidRPr="008316F3">
              <w:t>April 1999–3</w:t>
            </w:r>
            <w:r w:rsidR="008316F3" w:rsidRPr="008316F3">
              <w:t> </w:t>
            </w:r>
            <w:r w:rsidRPr="008316F3">
              <w:t>June 1999</w:t>
            </w:r>
          </w:p>
        </w:tc>
      </w:tr>
      <w:tr w:rsidR="0005521F" w:rsidRPr="008316F3" w:rsidTr="009203BE">
        <w:tc>
          <w:tcPr>
            <w:tcW w:w="365" w:type="pct"/>
            <w:shd w:val="clear" w:color="auto" w:fill="auto"/>
          </w:tcPr>
          <w:p w:rsidR="0005521F" w:rsidRPr="008316F3" w:rsidRDefault="0088178D" w:rsidP="00796A78">
            <w:pPr>
              <w:pStyle w:val="Tabletext"/>
            </w:pPr>
            <w:r w:rsidRPr="008316F3">
              <w:t>1</w:t>
            </w:r>
            <w:r w:rsidR="00796A78" w:rsidRPr="008316F3">
              <w:t>0</w:t>
            </w:r>
          </w:p>
        </w:tc>
        <w:tc>
          <w:tcPr>
            <w:tcW w:w="737" w:type="pct"/>
            <w:shd w:val="clear" w:color="auto" w:fill="auto"/>
          </w:tcPr>
          <w:p w:rsidR="0005521F" w:rsidRPr="008316F3" w:rsidRDefault="0005521F" w:rsidP="000409E5">
            <w:pPr>
              <w:pStyle w:val="Tabletext"/>
            </w:pPr>
            <w:r w:rsidRPr="008316F3">
              <w:t>Bolton</w:t>
            </w:r>
          </w:p>
        </w:tc>
        <w:tc>
          <w:tcPr>
            <w:tcW w:w="1105" w:type="pct"/>
            <w:shd w:val="clear" w:color="auto" w:fill="auto"/>
          </w:tcPr>
          <w:p w:rsidR="0005521F" w:rsidRPr="008316F3" w:rsidRDefault="0005521F" w:rsidP="009453BB">
            <w:pPr>
              <w:pStyle w:val="Tabletext"/>
            </w:pPr>
            <w:r w:rsidRPr="008316F3">
              <w:t xml:space="preserve">Defence Force contribution to </w:t>
            </w:r>
            <w:r w:rsidR="009453BB" w:rsidRPr="008316F3">
              <w:t xml:space="preserve">the Coalition Force operation to patrol the </w:t>
            </w:r>
            <w:r w:rsidRPr="008316F3">
              <w:t>Iraq No</w:t>
            </w:r>
            <w:r w:rsidR="008316F3">
              <w:noBreakHyphen/>
            </w:r>
            <w:r w:rsidRPr="008316F3">
              <w:t>Fly</w:t>
            </w:r>
            <w:r w:rsidR="008316F3">
              <w:noBreakHyphen/>
            </w:r>
            <w:r w:rsidRPr="008316F3">
              <w:t>Zone</w:t>
            </w:r>
          </w:p>
        </w:tc>
        <w:tc>
          <w:tcPr>
            <w:tcW w:w="1644" w:type="pct"/>
            <w:shd w:val="clear" w:color="auto" w:fill="auto"/>
          </w:tcPr>
          <w:p w:rsidR="0005521F" w:rsidRPr="008316F3" w:rsidRDefault="0005521F" w:rsidP="000409E5">
            <w:pPr>
              <w:pStyle w:val="Tabletext"/>
            </w:pPr>
            <w:r w:rsidRPr="008316F3">
              <w:t xml:space="preserve">Saudi Arabia, Kuwait and the </w:t>
            </w:r>
            <w:proofErr w:type="spellStart"/>
            <w:r w:rsidRPr="008316F3">
              <w:t>Incirlik</w:t>
            </w:r>
            <w:proofErr w:type="spellEnd"/>
            <w:r w:rsidRPr="008316F3">
              <w:t xml:space="preserve"> airbase in Turkey</w:t>
            </w:r>
          </w:p>
        </w:tc>
        <w:tc>
          <w:tcPr>
            <w:tcW w:w="1149" w:type="pct"/>
            <w:shd w:val="clear" w:color="auto" w:fill="auto"/>
          </w:tcPr>
          <w:p w:rsidR="0005521F" w:rsidRPr="008316F3" w:rsidRDefault="0005521F" w:rsidP="000409E5">
            <w:pPr>
              <w:pStyle w:val="Tabletext"/>
            </w:pPr>
            <w:r w:rsidRPr="008316F3">
              <w:t>13</w:t>
            </w:r>
            <w:r w:rsidR="008316F3" w:rsidRPr="008316F3">
              <w:t> </w:t>
            </w:r>
            <w:r w:rsidRPr="008316F3">
              <w:t>May 1999–12</w:t>
            </w:r>
            <w:r w:rsidR="008316F3" w:rsidRPr="008316F3">
              <w:t> </w:t>
            </w:r>
            <w:r w:rsidRPr="008316F3">
              <w:t>January 2003</w:t>
            </w:r>
          </w:p>
        </w:tc>
      </w:tr>
      <w:tr w:rsidR="007E4565" w:rsidRPr="008316F3" w:rsidTr="009203BE">
        <w:tc>
          <w:tcPr>
            <w:tcW w:w="365" w:type="pct"/>
            <w:shd w:val="clear" w:color="auto" w:fill="auto"/>
          </w:tcPr>
          <w:p w:rsidR="007E4565" w:rsidRPr="008316F3" w:rsidRDefault="007E4565" w:rsidP="00796A78">
            <w:pPr>
              <w:pStyle w:val="Tabletext"/>
            </w:pPr>
            <w:r w:rsidRPr="008316F3">
              <w:t>1</w:t>
            </w:r>
            <w:r w:rsidR="00796A78" w:rsidRPr="008316F3">
              <w:t>1</w:t>
            </w:r>
          </w:p>
        </w:tc>
        <w:tc>
          <w:tcPr>
            <w:tcW w:w="737" w:type="pct"/>
            <w:shd w:val="clear" w:color="auto" w:fill="auto"/>
          </w:tcPr>
          <w:p w:rsidR="007E4565" w:rsidRPr="008316F3" w:rsidRDefault="007E4565" w:rsidP="00EC6C9B">
            <w:pPr>
              <w:pStyle w:val="Tabletext"/>
            </w:pPr>
            <w:r w:rsidRPr="008316F3">
              <w:t>Joint Guardian</w:t>
            </w:r>
          </w:p>
        </w:tc>
        <w:tc>
          <w:tcPr>
            <w:tcW w:w="1105" w:type="pct"/>
            <w:shd w:val="clear" w:color="auto" w:fill="auto"/>
          </w:tcPr>
          <w:p w:rsidR="007E4565" w:rsidRPr="008316F3" w:rsidRDefault="007E4565" w:rsidP="00EC6C9B">
            <w:pPr>
              <w:pStyle w:val="Tabletext"/>
            </w:pPr>
            <w:r w:rsidRPr="008316F3">
              <w:t>United Nations Kosovo Force</w:t>
            </w:r>
          </w:p>
        </w:tc>
        <w:tc>
          <w:tcPr>
            <w:tcW w:w="1644" w:type="pct"/>
            <w:shd w:val="clear" w:color="auto" w:fill="auto"/>
          </w:tcPr>
          <w:p w:rsidR="007E4565" w:rsidRPr="008316F3" w:rsidRDefault="007E4565" w:rsidP="00EC6C9B">
            <w:pPr>
              <w:pStyle w:val="Tabletext"/>
            </w:pPr>
            <w:r w:rsidRPr="008316F3">
              <w:t>Albania, Serbia, Montenegro and the Former Yugoslav Republic of Macedonia</w:t>
            </w:r>
          </w:p>
        </w:tc>
        <w:tc>
          <w:tcPr>
            <w:tcW w:w="1149" w:type="pct"/>
            <w:shd w:val="clear" w:color="auto" w:fill="auto"/>
          </w:tcPr>
          <w:p w:rsidR="007E4565" w:rsidRPr="008316F3" w:rsidRDefault="007E4565" w:rsidP="00EC6C9B">
            <w:pPr>
              <w:pStyle w:val="Tabletext"/>
            </w:pPr>
            <w:r w:rsidRPr="008316F3">
              <w:t>11</w:t>
            </w:r>
            <w:r w:rsidR="008316F3" w:rsidRPr="008316F3">
              <w:t> </w:t>
            </w:r>
            <w:r w:rsidRPr="008316F3">
              <w:t>June 1999–12</w:t>
            </w:r>
            <w:r w:rsidR="008316F3" w:rsidRPr="008316F3">
              <w:t> </w:t>
            </w:r>
            <w:r w:rsidRPr="008316F3">
              <w:t>December 2011</w:t>
            </w:r>
          </w:p>
        </w:tc>
      </w:tr>
      <w:tr w:rsidR="007E4565" w:rsidRPr="008316F3" w:rsidTr="009203BE">
        <w:tc>
          <w:tcPr>
            <w:tcW w:w="365" w:type="pct"/>
            <w:shd w:val="clear" w:color="auto" w:fill="auto"/>
          </w:tcPr>
          <w:p w:rsidR="007E4565" w:rsidRPr="008316F3" w:rsidRDefault="00796A78" w:rsidP="000409E5">
            <w:pPr>
              <w:pStyle w:val="Tabletext"/>
            </w:pPr>
            <w:r w:rsidRPr="008316F3">
              <w:t>12</w:t>
            </w:r>
          </w:p>
        </w:tc>
        <w:tc>
          <w:tcPr>
            <w:tcW w:w="737" w:type="pct"/>
            <w:shd w:val="clear" w:color="auto" w:fill="auto"/>
          </w:tcPr>
          <w:p w:rsidR="007E4565" w:rsidRPr="008316F3" w:rsidRDefault="007E4565" w:rsidP="000409E5">
            <w:pPr>
              <w:pStyle w:val="Tabletext"/>
            </w:pPr>
            <w:r w:rsidRPr="008316F3">
              <w:t>Faber</w:t>
            </w:r>
          </w:p>
        </w:tc>
        <w:tc>
          <w:tcPr>
            <w:tcW w:w="1105" w:type="pct"/>
            <w:shd w:val="clear" w:color="auto" w:fill="auto"/>
          </w:tcPr>
          <w:p w:rsidR="007E4565" w:rsidRPr="008316F3" w:rsidRDefault="007E4565" w:rsidP="000409E5">
            <w:pPr>
              <w:pStyle w:val="Tabletext"/>
            </w:pPr>
            <w:r w:rsidRPr="008316F3">
              <w:t>Defence Force contribution to the United Nations Advance Mission in East Timor</w:t>
            </w:r>
          </w:p>
        </w:tc>
        <w:tc>
          <w:tcPr>
            <w:tcW w:w="1644" w:type="pct"/>
            <w:shd w:val="clear" w:color="auto" w:fill="auto"/>
          </w:tcPr>
          <w:p w:rsidR="007E4565" w:rsidRPr="008316F3" w:rsidRDefault="007E4565" w:rsidP="000409E5">
            <w:pPr>
              <w:pStyle w:val="Tabletext"/>
            </w:pPr>
            <w:r w:rsidRPr="008316F3">
              <w:t>East Timor and the territorial sea of Indonesia adjacent to East Timor</w:t>
            </w:r>
          </w:p>
        </w:tc>
        <w:tc>
          <w:tcPr>
            <w:tcW w:w="1149" w:type="pct"/>
            <w:shd w:val="clear" w:color="auto" w:fill="auto"/>
          </w:tcPr>
          <w:p w:rsidR="007E4565" w:rsidRPr="008316F3" w:rsidRDefault="007E4565" w:rsidP="000409E5">
            <w:pPr>
              <w:pStyle w:val="Tabletext"/>
            </w:pPr>
            <w:r w:rsidRPr="008316F3">
              <w:t>19</w:t>
            </w:r>
            <w:r w:rsidR="008316F3" w:rsidRPr="008316F3">
              <w:t> </w:t>
            </w:r>
            <w:r w:rsidRPr="008316F3">
              <w:t>June 1999–15</w:t>
            </w:r>
            <w:r w:rsidR="008316F3" w:rsidRPr="008316F3">
              <w:t> </w:t>
            </w:r>
            <w:r w:rsidRPr="008316F3">
              <w:t>September 1999</w:t>
            </w:r>
          </w:p>
        </w:tc>
      </w:tr>
      <w:tr w:rsidR="007E4565" w:rsidRPr="008316F3" w:rsidTr="009203BE">
        <w:tc>
          <w:tcPr>
            <w:tcW w:w="365" w:type="pct"/>
            <w:shd w:val="clear" w:color="auto" w:fill="auto"/>
          </w:tcPr>
          <w:p w:rsidR="007E4565" w:rsidRPr="008316F3" w:rsidRDefault="00796A78" w:rsidP="000409E5">
            <w:pPr>
              <w:pStyle w:val="Tabletext"/>
            </w:pPr>
            <w:r w:rsidRPr="008316F3">
              <w:t>13</w:t>
            </w:r>
          </w:p>
        </w:tc>
        <w:tc>
          <w:tcPr>
            <w:tcW w:w="737" w:type="pct"/>
            <w:shd w:val="clear" w:color="auto" w:fill="auto"/>
          </w:tcPr>
          <w:p w:rsidR="007E4565" w:rsidRPr="008316F3" w:rsidRDefault="007E4565" w:rsidP="000409E5">
            <w:pPr>
              <w:pStyle w:val="Tabletext"/>
            </w:pPr>
            <w:r w:rsidRPr="008316F3">
              <w:t>Spitfire</w:t>
            </w:r>
          </w:p>
        </w:tc>
        <w:tc>
          <w:tcPr>
            <w:tcW w:w="1105" w:type="pct"/>
            <w:shd w:val="clear" w:color="auto" w:fill="auto"/>
          </w:tcPr>
          <w:p w:rsidR="007E4565" w:rsidRPr="008316F3" w:rsidRDefault="007E4565" w:rsidP="000409E5">
            <w:pPr>
              <w:pStyle w:val="Tabletext"/>
            </w:pPr>
          </w:p>
        </w:tc>
        <w:tc>
          <w:tcPr>
            <w:tcW w:w="1644" w:type="pct"/>
            <w:shd w:val="clear" w:color="auto" w:fill="auto"/>
          </w:tcPr>
          <w:p w:rsidR="007E4565" w:rsidRPr="008316F3" w:rsidRDefault="007E4565" w:rsidP="000409E5">
            <w:pPr>
              <w:pStyle w:val="Tabletext"/>
            </w:pPr>
            <w:r w:rsidRPr="008316F3">
              <w:t>East Timor and the territorial sea of Indonesia adjacent to East Timor</w:t>
            </w:r>
          </w:p>
        </w:tc>
        <w:tc>
          <w:tcPr>
            <w:tcW w:w="1149" w:type="pct"/>
            <w:shd w:val="clear" w:color="auto" w:fill="auto"/>
          </w:tcPr>
          <w:p w:rsidR="007E4565" w:rsidRPr="008316F3" w:rsidRDefault="007E4565" w:rsidP="000409E5">
            <w:pPr>
              <w:pStyle w:val="Tabletext"/>
            </w:pPr>
            <w:r w:rsidRPr="008316F3">
              <w:t>6</w:t>
            </w:r>
            <w:r w:rsidR="008316F3" w:rsidRPr="008316F3">
              <w:t> </w:t>
            </w:r>
            <w:r w:rsidRPr="008316F3">
              <w:t>September 1999–19</w:t>
            </w:r>
            <w:r w:rsidR="008316F3" w:rsidRPr="008316F3">
              <w:t> </w:t>
            </w:r>
            <w:r w:rsidRPr="008316F3">
              <w:t>September 1999</w:t>
            </w:r>
          </w:p>
        </w:tc>
      </w:tr>
      <w:tr w:rsidR="007E4565" w:rsidRPr="008316F3" w:rsidTr="009203BE">
        <w:tc>
          <w:tcPr>
            <w:tcW w:w="365" w:type="pct"/>
            <w:shd w:val="clear" w:color="auto" w:fill="auto"/>
          </w:tcPr>
          <w:p w:rsidR="007E4565" w:rsidRPr="008316F3" w:rsidRDefault="00796A78" w:rsidP="000409E5">
            <w:pPr>
              <w:pStyle w:val="Tabletext"/>
            </w:pPr>
            <w:r w:rsidRPr="008316F3">
              <w:t>14</w:t>
            </w:r>
          </w:p>
        </w:tc>
        <w:tc>
          <w:tcPr>
            <w:tcW w:w="737" w:type="pct"/>
            <w:shd w:val="clear" w:color="auto" w:fill="auto"/>
          </w:tcPr>
          <w:p w:rsidR="007E4565" w:rsidRPr="008316F3" w:rsidRDefault="007E4565" w:rsidP="000409E5">
            <w:pPr>
              <w:pStyle w:val="Tabletext"/>
            </w:pPr>
            <w:r w:rsidRPr="008316F3">
              <w:t>Southern Watch</w:t>
            </w:r>
          </w:p>
        </w:tc>
        <w:tc>
          <w:tcPr>
            <w:tcW w:w="1105" w:type="pct"/>
            <w:shd w:val="clear" w:color="auto" w:fill="auto"/>
          </w:tcPr>
          <w:p w:rsidR="007E4565" w:rsidRPr="008316F3" w:rsidRDefault="007E4565" w:rsidP="009453BB">
            <w:pPr>
              <w:pStyle w:val="Tabletext"/>
            </w:pPr>
            <w:r w:rsidRPr="008316F3">
              <w:t>Defence Force contribution to the</w:t>
            </w:r>
            <w:r w:rsidR="009453BB" w:rsidRPr="008316F3">
              <w:t xml:space="preserve"> Coalition Force operation to patrol the </w:t>
            </w:r>
            <w:r w:rsidRPr="008316F3">
              <w:t>Iraq No</w:t>
            </w:r>
            <w:r w:rsidR="008316F3">
              <w:noBreakHyphen/>
            </w:r>
            <w:r w:rsidRPr="008316F3">
              <w:t>Fly</w:t>
            </w:r>
            <w:r w:rsidR="008316F3">
              <w:noBreakHyphen/>
            </w:r>
            <w:r w:rsidRPr="008316F3">
              <w:t>Zone</w:t>
            </w:r>
            <w:r w:rsidR="009453BB" w:rsidRPr="008316F3">
              <w:t>s</w:t>
            </w:r>
          </w:p>
        </w:tc>
        <w:tc>
          <w:tcPr>
            <w:tcW w:w="1644" w:type="pct"/>
            <w:shd w:val="clear" w:color="auto" w:fill="auto"/>
          </w:tcPr>
          <w:p w:rsidR="007E4565" w:rsidRPr="008316F3" w:rsidRDefault="007E4565" w:rsidP="000409E5">
            <w:pPr>
              <w:pStyle w:val="Tabletext"/>
            </w:pPr>
            <w:r w:rsidRPr="008316F3">
              <w:t xml:space="preserve">Saudi Arabia, Kuwait and the </w:t>
            </w:r>
            <w:proofErr w:type="spellStart"/>
            <w:r w:rsidRPr="008316F3">
              <w:t>Incirlik</w:t>
            </w:r>
            <w:proofErr w:type="spellEnd"/>
            <w:r w:rsidRPr="008316F3">
              <w:t xml:space="preserve"> airbase in Turkey</w:t>
            </w:r>
          </w:p>
        </w:tc>
        <w:tc>
          <w:tcPr>
            <w:tcW w:w="1149" w:type="pct"/>
            <w:shd w:val="clear" w:color="auto" w:fill="auto"/>
          </w:tcPr>
          <w:p w:rsidR="007E4565" w:rsidRPr="008316F3" w:rsidRDefault="007E4565" w:rsidP="000409E5">
            <w:pPr>
              <w:pStyle w:val="Tabletext"/>
            </w:pPr>
            <w:r w:rsidRPr="008316F3">
              <w:t>23</w:t>
            </w:r>
            <w:r w:rsidR="008316F3" w:rsidRPr="008316F3">
              <w:t> </w:t>
            </w:r>
            <w:r w:rsidRPr="008316F3">
              <w:t>September 1999–12</w:t>
            </w:r>
            <w:r w:rsidR="008316F3" w:rsidRPr="008316F3">
              <w:t> </w:t>
            </w:r>
            <w:r w:rsidRPr="008316F3">
              <w:t>January 2003</w:t>
            </w:r>
          </w:p>
        </w:tc>
      </w:tr>
      <w:tr w:rsidR="007E4565" w:rsidRPr="008316F3" w:rsidTr="009203BE">
        <w:tc>
          <w:tcPr>
            <w:tcW w:w="365" w:type="pct"/>
            <w:shd w:val="clear" w:color="auto" w:fill="auto"/>
          </w:tcPr>
          <w:p w:rsidR="007E4565" w:rsidRPr="008316F3" w:rsidRDefault="00796A78" w:rsidP="000F1869">
            <w:pPr>
              <w:pStyle w:val="Tabletext"/>
            </w:pPr>
            <w:r w:rsidRPr="008316F3">
              <w:t>15</w:t>
            </w:r>
          </w:p>
        </w:tc>
        <w:tc>
          <w:tcPr>
            <w:tcW w:w="737" w:type="pct"/>
            <w:shd w:val="clear" w:color="auto" w:fill="auto"/>
          </w:tcPr>
          <w:p w:rsidR="007E4565" w:rsidRPr="008316F3" w:rsidRDefault="007E4565" w:rsidP="000F1869">
            <w:pPr>
              <w:pStyle w:val="Tabletext"/>
            </w:pPr>
            <w:proofErr w:type="spellStart"/>
            <w:r w:rsidRPr="008316F3">
              <w:t>Plumbob</w:t>
            </w:r>
            <w:proofErr w:type="spellEnd"/>
          </w:p>
        </w:tc>
        <w:tc>
          <w:tcPr>
            <w:tcW w:w="1105" w:type="pct"/>
            <w:shd w:val="clear" w:color="auto" w:fill="auto"/>
          </w:tcPr>
          <w:p w:rsidR="007E4565" w:rsidRPr="008316F3" w:rsidRDefault="007E4565" w:rsidP="000F1869">
            <w:pPr>
              <w:pStyle w:val="Tabletext"/>
            </w:pPr>
          </w:p>
        </w:tc>
        <w:tc>
          <w:tcPr>
            <w:tcW w:w="1644" w:type="pct"/>
            <w:shd w:val="clear" w:color="auto" w:fill="auto"/>
          </w:tcPr>
          <w:p w:rsidR="007E4565" w:rsidRPr="008316F3" w:rsidRDefault="007E4565" w:rsidP="00557D15">
            <w:pPr>
              <w:pStyle w:val="Tabletext"/>
            </w:pPr>
            <w:r w:rsidRPr="008316F3">
              <w:t>Guadalcanal Island and the waters extending 12 nautical miles from the low w</w:t>
            </w:r>
            <w:r w:rsidR="009453BB" w:rsidRPr="008316F3">
              <w:t>ater mark of Guadalcanal Island</w:t>
            </w:r>
          </w:p>
        </w:tc>
        <w:tc>
          <w:tcPr>
            <w:tcW w:w="1149" w:type="pct"/>
            <w:shd w:val="clear" w:color="auto" w:fill="auto"/>
          </w:tcPr>
          <w:p w:rsidR="007E4565" w:rsidRPr="008316F3" w:rsidRDefault="007E4565" w:rsidP="000F1869">
            <w:pPr>
              <w:pStyle w:val="Tabletext"/>
            </w:pPr>
            <w:r w:rsidRPr="008316F3">
              <w:t>8</w:t>
            </w:r>
            <w:r w:rsidR="008316F3" w:rsidRPr="008316F3">
              <w:t> </w:t>
            </w:r>
            <w:r w:rsidRPr="008316F3">
              <w:t>June 2000–24</w:t>
            </w:r>
            <w:r w:rsidR="008316F3" w:rsidRPr="008316F3">
              <w:t> </w:t>
            </w:r>
            <w:r w:rsidRPr="008316F3">
              <w:t>June 2000</w:t>
            </w:r>
          </w:p>
        </w:tc>
      </w:tr>
      <w:tr w:rsidR="007E4565" w:rsidRPr="008316F3" w:rsidTr="009203BE">
        <w:tc>
          <w:tcPr>
            <w:tcW w:w="365" w:type="pct"/>
            <w:shd w:val="clear" w:color="auto" w:fill="auto"/>
          </w:tcPr>
          <w:p w:rsidR="007E4565" w:rsidRPr="008316F3" w:rsidRDefault="00796A78" w:rsidP="000409E5">
            <w:pPr>
              <w:pStyle w:val="Tabletext"/>
            </w:pPr>
            <w:r w:rsidRPr="008316F3">
              <w:t>16</w:t>
            </w:r>
          </w:p>
        </w:tc>
        <w:tc>
          <w:tcPr>
            <w:tcW w:w="737" w:type="pct"/>
            <w:shd w:val="clear" w:color="auto" w:fill="auto"/>
          </w:tcPr>
          <w:p w:rsidR="007E4565" w:rsidRPr="008316F3" w:rsidRDefault="007E4565" w:rsidP="000409E5">
            <w:pPr>
              <w:pStyle w:val="Tabletext"/>
            </w:pPr>
            <w:r w:rsidRPr="008316F3">
              <w:t>Trek</w:t>
            </w:r>
          </w:p>
        </w:tc>
        <w:tc>
          <w:tcPr>
            <w:tcW w:w="1105" w:type="pct"/>
            <w:shd w:val="clear" w:color="auto" w:fill="auto"/>
          </w:tcPr>
          <w:p w:rsidR="007E4565" w:rsidRPr="008316F3" w:rsidRDefault="007E4565" w:rsidP="000409E5">
            <w:pPr>
              <w:pStyle w:val="Tabletext"/>
            </w:pPr>
          </w:p>
        </w:tc>
        <w:tc>
          <w:tcPr>
            <w:tcW w:w="1644" w:type="pct"/>
            <w:shd w:val="clear" w:color="auto" w:fill="auto"/>
          </w:tcPr>
          <w:p w:rsidR="007E4565" w:rsidRPr="008316F3" w:rsidRDefault="007E4565" w:rsidP="000409E5">
            <w:pPr>
              <w:pStyle w:val="Tabletext"/>
            </w:pPr>
            <w:r w:rsidRPr="008316F3">
              <w:t>Solomon Islands and its territorial sea</w:t>
            </w:r>
          </w:p>
        </w:tc>
        <w:tc>
          <w:tcPr>
            <w:tcW w:w="1149" w:type="pct"/>
            <w:shd w:val="clear" w:color="auto" w:fill="auto"/>
          </w:tcPr>
          <w:p w:rsidR="007E4565" w:rsidRPr="008316F3" w:rsidRDefault="009453BB" w:rsidP="00971C8D">
            <w:pPr>
              <w:pStyle w:val="Tabletext"/>
            </w:pPr>
            <w:r w:rsidRPr="008316F3">
              <w:t xml:space="preserve">On and after </w:t>
            </w:r>
            <w:r w:rsidR="007E4565" w:rsidRPr="008316F3">
              <w:t>4</w:t>
            </w:r>
            <w:r w:rsidR="008316F3" w:rsidRPr="008316F3">
              <w:t> </w:t>
            </w:r>
            <w:r w:rsidR="007E4565" w:rsidRPr="008316F3">
              <w:t>November 2000</w:t>
            </w:r>
          </w:p>
        </w:tc>
      </w:tr>
      <w:tr w:rsidR="007E4565" w:rsidRPr="008316F3" w:rsidTr="009203BE">
        <w:tc>
          <w:tcPr>
            <w:tcW w:w="365" w:type="pct"/>
            <w:shd w:val="clear" w:color="auto" w:fill="auto"/>
          </w:tcPr>
          <w:p w:rsidR="007E4565" w:rsidRPr="008316F3" w:rsidRDefault="00796A78" w:rsidP="000F1869">
            <w:pPr>
              <w:pStyle w:val="Tabletext"/>
            </w:pPr>
            <w:r w:rsidRPr="008316F3">
              <w:t>17</w:t>
            </w:r>
          </w:p>
        </w:tc>
        <w:tc>
          <w:tcPr>
            <w:tcW w:w="737" w:type="pct"/>
            <w:shd w:val="clear" w:color="auto" w:fill="auto"/>
          </w:tcPr>
          <w:p w:rsidR="007E4565" w:rsidRPr="008316F3" w:rsidRDefault="007E4565" w:rsidP="000F1869">
            <w:pPr>
              <w:pStyle w:val="Tabletext"/>
            </w:pPr>
            <w:r w:rsidRPr="008316F3">
              <w:t>Pomelo</w:t>
            </w:r>
          </w:p>
        </w:tc>
        <w:tc>
          <w:tcPr>
            <w:tcW w:w="1105" w:type="pct"/>
            <w:shd w:val="clear" w:color="auto" w:fill="auto"/>
          </w:tcPr>
          <w:p w:rsidR="007E4565" w:rsidRPr="008316F3" w:rsidRDefault="007E4565" w:rsidP="000F1869">
            <w:pPr>
              <w:pStyle w:val="Tabletext"/>
            </w:pPr>
            <w:r w:rsidRPr="008316F3">
              <w:t>Defence Force contribution to the United Nations Mission in Ethiopia and Eritrea</w:t>
            </w:r>
          </w:p>
        </w:tc>
        <w:tc>
          <w:tcPr>
            <w:tcW w:w="1644" w:type="pct"/>
            <w:shd w:val="clear" w:color="auto" w:fill="auto"/>
          </w:tcPr>
          <w:p w:rsidR="007E4565" w:rsidRPr="008316F3" w:rsidRDefault="007E4565" w:rsidP="000F1869">
            <w:pPr>
              <w:pStyle w:val="Tabletext"/>
            </w:pPr>
            <w:r w:rsidRPr="008316F3">
              <w:t>Ethiopia and Eritrea</w:t>
            </w:r>
          </w:p>
        </w:tc>
        <w:tc>
          <w:tcPr>
            <w:tcW w:w="1149" w:type="pct"/>
            <w:shd w:val="clear" w:color="auto" w:fill="auto"/>
          </w:tcPr>
          <w:p w:rsidR="007E4565" w:rsidRPr="008316F3" w:rsidRDefault="007E4565" w:rsidP="000F1869">
            <w:pPr>
              <w:pStyle w:val="Tabletext"/>
            </w:pPr>
            <w:r w:rsidRPr="008316F3">
              <w:t>15</w:t>
            </w:r>
            <w:r w:rsidR="008316F3" w:rsidRPr="008316F3">
              <w:t> </w:t>
            </w:r>
            <w:r w:rsidRPr="008316F3">
              <w:t>January 2001–31</w:t>
            </w:r>
            <w:r w:rsidR="008316F3" w:rsidRPr="008316F3">
              <w:t> </w:t>
            </w:r>
            <w:r w:rsidRPr="008316F3">
              <w:t>May 2005</w:t>
            </w:r>
          </w:p>
        </w:tc>
      </w:tr>
      <w:tr w:rsidR="007E4565" w:rsidRPr="008316F3" w:rsidTr="009203BE">
        <w:tc>
          <w:tcPr>
            <w:tcW w:w="365" w:type="pct"/>
            <w:tcBorders>
              <w:bottom w:val="single" w:sz="2" w:space="0" w:color="auto"/>
            </w:tcBorders>
            <w:shd w:val="clear" w:color="auto" w:fill="auto"/>
          </w:tcPr>
          <w:p w:rsidR="007E4565" w:rsidRPr="008316F3" w:rsidRDefault="00796A78" w:rsidP="00EA7345">
            <w:pPr>
              <w:pStyle w:val="Tabletext"/>
            </w:pPr>
            <w:r w:rsidRPr="008316F3">
              <w:t>18</w:t>
            </w:r>
          </w:p>
        </w:tc>
        <w:tc>
          <w:tcPr>
            <w:tcW w:w="737" w:type="pct"/>
            <w:tcBorders>
              <w:bottom w:val="single" w:sz="2" w:space="0" w:color="auto"/>
            </w:tcBorders>
            <w:shd w:val="clear" w:color="auto" w:fill="auto"/>
          </w:tcPr>
          <w:p w:rsidR="007E4565" w:rsidRPr="008316F3" w:rsidRDefault="007E4565" w:rsidP="000F1869">
            <w:pPr>
              <w:pStyle w:val="Tabletext"/>
            </w:pPr>
            <w:r w:rsidRPr="008316F3">
              <w:t>Paladin</w:t>
            </w:r>
          </w:p>
        </w:tc>
        <w:tc>
          <w:tcPr>
            <w:tcW w:w="1105" w:type="pct"/>
            <w:tcBorders>
              <w:bottom w:val="single" w:sz="2" w:space="0" w:color="auto"/>
            </w:tcBorders>
            <w:shd w:val="clear" w:color="auto" w:fill="auto"/>
          </w:tcPr>
          <w:p w:rsidR="007E4565" w:rsidRPr="008316F3" w:rsidRDefault="007E4565" w:rsidP="000F1869">
            <w:pPr>
              <w:pStyle w:val="Tabletext"/>
            </w:pPr>
            <w:r w:rsidRPr="008316F3">
              <w:t>Defence Force contribution to the United Nations Truce Supervision Organization</w:t>
            </w:r>
          </w:p>
        </w:tc>
        <w:tc>
          <w:tcPr>
            <w:tcW w:w="1644" w:type="pct"/>
            <w:tcBorders>
              <w:bottom w:val="single" w:sz="2" w:space="0" w:color="auto"/>
            </w:tcBorders>
            <w:shd w:val="clear" w:color="auto" w:fill="auto"/>
          </w:tcPr>
          <w:p w:rsidR="007E4565" w:rsidRPr="008316F3" w:rsidRDefault="007E4565" w:rsidP="000F1869">
            <w:pPr>
              <w:pStyle w:val="Tabletext"/>
            </w:pPr>
            <w:r w:rsidRPr="008316F3">
              <w:t xml:space="preserve">The total land area, territorial waters and </w:t>
            </w:r>
            <w:proofErr w:type="spellStart"/>
            <w:r w:rsidRPr="008316F3">
              <w:t>superjacent</w:t>
            </w:r>
            <w:proofErr w:type="spellEnd"/>
            <w:r w:rsidRPr="008316F3">
              <w:t xml:space="preserve"> airspace within the internationally recognised boundaries of Israel, Jordan, Syria, Lebanon and Egypt</w:t>
            </w:r>
          </w:p>
        </w:tc>
        <w:tc>
          <w:tcPr>
            <w:tcW w:w="1149" w:type="pct"/>
            <w:tcBorders>
              <w:bottom w:val="single" w:sz="2" w:space="0" w:color="auto"/>
            </w:tcBorders>
            <w:shd w:val="clear" w:color="auto" w:fill="auto"/>
          </w:tcPr>
          <w:p w:rsidR="007E4565" w:rsidRPr="008316F3" w:rsidRDefault="007E4565" w:rsidP="000F1869">
            <w:pPr>
              <w:pStyle w:val="Tabletext"/>
            </w:pPr>
            <w:r w:rsidRPr="008316F3">
              <w:t>21</w:t>
            </w:r>
            <w:r w:rsidR="008316F3" w:rsidRPr="008316F3">
              <w:t> </w:t>
            </w:r>
            <w:r w:rsidRPr="008316F3">
              <w:t>April 2003–11</w:t>
            </w:r>
            <w:r w:rsidR="008316F3" w:rsidRPr="008316F3">
              <w:t> </w:t>
            </w:r>
            <w:r w:rsidRPr="008316F3">
              <w:t>July 2006</w:t>
            </w:r>
          </w:p>
        </w:tc>
      </w:tr>
      <w:tr w:rsidR="007E4565" w:rsidRPr="008316F3" w:rsidTr="009203BE">
        <w:tc>
          <w:tcPr>
            <w:tcW w:w="365" w:type="pct"/>
            <w:tcBorders>
              <w:top w:val="single" w:sz="2" w:space="0" w:color="auto"/>
              <w:bottom w:val="single" w:sz="2" w:space="0" w:color="auto"/>
            </w:tcBorders>
            <w:shd w:val="clear" w:color="auto" w:fill="auto"/>
          </w:tcPr>
          <w:p w:rsidR="007E4565" w:rsidRPr="008316F3" w:rsidRDefault="00796A78" w:rsidP="00796A78">
            <w:pPr>
              <w:pStyle w:val="Tabletext"/>
            </w:pPr>
            <w:r w:rsidRPr="008316F3">
              <w:t>18A</w:t>
            </w:r>
          </w:p>
        </w:tc>
        <w:tc>
          <w:tcPr>
            <w:tcW w:w="737" w:type="pct"/>
            <w:tcBorders>
              <w:top w:val="single" w:sz="2" w:space="0" w:color="auto"/>
              <w:bottom w:val="single" w:sz="2" w:space="0" w:color="auto"/>
            </w:tcBorders>
            <w:shd w:val="clear" w:color="auto" w:fill="auto"/>
          </w:tcPr>
          <w:p w:rsidR="007E4565" w:rsidRPr="008316F3" w:rsidRDefault="007E4565" w:rsidP="00500F12">
            <w:pPr>
              <w:pStyle w:val="Tabletext"/>
            </w:pPr>
            <w:r w:rsidRPr="008316F3">
              <w:t>Paladin</w:t>
            </w:r>
          </w:p>
        </w:tc>
        <w:tc>
          <w:tcPr>
            <w:tcW w:w="1105" w:type="pct"/>
            <w:tcBorders>
              <w:top w:val="single" w:sz="2" w:space="0" w:color="auto"/>
              <w:bottom w:val="single" w:sz="2" w:space="0" w:color="auto"/>
            </w:tcBorders>
            <w:shd w:val="clear" w:color="auto" w:fill="auto"/>
          </w:tcPr>
          <w:p w:rsidR="007E4565" w:rsidRPr="008316F3" w:rsidRDefault="007E4565" w:rsidP="00500F12">
            <w:pPr>
              <w:pStyle w:val="Tabletext"/>
            </w:pPr>
            <w:r w:rsidRPr="008316F3">
              <w:t>Defence Force contribution to the United Nations Truce Supervision Organization</w:t>
            </w:r>
          </w:p>
        </w:tc>
        <w:tc>
          <w:tcPr>
            <w:tcW w:w="1644" w:type="pct"/>
            <w:tcBorders>
              <w:top w:val="single" w:sz="2" w:space="0" w:color="auto"/>
              <w:bottom w:val="single" w:sz="2" w:space="0" w:color="auto"/>
            </w:tcBorders>
            <w:shd w:val="clear" w:color="auto" w:fill="auto"/>
          </w:tcPr>
          <w:p w:rsidR="007E4565" w:rsidRPr="008316F3" w:rsidRDefault="007E4565" w:rsidP="000F1869">
            <w:pPr>
              <w:pStyle w:val="Tabletext"/>
            </w:pPr>
            <w:r w:rsidRPr="008316F3">
              <w:t xml:space="preserve">The total land area, territorial waters and </w:t>
            </w:r>
            <w:proofErr w:type="spellStart"/>
            <w:r w:rsidRPr="008316F3">
              <w:t>superjacent</w:t>
            </w:r>
            <w:proofErr w:type="spellEnd"/>
            <w:r w:rsidRPr="008316F3">
              <w:t xml:space="preserve"> airspace within the internationally recognised boundaries of Israel, Jordan, Syria, Lebanon and Egypt, excluding the following area: Southern Lebanon bounded by 33°12</w:t>
            </w:r>
            <w:r w:rsidRPr="008316F3">
              <w:rPr>
                <w:szCs w:val="22"/>
              </w:rPr>
              <w:t>′</w:t>
            </w:r>
            <w:r w:rsidRPr="008316F3">
              <w:t>N 35°12</w:t>
            </w:r>
            <w:r w:rsidRPr="008316F3">
              <w:rPr>
                <w:szCs w:val="22"/>
              </w:rPr>
              <w:t>′</w:t>
            </w:r>
            <w:r w:rsidRPr="008316F3">
              <w:t>E, 33°10</w:t>
            </w:r>
            <w:r w:rsidRPr="008316F3">
              <w:rPr>
                <w:szCs w:val="22"/>
              </w:rPr>
              <w:t>′</w:t>
            </w:r>
            <w:r w:rsidRPr="008316F3">
              <w:t>N 35°20</w:t>
            </w:r>
            <w:r w:rsidRPr="008316F3">
              <w:rPr>
                <w:szCs w:val="22"/>
              </w:rPr>
              <w:t>′</w:t>
            </w:r>
            <w:r w:rsidRPr="008316F3">
              <w:t>E, 33°19</w:t>
            </w:r>
            <w:r w:rsidRPr="008316F3">
              <w:rPr>
                <w:szCs w:val="22"/>
              </w:rPr>
              <w:t>′</w:t>
            </w:r>
            <w:r w:rsidRPr="008316F3">
              <w:t>N 35°25</w:t>
            </w:r>
            <w:r w:rsidRPr="008316F3">
              <w:rPr>
                <w:szCs w:val="22"/>
              </w:rPr>
              <w:t>′</w:t>
            </w:r>
            <w:r w:rsidRPr="008316F3">
              <w:t xml:space="preserve">E, on the </w:t>
            </w:r>
            <w:proofErr w:type="spellStart"/>
            <w:r w:rsidRPr="008316F3">
              <w:t>Litani</w:t>
            </w:r>
            <w:proofErr w:type="spellEnd"/>
            <w:r w:rsidRPr="008316F3">
              <w:t xml:space="preserve"> River, then along the </w:t>
            </w:r>
            <w:proofErr w:type="spellStart"/>
            <w:r w:rsidRPr="008316F3">
              <w:t>Litani</w:t>
            </w:r>
            <w:proofErr w:type="spellEnd"/>
            <w:r w:rsidRPr="008316F3">
              <w:t xml:space="preserve"> River to 33°25</w:t>
            </w:r>
            <w:r w:rsidRPr="008316F3">
              <w:rPr>
                <w:szCs w:val="22"/>
              </w:rPr>
              <w:t>′</w:t>
            </w:r>
            <w:r w:rsidRPr="008316F3">
              <w:t>N 35°37</w:t>
            </w:r>
            <w:r w:rsidRPr="008316F3">
              <w:rPr>
                <w:szCs w:val="22"/>
              </w:rPr>
              <w:t>′</w:t>
            </w:r>
            <w:r w:rsidRPr="008316F3">
              <w:t>E, 33°22</w:t>
            </w:r>
            <w:r w:rsidRPr="008316F3">
              <w:rPr>
                <w:szCs w:val="22"/>
              </w:rPr>
              <w:t>′</w:t>
            </w:r>
            <w:r w:rsidRPr="008316F3">
              <w:t>N 35°49</w:t>
            </w:r>
            <w:r w:rsidRPr="008316F3">
              <w:rPr>
                <w:szCs w:val="22"/>
              </w:rPr>
              <w:t>′</w:t>
            </w:r>
            <w:r w:rsidRPr="008316F3">
              <w:t>E, on the Syria</w:t>
            </w:r>
            <w:r w:rsidR="008316F3">
              <w:noBreakHyphen/>
            </w:r>
            <w:r w:rsidRPr="008316F3">
              <w:t>Lebanon border, then south to the junction of the Syria</w:t>
            </w:r>
            <w:r w:rsidR="008316F3">
              <w:noBreakHyphen/>
            </w:r>
            <w:r w:rsidRPr="008316F3">
              <w:t>Lebanon</w:t>
            </w:r>
            <w:r w:rsidR="008316F3">
              <w:noBreakHyphen/>
            </w:r>
            <w:r w:rsidRPr="008316F3">
              <w:t>Israel border, then east along the Lebanon</w:t>
            </w:r>
            <w:r w:rsidR="008316F3">
              <w:noBreakHyphen/>
            </w:r>
            <w:r w:rsidRPr="008316F3">
              <w:t>Israel border to the coast, then north along the coast to 33°12</w:t>
            </w:r>
            <w:r w:rsidRPr="008316F3">
              <w:rPr>
                <w:szCs w:val="22"/>
              </w:rPr>
              <w:t>′</w:t>
            </w:r>
            <w:r w:rsidRPr="008316F3">
              <w:t>N 35°12</w:t>
            </w:r>
            <w:r w:rsidRPr="008316F3">
              <w:rPr>
                <w:szCs w:val="22"/>
              </w:rPr>
              <w:t>′</w:t>
            </w:r>
            <w:r w:rsidRPr="008316F3">
              <w:t>E</w:t>
            </w:r>
          </w:p>
        </w:tc>
        <w:tc>
          <w:tcPr>
            <w:tcW w:w="1149" w:type="pct"/>
            <w:tcBorders>
              <w:top w:val="single" w:sz="2" w:space="0" w:color="auto"/>
              <w:bottom w:val="single" w:sz="2" w:space="0" w:color="auto"/>
            </w:tcBorders>
            <w:shd w:val="clear" w:color="auto" w:fill="auto"/>
          </w:tcPr>
          <w:p w:rsidR="007E4565" w:rsidRPr="008316F3" w:rsidRDefault="007E4565" w:rsidP="000F1869">
            <w:pPr>
              <w:pStyle w:val="Tabletext"/>
            </w:pPr>
            <w:r w:rsidRPr="008316F3">
              <w:t>12</w:t>
            </w:r>
            <w:r w:rsidR="008316F3" w:rsidRPr="008316F3">
              <w:t> </w:t>
            </w:r>
            <w:r w:rsidRPr="008316F3">
              <w:t>July 2006–14</w:t>
            </w:r>
            <w:r w:rsidR="008316F3" w:rsidRPr="008316F3">
              <w:t> </w:t>
            </w:r>
            <w:r w:rsidRPr="008316F3">
              <w:t>August 2006</w:t>
            </w:r>
          </w:p>
        </w:tc>
      </w:tr>
      <w:tr w:rsidR="007E4565" w:rsidRPr="008316F3" w:rsidTr="009203BE">
        <w:tc>
          <w:tcPr>
            <w:tcW w:w="365" w:type="pct"/>
            <w:tcBorders>
              <w:top w:val="single" w:sz="2" w:space="0" w:color="auto"/>
            </w:tcBorders>
            <w:shd w:val="clear" w:color="auto" w:fill="auto"/>
          </w:tcPr>
          <w:p w:rsidR="007E4565" w:rsidRPr="008316F3" w:rsidRDefault="00796A78" w:rsidP="00796A78">
            <w:pPr>
              <w:pStyle w:val="Tabletext"/>
            </w:pPr>
            <w:r w:rsidRPr="008316F3">
              <w:t>18B</w:t>
            </w:r>
          </w:p>
        </w:tc>
        <w:tc>
          <w:tcPr>
            <w:tcW w:w="737" w:type="pct"/>
            <w:tcBorders>
              <w:top w:val="single" w:sz="2" w:space="0" w:color="auto"/>
            </w:tcBorders>
            <w:shd w:val="clear" w:color="auto" w:fill="auto"/>
          </w:tcPr>
          <w:p w:rsidR="007E4565" w:rsidRPr="008316F3" w:rsidRDefault="007E4565" w:rsidP="00500F12">
            <w:pPr>
              <w:pStyle w:val="Tabletext"/>
            </w:pPr>
            <w:r w:rsidRPr="008316F3">
              <w:t>Paladin</w:t>
            </w:r>
          </w:p>
        </w:tc>
        <w:tc>
          <w:tcPr>
            <w:tcW w:w="1105" w:type="pct"/>
            <w:tcBorders>
              <w:top w:val="single" w:sz="2" w:space="0" w:color="auto"/>
            </w:tcBorders>
            <w:shd w:val="clear" w:color="auto" w:fill="auto"/>
          </w:tcPr>
          <w:p w:rsidR="007E4565" w:rsidRPr="008316F3" w:rsidRDefault="007E4565" w:rsidP="00500F12">
            <w:pPr>
              <w:pStyle w:val="Tabletext"/>
            </w:pPr>
            <w:r w:rsidRPr="008316F3">
              <w:t>Defence Force contribution to the United Nations Truce Supervision Organization</w:t>
            </w:r>
          </w:p>
        </w:tc>
        <w:tc>
          <w:tcPr>
            <w:tcW w:w="1644" w:type="pct"/>
            <w:tcBorders>
              <w:top w:val="single" w:sz="2" w:space="0" w:color="auto"/>
            </w:tcBorders>
            <w:shd w:val="clear" w:color="auto" w:fill="auto"/>
          </w:tcPr>
          <w:p w:rsidR="007E4565" w:rsidRPr="008316F3" w:rsidRDefault="007E4565" w:rsidP="000F1869">
            <w:pPr>
              <w:pStyle w:val="Tabletext"/>
            </w:pPr>
            <w:r w:rsidRPr="008316F3">
              <w:t xml:space="preserve">The total land area, territorial waters and </w:t>
            </w:r>
            <w:proofErr w:type="spellStart"/>
            <w:r w:rsidRPr="008316F3">
              <w:t>superjacent</w:t>
            </w:r>
            <w:proofErr w:type="spellEnd"/>
            <w:r w:rsidRPr="008316F3">
              <w:t xml:space="preserve"> airspace within the internationally recognised boundaries of Israel, Jordan, Syria, Lebanon and Egypt</w:t>
            </w:r>
          </w:p>
        </w:tc>
        <w:tc>
          <w:tcPr>
            <w:tcW w:w="1149" w:type="pct"/>
            <w:tcBorders>
              <w:top w:val="single" w:sz="2" w:space="0" w:color="auto"/>
            </w:tcBorders>
            <w:shd w:val="clear" w:color="auto" w:fill="auto"/>
          </w:tcPr>
          <w:p w:rsidR="007E4565" w:rsidRPr="008316F3" w:rsidRDefault="007E4565" w:rsidP="000F1869">
            <w:pPr>
              <w:pStyle w:val="Tabletext"/>
            </w:pPr>
            <w:r w:rsidRPr="008316F3">
              <w:t>On and after 15</w:t>
            </w:r>
            <w:r w:rsidR="008316F3" w:rsidRPr="008316F3">
              <w:t> </w:t>
            </w:r>
            <w:r w:rsidRPr="008316F3">
              <w:t>August 2006</w:t>
            </w:r>
          </w:p>
        </w:tc>
      </w:tr>
      <w:tr w:rsidR="007E4565" w:rsidRPr="008316F3" w:rsidTr="009203BE">
        <w:tc>
          <w:tcPr>
            <w:tcW w:w="365" w:type="pct"/>
            <w:shd w:val="clear" w:color="auto" w:fill="auto"/>
          </w:tcPr>
          <w:p w:rsidR="007E4565" w:rsidRPr="008316F3" w:rsidRDefault="00796A78" w:rsidP="0002626C">
            <w:pPr>
              <w:pStyle w:val="Tabletext"/>
            </w:pPr>
            <w:r w:rsidRPr="008316F3">
              <w:t>19</w:t>
            </w:r>
          </w:p>
        </w:tc>
        <w:tc>
          <w:tcPr>
            <w:tcW w:w="737" w:type="pct"/>
            <w:shd w:val="clear" w:color="auto" w:fill="auto"/>
          </w:tcPr>
          <w:p w:rsidR="007E4565" w:rsidRPr="008316F3" w:rsidRDefault="007E4565" w:rsidP="000F1869">
            <w:pPr>
              <w:pStyle w:val="Tabletext"/>
            </w:pPr>
            <w:r w:rsidRPr="008316F3">
              <w:t>Anode</w:t>
            </w:r>
          </w:p>
        </w:tc>
        <w:tc>
          <w:tcPr>
            <w:tcW w:w="1105" w:type="pct"/>
            <w:shd w:val="clear" w:color="auto" w:fill="auto"/>
          </w:tcPr>
          <w:p w:rsidR="007E4565" w:rsidRPr="008316F3" w:rsidRDefault="007E4565" w:rsidP="000F1869">
            <w:pPr>
              <w:pStyle w:val="Tabletext"/>
            </w:pPr>
            <w:r w:rsidRPr="008316F3">
              <w:t>Defence Force contribution to the Australian Government’s Strengthened Assistance Framework Program in support of the Solomon Islands Government</w:t>
            </w:r>
          </w:p>
        </w:tc>
        <w:tc>
          <w:tcPr>
            <w:tcW w:w="1644" w:type="pct"/>
            <w:shd w:val="clear" w:color="auto" w:fill="auto"/>
          </w:tcPr>
          <w:p w:rsidR="007E4565" w:rsidRPr="008316F3" w:rsidRDefault="007E4565" w:rsidP="002014F5">
            <w:pPr>
              <w:pStyle w:val="Tabletext"/>
            </w:pPr>
            <w:r w:rsidRPr="008316F3">
              <w:t xml:space="preserve">The total land area, territorial waters and </w:t>
            </w:r>
            <w:proofErr w:type="spellStart"/>
            <w:r w:rsidRPr="008316F3">
              <w:t>superjacent</w:t>
            </w:r>
            <w:proofErr w:type="spellEnd"/>
            <w:r w:rsidRPr="008316F3">
              <w:t xml:space="preserve"> airspace boundaries of the Solomon Islands</w:t>
            </w:r>
          </w:p>
        </w:tc>
        <w:tc>
          <w:tcPr>
            <w:tcW w:w="1149" w:type="pct"/>
            <w:shd w:val="clear" w:color="auto" w:fill="auto"/>
          </w:tcPr>
          <w:p w:rsidR="007E4565" w:rsidRPr="008316F3" w:rsidRDefault="007E4565" w:rsidP="000F1869">
            <w:pPr>
              <w:pStyle w:val="Tabletext"/>
            </w:pPr>
            <w:r w:rsidRPr="008316F3">
              <w:t>24</w:t>
            </w:r>
            <w:r w:rsidR="008316F3" w:rsidRPr="008316F3">
              <w:t> </w:t>
            </w:r>
            <w:r w:rsidRPr="008316F3">
              <w:t>July 2003–30</w:t>
            </w:r>
            <w:r w:rsidR="008316F3" w:rsidRPr="008316F3">
              <w:t> </w:t>
            </w:r>
            <w:r w:rsidRPr="008316F3">
              <w:t>September 2013</w:t>
            </w:r>
          </w:p>
        </w:tc>
      </w:tr>
      <w:tr w:rsidR="007E4565" w:rsidRPr="008316F3" w:rsidTr="009203BE">
        <w:tc>
          <w:tcPr>
            <w:tcW w:w="365" w:type="pct"/>
            <w:shd w:val="clear" w:color="auto" w:fill="auto"/>
          </w:tcPr>
          <w:p w:rsidR="007E4565" w:rsidRPr="008316F3" w:rsidRDefault="00796A78" w:rsidP="00D36997">
            <w:pPr>
              <w:pStyle w:val="Tabletext"/>
            </w:pPr>
            <w:r w:rsidRPr="008316F3">
              <w:t>20</w:t>
            </w:r>
          </w:p>
        </w:tc>
        <w:tc>
          <w:tcPr>
            <w:tcW w:w="737" w:type="pct"/>
            <w:shd w:val="clear" w:color="auto" w:fill="auto"/>
          </w:tcPr>
          <w:p w:rsidR="007E4565" w:rsidRPr="008316F3" w:rsidRDefault="007E4565" w:rsidP="000F1869">
            <w:pPr>
              <w:pStyle w:val="Tabletext"/>
            </w:pPr>
            <w:r w:rsidRPr="008316F3">
              <w:t>Citadel</w:t>
            </w:r>
          </w:p>
        </w:tc>
        <w:tc>
          <w:tcPr>
            <w:tcW w:w="1105" w:type="pct"/>
            <w:shd w:val="clear" w:color="auto" w:fill="auto"/>
          </w:tcPr>
          <w:p w:rsidR="007E4565" w:rsidRPr="008316F3" w:rsidRDefault="007E4565" w:rsidP="000F1869">
            <w:pPr>
              <w:pStyle w:val="Tabletext"/>
            </w:pPr>
            <w:r w:rsidRPr="008316F3">
              <w:t>United Nations Mission of Support in East Timor</w:t>
            </w:r>
          </w:p>
        </w:tc>
        <w:tc>
          <w:tcPr>
            <w:tcW w:w="1644" w:type="pct"/>
            <w:shd w:val="clear" w:color="auto" w:fill="auto"/>
          </w:tcPr>
          <w:p w:rsidR="007E4565" w:rsidRPr="008316F3" w:rsidRDefault="007E4565" w:rsidP="000F1869">
            <w:pPr>
              <w:pStyle w:val="Tabletext"/>
            </w:pPr>
            <w:r w:rsidRPr="008316F3">
              <w:t>East Timor and the territorial sea of East Timor</w:t>
            </w:r>
          </w:p>
        </w:tc>
        <w:tc>
          <w:tcPr>
            <w:tcW w:w="1149" w:type="pct"/>
            <w:shd w:val="clear" w:color="auto" w:fill="auto"/>
          </w:tcPr>
          <w:p w:rsidR="007E4565" w:rsidRPr="008316F3" w:rsidRDefault="007E4565" w:rsidP="000F1869">
            <w:pPr>
              <w:pStyle w:val="Tabletext"/>
            </w:pPr>
            <w:r w:rsidRPr="008316F3">
              <w:t>18</w:t>
            </w:r>
            <w:r w:rsidR="008316F3" w:rsidRPr="008316F3">
              <w:t> </w:t>
            </w:r>
            <w:r w:rsidRPr="008316F3">
              <w:t>August 2003–26</w:t>
            </w:r>
            <w:r w:rsidR="008316F3" w:rsidRPr="008316F3">
              <w:t> </w:t>
            </w:r>
            <w:r w:rsidRPr="008316F3">
              <w:t>June 2008</w:t>
            </w:r>
          </w:p>
        </w:tc>
      </w:tr>
      <w:tr w:rsidR="007E4565" w:rsidRPr="008316F3" w:rsidTr="009203BE">
        <w:tc>
          <w:tcPr>
            <w:tcW w:w="365" w:type="pct"/>
            <w:shd w:val="clear" w:color="auto" w:fill="auto"/>
          </w:tcPr>
          <w:p w:rsidR="007E4565" w:rsidRPr="008316F3" w:rsidRDefault="00796A78" w:rsidP="00D36997">
            <w:pPr>
              <w:pStyle w:val="Tabletext"/>
            </w:pPr>
            <w:r w:rsidRPr="008316F3">
              <w:t>21</w:t>
            </w:r>
          </w:p>
        </w:tc>
        <w:tc>
          <w:tcPr>
            <w:tcW w:w="737" w:type="pct"/>
            <w:shd w:val="clear" w:color="auto" w:fill="auto"/>
          </w:tcPr>
          <w:p w:rsidR="007E4565" w:rsidRPr="008316F3" w:rsidRDefault="007E4565" w:rsidP="000F1869">
            <w:pPr>
              <w:pStyle w:val="Tabletext"/>
            </w:pPr>
            <w:r w:rsidRPr="008316F3">
              <w:t>Spire</w:t>
            </w:r>
          </w:p>
        </w:tc>
        <w:tc>
          <w:tcPr>
            <w:tcW w:w="1105" w:type="pct"/>
            <w:shd w:val="clear" w:color="auto" w:fill="auto"/>
          </w:tcPr>
          <w:p w:rsidR="007E4565" w:rsidRPr="008316F3" w:rsidRDefault="007E4565" w:rsidP="000F1869">
            <w:pPr>
              <w:pStyle w:val="Tabletext"/>
            </w:pPr>
            <w:r w:rsidRPr="008316F3">
              <w:t>United Nations Mission of Support in East Timor</w:t>
            </w:r>
          </w:p>
        </w:tc>
        <w:tc>
          <w:tcPr>
            <w:tcW w:w="1644" w:type="pct"/>
            <w:shd w:val="clear" w:color="auto" w:fill="auto"/>
          </w:tcPr>
          <w:p w:rsidR="007E4565" w:rsidRPr="008316F3" w:rsidRDefault="007E4565" w:rsidP="000F1869">
            <w:pPr>
              <w:pStyle w:val="Tabletext"/>
            </w:pPr>
            <w:r w:rsidRPr="008316F3">
              <w:t>East Timor and the territorial sea of East Timor</w:t>
            </w:r>
          </w:p>
        </w:tc>
        <w:tc>
          <w:tcPr>
            <w:tcW w:w="1149" w:type="pct"/>
            <w:shd w:val="clear" w:color="auto" w:fill="auto"/>
          </w:tcPr>
          <w:p w:rsidR="007E4565" w:rsidRPr="008316F3" w:rsidRDefault="007E4565" w:rsidP="000F1869">
            <w:pPr>
              <w:pStyle w:val="Tabletext"/>
            </w:pPr>
            <w:r w:rsidRPr="008316F3">
              <w:t>20</w:t>
            </w:r>
            <w:r w:rsidR="008316F3" w:rsidRPr="008316F3">
              <w:t> </w:t>
            </w:r>
            <w:r w:rsidRPr="008316F3">
              <w:t>May 2004–26</w:t>
            </w:r>
            <w:r w:rsidR="008316F3" w:rsidRPr="008316F3">
              <w:t> </w:t>
            </w:r>
            <w:r w:rsidRPr="008316F3">
              <w:t>June 2008</w:t>
            </w:r>
          </w:p>
        </w:tc>
      </w:tr>
      <w:tr w:rsidR="007E4565" w:rsidRPr="008316F3" w:rsidTr="009203BE">
        <w:tc>
          <w:tcPr>
            <w:tcW w:w="365" w:type="pct"/>
            <w:shd w:val="clear" w:color="auto" w:fill="auto"/>
          </w:tcPr>
          <w:p w:rsidR="007E4565" w:rsidRPr="008316F3" w:rsidRDefault="00796A78" w:rsidP="00D36997">
            <w:pPr>
              <w:pStyle w:val="Tabletext"/>
            </w:pPr>
            <w:r w:rsidRPr="008316F3">
              <w:t>22</w:t>
            </w:r>
          </w:p>
        </w:tc>
        <w:tc>
          <w:tcPr>
            <w:tcW w:w="737" w:type="pct"/>
            <w:shd w:val="clear" w:color="auto" w:fill="auto"/>
          </w:tcPr>
          <w:p w:rsidR="007E4565" w:rsidRPr="008316F3" w:rsidRDefault="007E4565" w:rsidP="000F1869">
            <w:pPr>
              <w:pStyle w:val="Tabletext"/>
            </w:pPr>
            <w:r w:rsidRPr="008316F3">
              <w:t>Azure</w:t>
            </w:r>
          </w:p>
        </w:tc>
        <w:tc>
          <w:tcPr>
            <w:tcW w:w="1105" w:type="pct"/>
            <w:shd w:val="clear" w:color="auto" w:fill="auto"/>
          </w:tcPr>
          <w:p w:rsidR="007E4565" w:rsidRPr="008316F3" w:rsidRDefault="007E4565" w:rsidP="000F1869">
            <w:pPr>
              <w:pStyle w:val="Tabletext"/>
            </w:pPr>
            <w:r w:rsidRPr="008316F3">
              <w:t>United Nations Mission in Sudan</w:t>
            </w:r>
          </w:p>
        </w:tc>
        <w:tc>
          <w:tcPr>
            <w:tcW w:w="1644" w:type="pct"/>
            <w:shd w:val="clear" w:color="auto" w:fill="auto"/>
          </w:tcPr>
          <w:p w:rsidR="007E4565" w:rsidRPr="008316F3" w:rsidRDefault="007E4565" w:rsidP="000F1869">
            <w:pPr>
              <w:pStyle w:val="Tabletext"/>
            </w:pPr>
            <w:r w:rsidRPr="008316F3">
              <w:t xml:space="preserve">Sudan and its territorial waters and </w:t>
            </w:r>
            <w:proofErr w:type="spellStart"/>
            <w:r w:rsidRPr="008316F3">
              <w:t>superjacent</w:t>
            </w:r>
            <w:proofErr w:type="spellEnd"/>
            <w:r w:rsidRPr="008316F3">
              <w:t xml:space="preserve"> airspace</w:t>
            </w:r>
          </w:p>
        </w:tc>
        <w:tc>
          <w:tcPr>
            <w:tcW w:w="1149" w:type="pct"/>
            <w:shd w:val="clear" w:color="auto" w:fill="auto"/>
          </w:tcPr>
          <w:p w:rsidR="007E4565" w:rsidRPr="008316F3" w:rsidRDefault="007E4565" w:rsidP="000F1869">
            <w:pPr>
              <w:pStyle w:val="Tabletext"/>
            </w:pPr>
            <w:r w:rsidRPr="008316F3">
              <w:t>10</w:t>
            </w:r>
            <w:r w:rsidR="008316F3" w:rsidRPr="008316F3">
              <w:t> </w:t>
            </w:r>
            <w:r w:rsidRPr="008316F3">
              <w:t>April 2005–31</w:t>
            </w:r>
            <w:r w:rsidR="008316F3" w:rsidRPr="008316F3">
              <w:t> </w:t>
            </w:r>
            <w:r w:rsidRPr="008316F3">
              <w:t>December 2011</w:t>
            </w:r>
          </w:p>
        </w:tc>
      </w:tr>
      <w:tr w:rsidR="007E4565" w:rsidRPr="008316F3" w:rsidTr="009203BE">
        <w:tc>
          <w:tcPr>
            <w:tcW w:w="365" w:type="pct"/>
            <w:shd w:val="clear" w:color="auto" w:fill="auto"/>
          </w:tcPr>
          <w:p w:rsidR="007E4565" w:rsidRPr="008316F3" w:rsidRDefault="00796A78" w:rsidP="00D36997">
            <w:pPr>
              <w:pStyle w:val="Tabletext"/>
            </w:pPr>
            <w:r w:rsidRPr="008316F3">
              <w:t>23</w:t>
            </w:r>
          </w:p>
        </w:tc>
        <w:tc>
          <w:tcPr>
            <w:tcW w:w="737" w:type="pct"/>
            <w:shd w:val="clear" w:color="auto" w:fill="auto"/>
          </w:tcPr>
          <w:p w:rsidR="007E4565" w:rsidRPr="008316F3" w:rsidRDefault="007E4565" w:rsidP="000F1869">
            <w:pPr>
              <w:pStyle w:val="Tabletext"/>
            </w:pPr>
            <w:r w:rsidRPr="008316F3">
              <w:t>Astute</w:t>
            </w:r>
          </w:p>
        </w:tc>
        <w:tc>
          <w:tcPr>
            <w:tcW w:w="1105" w:type="pct"/>
            <w:shd w:val="clear" w:color="auto" w:fill="auto"/>
          </w:tcPr>
          <w:p w:rsidR="007E4565" w:rsidRPr="008316F3" w:rsidRDefault="007E4565" w:rsidP="000F1869">
            <w:pPr>
              <w:pStyle w:val="Tabletext"/>
            </w:pPr>
            <w:r w:rsidRPr="008316F3">
              <w:t>Defence Force stabilisation operation in support of the Government of East Timor</w:t>
            </w:r>
          </w:p>
        </w:tc>
        <w:tc>
          <w:tcPr>
            <w:tcW w:w="1644" w:type="pct"/>
            <w:shd w:val="clear" w:color="auto" w:fill="auto"/>
          </w:tcPr>
          <w:p w:rsidR="007E4565" w:rsidRPr="008316F3" w:rsidRDefault="007E4565" w:rsidP="000F1869">
            <w:pPr>
              <w:pStyle w:val="Tabletext"/>
            </w:pPr>
            <w:r w:rsidRPr="008316F3">
              <w:t xml:space="preserve">East Timor and its territorial waters and </w:t>
            </w:r>
            <w:proofErr w:type="spellStart"/>
            <w:r w:rsidRPr="008316F3">
              <w:t>superjacent</w:t>
            </w:r>
            <w:proofErr w:type="spellEnd"/>
            <w:r w:rsidRPr="008316F3">
              <w:t xml:space="preserve"> airspace</w:t>
            </w:r>
          </w:p>
        </w:tc>
        <w:tc>
          <w:tcPr>
            <w:tcW w:w="1149" w:type="pct"/>
            <w:shd w:val="clear" w:color="auto" w:fill="auto"/>
          </w:tcPr>
          <w:p w:rsidR="007E4565" w:rsidRPr="008316F3" w:rsidRDefault="007E4565" w:rsidP="000F1869">
            <w:pPr>
              <w:pStyle w:val="Tabletext"/>
            </w:pPr>
            <w:r w:rsidRPr="008316F3">
              <w:t>12</w:t>
            </w:r>
            <w:r w:rsidR="008316F3" w:rsidRPr="008316F3">
              <w:t> </w:t>
            </w:r>
            <w:r w:rsidRPr="008316F3">
              <w:t>May 2006–19</w:t>
            </w:r>
            <w:r w:rsidR="008316F3" w:rsidRPr="008316F3">
              <w:t> </w:t>
            </w:r>
            <w:r w:rsidRPr="008316F3">
              <w:t>April 2013</w:t>
            </w:r>
          </w:p>
        </w:tc>
      </w:tr>
      <w:tr w:rsidR="007E4565" w:rsidRPr="008316F3" w:rsidTr="009203BE">
        <w:tc>
          <w:tcPr>
            <w:tcW w:w="365" w:type="pct"/>
            <w:shd w:val="clear" w:color="auto" w:fill="auto"/>
          </w:tcPr>
          <w:p w:rsidR="007E4565" w:rsidRPr="008316F3" w:rsidRDefault="00796A78" w:rsidP="00D36997">
            <w:pPr>
              <w:pStyle w:val="Tabletext"/>
            </w:pPr>
            <w:r w:rsidRPr="008316F3">
              <w:t>24</w:t>
            </w:r>
          </w:p>
        </w:tc>
        <w:tc>
          <w:tcPr>
            <w:tcW w:w="737" w:type="pct"/>
            <w:shd w:val="clear" w:color="auto" w:fill="auto"/>
          </w:tcPr>
          <w:p w:rsidR="007E4565" w:rsidRPr="008316F3" w:rsidRDefault="007E4565" w:rsidP="000F1869">
            <w:pPr>
              <w:pStyle w:val="Tabletext"/>
            </w:pPr>
            <w:r w:rsidRPr="008316F3">
              <w:t>Ramp</w:t>
            </w:r>
          </w:p>
        </w:tc>
        <w:tc>
          <w:tcPr>
            <w:tcW w:w="1105" w:type="pct"/>
            <w:shd w:val="clear" w:color="auto" w:fill="auto"/>
          </w:tcPr>
          <w:p w:rsidR="007E4565" w:rsidRPr="008316F3" w:rsidRDefault="007E4565" w:rsidP="000F1869">
            <w:pPr>
              <w:pStyle w:val="Tabletext"/>
            </w:pPr>
            <w:r w:rsidRPr="008316F3">
              <w:t>Defence Force operation in the Middle East in support of the Australian whole of government response to the crisis in Lebanon</w:t>
            </w:r>
          </w:p>
        </w:tc>
        <w:tc>
          <w:tcPr>
            <w:tcW w:w="1644" w:type="pct"/>
            <w:shd w:val="clear" w:color="auto" w:fill="auto"/>
          </w:tcPr>
          <w:p w:rsidR="007E4565" w:rsidRPr="008316F3" w:rsidRDefault="007E4565" w:rsidP="000F1869">
            <w:pPr>
              <w:pStyle w:val="Tabletext"/>
            </w:pPr>
            <w:r w:rsidRPr="008316F3">
              <w:t xml:space="preserve">Lebanon and its territorial waters and </w:t>
            </w:r>
            <w:proofErr w:type="spellStart"/>
            <w:r w:rsidRPr="008316F3">
              <w:t>superjacent</w:t>
            </w:r>
            <w:proofErr w:type="spellEnd"/>
            <w:r w:rsidRPr="008316F3">
              <w:t xml:space="preserve"> airspace</w:t>
            </w:r>
          </w:p>
        </w:tc>
        <w:tc>
          <w:tcPr>
            <w:tcW w:w="1149" w:type="pct"/>
            <w:shd w:val="clear" w:color="auto" w:fill="auto"/>
          </w:tcPr>
          <w:p w:rsidR="007E4565" w:rsidRPr="008316F3" w:rsidRDefault="007E4565" w:rsidP="000F1869">
            <w:pPr>
              <w:pStyle w:val="Tabletext"/>
            </w:pPr>
            <w:r w:rsidRPr="008316F3">
              <w:t>20</w:t>
            </w:r>
            <w:r w:rsidR="008316F3" w:rsidRPr="008316F3">
              <w:t> </w:t>
            </w:r>
            <w:r w:rsidRPr="008316F3">
              <w:t>July 2006–27</w:t>
            </w:r>
            <w:r w:rsidR="008316F3" w:rsidRPr="008316F3">
              <w:t> </w:t>
            </w:r>
            <w:r w:rsidRPr="008316F3">
              <w:t>November 2008</w:t>
            </w:r>
          </w:p>
        </w:tc>
      </w:tr>
      <w:tr w:rsidR="007E4565" w:rsidRPr="008316F3" w:rsidTr="009203BE">
        <w:tc>
          <w:tcPr>
            <w:tcW w:w="365" w:type="pct"/>
            <w:shd w:val="clear" w:color="auto" w:fill="auto"/>
          </w:tcPr>
          <w:p w:rsidR="007E4565" w:rsidRPr="008316F3" w:rsidRDefault="00796A78" w:rsidP="00D36997">
            <w:pPr>
              <w:pStyle w:val="Tabletext"/>
            </w:pPr>
            <w:r w:rsidRPr="008316F3">
              <w:t>25</w:t>
            </w:r>
          </w:p>
        </w:tc>
        <w:tc>
          <w:tcPr>
            <w:tcW w:w="737" w:type="pct"/>
            <w:shd w:val="clear" w:color="auto" w:fill="auto"/>
          </w:tcPr>
          <w:p w:rsidR="007E4565" w:rsidRPr="008316F3" w:rsidRDefault="007E4565" w:rsidP="000F1869">
            <w:pPr>
              <w:pStyle w:val="Tabletext"/>
            </w:pPr>
            <w:r w:rsidRPr="008316F3">
              <w:t>Quickstep</w:t>
            </w:r>
          </w:p>
        </w:tc>
        <w:tc>
          <w:tcPr>
            <w:tcW w:w="1105" w:type="pct"/>
            <w:shd w:val="clear" w:color="auto" w:fill="auto"/>
          </w:tcPr>
          <w:p w:rsidR="007E4565" w:rsidRPr="008316F3" w:rsidRDefault="007E4565" w:rsidP="000F1869">
            <w:pPr>
              <w:pStyle w:val="Tabletext"/>
            </w:pPr>
            <w:r w:rsidRPr="008316F3">
              <w:t>Defence Force mission in Fiji</w:t>
            </w:r>
          </w:p>
        </w:tc>
        <w:tc>
          <w:tcPr>
            <w:tcW w:w="1644" w:type="pct"/>
            <w:shd w:val="clear" w:color="auto" w:fill="auto"/>
          </w:tcPr>
          <w:p w:rsidR="007E4565" w:rsidRPr="008316F3" w:rsidRDefault="007E4565" w:rsidP="000F1869">
            <w:pPr>
              <w:pStyle w:val="Tabletext"/>
            </w:pPr>
            <w:r w:rsidRPr="008316F3">
              <w:t xml:space="preserve">Fiji and its land, internal waters, archipelagic waters, territorial sea and </w:t>
            </w:r>
            <w:proofErr w:type="spellStart"/>
            <w:r w:rsidRPr="008316F3">
              <w:t>superjacent</w:t>
            </w:r>
            <w:proofErr w:type="spellEnd"/>
            <w:r w:rsidRPr="008316F3">
              <w:t xml:space="preserve"> airspace and the exclusive economic zone of Fiji</w:t>
            </w:r>
          </w:p>
        </w:tc>
        <w:tc>
          <w:tcPr>
            <w:tcW w:w="1149" w:type="pct"/>
            <w:shd w:val="clear" w:color="auto" w:fill="auto"/>
          </w:tcPr>
          <w:p w:rsidR="007E4565" w:rsidRPr="008316F3" w:rsidRDefault="007E4565" w:rsidP="004F3337">
            <w:pPr>
              <w:pStyle w:val="Tabletext"/>
            </w:pPr>
            <w:r w:rsidRPr="008316F3">
              <w:t>31</w:t>
            </w:r>
            <w:r w:rsidR="008316F3" w:rsidRPr="008316F3">
              <w:t> </w:t>
            </w:r>
            <w:r w:rsidRPr="008316F3">
              <w:t>October 2006–22</w:t>
            </w:r>
            <w:r w:rsidR="008316F3" w:rsidRPr="008316F3">
              <w:t> </w:t>
            </w:r>
            <w:r w:rsidRPr="008316F3">
              <w:t>December 2006</w:t>
            </w:r>
          </w:p>
        </w:tc>
      </w:tr>
      <w:tr w:rsidR="007E4565" w:rsidRPr="008316F3" w:rsidTr="009203BE">
        <w:tc>
          <w:tcPr>
            <w:tcW w:w="365" w:type="pct"/>
            <w:shd w:val="clear" w:color="auto" w:fill="auto"/>
          </w:tcPr>
          <w:p w:rsidR="007E4565" w:rsidRPr="008316F3" w:rsidRDefault="00796A78" w:rsidP="00D36997">
            <w:pPr>
              <w:pStyle w:val="Tabletext"/>
            </w:pPr>
            <w:r w:rsidRPr="008316F3">
              <w:t>26</w:t>
            </w:r>
          </w:p>
        </w:tc>
        <w:tc>
          <w:tcPr>
            <w:tcW w:w="737" w:type="pct"/>
            <w:shd w:val="clear" w:color="auto" w:fill="auto"/>
          </w:tcPr>
          <w:p w:rsidR="007E4565" w:rsidRPr="008316F3" w:rsidRDefault="007E4565" w:rsidP="000F1869">
            <w:pPr>
              <w:pStyle w:val="Tabletext"/>
            </w:pPr>
            <w:r w:rsidRPr="008316F3">
              <w:t>Quickstep Tonga</w:t>
            </w:r>
          </w:p>
        </w:tc>
        <w:tc>
          <w:tcPr>
            <w:tcW w:w="1105" w:type="pct"/>
            <w:shd w:val="clear" w:color="auto" w:fill="auto"/>
          </w:tcPr>
          <w:p w:rsidR="007E4565" w:rsidRPr="008316F3" w:rsidRDefault="007E4565" w:rsidP="000F1869">
            <w:pPr>
              <w:pStyle w:val="Tabletext"/>
            </w:pPr>
            <w:r w:rsidRPr="008316F3">
              <w:t>Defence Force operation to assist the Government of Tonga with the restoration of law and order in Tonga</w:t>
            </w:r>
          </w:p>
        </w:tc>
        <w:tc>
          <w:tcPr>
            <w:tcW w:w="1644" w:type="pct"/>
            <w:shd w:val="clear" w:color="auto" w:fill="auto"/>
          </w:tcPr>
          <w:p w:rsidR="007E4565" w:rsidRPr="008316F3" w:rsidRDefault="007E4565" w:rsidP="000F1869">
            <w:pPr>
              <w:pStyle w:val="Tabletext"/>
            </w:pPr>
            <w:r w:rsidRPr="008316F3">
              <w:t xml:space="preserve">The sovereign territory of Tonga, including the land territory, internal waters, territorial sea and </w:t>
            </w:r>
            <w:proofErr w:type="spellStart"/>
            <w:r w:rsidRPr="008316F3">
              <w:t>superjacent</w:t>
            </w:r>
            <w:proofErr w:type="spellEnd"/>
            <w:r w:rsidRPr="008316F3">
              <w:t xml:space="preserve"> airspace of Tonga and the exclusive economic zone of Tonga and its </w:t>
            </w:r>
            <w:proofErr w:type="spellStart"/>
            <w:r w:rsidRPr="008316F3">
              <w:t>superjacent</w:t>
            </w:r>
            <w:proofErr w:type="spellEnd"/>
            <w:r w:rsidRPr="008316F3">
              <w:t xml:space="preserve"> airspace</w:t>
            </w:r>
          </w:p>
        </w:tc>
        <w:tc>
          <w:tcPr>
            <w:tcW w:w="1149" w:type="pct"/>
            <w:shd w:val="clear" w:color="auto" w:fill="auto"/>
          </w:tcPr>
          <w:p w:rsidR="007E4565" w:rsidRPr="008316F3" w:rsidRDefault="007E4565" w:rsidP="002014F5">
            <w:pPr>
              <w:pStyle w:val="Tabletext"/>
            </w:pPr>
            <w:r w:rsidRPr="008316F3">
              <w:t>18</w:t>
            </w:r>
            <w:r w:rsidR="008316F3" w:rsidRPr="008316F3">
              <w:t> </w:t>
            </w:r>
            <w:r w:rsidRPr="008316F3">
              <w:t>November 2006–30</w:t>
            </w:r>
            <w:r w:rsidR="008316F3" w:rsidRPr="008316F3">
              <w:t> </w:t>
            </w:r>
            <w:r w:rsidRPr="008316F3">
              <w:t>November 2006</w:t>
            </w:r>
          </w:p>
        </w:tc>
      </w:tr>
      <w:tr w:rsidR="007E4565" w:rsidRPr="008316F3" w:rsidTr="009203BE">
        <w:tc>
          <w:tcPr>
            <w:tcW w:w="365" w:type="pct"/>
            <w:shd w:val="clear" w:color="auto" w:fill="auto"/>
          </w:tcPr>
          <w:p w:rsidR="007E4565" w:rsidRPr="008316F3" w:rsidRDefault="00796A78" w:rsidP="00D36997">
            <w:pPr>
              <w:pStyle w:val="Tabletext"/>
            </w:pPr>
            <w:r w:rsidRPr="008316F3">
              <w:t>27</w:t>
            </w:r>
          </w:p>
        </w:tc>
        <w:tc>
          <w:tcPr>
            <w:tcW w:w="737" w:type="pct"/>
            <w:shd w:val="clear" w:color="auto" w:fill="auto"/>
          </w:tcPr>
          <w:p w:rsidR="007E4565" w:rsidRPr="008316F3" w:rsidRDefault="007E4565" w:rsidP="000F1869">
            <w:pPr>
              <w:pStyle w:val="Tabletext"/>
            </w:pPr>
            <w:r w:rsidRPr="008316F3">
              <w:t>Hedgerow</w:t>
            </w:r>
          </w:p>
        </w:tc>
        <w:tc>
          <w:tcPr>
            <w:tcW w:w="1105" w:type="pct"/>
            <w:shd w:val="clear" w:color="auto" w:fill="auto"/>
          </w:tcPr>
          <w:p w:rsidR="007E4565" w:rsidRPr="008316F3" w:rsidRDefault="007E4565" w:rsidP="000F1869">
            <w:pPr>
              <w:pStyle w:val="Tabletext"/>
            </w:pPr>
            <w:r w:rsidRPr="008316F3">
              <w:t>Defence Force contribution to the hybrid United Nations and African Union mission in Darfur</w:t>
            </w:r>
          </w:p>
        </w:tc>
        <w:tc>
          <w:tcPr>
            <w:tcW w:w="1644" w:type="pct"/>
            <w:shd w:val="clear" w:color="auto" w:fill="auto"/>
          </w:tcPr>
          <w:p w:rsidR="007E4565" w:rsidRPr="008316F3" w:rsidRDefault="007E4565" w:rsidP="000F1869">
            <w:pPr>
              <w:pStyle w:val="Tabletext"/>
            </w:pPr>
            <w:r w:rsidRPr="008316F3">
              <w:t>Sudan</w:t>
            </w:r>
          </w:p>
        </w:tc>
        <w:tc>
          <w:tcPr>
            <w:tcW w:w="1149" w:type="pct"/>
            <w:shd w:val="clear" w:color="auto" w:fill="auto"/>
          </w:tcPr>
          <w:p w:rsidR="007E4565" w:rsidRPr="008316F3" w:rsidRDefault="007E4565" w:rsidP="000F1869">
            <w:pPr>
              <w:pStyle w:val="Tabletext"/>
            </w:pPr>
            <w:r w:rsidRPr="008316F3">
              <w:t>28</w:t>
            </w:r>
            <w:r w:rsidR="008316F3" w:rsidRPr="008316F3">
              <w:t> </w:t>
            </w:r>
            <w:r w:rsidRPr="008316F3">
              <w:t>July 2008–23</w:t>
            </w:r>
            <w:r w:rsidR="008316F3" w:rsidRPr="008316F3">
              <w:t> </w:t>
            </w:r>
            <w:r w:rsidRPr="008316F3">
              <w:t>June 2011</w:t>
            </w:r>
          </w:p>
        </w:tc>
      </w:tr>
      <w:tr w:rsidR="007E4565" w:rsidRPr="008316F3" w:rsidTr="009203BE">
        <w:tc>
          <w:tcPr>
            <w:tcW w:w="365" w:type="pct"/>
            <w:shd w:val="clear" w:color="auto" w:fill="auto"/>
          </w:tcPr>
          <w:p w:rsidR="007E4565" w:rsidRPr="008316F3" w:rsidRDefault="00796A78" w:rsidP="00CE777F">
            <w:pPr>
              <w:pStyle w:val="Tabletext"/>
            </w:pPr>
            <w:r w:rsidRPr="008316F3">
              <w:t>28</w:t>
            </w:r>
          </w:p>
        </w:tc>
        <w:tc>
          <w:tcPr>
            <w:tcW w:w="737" w:type="pct"/>
            <w:shd w:val="clear" w:color="auto" w:fill="auto"/>
          </w:tcPr>
          <w:p w:rsidR="007E4565" w:rsidRPr="008316F3" w:rsidRDefault="007E4565" w:rsidP="00291012">
            <w:pPr>
              <w:pStyle w:val="Tabletext"/>
            </w:pPr>
          </w:p>
        </w:tc>
        <w:tc>
          <w:tcPr>
            <w:tcW w:w="1105" w:type="pct"/>
            <w:shd w:val="clear" w:color="auto" w:fill="auto"/>
          </w:tcPr>
          <w:p w:rsidR="007E4565" w:rsidRPr="008316F3" w:rsidRDefault="007E4565" w:rsidP="000F1869">
            <w:pPr>
              <w:pStyle w:val="Tabletext"/>
            </w:pPr>
            <w:r w:rsidRPr="008316F3">
              <w:t>Defence Force contribution to the NATO no</w:t>
            </w:r>
            <w:r w:rsidR="008316F3">
              <w:noBreakHyphen/>
            </w:r>
            <w:r w:rsidRPr="008316F3">
              <w:t>fly zone and maritime enforcement operation against Libya</w:t>
            </w:r>
          </w:p>
        </w:tc>
        <w:tc>
          <w:tcPr>
            <w:tcW w:w="1644" w:type="pct"/>
            <w:shd w:val="clear" w:color="auto" w:fill="auto"/>
          </w:tcPr>
          <w:p w:rsidR="007E4565" w:rsidRPr="008316F3" w:rsidRDefault="007E4565" w:rsidP="000F1869">
            <w:pPr>
              <w:pStyle w:val="Tabletext"/>
            </w:pPr>
            <w:r w:rsidRPr="008316F3">
              <w:t xml:space="preserve">The international waters and </w:t>
            </w:r>
            <w:proofErr w:type="spellStart"/>
            <w:r w:rsidRPr="008316F3">
              <w:t>superjacent</w:t>
            </w:r>
            <w:proofErr w:type="spellEnd"/>
            <w:r w:rsidRPr="008316F3">
              <w:t xml:space="preserve"> airspace of the central southern Mediterranean Sea between 10°00</w:t>
            </w:r>
            <w:r w:rsidRPr="008316F3">
              <w:rPr>
                <w:szCs w:val="22"/>
              </w:rPr>
              <w:t>′</w:t>
            </w:r>
            <w:r w:rsidRPr="008316F3">
              <w:t>E and 28°00</w:t>
            </w:r>
            <w:r w:rsidRPr="008316F3">
              <w:rPr>
                <w:szCs w:val="22"/>
              </w:rPr>
              <w:t>′</w:t>
            </w:r>
            <w:r w:rsidRPr="008316F3">
              <w:t>E and south of 41°00</w:t>
            </w:r>
            <w:r w:rsidRPr="008316F3">
              <w:rPr>
                <w:szCs w:val="22"/>
              </w:rPr>
              <w:t>′</w:t>
            </w:r>
            <w:r w:rsidRPr="008316F3">
              <w:t xml:space="preserve">N, including portions of Italy, Greece, Turkey, Albania and all of Malta and north of Libya and its territorial waters and </w:t>
            </w:r>
            <w:proofErr w:type="spellStart"/>
            <w:r w:rsidRPr="008316F3">
              <w:t>superjacent</w:t>
            </w:r>
            <w:proofErr w:type="spellEnd"/>
            <w:r w:rsidRPr="008316F3">
              <w:t xml:space="preserve"> airspace</w:t>
            </w:r>
          </w:p>
        </w:tc>
        <w:tc>
          <w:tcPr>
            <w:tcW w:w="1149" w:type="pct"/>
            <w:shd w:val="clear" w:color="auto" w:fill="auto"/>
          </w:tcPr>
          <w:p w:rsidR="007E4565" w:rsidRPr="008316F3" w:rsidRDefault="007E4565" w:rsidP="0019772B">
            <w:pPr>
              <w:pStyle w:val="Tabletext"/>
            </w:pPr>
            <w:r w:rsidRPr="008316F3">
              <w:t>31</w:t>
            </w:r>
            <w:r w:rsidR="008316F3" w:rsidRPr="008316F3">
              <w:t> </w:t>
            </w:r>
            <w:r w:rsidRPr="008316F3">
              <w:t>March 2011–31</w:t>
            </w:r>
            <w:r w:rsidR="008316F3" w:rsidRPr="008316F3">
              <w:t> </w:t>
            </w:r>
            <w:r w:rsidRPr="008316F3">
              <w:t>October 2011</w:t>
            </w:r>
          </w:p>
        </w:tc>
      </w:tr>
      <w:tr w:rsidR="007E4565" w:rsidRPr="008316F3" w:rsidTr="009203BE">
        <w:tc>
          <w:tcPr>
            <w:tcW w:w="365" w:type="pct"/>
            <w:shd w:val="clear" w:color="auto" w:fill="auto"/>
          </w:tcPr>
          <w:p w:rsidR="007E4565" w:rsidRPr="008316F3" w:rsidRDefault="00796A78" w:rsidP="00291012">
            <w:pPr>
              <w:pStyle w:val="Tabletext"/>
            </w:pPr>
            <w:r w:rsidRPr="008316F3">
              <w:t>29</w:t>
            </w:r>
          </w:p>
        </w:tc>
        <w:tc>
          <w:tcPr>
            <w:tcW w:w="737" w:type="pct"/>
            <w:shd w:val="clear" w:color="auto" w:fill="auto"/>
          </w:tcPr>
          <w:p w:rsidR="007E4565" w:rsidRPr="008316F3" w:rsidRDefault="007E4565" w:rsidP="000F1869">
            <w:pPr>
              <w:pStyle w:val="Tabletext"/>
            </w:pPr>
            <w:r w:rsidRPr="008316F3">
              <w:t>Aslan</w:t>
            </w:r>
          </w:p>
        </w:tc>
        <w:tc>
          <w:tcPr>
            <w:tcW w:w="1105" w:type="pct"/>
            <w:shd w:val="clear" w:color="auto" w:fill="auto"/>
          </w:tcPr>
          <w:p w:rsidR="007E4565" w:rsidRPr="008316F3" w:rsidRDefault="007E4565" w:rsidP="000F1869">
            <w:pPr>
              <w:pStyle w:val="Tabletext"/>
            </w:pPr>
            <w:r w:rsidRPr="008316F3">
              <w:t>Defence Force contribution to the United Nations Mission in the Republic of South Sudan</w:t>
            </w:r>
          </w:p>
        </w:tc>
        <w:tc>
          <w:tcPr>
            <w:tcW w:w="1644" w:type="pct"/>
            <w:shd w:val="clear" w:color="auto" w:fill="auto"/>
          </w:tcPr>
          <w:p w:rsidR="007E4565" w:rsidRPr="008316F3" w:rsidRDefault="007E4565" w:rsidP="000F1869">
            <w:pPr>
              <w:pStyle w:val="Tabletext"/>
            </w:pPr>
            <w:r w:rsidRPr="008316F3">
              <w:t xml:space="preserve">South Sudan and its </w:t>
            </w:r>
            <w:proofErr w:type="spellStart"/>
            <w:r w:rsidRPr="008316F3">
              <w:t>superjacent</w:t>
            </w:r>
            <w:proofErr w:type="spellEnd"/>
            <w:r w:rsidRPr="008316F3">
              <w:t xml:space="preserve"> airspace</w:t>
            </w:r>
          </w:p>
        </w:tc>
        <w:tc>
          <w:tcPr>
            <w:tcW w:w="1149" w:type="pct"/>
            <w:shd w:val="clear" w:color="auto" w:fill="auto"/>
          </w:tcPr>
          <w:p w:rsidR="007E4565" w:rsidRPr="008316F3" w:rsidRDefault="007E4565" w:rsidP="000F1869">
            <w:pPr>
              <w:pStyle w:val="Tabletext"/>
            </w:pPr>
            <w:r w:rsidRPr="008316F3">
              <w:t>On and after 23</w:t>
            </w:r>
            <w:r w:rsidR="008316F3" w:rsidRPr="008316F3">
              <w:t> </w:t>
            </w:r>
            <w:r w:rsidRPr="008316F3">
              <w:t>September 2011</w:t>
            </w:r>
          </w:p>
        </w:tc>
      </w:tr>
      <w:tr w:rsidR="007E4565" w:rsidRPr="008316F3" w:rsidTr="009203BE">
        <w:tc>
          <w:tcPr>
            <w:tcW w:w="365" w:type="pct"/>
            <w:shd w:val="clear" w:color="auto" w:fill="auto"/>
          </w:tcPr>
          <w:p w:rsidR="007E4565" w:rsidRPr="008316F3" w:rsidRDefault="00796A78" w:rsidP="00CE777F">
            <w:pPr>
              <w:pStyle w:val="Tabletext"/>
            </w:pPr>
            <w:r w:rsidRPr="008316F3">
              <w:t>30</w:t>
            </w:r>
          </w:p>
        </w:tc>
        <w:tc>
          <w:tcPr>
            <w:tcW w:w="737" w:type="pct"/>
            <w:shd w:val="clear" w:color="auto" w:fill="auto"/>
          </w:tcPr>
          <w:p w:rsidR="007E4565" w:rsidRPr="008316F3" w:rsidRDefault="007E4565" w:rsidP="000F1869">
            <w:pPr>
              <w:pStyle w:val="Tabletext"/>
            </w:pPr>
            <w:r w:rsidRPr="008316F3">
              <w:t>Accordion</w:t>
            </w:r>
          </w:p>
        </w:tc>
        <w:tc>
          <w:tcPr>
            <w:tcW w:w="1105" w:type="pct"/>
            <w:shd w:val="clear" w:color="auto" w:fill="auto"/>
          </w:tcPr>
          <w:p w:rsidR="007E4565" w:rsidRPr="008316F3" w:rsidRDefault="007E4565" w:rsidP="000F1869">
            <w:pPr>
              <w:pStyle w:val="Tabletext"/>
            </w:pPr>
            <w:r w:rsidRPr="008316F3">
              <w:t>Supporting operations in Bahrain, Qatar and the United Arab Emirates in relation to the Defence Force contribution to the International Coalition against Terrorism</w:t>
            </w:r>
          </w:p>
        </w:tc>
        <w:tc>
          <w:tcPr>
            <w:tcW w:w="1644" w:type="pct"/>
            <w:shd w:val="clear" w:color="auto" w:fill="auto"/>
          </w:tcPr>
          <w:p w:rsidR="007E4565" w:rsidRPr="008316F3" w:rsidRDefault="007E4565" w:rsidP="000F1869">
            <w:pPr>
              <w:pStyle w:val="Tabletext"/>
            </w:pPr>
            <w:r w:rsidRPr="008316F3">
              <w:t xml:space="preserve">The area bounded by the land mass and </w:t>
            </w:r>
            <w:proofErr w:type="spellStart"/>
            <w:r w:rsidRPr="008316F3">
              <w:t>superjacent</w:t>
            </w:r>
            <w:proofErr w:type="spellEnd"/>
            <w:r w:rsidRPr="008316F3">
              <w:t xml:space="preserve"> airspaces of Bahrain, Qatar and the United Arab Emirates</w:t>
            </w:r>
          </w:p>
        </w:tc>
        <w:tc>
          <w:tcPr>
            <w:tcW w:w="1149" w:type="pct"/>
            <w:shd w:val="clear" w:color="auto" w:fill="auto"/>
          </w:tcPr>
          <w:p w:rsidR="007E4565" w:rsidRPr="008316F3" w:rsidRDefault="007E4565" w:rsidP="000F1869">
            <w:pPr>
              <w:pStyle w:val="Tabletext"/>
            </w:pPr>
            <w:r w:rsidRPr="008316F3">
              <w:t>On and after 1</w:t>
            </w:r>
            <w:r w:rsidR="008316F3" w:rsidRPr="008316F3">
              <w:t> </w:t>
            </w:r>
            <w:r w:rsidRPr="008316F3">
              <w:t>July 2014</w:t>
            </w:r>
          </w:p>
        </w:tc>
      </w:tr>
      <w:tr w:rsidR="007E4565" w:rsidRPr="008316F3" w:rsidTr="009203BE">
        <w:tc>
          <w:tcPr>
            <w:tcW w:w="365" w:type="pct"/>
            <w:tcBorders>
              <w:bottom w:val="single" w:sz="4" w:space="0" w:color="auto"/>
            </w:tcBorders>
            <w:shd w:val="clear" w:color="auto" w:fill="auto"/>
          </w:tcPr>
          <w:p w:rsidR="007E4565" w:rsidRPr="008316F3" w:rsidRDefault="00796A78" w:rsidP="00CE777F">
            <w:pPr>
              <w:pStyle w:val="Tabletext"/>
            </w:pPr>
            <w:r w:rsidRPr="008316F3">
              <w:t>31</w:t>
            </w:r>
          </w:p>
        </w:tc>
        <w:tc>
          <w:tcPr>
            <w:tcW w:w="737" w:type="pct"/>
            <w:tcBorders>
              <w:bottom w:val="single" w:sz="4" w:space="0" w:color="auto"/>
            </w:tcBorders>
            <w:shd w:val="clear" w:color="auto" w:fill="auto"/>
          </w:tcPr>
          <w:p w:rsidR="007E4565" w:rsidRPr="008316F3" w:rsidRDefault="007E4565" w:rsidP="000F1869">
            <w:pPr>
              <w:pStyle w:val="Tabletext"/>
            </w:pPr>
            <w:r w:rsidRPr="008316F3">
              <w:t>Manitou</w:t>
            </w:r>
          </w:p>
        </w:tc>
        <w:tc>
          <w:tcPr>
            <w:tcW w:w="1105" w:type="pct"/>
            <w:tcBorders>
              <w:bottom w:val="single" w:sz="4" w:space="0" w:color="auto"/>
            </w:tcBorders>
            <w:shd w:val="clear" w:color="auto" w:fill="auto"/>
          </w:tcPr>
          <w:p w:rsidR="007E4565" w:rsidRPr="008316F3" w:rsidRDefault="007E4565" w:rsidP="000F1869">
            <w:pPr>
              <w:pStyle w:val="Tabletext"/>
            </w:pPr>
            <w:r w:rsidRPr="008316F3">
              <w:t>Maritime operations, including counter</w:t>
            </w:r>
            <w:r w:rsidR="008316F3">
              <w:noBreakHyphen/>
            </w:r>
            <w:r w:rsidRPr="008316F3">
              <w:t>piracy operations</w:t>
            </w:r>
          </w:p>
        </w:tc>
        <w:tc>
          <w:tcPr>
            <w:tcW w:w="1644" w:type="pct"/>
            <w:tcBorders>
              <w:bottom w:val="single" w:sz="4" w:space="0" w:color="auto"/>
            </w:tcBorders>
            <w:shd w:val="clear" w:color="auto" w:fill="auto"/>
          </w:tcPr>
          <w:p w:rsidR="007E4565" w:rsidRPr="008316F3" w:rsidRDefault="007E4565" w:rsidP="00A04E91">
            <w:pPr>
              <w:pStyle w:val="Tabletext"/>
            </w:pPr>
            <w:r w:rsidRPr="008316F3">
              <w:t>The area:</w:t>
            </w:r>
          </w:p>
          <w:p w:rsidR="007E4565" w:rsidRPr="008316F3" w:rsidRDefault="007E4565" w:rsidP="00A04E91">
            <w:pPr>
              <w:pStyle w:val="Tablea"/>
            </w:pPr>
            <w:r w:rsidRPr="008316F3">
              <w:t xml:space="preserve">(a) comprising all sea and </w:t>
            </w:r>
            <w:proofErr w:type="spellStart"/>
            <w:r w:rsidRPr="008316F3">
              <w:t>superjacent</w:t>
            </w:r>
            <w:proofErr w:type="spellEnd"/>
            <w:r w:rsidRPr="008316F3">
              <w:t xml:space="preserve"> airspace of the Persian Gulf, the Gulf of Aden, the Red Sea and the Arabian Sea north of latitude 11°00′S and west of longitude 68°00′E; and</w:t>
            </w:r>
          </w:p>
          <w:p w:rsidR="007E4565" w:rsidRPr="008316F3" w:rsidRDefault="007E4565" w:rsidP="00A04E91">
            <w:pPr>
              <w:pStyle w:val="Tablea"/>
            </w:pPr>
            <w:r w:rsidRPr="008316F3">
              <w:t xml:space="preserve">(b) including the ports adjacent to the area mentioned in </w:t>
            </w:r>
            <w:r w:rsidR="008316F3" w:rsidRPr="008316F3">
              <w:t>paragraph (</w:t>
            </w:r>
            <w:r w:rsidRPr="008316F3">
              <w:t>a), and the area within a 10 kilometre radius of each port</w:t>
            </w:r>
          </w:p>
        </w:tc>
        <w:tc>
          <w:tcPr>
            <w:tcW w:w="1149" w:type="pct"/>
            <w:tcBorders>
              <w:bottom w:val="single" w:sz="4" w:space="0" w:color="auto"/>
            </w:tcBorders>
            <w:shd w:val="clear" w:color="auto" w:fill="auto"/>
          </w:tcPr>
          <w:p w:rsidR="007E4565" w:rsidRPr="008316F3" w:rsidRDefault="007E4565" w:rsidP="00A04E91">
            <w:pPr>
              <w:pStyle w:val="Tabletext"/>
            </w:pPr>
            <w:r w:rsidRPr="008316F3">
              <w:t>1</w:t>
            </w:r>
            <w:r w:rsidR="008316F3" w:rsidRPr="008316F3">
              <w:t> </w:t>
            </w:r>
            <w:r w:rsidRPr="008316F3">
              <w:t>July 2014–13</w:t>
            </w:r>
            <w:r w:rsidR="008316F3" w:rsidRPr="008316F3">
              <w:t> </w:t>
            </w:r>
            <w:r w:rsidRPr="008316F3">
              <w:t>May 2015</w:t>
            </w:r>
          </w:p>
        </w:tc>
      </w:tr>
      <w:tr w:rsidR="007E4565" w:rsidRPr="008316F3" w:rsidTr="009203BE">
        <w:tc>
          <w:tcPr>
            <w:tcW w:w="365" w:type="pct"/>
            <w:tcBorders>
              <w:top w:val="single" w:sz="4" w:space="0" w:color="auto"/>
              <w:bottom w:val="single" w:sz="4" w:space="0" w:color="auto"/>
            </w:tcBorders>
            <w:shd w:val="clear" w:color="auto" w:fill="auto"/>
          </w:tcPr>
          <w:p w:rsidR="007E4565" w:rsidRPr="008316F3" w:rsidRDefault="00EA7345" w:rsidP="00796A78">
            <w:pPr>
              <w:pStyle w:val="Tabletext"/>
            </w:pPr>
            <w:r w:rsidRPr="008316F3">
              <w:t>3</w:t>
            </w:r>
            <w:r w:rsidR="00796A78" w:rsidRPr="008316F3">
              <w:t>1A</w:t>
            </w:r>
          </w:p>
        </w:tc>
        <w:tc>
          <w:tcPr>
            <w:tcW w:w="737" w:type="pct"/>
            <w:tcBorders>
              <w:top w:val="single" w:sz="4" w:space="0" w:color="auto"/>
              <w:bottom w:val="single" w:sz="4" w:space="0" w:color="auto"/>
            </w:tcBorders>
            <w:shd w:val="clear" w:color="auto" w:fill="auto"/>
          </w:tcPr>
          <w:p w:rsidR="007E4565" w:rsidRPr="008316F3" w:rsidRDefault="007E4565" w:rsidP="00500F12">
            <w:pPr>
              <w:pStyle w:val="Tabletext"/>
            </w:pPr>
            <w:r w:rsidRPr="008316F3">
              <w:t>Manitou</w:t>
            </w:r>
          </w:p>
        </w:tc>
        <w:tc>
          <w:tcPr>
            <w:tcW w:w="1105" w:type="pct"/>
            <w:tcBorders>
              <w:top w:val="single" w:sz="4" w:space="0" w:color="auto"/>
              <w:bottom w:val="single" w:sz="4" w:space="0" w:color="auto"/>
            </w:tcBorders>
            <w:shd w:val="clear" w:color="auto" w:fill="auto"/>
          </w:tcPr>
          <w:p w:rsidR="007E4565" w:rsidRPr="008316F3" w:rsidRDefault="007E4565" w:rsidP="00500F12">
            <w:pPr>
              <w:pStyle w:val="Tabletext"/>
            </w:pPr>
            <w:r w:rsidRPr="008316F3">
              <w:t>Maritime operations, including counter</w:t>
            </w:r>
            <w:r w:rsidR="008316F3">
              <w:noBreakHyphen/>
            </w:r>
            <w:r w:rsidRPr="008316F3">
              <w:t>piracy operations</w:t>
            </w:r>
          </w:p>
        </w:tc>
        <w:tc>
          <w:tcPr>
            <w:tcW w:w="1644" w:type="pct"/>
            <w:tcBorders>
              <w:top w:val="single" w:sz="4" w:space="0" w:color="auto"/>
              <w:bottom w:val="single" w:sz="4" w:space="0" w:color="auto"/>
            </w:tcBorders>
            <w:shd w:val="clear" w:color="auto" w:fill="auto"/>
          </w:tcPr>
          <w:p w:rsidR="007E4565" w:rsidRPr="008316F3" w:rsidRDefault="007E4565" w:rsidP="00A04E91">
            <w:pPr>
              <w:pStyle w:val="Tabletext"/>
            </w:pPr>
            <w:r w:rsidRPr="008316F3">
              <w:t>The area:</w:t>
            </w:r>
          </w:p>
          <w:p w:rsidR="007E4565" w:rsidRPr="008316F3" w:rsidRDefault="007E4565" w:rsidP="00A04E91">
            <w:pPr>
              <w:pStyle w:val="Tablea"/>
            </w:pPr>
            <w:r w:rsidRPr="008316F3">
              <w:t>(</w:t>
            </w:r>
            <w:r w:rsidR="004C1335" w:rsidRPr="008316F3">
              <w:t>a</w:t>
            </w:r>
            <w:r w:rsidRPr="008316F3">
              <w:t xml:space="preserve">) comprising all sea and </w:t>
            </w:r>
            <w:proofErr w:type="spellStart"/>
            <w:r w:rsidRPr="008316F3">
              <w:t>superjacent</w:t>
            </w:r>
            <w:proofErr w:type="spellEnd"/>
            <w:r w:rsidRPr="008316F3">
              <w:t xml:space="preserve"> airspace of the Persian Gulf, the Gulf of Oman, the Arabian Sea, the Gulf of Aden, the Red Sea, the Gulf of Suez, the Gulf of Aqaba and the Indian Ocean north of latitude 15°00′S and west of longitude 68°00′E; and</w:t>
            </w:r>
          </w:p>
          <w:p w:rsidR="007E4565" w:rsidRPr="008316F3" w:rsidRDefault="004C1335" w:rsidP="00A04E91">
            <w:pPr>
              <w:pStyle w:val="Tablea"/>
            </w:pPr>
            <w:r w:rsidRPr="008316F3">
              <w:t>(b</w:t>
            </w:r>
            <w:r w:rsidR="007E4565" w:rsidRPr="008316F3">
              <w:t xml:space="preserve">) including the ports adjacent to the area mentioned in </w:t>
            </w:r>
            <w:r w:rsidR="008316F3" w:rsidRPr="008316F3">
              <w:t>paragraph (</w:t>
            </w:r>
            <w:r w:rsidR="007E4565" w:rsidRPr="008316F3">
              <w:t>a), and the area within a 10 kilometre radius of each port</w:t>
            </w:r>
          </w:p>
        </w:tc>
        <w:tc>
          <w:tcPr>
            <w:tcW w:w="1149" w:type="pct"/>
            <w:tcBorders>
              <w:top w:val="single" w:sz="4" w:space="0" w:color="auto"/>
              <w:bottom w:val="single" w:sz="4" w:space="0" w:color="auto"/>
            </w:tcBorders>
            <w:shd w:val="clear" w:color="auto" w:fill="auto"/>
          </w:tcPr>
          <w:p w:rsidR="007E4565" w:rsidRPr="008316F3" w:rsidRDefault="007E4565" w:rsidP="00A04E91">
            <w:pPr>
              <w:pStyle w:val="Tabletext"/>
            </w:pPr>
            <w:r w:rsidRPr="008316F3">
              <w:t>14</w:t>
            </w:r>
            <w:r w:rsidR="008316F3" w:rsidRPr="008316F3">
              <w:t> </w:t>
            </w:r>
            <w:r w:rsidRPr="008316F3">
              <w:t>May 2015–13</w:t>
            </w:r>
            <w:r w:rsidR="008316F3" w:rsidRPr="008316F3">
              <w:t> </w:t>
            </w:r>
            <w:r w:rsidRPr="008316F3">
              <w:t>November 2016</w:t>
            </w:r>
          </w:p>
        </w:tc>
      </w:tr>
      <w:tr w:rsidR="007E4565" w:rsidRPr="008316F3" w:rsidTr="009203BE">
        <w:tc>
          <w:tcPr>
            <w:tcW w:w="365" w:type="pct"/>
            <w:tcBorders>
              <w:top w:val="single" w:sz="4" w:space="0" w:color="auto"/>
            </w:tcBorders>
            <w:shd w:val="clear" w:color="auto" w:fill="auto"/>
          </w:tcPr>
          <w:p w:rsidR="007E4565" w:rsidRPr="008316F3" w:rsidRDefault="00EA7345" w:rsidP="00796A78">
            <w:pPr>
              <w:pStyle w:val="Tabletext"/>
            </w:pPr>
            <w:r w:rsidRPr="008316F3">
              <w:t>3</w:t>
            </w:r>
            <w:r w:rsidR="00796A78" w:rsidRPr="008316F3">
              <w:t>1B</w:t>
            </w:r>
          </w:p>
        </w:tc>
        <w:tc>
          <w:tcPr>
            <w:tcW w:w="737" w:type="pct"/>
            <w:tcBorders>
              <w:top w:val="single" w:sz="4" w:space="0" w:color="auto"/>
            </w:tcBorders>
            <w:shd w:val="clear" w:color="auto" w:fill="auto"/>
          </w:tcPr>
          <w:p w:rsidR="007E4565" w:rsidRPr="008316F3" w:rsidRDefault="007E4565" w:rsidP="00500F12">
            <w:pPr>
              <w:pStyle w:val="Tabletext"/>
            </w:pPr>
            <w:r w:rsidRPr="008316F3">
              <w:t>Manitou</w:t>
            </w:r>
          </w:p>
        </w:tc>
        <w:tc>
          <w:tcPr>
            <w:tcW w:w="1105" w:type="pct"/>
            <w:tcBorders>
              <w:top w:val="single" w:sz="4" w:space="0" w:color="auto"/>
            </w:tcBorders>
            <w:shd w:val="clear" w:color="auto" w:fill="auto"/>
          </w:tcPr>
          <w:p w:rsidR="007E4565" w:rsidRPr="008316F3" w:rsidRDefault="007E4565" w:rsidP="00500F12">
            <w:pPr>
              <w:pStyle w:val="Tabletext"/>
            </w:pPr>
            <w:r w:rsidRPr="008316F3">
              <w:t>Maritime operations, including counter</w:t>
            </w:r>
            <w:r w:rsidR="008316F3">
              <w:noBreakHyphen/>
            </w:r>
            <w:r w:rsidRPr="008316F3">
              <w:t>piracy operations</w:t>
            </w:r>
          </w:p>
        </w:tc>
        <w:tc>
          <w:tcPr>
            <w:tcW w:w="1644" w:type="pct"/>
            <w:tcBorders>
              <w:top w:val="single" w:sz="4" w:space="0" w:color="auto"/>
            </w:tcBorders>
            <w:shd w:val="clear" w:color="auto" w:fill="auto"/>
          </w:tcPr>
          <w:p w:rsidR="007E4565" w:rsidRPr="008316F3" w:rsidRDefault="007E4565" w:rsidP="00A04E91">
            <w:pPr>
              <w:pStyle w:val="Tabletext"/>
            </w:pPr>
            <w:r w:rsidRPr="008316F3">
              <w:t>The area:</w:t>
            </w:r>
          </w:p>
          <w:p w:rsidR="007E4565" w:rsidRPr="008316F3" w:rsidRDefault="007E4565" w:rsidP="00A04E91">
            <w:pPr>
              <w:pStyle w:val="Tablea"/>
            </w:pPr>
            <w:r w:rsidRPr="008316F3">
              <w:t xml:space="preserve">(a) comprising all sea and </w:t>
            </w:r>
            <w:proofErr w:type="spellStart"/>
            <w:r w:rsidRPr="008316F3">
              <w:t>superjacent</w:t>
            </w:r>
            <w:proofErr w:type="spellEnd"/>
            <w:r w:rsidRPr="008316F3">
              <w:t xml:space="preserve"> airspace of the Persian Gulf, the Gulf of Oman, the Gulf of Aden, the Gulf of Suez, the Gulf of Aqaba, the Red Sea, the Arabian Sea north of latitude 15°00′S and west of longitude 70°00′E and the Indian Ocean north of latitude 15°00′S and west of longitude 70°00′E; and</w:t>
            </w:r>
          </w:p>
          <w:p w:rsidR="007E4565" w:rsidRPr="008316F3" w:rsidRDefault="007E4565" w:rsidP="00A04E91">
            <w:pPr>
              <w:pStyle w:val="Tablea"/>
            </w:pPr>
            <w:r w:rsidRPr="008316F3">
              <w:t xml:space="preserve">(b) including the ports adjacent to the area mentioned in </w:t>
            </w:r>
            <w:r w:rsidR="008316F3" w:rsidRPr="008316F3">
              <w:t>paragraph (</w:t>
            </w:r>
            <w:r w:rsidRPr="008316F3">
              <w:t>a), and the area within a 10 kilometre radius of each port</w:t>
            </w:r>
          </w:p>
        </w:tc>
        <w:tc>
          <w:tcPr>
            <w:tcW w:w="1149" w:type="pct"/>
            <w:tcBorders>
              <w:top w:val="single" w:sz="4" w:space="0" w:color="auto"/>
            </w:tcBorders>
            <w:shd w:val="clear" w:color="auto" w:fill="auto"/>
          </w:tcPr>
          <w:p w:rsidR="007E4565" w:rsidRPr="008316F3" w:rsidRDefault="007E4565" w:rsidP="00A04E91">
            <w:pPr>
              <w:pStyle w:val="Tabletext"/>
            </w:pPr>
            <w:r w:rsidRPr="008316F3">
              <w:t>On and after 14</w:t>
            </w:r>
            <w:r w:rsidR="008316F3" w:rsidRPr="008316F3">
              <w:t> </w:t>
            </w:r>
            <w:r w:rsidRPr="008316F3">
              <w:t>November 2016</w:t>
            </w:r>
          </w:p>
        </w:tc>
      </w:tr>
      <w:tr w:rsidR="007E4565" w:rsidRPr="008316F3" w:rsidTr="009203BE">
        <w:tc>
          <w:tcPr>
            <w:tcW w:w="365" w:type="pct"/>
            <w:tcBorders>
              <w:bottom w:val="single" w:sz="4" w:space="0" w:color="auto"/>
            </w:tcBorders>
            <w:shd w:val="clear" w:color="auto" w:fill="auto"/>
          </w:tcPr>
          <w:p w:rsidR="007E4565" w:rsidRPr="008316F3" w:rsidRDefault="00EA7345" w:rsidP="00796A78">
            <w:pPr>
              <w:pStyle w:val="Tabletext"/>
            </w:pPr>
            <w:r w:rsidRPr="008316F3">
              <w:t>3</w:t>
            </w:r>
            <w:r w:rsidR="00796A78" w:rsidRPr="008316F3">
              <w:t>2</w:t>
            </w:r>
          </w:p>
        </w:tc>
        <w:tc>
          <w:tcPr>
            <w:tcW w:w="737" w:type="pct"/>
            <w:tcBorders>
              <w:bottom w:val="single" w:sz="4" w:space="0" w:color="auto"/>
            </w:tcBorders>
            <w:shd w:val="clear" w:color="auto" w:fill="auto"/>
          </w:tcPr>
          <w:p w:rsidR="007E4565" w:rsidRPr="008316F3" w:rsidRDefault="007E4565" w:rsidP="000F1869">
            <w:pPr>
              <w:pStyle w:val="Tabletext"/>
            </w:pPr>
            <w:r w:rsidRPr="008316F3">
              <w:t>Okra</w:t>
            </w:r>
          </w:p>
        </w:tc>
        <w:tc>
          <w:tcPr>
            <w:tcW w:w="1105" w:type="pct"/>
            <w:tcBorders>
              <w:bottom w:val="single" w:sz="4" w:space="0" w:color="auto"/>
            </w:tcBorders>
            <w:shd w:val="clear" w:color="auto" w:fill="auto"/>
          </w:tcPr>
          <w:p w:rsidR="007E4565" w:rsidRPr="008316F3" w:rsidRDefault="007E4565" w:rsidP="000F1869">
            <w:pPr>
              <w:pStyle w:val="Tabletext"/>
            </w:pPr>
            <w:r w:rsidRPr="008316F3">
              <w:t>Defence Force contribution to the Iraq crisis</w:t>
            </w:r>
          </w:p>
        </w:tc>
        <w:tc>
          <w:tcPr>
            <w:tcW w:w="1644" w:type="pct"/>
            <w:tcBorders>
              <w:bottom w:val="single" w:sz="4" w:space="0" w:color="auto"/>
            </w:tcBorders>
            <w:shd w:val="clear" w:color="auto" w:fill="auto"/>
          </w:tcPr>
          <w:p w:rsidR="007E4565" w:rsidRPr="008316F3" w:rsidRDefault="007E4565" w:rsidP="000F1869">
            <w:pPr>
              <w:pStyle w:val="Tabletext"/>
            </w:pPr>
            <w:r w:rsidRPr="008316F3">
              <w:t xml:space="preserve">The land area, territorial waters and </w:t>
            </w:r>
            <w:proofErr w:type="spellStart"/>
            <w:r w:rsidRPr="008316F3">
              <w:t>superjacent</w:t>
            </w:r>
            <w:proofErr w:type="spellEnd"/>
            <w:r w:rsidRPr="008316F3">
              <w:t xml:space="preserve"> airspace of Bahrain, Iraq, Jordan, Kuwait, Qatar and the United Arab Emirates, and the waters and </w:t>
            </w:r>
            <w:proofErr w:type="spellStart"/>
            <w:r w:rsidRPr="008316F3">
              <w:t>superjacent</w:t>
            </w:r>
            <w:proofErr w:type="spellEnd"/>
            <w:r w:rsidRPr="008316F3">
              <w:t xml:space="preserve"> airspace of the Persian Gulf</w:t>
            </w:r>
          </w:p>
        </w:tc>
        <w:tc>
          <w:tcPr>
            <w:tcW w:w="1149" w:type="pct"/>
            <w:tcBorders>
              <w:bottom w:val="single" w:sz="4" w:space="0" w:color="auto"/>
            </w:tcBorders>
            <w:shd w:val="clear" w:color="auto" w:fill="auto"/>
          </w:tcPr>
          <w:p w:rsidR="007E4565" w:rsidRPr="008316F3" w:rsidRDefault="007E4565" w:rsidP="00826996">
            <w:pPr>
              <w:pStyle w:val="Tabletext"/>
            </w:pPr>
            <w:r w:rsidRPr="008316F3">
              <w:t>1</w:t>
            </w:r>
            <w:r w:rsidR="008316F3" w:rsidRPr="008316F3">
              <w:t> </w:t>
            </w:r>
            <w:r w:rsidRPr="008316F3">
              <w:t>July 2014–8</w:t>
            </w:r>
            <w:r w:rsidR="008316F3" w:rsidRPr="008316F3">
              <w:t> </w:t>
            </w:r>
            <w:r w:rsidRPr="008316F3">
              <w:t>August 2014</w:t>
            </w:r>
          </w:p>
        </w:tc>
      </w:tr>
      <w:tr w:rsidR="007E4565" w:rsidRPr="008316F3" w:rsidTr="009203BE">
        <w:tc>
          <w:tcPr>
            <w:tcW w:w="365" w:type="pct"/>
            <w:tcBorders>
              <w:top w:val="single" w:sz="4" w:space="0" w:color="auto"/>
              <w:bottom w:val="single" w:sz="4" w:space="0" w:color="auto"/>
            </w:tcBorders>
            <w:shd w:val="clear" w:color="auto" w:fill="auto"/>
          </w:tcPr>
          <w:p w:rsidR="007E4565" w:rsidRPr="008316F3" w:rsidRDefault="00EA7345" w:rsidP="00796A78">
            <w:pPr>
              <w:pStyle w:val="Tabletext"/>
            </w:pPr>
            <w:r w:rsidRPr="008316F3">
              <w:t>3</w:t>
            </w:r>
            <w:r w:rsidR="00796A78" w:rsidRPr="008316F3">
              <w:t>2</w:t>
            </w:r>
            <w:r w:rsidRPr="008316F3">
              <w:t>A</w:t>
            </w:r>
          </w:p>
        </w:tc>
        <w:tc>
          <w:tcPr>
            <w:tcW w:w="737" w:type="pct"/>
            <w:tcBorders>
              <w:top w:val="single" w:sz="4" w:space="0" w:color="auto"/>
              <w:bottom w:val="single" w:sz="4" w:space="0" w:color="auto"/>
            </w:tcBorders>
            <w:shd w:val="clear" w:color="auto" w:fill="auto"/>
          </w:tcPr>
          <w:p w:rsidR="007E4565" w:rsidRPr="008316F3" w:rsidRDefault="007E4565" w:rsidP="00500F12">
            <w:pPr>
              <w:pStyle w:val="Tabletext"/>
            </w:pPr>
            <w:r w:rsidRPr="008316F3">
              <w:t>Okra</w:t>
            </w:r>
          </w:p>
        </w:tc>
        <w:tc>
          <w:tcPr>
            <w:tcW w:w="1105" w:type="pct"/>
            <w:tcBorders>
              <w:top w:val="single" w:sz="4" w:space="0" w:color="auto"/>
              <w:bottom w:val="single" w:sz="4" w:space="0" w:color="auto"/>
            </w:tcBorders>
            <w:shd w:val="clear" w:color="auto" w:fill="auto"/>
          </w:tcPr>
          <w:p w:rsidR="007E4565" w:rsidRPr="008316F3" w:rsidRDefault="007E4565" w:rsidP="00500F12">
            <w:pPr>
              <w:pStyle w:val="Tabletext"/>
            </w:pPr>
            <w:r w:rsidRPr="008316F3">
              <w:t>Defence Force contribution to the Iraq crisis</w:t>
            </w:r>
          </w:p>
        </w:tc>
        <w:tc>
          <w:tcPr>
            <w:tcW w:w="1644" w:type="pct"/>
            <w:tcBorders>
              <w:top w:val="single" w:sz="4" w:space="0" w:color="auto"/>
              <w:bottom w:val="single" w:sz="4" w:space="0" w:color="auto"/>
            </w:tcBorders>
            <w:shd w:val="clear" w:color="auto" w:fill="auto"/>
          </w:tcPr>
          <w:p w:rsidR="007E4565" w:rsidRPr="008316F3" w:rsidRDefault="007E4565" w:rsidP="000F1869">
            <w:pPr>
              <w:pStyle w:val="Tabletext"/>
            </w:pPr>
            <w:r w:rsidRPr="008316F3">
              <w:t xml:space="preserve">The land area, territorial waters and </w:t>
            </w:r>
            <w:proofErr w:type="spellStart"/>
            <w:r w:rsidRPr="008316F3">
              <w:t>superjacent</w:t>
            </w:r>
            <w:proofErr w:type="spellEnd"/>
            <w:r w:rsidRPr="008316F3">
              <w:t xml:space="preserve"> airspace of Albania, Bahrain, Bosnia and Herzegovina, Bulgaria, Croatia, Cyprus, Czech Republic, Estonia, Hungary, Jordan, Kuwait, Montenegro, Poland, Qatar, Romania and the United Arab Emirates, and the waters and </w:t>
            </w:r>
            <w:proofErr w:type="spellStart"/>
            <w:r w:rsidRPr="008316F3">
              <w:t>superjacent</w:t>
            </w:r>
            <w:proofErr w:type="spellEnd"/>
            <w:r w:rsidRPr="008316F3">
              <w:t xml:space="preserve"> airspace of the Persian Gulf</w:t>
            </w:r>
          </w:p>
        </w:tc>
        <w:tc>
          <w:tcPr>
            <w:tcW w:w="1149" w:type="pct"/>
            <w:tcBorders>
              <w:top w:val="single" w:sz="4" w:space="0" w:color="auto"/>
              <w:bottom w:val="single" w:sz="4" w:space="0" w:color="auto"/>
            </w:tcBorders>
            <w:shd w:val="clear" w:color="auto" w:fill="auto"/>
          </w:tcPr>
          <w:p w:rsidR="007E4565" w:rsidRPr="008316F3" w:rsidRDefault="007E4565" w:rsidP="000F1869">
            <w:pPr>
              <w:pStyle w:val="Tabletext"/>
            </w:pPr>
            <w:r w:rsidRPr="008316F3">
              <w:t>9</w:t>
            </w:r>
            <w:r w:rsidR="008316F3" w:rsidRPr="008316F3">
              <w:t> </w:t>
            </w:r>
            <w:r w:rsidRPr="008316F3">
              <w:t>August 2014–8</w:t>
            </w:r>
            <w:r w:rsidR="008316F3" w:rsidRPr="008316F3">
              <w:t> </w:t>
            </w:r>
            <w:r w:rsidRPr="008316F3">
              <w:t>September 2015</w:t>
            </w:r>
          </w:p>
        </w:tc>
      </w:tr>
      <w:tr w:rsidR="007E4565" w:rsidRPr="008316F3" w:rsidTr="009203BE">
        <w:tc>
          <w:tcPr>
            <w:tcW w:w="365" w:type="pct"/>
            <w:tcBorders>
              <w:top w:val="single" w:sz="4" w:space="0" w:color="auto"/>
            </w:tcBorders>
            <w:shd w:val="clear" w:color="auto" w:fill="auto"/>
          </w:tcPr>
          <w:p w:rsidR="007E4565" w:rsidRPr="008316F3" w:rsidRDefault="00EA7345" w:rsidP="00796A78">
            <w:pPr>
              <w:pStyle w:val="Tabletext"/>
            </w:pPr>
            <w:r w:rsidRPr="008316F3">
              <w:t>3</w:t>
            </w:r>
            <w:r w:rsidR="00796A78" w:rsidRPr="008316F3">
              <w:t>2</w:t>
            </w:r>
            <w:r w:rsidRPr="008316F3">
              <w:t>B</w:t>
            </w:r>
          </w:p>
        </w:tc>
        <w:tc>
          <w:tcPr>
            <w:tcW w:w="737" w:type="pct"/>
            <w:tcBorders>
              <w:top w:val="single" w:sz="4" w:space="0" w:color="auto"/>
            </w:tcBorders>
            <w:shd w:val="clear" w:color="auto" w:fill="auto"/>
          </w:tcPr>
          <w:p w:rsidR="007E4565" w:rsidRPr="008316F3" w:rsidRDefault="007E4565" w:rsidP="00500F12">
            <w:pPr>
              <w:pStyle w:val="Tabletext"/>
            </w:pPr>
            <w:r w:rsidRPr="008316F3">
              <w:t>Okra</w:t>
            </w:r>
          </w:p>
        </w:tc>
        <w:tc>
          <w:tcPr>
            <w:tcW w:w="1105" w:type="pct"/>
            <w:tcBorders>
              <w:top w:val="single" w:sz="4" w:space="0" w:color="auto"/>
            </w:tcBorders>
            <w:shd w:val="clear" w:color="auto" w:fill="auto"/>
          </w:tcPr>
          <w:p w:rsidR="007E4565" w:rsidRPr="008316F3" w:rsidRDefault="007E4565" w:rsidP="00500F12">
            <w:pPr>
              <w:pStyle w:val="Tabletext"/>
            </w:pPr>
            <w:r w:rsidRPr="008316F3">
              <w:t>Defence Force contribution to the Iraq</w:t>
            </w:r>
            <w:r w:rsidR="009453BB" w:rsidRPr="008316F3">
              <w:t xml:space="preserve"> and Syria</w:t>
            </w:r>
            <w:r w:rsidRPr="008316F3">
              <w:t xml:space="preserve"> crisis</w:t>
            </w:r>
          </w:p>
        </w:tc>
        <w:tc>
          <w:tcPr>
            <w:tcW w:w="1644" w:type="pct"/>
            <w:tcBorders>
              <w:top w:val="single" w:sz="4" w:space="0" w:color="auto"/>
            </w:tcBorders>
            <w:shd w:val="clear" w:color="auto" w:fill="auto"/>
          </w:tcPr>
          <w:p w:rsidR="007E4565" w:rsidRPr="008316F3" w:rsidRDefault="007E4565" w:rsidP="000F1869">
            <w:pPr>
              <w:pStyle w:val="Tabletext"/>
            </w:pPr>
            <w:r w:rsidRPr="008316F3">
              <w:t>The following areas:</w:t>
            </w:r>
          </w:p>
          <w:p w:rsidR="007E4565" w:rsidRPr="008316F3" w:rsidRDefault="007E4565" w:rsidP="000F1869">
            <w:pPr>
              <w:pStyle w:val="Tablea"/>
            </w:pPr>
            <w:r w:rsidRPr="008316F3">
              <w:t xml:space="preserve">(a) the land area, territorial waters and </w:t>
            </w:r>
            <w:proofErr w:type="spellStart"/>
            <w:r w:rsidRPr="008316F3">
              <w:t>superjacent</w:t>
            </w:r>
            <w:proofErr w:type="spellEnd"/>
            <w:r w:rsidRPr="008316F3">
              <w:t xml:space="preserve"> airspace of Albania, Bahrain, Bosnia and Herzegovina, Bulgaria, Croatia, Cyprus, Czech Republic, Estonia, Hungary, Jordan, Kuwait, Montenegro, Poland, Qatar, Romania and the United Arab Emirates;</w:t>
            </w:r>
          </w:p>
          <w:p w:rsidR="007E4565" w:rsidRPr="008316F3" w:rsidRDefault="007E4565" w:rsidP="000F1869">
            <w:pPr>
              <w:pStyle w:val="Tablea"/>
            </w:pPr>
            <w:r w:rsidRPr="008316F3">
              <w:t xml:space="preserve">(b) the waters and </w:t>
            </w:r>
            <w:proofErr w:type="spellStart"/>
            <w:r w:rsidRPr="008316F3">
              <w:t>superjacent</w:t>
            </w:r>
            <w:proofErr w:type="spellEnd"/>
            <w:r w:rsidRPr="008316F3">
              <w:t xml:space="preserve"> airspace of the Persian Gulf;</w:t>
            </w:r>
          </w:p>
          <w:p w:rsidR="007E4565" w:rsidRPr="008316F3" w:rsidRDefault="007E4565" w:rsidP="000F1869">
            <w:pPr>
              <w:pStyle w:val="Tablea"/>
            </w:pPr>
            <w:r w:rsidRPr="008316F3">
              <w:t>(c) the land territory of Turkey east of longitude 35°00</w:t>
            </w:r>
            <w:r w:rsidRPr="008316F3">
              <w:rPr>
                <w:szCs w:val="22"/>
              </w:rPr>
              <w:t>′</w:t>
            </w:r>
            <w:r w:rsidRPr="008316F3">
              <w:t xml:space="preserve">E, including its </w:t>
            </w:r>
            <w:proofErr w:type="spellStart"/>
            <w:r w:rsidRPr="008316F3">
              <w:t>superjacent</w:t>
            </w:r>
            <w:proofErr w:type="spellEnd"/>
            <w:r w:rsidRPr="008316F3">
              <w:t xml:space="preserve"> airspace and territorial waters</w:t>
            </w:r>
          </w:p>
        </w:tc>
        <w:tc>
          <w:tcPr>
            <w:tcW w:w="1149" w:type="pct"/>
            <w:tcBorders>
              <w:top w:val="single" w:sz="4" w:space="0" w:color="auto"/>
            </w:tcBorders>
            <w:shd w:val="clear" w:color="auto" w:fill="auto"/>
          </w:tcPr>
          <w:p w:rsidR="007E4565" w:rsidRPr="008316F3" w:rsidRDefault="007E4565" w:rsidP="000F1869">
            <w:pPr>
              <w:pStyle w:val="Tabletext"/>
            </w:pPr>
            <w:r w:rsidRPr="008316F3">
              <w:t>On and after 9</w:t>
            </w:r>
            <w:r w:rsidR="008316F3" w:rsidRPr="008316F3">
              <w:t> </w:t>
            </w:r>
            <w:r w:rsidRPr="008316F3">
              <w:t>September 2015</w:t>
            </w:r>
          </w:p>
        </w:tc>
      </w:tr>
      <w:tr w:rsidR="007E4565" w:rsidRPr="008316F3" w:rsidTr="009203BE">
        <w:tc>
          <w:tcPr>
            <w:tcW w:w="365" w:type="pct"/>
            <w:tcBorders>
              <w:bottom w:val="single" w:sz="2" w:space="0" w:color="auto"/>
            </w:tcBorders>
            <w:shd w:val="clear" w:color="auto" w:fill="auto"/>
          </w:tcPr>
          <w:p w:rsidR="007E4565" w:rsidRPr="008316F3" w:rsidRDefault="0098611C" w:rsidP="00796A78">
            <w:pPr>
              <w:pStyle w:val="Tabletext"/>
            </w:pPr>
            <w:r w:rsidRPr="008316F3">
              <w:t>3</w:t>
            </w:r>
            <w:r w:rsidR="00796A78" w:rsidRPr="008316F3">
              <w:t>3</w:t>
            </w:r>
          </w:p>
        </w:tc>
        <w:tc>
          <w:tcPr>
            <w:tcW w:w="737" w:type="pct"/>
            <w:tcBorders>
              <w:bottom w:val="single" w:sz="2" w:space="0" w:color="auto"/>
            </w:tcBorders>
            <w:shd w:val="clear" w:color="auto" w:fill="auto"/>
          </w:tcPr>
          <w:p w:rsidR="007E4565" w:rsidRPr="008316F3" w:rsidRDefault="007E4565" w:rsidP="000F1869">
            <w:pPr>
              <w:pStyle w:val="Tabletext"/>
            </w:pPr>
            <w:r w:rsidRPr="008316F3">
              <w:t>Augury</w:t>
            </w:r>
          </w:p>
        </w:tc>
        <w:tc>
          <w:tcPr>
            <w:tcW w:w="1105" w:type="pct"/>
            <w:tcBorders>
              <w:bottom w:val="single" w:sz="2" w:space="0" w:color="auto"/>
            </w:tcBorders>
            <w:shd w:val="clear" w:color="auto" w:fill="auto"/>
          </w:tcPr>
          <w:p w:rsidR="007E4565" w:rsidRPr="008316F3" w:rsidRDefault="007E4565" w:rsidP="000F1869">
            <w:pPr>
              <w:pStyle w:val="Tabletext"/>
            </w:pPr>
            <w:r w:rsidRPr="008316F3">
              <w:t>Supporting the Defence Force’s understanding of Islamist terrorist threats to Australia and the region</w:t>
            </w:r>
          </w:p>
        </w:tc>
        <w:tc>
          <w:tcPr>
            <w:tcW w:w="1644" w:type="pct"/>
            <w:tcBorders>
              <w:bottom w:val="single" w:sz="2" w:space="0" w:color="auto"/>
            </w:tcBorders>
            <w:shd w:val="clear" w:color="auto" w:fill="auto"/>
          </w:tcPr>
          <w:p w:rsidR="007E4565" w:rsidRPr="008316F3" w:rsidRDefault="007E4565" w:rsidP="000F1869">
            <w:pPr>
              <w:pStyle w:val="Tabletext"/>
            </w:pPr>
            <w:r w:rsidRPr="008316F3">
              <w:t xml:space="preserve">Jordan and its </w:t>
            </w:r>
            <w:proofErr w:type="spellStart"/>
            <w:r w:rsidRPr="008316F3">
              <w:t>superjacent</w:t>
            </w:r>
            <w:proofErr w:type="spellEnd"/>
            <w:r w:rsidRPr="008316F3">
              <w:t xml:space="preserve"> airspace</w:t>
            </w:r>
          </w:p>
        </w:tc>
        <w:tc>
          <w:tcPr>
            <w:tcW w:w="1149" w:type="pct"/>
            <w:tcBorders>
              <w:bottom w:val="single" w:sz="2" w:space="0" w:color="auto"/>
            </w:tcBorders>
            <w:shd w:val="clear" w:color="auto" w:fill="auto"/>
          </w:tcPr>
          <w:p w:rsidR="007E4565" w:rsidRPr="008316F3" w:rsidRDefault="007E4565" w:rsidP="000F1869">
            <w:pPr>
              <w:pStyle w:val="Tabletext"/>
            </w:pPr>
            <w:r w:rsidRPr="008316F3">
              <w:t>4</w:t>
            </w:r>
            <w:r w:rsidR="008316F3" w:rsidRPr="008316F3">
              <w:t> </w:t>
            </w:r>
            <w:r w:rsidRPr="008316F3">
              <w:t>July 2014–27</w:t>
            </w:r>
            <w:r w:rsidR="008316F3" w:rsidRPr="008316F3">
              <w:t> </w:t>
            </w:r>
            <w:r w:rsidRPr="008316F3">
              <w:t>April 2016</w:t>
            </w:r>
          </w:p>
        </w:tc>
      </w:tr>
      <w:tr w:rsidR="007E4565" w:rsidRPr="008316F3" w:rsidTr="009203BE">
        <w:tc>
          <w:tcPr>
            <w:tcW w:w="365" w:type="pct"/>
            <w:tcBorders>
              <w:top w:val="single" w:sz="2" w:space="0" w:color="auto"/>
              <w:bottom w:val="single" w:sz="2" w:space="0" w:color="auto"/>
            </w:tcBorders>
            <w:shd w:val="clear" w:color="auto" w:fill="auto"/>
          </w:tcPr>
          <w:p w:rsidR="007E4565" w:rsidRPr="008316F3" w:rsidRDefault="0098611C" w:rsidP="00796A78">
            <w:pPr>
              <w:pStyle w:val="Tabletext"/>
            </w:pPr>
            <w:r w:rsidRPr="008316F3">
              <w:t>3</w:t>
            </w:r>
            <w:r w:rsidR="00796A78" w:rsidRPr="008316F3">
              <w:t>3</w:t>
            </w:r>
            <w:r w:rsidRPr="008316F3">
              <w:t>A</w:t>
            </w:r>
          </w:p>
        </w:tc>
        <w:tc>
          <w:tcPr>
            <w:tcW w:w="737" w:type="pct"/>
            <w:tcBorders>
              <w:top w:val="single" w:sz="2" w:space="0" w:color="auto"/>
              <w:bottom w:val="single" w:sz="2" w:space="0" w:color="auto"/>
            </w:tcBorders>
            <w:shd w:val="clear" w:color="auto" w:fill="auto"/>
          </w:tcPr>
          <w:p w:rsidR="007E4565" w:rsidRPr="008316F3" w:rsidRDefault="007E4565" w:rsidP="00500F12">
            <w:pPr>
              <w:pStyle w:val="Tabletext"/>
            </w:pPr>
            <w:r w:rsidRPr="008316F3">
              <w:t>Augury</w:t>
            </w:r>
          </w:p>
        </w:tc>
        <w:tc>
          <w:tcPr>
            <w:tcW w:w="1105" w:type="pct"/>
            <w:tcBorders>
              <w:top w:val="single" w:sz="2" w:space="0" w:color="auto"/>
              <w:bottom w:val="single" w:sz="2" w:space="0" w:color="auto"/>
            </w:tcBorders>
            <w:shd w:val="clear" w:color="auto" w:fill="auto"/>
          </w:tcPr>
          <w:p w:rsidR="007E4565" w:rsidRPr="008316F3" w:rsidRDefault="007E4565" w:rsidP="00500F12">
            <w:pPr>
              <w:pStyle w:val="Tabletext"/>
            </w:pPr>
            <w:r w:rsidRPr="008316F3">
              <w:t>Supporting the Defence Force’s understanding of Islamist terrorist threats to Australia and the region</w:t>
            </w:r>
          </w:p>
        </w:tc>
        <w:tc>
          <w:tcPr>
            <w:tcW w:w="1644" w:type="pct"/>
            <w:tcBorders>
              <w:top w:val="single" w:sz="2" w:space="0" w:color="auto"/>
              <w:bottom w:val="single" w:sz="2" w:space="0" w:color="auto"/>
            </w:tcBorders>
            <w:shd w:val="clear" w:color="auto" w:fill="auto"/>
          </w:tcPr>
          <w:p w:rsidR="007E4565" w:rsidRPr="008316F3" w:rsidRDefault="007E4565" w:rsidP="000F1869">
            <w:pPr>
              <w:pStyle w:val="Tabletext"/>
            </w:pPr>
            <w:r w:rsidRPr="008316F3">
              <w:t xml:space="preserve">The land area, territorial waters and </w:t>
            </w:r>
            <w:proofErr w:type="spellStart"/>
            <w:r w:rsidRPr="008316F3">
              <w:t>superjacent</w:t>
            </w:r>
            <w:proofErr w:type="spellEnd"/>
            <w:r w:rsidRPr="008316F3">
              <w:t xml:space="preserve"> airspace of Jordan and the United Arab Emirates</w:t>
            </w:r>
          </w:p>
        </w:tc>
        <w:tc>
          <w:tcPr>
            <w:tcW w:w="1149" w:type="pct"/>
            <w:tcBorders>
              <w:top w:val="single" w:sz="2" w:space="0" w:color="auto"/>
              <w:bottom w:val="single" w:sz="2" w:space="0" w:color="auto"/>
            </w:tcBorders>
            <w:shd w:val="clear" w:color="auto" w:fill="auto"/>
          </w:tcPr>
          <w:p w:rsidR="007E4565" w:rsidRPr="008316F3" w:rsidRDefault="007E4565" w:rsidP="000F1869">
            <w:pPr>
              <w:pStyle w:val="Tabletext"/>
            </w:pPr>
            <w:r w:rsidRPr="008316F3">
              <w:t>On and after 28</w:t>
            </w:r>
            <w:r w:rsidR="008316F3" w:rsidRPr="008316F3">
              <w:t> </w:t>
            </w:r>
            <w:r w:rsidRPr="008316F3">
              <w:t>April 2016</w:t>
            </w:r>
          </w:p>
        </w:tc>
      </w:tr>
      <w:tr w:rsidR="007E4565" w:rsidRPr="008316F3" w:rsidTr="009203BE">
        <w:tc>
          <w:tcPr>
            <w:tcW w:w="365" w:type="pct"/>
            <w:tcBorders>
              <w:top w:val="single" w:sz="2" w:space="0" w:color="auto"/>
              <w:bottom w:val="single" w:sz="2" w:space="0" w:color="auto"/>
            </w:tcBorders>
            <w:shd w:val="clear" w:color="auto" w:fill="auto"/>
          </w:tcPr>
          <w:p w:rsidR="007E4565" w:rsidRPr="008316F3" w:rsidRDefault="007E4565" w:rsidP="00796A78">
            <w:pPr>
              <w:pStyle w:val="Tabletext"/>
            </w:pPr>
            <w:r w:rsidRPr="008316F3">
              <w:t>3</w:t>
            </w:r>
            <w:r w:rsidR="00796A78" w:rsidRPr="008316F3">
              <w:t>4</w:t>
            </w:r>
          </w:p>
        </w:tc>
        <w:tc>
          <w:tcPr>
            <w:tcW w:w="737" w:type="pct"/>
            <w:tcBorders>
              <w:top w:val="single" w:sz="2" w:space="0" w:color="auto"/>
              <w:bottom w:val="single" w:sz="2" w:space="0" w:color="auto"/>
            </w:tcBorders>
            <w:shd w:val="clear" w:color="auto" w:fill="auto"/>
          </w:tcPr>
          <w:p w:rsidR="007E4565" w:rsidRPr="008316F3" w:rsidRDefault="007E4565" w:rsidP="000F1869">
            <w:pPr>
              <w:pStyle w:val="Tabletext"/>
            </w:pPr>
            <w:r w:rsidRPr="008316F3">
              <w:t>Hawick</w:t>
            </w:r>
          </w:p>
        </w:tc>
        <w:tc>
          <w:tcPr>
            <w:tcW w:w="1105" w:type="pct"/>
            <w:tcBorders>
              <w:top w:val="single" w:sz="2" w:space="0" w:color="auto"/>
              <w:bottom w:val="single" w:sz="2" w:space="0" w:color="auto"/>
            </w:tcBorders>
            <w:shd w:val="clear" w:color="auto" w:fill="auto"/>
          </w:tcPr>
          <w:p w:rsidR="007E4565" w:rsidRPr="008316F3" w:rsidRDefault="007E4565" w:rsidP="000F1869">
            <w:pPr>
              <w:pStyle w:val="Tabletext"/>
            </w:pPr>
            <w:r w:rsidRPr="008316F3">
              <w:t>Defence Force contribution to the whole of government response to the MH17 air disaster in Ukraine</w:t>
            </w:r>
          </w:p>
        </w:tc>
        <w:tc>
          <w:tcPr>
            <w:tcW w:w="1644" w:type="pct"/>
            <w:tcBorders>
              <w:top w:val="single" w:sz="2" w:space="0" w:color="auto"/>
              <w:bottom w:val="single" w:sz="2" w:space="0" w:color="auto"/>
            </w:tcBorders>
            <w:shd w:val="clear" w:color="auto" w:fill="auto"/>
          </w:tcPr>
          <w:p w:rsidR="007E4565" w:rsidRPr="008316F3" w:rsidRDefault="007E4565" w:rsidP="000F1869">
            <w:pPr>
              <w:pStyle w:val="Tabletext"/>
            </w:pPr>
            <w:r w:rsidRPr="008316F3">
              <w:t xml:space="preserve">Ukraine and its </w:t>
            </w:r>
            <w:proofErr w:type="spellStart"/>
            <w:r w:rsidRPr="008316F3">
              <w:t>superjacent</w:t>
            </w:r>
            <w:proofErr w:type="spellEnd"/>
            <w:r w:rsidRPr="008316F3">
              <w:t xml:space="preserve"> airspace</w:t>
            </w:r>
          </w:p>
        </w:tc>
        <w:tc>
          <w:tcPr>
            <w:tcW w:w="1149" w:type="pct"/>
            <w:tcBorders>
              <w:top w:val="single" w:sz="2" w:space="0" w:color="auto"/>
              <w:bottom w:val="single" w:sz="2" w:space="0" w:color="auto"/>
            </w:tcBorders>
            <w:shd w:val="clear" w:color="auto" w:fill="auto"/>
          </w:tcPr>
          <w:p w:rsidR="007E4565" w:rsidRPr="008316F3" w:rsidRDefault="007E4565" w:rsidP="000F1869">
            <w:pPr>
              <w:pStyle w:val="Tabletext"/>
            </w:pPr>
            <w:r w:rsidRPr="008316F3">
              <w:t>21</w:t>
            </w:r>
            <w:r w:rsidR="008316F3" w:rsidRPr="008316F3">
              <w:t> </w:t>
            </w:r>
            <w:r w:rsidRPr="008316F3">
              <w:t>July 2014–18</w:t>
            </w:r>
            <w:r w:rsidR="008316F3" w:rsidRPr="008316F3">
              <w:t> </w:t>
            </w:r>
            <w:r w:rsidRPr="008316F3">
              <w:t>May 2015</w:t>
            </w:r>
          </w:p>
        </w:tc>
      </w:tr>
      <w:tr w:rsidR="007E4565" w:rsidRPr="008316F3" w:rsidTr="009203BE">
        <w:tc>
          <w:tcPr>
            <w:tcW w:w="365" w:type="pct"/>
            <w:tcBorders>
              <w:top w:val="single" w:sz="2" w:space="0" w:color="auto"/>
              <w:bottom w:val="single" w:sz="2" w:space="0" w:color="auto"/>
            </w:tcBorders>
            <w:shd w:val="clear" w:color="auto" w:fill="auto"/>
          </w:tcPr>
          <w:p w:rsidR="007E4565" w:rsidRPr="008316F3" w:rsidRDefault="007E4565" w:rsidP="00796A78">
            <w:pPr>
              <w:pStyle w:val="Tabletext"/>
            </w:pPr>
            <w:r w:rsidRPr="008316F3">
              <w:t>3</w:t>
            </w:r>
            <w:r w:rsidR="00796A78" w:rsidRPr="008316F3">
              <w:t>5</w:t>
            </w:r>
          </w:p>
        </w:tc>
        <w:tc>
          <w:tcPr>
            <w:tcW w:w="737" w:type="pct"/>
            <w:tcBorders>
              <w:top w:val="single" w:sz="2" w:space="0" w:color="auto"/>
              <w:bottom w:val="single" w:sz="2" w:space="0" w:color="auto"/>
            </w:tcBorders>
            <w:shd w:val="clear" w:color="auto" w:fill="auto"/>
          </w:tcPr>
          <w:p w:rsidR="007E4565" w:rsidRPr="008316F3" w:rsidRDefault="007E4565" w:rsidP="000F1869">
            <w:pPr>
              <w:pStyle w:val="Tabletext"/>
            </w:pPr>
          </w:p>
        </w:tc>
        <w:tc>
          <w:tcPr>
            <w:tcW w:w="1105" w:type="pct"/>
            <w:tcBorders>
              <w:top w:val="single" w:sz="2" w:space="0" w:color="auto"/>
              <w:bottom w:val="single" w:sz="2" w:space="0" w:color="auto"/>
            </w:tcBorders>
            <w:shd w:val="clear" w:color="auto" w:fill="auto"/>
          </w:tcPr>
          <w:p w:rsidR="007E4565" w:rsidRPr="008316F3" w:rsidRDefault="007E4565" w:rsidP="000F1869">
            <w:pPr>
              <w:pStyle w:val="Tabletext"/>
            </w:pPr>
            <w:r w:rsidRPr="008316F3">
              <w:t>Defence Force contribution to efforts against global terrorism</w:t>
            </w:r>
          </w:p>
        </w:tc>
        <w:tc>
          <w:tcPr>
            <w:tcW w:w="1644" w:type="pct"/>
            <w:tcBorders>
              <w:top w:val="single" w:sz="2" w:space="0" w:color="auto"/>
              <w:bottom w:val="single" w:sz="2" w:space="0" w:color="auto"/>
            </w:tcBorders>
            <w:shd w:val="clear" w:color="auto" w:fill="auto"/>
          </w:tcPr>
          <w:p w:rsidR="007E4565" w:rsidRPr="008316F3" w:rsidRDefault="007E4565" w:rsidP="000F1869">
            <w:pPr>
              <w:pStyle w:val="Tabletext"/>
            </w:pPr>
            <w:r w:rsidRPr="008316F3">
              <w:t xml:space="preserve">The land, territorial waters and </w:t>
            </w:r>
            <w:proofErr w:type="spellStart"/>
            <w:r w:rsidRPr="008316F3">
              <w:t>superjacent</w:t>
            </w:r>
            <w:proofErr w:type="spellEnd"/>
            <w:r w:rsidRPr="008316F3">
              <w:t xml:space="preserve"> airspace of Libya</w:t>
            </w:r>
          </w:p>
        </w:tc>
        <w:tc>
          <w:tcPr>
            <w:tcW w:w="1149" w:type="pct"/>
            <w:tcBorders>
              <w:top w:val="single" w:sz="2" w:space="0" w:color="auto"/>
              <w:bottom w:val="single" w:sz="2" w:space="0" w:color="auto"/>
            </w:tcBorders>
            <w:shd w:val="clear" w:color="auto" w:fill="auto"/>
          </w:tcPr>
          <w:p w:rsidR="007E4565" w:rsidRPr="008316F3" w:rsidRDefault="007E4565" w:rsidP="000F1869">
            <w:pPr>
              <w:pStyle w:val="Tabletext"/>
            </w:pPr>
            <w:r w:rsidRPr="008316F3">
              <w:t>16</w:t>
            </w:r>
            <w:r w:rsidR="008316F3" w:rsidRPr="008316F3">
              <w:t> </w:t>
            </w:r>
            <w:r w:rsidRPr="008316F3">
              <w:t>May 2016–2</w:t>
            </w:r>
            <w:r w:rsidR="008316F3" w:rsidRPr="008316F3">
              <w:t> </w:t>
            </w:r>
            <w:r w:rsidRPr="008316F3">
              <w:t>August 2016</w:t>
            </w:r>
          </w:p>
        </w:tc>
      </w:tr>
      <w:tr w:rsidR="007E4565" w:rsidRPr="008316F3" w:rsidTr="009203BE">
        <w:tc>
          <w:tcPr>
            <w:tcW w:w="365" w:type="pct"/>
            <w:tcBorders>
              <w:top w:val="single" w:sz="2" w:space="0" w:color="auto"/>
              <w:bottom w:val="single" w:sz="2" w:space="0" w:color="auto"/>
            </w:tcBorders>
            <w:shd w:val="clear" w:color="auto" w:fill="auto"/>
          </w:tcPr>
          <w:p w:rsidR="007E4565" w:rsidRPr="008316F3" w:rsidRDefault="0098611C" w:rsidP="00796A78">
            <w:pPr>
              <w:pStyle w:val="Tabletext"/>
            </w:pPr>
            <w:r w:rsidRPr="008316F3">
              <w:t>3</w:t>
            </w:r>
            <w:r w:rsidR="00796A78" w:rsidRPr="008316F3">
              <w:t>6</w:t>
            </w:r>
          </w:p>
        </w:tc>
        <w:tc>
          <w:tcPr>
            <w:tcW w:w="737" w:type="pct"/>
            <w:tcBorders>
              <w:top w:val="single" w:sz="2" w:space="0" w:color="auto"/>
              <w:bottom w:val="single" w:sz="2" w:space="0" w:color="auto"/>
            </w:tcBorders>
            <w:shd w:val="clear" w:color="auto" w:fill="auto"/>
          </w:tcPr>
          <w:p w:rsidR="007E4565" w:rsidRPr="008316F3" w:rsidRDefault="007E4565" w:rsidP="000F1869">
            <w:pPr>
              <w:pStyle w:val="Tabletext"/>
            </w:pPr>
            <w:proofErr w:type="spellStart"/>
            <w:r w:rsidRPr="008316F3">
              <w:t>Litten</w:t>
            </w:r>
            <w:proofErr w:type="spellEnd"/>
          </w:p>
        </w:tc>
        <w:tc>
          <w:tcPr>
            <w:tcW w:w="1105" w:type="pct"/>
            <w:tcBorders>
              <w:top w:val="single" w:sz="2" w:space="0" w:color="auto"/>
              <w:bottom w:val="single" w:sz="2" w:space="0" w:color="auto"/>
            </w:tcBorders>
            <w:shd w:val="clear" w:color="auto" w:fill="auto"/>
          </w:tcPr>
          <w:p w:rsidR="007E4565" w:rsidRPr="008316F3" w:rsidRDefault="007E4565" w:rsidP="000F1869">
            <w:pPr>
              <w:pStyle w:val="Tabletext"/>
            </w:pPr>
            <w:r w:rsidRPr="008316F3">
              <w:t>Maritime operations in the Mediterranean Sea</w:t>
            </w:r>
          </w:p>
        </w:tc>
        <w:tc>
          <w:tcPr>
            <w:tcW w:w="1644" w:type="pct"/>
            <w:tcBorders>
              <w:top w:val="single" w:sz="2" w:space="0" w:color="auto"/>
              <w:bottom w:val="single" w:sz="2" w:space="0" w:color="auto"/>
            </w:tcBorders>
            <w:shd w:val="clear" w:color="auto" w:fill="auto"/>
          </w:tcPr>
          <w:p w:rsidR="007E4565" w:rsidRPr="008316F3" w:rsidRDefault="007E4565" w:rsidP="000F1869">
            <w:pPr>
              <w:pStyle w:val="Tabletext"/>
            </w:pPr>
            <w:r w:rsidRPr="008316F3">
              <w:t>Libyan territorial waters</w:t>
            </w:r>
          </w:p>
        </w:tc>
        <w:tc>
          <w:tcPr>
            <w:tcW w:w="1149" w:type="pct"/>
            <w:tcBorders>
              <w:top w:val="single" w:sz="2" w:space="0" w:color="auto"/>
              <w:bottom w:val="single" w:sz="2" w:space="0" w:color="auto"/>
            </w:tcBorders>
            <w:shd w:val="clear" w:color="auto" w:fill="auto"/>
          </w:tcPr>
          <w:p w:rsidR="007E4565" w:rsidRPr="008316F3" w:rsidRDefault="007E4565" w:rsidP="000F1869">
            <w:pPr>
              <w:pStyle w:val="Tabletext"/>
            </w:pPr>
            <w:r w:rsidRPr="008316F3">
              <w:t>31</w:t>
            </w:r>
            <w:r w:rsidR="008316F3" w:rsidRPr="008316F3">
              <w:t> </w:t>
            </w:r>
            <w:r w:rsidRPr="008316F3">
              <w:t>August 2016–21</w:t>
            </w:r>
            <w:r w:rsidR="008316F3" w:rsidRPr="008316F3">
              <w:t> </w:t>
            </w:r>
            <w:r w:rsidRPr="008316F3">
              <w:t>October 2016</w:t>
            </w:r>
          </w:p>
        </w:tc>
      </w:tr>
      <w:tr w:rsidR="007E4565" w:rsidRPr="008316F3" w:rsidTr="009203BE">
        <w:tc>
          <w:tcPr>
            <w:tcW w:w="365" w:type="pct"/>
            <w:tcBorders>
              <w:top w:val="single" w:sz="2" w:space="0" w:color="auto"/>
              <w:bottom w:val="single" w:sz="12" w:space="0" w:color="auto"/>
            </w:tcBorders>
            <w:shd w:val="clear" w:color="auto" w:fill="auto"/>
          </w:tcPr>
          <w:p w:rsidR="007E4565" w:rsidRPr="008316F3" w:rsidRDefault="0098611C" w:rsidP="00796A78">
            <w:pPr>
              <w:pStyle w:val="Tabletext"/>
            </w:pPr>
            <w:r w:rsidRPr="008316F3">
              <w:t>3</w:t>
            </w:r>
            <w:r w:rsidR="00796A78" w:rsidRPr="008316F3">
              <w:t>6</w:t>
            </w:r>
            <w:r w:rsidRPr="008316F3">
              <w:t>A</w:t>
            </w:r>
          </w:p>
        </w:tc>
        <w:tc>
          <w:tcPr>
            <w:tcW w:w="737" w:type="pct"/>
            <w:tcBorders>
              <w:top w:val="single" w:sz="2" w:space="0" w:color="auto"/>
              <w:bottom w:val="single" w:sz="12" w:space="0" w:color="auto"/>
            </w:tcBorders>
            <w:shd w:val="clear" w:color="auto" w:fill="auto"/>
          </w:tcPr>
          <w:p w:rsidR="007E4565" w:rsidRPr="008316F3" w:rsidRDefault="007E4565" w:rsidP="00500F12">
            <w:pPr>
              <w:pStyle w:val="Tabletext"/>
            </w:pPr>
            <w:proofErr w:type="spellStart"/>
            <w:r w:rsidRPr="008316F3">
              <w:t>Litten</w:t>
            </w:r>
            <w:proofErr w:type="spellEnd"/>
          </w:p>
        </w:tc>
        <w:tc>
          <w:tcPr>
            <w:tcW w:w="1105" w:type="pct"/>
            <w:tcBorders>
              <w:top w:val="single" w:sz="2" w:space="0" w:color="auto"/>
              <w:bottom w:val="single" w:sz="12" w:space="0" w:color="auto"/>
            </w:tcBorders>
            <w:shd w:val="clear" w:color="auto" w:fill="auto"/>
          </w:tcPr>
          <w:p w:rsidR="007E4565" w:rsidRPr="008316F3" w:rsidRDefault="007E4565" w:rsidP="00500F12">
            <w:pPr>
              <w:pStyle w:val="Tabletext"/>
            </w:pPr>
            <w:r w:rsidRPr="008316F3">
              <w:t>Maritime operations in the Mediterranean Sea</w:t>
            </w:r>
          </w:p>
        </w:tc>
        <w:tc>
          <w:tcPr>
            <w:tcW w:w="1644" w:type="pct"/>
            <w:tcBorders>
              <w:top w:val="single" w:sz="2" w:space="0" w:color="auto"/>
              <w:bottom w:val="single" w:sz="12" w:space="0" w:color="auto"/>
            </w:tcBorders>
            <w:shd w:val="clear" w:color="auto" w:fill="auto"/>
          </w:tcPr>
          <w:p w:rsidR="007E4565" w:rsidRPr="008316F3" w:rsidRDefault="007E4565" w:rsidP="00500F12">
            <w:pPr>
              <w:pStyle w:val="Tabletext"/>
            </w:pPr>
            <w:r w:rsidRPr="008316F3">
              <w:t>Libyan territorial waters</w:t>
            </w:r>
          </w:p>
        </w:tc>
        <w:tc>
          <w:tcPr>
            <w:tcW w:w="1149" w:type="pct"/>
            <w:tcBorders>
              <w:top w:val="single" w:sz="2" w:space="0" w:color="auto"/>
              <w:bottom w:val="single" w:sz="12" w:space="0" w:color="auto"/>
            </w:tcBorders>
            <w:shd w:val="clear" w:color="auto" w:fill="auto"/>
          </w:tcPr>
          <w:p w:rsidR="007E4565" w:rsidRPr="008316F3" w:rsidRDefault="007E4565" w:rsidP="000F1869">
            <w:pPr>
              <w:pStyle w:val="Tabletext"/>
            </w:pPr>
            <w:r w:rsidRPr="008316F3">
              <w:t>On and after 4</w:t>
            </w:r>
            <w:r w:rsidR="008316F3" w:rsidRPr="008316F3">
              <w:t> </w:t>
            </w:r>
            <w:r w:rsidRPr="008316F3">
              <w:t>November 2016</w:t>
            </w:r>
          </w:p>
        </w:tc>
      </w:tr>
    </w:tbl>
    <w:p w:rsidR="005F1548" w:rsidRPr="008316F3" w:rsidRDefault="00C921A0" w:rsidP="001F1355">
      <w:pPr>
        <w:pStyle w:val="notetext"/>
      </w:pPr>
      <w:r w:rsidRPr="008316F3">
        <w:t>Note:</w:t>
      </w:r>
      <w:r w:rsidRPr="008316F3">
        <w:tab/>
        <w:t>Serbia and Montenegro, included in the area of operation for operation Joint Guardian (see table item</w:t>
      </w:r>
      <w:r w:rsidR="008316F3" w:rsidRPr="008316F3">
        <w:t> </w:t>
      </w:r>
      <w:r w:rsidR="00291012" w:rsidRPr="008316F3">
        <w:t>1</w:t>
      </w:r>
      <w:r w:rsidR="001F1355" w:rsidRPr="008316F3">
        <w:t>1</w:t>
      </w:r>
      <w:r w:rsidRPr="008316F3">
        <w:t>), were united as the Federal Republic of Yugoslavia between 1992 and 2006.</w:t>
      </w:r>
    </w:p>
    <w:p w:rsidR="00395BFC" w:rsidRPr="008316F3" w:rsidRDefault="00395BFC">
      <w:pPr>
        <w:sectPr w:rsidR="00395BFC" w:rsidRPr="008316F3" w:rsidSect="00156053">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p>
    <w:p w:rsidR="003371A0" w:rsidRPr="008316F3" w:rsidRDefault="003371A0" w:rsidP="003371A0">
      <w:pPr>
        <w:pStyle w:val="ActHead6"/>
      </w:pPr>
      <w:bookmarkStart w:id="11" w:name="_Toc530571252"/>
      <w:bookmarkStart w:id="12" w:name="opcAmSched"/>
      <w:bookmarkStart w:id="13" w:name="opcCurrentFind"/>
      <w:r w:rsidRPr="008316F3">
        <w:rPr>
          <w:rStyle w:val="CharAmSchNo"/>
        </w:rPr>
        <w:t>Schedule</w:t>
      </w:r>
      <w:r w:rsidR="008316F3" w:rsidRPr="008316F3">
        <w:rPr>
          <w:rStyle w:val="CharAmSchNo"/>
        </w:rPr>
        <w:t> </w:t>
      </w:r>
      <w:r w:rsidRPr="008316F3">
        <w:rPr>
          <w:rStyle w:val="CharAmSchNo"/>
        </w:rPr>
        <w:t>2</w:t>
      </w:r>
      <w:r w:rsidRPr="008316F3">
        <w:t>—</w:t>
      </w:r>
      <w:r w:rsidRPr="008316F3">
        <w:rPr>
          <w:rStyle w:val="CharAmSchText"/>
        </w:rPr>
        <w:t>Repeals</w:t>
      </w:r>
      <w:r w:rsidR="002014F5" w:rsidRPr="008316F3">
        <w:rPr>
          <w:rStyle w:val="CharAmSchText"/>
        </w:rPr>
        <w:t xml:space="preserve"> of instruments</w:t>
      </w:r>
      <w:bookmarkEnd w:id="11"/>
    </w:p>
    <w:bookmarkEnd w:id="12"/>
    <w:bookmarkEnd w:id="13"/>
    <w:p w:rsidR="003371A0" w:rsidRPr="008316F3" w:rsidRDefault="003371A0" w:rsidP="0089417F">
      <w:pPr>
        <w:pStyle w:val="Header"/>
      </w:pPr>
      <w:r w:rsidRPr="008316F3">
        <w:rPr>
          <w:rStyle w:val="CharAmPartNo"/>
        </w:rPr>
        <w:t xml:space="preserve"> </w:t>
      </w:r>
      <w:r w:rsidRPr="008316F3">
        <w:rPr>
          <w:rStyle w:val="CharAmPartText"/>
        </w:rPr>
        <w:t xml:space="preserve"> </w:t>
      </w:r>
    </w:p>
    <w:p w:rsidR="003371A0" w:rsidRPr="008316F3" w:rsidRDefault="003371A0" w:rsidP="003371A0">
      <w:pPr>
        <w:pStyle w:val="ItemHead"/>
      </w:pPr>
      <w:r w:rsidRPr="008316F3">
        <w:t xml:space="preserve">1  </w:t>
      </w:r>
      <w:r w:rsidR="003C218A" w:rsidRPr="008316F3">
        <w:t>Repeal</w:t>
      </w:r>
      <w:r w:rsidR="002014F5" w:rsidRPr="008316F3">
        <w:t>s</w:t>
      </w:r>
      <w:r w:rsidR="003C218A" w:rsidRPr="008316F3">
        <w:t xml:space="preserve"> of instruments</w:t>
      </w:r>
    </w:p>
    <w:p w:rsidR="00127A0B" w:rsidRPr="008316F3" w:rsidRDefault="003371A0" w:rsidP="00257589">
      <w:pPr>
        <w:pStyle w:val="Item"/>
        <w:keepNext/>
      </w:pPr>
      <w:r w:rsidRPr="008316F3">
        <w:t xml:space="preserve">Repeal the </w:t>
      </w:r>
      <w:r w:rsidR="003C218A" w:rsidRPr="008316F3">
        <w:t xml:space="preserve">following </w:t>
      </w:r>
      <w:r w:rsidRPr="008316F3">
        <w:t>instrument</w:t>
      </w:r>
      <w:r w:rsidR="003C218A" w:rsidRPr="008316F3">
        <w:t>s:</w:t>
      </w:r>
    </w:p>
    <w:p w:rsidR="00E43CDD" w:rsidRPr="008316F3" w:rsidRDefault="00E43CDD" w:rsidP="00127A0B">
      <w:pPr>
        <w:pStyle w:val="ActHead9"/>
      </w:pPr>
      <w:bookmarkStart w:id="14" w:name="_Toc530571253"/>
      <w:r w:rsidRPr="008316F3">
        <w:t>Determination of Non</w:t>
      </w:r>
      <w:r w:rsidR="008316F3">
        <w:noBreakHyphen/>
      </w:r>
      <w:r w:rsidRPr="008316F3">
        <w:t xml:space="preserve">warlike Service </w:t>
      </w:r>
      <w:r w:rsidR="008316F3">
        <w:noBreakHyphen/>
      </w:r>
      <w:r w:rsidRPr="008316F3">
        <w:t xml:space="preserve"> BERLIN AIRLIFT (Federal Register of Legislation No. F2006B00566)</w:t>
      </w:r>
      <w:bookmarkEnd w:id="14"/>
    </w:p>
    <w:p w:rsidR="00A62618" w:rsidRPr="008316F3" w:rsidRDefault="00A62618" w:rsidP="00A62618">
      <w:pPr>
        <w:pStyle w:val="ActHead9"/>
      </w:pPr>
      <w:bookmarkStart w:id="15" w:name="_Toc530571254"/>
      <w:r w:rsidRPr="008316F3">
        <w:t>Determination of Non</w:t>
      </w:r>
      <w:r w:rsidR="008316F3">
        <w:noBreakHyphen/>
      </w:r>
      <w:r w:rsidRPr="008316F3">
        <w:t>warlike Service (Federal Register of Legislation No. F2006L02913)</w:t>
      </w:r>
      <w:bookmarkEnd w:id="15"/>
    </w:p>
    <w:p w:rsidR="00A62618" w:rsidRPr="008316F3" w:rsidRDefault="00A62618" w:rsidP="00A62618">
      <w:pPr>
        <w:pStyle w:val="ActHead9"/>
      </w:pPr>
      <w:bookmarkStart w:id="16" w:name="_Toc530571255"/>
      <w:r w:rsidRPr="008316F3">
        <w:t>Determination of Non</w:t>
      </w:r>
      <w:r w:rsidR="008316F3">
        <w:noBreakHyphen/>
      </w:r>
      <w:r w:rsidRPr="008316F3">
        <w:t>warlike Service (Federal Register of Legislation No. F2006L02915)</w:t>
      </w:r>
      <w:bookmarkEnd w:id="16"/>
    </w:p>
    <w:p w:rsidR="00A62618" w:rsidRPr="008316F3" w:rsidRDefault="00A62618" w:rsidP="00A62618">
      <w:pPr>
        <w:pStyle w:val="ActHead9"/>
      </w:pPr>
      <w:bookmarkStart w:id="17" w:name="_Toc530571256"/>
      <w:r w:rsidRPr="008316F3">
        <w:t>Determination of Non</w:t>
      </w:r>
      <w:r w:rsidR="008316F3">
        <w:noBreakHyphen/>
      </w:r>
      <w:r w:rsidRPr="008316F3">
        <w:t>warlike Service (Federal Register of Legislation No. F2006L02916)</w:t>
      </w:r>
      <w:bookmarkEnd w:id="17"/>
    </w:p>
    <w:p w:rsidR="00E43CDD" w:rsidRPr="008316F3" w:rsidRDefault="00E43CDD" w:rsidP="00E43CDD">
      <w:pPr>
        <w:pStyle w:val="ActHead9"/>
      </w:pPr>
      <w:bookmarkStart w:id="18" w:name="_Toc530571257"/>
      <w:r w:rsidRPr="008316F3">
        <w:t xml:space="preserve">Determination of </w:t>
      </w:r>
      <w:r w:rsidR="001F1355" w:rsidRPr="008316F3">
        <w:t>n</w:t>
      </w:r>
      <w:r w:rsidRPr="008316F3">
        <w:t>on</w:t>
      </w:r>
      <w:r w:rsidR="008316F3">
        <w:noBreakHyphen/>
      </w:r>
      <w:r w:rsidRPr="008316F3">
        <w:t xml:space="preserve">warlike </w:t>
      </w:r>
      <w:r w:rsidR="009203BE" w:rsidRPr="008316F3">
        <w:t>s</w:t>
      </w:r>
      <w:r w:rsidRPr="008316F3">
        <w:t>ervice (OPERATION AGRICOLA) (Federal Register of Legislation No. F200</w:t>
      </w:r>
      <w:r w:rsidR="009453BB" w:rsidRPr="008316F3">
        <w:t>7</w:t>
      </w:r>
      <w:r w:rsidRPr="008316F3">
        <w:t>B00578)</w:t>
      </w:r>
      <w:bookmarkEnd w:id="18"/>
    </w:p>
    <w:p w:rsidR="00E43CDD" w:rsidRPr="008316F3" w:rsidRDefault="00E43CDD" w:rsidP="00E43CDD">
      <w:pPr>
        <w:pStyle w:val="ActHead9"/>
      </w:pPr>
      <w:bookmarkStart w:id="19" w:name="_Toc530571258"/>
      <w:r w:rsidRPr="008316F3">
        <w:t xml:space="preserve">Determination of </w:t>
      </w:r>
      <w:r w:rsidR="009453BB" w:rsidRPr="008316F3">
        <w:t>n</w:t>
      </w:r>
      <w:r w:rsidRPr="008316F3">
        <w:t>on</w:t>
      </w:r>
      <w:r w:rsidR="008316F3">
        <w:noBreakHyphen/>
      </w:r>
      <w:r w:rsidR="001F1355" w:rsidRPr="008316F3">
        <w:t>warlike s</w:t>
      </w:r>
      <w:r w:rsidRPr="008316F3">
        <w:t>ervice (OPERATION ALLIED FORCE) (Federal Register of Legislation No. F200</w:t>
      </w:r>
      <w:r w:rsidR="009453BB" w:rsidRPr="008316F3">
        <w:t>7</w:t>
      </w:r>
      <w:r w:rsidRPr="008316F3">
        <w:t>B00576)</w:t>
      </w:r>
      <w:bookmarkEnd w:id="19"/>
    </w:p>
    <w:p w:rsidR="00E44E0A" w:rsidRPr="008316F3" w:rsidRDefault="00E44E0A" w:rsidP="00127A0B">
      <w:pPr>
        <w:pStyle w:val="ActHead9"/>
      </w:pPr>
      <w:bookmarkStart w:id="20" w:name="_Toc530571259"/>
      <w:r w:rsidRPr="008316F3">
        <w:t>Determination of Non</w:t>
      </w:r>
      <w:r w:rsidR="008316F3">
        <w:noBreakHyphen/>
      </w:r>
      <w:r w:rsidRPr="008316F3">
        <w:t xml:space="preserve">warlike Service </w:t>
      </w:r>
      <w:r w:rsidR="008316F3">
        <w:noBreakHyphen/>
      </w:r>
      <w:r w:rsidRPr="008316F3">
        <w:t xml:space="preserve"> OPERATION ANODE (Federal Register of Legislation No. F2006B00719)</w:t>
      </w:r>
      <w:bookmarkEnd w:id="20"/>
    </w:p>
    <w:p w:rsidR="00E44E0A" w:rsidRPr="008316F3" w:rsidRDefault="00E44E0A" w:rsidP="00E44E0A">
      <w:pPr>
        <w:pStyle w:val="ActHead9"/>
      </w:pPr>
      <w:bookmarkStart w:id="21" w:name="_Toc530571260"/>
      <w:r w:rsidRPr="008316F3">
        <w:t>Determination of Non</w:t>
      </w:r>
      <w:r w:rsidR="008316F3">
        <w:noBreakHyphen/>
      </w:r>
      <w:r w:rsidRPr="008316F3">
        <w:t xml:space="preserve">warlike Service </w:t>
      </w:r>
      <w:r w:rsidR="008316F3">
        <w:noBreakHyphen/>
      </w:r>
      <w:r w:rsidRPr="008316F3">
        <w:t xml:space="preserve"> Operation ASTUTE (Federal Register of Legislation No. F2006L02013)</w:t>
      </w:r>
      <w:bookmarkEnd w:id="21"/>
    </w:p>
    <w:p w:rsidR="00E44E0A" w:rsidRPr="008316F3" w:rsidRDefault="00E44E0A" w:rsidP="00E44E0A">
      <w:pPr>
        <w:pStyle w:val="ActHead9"/>
      </w:pPr>
      <w:bookmarkStart w:id="22" w:name="_Toc530571261"/>
      <w:r w:rsidRPr="008316F3">
        <w:t>Determination of Non</w:t>
      </w:r>
      <w:r w:rsidR="008316F3">
        <w:noBreakHyphen/>
      </w:r>
      <w:r w:rsidRPr="008316F3">
        <w:t xml:space="preserve">warlike Service </w:t>
      </w:r>
      <w:r w:rsidR="008316F3">
        <w:noBreakHyphen/>
      </w:r>
      <w:r w:rsidRPr="008316F3">
        <w:t xml:space="preserve"> OPERATION AZURE (Federal Register of Legislation No. F2005L04106)</w:t>
      </w:r>
      <w:bookmarkEnd w:id="22"/>
    </w:p>
    <w:p w:rsidR="00E43CDD" w:rsidRPr="008316F3" w:rsidRDefault="00E43CDD" w:rsidP="00E43CDD">
      <w:pPr>
        <w:pStyle w:val="ActHead9"/>
      </w:pPr>
      <w:bookmarkStart w:id="23" w:name="_Toc530571262"/>
      <w:r w:rsidRPr="008316F3">
        <w:t>Determination of Non</w:t>
      </w:r>
      <w:r w:rsidR="008316F3">
        <w:noBreakHyphen/>
      </w:r>
      <w:r w:rsidRPr="008316F3">
        <w:t xml:space="preserve">warlike Service </w:t>
      </w:r>
      <w:r w:rsidR="008316F3">
        <w:noBreakHyphen/>
      </w:r>
      <w:r w:rsidRPr="008316F3">
        <w:t xml:space="preserve"> OPERATION BANNER (Federal Register of Legislation No. F2006B00718)</w:t>
      </w:r>
      <w:bookmarkEnd w:id="23"/>
    </w:p>
    <w:p w:rsidR="00E43CDD" w:rsidRPr="008316F3" w:rsidRDefault="00E43CDD" w:rsidP="00E43CDD">
      <w:pPr>
        <w:pStyle w:val="ActHead9"/>
      </w:pPr>
      <w:bookmarkStart w:id="24" w:name="_Toc530571263"/>
      <w:r w:rsidRPr="008316F3">
        <w:t>Determination of Non</w:t>
      </w:r>
      <w:r w:rsidR="008316F3">
        <w:noBreakHyphen/>
      </w:r>
      <w:r w:rsidRPr="008316F3">
        <w:t xml:space="preserve">warlike Service </w:t>
      </w:r>
      <w:r w:rsidR="008316F3">
        <w:noBreakHyphen/>
      </w:r>
      <w:r w:rsidRPr="008316F3">
        <w:t xml:space="preserve"> OPERATION BEL ISI AND OPERATION BEL ISI II (Federal Register of Legislation No. F2006B00576)</w:t>
      </w:r>
      <w:bookmarkEnd w:id="24"/>
    </w:p>
    <w:p w:rsidR="00E44E0A" w:rsidRPr="008316F3" w:rsidRDefault="00E44E0A" w:rsidP="00E44E0A">
      <w:pPr>
        <w:pStyle w:val="ActHead9"/>
      </w:pPr>
      <w:bookmarkStart w:id="25" w:name="_Toc530571264"/>
      <w:r w:rsidRPr="008316F3">
        <w:t>Determination of Non</w:t>
      </w:r>
      <w:r w:rsidR="008316F3">
        <w:noBreakHyphen/>
      </w:r>
      <w:r w:rsidRPr="008316F3">
        <w:t xml:space="preserve">warlike Service </w:t>
      </w:r>
      <w:r w:rsidR="008316F3">
        <w:noBreakHyphen/>
      </w:r>
      <w:r w:rsidRPr="008316F3">
        <w:t xml:space="preserve"> OPERATION CITADEL (Federal Register of Legislation No. F2006B00571)</w:t>
      </w:r>
      <w:bookmarkEnd w:id="25"/>
    </w:p>
    <w:p w:rsidR="00E43CDD" w:rsidRPr="008316F3" w:rsidRDefault="00E43CDD" w:rsidP="00E43CDD">
      <w:pPr>
        <w:pStyle w:val="ActHead9"/>
      </w:pPr>
      <w:bookmarkStart w:id="26" w:name="_Toc530571265"/>
      <w:r w:rsidRPr="008316F3">
        <w:t>Determination of Non</w:t>
      </w:r>
      <w:r w:rsidR="008316F3">
        <w:noBreakHyphen/>
      </w:r>
      <w:r w:rsidRPr="008316F3">
        <w:t xml:space="preserve">warlike Service </w:t>
      </w:r>
      <w:r w:rsidR="008316F3">
        <w:noBreakHyphen/>
      </w:r>
      <w:r w:rsidRPr="008316F3">
        <w:t xml:space="preserve"> OPERATION DAMASK (Federal Register of Legislation No. F2006B11477)</w:t>
      </w:r>
      <w:bookmarkEnd w:id="26"/>
    </w:p>
    <w:p w:rsidR="00E33A25" w:rsidRPr="008316F3" w:rsidRDefault="00E33A25" w:rsidP="00E33A25">
      <w:pPr>
        <w:pStyle w:val="ActHead9"/>
      </w:pPr>
      <w:bookmarkStart w:id="27" w:name="_Toc530571266"/>
      <w:r w:rsidRPr="008316F3">
        <w:t>Determination of Non</w:t>
      </w:r>
      <w:r w:rsidR="008316F3">
        <w:noBreakHyphen/>
      </w:r>
      <w:r w:rsidRPr="008316F3">
        <w:t>warlike Service (OPERATION FABER) (Federal Register of Legislation No. F2007B00580)</w:t>
      </w:r>
      <w:bookmarkEnd w:id="27"/>
    </w:p>
    <w:p w:rsidR="00E33A25" w:rsidRPr="008316F3" w:rsidRDefault="00E33A25" w:rsidP="00E33A25">
      <w:pPr>
        <w:pStyle w:val="ActHead9"/>
      </w:pPr>
      <w:bookmarkStart w:id="28" w:name="_Toc530571267"/>
      <w:r w:rsidRPr="008316F3">
        <w:t>Determination of Non</w:t>
      </w:r>
      <w:r w:rsidR="008316F3">
        <w:noBreakHyphen/>
      </w:r>
      <w:r w:rsidRPr="008316F3">
        <w:t>warlike Service (OPERATION FABER) (Federal Register of Legislation No. F2007B00581)</w:t>
      </w:r>
      <w:bookmarkEnd w:id="28"/>
    </w:p>
    <w:p w:rsidR="00285304" w:rsidRPr="008316F3" w:rsidRDefault="00285304" w:rsidP="00285304">
      <w:pPr>
        <w:pStyle w:val="ActHead9"/>
      </w:pPr>
      <w:bookmarkStart w:id="29" w:name="_Toc530571268"/>
      <w:r w:rsidRPr="008316F3">
        <w:t>Determination of Non</w:t>
      </w:r>
      <w:r w:rsidR="008316F3">
        <w:noBreakHyphen/>
      </w:r>
      <w:r w:rsidRPr="008316F3">
        <w:t xml:space="preserve">warlike Service </w:t>
      </w:r>
      <w:r w:rsidR="008316F3">
        <w:noBreakHyphen/>
      </w:r>
      <w:r w:rsidRPr="008316F3">
        <w:t xml:space="preserve"> OPERATION HEDGEROW (Federal Register of Legislation No. F2008L04179)</w:t>
      </w:r>
      <w:bookmarkEnd w:id="29"/>
    </w:p>
    <w:p w:rsidR="00E44E0A" w:rsidRPr="008316F3" w:rsidRDefault="00E44E0A" w:rsidP="00E44E0A">
      <w:pPr>
        <w:pStyle w:val="ActHead9"/>
      </w:pPr>
      <w:bookmarkStart w:id="30" w:name="_Toc530571269"/>
      <w:r w:rsidRPr="008316F3">
        <w:t xml:space="preserve">Determination of </w:t>
      </w:r>
      <w:r w:rsidR="009453BB" w:rsidRPr="008316F3">
        <w:t>n</w:t>
      </w:r>
      <w:r w:rsidRPr="008316F3">
        <w:t>on</w:t>
      </w:r>
      <w:r w:rsidR="008316F3">
        <w:noBreakHyphen/>
      </w:r>
      <w:r w:rsidRPr="008316F3">
        <w:t xml:space="preserve">warlike </w:t>
      </w:r>
      <w:r w:rsidR="001F1355" w:rsidRPr="008316F3">
        <w:t>s</w:t>
      </w:r>
      <w:r w:rsidRPr="008316F3">
        <w:t>ervice (OPERATION JOINT GUARDIAN) (Federal Register of Legislation No. F2007B00579)</w:t>
      </w:r>
      <w:bookmarkEnd w:id="30"/>
    </w:p>
    <w:p w:rsidR="00E43CDD" w:rsidRPr="008316F3" w:rsidRDefault="00E43CDD" w:rsidP="00E43CDD">
      <w:pPr>
        <w:pStyle w:val="ActHead9"/>
      </w:pPr>
      <w:bookmarkStart w:id="31" w:name="_Toc530571270"/>
      <w:r w:rsidRPr="008316F3">
        <w:t>Determination of Non</w:t>
      </w:r>
      <w:r w:rsidR="008316F3">
        <w:noBreakHyphen/>
      </w:r>
      <w:r w:rsidR="009453BB" w:rsidRPr="008316F3">
        <w:t>W</w:t>
      </w:r>
      <w:r w:rsidRPr="008316F3">
        <w:t xml:space="preserve">arlike Service </w:t>
      </w:r>
      <w:r w:rsidR="008316F3">
        <w:noBreakHyphen/>
      </w:r>
      <w:r w:rsidRPr="008316F3">
        <w:t xml:space="preserve"> OPERATION </w:t>
      </w:r>
      <w:proofErr w:type="spellStart"/>
      <w:r w:rsidRPr="008316F3">
        <w:t>PLUMBOB</w:t>
      </w:r>
      <w:proofErr w:type="spellEnd"/>
      <w:r w:rsidRPr="008316F3">
        <w:t xml:space="preserve"> (Federal Register of Legislation No. F2006B00574)</w:t>
      </w:r>
      <w:bookmarkEnd w:id="31"/>
    </w:p>
    <w:p w:rsidR="00E43CDD" w:rsidRPr="008316F3" w:rsidRDefault="00E43CDD" w:rsidP="00E43CDD">
      <w:pPr>
        <w:pStyle w:val="ActHead9"/>
      </w:pPr>
      <w:bookmarkStart w:id="32" w:name="_Toc530571271"/>
      <w:r w:rsidRPr="008316F3">
        <w:t>Determination of Non</w:t>
      </w:r>
      <w:r w:rsidR="008316F3">
        <w:noBreakHyphen/>
      </w:r>
      <w:r w:rsidR="001F1355" w:rsidRPr="008316F3">
        <w:t>warlike s</w:t>
      </w:r>
      <w:r w:rsidRPr="008316F3">
        <w:t xml:space="preserve">ervice </w:t>
      </w:r>
      <w:r w:rsidR="008316F3">
        <w:noBreakHyphen/>
      </w:r>
      <w:r w:rsidRPr="008316F3">
        <w:t xml:space="preserve"> OPERATION POLLARD (Federal Register of Legislation No. F2006B00950)</w:t>
      </w:r>
      <w:bookmarkEnd w:id="32"/>
    </w:p>
    <w:p w:rsidR="00E44E0A" w:rsidRPr="008316F3" w:rsidRDefault="00E44E0A" w:rsidP="008463F5">
      <w:pPr>
        <w:pStyle w:val="ActHead9"/>
      </w:pPr>
      <w:bookmarkStart w:id="33" w:name="_Toc530571272"/>
      <w:r w:rsidRPr="008316F3">
        <w:t>Determination of Non</w:t>
      </w:r>
      <w:r w:rsidR="008316F3">
        <w:noBreakHyphen/>
      </w:r>
      <w:r w:rsidRPr="008316F3">
        <w:t xml:space="preserve">Warlike Service </w:t>
      </w:r>
      <w:r w:rsidR="008316F3">
        <w:noBreakHyphen/>
      </w:r>
      <w:r w:rsidRPr="008316F3">
        <w:t xml:space="preserve"> OPERATION POMELO (Federal Register of Legislation No. F2006B00932)</w:t>
      </w:r>
      <w:bookmarkEnd w:id="33"/>
    </w:p>
    <w:p w:rsidR="00D853C3" w:rsidRPr="008316F3" w:rsidRDefault="00D853C3" w:rsidP="00D853C3">
      <w:pPr>
        <w:pStyle w:val="ActHead9"/>
      </w:pPr>
      <w:bookmarkStart w:id="34" w:name="_Toc530571273"/>
      <w:r w:rsidRPr="008316F3">
        <w:t>Determination of Non</w:t>
      </w:r>
      <w:r w:rsidR="008316F3">
        <w:noBreakHyphen/>
      </w:r>
      <w:r w:rsidR="00515593" w:rsidRPr="008316F3">
        <w:t>w</w:t>
      </w:r>
      <w:r w:rsidRPr="008316F3">
        <w:t xml:space="preserve">arlike Service </w:t>
      </w:r>
      <w:r w:rsidR="008316F3">
        <w:noBreakHyphen/>
      </w:r>
      <w:r w:rsidRPr="008316F3">
        <w:t xml:space="preserve"> OPERATION QUICKSTEP (Federal Register of Legislation No. F2007L04870)</w:t>
      </w:r>
      <w:bookmarkEnd w:id="34"/>
    </w:p>
    <w:p w:rsidR="008463F5" w:rsidRPr="008316F3" w:rsidRDefault="008463F5" w:rsidP="008463F5">
      <w:pPr>
        <w:pStyle w:val="ActHead9"/>
      </w:pPr>
      <w:bookmarkStart w:id="35" w:name="_Toc530571274"/>
      <w:r w:rsidRPr="008316F3">
        <w:t>Determination of Non</w:t>
      </w:r>
      <w:r w:rsidR="008316F3">
        <w:noBreakHyphen/>
      </w:r>
      <w:r w:rsidRPr="008316F3">
        <w:t xml:space="preserve">warlike Service </w:t>
      </w:r>
      <w:r w:rsidR="008316F3">
        <w:noBreakHyphen/>
      </w:r>
      <w:r w:rsidRPr="008316F3">
        <w:t xml:space="preserve"> Operation RAMP (Federal Register of Legislation No. F2006L03709)</w:t>
      </w:r>
      <w:bookmarkEnd w:id="35"/>
    </w:p>
    <w:p w:rsidR="00E43CDD" w:rsidRPr="008316F3" w:rsidRDefault="0071769B" w:rsidP="00E43CDD">
      <w:pPr>
        <w:pStyle w:val="ActHead9"/>
      </w:pPr>
      <w:bookmarkStart w:id="36" w:name="_Toc530571275"/>
      <w:r w:rsidRPr="008316F3">
        <w:t>Determination of Non</w:t>
      </w:r>
      <w:r w:rsidR="008316F3">
        <w:noBreakHyphen/>
      </w:r>
      <w:r w:rsidRPr="008316F3">
        <w:t xml:space="preserve">warlike Service </w:t>
      </w:r>
      <w:r w:rsidR="008316F3">
        <w:noBreakHyphen/>
      </w:r>
      <w:r w:rsidRPr="008316F3">
        <w:t xml:space="preserve"> OPERATION SPIRE (Federal Register of Legislation No. F2005L04103)</w:t>
      </w:r>
      <w:bookmarkEnd w:id="36"/>
    </w:p>
    <w:p w:rsidR="00E43CDD" w:rsidRPr="008316F3" w:rsidRDefault="00E43CDD" w:rsidP="00E43CDD">
      <w:pPr>
        <w:pStyle w:val="ActHead9"/>
      </w:pPr>
      <w:bookmarkStart w:id="37" w:name="_Toc530571276"/>
      <w:r w:rsidRPr="008316F3">
        <w:t>Determination of Non</w:t>
      </w:r>
      <w:r w:rsidR="008316F3">
        <w:noBreakHyphen/>
      </w:r>
      <w:r w:rsidRPr="008316F3">
        <w:t>warlike Service (OPERATION SPITFIRE) (Federal Register of Legislation No. F2006B00499)</w:t>
      </w:r>
      <w:bookmarkEnd w:id="37"/>
    </w:p>
    <w:p w:rsidR="00E43CDD" w:rsidRPr="008316F3" w:rsidRDefault="00E43CDD" w:rsidP="00E43CDD">
      <w:pPr>
        <w:pStyle w:val="ActHead9"/>
      </w:pPr>
      <w:bookmarkStart w:id="38" w:name="_Toc530571277"/>
      <w:r w:rsidRPr="008316F3">
        <w:t>Determination of Non</w:t>
      </w:r>
      <w:r w:rsidR="008316F3">
        <w:noBreakHyphen/>
      </w:r>
      <w:r w:rsidR="009453BB" w:rsidRPr="008316F3">
        <w:t>W</w:t>
      </w:r>
      <w:r w:rsidRPr="008316F3">
        <w:t xml:space="preserve">arlike Service </w:t>
      </w:r>
      <w:r w:rsidR="008316F3">
        <w:noBreakHyphen/>
      </w:r>
      <w:r w:rsidRPr="008316F3">
        <w:t xml:space="preserve"> OPERATION TREK (Federal Register of Legislation No. F2006B00951)</w:t>
      </w:r>
      <w:bookmarkEnd w:id="38"/>
    </w:p>
    <w:p w:rsidR="00A14CB2" w:rsidRPr="008316F3" w:rsidRDefault="00A14CB2" w:rsidP="00226341">
      <w:pPr>
        <w:pStyle w:val="ActHead9"/>
      </w:pPr>
      <w:bookmarkStart w:id="39" w:name="_Toc530571278"/>
      <w:r w:rsidRPr="008316F3">
        <w:t>Veterans’ Entitlements (Non</w:t>
      </w:r>
      <w:r w:rsidR="008316F3">
        <w:noBreakHyphen/>
      </w:r>
      <w:r w:rsidRPr="008316F3">
        <w:t xml:space="preserve">warlike Service </w:t>
      </w:r>
      <w:r w:rsidR="008316F3">
        <w:noBreakHyphen/>
      </w:r>
      <w:r w:rsidRPr="008316F3">
        <w:t xml:space="preserve"> NATO no</w:t>
      </w:r>
      <w:r w:rsidR="008316F3">
        <w:noBreakHyphen/>
      </w:r>
      <w:r w:rsidRPr="008316F3">
        <w:t>fly</w:t>
      </w:r>
      <w:r w:rsidR="008316F3">
        <w:noBreakHyphen/>
      </w:r>
      <w:r w:rsidRPr="008316F3">
        <w:t>zone and maritime enforcement operation against Libya) Determination</w:t>
      </w:r>
      <w:r w:rsidR="008316F3" w:rsidRPr="008316F3">
        <w:t> </w:t>
      </w:r>
      <w:r w:rsidRPr="008316F3">
        <w:t>2012</w:t>
      </w:r>
      <w:bookmarkEnd w:id="39"/>
    </w:p>
    <w:p w:rsidR="00226341" w:rsidRPr="008316F3" w:rsidRDefault="00226341" w:rsidP="00226341">
      <w:pPr>
        <w:pStyle w:val="ActHead9"/>
      </w:pPr>
      <w:bookmarkStart w:id="40" w:name="_Toc530571279"/>
      <w:r w:rsidRPr="008316F3">
        <w:t>Veterans’ Entitlements (Non</w:t>
      </w:r>
      <w:r w:rsidR="008316F3">
        <w:noBreakHyphen/>
      </w:r>
      <w:r w:rsidRPr="008316F3">
        <w:t>warlike Service</w:t>
      </w:r>
      <w:r w:rsidR="00515593" w:rsidRPr="008316F3">
        <w:t>—</w:t>
      </w:r>
      <w:r w:rsidRPr="008316F3">
        <w:t xml:space="preserve">Operation </w:t>
      </w:r>
      <w:r w:rsidR="0043653E" w:rsidRPr="008316F3">
        <w:t>Accordion</w:t>
      </w:r>
      <w:r w:rsidRPr="008316F3">
        <w:t>) Determination</w:t>
      </w:r>
      <w:r w:rsidR="008316F3" w:rsidRPr="008316F3">
        <w:t> </w:t>
      </w:r>
      <w:r w:rsidRPr="008316F3">
        <w:t>2014</w:t>
      </w:r>
      <w:bookmarkEnd w:id="40"/>
    </w:p>
    <w:p w:rsidR="00226341" w:rsidRPr="008316F3" w:rsidRDefault="00226341" w:rsidP="00226341">
      <w:pPr>
        <w:pStyle w:val="ActHead9"/>
      </w:pPr>
      <w:bookmarkStart w:id="41" w:name="_Toc530571280"/>
      <w:r w:rsidRPr="008316F3">
        <w:t>Veterans’ Entitlements (Non</w:t>
      </w:r>
      <w:r w:rsidR="008316F3">
        <w:noBreakHyphen/>
      </w:r>
      <w:r w:rsidRPr="008316F3">
        <w:t xml:space="preserve">warlike Service </w:t>
      </w:r>
      <w:r w:rsidR="008316F3">
        <w:noBreakHyphen/>
      </w:r>
      <w:r w:rsidRPr="008316F3">
        <w:t xml:space="preserve"> Operation Aslan) Determination</w:t>
      </w:r>
      <w:r w:rsidR="008316F3" w:rsidRPr="008316F3">
        <w:t> </w:t>
      </w:r>
      <w:r w:rsidRPr="008316F3">
        <w:t>2012</w:t>
      </w:r>
      <w:bookmarkEnd w:id="41"/>
    </w:p>
    <w:p w:rsidR="00A123A2" w:rsidRPr="008316F3" w:rsidRDefault="00A123A2" w:rsidP="00A123A2">
      <w:pPr>
        <w:pStyle w:val="ActHead9"/>
      </w:pPr>
      <w:bookmarkStart w:id="42" w:name="_Toc530571281"/>
      <w:r w:rsidRPr="008316F3">
        <w:t>Veterans’ Entitlements (Non</w:t>
      </w:r>
      <w:r w:rsidR="008316F3">
        <w:noBreakHyphen/>
      </w:r>
      <w:r w:rsidRPr="008316F3">
        <w:t>warlike Service</w:t>
      </w:r>
      <w:r w:rsidR="00515593" w:rsidRPr="008316F3">
        <w:t>—</w:t>
      </w:r>
      <w:r w:rsidRPr="008316F3">
        <w:t>Operation Augury) Determination</w:t>
      </w:r>
      <w:r w:rsidR="008316F3" w:rsidRPr="008316F3">
        <w:t> </w:t>
      </w:r>
      <w:r w:rsidRPr="008316F3">
        <w:t>2017</w:t>
      </w:r>
      <w:bookmarkEnd w:id="42"/>
    </w:p>
    <w:p w:rsidR="009A453E" w:rsidRPr="008316F3" w:rsidRDefault="009A453E" w:rsidP="009A453E">
      <w:pPr>
        <w:pStyle w:val="ActHead9"/>
      </w:pPr>
      <w:bookmarkStart w:id="43" w:name="_Toc530571282"/>
      <w:r w:rsidRPr="008316F3">
        <w:t>Veterans’ Entitlements (Non</w:t>
      </w:r>
      <w:r w:rsidR="008316F3">
        <w:noBreakHyphen/>
      </w:r>
      <w:r w:rsidRPr="008316F3">
        <w:t>warlike Service—Operation Hawick) Determination</w:t>
      </w:r>
      <w:r w:rsidR="008316F3" w:rsidRPr="008316F3">
        <w:t> </w:t>
      </w:r>
      <w:r w:rsidRPr="008316F3">
        <w:t>2014</w:t>
      </w:r>
      <w:bookmarkEnd w:id="43"/>
    </w:p>
    <w:p w:rsidR="00A123A2" w:rsidRPr="008316F3" w:rsidRDefault="00A123A2" w:rsidP="00A123A2">
      <w:pPr>
        <w:pStyle w:val="ActHead9"/>
      </w:pPr>
      <w:bookmarkStart w:id="44" w:name="_Toc530571283"/>
      <w:r w:rsidRPr="008316F3">
        <w:t>Veterans’ Entitlements (Non</w:t>
      </w:r>
      <w:r w:rsidR="008316F3">
        <w:noBreakHyphen/>
      </w:r>
      <w:r w:rsidRPr="008316F3">
        <w:t xml:space="preserve">warlike Service—Operation </w:t>
      </w:r>
      <w:proofErr w:type="spellStart"/>
      <w:r w:rsidRPr="008316F3">
        <w:t>Litten</w:t>
      </w:r>
      <w:proofErr w:type="spellEnd"/>
      <w:r w:rsidRPr="008316F3">
        <w:t>) Determination</w:t>
      </w:r>
      <w:r w:rsidR="008316F3" w:rsidRPr="008316F3">
        <w:t> </w:t>
      </w:r>
      <w:r w:rsidRPr="008316F3">
        <w:t>2017</w:t>
      </w:r>
      <w:bookmarkEnd w:id="44"/>
    </w:p>
    <w:p w:rsidR="00AA2E47" w:rsidRPr="008316F3" w:rsidRDefault="00AA2E47" w:rsidP="00AA2E47">
      <w:pPr>
        <w:pStyle w:val="ActHead9"/>
      </w:pPr>
      <w:bookmarkStart w:id="45" w:name="_Toc530571284"/>
      <w:r w:rsidRPr="008316F3">
        <w:t>Veterans’ Entitlements (Non</w:t>
      </w:r>
      <w:r w:rsidR="008316F3">
        <w:noBreakHyphen/>
      </w:r>
      <w:r w:rsidRPr="008316F3">
        <w:t>warlike Service—Operation Manitou) Determination</w:t>
      </w:r>
      <w:r w:rsidR="008316F3" w:rsidRPr="008316F3">
        <w:t> </w:t>
      </w:r>
      <w:r w:rsidRPr="008316F3">
        <w:t>201</w:t>
      </w:r>
      <w:r w:rsidR="00A123A2" w:rsidRPr="008316F3">
        <w:t>7</w:t>
      </w:r>
      <w:bookmarkEnd w:id="45"/>
    </w:p>
    <w:p w:rsidR="00616F78" w:rsidRPr="008316F3" w:rsidRDefault="00616F78" w:rsidP="00616F78">
      <w:pPr>
        <w:pStyle w:val="ActHead9"/>
      </w:pPr>
      <w:bookmarkStart w:id="46" w:name="_Toc530571285"/>
      <w:r w:rsidRPr="008316F3">
        <w:t>Veterans’ Entitlements (Non</w:t>
      </w:r>
      <w:r w:rsidR="008316F3">
        <w:noBreakHyphen/>
      </w:r>
      <w:r w:rsidRPr="008316F3">
        <w:t>warlike Service—Operation Okra) Determination</w:t>
      </w:r>
      <w:r w:rsidR="008316F3" w:rsidRPr="008316F3">
        <w:t> </w:t>
      </w:r>
      <w:r w:rsidRPr="008316F3">
        <w:t>2016</w:t>
      </w:r>
      <w:bookmarkEnd w:id="46"/>
    </w:p>
    <w:p w:rsidR="00D853C3" w:rsidRPr="008316F3" w:rsidRDefault="00D853C3" w:rsidP="00D853C3">
      <w:pPr>
        <w:pStyle w:val="ActHead9"/>
      </w:pPr>
      <w:bookmarkStart w:id="47" w:name="_Toc530571286"/>
      <w:r w:rsidRPr="008316F3">
        <w:t>Veterans’ Entitlements (Non</w:t>
      </w:r>
      <w:r w:rsidR="008316F3">
        <w:noBreakHyphen/>
      </w:r>
      <w:r w:rsidRPr="008316F3">
        <w:t>warlike Service</w:t>
      </w:r>
      <w:r w:rsidR="009203BE" w:rsidRPr="008316F3">
        <w:t xml:space="preserve"> </w:t>
      </w:r>
      <w:r w:rsidRPr="008316F3">
        <w:t>—</w:t>
      </w:r>
      <w:r w:rsidR="009203BE" w:rsidRPr="008316F3">
        <w:t xml:space="preserve"> </w:t>
      </w:r>
      <w:r w:rsidRPr="008316F3">
        <w:t>Operation Paladin) Determination</w:t>
      </w:r>
      <w:r w:rsidR="008316F3" w:rsidRPr="008316F3">
        <w:t> </w:t>
      </w:r>
      <w:r w:rsidRPr="008316F3">
        <w:t>2011</w:t>
      </w:r>
      <w:bookmarkEnd w:id="47"/>
    </w:p>
    <w:p w:rsidR="00D853C3" w:rsidRPr="008316F3" w:rsidRDefault="00226341" w:rsidP="006D10DE">
      <w:pPr>
        <w:pStyle w:val="ActHead9"/>
        <w:sectPr w:rsidR="00D853C3" w:rsidRPr="008316F3" w:rsidSect="00156053">
          <w:headerReference w:type="even" r:id="rId32"/>
          <w:headerReference w:type="default" r:id="rId33"/>
          <w:footerReference w:type="even" r:id="rId34"/>
          <w:footerReference w:type="default" r:id="rId35"/>
          <w:headerReference w:type="first" r:id="rId36"/>
          <w:footerReference w:type="first" r:id="rId37"/>
          <w:pgSz w:w="11907" w:h="16839" w:code="9"/>
          <w:pgMar w:top="1440" w:right="1797" w:bottom="1440" w:left="1797" w:header="720" w:footer="709" w:gutter="0"/>
          <w:cols w:space="720"/>
          <w:docGrid w:linePitch="299"/>
        </w:sectPr>
      </w:pPr>
      <w:bookmarkStart w:id="48" w:name="_Toc530571287"/>
      <w:r w:rsidRPr="008316F3">
        <w:t>Veterans’ Entitlements (Non</w:t>
      </w:r>
      <w:r w:rsidR="008316F3">
        <w:noBreakHyphen/>
      </w:r>
      <w:r w:rsidRPr="008316F3">
        <w:t>warlike Service—Operation Quickstep Tonga) Determination</w:t>
      </w:r>
      <w:r w:rsidR="008316F3" w:rsidRPr="008316F3">
        <w:t> </w:t>
      </w:r>
      <w:r w:rsidRPr="008316F3">
        <w:t>201</w:t>
      </w:r>
      <w:r w:rsidR="006D10DE" w:rsidRPr="008316F3">
        <w:t>2</w:t>
      </w:r>
      <w:bookmarkEnd w:id="48"/>
    </w:p>
    <w:p w:rsidR="003371A0" w:rsidRPr="008316F3" w:rsidRDefault="003371A0" w:rsidP="00CA6FAC">
      <w:pPr>
        <w:rPr>
          <w:b/>
          <w:i/>
        </w:rPr>
      </w:pPr>
    </w:p>
    <w:sectPr w:rsidR="003371A0" w:rsidRPr="008316F3" w:rsidSect="00156053">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332" w:rsidRDefault="00755332" w:rsidP="00715914">
      <w:pPr>
        <w:spacing w:line="240" w:lineRule="auto"/>
      </w:pPr>
      <w:r>
        <w:separator/>
      </w:r>
    </w:p>
  </w:endnote>
  <w:endnote w:type="continuationSeparator" w:id="0">
    <w:p w:rsidR="00755332" w:rsidRDefault="0075533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053" w:rsidRPr="00156053" w:rsidRDefault="00156053" w:rsidP="00156053">
    <w:pPr>
      <w:pStyle w:val="Footer"/>
      <w:rPr>
        <w:i/>
        <w:sz w:val="18"/>
      </w:rPr>
    </w:pPr>
    <w:r w:rsidRPr="00156053">
      <w:rPr>
        <w:i/>
        <w:sz w:val="18"/>
      </w:rPr>
      <w:t>OPC63322 - 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32" w:rsidRPr="00D1021D" w:rsidRDefault="00755332" w:rsidP="003371A0">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5332" w:rsidTr="0089417F">
      <w:tc>
        <w:tcPr>
          <w:tcW w:w="1384" w:type="dxa"/>
          <w:tcBorders>
            <w:top w:val="nil"/>
            <w:left w:val="nil"/>
            <w:bottom w:val="nil"/>
            <w:right w:val="nil"/>
          </w:tcBorders>
        </w:tcPr>
        <w:p w:rsidR="00755332" w:rsidRDefault="00755332" w:rsidP="0089417F">
          <w:pPr>
            <w:spacing w:line="0" w:lineRule="atLeast"/>
            <w:rPr>
              <w:sz w:val="18"/>
            </w:rPr>
          </w:pPr>
        </w:p>
      </w:tc>
      <w:tc>
        <w:tcPr>
          <w:tcW w:w="6379" w:type="dxa"/>
          <w:tcBorders>
            <w:top w:val="nil"/>
            <w:left w:val="nil"/>
            <w:bottom w:val="nil"/>
            <w:right w:val="nil"/>
          </w:tcBorders>
        </w:tcPr>
        <w:p w:rsidR="00755332" w:rsidRDefault="00755332" w:rsidP="008941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178D">
            <w:rPr>
              <w:i/>
              <w:sz w:val="18"/>
            </w:rPr>
            <w:t>Veterans’ Entitlements (Non-warlike Service) Determination 2019</w:t>
          </w:r>
          <w:r w:rsidRPr="007A1328">
            <w:rPr>
              <w:i/>
              <w:sz w:val="18"/>
            </w:rPr>
            <w:fldChar w:fldCharType="end"/>
          </w:r>
        </w:p>
      </w:tc>
      <w:tc>
        <w:tcPr>
          <w:tcW w:w="709" w:type="dxa"/>
          <w:tcBorders>
            <w:top w:val="nil"/>
            <w:left w:val="nil"/>
            <w:bottom w:val="nil"/>
            <w:right w:val="nil"/>
          </w:tcBorders>
        </w:tcPr>
        <w:p w:rsidR="00755332" w:rsidRDefault="00755332" w:rsidP="008941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B470E">
            <w:rPr>
              <w:i/>
              <w:noProof/>
              <w:sz w:val="18"/>
            </w:rPr>
            <w:t>7</w:t>
          </w:r>
          <w:r w:rsidRPr="00ED79B6">
            <w:rPr>
              <w:i/>
              <w:sz w:val="18"/>
            </w:rPr>
            <w:fldChar w:fldCharType="end"/>
          </w:r>
        </w:p>
      </w:tc>
    </w:tr>
  </w:tbl>
  <w:p w:rsidR="00755332" w:rsidRPr="00156053" w:rsidRDefault="00156053" w:rsidP="00156053">
    <w:pPr>
      <w:rPr>
        <w:rFonts w:cs="Times New Roman"/>
        <w:i/>
        <w:sz w:val="18"/>
      </w:rPr>
    </w:pPr>
    <w:r w:rsidRPr="00156053">
      <w:rPr>
        <w:rFonts w:cs="Times New Roman"/>
        <w:i/>
        <w:sz w:val="18"/>
      </w:rPr>
      <w:t>OPC63322 - 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32" w:rsidRDefault="00755332">
    <w:pPr>
      <w:pBdr>
        <w:top w:val="single" w:sz="6" w:space="1" w:color="auto"/>
      </w:pBdr>
      <w:rPr>
        <w:sz w:val="18"/>
      </w:rPr>
    </w:pPr>
  </w:p>
  <w:p w:rsidR="00755332" w:rsidRDefault="00755332">
    <w:pPr>
      <w:jc w:val="right"/>
      <w:rPr>
        <w:i/>
        <w:sz w:val="18"/>
      </w:rPr>
    </w:pPr>
    <w:r>
      <w:rPr>
        <w:i/>
        <w:sz w:val="18"/>
      </w:rPr>
      <w:fldChar w:fldCharType="begin"/>
    </w:r>
    <w:r>
      <w:rPr>
        <w:i/>
        <w:sz w:val="18"/>
      </w:rPr>
      <w:instrText xml:space="preserve"> STYLEREF ShortT </w:instrText>
    </w:r>
    <w:r>
      <w:rPr>
        <w:i/>
        <w:sz w:val="18"/>
      </w:rPr>
      <w:fldChar w:fldCharType="separate"/>
    </w:r>
    <w:r w:rsidR="0070178D">
      <w:rPr>
        <w:i/>
        <w:noProof/>
        <w:sz w:val="18"/>
      </w:rPr>
      <w:t>Veterans’ Entitlements (Non-warlike Service) Determination 2019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0178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0178D">
      <w:rPr>
        <w:i/>
        <w:noProof/>
        <w:sz w:val="18"/>
      </w:rPr>
      <w:t>11</w:t>
    </w:r>
    <w:r>
      <w:rPr>
        <w:i/>
        <w:sz w:val="18"/>
      </w:rPr>
      <w:fldChar w:fldCharType="end"/>
    </w:r>
  </w:p>
  <w:p w:rsidR="00755332" w:rsidRPr="00156053" w:rsidRDefault="00156053" w:rsidP="00156053">
    <w:pPr>
      <w:rPr>
        <w:rFonts w:cs="Times New Roman"/>
        <w:i/>
        <w:sz w:val="18"/>
      </w:rPr>
    </w:pPr>
    <w:r w:rsidRPr="00156053">
      <w:rPr>
        <w:rFonts w:cs="Times New Roman"/>
        <w:i/>
        <w:sz w:val="18"/>
      </w:rPr>
      <w:t>OPC63322 - D</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32" w:rsidRPr="00EF5531" w:rsidRDefault="00755332" w:rsidP="003371A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5332" w:rsidTr="00811EB2">
      <w:tc>
        <w:tcPr>
          <w:tcW w:w="709" w:type="dxa"/>
          <w:tcBorders>
            <w:top w:val="nil"/>
            <w:left w:val="nil"/>
            <w:bottom w:val="nil"/>
            <w:right w:val="nil"/>
          </w:tcBorders>
        </w:tcPr>
        <w:p w:rsidR="00755332" w:rsidRDefault="00755332" w:rsidP="0089417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B470E">
            <w:rPr>
              <w:i/>
              <w:noProof/>
              <w:sz w:val="18"/>
            </w:rPr>
            <w:t>10</w:t>
          </w:r>
          <w:r w:rsidRPr="00ED79B6">
            <w:rPr>
              <w:i/>
              <w:sz w:val="18"/>
            </w:rPr>
            <w:fldChar w:fldCharType="end"/>
          </w:r>
        </w:p>
      </w:tc>
      <w:tc>
        <w:tcPr>
          <w:tcW w:w="6379" w:type="dxa"/>
          <w:tcBorders>
            <w:top w:val="nil"/>
            <w:left w:val="nil"/>
            <w:bottom w:val="nil"/>
            <w:right w:val="nil"/>
          </w:tcBorders>
        </w:tcPr>
        <w:p w:rsidR="00755332" w:rsidRDefault="00755332" w:rsidP="008941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178D">
            <w:rPr>
              <w:i/>
              <w:sz w:val="18"/>
            </w:rPr>
            <w:t>Veterans’ Entitlements (Non-warlike Service) Determination 2019</w:t>
          </w:r>
          <w:r w:rsidRPr="007A1328">
            <w:rPr>
              <w:i/>
              <w:sz w:val="18"/>
            </w:rPr>
            <w:fldChar w:fldCharType="end"/>
          </w:r>
        </w:p>
      </w:tc>
      <w:tc>
        <w:tcPr>
          <w:tcW w:w="1384" w:type="dxa"/>
          <w:tcBorders>
            <w:top w:val="nil"/>
            <w:left w:val="nil"/>
            <w:bottom w:val="nil"/>
            <w:right w:val="nil"/>
          </w:tcBorders>
        </w:tcPr>
        <w:p w:rsidR="00755332" w:rsidRDefault="00755332" w:rsidP="0089417F">
          <w:pPr>
            <w:spacing w:line="0" w:lineRule="atLeast"/>
            <w:jc w:val="right"/>
            <w:rPr>
              <w:sz w:val="18"/>
            </w:rPr>
          </w:pPr>
        </w:p>
      </w:tc>
    </w:tr>
  </w:tbl>
  <w:p w:rsidR="00755332" w:rsidRPr="00156053" w:rsidRDefault="00156053" w:rsidP="00156053">
    <w:pPr>
      <w:rPr>
        <w:rFonts w:cs="Times New Roman"/>
        <w:i/>
        <w:sz w:val="18"/>
      </w:rPr>
    </w:pPr>
    <w:r w:rsidRPr="00156053">
      <w:rPr>
        <w:rFonts w:cs="Times New Roman"/>
        <w:i/>
        <w:sz w:val="18"/>
      </w:rPr>
      <w:t>OPC63322 - D</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32" w:rsidRPr="00A41F52" w:rsidRDefault="00755332" w:rsidP="003371A0">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755332" w:rsidTr="0089417F">
      <w:tc>
        <w:tcPr>
          <w:tcW w:w="1384" w:type="dxa"/>
          <w:tcBorders>
            <w:top w:val="nil"/>
            <w:left w:val="nil"/>
            <w:bottom w:val="nil"/>
            <w:right w:val="nil"/>
          </w:tcBorders>
        </w:tcPr>
        <w:p w:rsidR="00755332" w:rsidRDefault="00755332" w:rsidP="0089417F">
          <w:pPr>
            <w:spacing w:line="0" w:lineRule="atLeast"/>
            <w:rPr>
              <w:sz w:val="18"/>
            </w:rPr>
          </w:pPr>
        </w:p>
      </w:tc>
      <w:tc>
        <w:tcPr>
          <w:tcW w:w="6379" w:type="dxa"/>
          <w:tcBorders>
            <w:top w:val="nil"/>
            <w:left w:val="nil"/>
            <w:bottom w:val="nil"/>
            <w:right w:val="nil"/>
          </w:tcBorders>
        </w:tcPr>
        <w:p w:rsidR="00755332" w:rsidRDefault="00755332" w:rsidP="008941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178D">
            <w:rPr>
              <w:i/>
              <w:sz w:val="18"/>
            </w:rPr>
            <w:t>Veterans’ Entitlements (Non-warlike Service) Determination 2019</w:t>
          </w:r>
          <w:r w:rsidRPr="007A1328">
            <w:rPr>
              <w:i/>
              <w:sz w:val="18"/>
            </w:rPr>
            <w:fldChar w:fldCharType="end"/>
          </w:r>
        </w:p>
      </w:tc>
      <w:tc>
        <w:tcPr>
          <w:tcW w:w="709" w:type="dxa"/>
          <w:tcBorders>
            <w:top w:val="nil"/>
            <w:left w:val="nil"/>
            <w:bottom w:val="nil"/>
            <w:right w:val="nil"/>
          </w:tcBorders>
        </w:tcPr>
        <w:p w:rsidR="00755332" w:rsidRDefault="00755332" w:rsidP="008941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B470E">
            <w:rPr>
              <w:i/>
              <w:noProof/>
              <w:sz w:val="18"/>
            </w:rPr>
            <w:t>9</w:t>
          </w:r>
          <w:r w:rsidRPr="00ED79B6">
            <w:rPr>
              <w:i/>
              <w:sz w:val="18"/>
            </w:rPr>
            <w:fldChar w:fldCharType="end"/>
          </w:r>
        </w:p>
      </w:tc>
    </w:tr>
  </w:tbl>
  <w:p w:rsidR="00755332" w:rsidRPr="00156053" w:rsidRDefault="00156053" w:rsidP="00156053">
    <w:pPr>
      <w:rPr>
        <w:rFonts w:cs="Times New Roman"/>
        <w:i/>
        <w:sz w:val="18"/>
      </w:rPr>
    </w:pPr>
    <w:r w:rsidRPr="00156053">
      <w:rPr>
        <w:rFonts w:cs="Times New Roman"/>
        <w:i/>
        <w:sz w:val="18"/>
      </w:rPr>
      <w:t>OPC63322 - D</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32" w:rsidRPr="00E33C1C" w:rsidRDefault="00755332" w:rsidP="003371A0">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5332" w:rsidTr="0089417F">
      <w:tc>
        <w:tcPr>
          <w:tcW w:w="1384" w:type="dxa"/>
          <w:tcBorders>
            <w:top w:val="nil"/>
            <w:left w:val="nil"/>
            <w:bottom w:val="nil"/>
            <w:right w:val="nil"/>
          </w:tcBorders>
        </w:tcPr>
        <w:p w:rsidR="00755332" w:rsidRDefault="00755332" w:rsidP="0089417F">
          <w:pPr>
            <w:spacing w:line="0" w:lineRule="atLeast"/>
            <w:rPr>
              <w:sz w:val="18"/>
            </w:rPr>
          </w:pPr>
        </w:p>
      </w:tc>
      <w:tc>
        <w:tcPr>
          <w:tcW w:w="6379" w:type="dxa"/>
          <w:tcBorders>
            <w:top w:val="nil"/>
            <w:left w:val="nil"/>
            <w:bottom w:val="nil"/>
            <w:right w:val="nil"/>
          </w:tcBorders>
        </w:tcPr>
        <w:p w:rsidR="00755332" w:rsidRDefault="00755332" w:rsidP="008941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178D">
            <w:rPr>
              <w:i/>
              <w:sz w:val="18"/>
            </w:rPr>
            <w:t>Veterans’ Entitlements (Non-warlike Service) Determination 2019</w:t>
          </w:r>
          <w:r w:rsidRPr="007A1328">
            <w:rPr>
              <w:i/>
              <w:sz w:val="18"/>
            </w:rPr>
            <w:fldChar w:fldCharType="end"/>
          </w:r>
        </w:p>
      </w:tc>
      <w:tc>
        <w:tcPr>
          <w:tcW w:w="709" w:type="dxa"/>
          <w:tcBorders>
            <w:top w:val="nil"/>
            <w:left w:val="nil"/>
            <w:bottom w:val="nil"/>
            <w:right w:val="nil"/>
          </w:tcBorders>
        </w:tcPr>
        <w:p w:rsidR="00755332" w:rsidRDefault="00755332" w:rsidP="008941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0178D">
            <w:rPr>
              <w:i/>
              <w:noProof/>
              <w:sz w:val="18"/>
            </w:rPr>
            <w:t>11</w:t>
          </w:r>
          <w:r w:rsidRPr="00ED79B6">
            <w:rPr>
              <w:i/>
              <w:sz w:val="18"/>
            </w:rPr>
            <w:fldChar w:fldCharType="end"/>
          </w:r>
        </w:p>
      </w:tc>
    </w:tr>
  </w:tbl>
  <w:p w:rsidR="00755332" w:rsidRPr="00ED79B6" w:rsidRDefault="00755332" w:rsidP="003371A0">
    <w:pPr>
      <w:rPr>
        <w:i/>
        <w:sz w:val="18"/>
      </w:rPr>
    </w:pPr>
  </w:p>
  <w:p w:rsidR="00755332" w:rsidRPr="00156053" w:rsidRDefault="00156053" w:rsidP="00156053">
    <w:pPr>
      <w:pStyle w:val="Footer"/>
      <w:rPr>
        <w:i/>
        <w:sz w:val="18"/>
      </w:rPr>
    </w:pPr>
    <w:r w:rsidRPr="00156053">
      <w:rPr>
        <w:i/>
        <w:sz w:val="18"/>
      </w:rPr>
      <w:t>OPC63322 - D</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32" w:rsidRPr="00E33C1C" w:rsidRDefault="00755332" w:rsidP="003371A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5332" w:rsidTr="00811EB2">
      <w:tc>
        <w:tcPr>
          <w:tcW w:w="709" w:type="dxa"/>
          <w:tcBorders>
            <w:top w:val="nil"/>
            <w:left w:val="nil"/>
            <w:bottom w:val="nil"/>
            <w:right w:val="nil"/>
          </w:tcBorders>
        </w:tcPr>
        <w:p w:rsidR="00755332" w:rsidRDefault="00755332" w:rsidP="0089417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0178D">
            <w:rPr>
              <w:i/>
              <w:noProof/>
              <w:sz w:val="18"/>
            </w:rPr>
            <w:t>11</w:t>
          </w:r>
          <w:r w:rsidRPr="00ED79B6">
            <w:rPr>
              <w:i/>
              <w:sz w:val="18"/>
            </w:rPr>
            <w:fldChar w:fldCharType="end"/>
          </w:r>
        </w:p>
      </w:tc>
      <w:tc>
        <w:tcPr>
          <w:tcW w:w="6379" w:type="dxa"/>
          <w:tcBorders>
            <w:top w:val="nil"/>
            <w:left w:val="nil"/>
            <w:bottom w:val="nil"/>
            <w:right w:val="nil"/>
          </w:tcBorders>
        </w:tcPr>
        <w:p w:rsidR="00755332" w:rsidRDefault="00755332" w:rsidP="008941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178D">
            <w:rPr>
              <w:i/>
              <w:sz w:val="18"/>
            </w:rPr>
            <w:t>Veterans’ Entitlements (Non-warlike Service) Determination 2019</w:t>
          </w:r>
          <w:r w:rsidRPr="007A1328">
            <w:rPr>
              <w:i/>
              <w:sz w:val="18"/>
            </w:rPr>
            <w:fldChar w:fldCharType="end"/>
          </w:r>
        </w:p>
      </w:tc>
      <w:tc>
        <w:tcPr>
          <w:tcW w:w="1384" w:type="dxa"/>
          <w:tcBorders>
            <w:top w:val="nil"/>
            <w:left w:val="nil"/>
            <w:bottom w:val="nil"/>
            <w:right w:val="nil"/>
          </w:tcBorders>
        </w:tcPr>
        <w:p w:rsidR="00755332" w:rsidRDefault="00755332" w:rsidP="0089417F">
          <w:pPr>
            <w:spacing w:line="0" w:lineRule="atLeast"/>
            <w:jc w:val="right"/>
            <w:rPr>
              <w:sz w:val="18"/>
            </w:rPr>
          </w:pPr>
        </w:p>
      </w:tc>
    </w:tr>
  </w:tbl>
  <w:p w:rsidR="00755332" w:rsidRPr="00156053" w:rsidRDefault="00156053" w:rsidP="00156053">
    <w:pPr>
      <w:rPr>
        <w:rFonts w:cs="Times New Roman"/>
        <w:i/>
        <w:sz w:val="18"/>
      </w:rPr>
    </w:pPr>
    <w:r w:rsidRPr="00156053">
      <w:rPr>
        <w:rFonts w:cs="Times New Roman"/>
        <w:i/>
        <w:sz w:val="18"/>
      </w:rPr>
      <w:t>OPC63322 - D</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32" w:rsidRPr="00E33C1C" w:rsidRDefault="00755332" w:rsidP="003371A0">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5332" w:rsidTr="0089417F">
      <w:tc>
        <w:tcPr>
          <w:tcW w:w="1384" w:type="dxa"/>
          <w:tcBorders>
            <w:top w:val="nil"/>
            <w:left w:val="nil"/>
            <w:bottom w:val="nil"/>
            <w:right w:val="nil"/>
          </w:tcBorders>
        </w:tcPr>
        <w:p w:rsidR="00755332" w:rsidRDefault="00755332" w:rsidP="0089417F">
          <w:pPr>
            <w:spacing w:line="0" w:lineRule="atLeast"/>
            <w:rPr>
              <w:sz w:val="18"/>
            </w:rPr>
          </w:pPr>
        </w:p>
      </w:tc>
      <w:tc>
        <w:tcPr>
          <w:tcW w:w="6379" w:type="dxa"/>
          <w:tcBorders>
            <w:top w:val="nil"/>
            <w:left w:val="nil"/>
            <w:bottom w:val="nil"/>
            <w:right w:val="nil"/>
          </w:tcBorders>
        </w:tcPr>
        <w:p w:rsidR="00755332" w:rsidRDefault="00755332" w:rsidP="008941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178D">
            <w:rPr>
              <w:i/>
              <w:sz w:val="18"/>
            </w:rPr>
            <w:t>Veterans’ Entitlements (Non-warlike Service) Determination 2019</w:t>
          </w:r>
          <w:r w:rsidRPr="007A1328">
            <w:rPr>
              <w:i/>
              <w:sz w:val="18"/>
            </w:rPr>
            <w:fldChar w:fldCharType="end"/>
          </w:r>
        </w:p>
      </w:tc>
      <w:tc>
        <w:tcPr>
          <w:tcW w:w="709" w:type="dxa"/>
          <w:tcBorders>
            <w:top w:val="nil"/>
            <w:left w:val="nil"/>
            <w:bottom w:val="nil"/>
            <w:right w:val="nil"/>
          </w:tcBorders>
        </w:tcPr>
        <w:p w:rsidR="00755332" w:rsidRDefault="00755332" w:rsidP="008941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0178D">
            <w:rPr>
              <w:i/>
              <w:noProof/>
              <w:sz w:val="18"/>
            </w:rPr>
            <w:t>11</w:t>
          </w:r>
          <w:r w:rsidRPr="00ED79B6">
            <w:rPr>
              <w:i/>
              <w:sz w:val="18"/>
            </w:rPr>
            <w:fldChar w:fldCharType="end"/>
          </w:r>
        </w:p>
      </w:tc>
    </w:tr>
  </w:tbl>
  <w:p w:rsidR="00755332" w:rsidRPr="00156053" w:rsidRDefault="00156053" w:rsidP="00156053">
    <w:pPr>
      <w:rPr>
        <w:rFonts w:cs="Times New Roman"/>
        <w:i/>
        <w:sz w:val="18"/>
      </w:rPr>
    </w:pPr>
    <w:r w:rsidRPr="00156053">
      <w:rPr>
        <w:rFonts w:cs="Times New Roman"/>
        <w:i/>
        <w:sz w:val="18"/>
      </w:rPr>
      <w:t>OPC63322 - D</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32" w:rsidRPr="00E33C1C" w:rsidRDefault="00755332"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5332" w:rsidTr="00B33709">
      <w:tc>
        <w:tcPr>
          <w:tcW w:w="1384" w:type="dxa"/>
          <w:tcBorders>
            <w:top w:val="nil"/>
            <w:left w:val="nil"/>
            <w:bottom w:val="nil"/>
            <w:right w:val="nil"/>
          </w:tcBorders>
        </w:tcPr>
        <w:p w:rsidR="00755332" w:rsidRDefault="00755332" w:rsidP="0089417F">
          <w:pPr>
            <w:spacing w:line="0" w:lineRule="atLeast"/>
            <w:rPr>
              <w:sz w:val="18"/>
            </w:rPr>
          </w:pPr>
        </w:p>
      </w:tc>
      <w:tc>
        <w:tcPr>
          <w:tcW w:w="6379" w:type="dxa"/>
          <w:tcBorders>
            <w:top w:val="nil"/>
            <w:left w:val="nil"/>
            <w:bottom w:val="nil"/>
            <w:right w:val="nil"/>
          </w:tcBorders>
        </w:tcPr>
        <w:p w:rsidR="00755332" w:rsidRDefault="00755332" w:rsidP="008941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178D">
            <w:rPr>
              <w:i/>
              <w:sz w:val="18"/>
            </w:rPr>
            <w:t>Veterans’ Entitlements (Non-warlike Service) Determination 2019</w:t>
          </w:r>
          <w:r w:rsidRPr="007A1328">
            <w:rPr>
              <w:i/>
              <w:sz w:val="18"/>
            </w:rPr>
            <w:fldChar w:fldCharType="end"/>
          </w:r>
        </w:p>
      </w:tc>
      <w:tc>
        <w:tcPr>
          <w:tcW w:w="709" w:type="dxa"/>
          <w:tcBorders>
            <w:top w:val="nil"/>
            <w:left w:val="nil"/>
            <w:bottom w:val="nil"/>
            <w:right w:val="nil"/>
          </w:tcBorders>
        </w:tcPr>
        <w:p w:rsidR="00755332" w:rsidRDefault="00755332" w:rsidP="008941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0178D">
            <w:rPr>
              <w:i/>
              <w:noProof/>
              <w:sz w:val="18"/>
            </w:rPr>
            <w:t>11</w:t>
          </w:r>
          <w:r w:rsidRPr="00ED79B6">
            <w:rPr>
              <w:i/>
              <w:sz w:val="18"/>
            </w:rPr>
            <w:fldChar w:fldCharType="end"/>
          </w:r>
        </w:p>
      </w:tc>
    </w:tr>
  </w:tbl>
  <w:p w:rsidR="00755332" w:rsidRPr="00156053" w:rsidRDefault="00156053" w:rsidP="00156053">
    <w:pPr>
      <w:rPr>
        <w:rFonts w:cs="Times New Roman"/>
        <w:i/>
        <w:sz w:val="18"/>
      </w:rPr>
    </w:pPr>
    <w:r w:rsidRPr="00156053">
      <w:rPr>
        <w:rFonts w:cs="Times New Roman"/>
        <w:i/>
        <w:sz w:val="18"/>
      </w:rPr>
      <w:t>OPC63322 - 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B7" w:rsidRDefault="00291CB7" w:rsidP="00291CB7">
    <w:pPr>
      <w:pStyle w:val="Footer"/>
    </w:pPr>
  </w:p>
  <w:p w:rsidR="00291CB7" w:rsidRPr="00156053" w:rsidRDefault="00156053" w:rsidP="00156053">
    <w:pPr>
      <w:pStyle w:val="Footer"/>
      <w:rPr>
        <w:i/>
        <w:sz w:val="18"/>
      </w:rPr>
    </w:pPr>
    <w:r w:rsidRPr="00156053">
      <w:rPr>
        <w:i/>
        <w:sz w:val="18"/>
      </w:rPr>
      <w:t>OPC63322 -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B7" w:rsidRPr="00156053" w:rsidRDefault="00156053" w:rsidP="00156053">
    <w:pPr>
      <w:pStyle w:val="Footer"/>
      <w:tabs>
        <w:tab w:val="clear" w:pos="4153"/>
        <w:tab w:val="clear" w:pos="8306"/>
        <w:tab w:val="center" w:pos="4150"/>
        <w:tab w:val="right" w:pos="8307"/>
      </w:tabs>
      <w:spacing w:before="120"/>
      <w:rPr>
        <w:i/>
        <w:sz w:val="18"/>
      </w:rPr>
    </w:pPr>
    <w:r w:rsidRPr="00156053">
      <w:rPr>
        <w:i/>
        <w:sz w:val="18"/>
      </w:rPr>
      <w:t>OPC63322 - 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B7" w:rsidRPr="00E33C1C" w:rsidRDefault="00291CB7" w:rsidP="00291CB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91CB7" w:rsidTr="009A611E">
      <w:tc>
        <w:tcPr>
          <w:tcW w:w="709" w:type="dxa"/>
          <w:tcBorders>
            <w:top w:val="nil"/>
            <w:left w:val="nil"/>
            <w:bottom w:val="nil"/>
            <w:right w:val="nil"/>
          </w:tcBorders>
        </w:tcPr>
        <w:p w:rsidR="00291CB7" w:rsidRDefault="00291CB7" w:rsidP="0040742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B470E">
            <w:rPr>
              <w:i/>
              <w:noProof/>
              <w:sz w:val="18"/>
            </w:rPr>
            <w:t>ii</w:t>
          </w:r>
          <w:r w:rsidRPr="00ED79B6">
            <w:rPr>
              <w:i/>
              <w:sz w:val="18"/>
            </w:rPr>
            <w:fldChar w:fldCharType="end"/>
          </w:r>
        </w:p>
      </w:tc>
      <w:tc>
        <w:tcPr>
          <w:tcW w:w="6379" w:type="dxa"/>
          <w:tcBorders>
            <w:top w:val="nil"/>
            <w:left w:val="nil"/>
            <w:bottom w:val="nil"/>
            <w:right w:val="nil"/>
          </w:tcBorders>
        </w:tcPr>
        <w:p w:rsidR="00291CB7" w:rsidRDefault="00291CB7" w:rsidP="0040742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178D">
            <w:rPr>
              <w:i/>
              <w:sz w:val="18"/>
            </w:rPr>
            <w:t>Veterans’ Entitlements (Non-warlike Service) Determination 2019</w:t>
          </w:r>
          <w:r w:rsidRPr="007A1328">
            <w:rPr>
              <w:i/>
              <w:sz w:val="18"/>
            </w:rPr>
            <w:fldChar w:fldCharType="end"/>
          </w:r>
        </w:p>
      </w:tc>
      <w:tc>
        <w:tcPr>
          <w:tcW w:w="1384" w:type="dxa"/>
          <w:tcBorders>
            <w:top w:val="nil"/>
            <w:left w:val="nil"/>
            <w:bottom w:val="nil"/>
            <w:right w:val="nil"/>
          </w:tcBorders>
        </w:tcPr>
        <w:p w:rsidR="00291CB7" w:rsidRDefault="00291CB7" w:rsidP="0040742A">
          <w:pPr>
            <w:spacing w:line="0" w:lineRule="atLeast"/>
            <w:jc w:val="right"/>
            <w:rPr>
              <w:sz w:val="18"/>
            </w:rPr>
          </w:pPr>
        </w:p>
      </w:tc>
    </w:tr>
  </w:tbl>
  <w:p w:rsidR="00291CB7" w:rsidRPr="00156053" w:rsidRDefault="00156053" w:rsidP="00156053">
    <w:pPr>
      <w:rPr>
        <w:rFonts w:cs="Times New Roman"/>
        <w:i/>
        <w:sz w:val="18"/>
      </w:rPr>
    </w:pPr>
    <w:r w:rsidRPr="00156053">
      <w:rPr>
        <w:rFonts w:cs="Times New Roman"/>
        <w:i/>
        <w:sz w:val="18"/>
      </w:rPr>
      <w:t>OPC63322 -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B7" w:rsidRPr="00E33C1C" w:rsidRDefault="00291CB7" w:rsidP="00291CB7">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291CB7" w:rsidTr="0040742A">
      <w:tc>
        <w:tcPr>
          <w:tcW w:w="1383" w:type="dxa"/>
          <w:tcBorders>
            <w:top w:val="nil"/>
            <w:left w:val="nil"/>
            <w:bottom w:val="nil"/>
            <w:right w:val="nil"/>
          </w:tcBorders>
        </w:tcPr>
        <w:p w:rsidR="00291CB7" w:rsidRDefault="00291CB7" w:rsidP="0040742A">
          <w:pPr>
            <w:spacing w:line="0" w:lineRule="atLeast"/>
            <w:rPr>
              <w:sz w:val="18"/>
            </w:rPr>
          </w:pPr>
        </w:p>
      </w:tc>
      <w:tc>
        <w:tcPr>
          <w:tcW w:w="6380" w:type="dxa"/>
          <w:tcBorders>
            <w:top w:val="nil"/>
            <w:left w:val="nil"/>
            <w:bottom w:val="nil"/>
            <w:right w:val="nil"/>
          </w:tcBorders>
        </w:tcPr>
        <w:p w:rsidR="00291CB7" w:rsidRDefault="00291CB7" w:rsidP="0040742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178D">
            <w:rPr>
              <w:i/>
              <w:sz w:val="18"/>
            </w:rPr>
            <w:t>Veterans’ Entitlements (Non-warlike Service) Determination 2019</w:t>
          </w:r>
          <w:r w:rsidRPr="007A1328">
            <w:rPr>
              <w:i/>
              <w:sz w:val="18"/>
            </w:rPr>
            <w:fldChar w:fldCharType="end"/>
          </w:r>
        </w:p>
      </w:tc>
      <w:tc>
        <w:tcPr>
          <w:tcW w:w="709" w:type="dxa"/>
          <w:tcBorders>
            <w:top w:val="nil"/>
            <w:left w:val="nil"/>
            <w:bottom w:val="nil"/>
            <w:right w:val="nil"/>
          </w:tcBorders>
        </w:tcPr>
        <w:p w:rsidR="00291CB7" w:rsidRDefault="00291CB7" w:rsidP="0040742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B470E">
            <w:rPr>
              <w:i/>
              <w:noProof/>
              <w:sz w:val="18"/>
            </w:rPr>
            <w:t>i</w:t>
          </w:r>
          <w:r w:rsidRPr="00ED79B6">
            <w:rPr>
              <w:i/>
              <w:sz w:val="18"/>
            </w:rPr>
            <w:fldChar w:fldCharType="end"/>
          </w:r>
        </w:p>
      </w:tc>
    </w:tr>
  </w:tbl>
  <w:p w:rsidR="00291CB7" w:rsidRPr="00156053" w:rsidRDefault="00156053" w:rsidP="00156053">
    <w:pPr>
      <w:rPr>
        <w:rFonts w:cs="Times New Roman"/>
        <w:i/>
        <w:sz w:val="18"/>
      </w:rPr>
    </w:pPr>
    <w:r w:rsidRPr="00156053">
      <w:rPr>
        <w:rFonts w:cs="Times New Roman"/>
        <w:i/>
        <w:sz w:val="18"/>
      </w:rPr>
      <w:t>OPC63322 -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B7" w:rsidRPr="00E33C1C" w:rsidRDefault="00291CB7" w:rsidP="00291CB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91CB7" w:rsidTr="009A611E">
      <w:tc>
        <w:tcPr>
          <w:tcW w:w="709" w:type="dxa"/>
          <w:tcBorders>
            <w:top w:val="nil"/>
            <w:left w:val="nil"/>
            <w:bottom w:val="nil"/>
            <w:right w:val="nil"/>
          </w:tcBorders>
        </w:tcPr>
        <w:p w:rsidR="00291CB7" w:rsidRDefault="00291CB7" w:rsidP="0040742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0178D">
            <w:rPr>
              <w:i/>
              <w:noProof/>
              <w:sz w:val="18"/>
            </w:rPr>
            <w:t>11</w:t>
          </w:r>
          <w:r w:rsidRPr="00ED79B6">
            <w:rPr>
              <w:i/>
              <w:sz w:val="18"/>
            </w:rPr>
            <w:fldChar w:fldCharType="end"/>
          </w:r>
        </w:p>
      </w:tc>
      <w:tc>
        <w:tcPr>
          <w:tcW w:w="6379" w:type="dxa"/>
          <w:tcBorders>
            <w:top w:val="nil"/>
            <w:left w:val="nil"/>
            <w:bottom w:val="nil"/>
            <w:right w:val="nil"/>
          </w:tcBorders>
        </w:tcPr>
        <w:p w:rsidR="00291CB7" w:rsidRDefault="00291CB7" w:rsidP="0040742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178D">
            <w:rPr>
              <w:i/>
              <w:sz w:val="18"/>
            </w:rPr>
            <w:t>Veterans’ Entitlements (Non-warlike Service) Determination 2019</w:t>
          </w:r>
          <w:r w:rsidRPr="007A1328">
            <w:rPr>
              <w:i/>
              <w:sz w:val="18"/>
            </w:rPr>
            <w:fldChar w:fldCharType="end"/>
          </w:r>
        </w:p>
      </w:tc>
      <w:tc>
        <w:tcPr>
          <w:tcW w:w="1384" w:type="dxa"/>
          <w:tcBorders>
            <w:top w:val="nil"/>
            <w:left w:val="nil"/>
            <w:bottom w:val="nil"/>
            <w:right w:val="nil"/>
          </w:tcBorders>
        </w:tcPr>
        <w:p w:rsidR="00291CB7" w:rsidRDefault="00291CB7" w:rsidP="0040742A">
          <w:pPr>
            <w:spacing w:line="0" w:lineRule="atLeast"/>
            <w:jc w:val="right"/>
            <w:rPr>
              <w:sz w:val="18"/>
            </w:rPr>
          </w:pPr>
        </w:p>
      </w:tc>
    </w:tr>
  </w:tbl>
  <w:p w:rsidR="00291CB7" w:rsidRPr="00156053" w:rsidRDefault="00156053" w:rsidP="00156053">
    <w:pPr>
      <w:rPr>
        <w:rFonts w:cs="Times New Roman"/>
        <w:i/>
        <w:sz w:val="18"/>
      </w:rPr>
    </w:pPr>
    <w:r w:rsidRPr="00156053">
      <w:rPr>
        <w:rFonts w:cs="Times New Roman"/>
        <w:i/>
        <w:sz w:val="18"/>
      </w:rPr>
      <w:t>OPC63322 -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B7" w:rsidRPr="00E33C1C" w:rsidRDefault="00291CB7" w:rsidP="00291CB7">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91CB7" w:rsidTr="0040742A">
      <w:tc>
        <w:tcPr>
          <w:tcW w:w="1384" w:type="dxa"/>
          <w:tcBorders>
            <w:top w:val="nil"/>
            <w:left w:val="nil"/>
            <w:bottom w:val="nil"/>
            <w:right w:val="nil"/>
          </w:tcBorders>
        </w:tcPr>
        <w:p w:rsidR="00291CB7" w:rsidRDefault="00291CB7" w:rsidP="0040742A">
          <w:pPr>
            <w:spacing w:line="0" w:lineRule="atLeast"/>
            <w:rPr>
              <w:sz w:val="18"/>
            </w:rPr>
          </w:pPr>
        </w:p>
      </w:tc>
      <w:tc>
        <w:tcPr>
          <w:tcW w:w="6379" w:type="dxa"/>
          <w:tcBorders>
            <w:top w:val="nil"/>
            <w:left w:val="nil"/>
            <w:bottom w:val="nil"/>
            <w:right w:val="nil"/>
          </w:tcBorders>
        </w:tcPr>
        <w:p w:rsidR="00291CB7" w:rsidRDefault="00291CB7" w:rsidP="0040742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178D">
            <w:rPr>
              <w:i/>
              <w:sz w:val="18"/>
            </w:rPr>
            <w:t>Veterans’ Entitlements (Non-warlike Service) Determination 2019</w:t>
          </w:r>
          <w:r w:rsidRPr="007A1328">
            <w:rPr>
              <w:i/>
              <w:sz w:val="18"/>
            </w:rPr>
            <w:fldChar w:fldCharType="end"/>
          </w:r>
        </w:p>
      </w:tc>
      <w:tc>
        <w:tcPr>
          <w:tcW w:w="709" w:type="dxa"/>
          <w:tcBorders>
            <w:top w:val="nil"/>
            <w:left w:val="nil"/>
            <w:bottom w:val="nil"/>
            <w:right w:val="nil"/>
          </w:tcBorders>
        </w:tcPr>
        <w:p w:rsidR="00291CB7" w:rsidRDefault="00291CB7" w:rsidP="0040742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B470E">
            <w:rPr>
              <w:i/>
              <w:noProof/>
              <w:sz w:val="18"/>
            </w:rPr>
            <w:t>1</w:t>
          </w:r>
          <w:r w:rsidRPr="00ED79B6">
            <w:rPr>
              <w:i/>
              <w:sz w:val="18"/>
            </w:rPr>
            <w:fldChar w:fldCharType="end"/>
          </w:r>
        </w:p>
      </w:tc>
    </w:tr>
  </w:tbl>
  <w:p w:rsidR="00291CB7" w:rsidRPr="00156053" w:rsidRDefault="00156053" w:rsidP="00156053">
    <w:pPr>
      <w:rPr>
        <w:rFonts w:cs="Times New Roman"/>
        <w:i/>
        <w:sz w:val="18"/>
      </w:rPr>
    </w:pPr>
    <w:r w:rsidRPr="00156053">
      <w:rPr>
        <w:rFonts w:cs="Times New Roman"/>
        <w:i/>
        <w:sz w:val="18"/>
      </w:rPr>
      <w:t>OPC63322 -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B7" w:rsidRPr="00E33C1C" w:rsidRDefault="00291CB7" w:rsidP="00291CB7">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91CB7" w:rsidTr="0040742A">
      <w:tc>
        <w:tcPr>
          <w:tcW w:w="1384" w:type="dxa"/>
          <w:tcBorders>
            <w:top w:val="nil"/>
            <w:left w:val="nil"/>
            <w:bottom w:val="nil"/>
            <w:right w:val="nil"/>
          </w:tcBorders>
        </w:tcPr>
        <w:p w:rsidR="00291CB7" w:rsidRDefault="00291CB7" w:rsidP="0040742A">
          <w:pPr>
            <w:spacing w:line="0" w:lineRule="atLeast"/>
            <w:rPr>
              <w:sz w:val="18"/>
            </w:rPr>
          </w:pPr>
        </w:p>
      </w:tc>
      <w:tc>
        <w:tcPr>
          <w:tcW w:w="6379" w:type="dxa"/>
          <w:tcBorders>
            <w:top w:val="nil"/>
            <w:left w:val="nil"/>
            <w:bottom w:val="nil"/>
            <w:right w:val="nil"/>
          </w:tcBorders>
        </w:tcPr>
        <w:p w:rsidR="00291CB7" w:rsidRDefault="00291CB7" w:rsidP="0040742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178D">
            <w:rPr>
              <w:i/>
              <w:sz w:val="18"/>
            </w:rPr>
            <w:t>Veterans’ Entitlements (Non-warlike Service) Determination 2019</w:t>
          </w:r>
          <w:r w:rsidRPr="007A1328">
            <w:rPr>
              <w:i/>
              <w:sz w:val="18"/>
            </w:rPr>
            <w:fldChar w:fldCharType="end"/>
          </w:r>
        </w:p>
      </w:tc>
      <w:tc>
        <w:tcPr>
          <w:tcW w:w="709" w:type="dxa"/>
          <w:tcBorders>
            <w:top w:val="nil"/>
            <w:left w:val="nil"/>
            <w:bottom w:val="nil"/>
            <w:right w:val="nil"/>
          </w:tcBorders>
        </w:tcPr>
        <w:p w:rsidR="00291CB7" w:rsidRDefault="00291CB7" w:rsidP="0040742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0178D">
            <w:rPr>
              <w:i/>
              <w:noProof/>
              <w:sz w:val="18"/>
            </w:rPr>
            <w:t>11</w:t>
          </w:r>
          <w:r w:rsidRPr="00ED79B6">
            <w:rPr>
              <w:i/>
              <w:sz w:val="18"/>
            </w:rPr>
            <w:fldChar w:fldCharType="end"/>
          </w:r>
        </w:p>
      </w:tc>
    </w:tr>
  </w:tbl>
  <w:p w:rsidR="00291CB7" w:rsidRPr="00156053" w:rsidRDefault="00156053" w:rsidP="00156053">
    <w:pPr>
      <w:rPr>
        <w:rFonts w:cs="Times New Roman"/>
        <w:i/>
        <w:sz w:val="18"/>
      </w:rPr>
    </w:pPr>
    <w:r w:rsidRPr="00156053">
      <w:rPr>
        <w:rFonts w:cs="Times New Roman"/>
        <w:i/>
        <w:sz w:val="18"/>
      </w:rPr>
      <w:t>OPC63322 - D</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32" w:rsidRPr="00FF448D" w:rsidRDefault="00755332" w:rsidP="003371A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5332" w:rsidTr="00811EB2">
      <w:tc>
        <w:tcPr>
          <w:tcW w:w="709" w:type="dxa"/>
          <w:tcBorders>
            <w:top w:val="nil"/>
            <w:left w:val="nil"/>
            <w:bottom w:val="nil"/>
            <w:right w:val="nil"/>
          </w:tcBorders>
        </w:tcPr>
        <w:p w:rsidR="00755332" w:rsidRDefault="00755332" w:rsidP="0089417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B470E">
            <w:rPr>
              <w:i/>
              <w:noProof/>
              <w:sz w:val="18"/>
            </w:rPr>
            <w:t>8</w:t>
          </w:r>
          <w:r w:rsidRPr="00ED79B6">
            <w:rPr>
              <w:i/>
              <w:sz w:val="18"/>
            </w:rPr>
            <w:fldChar w:fldCharType="end"/>
          </w:r>
        </w:p>
      </w:tc>
      <w:tc>
        <w:tcPr>
          <w:tcW w:w="6379" w:type="dxa"/>
          <w:tcBorders>
            <w:top w:val="nil"/>
            <w:left w:val="nil"/>
            <w:bottom w:val="nil"/>
            <w:right w:val="nil"/>
          </w:tcBorders>
        </w:tcPr>
        <w:p w:rsidR="00755332" w:rsidRDefault="00755332" w:rsidP="008941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178D">
            <w:rPr>
              <w:i/>
              <w:sz w:val="18"/>
            </w:rPr>
            <w:t>Veterans’ Entitlements (Non-warlike Service) Determination 2019</w:t>
          </w:r>
          <w:r w:rsidRPr="007A1328">
            <w:rPr>
              <w:i/>
              <w:sz w:val="18"/>
            </w:rPr>
            <w:fldChar w:fldCharType="end"/>
          </w:r>
        </w:p>
      </w:tc>
      <w:tc>
        <w:tcPr>
          <w:tcW w:w="1384" w:type="dxa"/>
          <w:tcBorders>
            <w:top w:val="nil"/>
            <w:left w:val="nil"/>
            <w:bottom w:val="nil"/>
            <w:right w:val="nil"/>
          </w:tcBorders>
        </w:tcPr>
        <w:p w:rsidR="00755332" w:rsidRDefault="00755332" w:rsidP="0089417F">
          <w:pPr>
            <w:spacing w:line="0" w:lineRule="atLeast"/>
            <w:jc w:val="right"/>
            <w:rPr>
              <w:sz w:val="18"/>
            </w:rPr>
          </w:pPr>
        </w:p>
      </w:tc>
    </w:tr>
  </w:tbl>
  <w:p w:rsidR="00755332" w:rsidRPr="00156053" w:rsidRDefault="00156053" w:rsidP="00156053">
    <w:pPr>
      <w:rPr>
        <w:rFonts w:cs="Times New Roman"/>
        <w:i/>
        <w:sz w:val="18"/>
      </w:rPr>
    </w:pPr>
    <w:r w:rsidRPr="00156053">
      <w:rPr>
        <w:rFonts w:cs="Times New Roman"/>
        <w:i/>
        <w:sz w:val="18"/>
      </w:rPr>
      <w:t>OPC63322 -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332" w:rsidRDefault="00755332" w:rsidP="00715914">
      <w:pPr>
        <w:spacing w:line="240" w:lineRule="auto"/>
      </w:pPr>
      <w:r>
        <w:separator/>
      </w:r>
    </w:p>
  </w:footnote>
  <w:footnote w:type="continuationSeparator" w:id="0">
    <w:p w:rsidR="00755332" w:rsidRDefault="0075533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B7" w:rsidRPr="005F1388" w:rsidRDefault="00291CB7" w:rsidP="00291CB7">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32" w:rsidRPr="00D1021D" w:rsidRDefault="00755332">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6B470E">
      <w:rPr>
        <w:noProof/>
        <w:sz w:val="20"/>
      </w:rPr>
      <w:t>Non-warlike service</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6B470E">
      <w:rPr>
        <w:b/>
        <w:noProof/>
        <w:sz w:val="20"/>
      </w:rPr>
      <w:t>Schedule 1</w:t>
    </w:r>
    <w:r w:rsidRPr="00D1021D">
      <w:rPr>
        <w:b/>
        <w:sz w:val="20"/>
      </w:rPr>
      <w:fldChar w:fldCharType="end"/>
    </w:r>
  </w:p>
  <w:p w:rsidR="00755332" w:rsidRPr="00D1021D" w:rsidRDefault="00755332">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755332" w:rsidRPr="00D1021D" w:rsidRDefault="00755332">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755332" w:rsidRPr="00D1021D" w:rsidRDefault="00755332">
    <w:pPr>
      <w:jc w:val="right"/>
      <w:rPr>
        <w:b/>
      </w:rPr>
    </w:pPr>
  </w:p>
  <w:p w:rsidR="00755332" w:rsidRPr="00D1021D" w:rsidRDefault="00755332" w:rsidP="003371A0">
    <w:pPr>
      <w:pBdr>
        <w:bottom w:val="single" w:sz="6" w:space="1" w:color="auto"/>
      </w:pBdr>
      <w:spacing w:after="120"/>
      <w:jc w:val="right"/>
    </w:pPr>
    <w:r w:rsidRPr="00D1021D">
      <w:t xml:space="preserve">Clause </w:t>
    </w:r>
    <w:fldSimple w:instr=" STYLEREF CharSectno ">
      <w:r w:rsidR="006B470E">
        <w:rPr>
          <w:noProof/>
        </w:rPr>
        <w:t>1</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32" w:rsidRDefault="0075533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32" w:rsidRDefault="00755332">
    <w:pPr>
      <w:rPr>
        <w:sz w:val="20"/>
      </w:rPr>
    </w:pPr>
    <w:r>
      <w:rPr>
        <w:b/>
        <w:sz w:val="20"/>
      </w:rPr>
      <w:fldChar w:fldCharType="begin"/>
    </w:r>
    <w:r>
      <w:rPr>
        <w:b/>
        <w:sz w:val="20"/>
      </w:rPr>
      <w:instrText xml:space="preserve"> STYLEREF CharAmSchNo </w:instrText>
    </w:r>
    <w:r>
      <w:rPr>
        <w:b/>
        <w:sz w:val="20"/>
      </w:rPr>
      <w:fldChar w:fldCharType="separate"/>
    </w:r>
    <w:r w:rsidR="006B470E">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6B470E">
      <w:rPr>
        <w:noProof/>
        <w:sz w:val="20"/>
      </w:rPr>
      <w:t>Repeals of instruments</w:t>
    </w:r>
    <w:r>
      <w:rPr>
        <w:sz w:val="20"/>
      </w:rPr>
      <w:fldChar w:fldCharType="end"/>
    </w:r>
  </w:p>
  <w:p w:rsidR="00755332" w:rsidRDefault="00755332">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755332" w:rsidRDefault="00755332" w:rsidP="003371A0">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32" w:rsidRDefault="00755332">
    <w:pPr>
      <w:jc w:val="right"/>
      <w:rPr>
        <w:sz w:val="20"/>
      </w:rPr>
    </w:pPr>
    <w:r>
      <w:rPr>
        <w:sz w:val="20"/>
      </w:rPr>
      <w:fldChar w:fldCharType="begin"/>
    </w:r>
    <w:r>
      <w:rPr>
        <w:sz w:val="20"/>
      </w:rPr>
      <w:instrText xml:space="preserve"> STYLEREF CharAmSchText </w:instrText>
    </w:r>
    <w:r>
      <w:rPr>
        <w:sz w:val="20"/>
      </w:rPr>
      <w:fldChar w:fldCharType="separate"/>
    </w:r>
    <w:r w:rsidR="006B470E">
      <w:rPr>
        <w:noProof/>
        <w:sz w:val="20"/>
      </w:rPr>
      <w:t>Repeals of instruments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6B470E">
      <w:rPr>
        <w:b/>
        <w:noProof/>
        <w:sz w:val="20"/>
      </w:rPr>
      <w:t>Schedule 2</w:t>
    </w:r>
    <w:r>
      <w:rPr>
        <w:b/>
        <w:sz w:val="20"/>
      </w:rPr>
      <w:fldChar w:fldCharType="end"/>
    </w:r>
  </w:p>
  <w:p w:rsidR="00755332" w:rsidRDefault="00755332">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755332" w:rsidRDefault="00755332" w:rsidP="003371A0">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32" w:rsidRDefault="00755332"/>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32" w:rsidRDefault="0075533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0178D">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0178D">
      <w:rPr>
        <w:noProof/>
        <w:sz w:val="20"/>
      </w:rPr>
      <w:t>Non-warlike service</w:t>
    </w:r>
    <w:r>
      <w:rPr>
        <w:sz w:val="20"/>
      </w:rPr>
      <w:fldChar w:fldCharType="end"/>
    </w:r>
  </w:p>
  <w:p w:rsidR="00755332" w:rsidRDefault="0075533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55332" w:rsidRPr="007A1328" w:rsidRDefault="0075533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55332" w:rsidRPr="007A1328" w:rsidRDefault="00755332" w:rsidP="00715914">
    <w:pPr>
      <w:rPr>
        <w:b/>
        <w:sz w:val="24"/>
      </w:rPr>
    </w:pPr>
  </w:p>
  <w:p w:rsidR="00755332" w:rsidRPr="007A1328" w:rsidRDefault="00755332" w:rsidP="003371A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0178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0178D">
      <w:rPr>
        <w:noProof/>
        <w:sz w:val="24"/>
      </w:rPr>
      <w:t>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32" w:rsidRPr="007A1328" w:rsidRDefault="0075533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0178D">
      <w:rPr>
        <w:noProof/>
        <w:sz w:val="20"/>
      </w:rPr>
      <w:t>Non-warlike service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0178D">
      <w:rPr>
        <w:b/>
        <w:noProof/>
        <w:sz w:val="20"/>
      </w:rPr>
      <w:t>Schedule 1</w:t>
    </w:r>
    <w:r>
      <w:rPr>
        <w:b/>
        <w:sz w:val="20"/>
      </w:rPr>
      <w:fldChar w:fldCharType="end"/>
    </w:r>
  </w:p>
  <w:p w:rsidR="00755332" w:rsidRPr="007A1328" w:rsidRDefault="0075533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55332" w:rsidRPr="007A1328" w:rsidRDefault="0075533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55332" w:rsidRPr="007A1328" w:rsidRDefault="00755332" w:rsidP="00715914">
    <w:pPr>
      <w:jc w:val="right"/>
      <w:rPr>
        <w:b/>
        <w:sz w:val="24"/>
      </w:rPr>
    </w:pPr>
  </w:p>
  <w:p w:rsidR="00755332" w:rsidRPr="007A1328" w:rsidRDefault="00755332" w:rsidP="003371A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0178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0178D">
      <w:rPr>
        <w:noProof/>
        <w:sz w:val="24"/>
      </w:rPr>
      <w:t>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32" w:rsidRPr="007A1328" w:rsidRDefault="00755332"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B7" w:rsidRPr="005F1388" w:rsidRDefault="00291CB7" w:rsidP="00291CB7">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B7" w:rsidRPr="005F1388" w:rsidRDefault="00291CB7" w:rsidP="00291CB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B7" w:rsidRPr="00ED79B6" w:rsidRDefault="00291CB7" w:rsidP="00291CB7">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B7" w:rsidRPr="00ED79B6" w:rsidRDefault="00291CB7" w:rsidP="00291CB7">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B7" w:rsidRPr="007A1328" w:rsidRDefault="00291CB7" w:rsidP="00291CB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B7" w:rsidRDefault="00291CB7" w:rsidP="00291CB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91CB7" w:rsidRDefault="00291CB7" w:rsidP="00291CB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91CB7" w:rsidRPr="007A1328" w:rsidRDefault="00291CB7" w:rsidP="00291CB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91CB7" w:rsidRPr="007A1328" w:rsidRDefault="00291CB7" w:rsidP="00291CB7">
    <w:pPr>
      <w:rPr>
        <w:b/>
        <w:sz w:val="24"/>
      </w:rPr>
    </w:pPr>
  </w:p>
  <w:p w:rsidR="00291CB7" w:rsidRPr="007A1328" w:rsidRDefault="00291CB7" w:rsidP="00291CB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0178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0178D">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B7" w:rsidRPr="007A1328" w:rsidRDefault="00291CB7" w:rsidP="00291CB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91CB7" w:rsidRPr="007A1328" w:rsidRDefault="00291CB7" w:rsidP="00291CB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91CB7" w:rsidRPr="007A1328" w:rsidRDefault="00291CB7" w:rsidP="00291CB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91CB7" w:rsidRPr="007A1328" w:rsidRDefault="00291CB7" w:rsidP="00291CB7">
    <w:pPr>
      <w:jc w:val="right"/>
      <w:rPr>
        <w:b/>
        <w:sz w:val="24"/>
      </w:rPr>
    </w:pPr>
  </w:p>
  <w:p w:rsidR="00291CB7" w:rsidRPr="007A1328" w:rsidRDefault="00291CB7" w:rsidP="00291CB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0178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B470E">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332" w:rsidRPr="00D1021D" w:rsidRDefault="00755332">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6B470E">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6B470E">
      <w:rPr>
        <w:noProof/>
        <w:sz w:val="20"/>
      </w:rPr>
      <w:t>Non-warlike service</w:t>
    </w:r>
    <w:r w:rsidRPr="00D1021D">
      <w:rPr>
        <w:sz w:val="20"/>
      </w:rPr>
      <w:fldChar w:fldCharType="end"/>
    </w:r>
  </w:p>
  <w:p w:rsidR="00755332" w:rsidRPr="00D1021D" w:rsidRDefault="00755332">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755332" w:rsidRPr="00D1021D" w:rsidRDefault="00755332">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755332" w:rsidRPr="00D1021D" w:rsidRDefault="00755332">
    <w:pPr>
      <w:rPr>
        <w:b/>
      </w:rPr>
    </w:pPr>
  </w:p>
  <w:p w:rsidR="00755332" w:rsidRPr="00D1021D" w:rsidRDefault="00755332" w:rsidP="003371A0">
    <w:pPr>
      <w:pBdr>
        <w:bottom w:val="single" w:sz="6" w:space="1" w:color="auto"/>
      </w:pBdr>
      <w:spacing w:after="120"/>
    </w:pPr>
    <w:r w:rsidRPr="00D1021D">
      <w:t xml:space="preserve">Clause </w:t>
    </w:r>
    <w:fldSimple w:instr=" STYLEREF CharSectno ">
      <w:r w:rsidR="006B470E">
        <w:rPr>
          <w:noProof/>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C93"/>
    <w:rsid w:val="000015EE"/>
    <w:rsid w:val="00004470"/>
    <w:rsid w:val="000136AF"/>
    <w:rsid w:val="0002626C"/>
    <w:rsid w:val="0003316B"/>
    <w:rsid w:val="00033B1B"/>
    <w:rsid w:val="000409E5"/>
    <w:rsid w:val="000437C1"/>
    <w:rsid w:val="0005365D"/>
    <w:rsid w:val="0005521F"/>
    <w:rsid w:val="000614BF"/>
    <w:rsid w:val="00062E85"/>
    <w:rsid w:val="00082A53"/>
    <w:rsid w:val="000B58FA"/>
    <w:rsid w:val="000D05EF"/>
    <w:rsid w:val="000E2261"/>
    <w:rsid w:val="000F1869"/>
    <w:rsid w:val="000F21C1"/>
    <w:rsid w:val="000F48B6"/>
    <w:rsid w:val="00102F54"/>
    <w:rsid w:val="00105775"/>
    <w:rsid w:val="0010745C"/>
    <w:rsid w:val="001119FF"/>
    <w:rsid w:val="00127A0B"/>
    <w:rsid w:val="00132CEB"/>
    <w:rsid w:val="00137F74"/>
    <w:rsid w:val="00142B62"/>
    <w:rsid w:val="0014539C"/>
    <w:rsid w:val="001537BA"/>
    <w:rsid w:val="00156053"/>
    <w:rsid w:val="00157B8B"/>
    <w:rsid w:val="00166C2F"/>
    <w:rsid w:val="00170528"/>
    <w:rsid w:val="0017165A"/>
    <w:rsid w:val="001809D7"/>
    <w:rsid w:val="0018326A"/>
    <w:rsid w:val="001939E1"/>
    <w:rsid w:val="00194C3E"/>
    <w:rsid w:val="00195382"/>
    <w:rsid w:val="0019772B"/>
    <w:rsid w:val="001B74F3"/>
    <w:rsid w:val="001C61C5"/>
    <w:rsid w:val="001C69C4"/>
    <w:rsid w:val="001D37EF"/>
    <w:rsid w:val="001E3590"/>
    <w:rsid w:val="001E4677"/>
    <w:rsid w:val="001E6637"/>
    <w:rsid w:val="001E7407"/>
    <w:rsid w:val="001F1355"/>
    <w:rsid w:val="001F1490"/>
    <w:rsid w:val="001F5D5E"/>
    <w:rsid w:val="001F6219"/>
    <w:rsid w:val="001F6CD4"/>
    <w:rsid w:val="002014F5"/>
    <w:rsid w:val="00206C4D"/>
    <w:rsid w:val="0021053C"/>
    <w:rsid w:val="002117F0"/>
    <w:rsid w:val="00215AF1"/>
    <w:rsid w:val="0021702E"/>
    <w:rsid w:val="00226341"/>
    <w:rsid w:val="00226562"/>
    <w:rsid w:val="002321E8"/>
    <w:rsid w:val="002333B5"/>
    <w:rsid w:val="00236EEC"/>
    <w:rsid w:val="0024010F"/>
    <w:rsid w:val="00240749"/>
    <w:rsid w:val="00240857"/>
    <w:rsid w:val="00243018"/>
    <w:rsid w:val="002564A4"/>
    <w:rsid w:val="00257589"/>
    <w:rsid w:val="00265169"/>
    <w:rsid w:val="0026736C"/>
    <w:rsid w:val="00281308"/>
    <w:rsid w:val="00284719"/>
    <w:rsid w:val="00285304"/>
    <w:rsid w:val="00291012"/>
    <w:rsid w:val="00291CB7"/>
    <w:rsid w:val="00297ECB"/>
    <w:rsid w:val="002A5E52"/>
    <w:rsid w:val="002A7BCF"/>
    <w:rsid w:val="002D043A"/>
    <w:rsid w:val="002D1845"/>
    <w:rsid w:val="002D6224"/>
    <w:rsid w:val="002E089D"/>
    <w:rsid w:val="002E2678"/>
    <w:rsid w:val="002E3F4B"/>
    <w:rsid w:val="002F2D77"/>
    <w:rsid w:val="00304F8B"/>
    <w:rsid w:val="003331C1"/>
    <w:rsid w:val="00333822"/>
    <w:rsid w:val="003354D2"/>
    <w:rsid w:val="00335BC6"/>
    <w:rsid w:val="003371A0"/>
    <w:rsid w:val="003415D3"/>
    <w:rsid w:val="00344701"/>
    <w:rsid w:val="0034488E"/>
    <w:rsid w:val="00351792"/>
    <w:rsid w:val="00352B0F"/>
    <w:rsid w:val="00356690"/>
    <w:rsid w:val="00360459"/>
    <w:rsid w:val="00367B86"/>
    <w:rsid w:val="0038538B"/>
    <w:rsid w:val="00395BFC"/>
    <w:rsid w:val="00397DBF"/>
    <w:rsid w:val="003A382D"/>
    <w:rsid w:val="003B5D6A"/>
    <w:rsid w:val="003C218A"/>
    <w:rsid w:val="003C6231"/>
    <w:rsid w:val="003D0BFE"/>
    <w:rsid w:val="003D17E3"/>
    <w:rsid w:val="003D5700"/>
    <w:rsid w:val="003E1547"/>
    <w:rsid w:val="003E341B"/>
    <w:rsid w:val="003E73A4"/>
    <w:rsid w:val="00400E28"/>
    <w:rsid w:val="00403736"/>
    <w:rsid w:val="004116CD"/>
    <w:rsid w:val="004144EC"/>
    <w:rsid w:val="00414501"/>
    <w:rsid w:val="00417EB9"/>
    <w:rsid w:val="00424CA9"/>
    <w:rsid w:val="00431E9B"/>
    <w:rsid w:val="0043653E"/>
    <w:rsid w:val="00436739"/>
    <w:rsid w:val="004379E3"/>
    <w:rsid w:val="0044015E"/>
    <w:rsid w:val="0044291A"/>
    <w:rsid w:val="00444ABD"/>
    <w:rsid w:val="004456EA"/>
    <w:rsid w:val="004510C0"/>
    <w:rsid w:val="00461C81"/>
    <w:rsid w:val="00467661"/>
    <w:rsid w:val="00467D7B"/>
    <w:rsid w:val="004705B7"/>
    <w:rsid w:val="00472DBE"/>
    <w:rsid w:val="00474A19"/>
    <w:rsid w:val="0047763B"/>
    <w:rsid w:val="00495C49"/>
    <w:rsid w:val="00496F97"/>
    <w:rsid w:val="004A11E1"/>
    <w:rsid w:val="004C1335"/>
    <w:rsid w:val="004C6130"/>
    <w:rsid w:val="004C6AE8"/>
    <w:rsid w:val="004D3593"/>
    <w:rsid w:val="004E063A"/>
    <w:rsid w:val="004E0812"/>
    <w:rsid w:val="004E0ED2"/>
    <w:rsid w:val="004E7BEC"/>
    <w:rsid w:val="004F3337"/>
    <w:rsid w:val="00500F12"/>
    <w:rsid w:val="00505D3D"/>
    <w:rsid w:val="00506AF6"/>
    <w:rsid w:val="00507164"/>
    <w:rsid w:val="00515593"/>
    <w:rsid w:val="00516B8D"/>
    <w:rsid w:val="00524580"/>
    <w:rsid w:val="005327CB"/>
    <w:rsid w:val="00537CF9"/>
    <w:rsid w:val="00537FBC"/>
    <w:rsid w:val="00554954"/>
    <w:rsid w:val="005574D1"/>
    <w:rsid w:val="00557D15"/>
    <w:rsid w:val="005772EF"/>
    <w:rsid w:val="00580BB5"/>
    <w:rsid w:val="00584811"/>
    <w:rsid w:val="00585784"/>
    <w:rsid w:val="005931F8"/>
    <w:rsid w:val="00593AA6"/>
    <w:rsid w:val="00594161"/>
    <w:rsid w:val="00594749"/>
    <w:rsid w:val="005B4067"/>
    <w:rsid w:val="005B6954"/>
    <w:rsid w:val="005C3F41"/>
    <w:rsid w:val="005D2D09"/>
    <w:rsid w:val="005E7C08"/>
    <w:rsid w:val="005F12F7"/>
    <w:rsid w:val="005F1548"/>
    <w:rsid w:val="00600219"/>
    <w:rsid w:val="00602A25"/>
    <w:rsid w:val="00603DC4"/>
    <w:rsid w:val="00613F29"/>
    <w:rsid w:val="00616F78"/>
    <w:rsid w:val="00620076"/>
    <w:rsid w:val="00621CBE"/>
    <w:rsid w:val="00626C93"/>
    <w:rsid w:val="00647C46"/>
    <w:rsid w:val="00670EA1"/>
    <w:rsid w:val="00677CC2"/>
    <w:rsid w:val="006905DE"/>
    <w:rsid w:val="00690F71"/>
    <w:rsid w:val="0069207B"/>
    <w:rsid w:val="006B3692"/>
    <w:rsid w:val="006B470E"/>
    <w:rsid w:val="006B5789"/>
    <w:rsid w:val="006B7338"/>
    <w:rsid w:val="006C30C5"/>
    <w:rsid w:val="006C7F8C"/>
    <w:rsid w:val="006D10DE"/>
    <w:rsid w:val="006E422C"/>
    <w:rsid w:val="006E6246"/>
    <w:rsid w:val="006E6BA8"/>
    <w:rsid w:val="006F318F"/>
    <w:rsid w:val="006F4226"/>
    <w:rsid w:val="0070017E"/>
    <w:rsid w:val="00700B2C"/>
    <w:rsid w:val="0070178D"/>
    <w:rsid w:val="00703607"/>
    <w:rsid w:val="0070411E"/>
    <w:rsid w:val="007050A2"/>
    <w:rsid w:val="00713084"/>
    <w:rsid w:val="00714F20"/>
    <w:rsid w:val="0071590F"/>
    <w:rsid w:val="00715914"/>
    <w:rsid w:val="0071769B"/>
    <w:rsid w:val="00731E00"/>
    <w:rsid w:val="00736E2D"/>
    <w:rsid w:val="00741D55"/>
    <w:rsid w:val="007440B7"/>
    <w:rsid w:val="007500C8"/>
    <w:rsid w:val="00755047"/>
    <w:rsid w:val="00755332"/>
    <w:rsid w:val="00756272"/>
    <w:rsid w:val="00756A20"/>
    <w:rsid w:val="0076681A"/>
    <w:rsid w:val="007715C9"/>
    <w:rsid w:val="00771613"/>
    <w:rsid w:val="00774EDD"/>
    <w:rsid w:val="007757EC"/>
    <w:rsid w:val="00783E89"/>
    <w:rsid w:val="00792284"/>
    <w:rsid w:val="00793915"/>
    <w:rsid w:val="00796A78"/>
    <w:rsid w:val="007C2253"/>
    <w:rsid w:val="007D327A"/>
    <w:rsid w:val="007D5A63"/>
    <w:rsid w:val="007D7B81"/>
    <w:rsid w:val="007E163D"/>
    <w:rsid w:val="007E4565"/>
    <w:rsid w:val="007E667A"/>
    <w:rsid w:val="007F191F"/>
    <w:rsid w:val="007F26FA"/>
    <w:rsid w:val="007F28C9"/>
    <w:rsid w:val="00803587"/>
    <w:rsid w:val="008117E9"/>
    <w:rsid w:val="00811EB2"/>
    <w:rsid w:val="00814797"/>
    <w:rsid w:val="00817C0B"/>
    <w:rsid w:val="00824498"/>
    <w:rsid w:val="00826996"/>
    <w:rsid w:val="008316F3"/>
    <w:rsid w:val="008463F5"/>
    <w:rsid w:val="00856A31"/>
    <w:rsid w:val="00861F3B"/>
    <w:rsid w:val="008627D7"/>
    <w:rsid w:val="00864B24"/>
    <w:rsid w:val="00867B37"/>
    <w:rsid w:val="008754D0"/>
    <w:rsid w:val="00880F5B"/>
    <w:rsid w:val="0088178D"/>
    <w:rsid w:val="008855C9"/>
    <w:rsid w:val="00886456"/>
    <w:rsid w:val="0089417F"/>
    <w:rsid w:val="0089771E"/>
    <w:rsid w:val="008A46E1"/>
    <w:rsid w:val="008A4F43"/>
    <w:rsid w:val="008A7A98"/>
    <w:rsid w:val="008B2706"/>
    <w:rsid w:val="008D0EE0"/>
    <w:rsid w:val="008D3F5C"/>
    <w:rsid w:val="008D6FDF"/>
    <w:rsid w:val="008D772A"/>
    <w:rsid w:val="008E0C18"/>
    <w:rsid w:val="008E3332"/>
    <w:rsid w:val="008E6067"/>
    <w:rsid w:val="008F54E7"/>
    <w:rsid w:val="00903422"/>
    <w:rsid w:val="00915DF9"/>
    <w:rsid w:val="009203BE"/>
    <w:rsid w:val="00921E46"/>
    <w:rsid w:val="00924F76"/>
    <w:rsid w:val="009254C3"/>
    <w:rsid w:val="00932377"/>
    <w:rsid w:val="00934C13"/>
    <w:rsid w:val="009416AB"/>
    <w:rsid w:val="009453BB"/>
    <w:rsid w:val="00947D5A"/>
    <w:rsid w:val="0095050C"/>
    <w:rsid w:val="009532A5"/>
    <w:rsid w:val="00971C8D"/>
    <w:rsid w:val="00980BCB"/>
    <w:rsid w:val="00982242"/>
    <w:rsid w:val="0098611C"/>
    <w:rsid w:val="009868E9"/>
    <w:rsid w:val="00994C9D"/>
    <w:rsid w:val="009A453E"/>
    <w:rsid w:val="009A611E"/>
    <w:rsid w:val="009C2614"/>
    <w:rsid w:val="009E5CFC"/>
    <w:rsid w:val="009E6DBC"/>
    <w:rsid w:val="009F2999"/>
    <w:rsid w:val="00A04E91"/>
    <w:rsid w:val="00A066E1"/>
    <w:rsid w:val="00A079CB"/>
    <w:rsid w:val="00A12128"/>
    <w:rsid w:val="00A123A2"/>
    <w:rsid w:val="00A14CB2"/>
    <w:rsid w:val="00A22C98"/>
    <w:rsid w:val="00A231E2"/>
    <w:rsid w:val="00A62618"/>
    <w:rsid w:val="00A64912"/>
    <w:rsid w:val="00A67F22"/>
    <w:rsid w:val="00A70A74"/>
    <w:rsid w:val="00AA2E47"/>
    <w:rsid w:val="00AA74EA"/>
    <w:rsid w:val="00AC76BB"/>
    <w:rsid w:val="00AD5641"/>
    <w:rsid w:val="00AD7889"/>
    <w:rsid w:val="00AF021B"/>
    <w:rsid w:val="00AF06CF"/>
    <w:rsid w:val="00B01644"/>
    <w:rsid w:val="00B05CF4"/>
    <w:rsid w:val="00B07CDB"/>
    <w:rsid w:val="00B16A31"/>
    <w:rsid w:val="00B17DFD"/>
    <w:rsid w:val="00B308FE"/>
    <w:rsid w:val="00B319B0"/>
    <w:rsid w:val="00B33709"/>
    <w:rsid w:val="00B33B3C"/>
    <w:rsid w:val="00B3581D"/>
    <w:rsid w:val="00B374B1"/>
    <w:rsid w:val="00B47F2F"/>
    <w:rsid w:val="00B50ADC"/>
    <w:rsid w:val="00B55AC5"/>
    <w:rsid w:val="00B566B1"/>
    <w:rsid w:val="00B63834"/>
    <w:rsid w:val="00B65F8A"/>
    <w:rsid w:val="00B72734"/>
    <w:rsid w:val="00B80199"/>
    <w:rsid w:val="00B83204"/>
    <w:rsid w:val="00BA0C87"/>
    <w:rsid w:val="00BA1309"/>
    <w:rsid w:val="00BA220B"/>
    <w:rsid w:val="00BA3A57"/>
    <w:rsid w:val="00BA44C7"/>
    <w:rsid w:val="00BA691F"/>
    <w:rsid w:val="00BB4E1A"/>
    <w:rsid w:val="00BC015E"/>
    <w:rsid w:val="00BC1E99"/>
    <w:rsid w:val="00BC4EA5"/>
    <w:rsid w:val="00BC76AC"/>
    <w:rsid w:val="00BC7C01"/>
    <w:rsid w:val="00BD0ECB"/>
    <w:rsid w:val="00BD3196"/>
    <w:rsid w:val="00BD3830"/>
    <w:rsid w:val="00BE2155"/>
    <w:rsid w:val="00BE2213"/>
    <w:rsid w:val="00BE23FD"/>
    <w:rsid w:val="00BE719A"/>
    <w:rsid w:val="00BE720A"/>
    <w:rsid w:val="00BF0D73"/>
    <w:rsid w:val="00BF2465"/>
    <w:rsid w:val="00C25E7F"/>
    <w:rsid w:val="00C2746F"/>
    <w:rsid w:val="00C3029A"/>
    <w:rsid w:val="00C324A0"/>
    <w:rsid w:val="00C3300F"/>
    <w:rsid w:val="00C3516C"/>
    <w:rsid w:val="00C42BF8"/>
    <w:rsid w:val="00C50043"/>
    <w:rsid w:val="00C64C3B"/>
    <w:rsid w:val="00C73F55"/>
    <w:rsid w:val="00C7573B"/>
    <w:rsid w:val="00C921A0"/>
    <w:rsid w:val="00C93C03"/>
    <w:rsid w:val="00C942AF"/>
    <w:rsid w:val="00CA6FAC"/>
    <w:rsid w:val="00CB2C8E"/>
    <w:rsid w:val="00CB4C3D"/>
    <w:rsid w:val="00CB602E"/>
    <w:rsid w:val="00CE051D"/>
    <w:rsid w:val="00CE1335"/>
    <w:rsid w:val="00CE1C0F"/>
    <w:rsid w:val="00CE493D"/>
    <w:rsid w:val="00CE777F"/>
    <w:rsid w:val="00CF07FA"/>
    <w:rsid w:val="00CF0BB2"/>
    <w:rsid w:val="00CF1F52"/>
    <w:rsid w:val="00CF3EE8"/>
    <w:rsid w:val="00D050E6"/>
    <w:rsid w:val="00D126CE"/>
    <w:rsid w:val="00D13441"/>
    <w:rsid w:val="00D150E7"/>
    <w:rsid w:val="00D32F65"/>
    <w:rsid w:val="00D33332"/>
    <w:rsid w:val="00D36997"/>
    <w:rsid w:val="00D52DC2"/>
    <w:rsid w:val="00D52FA8"/>
    <w:rsid w:val="00D53BCC"/>
    <w:rsid w:val="00D63959"/>
    <w:rsid w:val="00D70DFB"/>
    <w:rsid w:val="00D766DF"/>
    <w:rsid w:val="00D846BF"/>
    <w:rsid w:val="00D853C3"/>
    <w:rsid w:val="00DA186E"/>
    <w:rsid w:val="00DA4116"/>
    <w:rsid w:val="00DB251C"/>
    <w:rsid w:val="00DB37BE"/>
    <w:rsid w:val="00DB4630"/>
    <w:rsid w:val="00DC4F88"/>
    <w:rsid w:val="00DD6EF0"/>
    <w:rsid w:val="00DF5234"/>
    <w:rsid w:val="00E05704"/>
    <w:rsid w:val="00E11E44"/>
    <w:rsid w:val="00E146A1"/>
    <w:rsid w:val="00E3270E"/>
    <w:rsid w:val="00E338EF"/>
    <w:rsid w:val="00E33A25"/>
    <w:rsid w:val="00E43CDD"/>
    <w:rsid w:val="00E44E0A"/>
    <w:rsid w:val="00E544BB"/>
    <w:rsid w:val="00E662CB"/>
    <w:rsid w:val="00E74DC7"/>
    <w:rsid w:val="00E76806"/>
    <w:rsid w:val="00E8075A"/>
    <w:rsid w:val="00E84E66"/>
    <w:rsid w:val="00E90E3D"/>
    <w:rsid w:val="00E94D5E"/>
    <w:rsid w:val="00EA7100"/>
    <w:rsid w:val="00EA7345"/>
    <w:rsid w:val="00EA7F9F"/>
    <w:rsid w:val="00EB1274"/>
    <w:rsid w:val="00EB6AD0"/>
    <w:rsid w:val="00EC6C9B"/>
    <w:rsid w:val="00ED2BB6"/>
    <w:rsid w:val="00ED34E1"/>
    <w:rsid w:val="00ED3B8D"/>
    <w:rsid w:val="00ED659C"/>
    <w:rsid w:val="00ED6A36"/>
    <w:rsid w:val="00EF2E3A"/>
    <w:rsid w:val="00F072A7"/>
    <w:rsid w:val="00F078DC"/>
    <w:rsid w:val="00F157D3"/>
    <w:rsid w:val="00F27E95"/>
    <w:rsid w:val="00F30EC5"/>
    <w:rsid w:val="00F310A0"/>
    <w:rsid w:val="00F32BA8"/>
    <w:rsid w:val="00F349F1"/>
    <w:rsid w:val="00F40768"/>
    <w:rsid w:val="00F4350D"/>
    <w:rsid w:val="00F52FDB"/>
    <w:rsid w:val="00F567F7"/>
    <w:rsid w:val="00F62036"/>
    <w:rsid w:val="00F65B52"/>
    <w:rsid w:val="00F67BCA"/>
    <w:rsid w:val="00F73BD6"/>
    <w:rsid w:val="00F74865"/>
    <w:rsid w:val="00F777AB"/>
    <w:rsid w:val="00F83792"/>
    <w:rsid w:val="00F83989"/>
    <w:rsid w:val="00F84E0A"/>
    <w:rsid w:val="00F85099"/>
    <w:rsid w:val="00F9379C"/>
    <w:rsid w:val="00F9632C"/>
    <w:rsid w:val="00FA0A36"/>
    <w:rsid w:val="00FA1E52"/>
    <w:rsid w:val="00FA3E8A"/>
    <w:rsid w:val="00FB4B6F"/>
    <w:rsid w:val="00FD4463"/>
    <w:rsid w:val="00FE4688"/>
    <w:rsid w:val="00FE68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16F3"/>
    <w:pPr>
      <w:spacing w:line="260" w:lineRule="atLeast"/>
    </w:pPr>
    <w:rPr>
      <w:sz w:val="22"/>
    </w:rPr>
  </w:style>
  <w:style w:type="paragraph" w:styleId="Heading1">
    <w:name w:val="heading 1"/>
    <w:basedOn w:val="Normal"/>
    <w:next w:val="Normal"/>
    <w:link w:val="Heading1Char"/>
    <w:uiPriority w:val="9"/>
    <w:qFormat/>
    <w:rsid w:val="008316F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16F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16F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16F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316F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316F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316F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316F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316F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316F3"/>
  </w:style>
  <w:style w:type="paragraph" w:customStyle="1" w:styleId="OPCParaBase">
    <w:name w:val="OPCParaBase"/>
    <w:qFormat/>
    <w:rsid w:val="008316F3"/>
    <w:pPr>
      <w:spacing w:line="260" w:lineRule="atLeast"/>
    </w:pPr>
    <w:rPr>
      <w:rFonts w:eastAsia="Times New Roman" w:cs="Times New Roman"/>
      <w:sz w:val="22"/>
      <w:lang w:eastAsia="en-AU"/>
    </w:rPr>
  </w:style>
  <w:style w:type="paragraph" w:customStyle="1" w:styleId="ShortT">
    <w:name w:val="ShortT"/>
    <w:basedOn w:val="OPCParaBase"/>
    <w:next w:val="Normal"/>
    <w:qFormat/>
    <w:rsid w:val="008316F3"/>
    <w:pPr>
      <w:spacing w:line="240" w:lineRule="auto"/>
    </w:pPr>
    <w:rPr>
      <w:b/>
      <w:sz w:val="40"/>
    </w:rPr>
  </w:style>
  <w:style w:type="paragraph" w:customStyle="1" w:styleId="ActHead1">
    <w:name w:val="ActHead 1"/>
    <w:aliases w:val="c"/>
    <w:basedOn w:val="OPCParaBase"/>
    <w:next w:val="Normal"/>
    <w:qFormat/>
    <w:rsid w:val="008316F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316F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316F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316F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316F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316F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316F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316F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316F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316F3"/>
  </w:style>
  <w:style w:type="paragraph" w:customStyle="1" w:styleId="Blocks">
    <w:name w:val="Blocks"/>
    <w:aliases w:val="bb"/>
    <w:basedOn w:val="OPCParaBase"/>
    <w:qFormat/>
    <w:rsid w:val="008316F3"/>
    <w:pPr>
      <w:spacing w:line="240" w:lineRule="auto"/>
    </w:pPr>
    <w:rPr>
      <w:sz w:val="24"/>
    </w:rPr>
  </w:style>
  <w:style w:type="paragraph" w:customStyle="1" w:styleId="BoxText">
    <w:name w:val="BoxText"/>
    <w:aliases w:val="bt"/>
    <w:basedOn w:val="OPCParaBase"/>
    <w:qFormat/>
    <w:rsid w:val="008316F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316F3"/>
    <w:rPr>
      <w:b/>
    </w:rPr>
  </w:style>
  <w:style w:type="paragraph" w:customStyle="1" w:styleId="BoxHeadItalic">
    <w:name w:val="BoxHeadItalic"/>
    <w:aliases w:val="bhi"/>
    <w:basedOn w:val="BoxText"/>
    <w:next w:val="BoxStep"/>
    <w:qFormat/>
    <w:rsid w:val="008316F3"/>
    <w:rPr>
      <w:i/>
    </w:rPr>
  </w:style>
  <w:style w:type="paragraph" w:customStyle="1" w:styleId="BoxList">
    <w:name w:val="BoxList"/>
    <w:aliases w:val="bl"/>
    <w:basedOn w:val="BoxText"/>
    <w:qFormat/>
    <w:rsid w:val="008316F3"/>
    <w:pPr>
      <w:ind w:left="1559" w:hanging="425"/>
    </w:pPr>
  </w:style>
  <w:style w:type="paragraph" w:customStyle="1" w:styleId="BoxNote">
    <w:name w:val="BoxNote"/>
    <w:aliases w:val="bn"/>
    <w:basedOn w:val="BoxText"/>
    <w:qFormat/>
    <w:rsid w:val="008316F3"/>
    <w:pPr>
      <w:tabs>
        <w:tab w:val="left" w:pos="1985"/>
      </w:tabs>
      <w:spacing w:before="122" w:line="198" w:lineRule="exact"/>
      <w:ind w:left="2948" w:hanging="1814"/>
    </w:pPr>
    <w:rPr>
      <w:sz w:val="18"/>
    </w:rPr>
  </w:style>
  <w:style w:type="paragraph" w:customStyle="1" w:styleId="BoxPara">
    <w:name w:val="BoxPara"/>
    <w:aliases w:val="bp"/>
    <w:basedOn w:val="BoxText"/>
    <w:qFormat/>
    <w:rsid w:val="008316F3"/>
    <w:pPr>
      <w:tabs>
        <w:tab w:val="right" w:pos="2268"/>
      </w:tabs>
      <w:ind w:left="2552" w:hanging="1418"/>
    </w:pPr>
  </w:style>
  <w:style w:type="paragraph" w:customStyle="1" w:styleId="BoxStep">
    <w:name w:val="BoxStep"/>
    <w:aliases w:val="bs"/>
    <w:basedOn w:val="BoxText"/>
    <w:qFormat/>
    <w:rsid w:val="008316F3"/>
    <w:pPr>
      <w:ind w:left="1985" w:hanging="851"/>
    </w:pPr>
  </w:style>
  <w:style w:type="character" w:customStyle="1" w:styleId="CharAmPartNo">
    <w:name w:val="CharAmPartNo"/>
    <w:basedOn w:val="OPCCharBase"/>
    <w:qFormat/>
    <w:rsid w:val="008316F3"/>
  </w:style>
  <w:style w:type="character" w:customStyle="1" w:styleId="CharAmPartText">
    <w:name w:val="CharAmPartText"/>
    <w:basedOn w:val="OPCCharBase"/>
    <w:qFormat/>
    <w:rsid w:val="008316F3"/>
  </w:style>
  <w:style w:type="character" w:customStyle="1" w:styleId="CharAmSchNo">
    <w:name w:val="CharAmSchNo"/>
    <w:basedOn w:val="OPCCharBase"/>
    <w:qFormat/>
    <w:rsid w:val="008316F3"/>
  </w:style>
  <w:style w:type="character" w:customStyle="1" w:styleId="CharAmSchText">
    <w:name w:val="CharAmSchText"/>
    <w:basedOn w:val="OPCCharBase"/>
    <w:qFormat/>
    <w:rsid w:val="008316F3"/>
  </w:style>
  <w:style w:type="character" w:customStyle="1" w:styleId="CharBoldItalic">
    <w:name w:val="CharBoldItalic"/>
    <w:basedOn w:val="OPCCharBase"/>
    <w:uiPriority w:val="1"/>
    <w:qFormat/>
    <w:rsid w:val="008316F3"/>
    <w:rPr>
      <w:b/>
      <w:i/>
    </w:rPr>
  </w:style>
  <w:style w:type="character" w:customStyle="1" w:styleId="CharChapNo">
    <w:name w:val="CharChapNo"/>
    <w:basedOn w:val="OPCCharBase"/>
    <w:uiPriority w:val="1"/>
    <w:qFormat/>
    <w:rsid w:val="008316F3"/>
  </w:style>
  <w:style w:type="character" w:customStyle="1" w:styleId="CharChapText">
    <w:name w:val="CharChapText"/>
    <w:basedOn w:val="OPCCharBase"/>
    <w:uiPriority w:val="1"/>
    <w:qFormat/>
    <w:rsid w:val="008316F3"/>
  </w:style>
  <w:style w:type="character" w:customStyle="1" w:styleId="CharDivNo">
    <w:name w:val="CharDivNo"/>
    <w:basedOn w:val="OPCCharBase"/>
    <w:uiPriority w:val="1"/>
    <w:qFormat/>
    <w:rsid w:val="008316F3"/>
  </w:style>
  <w:style w:type="character" w:customStyle="1" w:styleId="CharDivText">
    <w:name w:val="CharDivText"/>
    <w:basedOn w:val="OPCCharBase"/>
    <w:uiPriority w:val="1"/>
    <w:qFormat/>
    <w:rsid w:val="008316F3"/>
  </w:style>
  <w:style w:type="character" w:customStyle="1" w:styleId="CharItalic">
    <w:name w:val="CharItalic"/>
    <w:basedOn w:val="OPCCharBase"/>
    <w:uiPriority w:val="1"/>
    <w:qFormat/>
    <w:rsid w:val="008316F3"/>
    <w:rPr>
      <w:i/>
    </w:rPr>
  </w:style>
  <w:style w:type="character" w:customStyle="1" w:styleId="CharPartNo">
    <w:name w:val="CharPartNo"/>
    <w:basedOn w:val="OPCCharBase"/>
    <w:uiPriority w:val="1"/>
    <w:qFormat/>
    <w:rsid w:val="008316F3"/>
  </w:style>
  <w:style w:type="character" w:customStyle="1" w:styleId="CharPartText">
    <w:name w:val="CharPartText"/>
    <w:basedOn w:val="OPCCharBase"/>
    <w:uiPriority w:val="1"/>
    <w:qFormat/>
    <w:rsid w:val="008316F3"/>
  </w:style>
  <w:style w:type="character" w:customStyle="1" w:styleId="CharSectno">
    <w:name w:val="CharSectno"/>
    <w:basedOn w:val="OPCCharBase"/>
    <w:qFormat/>
    <w:rsid w:val="008316F3"/>
  </w:style>
  <w:style w:type="character" w:customStyle="1" w:styleId="CharSubdNo">
    <w:name w:val="CharSubdNo"/>
    <w:basedOn w:val="OPCCharBase"/>
    <w:uiPriority w:val="1"/>
    <w:qFormat/>
    <w:rsid w:val="008316F3"/>
  </w:style>
  <w:style w:type="character" w:customStyle="1" w:styleId="CharSubdText">
    <w:name w:val="CharSubdText"/>
    <w:basedOn w:val="OPCCharBase"/>
    <w:uiPriority w:val="1"/>
    <w:qFormat/>
    <w:rsid w:val="008316F3"/>
  </w:style>
  <w:style w:type="paragraph" w:customStyle="1" w:styleId="CTA--">
    <w:name w:val="CTA --"/>
    <w:basedOn w:val="OPCParaBase"/>
    <w:next w:val="Normal"/>
    <w:rsid w:val="008316F3"/>
    <w:pPr>
      <w:spacing w:before="60" w:line="240" w:lineRule="atLeast"/>
      <w:ind w:left="142" w:hanging="142"/>
    </w:pPr>
    <w:rPr>
      <w:sz w:val="20"/>
    </w:rPr>
  </w:style>
  <w:style w:type="paragraph" w:customStyle="1" w:styleId="CTA-">
    <w:name w:val="CTA -"/>
    <w:basedOn w:val="OPCParaBase"/>
    <w:rsid w:val="008316F3"/>
    <w:pPr>
      <w:spacing w:before="60" w:line="240" w:lineRule="atLeast"/>
      <w:ind w:left="85" w:hanging="85"/>
    </w:pPr>
    <w:rPr>
      <w:sz w:val="20"/>
    </w:rPr>
  </w:style>
  <w:style w:type="paragraph" w:customStyle="1" w:styleId="CTA---">
    <w:name w:val="CTA ---"/>
    <w:basedOn w:val="OPCParaBase"/>
    <w:next w:val="Normal"/>
    <w:rsid w:val="008316F3"/>
    <w:pPr>
      <w:spacing w:before="60" w:line="240" w:lineRule="atLeast"/>
      <w:ind w:left="198" w:hanging="198"/>
    </w:pPr>
    <w:rPr>
      <w:sz w:val="20"/>
    </w:rPr>
  </w:style>
  <w:style w:type="paragraph" w:customStyle="1" w:styleId="CTA----">
    <w:name w:val="CTA ----"/>
    <w:basedOn w:val="OPCParaBase"/>
    <w:next w:val="Normal"/>
    <w:rsid w:val="008316F3"/>
    <w:pPr>
      <w:spacing w:before="60" w:line="240" w:lineRule="atLeast"/>
      <w:ind w:left="255" w:hanging="255"/>
    </w:pPr>
    <w:rPr>
      <w:sz w:val="20"/>
    </w:rPr>
  </w:style>
  <w:style w:type="paragraph" w:customStyle="1" w:styleId="CTA1a">
    <w:name w:val="CTA 1(a)"/>
    <w:basedOn w:val="OPCParaBase"/>
    <w:rsid w:val="008316F3"/>
    <w:pPr>
      <w:tabs>
        <w:tab w:val="right" w:pos="414"/>
      </w:tabs>
      <w:spacing w:before="40" w:line="240" w:lineRule="atLeast"/>
      <w:ind w:left="675" w:hanging="675"/>
    </w:pPr>
    <w:rPr>
      <w:sz w:val="20"/>
    </w:rPr>
  </w:style>
  <w:style w:type="paragraph" w:customStyle="1" w:styleId="CTA1ai">
    <w:name w:val="CTA 1(a)(i)"/>
    <w:basedOn w:val="OPCParaBase"/>
    <w:rsid w:val="008316F3"/>
    <w:pPr>
      <w:tabs>
        <w:tab w:val="right" w:pos="1004"/>
      </w:tabs>
      <w:spacing w:before="40" w:line="240" w:lineRule="atLeast"/>
      <w:ind w:left="1253" w:hanging="1253"/>
    </w:pPr>
    <w:rPr>
      <w:sz w:val="20"/>
    </w:rPr>
  </w:style>
  <w:style w:type="paragraph" w:customStyle="1" w:styleId="CTA2a">
    <w:name w:val="CTA 2(a)"/>
    <w:basedOn w:val="OPCParaBase"/>
    <w:rsid w:val="008316F3"/>
    <w:pPr>
      <w:tabs>
        <w:tab w:val="right" w:pos="482"/>
      </w:tabs>
      <w:spacing w:before="40" w:line="240" w:lineRule="atLeast"/>
      <w:ind w:left="748" w:hanging="748"/>
    </w:pPr>
    <w:rPr>
      <w:sz w:val="20"/>
    </w:rPr>
  </w:style>
  <w:style w:type="paragraph" w:customStyle="1" w:styleId="CTA2ai">
    <w:name w:val="CTA 2(a)(i)"/>
    <w:basedOn w:val="OPCParaBase"/>
    <w:rsid w:val="008316F3"/>
    <w:pPr>
      <w:tabs>
        <w:tab w:val="right" w:pos="1089"/>
      </w:tabs>
      <w:spacing w:before="40" w:line="240" w:lineRule="atLeast"/>
      <w:ind w:left="1327" w:hanging="1327"/>
    </w:pPr>
    <w:rPr>
      <w:sz w:val="20"/>
    </w:rPr>
  </w:style>
  <w:style w:type="paragraph" w:customStyle="1" w:styleId="CTA3a">
    <w:name w:val="CTA 3(a)"/>
    <w:basedOn w:val="OPCParaBase"/>
    <w:rsid w:val="008316F3"/>
    <w:pPr>
      <w:tabs>
        <w:tab w:val="right" w:pos="556"/>
      </w:tabs>
      <w:spacing w:before="40" w:line="240" w:lineRule="atLeast"/>
      <w:ind w:left="805" w:hanging="805"/>
    </w:pPr>
    <w:rPr>
      <w:sz w:val="20"/>
    </w:rPr>
  </w:style>
  <w:style w:type="paragraph" w:customStyle="1" w:styleId="CTA3ai">
    <w:name w:val="CTA 3(a)(i)"/>
    <w:basedOn w:val="OPCParaBase"/>
    <w:rsid w:val="008316F3"/>
    <w:pPr>
      <w:tabs>
        <w:tab w:val="right" w:pos="1140"/>
      </w:tabs>
      <w:spacing w:before="40" w:line="240" w:lineRule="atLeast"/>
      <w:ind w:left="1361" w:hanging="1361"/>
    </w:pPr>
    <w:rPr>
      <w:sz w:val="20"/>
    </w:rPr>
  </w:style>
  <w:style w:type="paragraph" w:customStyle="1" w:styleId="CTA4a">
    <w:name w:val="CTA 4(a)"/>
    <w:basedOn w:val="OPCParaBase"/>
    <w:rsid w:val="008316F3"/>
    <w:pPr>
      <w:tabs>
        <w:tab w:val="right" w:pos="624"/>
      </w:tabs>
      <w:spacing w:before="40" w:line="240" w:lineRule="atLeast"/>
      <w:ind w:left="873" w:hanging="873"/>
    </w:pPr>
    <w:rPr>
      <w:sz w:val="20"/>
    </w:rPr>
  </w:style>
  <w:style w:type="paragraph" w:customStyle="1" w:styleId="CTA4ai">
    <w:name w:val="CTA 4(a)(i)"/>
    <w:basedOn w:val="OPCParaBase"/>
    <w:rsid w:val="008316F3"/>
    <w:pPr>
      <w:tabs>
        <w:tab w:val="right" w:pos="1213"/>
      </w:tabs>
      <w:spacing w:before="40" w:line="240" w:lineRule="atLeast"/>
      <w:ind w:left="1452" w:hanging="1452"/>
    </w:pPr>
    <w:rPr>
      <w:sz w:val="20"/>
    </w:rPr>
  </w:style>
  <w:style w:type="paragraph" w:customStyle="1" w:styleId="CTACAPS">
    <w:name w:val="CTA CAPS"/>
    <w:basedOn w:val="OPCParaBase"/>
    <w:rsid w:val="008316F3"/>
    <w:pPr>
      <w:spacing w:before="60" w:line="240" w:lineRule="atLeast"/>
    </w:pPr>
    <w:rPr>
      <w:sz w:val="20"/>
    </w:rPr>
  </w:style>
  <w:style w:type="paragraph" w:customStyle="1" w:styleId="CTAright">
    <w:name w:val="CTA right"/>
    <w:basedOn w:val="OPCParaBase"/>
    <w:rsid w:val="008316F3"/>
    <w:pPr>
      <w:spacing w:before="60" w:line="240" w:lineRule="auto"/>
      <w:jc w:val="right"/>
    </w:pPr>
    <w:rPr>
      <w:sz w:val="20"/>
    </w:rPr>
  </w:style>
  <w:style w:type="paragraph" w:customStyle="1" w:styleId="subsection">
    <w:name w:val="subsection"/>
    <w:aliases w:val="ss,Subsection"/>
    <w:basedOn w:val="OPCParaBase"/>
    <w:link w:val="subsectionChar"/>
    <w:rsid w:val="008316F3"/>
    <w:pPr>
      <w:tabs>
        <w:tab w:val="right" w:pos="1021"/>
      </w:tabs>
      <w:spacing w:before="180" w:line="240" w:lineRule="auto"/>
      <w:ind w:left="1134" w:hanging="1134"/>
    </w:pPr>
  </w:style>
  <w:style w:type="paragraph" w:customStyle="1" w:styleId="Definition">
    <w:name w:val="Definition"/>
    <w:aliases w:val="dd"/>
    <w:basedOn w:val="OPCParaBase"/>
    <w:rsid w:val="008316F3"/>
    <w:pPr>
      <w:spacing w:before="180" w:line="240" w:lineRule="auto"/>
      <w:ind w:left="1134"/>
    </w:pPr>
  </w:style>
  <w:style w:type="paragraph" w:customStyle="1" w:styleId="EndNotespara">
    <w:name w:val="EndNotes(para)"/>
    <w:aliases w:val="eta"/>
    <w:basedOn w:val="OPCParaBase"/>
    <w:next w:val="EndNotessubpara"/>
    <w:rsid w:val="008316F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316F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316F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316F3"/>
    <w:pPr>
      <w:tabs>
        <w:tab w:val="right" w:pos="1412"/>
      </w:tabs>
      <w:spacing w:before="60" w:line="240" w:lineRule="auto"/>
      <w:ind w:left="1525" w:hanging="1525"/>
    </w:pPr>
    <w:rPr>
      <w:sz w:val="20"/>
    </w:rPr>
  </w:style>
  <w:style w:type="paragraph" w:customStyle="1" w:styleId="Formula">
    <w:name w:val="Formula"/>
    <w:basedOn w:val="OPCParaBase"/>
    <w:rsid w:val="008316F3"/>
    <w:pPr>
      <w:spacing w:line="240" w:lineRule="auto"/>
      <w:ind w:left="1134"/>
    </w:pPr>
    <w:rPr>
      <w:sz w:val="20"/>
    </w:rPr>
  </w:style>
  <w:style w:type="paragraph" w:styleId="Header">
    <w:name w:val="header"/>
    <w:basedOn w:val="OPCParaBase"/>
    <w:link w:val="HeaderChar"/>
    <w:unhideWhenUsed/>
    <w:rsid w:val="008316F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316F3"/>
    <w:rPr>
      <w:rFonts w:eastAsia="Times New Roman" w:cs="Times New Roman"/>
      <w:sz w:val="16"/>
      <w:lang w:eastAsia="en-AU"/>
    </w:rPr>
  </w:style>
  <w:style w:type="paragraph" w:customStyle="1" w:styleId="House">
    <w:name w:val="House"/>
    <w:basedOn w:val="OPCParaBase"/>
    <w:rsid w:val="008316F3"/>
    <w:pPr>
      <w:spacing w:line="240" w:lineRule="auto"/>
    </w:pPr>
    <w:rPr>
      <w:sz w:val="28"/>
    </w:rPr>
  </w:style>
  <w:style w:type="paragraph" w:customStyle="1" w:styleId="Item">
    <w:name w:val="Item"/>
    <w:aliases w:val="i"/>
    <w:basedOn w:val="OPCParaBase"/>
    <w:next w:val="ItemHead"/>
    <w:rsid w:val="008316F3"/>
    <w:pPr>
      <w:keepLines/>
      <w:spacing w:before="80" w:line="240" w:lineRule="auto"/>
      <w:ind w:left="709"/>
    </w:pPr>
  </w:style>
  <w:style w:type="paragraph" w:customStyle="1" w:styleId="ItemHead">
    <w:name w:val="ItemHead"/>
    <w:aliases w:val="ih"/>
    <w:basedOn w:val="OPCParaBase"/>
    <w:next w:val="Item"/>
    <w:rsid w:val="008316F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316F3"/>
    <w:pPr>
      <w:spacing w:line="240" w:lineRule="auto"/>
    </w:pPr>
    <w:rPr>
      <w:b/>
      <w:sz w:val="32"/>
    </w:rPr>
  </w:style>
  <w:style w:type="paragraph" w:customStyle="1" w:styleId="notedraft">
    <w:name w:val="note(draft)"/>
    <w:aliases w:val="nd"/>
    <w:basedOn w:val="OPCParaBase"/>
    <w:rsid w:val="008316F3"/>
    <w:pPr>
      <w:spacing w:before="240" w:line="240" w:lineRule="auto"/>
      <w:ind w:left="284" w:hanging="284"/>
    </w:pPr>
    <w:rPr>
      <w:i/>
      <w:sz w:val="24"/>
    </w:rPr>
  </w:style>
  <w:style w:type="paragraph" w:customStyle="1" w:styleId="notemargin">
    <w:name w:val="note(margin)"/>
    <w:aliases w:val="nm"/>
    <w:basedOn w:val="OPCParaBase"/>
    <w:rsid w:val="008316F3"/>
    <w:pPr>
      <w:tabs>
        <w:tab w:val="left" w:pos="709"/>
      </w:tabs>
      <w:spacing w:before="122" w:line="198" w:lineRule="exact"/>
      <w:ind w:left="709" w:hanging="709"/>
    </w:pPr>
    <w:rPr>
      <w:sz w:val="18"/>
    </w:rPr>
  </w:style>
  <w:style w:type="paragraph" w:customStyle="1" w:styleId="noteToPara">
    <w:name w:val="noteToPara"/>
    <w:aliases w:val="ntp"/>
    <w:basedOn w:val="OPCParaBase"/>
    <w:rsid w:val="008316F3"/>
    <w:pPr>
      <w:spacing w:before="122" w:line="198" w:lineRule="exact"/>
      <w:ind w:left="2353" w:hanging="709"/>
    </w:pPr>
    <w:rPr>
      <w:sz w:val="18"/>
    </w:rPr>
  </w:style>
  <w:style w:type="paragraph" w:customStyle="1" w:styleId="noteParlAmend">
    <w:name w:val="note(ParlAmend)"/>
    <w:aliases w:val="npp"/>
    <w:basedOn w:val="OPCParaBase"/>
    <w:next w:val="ParlAmend"/>
    <w:rsid w:val="008316F3"/>
    <w:pPr>
      <w:spacing w:line="240" w:lineRule="auto"/>
      <w:jc w:val="right"/>
    </w:pPr>
    <w:rPr>
      <w:rFonts w:ascii="Arial" w:hAnsi="Arial"/>
      <w:b/>
      <w:i/>
    </w:rPr>
  </w:style>
  <w:style w:type="paragraph" w:customStyle="1" w:styleId="Page1">
    <w:name w:val="Page1"/>
    <w:basedOn w:val="OPCParaBase"/>
    <w:rsid w:val="008316F3"/>
    <w:pPr>
      <w:spacing w:before="5600" w:line="240" w:lineRule="auto"/>
    </w:pPr>
    <w:rPr>
      <w:b/>
      <w:sz w:val="32"/>
    </w:rPr>
  </w:style>
  <w:style w:type="paragraph" w:customStyle="1" w:styleId="PageBreak">
    <w:name w:val="PageBreak"/>
    <w:aliases w:val="pb"/>
    <w:basedOn w:val="OPCParaBase"/>
    <w:rsid w:val="008316F3"/>
    <w:pPr>
      <w:spacing w:line="240" w:lineRule="auto"/>
    </w:pPr>
    <w:rPr>
      <w:sz w:val="20"/>
    </w:rPr>
  </w:style>
  <w:style w:type="paragraph" w:customStyle="1" w:styleId="paragraphsub">
    <w:name w:val="paragraph(sub)"/>
    <w:aliases w:val="aa"/>
    <w:basedOn w:val="OPCParaBase"/>
    <w:rsid w:val="008316F3"/>
    <w:pPr>
      <w:tabs>
        <w:tab w:val="right" w:pos="1985"/>
      </w:tabs>
      <w:spacing w:before="40" w:line="240" w:lineRule="auto"/>
      <w:ind w:left="2098" w:hanging="2098"/>
    </w:pPr>
  </w:style>
  <w:style w:type="paragraph" w:customStyle="1" w:styleId="paragraphsub-sub">
    <w:name w:val="paragraph(sub-sub)"/>
    <w:aliases w:val="aaa"/>
    <w:basedOn w:val="OPCParaBase"/>
    <w:rsid w:val="008316F3"/>
    <w:pPr>
      <w:tabs>
        <w:tab w:val="right" w:pos="2722"/>
      </w:tabs>
      <w:spacing w:before="40" w:line="240" w:lineRule="auto"/>
      <w:ind w:left="2835" w:hanging="2835"/>
    </w:pPr>
  </w:style>
  <w:style w:type="paragraph" w:customStyle="1" w:styleId="paragraph">
    <w:name w:val="paragraph"/>
    <w:aliases w:val="a"/>
    <w:basedOn w:val="OPCParaBase"/>
    <w:rsid w:val="008316F3"/>
    <w:pPr>
      <w:tabs>
        <w:tab w:val="right" w:pos="1531"/>
      </w:tabs>
      <w:spacing w:before="40" w:line="240" w:lineRule="auto"/>
      <w:ind w:left="1644" w:hanging="1644"/>
    </w:pPr>
  </w:style>
  <w:style w:type="paragraph" w:customStyle="1" w:styleId="ParlAmend">
    <w:name w:val="ParlAmend"/>
    <w:aliases w:val="pp"/>
    <w:basedOn w:val="OPCParaBase"/>
    <w:rsid w:val="008316F3"/>
    <w:pPr>
      <w:spacing w:before="240" w:line="240" w:lineRule="atLeast"/>
      <w:ind w:hanging="567"/>
    </w:pPr>
    <w:rPr>
      <w:sz w:val="24"/>
    </w:rPr>
  </w:style>
  <w:style w:type="paragraph" w:customStyle="1" w:styleId="Penalty">
    <w:name w:val="Penalty"/>
    <w:basedOn w:val="OPCParaBase"/>
    <w:rsid w:val="008316F3"/>
    <w:pPr>
      <w:tabs>
        <w:tab w:val="left" w:pos="2977"/>
      </w:tabs>
      <w:spacing w:before="180" w:line="240" w:lineRule="auto"/>
      <w:ind w:left="1985" w:hanging="851"/>
    </w:pPr>
  </w:style>
  <w:style w:type="paragraph" w:customStyle="1" w:styleId="Portfolio">
    <w:name w:val="Portfolio"/>
    <w:basedOn w:val="OPCParaBase"/>
    <w:rsid w:val="008316F3"/>
    <w:pPr>
      <w:spacing w:line="240" w:lineRule="auto"/>
    </w:pPr>
    <w:rPr>
      <w:i/>
      <w:sz w:val="20"/>
    </w:rPr>
  </w:style>
  <w:style w:type="paragraph" w:customStyle="1" w:styleId="Preamble">
    <w:name w:val="Preamble"/>
    <w:basedOn w:val="OPCParaBase"/>
    <w:next w:val="Normal"/>
    <w:rsid w:val="008316F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316F3"/>
    <w:pPr>
      <w:spacing w:line="240" w:lineRule="auto"/>
    </w:pPr>
    <w:rPr>
      <w:i/>
      <w:sz w:val="20"/>
    </w:rPr>
  </w:style>
  <w:style w:type="paragraph" w:customStyle="1" w:styleId="Session">
    <w:name w:val="Session"/>
    <w:basedOn w:val="OPCParaBase"/>
    <w:rsid w:val="008316F3"/>
    <w:pPr>
      <w:spacing w:line="240" w:lineRule="auto"/>
    </w:pPr>
    <w:rPr>
      <w:sz w:val="28"/>
    </w:rPr>
  </w:style>
  <w:style w:type="paragraph" w:customStyle="1" w:styleId="Sponsor">
    <w:name w:val="Sponsor"/>
    <w:basedOn w:val="OPCParaBase"/>
    <w:rsid w:val="008316F3"/>
    <w:pPr>
      <w:spacing w:line="240" w:lineRule="auto"/>
    </w:pPr>
    <w:rPr>
      <w:i/>
    </w:rPr>
  </w:style>
  <w:style w:type="paragraph" w:customStyle="1" w:styleId="Subitem">
    <w:name w:val="Subitem"/>
    <w:aliases w:val="iss"/>
    <w:basedOn w:val="OPCParaBase"/>
    <w:rsid w:val="008316F3"/>
    <w:pPr>
      <w:spacing w:before="180" w:line="240" w:lineRule="auto"/>
      <w:ind w:left="709" w:hanging="709"/>
    </w:pPr>
  </w:style>
  <w:style w:type="paragraph" w:customStyle="1" w:styleId="SubitemHead">
    <w:name w:val="SubitemHead"/>
    <w:aliases w:val="issh"/>
    <w:basedOn w:val="OPCParaBase"/>
    <w:rsid w:val="008316F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316F3"/>
    <w:pPr>
      <w:spacing w:before="40" w:line="240" w:lineRule="auto"/>
      <w:ind w:left="1134"/>
    </w:pPr>
  </w:style>
  <w:style w:type="paragraph" w:customStyle="1" w:styleId="SubsectionHead">
    <w:name w:val="SubsectionHead"/>
    <w:aliases w:val="ssh"/>
    <w:basedOn w:val="OPCParaBase"/>
    <w:next w:val="subsection"/>
    <w:rsid w:val="008316F3"/>
    <w:pPr>
      <w:keepNext/>
      <w:keepLines/>
      <w:spacing w:before="240" w:line="240" w:lineRule="auto"/>
      <w:ind w:left="1134"/>
    </w:pPr>
    <w:rPr>
      <w:i/>
    </w:rPr>
  </w:style>
  <w:style w:type="paragraph" w:customStyle="1" w:styleId="Tablea">
    <w:name w:val="Table(a)"/>
    <w:aliases w:val="ta"/>
    <w:basedOn w:val="OPCParaBase"/>
    <w:rsid w:val="008316F3"/>
    <w:pPr>
      <w:spacing w:before="60" w:line="240" w:lineRule="auto"/>
      <w:ind w:left="284" w:hanging="284"/>
    </w:pPr>
    <w:rPr>
      <w:sz w:val="20"/>
    </w:rPr>
  </w:style>
  <w:style w:type="paragraph" w:customStyle="1" w:styleId="TableAA">
    <w:name w:val="Table(AA)"/>
    <w:aliases w:val="taaa"/>
    <w:basedOn w:val="OPCParaBase"/>
    <w:rsid w:val="008316F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316F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316F3"/>
    <w:pPr>
      <w:spacing w:before="60" w:line="240" w:lineRule="atLeast"/>
    </w:pPr>
    <w:rPr>
      <w:sz w:val="20"/>
    </w:rPr>
  </w:style>
  <w:style w:type="paragraph" w:customStyle="1" w:styleId="TLPBoxTextnote">
    <w:name w:val="TLPBoxText(note"/>
    <w:aliases w:val="right)"/>
    <w:basedOn w:val="OPCParaBase"/>
    <w:rsid w:val="008316F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316F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316F3"/>
    <w:pPr>
      <w:spacing w:before="122" w:line="198" w:lineRule="exact"/>
      <w:ind w:left="1985" w:hanging="851"/>
      <w:jc w:val="right"/>
    </w:pPr>
    <w:rPr>
      <w:sz w:val="18"/>
    </w:rPr>
  </w:style>
  <w:style w:type="paragraph" w:customStyle="1" w:styleId="TLPTableBullet">
    <w:name w:val="TLPTableBullet"/>
    <w:aliases w:val="ttb"/>
    <w:basedOn w:val="OPCParaBase"/>
    <w:rsid w:val="008316F3"/>
    <w:pPr>
      <w:spacing w:line="240" w:lineRule="exact"/>
      <w:ind w:left="284" w:hanging="284"/>
    </w:pPr>
    <w:rPr>
      <w:sz w:val="20"/>
    </w:rPr>
  </w:style>
  <w:style w:type="paragraph" w:styleId="TOC1">
    <w:name w:val="toc 1"/>
    <w:basedOn w:val="Normal"/>
    <w:next w:val="Normal"/>
    <w:uiPriority w:val="39"/>
    <w:unhideWhenUsed/>
    <w:rsid w:val="008316F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316F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316F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316F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316F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316F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316F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316F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316F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316F3"/>
    <w:pPr>
      <w:keepLines/>
      <w:spacing w:before="240" w:after="120" w:line="240" w:lineRule="auto"/>
      <w:ind w:left="794"/>
    </w:pPr>
    <w:rPr>
      <w:b/>
      <w:kern w:val="28"/>
      <w:sz w:val="20"/>
    </w:rPr>
  </w:style>
  <w:style w:type="paragraph" w:customStyle="1" w:styleId="TofSectsHeading">
    <w:name w:val="TofSects(Heading)"/>
    <w:basedOn w:val="OPCParaBase"/>
    <w:rsid w:val="008316F3"/>
    <w:pPr>
      <w:spacing w:before="240" w:after="120" w:line="240" w:lineRule="auto"/>
    </w:pPr>
    <w:rPr>
      <w:b/>
      <w:sz w:val="24"/>
    </w:rPr>
  </w:style>
  <w:style w:type="paragraph" w:customStyle="1" w:styleId="TofSectsSection">
    <w:name w:val="TofSects(Section)"/>
    <w:basedOn w:val="OPCParaBase"/>
    <w:rsid w:val="008316F3"/>
    <w:pPr>
      <w:keepLines/>
      <w:spacing w:before="40" w:line="240" w:lineRule="auto"/>
      <w:ind w:left="1588" w:hanging="794"/>
    </w:pPr>
    <w:rPr>
      <w:kern w:val="28"/>
      <w:sz w:val="18"/>
    </w:rPr>
  </w:style>
  <w:style w:type="paragraph" w:customStyle="1" w:styleId="TofSectsSubdiv">
    <w:name w:val="TofSects(Subdiv)"/>
    <w:basedOn w:val="OPCParaBase"/>
    <w:rsid w:val="008316F3"/>
    <w:pPr>
      <w:keepLines/>
      <w:spacing w:before="80" w:line="240" w:lineRule="auto"/>
      <w:ind w:left="1588" w:hanging="794"/>
    </w:pPr>
    <w:rPr>
      <w:kern w:val="28"/>
    </w:rPr>
  </w:style>
  <w:style w:type="paragraph" w:customStyle="1" w:styleId="WRStyle">
    <w:name w:val="WR Style"/>
    <w:aliases w:val="WR"/>
    <w:basedOn w:val="OPCParaBase"/>
    <w:rsid w:val="008316F3"/>
    <w:pPr>
      <w:spacing w:before="240" w:line="240" w:lineRule="auto"/>
      <w:ind w:left="284" w:hanging="284"/>
    </w:pPr>
    <w:rPr>
      <w:b/>
      <w:i/>
      <w:kern w:val="28"/>
      <w:sz w:val="24"/>
    </w:rPr>
  </w:style>
  <w:style w:type="paragraph" w:customStyle="1" w:styleId="notepara">
    <w:name w:val="note(para)"/>
    <w:aliases w:val="na"/>
    <w:basedOn w:val="OPCParaBase"/>
    <w:rsid w:val="008316F3"/>
    <w:pPr>
      <w:spacing w:before="40" w:line="198" w:lineRule="exact"/>
      <w:ind w:left="2354" w:hanging="369"/>
    </w:pPr>
    <w:rPr>
      <w:sz w:val="18"/>
    </w:rPr>
  </w:style>
  <w:style w:type="paragraph" w:styleId="Footer">
    <w:name w:val="footer"/>
    <w:link w:val="FooterChar"/>
    <w:rsid w:val="008316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316F3"/>
    <w:rPr>
      <w:rFonts w:eastAsia="Times New Roman" w:cs="Times New Roman"/>
      <w:sz w:val="22"/>
      <w:szCs w:val="24"/>
      <w:lang w:eastAsia="en-AU"/>
    </w:rPr>
  </w:style>
  <w:style w:type="character" w:styleId="LineNumber">
    <w:name w:val="line number"/>
    <w:basedOn w:val="OPCCharBase"/>
    <w:uiPriority w:val="99"/>
    <w:unhideWhenUsed/>
    <w:rsid w:val="008316F3"/>
    <w:rPr>
      <w:sz w:val="16"/>
    </w:rPr>
  </w:style>
  <w:style w:type="table" w:customStyle="1" w:styleId="CFlag">
    <w:name w:val="CFlag"/>
    <w:basedOn w:val="TableNormal"/>
    <w:uiPriority w:val="99"/>
    <w:rsid w:val="008316F3"/>
    <w:rPr>
      <w:rFonts w:eastAsia="Times New Roman" w:cs="Times New Roman"/>
      <w:lang w:eastAsia="en-AU"/>
    </w:rPr>
    <w:tblPr/>
  </w:style>
  <w:style w:type="paragraph" w:styleId="BalloonText">
    <w:name w:val="Balloon Text"/>
    <w:basedOn w:val="Normal"/>
    <w:link w:val="BalloonTextChar"/>
    <w:uiPriority w:val="99"/>
    <w:unhideWhenUsed/>
    <w:rsid w:val="008316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316F3"/>
    <w:rPr>
      <w:rFonts w:ascii="Tahoma" w:hAnsi="Tahoma" w:cs="Tahoma"/>
      <w:sz w:val="16"/>
      <w:szCs w:val="16"/>
    </w:rPr>
  </w:style>
  <w:style w:type="table" w:styleId="TableGrid">
    <w:name w:val="Table Grid"/>
    <w:basedOn w:val="TableNormal"/>
    <w:uiPriority w:val="59"/>
    <w:rsid w:val="00831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316F3"/>
    <w:rPr>
      <w:b/>
      <w:sz w:val="28"/>
      <w:szCs w:val="32"/>
    </w:rPr>
  </w:style>
  <w:style w:type="paragraph" w:customStyle="1" w:styleId="LegislationMadeUnder">
    <w:name w:val="LegislationMadeUnder"/>
    <w:basedOn w:val="OPCParaBase"/>
    <w:next w:val="Normal"/>
    <w:rsid w:val="008316F3"/>
    <w:rPr>
      <w:i/>
      <w:sz w:val="32"/>
      <w:szCs w:val="32"/>
    </w:rPr>
  </w:style>
  <w:style w:type="paragraph" w:customStyle="1" w:styleId="SignCoverPageEnd">
    <w:name w:val="SignCoverPageEnd"/>
    <w:basedOn w:val="OPCParaBase"/>
    <w:next w:val="Normal"/>
    <w:rsid w:val="008316F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316F3"/>
    <w:pPr>
      <w:pBdr>
        <w:top w:val="single" w:sz="4" w:space="1" w:color="auto"/>
      </w:pBdr>
      <w:spacing w:before="360"/>
      <w:ind w:right="397"/>
      <w:jc w:val="both"/>
    </w:pPr>
  </w:style>
  <w:style w:type="paragraph" w:customStyle="1" w:styleId="NotesHeading1">
    <w:name w:val="NotesHeading 1"/>
    <w:basedOn w:val="OPCParaBase"/>
    <w:next w:val="Normal"/>
    <w:rsid w:val="008316F3"/>
    <w:rPr>
      <w:b/>
      <w:sz w:val="28"/>
      <w:szCs w:val="28"/>
    </w:rPr>
  </w:style>
  <w:style w:type="paragraph" w:customStyle="1" w:styleId="NotesHeading2">
    <w:name w:val="NotesHeading 2"/>
    <w:basedOn w:val="OPCParaBase"/>
    <w:next w:val="Normal"/>
    <w:rsid w:val="008316F3"/>
    <w:rPr>
      <w:b/>
      <w:sz w:val="28"/>
      <w:szCs w:val="28"/>
    </w:rPr>
  </w:style>
  <w:style w:type="paragraph" w:customStyle="1" w:styleId="CompiledActNo">
    <w:name w:val="CompiledActNo"/>
    <w:basedOn w:val="OPCParaBase"/>
    <w:next w:val="Normal"/>
    <w:rsid w:val="008316F3"/>
    <w:rPr>
      <w:b/>
      <w:sz w:val="24"/>
      <w:szCs w:val="24"/>
    </w:rPr>
  </w:style>
  <w:style w:type="paragraph" w:customStyle="1" w:styleId="ENotesText">
    <w:name w:val="ENotesText"/>
    <w:aliases w:val="Ent"/>
    <w:basedOn w:val="OPCParaBase"/>
    <w:next w:val="Normal"/>
    <w:rsid w:val="008316F3"/>
    <w:pPr>
      <w:spacing w:before="120"/>
    </w:pPr>
  </w:style>
  <w:style w:type="paragraph" w:customStyle="1" w:styleId="CompiledMadeUnder">
    <w:name w:val="CompiledMadeUnder"/>
    <w:basedOn w:val="OPCParaBase"/>
    <w:next w:val="Normal"/>
    <w:rsid w:val="008316F3"/>
    <w:rPr>
      <w:i/>
      <w:sz w:val="24"/>
      <w:szCs w:val="24"/>
    </w:rPr>
  </w:style>
  <w:style w:type="paragraph" w:customStyle="1" w:styleId="Paragraphsub-sub-sub">
    <w:name w:val="Paragraph(sub-sub-sub)"/>
    <w:aliases w:val="aaaa"/>
    <w:basedOn w:val="OPCParaBase"/>
    <w:rsid w:val="008316F3"/>
    <w:pPr>
      <w:tabs>
        <w:tab w:val="right" w:pos="3402"/>
      </w:tabs>
      <w:spacing w:before="40" w:line="240" w:lineRule="auto"/>
      <w:ind w:left="3402" w:hanging="3402"/>
    </w:pPr>
  </w:style>
  <w:style w:type="paragraph" w:customStyle="1" w:styleId="TableTextEndNotes">
    <w:name w:val="TableTextEndNotes"/>
    <w:aliases w:val="Tten"/>
    <w:basedOn w:val="Normal"/>
    <w:rsid w:val="008316F3"/>
    <w:pPr>
      <w:spacing w:before="60" w:line="240" w:lineRule="auto"/>
    </w:pPr>
    <w:rPr>
      <w:rFonts w:cs="Arial"/>
      <w:sz w:val="20"/>
      <w:szCs w:val="22"/>
    </w:rPr>
  </w:style>
  <w:style w:type="paragraph" w:customStyle="1" w:styleId="NoteToSubpara">
    <w:name w:val="NoteToSubpara"/>
    <w:aliases w:val="nts"/>
    <w:basedOn w:val="OPCParaBase"/>
    <w:rsid w:val="008316F3"/>
    <w:pPr>
      <w:spacing w:before="40" w:line="198" w:lineRule="exact"/>
      <w:ind w:left="2835" w:hanging="709"/>
    </w:pPr>
    <w:rPr>
      <w:sz w:val="18"/>
    </w:rPr>
  </w:style>
  <w:style w:type="paragraph" w:customStyle="1" w:styleId="ENoteTableHeading">
    <w:name w:val="ENoteTableHeading"/>
    <w:aliases w:val="enth"/>
    <w:basedOn w:val="OPCParaBase"/>
    <w:rsid w:val="008316F3"/>
    <w:pPr>
      <w:keepNext/>
      <w:spacing w:before="60" w:line="240" w:lineRule="atLeast"/>
    </w:pPr>
    <w:rPr>
      <w:rFonts w:ascii="Arial" w:hAnsi="Arial"/>
      <w:b/>
      <w:sz w:val="16"/>
    </w:rPr>
  </w:style>
  <w:style w:type="paragraph" w:customStyle="1" w:styleId="ENoteTTi">
    <w:name w:val="ENoteTTi"/>
    <w:aliases w:val="entti"/>
    <w:basedOn w:val="OPCParaBase"/>
    <w:rsid w:val="008316F3"/>
    <w:pPr>
      <w:keepNext/>
      <w:spacing w:before="60" w:line="240" w:lineRule="atLeast"/>
      <w:ind w:left="170"/>
    </w:pPr>
    <w:rPr>
      <w:sz w:val="16"/>
    </w:rPr>
  </w:style>
  <w:style w:type="paragraph" w:customStyle="1" w:styleId="ENotesHeading1">
    <w:name w:val="ENotesHeading 1"/>
    <w:aliases w:val="Enh1"/>
    <w:basedOn w:val="OPCParaBase"/>
    <w:next w:val="Normal"/>
    <w:rsid w:val="008316F3"/>
    <w:pPr>
      <w:spacing w:before="120"/>
      <w:outlineLvl w:val="1"/>
    </w:pPr>
    <w:rPr>
      <w:b/>
      <w:sz w:val="28"/>
      <w:szCs w:val="28"/>
    </w:rPr>
  </w:style>
  <w:style w:type="paragraph" w:customStyle="1" w:styleId="ENotesHeading2">
    <w:name w:val="ENotesHeading 2"/>
    <w:aliases w:val="Enh2"/>
    <w:basedOn w:val="OPCParaBase"/>
    <w:next w:val="Normal"/>
    <w:rsid w:val="008316F3"/>
    <w:pPr>
      <w:spacing w:before="120" w:after="120"/>
      <w:outlineLvl w:val="2"/>
    </w:pPr>
    <w:rPr>
      <w:b/>
      <w:sz w:val="24"/>
      <w:szCs w:val="28"/>
    </w:rPr>
  </w:style>
  <w:style w:type="paragraph" w:customStyle="1" w:styleId="ENoteTTIndentHeading">
    <w:name w:val="ENoteTTIndentHeading"/>
    <w:aliases w:val="enTTHi"/>
    <w:basedOn w:val="OPCParaBase"/>
    <w:rsid w:val="008316F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316F3"/>
    <w:pPr>
      <w:spacing w:before="60" w:line="240" w:lineRule="atLeast"/>
    </w:pPr>
    <w:rPr>
      <w:sz w:val="16"/>
    </w:rPr>
  </w:style>
  <w:style w:type="paragraph" w:customStyle="1" w:styleId="MadeunderText">
    <w:name w:val="MadeunderText"/>
    <w:basedOn w:val="OPCParaBase"/>
    <w:next w:val="Normal"/>
    <w:rsid w:val="008316F3"/>
    <w:pPr>
      <w:spacing w:before="240"/>
    </w:pPr>
    <w:rPr>
      <w:sz w:val="24"/>
      <w:szCs w:val="24"/>
    </w:rPr>
  </w:style>
  <w:style w:type="paragraph" w:customStyle="1" w:styleId="ENotesHeading3">
    <w:name w:val="ENotesHeading 3"/>
    <w:aliases w:val="Enh3"/>
    <w:basedOn w:val="OPCParaBase"/>
    <w:next w:val="Normal"/>
    <w:rsid w:val="008316F3"/>
    <w:pPr>
      <w:keepNext/>
      <w:spacing w:before="120" w:line="240" w:lineRule="auto"/>
      <w:outlineLvl w:val="4"/>
    </w:pPr>
    <w:rPr>
      <w:b/>
      <w:szCs w:val="24"/>
    </w:rPr>
  </w:style>
  <w:style w:type="character" w:customStyle="1" w:styleId="CharSubPartTextCASA">
    <w:name w:val="CharSubPartText(CASA)"/>
    <w:basedOn w:val="OPCCharBase"/>
    <w:uiPriority w:val="1"/>
    <w:rsid w:val="008316F3"/>
  </w:style>
  <w:style w:type="character" w:customStyle="1" w:styleId="CharSubPartNoCASA">
    <w:name w:val="CharSubPartNo(CASA)"/>
    <w:basedOn w:val="OPCCharBase"/>
    <w:uiPriority w:val="1"/>
    <w:rsid w:val="008316F3"/>
  </w:style>
  <w:style w:type="paragraph" w:customStyle="1" w:styleId="ENoteTTIndentHeadingSub">
    <w:name w:val="ENoteTTIndentHeadingSub"/>
    <w:aliases w:val="enTTHis"/>
    <w:basedOn w:val="OPCParaBase"/>
    <w:rsid w:val="008316F3"/>
    <w:pPr>
      <w:keepNext/>
      <w:spacing w:before="60" w:line="240" w:lineRule="atLeast"/>
      <w:ind w:left="340"/>
    </w:pPr>
    <w:rPr>
      <w:b/>
      <w:sz w:val="16"/>
    </w:rPr>
  </w:style>
  <w:style w:type="paragraph" w:customStyle="1" w:styleId="ENoteTTiSub">
    <w:name w:val="ENoteTTiSub"/>
    <w:aliases w:val="enttis"/>
    <w:basedOn w:val="OPCParaBase"/>
    <w:rsid w:val="008316F3"/>
    <w:pPr>
      <w:keepNext/>
      <w:spacing w:before="60" w:line="240" w:lineRule="atLeast"/>
      <w:ind w:left="340"/>
    </w:pPr>
    <w:rPr>
      <w:sz w:val="16"/>
    </w:rPr>
  </w:style>
  <w:style w:type="paragraph" w:customStyle="1" w:styleId="SubDivisionMigration">
    <w:name w:val="SubDivisionMigration"/>
    <w:aliases w:val="sdm"/>
    <w:basedOn w:val="OPCParaBase"/>
    <w:rsid w:val="008316F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316F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316F3"/>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8316F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316F3"/>
    <w:rPr>
      <w:sz w:val="22"/>
    </w:rPr>
  </w:style>
  <w:style w:type="paragraph" w:customStyle="1" w:styleId="SOTextNote">
    <w:name w:val="SO TextNote"/>
    <w:aliases w:val="sont"/>
    <w:basedOn w:val="SOText"/>
    <w:qFormat/>
    <w:rsid w:val="008316F3"/>
    <w:pPr>
      <w:spacing w:before="122" w:line="198" w:lineRule="exact"/>
      <w:ind w:left="1843" w:hanging="709"/>
    </w:pPr>
    <w:rPr>
      <w:sz w:val="18"/>
    </w:rPr>
  </w:style>
  <w:style w:type="paragraph" w:customStyle="1" w:styleId="SOPara">
    <w:name w:val="SO Para"/>
    <w:aliases w:val="soa"/>
    <w:basedOn w:val="SOText"/>
    <w:link w:val="SOParaChar"/>
    <w:qFormat/>
    <w:rsid w:val="008316F3"/>
    <w:pPr>
      <w:tabs>
        <w:tab w:val="right" w:pos="1786"/>
      </w:tabs>
      <w:spacing w:before="40"/>
      <w:ind w:left="2070" w:hanging="936"/>
    </w:pPr>
  </w:style>
  <w:style w:type="character" w:customStyle="1" w:styleId="SOParaChar">
    <w:name w:val="SO Para Char"/>
    <w:aliases w:val="soa Char"/>
    <w:basedOn w:val="DefaultParagraphFont"/>
    <w:link w:val="SOPara"/>
    <w:rsid w:val="008316F3"/>
    <w:rPr>
      <w:sz w:val="22"/>
    </w:rPr>
  </w:style>
  <w:style w:type="paragraph" w:customStyle="1" w:styleId="FileName">
    <w:name w:val="FileName"/>
    <w:basedOn w:val="Normal"/>
    <w:rsid w:val="008316F3"/>
  </w:style>
  <w:style w:type="paragraph" w:customStyle="1" w:styleId="TableHeading">
    <w:name w:val="TableHeading"/>
    <w:aliases w:val="th"/>
    <w:basedOn w:val="OPCParaBase"/>
    <w:next w:val="Tabletext"/>
    <w:rsid w:val="008316F3"/>
    <w:pPr>
      <w:keepNext/>
      <w:spacing w:before="60" w:line="240" w:lineRule="atLeast"/>
    </w:pPr>
    <w:rPr>
      <w:b/>
      <w:sz w:val="20"/>
    </w:rPr>
  </w:style>
  <w:style w:type="paragraph" w:customStyle="1" w:styleId="SOHeadBold">
    <w:name w:val="SO HeadBold"/>
    <w:aliases w:val="sohb"/>
    <w:basedOn w:val="SOText"/>
    <w:next w:val="SOText"/>
    <w:link w:val="SOHeadBoldChar"/>
    <w:qFormat/>
    <w:rsid w:val="008316F3"/>
    <w:rPr>
      <w:b/>
    </w:rPr>
  </w:style>
  <w:style w:type="character" w:customStyle="1" w:styleId="SOHeadBoldChar">
    <w:name w:val="SO HeadBold Char"/>
    <w:aliases w:val="sohb Char"/>
    <w:basedOn w:val="DefaultParagraphFont"/>
    <w:link w:val="SOHeadBold"/>
    <w:rsid w:val="008316F3"/>
    <w:rPr>
      <w:b/>
      <w:sz w:val="22"/>
    </w:rPr>
  </w:style>
  <w:style w:type="paragraph" w:customStyle="1" w:styleId="SOHeadItalic">
    <w:name w:val="SO HeadItalic"/>
    <w:aliases w:val="sohi"/>
    <w:basedOn w:val="SOText"/>
    <w:next w:val="SOText"/>
    <w:link w:val="SOHeadItalicChar"/>
    <w:qFormat/>
    <w:rsid w:val="008316F3"/>
    <w:rPr>
      <w:i/>
    </w:rPr>
  </w:style>
  <w:style w:type="character" w:customStyle="1" w:styleId="SOHeadItalicChar">
    <w:name w:val="SO HeadItalic Char"/>
    <w:aliases w:val="sohi Char"/>
    <w:basedOn w:val="DefaultParagraphFont"/>
    <w:link w:val="SOHeadItalic"/>
    <w:rsid w:val="008316F3"/>
    <w:rPr>
      <w:i/>
      <w:sz w:val="22"/>
    </w:rPr>
  </w:style>
  <w:style w:type="paragraph" w:customStyle="1" w:styleId="SOBullet">
    <w:name w:val="SO Bullet"/>
    <w:aliases w:val="sotb"/>
    <w:basedOn w:val="SOText"/>
    <w:link w:val="SOBulletChar"/>
    <w:qFormat/>
    <w:rsid w:val="008316F3"/>
    <w:pPr>
      <w:ind w:left="1559" w:hanging="425"/>
    </w:pPr>
  </w:style>
  <w:style w:type="character" w:customStyle="1" w:styleId="SOBulletChar">
    <w:name w:val="SO Bullet Char"/>
    <w:aliases w:val="sotb Char"/>
    <w:basedOn w:val="DefaultParagraphFont"/>
    <w:link w:val="SOBullet"/>
    <w:rsid w:val="008316F3"/>
    <w:rPr>
      <w:sz w:val="22"/>
    </w:rPr>
  </w:style>
  <w:style w:type="paragraph" w:customStyle="1" w:styleId="SOBulletNote">
    <w:name w:val="SO BulletNote"/>
    <w:aliases w:val="sonb"/>
    <w:basedOn w:val="SOTextNote"/>
    <w:link w:val="SOBulletNoteChar"/>
    <w:qFormat/>
    <w:rsid w:val="008316F3"/>
    <w:pPr>
      <w:tabs>
        <w:tab w:val="left" w:pos="1560"/>
      </w:tabs>
      <w:ind w:left="2268" w:hanging="1134"/>
    </w:pPr>
  </w:style>
  <w:style w:type="character" w:customStyle="1" w:styleId="SOBulletNoteChar">
    <w:name w:val="SO BulletNote Char"/>
    <w:aliases w:val="sonb Char"/>
    <w:basedOn w:val="DefaultParagraphFont"/>
    <w:link w:val="SOBulletNote"/>
    <w:rsid w:val="008316F3"/>
    <w:rPr>
      <w:sz w:val="18"/>
    </w:rPr>
  </w:style>
  <w:style w:type="paragraph" w:customStyle="1" w:styleId="SOText2">
    <w:name w:val="SO Text2"/>
    <w:aliases w:val="sot2"/>
    <w:basedOn w:val="Normal"/>
    <w:next w:val="SOText"/>
    <w:link w:val="SOText2Char"/>
    <w:rsid w:val="008316F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316F3"/>
    <w:rPr>
      <w:sz w:val="22"/>
    </w:rPr>
  </w:style>
  <w:style w:type="paragraph" w:customStyle="1" w:styleId="SubPartCASA">
    <w:name w:val="SubPart(CASA)"/>
    <w:aliases w:val="csp"/>
    <w:basedOn w:val="OPCParaBase"/>
    <w:next w:val="ActHead3"/>
    <w:rsid w:val="008316F3"/>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316F3"/>
    <w:rPr>
      <w:rFonts w:eastAsia="Times New Roman" w:cs="Times New Roman"/>
      <w:sz w:val="22"/>
      <w:lang w:eastAsia="en-AU"/>
    </w:rPr>
  </w:style>
  <w:style w:type="character" w:customStyle="1" w:styleId="notetextChar">
    <w:name w:val="note(text) Char"/>
    <w:aliases w:val="n Char"/>
    <w:basedOn w:val="DefaultParagraphFont"/>
    <w:link w:val="notetext"/>
    <w:rsid w:val="008316F3"/>
    <w:rPr>
      <w:rFonts w:eastAsia="Times New Roman" w:cs="Times New Roman"/>
      <w:sz w:val="18"/>
      <w:lang w:eastAsia="en-AU"/>
    </w:rPr>
  </w:style>
  <w:style w:type="character" w:customStyle="1" w:styleId="Heading1Char">
    <w:name w:val="Heading 1 Char"/>
    <w:basedOn w:val="DefaultParagraphFont"/>
    <w:link w:val="Heading1"/>
    <w:uiPriority w:val="9"/>
    <w:rsid w:val="008316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16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16F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316F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316F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316F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316F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316F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316F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316F3"/>
    <w:rPr>
      <w:rFonts w:ascii="Arial" w:hAnsi="Arial" w:cs="Arial" w:hint="default"/>
      <w:b/>
      <w:bCs/>
      <w:sz w:val="28"/>
      <w:szCs w:val="28"/>
    </w:rPr>
  </w:style>
  <w:style w:type="paragraph" w:styleId="Index1">
    <w:name w:val="index 1"/>
    <w:basedOn w:val="Normal"/>
    <w:next w:val="Normal"/>
    <w:autoRedefine/>
    <w:rsid w:val="008316F3"/>
    <w:pPr>
      <w:ind w:left="240" w:hanging="240"/>
    </w:pPr>
  </w:style>
  <w:style w:type="paragraph" w:styleId="Index2">
    <w:name w:val="index 2"/>
    <w:basedOn w:val="Normal"/>
    <w:next w:val="Normal"/>
    <w:autoRedefine/>
    <w:rsid w:val="008316F3"/>
    <w:pPr>
      <w:ind w:left="480" w:hanging="240"/>
    </w:pPr>
  </w:style>
  <w:style w:type="paragraph" w:styleId="Index3">
    <w:name w:val="index 3"/>
    <w:basedOn w:val="Normal"/>
    <w:next w:val="Normal"/>
    <w:autoRedefine/>
    <w:rsid w:val="008316F3"/>
    <w:pPr>
      <w:ind w:left="720" w:hanging="240"/>
    </w:pPr>
  </w:style>
  <w:style w:type="paragraph" w:styleId="Index4">
    <w:name w:val="index 4"/>
    <w:basedOn w:val="Normal"/>
    <w:next w:val="Normal"/>
    <w:autoRedefine/>
    <w:rsid w:val="008316F3"/>
    <w:pPr>
      <w:ind w:left="960" w:hanging="240"/>
    </w:pPr>
  </w:style>
  <w:style w:type="paragraph" w:styleId="Index5">
    <w:name w:val="index 5"/>
    <w:basedOn w:val="Normal"/>
    <w:next w:val="Normal"/>
    <w:autoRedefine/>
    <w:rsid w:val="008316F3"/>
    <w:pPr>
      <w:ind w:left="1200" w:hanging="240"/>
    </w:pPr>
  </w:style>
  <w:style w:type="paragraph" w:styleId="Index6">
    <w:name w:val="index 6"/>
    <w:basedOn w:val="Normal"/>
    <w:next w:val="Normal"/>
    <w:autoRedefine/>
    <w:rsid w:val="008316F3"/>
    <w:pPr>
      <w:ind w:left="1440" w:hanging="240"/>
    </w:pPr>
  </w:style>
  <w:style w:type="paragraph" w:styleId="Index7">
    <w:name w:val="index 7"/>
    <w:basedOn w:val="Normal"/>
    <w:next w:val="Normal"/>
    <w:autoRedefine/>
    <w:rsid w:val="008316F3"/>
    <w:pPr>
      <w:ind w:left="1680" w:hanging="240"/>
    </w:pPr>
  </w:style>
  <w:style w:type="paragraph" w:styleId="Index8">
    <w:name w:val="index 8"/>
    <w:basedOn w:val="Normal"/>
    <w:next w:val="Normal"/>
    <w:autoRedefine/>
    <w:rsid w:val="008316F3"/>
    <w:pPr>
      <w:ind w:left="1920" w:hanging="240"/>
    </w:pPr>
  </w:style>
  <w:style w:type="paragraph" w:styleId="Index9">
    <w:name w:val="index 9"/>
    <w:basedOn w:val="Normal"/>
    <w:next w:val="Normal"/>
    <w:autoRedefine/>
    <w:rsid w:val="008316F3"/>
    <w:pPr>
      <w:ind w:left="2160" w:hanging="240"/>
    </w:pPr>
  </w:style>
  <w:style w:type="paragraph" w:styleId="NormalIndent">
    <w:name w:val="Normal Indent"/>
    <w:basedOn w:val="Normal"/>
    <w:rsid w:val="008316F3"/>
    <w:pPr>
      <w:ind w:left="720"/>
    </w:pPr>
  </w:style>
  <w:style w:type="paragraph" w:styleId="FootnoteText">
    <w:name w:val="footnote text"/>
    <w:basedOn w:val="Normal"/>
    <w:link w:val="FootnoteTextChar"/>
    <w:rsid w:val="008316F3"/>
    <w:rPr>
      <w:sz w:val="20"/>
    </w:rPr>
  </w:style>
  <w:style w:type="character" w:customStyle="1" w:styleId="FootnoteTextChar">
    <w:name w:val="Footnote Text Char"/>
    <w:basedOn w:val="DefaultParagraphFont"/>
    <w:link w:val="FootnoteText"/>
    <w:rsid w:val="008316F3"/>
  </w:style>
  <w:style w:type="paragraph" w:styleId="CommentText">
    <w:name w:val="annotation text"/>
    <w:basedOn w:val="Normal"/>
    <w:link w:val="CommentTextChar"/>
    <w:rsid w:val="008316F3"/>
    <w:rPr>
      <w:sz w:val="20"/>
    </w:rPr>
  </w:style>
  <w:style w:type="character" w:customStyle="1" w:styleId="CommentTextChar">
    <w:name w:val="Comment Text Char"/>
    <w:basedOn w:val="DefaultParagraphFont"/>
    <w:link w:val="CommentText"/>
    <w:rsid w:val="008316F3"/>
  </w:style>
  <w:style w:type="paragraph" w:styleId="IndexHeading">
    <w:name w:val="index heading"/>
    <w:basedOn w:val="Normal"/>
    <w:next w:val="Index1"/>
    <w:rsid w:val="008316F3"/>
    <w:rPr>
      <w:rFonts w:ascii="Arial" w:hAnsi="Arial" w:cs="Arial"/>
      <w:b/>
      <w:bCs/>
    </w:rPr>
  </w:style>
  <w:style w:type="paragraph" w:styleId="Caption">
    <w:name w:val="caption"/>
    <w:basedOn w:val="Normal"/>
    <w:next w:val="Normal"/>
    <w:qFormat/>
    <w:rsid w:val="008316F3"/>
    <w:pPr>
      <w:spacing w:before="120" w:after="120"/>
    </w:pPr>
    <w:rPr>
      <w:b/>
      <w:bCs/>
      <w:sz w:val="20"/>
    </w:rPr>
  </w:style>
  <w:style w:type="paragraph" w:styleId="TableofFigures">
    <w:name w:val="table of figures"/>
    <w:basedOn w:val="Normal"/>
    <w:next w:val="Normal"/>
    <w:rsid w:val="008316F3"/>
    <w:pPr>
      <w:ind w:left="480" w:hanging="480"/>
    </w:pPr>
  </w:style>
  <w:style w:type="paragraph" w:styleId="EnvelopeAddress">
    <w:name w:val="envelope address"/>
    <w:basedOn w:val="Normal"/>
    <w:rsid w:val="008316F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316F3"/>
    <w:rPr>
      <w:rFonts w:ascii="Arial" w:hAnsi="Arial" w:cs="Arial"/>
      <w:sz w:val="20"/>
    </w:rPr>
  </w:style>
  <w:style w:type="character" w:styleId="FootnoteReference">
    <w:name w:val="footnote reference"/>
    <w:basedOn w:val="DefaultParagraphFont"/>
    <w:rsid w:val="008316F3"/>
    <w:rPr>
      <w:rFonts w:ascii="Times New Roman" w:hAnsi="Times New Roman"/>
      <w:sz w:val="20"/>
      <w:vertAlign w:val="superscript"/>
    </w:rPr>
  </w:style>
  <w:style w:type="character" w:styleId="CommentReference">
    <w:name w:val="annotation reference"/>
    <w:basedOn w:val="DefaultParagraphFont"/>
    <w:rsid w:val="008316F3"/>
    <w:rPr>
      <w:sz w:val="16"/>
      <w:szCs w:val="16"/>
    </w:rPr>
  </w:style>
  <w:style w:type="character" w:styleId="PageNumber">
    <w:name w:val="page number"/>
    <w:basedOn w:val="DefaultParagraphFont"/>
    <w:rsid w:val="008316F3"/>
  </w:style>
  <w:style w:type="character" w:styleId="EndnoteReference">
    <w:name w:val="endnote reference"/>
    <w:basedOn w:val="DefaultParagraphFont"/>
    <w:rsid w:val="008316F3"/>
    <w:rPr>
      <w:vertAlign w:val="superscript"/>
    </w:rPr>
  </w:style>
  <w:style w:type="paragraph" w:styleId="EndnoteText">
    <w:name w:val="endnote text"/>
    <w:basedOn w:val="Normal"/>
    <w:link w:val="EndnoteTextChar"/>
    <w:rsid w:val="008316F3"/>
    <w:rPr>
      <w:sz w:val="20"/>
    </w:rPr>
  </w:style>
  <w:style w:type="character" w:customStyle="1" w:styleId="EndnoteTextChar">
    <w:name w:val="Endnote Text Char"/>
    <w:basedOn w:val="DefaultParagraphFont"/>
    <w:link w:val="EndnoteText"/>
    <w:rsid w:val="008316F3"/>
  </w:style>
  <w:style w:type="paragraph" w:styleId="TableofAuthorities">
    <w:name w:val="table of authorities"/>
    <w:basedOn w:val="Normal"/>
    <w:next w:val="Normal"/>
    <w:rsid w:val="008316F3"/>
    <w:pPr>
      <w:ind w:left="240" w:hanging="240"/>
    </w:pPr>
  </w:style>
  <w:style w:type="paragraph" w:styleId="MacroText">
    <w:name w:val="macro"/>
    <w:link w:val="MacroTextChar"/>
    <w:rsid w:val="008316F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316F3"/>
    <w:rPr>
      <w:rFonts w:ascii="Courier New" w:eastAsia="Times New Roman" w:hAnsi="Courier New" w:cs="Courier New"/>
      <w:lang w:eastAsia="en-AU"/>
    </w:rPr>
  </w:style>
  <w:style w:type="paragraph" w:styleId="TOAHeading">
    <w:name w:val="toa heading"/>
    <w:basedOn w:val="Normal"/>
    <w:next w:val="Normal"/>
    <w:rsid w:val="008316F3"/>
    <w:pPr>
      <w:spacing w:before="120"/>
    </w:pPr>
    <w:rPr>
      <w:rFonts w:ascii="Arial" w:hAnsi="Arial" w:cs="Arial"/>
      <w:b/>
      <w:bCs/>
    </w:rPr>
  </w:style>
  <w:style w:type="paragraph" w:styleId="List">
    <w:name w:val="List"/>
    <w:basedOn w:val="Normal"/>
    <w:rsid w:val="008316F3"/>
    <w:pPr>
      <w:ind w:left="283" w:hanging="283"/>
    </w:pPr>
  </w:style>
  <w:style w:type="paragraph" w:styleId="ListBullet">
    <w:name w:val="List Bullet"/>
    <w:basedOn w:val="Normal"/>
    <w:autoRedefine/>
    <w:rsid w:val="008316F3"/>
    <w:pPr>
      <w:tabs>
        <w:tab w:val="num" w:pos="360"/>
      </w:tabs>
      <w:ind w:left="360" w:hanging="360"/>
    </w:pPr>
  </w:style>
  <w:style w:type="paragraph" w:styleId="ListNumber">
    <w:name w:val="List Number"/>
    <w:basedOn w:val="Normal"/>
    <w:rsid w:val="008316F3"/>
    <w:pPr>
      <w:tabs>
        <w:tab w:val="num" w:pos="360"/>
      </w:tabs>
      <w:ind w:left="360" w:hanging="360"/>
    </w:pPr>
  </w:style>
  <w:style w:type="paragraph" w:styleId="List2">
    <w:name w:val="List 2"/>
    <w:basedOn w:val="Normal"/>
    <w:rsid w:val="008316F3"/>
    <w:pPr>
      <w:ind w:left="566" w:hanging="283"/>
    </w:pPr>
  </w:style>
  <w:style w:type="paragraph" w:styleId="List3">
    <w:name w:val="List 3"/>
    <w:basedOn w:val="Normal"/>
    <w:rsid w:val="008316F3"/>
    <w:pPr>
      <w:ind w:left="849" w:hanging="283"/>
    </w:pPr>
  </w:style>
  <w:style w:type="paragraph" w:styleId="List4">
    <w:name w:val="List 4"/>
    <w:basedOn w:val="Normal"/>
    <w:rsid w:val="008316F3"/>
    <w:pPr>
      <w:ind w:left="1132" w:hanging="283"/>
    </w:pPr>
  </w:style>
  <w:style w:type="paragraph" w:styleId="List5">
    <w:name w:val="List 5"/>
    <w:basedOn w:val="Normal"/>
    <w:rsid w:val="008316F3"/>
    <w:pPr>
      <w:ind w:left="1415" w:hanging="283"/>
    </w:pPr>
  </w:style>
  <w:style w:type="paragraph" w:styleId="ListBullet2">
    <w:name w:val="List Bullet 2"/>
    <w:basedOn w:val="Normal"/>
    <w:autoRedefine/>
    <w:rsid w:val="008316F3"/>
    <w:pPr>
      <w:tabs>
        <w:tab w:val="num" w:pos="360"/>
      </w:tabs>
    </w:pPr>
  </w:style>
  <w:style w:type="paragraph" w:styleId="ListBullet3">
    <w:name w:val="List Bullet 3"/>
    <w:basedOn w:val="Normal"/>
    <w:autoRedefine/>
    <w:rsid w:val="008316F3"/>
    <w:pPr>
      <w:tabs>
        <w:tab w:val="num" w:pos="926"/>
      </w:tabs>
      <w:ind w:left="926" w:hanging="360"/>
    </w:pPr>
  </w:style>
  <w:style w:type="paragraph" w:styleId="ListBullet4">
    <w:name w:val="List Bullet 4"/>
    <w:basedOn w:val="Normal"/>
    <w:autoRedefine/>
    <w:rsid w:val="008316F3"/>
    <w:pPr>
      <w:tabs>
        <w:tab w:val="num" w:pos="1209"/>
      </w:tabs>
      <w:ind w:left="1209" w:hanging="360"/>
    </w:pPr>
  </w:style>
  <w:style w:type="paragraph" w:styleId="ListBullet5">
    <w:name w:val="List Bullet 5"/>
    <w:basedOn w:val="Normal"/>
    <w:autoRedefine/>
    <w:rsid w:val="008316F3"/>
    <w:pPr>
      <w:tabs>
        <w:tab w:val="num" w:pos="1492"/>
      </w:tabs>
      <w:ind w:left="1492" w:hanging="360"/>
    </w:pPr>
  </w:style>
  <w:style w:type="paragraph" w:styleId="ListNumber2">
    <w:name w:val="List Number 2"/>
    <w:basedOn w:val="Normal"/>
    <w:rsid w:val="008316F3"/>
    <w:pPr>
      <w:tabs>
        <w:tab w:val="num" w:pos="643"/>
      </w:tabs>
      <w:ind w:left="643" w:hanging="360"/>
    </w:pPr>
  </w:style>
  <w:style w:type="paragraph" w:styleId="ListNumber3">
    <w:name w:val="List Number 3"/>
    <w:basedOn w:val="Normal"/>
    <w:rsid w:val="008316F3"/>
    <w:pPr>
      <w:tabs>
        <w:tab w:val="num" w:pos="926"/>
      </w:tabs>
      <w:ind w:left="926" w:hanging="360"/>
    </w:pPr>
  </w:style>
  <w:style w:type="paragraph" w:styleId="ListNumber4">
    <w:name w:val="List Number 4"/>
    <w:basedOn w:val="Normal"/>
    <w:rsid w:val="008316F3"/>
    <w:pPr>
      <w:tabs>
        <w:tab w:val="num" w:pos="1209"/>
      </w:tabs>
      <w:ind w:left="1209" w:hanging="360"/>
    </w:pPr>
  </w:style>
  <w:style w:type="paragraph" w:styleId="ListNumber5">
    <w:name w:val="List Number 5"/>
    <w:basedOn w:val="Normal"/>
    <w:rsid w:val="008316F3"/>
    <w:pPr>
      <w:tabs>
        <w:tab w:val="num" w:pos="1492"/>
      </w:tabs>
      <w:ind w:left="1492" w:hanging="360"/>
    </w:pPr>
  </w:style>
  <w:style w:type="paragraph" w:styleId="Title">
    <w:name w:val="Title"/>
    <w:basedOn w:val="Normal"/>
    <w:link w:val="TitleChar"/>
    <w:qFormat/>
    <w:rsid w:val="008316F3"/>
    <w:pPr>
      <w:spacing w:before="240" w:after="60"/>
    </w:pPr>
    <w:rPr>
      <w:rFonts w:ascii="Arial" w:hAnsi="Arial" w:cs="Arial"/>
      <w:b/>
      <w:bCs/>
      <w:sz w:val="40"/>
      <w:szCs w:val="40"/>
    </w:rPr>
  </w:style>
  <w:style w:type="character" w:customStyle="1" w:styleId="TitleChar">
    <w:name w:val="Title Char"/>
    <w:basedOn w:val="DefaultParagraphFont"/>
    <w:link w:val="Title"/>
    <w:rsid w:val="008316F3"/>
    <w:rPr>
      <w:rFonts w:ascii="Arial" w:hAnsi="Arial" w:cs="Arial"/>
      <w:b/>
      <w:bCs/>
      <w:sz w:val="40"/>
      <w:szCs w:val="40"/>
    </w:rPr>
  </w:style>
  <w:style w:type="paragraph" w:styleId="Closing">
    <w:name w:val="Closing"/>
    <w:basedOn w:val="Normal"/>
    <w:link w:val="ClosingChar"/>
    <w:rsid w:val="008316F3"/>
    <w:pPr>
      <w:ind w:left="4252"/>
    </w:pPr>
  </w:style>
  <w:style w:type="character" w:customStyle="1" w:styleId="ClosingChar">
    <w:name w:val="Closing Char"/>
    <w:basedOn w:val="DefaultParagraphFont"/>
    <w:link w:val="Closing"/>
    <w:rsid w:val="008316F3"/>
    <w:rPr>
      <w:sz w:val="22"/>
    </w:rPr>
  </w:style>
  <w:style w:type="paragraph" w:styleId="Signature">
    <w:name w:val="Signature"/>
    <w:basedOn w:val="Normal"/>
    <w:link w:val="SignatureChar"/>
    <w:rsid w:val="008316F3"/>
    <w:pPr>
      <w:ind w:left="4252"/>
    </w:pPr>
  </w:style>
  <w:style w:type="character" w:customStyle="1" w:styleId="SignatureChar">
    <w:name w:val="Signature Char"/>
    <w:basedOn w:val="DefaultParagraphFont"/>
    <w:link w:val="Signature"/>
    <w:rsid w:val="008316F3"/>
    <w:rPr>
      <w:sz w:val="22"/>
    </w:rPr>
  </w:style>
  <w:style w:type="paragraph" w:styleId="BodyText">
    <w:name w:val="Body Text"/>
    <w:basedOn w:val="Normal"/>
    <w:link w:val="BodyTextChar"/>
    <w:rsid w:val="008316F3"/>
    <w:pPr>
      <w:spacing w:after="120"/>
    </w:pPr>
  </w:style>
  <w:style w:type="character" w:customStyle="1" w:styleId="BodyTextChar">
    <w:name w:val="Body Text Char"/>
    <w:basedOn w:val="DefaultParagraphFont"/>
    <w:link w:val="BodyText"/>
    <w:rsid w:val="008316F3"/>
    <w:rPr>
      <w:sz w:val="22"/>
    </w:rPr>
  </w:style>
  <w:style w:type="paragraph" w:styleId="BodyTextIndent">
    <w:name w:val="Body Text Indent"/>
    <w:basedOn w:val="Normal"/>
    <w:link w:val="BodyTextIndentChar"/>
    <w:rsid w:val="008316F3"/>
    <w:pPr>
      <w:spacing w:after="120"/>
      <w:ind w:left="283"/>
    </w:pPr>
  </w:style>
  <w:style w:type="character" w:customStyle="1" w:styleId="BodyTextIndentChar">
    <w:name w:val="Body Text Indent Char"/>
    <w:basedOn w:val="DefaultParagraphFont"/>
    <w:link w:val="BodyTextIndent"/>
    <w:rsid w:val="008316F3"/>
    <w:rPr>
      <w:sz w:val="22"/>
    </w:rPr>
  </w:style>
  <w:style w:type="paragraph" w:styleId="ListContinue">
    <w:name w:val="List Continue"/>
    <w:basedOn w:val="Normal"/>
    <w:rsid w:val="008316F3"/>
    <w:pPr>
      <w:spacing w:after="120"/>
      <w:ind w:left="283"/>
    </w:pPr>
  </w:style>
  <w:style w:type="paragraph" w:styleId="ListContinue2">
    <w:name w:val="List Continue 2"/>
    <w:basedOn w:val="Normal"/>
    <w:rsid w:val="008316F3"/>
    <w:pPr>
      <w:spacing w:after="120"/>
      <w:ind w:left="566"/>
    </w:pPr>
  </w:style>
  <w:style w:type="paragraph" w:styleId="ListContinue3">
    <w:name w:val="List Continue 3"/>
    <w:basedOn w:val="Normal"/>
    <w:rsid w:val="008316F3"/>
    <w:pPr>
      <w:spacing w:after="120"/>
      <w:ind w:left="849"/>
    </w:pPr>
  </w:style>
  <w:style w:type="paragraph" w:styleId="ListContinue4">
    <w:name w:val="List Continue 4"/>
    <w:basedOn w:val="Normal"/>
    <w:rsid w:val="008316F3"/>
    <w:pPr>
      <w:spacing w:after="120"/>
      <w:ind w:left="1132"/>
    </w:pPr>
  </w:style>
  <w:style w:type="paragraph" w:styleId="ListContinue5">
    <w:name w:val="List Continue 5"/>
    <w:basedOn w:val="Normal"/>
    <w:rsid w:val="008316F3"/>
    <w:pPr>
      <w:spacing w:after="120"/>
      <w:ind w:left="1415"/>
    </w:pPr>
  </w:style>
  <w:style w:type="paragraph" w:styleId="MessageHeader">
    <w:name w:val="Message Header"/>
    <w:basedOn w:val="Normal"/>
    <w:link w:val="MessageHeaderChar"/>
    <w:rsid w:val="008316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316F3"/>
    <w:rPr>
      <w:rFonts w:ascii="Arial" w:hAnsi="Arial" w:cs="Arial"/>
      <w:sz w:val="22"/>
      <w:shd w:val="pct20" w:color="auto" w:fill="auto"/>
    </w:rPr>
  </w:style>
  <w:style w:type="paragraph" w:styleId="Subtitle">
    <w:name w:val="Subtitle"/>
    <w:basedOn w:val="Normal"/>
    <w:link w:val="SubtitleChar"/>
    <w:qFormat/>
    <w:rsid w:val="008316F3"/>
    <w:pPr>
      <w:spacing w:after="60"/>
      <w:jc w:val="center"/>
      <w:outlineLvl w:val="1"/>
    </w:pPr>
    <w:rPr>
      <w:rFonts w:ascii="Arial" w:hAnsi="Arial" w:cs="Arial"/>
    </w:rPr>
  </w:style>
  <w:style w:type="character" w:customStyle="1" w:styleId="SubtitleChar">
    <w:name w:val="Subtitle Char"/>
    <w:basedOn w:val="DefaultParagraphFont"/>
    <w:link w:val="Subtitle"/>
    <w:rsid w:val="008316F3"/>
    <w:rPr>
      <w:rFonts w:ascii="Arial" w:hAnsi="Arial" w:cs="Arial"/>
      <w:sz w:val="22"/>
    </w:rPr>
  </w:style>
  <w:style w:type="paragraph" w:styleId="Salutation">
    <w:name w:val="Salutation"/>
    <w:basedOn w:val="Normal"/>
    <w:next w:val="Normal"/>
    <w:link w:val="SalutationChar"/>
    <w:rsid w:val="008316F3"/>
  </w:style>
  <w:style w:type="character" w:customStyle="1" w:styleId="SalutationChar">
    <w:name w:val="Salutation Char"/>
    <w:basedOn w:val="DefaultParagraphFont"/>
    <w:link w:val="Salutation"/>
    <w:rsid w:val="008316F3"/>
    <w:rPr>
      <w:sz w:val="22"/>
    </w:rPr>
  </w:style>
  <w:style w:type="paragraph" w:styleId="Date">
    <w:name w:val="Date"/>
    <w:basedOn w:val="Normal"/>
    <w:next w:val="Normal"/>
    <w:link w:val="DateChar"/>
    <w:rsid w:val="008316F3"/>
  </w:style>
  <w:style w:type="character" w:customStyle="1" w:styleId="DateChar">
    <w:name w:val="Date Char"/>
    <w:basedOn w:val="DefaultParagraphFont"/>
    <w:link w:val="Date"/>
    <w:rsid w:val="008316F3"/>
    <w:rPr>
      <w:sz w:val="22"/>
    </w:rPr>
  </w:style>
  <w:style w:type="paragraph" w:styleId="BodyTextFirstIndent">
    <w:name w:val="Body Text First Indent"/>
    <w:basedOn w:val="BodyText"/>
    <w:link w:val="BodyTextFirstIndentChar"/>
    <w:rsid w:val="008316F3"/>
    <w:pPr>
      <w:ind w:firstLine="210"/>
    </w:pPr>
  </w:style>
  <w:style w:type="character" w:customStyle="1" w:styleId="BodyTextFirstIndentChar">
    <w:name w:val="Body Text First Indent Char"/>
    <w:basedOn w:val="BodyTextChar"/>
    <w:link w:val="BodyTextFirstIndent"/>
    <w:rsid w:val="008316F3"/>
    <w:rPr>
      <w:sz w:val="22"/>
    </w:rPr>
  </w:style>
  <w:style w:type="paragraph" w:styleId="BodyTextFirstIndent2">
    <w:name w:val="Body Text First Indent 2"/>
    <w:basedOn w:val="BodyTextIndent"/>
    <w:link w:val="BodyTextFirstIndent2Char"/>
    <w:rsid w:val="008316F3"/>
    <w:pPr>
      <w:ind w:firstLine="210"/>
    </w:pPr>
  </w:style>
  <w:style w:type="character" w:customStyle="1" w:styleId="BodyTextFirstIndent2Char">
    <w:name w:val="Body Text First Indent 2 Char"/>
    <w:basedOn w:val="BodyTextIndentChar"/>
    <w:link w:val="BodyTextFirstIndent2"/>
    <w:rsid w:val="008316F3"/>
    <w:rPr>
      <w:sz w:val="22"/>
    </w:rPr>
  </w:style>
  <w:style w:type="paragraph" w:styleId="BodyText2">
    <w:name w:val="Body Text 2"/>
    <w:basedOn w:val="Normal"/>
    <w:link w:val="BodyText2Char"/>
    <w:rsid w:val="008316F3"/>
    <w:pPr>
      <w:spacing w:after="120" w:line="480" w:lineRule="auto"/>
    </w:pPr>
  </w:style>
  <w:style w:type="character" w:customStyle="1" w:styleId="BodyText2Char">
    <w:name w:val="Body Text 2 Char"/>
    <w:basedOn w:val="DefaultParagraphFont"/>
    <w:link w:val="BodyText2"/>
    <w:rsid w:val="008316F3"/>
    <w:rPr>
      <w:sz w:val="22"/>
    </w:rPr>
  </w:style>
  <w:style w:type="paragraph" w:styleId="BodyText3">
    <w:name w:val="Body Text 3"/>
    <w:basedOn w:val="Normal"/>
    <w:link w:val="BodyText3Char"/>
    <w:rsid w:val="008316F3"/>
    <w:pPr>
      <w:spacing w:after="120"/>
    </w:pPr>
    <w:rPr>
      <w:sz w:val="16"/>
      <w:szCs w:val="16"/>
    </w:rPr>
  </w:style>
  <w:style w:type="character" w:customStyle="1" w:styleId="BodyText3Char">
    <w:name w:val="Body Text 3 Char"/>
    <w:basedOn w:val="DefaultParagraphFont"/>
    <w:link w:val="BodyText3"/>
    <w:rsid w:val="008316F3"/>
    <w:rPr>
      <w:sz w:val="16"/>
      <w:szCs w:val="16"/>
    </w:rPr>
  </w:style>
  <w:style w:type="paragraph" w:styleId="BodyTextIndent2">
    <w:name w:val="Body Text Indent 2"/>
    <w:basedOn w:val="Normal"/>
    <w:link w:val="BodyTextIndent2Char"/>
    <w:rsid w:val="008316F3"/>
    <w:pPr>
      <w:spacing w:after="120" w:line="480" w:lineRule="auto"/>
      <w:ind w:left="283"/>
    </w:pPr>
  </w:style>
  <w:style w:type="character" w:customStyle="1" w:styleId="BodyTextIndent2Char">
    <w:name w:val="Body Text Indent 2 Char"/>
    <w:basedOn w:val="DefaultParagraphFont"/>
    <w:link w:val="BodyTextIndent2"/>
    <w:rsid w:val="008316F3"/>
    <w:rPr>
      <w:sz w:val="22"/>
    </w:rPr>
  </w:style>
  <w:style w:type="paragraph" w:styleId="BodyTextIndent3">
    <w:name w:val="Body Text Indent 3"/>
    <w:basedOn w:val="Normal"/>
    <w:link w:val="BodyTextIndent3Char"/>
    <w:rsid w:val="008316F3"/>
    <w:pPr>
      <w:spacing w:after="120"/>
      <w:ind w:left="283"/>
    </w:pPr>
    <w:rPr>
      <w:sz w:val="16"/>
      <w:szCs w:val="16"/>
    </w:rPr>
  </w:style>
  <w:style w:type="character" w:customStyle="1" w:styleId="BodyTextIndent3Char">
    <w:name w:val="Body Text Indent 3 Char"/>
    <w:basedOn w:val="DefaultParagraphFont"/>
    <w:link w:val="BodyTextIndent3"/>
    <w:rsid w:val="008316F3"/>
    <w:rPr>
      <w:sz w:val="16"/>
      <w:szCs w:val="16"/>
    </w:rPr>
  </w:style>
  <w:style w:type="paragraph" w:styleId="BlockText">
    <w:name w:val="Block Text"/>
    <w:basedOn w:val="Normal"/>
    <w:rsid w:val="008316F3"/>
    <w:pPr>
      <w:spacing w:after="120"/>
      <w:ind w:left="1440" w:right="1440"/>
    </w:pPr>
  </w:style>
  <w:style w:type="character" w:styleId="Hyperlink">
    <w:name w:val="Hyperlink"/>
    <w:basedOn w:val="DefaultParagraphFont"/>
    <w:rsid w:val="008316F3"/>
    <w:rPr>
      <w:color w:val="0000FF"/>
      <w:u w:val="single"/>
    </w:rPr>
  </w:style>
  <w:style w:type="character" w:styleId="FollowedHyperlink">
    <w:name w:val="FollowedHyperlink"/>
    <w:basedOn w:val="DefaultParagraphFont"/>
    <w:rsid w:val="008316F3"/>
    <w:rPr>
      <w:color w:val="800080"/>
      <w:u w:val="single"/>
    </w:rPr>
  </w:style>
  <w:style w:type="character" w:styleId="Strong">
    <w:name w:val="Strong"/>
    <w:basedOn w:val="DefaultParagraphFont"/>
    <w:qFormat/>
    <w:rsid w:val="008316F3"/>
    <w:rPr>
      <w:b/>
      <w:bCs/>
    </w:rPr>
  </w:style>
  <w:style w:type="character" w:styleId="Emphasis">
    <w:name w:val="Emphasis"/>
    <w:basedOn w:val="DefaultParagraphFont"/>
    <w:qFormat/>
    <w:rsid w:val="008316F3"/>
    <w:rPr>
      <w:i/>
      <w:iCs/>
    </w:rPr>
  </w:style>
  <w:style w:type="paragraph" w:styleId="DocumentMap">
    <w:name w:val="Document Map"/>
    <w:basedOn w:val="Normal"/>
    <w:link w:val="DocumentMapChar"/>
    <w:rsid w:val="008316F3"/>
    <w:pPr>
      <w:shd w:val="clear" w:color="auto" w:fill="000080"/>
    </w:pPr>
    <w:rPr>
      <w:rFonts w:ascii="Tahoma" w:hAnsi="Tahoma" w:cs="Tahoma"/>
    </w:rPr>
  </w:style>
  <w:style w:type="character" w:customStyle="1" w:styleId="DocumentMapChar">
    <w:name w:val="Document Map Char"/>
    <w:basedOn w:val="DefaultParagraphFont"/>
    <w:link w:val="DocumentMap"/>
    <w:rsid w:val="008316F3"/>
    <w:rPr>
      <w:rFonts w:ascii="Tahoma" w:hAnsi="Tahoma" w:cs="Tahoma"/>
      <w:sz w:val="22"/>
      <w:shd w:val="clear" w:color="auto" w:fill="000080"/>
    </w:rPr>
  </w:style>
  <w:style w:type="paragraph" w:styleId="PlainText">
    <w:name w:val="Plain Text"/>
    <w:basedOn w:val="Normal"/>
    <w:link w:val="PlainTextChar"/>
    <w:rsid w:val="008316F3"/>
    <w:rPr>
      <w:rFonts w:ascii="Courier New" w:hAnsi="Courier New" w:cs="Courier New"/>
      <w:sz w:val="20"/>
    </w:rPr>
  </w:style>
  <w:style w:type="character" w:customStyle="1" w:styleId="PlainTextChar">
    <w:name w:val="Plain Text Char"/>
    <w:basedOn w:val="DefaultParagraphFont"/>
    <w:link w:val="PlainText"/>
    <w:rsid w:val="008316F3"/>
    <w:rPr>
      <w:rFonts w:ascii="Courier New" w:hAnsi="Courier New" w:cs="Courier New"/>
    </w:rPr>
  </w:style>
  <w:style w:type="paragraph" w:styleId="E-mailSignature">
    <w:name w:val="E-mail Signature"/>
    <w:basedOn w:val="Normal"/>
    <w:link w:val="E-mailSignatureChar"/>
    <w:rsid w:val="008316F3"/>
  </w:style>
  <w:style w:type="character" w:customStyle="1" w:styleId="E-mailSignatureChar">
    <w:name w:val="E-mail Signature Char"/>
    <w:basedOn w:val="DefaultParagraphFont"/>
    <w:link w:val="E-mailSignature"/>
    <w:rsid w:val="008316F3"/>
    <w:rPr>
      <w:sz w:val="22"/>
    </w:rPr>
  </w:style>
  <w:style w:type="paragraph" w:styleId="NormalWeb">
    <w:name w:val="Normal (Web)"/>
    <w:basedOn w:val="Normal"/>
    <w:rsid w:val="008316F3"/>
  </w:style>
  <w:style w:type="character" w:styleId="HTMLAcronym">
    <w:name w:val="HTML Acronym"/>
    <w:basedOn w:val="DefaultParagraphFont"/>
    <w:rsid w:val="008316F3"/>
  </w:style>
  <w:style w:type="paragraph" w:styleId="HTMLAddress">
    <w:name w:val="HTML Address"/>
    <w:basedOn w:val="Normal"/>
    <w:link w:val="HTMLAddressChar"/>
    <w:rsid w:val="008316F3"/>
    <w:rPr>
      <w:i/>
      <w:iCs/>
    </w:rPr>
  </w:style>
  <w:style w:type="character" w:customStyle="1" w:styleId="HTMLAddressChar">
    <w:name w:val="HTML Address Char"/>
    <w:basedOn w:val="DefaultParagraphFont"/>
    <w:link w:val="HTMLAddress"/>
    <w:rsid w:val="008316F3"/>
    <w:rPr>
      <w:i/>
      <w:iCs/>
      <w:sz w:val="22"/>
    </w:rPr>
  </w:style>
  <w:style w:type="character" w:styleId="HTMLCite">
    <w:name w:val="HTML Cite"/>
    <w:basedOn w:val="DefaultParagraphFont"/>
    <w:rsid w:val="008316F3"/>
    <w:rPr>
      <w:i/>
      <w:iCs/>
    </w:rPr>
  </w:style>
  <w:style w:type="character" w:styleId="HTMLCode">
    <w:name w:val="HTML Code"/>
    <w:basedOn w:val="DefaultParagraphFont"/>
    <w:rsid w:val="008316F3"/>
    <w:rPr>
      <w:rFonts w:ascii="Courier New" w:hAnsi="Courier New" w:cs="Courier New"/>
      <w:sz w:val="20"/>
      <w:szCs w:val="20"/>
    </w:rPr>
  </w:style>
  <w:style w:type="character" w:styleId="HTMLDefinition">
    <w:name w:val="HTML Definition"/>
    <w:basedOn w:val="DefaultParagraphFont"/>
    <w:rsid w:val="008316F3"/>
    <w:rPr>
      <w:i/>
      <w:iCs/>
    </w:rPr>
  </w:style>
  <w:style w:type="character" w:styleId="HTMLKeyboard">
    <w:name w:val="HTML Keyboard"/>
    <w:basedOn w:val="DefaultParagraphFont"/>
    <w:rsid w:val="008316F3"/>
    <w:rPr>
      <w:rFonts w:ascii="Courier New" w:hAnsi="Courier New" w:cs="Courier New"/>
      <w:sz w:val="20"/>
      <w:szCs w:val="20"/>
    </w:rPr>
  </w:style>
  <w:style w:type="paragraph" w:styleId="HTMLPreformatted">
    <w:name w:val="HTML Preformatted"/>
    <w:basedOn w:val="Normal"/>
    <w:link w:val="HTMLPreformattedChar"/>
    <w:rsid w:val="008316F3"/>
    <w:rPr>
      <w:rFonts w:ascii="Courier New" w:hAnsi="Courier New" w:cs="Courier New"/>
      <w:sz w:val="20"/>
    </w:rPr>
  </w:style>
  <w:style w:type="character" w:customStyle="1" w:styleId="HTMLPreformattedChar">
    <w:name w:val="HTML Preformatted Char"/>
    <w:basedOn w:val="DefaultParagraphFont"/>
    <w:link w:val="HTMLPreformatted"/>
    <w:rsid w:val="008316F3"/>
    <w:rPr>
      <w:rFonts w:ascii="Courier New" w:hAnsi="Courier New" w:cs="Courier New"/>
    </w:rPr>
  </w:style>
  <w:style w:type="character" w:styleId="HTMLSample">
    <w:name w:val="HTML Sample"/>
    <w:basedOn w:val="DefaultParagraphFont"/>
    <w:rsid w:val="008316F3"/>
    <w:rPr>
      <w:rFonts w:ascii="Courier New" w:hAnsi="Courier New" w:cs="Courier New"/>
    </w:rPr>
  </w:style>
  <w:style w:type="character" w:styleId="HTMLTypewriter">
    <w:name w:val="HTML Typewriter"/>
    <w:basedOn w:val="DefaultParagraphFont"/>
    <w:rsid w:val="008316F3"/>
    <w:rPr>
      <w:rFonts w:ascii="Courier New" w:hAnsi="Courier New" w:cs="Courier New"/>
      <w:sz w:val="20"/>
      <w:szCs w:val="20"/>
    </w:rPr>
  </w:style>
  <w:style w:type="character" w:styleId="HTMLVariable">
    <w:name w:val="HTML Variable"/>
    <w:basedOn w:val="DefaultParagraphFont"/>
    <w:rsid w:val="008316F3"/>
    <w:rPr>
      <w:i/>
      <w:iCs/>
    </w:rPr>
  </w:style>
  <w:style w:type="paragraph" w:styleId="CommentSubject">
    <w:name w:val="annotation subject"/>
    <w:basedOn w:val="CommentText"/>
    <w:next w:val="CommentText"/>
    <w:link w:val="CommentSubjectChar"/>
    <w:rsid w:val="008316F3"/>
    <w:rPr>
      <w:b/>
      <w:bCs/>
    </w:rPr>
  </w:style>
  <w:style w:type="character" w:customStyle="1" w:styleId="CommentSubjectChar">
    <w:name w:val="Comment Subject Char"/>
    <w:basedOn w:val="CommentTextChar"/>
    <w:link w:val="CommentSubject"/>
    <w:rsid w:val="008316F3"/>
    <w:rPr>
      <w:b/>
      <w:bCs/>
    </w:rPr>
  </w:style>
  <w:style w:type="numbering" w:styleId="1ai">
    <w:name w:val="Outline List 1"/>
    <w:basedOn w:val="NoList"/>
    <w:rsid w:val="008316F3"/>
    <w:pPr>
      <w:numPr>
        <w:numId w:val="14"/>
      </w:numPr>
    </w:pPr>
  </w:style>
  <w:style w:type="numbering" w:styleId="111111">
    <w:name w:val="Outline List 2"/>
    <w:basedOn w:val="NoList"/>
    <w:rsid w:val="008316F3"/>
    <w:pPr>
      <w:numPr>
        <w:numId w:val="15"/>
      </w:numPr>
    </w:pPr>
  </w:style>
  <w:style w:type="numbering" w:styleId="ArticleSection">
    <w:name w:val="Outline List 3"/>
    <w:basedOn w:val="NoList"/>
    <w:rsid w:val="008316F3"/>
    <w:pPr>
      <w:numPr>
        <w:numId w:val="17"/>
      </w:numPr>
    </w:pPr>
  </w:style>
  <w:style w:type="table" w:styleId="TableSimple1">
    <w:name w:val="Table Simple 1"/>
    <w:basedOn w:val="TableNormal"/>
    <w:rsid w:val="008316F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316F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316F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316F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316F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316F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316F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316F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316F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316F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316F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316F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316F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316F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316F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316F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316F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316F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316F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316F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316F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316F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316F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316F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316F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316F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316F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316F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316F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316F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316F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316F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316F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316F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316F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316F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316F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316F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316F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316F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316F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316F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316F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316F3"/>
    <w:rPr>
      <w:rFonts w:eastAsia="Times New Roman" w:cs="Times New Roman"/>
      <w:b/>
      <w:kern w:val="28"/>
      <w:sz w:val="24"/>
      <w:lang w:eastAsia="en-AU"/>
    </w:rPr>
  </w:style>
  <w:style w:type="paragraph" w:customStyle="1" w:styleId="ETAsubitem">
    <w:name w:val="ETA(subitem)"/>
    <w:basedOn w:val="OPCParaBase"/>
    <w:rsid w:val="008316F3"/>
    <w:pPr>
      <w:tabs>
        <w:tab w:val="right" w:pos="340"/>
      </w:tabs>
      <w:spacing w:before="60" w:line="240" w:lineRule="auto"/>
      <w:ind w:left="454" w:hanging="454"/>
    </w:pPr>
    <w:rPr>
      <w:sz w:val="20"/>
    </w:rPr>
  </w:style>
  <w:style w:type="paragraph" w:customStyle="1" w:styleId="ETApara">
    <w:name w:val="ETA(para)"/>
    <w:basedOn w:val="OPCParaBase"/>
    <w:rsid w:val="008316F3"/>
    <w:pPr>
      <w:tabs>
        <w:tab w:val="right" w:pos="754"/>
      </w:tabs>
      <w:spacing w:before="60" w:line="240" w:lineRule="auto"/>
      <w:ind w:left="828" w:hanging="828"/>
    </w:pPr>
    <w:rPr>
      <w:sz w:val="20"/>
    </w:rPr>
  </w:style>
  <w:style w:type="paragraph" w:customStyle="1" w:styleId="ETAsubpara">
    <w:name w:val="ETA(subpara)"/>
    <w:basedOn w:val="OPCParaBase"/>
    <w:rsid w:val="008316F3"/>
    <w:pPr>
      <w:tabs>
        <w:tab w:val="right" w:pos="1083"/>
      </w:tabs>
      <w:spacing w:before="60" w:line="240" w:lineRule="auto"/>
      <w:ind w:left="1191" w:hanging="1191"/>
    </w:pPr>
    <w:rPr>
      <w:sz w:val="20"/>
    </w:rPr>
  </w:style>
  <w:style w:type="paragraph" w:customStyle="1" w:styleId="ETAsub-subpara">
    <w:name w:val="ETA(sub-subpara)"/>
    <w:basedOn w:val="OPCParaBase"/>
    <w:rsid w:val="008316F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31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16F3"/>
    <w:pPr>
      <w:spacing w:line="260" w:lineRule="atLeast"/>
    </w:pPr>
    <w:rPr>
      <w:sz w:val="22"/>
    </w:rPr>
  </w:style>
  <w:style w:type="paragraph" w:styleId="Heading1">
    <w:name w:val="heading 1"/>
    <w:basedOn w:val="Normal"/>
    <w:next w:val="Normal"/>
    <w:link w:val="Heading1Char"/>
    <w:uiPriority w:val="9"/>
    <w:qFormat/>
    <w:rsid w:val="008316F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16F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16F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16F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316F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316F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316F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316F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316F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316F3"/>
  </w:style>
  <w:style w:type="paragraph" w:customStyle="1" w:styleId="OPCParaBase">
    <w:name w:val="OPCParaBase"/>
    <w:qFormat/>
    <w:rsid w:val="008316F3"/>
    <w:pPr>
      <w:spacing w:line="260" w:lineRule="atLeast"/>
    </w:pPr>
    <w:rPr>
      <w:rFonts w:eastAsia="Times New Roman" w:cs="Times New Roman"/>
      <w:sz w:val="22"/>
      <w:lang w:eastAsia="en-AU"/>
    </w:rPr>
  </w:style>
  <w:style w:type="paragraph" w:customStyle="1" w:styleId="ShortT">
    <w:name w:val="ShortT"/>
    <w:basedOn w:val="OPCParaBase"/>
    <w:next w:val="Normal"/>
    <w:qFormat/>
    <w:rsid w:val="008316F3"/>
    <w:pPr>
      <w:spacing w:line="240" w:lineRule="auto"/>
    </w:pPr>
    <w:rPr>
      <w:b/>
      <w:sz w:val="40"/>
    </w:rPr>
  </w:style>
  <w:style w:type="paragraph" w:customStyle="1" w:styleId="ActHead1">
    <w:name w:val="ActHead 1"/>
    <w:aliases w:val="c"/>
    <w:basedOn w:val="OPCParaBase"/>
    <w:next w:val="Normal"/>
    <w:qFormat/>
    <w:rsid w:val="008316F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316F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316F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316F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316F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316F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316F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316F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316F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316F3"/>
  </w:style>
  <w:style w:type="paragraph" w:customStyle="1" w:styleId="Blocks">
    <w:name w:val="Blocks"/>
    <w:aliases w:val="bb"/>
    <w:basedOn w:val="OPCParaBase"/>
    <w:qFormat/>
    <w:rsid w:val="008316F3"/>
    <w:pPr>
      <w:spacing w:line="240" w:lineRule="auto"/>
    </w:pPr>
    <w:rPr>
      <w:sz w:val="24"/>
    </w:rPr>
  </w:style>
  <w:style w:type="paragraph" w:customStyle="1" w:styleId="BoxText">
    <w:name w:val="BoxText"/>
    <w:aliases w:val="bt"/>
    <w:basedOn w:val="OPCParaBase"/>
    <w:qFormat/>
    <w:rsid w:val="008316F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316F3"/>
    <w:rPr>
      <w:b/>
    </w:rPr>
  </w:style>
  <w:style w:type="paragraph" w:customStyle="1" w:styleId="BoxHeadItalic">
    <w:name w:val="BoxHeadItalic"/>
    <w:aliases w:val="bhi"/>
    <w:basedOn w:val="BoxText"/>
    <w:next w:val="BoxStep"/>
    <w:qFormat/>
    <w:rsid w:val="008316F3"/>
    <w:rPr>
      <w:i/>
    </w:rPr>
  </w:style>
  <w:style w:type="paragraph" w:customStyle="1" w:styleId="BoxList">
    <w:name w:val="BoxList"/>
    <w:aliases w:val="bl"/>
    <w:basedOn w:val="BoxText"/>
    <w:qFormat/>
    <w:rsid w:val="008316F3"/>
    <w:pPr>
      <w:ind w:left="1559" w:hanging="425"/>
    </w:pPr>
  </w:style>
  <w:style w:type="paragraph" w:customStyle="1" w:styleId="BoxNote">
    <w:name w:val="BoxNote"/>
    <w:aliases w:val="bn"/>
    <w:basedOn w:val="BoxText"/>
    <w:qFormat/>
    <w:rsid w:val="008316F3"/>
    <w:pPr>
      <w:tabs>
        <w:tab w:val="left" w:pos="1985"/>
      </w:tabs>
      <w:spacing w:before="122" w:line="198" w:lineRule="exact"/>
      <w:ind w:left="2948" w:hanging="1814"/>
    </w:pPr>
    <w:rPr>
      <w:sz w:val="18"/>
    </w:rPr>
  </w:style>
  <w:style w:type="paragraph" w:customStyle="1" w:styleId="BoxPara">
    <w:name w:val="BoxPara"/>
    <w:aliases w:val="bp"/>
    <w:basedOn w:val="BoxText"/>
    <w:qFormat/>
    <w:rsid w:val="008316F3"/>
    <w:pPr>
      <w:tabs>
        <w:tab w:val="right" w:pos="2268"/>
      </w:tabs>
      <w:ind w:left="2552" w:hanging="1418"/>
    </w:pPr>
  </w:style>
  <w:style w:type="paragraph" w:customStyle="1" w:styleId="BoxStep">
    <w:name w:val="BoxStep"/>
    <w:aliases w:val="bs"/>
    <w:basedOn w:val="BoxText"/>
    <w:qFormat/>
    <w:rsid w:val="008316F3"/>
    <w:pPr>
      <w:ind w:left="1985" w:hanging="851"/>
    </w:pPr>
  </w:style>
  <w:style w:type="character" w:customStyle="1" w:styleId="CharAmPartNo">
    <w:name w:val="CharAmPartNo"/>
    <w:basedOn w:val="OPCCharBase"/>
    <w:qFormat/>
    <w:rsid w:val="008316F3"/>
  </w:style>
  <w:style w:type="character" w:customStyle="1" w:styleId="CharAmPartText">
    <w:name w:val="CharAmPartText"/>
    <w:basedOn w:val="OPCCharBase"/>
    <w:qFormat/>
    <w:rsid w:val="008316F3"/>
  </w:style>
  <w:style w:type="character" w:customStyle="1" w:styleId="CharAmSchNo">
    <w:name w:val="CharAmSchNo"/>
    <w:basedOn w:val="OPCCharBase"/>
    <w:qFormat/>
    <w:rsid w:val="008316F3"/>
  </w:style>
  <w:style w:type="character" w:customStyle="1" w:styleId="CharAmSchText">
    <w:name w:val="CharAmSchText"/>
    <w:basedOn w:val="OPCCharBase"/>
    <w:qFormat/>
    <w:rsid w:val="008316F3"/>
  </w:style>
  <w:style w:type="character" w:customStyle="1" w:styleId="CharBoldItalic">
    <w:name w:val="CharBoldItalic"/>
    <w:basedOn w:val="OPCCharBase"/>
    <w:uiPriority w:val="1"/>
    <w:qFormat/>
    <w:rsid w:val="008316F3"/>
    <w:rPr>
      <w:b/>
      <w:i/>
    </w:rPr>
  </w:style>
  <w:style w:type="character" w:customStyle="1" w:styleId="CharChapNo">
    <w:name w:val="CharChapNo"/>
    <w:basedOn w:val="OPCCharBase"/>
    <w:uiPriority w:val="1"/>
    <w:qFormat/>
    <w:rsid w:val="008316F3"/>
  </w:style>
  <w:style w:type="character" w:customStyle="1" w:styleId="CharChapText">
    <w:name w:val="CharChapText"/>
    <w:basedOn w:val="OPCCharBase"/>
    <w:uiPriority w:val="1"/>
    <w:qFormat/>
    <w:rsid w:val="008316F3"/>
  </w:style>
  <w:style w:type="character" w:customStyle="1" w:styleId="CharDivNo">
    <w:name w:val="CharDivNo"/>
    <w:basedOn w:val="OPCCharBase"/>
    <w:uiPriority w:val="1"/>
    <w:qFormat/>
    <w:rsid w:val="008316F3"/>
  </w:style>
  <w:style w:type="character" w:customStyle="1" w:styleId="CharDivText">
    <w:name w:val="CharDivText"/>
    <w:basedOn w:val="OPCCharBase"/>
    <w:uiPriority w:val="1"/>
    <w:qFormat/>
    <w:rsid w:val="008316F3"/>
  </w:style>
  <w:style w:type="character" w:customStyle="1" w:styleId="CharItalic">
    <w:name w:val="CharItalic"/>
    <w:basedOn w:val="OPCCharBase"/>
    <w:uiPriority w:val="1"/>
    <w:qFormat/>
    <w:rsid w:val="008316F3"/>
    <w:rPr>
      <w:i/>
    </w:rPr>
  </w:style>
  <w:style w:type="character" w:customStyle="1" w:styleId="CharPartNo">
    <w:name w:val="CharPartNo"/>
    <w:basedOn w:val="OPCCharBase"/>
    <w:uiPriority w:val="1"/>
    <w:qFormat/>
    <w:rsid w:val="008316F3"/>
  </w:style>
  <w:style w:type="character" w:customStyle="1" w:styleId="CharPartText">
    <w:name w:val="CharPartText"/>
    <w:basedOn w:val="OPCCharBase"/>
    <w:uiPriority w:val="1"/>
    <w:qFormat/>
    <w:rsid w:val="008316F3"/>
  </w:style>
  <w:style w:type="character" w:customStyle="1" w:styleId="CharSectno">
    <w:name w:val="CharSectno"/>
    <w:basedOn w:val="OPCCharBase"/>
    <w:qFormat/>
    <w:rsid w:val="008316F3"/>
  </w:style>
  <w:style w:type="character" w:customStyle="1" w:styleId="CharSubdNo">
    <w:name w:val="CharSubdNo"/>
    <w:basedOn w:val="OPCCharBase"/>
    <w:uiPriority w:val="1"/>
    <w:qFormat/>
    <w:rsid w:val="008316F3"/>
  </w:style>
  <w:style w:type="character" w:customStyle="1" w:styleId="CharSubdText">
    <w:name w:val="CharSubdText"/>
    <w:basedOn w:val="OPCCharBase"/>
    <w:uiPriority w:val="1"/>
    <w:qFormat/>
    <w:rsid w:val="008316F3"/>
  </w:style>
  <w:style w:type="paragraph" w:customStyle="1" w:styleId="CTA--">
    <w:name w:val="CTA --"/>
    <w:basedOn w:val="OPCParaBase"/>
    <w:next w:val="Normal"/>
    <w:rsid w:val="008316F3"/>
    <w:pPr>
      <w:spacing w:before="60" w:line="240" w:lineRule="atLeast"/>
      <w:ind w:left="142" w:hanging="142"/>
    </w:pPr>
    <w:rPr>
      <w:sz w:val="20"/>
    </w:rPr>
  </w:style>
  <w:style w:type="paragraph" w:customStyle="1" w:styleId="CTA-">
    <w:name w:val="CTA -"/>
    <w:basedOn w:val="OPCParaBase"/>
    <w:rsid w:val="008316F3"/>
    <w:pPr>
      <w:spacing w:before="60" w:line="240" w:lineRule="atLeast"/>
      <w:ind w:left="85" w:hanging="85"/>
    </w:pPr>
    <w:rPr>
      <w:sz w:val="20"/>
    </w:rPr>
  </w:style>
  <w:style w:type="paragraph" w:customStyle="1" w:styleId="CTA---">
    <w:name w:val="CTA ---"/>
    <w:basedOn w:val="OPCParaBase"/>
    <w:next w:val="Normal"/>
    <w:rsid w:val="008316F3"/>
    <w:pPr>
      <w:spacing w:before="60" w:line="240" w:lineRule="atLeast"/>
      <w:ind w:left="198" w:hanging="198"/>
    </w:pPr>
    <w:rPr>
      <w:sz w:val="20"/>
    </w:rPr>
  </w:style>
  <w:style w:type="paragraph" w:customStyle="1" w:styleId="CTA----">
    <w:name w:val="CTA ----"/>
    <w:basedOn w:val="OPCParaBase"/>
    <w:next w:val="Normal"/>
    <w:rsid w:val="008316F3"/>
    <w:pPr>
      <w:spacing w:before="60" w:line="240" w:lineRule="atLeast"/>
      <w:ind w:left="255" w:hanging="255"/>
    </w:pPr>
    <w:rPr>
      <w:sz w:val="20"/>
    </w:rPr>
  </w:style>
  <w:style w:type="paragraph" w:customStyle="1" w:styleId="CTA1a">
    <w:name w:val="CTA 1(a)"/>
    <w:basedOn w:val="OPCParaBase"/>
    <w:rsid w:val="008316F3"/>
    <w:pPr>
      <w:tabs>
        <w:tab w:val="right" w:pos="414"/>
      </w:tabs>
      <w:spacing w:before="40" w:line="240" w:lineRule="atLeast"/>
      <w:ind w:left="675" w:hanging="675"/>
    </w:pPr>
    <w:rPr>
      <w:sz w:val="20"/>
    </w:rPr>
  </w:style>
  <w:style w:type="paragraph" w:customStyle="1" w:styleId="CTA1ai">
    <w:name w:val="CTA 1(a)(i)"/>
    <w:basedOn w:val="OPCParaBase"/>
    <w:rsid w:val="008316F3"/>
    <w:pPr>
      <w:tabs>
        <w:tab w:val="right" w:pos="1004"/>
      </w:tabs>
      <w:spacing w:before="40" w:line="240" w:lineRule="atLeast"/>
      <w:ind w:left="1253" w:hanging="1253"/>
    </w:pPr>
    <w:rPr>
      <w:sz w:val="20"/>
    </w:rPr>
  </w:style>
  <w:style w:type="paragraph" w:customStyle="1" w:styleId="CTA2a">
    <w:name w:val="CTA 2(a)"/>
    <w:basedOn w:val="OPCParaBase"/>
    <w:rsid w:val="008316F3"/>
    <w:pPr>
      <w:tabs>
        <w:tab w:val="right" w:pos="482"/>
      </w:tabs>
      <w:spacing w:before="40" w:line="240" w:lineRule="atLeast"/>
      <w:ind w:left="748" w:hanging="748"/>
    </w:pPr>
    <w:rPr>
      <w:sz w:val="20"/>
    </w:rPr>
  </w:style>
  <w:style w:type="paragraph" w:customStyle="1" w:styleId="CTA2ai">
    <w:name w:val="CTA 2(a)(i)"/>
    <w:basedOn w:val="OPCParaBase"/>
    <w:rsid w:val="008316F3"/>
    <w:pPr>
      <w:tabs>
        <w:tab w:val="right" w:pos="1089"/>
      </w:tabs>
      <w:spacing w:before="40" w:line="240" w:lineRule="atLeast"/>
      <w:ind w:left="1327" w:hanging="1327"/>
    </w:pPr>
    <w:rPr>
      <w:sz w:val="20"/>
    </w:rPr>
  </w:style>
  <w:style w:type="paragraph" w:customStyle="1" w:styleId="CTA3a">
    <w:name w:val="CTA 3(a)"/>
    <w:basedOn w:val="OPCParaBase"/>
    <w:rsid w:val="008316F3"/>
    <w:pPr>
      <w:tabs>
        <w:tab w:val="right" w:pos="556"/>
      </w:tabs>
      <w:spacing w:before="40" w:line="240" w:lineRule="atLeast"/>
      <w:ind w:left="805" w:hanging="805"/>
    </w:pPr>
    <w:rPr>
      <w:sz w:val="20"/>
    </w:rPr>
  </w:style>
  <w:style w:type="paragraph" w:customStyle="1" w:styleId="CTA3ai">
    <w:name w:val="CTA 3(a)(i)"/>
    <w:basedOn w:val="OPCParaBase"/>
    <w:rsid w:val="008316F3"/>
    <w:pPr>
      <w:tabs>
        <w:tab w:val="right" w:pos="1140"/>
      </w:tabs>
      <w:spacing w:before="40" w:line="240" w:lineRule="atLeast"/>
      <w:ind w:left="1361" w:hanging="1361"/>
    </w:pPr>
    <w:rPr>
      <w:sz w:val="20"/>
    </w:rPr>
  </w:style>
  <w:style w:type="paragraph" w:customStyle="1" w:styleId="CTA4a">
    <w:name w:val="CTA 4(a)"/>
    <w:basedOn w:val="OPCParaBase"/>
    <w:rsid w:val="008316F3"/>
    <w:pPr>
      <w:tabs>
        <w:tab w:val="right" w:pos="624"/>
      </w:tabs>
      <w:spacing w:before="40" w:line="240" w:lineRule="atLeast"/>
      <w:ind w:left="873" w:hanging="873"/>
    </w:pPr>
    <w:rPr>
      <w:sz w:val="20"/>
    </w:rPr>
  </w:style>
  <w:style w:type="paragraph" w:customStyle="1" w:styleId="CTA4ai">
    <w:name w:val="CTA 4(a)(i)"/>
    <w:basedOn w:val="OPCParaBase"/>
    <w:rsid w:val="008316F3"/>
    <w:pPr>
      <w:tabs>
        <w:tab w:val="right" w:pos="1213"/>
      </w:tabs>
      <w:spacing w:before="40" w:line="240" w:lineRule="atLeast"/>
      <w:ind w:left="1452" w:hanging="1452"/>
    </w:pPr>
    <w:rPr>
      <w:sz w:val="20"/>
    </w:rPr>
  </w:style>
  <w:style w:type="paragraph" w:customStyle="1" w:styleId="CTACAPS">
    <w:name w:val="CTA CAPS"/>
    <w:basedOn w:val="OPCParaBase"/>
    <w:rsid w:val="008316F3"/>
    <w:pPr>
      <w:spacing w:before="60" w:line="240" w:lineRule="atLeast"/>
    </w:pPr>
    <w:rPr>
      <w:sz w:val="20"/>
    </w:rPr>
  </w:style>
  <w:style w:type="paragraph" w:customStyle="1" w:styleId="CTAright">
    <w:name w:val="CTA right"/>
    <w:basedOn w:val="OPCParaBase"/>
    <w:rsid w:val="008316F3"/>
    <w:pPr>
      <w:spacing w:before="60" w:line="240" w:lineRule="auto"/>
      <w:jc w:val="right"/>
    </w:pPr>
    <w:rPr>
      <w:sz w:val="20"/>
    </w:rPr>
  </w:style>
  <w:style w:type="paragraph" w:customStyle="1" w:styleId="subsection">
    <w:name w:val="subsection"/>
    <w:aliases w:val="ss,Subsection"/>
    <w:basedOn w:val="OPCParaBase"/>
    <w:link w:val="subsectionChar"/>
    <w:rsid w:val="008316F3"/>
    <w:pPr>
      <w:tabs>
        <w:tab w:val="right" w:pos="1021"/>
      </w:tabs>
      <w:spacing w:before="180" w:line="240" w:lineRule="auto"/>
      <w:ind w:left="1134" w:hanging="1134"/>
    </w:pPr>
  </w:style>
  <w:style w:type="paragraph" w:customStyle="1" w:styleId="Definition">
    <w:name w:val="Definition"/>
    <w:aliases w:val="dd"/>
    <w:basedOn w:val="OPCParaBase"/>
    <w:rsid w:val="008316F3"/>
    <w:pPr>
      <w:spacing w:before="180" w:line="240" w:lineRule="auto"/>
      <w:ind w:left="1134"/>
    </w:pPr>
  </w:style>
  <w:style w:type="paragraph" w:customStyle="1" w:styleId="EndNotespara">
    <w:name w:val="EndNotes(para)"/>
    <w:aliases w:val="eta"/>
    <w:basedOn w:val="OPCParaBase"/>
    <w:next w:val="EndNotessubpara"/>
    <w:rsid w:val="008316F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316F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316F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316F3"/>
    <w:pPr>
      <w:tabs>
        <w:tab w:val="right" w:pos="1412"/>
      </w:tabs>
      <w:spacing w:before="60" w:line="240" w:lineRule="auto"/>
      <w:ind w:left="1525" w:hanging="1525"/>
    </w:pPr>
    <w:rPr>
      <w:sz w:val="20"/>
    </w:rPr>
  </w:style>
  <w:style w:type="paragraph" w:customStyle="1" w:styleId="Formula">
    <w:name w:val="Formula"/>
    <w:basedOn w:val="OPCParaBase"/>
    <w:rsid w:val="008316F3"/>
    <w:pPr>
      <w:spacing w:line="240" w:lineRule="auto"/>
      <w:ind w:left="1134"/>
    </w:pPr>
    <w:rPr>
      <w:sz w:val="20"/>
    </w:rPr>
  </w:style>
  <w:style w:type="paragraph" w:styleId="Header">
    <w:name w:val="header"/>
    <w:basedOn w:val="OPCParaBase"/>
    <w:link w:val="HeaderChar"/>
    <w:unhideWhenUsed/>
    <w:rsid w:val="008316F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316F3"/>
    <w:rPr>
      <w:rFonts w:eastAsia="Times New Roman" w:cs="Times New Roman"/>
      <w:sz w:val="16"/>
      <w:lang w:eastAsia="en-AU"/>
    </w:rPr>
  </w:style>
  <w:style w:type="paragraph" w:customStyle="1" w:styleId="House">
    <w:name w:val="House"/>
    <w:basedOn w:val="OPCParaBase"/>
    <w:rsid w:val="008316F3"/>
    <w:pPr>
      <w:spacing w:line="240" w:lineRule="auto"/>
    </w:pPr>
    <w:rPr>
      <w:sz w:val="28"/>
    </w:rPr>
  </w:style>
  <w:style w:type="paragraph" w:customStyle="1" w:styleId="Item">
    <w:name w:val="Item"/>
    <w:aliases w:val="i"/>
    <w:basedOn w:val="OPCParaBase"/>
    <w:next w:val="ItemHead"/>
    <w:rsid w:val="008316F3"/>
    <w:pPr>
      <w:keepLines/>
      <w:spacing w:before="80" w:line="240" w:lineRule="auto"/>
      <w:ind w:left="709"/>
    </w:pPr>
  </w:style>
  <w:style w:type="paragraph" w:customStyle="1" w:styleId="ItemHead">
    <w:name w:val="ItemHead"/>
    <w:aliases w:val="ih"/>
    <w:basedOn w:val="OPCParaBase"/>
    <w:next w:val="Item"/>
    <w:rsid w:val="008316F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316F3"/>
    <w:pPr>
      <w:spacing w:line="240" w:lineRule="auto"/>
    </w:pPr>
    <w:rPr>
      <w:b/>
      <w:sz w:val="32"/>
    </w:rPr>
  </w:style>
  <w:style w:type="paragraph" w:customStyle="1" w:styleId="notedraft">
    <w:name w:val="note(draft)"/>
    <w:aliases w:val="nd"/>
    <w:basedOn w:val="OPCParaBase"/>
    <w:rsid w:val="008316F3"/>
    <w:pPr>
      <w:spacing w:before="240" w:line="240" w:lineRule="auto"/>
      <w:ind w:left="284" w:hanging="284"/>
    </w:pPr>
    <w:rPr>
      <w:i/>
      <w:sz w:val="24"/>
    </w:rPr>
  </w:style>
  <w:style w:type="paragraph" w:customStyle="1" w:styleId="notemargin">
    <w:name w:val="note(margin)"/>
    <w:aliases w:val="nm"/>
    <w:basedOn w:val="OPCParaBase"/>
    <w:rsid w:val="008316F3"/>
    <w:pPr>
      <w:tabs>
        <w:tab w:val="left" w:pos="709"/>
      </w:tabs>
      <w:spacing w:before="122" w:line="198" w:lineRule="exact"/>
      <w:ind w:left="709" w:hanging="709"/>
    </w:pPr>
    <w:rPr>
      <w:sz w:val="18"/>
    </w:rPr>
  </w:style>
  <w:style w:type="paragraph" w:customStyle="1" w:styleId="noteToPara">
    <w:name w:val="noteToPara"/>
    <w:aliases w:val="ntp"/>
    <w:basedOn w:val="OPCParaBase"/>
    <w:rsid w:val="008316F3"/>
    <w:pPr>
      <w:spacing w:before="122" w:line="198" w:lineRule="exact"/>
      <w:ind w:left="2353" w:hanging="709"/>
    </w:pPr>
    <w:rPr>
      <w:sz w:val="18"/>
    </w:rPr>
  </w:style>
  <w:style w:type="paragraph" w:customStyle="1" w:styleId="noteParlAmend">
    <w:name w:val="note(ParlAmend)"/>
    <w:aliases w:val="npp"/>
    <w:basedOn w:val="OPCParaBase"/>
    <w:next w:val="ParlAmend"/>
    <w:rsid w:val="008316F3"/>
    <w:pPr>
      <w:spacing w:line="240" w:lineRule="auto"/>
      <w:jc w:val="right"/>
    </w:pPr>
    <w:rPr>
      <w:rFonts w:ascii="Arial" w:hAnsi="Arial"/>
      <w:b/>
      <w:i/>
    </w:rPr>
  </w:style>
  <w:style w:type="paragraph" w:customStyle="1" w:styleId="Page1">
    <w:name w:val="Page1"/>
    <w:basedOn w:val="OPCParaBase"/>
    <w:rsid w:val="008316F3"/>
    <w:pPr>
      <w:spacing w:before="5600" w:line="240" w:lineRule="auto"/>
    </w:pPr>
    <w:rPr>
      <w:b/>
      <w:sz w:val="32"/>
    </w:rPr>
  </w:style>
  <w:style w:type="paragraph" w:customStyle="1" w:styleId="PageBreak">
    <w:name w:val="PageBreak"/>
    <w:aliases w:val="pb"/>
    <w:basedOn w:val="OPCParaBase"/>
    <w:rsid w:val="008316F3"/>
    <w:pPr>
      <w:spacing w:line="240" w:lineRule="auto"/>
    </w:pPr>
    <w:rPr>
      <w:sz w:val="20"/>
    </w:rPr>
  </w:style>
  <w:style w:type="paragraph" w:customStyle="1" w:styleId="paragraphsub">
    <w:name w:val="paragraph(sub)"/>
    <w:aliases w:val="aa"/>
    <w:basedOn w:val="OPCParaBase"/>
    <w:rsid w:val="008316F3"/>
    <w:pPr>
      <w:tabs>
        <w:tab w:val="right" w:pos="1985"/>
      </w:tabs>
      <w:spacing w:before="40" w:line="240" w:lineRule="auto"/>
      <w:ind w:left="2098" w:hanging="2098"/>
    </w:pPr>
  </w:style>
  <w:style w:type="paragraph" w:customStyle="1" w:styleId="paragraphsub-sub">
    <w:name w:val="paragraph(sub-sub)"/>
    <w:aliases w:val="aaa"/>
    <w:basedOn w:val="OPCParaBase"/>
    <w:rsid w:val="008316F3"/>
    <w:pPr>
      <w:tabs>
        <w:tab w:val="right" w:pos="2722"/>
      </w:tabs>
      <w:spacing w:before="40" w:line="240" w:lineRule="auto"/>
      <w:ind w:left="2835" w:hanging="2835"/>
    </w:pPr>
  </w:style>
  <w:style w:type="paragraph" w:customStyle="1" w:styleId="paragraph">
    <w:name w:val="paragraph"/>
    <w:aliases w:val="a"/>
    <w:basedOn w:val="OPCParaBase"/>
    <w:rsid w:val="008316F3"/>
    <w:pPr>
      <w:tabs>
        <w:tab w:val="right" w:pos="1531"/>
      </w:tabs>
      <w:spacing w:before="40" w:line="240" w:lineRule="auto"/>
      <w:ind w:left="1644" w:hanging="1644"/>
    </w:pPr>
  </w:style>
  <w:style w:type="paragraph" w:customStyle="1" w:styleId="ParlAmend">
    <w:name w:val="ParlAmend"/>
    <w:aliases w:val="pp"/>
    <w:basedOn w:val="OPCParaBase"/>
    <w:rsid w:val="008316F3"/>
    <w:pPr>
      <w:spacing w:before="240" w:line="240" w:lineRule="atLeast"/>
      <w:ind w:hanging="567"/>
    </w:pPr>
    <w:rPr>
      <w:sz w:val="24"/>
    </w:rPr>
  </w:style>
  <w:style w:type="paragraph" w:customStyle="1" w:styleId="Penalty">
    <w:name w:val="Penalty"/>
    <w:basedOn w:val="OPCParaBase"/>
    <w:rsid w:val="008316F3"/>
    <w:pPr>
      <w:tabs>
        <w:tab w:val="left" w:pos="2977"/>
      </w:tabs>
      <w:spacing w:before="180" w:line="240" w:lineRule="auto"/>
      <w:ind w:left="1985" w:hanging="851"/>
    </w:pPr>
  </w:style>
  <w:style w:type="paragraph" w:customStyle="1" w:styleId="Portfolio">
    <w:name w:val="Portfolio"/>
    <w:basedOn w:val="OPCParaBase"/>
    <w:rsid w:val="008316F3"/>
    <w:pPr>
      <w:spacing w:line="240" w:lineRule="auto"/>
    </w:pPr>
    <w:rPr>
      <w:i/>
      <w:sz w:val="20"/>
    </w:rPr>
  </w:style>
  <w:style w:type="paragraph" w:customStyle="1" w:styleId="Preamble">
    <w:name w:val="Preamble"/>
    <w:basedOn w:val="OPCParaBase"/>
    <w:next w:val="Normal"/>
    <w:rsid w:val="008316F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316F3"/>
    <w:pPr>
      <w:spacing w:line="240" w:lineRule="auto"/>
    </w:pPr>
    <w:rPr>
      <w:i/>
      <w:sz w:val="20"/>
    </w:rPr>
  </w:style>
  <w:style w:type="paragraph" w:customStyle="1" w:styleId="Session">
    <w:name w:val="Session"/>
    <w:basedOn w:val="OPCParaBase"/>
    <w:rsid w:val="008316F3"/>
    <w:pPr>
      <w:spacing w:line="240" w:lineRule="auto"/>
    </w:pPr>
    <w:rPr>
      <w:sz w:val="28"/>
    </w:rPr>
  </w:style>
  <w:style w:type="paragraph" w:customStyle="1" w:styleId="Sponsor">
    <w:name w:val="Sponsor"/>
    <w:basedOn w:val="OPCParaBase"/>
    <w:rsid w:val="008316F3"/>
    <w:pPr>
      <w:spacing w:line="240" w:lineRule="auto"/>
    </w:pPr>
    <w:rPr>
      <w:i/>
    </w:rPr>
  </w:style>
  <w:style w:type="paragraph" w:customStyle="1" w:styleId="Subitem">
    <w:name w:val="Subitem"/>
    <w:aliases w:val="iss"/>
    <w:basedOn w:val="OPCParaBase"/>
    <w:rsid w:val="008316F3"/>
    <w:pPr>
      <w:spacing w:before="180" w:line="240" w:lineRule="auto"/>
      <w:ind w:left="709" w:hanging="709"/>
    </w:pPr>
  </w:style>
  <w:style w:type="paragraph" w:customStyle="1" w:styleId="SubitemHead">
    <w:name w:val="SubitemHead"/>
    <w:aliases w:val="issh"/>
    <w:basedOn w:val="OPCParaBase"/>
    <w:rsid w:val="008316F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316F3"/>
    <w:pPr>
      <w:spacing w:before="40" w:line="240" w:lineRule="auto"/>
      <w:ind w:left="1134"/>
    </w:pPr>
  </w:style>
  <w:style w:type="paragraph" w:customStyle="1" w:styleId="SubsectionHead">
    <w:name w:val="SubsectionHead"/>
    <w:aliases w:val="ssh"/>
    <w:basedOn w:val="OPCParaBase"/>
    <w:next w:val="subsection"/>
    <w:rsid w:val="008316F3"/>
    <w:pPr>
      <w:keepNext/>
      <w:keepLines/>
      <w:spacing w:before="240" w:line="240" w:lineRule="auto"/>
      <w:ind w:left="1134"/>
    </w:pPr>
    <w:rPr>
      <w:i/>
    </w:rPr>
  </w:style>
  <w:style w:type="paragraph" w:customStyle="1" w:styleId="Tablea">
    <w:name w:val="Table(a)"/>
    <w:aliases w:val="ta"/>
    <w:basedOn w:val="OPCParaBase"/>
    <w:rsid w:val="008316F3"/>
    <w:pPr>
      <w:spacing w:before="60" w:line="240" w:lineRule="auto"/>
      <w:ind w:left="284" w:hanging="284"/>
    </w:pPr>
    <w:rPr>
      <w:sz w:val="20"/>
    </w:rPr>
  </w:style>
  <w:style w:type="paragraph" w:customStyle="1" w:styleId="TableAA">
    <w:name w:val="Table(AA)"/>
    <w:aliases w:val="taaa"/>
    <w:basedOn w:val="OPCParaBase"/>
    <w:rsid w:val="008316F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316F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316F3"/>
    <w:pPr>
      <w:spacing w:before="60" w:line="240" w:lineRule="atLeast"/>
    </w:pPr>
    <w:rPr>
      <w:sz w:val="20"/>
    </w:rPr>
  </w:style>
  <w:style w:type="paragraph" w:customStyle="1" w:styleId="TLPBoxTextnote">
    <w:name w:val="TLPBoxText(note"/>
    <w:aliases w:val="right)"/>
    <w:basedOn w:val="OPCParaBase"/>
    <w:rsid w:val="008316F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316F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316F3"/>
    <w:pPr>
      <w:spacing w:before="122" w:line="198" w:lineRule="exact"/>
      <w:ind w:left="1985" w:hanging="851"/>
      <w:jc w:val="right"/>
    </w:pPr>
    <w:rPr>
      <w:sz w:val="18"/>
    </w:rPr>
  </w:style>
  <w:style w:type="paragraph" w:customStyle="1" w:styleId="TLPTableBullet">
    <w:name w:val="TLPTableBullet"/>
    <w:aliases w:val="ttb"/>
    <w:basedOn w:val="OPCParaBase"/>
    <w:rsid w:val="008316F3"/>
    <w:pPr>
      <w:spacing w:line="240" w:lineRule="exact"/>
      <w:ind w:left="284" w:hanging="284"/>
    </w:pPr>
    <w:rPr>
      <w:sz w:val="20"/>
    </w:rPr>
  </w:style>
  <w:style w:type="paragraph" w:styleId="TOC1">
    <w:name w:val="toc 1"/>
    <w:basedOn w:val="Normal"/>
    <w:next w:val="Normal"/>
    <w:uiPriority w:val="39"/>
    <w:unhideWhenUsed/>
    <w:rsid w:val="008316F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316F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316F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316F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316F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316F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316F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316F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316F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316F3"/>
    <w:pPr>
      <w:keepLines/>
      <w:spacing w:before="240" w:after="120" w:line="240" w:lineRule="auto"/>
      <w:ind w:left="794"/>
    </w:pPr>
    <w:rPr>
      <w:b/>
      <w:kern w:val="28"/>
      <w:sz w:val="20"/>
    </w:rPr>
  </w:style>
  <w:style w:type="paragraph" w:customStyle="1" w:styleId="TofSectsHeading">
    <w:name w:val="TofSects(Heading)"/>
    <w:basedOn w:val="OPCParaBase"/>
    <w:rsid w:val="008316F3"/>
    <w:pPr>
      <w:spacing w:before="240" w:after="120" w:line="240" w:lineRule="auto"/>
    </w:pPr>
    <w:rPr>
      <w:b/>
      <w:sz w:val="24"/>
    </w:rPr>
  </w:style>
  <w:style w:type="paragraph" w:customStyle="1" w:styleId="TofSectsSection">
    <w:name w:val="TofSects(Section)"/>
    <w:basedOn w:val="OPCParaBase"/>
    <w:rsid w:val="008316F3"/>
    <w:pPr>
      <w:keepLines/>
      <w:spacing w:before="40" w:line="240" w:lineRule="auto"/>
      <w:ind w:left="1588" w:hanging="794"/>
    </w:pPr>
    <w:rPr>
      <w:kern w:val="28"/>
      <w:sz w:val="18"/>
    </w:rPr>
  </w:style>
  <w:style w:type="paragraph" w:customStyle="1" w:styleId="TofSectsSubdiv">
    <w:name w:val="TofSects(Subdiv)"/>
    <w:basedOn w:val="OPCParaBase"/>
    <w:rsid w:val="008316F3"/>
    <w:pPr>
      <w:keepLines/>
      <w:spacing w:before="80" w:line="240" w:lineRule="auto"/>
      <w:ind w:left="1588" w:hanging="794"/>
    </w:pPr>
    <w:rPr>
      <w:kern w:val="28"/>
    </w:rPr>
  </w:style>
  <w:style w:type="paragraph" w:customStyle="1" w:styleId="WRStyle">
    <w:name w:val="WR Style"/>
    <w:aliases w:val="WR"/>
    <w:basedOn w:val="OPCParaBase"/>
    <w:rsid w:val="008316F3"/>
    <w:pPr>
      <w:spacing w:before="240" w:line="240" w:lineRule="auto"/>
      <w:ind w:left="284" w:hanging="284"/>
    </w:pPr>
    <w:rPr>
      <w:b/>
      <w:i/>
      <w:kern w:val="28"/>
      <w:sz w:val="24"/>
    </w:rPr>
  </w:style>
  <w:style w:type="paragraph" w:customStyle="1" w:styleId="notepara">
    <w:name w:val="note(para)"/>
    <w:aliases w:val="na"/>
    <w:basedOn w:val="OPCParaBase"/>
    <w:rsid w:val="008316F3"/>
    <w:pPr>
      <w:spacing w:before="40" w:line="198" w:lineRule="exact"/>
      <w:ind w:left="2354" w:hanging="369"/>
    </w:pPr>
    <w:rPr>
      <w:sz w:val="18"/>
    </w:rPr>
  </w:style>
  <w:style w:type="paragraph" w:styleId="Footer">
    <w:name w:val="footer"/>
    <w:link w:val="FooterChar"/>
    <w:rsid w:val="008316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316F3"/>
    <w:rPr>
      <w:rFonts w:eastAsia="Times New Roman" w:cs="Times New Roman"/>
      <w:sz w:val="22"/>
      <w:szCs w:val="24"/>
      <w:lang w:eastAsia="en-AU"/>
    </w:rPr>
  </w:style>
  <w:style w:type="character" w:styleId="LineNumber">
    <w:name w:val="line number"/>
    <w:basedOn w:val="OPCCharBase"/>
    <w:uiPriority w:val="99"/>
    <w:unhideWhenUsed/>
    <w:rsid w:val="008316F3"/>
    <w:rPr>
      <w:sz w:val="16"/>
    </w:rPr>
  </w:style>
  <w:style w:type="table" w:customStyle="1" w:styleId="CFlag">
    <w:name w:val="CFlag"/>
    <w:basedOn w:val="TableNormal"/>
    <w:uiPriority w:val="99"/>
    <w:rsid w:val="008316F3"/>
    <w:rPr>
      <w:rFonts w:eastAsia="Times New Roman" w:cs="Times New Roman"/>
      <w:lang w:eastAsia="en-AU"/>
    </w:rPr>
    <w:tblPr/>
  </w:style>
  <w:style w:type="paragraph" w:styleId="BalloonText">
    <w:name w:val="Balloon Text"/>
    <w:basedOn w:val="Normal"/>
    <w:link w:val="BalloonTextChar"/>
    <w:uiPriority w:val="99"/>
    <w:unhideWhenUsed/>
    <w:rsid w:val="008316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316F3"/>
    <w:rPr>
      <w:rFonts w:ascii="Tahoma" w:hAnsi="Tahoma" w:cs="Tahoma"/>
      <w:sz w:val="16"/>
      <w:szCs w:val="16"/>
    </w:rPr>
  </w:style>
  <w:style w:type="table" w:styleId="TableGrid">
    <w:name w:val="Table Grid"/>
    <w:basedOn w:val="TableNormal"/>
    <w:uiPriority w:val="59"/>
    <w:rsid w:val="00831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316F3"/>
    <w:rPr>
      <w:b/>
      <w:sz w:val="28"/>
      <w:szCs w:val="32"/>
    </w:rPr>
  </w:style>
  <w:style w:type="paragraph" w:customStyle="1" w:styleId="LegislationMadeUnder">
    <w:name w:val="LegislationMadeUnder"/>
    <w:basedOn w:val="OPCParaBase"/>
    <w:next w:val="Normal"/>
    <w:rsid w:val="008316F3"/>
    <w:rPr>
      <w:i/>
      <w:sz w:val="32"/>
      <w:szCs w:val="32"/>
    </w:rPr>
  </w:style>
  <w:style w:type="paragraph" w:customStyle="1" w:styleId="SignCoverPageEnd">
    <w:name w:val="SignCoverPageEnd"/>
    <w:basedOn w:val="OPCParaBase"/>
    <w:next w:val="Normal"/>
    <w:rsid w:val="008316F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316F3"/>
    <w:pPr>
      <w:pBdr>
        <w:top w:val="single" w:sz="4" w:space="1" w:color="auto"/>
      </w:pBdr>
      <w:spacing w:before="360"/>
      <w:ind w:right="397"/>
      <w:jc w:val="both"/>
    </w:pPr>
  </w:style>
  <w:style w:type="paragraph" w:customStyle="1" w:styleId="NotesHeading1">
    <w:name w:val="NotesHeading 1"/>
    <w:basedOn w:val="OPCParaBase"/>
    <w:next w:val="Normal"/>
    <w:rsid w:val="008316F3"/>
    <w:rPr>
      <w:b/>
      <w:sz w:val="28"/>
      <w:szCs w:val="28"/>
    </w:rPr>
  </w:style>
  <w:style w:type="paragraph" w:customStyle="1" w:styleId="NotesHeading2">
    <w:name w:val="NotesHeading 2"/>
    <w:basedOn w:val="OPCParaBase"/>
    <w:next w:val="Normal"/>
    <w:rsid w:val="008316F3"/>
    <w:rPr>
      <w:b/>
      <w:sz w:val="28"/>
      <w:szCs w:val="28"/>
    </w:rPr>
  </w:style>
  <w:style w:type="paragraph" w:customStyle="1" w:styleId="CompiledActNo">
    <w:name w:val="CompiledActNo"/>
    <w:basedOn w:val="OPCParaBase"/>
    <w:next w:val="Normal"/>
    <w:rsid w:val="008316F3"/>
    <w:rPr>
      <w:b/>
      <w:sz w:val="24"/>
      <w:szCs w:val="24"/>
    </w:rPr>
  </w:style>
  <w:style w:type="paragraph" w:customStyle="1" w:styleId="ENotesText">
    <w:name w:val="ENotesText"/>
    <w:aliases w:val="Ent"/>
    <w:basedOn w:val="OPCParaBase"/>
    <w:next w:val="Normal"/>
    <w:rsid w:val="008316F3"/>
    <w:pPr>
      <w:spacing w:before="120"/>
    </w:pPr>
  </w:style>
  <w:style w:type="paragraph" w:customStyle="1" w:styleId="CompiledMadeUnder">
    <w:name w:val="CompiledMadeUnder"/>
    <w:basedOn w:val="OPCParaBase"/>
    <w:next w:val="Normal"/>
    <w:rsid w:val="008316F3"/>
    <w:rPr>
      <w:i/>
      <w:sz w:val="24"/>
      <w:szCs w:val="24"/>
    </w:rPr>
  </w:style>
  <w:style w:type="paragraph" w:customStyle="1" w:styleId="Paragraphsub-sub-sub">
    <w:name w:val="Paragraph(sub-sub-sub)"/>
    <w:aliases w:val="aaaa"/>
    <w:basedOn w:val="OPCParaBase"/>
    <w:rsid w:val="008316F3"/>
    <w:pPr>
      <w:tabs>
        <w:tab w:val="right" w:pos="3402"/>
      </w:tabs>
      <w:spacing w:before="40" w:line="240" w:lineRule="auto"/>
      <w:ind w:left="3402" w:hanging="3402"/>
    </w:pPr>
  </w:style>
  <w:style w:type="paragraph" w:customStyle="1" w:styleId="TableTextEndNotes">
    <w:name w:val="TableTextEndNotes"/>
    <w:aliases w:val="Tten"/>
    <w:basedOn w:val="Normal"/>
    <w:rsid w:val="008316F3"/>
    <w:pPr>
      <w:spacing w:before="60" w:line="240" w:lineRule="auto"/>
    </w:pPr>
    <w:rPr>
      <w:rFonts w:cs="Arial"/>
      <w:sz w:val="20"/>
      <w:szCs w:val="22"/>
    </w:rPr>
  </w:style>
  <w:style w:type="paragraph" w:customStyle="1" w:styleId="NoteToSubpara">
    <w:name w:val="NoteToSubpara"/>
    <w:aliases w:val="nts"/>
    <w:basedOn w:val="OPCParaBase"/>
    <w:rsid w:val="008316F3"/>
    <w:pPr>
      <w:spacing w:before="40" w:line="198" w:lineRule="exact"/>
      <w:ind w:left="2835" w:hanging="709"/>
    </w:pPr>
    <w:rPr>
      <w:sz w:val="18"/>
    </w:rPr>
  </w:style>
  <w:style w:type="paragraph" w:customStyle="1" w:styleId="ENoteTableHeading">
    <w:name w:val="ENoteTableHeading"/>
    <w:aliases w:val="enth"/>
    <w:basedOn w:val="OPCParaBase"/>
    <w:rsid w:val="008316F3"/>
    <w:pPr>
      <w:keepNext/>
      <w:spacing w:before="60" w:line="240" w:lineRule="atLeast"/>
    </w:pPr>
    <w:rPr>
      <w:rFonts w:ascii="Arial" w:hAnsi="Arial"/>
      <w:b/>
      <w:sz w:val="16"/>
    </w:rPr>
  </w:style>
  <w:style w:type="paragraph" w:customStyle="1" w:styleId="ENoteTTi">
    <w:name w:val="ENoteTTi"/>
    <w:aliases w:val="entti"/>
    <w:basedOn w:val="OPCParaBase"/>
    <w:rsid w:val="008316F3"/>
    <w:pPr>
      <w:keepNext/>
      <w:spacing w:before="60" w:line="240" w:lineRule="atLeast"/>
      <w:ind w:left="170"/>
    </w:pPr>
    <w:rPr>
      <w:sz w:val="16"/>
    </w:rPr>
  </w:style>
  <w:style w:type="paragraph" w:customStyle="1" w:styleId="ENotesHeading1">
    <w:name w:val="ENotesHeading 1"/>
    <w:aliases w:val="Enh1"/>
    <w:basedOn w:val="OPCParaBase"/>
    <w:next w:val="Normal"/>
    <w:rsid w:val="008316F3"/>
    <w:pPr>
      <w:spacing w:before="120"/>
      <w:outlineLvl w:val="1"/>
    </w:pPr>
    <w:rPr>
      <w:b/>
      <w:sz w:val="28"/>
      <w:szCs w:val="28"/>
    </w:rPr>
  </w:style>
  <w:style w:type="paragraph" w:customStyle="1" w:styleId="ENotesHeading2">
    <w:name w:val="ENotesHeading 2"/>
    <w:aliases w:val="Enh2"/>
    <w:basedOn w:val="OPCParaBase"/>
    <w:next w:val="Normal"/>
    <w:rsid w:val="008316F3"/>
    <w:pPr>
      <w:spacing w:before="120" w:after="120"/>
      <w:outlineLvl w:val="2"/>
    </w:pPr>
    <w:rPr>
      <w:b/>
      <w:sz w:val="24"/>
      <w:szCs w:val="28"/>
    </w:rPr>
  </w:style>
  <w:style w:type="paragraph" w:customStyle="1" w:styleId="ENoteTTIndentHeading">
    <w:name w:val="ENoteTTIndentHeading"/>
    <w:aliases w:val="enTTHi"/>
    <w:basedOn w:val="OPCParaBase"/>
    <w:rsid w:val="008316F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316F3"/>
    <w:pPr>
      <w:spacing w:before="60" w:line="240" w:lineRule="atLeast"/>
    </w:pPr>
    <w:rPr>
      <w:sz w:val="16"/>
    </w:rPr>
  </w:style>
  <w:style w:type="paragraph" w:customStyle="1" w:styleId="MadeunderText">
    <w:name w:val="MadeunderText"/>
    <w:basedOn w:val="OPCParaBase"/>
    <w:next w:val="Normal"/>
    <w:rsid w:val="008316F3"/>
    <w:pPr>
      <w:spacing w:before="240"/>
    </w:pPr>
    <w:rPr>
      <w:sz w:val="24"/>
      <w:szCs w:val="24"/>
    </w:rPr>
  </w:style>
  <w:style w:type="paragraph" w:customStyle="1" w:styleId="ENotesHeading3">
    <w:name w:val="ENotesHeading 3"/>
    <w:aliases w:val="Enh3"/>
    <w:basedOn w:val="OPCParaBase"/>
    <w:next w:val="Normal"/>
    <w:rsid w:val="008316F3"/>
    <w:pPr>
      <w:keepNext/>
      <w:spacing w:before="120" w:line="240" w:lineRule="auto"/>
      <w:outlineLvl w:val="4"/>
    </w:pPr>
    <w:rPr>
      <w:b/>
      <w:szCs w:val="24"/>
    </w:rPr>
  </w:style>
  <w:style w:type="character" w:customStyle="1" w:styleId="CharSubPartTextCASA">
    <w:name w:val="CharSubPartText(CASA)"/>
    <w:basedOn w:val="OPCCharBase"/>
    <w:uiPriority w:val="1"/>
    <w:rsid w:val="008316F3"/>
  </w:style>
  <w:style w:type="character" w:customStyle="1" w:styleId="CharSubPartNoCASA">
    <w:name w:val="CharSubPartNo(CASA)"/>
    <w:basedOn w:val="OPCCharBase"/>
    <w:uiPriority w:val="1"/>
    <w:rsid w:val="008316F3"/>
  </w:style>
  <w:style w:type="paragraph" w:customStyle="1" w:styleId="ENoteTTIndentHeadingSub">
    <w:name w:val="ENoteTTIndentHeadingSub"/>
    <w:aliases w:val="enTTHis"/>
    <w:basedOn w:val="OPCParaBase"/>
    <w:rsid w:val="008316F3"/>
    <w:pPr>
      <w:keepNext/>
      <w:spacing w:before="60" w:line="240" w:lineRule="atLeast"/>
      <w:ind w:left="340"/>
    </w:pPr>
    <w:rPr>
      <w:b/>
      <w:sz w:val="16"/>
    </w:rPr>
  </w:style>
  <w:style w:type="paragraph" w:customStyle="1" w:styleId="ENoteTTiSub">
    <w:name w:val="ENoteTTiSub"/>
    <w:aliases w:val="enttis"/>
    <w:basedOn w:val="OPCParaBase"/>
    <w:rsid w:val="008316F3"/>
    <w:pPr>
      <w:keepNext/>
      <w:spacing w:before="60" w:line="240" w:lineRule="atLeast"/>
      <w:ind w:left="340"/>
    </w:pPr>
    <w:rPr>
      <w:sz w:val="16"/>
    </w:rPr>
  </w:style>
  <w:style w:type="paragraph" w:customStyle="1" w:styleId="SubDivisionMigration">
    <w:name w:val="SubDivisionMigration"/>
    <w:aliases w:val="sdm"/>
    <w:basedOn w:val="OPCParaBase"/>
    <w:rsid w:val="008316F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316F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316F3"/>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8316F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316F3"/>
    <w:rPr>
      <w:sz w:val="22"/>
    </w:rPr>
  </w:style>
  <w:style w:type="paragraph" w:customStyle="1" w:styleId="SOTextNote">
    <w:name w:val="SO TextNote"/>
    <w:aliases w:val="sont"/>
    <w:basedOn w:val="SOText"/>
    <w:qFormat/>
    <w:rsid w:val="008316F3"/>
    <w:pPr>
      <w:spacing w:before="122" w:line="198" w:lineRule="exact"/>
      <w:ind w:left="1843" w:hanging="709"/>
    </w:pPr>
    <w:rPr>
      <w:sz w:val="18"/>
    </w:rPr>
  </w:style>
  <w:style w:type="paragraph" w:customStyle="1" w:styleId="SOPara">
    <w:name w:val="SO Para"/>
    <w:aliases w:val="soa"/>
    <w:basedOn w:val="SOText"/>
    <w:link w:val="SOParaChar"/>
    <w:qFormat/>
    <w:rsid w:val="008316F3"/>
    <w:pPr>
      <w:tabs>
        <w:tab w:val="right" w:pos="1786"/>
      </w:tabs>
      <w:spacing w:before="40"/>
      <w:ind w:left="2070" w:hanging="936"/>
    </w:pPr>
  </w:style>
  <w:style w:type="character" w:customStyle="1" w:styleId="SOParaChar">
    <w:name w:val="SO Para Char"/>
    <w:aliases w:val="soa Char"/>
    <w:basedOn w:val="DefaultParagraphFont"/>
    <w:link w:val="SOPara"/>
    <w:rsid w:val="008316F3"/>
    <w:rPr>
      <w:sz w:val="22"/>
    </w:rPr>
  </w:style>
  <w:style w:type="paragraph" w:customStyle="1" w:styleId="FileName">
    <w:name w:val="FileName"/>
    <w:basedOn w:val="Normal"/>
    <w:rsid w:val="008316F3"/>
  </w:style>
  <w:style w:type="paragraph" w:customStyle="1" w:styleId="TableHeading">
    <w:name w:val="TableHeading"/>
    <w:aliases w:val="th"/>
    <w:basedOn w:val="OPCParaBase"/>
    <w:next w:val="Tabletext"/>
    <w:rsid w:val="008316F3"/>
    <w:pPr>
      <w:keepNext/>
      <w:spacing w:before="60" w:line="240" w:lineRule="atLeast"/>
    </w:pPr>
    <w:rPr>
      <w:b/>
      <w:sz w:val="20"/>
    </w:rPr>
  </w:style>
  <w:style w:type="paragraph" w:customStyle="1" w:styleId="SOHeadBold">
    <w:name w:val="SO HeadBold"/>
    <w:aliases w:val="sohb"/>
    <w:basedOn w:val="SOText"/>
    <w:next w:val="SOText"/>
    <w:link w:val="SOHeadBoldChar"/>
    <w:qFormat/>
    <w:rsid w:val="008316F3"/>
    <w:rPr>
      <w:b/>
    </w:rPr>
  </w:style>
  <w:style w:type="character" w:customStyle="1" w:styleId="SOHeadBoldChar">
    <w:name w:val="SO HeadBold Char"/>
    <w:aliases w:val="sohb Char"/>
    <w:basedOn w:val="DefaultParagraphFont"/>
    <w:link w:val="SOHeadBold"/>
    <w:rsid w:val="008316F3"/>
    <w:rPr>
      <w:b/>
      <w:sz w:val="22"/>
    </w:rPr>
  </w:style>
  <w:style w:type="paragraph" w:customStyle="1" w:styleId="SOHeadItalic">
    <w:name w:val="SO HeadItalic"/>
    <w:aliases w:val="sohi"/>
    <w:basedOn w:val="SOText"/>
    <w:next w:val="SOText"/>
    <w:link w:val="SOHeadItalicChar"/>
    <w:qFormat/>
    <w:rsid w:val="008316F3"/>
    <w:rPr>
      <w:i/>
    </w:rPr>
  </w:style>
  <w:style w:type="character" w:customStyle="1" w:styleId="SOHeadItalicChar">
    <w:name w:val="SO HeadItalic Char"/>
    <w:aliases w:val="sohi Char"/>
    <w:basedOn w:val="DefaultParagraphFont"/>
    <w:link w:val="SOHeadItalic"/>
    <w:rsid w:val="008316F3"/>
    <w:rPr>
      <w:i/>
      <w:sz w:val="22"/>
    </w:rPr>
  </w:style>
  <w:style w:type="paragraph" w:customStyle="1" w:styleId="SOBullet">
    <w:name w:val="SO Bullet"/>
    <w:aliases w:val="sotb"/>
    <w:basedOn w:val="SOText"/>
    <w:link w:val="SOBulletChar"/>
    <w:qFormat/>
    <w:rsid w:val="008316F3"/>
    <w:pPr>
      <w:ind w:left="1559" w:hanging="425"/>
    </w:pPr>
  </w:style>
  <w:style w:type="character" w:customStyle="1" w:styleId="SOBulletChar">
    <w:name w:val="SO Bullet Char"/>
    <w:aliases w:val="sotb Char"/>
    <w:basedOn w:val="DefaultParagraphFont"/>
    <w:link w:val="SOBullet"/>
    <w:rsid w:val="008316F3"/>
    <w:rPr>
      <w:sz w:val="22"/>
    </w:rPr>
  </w:style>
  <w:style w:type="paragraph" w:customStyle="1" w:styleId="SOBulletNote">
    <w:name w:val="SO BulletNote"/>
    <w:aliases w:val="sonb"/>
    <w:basedOn w:val="SOTextNote"/>
    <w:link w:val="SOBulletNoteChar"/>
    <w:qFormat/>
    <w:rsid w:val="008316F3"/>
    <w:pPr>
      <w:tabs>
        <w:tab w:val="left" w:pos="1560"/>
      </w:tabs>
      <w:ind w:left="2268" w:hanging="1134"/>
    </w:pPr>
  </w:style>
  <w:style w:type="character" w:customStyle="1" w:styleId="SOBulletNoteChar">
    <w:name w:val="SO BulletNote Char"/>
    <w:aliases w:val="sonb Char"/>
    <w:basedOn w:val="DefaultParagraphFont"/>
    <w:link w:val="SOBulletNote"/>
    <w:rsid w:val="008316F3"/>
    <w:rPr>
      <w:sz w:val="18"/>
    </w:rPr>
  </w:style>
  <w:style w:type="paragraph" w:customStyle="1" w:styleId="SOText2">
    <w:name w:val="SO Text2"/>
    <w:aliases w:val="sot2"/>
    <w:basedOn w:val="Normal"/>
    <w:next w:val="SOText"/>
    <w:link w:val="SOText2Char"/>
    <w:rsid w:val="008316F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316F3"/>
    <w:rPr>
      <w:sz w:val="22"/>
    </w:rPr>
  </w:style>
  <w:style w:type="paragraph" w:customStyle="1" w:styleId="SubPartCASA">
    <w:name w:val="SubPart(CASA)"/>
    <w:aliases w:val="csp"/>
    <w:basedOn w:val="OPCParaBase"/>
    <w:next w:val="ActHead3"/>
    <w:rsid w:val="008316F3"/>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316F3"/>
    <w:rPr>
      <w:rFonts w:eastAsia="Times New Roman" w:cs="Times New Roman"/>
      <w:sz w:val="22"/>
      <w:lang w:eastAsia="en-AU"/>
    </w:rPr>
  </w:style>
  <w:style w:type="character" w:customStyle="1" w:styleId="notetextChar">
    <w:name w:val="note(text) Char"/>
    <w:aliases w:val="n Char"/>
    <w:basedOn w:val="DefaultParagraphFont"/>
    <w:link w:val="notetext"/>
    <w:rsid w:val="008316F3"/>
    <w:rPr>
      <w:rFonts w:eastAsia="Times New Roman" w:cs="Times New Roman"/>
      <w:sz w:val="18"/>
      <w:lang w:eastAsia="en-AU"/>
    </w:rPr>
  </w:style>
  <w:style w:type="character" w:customStyle="1" w:styleId="Heading1Char">
    <w:name w:val="Heading 1 Char"/>
    <w:basedOn w:val="DefaultParagraphFont"/>
    <w:link w:val="Heading1"/>
    <w:uiPriority w:val="9"/>
    <w:rsid w:val="008316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16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16F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316F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316F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316F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316F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316F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316F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316F3"/>
    <w:rPr>
      <w:rFonts w:ascii="Arial" w:hAnsi="Arial" w:cs="Arial" w:hint="default"/>
      <w:b/>
      <w:bCs/>
      <w:sz w:val="28"/>
      <w:szCs w:val="28"/>
    </w:rPr>
  </w:style>
  <w:style w:type="paragraph" w:styleId="Index1">
    <w:name w:val="index 1"/>
    <w:basedOn w:val="Normal"/>
    <w:next w:val="Normal"/>
    <w:autoRedefine/>
    <w:rsid w:val="008316F3"/>
    <w:pPr>
      <w:ind w:left="240" w:hanging="240"/>
    </w:pPr>
  </w:style>
  <w:style w:type="paragraph" w:styleId="Index2">
    <w:name w:val="index 2"/>
    <w:basedOn w:val="Normal"/>
    <w:next w:val="Normal"/>
    <w:autoRedefine/>
    <w:rsid w:val="008316F3"/>
    <w:pPr>
      <w:ind w:left="480" w:hanging="240"/>
    </w:pPr>
  </w:style>
  <w:style w:type="paragraph" w:styleId="Index3">
    <w:name w:val="index 3"/>
    <w:basedOn w:val="Normal"/>
    <w:next w:val="Normal"/>
    <w:autoRedefine/>
    <w:rsid w:val="008316F3"/>
    <w:pPr>
      <w:ind w:left="720" w:hanging="240"/>
    </w:pPr>
  </w:style>
  <w:style w:type="paragraph" w:styleId="Index4">
    <w:name w:val="index 4"/>
    <w:basedOn w:val="Normal"/>
    <w:next w:val="Normal"/>
    <w:autoRedefine/>
    <w:rsid w:val="008316F3"/>
    <w:pPr>
      <w:ind w:left="960" w:hanging="240"/>
    </w:pPr>
  </w:style>
  <w:style w:type="paragraph" w:styleId="Index5">
    <w:name w:val="index 5"/>
    <w:basedOn w:val="Normal"/>
    <w:next w:val="Normal"/>
    <w:autoRedefine/>
    <w:rsid w:val="008316F3"/>
    <w:pPr>
      <w:ind w:left="1200" w:hanging="240"/>
    </w:pPr>
  </w:style>
  <w:style w:type="paragraph" w:styleId="Index6">
    <w:name w:val="index 6"/>
    <w:basedOn w:val="Normal"/>
    <w:next w:val="Normal"/>
    <w:autoRedefine/>
    <w:rsid w:val="008316F3"/>
    <w:pPr>
      <w:ind w:left="1440" w:hanging="240"/>
    </w:pPr>
  </w:style>
  <w:style w:type="paragraph" w:styleId="Index7">
    <w:name w:val="index 7"/>
    <w:basedOn w:val="Normal"/>
    <w:next w:val="Normal"/>
    <w:autoRedefine/>
    <w:rsid w:val="008316F3"/>
    <w:pPr>
      <w:ind w:left="1680" w:hanging="240"/>
    </w:pPr>
  </w:style>
  <w:style w:type="paragraph" w:styleId="Index8">
    <w:name w:val="index 8"/>
    <w:basedOn w:val="Normal"/>
    <w:next w:val="Normal"/>
    <w:autoRedefine/>
    <w:rsid w:val="008316F3"/>
    <w:pPr>
      <w:ind w:left="1920" w:hanging="240"/>
    </w:pPr>
  </w:style>
  <w:style w:type="paragraph" w:styleId="Index9">
    <w:name w:val="index 9"/>
    <w:basedOn w:val="Normal"/>
    <w:next w:val="Normal"/>
    <w:autoRedefine/>
    <w:rsid w:val="008316F3"/>
    <w:pPr>
      <w:ind w:left="2160" w:hanging="240"/>
    </w:pPr>
  </w:style>
  <w:style w:type="paragraph" w:styleId="NormalIndent">
    <w:name w:val="Normal Indent"/>
    <w:basedOn w:val="Normal"/>
    <w:rsid w:val="008316F3"/>
    <w:pPr>
      <w:ind w:left="720"/>
    </w:pPr>
  </w:style>
  <w:style w:type="paragraph" w:styleId="FootnoteText">
    <w:name w:val="footnote text"/>
    <w:basedOn w:val="Normal"/>
    <w:link w:val="FootnoteTextChar"/>
    <w:rsid w:val="008316F3"/>
    <w:rPr>
      <w:sz w:val="20"/>
    </w:rPr>
  </w:style>
  <w:style w:type="character" w:customStyle="1" w:styleId="FootnoteTextChar">
    <w:name w:val="Footnote Text Char"/>
    <w:basedOn w:val="DefaultParagraphFont"/>
    <w:link w:val="FootnoteText"/>
    <w:rsid w:val="008316F3"/>
  </w:style>
  <w:style w:type="paragraph" w:styleId="CommentText">
    <w:name w:val="annotation text"/>
    <w:basedOn w:val="Normal"/>
    <w:link w:val="CommentTextChar"/>
    <w:rsid w:val="008316F3"/>
    <w:rPr>
      <w:sz w:val="20"/>
    </w:rPr>
  </w:style>
  <w:style w:type="character" w:customStyle="1" w:styleId="CommentTextChar">
    <w:name w:val="Comment Text Char"/>
    <w:basedOn w:val="DefaultParagraphFont"/>
    <w:link w:val="CommentText"/>
    <w:rsid w:val="008316F3"/>
  </w:style>
  <w:style w:type="paragraph" w:styleId="IndexHeading">
    <w:name w:val="index heading"/>
    <w:basedOn w:val="Normal"/>
    <w:next w:val="Index1"/>
    <w:rsid w:val="008316F3"/>
    <w:rPr>
      <w:rFonts w:ascii="Arial" w:hAnsi="Arial" w:cs="Arial"/>
      <w:b/>
      <w:bCs/>
    </w:rPr>
  </w:style>
  <w:style w:type="paragraph" w:styleId="Caption">
    <w:name w:val="caption"/>
    <w:basedOn w:val="Normal"/>
    <w:next w:val="Normal"/>
    <w:qFormat/>
    <w:rsid w:val="008316F3"/>
    <w:pPr>
      <w:spacing w:before="120" w:after="120"/>
    </w:pPr>
    <w:rPr>
      <w:b/>
      <w:bCs/>
      <w:sz w:val="20"/>
    </w:rPr>
  </w:style>
  <w:style w:type="paragraph" w:styleId="TableofFigures">
    <w:name w:val="table of figures"/>
    <w:basedOn w:val="Normal"/>
    <w:next w:val="Normal"/>
    <w:rsid w:val="008316F3"/>
    <w:pPr>
      <w:ind w:left="480" w:hanging="480"/>
    </w:pPr>
  </w:style>
  <w:style w:type="paragraph" w:styleId="EnvelopeAddress">
    <w:name w:val="envelope address"/>
    <w:basedOn w:val="Normal"/>
    <w:rsid w:val="008316F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316F3"/>
    <w:rPr>
      <w:rFonts w:ascii="Arial" w:hAnsi="Arial" w:cs="Arial"/>
      <w:sz w:val="20"/>
    </w:rPr>
  </w:style>
  <w:style w:type="character" w:styleId="FootnoteReference">
    <w:name w:val="footnote reference"/>
    <w:basedOn w:val="DefaultParagraphFont"/>
    <w:rsid w:val="008316F3"/>
    <w:rPr>
      <w:rFonts w:ascii="Times New Roman" w:hAnsi="Times New Roman"/>
      <w:sz w:val="20"/>
      <w:vertAlign w:val="superscript"/>
    </w:rPr>
  </w:style>
  <w:style w:type="character" w:styleId="CommentReference">
    <w:name w:val="annotation reference"/>
    <w:basedOn w:val="DefaultParagraphFont"/>
    <w:rsid w:val="008316F3"/>
    <w:rPr>
      <w:sz w:val="16"/>
      <w:szCs w:val="16"/>
    </w:rPr>
  </w:style>
  <w:style w:type="character" w:styleId="PageNumber">
    <w:name w:val="page number"/>
    <w:basedOn w:val="DefaultParagraphFont"/>
    <w:rsid w:val="008316F3"/>
  </w:style>
  <w:style w:type="character" w:styleId="EndnoteReference">
    <w:name w:val="endnote reference"/>
    <w:basedOn w:val="DefaultParagraphFont"/>
    <w:rsid w:val="008316F3"/>
    <w:rPr>
      <w:vertAlign w:val="superscript"/>
    </w:rPr>
  </w:style>
  <w:style w:type="paragraph" w:styleId="EndnoteText">
    <w:name w:val="endnote text"/>
    <w:basedOn w:val="Normal"/>
    <w:link w:val="EndnoteTextChar"/>
    <w:rsid w:val="008316F3"/>
    <w:rPr>
      <w:sz w:val="20"/>
    </w:rPr>
  </w:style>
  <w:style w:type="character" w:customStyle="1" w:styleId="EndnoteTextChar">
    <w:name w:val="Endnote Text Char"/>
    <w:basedOn w:val="DefaultParagraphFont"/>
    <w:link w:val="EndnoteText"/>
    <w:rsid w:val="008316F3"/>
  </w:style>
  <w:style w:type="paragraph" w:styleId="TableofAuthorities">
    <w:name w:val="table of authorities"/>
    <w:basedOn w:val="Normal"/>
    <w:next w:val="Normal"/>
    <w:rsid w:val="008316F3"/>
    <w:pPr>
      <w:ind w:left="240" w:hanging="240"/>
    </w:pPr>
  </w:style>
  <w:style w:type="paragraph" w:styleId="MacroText">
    <w:name w:val="macro"/>
    <w:link w:val="MacroTextChar"/>
    <w:rsid w:val="008316F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316F3"/>
    <w:rPr>
      <w:rFonts w:ascii="Courier New" w:eastAsia="Times New Roman" w:hAnsi="Courier New" w:cs="Courier New"/>
      <w:lang w:eastAsia="en-AU"/>
    </w:rPr>
  </w:style>
  <w:style w:type="paragraph" w:styleId="TOAHeading">
    <w:name w:val="toa heading"/>
    <w:basedOn w:val="Normal"/>
    <w:next w:val="Normal"/>
    <w:rsid w:val="008316F3"/>
    <w:pPr>
      <w:spacing w:before="120"/>
    </w:pPr>
    <w:rPr>
      <w:rFonts w:ascii="Arial" w:hAnsi="Arial" w:cs="Arial"/>
      <w:b/>
      <w:bCs/>
    </w:rPr>
  </w:style>
  <w:style w:type="paragraph" w:styleId="List">
    <w:name w:val="List"/>
    <w:basedOn w:val="Normal"/>
    <w:rsid w:val="008316F3"/>
    <w:pPr>
      <w:ind w:left="283" w:hanging="283"/>
    </w:pPr>
  </w:style>
  <w:style w:type="paragraph" w:styleId="ListBullet">
    <w:name w:val="List Bullet"/>
    <w:basedOn w:val="Normal"/>
    <w:autoRedefine/>
    <w:rsid w:val="008316F3"/>
    <w:pPr>
      <w:tabs>
        <w:tab w:val="num" w:pos="360"/>
      </w:tabs>
      <w:ind w:left="360" w:hanging="360"/>
    </w:pPr>
  </w:style>
  <w:style w:type="paragraph" w:styleId="ListNumber">
    <w:name w:val="List Number"/>
    <w:basedOn w:val="Normal"/>
    <w:rsid w:val="008316F3"/>
    <w:pPr>
      <w:tabs>
        <w:tab w:val="num" w:pos="360"/>
      </w:tabs>
      <w:ind w:left="360" w:hanging="360"/>
    </w:pPr>
  </w:style>
  <w:style w:type="paragraph" w:styleId="List2">
    <w:name w:val="List 2"/>
    <w:basedOn w:val="Normal"/>
    <w:rsid w:val="008316F3"/>
    <w:pPr>
      <w:ind w:left="566" w:hanging="283"/>
    </w:pPr>
  </w:style>
  <w:style w:type="paragraph" w:styleId="List3">
    <w:name w:val="List 3"/>
    <w:basedOn w:val="Normal"/>
    <w:rsid w:val="008316F3"/>
    <w:pPr>
      <w:ind w:left="849" w:hanging="283"/>
    </w:pPr>
  </w:style>
  <w:style w:type="paragraph" w:styleId="List4">
    <w:name w:val="List 4"/>
    <w:basedOn w:val="Normal"/>
    <w:rsid w:val="008316F3"/>
    <w:pPr>
      <w:ind w:left="1132" w:hanging="283"/>
    </w:pPr>
  </w:style>
  <w:style w:type="paragraph" w:styleId="List5">
    <w:name w:val="List 5"/>
    <w:basedOn w:val="Normal"/>
    <w:rsid w:val="008316F3"/>
    <w:pPr>
      <w:ind w:left="1415" w:hanging="283"/>
    </w:pPr>
  </w:style>
  <w:style w:type="paragraph" w:styleId="ListBullet2">
    <w:name w:val="List Bullet 2"/>
    <w:basedOn w:val="Normal"/>
    <w:autoRedefine/>
    <w:rsid w:val="008316F3"/>
    <w:pPr>
      <w:tabs>
        <w:tab w:val="num" w:pos="360"/>
      </w:tabs>
    </w:pPr>
  </w:style>
  <w:style w:type="paragraph" w:styleId="ListBullet3">
    <w:name w:val="List Bullet 3"/>
    <w:basedOn w:val="Normal"/>
    <w:autoRedefine/>
    <w:rsid w:val="008316F3"/>
    <w:pPr>
      <w:tabs>
        <w:tab w:val="num" w:pos="926"/>
      </w:tabs>
      <w:ind w:left="926" w:hanging="360"/>
    </w:pPr>
  </w:style>
  <w:style w:type="paragraph" w:styleId="ListBullet4">
    <w:name w:val="List Bullet 4"/>
    <w:basedOn w:val="Normal"/>
    <w:autoRedefine/>
    <w:rsid w:val="008316F3"/>
    <w:pPr>
      <w:tabs>
        <w:tab w:val="num" w:pos="1209"/>
      </w:tabs>
      <w:ind w:left="1209" w:hanging="360"/>
    </w:pPr>
  </w:style>
  <w:style w:type="paragraph" w:styleId="ListBullet5">
    <w:name w:val="List Bullet 5"/>
    <w:basedOn w:val="Normal"/>
    <w:autoRedefine/>
    <w:rsid w:val="008316F3"/>
    <w:pPr>
      <w:tabs>
        <w:tab w:val="num" w:pos="1492"/>
      </w:tabs>
      <w:ind w:left="1492" w:hanging="360"/>
    </w:pPr>
  </w:style>
  <w:style w:type="paragraph" w:styleId="ListNumber2">
    <w:name w:val="List Number 2"/>
    <w:basedOn w:val="Normal"/>
    <w:rsid w:val="008316F3"/>
    <w:pPr>
      <w:tabs>
        <w:tab w:val="num" w:pos="643"/>
      </w:tabs>
      <w:ind w:left="643" w:hanging="360"/>
    </w:pPr>
  </w:style>
  <w:style w:type="paragraph" w:styleId="ListNumber3">
    <w:name w:val="List Number 3"/>
    <w:basedOn w:val="Normal"/>
    <w:rsid w:val="008316F3"/>
    <w:pPr>
      <w:tabs>
        <w:tab w:val="num" w:pos="926"/>
      </w:tabs>
      <w:ind w:left="926" w:hanging="360"/>
    </w:pPr>
  </w:style>
  <w:style w:type="paragraph" w:styleId="ListNumber4">
    <w:name w:val="List Number 4"/>
    <w:basedOn w:val="Normal"/>
    <w:rsid w:val="008316F3"/>
    <w:pPr>
      <w:tabs>
        <w:tab w:val="num" w:pos="1209"/>
      </w:tabs>
      <w:ind w:left="1209" w:hanging="360"/>
    </w:pPr>
  </w:style>
  <w:style w:type="paragraph" w:styleId="ListNumber5">
    <w:name w:val="List Number 5"/>
    <w:basedOn w:val="Normal"/>
    <w:rsid w:val="008316F3"/>
    <w:pPr>
      <w:tabs>
        <w:tab w:val="num" w:pos="1492"/>
      </w:tabs>
      <w:ind w:left="1492" w:hanging="360"/>
    </w:pPr>
  </w:style>
  <w:style w:type="paragraph" w:styleId="Title">
    <w:name w:val="Title"/>
    <w:basedOn w:val="Normal"/>
    <w:link w:val="TitleChar"/>
    <w:qFormat/>
    <w:rsid w:val="008316F3"/>
    <w:pPr>
      <w:spacing w:before="240" w:after="60"/>
    </w:pPr>
    <w:rPr>
      <w:rFonts w:ascii="Arial" w:hAnsi="Arial" w:cs="Arial"/>
      <w:b/>
      <w:bCs/>
      <w:sz w:val="40"/>
      <w:szCs w:val="40"/>
    </w:rPr>
  </w:style>
  <w:style w:type="character" w:customStyle="1" w:styleId="TitleChar">
    <w:name w:val="Title Char"/>
    <w:basedOn w:val="DefaultParagraphFont"/>
    <w:link w:val="Title"/>
    <w:rsid w:val="008316F3"/>
    <w:rPr>
      <w:rFonts w:ascii="Arial" w:hAnsi="Arial" w:cs="Arial"/>
      <w:b/>
      <w:bCs/>
      <w:sz w:val="40"/>
      <w:szCs w:val="40"/>
    </w:rPr>
  </w:style>
  <w:style w:type="paragraph" w:styleId="Closing">
    <w:name w:val="Closing"/>
    <w:basedOn w:val="Normal"/>
    <w:link w:val="ClosingChar"/>
    <w:rsid w:val="008316F3"/>
    <w:pPr>
      <w:ind w:left="4252"/>
    </w:pPr>
  </w:style>
  <w:style w:type="character" w:customStyle="1" w:styleId="ClosingChar">
    <w:name w:val="Closing Char"/>
    <w:basedOn w:val="DefaultParagraphFont"/>
    <w:link w:val="Closing"/>
    <w:rsid w:val="008316F3"/>
    <w:rPr>
      <w:sz w:val="22"/>
    </w:rPr>
  </w:style>
  <w:style w:type="paragraph" w:styleId="Signature">
    <w:name w:val="Signature"/>
    <w:basedOn w:val="Normal"/>
    <w:link w:val="SignatureChar"/>
    <w:rsid w:val="008316F3"/>
    <w:pPr>
      <w:ind w:left="4252"/>
    </w:pPr>
  </w:style>
  <w:style w:type="character" w:customStyle="1" w:styleId="SignatureChar">
    <w:name w:val="Signature Char"/>
    <w:basedOn w:val="DefaultParagraphFont"/>
    <w:link w:val="Signature"/>
    <w:rsid w:val="008316F3"/>
    <w:rPr>
      <w:sz w:val="22"/>
    </w:rPr>
  </w:style>
  <w:style w:type="paragraph" w:styleId="BodyText">
    <w:name w:val="Body Text"/>
    <w:basedOn w:val="Normal"/>
    <w:link w:val="BodyTextChar"/>
    <w:rsid w:val="008316F3"/>
    <w:pPr>
      <w:spacing w:after="120"/>
    </w:pPr>
  </w:style>
  <w:style w:type="character" w:customStyle="1" w:styleId="BodyTextChar">
    <w:name w:val="Body Text Char"/>
    <w:basedOn w:val="DefaultParagraphFont"/>
    <w:link w:val="BodyText"/>
    <w:rsid w:val="008316F3"/>
    <w:rPr>
      <w:sz w:val="22"/>
    </w:rPr>
  </w:style>
  <w:style w:type="paragraph" w:styleId="BodyTextIndent">
    <w:name w:val="Body Text Indent"/>
    <w:basedOn w:val="Normal"/>
    <w:link w:val="BodyTextIndentChar"/>
    <w:rsid w:val="008316F3"/>
    <w:pPr>
      <w:spacing w:after="120"/>
      <w:ind w:left="283"/>
    </w:pPr>
  </w:style>
  <w:style w:type="character" w:customStyle="1" w:styleId="BodyTextIndentChar">
    <w:name w:val="Body Text Indent Char"/>
    <w:basedOn w:val="DefaultParagraphFont"/>
    <w:link w:val="BodyTextIndent"/>
    <w:rsid w:val="008316F3"/>
    <w:rPr>
      <w:sz w:val="22"/>
    </w:rPr>
  </w:style>
  <w:style w:type="paragraph" w:styleId="ListContinue">
    <w:name w:val="List Continue"/>
    <w:basedOn w:val="Normal"/>
    <w:rsid w:val="008316F3"/>
    <w:pPr>
      <w:spacing w:after="120"/>
      <w:ind w:left="283"/>
    </w:pPr>
  </w:style>
  <w:style w:type="paragraph" w:styleId="ListContinue2">
    <w:name w:val="List Continue 2"/>
    <w:basedOn w:val="Normal"/>
    <w:rsid w:val="008316F3"/>
    <w:pPr>
      <w:spacing w:after="120"/>
      <w:ind w:left="566"/>
    </w:pPr>
  </w:style>
  <w:style w:type="paragraph" w:styleId="ListContinue3">
    <w:name w:val="List Continue 3"/>
    <w:basedOn w:val="Normal"/>
    <w:rsid w:val="008316F3"/>
    <w:pPr>
      <w:spacing w:after="120"/>
      <w:ind w:left="849"/>
    </w:pPr>
  </w:style>
  <w:style w:type="paragraph" w:styleId="ListContinue4">
    <w:name w:val="List Continue 4"/>
    <w:basedOn w:val="Normal"/>
    <w:rsid w:val="008316F3"/>
    <w:pPr>
      <w:spacing w:after="120"/>
      <w:ind w:left="1132"/>
    </w:pPr>
  </w:style>
  <w:style w:type="paragraph" w:styleId="ListContinue5">
    <w:name w:val="List Continue 5"/>
    <w:basedOn w:val="Normal"/>
    <w:rsid w:val="008316F3"/>
    <w:pPr>
      <w:spacing w:after="120"/>
      <w:ind w:left="1415"/>
    </w:pPr>
  </w:style>
  <w:style w:type="paragraph" w:styleId="MessageHeader">
    <w:name w:val="Message Header"/>
    <w:basedOn w:val="Normal"/>
    <w:link w:val="MessageHeaderChar"/>
    <w:rsid w:val="008316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316F3"/>
    <w:rPr>
      <w:rFonts w:ascii="Arial" w:hAnsi="Arial" w:cs="Arial"/>
      <w:sz w:val="22"/>
      <w:shd w:val="pct20" w:color="auto" w:fill="auto"/>
    </w:rPr>
  </w:style>
  <w:style w:type="paragraph" w:styleId="Subtitle">
    <w:name w:val="Subtitle"/>
    <w:basedOn w:val="Normal"/>
    <w:link w:val="SubtitleChar"/>
    <w:qFormat/>
    <w:rsid w:val="008316F3"/>
    <w:pPr>
      <w:spacing w:after="60"/>
      <w:jc w:val="center"/>
      <w:outlineLvl w:val="1"/>
    </w:pPr>
    <w:rPr>
      <w:rFonts w:ascii="Arial" w:hAnsi="Arial" w:cs="Arial"/>
    </w:rPr>
  </w:style>
  <w:style w:type="character" w:customStyle="1" w:styleId="SubtitleChar">
    <w:name w:val="Subtitle Char"/>
    <w:basedOn w:val="DefaultParagraphFont"/>
    <w:link w:val="Subtitle"/>
    <w:rsid w:val="008316F3"/>
    <w:rPr>
      <w:rFonts w:ascii="Arial" w:hAnsi="Arial" w:cs="Arial"/>
      <w:sz w:val="22"/>
    </w:rPr>
  </w:style>
  <w:style w:type="paragraph" w:styleId="Salutation">
    <w:name w:val="Salutation"/>
    <w:basedOn w:val="Normal"/>
    <w:next w:val="Normal"/>
    <w:link w:val="SalutationChar"/>
    <w:rsid w:val="008316F3"/>
  </w:style>
  <w:style w:type="character" w:customStyle="1" w:styleId="SalutationChar">
    <w:name w:val="Salutation Char"/>
    <w:basedOn w:val="DefaultParagraphFont"/>
    <w:link w:val="Salutation"/>
    <w:rsid w:val="008316F3"/>
    <w:rPr>
      <w:sz w:val="22"/>
    </w:rPr>
  </w:style>
  <w:style w:type="paragraph" w:styleId="Date">
    <w:name w:val="Date"/>
    <w:basedOn w:val="Normal"/>
    <w:next w:val="Normal"/>
    <w:link w:val="DateChar"/>
    <w:rsid w:val="008316F3"/>
  </w:style>
  <w:style w:type="character" w:customStyle="1" w:styleId="DateChar">
    <w:name w:val="Date Char"/>
    <w:basedOn w:val="DefaultParagraphFont"/>
    <w:link w:val="Date"/>
    <w:rsid w:val="008316F3"/>
    <w:rPr>
      <w:sz w:val="22"/>
    </w:rPr>
  </w:style>
  <w:style w:type="paragraph" w:styleId="BodyTextFirstIndent">
    <w:name w:val="Body Text First Indent"/>
    <w:basedOn w:val="BodyText"/>
    <w:link w:val="BodyTextFirstIndentChar"/>
    <w:rsid w:val="008316F3"/>
    <w:pPr>
      <w:ind w:firstLine="210"/>
    </w:pPr>
  </w:style>
  <w:style w:type="character" w:customStyle="1" w:styleId="BodyTextFirstIndentChar">
    <w:name w:val="Body Text First Indent Char"/>
    <w:basedOn w:val="BodyTextChar"/>
    <w:link w:val="BodyTextFirstIndent"/>
    <w:rsid w:val="008316F3"/>
    <w:rPr>
      <w:sz w:val="22"/>
    </w:rPr>
  </w:style>
  <w:style w:type="paragraph" w:styleId="BodyTextFirstIndent2">
    <w:name w:val="Body Text First Indent 2"/>
    <w:basedOn w:val="BodyTextIndent"/>
    <w:link w:val="BodyTextFirstIndent2Char"/>
    <w:rsid w:val="008316F3"/>
    <w:pPr>
      <w:ind w:firstLine="210"/>
    </w:pPr>
  </w:style>
  <w:style w:type="character" w:customStyle="1" w:styleId="BodyTextFirstIndent2Char">
    <w:name w:val="Body Text First Indent 2 Char"/>
    <w:basedOn w:val="BodyTextIndentChar"/>
    <w:link w:val="BodyTextFirstIndent2"/>
    <w:rsid w:val="008316F3"/>
    <w:rPr>
      <w:sz w:val="22"/>
    </w:rPr>
  </w:style>
  <w:style w:type="paragraph" w:styleId="BodyText2">
    <w:name w:val="Body Text 2"/>
    <w:basedOn w:val="Normal"/>
    <w:link w:val="BodyText2Char"/>
    <w:rsid w:val="008316F3"/>
    <w:pPr>
      <w:spacing w:after="120" w:line="480" w:lineRule="auto"/>
    </w:pPr>
  </w:style>
  <w:style w:type="character" w:customStyle="1" w:styleId="BodyText2Char">
    <w:name w:val="Body Text 2 Char"/>
    <w:basedOn w:val="DefaultParagraphFont"/>
    <w:link w:val="BodyText2"/>
    <w:rsid w:val="008316F3"/>
    <w:rPr>
      <w:sz w:val="22"/>
    </w:rPr>
  </w:style>
  <w:style w:type="paragraph" w:styleId="BodyText3">
    <w:name w:val="Body Text 3"/>
    <w:basedOn w:val="Normal"/>
    <w:link w:val="BodyText3Char"/>
    <w:rsid w:val="008316F3"/>
    <w:pPr>
      <w:spacing w:after="120"/>
    </w:pPr>
    <w:rPr>
      <w:sz w:val="16"/>
      <w:szCs w:val="16"/>
    </w:rPr>
  </w:style>
  <w:style w:type="character" w:customStyle="1" w:styleId="BodyText3Char">
    <w:name w:val="Body Text 3 Char"/>
    <w:basedOn w:val="DefaultParagraphFont"/>
    <w:link w:val="BodyText3"/>
    <w:rsid w:val="008316F3"/>
    <w:rPr>
      <w:sz w:val="16"/>
      <w:szCs w:val="16"/>
    </w:rPr>
  </w:style>
  <w:style w:type="paragraph" w:styleId="BodyTextIndent2">
    <w:name w:val="Body Text Indent 2"/>
    <w:basedOn w:val="Normal"/>
    <w:link w:val="BodyTextIndent2Char"/>
    <w:rsid w:val="008316F3"/>
    <w:pPr>
      <w:spacing w:after="120" w:line="480" w:lineRule="auto"/>
      <w:ind w:left="283"/>
    </w:pPr>
  </w:style>
  <w:style w:type="character" w:customStyle="1" w:styleId="BodyTextIndent2Char">
    <w:name w:val="Body Text Indent 2 Char"/>
    <w:basedOn w:val="DefaultParagraphFont"/>
    <w:link w:val="BodyTextIndent2"/>
    <w:rsid w:val="008316F3"/>
    <w:rPr>
      <w:sz w:val="22"/>
    </w:rPr>
  </w:style>
  <w:style w:type="paragraph" w:styleId="BodyTextIndent3">
    <w:name w:val="Body Text Indent 3"/>
    <w:basedOn w:val="Normal"/>
    <w:link w:val="BodyTextIndent3Char"/>
    <w:rsid w:val="008316F3"/>
    <w:pPr>
      <w:spacing w:after="120"/>
      <w:ind w:left="283"/>
    </w:pPr>
    <w:rPr>
      <w:sz w:val="16"/>
      <w:szCs w:val="16"/>
    </w:rPr>
  </w:style>
  <w:style w:type="character" w:customStyle="1" w:styleId="BodyTextIndent3Char">
    <w:name w:val="Body Text Indent 3 Char"/>
    <w:basedOn w:val="DefaultParagraphFont"/>
    <w:link w:val="BodyTextIndent3"/>
    <w:rsid w:val="008316F3"/>
    <w:rPr>
      <w:sz w:val="16"/>
      <w:szCs w:val="16"/>
    </w:rPr>
  </w:style>
  <w:style w:type="paragraph" w:styleId="BlockText">
    <w:name w:val="Block Text"/>
    <w:basedOn w:val="Normal"/>
    <w:rsid w:val="008316F3"/>
    <w:pPr>
      <w:spacing w:after="120"/>
      <w:ind w:left="1440" w:right="1440"/>
    </w:pPr>
  </w:style>
  <w:style w:type="character" w:styleId="Hyperlink">
    <w:name w:val="Hyperlink"/>
    <w:basedOn w:val="DefaultParagraphFont"/>
    <w:rsid w:val="008316F3"/>
    <w:rPr>
      <w:color w:val="0000FF"/>
      <w:u w:val="single"/>
    </w:rPr>
  </w:style>
  <w:style w:type="character" w:styleId="FollowedHyperlink">
    <w:name w:val="FollowedHyperlink"/>
    <w:basedOn w:val="DefaultParagraphFont"/>
    <w:rsid w:val="008316F3"/>
    <w:rPr>
      <w:color w:val="800080"/>
      <w:u w:val="single"/>
    </w:rPr>
  </w:style>
  <w:style w:type="character" w:styleId="Strong">
    <w:name w:val="Strong"/>
    <w:basedOn w:val="DefaultParagraphFont"/>
    <w:qFormat/>
    <w:rsid w:val="008316F3"/>
    <w:rPr>
      <w:b/>
      <w:bCs/>
    </w:rPr>
  </w:style>
  <w:style w:type="character" w:styleId="Emphasis">
    <w:name w:val="Emphasis"/>
    <w:basedOn w:val="DefaultParagraphFont"/>
    <w:qFormat/>
    <w:rsid w:val="008316F3"/>
    <w:rPr>
      <w:i/>
      <w:iCs/>
    </w:rPr>
  </w:style>
  <w:style w:type="paragraph" w:styleId="DocumentMap">
    <w:name w:val="Document Map"/>
    <w:basedOn w:val="Normal"/>
    <w:link w:val="DocumentMapChar"/>
    <w:rsid w:val="008316F3"/>
    <w:pPr>
      <w:shd w:val="clear" w:color="auto" w:fill="000080"/>
    </w:pPr>
    <w:rPr>
      <w:rFonts w:ascii="Tahoma" w:hAnsi="Tahoma" w:cs="Tahoma"/>
    </w:rPr>
  </w:style>
  <w:style w:type="character" w:customStyle="1" w:styleId="DocumentMapChar">
    <w:name w:val="Document Map Char"/>
    <w:basedOn w:val="DefaultParagraphFont"/>
    <w:link w:val="DocumentMap"/>
    <w:rsid w:val="008316F3"/>
    <w:rPr>
      <w:rFonts w:ascii="Tahoma" w:hAnsi="Tahoma" w:cs="Tahoma"/>
      <w:sz w:val="22"/>
      <w:shd w:val="clear" w:color="auto" w:fill="000080"/>
    </w:rPr>
  </w:style>
  <w:style w:type="paragraph" w:styleId="PlainText">
    <w:name w:val="Plain Text"/>
    <w:basedOn w:val="Normal"/>
    <w:link w:val="PlainTextChar"/>
    <w:rsid w:val="008316F3"/>
    <w:rPr>
      <w:rFonts w:ascii="Courier New" w:hAnsi="Courier New" w:cs="Courier New"/>
      <w:sz w:val="20"/>
    </w:rPr>
  </w:style>
  <w:style w:type="character" w:customStyle="1" w:styleId="PlainTextChar">
    <w:name w:val="Plain Text Char"/>
    <w:basedOn w:val="DefaultParagraphFont"/>
    <w:link w:val="PlainText"/>
    <w:rsid w:val="008316F3"/>
    <w:rPr>
      <w:rFonts w:ascii="Courier New" w:hAnsi="Courier New" w:cs="Courier New"/>
    </w:rPr>
  </w:style>
  <w:style w:type="paragraph" w:styleId="E-mailSignature">
    <w:name w:val="E-mail Signature"/>
    <w:basedOn w:val="Normal"/>
    <w:link w:val="E-mailSignatureChar"/>
    <w:rsid w:val="008316F3"/>
  </w:style>
  <w:style w:type="character" w:customStyle="1" w:styleId="E-mailSignatureChar">
    <w:name w:val="E-mail Signature Char"/>
    <w:basedOn w:val="DefaultParagraphFont"/>
    <w:link w:val="E-mailSignature"/>
    <w:rsid w:val="008316F3"/>
    <w:rPr>
      <w:sz w:val="22"/>
    </w:rPr>
  </w:style>
  <w:style w:type="paragraph" w:styleId="NormalWeb">
    <w:name w:val="Normal (Web)"/>
    <w:basedOn w:val="Normal"/>
    <w:rsid w:val="008316F3"/>
  </w:style>
  <w:style w:type="character" w:styleId="HTMLAcronym">
    <w:name w:val="HTML Acronym"/>
    <w:basedOn w:val="DefaultParagraphFont"/>
    <w:rsid w:val="008316F3"/>
  </w:style>
  <w:style w:type="paragraph" w:styleId="HTMLAddress">
    <w:name w:val="HTML Address"/>
    <w:basedOn w:val="Normal"/>
    <w:link w:val="HTMLAddressChar"/>
    <w:rsid w:val="008316F3"/>
    <w:rPr>
      <w:i/>
      <w:iCs/>
    </w:rPr>
  </w:style>
  <w:style w:type="character" w:customStyle="1" w:styleId="HTMLAddressChar">
    <w:name w:val="HTML Address Char"/>
    <w:basedOn w:val="DefaultParagraphFont"/>
    <w:link w:val="HTMLAddress"/>
    <w:rsid w:val="008316F3"/>
    <w:rPr>
      <w:i/>
      <w:iCs/>
      <w:sz w:val="22"/>
    </w:rPr>
  </w:style>
  <w:style w:type="character" w:styleId="HTMLCite">
    <w:name w:val="HTML Cite"/>
    <w:basedOn w:val="DefaultParagraphFont"/>
    <w:rsid w:val="008316F3"/>
    <w:rPr>
      <w:i/>
      <w:iCs/>
    </w:rPr>
  </w:style>
  <w:style w:type="character" w:styleId="HTMLCode">
    <w:name w:val="HTML Code"/>
    <w:basedOn w:val="DefaultParagraphFont"/>
    <w:rsid w:val="008316F3"/>
    <w:rPr>
      <w:rFonts w:ascii="Courier New" w:hAnsi="Courier New" w:cs="Courier New"/>
      <w:sz w:val="20"/>
      <w:szCs w:val="20"/>
    </w:rPr>
  </w:style>
  <w:style w:type="character" w:styleId="HTMLDefinition">
    <w:name w:val="HTML Definition"/>
    <w:basedOn w:val="DefaultParagraphFont"/>
    <w:rsid w:val="008316F3"/>
    <w:rPr>
      <w:i/>
      <w:iCs/>
    </w:rPr>
  </w:style>
  <w:style w:type="character" w:styleId="HTMLKeyboard">
    <w:name w:val="HTML Keyboard"/>
    <w:basedOn w:val="DefaultParagraphFont"/>
    <w:rsid w:val="008316F3"/>
    <w:rPr>
      <w:rFonts w:ascii="Courier New" w:hAnsi="Courier New" w:cs="Courier New"/>
      <w:sz w:val="20"/>
      <w:szCs w:val="20"/>
    </w:rPr>
  </w:style>
  <w:style w:type="paragraph" w:styleId="HTMLPreformatted">
    <w:name w:val="HTML Preformatted"/>
    <w:basedOn w:val="Normal"/>
    <w:link w:val="HTMLPreformattedChar"/>
    <w:rsid w:val="008316F3"/>
    <w:rPr>
      <w:rFonts w:ascii="Courier New" w:hAnsi="Courier New" w:cs="Courier New"/>
      <w:sz w:val="20"/>
    </w:rPr>
  </w:style>
  <w:style w:type="character" w:customStyle="1" w:styleId="HTMLPreformattedChar">
    <w:name w:val="HTML Preformatted Char"/>
    <w:basedOn w:val="DefaultParagraphFont"/>
    <w:link w:val="HTMLPreformatted"/>
    <w:rsid w:val="008316F3"/>
    <w:rPr>
      <w:rFonts w:ascii="Courier New" w:hAnsi="Courier New" w:cs="Courier New"/>
    </w:rPr>
  </w:style>
  <w:style w:type="character" w:styleId="HTMLSample">
    <w:name w:val="HTML Sample"/>
    <w:basedOn w:val="DefaultParagraphFont"/>
    <w:rsid w:val="008316F3"/>
    <w:rPr>
      <w:rFonts w:ascii="Courier New" w:hAnsi="Courier New" w:cs="Courier New"/>
    </w:rPr>
  </w:style>
  <w:style w:type="character" w:styleId="HTMLTypewriter">
    <w:name w:val="HTML Typewriter"/>
    <w:basedOn w:val="DefaultParagraphFont"/>
    <w:rsid w:val="008316F3"/>
    <w:rPr>
      <w:rFonts w:ascii="Courier New" w:hAnsi="Courier New" w:cs="Courier New"/>
      <w:sz w:val="20"/>
      <w:szCs w:val="20"/>
    </w:rPr>
  </w:style>
  <w:style w:type="character" w:styleId="HTMLVariable">
    <w:name w:val="HTML Variable"/>
    <w:basedOn w:val="DefaultParagraphFont"/>
    <w:rsid w:val="008316F3"/>
    <w:rPr>
      <w:i/>
      <w:iCs/>
    </w:rPr>
  </w:style>
  <w:style w:type="paragraph" w:styleId="CommentSubject">
    <w:name w:val="annotation subject"/>
    <w:basedOn w:val="CommentText"/>
    <w:next w:val="CommentText"/>
    <w:link w:val="CommentSubjectChar"/>
    <w:rsid w:val="008316F3"/>
    <w:rPr>
      <w:b/>
      <w:bCs/>
    </w:rPr>
  </w:style>
  <w:style w:type="character" w:customStyle="1" w:styleId="CommentSubjectChar">
    <w:name w:val="Comment Subject Char"/>
    <w:basedOn w:val="CommentTextChar"/>
    <w:link w:val="CommentSubject"/>
    <w:rsid w:val="008316F3"/>
    <w:rPr>
      <w:b/>
      <w:bCs/>
    </w:rPr>
  </w:style>
  <w:style w:type="numbering" w:styleId="1ai">
    <w:name w:val="Outline List 1"/>
    <w:basedOn w:val="NoList"/>
    <w:rsid w:val="008316F3"/>
    <w:pPr>
      <w:numPr>
        <w:numId w:val="14"/>
      </w:numPr>
    </w:pPr>
  </w:style>
  <w:style w:type="numbering" w:styleId="111111">
    <w:name w:val="Outline List 2"/>
    <w:basedOn w:val="NoList"/>
    <w:rsid w:val="008316F3"/>
    <w:pPr>
      <w:numPr>
        <w:numId w:val="15"/>
      </w:numPr>
    </w:pPr>
  </w:style>
  <w:style w:type="numbering" w:styleId="ArticleSection">
    <w:name w:val="Outline List 3"/>
    <w:basedOn w:val="NoList"/>
    <w:rsid w:val="008316F3"/>
    <w:pPr>
      <w:numPr>
        <w:numId w:val="17"/>
      </w:numPr>
    </w:pPr>
  </w:style>
  <w:style w:type="table" w:styleId="TableSimple1">
    <w:name w:val="Table Simple 1"/>
    <w:basedOn w:val="TableNormal"/>
    <w:rsid w:val="008316F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316F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316F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316F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316F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316F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316F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316F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316F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316F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316F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316F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316F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316F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316F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316F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316F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316F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316F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316F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316F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316F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316F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316F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316F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316F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316F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316F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316F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316F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316F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316F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316F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316F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316F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316F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316F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316F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316F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316F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316F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316F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316F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316F3"/>
    <w:rPr>
      <w:rFonts w:eastAsia="Times New Roman" w:cs="Times New Roman"/>
      <w:b/>
      <w:kern w:val="28"/>
      <w:sz w:val="24"/>
      <w:lang w:eastAsia="en-AU"/>
    </w:rPr>
  </w:style>
  <w:style w:type="paragraph" w:customStyle="1" w:styleId="ETAsubitem">
    <w:name w:val="ETA(subitem)"/>
    <w:basedOn w:val="OPCParaBase"/>
    <w:rsid w:val="008316F3"/>
    <w:pPr>
      <w:tabs>
        <w:tab w:val="right" w:pos="340"/>
      </w:tabs>
      <w:spacing w:before="60" w:line="240" w:lineRule="auto"/>
      <w:ind w:left="454" w:hanging="454"/>
    </w:pPr>
    <w:rPr>
      <w:sz w:val="20"/>
    </w:rPr>
  </w:style>
  <w:style w:type="paragraph" w:customStyle="1" w:styleId="ETApara">
    <w:name w:val="ETA(para)"/>
    <w:basedOn w:val="OPCParaBase"/>
    <w:rsid w:val="008316F3"/>
    <w:pPr>
      <w:tabs>
        <w:tab w:val="right" w:pos="754"/>
      </w:tabs>
      <w:spacing w:before="60" w:line="240" w:lineRule="auto"/>
      <w:ind w:left="828" w:hanging="828"/>
    </w:pPr>
    <w:rPr>
      <w:sz w:val="20"/>
    </w:rPr>
  </w:style>
  <w:style w:type="paragraph" w:customStyle="1" w:styleId="ETAsubpara">
    <w:name w:val="ETA(subpara)"/>
    <w:basedOn w:val="OPCParaBase"/>
    <w:rsid w:val="008316F3"/>
    <w:pPr>
      <w:tabs>
        <w:tab w:val="right" w:pos="1083"/>
      </w:tabs>
      <w:spacing w:before="60" w:line="240" w:lineRule="auto"/>
      <w:ind w:left="1191" w:hanging="1191"/>
    </w:pPr>
    <w:rPr>
      <w:sz w:val="20"/>
    </w:rPr>
  </w:style>
  <w:style w:type="paragraph" w:customStyle="1" w:styleId="ETAsub-subpara">
    <w:name w:val="ETA(sub-subpara)"/>
    <w:basedOn w:val="OPCParaBase"/>
    <w:rsid w:val="008316F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31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C88D4-F803-46C9-94C1-590405A5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15</Pages>
  <Words>3358</Words>
  <Characters>19145</Characters>
  <Application>Microsoft Office Word</Application>
  <DocSecurity>4</DocSecurity>
  <PresentationFormat/>
  <Lines>159</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2018-11-20T00:41:00Z</cp:lastPrinted>
  <dcterms:created xsi:type="dcterms:W3CDTF">2019-03-25T03:17:00Z</dcterms:created>
  <dcterms:modified xsi:type="dcterms:W3CDTF">2019-03-25T03:17:00Z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Veterans’ Entitlements (Non-warlike Service) Determination 2019</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OPC63322</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D</vt:lpwstr>
  </property>
  <property fmtid="{D5CDD505-2E9C-101B-9397-08002B2CF9AE}" pid="16" name="CounterSign">
    <vt:lpwstr/>
  </property>
  <property fmtid="{D5CDD505-2E9C-101B-9397-08002B2CF9AE}" pid="17" name="DateMade">
    <vt:lpwstr>13 March 2019</vt:lpwstr>
  </property>
</Properties>
</file>