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12640" w14:textId="77777777" w:rsidR="00F109D4" w:rsidRPr="00623BF4" w:rsidRDefault="00F109D4" w:rsidP="00647BB7">
      <w:pPr>
        <w:pStyle w:val="Heading1"/>
        <w:spacing w:after="360"/>
        <w:rPr>
          <w:rFonts w:ascii="Times New Roman" w:hAnsi="Times New Roman"/>
          <w:sz w:val="24"/>
          <w:szCs w:val="24"/>
        </w:rPr>
      </w:pPr>
      <w:r w:rsidRPr="00623BF4">
        <w:rPr>
          <w:rFonts w:ascii="Times New Roman" w:hAnsi="Times New Roman"/>
          <w:sz w:val="24"/>
          <w:szCs w:val="24"/>
        </w:rPr>
        <w:t>EXPLANATORY STATEMENT</w:t>
      </w:r>
    </w:p>
    <w:p w14:paraId="74C539E1" w14:textId="057F6C3B" w:rsidR="00451EA7" w:rsidRDefault="00F109D4" w:rsidP="00451EA7">
      <w:pPr>
        <w:pStyle w:val="Heading2"/>
        <w:jc w:val="center"/>
      </w:pPr>
      <w:r w:rsidRPr="00503E44">
        <w:t xml:space="preserve">Issued by authority of the </w:t>
      </w:r>
      <w:r w:rsidR="00E2575C">
        <w:t>Assistant Treasurer</w:t>
      </w:r>
    </w:p>
    <w:p w14:paraId="4D4A600D" w14:textId="2D2E7EAB" w:rsidR="00F109D4" w:rsidRPr="00451EA7" w:rsidRDefault="00AE6380" w:rsidP="00451EA7">
      <w:pPr>
        <w:pStyle w:val="Heading2"/>
        <w:jc w:val="center"/>
        <w:rPr>
          <w:b w:val="0"/>
          <w:i/>
          <w:sz w:val="24"/>
          <w:szCs w:val="24"/>
          <w:u w:val="none"/>
        </w:rPr>
      </w:pPr>
      <w:r w:rsidRPr="00451EA7">
        <w:rPr>
          <w:b w:val="0"/>
          <w:i/>
          <w:sz w:val="24"/>
          <w:szCs w:val="24"/>
          <w:u w:val="none"/>
        </w:rPr>
        <w:t>Taxation Administration Act 1953</w:t>
      </w:r>
    </w:p>
    <w:p w14:paraId="3953C18B" w14:textId="05A7AD63" w:rsidR="00F109D4" w:rsidRPr="00503E44" w:rsidRDefault="00AE6380" w:rsidP="00623BF4">
      <w:pPr>
        <w:tabs>
          <w:tab w:val="left" w:pos="1418"/>
        </w:tabs>
        <w:spacing w:after="240"/>
        <w:jc w:val="center"/>
        <w:rPr>
          <w:i/>
        </w:rPr>
      </w:pPr>
      <w:r>
        <w:rPr>
          <w:i/>
        </w:rPr>
        <w:t>Taxation Administration Amendment (Serious Financial Crime Taskforce) Regulations 2019</w:t>
      </w:r>
    </w:p>
    <w:p w14:paraId="5E186AD9" w14:textId="6749B3CF" w:rsidR="00417DC7" w:rsidRDefault="00417DC7" w:rsidP="00417DC7">
      <w:pPr>
        <w:spacing w:before="240"/>
      </w:pPr>
      <w:r>
        <w:rPr>
          <w:color w:val="000000"/>
          <w:shd w:val="clear" w:color="auto" w:fill="FFFFFF"/>
        </w:rPr>
        <w:t>The </w:t>
      </w:r>
      <w:r>
        <w:rPr>
          <w:i/>
          <w:iCs/>
          <w:color w:val="000000"/>
        </w:rPr>
        <w:t>Taxation Administration Act 1953</w:t>
      </w:r>
      <w:r w:rsidR="00451EA7">
        <w:rPr>
          <w:color w:val="000000"/>
          <w:shd w:val="clear" w:color="auto" w:fill="FFFFFF"/>
        </w:rPr>
        <w:t> (the Act</w:t>
      </w:r>
      <w:r>
        <w:rPr>
          <w:color w:val="000000"/>
          <w:shd w:val="clear" w:color="auto" w:fill="FFFFFF"/>
        </w:rPr>
        <w:t>) sets out the administrative framework for the tax law. This includes rules for the collection and recovery of income tax and other liabilities, objection, review and appeal processes, charges and penalties, rulings and other tax administration matters, including rules relating to the protection of taxpayer information.</w:t>
      </w:r>
    </w:p>
    <w:p w14:paraId="5D34BDC6" w14:textId="02CDA779" w:rsidR="00F109D4" w:rsidRDefault="00C55D29" w:rsidP="00417DC7">
      <w:pPr>
        <w:spacing w:before="240"/>
      </w:pPr>
      <w:r w:rsidRPr="00503E44">
        <w:t xml:space="preserve">Section </w:t>
      </w:r>
      <w:r w:rsidR="00AE6380">
        <w:t>18</w:t>
      </w:r>
      <w:r w:rsidR="005E4BAC">
        <w:t xml:space="preserve"> </w:t>
      </w:r>
      <w:r w:rsidR="00451EA7">
        <w:t>of the Act</w:t>
      </w:r>
      <w:r w:rsidR="00F109D4" w:rsidRPr="00503E44">
        <w:t xml:space="preserve"> provides that the Governor-General may make regulations prescribing matters required or permitted by the Act to be prescribed, or </w:t>
      </w:r>
      <w:r w:rsidR="00FE369A">
        <w:t xml:space="preserve">which are </w:t>
      </w:r>
      <w:r w:rsidR="00F109D4" w:rsidRPr="00503E44">
        <w:t>necessary or convenient to be prescribed for carrying out or giving effect to the Act.</w:t>
      </w:r>
    </w:p>
    <w:p w14:paraId="217C1E60" w14:textId="521DFB9A" w:rsidR="00417DC7" w:rsidRDefault="00417DC7" w:rsidP="00647BB7">
      <w:pPr>
        <w:spacing w:before="240"/>
        <w:rPr>
          <w:color w:val="000000"/>
          <w:shd w:val="clear" w:color="auto" w:fill="FFFFFF"/>
        </w:rPr>
      </w:pPr>
      <w:r>
        <w:rPr>
          <w:color w:val="000000"/>
          <w:shd w:val="clear" w:color="auto" w:fill="FFFFFF"/>
        </w:rPr>
        <w:t xml:space="preserve">The purpose of </w:t>
      </w:r>
      <w:r w:rsidR="008D4316">
        <w:rPr>
          <w:color w:val="000000"/>
          <w:shd w:val="clear" w:color="auto" w:fill="FFFFFF"/>
        </w:rPr>
        <w:t xml:space="preserve">the </w:t>
      </w:r>
      <w:r>
        <w:rPr>
          <w:i/>
          <w:iCs/>
          <w:color w:val="000000"/>
          <w:shd w:val="clear" w:color="auto" w:fill="FFFFFF"/>
        </w:rPr>
        <w:t>Taxation Administration Amendment (Serious Financial Crime Taskforce) Regulations 2019</w:t>
      </w:r>
      <w:r>
        <w:rPr>
          <w:color w:val="000000"/>
          <w:shd w:val="clear" w:color="auto" w:fill="FFFFFF"/>
        </w:rPr>
        <w:t> (the Regulations) is to amend the </w:t>
      </w:r>
      <w:r>
        <w:rPr>
          <w:i/>
          <w:iCs/>
          <w:color w:val="000000"/>
          <w:shd w:val="clear" w:color="auto" w:fill="FFFFFF"/>
        </w:rPr>
        <w:t>Taxation Administration Regulations 2017</w:t>
      </w:r>
      <w:r w:rsidR="00C442BE">
        <w:rPr>
          <w:color w:val="000000"/>
          <w:shd w:val="clear" w:color="auto" w:fill="FFFFFF"/>
        </w:rPr>
        <w:t> (the TA Regulations</w:t>
      </w:r>
      <w:r>
        <w:rPr>
          <w:color w:val="000000"/>
          <w:shd w:val="clear" w:color="auto" w:fill="FFFFFF"/>
        </w:rPr>
        <w:t xml:space="preserve"> 2017) to </w:t>
      </w:r>
      <w:r w:rsidR="00BD18AE">
        <w:rPr>
          <w:color w:val="000000"/>
          <w:shd w:val="clear" w:color="auto" w:fill="FFFFFF"/>
        </w:rPr>
        <w:t>prescribe</w:t>
      </w:r>
      <w:r>
        <w:rPr>
          <w:color w:val="000000"/>
          <w:shd w:val="clear" w:color="auto" w:fill="FFFFFF"/>
        </w:rPr>
        <w:t xml:space="preserve"> the Serious Financial Crime Taskforce.</w:t>
      </w:r>
    </w:p>
    <w:p w14:paraId="299E16C4" w14:textId="77777777" w:rsidR="008D4316" w:rsidRDefault="008D4316" w:rsidP="00417DC7">
      <w:pPr>
        <w:shd w:val="clear" w:color="auto" w:fill="FFFFFF"/>
        <w:spacing w:before="240"/>
      </w:pPr>
      <w:r>
        <w:t xml:space="preserve">The Serious Financial Crime Taskforce has been extended for a further four years from 1 July 2019 and will now be formally led by the Australian Taxation Office. The amendments made by Schedule 1 to the Regulations enable the ongoing disclosure of information between taskforce agencies under the new governance arrangements. </w:t>
      </w:r>
    </w:p>
    <w:p w14:paraId="5AABFDD6" w14:textId="5679EA69" w:rsidR="00417DC7" w:rsidRPr="00417DC7" w:rsidRDefault="00417DC7" w:rsidP="00417DC7">
      <w:pPr>
        <w:shd w:val="clear" w:color="auto" w:fill="FFFFFF"/>
        <w:spacing w:before="240"/>
        <w:rPr>
          <w:color w:val="000000"/>
          <w:szCs w:val="24"/>
        </w:rPr>
      </w:pPr>
      <w:r w:rsidRPr="00417DC7">
        <w:rPr>
          <w:color w:val="000000"/>
          <w:szCs w:val="24"/>
        </w:rPr>
        <w:t xml:space="preserve">Under the </w:t>
      </w:r>
      <w:r>
        <w:rPr>
          <w:color w:val="000000"/>
          <w:szCs w:val="24"/>
        </w:rPr>
        <w:t>Act</w:t>
      </w:r>
      <w:r w:rsidRPr="00417DC7">
        <w:rPr>
          <w:color w:val="000000"/>
          <w:szCs w:val="24"/>
        </w:rPr>
        <w:t xml:space="preserve">, it is an offence for a taxation officer to record or disclose </w:t>
      </w:r>
      <w:r w:rsidR="00BD18AE">
        <w:rPr>
          <w:color w:val="000000"/>
          <w:szCs w:val="24"/>
        </w:rPr>
        <w:t xml:space="preserve">(hereafter </w:t>
      </w:r>
      <w:r w:rsidR="00FE369A">
        <w:rPr>
          <w:color w:val="000000"/>
          <w:szCs w:val="24"/>
        </w:rPr>
        <w:t>referred to as</w:t>
      </w:r>
      <w:r w:rsidR="00BD18AE">
        <w:rPr>
          <w:color w:val="000000"/>
          <w:szCs w:val="24"/>
        </w:rPr>
        <w:t xml:space="preserve"> ‘disclose’) </w:t>
      </w:r>
      <w:r w:rsidRPr="00417DC7">
        <w:rPr>
          <w:color w:val="000000"/>
          <w:szCs w:val="24"/>
        </w:rPr>
        <w:t>protected information that they acquired in their role as a taxation officer.</w:t>
      </w:r>
    </w:p>
    <w:p w14:paraId="1335CF90" w14:textId="08BF87D6" w:rsidR="00417DC7" w:rsidRPr="00417DC7" w:rsidRDefault="00417DC7" w:rsidP="00417DC7">
      <w:pPr>
        <w:shd w:val="clear" w:color="auto" w:fill="FFFFFF"/>
        <w:spacing w:before="240"/>
        <w:rPr>
          <w:color w:val="000000"/>
          <w:szCs w:val="24"/>
        </w:rPr>
      </w:pPr>
      <w:r w:rsidRPr="00417DC7">
        <w:rPr>
          <w:color w:val="000000"/>
          <w:szCs w:val="24"/>
        </w:rPr>
        <w:t xml:space="preserve">There are various exceptions to this offence, including disclosure for law enforcement and related purposes. In particular, taxation officers can </w:t>
      </w:r>
      <w:r w:rsidR="00BD18AE">
        <w:rPr>
          <w:color w:val="000000"/>
          <w:szCs w:val="24"/>
        </w:rPr>
        <w:t>disclose</w:t>
      </w:r>
      <w:r w:rsidR="008D4316">
        <w:rPr>
          <w:color w:val="000000"/>
          <w:szCs w:val="24"/>
        </w:rPr>
        <w:t xml:space="preserve"> protected information to</w:t>
      </w:r>
      <w:r w:rsidRPr="00417DC7">
        <w:rPr>
          <w:color w:val="000000"/>
          <w:szCs w:val="24"/>
        </w:rPr>
        <w:t xml:space="preserve"> a </w:t>
      </w:r>
      <w:r w:rsidR="00BD18AE">
        <w:rPr>
          <w:color w:val="000000"/>
          <w:szCs w:val="24"/>
        </w:rPr>
        <w:t xml:space="preserve">prescribed </w:t>
      </w:r>
      <w:r w:rsidRPr="00417DC7">
        <w:rPr>
          <w:color w:val="000000"/>
          <w:szCs w:val="24"/>
        </w:rPr>
        <w:t>taskforce officer if the disclosure is for or in connection with a purpose of the prescribed taskforce. The TA</w:t>
      </w:r>
      <w:r w:rsidR="00C442BE">
        <w:rPr>
          <w:color w:val="000000"/>
          <w:szCs w:val="24"/>
        </w:rPr>
        <w:t xml:space="preserve"> </w:t>
      </w:r>
      <w:r w:rsidRPr="00417DC7">
        <w:rPr>
          <w:color w:val="000000"/>
          <w:szCs w:val="24"/>
        </w:rPr>
        <w:t>R</w:t>
      </w:r>
      <w:r w:rsidR="00C442BE">
        <w:rPr>
          <w:color w:val="000000"/>
          <w:szCs w:val="24"/>
        </w:rPr>
        <w:t>egulations</w:t>
      </w:r>
      <w:r w:rsidRPr="00417DC7">
        <w:rPr>
          <w:color w:val="000000"/>
          <w:szCs w:val="24"/>
        </w:rPr>
        <w:t xml:space="preserve"> 2017 prescribes taskforces for the purposes of this exception.</w:t>
      </w:r>
    </w:p>
    <w:p w14:paraId="4F889F8A" w14:textId="28FF9E77" w:rsidR="00417DC7" w:rsidRPr="00417DC7" w:rsidRDefault="00417DC7" w:rsidP="00417DC7">
      <w:pPr>
        <w:shd w:val="clear" w:color="auto" w:fill="FFFFFF"/>
        <w:spacing w:before="240"/>
        <w:rPr>
          <w:color w:val="000000"/>
          <w:szCs w:val="24"/>
        </w:rPr>
      </w:pPr>
      <w:r w:rsidRPr="00417DC7">
        <w:rPr>
          <w:color w:val="000000"/>
          <w:szCs w:val="24"/>
        </w:rPr>
        <w:t>Schedule 1 to the Regulations amends the TA</w:t>
      </w:r>
      <w:r w:rsidR="00C442BE">
        <w:rPr>
          <w:color w:val="000000"/>
          <w:szCs w:val="24"/>
        </w:rPr>
        <w:t xml:space="preserve"> </w:t>
      </w:r>
      <w:r w:rsidRPr="00417DC7">
        <w:rPr>
          <w:color w:val="000000"/>
          <w:szCs w:val="24"/>
        </w:rPr>
        <w:t>R</w:t>
      </w:r>
      <w:r w:rsidR="00C442BE">
        <w:rPr>
          <w:color w:val="000000"/>
          <w:szCs w:val="24"/>
        </w:rPr>
        <w:t>egulations</w:t>
      </w:r>
      <w:r w:rsidRPr="00417DC7">
        <w:rPr>
          <w:color w:val="000000"/>
          <w:szCs w:val="24"/>
        </w:rPr>
        <w:t xml:space="preserve"> 2017 to add the </w:t>
      </w:r>
      <w:r>
        <w:rPr>
          <w:color w:val="000000"/>
          <w:szCs w:val="24"/>
        </w:rPr>
        <w:t>Serious Financial Crime Taskforce</w:t>
      </w:r>
      <w:r w:rsidRPr="00417DC7">
        <w:rPr>
          <w:color w:val="000000"/>
          <w:szCs w:val="24"/>
        </w:rPr>
        <w:t xml:space="preserve"> to the list of prescribed taskforces. This allows taxation officers to disclose relevant information to taskfo</w:t>
      </w:r>
      <w:r w:rsidR="00A360EE">
        <w:rPr>
          <w:color w:val="000000"/>
          <w:szCs w:val="24"/>
        </w:rPr>
        <w:t>rce officers in the Serious Financial Crime Taskforce</w:t>
      </w:r>
      <w:r w:rsidRPr="00417DC7">
        <w:rPr>
          <w:color w:val="000000"/>
          <w:szCs w:val="24"/>
        </w:rPr>
        <w:t>.</w:t>
      </w:r>
    </w:p>
    <w:p w14:paraId="383A5277" w14:textId="30E847D0" w:rsidR="00EF2EF4" w:rsidRPr="008D4316" w:rsidRDefault="00417DC7" w:rsidP="008D4316">
      <w:pPr>
        <w:shd w:val="clear" w:color="auto" w:fill="FFFFFF"/>
        <w:spacing w:before="240"/>
        <w:rPr>
          <w:color w:val="000000"/>
          <w:szCs w:val="24"/>
        </w:rPr>
      </w:pPr>
      <w:r>
        <w:rPr>
          <w:color w:val="000000"/>
          <w:szCs w:val="24"/>
        </w:rPr>
        <w:t>A major purpose of the</w:t>
      </w:r>
      <w:r w:rsidR="00A360EE">
        <w:rPr>
          <w:color w:val="000000"/>
          <w:szCs w:val="24"/>
        </w:rPr>
        <w:t xml:space="preserve"> Serious Financial Crime T</w:t>
      </w:r>
      <w:r w:rsidRPr="00417DC7">
        <w:rPr>
          <w:color w:val="000000"/>
          <w:szCs w:val="24"/>
        </w:rPr>
        <w:t xml:space="preserve">askforce is </w:t>
      </w:r>
      <w:r w:rsidR="00FE369A">
        <w:rPr>
          <w:color w:val="000000"/>
          <w:szCs w:val="24"/>
        </w:rPr>
        <w:t>to protect</w:t>
      </w:r>
      <w:r w:rsidR="00FE369A" w:rsidRPr="00417DC7">
        <w:rPr>
          <w:color w:val="000000"/>
          <w:szCs w:val="24"/>
        </w:rPr>
        <w:t xml:space="preserve"> </w:t>
      </w:r>
      <w:r w:rsidRPr="00417DC7">
        <w:rPr>
          <w:color w:val="000000"/>
          <w:szCs w:val="24"/>
        </w:rPr>
        <w:t xml:space="preserve">the public finances of Australia by addressing </w:t>
      </w:r>
      <w:r w:rsidR="00D00427">
        <w:rPr>
          <w:color w:val="000000"/>
          <w:szCs w:val="24"/>
        </w:rPr>
        <w:t>serious and significant risks to Australia’s tax and superannuation systems</w:t>
      </w:r>
      <w:r w:rsidRPr="00417DC7">
        <w:rPr>
          <w:color w:val="000000"/>
          <w:szCs w:val="24"/>
        </w:rPr>
        <w:t>.</w:t>
      </w:r>
      <w:r w:rsidR="00EF2EF4">
        <w:t xml:space="preserve"> </w:t>
      </w:r>
      <w:r w:rsidR="001140FA">
        <w:t xml:space="preserve"> </w:t>
      </w:r>
    </w:p>
    <w:p w14:paraId="17840708" w14:textId="0A88560E" w:rsidR="00B85AAF" w:rsidRDefault="00EB7C2B" w:rsidP="00647BB7">
      <w:pPr>
        <w:spacing w:before="240"/>
        <w:rPr>
          <w:color w:val="000000"/>
          <w:shd w:val="clear" w:color="auto" w:fill="FFFFFF"/>
        </w:rPr>
      </w:pPr>
      <w:r>
        <w:rPr>
          <w:color w:val="000000"/>
          <w:shd w:val="clear" w:color="auto" w:fill="FFFFFF"/>
        </w:rPr>
        <w:t>The amendments made by Schedule 1 to the Regulations apply to disclosur</w:t>
      </w:r>
      <w:r w:rsidR="00A360EE">
        <w:rPr>
          <w:color w:val="000000"/>
          <w:shd w:val="clear" w:color="auto" w:fill="FFFFFF"/>
        </w:rPr>
        <w:t>es made on or after 1 July 2019</w:t>
      </w:r>
      <w:r w:rsidR="00D00427">
        <w:rPr>
          <w:color w:val="000000"/>
          <w:shd w:val="clear" w:color="auto" w:fill="FFFFFF"/>
        </w:rPr>
        <w:t xml:space="preserve">, regardless of the time </w:t>
      </w:r>
      <w:r w:rsidR="00FE369A">
        <w:rPr>
          <w:color w:val="000000"/>
          <w:shd w:val="clear" w:color="auto" w:fill="FFFFFF"/>
        </w:rPr>
        <w:t xml:space="preserve">that the </w:t>
      </w:r>
      <w:r w:rsidR="00D00427">
        <w:rPr>
          <w:color w:val="000000"/>
          <w:shd w:val="clear" w:color="auto" w:fill="FFFFFF"/>
        </w:rPr>
        <w:t>relevant taxpayer information was obtained.</w:t>
      </w:r>
    </w:p>
    <w:p w14:paraId="636F9671" w14:textId="60F7204D" w:rsidR="00EB7C2B" w:rsidRDefault="00B85AAF" w:rsidP="00647BB7">
      <w:pPr>
        <w:spacing w:before="240"/>
        <w:rPr>
          <w:color w:val="000000"/>
          <w:shd w:val="clear" w:color="auto" w:fill="FFFFFF"/>
        </w:rPr>
      </w:pPr>
      <w:r>
        <w:lastRenderedPageBreak/>
        <w:t>Further details of these amendments are set out in</w:t>
      </w:r>
      <w:r w:rsidR="00D11E34">
        <w:t xml:space="preserve"> the</w:t>
      </w:r>
      <w:r>
        <w:t xml:space="preserve"> </w:t>
      </w:r>
      <w:r w:rsidR="00D11E34" w:rsidRPr="00623BF4">
        <w:rPr>
          <w:bCs/>
          <w:u w:val="single"/>
        </w:rPr>
        <w:t>Attachment</w:t>
      </w:r>
      <w:r>
        <w:t>.</w:t>
      </w:r>
      <w:r w:rsidR="00EB7C2B">
        <w:rPr>
          <w:color w:val="000000"/>
          <w:shd w:val="clear" w:color="auto" w:fill="FFFFFF"/>
        </w:rPr>
        <w:t> </w:t>
      </w:r>
    </w:p>
    <w:p w14:paraId="01A7D699" w14:textId="77777777" w:rsidR="00823100" w:rsidRDefault="00823100" w:rsidP="00823100">
      <w:pPr>
        <w:spacing w:before="240"/>
        <w:rPr>
          <w:color w:val="000000"/>
          <w:shd w:val="clear" w:color="auto" w:fill="FFFFFF"/>
        </w:rPr>
      </w:pPr>
      <w:r>
        <w:rPr>
          <w:color w:val="000000"/>
          <w:shd w:val="clear" w:color="auto" w:fill="FFFFFF"/>
        </w:rPr>
        <w:t>Consultation on Schedule 1 to the Regulations was undertaken with the Australian Taxation Office. No public consultation took place on the amendments made by Schedule 1 as they are minor and machinery in nature, relating to the internal processes of Government.</w:t>
      </w:r>
    </w:p>
    <w:p w14:paraId="1EE04FA0" w14:textId="248E6C28" w:rsidR="00823100" w:rsidRDefault="00823100" w:rsidP="00823100">
      <w:pPr>
        <w:spacing w:before="240"/>
        <w:rPr>
          <w:color w:val="000000"/>
          <w:shd w:val="clear" w:color="auto" w:fill="FFFFFF"/>
        </w:rPr>
      </w:pPr>
      <w:r>
        <w:rPr>
          <w:color w:val="000000"/>
          <w:shd w:val="clear" w:color="auto" w:fill="FFFFFF"/>
        </w:rPr>
        <w:t xml:space="preserve">The Regulations commenced on </w:t>
      </w:r>
      <w:r w:rsidR="002F24E4">
        <w:rPr>
          <w:color w:val="000000"/>
          <w:shd w:val="clear" w:color="auto" w:fill="FFFFFF"/>
        </w:rPr>
        <w:t xml:space="preserve">the day after it was registered on </w:t>
      </w:r>
      <w:r>
        <w:rPr>
          <w:color w:val="000000"/>
          <w:shd w:val="clear" w:color="auto" w:fill="FFFFFF"/>
        </w:rPr>
        <w:t>the Federal Register of Legislation.</w:t>
      </w:r>
    </w:p>
    <w:p w14:paraId="2464BC07" w14:textId="4446D287" w:rsidR="00EB7C2B" w:rsidRDefault="00E63F7D" w:rsidP="00647BB7">
      <w:pPr>
        <w:spacing w:before="240"/>
        <w:rPr>
          <w:color w:val="000000"/>
          <w:shd w:val="clear" w:color="auto" w:fill="FFFFFF"/>
        </w:rPr>
      </w:pPr>
      <w:r w:rsidRPr="000A4CB1">
        <w:t>The Office of Best Practice Regulation (OBPR) has be</w:t>
      </w:r>
      <w:r w:rsidR="00BC2A1D" w:rsidRPr="000A4CB1">
        <w:t xml:space="preserve">en consulted </w:t>
      </w:r>
      <w:r w:rsidR="00CB1742">
        <w:t xml:space="preserve">and a short form regulation impact statement was completed </w:t>
      </w:r>
      <w:r w:rsidR="00BC2A1D" w:rsidRPr="000A4CB1">
        <w:t>(OBPR ID 24074)</w:t>
      </w:r>
      <w:r w:rsidR="00CB1742">
        <w:t xml:space="preserve">. </w:t>
      </w:r>
      <w:r w:rsidR="00EB7C2B">
        <w:rPr>
          <w:color w:val="000000"/>
          <w:shd w:val="clear" w:color="auto" w:fill="FFFFFF"/>
        </w:rPr>
        <w:t xml:space="preserve">The amendments made by Schedule 1 to the Regulations are estimated to have no impact on revenue or compliance costs – they </w:t>
      </w:r>
      <w:r w:rsidR="00FE369A">
        <w:rPr>
          <w:color w:val="000000"/>
          <w:shd w:val="clear" w:color="auto" w:fill="FFFFFF"/>
        </w:rPr>
        <w:t xml:space="preserve">will only impact </w:t>
      </w:r>
      <w:r w:rsidR="00EB7C2B">
        <w:rPr>
          <w:color w:val="000000"/>
          <w:shd w:val="clear" w:color="auto" w:fill="FFFFFF"/>
        </w:rPr>
        <w:t xml:space="preserve">the internal operations of Government agencies. </w:t>
      </w:r>
    </w:p>
    <w:p w14:paraId="60DD739B" w14:textId="28398D37" w:rsidR="00823100" w:rsidRDefault="00823100" w:rsidP="00647BB7">
      <w:pPr>
        <w:spacing w:before="240"/>
        <w:rPr>
          <w:color w:val="000000"/>
          <w:shd w:val="clear" w:color="auto" w:fill="FFFFFF"/>
        </w:rPr>
      </w:pPr>
      <w:r>
        <w:rPr>
          <w:color w:val="000000"/>
          <w:shd w:val="clear" w:color="auto" w:fill="FFFFFF"/>
        </w:rPr>
        <w:t xml:space="preserve">A Statement of </w:t>
      </w:r>
      <w:r w:rsidR="002F24E4">
        <w:rPr>
          <w:color w:val="000000"/>
          <w:shd w:val="clear" w:color="auto" w:fill="FFFFFF"/>
        </w:rPr>
        <w:t>Compatibility</w:t>
      </w:r>
      <w:r>
        <w:rPr>
          <w:color w:val="000000"/>
          <w:shd w:val="clear" w:color="auto" w:fill="FFFFFF"/>
        </w:rPr>
        <w:t xml:space="preserve"> with Human Rights is in the </w:t>
      </w:r>
      <w:r w:rsidRPr="00623BF4">
        <w:rPr>
          <w:color w:val="000000"/>
          <w:u w:val="single"/>
          <w:shd w:val="clear" w:color="auto" w:fill="FFFFFF"/>
        </w:rPr>
        <w:t>Attachment</w:t>
      </w:r>
      <w:r>
        <w:rPr>
          <w:color w:val="000000"/>
          <w:shd w:val="clear" w:color="auto" w:fill="FFFFFF"/>
        </w:rPr>
        <w:t>.</w:t>
      </w:r>
    </w:p>
    <w:p w14:paraId="273B103D" w14:textId="34099E75" w:rsidR="00823100" w:rsidRDefault="00823100">
      <w:pPr>
        <w:spacing w:before="0" w:after="0"/>
        <w:rPr>
          <w:color w:val="000000"/>
          <w:shd w:val="clear" w:color="auto" w:fill="FFFFFF"/>
        </w:rPr>
      </w:pPr>
      <w:r>
        <w:rPr>
          <w:color w:val="000000"/>
          <w:shd w:val="clear" w:color="auto" w:fill="FFFFFF"/>
        </w:rPr>
        <w:br w:type="page"/>
      </w:r>
    </w:p>
    <w:p w14:paraId="410009B4" w14:textId="2A605286" w:rsidR="00CF5461" w:rsidRPr="00CF5461" w:rsidRDefault="00CF5461" w:rsidP="00647BB7">
      <w:pPr>
        <w:spacing w:before="240"/>
      </w:pPr>
    </w:p>
    <w:p w14:paraId="6E7D80E9" w14:textId="181D0FE5" w:rsidR="004B3774" w:rsidRDefault="004B3774" w:rsidP="004B3774">
      <w:pPr>
        <w:spacing w:before="240"/>
        <w:jc w:val="right"/>
      </w:pPr>
      <w:r>
        <w:rPr>
          <w:b/>
        </w:rPr>
        <w:t>ATTACHMENT</w:t>
      </w:r>
    </w:p>
    <w:p w14:paraId="1DFDE5B2" w14:textId="4DE237DE" w:rsidR="00CF5461" w:rsidRDefault="00CF5461" w:rsidP="004B3774">
      <w:pPr>
        <w:shd w:val="clear" w:color="auto" w:fill="FFFFFF"/>
        <w:rPr>
          <w:color w:val="000000"/>
          <w:szCs w:val="24"/>
          <w:u w:val="single"/>
        </w:rPr>
      </w:pPr>
      <w:r>
        <w:rPr>
          <w:b/>
          <w:color w:val="000000"/>
          <w:szCs w:val="24"/>
          <w:u w:val="single"/>
        </w:rPr>
        <w:t xml:space="preserve">Details of the </w:t>
      </w:r>
      <w:r>
        <w:rPr>
          <w:b/>
          <w:i/>
          <w:color w:val="000000"/>
          <w:szCs w:val="24"/>
          <w:u w:val="single"/>
        </w:rPr>
        <w:t>Taxation Administration Amendment (Serious Financial Crime Taskforce) Regulations 2019</w:t>
      </w:r>
    </w:p>
    <w:p w14:paraId="44DF76DD" w14:textId="77777777" w:rsidR="004B3774" w:rsidRPr="004B3774" w:rsidRDefault="004B3774" w:rsidP="004B3774">
      <w:pPr>
        <w:shd w:val="clear" w:color="auto" w:fill="FFFFFF"/>
        <w:rPr>
          <w:color w:val="000000"/>
          <w:szCs w:val="24"/>
        </w:rPr>
      </w:pPr>
      <w:r w:rsidRPr="004B3774">
        <w:rPr>
          <w:color w:val="000000"/>
          <w:szCs w:val="24"/>
          <w:u w:val="single"/>
        </w:rPr>
        <w:t>Section 1 – Name of Regulations</w:t>
      </w:r>
    </w:p>
    <w:p w14:paraId="4BDFE6D5" w14:textId="7A860D7F" w:rsidR="004B3774" w:rsidRPr="004B3774" w:rsidRDefault="004B3774" w:rsidP="004B3774">
      <w:pPr>
        <w:shd w:val="clear" w:color="auto" w:fill="FFFFFF"/>
        <w:rPr>
          <w:color w:val="000000"/>
          <w:szCs w:val="24"/>
        </w:rPr>
      </w:pPr>
      <w:r w:rsidRPr="004B3774">
        <w:rPr>
          <w:color w:val="000000"/>
          <w:szCs w:val="24"/>
        </w:rPr>
        <w:t>This section provides that the title of the Regulations is the </w:t>
      </w:r>
      <w:r>
        <w:rPr>
          <w:i/>
          <w:iCs/>
          <w:color w:val="000000"/>
          <w:szCs w:val="24"/>
        </w:rPr>
        <w:t xml:space="preserve">Taxation Administration Amendment </w:t>
      </w:r>
      <w:r w:rsidR="00CF5461">
        <w:rPr>
          <w:i/>
          <w:iCs/>
          <w:color w:val="000000"/>
          <w:szCs w:val="24"/>
        </w:rPr>
        <w:t>(</w:t>
      </w:r>
      <w:r>
        <w:rPr>
          <w:i/>
          <w:iCs/>
          <w:color w:val="000000"/>
          <w:szCs w:val="24"/>
        </w:rPr>
        <w:t xml:space="preserve">Serious Financial Crime Taskforce) Regulations 2019 </w:t>
      </w:r>
      <w:r w:rsidRPr="004B3774">
        <w:rPr>
          <w:color w:val="000000"/>
          <w:szCs w:val="24"/>
        </w:rPr>
        <w:t>(the Regulations).</w:t>
      </w:r>
    </w:p>
    <w:p w14:paraId="67A75E74" w14:textId="77777777" w:rsidR="004B3774" w:rsidRPr="004B3774" w:rsidRDefault="004B3774" w:rsidP="004B3774">
      <w:pPr>
        <w:shd w:val="clear" w:color="auto" w:fill="FFFFFF"/>
        <w:rPr>
          <w:color w:val="000000"/>
          <w:szCs w:val="24"/>
        </w:rPr>
      </w:pPr>
      <w:r w:rsidRPr="004B3774">
        <w:rPr>
          <w:color w:val="000000"/>
          <w:szCs w:val="24"/>
          <w:u w:val="single"/>
        </w:rPr>
        <w:t>Section 2 – Commencement</w:t>
      </w:r>
    </w:p>
    <w:p w14:paraId="1ADF899F" w14:textId="4D8C9908" w:rsidR="004B3774" w:rsidRPr="004B3774" w:rsidRDefault="004B3774" w:rsidP="004B3774">
      <w:pPr>
        <w:shd w:val="clear" w:color="auto" w:fill="FFFFFF"/>
        <w:rPr>
          <w:color w:val="000000"/>
          <w:szCs w:val="24"/>
        </w:rPr>
      </w:pPr>
      <w:r w:rsidRPr="004B3774">
        <w:rPr>
          <w:color w:val="000000"/>
          <w:szCs w:val="24"/>
        </w:rPr>
        <w:t>This section provide</w:t>
      </w:r>
      <w:r w:rsidR="00451EA7">
        <w:rPr>
          <w:color w:val="000000"/>
          <w:szCs w:val="24"/>
        </w:rPr>
        <w:t>s that the Regulations commence</w:t>
      </w:r>
      <w:r w:rsidRPr="004B3774">
        <w:rPr>
          <w:color w:val="000000"/>
          <w:szCs w:val="24"/>
        </w:rPr>
        <w:t xml:space="preserve"> on the day after </w:t>
      </w:r>
      <w:r w:rsidR="00823100">
        <w:rPr>
          <w:color w:val="000000"/>
          <w:szCs w:val="24"/>
        </w:rPr>
        <w:t>it is</w:t>
      </w:r>
      <w:r w:rsidRPr="004B3774">
        <w:rPr>
          <w:color w:val="000000"/>
          <w:szCs w:val="24"/>
        </w:rPr>
        <w:t xml:space="preserve"> registered.</w:t>
      </w:r>
    </w:p>
    <w:p w14:paraId="0CAF4772" w14:textId="77777777" w:rsidR="004B3774" w:rsidRPr="004B3774" w:rsidRDefault="004B3774" w:rsidP="004B3774">
      <w:pPr>
        <w:shd w:val="clear" w:color="auto" w:fill="FFFFFF"/>
        <w:rPr>
          <w:color w:val="000000"/>
          <w:szCs w:val="24"/>
        </w:rPr>
      </w:pPr>
      <w:r w:rsidRPr="004B3774">
        <w:rPr>
          <w:color w:val="000000"/>
          <w:szCs w:val="24"/>
          <w:u w:val="single"/>
        </w:rPr>
        <w:t>Section 3 – Authority</w:t>
      </w:r>
    </w:p>
    <w:p w14:paraId="3B549A1C" w14:textId="591F7E03" w:rsidR="004B3774" w:rsidRPr="004B3774" w:rsidRDefault="004B3774" w:rsidP="004B3774">
      <w:pPr>
        <w:shd w:val="clear" w:color="auto" w:fill="FFFFFF"/>
        <w:rPr>
          <w:color w:val="000000"/>
          <w:szCs w:val="24"/>
        </w:rPr>
      </w:pPr>
      <w:r w:rsidRPr="004B3774">
        <w:rPr>
          <w:color w:val="000000"/>
          <w:szCs w:val="24"/>
        </w:rPr>
        <w:t>This section provides that the Regulations are made under the </w:t>
      </w:r>
      <w:r w:rsidRPr="004B3774">
        <w:rPr>
          <w:i/>
          <w:iCs/>
          <w:color w:val="000000"/>
          <w:szCs w:val="24"/>
        </w:rPr>
        <w:t>Taxation Administration Act 1953</w:t>
      </w:r>
      <w:r w:rsidR="00451EA7">
        <w:rPr>
          <w:color w:val="000000"/>
          <w:szCs w:val="24"/>
        </w:rPr>
        <w:t> (the Act</w:t>
      </w:r>
      <w:r>
        <w:rPr>
          <w:color w:val="000000"/>
          <w:szCs w:val="24"/>
        </w:rPr>
        <w:t>)</w:t>
      </w:r>
      <w:r w:rsidRPr="004B3774">
        <w:rPr>
          <w:i/>
          <w:iCs/>
          <w:color w:val="000000"/>
          <w:szCs w:val="24"/>
        </w:rPr>
        <w:t>.</w:t>
      </w:r>
    </w:p>
    <w:p w14:paraId="37A8F8C4" w14:textId="77777777" w:rsidR="004B3774" w:rsidRPr="004B3774" w:rsidRDefault="004B3774" w:rsidP="004B3774">
      <w:pPr>
        <w:shd w:val="clear" w:color="auto" w:fill="FFFFFF"/>
        <w:rPr>
          <w:color w:val="000000"/>
          <w:szCs w:val="24"/>
        </w:rPr>
      </w:pPr>
      <w:r w:rsidRPr="004B3774">
        <w:rPr>
          <w:color w:val="000000"/>
          <w:szCs w:val="24"/>
          <w:u w:val="single"/>
        </w:rPr>
        <w:t>Section 4 – Schedules</w:t>
      </w:r>
    </w:p>
    <w:p w14:paraId="685C53D0" w14:textId="4664A43F" w:rsidR="004B3774" w:rsidRDefault="004B3774" w:rsidP="004B3774">
      <w:pPr>
        <w:shd w:val="clear" w:color="auto" w:fill="FFFFFF"/>
        <w:rPr>
          <w:color w:val="000000"/>
          <w:szCs w:val="24"/>
        </w:rPr>
      </w:pPr>
      <w:r w:rsidRPr="004B3774">
        <w:rPr>
          <w:color w:val="000000"/>
          <w:szCs w:val="24"/>
        </w:rPr>
        <w:t>This section provides that each instrument that is specified in a Schedule to the Regulations is amended or repealed as set out in the applicable items in the Schedule concerned, and any other items in a Schedule to the Regulations have effect according to their terms</w:t>
      </w:r>
      <w:r w:rsidR="00CF5461">
        <w:rPr>
          <w:color w:val="000000"/>
          <w:szCs w:val="24"/>
        </w:rPr>
        <w:t xml:space="preserve">. </w:t>
      </w:r>
    </w:p>
    <w:p w14:paraId="4B79628A" w14:textId="6B85F662" w:rsidR="008C47C1" w:rsidRDefault="008C47C1" w:rsidP="00DD3102">
      <w:pPr>
        <w:pStyle w:val="base-text-paragraph"/>
        <w:shd w:val="clear" w:color="auto" w:fill="FFFFFF"/>
        <w:ind w:left="0"/>
        <w:rPr>
          <w:b/>
          <w:bCs/>
          <w:color w:val="000000"/>
          <w:szCs w:val="24"/>
        </w:rPr>
      </w:pPr>
      <w:r w:rsidRPr="008C47C1">
        <w:rPr>
          <w:b/>
          <w:bCs/>
          <w:color w:val="000000"/>
          <w:szCs w:val="24"/>
        </w:rPr>
        <w:t xml:space="preserve">Schedule 1 – </w:t>
      </w:r>
      <w:r w:rsidR="00451EA7">
        <w:rPr>
          <w:b/>
          <w:bCs/>
          <w:color w:val="000000"/>
          <w:szCs w:val="24"/>
        </w:rPr>
        <w:t>Amendments</w:t>
      </w:r>
    </w:p>
    <w:p w14:paraId="40C1F2A2" w14:textId="07B2AD19" w:rsidR="00F77E8B" w:rsidRPr="008C47C1" w:rsidRDefault="00F77E8B" w:rsidP="00DD3102">
      <w:pPr>
        <w:pStyle w:val="base-text-paragraph"/>
        <w:shd w:val="clear" w:color="auto" w:fill="FFFFFF"/>
        <w:ind w:left="0"/>
        <w:rPr>
          <w:color w:val="000000"/>
          <w:szCs w:val="24"/>
        </w:rPr>
      </w:pPr>
      <w:r>
        <w:rPr>
          <w:b/>
          <w:bCs/>
          <w:color w:val="000000"/>
          <w:szCs w:val="24"/>
        </w:rPr>
        <w:t>Item 1</w:t>
      </w:r>
    </w:p>
    <w:p w14:paraId="0AC62FD6" w14:textId="28DE8789" w:rsidR="008C47C1" w:rsidRPr="008C47C1" w:rsidRDefault="005F078D" w:rsidP="008C47C1">
      <w:pPr>
        <w:shd w:val="clear" w:color="auto" w:fill="FFFFFF"/>
        <w:rPr>
          <w:color w:val="000000"/>
          <w:szCs w:val="24"/>
        </w:rPr>
      </w:pPr>
      <w:r>
        <w:rPr>
          <w:color w:val="000000"/>
          <w:szCs w:val="24"/>
        </w:rPr>
        <w:t>Item 1 in s</w:t>
      </w:r>
      <w:r w:rsidR="008C47C1" w:rsidRPr="008C47C1">
        <w:rPr>
          <w:color w:val="000000"/>
          <w:szCs w:val="24"/>
        </w:rPr>
        <w:t>chedule 1 to the Regulations amends the </w:t>
      </w:r>
      <w:r w:rsidR="008C47C1" w:rsidRPr="008C47C1">
        <w:rPr>
          <w:i/>
          <w:iCs/>
          <w:color w:val="000000"/>
          <w:szCs w:val="24"/>
        </w:rPr>
        <w:t>Taxation Administration Regulations 2017 </w:t>
      </w:r>
      <w:r w:rsidR="008C47C1" w:rsidRPr="008C47C1">
        <w:rPr>
          <w:color w:val="000000"/>
          <w:szCs w:val="24"/>
        </w:rPr>
        <w:t>(the TA</w:t>
      </w:r>
      <w:r w:rsidR="00C442BE">
        <w:rPr>
          <w:color w:val="000000"/>
          <w:szCs w:val="24"/>
        </w:rPr>
        <w:t xml:space="preserve"> </w:t>
      </w:r>
      <w:r w:rsidR="008C47C1" w:rsidRPr="008C47C1">
        <w:rPr>
          <w:color w:val="000000"/>
          <w:szCs w:val="24"/>
        </w:rPr>
        <w:t>R</w:t>
      </w:r>
      <w:r w:rsidR="00C442BE">
        <w:rPr>
          <w:color w:val="000000"/>
          <w:szCs w:val="24"/>
        </w:rPr>
        <w:t>egulations</w:t>
      </w:r>
      <w:r w:rsidR="008C47C1" w:rsidRPr="008C47C1">
        <w:rPr>
          <w:color w:val="000000"/>
          <w:szCs w:val="24"/>
        </w:rPr>
        <w:t xml:space="preserve"> 2017) to allow taxation officers to disclose protected information to </w:t>
      </w:r>
      <w:r w:rsidR="00414E3A">
        <w:rPr>
          <w:color w:val="000000"/>
          <w:szCs w:val="24"/>
        </w:rPr>
        <w:t>Serious Financial Crime Taskforce</w:t>
      </w:r>
      <w:r w:rsidR="00414E3A" w:rsidRPr="008C47C1">
        <w:rPr>
          <w:color w:val="000000"/>
          <w:szCs w:val="24"/>
        </w:rPr>
        <w:t xml:space="preserve"> </w:t>
      </w:r>
      <w:r w:rsidR="008C47C1" w:rsidRPr="008C47C1">
        <w:rPr>
          <w:color w:val="000000"/>
          <w:szCs w:val="24"/>
        </w:rPr>
        <w:t>officers</w:t>
      </w:r>
      <w:r w:rsidR="008C47C1">
        <w:rPr>
          <w:color w:val="000000"/>
          <w:szCs w:val="24"/>
        </w:rPr>
        <w:t>.</w:t>
      </w:r>
    </w:p>
    <w:p w14:paraId="7025E733" w14:textId="0708E203" w:rsidR="008C47C1" w:rsidRPr="008C47C1" w:rsidRDefault="008C47C1" w:rsidP="008C47C1">
      <w:pPr>
        <w:shd w:val="clear" w:color="auto" w:fill="FFFFFF"/>
        <w:rPr>
          <w:color w:val="000000"/>
          <w:szCs w:val="24"/>
        </w:rPr>
      </w:pPr>
      <w:r w:rsidRPr="008C47C1">
        <w:rPr>
          <w:color w:val="000000"/>
          <w:szCs w:val="24"/>
        </w:rPr>
        <w:t xml:space="preserve">Section 355-25 in Schedule 1 to </w:t>
      </w:r>
      <w:r w:rsidR="00FB60AC">
        <w:rPr>
          <w:color w:val="000000"/>
          <w:szCs w:val="24"/>
        </w:rPr>
        <w:t>the Act</w:t>
      </w:r>
      <w:r w:rsidRPr="008C47C1">
        <w:rPr>
          <w:color w:val="000000"/>
          <w:szCs w:val="24"/>
        </w:rPr>
        <w:t xml:space="preserve"> provides that it is an offence for </w:t>
      </w:r>
      <w:r w:rsidR="00414E3A">
        <w:rPr>
          <w:color w:val="000000"/>
          <w:szCs w:val="24"/>
        </w:rPr>
        <w:t>a taxation officer (defined at subsection 355-</w:t>
      </w:r>
      <w:r w:rsidR="00C32A98">
        <w:rPr>
          <w:color w:val="000000"/>
          <w:szCs w:val="24"/>
        </w:rPr>
        <w:t>30(2) in</w:t>
      </w:r>
      <w:r w:rsidR="00414E3A">
        <w:rPr>
          <w:color w:val="000000"/>
          <w:szCs w:val="24"/>
        </w:rPr>
        <w:t xml:space="preserve"> Schedule 1 to the Act) </w:t>
      </w:r>
      <w:r w:rsidRPr="008C47C1">
        <w:rPr>
          <w:color w:val="000000"/>
          <w:szCs w:val="24"/>
        </w:rPr>
        <w:t>to record or disclose protected information (</w:t>
      </w:r>
      <w:r w:rsidR="00414E3A">
        <w:rPr>
          <w:color w:val="000000"/>
          <w:szCs w:val="24"/>
        </w:rPr>
        <w:t xml:space="preserve">that is, </w:t>
      </w:r>
      <w:r w:rsidRPr="008C47C1">
        <w:rPr>
          <w:color w:val="000000"/>
          <w:szCs w:val="24"/>
        </w:rPr>
        <w:t>information obtained under a taxation law that relates to an entity and could be used to identify that entity) that the taxation officer acquired in their role as a taxation officer.</w:t>
      </w:r>
      <w:bookmarkStart w:id="0" w:name="_GoBack"/>
      <w:bookmarkEnd w:id="0"/>
    </w:p>
    <w:p w14:paraId="79239426" w14:textId="563EB638" w:rsidR="008C47C1" w:rsidRPr="008C47C1" w:rsidRDefault="008C47C1" w:rsidP="008C47C1">
      <w:pPr>
        <w:shd w:val="clear" w:color="auto" w:fill="FFFFFF"/>
        <w:rPr>
          <w:color w:val="000000"/>
          <w:szCs w:val="24"/>
        </w:rPr>
      </w:pPr>
      <w:r w:rsidRPr="008C47C1">
        <w:rPr>
          <w:color w:val="000000"/>
          <w:szCs w:val="24"/>
        </w:rPr>
        <w:t xml:space="preserve">Section 355-70 in Schedule 1 to </w:t>
      </w:r>
      <w:r w:rsidR="00FB60AC">
        <w:rPr>
          <w:color w:val="000000"/>
          <w:szCs w:val="24"/>
        </w:rPr>
        <w:t>the Act</w:t>
      </w:r>
      <w:r w:rsidRPr="008C47C1">
        <w:rPr>
          <w:color w:val="000000"/>
          <w:szCs w:val="24"/>
        </w:rPr>
        <w:t xml:space="preserve"> provides exceptions to this offence for records or disclosures made for law enforcement and related purposes. This includes records made or disclosures to a </w:t>
      </w:r>
      <w:r w:rsidR="00C32A98">
        <w:rPr>
          <w:color w:val="000000"/>
          <w:szCs w:val="24"/>
        </w:rPr>
        <w:t xml:space="preserve">prescribed </w:t>
      </w:r>
      <w:r w:rsidRPr="008C47C1">
        <w:rPr>
          <w:color w:val="000000"/>
          <w:szCs w:val="24"/>
        </w:rPr>
        <w:t>taskforce officer that is for or in connection with a purpose of the prescribed taskforce</w:t>
      </w:r>
      <w:r w:rsidR="00FE369A">
        <w:rPr>
          <w:color w:val="000000"/>
          <w:szCs w:val="24"/>
        </w:rPr>
        <w:t xml:space="preserve"> (see</w:t>
      </w:r>
      <w:r w:rsidR="00FE369A" w:rsidRPr="008C47C1">
        <w:rPr>
          <w:color w:val="000000"/>
          <w:szCs w:val="24"/>
        </w:rPr>
        <w:t xml:space="preserve"> item 4 of the table in subsection 355-70(1) in Schedule 1 to </w:t>
      </w:r>
      <w:r w:rsidR="00FE369A">
        <w:rPr>
          <w:color w:val="000000"/>
          <w:szCs w:val="24"/>
        </w:rPr>
        <w:t>the Act)</w:t>
      </w:r>
      <w:r w:rsidRPr="008C47C1">
        <w:rPr>
          <w:color w:val="000000"/>
          <w:szCs w:val="24"/>
        </w:rPr>
        <w:t>.</w:t>
      </w:r>
    </w:p>
    <w:p w14:paraId="64F762F9" w14:textId="6206C1FA" w:rsidR="008C47C1" w:rsidRPr="008C47C1" w:rsidRDefault="008C47C1" w:rsidP="008C47C1">
      <w:pPr>
        <w:shd w:val="clear" w:color="auto" w:fill="FFFFFF"/>
        <w:rPr>
          <w:color w:val="000000"/>
          <w:szCs w:val="24"/>
        </w:rPr>
      </w:pPr>
      <w:r w:rsidRPr="008C47C1">
        <w:rPr>
          <w:color w:val="000000"/>
          <w:szCs w:val="24"/>
        </w:rPr>
        <w:t xml:space="preserve">A taskforce officer is an entity who holds an office in, is employed in, or is performing services for, an agency in the prescribed taskforce (subsection 355-70(11) in Schedule 1 to the </w:t>
      </w:r>
      <w:r w:rsidR="00FB60AC">
        <w:rPr>
          <w:color w:val="000000"/>
          <w:szCs w:val="24"/>
        </w:rPr>
        <w:t>Act</w:t>
      </w:r>
      <w:r w:rsidRPr="008C47C1">
        <w:rPr>
          <w:color w:val="000000"/>
          <w:szCs w:val="24"/>
        </w:rPr>
        <w:t>).</w:t>
      </w:r>
    </w:p>
    <w:p w14:paraId="019CDD54" w14:textId="1DDEFABB" w:rsidR="008C47C1" w:rsidRPr="008C47C1" w:rsidRDefault="008C47C1" w:rsidP="008C47C1">
      <w:pPr>
        <w:shd w:val="clear" w:color="auto" w:fill="FFFFFF"/>
        <w:rPr>
          <w:color w:val="000000"/>
          <w:szCs w:val="24"/>
        </w:rPr>
      </w:pPr>
      <w:r w:rsidRPr="008C47C1">
        <w:rPr>
          <w:color w:val="000000"/>
          <w:szCs w:val="24"/>
        </w:rPr>
        <w:t xml:space="preserve">Subsection 355-70(12) in Schedule 1 to </w:t>
      </w:r>
      <w:r w:rsidR="00FB60AC">
        <w:rPr>
          <w:color w:val="000000"/>
          <w:szCs w:val="24"/>
        </w:rPr>
        <w:t>the Act</w:t>
      </w:r>
      <w:r w:rsidRPr="008C47C1">
        <w:rPr>
          <w:color w:val="000000"/>
          <w:szCs w:val="24"/>
        </w:rPr>
        <w:t xml:space="preserve"> provides that the regulations may prescribe a taskforce for the purposes of item 4 of the table in subsection 355</w:t>
      </w:r>
      <w:r w:rsidRPr="008C47C1">
        <w:rPr>
          <w:color w:val="000000"/>
          <w:szCs w:val="24"/>
        </w:rPr>
        <w:noBreakHyphen/>
        <w:t xml:space="preserve">70(1) in Schedule 1 to </w:t>
      </w:r>
      <w:r w:rsidR="00FB60AC">
        <w:rPr>
          <w:color w:val="000000"/>
          <w:szCs w:val="24"/>
        </w:rPr>
        <w:t>the Act</w:t>
      </w:r>
      <w:r w:rsidRPr="008C47C1">
        <w:rPr>
          <w:color w:val="000000"/>
          <w:szCs w:val="24"/>
        </w:rPr>
        <w:t>. A major purpose of the taskforce must be protecting the public finances of Australia.</w:t>
      </w:r>
    </w:p>
    <w:p w14:paraId="4A66EBCD" w14:textId="77777777" w:rsidR="00C32A98" w:rsidRPr="008C47C1" w:rsidRDefault="00C32A98" w:rsidP="00C32A98">
      <w:pPr>
        <w:shd w:val="clear" w:color="auto" w:fill="FFFFFF"/>
        <w:rPr>
          <w:color w:val="000000"/>
          <w:szCs w:val="24"/>
        </w:rPr>
      </w:pPr>
      <w:r w:rsidRPr="008C47C1">
        <w:rPr>
          <w:color w:val="000000"/>
          <w:szCs w:val="24"/>
        </w:rPr>
        <w:t xml:space="preserve">Consistent with the requirements of </w:t>
      </w:r>
      <w:r>
        <w:rPr>
          <w:color w:val="000000"/>
          <w:szCs w:val="24"/>
        </w:rPr>
        <w:t>the Act, a major purpose of the Serious Financial Crime T</w:t>
      </w:r>
      <w:r w:rsidRPr="008C47C1">
        <w:rPr>
          <w:color w:val="000000"/>
          <w:szCs w:val="24"/>
        </w:rPr>
        <w:t>askforce is protecting the public finances of Australia by addressing tax avoidance or evasion.</w:t>
      </w:r>
    </w:p>
    <w:p w14:paraId="79E37E15" w14:textId="56FB2100" w:rsidR="008C47C1" w:rsidRPr="008C47C1" w:rsidRDefault="00B53F01" w:rsidP="008C47C1">
      <w:pPr>
        <w:shd w:val="clear" w:color="auto" w:fill="FFFFFF"/>
        <w:rPr>
          <w:color w:val="000000"/>
          <w:szCs w:val="24"/>
        </w:rPr>
      </w:pPr>
      <w:r>
        <w:rPr>
          <w:color w:val="000000"/>
          <w:szCs w:val="24"/>
        </w:rPr>
        <w:lastRenderedPageBreak/>
        <w:t>Section</w:t>
      </w:r>
      <w:r w:rsidRPr="008C47C1">
        <w:rPr>
          <w:color w:val="000000"/>
          <w:szCs w:val="24"/>
        </w:rPr>
        <w:t xml:space="preserve"> </w:t>
      </w:r>
      <w:r w:rsidR="008C47C1" w:rsidRPr="008C47C1">
        <w:rPr>
          <w:color w:val="000000"/>
          <w:szCs w:val="24"/>
        </w:rPr>
        <w:t>67 of the TAR 2017</w:t>
      </w:r>
      <w:r w:rsidR="008C47C1" w:rsidRPr="008C47C1">
        <w:rPr>
          <w:i/>
          <w:iCs/>
          <w:color w:val="000000"/>
          <w:szCs w:val="24"/>
        </w:rPr>
        <w:t> </w:t>
      </w:r>
      <w:r w:rsidR="008C47C1" w:rsidRPr="008C47C1">
        <w:rPr>
          <w:color w:val="000000"/>
          <w:szCs w:val="24"/>
        </w:rPr>
        <w:t xml:space="preserve">contains a list of prescribed taskforces for the purposes of subsection 355-70(12) in Schedule 1 to </w:t>
      </w:r>
      <w:r w:rsidR="00FB60AC">
        <w:rPr>
          <w:color w:val="000000"/>
          <w:szCs w:val="24"/>
        </w:rPr>
        <w:t>the Act</w:t>
      </w:r>
      <w:r w:rsidR="008C47C1" w:rsidRPr="008C47C1">
        <w:rPr>
          <w:color w:val="000000"/>
          <w:szCs w:val="24"/>
        </w:rPr>
        <w:t>.</w:t>
      </w:r>
    </w:p>
    <w:p w14:paraId="2768F008" w14:textId="5F775B40" w:rsidR="008C47C1" w:rsidRPr="008C47C1" w:rsidRDefault="008C47C1" w:rsidP="008C47C1">
      <w:pPr>
        <w:shd w:val="clear" w:color="auto" w:fill="FFFFFF"/>
        <w:rPr>
          <w:color w:val="000000"/>
          <w:szCs w:val="24"/>
        </w:rPr>
      </w:pPr>
      <w:r w:rsidRPr="008C47C1">
        <w:rPr>
          <w:color w:val="000000"/>
          <w:szCs w:val="24"/>
        </w:rPr>
        <w:t>Schedule 1 to the Regulations amends the TA</w:t>
      </w:r>
      <w:r w:rsidR="002C3E11">
        <w:rPr>
          <w:color w:val="000000"/>
          <w:szCs w:val="24"/>
        </w:rPr>
        <w:t>R 2017 to include the Serious Financial Crime Taskforce</w:t>
      </w:r>
      <w:r w:rsidRPr="008C47C1">
        <w:rPr>
          <w:color w:val="000000"/>
          <w:szCs w:val="24"/>
        </w:rPr>
        <w:t xml:space="preserve"> in this list. </w:t>
      </w:r>
      <w:r w:rsidRPr="008C47C1">
        <w:rPr>
          <w:color w:val="000000"/>
          <w:szCs w:val="24"/>
          <w:shd w:val="clear" w:color="auto" w:fill="FFFFFF"/>
        </w:rPr>
        <w:t>This allows taxation officers to</w:t>
      </w:r>
      <w:r w:rsidR="00C32A98">
        <w:rPr>
          <w:color w:val="000000"/>
          <w:szCs w:val="24"/>
          <w:shd w:val="clear" w:color="auto" w:fill="FFFFFF"/>
        </w:rPr>
        <w:t xml:space="preserve"> disclose</w:t>
      </w:r>
      <w:r w:rsidRPr="008C47C1">
        <w:rPr>
          <w:color w:val="000000"/>
          <w:szCs w:val="24"/>
          <w:shd w:val="clear" w:color="auto" w:fill="FFFFFF"/>
        </w:rPr>
        <w:t xml:space="preserve"> protected information </w:t>
      </w:r>
      <w:r w:rsidR="000F5906">
        <w:rPr>
          <w:color w:val="000000"/>
          <w:szCs w:val="24"/>
          <w:shd w:val="clear" w:color="auto" w:fill="FFFFFF"/>
        </w:rPr>
        <w:t>to</w:t>
      </w:r>
      <w:r w:rsidRPr="008C47C1">
        <w:rPr>
          <w:color w:val="000000"/>
          <w:szCs w:val="24"/>
          <w:shd w:val="clear" w:color="auto" w:fill="FFFFFF"/>
        </w:rPr>
        <w:t xml:space="preserve"> </w:t>
      </w:r>
      <w:r w:rsidR="000F5906">
        <w:rPr>
          <w:color w:val="000000"/>
          <w:szCs w:val="24"/>
          <w:shd w:val="clear" w:color="auto" w:fill="FFFFFF"/>
        </w:rPr>
        <w:t>Serious Financial Crime Taskforce</w:t>
      </w:r>
      <w:r w:rsidRPr="008C47C1">
        <w:rPr>
          <w:color w:val="000000"/>
          <w:szCs w:val="24"/>
          <w:shd w:val="clear" w:color="auto" w:fill="FFFFFF"/>
        </w:rPr>
        <w:t xml:space="preserve"> officers</w:t>
      </w:r>
      <w:r>
        <w:rPr>
          <w:color w:val="000000"/>
          <w:szCs w:val="24"/>
          <w:shd w:val="clear" w:color="auto" w:fill="FFFFFF"/>
        </w:rPr>
        <w:t xml:space="preserve"> </w:t>
      </w:r>
      <w:r w:rsidRPr="008C47C1">
        <w:rPr>
          <w:color w:val="000000"/>
          <w:szCs w:val="24"/>
          <w:shd w:val="clear" w:color="auto" w:fill="FFFFFF"/>
        </w:rPr>
        <w:t>where the record or disclosure is for or in connection with a purp</w:t>
      </w:r>
      <w:r>
        <w:rPr>
          <w:color w:val="000000"/>
          <w:szCs w:val="24"/>
          <w:shd w:val="clear" w:color="auto" w:fill="FFFFFF"/>
        </w:rPr>
        <w:t>ose of the</w:t>
      </w:r>
      <w:r w:rsidR="00A360EE">
        <w:rPr>
          <w:color w:val="000000"/>
          <w:szCs w:val="24"/>
          <w:shd w:val="clear" w:color="auto" w:fill="FFFFFF"/>
        </w:rPr>
        <w:t xml:space="preserve"> T</w:t>
      </w:r>
      <w:r w:rsidRPr="008C47C1">
        <w:rPr>
          <w:color w:val="000000"/>
          <w:szCs w:val="24"/>
          <w:shd w:val="clear" w:color="auto" w:fill="FFFFFF"/>
        </w:rPr>
        <w:t>askforce.</w:t>
      </w:r>
    </w:p>
    <w:p w14:paraId="282450E2" w14:textId="3EE169F8" w:rsidR="00F77E8B" w:rsidRDefault="00A360EE" w:rsidP="008C47C1">
      <w:pPr>
        <w:pStyle w:val="base-text-paragraph"/>
        <w:ind w:left="0"/>
      </w:pPr>
      <w:r>
        <w:t>The Serious Financial Crime</w:t>
      </w:r>
      <w:r w:rsidR="002C3E11">
        <w:t xml:space="preserve"> Taskforce currently </w:t>
      </w:r>
      <w:r w:rsidR="000F5906">
        <w:t>operates under the auspices</w:t>
      </w:r>
      <w:r w:rsidR="002C3E11">
        <w:t xml:space="preserve"> of the Fraud and Anti-Corruption Centre</w:t>
      </w:r>
      <w:r w:rsidR="00F77E8B">
        <w:t>, led by the Australian Federal Police</w:t>
      </w:r>
      <w:r w:rsidR="002C3E11">
        <w:t xml:space="preserve">. </w:t>
      </w:r>
      <w:r w:rsidR="00F77E8B">
        <w:t xml:space="preserve">The Fraud and Anti-Corruption Centre is a prescribed taskforce </w:t>
      </w:r>
      <w:r w:rsidR="00FE369A">
        <w:t xml:space="preserve">for the purposes of </w:t>
      </w:r>
      <w:r w:rsidR="00B53F01">
        <w:t>section</w:t>
      </w:r>
      <w:r w:rsidR="00F77E8B">
        <w:t xml:space="preserve"> 67 of the TAR 2017.</w:t>
      </w:r>
    </w:p>
    <w:p w14:paraId="6CA7536C" w14:textId="3749B026" w:rsidR="00F77E8B" w:rsidRDefault="00F77E8B" w:rsidP="008C47C1">
      <w:pPr>
        <w:pStyle w:val="base-text-paragraph"/>
        <w:ind w:left="0"/>
      </w:pPr>
      <w:r>
        <w:t>From 1 July 2019, the</w:t>
      </w:r>
      <w:r w:rsidR="00A360EE">
        <w:t xml:space="preserve"> Serious Financial Crime</w:t>
      </w:r>
      <w:r w:rsidR="00B621E0">
        <w:t xml:space="preserve"> Taskforce will be led by the A</w:t>
      </w:r>
      <w:r>
        <w:t xml:space="preserve">ustralian </w:t>
      </w:r>
      <w:r w:rsidR="00B621E0">
        <w:t>T</w:t>
      </w:r>
      <w:r>
        <w:t xml:space="preserve">axation </w:t>
      </w:r>
      <w:r w:rsidR="00B621E0">
        <w:t>O</w:t>
      </w:r>
      <w:r>
        <w:t>ffice</w:t>
      </w:r>
      <w:r w:rsidR="00B621E0">
        <w:t xml:space="preserve">. </w:t>
      </w:r>
      <w:r>
        <w:t>This</w:t>
      </w:r>
      <w:r w:rsidR="00B621E0">
        <w:t xml:space="preserve"> means that </w:t>
      </w:r>
      <w:r>
        <w:t xml:space="preserve">the Serious Financial Crime Taskforce </w:t>
      </w:r>
      <w:r w:rsidR="000F5906">
        <w:t>needs to be prescribed as a taskforce in its own right</w:t>
      </w:r>
      <w:r w:rsidR="00B53F01">
        <w:t xml:space="preserve"> in section 67 of the TAR 2017</w:t>
      </w:r>
      <w:r>
        <w:t xml:space="preserve"> </w:t>
      </w:r>
      <w:r w:rsidR="000F5906">
        <w:t>for taxation information disclosure purposes</w:t>
      </w:r>
      <w:r w:rsidR="00B621E0">
        <w:t>.</w:t>
      </w:r>
    </w:p>
    <w:p w14:paraId="36A9E230" w14:textId="0D89E1C0" w:rsidR="00B621E0" w:rsidRPr="008C47C1" w:rsidRDefault="00F77E8B" w:rsidP="008C47C1">
      <w:pPr>
        <w:pStyle w:val="base-text-paragraph"/>
        <w:ind w:left="0"/>
      </w:pPr>
      <w:r>
        <w:rPr>
          <w:b/>
        </w:rPr>
        <w:t>Item 2</w:t>
      </w:r>
      <w:r w:rsidR="00B621E0">
        <w:t xml:space="preserve"> </w:t>
      </w:r>
    </w:p>
    <w:p w14:paraId="348FBA1A" w14:textId="6CCED1A4" w:rsidR="004B3774" w:rsidRDefault="005F078D" w:rsidP="00D77F14">
      <w:pPr>
        <w:shd w:val="clear" w:color="auto" w:fill="FFFFFF"/>
        <w:rPr>
          <w:color w:val="000000"/>
          <w:szCs w:val="24"/>
        </w:rPr>
      </w:pPr>
      <w:r>
        <w:rPr>
          <w:color w:val="000000"/>
          <w:szCs w:val="24"/>
        </w:rPr>
        <w:t xml:space="preserve">Item 2 of Schedule 1 to the </w:t>
      </w:r>
      <w:r w:rsidR="00B53F01">
        <w:rPr>
          <w:color w:val="000000"/>
          <w:szCs w:val="24"/>
        </w:rPr>
        <w:t>Regulations</w:t>
      </w:r>
      <w:r>
        <w:rPr>
          <w:color w:val="000000"/>
          <w:szCs w:val="24"/>
        </w:rPr>
        <w:t xml:space="preserve"> provides that t</w:t>
      </w:r>
      <w:r w:rsidR="008C47C1" w:rsidRPr="008C47C1">
        <w:rPr>
          <w:color w:val="000000"/>
          <w:szCs w:val="24"/>
        </w:rPr>
        <w:t>he amendment</w:t>
      </w:r>
      <w:r w:rsidR="00B53F01">
        <w:rPr>
          <w:color w:val="000000"/>
          <w:szCs w:val="24"/>
        </w:rPr>
        <w:t xml:space="preserve"> to section 67 made by item 1</w:t>
      </w:r>
      <w:r w:rsidR="008C47C1" w:rsidRPr="008C47C1">
        <w:rPr>
          <w:color w:val="000000"/>
          <w:szCs w:val="24"/>
        </w:rPr>
        <w:t xml:space="preserve"> appl</w:t>
      </w:r>
      <w:r w:rsidR="00B53F01">
        <w:rPr>
          <w:color w:val="000000"/>
          <w:szCs w:val="24"/>
        </w:rPr>
        <w:t>ies</w:t>
      </w:r>
      <w:r w:rsidR="008C47C1" w:rsidRPr="008C47C1">
        <w:rPr>
          <w:color w:val="000000"/>
          <w:szCs w:val="24"/>
        </w:rPr>
        <w:t xml:space="preserve"> to disclos</w:t>
      </w:r>
      <w:r w:rsidR="00BE05D7">
        <w:rPr>
          <w:color w:val="000000"/>
          <w:szCs w:val="24"/>
        </w:rPr>
        <w:t>ures made on or after 1 July 2019</w:t>
      </w:r>
      <w:r w:rsidR="008C47C1" w:rsidRPr="008C47C1">
        <w:rPr>
          <w:color w:val="000000"/>
          <w:szCs w:val="24"/>
        </w:rPr>
        <w:t xml:space="preserve">, regardless of the time relevant taxpayer information was </w:t>
      </w:r>
      <w:r>
        <w:rPr>
          <w:color w:val="000000"/>
          <w:szCs w:val="24"/>
        </w:rPr>
        <w:t>obtained</w:t>
      </w:r>
      <w:r w:rsidR="008C47C1" w:rsidRPr="008C47C1">
        <w:rPr>
          <w:color w:val="000000"/>
          <w:szCs w:val="24"/>
        </w:rPr>
        <w:t>.</w:t>
      </w:r>
    </w:p>
    <w:p w14:paraId="19E5C8BB" w14:textId="74513F19" w:rsidR="00F20D41" w:rsidRDefault="00316172" w:rsidP="00DA5382">
      <w:pPr>
        <w:shd w:val="clear" w:color="auto" w:fill="FFFFFF"/>
        <w:rPr>
          <w:color w:val="000000"/>
          <w:szCs w:val="24"/>
        </w:rPr>
      </w:pPr>
      <w:r>
        <w:rPr>
          <w:color w:val="000000"/>
          <w:szCs w:val="24"/>
        </w:rPr>
        <w:t xml:space="preserve"> </w:t>
      </w:r>
    </w:p>
    <w:p w14:paraId="6BEE8B5B" w14:textId="77777777" w:rsidR="00F20D41" w:rsidRDefault="00F20D41">
      <w:pPr>
        <w:spacing w:before="0" w:after="0"/>
        <w:rPr>
          <w:color w:val="000000"/>
          <w:szCs w:val="24"/>
        </w:rPr>
      </w:pPr>
      <w:r>
        <w:rPr>
          <w:color w:val="000000"/>
          <w:szCs w:val="24"/>
        </w:rPr>
        <w:br w:type="page"/>
      </w:r>
    </w:p>
    <w:p w14:paraId="2F9830DA" w14:textId="77777777" w:rsidR="00E4438C" w:rsidRPr="00462095" w:rsidRDefault="00E4438C" w:rsidP="003E1CE3">
      <w:pPr>
        <w:pStyle w:val="Heading3"/>
      </w:pPr>
      <w:r w:rsidRPr="00462095">
        <w:lastRenderedPageBreak/>
        <w:t>Statement of Compatibility with Human Rights</w:t>
      </w:r>
    </w:p>
    <w:p w14:paraId="7C96E16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43520DD3" w14:textId="0C4F5B9B" w:rsidR="00E4438C" w:rsidRPr="00647BB7" w:rsidRDefault="00F81C0A" w:rsidP="003E1CE3">
      <w:pPr>
        <w:pStyle w:val="Heading3"/>
        <w:jc w:val="center"/>
      </w:pPr>
      <w:r>
        <w:t>Taxation Administration Amendment (Serious Financial Crime Taskforce) Regulation</w:t>
      </w:r>
      <w:r w:rsidR="00FE369A">
        <w:t>s</w:t>
      </w:r>
      <w:r>
        <w:t xml:space="preserve"> 2019</w:t>
      </w:r>
    </w:p>
    <w:p w14:paraId="3DE93696" w14:textId="03F2C7CA" w:rsidR="00E4438C" w:rsidRPr="00647BB7" w:rsidRDefault="009D2D98" w:rsidP="00647BB7">
      <w:pPr>
        <w:spacing w:before="240"/>
      </w:pPr>
      <w:r>
        <w:t>T</w:t>
      </w:r>
      <w:r w:rsidR="00F81C0A">
        <w:t>his</w:t>
      </w:r>
      <w:r w:rsidR="00E4438C" w:rsidRPr="00647BB7">
        <w:t xml:space="preserve"> Legislative Instrument is compatible with the human rights and freedoms recognised or declared in the international instruments listed in section 3 of the </w:t>
      </w:r>
      <w:r w:rsidR="00E4438C" w:rsidRPr="00647BB7">
        <w:rPr>
          <w:i/>
        </w:rPr>
        <w:t>Human Rights (Parliamentary Scrutiny) Act 2011</w:t>
      </w:r>
      <w:r w:rsidR="00E4438C" w:rsidRPr="00647BB7">
        <w:t>.</w:t>
      </w:r>
    </w:p>
    <w:p w14:paraId="36DFF7A7" w14:textId="77777777" w:rsidR="00E4438C" w:rsidRPr="00647BB7" w:rsidRDefault="00E4438C" w:rsidP="003E1CE3">
      <w:pPr>
        <w:pStyle w:val="Heading3"/>
      </w:pPr>
      <w:r w:rsidRPr="00647BB7">
        <w:t>Overview of the Legislative Instrument</w:t>
      </w:r>
    </w:p>
    <w:p w14:paraId="0EA18F15" w14:textId="77777777" w:rsidR="00F81C0A" w:rsidRPr="00F81C0A" w:rsidRDefault="00F81C0A" w:rsidP="00F81C0A">
      <w:pPr>
        <w:shd w:val="clear" w:color="auto" w:fill="FFFFFF"/>
        <w:spacing w:before="240"/>
        <w:rPr>
          <w:color w:val="000000"/>
          <w:szCs w:val="24"/>
        </w:rPr>
      </w:pPr>
      <w:r w:rsidRPr="00F81C0A">
        <w:rPr>
          <w:color w:val="000000"/>
          <w:szCs w:val="24"/>
        </w:rPr>
        <w:t>Section 355-25 in Schedule 1 to the </w:t>
      </w:r>
      <w:r w:rsidRPr="00F81C0A">
        <w:rPr>
          <w:i/>
          <w:iCs/>
          <w:color w:val="000000"/>
          <w:szCs w:val="24"/>
        </w:rPr>
        <w:t>Taxation Administration Act 1953</w:t>
      </w:r>
      <w:r w:rsidRPr="00F81C0A">
        <w:rPr>
          <w:color w:val="000000"/>
          <w:szCs w:val="24"/>
        </w:rPr>
        <w:t> (the Act) provides that it is an offence for a taxation officer (an Australian Taxation Office employee, Commissioner or Second Commissioner) to record or disclose protected information (information obtained under a taxation law that relates to an entity and could be used to identify that entity) that the taxation officer acquired in their role as a taxation officer.</w:t>
      </w:r>
    </w:p>
    <w:p w14:paraId="66FADDB6" w14:textId="6B6245F6" w:rsidR="00F81C0A" w:rsidRPr="00F81C0A" w:rsidRDefault="00F81C0A" w:rsidP="00F81C0A">
      <w:pPr>
        <w:shd w:val="clear" w:color="auto" w:fill="FFFFFF"/>
        <w:spacing w:before="240"/>
        <w:rPr>
          <w:color w:val="000000"/>
          <w:szCs w:val="24"/>
        </w:rPr>
      </w:pPr>
      <w:r w:rsidRPr="00F81C0A">
        <w:rPr>
          <w:color w:val="000000"/>
          <w:szCs w:val="24"/>
        </w:rPr>
        <w:t>Section 355-70 in Schedule 1 to the Act provides exceptions to this offence for records or disclosures made for law enforcement and related purposes. This includes records made or disclosures to a taskforce officer of a prescribed taskforce that is for or in connection with a purpose of the prescribed taskforce</w:t>
      </w:r>
      <w:r w:rsidR="00FE369A">
        <w:rPr>
          <w:color w:val="000000"/>
          <w:szCs w:val="24"/>
        </w:rPr>
        <w:t xml:space="preserve"> (see</w:t>
      </w:r>
      <w:r w:rsidR="00FE369A" w:rsidRPr="008C47C1">
        <w:rPr>
          <w:color w:val="000000"/>
          <w:szCs w:val="24"/>
        </w:rPr>
        <w:t xml:space="preserve"> item 4 of the table in subsection 355-70(1) in Schedule 1 to </w:t>
      </w:r>
      <w:r w:rsidR="00FE369A">
        <w:rPr>
          <w:color w:val="000000"/>
          <w:szCs w:val="24"/>
        </w:rPr>
        <w:t>the Act)</w:t>
      </w:r>
      <w:r w:rsidRPr="00F81C0A">
        <w:rPr>
          <w:color w:val="000000"/>
          <w:szCs w:val="24"/>
        </w:rPr>
        <w:t>.</w:t>
      </w:r>
    </w:p>
    <w:p w14:paraId="41187B17" w14:textId="77777777" w:rsidR="00F81C0A" w:rsidRPr="00F81C0A" w:rsidRDefault="00F81C0A" w:rsidP="00F81C0A">
      <w:pPr>
        <w:shd w:val="clear" w:color="auto" w:fill="FFFFFF"/>
        <w:spacing w:before="240"/>
        <w:rPr>
          <w:color w:val="000000"/>
          <w:szCs w:val="24"/>
        </w:rPr>
      </w:pPr>
      <w:r w:rsidRPr="00F81C0A">
        <w:rPr>
          <w:color w:val="000000"/>
          <w:szCs w:val="24"/>
        </w:rPr>
        <w:t>A taskforce officer is an entity who holds an office in, is employed in, or is performing services for, an agency in the prescribed taskforce (subsection 355-70(11) in Schedule 1 to the Act).</w:t>
      </w:r>
    </w:p>
    <w:p w14:paraId="6336F161" w14:textId="3422E74D" w:rsidR="00F81C0A" w:rsidRPr="00F81C0A" w:rsidRDefault="00F81C0A" w:rsidP="00F81C0A">
      <w:pPr>
        <w:shd w:val="clear" w:color="auto" w:fill="FFFFFF"/>
        <w:spacing w:before="240"/>
        <w:rPr>
          <w:color w:val="000000"/>
          <w:szCs w:val="24"/>
        </w:rPr>
      </w:pPr>
      <w:r w:rsidRPr="00F81C0A">
        <w:rPr>
          <w:color w:val="000000"/>
          <w:szCs w:val="24"/>
        </w:rPr>
        <w:t xml:space="preserve">Subsection 355-70(12) in Schedule 1 to the Act provides that the regulations may prescribe a taskforce for the purposes of item 4 of the table in subsection 355-70(1) in Schedule 1 to the Act. A major purpose of the taskforce must be </w:t>
      </w:r>
      <w:r w:rsidR="00FE369A">
        <w:rPr>
          <w:color w:val="000000"/>
          <w:szCs w:val="24"/>
        </w:rPr>
        <w:t>to protect</w:t>
      </w:r>
      <w:r w:rsidR="00FE369A" w:rsidRPr="00F81C0A">
        <w:rPr>
          <w:color w:val="000000"/>
          <w:szCs w:val="24"/>
        </w:rPr>
        <w:t xml:space="preserve"> </w:t>
      </w:r>
      <w:r w:rsidRPr="00F81C0A">
        <w:rPr>
          <w:color w:val="000000"/>
          <w:szCs w:val="24"/>
        </w:rPr>
        <w:t>the public finances of Australia.</w:t>
      </w:r>
    </w:p>
    <w:p w14:paraId="4DD6EFC7" w14:textId="47162885" w:rsidR="00F81C0A" w:rsidRPr="00F81C0A" w:rsidRDefault="00F81C0A" w:rsidP="00F81C0A">
      <w:pPr>
        <w:shd w:val="clear" w:color="auto" w:fill="FFFFFF"/>
        <w:spacing w:before="240"/>
        <w:rPr>
          <w:color w:val="000000"/>
          <w:szCs w:val="24"/>
        </w:rPr>
      </w:pPr>
      <w:r w:rsidRPr="00F81C0A">
        <w:rPr>
          <w:color w:val="000000"/>
          <w:szCs w:val="24"/>
        </w:rPr>
        <w:t>Regulation 67 of the </w:t>
      </w:r>
      <w:r w:rsidRPr="00F81C0A">
        <w:rPr>
          <w:i/>
          <w:iCs/>
          <w:color w:val="000000"/>
          <w:szCs w:val="24"/>
        </w:rPr>
        <w:t>Taxation Administration Regulations 2017</w:t>
      </w:r>
      <w:r w:rsidRPr="00F81C0A">
        <w:rPr>
          <w:color w:val="000000"/>
          <w:szCs w:val="24"/>
        </w:rPr>
        <w:t xml:space="preserve"> contains a list of prescribed taskforces for the purposes of subsection </w:t>
      </w:r>
      <w:r w:rsidR="002F24E4">
        <w:rPr>
          <w:color w:val="000000"/>
          <w:szCs w:val="24"/>
        </w:rPr>
        <w:t>355-70(12) in Schedule 1 to the </w:t>
      </w:r>
      <w:r w:rsidRPr="00F81C0A">
        <w:rPr>
          <w:color w:val="000000"/>
          <w:szCs w:val="24"/>
        </w:rPr>
        <w:t>Act.</w:t>
      </w:r>
    </w:p>
    <w:p w14:paraId="492C8F5E" w14:textId="1EB2AFFC" w:rsidR="00E4438C" w:rsidRPr="00F81C0A" w:rsidRDefault="00F81C0A" w:rsidP="00F81C0A">
      <w:pPr>
        <w:shd w:val="clear" w:color="auto" w:fill="FFFFFF"/>
        <w:spacing w:before="240"/>
        <w:rPr>
          <w:color w:val="000000"/>
          <w:szCs w:val="24"/>
        </w:rPr>
      </w:pPr>
      <w:r w:rsidRPr="00F81C0A">
        <w:rPr>
          <w:color w:val="000000"/>
          <w:szCs w:val="24"/>
        </w:rPr>
        <w:t>Schedule 1 to the </w:t>
      </w:r>
      <w:r>
        <w:rPr>
          <w:i/>
          <w:iCs/>
          <w:color w:val="000000"/>
          <w:szCs w:val="24"/>
        </w:rPr>
        <w:t>Taxation Administration Amendment (Serious Financial Crime Taskforce) Regulations 2019</w:t>
      </w:r>
      <w:r w:rsidRPr="00F81C0A">
        <w:rPr>
          <w:color w:val="000000"/>
          <w:szCs w:val="24"/>
        </w:rPr>
        <w:t xml:space="preserve"> amends this table to include the </w:t>
      </w:r>
      <w:r>
        <w:rPr>
          <w:color w:val="000000"/>
          <w:szCs w:val="24"/>
        </w:rPr>
        <w:t>Serious Financial Crime Taskforce.</w:t>
      </w:r>
      <w:r w:rsidRPr="00F81C0A">
        <w:rPr>
          <w:color w:val="000000"/>
          <w:szCs w:val="24"/>
        </w:rPr>
        <w:t xml:space="preserve"> This allows taxation officers to </w:t>
      </w:r>
      <w:r w:rsidR="000F5906">
        <w:rPr>
          <w:color w:val="000000"/>
          <w:szCs w:val="24"/>
        </w:rPr>
        <w:t>disclose</w:t>
      </w:r>
      <w:r w:rsidRPr="00F81C0A">
        <w:rPr>
          <w:color w:val="000000"/>
          <w:szCs w:val="24"/>
        </w:rPr>
        <w:t xml:space="preserve"> protected information </w:t>
      </w:r>
      <w:r w:rsidR="000F5906">
        <w:rPr>
          <w:color w:val="000000"/>
          <w:szCs w:val="24"/>
        </w:rPr>
        <w:t>to</w:t>
      </w:r>
      <w:r w:rsidRPr="00F81C0A">
        <w:rPr>
          <w:color w:val="000000"/>
          <w:szCs w:val="24"/>
        </w:rPr>
        <w:t xml:space="preserve"> </w:t>
      </w:r>
      <w:r w:rsidR="000F5906">
        <w:rPr>
          <w:color w:val="000000"/>
          <w:szCs w:val="24"/>
        </w:rPr>
        <w:t>Serious Financial Crime Taskforce</w:t>
      </w:r>
      <w:r w:rsidR="000F5906" w:rsidRPr="00F81C0A">
        <w:rPr>
          <w:color w:val="000000"/>
          <w:szCs w:val="24"/>
        </w:rPr>
        <w:t xml:space="preserve"> </w:t>
      </w:r>
      <w:r w:rsidRPr="00F81C0A">
        <w:rPr>
          <w:color w:val="000000"/>
          <w:szCs w:val="24"/>
        </w:rPr>
        <w:t>officers where the record or disclosure is for or in connection with a purpose of the taskforce.</w:t>
      </w:r>
    </w:p>
    <w:p w14:paraId="4D84F0D9" w14:textId="77777777" w:rsidR="00E4438C" w:rsidRPr="00647BB7" w:rsidRDefault="00E4438C" w:rsidP="003E1CE3">
      <w:pPr>
        <w:pStyle w:val="Heading3"/>
      </w:pPr>
      <w:r w:rsidRPr="00647BB7">
        <w:t>Human rights implications</w:t>
      </w:r>
    </w:p>
    <w:p w14:paraId="70803835" w14:textId="77777777" w:rsidR="00F81C0A" w:rsidRPr="00F81C0A" w:rsidRDefault="00F81C0A" w:rsidP="00F81C0A">
      <w:pPr>
        <w:shd w:val="clear" w:color="auto" w:fill="FFFFFF"/>
        <w:spacing w:before="240"/>
        <w:rPr>
          <w:color w:val="000000"/>
          <w:szCs w:val="24"/>
        </w:rPr>
      </w:pPr>
      <w:r w:rsidRPr="00F81C0A">
        <w:rPr>
          <w:color w:val="000000"/>
          <w:szCs w:val="24"/>
        </w:rPr>
        <w:t>Schedule 1 to the Regulations engages, and is compatible with, the prohibition on interference with privacy and attacks on reputation. Article 17 of the International Covenant on Civil and Political Rights prohibits unlawful or arbitrary interferences with a person’s privacy, family, home and correspondence.</w:t>
      </w:r>
    </w:p>
    <w:p w14:paraId="01F92B57" w14:textId="2FEA9265" w:rsidR="00F81C0A" w:rsidRPr="00F81C0A" w:rsidRDefault="00F81C0A" w:rsidP="00F81C0A">
      <w:pPr>
        <w:shd w:val="clear" w:color="auto" w:fill="FFFFFF"/>
        <w:spacing w:before="240"/>
        <w:rPr>
          <w:color w:val="000000"/>
          <w:szCs w:val="24"/>
        </w:rPr>
      </w:pPr>
      <w:r w:rsidRPr="00F81C0A">
        <w:rPr>
          <w:color w:val="000000"/>
          <w:szCs w:val="24"/>
        </w:rPr>
        <w:lastRenderedPageBreak/>
        <w:t xml:space="preserve">The amendment made by these Regulations is not arbitrary, and is in pursuit of a legitimate objective. The amendment allows law enforcement agencies to effectively combat </w:t>
      </w:r>
      <w:r>
        <w:rPr>
          <w:color w:val="000000"/>
          <w:szCs w:val="24"/>
        </w:rPr>
        <w:t>the most serious tax avoidance and financial crime</w:t>
      </w:r>
      <w:r w:rsidRPr="00F81C0A">
        <w:rPr>
          <w:color w:val="000000"/>
          <w:szCs w:val="24"/>
        </w:rPr>
        <w:t xml:space="preserve">. The records or disclosures of information made to a taskforce officer of </w:t>
      </w:r>
      <w:r w:rsidR="003551F1">
        <w:rPr>
          <w:color w:val="000000"/>
          <w:szCs w:val="24"/>
        </w:rPr>
        <w:t>the Serious Financial Crime Taskforce</w:t>
      </w:r>
      <w:r w:rsidRPr="00F81C0A">
        <w:rPr>
          <w:color w:val="000000"/>
          <w:szCs w:val="24"/>
        </w:rPr>
        <w:t xml:space="preserve"> under the exception in subsection 355-70(1) in Schedule 1 to the Act must be for</w:t>
      </w:r>
      <w:r w:rsidR="00FE369A">
        <w:rPr>
          <w:color w:val="000000"/>
          <w:szCs w:val="24"/>
        </w:rPr>
        <w:t>,</w:t>
      </w:r>
      <w:r w:rsidRPr="00F81C0A">
        <w:rPr>
          <w:color w:val="000000"/>
          <w:szCs w:val="24"/>
        </w:rPr>
        <w:t xml:space="preserve"> or in connection with</w:t>
      </w:r>
      <w:r w:rsidR="00FE369A">
        <w:rPr>
          <w:color w:val="000000"/>
          <w:szCs w:val="24"/>
        </w:rPr>
        <w:t>,</w:t>
      </w:r>
      <w:r w:rsidRPr="00F81C0A">
        <w:rPr>
          <w:color w:val="000000"/>
          <w:szCs w:val="24"/>
        </w:rPr>
        <w:t xml:space="preserve"> a purpose of the relevant taskforce.</w:t>
      </w:r>
    </w:p>
    <w:p w14:paraId="4F00533D" w14:textId="545E6ECE" w:rsidR="00F81C0A" w:rsidRPr="00F81C0A" w:rsidRDefault="00F81C0A" w:rsidP="00F81C0A">
      <w:pPr>
        <w:shd w:val="clear" w:color="auto" w:fill="FFFFFF"/>
        <w:spacing w:before="240"/>
        <w:rPr>
          <w:color w:val="000000"/>
          <w:szCs w:val="24"/>
        </w:rPr>
      </w:pPr>
      <w:r w:rsidRPr="00F81C0A">
        <w:rPr>
          <w:color w:val="000000"/>
          <w:szCs w:val="24"/>
        </w:rPr>
        <w:t xml:space="preserve">Recipients of records or disclosures made in accordance with one of these exceptions are also subject to strict rules governing any further disclosure of the information received. It is an offence for a recipient to record or </w:t>
      </w:r>
      <w:r w:rsidR="000F5906">
        <w:rPr>
          <w:color w:val="000000"/>
          <w:szCs w:val="24"/>
        </w:rPr>
        <w:t>on-</w:t>
      </w:r>
      <w:r w:rsidRPr="00F81C0A">
        <w:rPr>
          <w:color w:val="000000"/>
          <w:szCs w:val="24"/>
        </w:rPr>
        <w:t xml:space="preserve">disclose the information received (section 355-155 </w:t>
      </w:r>
      <w:r w:rsidR="000F5906">
        <w:rPr>
          <w:color w:val="000000"/>
          <w:szCs w:val="24"/>
        </w:rPr>
        <w:t>in</w:t>
      </w:r>
      <w:r w:rsidRPr="00F81C0A">
        <w:rPr>
          <w:color w:val="000000"/>
          <w:szCs w:val="24"/>
        </w:rPr>
        <w:t xml:space="preserve"> Schedule 1 to the Act), although there are exceptions. For example, one exception allows a recipient to make further records or disclosures of the information received if those records or disclosures are made for</w:t>
      </w:r>
      <w:r w:rsidR="000F5906">
        <w:rPr>
          <w:color w:val="000000"/>
          <w:szCs w:val="24"/>
        </w:rPr>
        <w:t>, or in connection with,</w:t>
      </w:r>
      <w:r w:rsidRPr="00F81C0A">
        <w:rPr>
          <w:color w:val="000000"/>
          <w:szCs w:val="24"/>
        </w:rPr>
        <w:t xml:space="preserve"> the </w:t>
      </w:r>
      <w:r w:rsidR="000F5906">
        <w:rPr>
          <w:color w:val="000000"/>
          <w:szCs w:val="24"/>
        </w:rPr>
        <w:t xml:space="preserve">original </w:t>
      </w:r>
      <w:r w:rsidRPr="00F81C0A">
        <w:rPr>
          <w:color w:val="000000"/>
          <w:szCs w:val="24"/>
        </w:rPr>
        <w:t xml:space="preserve">purpose </w:t>
      </w:r>
      <w:r w:rsidR="000F5906">
        <w:rPr>
          <w:color w:val="000000"/>
          <w:szCs w:val="24"/>
        </w:rPr>
        <w:t>for which</w:t>
      </w:r>
      <w:r w:rsidRPr="00F81C0A">
        <w:rPr>
          <w:color w:val="000000"/>
          <w:szCs w:val="24"/>
        </w:rPr>
        <w:t xml:space="preserve"> the record or disclosure </w:t>
      </w:r>
      <w:r w:rsidR="000F5906">
        <w:rPr>
          <w:color w:val="000000"/>
          <w:szCs w:val="24"/>
        </w:rPr>
        <w:t>was made</w:t>
      </w:r>
      <w:r w:rsidR="00B85AAF">
        <w:rPr>
          <w:color w:val="000000"/>
          <w:szCs w:val="24"/>
        </w:rPr>
        <w:t xml:space="preserve"> </w:t>
      </w:r>
      <w:r w:rsidRPr="00F81C0A">
        <w:rPr>
          <w:color w:val="000000"/>
          <w:szCs w:val="24"/>
        </w:rPr>
        <w:t xml:space="preserve">(section 355-175 </w:t>
      </w:r>
      <w:r w:rsidR="000F5906">
        <w:rPr>
          <w:color w:val="000000"/>
          <w:szCs w:val="24"/>
        </w:rPr>
        <w:t>in</w:t>
      </w:r>
      <w:r w:rsidRPr="00F81C0A">
        <w:rPr>
          <w:color w:val="000000"/>
          <w:szCs w:val="24"/>
        </w:rPr>
        <w:t xml:space="preserve"> Schedule 1 to the Act).</w:t>
      </w:r>
    </w:p>
    <w:p w14:paraId="5A863290" w14:textId="3A105542" w:rsidR="00F81C0A" w:rsidRPr="00F81C0A" w:rsidRDefault="00F81C0A" w:rsidP="00F81C0A">
      <w:pPr>
        <w:shd w:val="clear" w:color="auto" w:fill="FFFFFF"/>
        <w:spacing w:before="240"/>
        <w:rPr>
          <w:color w:val="000000"/>
          <w:szCs w:val="24"/>
        </w:rPr>
      </w:pPr>
      <w:r w:rsidRPr="00F81C0A">
        <w:rPr>
          <w:color w:val="000000"/>
          <w:szCs w:val="24"/>
        </w:rPr>
        <w:t xml:space="preserve">This provides a limited, reasonable and lawful basis for recording or disclosing protected information to taskforce officers of the </w:t>
      </w:r>
      <w:r w:rsidR="000F5906">
        <w:rPr>
          <w:color w:val="000000"/>
          <w:szCs w:val="24"/>
        </w:rPr>
        <w:t xml:space="preserve">prescribed </w:t>
      </w:r>
      <w:r w:rsidRPr="00F81C0A">
        <w:rPr>
          <w:color w:val="000000"/>
          <w:szCs w:val="24"/>
        </w:rPr>
        <w:t xml:space="preserve">taskforces, in pursuit of the legitimate objective of addressing </w:t>
      </w:r>
      <w:r w:rsidR="003551F1">
        <w:rPr>
          <w:color w:val="000000"/>
          <w:szCs w:val="24"/>
        </w:rPr>
        <w:t xml:space="preserve">the most serious </w:t>
      </w:r>
      <w:r w:rsidR="00DB434D">
        <w:rPr>
          <w:color w:val="000000"/>
          <w:szCs w:val="24"/>
        </w:rPr>
        <w:t>crimes that present</w:t>
      </w:r>
      <w:r w:rsidR="003551F1">
        <w:rPr>
          <w:color w:val="000000"/>
          <w:szCs w:val="24"/>
        </w:rPr>
        <w:t xml:space="preserve"> the highest risk to Australia’s tax and superannuation system</w:t>
      </w:r>
      <w:r w:rsidRPr="00F81C0A">
        <w:rPr>
          <w:color w:val="000000"/>
          <w:szCs w:val="24"/>
        </w:rPr>
        <w:t>.</w:t>
      </w:r>
    </w:p>
    <w:p w14:paraId="4B65144A" w14:textId="77777777" w:rsidR="00E4438C" w:rsidRPr="00647BB7" w:rsidRDefault="00E4438C" w:rsidP="003E1CE3">
      <w:pPr>
        <w:pStyle w:val="Heading3"/>
      </w:pPr>
      <w:r w:rsidRPr="00647BB7">
        <w:t>Conclusion</w:t>
      </w:r>
    </w:p>
    <w:p w14:paraId="7FC8480D" w14:textId="17EAFD2D" w:rsidR="00647506" w:rsidRDefault="009D2D98" w:rsidP="00647BB7">
      <w:pPr>
        <w:spacing w:before="240"/>
      </w:pPr>
      <w:r>
        <w:t>T</w:t>
      </w:r>
      <w:r w:rsidR="00184479">
        <w:t xml:space="preserve">his Legislative Instrument is compatible with human rights. </w:t>
      </w:r>
    </w:p>
    <w:sectPr w:rsidR="00647506"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E8360" w14:textId="77777777" w:rsidR="00451EA7" w:rsidRDefault="00451EA7" w:rsidP="00954679">
      <w:pPr>
        <w:spacing w:before="0" w:after="0"/>
      </w:pPr>
      <w:r>
        <w:separator/>
      </w:r>
    </w:p>
  </w:endnote>
  <w:endnote w:type="continuationSeparator" w:id="0">
    <w:p w14:paraId="1760E528" w14:textId="77777777" w:rsidR="00451EA7" w:rsidRDefault="00451EA7" w:rsidP="00954679">
      <w:pPr>
        <w:spacing w:before="0" w:after="0"/>
      </w:pPr>
      <w:r>
        <w:continuationSeparator/>
      </w:r>
    </w:p>
  </w:endnote>
  <w:endnote w:type="continuationNotice" w:id="1">
    <w:p w14:paraId="7657562C" w14:textId="77777777" w:rsidR="00B57C93" w:rsidRDefault="00B57C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CA797D3" w14:textId="77777777" w:rsidR="00451EA7" w:rsidRDefault="00451EA7"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442BE">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442BE">
              <w:rPr>
                <w:bCs/>
                <w:noProof/>
              </w:rPr>
              <w:t>6</w:t>
            </w:r>
            <w:r w:rsidRPr="00954679">
              <w:rPr>
                <w:bCs/>
                <w:szCs w:val="24"/>
              </w:rPr>
              <w:fldChar w:fldCharType="end"/>
            </w:r>
          </w:p>
        </w:sdtContent>
      </w:sdt>
    </w:sdtContent>
  </w:sdt>
  <w:p w14:paraId="24785810" w14:textId="77777777" w:rsidR="00451EA7" w:rsidRDefault="0045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B35B8" w14:textId="77777777" w:rsidR="00451EA7" w:rsidRDefault="00451EA7" w:rsidP="00954679">
      <w:pPr>
        <w:spacing w:before="0" w:after="0"/>
      </w:pPr>
      <w:r>
        <w:separator/>
      </w:r>
    </w:p>
  </w:footnote>
  <w:footnote w:type="continuationSeparator" w:id="0">
    <w:p w14:paraId="3F0384F3" w14:textId="77777777" w:rsidR="00451EA7" w:rsidRDefault="00451EA7" w:rsidP="00954679">
      <w:pPr>
        <w:spacing w:before="0" w:after="0"/>
      </w:pPr>
      <w:r>
        <w:continuationSeparator/>
      </w:r>
    </w:p>
  </w:footnote>
  <w:footnote w:type="continuationNotice" w:id="1">
    <w:p w14:paraId="5A3A2916" w14:textId="77777777" w:rsidR="00B57C93" w:rsidRDefault="00B57C9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FBC7E8D"/>
    <w:multiLevelType w:val="singleLevel"/>
    <w:tmpl w:val="FFFCF7D0"/>
    <w:name w:val="BaseTextParagraphList"/>
    <w:lvl w:ilvl="0">
      <w:start w:val="1"/>
      <w:numFmt w:val="decimal"/>
      <w:lvlText w:val="%1."/>
      <w:lvlJc w:val="left"/>
      <w:pPr>
        <w:tabs>
          <w:tab w:val="num" w:pos="1984"/>
        </w:tabs>
        <w:ind w:left="1140" w:firstLine="0"/>
      </w:pPr>
      <w:rPr>
        <w:b w:val="0"/>
        <w:i w:val="0"/>
        <w:color w:val="000000"/>
      </w:rPr>
    </w:lvl>
  </w:abstractNum>
  <w:abstractNum w:abstractNumId="3">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AD"/>
    <w:rsid w:val="00016EA2"/>
    <w:rsid w:val="0004560B"/>
    <w:rsid w:val="00094358"/>
    <w:rsid w:val="00095211"/>
    <w:rsid w:val="000A4CB1"/>
    <w:rsid w:val="000C10DF"/>
    <w:rsid w:val="000D2284"/>
    <w:rsid w:val="000F5906"/>
    <w:rsid w:val="00113B45"/>
    <w:rsid w:val="001140FA"/>
    <w:rsid w:val="00184479"/>
    <w:rsid w:val="001963E5"/>
    <w:rsid w:val="001E6A74"/>
    <w:rsid w:val="001F41D0"/>
    <w:rsid w:val="00220F16"/>
    <w:rsid w:val="00254C5B"/>
    <w:rsid w:val="002C238E"/>
    <w:rsid w:val="002C3E11"/>
    <w:rsid w:val="002F24E4"/>
    <w:rsid w:val="00316172"/>
    <w:rsid w:val="003342CD"/>
    <w:rsid w:val="00335042"/>
    <w:rsid w:val="003551F1"/>
    <w:rsid w:val="00362B70"/>
    <w:rsid w:val="00392BBA"/>
    <w:rsid w:val="003954FD"/>
    <w:rsid w:val="003E1CE3"/>
    <w:rsid w:val="00414E3A"/>
    <w:rsid w:val="00417DC7"/>
    <w:rsid w:val="00451EA7"/>
    <w:rsid w:val="00461FD4"/>
    <w:rsid w:val="00462095"/>
    <w:rsid w:val="00473DE8"/>
    <w:rsid w:val="00474E4B"/>
    <w:rsid w:val="004B3774"/>
    <w:rsid w:val="004B3C0F"/>
    <w:rsid w:val="004C05E4"/>
    <w:rsid w:val="004E2281"/>
    <w:rsid w:val="004E39E1"/>
    <w:rsid w:val="00503E44"/>
    <w:rsid w:val="00515283"/>
    <w:rsid w:val="00533926"/>
    <w:rsid w:val="0055675D"/>
    <w:rsid w:val="00566E8F"/>
    <w:rsid w:val="005833BE"/>
    <w:rsid w:val="005D7D5A"/>
    <w:rsid w:val="005E4BAC"/>
    <w:rsid w:val="005F078D"/>
    <w:rsid w:val="0060130D"/>
    <w:rsid w:val="006151B9"/>
    <w:rsid w:val="00623BF4"/>
    <w:rsid w:val="0064129F"/>
    <w:rsid w:val="00647506"/>
    <w:rsid w:val="00647BB7"/>
    <w:rsid w:val="00680297"/>
    <w:rsid w:val="006A0786"/>
    <w:rsid w:val="006F479E"/>
    <w:rsid w:val="00736F61"/>
    <w:rsid w:val="007662C7"/>
    <w:rsid w:val="00776306"/>
    <w:rsid w:val="00785EF5"/>
    <w:rsid w:val="007B1F10"/>
    <w:rsid w:val="007E018D"/>
    <w:rsid w:val="007F1B71"/>
    <w:rsid w:val="00807E7D"/>
    <w:rsid w:val="00823100"/>
    <w:rsid w:val="00831675"/>
    <w:rsid w:val="0088467C"/>
    <w:rsid w:val="00894579"/>
    <w:rsid w:val="008A5B67"/>
    <w:rsid w:val="008C47C1"/>
    <w:rsid w:val="008D16F7"/>
    <w:rsid w:val="008D4316"/>
    <w:rsid w:val="008E1427"/>
    <w:rsid w:val="009143A0"/>
    <w:rsid w:val="00932034"/>
    <w:rsid w:val="00954679"/>
    <w:rsid w:val="009D2D98"/>
    <w:rsid w:val="009E2F86"/>
    <w:rsid w:val="00A045AD"/>
    <w:rsid w:val="00A12209"/>
    <w:rsid w:val="00A360EE"/>
    <w:rsid w:val="00A36DF3"/>
    <w:rsid w:val="00A532DD"/>
    <w:rsid w:val="00A80BCF"/>
    <w:rsid w:val="00A8369C"/>
    <w:rsid w:val="00AA1689"/>
    <w:rsid w:val="00AA5355"/>
    <w:rsid w:val="00AC1D15"/>
    <w:rsid w:val="00AE6380"/>
    <w:rsid w:val="00B07B0C"/>
    <w:rsid w:val="00B25563"/>
    <w:rsid w:val="00B26D48"/>
    <w:rsid w:val="00B42EE1"/>
    <w:rsid w:val="00B53F01"/>
    <w:rsid w:val="00B57C93"/>
    <w:rsid w:val="00B621E0"/>
    <w:rsid w:val="00B85AAF"/>
    <w:rsid w:val="00B92478"/>
    <w:rsid w:val="00BC2A1D"/>
    <w:rsid w:val="00BD18AE"/>
    <w:rsid w:val="00BD61A2"/>
    <w:rsid w:val="00BE05D7"/>
    <w:rsid w:val="00BE484D"/>
    <w:rsid w:val="00C32A98"/>
    <w:rsid w:val="00C37E05"/>
    <w:rsid w:val="00C37E32"/>
    <w:rsid w:val="00C442BE"/>
    <w:rsid w:val="00C55D29"/>
    <w:rsid w:val="00CA0BE9"/>
    <w:rsid w:val="00CA138D"/>
    <w:rsid w:val="00CB0203"/>
    <w:rsid w:val="00CB1742"/>
    <w:rsid w:val="00CC7641"/>
    <w:rsid w:val="00CF5461"/>
    <w:rsid w:val="00D00427"/>
    <w:rsid w:val="00D11E34"/>
    <w:rsid w:val="00D13794"/>
    <w:rsid w:val="00D24052"/>
    <w:rsid w:val="00D24386"/>
    <w:rsid w:val="00D31575"/>
    <w:rsid w:val="00D34626"/>
    <w:rsid w:val="00D42577"/>
    <w:rsid w:val="00D4257A"/>
    <w:rsid w:val="00D62665"/>
    <w:rsid w:val="00D77F14"/>
    <w:rsid w:val="00DA5382"/>
    <w:rsid w:val="00DB3771"/>
    <w:rsid w:val="00DB434D"/>
    <w:rsid w:val="00DC0CDE"/>
    <w:rsid w:val="00DC4D72"/>
    <w:rsid w:val="00DD3102"/>
    <w:rsid w:val="00E0624D"/>
    <w:rsid w:val="00E1501C"/>
    <w:rsid w:val="00E2575C"/>
    <w:rsid w:val="00E4438C"/>
    <w:rsid w:val="00E457F3"/>
    <w:rsid w:val="00E63F7D"/>
    <w:rsid w:val="00E665B4"/>
    <w:rsid w:val="00EB4AA1"/>
    <w:rsid w:val="00EB7C2B"/>
    <w:rsid w:val="00EB7E71"/>
    <w:rsid w:val="00ED7913"/>
    <w:rsid w:val="00EF2EF4"/>
    <w:rsid w:val="00F109D4"/>
    <w:rsid w:val="00F20D41"/>
    <w:rsid w:val="00F35938"/>
    <w:rsid w:val="00F47585"/>
    <w:rsid w:val="00F77E8B"/>
    <w:rsid w:val="00F81C0A"/>
    <w:rsid w:val="00F85E6F"/>
    <w:rsid w:val="00FB60AC"/>
    <w:rsid w:val="00FD2BAD"/>
    <w:rsid w:val="00FE04E4"/>
    <w:rsid w:val="00FE369A"/>
    <w:rsid w:val="00FE6A86"/>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B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customStyle="1" w:styleId="TableGrid1">
    <w:name w:val="Table Grid1"/>
    <w:basedOn w:val="TableNormal"/>
    <w:next w:val="TableGrid"/>
    <w:rsid w:val="00647506"/>
    <w:pPr>
      <w:spacing w:before="120" w:after="120"/>
    </w:pPr>
    <w:tblPr>
      <w:tblStyleRowBandSize w:val="1"/>
      <w:tblStyleColBandSize w:val="1"/>
      <w:tblBorders>
        <w:insideH w:val="dotted"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lastRow">
      <w:rPr>
        <w:rFonts w:ascii="Times New Roman" w:hAnsi="Times New Roman"/>
        <w:sz w:val="20"/>
      </w:rPr>
      <w:tblPr/>
      <w:tcPr>
        <w:tcBorders>
          <w:top w:val="nil"/>
          <w:left w:val="nil"/>
          <w:bottom w:val="single" w:sz="4" w:space="0" w:color="auto"/>
          <w:right w:val="nil"/>
          <w:insideH w:val="nil"/>
          <w:insideV w:val="nil"/>
          <w:tl2br w:val="nil"/>
          <w:tr2bl w:val="nil"/>
        </w:tcBorders>
      </w:tcPr>
    </w:tblStylePr>
    <w:tblStylePr w:type="firstCol">
      <w:rPr>
        <w:rFonts w:ascii="Times New Roman" w:hAnsi="Times New Roman"/>
        <w:sz w:val="20"/>
      </w:rPr>
    </w:tblStylePr>
    <w:tblStylePr w:type="lastCol">
      <w:rPr>
        <w:rFonts w:ascii="Times New Roman" w:hAnsi="Times New Roman"/>
        <w:sz w:val="20"/>
      </w:r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wCell">
      <w:rPr>
        <w:rFonts w:ascii="Times New Roman" w:hAnsi="Times New Roman"/>
        <w:sz w:val="20"/>
      </w:rPr>
    </w:tblStylePr>
  </w:style>
  <w:style w:type="table" w:styleId="TableGrid">
    <w:name w:val="Table Grid"/>
    <w:basedOn w:val="TableNormal"/>
    <w:uiPriority w:val="59"/>
    <w:rsid w:val="0064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customStyle="1" w:styleId="TableGrid1">
    <w:name w:val="Table Grid1"/>
    <w:basedOn w:val="TableNormal"/>
    <w:next w:val="TableGrid"/>
    <w:rsid w:val="00647506"/>
    <w:pPr>
      <w:spacing w:before="120" w:after="120"/>
    </w:pPr>
    <w:tblPr>
      <w:tblStyleRowBandSize w:val="1"/>
      <w:tblStyleColBandSize w:val="1"/>
      <w:tblBorders>
        <w:insideH w:val="dotted"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lastRow">
      <w:rPr>
        <w:rFonts w:ascii="Times New Roman" w:hAnsi="Times New Roman"/>
        <w:sz w:val="20"/>
      </w:rPr>
      <w:tblPr/>
      <w:tcPr>
        <w:tcBorders>
          <w:top w:val="nil"/>
          <w:left w:val="nil"/>
          <w:bottom w:val="single" w:sz="4" w:space="0" w:color="auto"/>
          <w:right w:val="nil"/>
          <w:insideH w:val="nil"/>
          <w:insideV w:val="nil"/>
          <w:tl2br w:val="nil"/>
          <w:tr2bl w:val="nil"/>
        </w:tcBorders>
      </w:tcPr>
    </w:tblStylePr>
    <w:tblStylePr w:type="firstCol">
      <w:rPr>
        <w:rFonts w:ascii="Times New Roman" w:hAnsi="Times New Roman"/>
        <w:sz w:val="20"/>
      </w:rPr>
    </w:tblStylePr>
    <w:tblStylePr w:type="lastCol">
      <w:rPr>
        <w:rFonts w:ascii="Times New Roman" w:hAnsi="Times New Roman"/>
        <w:sz w:val="20"/>
      </w:r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wCell">
      <w:rPr>
        <w:rFonts w:ascii="Times New Roman" w:hAnsi="Times New Roman"/>
        <w:sz w:val="20"/>
      </w:rPr>
    </w:tblStylePr>
  </w:style>
  <w:style w:type="table" w:styleId="TableGrid">
    <w:name w:val="Table Grid"/>
    <w:basedOn w:val="TableNormal"/>
    <w:uiPriority w:val="59"/>
    <w:rsid w:val="0064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4049">
      <w:bodyDiv w:val="1"/>
      <w:marLeft w:val="0"/>
      <w:marRight w:val="0"/>
      <w:marTop w:val="0"/>
      <w:marBottom w:val="0"/>
      <w:divBdr>
        <w:top w:val="none" w:sz="0" w:space="0" w:color="auto"/>
        <w:left w:val="none" w:sz="0" w:space="0" w:color="auto"/>
        <w:bottom w:val="none" w:sz="0" w:space="0" w:color="auto"/>
        <w:right w:val="none" w:sz="0" w:space="0" w:color="auto"/>
      </w:divBdr>
    </w:div>
    <w:div w:id="604535213">
      <w:bodyDiv w:val="1"/>
      <w:marLeft w:val="0"/>
      <w:marRight w:val="0"/>
      <w:marTop w:val="0"/>
      <w:marBottom w:val="0"/>
      <w:divBdr>
        <w:top w:val="none" w:sz="0" w:space="0" w:color="auto"/>
        <w:left w:val="none" w:sz="0" w:space="0" w:color="auto"/>
        <w:bottom w:val="none" w:sz="0" w:space="0" w:color="auto"/>
        <w:right w:val="none" w:sz="0" w:space="0" w:color="auto"/>
      </w:divBdr>
    </w:div>
    <w:div w:id="886527895">
      <w:bodyDiv w:val="1"/>
      <w:marLeft w:val="0"/>
      <w:marRight w:val="0"/>
      <w:marTop w:val="0"/>
      <w:marBottom w:val="0"/>
      <w:divBdr>
        <w:top w:val="none" w:sz="0" w:space="0" w:color="auto"/>
        <w:left w:val="none" w:sz="0" w:space="0" w:color="auto"/>
        <w:bottom w:val="none" w:sz="0" w:space="0" w:color="auto"/>
        <w:right w:val="none" w:sz="0" w:space="0" w:color="auto"/>
      </w:divBdr>
    </w:div>
    <w:div w:id="894124794">
      <w:bodyDiv w:val="1"/>
      <w:marLeft w:val="0"/>
      <w:marRight w:val="0"/>
      <w:marTop w:val="0"/>
      <w:marBottom w:val="0"/>
      <w:divBdr>
        <w:top w:val="none" w:sz="0" w:space="0" w:color="auto"/>
        <w:left w:val="none" w:sz="0" w:space="0" w:color="auto"/>
        <w:bottom w:val="none" w:sz="0" w:space="0" w:color="auto"/>
        <w:right w:val="none" w:sz="0" w:space="0" w:color="auto"/>
      </w:divBdr>
    </w:div>
    <w:div w:id="1070074971">
      <w:bodyDiv w:val="1"/>
      <w:marLeft w:val="0"/>
      <w:marRight w:val="0"/>
      <w:marTop w:val="0"/>
      <w:marBottom w:val="0"/>
      <w:divBdr>
        <w:top w:val="none" w:sz="0" w:space="0" w:color="auto"/>
        <w:left w:val="none" w:sz="0" w:space="0" w:color="auto"/>
        <w:bottom w:val="none" w:sz="0" w:space="0" w:color="auto"/>
        <w:right w:val="none" w:sz="0" w:space="0" w:color="auto"/>
      </w:divBdr>
    </w:div>
    <w:div w:id="1374306684">
      <w:bodyDiv w:val="1"/>
      <w:marLeft w:val="0"/>
      <w:marRight w:val="0"/>
      <w:marTop w:val="0"/>
      <w:marBottom w:val="0"/>
      <w:divBdr>
        <w:top w:val="none" w:sz="0" w:space="0" w:color="auto"/>
        <w:left w:val="none" w:sz="0" w:space="0" w:color="auto"/>
        <w:bottom w:val="none" w:sz="0" w:space="0" w:color="auto"/>
        <w:right w:val="none" w:sz="0" w:space="0" w:color="auto"/>
      </w:divBdr>
    </w:div>
    <w:div w:id="13750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2019RG-111-11017</_dlc_DocId>
    <_dlc_DocIdUrl xmlns="0f563589-9cf9-4143-b1eb-fb0534803d38">
      <Url>http://tweb/sites/rg/ldp/lmu/_layouts/15/DocIdRedir.aspx?ID=2019RG-111-11017</Url>
      <Description>2019RG-111-11017</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502" ma:contentTypeDescription=" " ma:contentTypeScope="" ma:versionID="e6e3ae7771231d68a6db8d07b8c63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schemas.microsoft.com/sharepoint/v3"/>
    <ds:schemaRef ds:uri="http://schemas.microsoft.com/office/2006/documentManagement/types"/>
    <ds:schemaRef ds:uri="http://schemas.microsoft.com/office/infopath/2007/PartnerControls"/>
    <ds:schemaRef ds:uri="http://schemas.microsoft.com/sharepoint/v4"/>
    <ds:schemaRef ds:uri="http://schemas.openxmlformats.org/package/2006/metadata/core-properties"/>
    <ds:schemaRef ds:uri="9f7bc583-7cbe-45b9-a2bd-8bbb6543b37e"/>
    <ds:schemaRef ds:uri="http://www.w3.org/XML/1998/namespace"/>
    <ds:schemaRef ds:uri="0f563589-9cf9-4143-b1eb-fb0534803d38"/>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B588DC2A-6E93-4A06-B991-20C951C94CF8}"/>
</file>

<file path=customXml/itemProps5.xml><?xml version="1.0" encoding="utf-8"?>
<ds:datastoreItem xmlns:ds="http://schemas.openxmlformats.org/officeDocument/2006/customXml" ds:itemID="{52F84EF3-80F6-4605-B0A8-09743BAE2608}">
  <ds:schemaRefs>
    <ds:schemaRef ds:uri="http://schemas.microsoft.com/sharepoint/events"/>
  </ds:schemaRefs>
</ds:datastoreItem>
</file>

<file path=customXml/itemProps6.xml><?xml version="1.0" encoding="utf-8"?>
<ds:datastoreItem xmlns:ds="http://schemas.openxmlformats.org/officeDocument/2006/customXml" ds:itemID="{5837F404-5274-444A-A10A-6A18F2EF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6</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Richard</dc:creator>
  <cp:lastModifiedBy>Osborne, Lea</cp:lastModifiedBy>
  <cp:revision>4</cp:revision>
  <cp:lastPrinted>2019-02-18T02:17:00Z</cp:lastPrinted>
  <dcterms:created xsi:type="dcterms:W3CDTF">2019-02-25T00:11:00Z</dcterms:created>
  <dcterms:modified xsi:type="dcterms:W3CDTF">2019-02-26T02:26:00Z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11;#TSY RA-9237 - Destroy 5 years after action completed|9f1a030e-81bf-44c5-98eb-4d5d869a40d5</vt:lpwstr>
  </property>
  <property fmtid="{D5CDD505-2E9C-101B-9397-08002B2CF9AE}" pid="4" name="_dlc_DocIdItemGuid">
    <vt:lpwstr>c9ae0b00-245f-4e1d-9410-a0f21b07ed9e</vt:lpwstr>
  </property>
  <property fmtid="{D5CDD505-2E9C-101B-9397-08002B2CF9AE}" pid="5" name="RecordPoint_WorkflowType">
    <vt:lpwstr>ActiveSubmitStub</vt:lpwstr>
  </property>
  <property fmtid="{D5CDD505-2E9C-101B-9397-08002B2CF9AE}" pid="6" name="RecordPoint_ActiveItemWebId">
    <vt:lpwstr>{2602612e-a30f-4de0-b9eb-e01e73dc8005}</vt:lpwstr>
  </property>
  <property fmtid="{D5CDD505-2E9C-101B-9397-08002B2CF9AE}" pid="7" name="RecordPoint_ActiveItemSiteId">
    <vt:lpwstr>{5b52b9a5-e5b2-4521-8814-a1e24ca2869d}</vt:lpwstr>
  </property>
  <property fmtid="{D5CDD505-2E9C-101B-9397-08002B2CF9AE}" pid="8" name="RecordPoint_ActiveItemListId">
    <vt:lpwstr>{1a010be9-83b3-4740-abb7-452f2d1120fe}</vt:lpwstr>
  </property>
  <property fmtid="{D5CDD505-2E9C-101B-9397-08002B2CF9AE}" pid="9" name="RecordPoint_ActiveItemUniqueId">
    <vt:lpwstr>{c9ae0b00-245f-4e1d-9410-a0f21b07ed9e}</vt:lpwstr>
  </property>
  <property fmtid="{D5CDD505-2E9C-101B-9397-08002B2CF9AE}" pid="10" name="RecordPoint_RecordNumberSubmitted">
    <vt:lpwstr>R0002008523</vt:lpwstr>
  </property>
  <property fmtid="{D5CDD505-2E9C-101B-9397-08002B2CF9AE}" pid="11" name="RecordPoint_SubmissionCompleted">
    <vt:lpwstr>2019-02-26T13:32:00.9226446+11:00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-987974268</vt:i4>
  </property>
  <property fmtid="{D5CDD505-2E9C-101B-9397-08002B2CF9AE}" pid="16" name="_NewReviewCycle">
    <vt:lpwstr/>
  </property>
  <property fmtid="{D5CDD505-2E9C-101B-9397-08002B2CF9AE}" pid="17" name="_EmailSubject">
    <vt:lpwstr>Taxation Administration Amendment (Serious Financial Crime Taskforce) Regulations 2019 [DLM=Sensitive:Legal]</vt:lpwstr>
  </property>
  <property fmtid="{D5CDD505-2E9C-101B-9397-08002B2CF9AE}" pid="18" name="_AuthorEmail">
    <vt:lpwstr>Madeleine.Lloyd@TREASURY.GOV.AU</vt:lpwstr>
  </property>
  <property fmtid="{D5CDD505-2E9C-101B-9397-08002B2CF9AE}" pid="19" name="_AuthorEmailDisplayName">
    <vt:lpwstr>Lloyd, Madeleine</vt:lpwstr>
  </property>
  <property fmtid="{D5CDD505-2E9C-101B-9397-08002B2CF9AE}" pid="20" name="_PreviousAdHocReviewCycleID">
    <vt:i4>-1472100551</vt:i4>
  </property>
</Properties>
</file>