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ACA87" w14:textId="6F360A4B" w:rsidR="00670C8D" w:rsidRPr="00521029" w:rsidRDefault="00C412BA" w:rsidP="00670C8D">
      <w:pPr>
        <w:pStyle w:val="Heading1"/>
        <w:spacing w:before="0" w:after="0" w:line="240" w:lineRule="auto"/>
        <w:jc w:val="center"/>
        <w:rPr>
          <w:rFonts w:ascii="Times New Roman" w:hAnsi="Times New Roman"/>
          <w:b/>
          <w:sz w:val="24"/>
          <w:u w:val="single"/>
        </w:rPr>
      </w:pPr>
      <w:bookmarkStart w:id="0" w:name="_GoBack"/>
      <w:bookmarkEnd w:id="0"/>
      <w:r>
        <w:rPr>
          <w:rFonts w:ascii="Times New Roman" w:hAnsi="Times New Roman"/>
          <w:b/>
          <w:sz w:val="24"/>
          <w:u w:val="single"/>
        </w:rPr>
        <w:t>Electronic transactions amendment (</w:t>
      </w:r>
      <w:r w:rsidR="00AD4B92">
        <w:rPr>
          <w:rFonts w:ascii="Times New Roman" w:hAnsi="Times New Roman"/>
          <w:b/>
          <w:sz w:val="24"/>
          <w:u w:val="single"/>
        </w:rPr>
        <w:t xml:space="preserve">Electoral </w:t>
      </w:r>
      <w:r>
        <w:rPr>
          <w:rFonts w:ascii="Times New Roman" w:hAnsi="Times New Roman"/>
          <w:b/>
          <w:sz w:val="24"/>
          <w:u w:val="single"/>
        </w:rPr>
        <w:t>nomination</w:t>
      </w:r>
      <w:r w:rsidR="00AD4B92">
        <w:rPr>
          <w:rFonts w:ascii="Times New Roman" w:hAnsi="Times New Roman"/>
          <w:b/>
          <w:sz w:val="24"/>
          <w:u w:val="single"/>
        </w:rPr>
        <w:t>s</w:t>
      </w:r>
      <w:r>
        <w:rPr>
          <w:rFonts w:ascii="Times New Roman" w:hAnsi="Times New Roman"/>
          <w:b/>
          <w:sz w:val="24"/>
          <w:u w:val="single"/>
        </w:rPr>
        <w:t>) regulations</w:t>
      </w:r>
      <w:r w:rsidR="005B5A11">
        <w:rPr>
          <w:rFonts w:ascii="Times New Roman" w:hAnsi="Times New Roman"/>
          <w:b/>
          <w:sz w:val="24"/>
          <w:u w:val="single"/>
        </w:rPr>
        <w:t xml:space="preserve"> 201</w:t>
      </w:r>
      <w:r w:rsidR="00AD4B92">
        <w:rPr>
          <w:rFonts w:ascii="Times New Roman" w:hAnsi="Times New Roman"/>
          <w:b/>
          <w:sz w:val="24"/>
          <w:u w:val="single"/>
        </w:rPr>
        <w:t>9</w:t>
      </w:r>
    </w:p>
    <w:p w14:paraId="38DACA88" w14:textId="77777777" w:rsidR="00670C8D" w:rsidRPr="00521029" w:rsidRDefault="00670C8D" w:rsidP="00521029">
      <w:pPr>
        <w:rPr>
          <w:rFonts w:ascii="Times New Roman" w:hAnsi="Times New Roman"/>
        </w:rPr>
      </w:pPr>
    </w:p>
    <w:p w14:paraId="38DACA89" w14:textId="77777777" w:rsidR="00670C8D" w:rsidRPr="00E81349" w:rsidRDefault="00670C8D" w:rsidP="00670C8D">
      <w:pPr>
        <w:pStyle w:val="Heading1"/>
        <w:spacing w:before="0" w:after="0" w:line="240" w:lineRule="auto"/>
        <w:jc w:val="center"/>
        <w:rPr>
          <w:rFonts w:ascii="Times New Roman" w:hAnsi="Times New Roman"/>
          <w:b/>
          <w:color w:val="FF0000"/>
          <w:sz w:val="24"/>
          <w:u w:val="single"/>
        </w:rPr>
      </w:pPr>
    </w:p>
    <w:p w14:paraId="38DACA8B" w14:textId="175BEFBE" w:rsidR="00670C8D" w:rsidRPr="001D3031" w:rsidRDefault="002B361E" w:rsidP="005B5A11">
      <w:pPr>
        <w:pStyle w:val="Heading1"/>
        <w:spacing w:before="0" w:after="0" w:line="240" w:lineRule="auto"/>
        <w:jc w:val="center"/>
        <w:rPr>
          <w:rFonts w:ascii="Times New Roman" w:hAnsi="Times New Roman"/>
          <w:caps w:val="0"/>
          <w:color w:val="FF0000"/>
          <w:sz w:val="24"/>
          <w:szCs w:val="24"/>
        </w:rPr>
      </w:pPr>
      <w:r w:rsidRPr="00E81349">
        <w:rPr>
          <w:rFonts w:ascii="Times New Roman" w:hAnsi="Times New Roman"/>
          <w:b/>
          <w:sz w:val="24"/>
          <w:u w:val="single"/>
        </w:rPr>
        <w:t>EXPLANATORY STATEMENT</w:t>
      </w:r>
    </w:p>
    <w:p w14:paraId="38DACA8C" w14:textId="77777777" w:rsidR="002B361E" w:rsidRPr="001D3031" w:rsidRDefault="002B361E" w:rsidP="00CF14E3">
      <w:pPr>
        <w:spacing w:line="360" w:lineRule="auto"/>
        <w:jc w:val="center"/>
        <w:rPr>
          <w:rFonts w:ascii="Times New Roman" w:hAnsi="Times New Roman" w:cs="Times New Roman"/>
          <w:b/>
          <w:sz w:val="24"/>
          <w:u w:val="single"/>
        </w:rPr>
      </w:pPr>
    </w:p>
    <w:p w14:paraId="38DACA8D" w14:textId="77777777" w:rsidR="005D194A" w:rsidRPr="00521029" w:rsidRDefault="00E23B2F" w:rsidP="00CF14E3">
      <w:pPr>
        <w:spacing w:line="360" w:lineRule="auto"/>
        <w:jc w:val="center"/>
        <w:rPr>
          <w:rFonts w:ascii="Times New Roman" w:hAnsi="Times New Roman" w:cs="Times New Roman"/>
        </w:rPr>
      </w:pPr>
      <w:r w:rsidRPr="001D3031">
        <w:rPr>
          <w:rFonts w:ascii="Times New Roman" w:hAnsi="Times New Roman" w:cs="Times New Roman"/>
        </w:rPr>
        <w:t>Issued by authority of the Attorney-General</w:t>
      </w:r>
      <w:r w:rsidR="005D194A" w:rsidRPr="00521029">
        <w:rPr>
          <w:rFonts w:ascii="Times New Roman" w:hAnsi="Times New Roman" w:cs="Times New Roman"/>
        </w:rPr>
        <w:t xml:space="preserve"> </w:t>
      </w:r>
    </w:p>
    <w:p w14:paraId="38DACA8E" w14:textId="77777777" w:rsidR="00AF0C63" w:rsidRPr="003960B5" w:rsidRDefault="00C16B35" w:rsidP="00CF14E3">
      <w:pPr>
        <w:spacing w:line="360" w:lineRule="auto"/>
        <w:jc w:val="center"/>
        <w:rPr>
          <w:rFonts w:ascii="Times New Roman" w:hAnsi="Times New Roman" w:cs="Times New Roman"/>
          <w:i/>
        </w:rPr>
      </w:pPr>
      <w:r w:rsidRPr="003960B5">
        <w:rPr>
          <w:rFonts w:ascii="Times New Roman" w:hAnsi="Times New Roman" w:cs="Times New Roman"/>
        </w:rPr>
        <w:t>in compliance with</w:t>
      </w:r>
      <w:r w:rsidR="005D194A" w:rsidRPr="003960B5">
        <w:rPr>
          <w:rFonts w:ascii="Times New Roman" w:hAnsi="Times New Roman" w:cs="Times New Roman"/>
        </w:rPr>
        <w:t xml:space="preserve"> section 15J of the </w:t>
      </w:r>
      <w:r w:rsidR="00AC39E5" w:rsidRPr="003960B5">
        <w:rPr>
          <w:rFonts w:ascii="Times New Roman" w:hAnsi="Times New Roman" w:cs="Times New Roman"/>
          <w:i/>
        </w:rPr>
        <w:t>Legislati</w:t>
      </w:r>
      <w:r w:rsidR="005D194A" w:rsidRPr="003960B5">
        <w:rPr>
          <w:rFonts w:ascii="Times New Roman" w:hAnsi="Times New Roman" w:cs="Times New Roman"/>
          <w:i/>
        </w:rPr>
        <w:t>on</w:t>
      </w:r>
      <w:r w:rsidR="00AC39E5" w:rsidRPr="003960B5">
        <w:rPr>
          <w:rFonts w:ascii="Times New Roman" w:hAnsi="Times New Roman" w:cs="Times New Roman"/>
          <w:i/>
        </w:rPr>
        <w:t xml:space="preserve"> Act </w:t>
      </w:r>
      <w:r w:rsidR="005D194A" w:rsidRPr="003960B5">
        <w:rPr>
          <w:rFonts w:ascii="Times New Roman" w:hAnsi="Times New Roman" w:cs="Times New Roman"/>
          <w:i/>
        </w:rPr>
        <w:t>20</w:t>
      </w:r>
      <w:r w:rsidR="00AF0C63" w:rsidRPr="003960B5">
        <w:rPr>
          <w:rFonts w:ascii="Times New Roman" w:hAnsi="Times New Roman" w:cs="Times New Roman"/>
          <w:i/>
        </w:rPr>
        <w:t>0</w:t>
      </w:r>
      <w:r w:rsidR="005D194A" w:rsidRPr="003960B5">
        <w:rPr>
          <w:rFonts w:ascii="Times New Roman" w:hAnsi="Times New Roman" w:cs="Times New Roman"/>
          <w:i/>
        </w:rPr>
        <w:t>3</w:t>
      </w:r>
      <w:r w:rsidR="00AF0C63" w:rsidRPr="003960B5">
        <w:rPr>
          <w:rFonts w:ascii="Times New Roman" w:hAnsi="Times New Roman" w:cs="Times New Roman"/>
          <w:i/>
        </w:rPr>
        <w:t xml:space="preserve"> </w:t>
      </w:r>
    </w:p>
    <w:p w14:paraId="38DACA93" w14:textId="77777777" w:rsidR="0026109C" w:rsidRPr="00521029" w:rsidRDefault="0026109C" w:rsidP="00CF14E3">
      <w:pPr>
        <w:spacing w:line="360" w:lineRule="auto"/>
        <w:rPr>
          <w:rFonts w:ascii="Times New Roman" w:hAnsi="Times New Roman" w:cs="Times New Roman"/>
          <w:b/>
          <w:sz w:val="24"/>
          <w:szCs w:val="24"/>
        </w:rPr>
      </w:pPr>
      <w:r w:rsidRPr="00521029">
        <w:rPr>
          <w:rFonts w:ascii="Times New Roman" w:hAnsi="Times New Roman" w:cs="Times New Roman"/>
          <w:b/>
          <w:caps/>
          <w:sz w:val="24"/>
          <w:szCs w:val="24"/>
        </w:rPr>
        <w:t>Purpose and operation of the Instrument</w:t>
      </w:r>
    </w:p>
    <w:p w14:paraId="238C0D30" w14:textId="6356A263" w:rsidR="003960B5" w:rsidRPr="00884819" w:rsidRDefault="003960B5" w:rsidP="00884819">
      <w:pPr>
        <w:shd w:val="clear" w:color="auto" w:fill="FFFFFF"/>
        <w:spacing w:before="100" w:beforeAutospacing="1" w:line="240" w:lineRule="auto"/>
        <w:rPr>
          <w:rFonts w:ascii="Times New Roman" w:eastAsia="Times New Roman" w:hAnsi="Times New Roman" w:cs="Times New Roman"/>
          <w:color w:val="000000"/>
          <w:lang w:eastAsia="en-AU"/>
        </w:rPr>
      </w:pPr>
      <w:r w:rsidRPr="00884819">
        <w:rPr>
          <w:rFonts w:ascii="Times New Roman" w:eastAsia="Times New Roman" w:hAnsi="Times New Roman" w:cs="Times New Roman"/>
          <w:color w:val="000000"/>
          <w:lang w:eastAsia="en-AU"/>
        </w:rPr>
        <w:t>The</w:t>
      </w:r>
      <w:r w:rsidRPr="00884819">
        <w:rPr>
          <w:rFonts w:ascii="Times New Roman" w:eastAsia="Times New Roman" w:hAnsi="Times New Roman" w:cs="Times New Roman"/>
          <w:lang w:eastAsia="en-AU"/>
        </w:rPr>
        <w:t> </w:t>
      </w:r>
      <w:r w:rsidR="00C412BA" w:rsidRPr="00884819">
        <w:rPr>
          <w:rFonts w:ascii="Times New Roman" w:eastAsia="Times New Roman" w:hAnsi="Times New Roman" w:cs="Times New Roman"/>
          <w:i/>
          <w:color w:val="000000"/>
          <w:lang w:eastAsia="en-AU"/>
        </w:rPr>
        <w:t>Electronic Transactions Act</w:t>
      </w:r>
      <w:r w:rsidR="0063279C" w:rsidRPr="00884819">
        <w:rPr>
          <w:rFonts w:ascii="Times New Roman" w:eastAsia="Times New Roman" w:hAnsi="Times New Roman" w:cs="Times New Roman"/>
          <w:color w:val="000000"/>
          <w:lang w:eastAsia="en-AU"/>
        </w:rPr>
        <w:t xml:space="preserve"> (Cth)</w:t>
      </w:r>
      <w:r w:rsidRPr="00884819">
        <w:rPr>
          <w:rFonts w:ascii="Times New Roman" w:eastAsia="Times New Roman" w:hAnsi="Times New Roman" w:cs="Times New Roman"/>
          <w:lang w:eastAsia="en-AU"/>
        </w:rPr>
        <w:t> </w:t>
      </w:r>
      <w:r w:rsidRPr="00884819">
        <w:rPr>
          <w:rFonts w:ascii="Times New Roman" w:eastAsia="Times New Roman" w:hAnsi="Times New Roman" w:cs="Times New Roman"/>
          <w:color w:val="000000"/>
          <w:lang w:eastAsia="en-AU"/>
        </w:rPr>
        <w:t>(the Act)</w:t>
      </w:r>
      <w:r w:rsidR="000C5582" w:rsidRPr="00884819">
        <w:rPr>
          <w:rFonts w:ascii="Times New Roman" w:eastAsia="Times New Roman" w:hAnsi="Times New Roman" w:cs="Times New Roman"/>
          <w:color w:val="000000"/>
          <w:lang w:eastAsia="en-AU"/>
        </w:rPr>
        <w:t xml:space="preserve"> ensures that a transaction under a Commonwealth law will not be invalid simply because it was conducted thr</w:t>
      </w:r>
      <w:r w:rsidR="00046DAC">
        <w:rPr>
          <w:rFonts w:ascii="Times New Roman" w:eastAsia="Times New Roman" w:hAnsi="Times New Roman" w:cs="Times New Roman"/>
          <w:color w:val="000000"/>
          <w:lang w:eastAsia="en-AU"/>
        </w:rPr>
        <w:t xml:space="preserve">ough electronic communication. </w:t>
      </w:r>
      <w:r w:rsidR="000C5582" w:rsidRPr="00884819">
        <w:rPr>
          <w:rFonts w:ascii="Times New Roman" w:eastAsia="Times New Roman" w:hAnsi="Times New Roman" w:cs="Times New Roman"/>
          <w:color w:val="000000"/>
          <w:lang w:eastAsia="en-AU"/>
        </w:rPr>
        <w:t xml:space="preserve">If a Commonwealth law requires an individual to give information in writing, provide a handwritten signature, produce a document in material form or record or retain information, the Act operates to ensure these things can be done electronically. The Act applies to all laws of the Commonwealth unless, pursuant to section 7A of the Act, they are specifically exempted by the </w:t>
      </w:r>
      <w:r w:rsidR="000C5582" w:rsidRPr="00884819">
        <w:rPr>
          <w:rFonts w:ascii="Times New Roman" w:eastAsia="Times New Roman" w:hAnsi="Times New Roman" w:cs="Times New Roman"/>
          <w:i/>
          <w:color w:val="000000"/>
          <w:lang w:eastAsia="en-AU"/>
        </w:rPr>
        <w:t>Electronic Transactions Regulations 2000</w:t>
      </w:r>
      <w:r w:rsidR="000C5582" w:rsidRPr="00884819">
        <w:rPr>
          <w:rFonts w:ascii="Times New Roman" w:eastAsia="Times New Roman" w:hAnsi="Times New Roman" w:cs="Times New Roman"/>
          <w:color w:val="000000"/>
          <w:lang w:eastAsia="en-AU"/>
        </w:rPr>
        <w:t xml:space="preserve"> (the </w:t>
      </w:r>
      <w:r w:rsidR="00311D24">
        <w:rPr>
          <w:rFonts w:ascii="Times New Roman" w:eastAsia="Times New Roman" w:hAnsi="Times New Roman" w:cs="Times New Roman"/>
          <w:color w:val="000000"/>
          <w:lang w:eastAsia="en-AU"/>
        </w:rPr>
        <w:t xml:space="preserve">current </w:t>
      </w:r>
      <w:r w:rsidR="000C5582" w:rsidRPr="00884819">
        <w:rPr>
          <w:rFonts w:ascii="Times New Roman" w:eastAsia="Times New Roman" w:hAnsi="Times New Roman" w:cs="Times New Roman"/>
          <w:color w:val="000000"/>
          <w:lang w:eastAsia="en-AU"/>
        </w:rPr>
        <w:t>Regulations) or are exempted pursuant to section 7B of the Act.</w:t>
      </w:r>
    </w:p>
    <w:p w14:paraId="68236342" w14:textId="7B2E7298" w:rsidR="002C7671" w:rsidRDefault="00044936" w:rsidP="00884819">
      <w:pPr>
        <w:shd w:val="clear" w:color="auto" w:fill="FFFFFF"/>
        <w:spacing w:before="100" w:beforeAutospacing="1" w:line="240"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Item 25</w:t>
      </w:r>
      <w:r w:rsidR="002C7671" w:rsidRPr="002C7671">
        <w:rPr>
          <w:rFonts w:ascii="Times New Roman" w:eastAsia="Times New Roman" w:hAnsi="Times New Roman" w:cs="Times New Roman"/>
          <w:color w:val="000000"/>
          <w:lang w:eastAsia="en-AU"/>
        </w:rPr>
        <w:t xml:space="preserve">(b) in Schedule 1 of the </w:t>
      </w:r>
      <w:r w:rsidR="002C7671" w:rsidRPr="002C7671">
        <w:rPr>
          <w:rFonts w:ascii="Times New Roman" w:eastAsia="Times New Roman" w:hAnsi="Times New Roman" w:cs="Times New Roman"/>
          <w:i/>
          <w:color w:val="000000"/>
          <w:lang w:eastAsia="en-AU"/>
        </w:rPr>
        <w:t>Electronic Transaction</w:t>
      </w:r>
      <w:r>
        <w:rPr>
          <w:rFonts w:ascii="Times New Roman" w:eastAsia="Times New Roman" w:hAnsi="Times New Roman" w:cs="Times New Roman"/>
          <w:i/>
          <w:color w:val="000000"/>
          <w:lang w:eastAsia="en-AU"/>
        </w:rPr>
        <w:t>s</w:t>
      </w:r>
      <w:r w:rsidR="002C7671" w:rsidRPr="002C7671">
        <w:rPr>
          <w:rFonts w:ascii="Times New Roman" w:eastAsia="Times New Roman" w:hAnsi="Times New Roman" w:cs="Times New Roman"/>
          <w:i/>
          <w:color w:val="000000"/>
          <w:lang w:eastAsia="en-AU"/>
        </w:rPr>
        <w:t xml:space="preserve"> Regulations 2000</w:t>
      </w:r>
      <w:r w:rsidR="002C7671" w:rsidRPr="002C7671">
        <w:rPr>
          <w:rFonts w:ascii="Times New Roman" w:eastAsia="Times New Roman" w:hAnsi="Times New Roman" w:cs="Times New Roman"/>
          <w:color w:val="000000"/>
          <w:lang w:eastAsia="en-AU"/>
        </w:rPr>
        <w:t xml:space="preserve"> (the current Regulations) operates to exclude the application of the Act to Part XIV of the </w:t>
      </w:r>
      <w:r w:rsidR="002C7671" w:rsidRPr="002C7671">
        <w:rPr>
          <w:rFonts w:ascii="Times New Roman" w:eastAsia="Times New Roman" w:hAnsi="Times New Roman" w:cs="Times New Roman"/>
          <w:i/>
          <w:color w:val="000000"/>
          <w:lang w:eastAsia="en-AU"/>
        </w:rPr>
        <w:t>Commonwealth Electoral Act 1918</w:t>
      </w:r>
      <w:r w:rsidR="002C7671" w:rsidRPr="002C7671">
        <w:rPr>
          <w:rFonts w:ascii="Times New Roman" w:eastAsia="Times New Roman" w:hAnsi="Times New Roman" w:cs="Times New Roman"/>
          <w:color w:val="000000"/>
          <w:lang w:eastAsia="en-AU"/>
        </w:rPr>
        <w:t>.  The effect of this exemption means that candidates seeking to nominate for Commonwealth elections must do so under the current paper-based process.</w:t>
      </w:r>
    </w:p>
    <w:p w14:paraId="3D0142B0" w14:textId="2DDE7323" w:rsidR="00E24C69" w:rsidRDefault="003960B5" w:rsidP="00884819">
      <w:pPr>
        <w:shd w:val="clear" w:color="auto" w:fill="FFFFFF"/>
        <w:spacing w:before="100" w:beforeAutospacing="1" w:line="240" w:lineRule="auto"/>
        <w:rPr>
          <w:color w:val="000000"/>
        </w:rPr>
      </w:pPr>
      <w:r w:rsidRPr="00884819">
        <w:rPr>
          <w:rFonts w:ascii="Times New Roman" w:eastAsia="Times New Roman" w:hAnsi="Times New Roman" w:cs="Times New Roman"/>
          <w:color w:val="000000"/>
          <w:lang w:eastAsia="en-AU"/>
        </w:rPr>
        <w:t xml:space="preserve">Section </w:t>
      </w:r>
      <w:r w:rsidR="00C412BA" w:rsidRPr="00884819">
        <w:rPr>
          <w:rFonts w:ascii="Times New Roman" w:eastAsia="Times New Roman" w:hAnsi="Times New Roman" w:cs="Times New Roman"/>
          <w:color w:val="000000"/>
          <w:lang w:eastAsia="en-AU"/>
        </w:rPr>
        <w:t xml:space="preserve">16 </w:t>
      </w:r>
      <w:r w:rsidR="00586C4E" w:rsidRPr="00884819">
        <w:rPr>
          <w:rFonts w:ascii="Times New Roman" w:eastAsia="Times New Roman" w:hAnsi="Times New Roman" w:cs="Times New Roman"/>
          <w:color w:val="000000"/>
          <w:lang w:eastAsia="en-AU"/>
        </w:rPr>
        <w:t xml:space="preserve">of the Act provides that </w:t>
      </w:r>
      <w:r w:rsidRPr="00884819">
        <w:rPr>
          <w:rFonts w:ascii="Times New Roman" w:eastAsia="Times New Roman" w:hAnsi="Times New Roman" w:cs="Times New Roman"/>
          <w:color w:val="000000"/>
          <w:lang w:eastAsia="en-AU"/>
        </w:rPr>
        <w:t>the Governor-General may make regulations prescribing all matters required or permitted to be prescribed or necessary or convenient to be prescribed for carrying out or giving effect to the Act</w:t>
      </w:r>
      <w:r w:rsidRPr="00672A3B">
        <w:rPr>
          <w:color w:val="000000"/>
        </w:rPr>
        <w:t>.</w:t>
      </w:r>
      <w:r w:rsidR="00E24C69">
        <w:rPr>
          <w:color w:val="000000"/>
        </w:rPr>
        <w:t xml:space="preserve"> </w:t>
      </w:r>
    </w:p>
    <w:p w14:paraId="49411184" w14:textId="260F56BE" w:rsidR="002C7671" w:rsidRDefault="002C7671" w:rsidP="00884819">
      <w:pPr>
        <w:shd w:val="clear" w:color="auto" w:fill="FFFFFF"/>
        <w:spacing w:before="100" w:beforeAutospacing="1" w:line="240" w:lineRule="auto"/>
        <w:rPr>
          <w:rFonts w:ascii="Times New Roman" w:eastAsia="Times New Roman" w:hAnsi="Times New Roman" w:cs="Times New Roman"/>
          <w:color w:val="000000"/>
          <w:lang w:eastAsia="en-AU"/>
        </w:rPr>
      </w:pPr>
      <w:r w:rsidRPr="002C7671">
        <w:rPr>
          <w:rFonts w:ascii="Times New Roman" w:eastAsia="Times New Roman" w:hAnsi="Times New Roman" w:cs="Times New Roman"/>
          <w:color w:val="000000"/>
          <w:lang w:eastAsia="en-AU"/>
        </w:rPr>
        <w:t xml:space="preserve">The purpose of the proposed </w:t>
      </w:r>
      <w:r w:rsidRPr="002C7671">
        <w:rPr>
          <w:rFonts w:ascii="Times New Roman" w:eastAsia="Times New Roman" w:hAnsi="Times New Roman" w:cs="Times New Roman"/>
          <w:i/>
          <w:color w:val="000000"/>
          <w:lang w:eastAsia="en-AU"/>
        </w:rPr>
        <w:t>Electronic Transactions Amendment (</w:t>
      </w:r>
      <w:r w:rsidR="00AD4B92">
        <w:rPr>
          <w:rFonts w:ascii="Times New Roman" w:eastAsia="Times New Roman" w:hAnsi="Times New Roman" w:cs="Times New Roman"/>
          <w:i/>
          <w:color w:val="000000"/>
          <w:lang w:eastAsia="en-AU"/>
        </w:rPr>
        <w:t xml:space="preserve">Electoral </w:t>
      </w:r>
      <w:r w:rsidRPr="002C7671">
        <w:rPr>
          <w:rFonts w:ascii="Times New Roman" w:eastAsia="Times New Roman" w:hAnsi="Times New Roman" w:cs="Times New Roman"/>
          <w:i/>
          <w:color w:val="000000"/>
          <w:lang w:eastAsia="en-AU"/>
        </w:rPr>
        <w:t>Nomination</w:t>
      </w:r>
      <w:r w:rsidR="00AD4B92">
        <w:rPr>
          <w:rFonts w:ascii="Times New Roman" w:eastAsia="Times New Roman" w:hAnsi="Times New Roman" w:cs="Times New Roman"/>
          <w:i/>
          <w:color w:val="000000"/>
          <w:lang w:eastAsia="en-AU"/>
        </w:rPr>
        <w:t>s</w:t>
      </w:r>
      <w:r w:rsidRPr="002C7671">
        <w:rPr>
          <w:rFonts w:ascii="Times New Roman" w:eastAsia="Times New Roman" w:hAnsi="Times New Roman" w:cs="Times New Roman"/>
          <w:i/>
          <w:color w:val="000000"/>
          <w:lang w:eastAsia="en-AU"/>
        </w:rPr>
        <w:t>) Regulations 201</w:t>
      </w:r>
      <w:r w:rsidR="00AD4B92">
        <w:rPr>
          <w:rFonts w:ascii="Times New Roman" w:eastAsia="Times New Roman" w:hAnsi="Times New Roman" w:cs="Times New Roman"/>
          <w:i/>
          <w:color w:val="000000"/>
          <w:lang w:eastAsia="en-AU"/>
        </w:rPr>
        <w:t>9</w:t>
      </w:r>
      <w:r w:rsidRPr="002C7671">
        <w:rPr>
          <w:rFonts w:ascii="Times New Roman" w:eastAsia="Times New Roman" w:hAnsi="Times New Roman" w:cs="Times New Roman"/>
          <w:color w:val="000000"/>
          <w:lang w:eastAsia="en-AU"/>
        </w:rPr>
        <w:t xml:space="preserve"> (proposed Regulations) is to amend the </w:t>
      </w:r>
      <w:r w:rsidR="006B5241">
        <w:rPr>
          <w:rFonts w:ascii="Times New Roman" w:eastAsia="Times New Roman" w:hAnsi="Times New Roman" w:cs="Times New Roman"/>
          <w:color w:val="000000"/>
          <w:lang w:eastAsia="en-AU"/>
        </w:rPr>
        <w:t>current</w:t>
      </w:r>
      <w:r w:rsidR="00044936">
        <w:rPr>
          <w:rFonts w:ascii="Times New Roman" w:eastAsia="Times New Roman" w:hAnsi="Times New Roman" w:cs="Times New Roman"/>
          <w:color w:val="000000"/>
          <w:lang w:eastAsia="en-AU"/>
        </w:rPr>
        <w:t xml:space="preserve"> Regulations by removing I</w:t>
      </w:r>
      <w:r w:rsidRPr="002C7671">
        <w:rPr>
          <w:rFonts w:ascii="Times New Roman" w:eastAsia="Times New Roman" w:hAnsi="Times New Roman" w:cs="Times New Roman"/>
          <w:color w:val="000000"/>
          <w:lang w:eastAsia="en-AU"/>
        </w:rPr>
        <w:t>tem 25(b) of Schedule 1 to ensure that electoral candidates seeking to nominate for Commonwealth elections are able to lodge their nominations electronically.</w:t>
      </w:r>
    </w:p>
    <w:p w14:paraId="0C4A989A" w14:textId="2968B069" w:rsidR="00884819" w:rsidRDefault="00785DDA" w:rsidP="00884819">
      <w:pPr>
        <w:shd w:val="clear" w:color="auto" w:fill="FFFFFF"/>
        <w:spacing w:before="100" w:beforeAutospacing="1" w:line="240"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The Regulations </w:t>
      </w:r>
      <w:r w:rsidR="002C7671">
        <w:rPr>
          <w:rFonts w:ascii="Times New Roman" w:eastAsia="Times New Roman" w:hAnsi="Times New Roman" w:cs="Times New Roman"/>
          <w:color w:val="000000"/>
          <w:lang w:eastAsia="en-AU"/>
        </w:rPr>
        <w:t xml:space="preserve">remove this exemption to ensure that electoral candidates seeking to nominate for Commonwealth elections are able to lodge their nominations electronically. </w:t>
      </w:r>
    </w:p>
    <w:p w14:paraId="67B49BE2" w14:textId="48FBAD5B" w:rsidR="00C554B1" w:rsidRPr="00C554B1" w:rsidRDefault="00C554B1" w:rsidP="00C554B1">
      <w:pPr>
        <w:tabs>
          <w:tab w:val="left" w:pos="6521"/>
        </w:tabs>
        <w:ind w:right="91"/>
        <w:rPr>
          <w:rFonts w:ascii="Times New Roman" w:eastAsia="Times New Roman" w:hAnsi="Times New Roman" w:cs="Times New Roman"/>
          <w:color w:val="000000"/>
          <w:lang w:eastAsia="en-AU"/>
        </w:rPr>
      </w:pPr>
      <w:r w:rsidRPr="00C554B1">
        <w:rPr>
          <w:rFonts w:ascii="Times New Roman" w:eastAsia="Times New Roman" w:hAnsi="Times New Roman" w:cs="Times New Roman"/>
          <w:color w:val="000000"/>
          <w:lang w:eastAsia="en-AU"/>
        </w:rPr>
        <w:t xml:space="preserve">Details of the </w:t>
      </w:r>
      <w:r w:rsidR="00044936">
        <w:rPr>
          <w:rFonts w:ascii="Times New Roman" w:eastAsia="Times New Roman" w:hAnsi="Times New Roman" w:cs="Times New Roman"/>
          <w:color w:val="000000"/>
          <w:lang w:eastAsia="en-AU"/>
        </w:rPr>
        <w:t xml:space="preserve">proposed </w:t>
      </w:r>
      <w:r w:rsidRPr="00C554B1">
        <w:rPr>
          <w:rFonts w:ascii="Times New Roman" w:eastAsia="Times New Roman" w:hAnsi="Times New Roman" w:cs="Times New Roman"/>
          <w:color w:val="000000"/>
          <w:lang w:eastAsia="en-AU"/>
        </w:rPr>
        <w:t>Regulation</w:t>
      </w:r>
      <w:r w:rsidR="00044936">
        <w:rPr>
          <w:rFonts w:ascii="Times New Roman" w:eastAsia="Times New Roman" w:hAnsi="Times New Roman" w:cs="Times New Roman"/>
          <w:color w:val="000000"/>
          <w:lang w:eastAsia="en-AU"/>
        </w:rPr>
        <w:t>s</w:t>
      </w:r>
      <w:r w:rsidRPr="00C554B1">
        <w:rPr>
          <w:rFonts w:ascii="Times New Roman" w:eastAsia="Times New Roman" w:hAnsi="Times New Roman" w:cs="Times New Roman"/>
          <w:color w:val="000000"/>
          <w:lang w:eastAsia="en-AU"/>
        </w:rPr>
        <w:t xml:space="preserve"> are set out in the </w:t>
      </w:r>
      <w:r w:rsidRPr="00C554B1">
        <w:rPr>
          <w:rFonts w:ascii="Times New Roman" w:eastAsia="Times New Roman" w:hAnsi="Times New Roman" w:cs="Times New Roman"/>
          <w:color w:val="000000"/>
          <w:u w:val="single"/>
          <w:lang w:eastAsia="en-AU"/>
        </w:rPr>
        <w:t>Attachment</w:t>
      </w:r>
      <w:r w:rsidRPr="00C554B1">
        <w:rPr>
          <w:rFonts w:ascii="Times New Roman" w:eastAsia="Times New Roman" w:hAnsi="Times New Roman" w:cs="Times New Roman"/>
          <w:color w:val="000000"/>
          <w:lang w:eastAsia="en-AU"/>
        </w:rPr>
        <w:t>.</w:t>
      </w:r>
    </w:p>
    <w:p w14:paraId="7B7A8FCC" w14:textId="2C9A71B3" w:rsidR="00884819" w:rsidRPr="00884819" w:rsidRDefault="00884819" w:rsidP="00884819">
      <w:pPr>
        <w:tabs>
          <w:tab w:val="center" w:pos="4111"/>
          <w:tab w:val="left" w:pos="4536"/>
        </w:tabs>
        <w:spacing w:after="0" w:line="240" w:lineRule="auto"/>
        <w:ind w:right="91"/>
        <w:rPr>
          <w:rFonts w:ascii="Times New Roman" w:eastAsia="Times New Roman" w:hAnsi="Times New Roman" w:cs="Times New Roman"/>
          <w:sz w:val="24"/>
          <w:szCs w:val="20"/>
          <w:lang w:eastAsia="en-AU"/>
        </w:rPr>
      </w:pPr>
    </w:p>
    <w:p w14:paraId="38DACA9E" w14:textId="77777777" w:rsidR="0026109C" w:rsidRPr="00521029" w:rsidRDefault="004F430F" w:rsidP="00CF14E3">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Consultation</w:t>
      </w:r>
    </w:p>
    <w:p w14:paraId="029E31F4" w14:textId="74EDCFE4" w:rsidR="00C92F5E" w:rsidRDefault="00C92F5E" w:rsidP="00607F9A">
      <w:pPr>
        <w:pStyle w:val="NormalWeb"/>
        <w:shd w:val="clear" w:color="auto" w:fill="FFFFFF"/>
        <w:spacing w:after="200" w:afterAutospacing="0" w:line="360" w:lineRule="auto"/>
        <w:rPr>
          <w:color w:val="000000"/>
          <w:sz w:val="22"/>
          <w:szCs w:val="22"/>
        </w:rPr>
      </w:pPr>
      <w:r w:rsidRPr="00607F9A">
        <w:rPr>
          <w:color w:val="000000"/>
          <w:sz w:val="22"/>
          <w:szCs w:val="22"/>
        </w:rPr>
        <w:t xml:space="preserve">Consistent with the requirements of the </w:t>
      </w:r>
      <w:r w:rsidRPr="00607F9A">
        <w:rPr>
          <w:i/>
          <w:color w:val="000000"/>
          <w:sz w:val="22"/>
          <w:szCs w:val="22"/>
        </w:rPr>
        <w:t>Legislation Act 2003</w:t>
      </w:r>
      <w:r w:rsidR="00607F9A" w:rsidRPr="00607F9A">
        <w:rPr>
          <w:color w:val="000000"/>
          <w:sz w:val="22"/>
          <w:szCs w:val="22"/>
        </w:rPr>
        <w:t xml:space="preserve">, </w:t>
      </w:r>
      <w:r w:rsidR="002C7671">
        <w:rPr>
          <w:color w:val="000000"/>
          <w:sz w:val="22"/>
          <w:szCs w:val="22"/>
        </w:rPr>
        <w:t xml:space="preserve">the Department of Finance was consulted extensively throughout this process.  </w:t>
      </w:r>
    </w:p>
    <w:p w14:paraId="7D764A21" w14:textId="77777777" w:rsidR="00AC6FE5" w:rsidRPr="00C412BA" w:rsidRDefault="00AC6FE5" w:rsidP="00607F9A">
      <w:pPr>
        <w:pStyle w:val="NormalWeb"/>
        <w:shd w:val="clear" w:color="auto" w:fill="FFFFFF"/>
        <w:spacing w:after="200" w:afterAutospacing="0" w:line="360" w:lineRule="auto"/>
        <w:rPr>
          <w:strike/>
          <w:color w:val="000000"/>
          <w:sz w:val="22"/>
          <w:szCs w:val="22"/>
        </w:rPr>
      </w:pPr>
    </w:p>
    <w:p w14:paraId="38DACAA2" w14:textId="77777777" w:rsidR="00566C9B" w:rsidRPr="00521029" w:rsidRDefault="004F430F" w:rsidP="00CF14E3">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lastRenderedPageBreak/>
        <w:t>Regulation Impact Statement</w:t>
      </w:r>
    </w:p>
    <w:p w14:paraId="3269361E" w14:textId="77301790" w:rsidR="00607F9A" w:rsidRPr="00607F9A" w:rsidRDefault="00607F9A" w:rsidP="00607F9A">
      <w:pPr>
        <w:spacing w:line="360" w:lineRule="auto"/>
        <w:rPr>
          <w:iCs/>
        </w:rPr>
      </w:pPr>
      <w:r w:rsidRPr="003B3B93">
        <w:rPr>
          <w:rFonts w:ascii="Times New Roman" w:hAnsi="Times New Roman" w:cs="Times New Roman"/>
        </w:rPr>
        <w:t>The Office of Best Practice Regulation</w:t>
      </w:r>
      <w:r w:rsidR="003B3B93">
        <w:rPr>
          <w:rFonts w:ascii="Times New Roman" w:hAnsi="Times New Roman" w:cs="Times New Roman"/>
        </w:rPr>
        <w:t xml:space="preserve"> was consulted and a Regulation Impact Statement was not required</w:t>
      </w:r>
      <w:r w:rsidRPr="00607F9A">
        <w:rPr>
          <w:rFonts w:ascii="Times New Roman" w:hAnsi="Times New Roman" w:cs="Times New Roman"/>
        </w:rPr>
        <w:t xml:space="preserve">. </w:t>
      </w:r>
      <w:r w:rsidRPr="00607F9A">
        <w:rPr>
          <w:rFonts w:ascii="Times New Roman" w:hAnsi="Times New Roman" w:cs="Times New Roman"/>
          <w:i/>
        </w:rPr>
        <w:t xml:space="preserve"> </w:t>
      </w:r>
    </w:p>
    <w:p w14:paraId="38DACAA5" w14:textId="77777777" w:rsidR="008B2955" w:rsidRPr="00521029" w:rsidRDefault="008B2955" w:rsidP="00CF14E3">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Statement of Compatibility with Human Rights</w:t>
      </w:r>
    </w:p>
    <w:p w14:paraId="6EBE6900" w14:textId="77777777" w:rsidR="002C7671" w:rsidRPr="002C7671" w:rsidRDefault="002C7671" w:rsidP="002C7671">
      <w:pPr>
        <w:spacing w:line="360" w:lineRule="auto"/>
        <w:rPr>
          <w:rFonts w:ascii="Times New Roman" w:hAnsi="Times New Roman" w:cs="Times New Roman"/>
          <w:i/>
          <w:iCs/>
          <w:color w:val="000000"/>
        </w:rPr>
      </w:pPr>
      <w:r w:rsidRPr="002C7671">
        <w:rPr>
          <w:rFonts w:ascii="Times New Roman" w:hAnsi="Times New Roman" w:cs="Times New Roman"/>
          <w:i/>
          <w:iCs/>
          <w:color w:val="000000"/>
        </w:rPr>
        <w:t>Prepared in accordance with Part 3 of the Human Rights (Parliamentary Scrutiny) Act 2011</w:t>
      </w:r>
    </w:p>
    <w:p w14:paraId="19CF05F6" w14:textId="091B39ED" w:rsidR="002C7671" w:rsidRPr="002C7671" w:rsidRDefault="002C7671" w:rsidP="002C7671">
      <w:pPr>
        <w:spacing w:line="360" w:lineRule="auto"/>
        <w:rPr>
          <w:rFonts w:ascii="Times New Roman" w:hAnsi="Times New Roman" w:cs="Times New Roman"/>
          <w:iCs/>
          <w:color w:val="000000"/>
        </w:rPr>
      </w:pPr>
      <w:r w:rsidRPr="002C7671">
        <w:rPr>
          <w:rFonts w:ascii="Times New Roman" w:hAnsi="Times New Roman" w:cs="Times New Roman"/>
          <w:iCs/>
          <w:color w:val="000000"/>
        </w:rPr>
        <w:t xml:space="preserve">This </w:t>
      </w:r>
      <w:r w:rsidR="003802FB">
        <w:rPr>
          <w:rFonts w:ascii="Times New Roman" w:hAnsi="Times New Roman" w:cs="Times New Roman"/>
          <w:iCs/>
          <w:color w:val="000000"/>
        </w:rPr>
        <w:t>d</w:t>
      </w:r>
      <w:r w:rsidRPr="002C7671">
        <w:rPr>
          <w:rFonts w:ascii="Times New Roman" w:hAnsi="Times New Roman" w:cs="Times New Roman"/>
          <w:iCs/>
          <w:color w:val="000000"/>
        </w:rPr>
        <w:t xml:space="preserve">isallowable Legislative Instrument is compatible with the human rights and freedoms recognised or declared in the international instruments listed in section 3 of the </w:t>
      </w:r>
      <w:r w:rsidRPr="007D53A0">
        <w:rPr>
          <w:rFonts w:ascii="Times New Roman" w:hAnsi="Times New Roman" w:cs="Times New Roman"/>
          <w:i/>
          <w:iCs/>
          <w:color w:val="000000"/>
        </w:rPr>
        <w:t>Human Rights (Parliamentary Scrutiny) Act 2011</w:t>
      </w:r>
      <w:r w:rsidRPr="002C7671">
        <w:rPr>
          <w:rFonts w:ascii="Times New Roman" w:hAnsi="Times New Roman" w:cs="Times New Roman"/>
          <w:iCs/>
          <w:color w:val="000000"/>
        </w:rPr>
        <w:t>.</w:t>
      </w:r>
    </w:p>
    <w:p w14:paraId="3624637E" w14:textId="77777777" w:rsidR="002C7671" w:rsidRPr="002C7671" w:rsidRDefault="002C7671" w:rsidP="002C7671">
      <w:pPr>
        <w:spacing w:line="360" w:lineRule="auto"/>
        <w:rPr>
          <w:rFonts w:ascii="Times New Roman" w:hAnsi="Times New Roman" w:cs="Times New Roman"/>
          <w:b/>
          <w:iCs/>
          <w:color w:val="000000"/>
        </w:rPr>
      </w:pPr>
      <w:r w:rsidRPr="002C7671">
        <w:rPr>
          <w:rFonts w:ascii="Times New Roman" w:hAnsi="Times New Roman" w:cs="Times New Roman"/>
          <w:b/>
          <w:iCs/>
          <w:color w:val="000000"/>
        </w:rPr>
        <w:t>Overview of the Disallowable Legislative Instrument</w:t>
      </w:r>
    </w:p>
    <w:p w14:paraId="2D09AA4C" w14:textId="611E9418" w:rsidR="002C7671" w:rsidRPr="002C7671" w:rsidRDefault="002C7671" w:rsidP="002C7671">
      <w:pPr>
        <w:spacing w:line="360" w:lineRule="auto"/>
        <w:rPr>
          <w:rFonts w:ascii="Times New Roman" w:hAnsi="Times New Roman" w:cs="Times New Roman"/>
          <w:iCs/>
          <w:color w:val="000000"/>
        </w:rPr>
      </w:pPr>
      <w:r w:rsidRPr="002C7671">
        <w:rPr>
          <w:rFonts w:ascii="Times New Roman" w:hAnsi="Times New Roman" w:cs="Times New Roman"/>
          <w:iCs/>
          <w:color w:val="000000"/>
        </w:rPr>
        <w:t xml:space="preserve">The </w:t>
      </w:r>
      <w:r w:rsidRPr="007D53A0">
        <w:rPr>
          <w:rFonts w:ascii="Times New Roman" w:hAnsi="Times New Roman" w:cs="Times New Roman"/>
          <w:i/>
          <w:iCs/>
          <w:color w:val="000000"/>
        </w:rPr>
        <w:t>Electronic Transactions Act 1999</w:t>
      </w:r>
      <w:r w:rsidR="007D53A0">
        <w:rPr>
          <w:rFonts w:ascii="Times New Roman" w:hAnsi="Times New Roman" w:cs="Times New Roman"/>
          <w:iCs/>
          <w:color w:val="000000"/>
        </w:rPr>
        <w:t xml:space="preserve"> (the </w:t>
      </w:r>
      <w:r w:rsidRPr="002C7671">
        <w:rPr>
          <w:rFonts w:ascii="Times New Roman" w:hAnsi="Times New Roman" w:cs="Times New Roman"/>
          <w:iCs/>
          <w:color w:val="000000"/>
        </w:rPr>
        <w:t>A</w:t>
      </w:r>
      <w:r w:rsidR="007D53A0">
        <w:rPr>
          <w:rFonts w:ascii="Times New Roman" w:hAnsi="Times New Roman" w:cs="Times New Roman"/>
          <w:iCs/>
          <w:color w:val="000000"/>
        </w:rPr>
        <w:t>ct</w:t>
      </w:r>
      <w:r w:rsidRPr="002C7671">
        <w:rPr>
          <w:rFonts w:ascii="Times New Roman" w:hAnsi="Times New Roman" w:cs="Times New Roman"/>
          <w:iCs/>
          <w:color w:val="000000"/>
        </w:rPr>
        <w:t xml:space="preserve">) provides legal validity for transactions that take place wholly or partly by means of one or more electronic communication.  It provides a facilitative framework to enable a requirement </w:t>
      </w:r>
      <w:r w:rsidR="003802FB">
        <w:rPr>
          <w:rFonts w:ascii="Times New Roman" w:hAnsi="Times New Roman" w:cs="Times New Roman"/>
          <w:iCs/>
          <w:color w:val="000000"/>
        </w:rPr>
        <w:t xml:space="preserve">that </w:t>
      </w:r>
      <w:r w:rsidRPr="002C7671">
        <w:rPr>
          <w:rFonts w:ascii="Times New Roman" w:hAnsi="Times New Roman" w:cs="Times New Roman"/>
          <w:iCs/>
          <w:color w:val="000000"/>
        </w:rPr>
        <w:t xml:space="preserve">a document be in writing, contain a signature, or be produced or retained, to be met in an electronic form.  Schedule 1 of the </w:t>
      </w:r>
      <w:r w:rsidRPr="007D53A0">
        <w:rPr>
          <w:rFonts w:ascii="Times New Roman" w:hAnsi="Times New Roman" w:cs="Times New Roman"/>
          <w:i/>
          <w:iCs/>
          <w:color w:val="000000"/>
        </w:rPr>
        <w:t>Electronic Transactions Regulations 2000</w:t>
      </w:r>
      <w:r w:rsidR="007D53A0">
        <w:rPr>
          <w:rFonts w:ascii="Times New Roman" w:hAnsi="Times New Roman" w:cs="Times New Roman"/>
          <w:iCs/>
          <w:color w:val="000000"/>
        </w:rPr>
        <w:t xml:space="preserve"> (the current </w:t>
      </w:r>
      <w:r w:rsidRPr="002C7671">
        <w:rPr>
          <w:rFonts w:ascii="Times New Roman" w:hAnsi="Times New Roman" w:cs="Times New Roman"/>
          <w:iCs/>
          <w:color w:val="000000"/>
        </w:rPr>
        <w:t xml:space="preserve">Regulations) contains an exhaustive list of exceptions to the operation of the </w:t>
      </w:r>
      <w:r w:rsidR="007D53A0">
        <w:rPr>
          <w:rFonts w:ascii="Times New Roman" w:hAnsi="Times New Roman" w:cs="Times New Roman"/>
          <w:iCs/>
          <w:color w:val="000000"/>
        </w:rPr>
        <w:t>Act</w:t>
      </w:r>
      <w:r w:rsidRPr="002C7671">
        <w:rPr>
          <w:rFonts w:ascii="Times New Roman" w:hAnsi="Times New Roman" w:cs="Times New Roman"/>
          <w:iCs/>
          <w:color w:val="000000"/>
        </w:rPr>
        <w:t xml:space="preserve">, or particular provisions of the </w:t>
      </w:r>
      <w:r w:rsidR="007D53A0">
        <w:rPr>
          <w:rFonts w:ascii="Times New Roman" w:hAnsi="Times New Roman" w:cs="Times New Roman"/>
          <w:iCs/>
          <w:color w:val="000000"/>
        </w:rPr>
        <w:t>Act</w:t>
      </w:r>
      <w:r w:rsidRPr="002C7671">
        <w:rPr>
          <w:rFonts w:ascii="Times New Roman" w:hAnsi="Times New Roman" w:cs="Times New Roman"/>
          <w:iCs/>
          <w:color w:val="000000"/>
        </w:rPr>
        <w:t>.</w:t>
      </w:r>
    </w:p>
    <w:p w14:paraId="66D6F10F" w14:textId="1ACD0D8D" w:rsidR="002C7671" w:rsidRPr="00E675EE" w:rsidRDefault="002C7671" w:rsidP="00E675EE">
      <w:pPr>
        <w:spacing w:line="360" w:lineRule="auto"/>
        <w:rPr>
          <w:rFonts w:ascii="Times New Roman" w:hAnsi="Times New Roman" w:cs="Times New Roman"/>
          <w:iCs/>
          <w:color w:val="000000"/>
        </w:rPr>
      </w:pPr>
      <w:r w:rsidRPr="00E675EE">
        <w:rPr>
          <w:rFonts w:ascii="Times New Roman" w:hAnsi="Times New Roman" w:cs="Times New Roman"/>
          <w:iCs/>
          <w:color w:val="000000"/>
        </w:rPr>
        <w:t xml:space="preserve">This </w:t>
      </w:r>
      <w:r w:rsidR="003802FB">
        <w:rPr>
          <w:rFonts w:ascii="Times New Roman" w:hAnsi="Times New Roman" w:cs="Times New Roman"/>
          <w:iCs/>
          <w:color w:val="000000"/>
        </w:rPr>
        <w:t>d</w:t>
      </w:r>
      <w:r w:rsidRPr="00E675EE">
        <w:rPr>
          <w:rFonts w:ascii="Times New Roman" w:hAnsi="Times New Roman" w:cs="Times New Roman"/>
          <w:iCs/>
          <w:color w:val="000000"/>
        </w:rPr>
        <w:t>isallowable Legislative Instrument removes an exemption</w:t>
      </w:r>
      <w:r w:rsidR="003802FB">
        <w:rPr>
          <w:rFonts w:ascii="Times New Roman" w:hAnsi="Times New Roman" w:cs="Times New Roman"/>
          <w:iCs/>
          <w:color w:val="000000"/>
        </w:rPr>
        <w:t xml:space="preserve"> (Item 259b) in Schedule 1)</w:t>
      </w:r>
      <w:r w:rsidRPr="00E675EE">
        <w:rPr>
          <w:rFonts w:ascii="Times New Roman" w:hAnsi="Times New Roman" w:cs="Times New Roman"/>
          <w:iCs/>
          <w:color w:val="000000"/>
        </w:rPr>
        <w:t xml:space="preserve"> from the </w:t>
      </w:r>
      <w:r w:rsidR="007D53A0">
        <w:rPr>
          <w:rFonts w:ascii="Times New Roman" w:hAnsi="Times New Roman" w:cs="Times New Roman"/>
          <w:iCs/>
          <w:color w:val="000000"/>
        </w:rPr>
        <w:t>current</w:t>
      </w:r>
      <w:r w:rsidRPr="00E675EE">
        <w:rPr>
          <w:rFonts w:ascii="Times New Roman" w:hAnsi="Times New Roman" w:cs="Times New Roman"/>
          <w:iCs/>
          <w:color w:val="000000"/>
        </w:rPr>
        <w:t xml:space="preserve"> Regulations. Th</w:t>
      </w:r>
      <w:r w:rsidR="003802FB">
        <w:rPr>
          <w:rFonts w:ascii="Times New Roman" w:hAnsi="Times New Roman" w:cs="Times New Roman"/>
          <w:iCs/>
          <w:color w:val="000000"/>
        </w:rPr>
        <w:t>at</w:t>
      </w:r>
      <w:r w:rsidRPr="00E675EE">
        <w:rPr>
          <w:rFonts w:ascii="Times New Roman" w:hAnsi="Times New Roman" w:cs="Times New Roman"/>
          <w:iCs/>
          <w:color w:val="000000"/>
        </w:rPr>
        <w:t xml:space="preserve"> exemption relates to Part XIV of the </w:t>
      </w:r>
      <w:r w:rsidRPr="007D53A0">
        <w:rPr>
          <w:rFonts w:ascii="Times New Roman" w:hAnsi="Times New Roman" w:cs="Times New Roman"/>
          <w:i/>
          <w:iCs/>
          <w:color w:val="000000"/>
        </w:rPr>
        <w:t>Commonwealth Electoral Act 1918</w:t>
      </w:r>
      <w:r w:rsidRPr="00E675EE">
        <w:rPr>
          <w:rFonts w:ascii="Times New Roman" w:hAnsi="Times New Roman" w:cs="Times New Roman"/>
          <w:iCs/>
          <w:color w:val="000000"/>
        </w:rPr>
        <w:t>. Removal of this exemption will allow nominat</w:t>
      </w:r>
      <w:r w:rsidR="003802FB">
        <w:rPr>
          <w:rFonts w:ascii="Times New Roman" w:hAnsi="Times New Roman" w:cs="Times New Roman"/>
          <w:iCs/>
          <w:color w:val="000000"/>
        </w:rPr>
        <w:t>ions by candidates</w:t>
      </w:r>
      <w:r w:rsidRPr="00E675EE">
        <w:rPr>
          <w:rFonts w:ascii="Times New Roman" w:hAnsi="Times New Roman" w:cs="Times New Roman"/>
          <w:iCs/>
          <w:color w:val="000000"/>
        </w:rPr>
        <w:t xml:space="preserve"> for Commonwealth elections to </w:t>
      </w:r>
      <w:r w:rsidR="003802FB">
        <w:rPr>
          <w:rFonts w:ascii="Times New Roman" w:hAnsi="Times New Roman" w:cs="Times New Roman"/>
          <w:iCs/>
          <w:color w:val="000000"/>
        </w:rPr>
        <w:t xml:space="preserve">be </w:t>
      </w:r>
      <w:r w:rsidRPr="00E675EE">
        <w:rPr>
          <w:rFonts w:ascii="Times New Roman" w:hAnsi="Times New Roman" w:cs="Times New Roman"/>
          <w:iCs/>
          <w:color w:val="000000"/>
        </w:rPr>
        <w:t>lodge</w:t>
      </w:r>
      <w:r w:rsidR="003802FB">
        <w:rPr>
          <w:rFonts w:ascii="Times New Roman" w:hAnsi="Times New Roman" w:cs="Times New Roman"/>
          <w:iCs/>
          <w:color w:val="000000"/>
        </w:rPr>
        <w:t>d</w:t>
      </w:r>
      <w:r w:rsidRPr="00E675EE">
        <w:rPr>
          <w:rFonts w:ascii="Times New Roman" w:hAnsi="Times New Roman" w:cs="Times New Roman"/>
          <w:iCs/>
          <w:color w:val="000000"/>
        </w:rPr>
        <w:t xml:space="preserve"> electronically. Nomination currently occur</w:t>
      </w:r>
      <w:r w:rsidR="003802FB">
        <w:rPr>
          <w:rFonts w:ascii="Times New Roman" w:hAnsi="Times New Roman" w:cs="Times New Roman"/>
          <w:iCs/>
          <w:color w:val="000000"/>
        </w:rPr>
        <w:t>s</w:t>
      </w:r>
      <w:r w:rsidRPr="00E675EE">
        <w:rPr>
          <w:rFonts w:ascii="Times New Roman" w:hAnsi="Times New Roman" w:cs="Times New Roman"/>
          <w:iCs/>
          <w:color w:val="000000"/>
        </w:rPr>
        <w:t xml:space="preserve"> through a paper-based process.   </w:t>
      </w:r>
    </w:p>
    <w:p w14:paraId="5EEAC947" w14:textId="77777777" w:rsidR="002C7671" w:rsidRPr="00E675EE" w:rsidRDefault="002C7671" w:rsidP="00E675EE">
      <w:pPr>
        <w:spacing w:line="360" w:lineRule="auto"/>
        <w:rPr>
          <w:rFonts w:ascii="Times New Roman" w:hAnsi="Times New Roman" w:cs="Times New Roman"/>
          <w:b/>
          <w:iCs/>
          <w:color w:val="000000"/>
        </w:rPr>
      </w:pPr>
      <w:r w:rsidRPr="00E675EE">
        <w:rPr>
          <w:rFonts w:ascii="Times New Roman" w:hAnsi="Times New Roman" w:cs="Times New Roman"/>
          <w:b/>
          <w:iCs/>
          <w:color w:val="000000"/>
        </w:rPr>
        <w:t>Human rights implications</w:t>
      </w:r>
    </w:p>
    <w:p w14:paraId="70389A28" w14:textId="628E6E01" w:rsidR="002C7671" w:rsidRPr="00E675EE" w:rsidRDefault="002C7671" w:rsidP="00E675EE">
      <w:pPr>
        <w:spacing w:line="360" w:lineRule="auto"/>
        <w:rPr>
          <w:rFonts w:ascii="Times New Roman" w:hAnsi="Times New Roman" w:cs="Times New Roman"/>
          <w:iCs/>
          <w:color w:val="000000"/>
        </w:rPr>
      </w:pPr>
      <w:r w:rsidRPr="00E675EE">
        <w:rPr>
          <w:rFonts w:ascii="Times New Roman" w:hAnsi="Times New Roman" w:cs="Times New Roman"/>
          <w:iCs/>
          <w:color w:val="000000"/>
        </w:rPr>
        <w:t>Th</w:t>
      </w:r>
      <w:r w:rsidR="003802FB">
        <w:rPr>
          <w:rFonts w:ascii="Times New Roman" w:hAnsi="Times New Roman" w:cs="Times New Roman"/>
          <w:iCs/>
          <w:color w:val="000000"/>
        </w:rPr>
        <w:t>is</w:t>
      </w:r>
      <w:r w:rsidRPr="00E675EE">
        <w:rPr>
          <w:rFonts w:ascii="Times New Roman" w:hAnsi="Times New Roman" w:cs="Times New Roman"/>
          <w:iCs/>
          <w:color w:val="000000"/>
        </w:rPr>
        <w:t xml:space="preserve"> </w:t>
      </w:r>
      <w:r w:rsidR="003802FB">
        <w:rPr>
          <w:rFonts w:ascii="Times New Roman" w:hAnsi="Times New Roman" w:cs="Times New Roman"/>
          <w:iCs/>
          <w:color w:val="000000"/>
        </w:rPr>
        <w:t>d</w:t>
      </w:r>
      <w:r w:rsidRPr="00E675EE">
        <w:rPr>
          <w:rFonts w:ascii="Times New Roman" w:hAnsi="Times New Roman" w:cs="Times New Roman"/>
          <w:iCs/>
          <w:color w:val="000000"/>
        </w:rPr>
        <w:t xml:space="preserve">isallowable </w:t>
      </w:r>
      <w:r w:rsidR="003802FB">
        <w:rPr>
          <w:rFonts w:ascii="Times New Roman" w:hAnsi="Times New Roman" w:cs="Times New Roman"/>
          <w:iCs/>
          <w:color w:val="000000"/>
        </w:rPr>
        <w:t xml:space="preserve">Legislative </w:t>
      </w:r>
      <w:r w:rsidRPr="00E675EE">
        <w:rPr>
          <w:rFonts w:ascii="Times New Roman" w:hAnsi="Times New Roman" w:cs="Times New Roman"/>
          <w:iCs/>
          <w:color w:val="000000"/>
        </w:rPr>
        <w:t>Instrument does not engage any of the applicable rights or freedoms.</w:t>
      </w:r>
    </w:p>
    <w:p w14:paraId="467EE9EA" w14:textId="77777777" w:rsidR="002C7671" w:rsidRPr="00E675EE" w:rsidRDefault="002C7671" w:rsidP="00E675EE">
      <w:pPr>
        <w:spacing w:line="360" w:lineRule="auto"/>
        <w:rPr>
          <w:rFonts w:ascii="Times New Roman" w:hAnsi="Times New Roman" w:cs="Times New Roman"/>
          <w:iCs/>
          <w:color w:val="000000"/>
        </w:rPr>
      </w:pPr>
      <w:r w:rsidRPr="00E675EE">
        <w:rPr>
          <w:rFonts w:ascii="Times New Roman" w:hAnsi="Times New Roman" w:cs="Times New Roman"/>
          <w:iCs/>
          <w:color w:val="000000"/>
        </w:rPr>
        <w:t xml:space="preserve">Article 17 of the </w:t>
      </w:r>
      <w:r w:rsidRPr="007D53A0">
        <w:rPr>
          <w:rFonts w:ascii="Times New Roman" w:hAnsi="Times New Roman" w:cs="Times New Roman"/>
          <w:i/>
          <w:iCs/>
          <w:color w:val="000000"/>
        </w:rPr>
        <w:t>International Covenant on Civil and Political Rights</w:t>
      </w:r>
      <w:r w:rsidRPr="00E675EE">
        <w:rPr>
          <w:rFonts w:ascii="Times New Roman" w:hAnsi="Times New Roman" w:cs="Times New Roman"/>
          <w:iCs/>
          <w:color w:val="000000"/>
        </w:rPr>
        <w:t xml:space="preserve"> (ICCPR) provides that no one shall be subjected to arbitrary or unlawful interference with their privacy. The right to privacy may be engaged if the Regulations involve the collection, security, use, disclosure or publication of personal information. In addition, Article 25 of the ICCPR provides for the right to take part in public affairs and elections. This right will be engaged if the legislation or policy regulates the conduct of elections and the electoral process. </w:t>
      </w:r>
    </w:p>
    <w:p w14:paraId="0DE099BE" w14:textId="2EB5C000" w:rsidR="002C7671" w:rsidRPr="00E675EE" w:rsidRDefault="002C7671" w:rsidP="00E675EE">
      <w:pPr>
        <w:spacing w:line="360" w:lineRule="auto"/>
        <w:rPr>
          <w:rFonts w:ascii="Times New Roman" w:hAnsi="Times New Roman" w:cs="Times New Roman"/>
          <w:iCs/>
          <w:color w:val="000000"/>
        </w:rPr>
      </w:pPr>
      <w:r w:rsidRPr="00E675EE">
        <w:rPr>
          <w:rFonts w:ascii="Times New Roman" w:hAnsi="Times New Roman" w:cs="Times New Roman"/>
          <w:iCs/>
          <w:color w:val="000000"/>
        </w:rPr>
        <w:t>Repealing the exceptions applicable to particular provisions of Commonwealth law enables, but does not compel or mandate, the use of electronic communications by business and individuals in their dealings with government.  It will merely allow for a requirement or permission to provide information in writing under a law of the Commonwealth to be fulfilled in electronic form, in addition</w:t>
      </w:r>
      <w:r w:rsidRPr="002C7671">
        <w:rPr>
          <w:rFonts w:ascii="Times New Roman" w:hAnsi="Times New Roman" w:cs="Times New Roman"/>
          <w:i/>
          <w:iCs/>
          <w:color w:val="000000"/>
        </w:rPr>
        <w:t xml:space="preserve"> </w:t>
      </w:r>
      <w:r w:rsidRPr="00E675EE">
        <w:rPr>
          <w:rFonts w:ascii="Times New Roman" w:hAnsi="Times New Roman" w:cs="Times New Roman"/>
          <w:iCs/>
          <w:color w:val="000000"/>
        </w:rPr>
        <w:lastRenderedPageBreak/>
        <w:t xml:space="preserve">to written paper form.  Specifically, the removal of the exemption in Item 25(b) of the Regulations </w:t>
      </w:r>
      <w:r w:rsidR="00166B07">
        <w:rPr>
          <w:rFonts w:ascii="Times New Roman" w:hAnsi="Times New Roman" w:cs="Times New Roman"/>
          <w:iCs/>
          <w:color w:val="000000"/>
        </w:rPr>
        <w:t xml:space="preserve">would </w:t>
      </w:r>
      <w:r w:rsidRPr="00E675EE">
        <w:rPr>
          <w:rFonts w:ascii="Times New Roman" w:hAnsi="Times New Roman" w:cs="Times New Roman"/>
          <w:iCs/>
          <w:color w:val="000000"/>
        </w:rPr>
        <w:t xml:space="preserve">mean that the candidate nomination process can be </w:t>
      </w:r>
      <w:r w:rsidR="00166B07">
        <w:rPr>
          <w:rFonts w:ascii="Times New Roman" w:hAnsi="Times New Roman" w:cs="Times New Roman"/>
          <w:iCs/>
          <w:color w:val="000000"/>
        </w:rPr>
        <w:t>compl</w:t>
      </w:r>
      <w:r w:rsidRPr="00E675EE">
        <w:rPr>
          <w:rFonts w:ascii="Times New Roman" w:hAnsi="Times New Roman" w:cs="Times New Roman"/>
          <w:iCs/>
          <w:color w:val="000000"/>
        </w:rPr>
        <w:t>e</w:t>
      </w:r>
      <w:r w:rsidR="00166B07">
        <w:rPr>
          <w:rFonts w:ascii="Times New Roman" w:hAnsi="Times New Roman" w:cs="Times New Roman"/>
          <w:iCs/>
          <w:color w:val="000000"/>
        </w:rPr>
        <w:t>ted</w:t>
      </w:r>
      <w:r w:rsidRPr="00E675EE">
        <w:rPr>
          <w:rFonts w:ascii="Times New Roman" w:hAnsi="Times New Roman" w:cs="Times New Roman"/>
          <w:iCs/>
          <w:color w:val="000000"/>
        </w:rPr>
        <w:t xml:space="preserve"> electronically, thus providing another method in addition to the current paper-based process. As the Regulations do not insert a new right or extend any existing rights, Article</w:t>
      </w:r>
      <w:r w:rsidR="00166B07">
        <w:rPr>
          <w:rFonts w:ascii="Times New Roman" w:hAnsi="Times New Roman" w:cs="Times New Roman"/>
          <w:iCs/>
          <w:color w:val="000000"/>
        </w:rPr>
        <w:t>s</w:t>
      </w:r>
      <w:r w:rsidRPr="00E675EE">
        <w:rPr>
          <w:rFonts w:ascii="Times New Roman" w:hAnsi="Times New Roman" w:cs="Times New Roman"/>
          <w:iCs/>
          <w:color w:val="000000"/>
        </w:rPr>
        <w:t xml:space="preserve"> 17 </w:t>
      </w:r>
      <w:r w:rsidR="00166B07">
        <w:rPr>
          <w:rFonts w:ascii="Times New Roman" w:hAnsi="Times New Roman" w:cs="Times New Roman"/>
          <w:iCs/>
          <w:color w:val="000000"/>
        </w:rPr>
        <w:t>and</w:t>
      </w:r>
      <w:r w:rsidRPr="00E675EE">
        <w:rPr>
          <w:rFonts w:ascii="Times New Roman" w:hAnsi="Times New Roman" w:cs="Times New Roman"/>
          <w:iCs/>
          <w:color w:val="000000"/>
        </w:rPr>
        <w:t xml:space="preserve"> 25 of the ICCPR are not engaged.  </w:t>
      </w:r>
    </w:p>
    <w:p w14:paraId="7C76B86E" w14:textId="77777777" w:rsidR="002C7671" w:rsidRPr="00E675EE" w:rsidRDefault="002C7671" w:rsidP="00E675EE">
      <w:pPr>
        <w:spacing w:line="360" w:lineRule="auto"/>
        <w:rPr>
          <w:rFonts w:ascii="Times New Roman" w:hAnsi="Times New Roman" w:cs="Times New Roman"/>
          <w:b/>
          <w:iCs/>
          <w:color w:val="000000"/>
        </w:rPr>
      </w:pPr>
      <w:r w:rsidRPr="00E675EE">
        <w:rPr>
          <w:rFonts w:ascii="Times New Roman" w:hAnsi="Times New Roman" w:cs="Times New Roman"/>
          <w:b/>
          <w:iCs/>
          <w:color w:val="000000"/>
        </w:rPr>
        <w:t>Conclusion</w:t>
      </w:r>
    </w:p>
    <w:p w14:paraId="44857A26" w14:textId="718E4CD1" w:rsidR="00CA0665" w:rsidRPr="00E675EE" w:rsidRDefault="002C7671" w:rsidP="00E675EE">
      <w:pPr>
        <w:spacing w:line="360" w:lineRule="auto"/>
        <w:rPr>
          <w:rFonts w:ascii="Times New Roman" w:hAnsi="Times New Roman" w:cs="Times New Roman"/>
          <w:b/>
          <w:sz w:val="24"/>
          <w:szCs w:val="24"/>
        </w:rPr>
      </w:pPr>
      <w:r w:rsidRPr="00E675EE">
        <w:rPr>
          <w:rFonts w:ascii="Times New Roman" w:hAnsi="Times New Roman" w:cs="Times New Roman"/>
          <w:iCs/>
          <w:color w:val="000000"/>
        </w:rPr>
        <w:t>This Legislative Instrument is compatible with human rights as it does not raise any human rights issues.</w:t>
      </w:r>
    </w:p>
    <w:p w14:paraId="74EDB643" w14:textId="77777777" w:rsidR="00AB7270" w:rsidRDefault="00AB7270">
      <w:pPr>
        <w:rPr>
          <w:rFonts w:ascii="Times New Roman" w:hAnsi="Times New Roman" w:cs="Times New Roman"/>
          <w:b/>
          <w:sz w:val="24"/>
          <w:szCs w:val="24"/>
        </w:rPr>
      </w:pPr>
      <w:r>
        <w:rPr>
          <w:rFonts w:ascii="Times New Roman" w:hAnsi="Times New Roman" w:cs="Times New Roman"/>
          <w:b/>
          <w:sz w:val="24"/>
          <w:szCs w:val="24"/>
        </w:rPr>
        <w:br w:type="page"/>
      </w:r>
    </w:p>
    <w:p w14:paraId="38DACAAA" w14:textId="39A11D4C" w:rsidR="00F10A91" w:rsidRPr="00521029" w:rsidRDefault="00F10A91" w:rsidP="00CF14E3">
      <w:pPr>
        <w:spacing w:line="360" w:lineRule="auto"/>
        <w:jc w:val="right"/>
        <w:rPr>
          <w:rFonts w:ascii="Times New Roman" w:hAnsi="Times New Roman" w:cs="Times New Roman"/>
          <w:b/>
          <w:sz w:val="24"/>
          <w:szCs w:val="24"/>
        </w:rPr>
      </w:pPr>
      <w:r w:rsidRPr="00521029">
        <w:rPr>
          <w:rFonts w:ascii="Times New Roman" w:hAnsi="Times New Roman" w:cs="Times New Roman"/>
          <w:b/>
          <w:sz w:val="24"/>
          <w:szCs w:val="24"/>
        </w:rPr>
        <w:lastRenderedPageBreak/>
        <w:t>Attachment A</w:t>
      </w:r>
    </w:p>
    <w:p w14:paraId="4C3BE173" w14:textId="77777777" w:rsidR="00FD7A56" w:rsidRPr="00FD7A56" w:rsidRDefault="00FD7A56" w:rsidP="00FD7A56">
      <w:pPr>
        <w:spacing w:line="360" w:lineRule="auto"/>
        <w:rPr>
          <w:rFonts w:ascii="Times New Roman" w:hAnsi="Times New Roman" w:cs="Times New Roman"/>
          <w:b/>
        </w:rPr>
      </w:pPr>
      <w:r w:rsidRPr="00FD7A56">
        <w:rPr>
          <w:rFonts w:ascii="Times New Roman" w:hAnsi="Times New Roman" w:cs="Times New Roman"/>
          <w:b/>
        </w:rPr>
        <w:t>NOTES ON SECTIONS</w:t>
      </w:r>
    </w:p>
    <w:p w14:paraId="3044E5E0" w14:textId="77777777" w:rsidR="00FD7A56" w:rsidRPr="00FD7A56" w:rsidRDefault="00FD7A56" w:rsidP="00FD7A56">
      <w:pPr>
        <w:spacing w:line="360" w:lineRule="auto"/>
        <w:rPr>
          <w:rFonts w:ascii="Times New Roman" w:hAnsi="Times New Roman" w:cs="Times New Roman"/>
          <w:b/>
          <w:u w:val="single"/>
        </w:rPr>
      </w:pPr>
      <w:r w:rsidRPr="00FD7A56">
        <w:rPr>
          <w:rFonts w:ascii="Times New Roman" w:hAnsi="Times New Roman" w:cs="Times New Roman"/>
          <w:b/>
          <w:u w:val="single"/>
        </w:rPr>
        <w:t xml:space="preserve">PART 1 – Preliminary </w:t>
      </w:r>
    </w:p>
    <w:p w14:paraId="5E3387D5" w14:textId="77777777" w:rsidR="00FD7A56" w:rsidRPr="00FD7A56" w:rsidRDefault="00FD7A56" w:rsidP="00FD7A56">
      <w:pPr>
        <w:spacing w:line="360" w:lineRule="auto"/>
        <w:rPr>
          <w:rFonts w:ascii="Times New Roman" w:hAnsi="Times New Roman" w:cs="Times New Roman"/>
          <w:b/>
        </w:rPr>
      </w:pPr>
      <w:r w:rsidRPr="00FD7A56">
        <w:rPr>
          <w:rFonts w:ascii="Times New Roman" w:hAnsi="Times New Roman" w:cs="Times New Roman"/>
          <w:b/>
        </w:rPr>
        <w:t>Section 1 – Name</w:t>
      </w:r>
    </w:p>
    <w:p w14:paraId="79EEDED3" w14:textId="7E8607F5" w:rsidR="00FD7A56" w:rsidRPr="007D53A0" w:rsidRDefault="00FD7A56" w:rsidP="00FD7A56">
      <w:pPr>
        <w:spacing w:line="360" w:lineRule="auto"/>
        <w:rPr>
          <w:rFonts w:ascii="Times New Roman" w:hAnsi="Times New Roman" w:cs="Times New Roman"/>
        </w:rPr>
      </w:pPr>
      <w:r w:rsidRPr="00FD7A56">
        <w:rPr>
          <w:rFonts w:ascii="Times New Roman" w:hAnsi="Times New Roman" w:cs="Times New Roman"/>
        </w:rPr>
        <w:t>Section 1 provides that the title of the instrument is the</w:t>
      </w:r>
      <w:r w:rsidR="007D53A0" w:rsidRPr="007D53A0">
        <w:rPr>
          <w:rFonts w:ascii="Times New Roman" w:hAnsi="Times New Roman" w:cs="Times New Roman"/>
          <w:i/>
        </w:rPr>
        <w:t xml:space="preserve"> Electronic Transactions Amendment (</w:t>
      </w:r>
      <w:r w:rsidR="002E435F">
        <w:rPr>
          <w:rFonts w:ascii="Times New Roman" w:hAnsi="Times New Roman" w:cs="Times New Roman"/>
          <w:i/>
        </w:rPr>
        <w:t xml:space="preserve">Electoral </w:t>
      </w:r>
      <w:r w:rsidR="007D53A0" w:rsidRPr="007D53A0">
        <w:rPr>
          <w:rFonts w:ascii="Times New Roman" w:hAnsi="Times New Roman" w:cs="Times New Roman"/>
          <w:i/>
        </w:rPr>
        <w:t>Nomination</w:t>
      </w:r>
      <w:r w:rsidR="002E435F">
        <w:rPr>
          <w:rFonts w:ascii="Times New Roman" w:hAnsi="Times New Roman" w:cs="Times New Roman"/>
          <w:i/>
        </w:rPr>
        <w:t>s</w:t>
      </w:r>
      <w:r w:rsidR="007D53A0" w:rsidRPr="007D53A0">
        <w:rPr>
          <w:rFonts w:ascii="Times New Roman" w:hAnsi="Times New Roman" w:cs="Times New Roman"/>
          <w:i/>
        </w:rPr>
        <w:t>) Regulations 201</w:t>
      </w:r>
      <w:r w:rsidR="002E435F">
        <w:rPr>
          <w:rFonts w:ascii="Times New Roman" w:hAnsi="Times New Roman" w:cs="Times New Roman"/>
          <w:i/>
        </w:rPr>
        <w:t>9</w:t>
      </w:r>
      <w:r w:rsidR="007D53A0" w:rsidRPr="007D53A0">
        <w:rPr>
          <w:rFonts w:ascii="Times New Roman" w:hAnsi="Times New Roman" w:cs="Times New Roman"/>
          <w:i/>
        </w:rPr>
        <w:t xml:space="preserve"> </w:t>
      </w:r>
      <w:r w:rsidR="007D53A0" w:rsidRPr="007D53A0">
        <w:rPr>
          <w:rFonts w:ascii="Times New Roman" w:hAnsi="Times New Roman" w:cs="Times New Roman"/>
        </w:rPr>
        <w:t>(the Regulations).</w:t>
      </w:r>
    </w:p>
    <w:p w14:paraId="5BE74CCC" w14:textId="77777777" w:rsidR="00FD7A56" w:rsidRPr="00FD7A56" w:rsidRDefault="00FD7A56" w:rsidP="00FD7A56">
      <w:pPr>
        <w:spacing w:line="360" w:lineRule="auto"/>
        <w:rPr>
          <w:rFonts w:ascii="Times New Roman" w:hAnsi="Times New Roman" w:cs="Times New Roman"/>
          <w:b/>
        </w:rPr>
      </w:pPr>
      <w:r w:rsidRPr="00FD7A56">
        <w:rPr>
          <w:rFonts w:ascii="Times New Roman" w:hAnsi="Times New Roman" w:cs="Times New Roman"/>
          <w:b/>
        </w:rPr>
        <w:t>Section 2 – Commencement</w:t>
      </w:r>
    </w:p>
    <w:p w14:paraId="537A0999" w14:textId="77777777" w:rsidR="00FD7A56" w:rsidRPr="00FD7A56" w:rsidRDefault="00FD7A56" w:rsidP="00FD7A56">
      <w:pPr>
        <w:spacing w:line="360" w:lineRule="auto"/>
        <w:rPr>
          <w:rFonts w:ascii="Times New Roman" w:hAnsi="Times New Roman" w:cs="Times New Roman"/>
        </w:rPr>
      </w:pPr>
      <w:r w:rsidRPr="00FD7A56">
        <w:rPr>
          <w:rFonts w:ascii="Times New Roman" w:hAnsi="Times New Roman" w:cs="Times New Roman"/>
        </w:rPr>
        <w:t xml:space="preserve">This section provides that the Regulations will commence on the day after it is registered on the Federal Register of Legislation. </w:t>
      </w:r>
    </w:p>
    <w:p w14:paraId="0BCF041C" w14:textId="77777777" w:rsidR="00FD7A56" w:rsidRPr="00FD7A56" w:rsidRDefault="00FD7A56" w:rsidP="00FD7A56">
      <w:pPr>
        <w:spacing w:line="360" w:lineRule="auto"/>
        <w:rPr>
          <w:rFonts w:ascii="Times New Roman" w:hAnsi="Times New Roman" w:cs="Times New Roman"/>
          <w:b/>
        </w:rPr>
      </w:pPr>
      <w:r w:rsidRPr="00FD7A56">
        <w:rPr>
          <w:rFonts w:ascii="Times New Roman" w:hAnsi="Times New Roman" w:cs="Times New Roman"/>
          <w:b/>
        </w:rPr>
        <w:t>Section 3 – Authority</w:t>
      </w:r>
    </w:p>
    <w:p w14:paraId="1FDD4B44" w14:textId="061730EB" w:rsidR="00FD7A56" w:rsidRPr="00FD7A56" w:rsidRDefault="00FD7A56" w:rsidP="00FD7A56">
      <w:pPr>
        <w:spacing w:line="360" w:lineRule="auto"/>
        <w:rPr>
          <w:rFonts w:ascii="Times New Roman" w:hAnsi="Times New Roman" w:cs="Times New Roman"/>
          <w:color w:val="000000"/>
        </w:rPr>
      </w:pPr>
      <w:r w:rsidRPr="00FD7A56">
        <w:rPr>
          <w:rFonts w:ascii="Times New Roman" w:hAnsi="Times New Roman" w:cs="Times New Roman"/>
        </w:rPr>
        <w:t>This section provides that the Regulations are made under the</w:t>
      </w:r>
      <w:r w:rsidR="007D53A0" w:rsidRPr="007D53A0">
        <w:rPr>
          <w:rFonts w:ascii="Times New Roman" w:hAnsi="Times New Roman" w:cs="Times New Roman"/>
          <w:i/>
        </w:rPr>
        <w:t xml:space="preserve"> Electronic Transactions Act 1999 </w:t>
      </w:r>
      <w:r w:rsidR="007D53A0" w:rsidRPr="007D53A0">
        <w:rPr>
          <w:rFonts w:ascii="Times New Roman" w:hAnsi="Times New Roman" w:cs="Times New Roman"/>
        </w:rPr>
        <w:t>as allowed by section 16</w:t>
      </w:r>
      <w:r w:rsidR="007D53A0" w:rsidRPr="007D53A0">
        <w:rPr>
          <w:rFonts w:ascii="Times New Roman" w:hAnsi="Times New Roman" w:cs="Times New Roman"/>
          <w:i/>
        </w:rPr>
        <w:t>.</w:t>
      </w:r>
    </w:p>
    <w:p w14:paraId="079D1FD0" w14:textId="22B3CDE9" w:rsidR="00FD7A56" w:rsidRPr="00FD7A56" w:rsidRDefault="00FD7A56" w:rsidP="00FD7A56">
      <w:pPr>
        <w:spacing w:line="360" w:lineRule="auto"/>
        <w:rPr>
          <w:rFonts w:ascii="Times New Roman" w:hAnsi="Times New Roman" w:cs="Times New Roman"/>
          <w:b/>
          <w:color w:val="000000"/>
        </w:rPr>
      </w:pPr>
      <w:r w:rsidRPr="00FD7A56">
        <w:rPr>
          <w:rFonts w:ascii="Times New Roman" w:hAnsi="Times New Roman" w:cs="Times New Roman"/>
          <w:b/>
          <w:color w:val="000000"/>
        </w:rPr>
        <w:t>Section 4 – Schedule</w:t>
      </w:r>
      <w:r w:rsidR="007311B5">
        <w:rPr>
          <w:rFonts w:ascii="Times New Roman" w:hAnsi="Times New Roman" w:cs="Times New Roman"/>
          <w:b/>
          <w:color w:val="000000"/>
        </w:rPr>
        <w:t>s</w:t>
      </w:r>
    </w:p>
    <w:p w14:paraId="31DA1334" w14:textId="77BE839C" w:rsidR="00FD7A56" w:rsidRDefault="00FD7A56" w:rsidP="00FD7A56">
      <w:pPr>
        <w:spacing w:line="360" w:lineRule="auto"/>
        <w:rPr>
          <w:rFonts w:ascii="Times New Roman" w:hAnsi="Times New Roman" w:cs="Times New Roman"/>
          <w:color w:val="000000"/>
        </w:rPr>
      </w:pPr>
      <w:r w:rsidRPr="00FD7A56">
        <w:rPr>
          <w:rFonts w:ascii="Times New Roman" w:hAnsi="Times New Roman" w:cs="Times New Roman"/>
          <w:color w:val="000000"/>
        </w:rPr>
        <w:t xml:space="preserve">This section outlines that the </w:t>
      </w:r>
      <w:r w:rsidR="007311B5">
        <w:rPr>
          <w:rFonts w:ascii="Times New Roman" w:hAnsi="Times New Roman" w:cs="Times New Roman"/>
          <w:color w:val="000000"/>
        </w:rPr>
        <w:t>item</w:t>
      </w:r>
      <w:r w:rsidRPr="00FD7A56">
        <w:rPr>
          <w:rFonts w:ascii="Times New Roman" w:hAnsi="Times New Roman" w:cs="Times New Roman"/>
          <w:color w:val="000000"/>
        </w:rPr>
        <w:t xml:space="preserve"> specified in </w:t>
      </w:r>
      <w:r w:rsidR="007311B5">
        <w:rPr>
          <w:rFonts w:ascii="Times New Roman" w:hAnsi="Times New Roman" w:cs="Times New Roman"/>
          <w:color w:val="000000"/>
        </w:rPr>
        <w:t xml:space="preserve">a </w:t>
      </w:r>
      <w:r w:rsidRPr="00FD7A56">
        <w:rPr>
          <w:rFonts w:ascii="Times New Roman" w:hAnsi="Times New Roman" w:cs="Times New Roman"/>
          <w:color w:val="000000"/>
        </w:rPr>
        <w:t xml:space="preserve">Schedule </w:t>
      </w:r>
      <w:r w:rsidR="007D53A0">
        <w:rPr>
          <w:rFonts w:ascii="Times New Roman" w:hAnsi="Times New Roman" w:cs="Times New Roman"/>
          <w:color w:val="000000"/>
        </w:rPr>
        <w:t>1</w:t>
      </w:r>
      <w:r w:rsidRPr="00FD7A56">
        <w:rPr>
          <w:rFonts w:ascii="Times New Roman" w:hAnsi="Times New Roman" w:cs="Times New Roman"/>
          <w:color w:val="000000"/>
        </w:rPr>
        <w:t xml:space="preserve"> will be amended or repealed as set out in the Schedule.  </w:t>
      </w:r>
    </w:p>
    <w:p w14:paraId="62CBE5D1" w14:textId="7DD0DC18" w:rsidR="007311B5" w:rsidRPr="003A1264" w:rsidRDefault="007311B5" w:rsidP="00FD7A56">
      <w:pPr>
        <w:spacing w:line="360" w:lineRule="auto"/>
        <w:rPr>
          <w:rFonts w:ascii="Times New Roman" w:hAnsi="Times New Roman" w:cs="Times New Roman"/>
          <w:b/>
          <w:color w:val="000000"/>
        </w:rPr>
      </w:pPr>
      <w:r w:rsidRPr="003A1264">
        <w:rPr>
          <w:rFonts w:ascii="Times New Roman" w:hAnsi="Times New Roman" w:cs="Times New Roman"/>
          <w:b/>
          <w:color w:val="000000"/>
        </w:rPr>
        <w:t>Schedule 1</w:t>
      </w:r>
    </w:p>
    <w:p w14:paraId="433C5D37" w14:textId="56ED3B14" w:rsidR="007311B5" w:rsidRPr="00FD7A56" w:rsidRDefault="007311B5" w:rsidP="00FD7A56">
      <w:pPr>
        <w:spacing w:line="360" w:lineRule="auto"/>
        <w:rPr>
          <w:rFonts w:ascii="Times New Roman" w:hAnsi="Times New Roman" w:cs="Times New Roman"/>
          <w:color w:val="000000"/>
        </w:rPr>
      </w:pPr>
      <w:r>
        <w:rPr>
          <w:rFonts w:ascii="Times New Roman" w:hAnsi="Times New Roman" w:cs="Times New Roman"/>
          <w:color w:val="000000"/>
        </w:rPr>
        <w:t xml:space="preserve">Schedule 1 provides that Item 25, column headed “Commonwealth law” is repealed. </w:t>
      </w:r>
    </w:p>
    <w:sectPr w:rsidR="007311B5" w:rsidRPr="00FD7A5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EA8BC" w14:textId="77777777" w:rsidR="006D183C" w:rsidRDefault="006D183C" w:rsidP="0002636A">
      <w:pPr>
        <w:spacing w:after="0" w:line="240" w:lineRule="auto"/>
      </w:pPr>
      <w:r>
        <w:separator/>
      </w:r>
    </w:p>
  </w:endnote>
  <w:endnote w:type="continuationSeparator" w:id="0">
    <w:p w14:paraId="55F59024" w14:textId="77777777" w:rsidR="006D183C" w:rsidRDefault="006D183C"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1BC83" w14:textId="77777777" w:rsidR="003075A1" w:rsidRDefault="003075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314554"/>
      <w:docPartObj>
        <w:docPartGallery w:val="Page Numbers (Bottom of Page)"/>
        <w:docPartUnique/>
      </w:docPartObj>
    </w:sdtPr>
    <w:sdtEndPr>
      <w:rPr>
        <w:noProof/>
      </w:rPr>
    </w:sdtEndPr>
    <w:sdtContent>
      <w:p w14:paraId="38DACAC2" w14:textId="77777777" w:rsidR="0002636A" w:rsidRDefault="0002636A">
        <w:pPr>
          <w:pStyle w:val="Footer"/>
          <w:jc w:val="right"/>
        </w:pPr>
        <w:r>
          <w:fldChar w:fldCharType="begin"/>
        </w:r>
        <w:r>
          <w:instrText xml:space="preserve"> PAGE   \* MERGEFORMAT </w:instrText>
        </w:r>
        <w:r>
          <w:fldChar w:fldCharType="separate"/>
        </w:r>
        <w:r w:rsidR="000C2A8F">
          <w:rPr>
            <w:noProof/>
          </w:rPr>
          <w:t>1</w:t>
        </w:r>
        <w:r>
          <w:rPr>
            <w:noProof/>
          </w:rPr>
          <w:fldChar w:fldCharType="end"/>
        </w:r>
      </w:p>
    </w:sdtContent>
  </w:sdt>
  <w:p w14:paraId="38DACAC3" w14:textId="77777777" w:rsidR="0002636A" w:rsidRDefault="000263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EED0F" w14:textId="77777777" w:rsidR="003075A1" w:rsidRDefault="003075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D723D" w14:textId="77777777" w:rsidR="006D183C" w:rsidRDefault="006D183C" w:rsidP="0002636A">
      <w:pPr>
        <w:spacing w:after="0" w:line="240" w:lineRule="auto"/>
      </w:pPr>
      <w:r>
        <w:separator/>
      </w:r>
    </w:p>
  </w:footnote>
  <w:footnote w:type="continuationSeparator" w:id="0">
    <w:p w14:paraId="5AE41F8C" w14:textId="77777777" w:rsidR="006D183C" w:rsidRDefault="006D183C" w:rsidP="000263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563BD" w14:textId="77777777" w:rsidR="003075A1" w:rsidRDefault="003075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92D57" w14:textId="75B0CE05" w:rsidR="003075A1" w:rsidRDefault="003075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AAF65" w14:textId="77777777" w:rsidR="003075A1" w:rsidRDefault="003075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352F76"/>
    <w:multiLevelType w:val="hybridMultilevel"/>
    <w:tmpl w:val="E968C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4757A47"/>
    <w:multiLevelType w:val="hybridMultilevel"/>
    <w:tmpl w:val="8CCE3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AEC51BD"/>
    <w:multiLevelType w:val="hybridMultilevel"/>
    <w:tmpl w:val="0164B25C"/>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8">
    <w:nsid w:val="44233956"/>
    <w:multiLevelType w:val="hybridMultilevel"/>
    <w:tmpl w:val="BC48A708"/>
    <w:lvl w:ilvl="0" w:tplc="1F6E335A">
      <w:start w:val="1"/>
      <w:numFmt w:val="bullet"/>
      <w:lvlText w:val=""/>
      <w:lvlJc w:val="left"/>
      <w:pPr>
        <w:ind w:left="780" w:hanging="360"/>
      </w:pPr>
      <w:rPr>
        <w:rFonts w:ascii="Symbol" w:hAnsi="Symbol" w:hint="default"/>
      </w:rPr>
    </w:lvl>
    <w:lvl w:ilvl="1" w:tplc="63B22B0E" w:tentative="1">
      <w:start w:val="1"/>
      <w:numFmt w:val="bullet"/>
      <w:lvlText w:val="o"/>
      <w:lvlJc w:val="left"/>
      <w:pPr>
        <w:ind w:left="1500" w:hanging="360"/>
      </w:pPr>
      <w:rPr>
        <w:rFonts w:ascii="Courier New" w:hAnsi="Courier New" w:cs="Courier New" w:hint="default"/>
      </w:rPr>
    </w:lvl>
    <w:lvl w:ilvl="2" w:tplc="1FC42644" w:tentative="1">
      <w:start w:val="1"/>
      <w:numFmt w:val="bullet"/>
      <w:lvlText w:val=""/>
      <w:lvlJc w:val="left"/>
      <w:pPr>
        <w:ind w:left="2220" w:hanging="360"/>
      </w:pPr>
      <w:rPr>
        <w:rFonts w:ascii="Wingdings" w:hAnsi="Wingdings" w:hint="default"/>
      </w:rPr>
    </w:lvl>
    <w:lvl w:ilvl="3" w:tplc="738AE454" w:tentative="1">
      <w:start w:val="1"/>
      <w:numFmt w:val="bullet"/>
      <w:lvlText w:val=""/>
      <w:lvlJc w:val="left"/>
      <w:pPr>
        <w:ind w:left="2940" w:hanging="360"/>
      </w:pPr>
      <w:rPr>
        <w:rFonts w:ascii="Symbol" w:hAnsi="Symbol" w:hint="default"/>
      </w:rPr>
    </w:lvl>
    <w:lvl w:ilvl="4" w:tplc="10B42734" w:tentative="1">
      <w:start w:val="1"/>
      <w:numFmt w:val="bullet"/>
      <w:lvlText w:val="o"/>
      <w:lvlJc w:val="left"/>
      <w:pPr>
        <w:ind w:left="3660" w:hanging="360"/>
      </w:pPr>
      <w:rPr>
        <w:rFonts w:ascii="Courier New" w:hAnsi="Courier New" w:cs="Courier New" w:hint="default"/>
      </w:rPr>
    </w:lvl>
    <w:lvl w:ilvl="5" w:tplc="518E4D28" w:tentative="1">
      <w:start w:val="1"/>
      <w:numFmt w:val="bullet"/>
      <w:lvlText w:val=""/>
      <w:lvlJc w:val="left"/>
      <w:pPr>
        <w:ind w:left="4380" w:hanging="360"/>
      </w:pPr>
      <w:rPr>
        <w:rFonts w:ascii="Wingdings" w:hAnsi="Wingdings" w:hint="default"/>
      </w:rPr>
    </w:lvl>
    <w:lvl w:ilvl="6" w:tplc="88B613B4" w:tentative="1">
      <w:start w:val="1"/>
      <w:numFmt w:val="bullet"/>
      <w:lvlText w:val=""/>
      <w:lvlJc w:val="left"/>
      <w:pPr>
        <w:ind w:left="5100" w:hanging="360"/>
      </w:pPr>
      <w:rPr>
        <w:rFonts w:ascii="Symbol" w:hAnsi="Symbol" w:hint="default"/>
      </w:rPr>
    </w:lvl>
    <w:lvl w:ilvl="7" w:tplc="64741354" w:tentative="1">
      <w:start w:val="1"/>
      <w:numFmt w:val="bullet"/>
      <w:lvlText w:val="o"/>
      <w:lvlJc w:val="left"/>
      <w:pPr>
        <w:ind w:left="5820" w:hanging="360"/>
      </w:pPr>
      <w:rPr>
        <w:rFonts w:ascii="Courier New" w:hAnsi="Courier New" w:cs="Courier New" w:hint="default"/>
      </w:rPr>
    </w:lvl>
    <w:lvl w:ilvl="8" w:tplc="F8C0A5D6" w:tentative="1">
      <w:start w:val="1"/>
      <w:numFmt w:val="bullet"/>
      <w:lvlText w:val=""/>
      <w:lvlJc w:val="left"/>
      <w:pPr>
        <w:ind w:left="6540" w:hanging="360"/>
      </w:pPr>
      <w:rPr>
        <w:rFonts w:ascii="Wingdings" w:hAnsi="Wingdings" w:hint="default"/>
      </w:rPr>
    </w:lvl>
  </w:abstractNum>
  <w:abstractNum w:abstractNumId="9">
    <w:nsid w:val="4A18344C"/>
    <w:multiLevelType w:val="hybridMultilevel"/>
    <w:tmpl w:val="14E4BB4C"/>
    <w:lvl w:ilvl="0" w:tplc="5E0C47FC">
      <w:numFmt w:val="bullet"/>
      <w:lvlText w:val="•"/>
      <w:lvlJc w:val="left"/>
      <w:pPr>
        <w:ind w:left="825" w:hanging="465"/>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E2E0478"/>
    <w:multiLevelType w:val="singleLevel"/>
    <w:tmpl w:val="AA3C36B8"/>
    <w:lvl w:ilvl="0">
      <w:start w:val="2"/>
      <w:numFmt w:val="decimal"/>
      <w:pStyle w:val="Paragraphnumbered"/>
      <w:lvlText w:val="%1."/>
      <w:legacy w:legacy="1" w:legacySpace="0" w:legacyIndent="567"/>
      <w:lvlJc w:val="left"/>
      <w:pPr>
        <w:ind w:left="567" w:hanging="567"/>
      </w:pPr>
      <w:rPr>
        <w:color w:val="auto"/>
      </w:rPr>
    </w:lvl>
  </w:abstractNum>
  <w:abstractNum w:abstractNumId="11">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7003A20"/>
    <w:multiLevelType w:val="hybridMultilevel"/>
    <w:tmpl w:val="1D6AE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3"/>
  </w:num>
  <w:num w:numId="4">
    <w:abstractNumId w:val="18"/>
  </w:num>
  <w:num w:numId="5">
    <w:abstractNumId w:val="4"/>
  </w:num>
  <w:num w:numId="6">
    <w:abstractNumId w:val="19"/>
  </w:num>
  <w:num w:numId="7">
    <w:abstractNumId w:val="0"/>
  </w:num>
  <w:num w:numId="8">
    <w:abstractNumId w:val="12"/>
  </w:num>
  <w:num w:numId="9">
    <w:abstractNumId w:val="5"/>
  </w:num>
  <w:num w:numId="10">
    <w:abstractNumId w:val="17"/>
  </w:num>
  <w:num w:numId="11">
    <w:abstractNumId w:val="15"/>
  </w:num>
  <w:num w:numId="12">
    <w:abstractNumId w:val="14"/>
  </w:num>
  <w:num w:numId="13">
    <w:abstractNumId w:val="6"/>
  </w:num>
  <w:num w:numId="14">
    <w:abstractNumId w:val="10"/>
  </w:num>
  <w:num w:numId="15">
    <w:abstractNumId w:val="8"/>
  </w:num>
  <w:num w:numId="16">
    <w:abstractNumId w:val="16"/>
  </w:num>
  <w:num w:numId="17">
    <w:abstractNumId w:val="1"/>
  </w:num>
  <w:num w:numId="18">
    <w:abstractNumId w:val="7"/>
  </w:num>
  <w:num w:numId="19">
    <w:abstractNumId w:val="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269"/>
    <w:rsid w:val="0002159E"/>
    <w:rsid w:val="0002636A"/>
    <w:rsid w:val="000415BA"/>
    <w:rsid w:val="00044936"/>
    <w:rsid w:val="00046DAC"/>
    <w:rsid w:val="000C2A8F"/>
    <w:rsid w:val="000C5582"/>
    <w:rsid w:val="000E6DFF"/>
    <w:rsid w:val="000F0FB1"/>
    <w:rsid w:val="00105FBD"/>
    <w:rsid w:val="00106CBA"/>
    <w:rsid w:val="00132863"/>
    <w:rsid w:val="001469C7"/>
    <w:rsid w:val="00166B07"/>
    <w:rsid w:val="0017105A"/>
    <w:rsid w:val="00186EFA"/>
    <w:rsid w:val="00195C64"/>
    <w:rsid w:val="001A1463"/>
    <w:rsid w:val="001D3031"/>
    <w:rsid w:val="00210642"/>
    <w:rsid w:val="0026109C"/>
    <w:rsid w:val="002B361E"/>
    <w:rsid w:val="002C5B76"/>
    <w:rsid w:val="002C7671"/>
    <w:rsid w:val="002E435F"/>
    <w:rsid w:val="003075A1"/>
    <w:rsid w:val="00311D24"/>
    <w:rsid w:val="003125B9"/>
    <w:rsid w:val="003802FB"/>
    <w:rsid w:val="003960B5"/>
    <w:rsid w:val="003A06C5"/>
    <w:rsid w:val="003A1264"/>
    <w:rsid w:val="003A27DE"/>
    <w:rsid w:val="003A517E"/>
    <w:rsid w:val="003B3B93"/>
    <w:rsid w:val="003B6050"/>
    <w:rsid w:val="003D6791"/>
    <w:rsid w:val="004229F5"/>
    <w:rsid w:val="004709FE"/>
    <w:rsid w:val="004A0438"/>
    <w:rsid w:val="004F430F"/>
    <w:rsid w:val="00521029"/>
    <w:rsid w:val="00526006"/>
    <w:rsid w:val="00533CA6"/>
    <w:rsid w:val="00566C9B"/>
    <w:rsid w:val="00586C4E"/>
    <w:rsid w:val="005A0E59"/>
    <w:rsid w:val="005B5A11"/>
    <w:rsid w:val="005B5E46"/>
    <w:rsid w:val="005D194A"/>
    <w:rsid w:val="0060577E"/>
    <w:rsid w:val="00607F9A"/>
    <w:rsid w:val="0063239B"/>
    <w:rsid w:val="0063279C"/>
    <w:rsid w:val="00634AE9"/>
    <w:rsid w:val="00656FC8"/>
    <w:rsid w:val="00670C8D"/>
    <w:rsid w:val="00672A3B"/>
    <w:rsid w:val="00692E6E"/>
    <w:rsid w:val="006B5241"/>
    <w:rsid w:val="006B6D3D"/>
    <w:rsid w:val="006D183C"/>
    <w:rsid w:val="006E1C2B"/>
    <w:rsid w:val="006E4F4F"/>
    <w:rsid w:val="0071386C"/>
    <w:rsid w:val="007311B5"/>
    <w:rsid w:val="00785DDA"/>
    <w:rsid w:val="007B7195"/>
    <w:rsid w:val="007D53A0"/>
    <w:rsid w:val="007E2F69"/>
    <w:rsid w:val="007F1D53"/>
    <w:rsid w:val="0080055A"/>
    <w:rsid w:val="008417A3"/>
    <w:rsid w:val="0088295E"/>
    <w:rsid w:val="00884819"/>
    <w:rsid w:val="00894D9D"/>
    <w:rsid w:val="008B2955"/>
    <w:rsid w:val="008B46EA"/>
    <w:rsid w:val="008B5BDB"/>
    <w:rsid w:val="009227B6"/>
    <w:rsid w:val="00933355"/>
    <w:rsid w:val="00957401"/>
    <w:rsid w:val="009601BB"/>
    <w:rsid w:val="0096562B"/>
    <w:rsid w:val="009B6322"/>
    <w:rsid w:val="009D2B82"/>
    <w:rsid w:val="009E7F6A"/>
    <w:rsid w:val="00A54C52"/>
    <w:rsid w:val="00AB3F89"/>
    <w:rsid w:val="00AB7270"/>
    <w:rsid w:val="00AC39E5"/>
    <w:rsid w:val="00AC6FE5"/>
    <w:rsid w:val="00AD4B92"/>
    <w:rsid w:val="00AF0C63"/>
    <w:rsid w:val="00AF3FA2"/>
    <w:rsid w:val="00AF673F"/>
    <w:rsid w:val="00B168B5"/>
    <w:rsid w:val="00B273E1"/>
    <w:rsid w:val="00B427D5"/>
    <w:rsid w:val="00B57503"/>
    <w:rsid w:val="00B769D9"/>
    <w:rsid w:val="00B828BC"/>
    <w:rsid w:val="00BA3F3C"/>
    <w:rsid w:val="00C16B35"/>
    <w:rsid w:val="00C32671"/>
    <w:rsid w:val="00C36918"/>
    <w:rsid w:val="00C412BA"/>
    <w:rsid w:val="00C554B1"/>
    <w:rsid w:val="00C92F5E"/>
    <w:rsid w:val="00CA0665"/>
    <w:rsid w:val="00CF14E3"/>
    <w:rsid w:val="00CF432E"/>
    <w:rsid w:val="00D51A2A"/>
    <w:rsid w:val="00D62FB1"/>
    <w:rsid w:val="00D87F19"/>
    <w:rsid w:val="00DA7C15"/>
    <w:rsid w:val="00DB2DA6"/>
    <w:rsid w:val="00DF66A9"/>
    <w:rsid w:val="00E03A1F"/>
    <w:rsid w:val="00E23B2F"/>
    <w:rsid w:val="00E24C69"/>
    <w:rsid w:val="00E44073"/>
    <w:rsid w:val="00E573A1"/>
    <w:rsid w:val="00E675EE"/>
    <w:rsid w:val="00E81349"/>
    <w:rsid w:val="00EA481F"/>
    <w:rsid w:val="00EC3755"/>
    <w:rsid w:val="00ED357E"/>
    <w:rsid w:val="00F10A91"/>
    <w:rsid w:val="00F2311C"/>
    <w:rsid w:val="00F26896"/>
    <w:rsid w:val="00F33269"/>
    <w:rsid w:val="00F66D2C"/>
    <w:rsid w:val="00F769DC"/>
    <w:rsid w:val="00FB4B00"/>
    <w:rsid w:val="00FD7716"/>
    <w:rsid w:val="00FD7A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DAC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paragraph" w:styleId="Heading3">
    <w:name w:val="heading 3"/>
    <w:basedOn w:val="Normal"/>
    <w:next w:val="Normal"/>
    <w:link w:val="Heading3Char"/>
    <w:uiPriority w:val="9"/>
    <w:semiHidden/>
    <w:unhideWhenUsed/>
    <w:qFormat/>
    <w:rsid w:val="005B5A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character" w:customStyle="1" w:styleId="Heading3Char">
    <w:name w:val="Heading 3 Char"/>
    <w:basedOn w:val="DefaultParagraphFont"/>
    <w:link w:val="Heading3"/>
    <w:uiPriority w:val="9"/>
    <w:semiHidden/>
    <w:rsid w:val="005B5A11"/>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5B5A1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5B5A11"/>
  </w:style>
  <w:style w:type="paragraph" w:customStyle="1" w:styleId="Paragraphnumbered">
    <w:name w:val="Paragraph (numbered)"/>
    <w:basedOn w:val="Normal"/>
    <w:rsid w:val="0088295E"/>
    <w:pPr>
      <w:numPr>
        <w:numId w:val="14"/>
      </w:numPr>
      <w:spacing w:before="240" w:after="0" w:line="360" w:lineRule="auto"/>
    </w:pPr>
    <w:rPr>
      <w:rFonts w:ascii="Times New Roman" w:eastAsia="Times New Roman" w:hAnsi="Times New Roman" w:cs="Times New Roman"/>
      <w:sz w:val="24"/>
      <w:szCs w:val="20"/>
      <w:lang w:eastAsia="en-AU"/>
    </w:rPr>
  </w:style>
  <w:style w:type="paragraph" w:customStyle="1" w:styleId="notemargin">
    <w:name w:val="note(margin)"/>
    <w:aliases w:val="nm"/>
    <w:basedOn w:val="Normal"/>
    <w:rsid w:val="006E1C2B"/>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paragraph" w:styleId="Heading3">
    <w:name w:val="heading 3"/>
    <w:basedOn w:val="Normal"/>
    <w:next w:val="Normal"/>
    <w:link w:val="Heading3Char"/>
    <w:uiPriority w:val="9"/>
    <w:semiHidden/>
    <w:unhideWhenUsed/>
    <w:qFormat/>
    <w:rsid w:val="005B5A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character" w:customStyle="1" w:styleId="Heading3Char">
    <w:name w:val="Heading 3 Char"/>
    <w:basedOn w:val="DefaultParagraphFont"/>
    <w:link w:val="Heading3"/>
    <w:uiPriority w:val="9"/>
    <w:semiHidden/>
    <w:rsid w:val="005B5A11"/>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5B5A1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5B5A11"/>
  </w:style>
  <w:style w:type="paragraph" w:customStyle="1" w:styleId="Paragraphnumbered">
    <w:name w:val="Paragraph (numbered)"/>
    <w:basedOn w:val="Normal"/>
    <w:rsid w:val="0088295E"/>
    <w:pPr>
      <w:numPr>
        <w:numId w:val="14"/>
      </w:numPr>
      <w:spacing w:before="240" w:after="0" w:line="360" w:lineRule="auto"/>
    </w:pPr>
    <w:rPr>
      <w:rFonts w:ascii="Times New Roman" w:eastAsia="Times New Roman" w:hAnsi="Times New Roman" w:cs="Times New Roman"/>
      <w:sz w:val="24"/>
      <w:szCs w:val="20"/>
      <w:lang w:eastAsia="en-AU"/>
    </w:rPr>
  </w:style>
  <w:style w:type="paragraph" w:customStyle="1" w:styleId="notemargin">
    <w:name w:val="note(margin)"/>
    <w:aliases w:val="nm"/>
    <w:basedOn w:val="Normal"/>
    <w:rsid w:val="006E1C2B"/>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702905425">
      <w:bodyDiv w:val="1"/>
      <w:marLeft w:val="0"/>
      <w:marRight w:val="0"/>
      <w:marTop w:val="0"/>
      <w:marBottom w:val="0"/>
      <w:divBdr>
        <w:top w:val="none" w:sz="0" w:space="0" w:color="auto"/>
        <w:left w:val="none" w:sz="0" w:space="0" w:color="auto"/>
        <w:bottom w:val="none" w:sz="0" w:space="0" w:color="auto"/>
        <w:right w:val="none" w:sz="0" w:space="0" w:color="auto"/>
      </w:divBdr>
    </w:div>
    <w:div w:id="866066072">
      <w:bodyDiv w:val="1"/>
      <w:marLeft w:val="0"/>
      <w:marRight w:val="0"/>
      <w:marTop w:val="0"/>
      <w:marBottom w:val="0"/>
      <w:divBdr>
        <w:top w:val="none" w:sz="0" w:space="0" w:color="auto"/>
        <w:left w:val="none" w:sz="0" w:space="0" w:color="auto"/>
        <w:bottom w:val="none" w:sz="0" w:space="0" w:color="auto"/>
        <w:right w:val="none" w:sz="0" w:space="0" w:color="auto"/>
      </w:divBdr>
    </w:div>
    <w:div w:id="92808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57246AA-2D11-4C74-9E6C-87E493071B5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0ED32FAF0D7164E9991FFDF9BA6BC28" ma:contentTypeVersion="" ma:contentTypeDescription="PDMS Document Site Content Type" ma:contentTypeScope="" ma:versionID="068bbf4124a6f67b54d281aa568764b5">
  <xsd:schema xmlns:xsd="http://www.w3.org/2001/XMLSchema" xmlns:xs="http://www.w3.org/2001/XMLSchema" xmlns:p="http://schemas.microsoft.com/office/2006/metadata/properties" xmlns:ns2="857246AA-2D11-4C74-9E6C-87E493071B57" targetNamespace="http://schemas.microsoft.com/office/2006/metadata/properties" ma:root="true" ma:fieldsID="78df7a4b1429b2f8ff25dcace593ac6c" ns2:_="">
    <xsd:import namespace="857246AA-2D11-4C74-9E6C-87E493071B5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246AA-2D11-4C74-9E6C-87E493071B5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4A69D-22E8-43A8-BB0F-D8E8F3411D3E}">
  <ds:schemaRefs>
    <ds:schemaRef ds:uri="http://schemas.microsoft.com/office/infopath/2007/PartnerControls"/>
    <ds:schemaRef ds:uri="http://purl.org/dc/elements/1.1/"/>
    <ds:schemaRef ds:uri="http://schemas.openxmlformats.org/package/2006/metadata/core-properties"/>
    <ds:schemaRef ds:uri="857246AA-2D11-4C74-9E6C-87E493071B57"/>
    <ds:schemaRef ds:uri="http://schemas.microsoft.com/office/2006/documentManagement/types"/>
    <ds:schemaRef ds:uri="http://purl.org/dc/term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BA48F50-EF10-42D9-A9CD-71465C233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246AA-2D11-4C74-9E6C-87E493071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4.xml><?xml version="1.0" encoding="utf-8"?>
<ds:datastoreItem xmlns:ds="http://schemas.openxmlformats.org/officeDocument/2006/customXml" ds:itemID="{D06F61A9-62CE-4648-A6BD-2F1648552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898</Words>
  <Characters>5119</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6005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tayloh</dc:creator>
  <cp:lastModifiedBy>rashir</cp:lastModifiedBy>
  <cp:revision>2</cp:revision>
  <cp:lastPrinted>2018-04-19T00:42:00Z</cp:lastPrinted>
  <dcterms:created xsi:type="dcterms:W3CDTF">2019-03-22T01:50:00Z</dcterms:created>
  <dcterms:modified xsi:type="dcterms:W3CDTF">2019-03-22T01:50:00Z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0x010100266966F133664895A6EE3632470D45F50050ED32FAF0D7164E9991FFDF9BA6BC28</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