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65404" w14:textId="77777777" w:rsidR="00715914" w:rsidRPr="005F1388" w:rsidRDefault="00DA186E" w:rsidP="00715914">
      <w:pPr>
        <w:rPr>
          <w:sz w:val="28"/>
        </w:rPr>
      </w:pPr>
      <w:r>
        <w:rPr>
          <w:noProof/>
          <w:lang w:eastAsia="en-AU"/>
        </w:rPr>
        <w:drawing>
          <wp:inline distT="0" distB="0" distL="0" distR="0" wp14:anchorId="2ED4DAAD" wp14:editId="36D5E59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1720A79" w14:textId="77777777" w:rsidR="00715914" w:rsidRPr="00E500D4" w:rsidRDefault="00715914" w:rsidP="00715914">
      <w:pPr>
        <w:rPr>
          <w:sz w:val="19"/>
        </w:rPr>
      </w:pPr>
    </w:p>
    <w:p w14:paraId="3F08A8E3" w14:textId="77777777" w:rsidR="00554826" w:rsidRPr="00E500D4" w:rsidRDefault="007565A8" w:rsidP="00554826">
      <w:pPr>
        <w:pStyle w:val="ShortT"/>
      </w:pPr>
      <w:r>
        <w:t xml:space="preserve">Agricultural and Veterinary Chemicals Code </w:t>
      </w:r>
      <w:r w:rsidR="00554826">
        <w:t>(</w:t>
      </w:r>
      <w:r>
        <w:t>Notifiable Variations</w:t>
      </w:r>
      <w:r w:rsidR="00554826">
        <w:t xml:space="preserve">) </w:t>
      </w:r>
      <w:r>
        <w:t>Instrument 2019</w:t>
      </w:r>
    </w:p>
    <w:p w14:paraId="4A43D9B7" w14:textId="77777777" w:rsidR="00554826" w:rsidRPr="00DA182D" w:rsidRDefault="00554826" w:rsidP="00554826">
      <w:pPr>
        <w:pStyle w:val="SignCoverPageStart"/>
        <w:spacing w:before="240"/>
        <w:ind w:right="91"/>
        <w:rPr>
          <w:szCs w:val="22"/>
        </w:rPr>
      </w:pPr>
      <w:r w:rsidRPr="00DA182D">
        <w:rPr>
          <w:szCs w:val="22"/>
        </w:rPr>
        <w:t xml:space="preserve">I, </w:t>
      </w:r>
      <w:r w:rsidR="007565A8">
        <w:rPr>
          <w:szCs w:val="22"/>
        </w:rPr>
        <w:t>Chris Parker</w:t>
      </w:r>
      <w:r w:rsidRPr="00DA182D">
        <w:rPr>
          <w:szCs w:val="22"/>
        </w:rPr>
        <w:t xml:space="preserve">, </w:t>
      </w:r>
      <w:r w:rsidR="007565A8">
        <w:rPr>
          <w:szCs w:val="22"/>
        </w:rPr>
        <w:t>Chief Executive Officer of the Australian Pesticides and Veterinary Medicines Authority</w:t>
      </w:r>
      <w:r w:rsidRPr="00DA182D">
        <w:rPr>
          <w:szCs w:val="22"/>
        </w:rPr>
        <w:t xml:space="preserve">, </w:t>
      </w:r>
      <w:r>
        <w:rPr>
          <w:szCs w:val="22"/>
        </w:rPr>
        <w:t xml:space="preserve">make the following </w:t>
      </w:r>
      <w:r w:rsidR="007565A8">
        <w:rPr>
          <w:szCs w:val="22"/>
        </w:rPr>
        <w:t>legislative instrument</w:t>
      </w:r>
      <w:r w:rsidRPr="00DA182D">
        <w:rPr>
          <w:szCs w:val="22"/>
        </w:rPr>
        <w:t>.</w:t>
      </w:r>
    </w:p>
    <w:p w14:paraId="280425BC" w14:textId="70D00120"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001A11CC">
        <w:rPr>
          <w:szCs w:val="22"/>
        </w:rPr>
        <w:t xml:space="preserve">21 </w:t>
      </w:r>
      <w:bookmarkStart w:id="0" w:name="_GoBack"/>
      <w:bookmarkEnd w:id="0"/>
      <w:r w:rsidR="00FF49B0">
        <w:rPr>
          <w:szCs w:val="22"/>
        </w:rPr>
        <w:t>March 2019</w:t>
      </w:r>
    </w:p>
    <w:p w14:paraId="4228787C" w14:textId="4A3D4D28" w:rsidR="00554826" w:rsidRDefault="007565A8" w:rsidP="00554826">
      <w:pPr>
        <w:keepNext/>
        <w:tabs>
          <w:tab w:val="left" w:pos="3402"/>
        </w:tabs>
        <w:spacing w:before="1440" w:line="300" w:lineRule="atLeast"/>
        <w:ind w:right="397"/>
        <w:rPr>
          <w:b/>
          <w:szCs w:val="22"/>
        </w:rPr>
      </w:pPr>
      <w:r>
        <w:rPr>
          <w:szCs w:val="22"/>
        </w:rPr>
        <w:t>Chris Parker</w:t>
      </w:r>
    </w:p>
    <w:p w14:paraId="25A30910" w14:textId="77777777" w:rsidR="00554826" w:rsidRPr="008E0027" w:rsidRDefault="007565A8" w:rsidP="00554826">
      <w:pPr>
        <w:pStyle w:val="SignCoverPageEnd"/>
        <w:ind w:right="91"/>
        <w:rPr>
          <w:sz w:val="22"/>
        </w:rPr>
      </w:pPr>
      <w:r>
        <w:rPr>
          <w:sz w:val="22"/>
        </w:rPr>
        <w:t>Chief Executive Officer</w:t>
      </w:r>
    </w:p>
    <w:p w14:paraId="7A9F6062" w14:textId="77777777" w:rsidR="00554826" w:rsidRDefault="00554826" w:rsidP="00554826"/>
    <w:p w14:paraId="4F418AEF" w14:textId="77777777" w:rsidR="00554826" w:rsidRPr="00ED79B6" w:rsidRDefault="00554826" w:rsidP="00554826"/>
    <w:p w14:paraId="207BCC11" w14:textId="77777777" w:rsidR="00F6696E" w:rsidRDefault="00F6696E" w:rsidP="00F6696E"/>
    <w:p w14:paraId="48506877" w14:textId="77777777" w:rsidR="00F6696E" w:rsidRDefault="00F6696E" w:rsidP="00F6696E">
      <w:pPr>
        <w:sectPr w:rsidR="00F6696E" w:rsidSect="00F6696E">
          <w:headerReference w:type="even" r:id="rId10"/>
          <w:headerReference w:type="default" r:id="rId11"/>
          <w:footerReference w:type="even" r:id="rId12"/>
          <w:footerReference w:type="default" r:id="rId13"/>
          <w:footerReference w:type="first" r:id="rId14"/>
          <w:type w:val="continuous"/>
          <w:pgSz w:w="11907" w:h="16839" w:code="9"/>
          <w:pgMar w:top="2234" w:right="1797" w:bottom="1440" w:left="1797" w:header="720" w:footer="989" w:gutter="0"/>
          <w:pgNumType w:start="1"/>
          <w:cols w:space="708"/>
          <w:titlePg/>
          <w:docGrid w:linePitch="360"/>
        </w:sectPr>
      </w:pPr>
    </w:p>
    <w:p w14:paraId="4FC47139" w14:textId="77777777" w:rsidR="007500C8" w:rsidRDefault="00715914" w:rsidP="00715914">
      <w:pPr>
        <w:outlineLvl w:val="0"/>
        <w:rPr>
          <w:sz w:val="36"/>
        </w:rPr>
      </w:pPr>
      <w:r w:rsidRPr="007A1328">
        <w:rPr>
          <w:sz w:val="36"/>
        </w:rPr>
        <w:lastRenderedPageBreak/>
        <w:t>Contents</w:t>
      </w:r>
    </w:p>
    <w:p w14:paraId="789DF3C5" w14:textId="77777777" w:rsidR="002A2F11"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2A2F11">
        <w:rPr>
          <w:noProof/>
        </w:rPr>
        <w:t>1  Name</w:t>
      </w:r>
      <w:r w:rsidR="002A2F11">
        <w:rPr>
          <w:noProof/>
        </w:rPr>
        <w:tab/>
      </w:r>
      <w:r w:rsidR="002A2F11">
        <w:rPr>
          <w:noProof/>
        </w:rPr>
        <w:fldChar w:fldCharType="begin"/>
      </w:r>
      <w:r w:rsidR="002A2F11">
        <w:rPr>
          <w:noProof/>
        </w:rPr>
        <w:instrText xml:space="preserve"> PAGEREF _Toc535311422 \h </w:instrText>
      </w:r>
      <w:r w:rsidR="002A2F11">
        <w:rPr>
          <w:noProof/>
        </w:rPr>
      </w:r>
      <w:r w:rsidR="002A2F11">
        <w:rPr>
          <w:noProof/>
        </w:rPr>
        <w:fldChar w:fldCharType="separate"/>
      </w:r>
      <w:r w:rsidR="002A2F11">
        <w:rPr>
          <w:noProof/>
        </w:rPr>
        <w:t>1</w:t>
      </w:r>
      <w:r w:rsidR="002A2F11">
        <w:rPr>
          <w:noProof/>
        </w:rPr>
        <w:fldChar w:fldCharType="end"/>
      </w:r>
    </w:p>
    <w:p w14:paraId="5E9DBF6E" w14:textId="77777777" w:rsidR="002A2F11" w:rsidRDefault="002A2F11">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_Toc535311423 \h </w:instrText>
      </w:r>
      <w:r>
        <w:rPr>
          <w:noProof/>
        </w:rPr>
      </w:r>
      <w:r>
        <w:rPr>
          <w:noProof/>
        </w:rPr>
        <w:fldChar w:fldCharType="separate"/>
      </w:r>
      <w:r>
        <w:rPr>
          <w:noProof/>
        </w:rPr>
        <w:t>1</w:t>
      </w:r>
      <w:r>
        <w:rPr>
          <w:noProof/>
        </w:rPr>
        <w:fldChar w:fldCharType="end"/>
      </w:r>
    </w:p>
    <w:p w14:paraId="64C5CA55" w14:textId="77777777" w:rsidR="002A2F11" w:rsidRDefault="002A2F11">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_Toc535311424 \h </w:instrText>
      </w:r>
      <w:r>
        <w:rPr>
          <w:noProof/>
        </w:rPr>
      </w:r>
      <w:r>
        <w:rPr>
          <w:noProof/>
        </w:rPr>
        <w:fldChar w:fldCharType="separate"/>
      </w:r>
      <w:r>
        <w:rPr>
          <w:noProof/>
        </w:rPr>
        <w:t>1</w:t>
      </w:r>
      <w:r>
        <w:rPr>
          <w:noProof/>
        </w:rPr>
        <w:fldChar w:fldCharType="end"/>
      </w:r>
    </w:p>
    <w:p w14:paraId="12F003E3" w14:textId="77777777" w:rsidR="002A2F11" w:rsidRDefault="002A2F11">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_Toc535311425 \h </w:instrText>
      </w:r>
      <w:r>
        <w:rPr>
          <w:noProof/>
        </w:rPr>
      </w:r>
      <w:r>
        <w:rPr>
          <w:noProof/>
        </w:rPr>
        <w:fldChar w:fldCharType="separate"/>
      </w:r>
      <w:r>
        <w:rPr>
          <w:noProof/>
        </w:rPr>
        <w:t>1</w:t>
      </w:r>
      <w:r>
        <w:rPr>
          <w:noProof/>
        </w:rPr>
        <w:fldChar w:fldCharType="end"/>
      </w:r>
    </w:p>
    <w:p w14:paraId="1CD1C940" w14:textId="77777777" w:rsidR="002A2F11" w:rsidRDefault="002A2F11">
      <w:pPr>
        <w:pStyle w:val="TOC5"/>
        <w:rPr>
          <w:rFonts w:asciiTheme="minorHAnsi" w:eastAsiaTheme="minorEastAsia" w:hAnsiTheme="minorHAnsi" w:cstheme="minorBidi"/>
          <w:noProof/>
          <w:kern w:val="0"/>
          <w:sz w:val="22"/>
          <w:szCs w:val="22"/>
        </w:rPr>
      </w:pPr>
      <w:r>
        <w:rPr>
          <w:noProof/>
        </w:rPr>
        <w:t>5  Schedules</w:t>
      </w:r>
      <w:r>
        <w:rPr>
          <w:noProof/>
        </w:rPr>
        <w:tab/>
      </w:r>
      <w:r>
        <w:rPr>
          <w:noProof/>
        </w:rPr>
        <w:fldChar w:fldCharType="begin"/>
      </w:r>
      <w:r>
        <w:rPr>
          <w:noProof/>
        </w:rPr>
        <w:instrText xml:space="preserve"> PAGEREF _Toc535311426 \h </w:instrText>
      </w:r>
      <w:r>
        <w:rPr>
          <w:noProof/>
        </w:rPr>
      </w:r>
      <w:r>
        <w:rPr>
          <w:noProof/>
        </w:rPr>
        <w:fldChar w:fldCharType="separate"/>
      </w:r>
      <w:r>
        <w:rPr>
          <w:noProof/>
        </w:rPr>
        <w:t>2</w:t>
      </w:r>
      <w:r>
        <w:rPr>
          <w:noProof/>
        </w:rPr>
        <w:fldChar w:fldCharType="end"/>
      </w:r>
    </w:p>
    <w:p w14:paraId="37224F0D" w14:textId="77777777" w:rsidR="002A2F11" w:rsidRDefault="002A2F11">
      <w:pPr>
        <w:pStyle w:val="TOC5"/>
        <w:rPr>
          <w:rFonts w:asciiTheme="minorHAnsi" w:eastAsiaTheme="minorEastAsia" w:hAnsiTheme="minorHAnsi" w:cstheme="minorBidi"/>
          <w:noProof/>
          <w:kern w:val="0"/>
          <w:sz w:val="22"/>
          <w:szCs w:val="22"/>
        </w:rPr>
      </w:pPr>
      <w:r>
        <w:rPr>
          <w:noProof/>
        </w:rPr>
        <w:t>6  Notifiable variations</w:t>
      </w:r>
      <w:r>
        <w:rPr>
          <w:noProof/>
        </w:rPr>
        <w:tab/>
      </w:r>
      <w:r>
        <w:rPr>
          <w:noProof/>
        </w:rPr>
        <w:fldChar w:fldCharType="begin"/>
      </w:r>
      <w:r>
        <w:rPr>
          <w:noProof/>
        </w:rPr>
        <w:instrText xml:space="preserve"> PAGEREF _Toc535311427 \h </w:instrText>
      </w:r>
      <w:r>
        <w:rPr>
          <w:noProof/>
        </w:rPr>
      </w:r>
      <w:r>
        <w:rPr>
          <w:noProof/>
        </w:rPr>
        <w:fldChar w:fldCharType="separate"/>
      </w:r>
      <w:r>
        <w:rPr>
          <w:noProof/>
        </w:rPr>
        <w:t>2</w:t>
      </w:r>
      <w:r>
        <w:rPr>
          <w:noProof/>
        </w:rPr>
        <w:fldChar w:fldCharType="end"/>
      </w:r>
    </w:p>
    <w:p w14:paraId="3A3F8568" w14:textId="77777777" w:rsidR="002A2F11" w:rsidRPr="00A942A9" w:rsidRDefault="002A2F11">
      <w:pPr>
        <w:pStyle w:val="TOC6"/>
        <w:rPr>
          <w:rFonts w:asciiTheme="minorHAnsi" w:eastAsiaTheme="minorEastAsia" w:hAnsiTheme="minorHAnsi" w:cstheme="minorBidi"/>
          <w:b w:val="0"/>
          <w:noProof/>
          <w:kern w:val="0"/>
          <w:sz w:val="22"/>
          <w:szCs w:val="22"/>
        </w:rPr>
      </w:pPr>
      <w:r w:rsidRPr="00A942A9">
        <w:rPr>
          <w:b w:val="0"/>
          <w:noProof/>
        </w:rPr>
        <w:t>Schedule 1—Repeals</w:t>
      </w:r>
      <w:r w:rsidRPr="00A942A9">
        <w:rPr>
          <w:b w:val="0"/>
          <w:noProof/>
        </w:rPr>
        <w:tab/>
      </w:r>
      <w:r w:rsidRPr="00A942A9">
        <w:rPr>
          <w:b w:val="0"/>
          <w:noProof/>
        </w:rPr>
        <w:fldChar w:fldCharType="begin"/>
      </w:r>
      <w:r w:rsidRPr="00A942A9">
        <w:rPr>
          <w:b w:val="0"/>
          <w:noProof/>
        </w:rPr>
        <w:instrText xml:space="preserve"> PAGEREF _Toc535311428 \h </w:instrText>
      </w:r>
      <w:r w:rsidRPr="00A942A9">
        <w:rPr>
          <w:b w:val="0"/>
          <w:noProof/>
        </w:rPr>
      </w:r>
      <w:r w:rsidRPr="00A942A9">
        <w:rPr>
          <w:b w:val="0"/>
          <w:noProof/>
        </w:rPr>
        <w:fldChar w:fldCharType="separate"/>
      </w:r>
      <w:r w:rsidRPr="00A942A9">
        <w:rPr>
          <w:b w:val="0"/>
          <w:noProof/>
        </w:rPr>
        <w:t>5</w:t>
      </w:r>
      <w:r w:rsidRPr="00A942A9">
        <w:rPr>
          <w:b w:val="0"/>
          <w:noProof/>
        </w:rPr>
        <w:fldChar w:fldCharType="end"/>
      </w:r>
    </w:p>
    <w:p w14:paraId="31EDBEE6" w14:textId="77777777" w:rsidR="002A2F11" w:rsidRDefault="002A2F11">
      <w:pPr>
        <w:pStyle w:val="TOC9"/>
        <w:rPr>
          <w:rFonts w:asciiTheme="minorHAnsi" w:eastAsiaTheme="minorEastAsia" w:hAnsiTheme="minorHAnsi" w:cstheme="minorBidi"/>
          <w:i w:val="0"/>
          <w:noProof/>
          <w:kern w:val="0"/>
          <w:sz w:val="22"/>
          <w:szCs w:val="22"/>
        </w:rPr>
      </w:pPr>
      <w:r>
        <w:rPr>
          <w:noProof/>
        </w:rPr>
        <w:t>Agricultural and Veterinary Chemicals Code (Notifiable Variations) Instrument 2016</w:t>
      </w:r>
      <w:r>
        <w:rPr>
          <w:noProof/>
        </w:rPr>
        <w:tab/>
      </w:r>
      <w:r>
        <w:rPr>
          <w:noProof/>
        </w:rPr>
        <w:fldChar w:fldCharType="begin"/>
      </w:r>
      <w:r>
        <w:rPr>
          <w:noProof/>
        </w:rPr>
        <w:instrText xml:space="preserve"> PAGEREF _Toc535311429 \h </w:instrText>
      </w:r>
      <w:r>
        <w:rPr>
          <w:noProof/>
        </w:rPr>
      </w:r>
      <w:r>
        <w:rPr>
          <w:noProof/>
        </w:rPr>
        <w:fldChar w:fldCharType="separate"/>
      </w:r>
      <w:r>
        <w:rPr>
          <w:noProof/>
        </w:rPr>
        <w:t>5</w:t>
      </w:r>
      <w:r>
        <w:rPr>
          <w:noProof/>
        </w:rPr>
        <w:fldChar w:fldCharType="end"/>
      </w:r>
    </w:p>
    <w:p w14:paraId="339568F2" w14:textId="77777777" w:rsidR="00F6696E" w:rsidRDefault="00B418CB" w:rsidP="00F6696E">
      <w:pPr>
        <w:outlineLvl w:val="0"/>
      </w:pPr>
      <w:r>
        <w:fldChar w:fldCharType="end"/>
      </w:r>
    </w:p>
    <w:p w14:paraId="05E7CF94" w14:textId="77777777" w:rsidR="00F6696E" w:rsidRPr="00A802BC" w:rsidRDefault="00F6696E" w:rsidP="00F6696E">
      <w:pPr>
        <w:outlineLvl w:val="0"/>
        <w:rPr>
          <w:sz w:val="20"/>
        </w:rPr>
      </w:pPr>
    </w:p>
    <w:p w14:paraId="29131511" w14:textId="77777777" w:rsidR="00F6696E" w:rsidRDefault="00F6696E" w:rsidP="00F6696E">
      <w:pPr>
        <w:sectPr w:rsidR="00F6696E" w:rsidSect="00A87A58">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5C1BFEC5" w14:textId="77777777" w:rsidR="00554826" w:rsidRPr="00554826" w:rsidRDefault="00554826" w:rsidP="00554826">
      <w:pPr>
        <w:pStyle w:val="ActHead5"/>
      </w:pPr>
      <w:bookmarkStart w:id="1" w:name="_Toc535311422"/>
      <w:r w:rsidRPr="00554826">
        <w:lastRenderedPageBreak/>
        <w:t>1  Name</w:t>
      </w:r>
      <w:bookmarkEnd w:id="1"/>
    </w:p>
    <w:p w14:paraId="3909C45A" w14:textId="77777777" w:rsidR="00554826" w:rsidRDefault="00554826" w:rsidP="00554826">
      <w:pPr>
        <w:pStyle w:val="subsection"/>
      </w:pPr>
      <w:r w:rsidRPr="009C2562">
        <w:tab/>
      </w:r>
      <w:r w:rsidRPr="009C2562">
        <w:tab/>
        <w:t xml:space="preserve">This </w:t>
      </w:r>
      <w:r>
        <w:t xml:space="preserve">instrument </w:t>
      </w:r>
      <w:r w:rsidRPr="009C2562">
        <w:t xml:space="preserve">is the </w:t>
      </w:r>
      <w:bookmarkStart w:id="2" w:name="BKCheck15B_3"/>
      <w:bookmarkEnd w:id="2"/>
      <w:r w:rsidR="007565A8">
        <w:rPr>
          <w:i/>
        </w:rPr>
        <w:t>Agricultural and Veterinary Chemicals Code (Notifiable Variations) Instrument 2019</w:t>
      </w:r>
      <w:r w:rsidRPr="009C2562">
        <w:t>.</w:t>
      </w:r>
    </w:p>
    <w:p w14:paraId="46BE830B" w14:textId="77777777" w:rsidR="00554826" w:rsidRPr="00554826" w:rsidRDefault="00554826" w:rsidP="00554826">
      <w:pPr>
        <w:pStyle w:val="ActHead5"/>
      </w:pPr>
      <w:bookmarkStart w:id="3" w:name="_Toc535311423"/>
      <w:r w:rsidRPr="00554826">
        <w:t>2  Commencement</w:t>
      </w:r>
      <w:bookmarkEnd w:id="3"/>
    </w:p>
    <w:p w14:paraId="15B60860" w14:textId="77777777" w:rsidR="00554826" w:rsidRPr="00232984" w:rsidRDefault="00554826" w:rsidP="00554826">
      <w:pPr>
        <w:pStyle w:val="subsection"/>
      </w:pPr>
      <w:r>
        <w:tab/>
      </w:r>
      <w:r>
        <w:tab/>
        <w:t xml:space="preserve">This instrument commences </w:t>
      </w:r>
      <w:r w:rsidR="007565A8">
        <w:t>on the day after the day it is registered</w:t>
      </w:r>
      <w:r>
        <w:t>.</w:t>
      </w:r>
    </w:p>
    <w:p w14:paraId="036C1A61" w14:textId="77777777" w:rsidR="00554826" w:rsidRPr="00554826" w:rsidRDefault="00554826" w:rsidP="00554826">
      <w:pPr>
        <w:pStyle w:val="ActHead5"/>
      </w:pPr>
      <w:bookmarkStart w:id="4" w:name="_Toc535311424"/>
      <w:r w:rsidRPr="00554826">
        <w:t>3  Authority</w:t>
      </w:r>
      <w:bookmarkEnd w:id="4"/>
    </w:p>
    <w:p w14:paraId="653CA3FF" w14:textId="77777777" w:rsidR="00554826" w:rsidRPr="009C2562" w:rsidRDefault="00554826" w:rsidP="00554826">
      <w:pPr>
        <w:pStyle w:val="subsection"/>
      </w:pPr>
      <w:r w:rsidRPr="009C2562">
        <w:tab/>
      </w:r>
      <w:r w:rsidRPr="009C2562">
        <w:tab/>
        <w:t xml:space="preserve">This instrument is made under </w:t>
      </w:r>
      <w:r w:rsidR="007565A8">
        <w:t xml:space="preserve">subsection 26AB(5) </w:t>
      </w:r>
      <w:r w:rsidR="00E53157">
        <w:t xml:space="preserve">of the Agricultural and Veterinary Chemicals Code, as scheduled to the </w:t>
      </w:r>
      <w:r w:rsidR="00E53157">
        <w:rPr>
          <w:i/>
        </w:rPr>
        <w:t>Agricultural and Veterinary Chemicals Code Act 1994</w:t>
      </w:r>
      <w:r w:rsidRPr="009C2562">
        <w:t>.</w:t>
      </w:r>
    </w:p>
    <w:p w14:paraId="626C66A5" w14:textId="77777777" w:rsidR="00554826" w:rsidRPr="00554826" w:rsidRDefault="00554826" w:rsidP="00554826">
      <w:pPr>
        <w:pStyle w:val="ActHead5"/>
      </w:pPr>
      <w:bookmarkStart w:id="5" w:name="_Toc535311425"/>
      <w:r w:rsidRPr="00554826">
        <w:t>4  Definitions</w:t>
      </w:r>
      <w:bookmarkEnd w:id="5"/>
    </w:p>
    <w:p w14:paraId="73AAAF31" w14:textId="77777777" w:rsidR="00554826" w:rsidRPr="009C2562" w:rsidRDefault="00554826" w:rsidP="00554826">
      <w:pPr>
        <w:pStyle w:val="notetext"/>
      </w:pPr>
      <w:r w:rsidRPr="009C2562">
        <w:t>Note:</w:t>
      </w:r>
      <w:r w:rsidRPr="009C2562">
        <w:tab/>
        <w:t xml:space="preserve">A number of expressions used in this instrument are defined in </w:t>
      </w:r>
      <w:r w:rsidR="00245B58">
        <w:t>Part 1, Division 1</w:t>
      </w:r>
      <w:r>
        <w:t xml:space="preserve"> of the </w:t>
      </w:r>
      <w:r w:rsidR="00245B58">
        <w:t>Code,</w:t>
      </w:r>
      <w:r w:rsidRPr="009C2562">
        <w:t xml:space="preserve"> including the following:</w:t>
      </w:r>
    </w:p>
    <w:p w14:paraId="760FD02D" w14:textId="77777777" w:rsidR="00D02CB0" w:rsidRDefault="00D02CB0" w:rsidP="00554826">
      <w:pPr>
        <w:pStyle w:val="notepara"/>
      </w:pPr>
      <w:r>
        <w:t>(a)</w:t>
      </w:r>
      <w:r>
        <w:tab/>
        <w:t>active constituent;</w:t>
      </w:r>
    </w:p>
    <w:p w14:paraId="57B24568" w14:textId="77777777" w:rsidR="000336E4" w:rsidRDefault="000336E4" w:rsidP="00554826">
      <w:pPr>
        <w:pStyle w:val="notepara"/>
      </w:pPr>
      <w:r>
        <w:t>(</w:t>
      </w:r>
      <w:r w:rsidR="00D02CB0">
        <w:t>b</w:t>
      </w:r>
      <w:r>
        <w:t>)</w:t>
      </w:r>
      <w:r>
        <w:tab/>
        <w:t>agricultural chemical product;</w:t>
      </w:r>
    </w:p>
    <w:p w14:paraId="6D1D98BF" w14:textId="77777777" w:rsidR="00554826" w:rsidRDefault="00D02CB0" w:rsidP="00554826">
      <w:pPr>
        <w:pStyle w:val="notepara"/>
      </w:pPr>
      <w:r>
        <w:t>(c</w:t>
      </w:r>
      <w:r w:rsidR="00554826" w:rsidRPr="009C2562">
        <w:t>)</w:t>
      </w:r>
      <w:r w:rsidR="00554826" w:rsidRPr="009C2562">
        <w:tab/>
      </w:r>
      <w:r w:rsidR="00E37EA0">
        <w:t>chemical product</w:t>
      </w:r>
      <w:r w:rsidR="00554826" w:rsidRPr="009C2562">
        <w:t>;</w:t>
      </w:r>
    </w:p>
    <w:p w14:paraId="2379BBCB" w14:textId="77777777" w:rsidR="000336E4" w:rsidRDefault="00D02CB0" w:rsidP="00554826">
      <w:pPr>
        <w:pStyle w:val="notepara"/>
      </w:pPr>
      <w:r>
        <w:t>(d</w:t>
      </w:r>
      <w:r w:rsidR="000336E4">
        <w:t>)</w:t>
      </w:r>
      <w:r w:rsidR="000336E4">
        <w:tab/>
        <w:t>instruction;</w:t>
      </w:r>
    </w:p>
    <w:p w14:paraId="10261D83" w14:textId="77777777" w:rsidR="00E37EA0" w:rsidRDefault="00E37EA0" w:rsidP="00554826">
      <w:pPr>
        <w:pStyle w:val="notepara"/>
      </w:pPr>
      <w:r>
        <w:t>(</w:t>
      </w:r>
      <w:r w:rsidR="00D02CB0">
        <w:t>e</w:t>
      </w:r>
      <w:r>
        <w:t>)</w:t>
      </w:r>
      <w:r>
        <w:tab/>
        <w:t>notifiable variation;</w:t>
      </w:r>
    </w:p>
    <w:p w14:paraId="2146D800" w14:textId="77777777" w:rsidR="00245B58" w:rsidRDefault="00D02CB0" w:rsidP="00554826">
      <w:pPr>
        <w:pStyle w:val="notepara"/>
      </w:pPr>
      <w:r>
        <w:t>(f</w:t>
      </w:r>
      <w:r w:rsidR="00245B58">
        <w:t>)</w:t>
      </w:r>
      <w:r w:rsidR="00245B58">
        <w:tab/>
        <w:t>Register;</w:t>
      </w:r>
    </w:p>
    <w:p w14:paraId="0938C0C6" w14:textId="12B02912" w:rsidR="009F0173" w:rsidRDefault="009F0173" w:rsidP="00554826">
      <w:pPr>
        <w:pStyle w:val="notepara"/>
      </w:pPr>
      <w:r>
        <w:t>(g)</w:t>
      </w:r>
      <w:r>
        <w:tab/>
        <w:t>relevant particulars;</w:t>
      </w:r>
    </w:p>
    <w:p w14:paraId="35D92E53" w14:textId="0B2AC0F2" w:rsidR="00E37EA0" w:rsidRDefault="009F0173" w:rsidP="00554826">
      <w:pPr>
        <w:pStyle w:val="notepara"/>
      </w:pPr>
      <w:r>
        <w:t>(h</w:t>
      </w:r>
      <w:r w:rsidR="00E37EA0">
        <w:t>)</w:t>
      </w:r>
      <w:r w:rsidR="00E37EA0">
        <w:tab/>
        <w:t>variations;</w:t>
      </w:r>
    </w:p>
    <w:p w14:paraId="67D2F413" w14:textId="56F41113" w:rsidR="00554826" w:rsidRPr="009C2562" w:rsidRDefault="009F0173" w:rsidP="00F06CDF">
      <w:pPr>
        <w:pStyle w:val="notepara"/>
      </w:pPr>
      <w:r>
        <w:t>(i</w:t>
      </w:r>
      <w:r w:rsidR="00F06CDF">
        <w:t>)</w:t>
      </w:r>
      <w:r w:rsidR="00F06CDF">
        <w:tab/>
        <w:t>veterinary chemical product.</w:t>
      </w:r>
    </w:p>
    <w:p w14:paraId="22EA7983" w14:textId="77777777" w:rsidR="00554826" w:rsidRPr="009C2562" w:rsidRDefault="00554826" w:rsidP="00554826">
      <w:pPr>
        <w:pStyle w:val="subsection"/>
      </w:pPr>
      <w:r w:rsidRPr="009C2562">
        <w:tab/>
      </w:r>
      <w:r w:rsidRPr="009C2562">
        <w:tab/>
        <w:t>In this instrument:</w:t>
      </w:r>
    </w:p>
    <w:p w14:paraId="18444CB1" w14:textId="77777777" w:rsidR="00D94BDD" w:rsidRPr="00D94BDD" w:rsidRDefault="00D94BDD" w:rsidP="00554826">
      <w:pPr>
        <w:pStyle w:val="Definition"/>
      </w:pPr>
      <w:r>
        <w:rPr>
          <w:b/>
          <w:i/>
        </w:rPr>
        <w:t>Agricultural Labelling Code</w:t>
      </w:r>
      <w:r>
        <w:rPr>
          <w:b/>
        </w:rPr>
        <w:t xml:space="preserve"> </w:t>
      </w:r>
      <w:r>
        <w:t xml:space="preserve">means the </w:t>
      </w:r>
      <w:r>
        <w:rPr>
          <w:i/>
        </w:rPr>
        <w:t>Agricultural Labelling Code</w:t>
      </w:r>
      <w:r>
        <w:t xml:space="preserve"> made by the APVMA, as in force from time to time.</w:t>
      </w:r>
    </w:p>
    <w:p w14:paraId="0F3EDB53" w14:textId="77777777" w:rsidR="00554826" w:rsidRPr="009C2562" w:rsidRDefault="008071BB" w:rsidP="00554826">
      <w:pPr>
        <w:pStyle w:val="Definition"/>
      </w:pPr>
      <w:r>
        <w:rPr>
          <w:b/>
          <w:i/>
        </w:rPr>
        <w:t>Code</w:t>
      </w:r>
      <w:r w:rsidR="00554826" w:rsidRPr="009C2562">
        <w:t xml:space="preserve"> means the </w:t>
      </w:r>
      <w:r>
        <w:t xml:space="preserve">Agricultural and Veterinary Chemicals Code, as scheduled to the </w:t>
      </w:r>
      <w:r>
        <w:rPr>
          <w:i/>
        </w:rPr>
        <w:t>Agricultural and Veterinary Chemicals Code Act 1994</w:t>
      </w:r>
      <w:r w:rsidR="00554826">
        <w:t>.</w:t>
      </w:r>
    </w:p>
    <w:p w14:paraId="7970BB64" w14:textId="2B5066DA" w:rsidR="00554826" w:rsidRDefault="003C3526" w:rsidP="00554826">
      <w:pPr>
        <w:pStyle w:val="Definition"/>
      </w:pPr>
      <w:r>
        <w:rPr>
          <w:b/>
          <w:i/>
        </w:rPr>
        <w:t xml:space="preserve">FAISD </w:t>
      </w:r>
      <w:r w:rsidR="002610D2">
        <w:rPr>
          <w:b/>
          <w:i/>
        </w:rPr>
        <w:t>H</w:t>
      </w:r>
      <w:r>
        <w:rPr>
          <w:b/>
          <w:i/>
        </w:rPr>
        <w:t>andbook</w:t>
      </w:r>
      <w:r w:rsidR="00554826">
        <w:rPr>
          <w:b/>
          <w:i/>
        </w:rPr>
        <w:t xml:space="preserve"> </w:t>
      </w:r>
      <w:r w:rsidR="00554826" w:rsidRPr="009C2562">
        <w:t>means</w:t>
      </w:r>
      <w:r w:rsidR="00554826">
        <w:t xml:space="preserve"> </w:t>
      </w:r>
      <w:r w:rsidR="008B7E2A">
        <w:t xml:space="preserve">the </w:t>
      </w:r>
      <w:r w:rsidR="00A14ADF" w:rsidRPr="00A14ADF">
        <w:t xml:space="preserve">document entitled </w:t>
      </w:r>
      <w:r w:rsidR="00A14ADF" w:rsidRPr="00A14ADF">
        <w:rPr>
          <w:i/>
          <w:iCs/>
        </w:rPr>
        <w:t>Handbook of First Aid Instructions, Safety Directions, Warning Statements and General Safety Precautions for Agricultural and Veterinary Chemicals</w:t>
      </w:r>
      <w:r w:rsidR="00A14ADF" w:rsidRPr="00A14ADF">
        <w:t>, published by the Office of Chemical Safety in the Therapeutic Goods Administration of the Department of Health, as in force from time to time.</w:t>
      </w:r>
    </w:p>
    <w:p w14:paraId="1D8CB69E" w14:textId="6AEA63EF" w:rsidR="00B746AD" w:rsidRPr="00B746AD" w:rsidRDefault="00B746AD" w:rsidP="00554826">
      <w:pPr>
        <w:pStyle w:val="Definition"/>
      </w:pPr>
      <w:r>
        <w:rPr>
          <w:b/>
          <w:i/>
        </w:rPr>
        <w:t xml:space="preserve">interchangeable constituent determination </w:t>
      </w:r>
      <w:r>
        <w:t>means that term as defined in the Regulations.</w:t>
      </w:r>
    </w:p>
    <w:p w14:paraId="74D1ED07" w14:textId="12A05A4A" w:rsidR="00F06CDF" w:rsidRPr="00F06CDF" w:rsidRDefault="00F06CDF" w:rsidP="00554826">
      <w:pPr>
        <w:pStyle w:val="Definition"/>
      </w:pPr>
      <w:r>
        <w:rPr>
          <w:b/>
          <w:i/>
        </w:rPr>
        <w:t xml:space="preserve">Regulations </w:t>
      </w:r>
      <w:r>
        <w:t xml:space="preserve">means the </w:t>
      </w:r>
      <w:r>
        <w:rPr>
          <w:i/>
        </w:rPr>
        <w:t>Agricultural and Veterinary Chemicals Code Regulations 1995</w:t>
      </w:r>
      <w:r w:rsidR="00A942A9" w:rsidRPr="00A942A9">
        <w:t xml:space="preserve"> </w:t>
      </w:r>
      <w:r w:rsidR="00A942A9">
        <w:t xml:space="preserve">and a reference to subregulations </w:t>
      </w:r>
      <w:r w:rsidR="00C0772F">
        <w:t xml:space="preserve">and paragraphs </w:t>
      </w:r>
      <w:r w:rsidR="00A942A9">
        <w:t>has a corresponding meaning</w:t>
      </w:r>
      <w:r>
        <w:t>.</w:t>
      </w:r>
    </w:p>
    <w:p w14:paraId="347F0F91" w14:textId="77777777" w:rsidR="00D94BDD" w:rsidRPr="00D94BDD" w:rsidRDefault="00D94BDD" w:rsidP="00554826">
      <w:pPr>
        <w:pStyle w:val="Definition"/>
      </w:pPr>
      <w:r>
        <w:rPr>
          <w:b/>
          <w:i/>
        </w:rPr>
        <w:t xml:space="preserve">Veterinary Labelling Code </w:t>
      </w:r>
      <w:r>
        <w:t xml:space="preserve">means the </w:t>
      </w:r>
      <w:r>
        <w:rPr>
          <w:i/>
        </w:rPr>
        <w:t xml:space="preserve">Veterinary Labelling Code </w:t>
      </w:r>
      <w:r>
        <w:t>made by the APVMA, as in force from time to time.</w:t>
      </w:r>
    </w:p>
    <w:p w14:paraId="0985086B" w14:textId="77777777" w:rsidR="00554826" w:rsidRPr="00554826" w:rsidRDefault="00554826" w:rsidP="00554826">
      <w:pPr>
        <w:pStyle w:val="ActHead5"/>
      </w:pPr>
      <w:bookmarkStart w:id="6" w:name="_Toc454781205"/>
      <w:bookmarkStart w:id="7" w:name="_Toc535311426"/>
      <w:r w:rsidRPr="00554826">
        <w:lastRenderedPageBreak/>
        <w:t>5  Schedules</w:t>
      </w:r>
      <w:bookmarkEnd w:id="6"/>
      <w:bookmarkEnd w:id="7"/>
    </w:p>
    <w:p w14:paraId="4FA0A313" w14:textId="77777777" w:rsidR="00554826" w:rsidRDefault="00554826" w:rsidP="00554826">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609CDE33" w14:textId="77777777" w:rsidR="00747294" w:rsidRDefault="00747294" w:rsidP="00747294">
      <w:pPr>
        <w:pStyle w:val="ActHead5"/>
      </w:pPr>
      <w:bookmarkStart w:id="8" w:name="_Toc535311427"/>
      <w:r>
        <w:t>6  Notifiable variations</w:t>
      </w:r>
      <w:bookmarkEnd w:id="8"/>
    </w:p>
    <w:p w14:paraId="7D05439C" w14:textId="77777777" w:rsidR="00747294" w:rsidRPr="00296FE9" w:rsidRDefault="000630BA" w:rsidP="000630BA">
      <w:pPr>
        <w:pStyle w:val="subsection"/>
      </w:pPr>
      <w:r>
        <w:tab/>
        <w:t>(1)</w:t>
      </w:r>
      <w:r>
        <w:tab/>
      </w:r>
      <w:r w:rsidRPr="00296FE9">
        <w:t>The following table determines, as notifiable variations for the purposes of subparagraph 26AB(3)(a)(i) of the Code, variations of the relevant particulars that are listed in an item in the table, for approvals or registrations listed in the table for that item.</w:t>
      </w:r>
    </w:p>
    <w:p w14:paraId="4DFFA5E4" w14:textId="77777777" w:rsidR="00896B1E" w:rsidRDefault="00896B1E" w:rsidP="00896B1E">
      <w:pPr>
        <w:pStyle w:val="subsection"/>
      </w:pPr>
    </w:p>
    <w:tbl>
      <w:tblPr>
        <w:tblW w:w="5001" w:type="pct"/>
        <w:tblBorders>
          <w:top w:val="single" w:sz="4" w:space="0" w:color="auto"/>
          <w:bottom w:val="single" w:sz="2" w:space="0" w:color="auto"/>
          <w:insideH w:val="single" w:sz="4" w:space="0" w:color="auto"/>
        </w:tblBorders>
        <w:tblLook w:val="0000" w:firstRow="0" w:lastRow="0" w:firstColumn="0" w:lastColumn="0" w:noHBand="0" w:noVBand="0"/>
      </w:tblPr>
      <w:tblGrid>
        <w:gridCol w:w="829"/>
        <w:gridCol w:w="4493"/>
        <w:gridCol w:w="2993"/>
      </w:tblGrid>
      <w:tr w:rsidR="00896B1E" w:rsidRPr="00960218" w14:paraId="0C7BE5DD" w14:textId="77777777" w:rsidTr="00F56E9A">
        <w:trPr>
          <w:tblHeader/>
        </w:trPr>
        <w:tc>
          <w:tcPr>
            <w:tcW w:w="5000" w:type="pct"/>
            <w:gridSpan w:val="3"/>
            <w:tcBorders>
              <w:top w:val="single" w:sz="12" w:space="0" w:color="auto"/>
              <w:bottom w:val="single" w:sz="6" w:space="0" w:color="auto"/>
            </w:tcBorders>
            <w:shd w:val="clear" w:color="auto" w:fill="auto"/>
          </w:tcPr>
          <w:p w14:paraId="638BFD28" w14:textId="77777777" w:rsidR="00896B1E" w:rsidRPr="00960218" w:rsidRDefault="00896B1E" w:rsidP="007B74C9">
            <w:pPr>
              <w:pStyle w:val="TableHeading"/>
            </w:pPr>
            <w:r w:rsidRPr="00960218">
              <w:t>Notifiable variations</w:t>
            </w:r>
          </w:p>
        </w:tc>
      </w:tr>
      <w:tr w:rsidR="00896B1E" w:rsidRPr="00960218" w14:paraId="7B841AF4" w14:textId="77777777" w:rsidTr="00F56E9A">
        <w:trPr>
          <w:tblHeader/>
        </w:trPr>
        <w:tc>
          <w:tcPr>
            <w:tcW w:w="498" w:type="pct"/>
            <w:tcBorders>
              <w:top w:val="single" w:sz="6" w:space="0" w:color="auto"/>
              <w:bottom w:val="single" w:sz="12" w:space="0" w:color="auto"/>
            </w:tcBorders>
            <w:shd w:val="clear" w:color="auto" w:fill="auto"/>
          </w:tcPr>
          <w:p w14:paraId="082E0C35" w14:textId="77777777" w:rsidR="00896B1E" w:rsidRPr="00960218" w:rsidRDefault="00896B1E" w:rsidP="007B74C9">
            <w:pPr>
              <w:pStyle w:val="TableHeading"/>
            </w:pPr>
            <w:r w:rsidRPr="00960218">
              <w:t>Item</w:t>
            </w:r>
          </w:p>
        </w:tc>
        <w:tc>
          <w:tcPr>
            <w:tcW w:w="2702" w:type="pct"/>
            <w:tcBorders>
              <w:top w:val="single" w:sz="6" w:space="0" w:color="auto"/>
              <w:bottom w:val="single" w:sz="12" w:space="0" w:color="auto"/>
            </w:tcBorders>
            <w:shd w:val="clear" w:color="auto" w:fill="auto"/>
          </w:tcPr>
          <w:p w14:paraId="6996F437" w14:textId="77777777" w:rsidR="00896B1E" w:rsidRPr="00960218" w:rsidRDefault="00896B1E" w:rsidP="007B74C9">
            <w:pPr>
              <w:pStyle w:val="TableHeading"/>
            </w:pPr>
            <w:r w:rsidRPr="00960218">
              <w:t>Notifiable variation of relevant particular</w:t>
            </w:r>
          </w:p>
        </w:tc>
        <w:tc>
          <w:tcPr>
            <w:tcW w:w="1800" w:type="pct"/>
            <w:tcBorders>
              <w:top w:val="single" w:sz="6" w:space="0" w:color="auto"/>
              <w:bottom w:val="single" w:sz="12" w:space="0" w:color="auto"/>
            </w:tcBorders>
            <w:shd w:val="clear" w:color="auto" w:fill="auto"/>
          </w:tcPr>
          <w:p w14:paraId="5F23CD34" w14:textId="77777777" w:rsidR="00896B1E" w:rsidRPr="00960218" w:rsidRDefault="00896B1E" w:rsidP="007B74C9">
            <w:pPr>
              <w:pStyle w:val="TableHeading"/>
            </w:pPr>
            <w:r w:rsidRPr="00960218">
              <w:t>Approval or registration</w:t>
            </w:r>
          </w:p>
        </w:tc>
      </w:tr>
      <w:tr w:rsidR="00896B1E" w:rsidRPr="00960218" w14:paraId="350E1A9B" w14:textId="77777777" w:rsidTr="00F56E9A">
        <w:tc>
          <w:tcPr>
            <w:tcW w:w="498" w:type="pct"/>
            <w:tcBorders>
              <w:top w:val="single" w:sz="12" w:space="0" w:color="auto"/>
            </w:tcBorders>
            <w:shd w:val="clear" w:color="auto" w:fill="auto"/>
          </w:tcPr>
          <w:p w14:paraId="160B0565" w14:textId="77777777" w:rsidR="00896B1E" w:rsidRPr="00960218" w:rsidRDefault="00896B1E" w:rsidP="007B74C9">
            <w:pPr>
              <w:pStyle w:val="Tabletext"/>
            </w:pPr>
            <w:r w:rsidRPr="00960218">
              <w:t>1</w:t>
            </w:r>
          </w:p>
        </w:tc>
        <w:tc>
          <w:tcPr>
            <w:tcW w:w="2702" w:type="pct"/>
            <w:tcBorders>
              <w:top w:val="single" w:sz="12" w:space="0" w:color="auto"/>
            </w:tcBorders>
            <w:shd w:val="clear" w:color="auto" w:fill="auto"/>
          </w:tcPr>
          <w:p w14:paraId="3FDAA5D2" w14:textId="77777777" w:rsidR="00896B1E" w:rsidRPr="00960218" w:rsidRDefault="00896B1E" w:rsidP="007B74C9">
            <w:pPr>
              <w:pStyle w:val="Tabletext"/>
            </w:pPr>
            <w:r w:rsidRPr="00960218">
              <w:t>A variation of the name of the manufacturer of an active constituent for a chemical product</w:t>
            </w:r>
          </w:p>
        </w:tc>
        <w:tc>
          <w:tcPr>
            <w:tcW w:w="1800" w:type="pct"/>
            <w:tcBorders>
              <w:top w:val="single" w:sz="12" w:space="0" w:color="auto"/>
            </w:tcBorders>
            <w:shd w:val="clear" w:color="auto" w:fill="auto"/>
          </w:tcPr>
          <w:p w14:paraId="4218309F" w14:textId="77777777" w:rsidR="00896B1E" w:rsidRPr="00960218" w:rsidRDefault="00896B1E" w:rsidP="007B74C9">
            <w:pPr>
              <w:pStyle w:val="Tabletext"/>
            </w:pPr>
            <w:r w:rsidRPr="00960218">
              <w:t>any approval of an active constituent</w:t>
            </w:r>
          </w:p>
        </w:tc>
      </w:tr>
      <w:tr w:rsidR="00896B1E" w:rsidRPr="00960218" w14:paraId="05E4A88A" w14:textId="77777777" w:rsidTr="00F56E9A">
        <w:tc>
          <w:tcPr>
            <w:tcW w:w="498" w:type="pct"/>
            <w:tcBorders>
              <w:bottom w:val="single" w:sz="4" w:space="0" w:color="auto"/>
            </w:tcBorders>
            <w:shd w:val="clear" w:color="auto" w:fill="auto"/>
          </w:tcPr>
          <w:p w14:paraId="791F73C9" w14:textId="77777777" w:rsidR="00896B1E" w:rsidRPr="00960218" w:rsidRDefault="00896B1E" w:rsidP="007B74C9">
            <w:pPr>
              <w:pStyle w:val="Tabletext"/>
            </w:pPr>
            <w:r w:rsidRPr="00960218">
              <w:t>2</w:t>
            </w:r>
          </w:p>
        </w:tc>
        <w:tc>
          <w:tcPr>
            <w:tcW w:w="2702" w:type="pct"/>
            <w:tcBorders>
              <w:bottom w:val="single" w:sz="4" w:space="0" w:color="auto"/>
            </w:tcBorders>
            <w:shd w:val="clear" w:color="auto" w:fill="auto"/>
          </w:tcPr>
          <w:p w14:paraId="46A9F129" w14:textId="77777777" w:rsidR="00896B1E" w:rsidRPr="00960218" w:rsidRDefault="00896B1E" w:rsidP="007B74C9">
            <w:pPr>
              <w:pStyle w:val="Tabletext"/>
            </w:pPr>
            <w:r w:rsidRPr="00960218">
              <w:t>A variation of the distinguishing name of a chemical product</w:t>
            </w:r>
          </w:p>
        </w:tc>
        <w:tc>
          <w:tcPr>
            <w:tcW w:w="1800" w:type="pct"/>
            <w:tcBorders>
              <w:bottom w:val="single" w:sz="4" w:space="0" w:color="auto"/>
            </w:tcBorders>
            <w:shd w:val="clear" w:color="auto" w:fill="auto"/>
          </w:tcPr>
          <w:p w14:paraId="00959794" w14:textId="77777777" w:rsidR="00896B1E" w:rsidRPr="00960218" w:rsidRDefault="00896B1E" w:rsidP="007B74C9">
            <w:pPr>
              <w:pStyle w:val="Tabletext"/>
            </w:pPr>
            <w:r w:rsidRPr="00960218">
              <w:t>any registration of a chemical product</w:t>
            </w:r>
          </w:p>
        </w:tc>
      </w:tr>
      <w:tr w:rsidR="00896B1E" w:rsidRPr="00960218" w14:paraId="58D1243A" w14:textId="77777777" w:rsidTr="00F56E9A">
        <w:trPr>
          <w:cantSplit/>
          <w:trHeight w:val="1530"/>
        </w:trPr>
        <w:tc>
          <w:tcPr>
            <w:tcW w:w="498" w:type="pct"/>
            <w:tcBorders>
              <w:bottom w:val="nil"/>
            </w:tcBorders>
            <w:shd w:val="clear" w:color="auto" w:fill="auto"/>
          </w:tcPr>
          <w:p w14:paraId="30226A36" w14:textId="77777777" w:rsidR="00896B1E" w:rsidRPr="00960218" w:rsidRDefault="00896B1E" w:rsidP="007B74C9">
            <w:pPr>
              <w:pStyle w:val="Tabletext"/>
            </w:pPr>
            <w:r w:rsidRPr="00960218">
              <w:t>3</w:t>
            </w:r>
          </w:p>
        </w:tc>
        <w:tc>
          <w:tcPr>
            <w:tcW w:w="2702" w:type="pct"/>
            <w:tcBorders>
              <w:bottom w:val="nil"/>
            </w:tcBorders>
            <w:shd w:val="clear" w:color="auto" w:fill="auto"/>
          </w:tcPr>
          <w:p w14:paraId="335161CF" w14:textId="77777777" w:rsidR="00896B1E" w:rsidRPr="00960218" w:rsidRDefault="00896B1E" w:rsidP="007B74C9">
            <w:pPr>
              <w:pStyle w:val="Tabletext"/>
            </w:pPr>
            <w:r w:rsidRPr="00960218">
              <w:t xml:space="preserve">A variation of the net contents of an </w:t>
            </w:r>
            <w:r w:rsidRPr="00B23E55">
              <w:t xml:space="preserve">agricultural </w:t>
            </w:r>
            <w:r w:rsidR="00F06CDF" w:rsidRPr="00B23E55">
              <w:t xml:space="preserve">chemical </w:t>
            </w:r>
            <w:r w:rsidRPr="00B23E55">
              <w:t>product</w:t>
            </w:r>
            <w:r w:rsidRPr="00960218">
              <w:t>, but only if:</w:t>
            </w:r>
          </w:p>
          <w:p w14:paraId="542201A0" w14:textId="77777777" w:rsidR="00896B1E" w:rsidRPr="00960218" w:rsidRDefault="00896B1E" w:rsidP="007B74C9">
            <w:pPr>
              <w:pStyle w:val="Tablea"/>
            </w:pPr>
            <w:r w:rsidRPr="00960218">
              <w:t>(a) the variation will not result in the instructions for use, or disposal, of the product or containers for the products, being modified or affected; and</w:t>
            </w:r>
          </w:p>
        </w:tc>
        <w:tc>
          <w:tcPr>
            <w:tcW w:w="1800" w:type="pct"/>
            <w:tcBorders>
              <w:bottom w:val="nil"/>
            </w:tcBorders>
            <w:shd w:val="clear" w:color="auto" w:fill="auto"/>
          </w:tcPr>
          <w:p w14:paraId="37A53AE5" w14:textId="77777777" w:rsidR="00896B1E" w:rsidRPr="00960218" w:rsidRDefault="00896B1E" w:rsidP="007B74C9">
            <w:pPr>
              <w:pStyle w:val="Tabletext"/>
            </w:pPr>
            <w:r w:rsidRPr="00960218">
              <w:t>any registration of an agricultural chemical product</w:t>
            </w:r>
          </w:p>
        </w:tc>
      </w:tr>
      <w:tr w:rsidR="00896B1E" w:rsidRPr="00960218" w14:paraId="25BEE318" w14:textId="77777777" w:rsidTr="00F56E9A">
        <w:trPr>
          <w:cantSplit/>
          <w:trHeight w:val="510"/>
        </w:trPr>
        <w:tc>
          <w:tcPr>
            <w:tcW w:w="498" w:type="pct"/>
            <w:tcBorders>
              <w:top w:val="nil"/>
            </w:tcBorders>
            <w:shd w:val="clear" w:color="auto" w:fill="auto"/>
          </w:tcPr>
          <w:p w14:paraId="6A67B862" w14:textId="77777777" w:rsidR="00896B1E" w:rsidRPr="00960218" w:rsidRDefault="00896B1E" w:rsidP="007B74C9">
            <w:pPr>
              <w:pStyle w:val="Tabletext"/>
              <w:keepNext/>
              <w:keepLines/>
            </w:pPr>
          </w:p>
        </w:tc>
        <w:tc>
          <w:tcPr>
            <w:tcW w:w="2702" w:type="pct"/>
            <w:tcBorders>
              <w:top w:val="nil"/>
            </w:tcBorders>
            <w:shd w:val="clear" w:color="auto" w:fill="auto"/>
          </w:tcPr>
          <w:p w14:paraId="28197659" w14:textId="77777777" w:rsidR="00896B1E" w:rsidRPr="00960218" w:rsidRDefault="00896B1E" w:rsidP="007B74C9">
            <w:pPr>
              <w:pStyle w:val="Tablea"/>
              <w:keepNext/>
              <w:keepLines/>
            </w:pPr>
            <w:r w:rsidRPr="00960218">
              <w:t>(b) the net contents is in the range recorded in the Register for the product</w:t>
            </w:r>
          </w:p>
        </w:tc>
        <w:tc>
          <w:tcPr>
            <w:tcW w:w="1800" w:type="pct"/>
            <w:tcBorders>
              <w:top w:val="nil"/>
            </w:tcBorders>
            <w:shd w:val="clear" w:color="auto" w:fill="auto"/>
          </w:tcPr>
          <w:p w14:paraId="73DDF9A3" w14:textId="77777777" w:rsidR="00896B1E" w:rsidRPr="00960218" w:rsidRDefault="00896B1E" w:rsidP="007B74C9">
            <w:pPr>
              <w:pStyle w:val="Tabletext"/>
              <w:keepNext/>
              <w:keepLines/>
            </w:pPr>
          </w:p>
        </w:tc>
      </w:tr>
      <w:tr w:rsidR="00896B1E" w:rsidRPr="00960218" w14:paraId="2CBFD616" w14:textId="77777777" w:rsidTr="00F56E9A">
        <w:tc>
          <w:tcPr>
            <w:tcW w:w="498" w:type="pct"/>
            <w:shd w:val="clear" w:color="auto" w:fill="auto"/>
          </w:tcPr>
          <w:p w14:paraId="271AD361" w14:textId="77777777" w:rsidR="00896B1E" w:rsidRPr="00960218" w:rsidRDefault="00896B1E" w:rsidP="007B74C9">
            <w:pPr>
              <w:pStyle w:val="Tabletext"/>
            </w:pPr>
            <w:r w:rsidRPr="00960218">
              <w:t>4</w:t>
            </w:r>
          </w:p>
        </w:tc>
        <w:tc>
          <w:tcPr>
            <w:tcW w:w="2702" w:type="pct"/>
            <w:shd w:val="clear" w:color="auto" w:fill="auto"/>
          </w:tcPr>
          <w:p w14:paraId="4B2C0AE7" w14:textId="77777777" w:rsidR="00896B1E" w:rsidRPr="00960218" w:rsidRDefault="00896B1E" w:rsidP="007B74C9">
            <w:pPr>
              <w:pStyle w:val="Tabletext"/>
            </w:pPr>
            <w:r w:rsidRPr="00960218">
              <w:t>A variation of the instructions for a use of a chemical product if:</w:t>
            </w:r>
          </w:p>
          <w:p w14:paraId="73AB1183" w14:textId="77777777" w:rsidR="00896B1E" w:rsidRPr="00960218" w:rsidRDefault="00896B1E" w:rsidP="007B74C9">
            <w:pPr>
              <w:pStyle w:val="Tablea"/>
            </w:pPr>
            <w:r w:rsidRPr="00960218">
              <w:t>(a) the variation is to remove the use of the chemical product from the instructions; and</w:t>
            </w:r>
          </w:p>
          <w:p w14:paraId="04CBC761" w14:textId="77777777" w:rsidR="00896B1E" w:rsidRPr="00960218" w:rsidRDefault="00896B1E" w:rsidP="007B74C9">
            <w:pPr>
              <w:pStyle w:val="Tablea"/>
            </w:pPr>
            <w:r w:rsidRPr="00960218">
              <w:t>(b) the variation of the instructions will not otherwise modify or affect the instructions for another use of the product</w:t>
            </w:r>
          </w:p>
        </w:tc>
        <w:tc>
          <w:tcPr>
            <w:tcW w:w="1800" w:type="pct"/>
            <w:shd w:val="clear" w:color="auto" w:fill="auto"/>
          </w:tcPr>
          <w:p w14:paraId="18AC8039" w14:textId="77777777" w:rsidR="00896B1E" w:rsidRPr="00960218" w:rsidRDefault="00896B1E" w:rsidP="007B74C9">
            <w:pPr>
              <w:pStyle w:val="Tabletext"/>
            </w:pPr>
            <w:r w:rsidRPr="00960218">
              <w:t>any registration of a chemical product</w:t>
            </w:r>
          </w:p>
        </w:tc>
      </w:tr>
      <w:tr w:rsidR="00896B1E" w:rsidRPr="00960218" w14:paraId="76593C1B" w14:textId="77777777" w:rsidTr="00F56E9A">
        <w:tc>
          <w:tcPr>
            <w:tcW w:w="498" w:type="pct"/>
            <w:shd w:val="clear" w:color="auto" w:fill="auto"/>
          </w:tcPr>
          <w:p w14:paraId="5684D97D" w14:textId="77777777" w:rsidR="00896B1E" w:rsidRPr="00960218" w:rsidRDefault="00896B1E" w:rsidP="007B74C9">
            <w:pPr>
              <w:pStyle w:val="Tabletext"/>
            </w:pPr>
            <w:r w:rsidRPr="00960218">
              <w:t>5</w:t>
            </w:r>
          </w:p>
        </w:tc>
        <w:tc>
          <w:tcPr>
            <w:tcW w:w="2702" w:type="pct"/>
            <w:shd w:val="clear" w:color="auto" w:fill="auto"/>
          </w:tcPr>
          <w:p w14:paraId="419885E6" w14:textId="77777777" w:rsidR="00896B1E" w:rsidRPr="00960218" w:rsidRDefault="00896B1E" w:rsidP="007B74C9">
            <w:pPr>
              <w:pStyle w:val="Tabletext"/>
            </w:pPr>
            <w:r w:rsidRPr="00960218">
              <w:t>A variation of either or both of the following particulars:</w:t>
            </w:r>
          </w:p>
          <w:p w14:paraId="13559B34" w14:textId="77777777" w:rsidR="00896B1E" w:rsidRPr="00960218" w:rsidRDefault="00896B1E" w:rsidP="007B74C9">
            <w:pPr>
              <w:pStyle w:val="Tablea"/>
            </w:pPr>
            <w:r w:rsidRPr="00960218">
              <w:t>(a) the name of a manufacturer of a chemical product;</w:t>
            </w:r>
          </w:p>
          <w:p w14:paraId="562FDAC7" w14:textId="77777777" w:rsidR="00896B1E" w:rsidRPr="00960218" w:rsidRDefault="00896B1E" w:rsidP="007B74C9">
            <w:pPr>
              <w:pStyle w:val="Tablea"/>
            </w:pPr>
            <w:r w:rsidRPr="00960218">
              <w:t>(b) the address of each site at which the product is manufactured by a manufacturer</w:t>
            </w:r>
          </w:p>
        </w:tc>
        <w:tc>
          <w:tcPr>
            <w:tcW w:w="1800" w:type="pct"/>
            <w:shd w:val="clear" w:color="auto" w:fill="auto"/>
          </w:tcPr>
          <w:p w14:paraId="04E8E9AD" w14:textId="1DCDD2B6" w:rsidR="00896B1E" w:rsidRPr="00960218" w:rsidRDefault="00896B1E">
            <w:pPr>
              <w:pStyle w:val="Tabletext"/>
            </w:pPr>
            <w:r w:rsidRPr="00960218">
              <w:t xml:space="preserve">any registration of a chemical product that is prescribed under </w:t>
            </w:r>
            <w:r w:rsidRPr="00B23E55">
              <w:t>subregulation 59(1</w:t>
            </w:r>
            <w:r w:rsidR="00B23E55">
              <w:t>)</w:t>
            </w:r>
          </w:p>
        </w:tc>
      </w:tr>
      <w:tr w:rsidR="00896B1E" w:rsidRPr="00960218" w14:paraId="04F93BF8" w14:textId="77777777" w:rsidTr="00F56E9A">
        <w:tc>
          <w:tcPr>
            <w:tcW w:w="498" w:type="pct"/>
            <w:tcBorders>
              <w:bottom w:val="single" w:sz="4" w:space="0" w:color="auto"/>
            </w:tcBorders>
            <w:shd w:val="clear" w:color="auto" w:fill="auto"/>
          </w:tcPr>
          <w:p w14:paraId="5863C2BB" w14:textId="77777777" w:rsidR="00896B1E" w:rsidRPr="00960218" w:rsidRDefault="00896B1E" w:rsidP="007B74C9">
            <w:pPr>
              <w:pStyle w:val="Tabletext"/>
            </w:pPr>
            <w:r w:rsidRPr="00960218">
              <w:t>6</w:t>
            </w:r>
          </w:p>
        </w:tc>
        <w:tc>
          <w:tcPr>
            <w:tcW w:w="2702" w:type="pct"/>
            <w:tcBorders>
              <w:bottom w:val="single" w:sz="4" w:space="0" w:color="auto"/>
            </w:tcBorders>
            <w:shd w:val="clear" w:color="auto" w:fill="auto"/>
          </w:tcPr>
          <w:p w14:paraId="06326192" w14:textId="77777777" w:rsidR="00896B1E" w:rsidRPr="00960218" w:rsidRDefault="00896B1E" w:rsidP="007B74C9">
            <w:pPr>
              <w:pStyle w:val="Tabletext"/>
            </w:pPr>
            <w:r w:rsidRPr="00960218">
              <w:t>A variation of an approved label as a result of a notifiable variation mentioned in items</w:t>
            </w:r>
            <w:r>
              <w:t> </w:t>
            </w:r>
            <w:r w:rsidRPr="00960218">
              <w:t>3 and 4, but only if a label for the chemical product as varied would not include any misleading or deceptive information about the use, safety, environmental impact or efficacy of the chemical product</w:t>
            </w:r>
          </w:p>
        </w:tc>
        <w:tc>
          <w:tcPr>
            <w:tcW w:w="1800" w:type="pct"/>
            <w:tcBorders>
              <w:bottom w:val="single" w:sz="4" w:space="0" w:color="auto"/>
            </w:tcBorders>
            <w:shd w:val="clear" w:color="auto" w:fill="auto"/>
          </w:tcPr>
          <w:p w14:paraId="55D5C527" w14:textId="77777777" w:rsidR="00896B1E" w:rsidRPr="00960218" w:rsidRDefault="00896B1E" w:rsidP="007B74C9">
            <w:pPr>
              <w:pStyle w:val="Tabletext"/>
            </w:pPr>
            <w:r w:rsidRPr="00960218">
              <w:t>any approval of a label for containers of chemical products</w:t>
            </w:r>
          </w:p>
        </w:tc>
      </w:tr>
      <w:tr w:rsidR="00896B1E" w:rsidRPr="00960218" w14:paraId="1BFABCA6" w14:textId="77777777" w:rsidTr="00F56E9A">
        <w:trPr>
          <w:cantSplit/>
        </w:trPr>
        <w:tc>
          <w:tcPr>
            <w:tcW w:w="498" w:type="pct"/>
            <w:shd w:val="clear" w:color="auto" w:fill="auto"/>
          </w:tcPr>
          <w:p w14:paraId="687E418E" w14:textId="77777777" w:rsidR="00896B1E" w:rsidRPr="00960218" w:rsidRDefault="00896B1E" w:rsidP="007B74C9">
            <w:pPr>
              <w:pStyle w:val="Tabletext"/>
            </w:pPr>
            <w:r w:rsidRPr="00960218">
              <w:lastRenderedPageBreak/>
              <w:t>7</w:t>
            </w:r>
          </w:p>
        </w:tc>
        <w:tc>
          <w:tcPr>
            <w:tcW w:w="2702" w:type="pct"/>
            <w:shd w:val="clear" w:color="auto" w:fill="auto"/>
          </w:tcPr>
          <w:p w14:paraId="4EA5C1B9" w14:textId="2A00E13C" w:rsidR="00896B1E" w:rsidRPr="00960218" w:rsidRDefault="00896B1E" w:rsidP="009E5CD1">
            <w:pPr>
              <w:pStyle w:val="Tabletext"/>
            </w:pPr>
            <w:r w:rsidRPr="00960218">
              <w:t xml:space="preserve">A variation of the name of a chemical product that is to appear on an approved label as mentioned in </w:t>
            </w:r>
            <w:r w:rsidRPr="00B23E55">
              <w:t>paragraph 17(1)(b)</w:t>
            </w:r>
            <w:r w:rsidR="00F06CDF" w:rsidRPr="00B23E55">
              <w:t xml:space="preserve"> of the </w:t>
            </w:r>
            <w:r w:rsidR="009E5CD1" w:rsidRPr="00B23E55">
              <w:t>Regulations</w:t>
            </w:r>
            <w:r w:rsidRPr="00B23E55">
              <w:t>,</w:t>
            </w:r>
            <w:r w:rsidRPr="00960218">
              <w:t xml:space="preserve"> but only if a label for the chemical product as varied would not include any misleading or deceptive information about the use, safety, environmental impact or efficacy of the chemical product</w:t>
            </w:r>
          </w:p>
        </w:tc>
        <w:tc>
          <w:tcPr>
            <w:tcW w:w="1800" w:type="pct"/>
            <w:shd w:val="clear" w:color="auto" w:fill="auto"/>
          </w:tcPr>
          <w:p w14:paraId="4805A794" w14:textId="77777777" w:rsidR="00896B1E" w:rsidRPr="00960218" w:rsidRDefault="00896B1E" w:rsidP="007B74C9">
            <w:pPr>
              <w:pStyle w:val="Tabletext"/>
            </w:pPr>
            <w:r w:rsidRPr="00960218">
              <w:t>any approval of a label for containers of chemical products</w:t>
            </w:r>
          </w:p>
        </w:tc>
      </w:tr>
      <w:tr w:rsidR="00896B1E" w:rsidRPr="00960218" w14:paraId="683355E3" w14:textId="77777777" w:rsidTr="00F56E9A">
        <w:trPr>
          <w:cantSplit/>
        </w:trPr>
        <w:tc>
          <w:tcPr>
            <w:tcW w:w="498" w:type="pct"/>
            <w:shd w:val="clear" w:color="auto" w:fill="auto"/>
          </w:tcPr>
          <w:p w14:paraId="7D23E4A6" w14:textId="77777777" w:rsidR="00896B1E" w:rsidRPr="00960218" w:rsidRDefault="00896B1E" w:rsidP="007B74C9">
            <w:pPr>
              <w:pStyle w:val="Tabletext"/>
            </w:pPr>
            <w:r w:rsidRPr="00960218">
              <w:t>8</w:t>
            </w:r>
          </w:p>
        </w:tc>
        <w:tc>
          <w:tcPr>
            <w:tcW w:w="2702" w:type="pct"/>
            <w:shd w:val="clear" w:color="auto" w:fill="auto"/>
          </w:tcPr>
          <w:p w14:paraId="6507A4EC" w14:textId="77777777" w:rsidR="00896B1E" w:rsidRPr="00960218" w:rsidRDefault="00896B1E" w:rsidP="007B74C9">
            <w:pPr>
              <w:pStyle w:val="Tabletext"/>
            </w:pPr>
            <w:r w:rsidRPr="00960218">
              <w:t>A variation of one or more constituents of a chemical product if:</w:t>
            </w:r>
          </w:p>
          <w:p w14:paraId="714ECBDF" w14:textId="77777777" w:rsidR="00896B1E" w:rsidRPr="00960218" w:rsidRDefault="00896B1E" w:rsidP="007B74C9">
            <w:pPr>
              <w:pStyle w:val="Tablea"/>
            </w:pPr>
            <w:r w:rsidRPr="00960218">
              <w:t>(a) the variation is to replace one or more constituents with a constituent or constituents listed for the product in an interchangeable constituent determination; and</w:t>
            </w:r>
          </w:p>
          <w:p w14:paraId="76F0178E" w14:textId="77777777" w:rsidR="00896B1E" w:rsidRPr="00960218" w:rsidRDefault="00896B1E" w:rsidP="007B74C9">
            <w:pPr>
              <w:pStyle w:val="Tablea"/>
            </w:pPr>
            <w:r w:rsidRPr="00960218">
              <w:t>(b) in the case of a product that has 9 or more constituents entered in the Register for the product—the variation is to no more than 25% of the number of constituents entered in the Register for the product; and</w:t>
            </w:r>
          </w:p>
          <w:p w14:paraId="73C49200" w14:textId="77777777" w:rsidR="00896B1E" w:rsidRPr="00960218" w:rsidRDefault="00896B1E" w:rsidP="00635FF3">
            <w:pPr>
              <w:pStyle w:val="Tablea"/>
            </w:pPr>
            <w:r w:rsidRPr="00960218">
              <w:t>(c) in the case of a product that has less than 9 constituents entered in the Register for the product—the variation is to one or 2 of the constituents entered in the Register for the product</w:t>
            </w:r>
          </w:p>
        </w:tc>
        <w:tc>
          <w:tcPr>
            <w:tcW w:w="1800" w:type="pct"/>
            <w:shd w:val="clear" w:color="auto" w:fill="auto"/>
          </w:tcPr>
          <w:p w14:paraId="57220E19" w14:textId="77777777" w:rsidR="00896B1E" w:rsidRPr="00960218" w:rsidRDefault="00896B1E" w:rsidP="007B74C9">
            <w:pPr>
              <w:pStyle w:val="Tabletext"/>
            </w:pPr>
            <w:r w:rsidRPr="00960218">
              <w:t>any registration of a chemical product</w:t>
            </w:r>
          </w:p>
          <w:p w14:paraId="5083B7E9" w14:textId="77777777" w:rsidR="00896B1E" w:rsidRPr="00960218" w:rsidRDefault="00896B1E" w:rsidP="007B74C9">
            <w:pPr>
              <w:pStyle w:val="Tabletext"/>
            </w:pPr>
          </w:p>
        </w:tc>
      </w:tr>
      <w:tr w:rsidR="00896B1E" w:rsidRPr="00960218" w14:paraId="5C119243" w14:textId="77777777" w:rsidTr="00F56E9A">
        <w:trPr>
          <w:cantSplit/>
        </w:trPr>
        <w:tc>
          <w:tcPr>
            <w:tcW w:w="498" w:type="pct"/>
            <w:shd w:val="clear" w:color="auto" w:fill="auto"/>
          </w:tcPr>
          <w:p w14:paraId="1472C30E" w14:textId="77777777" w:rsidR="00896B1E" w:rsidRPr="00960218" w:rsidRDefault="00896B1E" w:rsidP="007B74C9">
            <w:pPr>
              <w:pStyle w:val="Tabletext"/>
            </w:pPr>
            <w:r>
              <w:t>9</w:t>
            </w:r>
          </w:p>
        </w:tc>
        <w:tc>
          <w:tcPr>
            <w:tcW w:w="2702" w:type="pct"/>
            <w:shd w:val="clear" w:color="auto" w:fill="auto"/>
          </w:tcPr>
          <w:p w14:paraId="11B19E8B" w14:textId="77777777" w:rsidR="00896B1E" w:rsidRPr="00960218" w:rsidRDefault="00635FF3" w:rsidP="00635FF3">
            <w:pPr>
              <w:pStyle w:val="Tabletext"/>
            </w:pPr>
            <w:r>
              <w:t xml:space="preserve">A variation to the address of a site at which the approved active constituent is manufactured by the manufacturer if there is no physical change </w:t>
            </w:r>
            <w:r w:rsidR="00735853">
              <w:t>of location</w:t>
            </w:r>
          </w:p>
        </w:tc>
        <w:tc>
          <w:tcPr>
            <w:tcW w:w="1800" w:type="pct"/>
            <w:shd w:val="clear" w:color="auto" w:fill="auto"/>
          </w:tcPr>
          <w:p w14:paraId="661C05A6" w14:textId="77777777" w:rsidR="00896B1E" w:rsidRPr="00960218" w:rsidRDefault="00635FF3" w:rsidP="007B74C9">
            <w:pPr>
              <w:pStyle w:val="Tabletext"/>
            </w:pPr>
            <w:r>
              <w:t>any approval of an active constituent</w:t>
            </w:r>
          </w:p>
        </w:tc>
      </w:tr>
      <w:tr w:rsidR="00635FF3" w:rsidRPr="00960218" w14:paraId="3E72B6F6" w14:textId="77777777" w:rsidTr="00F56E9A">
        <w:trPr>
          <w:cantSplit/>
        </w:trPr>
        <w:tc>
          <w:tcPr>
            <w:tcW w:w="498" w:type="pct"/>
            <w:shd w:val="clear" w:color="auto" w:fill="auto"/>
          </w:tcPr>
          <w:p w14:paraId="2924EFD4" w14:textId="77777777" w:rsidR="00635FF3" w:rsidRDefault="00635FF3" w:rsidP="007B74C9">
            <w:pPr>
              <w:pStyle w:val="Tabletext"/>
            </w:pPr>
            <w:r>
              <w:t>10</w:t>
            </w:r>
          </w:p>
        </w:tc>
        <w:tc>
          <w:tcPr>
            <w:tcW w:w="2702" w:type="pct"/>
            <w:shd w:val="clear" w:color="auto" w:fill="auto"/>
          </w:tcPr>
          <w:p w14:paraId="0911698B" w14:textId="77777777" w:rsidR="00635FF3" w:rsidRDefault="00635FF3" w:rsidP="00635FF3">
            <w:pPr>
              <w:pStyle w:val="Tabletext"/>
            </w:pPr>
            <w:r>
              <w:t>A variation to the name of any other registered products referred to within the instructions for use on the label (provided the referred to product has the same APVMA distinguishing number). This item includes a variation of an approved label but only if a label for the chemical product as varied would not include any misleading or deceptive information about the use, safety, environmental impact or e</w:t>
            </w:r>
            <w:r w:rsidR="00735853">
              <w:t>fficacy of the chemical product</w:t>
            </w:r>
          </w:p>
        </w:tc>
        <w:tc>
          <w:tcPr>
            <w:tcW w:w="1800" w:type="pct"/>
            <w:shd w:val="clear" w:color="auto" w:fill="auto"/>
          </w:tcPr>
          <w:p w14:paraId="7C0A9E95" w14:textId="77777777" w:rsidR="00635FF3" w:rsidRDefault="00635FF3" w:rsidP="007B74C9">
            <w:pPr>
              <w:pStyle w:val="Tabletext"/>
            </w:pPr>
            <w:r w:rsidRPr="00635FF3">
              <w:t>any registration of a chemical product; approval of a label for containers of a chemical product</w:t>
            </w:r>
          </w:p>
        </w:tc>
      </w:tr>
      <w:tr w:rsidR="00635FF3" w:rsidRPr="00960218" w14:paraId="0E6965E5" w14:textId="77777777" w:rsidTr="00F56E9A">
        <w:trPr>
          <w:cantSplit/>
        </w:trPr>
        <w:tc>
          <w:tcPr>
            <w:tcW w:w="498" w:type="pct"/>
            <w:shd w:val="clear" w:color="auto" w:fill="auto"/>
          </w:tcPr>
          <w:p w14:paraId="51E1C685" w14:textId="77777777" w:rsidR="00635FF3" w:rsidRDefault="00635FF3" w:rsidP="007B74C9">
            <w:pPr>
              <w:pStyle w:val="Tabletext"/>
            </w:pPr>
            <w:r>
              <w:t>11</w:t>
            </w:r>
          </w:p>
        </w:tc>
        <w:tc>
          <w:tcPr>
            <w:tcW w:w="2702" w:type="pct"/>
            <w:shd w:val="clear" w:color="auto" w:fill="auto"/>
          </w:tcPr>
          <w:p w14:paraId="5D89BD46" w14:textId="77777777" w:rsidR="00635FF3" w:rsidRDefault="00635FF3" w:rsidP="00635FF3">
            <w:pPr>
              <w:pStyle w:val="Tabletext"/>
            </w:pPr>
            <w:r>
              <w:t>A variation to the instructions for storage and disposal of containers of products, in line with the relevant requirements for the type of container as specified in the Agricultural Labelling Code or Veterinary Labelling Code made by the APVMA. But only if the variation will not result in other instructions for use being modified or affected. This item includes a variation of an approved label but only if a label for the chemical product as varied would not include any misleading or deceptive information about the use, safety, environmental impact or e</w:t>
            </w:r>
            <w:r w:rsidR="00735853">
              <w:t>fficacy of the chemical product</w:t>
            </w:r>
          </w:p>
        </w:tc>
        <w:tc>
          <w:tcPr>
            <w:tcW w:w="1800" w:type="pct"/>
            <w:shd w:val="clear" w:color="auto" w:fill="auto"/>
          </w:tcPr>
          <w:p w14:paraId="082F01EC" w14:textId="7EBFDCD9" w:rsidR="00635FF3" w:rsidRDefault="00090FB1" w:rsidP="007B74C9">
            <w:pPr>
              <w:pStyle w:val="Tabletext"/>
            </w:pPr>
            <w:r w:rsidRPr="00635FF3">
              <w:t>any registration of a chemical product; approval of a label for containers of a chemical product</w:t>
            </w:r>
          </w:p>
        </w:tc>
      </w:tr>
      <w:tr w:rsidR="00635FF3" w:rsidRPr="00960218" w14:paraId="61C760A4" w14:textId="77777777" w:rsidTr="00F56E9A">
        <w:trPr>
          <w:cantSplit/>
        </w:trPr>
        <w:tc>
          <w:tcPr>
            <w:tcW w:w="498" w:type="pct"/>
            <w:tcBorders>
              <w:bottom w:val="single" w:sz="4" w:space="0" w:color="auto"/>
            </w:tcBorders>
            <w:shd w:val="clear" w:color="auto" w:fill="auto"/>
          </w:tcPr>
          <w:p w14:paraId="7C76CDA4" w14:textId="77777777" w:rsidR="00635FF3" w:rsidRDefault="00635FF3" w:rsidP="007B74C9">
            <w:pPr>
              <w:pStyle w:val="Tabletext"/>
            </w:pPr>
            <w:r>
              <w:lastRenderedPageBreak/>
              <w:t>12</w:t>
            </w:r>
          </w:p>
        </w:tc>
        <w:tc>
          <w:tcPr>
            <w:tcW w:w="2702" w:type="pct"/>
            <w:tcBorders>
              <w:bottom w:val="single" w:sz="4" w:space="0" w:color="auto"/>
            </w:tcBorders>
            <w:shd w:val="clear" w:color="auto" w:fill="auto"/>
          </w:tcPr>
          <w:p w14:paraId="74BC0968" w14:textId="77777777" w:rsidR="00635FF3" w:rsidRDefault="00635FF3" w:rsidP="002610D2">
            <w:pPr>
              <w:pStyle w:val="Tabletext"/>
            </w:pPr>
            <w:r>
              <w:t xml:space="preserve">A variation to safety directions and first aid instructions appearing on a label to reflect the current FAISD </w:t>
            </w:r>
            <w:r w:rsidR="002610D2">
              <w:t>H</w:t>
            </w:r>
            <w:r>
              <w:t xml:space="preserve">andbook. This item includes a variation of an approved label but only if a label for the chemical product as varied would not include any misleading or deceptive information about the use, safety, environmental impact or efficacy of the </w:t>
            </w:r>
            <w:r w:rsidR="00735853">
              <w:t>chemical product</w:t>
            </w:r>
          </w:p>
        </w:tc>
        <w:tc>
          <w:tcPr>
            <w:tcW w:w="1800" w:type="pct"/>
            <w:tcBorders>
              <w:bottom w:val="single" w:sz="4" w:space="0" w:color="auto"/>
            </w:tcBorders>
            <w:shd w:val="clear" w:color="auto" w:fill="auto"/>
          </w:tcPr>
          <w:p w14:paraId="6CC1CC4C" w14:textId="77777777" w:rsidR="00635FF3" w:rsidRDefault="00635FF3" w:rsidP="007B74C9">
            <w:pPr>
              <w:pStyle w:val="Tabletext"/>
            </w:pPr>
            <w:r w:rsidRPr="00635FF3">
              <w:t>any registration of a chemical product; approval of a label for containers of a chemical product</w:t>
            </w:r>
          </w:p>
        </w:tc>
      </w:tr>
      <w:tr w:rsidR="00635FF3" w:rsidRPr="00960218" w14:paraId="13C9A702" w14:textId="77777777" w:rsidTr="00F56E9A">
        <w:trPr>
          <w:cantSplit/>
        </w:trPr>
        <w:tc>
          <w:tcPr>
            <w:tcW w:w="498" w:type="pct"/>
            <w:tcBorders>
              <w:bottom w:val="single" w:sz="12" w:space="0" w:color="auto"/>
            </w:tcBorders>
            <w:shd w:val="clear" w:color="auto" w:fill="auto"/>
          </w:tcPr>
          <w:p w14:paraId="38D3561C" w14:textId="77777777" w:rsidR="00635FF3" w:rsidRDefault="00635FF3" w:rsidP="007B74C9">
            <w:pPr>
              <w:pStyle w:val="Tabletext"/>
            </w:pPr>
            <w:r>
              <w:t>13</w:t>
            </w:r>
          </w:p>
        </w:tc>
        <w:tc>
          <w:tcPr>
            <w:tcW w:w="2702" w:type="pct"/>
            <w:tcBorders>
              <w:bottom w:val="single" w:sz="12" w:space="0" w:color="auto"/>
            </w:tcBorders>
            <w:shd w:val="clear" w:color="auto" w:fill="auto"/>
          </w:tcPr>
          <w:p w14:paraId="1E9B448B" w14:textId="77777777" w:rsidR="00635FF3" w:rsidRDefault="00635FF3" w:rsidP="00635FF3">
            <w:pPr>
              <w:pStyle w:val="Tabletext"/>
            </w:pPr>
            <w:r>
              <w:t>A variation of the net contents of a veterinary chemical product but only if:</w:t>
            </w:r>
          </w:p>
          <w:p w14:paraId="45A15034" w14:textId="77777777" w:rsidR="00635FF3" w:rsidRDefault="00635FF3" w:rsidP="00635FF3">
            <w:pPr>
              <w:pStyle w:val="Tablea"/>
            </w:pPr>
            <w:r>
              <w:t>(a) the variation will not result in the instructions for use, or disposal, of the product or containers for the product, being modified or affected; and</w:t>
            </w:r>
          </w:p>
          <w:p w14:paraId="588EAE36" w14:textId="77777777" w:rsidR="00635FF3" w:rsidRDefault="00635FF3" w:rsidP="00635FF3">
            <w:pPr>
              <w:pStyle w:val="Tablea"/>
            </w:pPr>
            <w:r>
              <w:t>(b) the net contents is in the range recorded in the Register for the product.</w:t>
            </w:r>
          </w:p>
          <w:p w14:paraId="74BE26DB" w14:textId="77777777" w:rsidR="00635FF3" w:rsidRDefault="00635FF3" w:rsidP="00635FF3">
            <w:pPr>
              <w:pStyle w:val="Tabletext"/>
            </w:pPr>
            <w:r>
              <w:t xml:space="preserve">This item includes a variation of an approved label but only if a label for the chemical product as varied would not include any misleading or deceptive information about the use, safety, environmental impact or efficacy of </w:t>
            </w:r>
            <w:r w:rsidR="00735853">
              <w:t>the chemical product</w:t>
            </w:r>
          </w:p>
        </w:tc>
        <w:tc>
          <w:tcPr>
            <w:tcW w:w="1800" w:type="pct"/>
            <w:tcBorders>
              <w:bottom w:val="single" w:sz="12" w:space="0" w:color="auto"/>
            </w:tcBorders>
            <w:shd w:val="clear" w:color="auto" w:fill="auto"/>
          </w:tcPr>
          <w:p w14:paraId="3DE58636" w14:textId="77777777" w:rsidR="00635FF3" w:rsidRDefault="00635FF3" w:rsidP="00635FF3">
            <w:pPr>
              <w:pStyle w:val="Tabletext"/>
            </w:pPr>
            <w:r>
              <w:t>any registration of a veterinary chemical product;</w:t>
            </w:r>
          </w:p>
          <w:p w14:paraId="295A99C3" w14:textId="77777777" w:rsidR="00635FF3" w:rsidRDefault="00635FF3" w:rsidP="00635FF3">
            <w:pPr>
              <w:pStyle w:val="Tabletext"/>
            </w:pPr>
            <w:r>
              <w:t>approval of a label for containers of a chemical product</w:t>
            </w:r>
          </w:p>
        </w:tc>
      </w:tr>
    </w:tbl>
    <w:p w14:paraId="3A18B10C" w14:textId="77777777" w:rsidR="00296FE9" w:rsidRPr="00296FE9" w:rsidRDefault="00296FE9" w:rsidP="00296FE9">
      <w:pPr>
        <w:pStyle w:val="subsection"/>
        <w:rPr>
          <w:lang w:val="en-US"/>
        </w:rPr>
      </w:pPr>
      <w:r w:rsidRPr="00296FE9">
        <w:t>             (2)  However, a variation listed in item 3 or 4 of the table is only a notifiable variation for a product listed in the item if, at the time the notice for the notifiable variation is lodged, notice is also lodged for a notifiable variation listed in item 6 of the table for any approved label for the product.</w:t>
      </w:r>
    </w:p>
    <w:p w14:paraId="604CF179" w14:textId="77777777" w:rsidR="00554826" w:rsidRDefault="00554826" w:rsidP="00554826">
      <w:pPr>
        <w:spacing w:line="240" w:lineRule="auto"/>
        <w:rPr>
          <w:rFonts w:eastAsia="Times New Roman" w:cs="Times New Roman"/>
          <w:lang w:eastAsia="en-AU"/>
        </w:rPr>
      </w:pPr>
      <w:r>
        <w:br w:type="page"/>
      </w:r>
    </w:p>
    <w:p w14:paraId="02D8A02E" w14:textId="6481A4EB" w:rsidR="00D6537E" w:rsidRPr="004E1307" w:rsidRDefault="004E1307" w:rsidP="00D6537E">
      <w:pPr>
        <w:pStyle w:val="ActHead6"/>
      </w:pPr>
      <w:bookmarkStart w:id="9" w:name="_Toc535311428"/>
      <w:r>
        <w:lastRenderedPageBreak/>
        <w:t xml:space="preserve">Schedule </w:t>
      </w:r>
      <w:r w:rsidR="00D6537E" w:rsidRPr="004E1307">
        <w:t>1</w:t>
      </w:r>
      <w:bookmarkEnd w:id="9"/>
    </w:p>
    <w:p w14:paraId="4B85A36E" w14:textId="77777777" w:rsidR="00D6537E" w:rsidRPr="00D6537E" w:rsidRDefault="003A2CC4" w:rsidP="00090FB1">
      <w:pPr>
        <w:pStyle w:val="ActHead9"/>
        <w:ind w:left="0" w:firstLine="0"/>
      </w:pPr>
      <w:bookmarkStart w:id="10" w:name="_Toc535311429"/>
      <w:r>
        <w:t>Agricultural and Veterinary Chemicals Code (Notifiable Variations) Instrument 2016</w:t>
      </w:r>
      <w:bookmarkEnd w:id="10"/>
    </w:p>
    <w:p w14:paraId="60DB9EEF" w14:textId="77777777" w:rsidR="00D6537E" w:rsidRDefault="00D6537E" w:rsidP="00D6537E">
      <w:pPr>
        <w:pStyle w:val="ItemHead"/>
      </w:pPr>
      <w:r w:rsidRPr="00B1728A">
        <w:t xml:space="preserve">1  </w:t>
      </w:r>
      <w:r w:rsidR="00BB1533">
        <w:t>The w</w:t>
      </w:r>
      <w:r>
        <w:t>hole of the instrument</w:t>
      </w:r>
    </w:p>
    <w:p w14:paraId="491F04AB" w14:textId="5D3C7C13" w:rsidR="00554826" w:rsidRPr="00554826" w:rsidRDefault="00D6537E" w:rsidP="00E113B3">
      <w:pPr>
        <w:pStyle w:val="Item"/>
      </w:pPr>
      <w:r>
        <w:t>Repeal the instrument</w:t>
      </w:r>
      <w:r w:rsidR="003A2CC4">
        <w:t>.</w:t>
      </w:r>
    </w:p>
    <w:sectPr w:rsidR="00554826" w:rsidRPr="00554826" w:rsidSect="008C2EAC">
      <w:headerReference w:type="even" r:id="rId20"/>
      <w:headerReference w:type="default" r:id="rId21"/>
      <w:footerReference w:type="even" r:id="rId22"/>
      <w:footerReference w:type="default" r:id="rId2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CD926" w14:textId="77777777" w:rsidR="00C277F1" w:rsidRDefault="00C277F1" w:rsidP="00715914">
      <w:pPr>
        <w:spacing w:line="240" w:lineRule="auto"/>
      </w:pPr>
      <w:r>
        <w:separator/>
      </w:r>
    </w:p>
  </w:endnote>
  <w:endnote w:type="continuationSeparator" w:id="0">
    <w:p w14:paraId="55FC877D" w14:textId="77777777" w:rsidR="00C277F1" w:rsidRDefault="00C277F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314A8"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7B6661C4" w14:textId="77777777" w:rsidTr="00B33709">
      <w:tc>
        <w:tcPr>
          <w:tcW w:w="709" w:type="dxa"/>
          <w:tcBorders>
            <w:top w:val="nil"/>
            <w:left w:val="nil"/>
            <w:bottom w:val="nil"/>
            <w:right w:val="nil"/>
          </w:tcBorders>
        </w:tcPr>
        <w:p w14:paraId="649C3032"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56F1CCB9"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42873">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1547B7E4" w14:textId="77777777" w:rsidR="0072147A" w:rsidRDefault="0072147A" w:rsidP="00A369E3">
          <w:pPr>
            <w:spacing w:line="0" w:lineRule="atLeast"/>
            <w:jc w:val="right"/>
            <w:rPr>
              <w:sz w:val="18"/>
            </w:rPr>
          </w:pPr>
        </w:p>
      </w:tc>
    </w:tr>
    <w:tr w:rsidR="0072147A" w14:paraId="1D65FED7"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1C1A865" w14:textId="77777777" w:rsidR="0072147A" w:rsidRDefault="0072147A" w:rsidP="00A369E3">
          <w:pPr>
            <w:jc w:val="right"/>
            <w:rPr>
              <w:sz w:val="18"/>
            </w:rPr>
          </w:pPr>
        </w:p>
      </w:tc>
    </w:tr>
  </w:tbl>
  <w:p w14:paraId="6CEE30E8" w14:textId="77777777" w:rsidR="0072147A" w:rsidRPr="00ED79B6" w:rsidRDefault="0072147A"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5C2EC"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147A" w14:paraId="08AE05C7" w14:textId="77777777" w:rsidTr="00A369E3">
      <w:tc>
        <w:tcPr>
          <w:tcW w:w="1384" w:type="dxa"/>
          <w:tcBorders>
            <w:top w:val="nil"/>
            <w:left w:val="nil"/>
            <w:bottom w:val="nil"/>
            <w:right w:val="nil"/>
          </w:tcBorders>
        </w:tcPr>
        <w:p w14:paraId="49B3A98E" w14:textId="77777777" w:rsidR="0072147A" w:rsidRDefault="0072147A" w:rsidP="00A369E3">
          <w:pPr>
            <w:spacing w:line="0" w:lineRule="atLeast"/>
            <w:rPr>
              <w:sz w:val="18"/>
            </w:rPr>
          </w:pPr>
        </w:p>
      </w:tc>
      <w:tc>
        <w:tcPr>
          <w:tcW w:w="6379" w:type="dxa"/>
          <w:tcBorders>
            <w:top w:val="nil"/>
            <w:left w:val="nil"/>
            <w:bottom w:val="nil"/>
            <w:right w:val="nil"/>
          </w:tcBorders>
        </w:tcPr>
        <w:p w14:paraId="0C7C93EA"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42873">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22433DFE"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514B571B"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720683B" w14:textId="77777777" w:rsidR="0072147A" w:rsidRDefault="0072147A" w:rsidP="00A369E3">
          <w:pPr>
            <w:rPr>
              <w:sz w:val="18"/>
            </w:rPr>
          </w:pPr>
        </w:p>
      </w:tc>
    </w:tr>
  </w:tbl>
  <w:p w14:paraId="52597F13" w14:textId="77777777" w:rsidR="0072147A" w:rsidRPr="00ED79B6" w:rsidRDefault="0072147A" w:rsidP="00472DBE">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86D82"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74A1B536" w14:textId="77777777" w:rsidTr="00B33709">
      <w:tc>
        <w:tcPr>
          <w:tcW w:w="1384" w:type="dxa"/>
          <w:tcBorders>
            <w:top w:val="nil"/>
            <w:left w:val="nil"/>
            <w:bottom w:val="nil"/>
            <w:right w:val="nil"/>
          </w:tcBorders>
        </w:tcPr>
        <w:p w14:paraId="69FDDA95" w14:textId="77777777" w:rsidR="0072147A" w:rsidRDefault="0072147A" w:rsidP="00A369E3">
          <w:pPr>
            <w:spacing w:line="0" w:lineRule="atLeast"/>
            <w:rPr>
              <w:sz w:val="18"/>
            </w:rPr>
          </w:pPr>
        </w:p>
      </w:tc>
      <w:tc>
        <w:tcPr>
          <w:tcW w:w="6379" w:type="dxa"/>
          <w:tcBorders>
            <w:top w:val="nil"/>
            <w:left w:val="nil"/>
            <w:bottom w:val="nil"/>
            <w:right w:val="nil"/>
          </w:tcBorders>
        </w:tcPr>
        <w:p w14:paraId="4AB77579"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7B2279A5" w14:textId="77777777" w:rsidR="0072147A" w:rsidRDefault="0072147A" w:rsidP="00A369E3">
          <w:pPr>
            <w:spacing w:line="0" w:lineRule="atLeast"/>
            <w:jc w:val="right"/>
            <w:rPr>
              <w:sz w:val="18"/>
            </w:rPr>
          </w:pPr>
        </w:p>
      </w:tc>
    </w:tr>
  </w:tbl>
  <w:p w14:paraId="7AB1C5A2" w14:textId="77777777" w:rsidR="0072147A" w:rsidRPr="00ED79B6" w:rsidRDefault="0072147A" w:rsidP="007500C8">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CC77C"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F6696E" w14:paraId="63F43FAB" w14:textId="77777777" w:rsidTr="00A87A58">
      <w:tc>
        <w:tcPr>
          <w:tcW w:w="365" w:type="pct"/>
        </w:tcPr>
        <w:p w14:paraId="0B3DDB62"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5F15F154"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42873">
            <w:rPr>
              <w:i/>
              <w:noProof/>
              <w:sz w:val="18"/>
            </w:rPr>
            <w:t>Act Name (Subject Matter) Kind of Instrument Year</w:t>
          </w:r>
          <w:r w:rsidRPr="004E1307">
            <w:rPr>
              <w:i/>
              <w:sz w:val="18"/>
            </w:rPr>
            <w:fldChar w:fldCharType="end"/>
          </w:r>
        </w:p>
      </w:tc>
      <w:tc>
        <w:tcPr>
          <w:tcW w:w="947" w:type="pct"/>
        </w:tcPr>
        <w:p w14:paraId="67D7FC3B" w14:textId="77777777" w:rsidR="00F6696E" w:rsidRDefault="00F6696E" w:rsidP="000850AC">
          <w:pPr>
            <w:spacing w:line="0" w:lineRule="atLeast"/>
            <w:jc w:val="right"/>
            <w:rPr>
              <w:sz w:val="18"/>
            </w:rPr>
          </w:pPr>
        </w:p>
      </w:tc>
    </w:tr>
    <w:tr w:rsidR="00F6696E" w14:paraId="7FDC9355" w14:textId="77777777" w:rsidTr="00A87A58">
      <w:tc>
        <w:tcPr>
          <w:tcW w:w="5000" w:type="pct"/>
          <w:gridSpan w:val="3"/>
        </w:tcPr>
        <w:p w14:paraId="2C3B73F7" w14:textId="77777777" w:rsidR="00F6696E" w:rsidRDefault="00F6696E" w:rsidP="000850AC">
          <w:pPr>
            <w:jc w:val="right"/>
            <w:rPr>
              <w:sz w:val="18"/>
            </w:rPr>
          </w:pPr>
        </w:p>
      </w:tc>
    </w:tr>
  </w:tbl>
  <w:p w14:paraId="4C0D2475" w14:textId="77777777" w:rsidR="00F6696E" w:rsidRPr="00ED79B6" w:rsidRDefault="00F6696E" w:rsidP="000A6C6A">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473D1"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28BD5F12" w14:textId="77777777" w:rsidTr="00A87A58">
      <w:tc>
        <w:tcPr>
          <w:tcW w:w="947" w:type="pct"/>
        </w:tcPr>
        <w:p w14:paraId="606BE906" w14:textId="77777777" w:rsidR="00F6696E" w:rsidRDefault="00F6696E" w:rsidP="000850AC">
          <w:pPr>
            <w:spacing w:line="0" w:lineRule="atLeast"/>
            <w:rPr>
              <w:sz w:val="18"/>
            </w:rPr>
          </w:pPr>
        </w:p>
      </w:tc>
      <w:tc>
        <w:tcPr>
          <w:tcW w:w="3688" w:type="pct"/>
        </w:tcPr>
        <w:p w14:paraId="26D76BB0"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A11CC">
            <w:rPr>
              <w:i/>
              <w:noProof/>
              <w:sz w:val="18"/>
            </w:rPr>
            <w:t>Agricultural and Veterinary Chemicals Code (Notifiable Variations) Instrument 2019</w:t>
          </w:r>
          <w:r w:rsidRPr="004E1307">
            <w:rPr>
              <w:i/>
              <w:sz w:val="18"/>
            </w:rPr>
            <w:fldChar w:fldCharType="end"/>
          </w:r>
        </w:p>
      </w:tc>
      <w:tc>
        <w:tcPr>
          <w:tcW w:w="365" w:type="pct"/>
        </w:tcPr>
        <w:p w14:paraId="314B16FB"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A11CC">
            <w:rPr>
              <w:i/>
              <w:noProof/>
              <w:sz w:val="18"/>
            </w:rPr>
            <w:t>i</w:t>
          </w:r>
          <w:r w:rsidRPr="00ED79B6">
            <w:rPr>
              <w:i/>
              <w:sz w:val="18"/>
            </w:rPr>
            <w:fldChar w:fldCharType="end"/>
          </w:r>
        </w:p>
      </w:tc>
    </w:tr>
    <w:tr w:rsidR="00F6696E" w14:paraId="68DDAA9E" w14:textId="77777777" w:rsidTr="00A87A58">
      <w:tc>
        <w:tcPr>
          <w:tcW w:w="5000" w:type="pct"/>
          <w:gridSpan w:val="3"/>
        </w:tcPr>
        <w:p w14:paraId="03F4FEBF" w14:textId="77777777" w:rsidR="00F6696E" w:rsidRDefault="00F6696E" w:rsidP="000850AC">
          <w:pPr>
            <w:rPr>
              <w:sz w:val="18"/>
            </w:rPr>
          </w:pPr>
        </w:p>
      </w:tc>
    </w:tr>
  </w:tbl>
  <w:p w14:paraId="1AE7694F" w14:textId="77777777" w:rsidR="00F6696E" w:rsidRPr="00ED79B6" w:rsidRDefault="00F6696E" w:rsidP="003278F2">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8E8A"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4263F836" w14:textId="77777777" w:rsidTr="00A87A58">
      <w:tc>
        <w:tcPr>
          <w:tcW w:w="365" w:type="pct"/>
        </w:tcPr>
        <w:p w14:paraId="49E411AF"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A11CC">
            <w:rPr>
              <w:i/>
              <w:noProof/>
              <w:sz w:val="18"/>
            </w:rPr>
            <w:t>4</w:t>
          </w:r>
          <w:r w:rsidRPr="00ED79B6">
            <w:rPr>
              <w:i/>
              <w:sz w:val="18"/>
            </w:rPr>
            <w:fldChar w:fldCharType="end"/>
          </w:r>
        </w:p>
      </w:tc>
      <w:tc>
        <w:tcPr>
          <w:tcW w:w="3688" w:type="pct"/>
        </w:tcPr>
        <w:p w14:paraId="4D874056" w14:textId="77777777"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A11CC">
            <w:rPr>
              <w:i/>
              <w:noProof/>
              <w:sz w:val="18"/>
            </w:rPr>
            <w:t>Agricultural and Veterinary Chemicals Code (Notifiable Variations) Instrument 2019</w:t>
          </w:r>
          <w:r w:rsidRPr="004E1307">
            <w:rPr>
              <w:i/>
              <w:sz w:val="18"/>
            </w:rPr>
            <w:fldChar w:fldCharType="end"/>
          </w:r>
        </w:p>
      </w:tc>
      <w:tc>
        <w:tcPr>
          <w:tcW w:w="947" w:type="pct"/>
        </w:tcPr>
        <w:p w14:paraId="58BC144F" w14:textId="77777777" w:rsidR="008C2EAC" w:rsidRDefault="008C2EAC" w:rsidP="000850AC">
          <w:pPr>
            <w:spacing w:line="0" w:lineRule="atLeast"/>
            <w:jc w:val="right"/>
            <w:rPr>
              <w:sz w:val="18"/>
            </w:rPr>
          </w:pPr>
        </w:p>
      </w:tc>
    </w:tr>
    <w:tr w:rsidR="008C2EAC" w14:paraId="0249B3DF" w14:textId="77777777" w:rsidTr="00A87A58">
      <w:tc>
        <w:tcPr>
          <w:tcW w:w="5000" w:type="pct"/>
          <w:gridSpan w:val="3"/>
        </w:tcPr>
        <w:p w14:paraId="1035FD79" w14:textId="77777777" w:rsidR="008C2EAC" w:rsidRDefault="008C2EAC" w:rsidP="000850AC">
          <w:pPr>
            <w:jc w:val="right"/>
            <w:rPr>
              <w:sz w:val="18"/>
            </w:rPr>
          </w:pPr>
        </w:p>
      </w:tc>
    </w:tr>
  </w:tbl>
  <w:p w14:paraId="60862C3B" w14:textId="77777777" w:rsidR="008C2EAC" w:rsidRPr="00ED79B6" w:rsidRDefault="008C2EAC" w:rsidP="000A6C6A">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9962E"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658115A2" w14:textId="77777777" w:rsidTr="00A87A58">
      <w:tc>
        <w:tcPr>
          <w:tcW w:w="947" w:type="pct"/>
        </w:tcPr>
        <w:p w14:paraId="74634996" w14:textId="77777777" w:rsidR="008C2EAC" w:rsidRDefault="008C2EAC" w:rsidP="000850AC">
          <w:pPr>
            <w:spacing w:line="0" w:lineRule="atLeast"/>
            <w:rPr>
              <w:sz w:val="18"/>
            </w:rPr>
          </w:pPr>
        </w:p>
      </w:tc>
      <w:tc>
        <w:tcPr>
          <w:tcW w:w="3688" w:type="pct"/>
        </w:tcPr>
        <w:p w14:paraId="200AE865" w14:textId="77777777"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A11CC">
            <w:rPr>
              <w:i/>
              <w:noProof/>
              <w:sz w:val="18"/>
            </w:rPr>
            <w:t>Agricultural and Veterinary Chemicals Code (Notifiable Variations) Instrument 2019</w:t>
          </w:r>
          <w:r w:rsidRPr="004E1307">
            <w:rPr>
              <w:i/>
              <w:sz w:val="18"/>
            </w:rPr>
            <w:fldChar w:fldCharType="end"/>
          </w:r>
        </w:p>
      </w:tc>
      <w:tc>
        <w:tcPr>
          <w:tcW w:w="365" w:type="pct"/>
        </w:tcPr>
        <w:p w14:paraId="5D82298E"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A11CC">
            <w:rPr>
              <w:i/>
              <w:noProof/>
              <w:sz w:val="18"/>
            </w:rPr>
            <w:t>5</w:t>
          </w:r>
          <w:r w:rsidRPr="00ED79B6">
            <w:rPr>
              <w:i/>
              <w:sz w:val="18"/>
            </w:rPr>
            <w:fldChar w:fldCharType="end"/>
          </w:r>
        </w:p>
      </w:tc>
    </w:tr>
    <w:tr w:rsidR="008C2EAC" w14:paraId="280A0943" w14:textId="77777777" w:rsidTr="00A87A58">
      <w:tc>
        <w:tcPr>
          <w:tcW w:w="5000" w:type="pct"/>
          <w:gridSpan w:val="3"/>
        </w:tcPr>
        <w:p w14:paraId="2427DB05" w14:textId="77777777" w:rsidR="008C2EAC" w:rsidRDefault="008C2EAC" w:rsidP="000850AC">
          <w:pPr>
            <w:rPr>
              <w:sz w:val="18"/>
            </w:rPr>
          </w:pPr>
        </w:p>
      </w:tc>
    </w:tr>
  </w:tbl>
  <w:p w14:paraId="24121CE5" w14:textId="77777777" w:rsidR="008C2EAC" w:rsidRPr="00ED79B6" w:rsidRDefault="008C2EAC" w:rsidP="003278F2">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EF50B" w14:textId="77777777" w:rsidR="00C277F1" w:rsidRDefault="00C277F1" w:rsidP="00715914">
      <w:pPr>
        <w:spacing w:line="240" w:lineRule="auto"/>
      </w:pPr>
      <w:r>
        <w:separator/>
      </w:r>
    </w:p>
  </w:footnote>
  <w:footnote w:type="continuationSeparator" w:id="0">
    <w:p w14:paraId="777871E5" w14:textId="77777777" w:rsidR="00C277F1" w:rsidRDefault="00C277F1"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45AAF"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CEE3D"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1CFB2"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E2BC6"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B1FF8"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6B66E" w14:textId="77777777" w:rsidR="004E1307" w:rsidRDefault="004E1307" w:rsidP="00715914">
    <w:pPr>
      <w:rPr>
        <w:sz w:val="20"/>
      </w:rPr>
    </w:pPr>
  </w:p>
  <w:p w14:paraId="6EB16A6E" w14:textId="77777777" w:rsidR="004E1307" w:rsidRDefault="004E1307" w:rsidP="00715914">
    <w:pPr>
      <w:rPr>
        <w:sz w:val="20"/>
      </w:rPr>
    </w:pPr>
  </w:p>
  <w:p w14:paraId="274D0150" w14:textId="77777777" w:rsidR="004E1307" w:rsidRPr="007A1328" w:rsidRDefault="004E1307" w:rsidP="00715914">
    <w:pPr>
      <w:rPr>
        <w:sz w:val="20"/>
      </w:rPr>
    </w:pPr>
  </w:p>
  <w:p w14:paraId="50381D92" w14:textId="77777777" w:rsidR="004E1307" w:rsidRPr="007A1328" w:rsidRDefault="004E1307" w:rsidP="00715914">
    <w:pPr>
      <w:rPr>
        <w:b/>
        <w:sz w:val="24"/>
      </w:rPr>
    </w:pPr>
  </w:p>
  <w:p w14:paraId="13D35D22"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25AB1" w14:textId="77777777" w:rsidR="004E1307" w:rsidRPr="007A1328" w:rsidRDefault="004E1307" w:rsidP="00715914">
    <w:pPr>
      <w:jc w:val="right"/>
      <w:rPr>
        <w:sz w:val="20"/>
      </w:rPr>
    </w:pPr>
  </w:p>
  <w:p w14:paraId="1C3DEB54" w14:textId="77777777" w:rsidR="004E1307" w:rsidRPr="007A1328" w:rsidRDefault="004E1307" w:rsidP="00715914">
    <w:pPr>
      <w:jc w:val="right"/>
      <w:rPr>
        <w:sz w:val="20"/>
      </w:rPr>
    </w:pPr>
  </w:p>
  <w:p w14:paraId="0E79C3BE" w14:textId="77777777" w:rsidR="004E1307" w:rsidRPr="007A1328" w:rsidRDefault="004E1307" w:rsidP="00715914">
    <w:pPr>
      <w:jc w:val="right"/>
      <w:rPr>
        <w:sz w:val="20"/>
      </w:rPr>
    </w:pPr>
  </w:p>
  <w:p w14:paraId="70571BC6" w14:textId="77777777" w:rsidR="004E1307" w:rsidRPr="007A1328" w:rsidRDefault="004E1307" w:rsidP="00715914">
    <w:pPr>
      <w:jc w:val="right"/>
      <w:rPr>
        <w:b/>
        <w:sz w:val="24"/>
      </w:rPr>
    </w:pPr>
  </w:p>
  <w:p w14:paraId="58D16D45"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890786"/>
    <w:multiLevelType w:val="hybridMultilevel"/>
    <w:tmpl w:val="CE38C3B8"/>
    <w:lvl w:ilvl="0" w:tplc="EDC66E0A">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1A3FC2"/>
    <w:multiLevelType w:val="hybridMultilevel"/>
    <w:tmpl w:val="706E8F10"/>
    <w:lvl w:ilvl="0" w:tplc="3F98026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873"/>
    <w:rsid w:val="00004174"/>
    <w:rsid w:val="00004470"/>
    <w:rsid w:val="00010319"/>
    <w:rsid w:val="000136AF"/>
    <w:rsid w:val="000258B1"/>
    <w:rsid w:val="000336E4"/>
    <w:rsid w:val="00040A89"/>
    <w:rsid w:val="000437C1"/>
    <w:rsid w:val="0004455A"/>
    <w:rsid w:val="0005365D"/>
    <w:rsid w:val="000614BF"/>
    <w:rsid w:val="000630BA"/>
    <w:rsid w:val="0006709C"/>
    <w:rsid w:val="00074376"/>
    <w:rsid w:val="00090FB1"/>
    <w:rsid w:val="000978F5"/>
    <w:rsid w:val="000B15CD"/>
    <w:rsid w:val="000B35EB"/>
    <w:rsid w:val="000D05EF"/>
    <w:rsid w:val="000E2261"/>
    <w:rsid w:val="000E78B7"/>
    <w:rsid w:val="000F21C1"/>
    <w:rsid w:val="0010745C"/>
    <w:rsid w:val="00132CEB"/>
    <w:rsid w:val="001339B0"/>
    <w:rsid w:val="00142B62"/>
    <w:rsid w:val="001441B7"/>
    <w:rsid w:val="001516CB"/>
    <w:rsid w:val="00152336"/>
    <w:rsid w:val="00157B8B"/>
    <w:rsid w:val="00166C2F"/>
    <w:rsid w:val="001809D7"/>
    <w:rsid w:val="001939E1"/>
    <w:rsid w:val="00194C3E"/>
    <w:rsid w:val="00195382"/>
    <w:rsid w:val="001A11CC"/>
    <w:rsid w:val="001B2CB6"/>
    <w:rsid w:val="001C61C5"/>
    <w:rsid w:val="001C69C4"/>
    <w:rsid w:val="001D37EF"/>
    <w:rsid w:val="001E3590"/>
    <w:rsid w:val="001E7407"/>
    <w:rsid w:val="001F5D5E"/>
    <w:rsid w:val="001F6219"/>
    <w:rsid w:val="001F6CD4"/>
    <w:rsid w:val="00206C4D"/>
    <w:rsid w:val="00215AF1"/>
    <w:rsid w:val="00217256"/>
    <w:rsid w:val="002321E8"/>
    <w:rsid w:val="00232984"/>
    <w:rsid w:val="0023606A"/>
    <w:rsid w:val="0024010F"/>
    <w:rsid w:val="00240749"/>
    <w:rsid w:val="00242873"/>
    <w:rsid w:val="00243018"/>
    <w:rsid w:val="00245B58"/>
    <w:rsid w:val="002564A4"/>
    <w:rsid w:val="002610D2"/>
    <w:rsid w:val="0026736C"/>
    <w:rsid w:val="00281308"/>
    <w:rsid w:val="00284719"/>
    <w:rsid w:val="00296FE9"/>
    <w:rsid w:val="00297ECB"/>
    <w:rsid w:val="002A2F11"/>
    <w:rsid w:val="002A7BCF"/>
    <w:rsid w:val="002C3FD1"/>
    <w:rsid w:val="002D043A"/>
    <w:rsid w:val="002D266B"/>
    <w:rsid w:val="002D6224"/>
    <w:rsid w:val="00304F8B"/>
    <w:rsid w:val="00335BC6"/>
    <w:rsid w:val="003415D3"/>
    <w:rsid w:val="00344338"/>
    <w:rsid w:val="00344701"/>
    <w:rsid w:val="00352B0F"/>
    <w:rsid w:val="00360459"/>
    <w:rsid w:val="0038049F"/>
    <w:rsid w:val="003A2CC4"/>
    <w:rsid w:val="003C3526"/>
    <w:rsid w:val="003C6231"/>
    <w:rsid w:val="003D0BFE"/>
    <w:rsid w:val="003D5700"/>
    <w:rsid w:val="003E341B"/>
    <w:rsid w:val="003E4D00"/>
    <w:rsid w:val="004116CD"/>
    <w:rsid w:val="00417EB9"/>
    <w:rsid w:val="00424CA9"/>
    <w:rsid w:val="004276DF"/>
    <w:rsid w:val="00431E9B"/>
    <w:rsid w:val="004379E3"/>
    <w:rsid w:val="0044015E"/>
    <w:rsid w:val="0044291A"/>
    <w:rsid w:val="00467661"/>
    <w:rsid w:val="00472DBE"/>
    <w:rsid w:val="00474A19"/>
    <w:rsid w:val="00477830"/>
    <w:rsid w:val="00487764"/>
    <w:rsid w:val="00496F97"/>
    <w:rsid w:val="004B6C48"/>
    <w:rsid w:val="004C4E59"/>
    <w:rsid w:val="004C6809"/>
    <w:rsid w:val="004C78DC"/>
    <w:rsid w:val="004E063A"/>
    <w:rsid w:val="004E1307"/>
    <w:rsid w:val="004E7BEC"/>
    <w:rsid w:val="00505D3D"/>
    <w:rsid w:val="00506AF6"/>
    <w:rsid w:val="005156AB"/>
    <w:rsid w:val="00516B8D"/>
    <w:rsid w:val="005303C8"/>
    <w:rsid w:val="00537FBC"/>
    <w:rsid w:val="00554826"/>
    <w:rsid w:val="00557772"/>
    <w:rsid w:val="00562877"/>
    <w:rsid w:val="00584811"/>
    <w:rsid w:val="00585784"/>
    <w:rsid w:val="00593AA6"/>
    <w:rsid w:val="00594161"/>
    <w:rsid w:val="00594749"/>
    <w:rsid w:val="005A65D5"/>
    <w:rsid w:val="005B238F"/>
    <w:rsid w:val="005B4067"/>
    <w:rsid w:val="005C3F41"/>
    <w:rsid w:val="005D1D92"/>
    <w:rsid w:val="005D2D09"/>
    <w:rsid w:val="00600219"/>
    <w:rsid w:val="00604F2A"/>
    <w:rsid w:val="00620076"/>
    <w:rsid w:val="00627E0A"/>
    <w:rsid w:val="00635FF3"/>
    <w:rsid w:val="0065488B"/>
    <w:rsid w:val="00670EA1"/>
    <w:rsid w:val="00677CC2"/>
    <w:rsid w:val="0068744B"/>
    <w:rsid w:val="006905DE"/>
    <w:rsid w:val="0069207B"/>
    <w:rsid w:val="006A154F"/>
    <w:rsid w:val="006A437B"/>
    <w:rsid w:val="006B5789"/>
    <w:rsid w:val="006C30C5"/>
    <w:rsid w:val="006C7F8C"/>
    <w:rsid w:val="006E2E1C"/>
    <w:rsid w:val="006E6246"/>
    <w:rsid w:val="006E69C2"/>
    <w:rsid w:val="006E6DCC"/>
    <w:rsid w:val="006F318F"/>
    <w:rsid w:val="0070017E"/>
    <w:rsid w:val="00700B2C"/>
    <w:rsid w:val="007050A2"/>
    <w:rsid w:val="00713084"/>
    <w:rsid w:val="00714F20"/>
    <w:rsid w:val="0071590F"/>
    <w:rsid w:val="00715914"/>
    <w:rsid w:val="0072147A"/>
    <w:rsid w:val="00723791"/>
    <w:rsid w:val="00726B26"/>
    <w:rsid w:val="00731E00"/>
    <w:rsid w:val="00735853"/>
    <w:rsid w:val="007440B7"/>
    <w:rsid w:val="00747294"/>
    <w:rsid w:val="007500C8"/>
    <w:rsid w:val="007535EE"/>
    <w:rsid w:val="00756272"/>
    <w:rsid w:val="007565A8"/>
    <w:rsid w:val="00762D38"/>
    <w:rsid w:val="007715C9"/>
    <w:rsid w:val="00771613"/>
    <w:rsid w:val="00774EDD"/>
    <w:rsid w:val="007757EC"/>
    <w:rsid w:val="00783E89"/>
    <w:rsid w:val="00793915"/>
    <w:rsid w:val="007B5B76"/>
    <w:rsid w:val="007C2253"/>
    <w:rsid w:val="007D7911"/>
    <w:rsid w:val="007E163D"/>
    <w:rsid w:val="007E667A"/>
    <w:rsid w:val="007F28C9"/>
    <w:rsid w:val="007F51B2"/>
    <w:rsid w:val="008040DD"/>
    <w:rsid w:val="008071BB"/>
    <w:rsid w:val="008117E9"/>
    <w:rsid w:val="00824498"/>
    <w:rsid w:val="00826BD1"/>
    <w:rsid w:val="00854D0B"/>
    <w:rsid w:val="00856A31"/>
    <w:rsid w:val="00860B4E"/>
    <w:rsid w:val="00867B37"/>
    <w:rsid w:val="008754D0"/>
    <w:rsid w:val="00875D13"/>
    <w:rsid w:val="008855C9"/>
    <w:rsid w:val="00886456"/>
    <w:rsid w:val="00896176"/>
    <w:rsid w:val="00896B1E"/>
    <w:rsid w:val="008A46E1"/>
    <w:rsid w:val="008A4F43"/>
    <w:rsid w:val="008B2706"/>
    <w:rsid w:val="008B7E2A"/>
    <w:rsid w:val="008C2EAC"/>
    <w:rsid w:val="008D0EE0"/>
    <w:rsid w:val="008E0027"/>
    <w:rsid w:val="008E6067"/>
    <w:rsid w:val="008F54E7"/>
    <w:rsid w:val="00903422"/>
    <w:rsid w:val="009254C3"/>
    <w:rsid w:val="00932377"/>
    <w:rsid w:val="00941236"/>
    <w:rsid w:val="00943FD5"/>
    <w:rsid w:val="00947D5A"/>
    <w:rsid w:val="009532A5"/>
    <w:rsid w:val="009545BD"/>
    <w:rsid w:val="00964CF0"/>
    <w:rsid w:val="00977806"/>
    <w:rsid w:val="00982242"/>
    <w:rsid w:val="009868E9"/>
    <w:rsid w:val="009900A3"/>
    <w:rsid w:val="009C3413"/>
    <w:rsid w:val="009E5CD1"/>
    <w:rsid w:val="009F0173"/>
    <w:rsid w:val="00A0441E"/>
    <w:rsid w:val="00A12128"/>
    <w:rsid w:val="00A14ADF"/>
    <w:rsid w:val="00A22C98"/>
    <w:rsid w:val="00A231E2"/>
    <w:rsid w:val="00A369E3"/>
    <w:rsid w:val="00A429F4"/>
    <w:rsid w:val="00A57600"/>
    <w:rsid w:val="00A64912"/>
    <w:rsid w:val="00A70A74"/>
    <w:rsid w:val="00A74C79"/>
    <w:rsid w:val="00A75FE9"/>
    <w:rsid w:val="00A942A9"/>
    <w:rsid w:val="00AD53CC"/>
    <w:rsid w:val="00AD5641"/>
    <w:rsid w:val="00AF06CF"/>
    <w:rsid w:val="00B07CDB"/>
    <w:rsid w:val="00B16A31"/>
    <w:rsid w:val="00B17DFD"/>
    <w:rsid w:val="00B23E55"/>
    <w:rsid w:val="00B25306"/>
    <w:rsid w:val="00B27831"/>
    <w:rsid w:val="00B308FE"/>
    <w:rsid w:val="00B33709"/>
    <w:rsid w:val="00B33B3C"/>
    <w:rsid w:val="00B36392"/>
    <w:rsid w:val="00B418CB"/>
    <w:rsid w:val="00B47444"/>
    <w:rsid w:val="00B50ADC"/>
    <w:rsid w:val="00B53150"/>
    <w:rsid w:val="00B566B1"/>
    <w:rsid w:val="00B63834"/>
    <w:rsid w:val="00B746AD"/>
    <w:rsid w:val="00B80199"/>
    <w:rsid w:val="00B83204"/>
    <w:rsid w:val="00B856E7"/>
    <w:rsid w:val="00BA220B"/>
    <w:rsid w:val="00BA3A57"/>
    <w:rsid w:val="00BB1533"/>
    <w:rsid w:val="00BB4E1A"/>
    <w:rsid w:val="00BC015E"/>
    <w:rsid w:val="00BC76AC"/>
    <w:rsid w:val="00BD0ECB"/>
    <w:rsid w:val="00BE2155"/>
    <w:rsid w:val="00BE719A"/>
    <w:rsid w:val="00BE720A"/>
    <w:rsid w:val="00BF0D73"/>
    <w:rsid w:val="00BF2465"/>
    <w:rsid w:val="00C0772F"/>
    <w:rsid w:val="00C16619"/>
    <w:rsid w:val="00C25E7F"/>
    <w:rsid w:val="00C2746F"/>
    <w:rsid w:val="00C277F1"/>
    <w:rsid w:val="00C323D6"/>
    <w:rsid w:val="00C324A0"/>
    <w:rsid w:val="00C41E15"/>
    <w:rsid w:val="00C42BF8"/>
    <w:rsid w:val="00C50043"/>
    <w:rsid w:val="00C7573B"/>
    <w:rsid w:val="00C97A54"/>
    <w:rsid w:val="00CA5B23"/>
    <w:rsid w:val="00CB602E"/>
    <w:rsid w:val="00CB7E90"/>
    <w:rsid w:val="00CE051D"/>
    <w:rsid w:val="00CE1335"/>
    <w:rsid w:val="00CE493D"/>
    <w:rsid w:val="00CF07FA"/>
    <w:rsid w:val="00CF0BB2"/>
    <w:rsid w:val="00CF3EE8"/>
    <w:rsid w:val="00D02CB0"/>
    <w:rsid w:val="00D13441"/>
    <w:rsid w:val="00D150E7"/>
    <w:rsid w:val="00D47064"/>
    <w:rsid w:val="00D52DC2"/>
    <w:rsid w:val="00D53BCC"/>
    <w:rsid w:val="00D54C9E"/>
    <w:rsid w:val="00D6537E"/>
    <w:rsid w:val="00D70DFB"/>
    <w:rsid w:val="00D766DF"/>
    <w:rsid w:val="00D8206C"/>
    <w:rsid w:val="00D91F10"/>
    <w:rsid w:val="00D94BDD"/>
    <w:rsid w:val="00DA186E"/>
    <w:rsid w:val="00DA4116"/>
    <w:rsid w:val="00DB251C"/>
    <w:rsid w:val="00DB4630"/>
    <w:rsid w:val="00DC4F88"/>
    <w:rsid w:val="00DE107C"/>
    <w:rsid w:val="00DF2388"/>
    <w:rsid w:val="00E05704"/>
    <w:rsid w:val="00E113B3"/>
    <w:rsid w:val="00E338EF"/>
    <w:rsid w:val="00E37EA0"/>
    <w:rsid w:val="00E53157"/>
    <w:rsid w:val="00E544BB"/>
    <w:rsid w:val="00E74DC7"/>
    <w:rsid w:val="00E8075A"/>
    <w:rsid w:val="00E940D8"/>
    <w:rsid w:val="00E94D5E"/>
    <w:rsid w:val="00EA7100"/>
    <w:rsid w:val="00EA7F9F"/>
    <w:rsid w:val="00EB1274"/>
    <w:rsid w:val="00ED2BB6"/>
    <w:rsid w:val="00ED34E1"/>
    <w:rsid w:val="00ED3B8D"/>
    <w:rsid w:val="00EE5E36"/>
    <w:rsid w:val="00EE5F73"/>
    <w:rsid w:val="00EF2E3A"/>
    <w:rsid w:val="00F02C7C"/>
    <w:rsid w:val="00F06CDF"/>
    <w:rsid w:val="00F072A7"/>
    <w:rsid w:val="00F078DC"/>
    <w:rsid w:val="00F32BA8"/>
    <w:rsid w:val="00F32EE0"/>
    <w:rsid w:val="00F349F1"/>
    <w:rsid w:val="00F4350D"/>
    <w:rsid w:val="00F479C4"/>
    <w:rsid w:val="00F567F7"/>
    <w:rsid w:val="00F56E9A"/>
    <w:rsid w:val="00F6696E"/>
    <w:rsid w:val="00F73BD6"/>
    <w:rsid w:val="00F83989"/>
    <w:rsid w:val="00F84D6F"/>
    <w:rsid w:val="00F85099"/>
    <w:rsid w:val="00F9379C"/>
    <w:rsid w:val="00F9632C"/>
    <w:rsid w:val="00FA1E52"/>
    <w:rsid w:val="00FB5A08"/>
    <w:rsid w:val="00FC0EA5"/>
    <w:rsid w:val="00FC6A80"/>
    <w:rsid w:val="00FE4688"/>
    <w:rsid w:val="00FF49B0"/>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AFFEF"/>
  <w15:docId w15:val="{C29BEC7E-5C85-449E-95A8-1A5BE524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635FF3"/>
    <w:rPr>
      <w:sz w:val="16"/>
      <w:szCs w:val="16"/>
    </w:rPr>
  </w:style>
  <w:style w:type="paragraph" w:styleId="CommentText">
    <w:name w:val="annotation text"/>
    <w:basedOn w:val="Normal"/>
    <w:link w:val="CommentTextChar"/>
    <w:uiPriority w:val="99"/>
    <w:semiHidden/>
    <w:unhideWhenUsed/>
    <w:rsid w:val="00635FF3"/>
    <w:pPr>
      <w:spacing w:line="240" w:lineRule="auto"/>
    </w:pPr>
    <w:rPr>
      <w:sz w:val="20"/>
    </w:rPr>
  </w:style>
  <w:style w:type="character" w:customStyle="1" w:styleId="CommentTextChar">
    <w:name w:val="Comment Text Char"/>
    <w:basedOn w:val="DefaultParagraphFont"/>
    <w:link w:val="CommentText"/>
    <w:uiPriority w:val="99"/>
    <w:semiHidden/>
    <w:rsid w:val="00635FF3"/>
  </w:style>
  <w:style w:type="paragraph" w:styleId="CommentSubject">
    <w:name w:val="annotation subject"/>
    <w:basedOn w:val="CommentText"/>
    <w:next w:val="CommentText"/>
    <w:link w:val="CommentSubjectChar"/>
    <w:uiPriority w:val="99"/>
    <w:semiHidden/>
    <w:unhideWhenUsed/>
    <w:rsid w:val="00635FF3"/>
    <w:rPr>
      <w:b/>
      <w:bCs/>
    </w:rPr>
  </w:style>
  <w:style w:type="character" w:customStyle="1" w:styleId="CommentSubjectChar">
    <w:name w:val="Comment Subject Char"/>
    <w:basedOn w:val="CommentTextChar"/>
    <w:link w:val="CommentSubject"/>
    <w:uiPriority w:val="99"/>
    <w:semiHidden/>
    <w:rsid w:val="00635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65087">
      <w:bodyDiv w:val="1"/>
      <w:marLeft w:val="0"/>
      <w:marRight w:val="0"/>
      <w:marTop w:val="0"/>
      <w:marBottom w:val="0"/>
      <w:divBdr>
        <w:top w:val="none" w:sz="0" w:space="0" w:color="auto"/>
        <w:left w:val="none" w:sz="0" w:space="0" w:color="auto"/>
        <w:bottom w:val="none" w:sz="0" w:space="0" w:color="auto"/>
        <w:right w:val="none" w:sz="0" w:space="0" w:color="auto"/>
      </w:divBdr>
      <w:divsChild>
        <w:div w:id="807698185">
          <w:marLeft w:val="0"/>
          <w:marRight w:val="0"/>
          <w:marTop w:val="0"/>
          <w:marBottom w:val="0"/>
          <w:divBdr>
            <w:top w:val="none" w:sz="0" w:space="0" w:color="auto"/>
            <w:left w:val="none" w:sz="0" w:space="0" w:color="auto"/>
            <w:bottom w:val="none" w:sz="0" w:space="0" w:color="auto"/>
            <w:right w:val="none" w:sz="0" w:space="0" w:color="auto"/>
          </w:divBdr>
          <w:divsChild>
            <w:div w:id="1997103098">
              <w:marLeft w:val="0"/>
              <w:marRight w:val="0"/>
              <w:marTop w:val="0"/>
              <w:marBottom w:val="0"/>
              <w:divBdr>
                <w:top w:val="none" w:sz="0" w:space="0" w:color="auto"/>
                <w:left w:val="none" w:sz="0" w:space="0" w:color="auto"/>
                <w:bottom w:val="none" w:sz="0" w:space="0" w:color="auto"/>
                <w:right w:val="none" w:sz="0" w:space="0" w:color="auto"/>
              </w:divBdr>
              <w:divsChild>
                <w:div w:id="1716588828">
                  <w:marLeft w:val="0"/>
                  <w:marRight w:val="0"/>
                  <w:marTop w:val="0"/>
                  <w:marBottom w:val="0"/>
                  <w:divBdr>
                    <w:top w:val="none" w:sz="0" w:space="0" w:color="auto"/>
                    <w:left w:val="none" w:sz="0" w:space="0" w:color="auto"/>
                    <w:bottom w:val="none" w:sz="0" w:space="0" w:color="auto"/>
                    <w:right w:val="none" w:sz="0" w:space="0" w:color="auto"/>
                  </w:divBdr>
                  <w:divsChild>
                    <w:div w:id="1482850232">
                      <w:marLeft w:val="0"/>
                      <w:marRight w:val="0"/>
                      <w:marTop w:val="0"/>
                      <w:marBottom w:val="0"/>
                      <w:divBdr>
                        <w:top w:val="none" w:sz="0" w:space="0" w:color="auto"/>
                        <w:left w:val="none" w:sz="0" w:space="0" w:color="auto"/>
                        <w:bottom w:val="none" w:sz="0" w:space="0" w:color="auto"/>
                        <w:right w:val="none" w:sz="0" w:space="0" w:color="auto"/>
                      </w:divBdr>
                      <w:divsChild>
                        <w:div w:id="249117562">
                          <w:marLeft w:val="0"/>
                          <w:marRight w:val="0"/>
                          <w:marTop w:val="0"/>
                          <w:marBottom w:val="0"/>
                          <w:divBdr>
                            <w:top w:val="none" w:sz="0" w:space="0" w:color="auto"/>
                            <w:left w:val="none" w:sz="0" w:space="0" w:color="auto"/>
                            <w:bottom w:val="none" w:sz="0" w:space="0" w:color="auto"/>
                            <w:right w:val="none" w:sz="0" w:space="0" w:color="auto"/>
                          </w:divBdr>
                          <w:divsChild>
                            <w:div w:id="591550010">
                              <w:marLeft w:val="0"/>
                              <w:marRight w:val="0"/>
                              <w:marTop w:val="0"/>
                              <w:marBottom w:val="0"/>
                              <w:divBdr>
                                <w:top w:val="none" w:sz="0" w:space="0" w:color="auto"/>
                                <w:left w:val="none" w:sz="0" w:space="0" w:color="auto"/>
                                <w:bottom w:val="none" w:sz="0" w:space="0" w:color="auto"/>
                                <w:right w:val="none" w:sz="0" w:space="0" w:color="auto"/>
                              </w:divBdr>
                              <w:divsChild>
                                <w:div w:id="1131677631">
                                  <w:marLeft w:val="0"/>
                                  <w:marRight w:val="0"/>
                                  <w:marTop w:val="0"/>
                                  <w:marBottom w:val="0"/>
                                  <w:divBdr>
                                    <w:top w:val="none" w:sz="0" w:space="0" w:color="auto"/>
                                    <w:left w:val="none" w:sz="0" w:space="0" w:color="auto"/>
                                    <w:bottom w:val="none" w:sz="0" w:space="0" w:color="auto"/>
                                    <w:right w:val="none" w:sz="0" w:space="0" w:color="auto"/>
                                  </w:divBdr>
                                  <w:divsChild>
                                    <w:div w:id="174153686">
                                      <w:marLeft w:val="0"/>
                                      <w:marRight w:val="0"/>
                                      <w:marTop w:val="0"/>
                                      <w:marBottom w:val="0"/>
                                      <w:divBdr>
                                        <w:top w:val="none" w:sz="0" w:space="0" w:color="auto"/>
                                        <w:left w:val="none" w:sz="0" w:space="0" w:color="auto"/>
                                        <w:bottom w:val="none" w:sz="0" w:space="0" w:color="auto"/>
                                        <w:right w:val="none" w:sz="0" w:space="0" w:color="auto"/>
                                      </w:divBdr>
                                      <w:divsChild>
                                        <w:div w:id="729616952">
                                          <w:marLeft w:val="0"/>
                                          <w:marRight w:val="0"/>
                                          <w:marTop w:val="0"/>
                                          <w:marBottom w:val="0"/>
                                          <w:divBdr>
                                            <w:top w:val="none" w:sz="0" w:space="0" w:color="auto"/>
                                            <w:left w:val="none" w:sz="0" w:space="0" w:color="auto"/>
                                            <w:bottom w:val="none" w:sz="0" w:space="0" w:color="auto"/>
                                            <w:right w:val="none" w:sz="0" w:space="0" w:color="auto"/>
                                          </w:divBdr>
                                          <w:divsChild>
                                            <w:div w:id="1951623787">
                                              <w:marLeft w:val="0"/>
                                              <w:marRight w:val="0"/>
                                              <w:marTop w:val="0"/>
                                              <w:marBottom w:val="0"/>
                                              <w:divBdr>
                                                <w:top w:val="none" w:sz="0" w:space="0" w:color="auto"/>
                                                <w:left w:val="none" w:sz="0" w:space="0" w:color="auto"/>
                                                <w:bottom w:val="none" w:sz="0" w:space="0" w:color="auto"/>
                                                <w:right w:val="none" w:sz="0" w:space="0" w:color="auto"/>
                                              </w:divBdr>
                                              <w:divsChild>
                                                <w:div w:id="603152887">
                                                  <w:marLeft w:val="0"/>
                                                  <w:marRight w:val="0"/>
                                                  <w:marTop w:val="0"/>
                                                  <w:marBottom w:val="0"/>
                                                  <w:divBdr>
                                                    <w:top w:val="none" w:sz="0" w:space="0" w:color="auto"/>
                                                    <w:left w:val="none" w:sz="0" w:space="0" w:color="auto"/>
                                                    <w:bottom w:val="none" w:sz="0" w:space="0" w:color="auto"/>
                                                    <w:right w:val="none" w:sz="0" w:space="0" w:color="auto"/>
                                                  </w:divBdr>
                                                  <w:divsChild>
                                                    <w:div w:id="1108696855">
                                                      <w:marLeft w:val="0"/>
                                                      <w:marRight w:val="0"/>
                                                      <w:marTop w:val="0"/>
                                                      <w:marBottom w:val="0"/>
                                                      <w:divBdr>
                                                        <w:top w:val="none" w:sz="0" w:space="0" w:color="auto"/>
                                                        <w:left w:val="none" w:sz="0" w:space="0" w:color="auto"/>
                                                        <w:bottom w:val="none" w:sz="0" w:space="0" w:color="auto"/>
                                                        <w:right w:val="none" w:sz="0" w:space="0" w:color="auto"/>
                                                      </w:divBdr>
                                                      <w:divsChild>
                                                        <w:div w:id="3103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9368055">
      <w:bodyDiv w:val="1"/>
      <w:marLeft w:val="0"/>
      <w:marRight w:val="0"/>
      <w:marTop w:val="0"/>
      <w:marBottom w:val="0"/>
      <w:divBdr>
        <w:top w:val="none" w:sz="0" w:space="0" w:color="auto"/>
        <w:left w:val="none" w:sz="0" w:space="0" w:color="auto"/>
        <w:bottom w:val="none" w:sz="0" w:space="0" w:color="auto"/>
        <w:right w:val="none" w:sz="0" w:space="0" w:color="auto"/>
      </w:divBdr>
      <w:divsChild>
        <w:div w:id="2074815576">
          <w:marLeft w:val="0"/>
          <w:marRight w:val="0"/>
          <w:marTop w:val="0"/>
          <w:marBottom w:val="0"/>
          <w:divBdr>
            <w:top w:val="none" w:sz="0" w:space="0" w:color="auto"/>
            <w:left w:val="none" w:sz="0" w:space="0" w:color="auto"/>
            <w:bottom w:val="none" w:sz="0" w:space="0" w:color="auto"/>
            <w:right w:val="none" w:sz="0" w:space="0" w:color="auto"/>
          </w:divBdr>
          <w:divsChild>
            <w:div w:id="1209024456">
              <w:marLeft w:val="0"/>
              <w:marRight w:val="0"/>
              <w:marTop w:val="0"/>
              <w:marBottom w:val="0"/>
              <w:divBdr>
                <w:top w:val="none" w:sz="0" w:space="0" w:color="auto"/>
                <w:left w:val="none" w:sz="0" w:space="0" w:color="auto"/>
                <w:bottom w:val="none" w:sz="0" w:space="0" w:color="auto"/>
                <w:right w:val="none" w:sz="0" w:space="0" w:color="auto"/>
              </w:divBdr>
              <w:divsChild>
                <w:div w:id="1547333882">
                  <w:marLeft w:val="0"/>
                  <w:marRight w:val="0"/>
                  <w:marTop w:val="0"/>
                  <w:marBottom w:val="0"/>
                  <w:divBdr>
                    <w:top w:val="none" w:sz="0" w:space="0" w:color="auto"/>
                    <w:left w:val="none" w:sz="0" w:space="0" w:color="auto"/>
                    <w:bottom w:val="none" w:sz="0" w:space="0" w:color="auto"/>
                    <w:right w:val="none" w:sz="0" w:space="0" w:color="auto"/>
                  </w:divBdr>
                  <w:divsChild>
                    <w:div w:id="1077822421">
                      <w:marLeft w:val="0"/>
                      <w:marRight w:val="0"/>
                      <w:marTop w:val="0"/>
                      <w:marBottom w:val="0"/>
                      <w:divBdr>
                        <w:top w:val="none" w:sz="0" w:space="0" w:color="auto"/>
                        <w:left w:val="none" w:sz="0" w:space="0" w:color="auto"/>
                        <w:bottom w:val="none" w:sz="0" w:space="0" w:color="auto"/>
                        <w:right w:val="none" w:sz="0" w:space="0" w:color="auto"/>
                      </w:divBdr>
                      <w:divsChild>
                        <w:div w:id="1546211445">
                          <w:marLeft w:val="0"/>
                          <w:marRight w:val="0"/>
                          <w:marTop w:val="0"/>
                          <w:marBottom w:val="0"/>
                          <w:divBdr>
                            <w:top w:val="none" w:sz="0" w:space="0" w:color="auto"/>
                            <w:left w:val="none" w:sz="0" w:space="0" w:color="auto"/>
                            <w:bottom w:val="none" w:sz="0" w:space="0" w:color="auto"/>
                            <w:right w:val="none" w:sz="0" w:space="0" w:color="auto"/>
                          </w:divBdr>
                          <w:divsChild>
                            <w:div w:id="1844272280">
                              <w:marLeft w:val="0"/>
                              <w:marRight w:val="0"/>
                              <w:marTop w:val="0"/>
                              <w:marBottom w:val="0"/>
                              <w:divBdr>
                                <w:top w:val="none" w:sz="0" w:space="0" w:color="auto"/>
                                <w:left w:val="none" w:sz="0" w:space="0" w:color="auto"/>
                                <w:bottom w:val="none" w:sz="0" w:space="0" w:color="auto"/>
                                <w:right w:val="none" w:sz="0" w:space="0" w:color="auto"/>
                              </w:divBdr>
                              <w:divsChild>
                                <w:div w:id="1019964326">
                                  <w:marLeft w:val="0"/>
                                  <w:marRight w:val="0"/>
                                  <w:marTop w:val="0"/>
                                  <w:marBottom w:val="0"/>
                                  <w:divBdr>
                                    <w:top w:val="none" w:sz="0" w:space="0" w:color="auto"/>
                                    <w:left w:val="none" w:sz="0" w:space="0" w:color="auto"/>
                                    <w:bottom w:val="none" w:sz="0" w:space="0" w:color="auto"/>
                                    <w:right w:val="none" w:sz="0" w:space="0" w:color="auto"/>
                                  </w:divBdr>
                                  <w:divsChild>
                                    <w:div w:id="449861052">
                                      <w:marLeft w:val="0"/>
                                      <w:marRight w:val="0"/>
                                      <w:marTop w:val="0"/>
                                      <w:marBottom w:val="0"/>
                                      <w:divBdr>
                                        <w:top w:val="none" w:sz="0" w:space="0" w:color="auto"/>
                                        <w:left w:val="none" w:sz="0" w:space="0" w:color="auto"/>
                                        <w:bottom w:val="none" w:sz="0" w:space="0" w:color="auto"/>
                                        <w:right w:val="none" w:sz="0" w:space="0" w:color="auto"/>
                                      </w:divBdr>
                                      <w:divsChild>
                                        <w:div w:id="1722707056">
                                          <w:marLeft w:val="0"/>
                                          <w:marRight w:val="0"/>
                                          <w:marTop w:val="0"/>
                                          <w:marBottom w:val="0"/>
                                          <w:divBdr>
                                            <w:top w:val="none" w:sz="0" w:space="0" w:color="auto"/>
                                            <w:left w:val="none" w:sz="0" w:space="0" w:color="auto"/>
                                            <w:bottom w:val="none" w:sz="0" w:space="0" w:color="auto"/>
                                            <w:right w:val="none" w:sz="0" w:space="0" w:color="auto"/>
                                          </w:divBdr>
                                          <w:divsChild>
                                            <w:div w:id="1923753209">
                                              <w:marLeft w:val="0"/>
                                              <w:marRight w:val="0"/>
                                              <w:marTop w:val="0"/>
                                              <w:marBottom w:val="0"/>
                                              <w:divBdr>
                                                <w:top w:val="none" w:sz="0" w:space="0" w:color="auto"/>
                                                <w:left w:val="none" w:sz="0" w:space="0" w:color="auto"/>
                                                <w:bottom w:val="none" w:sz="0" w:space="0" w:color="auto"/>
                                                <w:right w:val="none" w:sz="0" w:space="0" w:color="auto"/>
                                              </w:divBdr>
                                              <w:divsChild>
                                                <w:div w:id="303000279">
                                                  <w:marLeft w:val="0"/>
                                                  <w:marRight w:val="0"/>
                                                  <w:marTop w:val="0"/>
                                                  <w:marBottom w:val="0"/>
                                                  <w:divBdr>
                                                    <w:top w:val="none" w:sz="0" w:space="0" w:color="auto"/>
                                                    <w:left w:val="none" w:sz="0" w:space="0" w:color="auto"/>
                                                    <w:bottom w:val="none" w:sz="0" w:space="0" w:color="auto"/>
                                                    <w:right w:val="none" w:sz="0" w:space="0" w:color="auto"/>
                                                  </w:divBdr>
                                                  <w:divsChild>
                                                    <w:div w:id="257569549">
                                                      <w:marLeft w:val="0"/>
                                                      <w:marRight w:val="0"/>
                                                      <w:marTop w:val="0"/>
                                                      <w:marBottom w:val="0"/>
                                                      <w:divBdr>
                                                        <w:top w:val="none" w:sz="0" w:space="0" w:color="auto"/>
                                                        <w:left w:val="none" w:sz="0" w:space="0" w:color="auto"/>
                                                        <w:bottom w:val="none" w:sz="0" w:space="0" w:color="auto"/>
                                                        <w:right w:val="none" w:sz="0" w:space="0" w:color="auto"/>
                                                      </w:divBdr>
                                                      <w:divsChild>
                                                        <w:div w:id="4949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5.xml" Id="rId18" /><Relationship Type="http://schemas.openxmlformats.org/officeDocument/2006/relationships/numbering" Target="numbering.xml" Id="rId3" /><Relationship Type="http://schemas.openxmlformats.org/officeDocument/2006/relationships/header" Target="header7.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header" Target="header6.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fontTable" Target="fontTable.xml" Id="rId24"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footer" Target="footer7.xml" Id="rId23" /><Relationship Type="http://schemas.openxmlformats.org/officeDocument/2006/relationships/header" Target="header1.xml" Id="rId10" /><Relationship Type="http://schemas.openxmlformats.org/officeDocument/2006/relationships/header" Target="header5.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footer" Target="footer3.xml" Id="rId14" /><Relationship Type="http://schemas.openxmlformats.org/officeDocument/2006/relationships/footer" Target="footer6.xml" Id="rId22" /><Relationship Type="http://schemas.openxmlformats.org/officeDocument/2006/relationships/customXml" Target="/customXML/item3.xml" Id="R7a71190ce4f1459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r\Objects\OPC%20template%20-%20principal%20instrument%20(A132395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A1383769</value>
    </field>
    <field name="Objective-Title">
      <value order="0">190321 Agricultural and Veterinary Chemicals Code (Notifiable Variations) Instrument 2019</value>
    </field>
    <field name="Objective-Description">
      <value order="0"/>
    </field>
    <field name="Objective-CreationStamp">
      <value order="0">2019-03-20T02:20:17Z</value>
    </field>
    <field name="Objective-IsApproved">
      <value order="0">false</value>
    </field>
    <field name="Objective-IsPublished">
      <value order="0">true</value>
    </field>
    <field name="Objective-DatePublished">
      <value order="0">2019-03-21T04:20:30Z</value>
    </field>
    <field name="Objective-ModificationStamp">
      <value order="0">2019-03-21T04:20:30Z</value>
    </field>
    <field name="Objective-Owner">
      <value order="0">Dean Ager</value>
    </field>
    <field name="Objective-Path">
      <value order="0">APVMA:LEGAL SERVICES:Legal Services - Legislative Instruments:Agricultural and Veterinary Chemicals Code (Notifiable and Prescribed Variations) - 2018 amendments:Lex 5508- Legislative Instrument - Draft to replace repealed regulations:01 Instruments</value>
    </field>
    <field name="Objective-Parent">
      <value order="0">01 Instruments</value>
    </field>
    <field name="Objective-State">
      <value order="0">Published</value>
    </field>
    <field name="Objective-VersionId">
      <value order="0">vA2178342</value>
    </field>
    <field name="Objective-Version">
      <value order="0">2.0</value>
    </field>
    <field name="Objective-VersionNumber">
      <value order="0">3</value>
    </field>
    <field name="Objective-VersionComment">
      <value order="0"/>
    </field>
    <field name="Objective-FileNumber">
      <value order="0">qA167127</value>
    </field>
    <field name="Objective-Classification">
      <value order="0">Sensitive: Legal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689B9472-4AD7-4491-8D35-32CEAB6D3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OPC template - principal instrument (A1323959).dotx</Template>
  <TotalTime>1</TotalTime>
  <Pages>9</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AGER, Dean</dc:creator>
  <cp:lastModifiedBy>AGER, Dean</cp:lastModifiedBy>
  <cp:revision>3</cp:revision>
  <dcterms:created xsi:type="dcterms:W3CDTF">2019-03-20T02:20:00Z</dcterms:created>
  <dcterms:modified xsi:type="dcterms:W3CDTF">2019-03-21T04:20:00Z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A1383769</vt:lpwstr>
  </property>
  <property fmtid="{D5CDD505-2E9C-101B-9397-08002B2CF9AE}" pid="4" name="Objective-Title">
    <vt:lpwstr>190321 Agricultural and Veterinary Chemicals Code (Notifiable Variations) Instrument 2019</vt:lpwstr>
  </property>
  <property fmtid="{D5CDD505-2E9C-101B-9397-08002B2CF9AE}" pid="5" name="Objective-Description">
    <vt:lpwstr/>
  </property>
  <property fmtid="{D5CDD505-2E9C-101B-9397-08002B2CF9AE}" pid="6" name="Objective-CreationStamp">
    <vt:filetime>2019-03-20T02:20:17Z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2019-03-21T04:20:30Z</vt:filetime>
  </property>
  <property fmtid="{D5CDD505-2E9C-101B-9397-08002B2CF9AE}" pid="10" name="Objective-ModificationStamp">
    <vt:filetime>2019-03-21T04:20:30Z</vt:filetime>
  </property>
  <property fmtid="{D5CDD505-2E9C-101B-9397-08002B2CF9AE}" pid="11" name="Objective-Owner">
    <vt:lpwstr>Dean Ager</vt:lpwstr>
  </property>
  <property fmtid="{D5CDD505-2E9C-101B-9397-08002B2CF9AE}" pid="12" name="Objective-Path">
    <vt:lpwstr>APVMA:LEGAL SERVICES:Legal Services - Legislative Instruments:Agricultural and Veterinary Chemicals Code (Notifiable and Prescribed Variations) - 2018 amendments:Lex 5508- Legislative Instrument - Draft to replace repealed regulations:01 Instruments</vt:lpwstr>
  </property>
  <property fmtid="{D5CDD505-2E9C-101B-9397-08002B2CF9AE}" pid="13" name="Objective-Parent">
    <vt:lpwstr>01 Instruments</vt:lpwstr>
  </property>
  <property fmtid="{D5CDD505-2E9C-101B-9397-08002B2CF9AE}" pid="14" name="Objective-State">
    <vt:lpwstr>Published</vt:lpwstr>
  </property>
  <property fmtid="{D5CDD505-2E9C-101B-9397-08002B2CF9AE}" pid="15" name="Objective-VersionId">
    <vt:lpwstr>vA2178342</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qA167127</vt:lpwstr>
  </property>
  <property fmtid="{D5CDD505-2E9C-101B-9397-08002B2CF9AE}" pid="20" name="Objective-Classification">
    <vt:lpwstr>Sensitive: Legal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