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0440069B" w14:textId="78B63E53" w:rsidR="00ED7A30" w:rsidRPr="00EB601D" w:rsidRDefault="00393A85" w:rsidP="00C81D3E">
      <w:pPr>
        <w:ind w:right="-483"/>
        <w:jc w:val="center"/>
        <w:rPr>
          <w:szCs w:val="24"/>
          <w:highlight w:val="yellow"/>
        </w:rPr>
      </w:pPr>
      <w:r>
        <w:rPr>
          <w:i/>
          <w:szCs w:val="24"/>
        </w:rPr>
        <w:t>Health Insurance (</w:t>
      </w:r>
      <w:r w:rsidR="00820C33">
        <w:rPr>
          <w:i/>
          <w:szCs w:val="24"/>
        </w:rPr>
        <w:t>Pathologist</w:t>
      </w:r>
      <w:r w:rsidR="0015182B">
        <w:rPr>
          <w:i/>
          <w:szCs w:val="24"/>
        </w:rPr>
        <w:t>-determinable Service</w:t>
      </w:r>
      <w:r w:rsidR="00820C33">
        <w:rPr>
          <w:i/>
          <w:szCs w:val="24"/>
        </w:rPr>
        <w:t>s</w:t>
      </w:r>
      <w:r w:rsidR="0015182B">
        <w:rPr>
          <w:i/>
          <w:szCs w:val="24"/>
        </w:rPr>
        <w:t>)</w:t>
      </w:r>
      <w:r>
        <w:rPr>
          <w:i/>
          <w:szCs w:val="24"/>
        </w:rPr>
        <w:t xml:space="preserve"> </w:t>
      </w:r>
      <w:r w:rsidR="00103606">
        <w:rPr>
          <w:i/>
          <w:szCs w:val="24"/>
        </w:rPr>
        <w:t xml:space="preserve">Amendment Determination </w:t>
      </w:r>
      <w:r>
        <w:rPr>
          <w:i/>
          <w:szCs w:val="24"/>
        </w:rPr>
        <w:t>201</w:t>
      </w:r>
      <w:r w:rsidR="00A045C5">
        <w:rPr>
          <w:i/>
          <w:szCs w:val="24"/>
        </w:rPr>
        <w:t>9</w:t>
      </w:r>
    </w:p>
    <w:p w14:paraId="7D7FA010" w14:textId="4035384D" w:rsidR="008C4A64" w:rsidRDefault="008C4A64" w:rsidP="008C4A64">
      <w:pPr>
        <w:shd w:val="clear" w:color="auto" w:fill="FFFFFF"/>
        <w:spacing w:before="100" w:beforeAutospacing="1" w:after="100" w:afterAutospacing="1"/>
        <w:rPr>
          <w:szCs w:val="24"/>
        </w:rPr>
      </w:pPr>
      <w:r w:rsidRPr="0015182B">
        <w:rPr>
          <w:szCs w:val="24"/>
        </w:rPr>
        <w:t xml:space="preserve">Section 16A of the </w:t>
      </w:r>
      <w:r w:rsidRPr="0015182B">
        <w:rPr>
          <w:i/>
          <w:iCs/>
          <w:szCs w:val="24"/>
        </w:rPr>
        <w:t>Health Insurance Act 1973</w:t>
      </w:r>
      <w:r w:rsidRPr="0015182B">
        <w:rPr>
          <w:szCs w:val="24"/>
        </w:rPr>
        <w:t xml:space="preserve"> </w:t>
      </w:r>
      <w:r>
        <w:rPr>
          <w:szCs w:val="24"/>
        </w:rPr>
        <w:t xml:space="preserve">(the </w:t>
      </w:r>
      <w:r w:rsidRPr="0015182B">
        <w:rPr>
          <w:szCs w:val="24"/>
        </w:rPr>
        <w:t>Act</w:t>
      </w:r>
      <w:r>
        <w:rPr>
          <w:szCs w:val="24"/>
        </w:rPr>
        <w:t>)</w:t>
      </w:r>
      <w:r w:rsidRPr="0015182B">
        <w:rPr>
          <w:szCs w:val="24"/>
        </w:rPr>
        <w:t xml:space="preserve"> specifies that certain requirements have to be met for the payment of Medicare benefits in relation to pathology services, including the requirement for a pathology service to be requested (</w:t>
      </w:r>
      <w:r>
        <w:rPr>
          <w:szCs w:val="24"/>
        </w:rPr>
        <w:t xml:space="preserve">subsection </w:t>
      </w:r>
      <w:r w:rsidRPr="0015182B">
        <w:rPr>
          <w:szCs w:val="24"/>
        </w:rPr>
        <w:t>16A(3)).  Pathologist-determinable services allow Medicare benefits to be paid for pathology services which are requested and performed by a</w:t>
      </w:r>
      <w:r>
        <w:rPr>
          <w:szCs w:val="24"/>
        </w:rPr>
        <w:t>n approved pathology practitioner</w:t>
      </w:r>
      <w:r w:rsidRPr="0015182B">
        <w:rPr>
          <w:szCs w:val="24"/>
        </w:rPr>
        <w:t xml:space="preserve"> for their own patients</w:t>
      </w:r>
      <w:r>
        <w:rPr>
          <w:szCs w:val="24"/>
        </w:rPr>
        <w:t>,</w:t>
      </w:r>
      <w:r w:rsidRPr="0015182B">
        <w:rPr>
          <w:szCs w:val="24"/>
        </w:rPr>
        <w:t xml:space="preserve"> or for certain tests which are not requested, but are performed on the basis of information learned from an originally requested service.</w:t>
      </w:r>
    </w:p>
    <w:p w14:paraId="743483A7" w14:textId="5C942866" w:rsidR="00C61B8F" w:rsidRPr="0015182B" w:rsidRDefault="00C61B8F" w:rsidP="00C61B8F">
      <w:pPr>
        <w:shd w:val="clear" w:color="auto" w:fill="FFFFFF"/>
        <w:spacing w:before="100" w:beforeAutospacing="1" w:after="100" w:afterAutospacing="1"/>
        <w:rPr>
          <w:szCs w:val="24"/>
          <w:lang w:val="en-US"/>
        </w:rPr>
      </w:pPr>
      <w:r w:rsidRPr="0015182B">
        <w:rPr>
          <w:szCs w:val="24"/>
        </w:rPr>
        <w:t xml:space="preserve">Section 4BA of the Act provides </w:t>
      </w:r>
      <w:r w:rsidR="008C4A64">
        <w:rPr>
          <w:szCs w:val="24"/>
        </w:rPr>
        <w:t>that</w:t>
      </w:r>
      <w:r w:rsidRPr="0015182B">
        <w:rPr>
          <w:szCs w:val="24"/>
        </w:rPr>
        <w:t xml:space="preserve"> the Minister </w:t>
      </w:r>
      <w:r w:rsidR="008C4A64">
        <w:rPr>
          <w:szCs w:val="24"/>
        </w:rPr>
        <w:t>for Health may</w:t>
      </w:r>
      <w:r w:rsidRPr="0015182B">
        <w:rPr>
          <w:szCs w:val="24"/>
        </w:rPr>
        <w:t xml:space="preserve"> determine </w:t>
      </w:r>
      <w:r w:rsidR="008C4A64">
        <w:rPr>
          <w:szCs w:val="24"/>
        </w:rPr>
        <w:t xml:space="preserve">by legislative instrument, </w:t>
      </w:r>
      <w:r w:rsidRPr="0015182B">
        <w:rPr>
          <w:szCs w:val="24"/>
        </w:rPr>
        <w:t>that a particular pathology service</w:t>
      </w:r>
      <w:r w:rsidR="008C4A64">
        <w:rPr>
          <w:szCs w:val="24"/>
        </w:rPr>
        <w:t>,</w:t>
      </w:r>
      <w:r w:rsidRPr="0015182B">
        <w:rPr>
          <w:szCs w:val="24"/>
        </w:rPr>
        <w:t xml:space="preserve"> or pathology services included in a class of pathology services</w:t>
      </w:r>
      <w:r w:rsidR="00174BA5">
        <w:rPr>
          <w:szCs w:val="24"/>
        </w:rPr>
        <w:t>,</w:t>
      </w:r>
      <w:r w:rsidR="008C4A64">
        <w:rPr>
          <w:szCs w:val="24"/>
        </w:rPr>
        <w:t xml:space="preserve"> </w:t>
      </w:r>
      <w:r w:rsidRPr="0015182B">
        <w:rPr>
          <w:szCs w:val="24"/>
        </w:rPr>
        <w:t>are pathologist-determinable services after consultation with Royal College of Pathologists of Australasia.</w:t>
      </w:r>
    </w:p>
    <w:p w14:paraId="5C66DF3D" w14:textId="77777777" w:rsidR="00C61B8F" w:rsidRDefault="00C61B8F" w:rsidP="00C61B8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t xml:space="preserve">Subsection 33(3) of the </w:t>
      </w:r>
      <w:r>
        <w:rPr>
          <w:i/>
        </w:rPr>
        <w:t xml:space="preserve">Acts Interpretation Act 1901 </w:t>
      </w:r>
      <w:r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t>t.</w:t>
      </w:r>
    </w:p>
    <w:p w14:paraId="07ED56C4" w14:textId="77777777" w:rsidR="00C61B8F" w:rsidRDefault="00C61B8F" w:rsidP="00ED6CCC">
      <w:pPr>
        <w:rPr>
          <w:b/>
          <w:szCs w:val="24"/>
          <w:lang w:val="en-US" w:eastAsia="en-US"/>
        </w:rPr>
      </w:pPr>
    </w:p>
    <w:p w14:paraId="72CD2DB9" w14:textId="373BB075" w:rsidR="00ED6CCC" w:rsidRDefault="00A1739A" w:rsidP="00ED6CCC">
      <w:pPr>
        <w:rPr>
          <w:b/>
          <w:szCs w:val="24"/>
          <w:lang w:val="en-US" w:eastAsia="en-US"/>
        </w:rPr>
      </w:pPr>
      <w:r w:rsidRPr="00CD4A21">
        <w:rPr>
          <w:b/>
          <w:szCs w:val="24"/>
          <w:lang w:val="en-US" w:eastAsia="en-US"/>
        </w:rPr>
        <w:t>Purpose</w:t>
      </w:r>
    </w:p>
    <w:p w14:paraId="44E980C3" w14:textId="3EDC105E" w:rsidR="008C4A64" w:rsidRPr="008C4A64" w:rsidRDefault="00A045C5" w:rsidP="008C4A64">
      <w:pPr>
        <w:tabs>
          <w:tab w:val="left" w:pos="709"/>
        </w:tabs>
        <w:rPr>
          <w:szCs w:val="24"/>
        </w:rPr>
      </w:pPr>
      <w:r>
        <w:rPr>
          <w:szCs w:val="24"/>
        </w:rPr>
        <w:t>Item 73341</w:t>
      </w:r>
      <w:r w:rsidR="008C4A64">
        <w:rPr>
          <w:szCs w:val="24"/>
        </w:rPr>
        <w:t xml:space="preserve"> is </w:t>
      </w:r>
      <w:r w:rsidR="008C4A64" w:rsidRPr="008C4A64">
        <w:rPr>
          <w:szCs w:val="24"/>
        </w:rPr>
        <w:t xml:space="preserve">for fluorescent in situ hybridisation testing for anaplastic lymphoma kinase </w:t>
      </w:r>
      <w:proofErr w:type="spellStart"/>
      <w:r w:rsidR="008C4A64" w:rsidRPr="008C4A64">
        <w:rPr>
          <w:szCs w:val="24"/>
        </w:rPr>
        <w:t>immunoreactivity</w:t>
      </w:r>
      <w:proofErr w:type="spellEnd"/>
      <w:r w:rsidR="008C4A64" w:rsidRPr="008C4A64">
        <w:rPr>
          <w:szCs w:val="24"/>
        </w:rPr>
        <w:t xml:space="preserve"> in patients with locally advanced or metastatic non-small cell lung cancer to determine access to</w:t>
      </w:r>
      <w:r w:rsidR="008C4A64">
        <w:rPr>
          <w:szCs w:val="24"/>
        </w:rPr>
        <w:t xml:space="preserve"> </w:t>
      </w:r>
      <w:r w:rsidR="008C4A64" w:rsidRPr="008C4A64">
        <w:rPr>
          <w:szCs w:val="24"/>
        </w:rPr>
        <w:t>crizotinib</w:t>
      </w:r>
      <w:r w:rsidR="008C4A64">
        <w:rPr>
          <w:szCs w:val="24"/>
        </w:rPr>
        <w:t>,</w:t>
      </w:r>
      <w:r w:rsidR="008C4A64" w:rsidRPr="008C4A64">
        <w:rPr>
          <w:szCs w:val="24"/>
        </w:rPr>
        <w:t xml:space="preserve"> ceritinib </w:t>
      </w:r>
      <w:r w:rsidR="008C4A64">
        <w:rPr>
          <w:szCs w:val="24"/>
        </w:rPr>
        <w:t xml:space="preserve">or </w:t>
      </w:r>
      <w:r w:rsidR="008C4A64" w:rsidRPr="008C4A64">
        <w:rPr>
          <w:szCs w:val="24"/>
        </w:rPr>
        <w:t>alectinib under the Pharmaceutical Benefits Scheme.</w:t>
      </w:r>
    </w:p>
    <w:p w14:paraId="6731AA93" w14:textId="77777777" w:rsidR="008C4A64" w:rsidRDefault="008C4A64" w:rsidP="000C3388">
      <w:pPr>
        <w:tabs>
          <w:tab w:val="left" w:pos="709"/>
        </w:tabs>
        <w:rPr>
          <w:szCs w:val="24"/>
        </w:rPr>
      </w:pPr>
    </w:p>
    <w:p w14:paraId="732422C9" w14:textId="7E82E6B3" w:rsidR="000C3388" w:rsidRPr="000C3388" w:rsidRDefault="000C3388" w:rsidP="000C3388">
      <w:pPr>
        <w:tabs>
          <w:tab w:val="left" w:pos="709"/>
        </w:tabs>
        <w:rPr>
          <w:szCs w:val="24"/>
        </w:rPr>
      </w:pPr>
      <w:r>
        <w:rPr>
          <w:szCs w:val="24"/>
        </w:rPr>
        <w:t>In November 2017, the Medical Services Advisory Committee recommended that item 73341 be made pathologist</w:t>
      </w:r>
      <w:r w:rsidR="00174BA5">
        <w:rPr>
          <w:szCs w:val="24"/>
        </w:rPr>
        <w:t>-</w:t>
      </w:r>
      <w:r>
        <w:rPr>
          <w:szCs w:val="24"/>
        </w:rPr>
        <w:t xml:space="preserve">determinable. </w:t>
      </w:r>
      <w:r w:rsidR="009C522C">
        <w:rPr>
          <w:szCs w:val="24"/>
        </w:rPr>
        <w:t>This would enable the service to be rendered by a pathologist, without a request</w:t>
      </w:r>
      <w:r w:rsidR="0027761A">
        <w:rPr>
          <w:szCs w:val="24"/>
        </w:rPr>
        <w:t>,</w:t>
      </w:r>
      <w:r w:rsidR="009C522C">
        <w:rPr>
          <w:szCs w:val="24"/>
        </w:rPr>
        <w:t xml:space="preserve"> on the basis of information </w:t>
      </w:r>
      <w:r w:rsidR="00997CFA">
        <w:rPr>
          <w:szCs w:val="24"/>
        </w:rPr>
        <w:t xml:space="preserve">learned </w:t>
      </w:r>
      <w:r w:rsidR="009C522C">
        <w:rPr>
          <w:szCs w:val="24"/>
        </w:rPr>
        <w:t xml:space="preserve">in an original requested service. </w:t>
      </w:r>
      <w:r w:rsidR="005F0464" w:rsidRPr="005F0464">
        <w:rPr>
          <w:szCs w:val="24"/>
        </w:rPr>
        <w:t xml:space="preserve">This </w:t>
      </w:r>
      <w:r w:rsidR="009C522C">
        <w:rPr>
          <w:szCs w:val="24"/>
        </w:rPr>
        <w:t>recommendation was supported by the Government.</w:t>
      </w:r>
    </w:p>
    <w:p w14:paraId="2BAC2B21" w14:textId="77777777" w:rsidR="00A045C5" w:rsidRDefault="00A045C5" w:rsidP="00C61B8F">
      <w:pPr>
        <w:tabs>
          <w:tab w:val="left" w:pos="709"/>
        </w:tabs>
        <w:rPr>
          <w:szCs w:val="24"/>
        </w:rPr>
      </w:pPr>
    </w:p>
    <w:p w14:paraId="514B48C0" w14:textId="77777777" w:rsidR="00C56BCE" w:rsidRPr="005F4C9A" w:rsidRDefault="00C56BCE" w:rsidP="00C56BCE">
      <w:pPr>
        <w:rPr>
          <w:szCs w:val="24"/>
        </w:rPr>
      </w:pPr>
      <w:r w:rsidRPr="005F4C9A">
        <w:rPr>
          <w:szCs w:val="24"/>
        </w:rPr>
        <w:t xml:space="preserve">The purpose of the </w:t>
      </w:r>
      <w:r>
        <w:rPr>
          <w:i/>
          <w:szCs w:val="24"/>
        </w:rPr>
        <w:t>Health Insurance (Pathologist-determinable Services) Amendment Determination</w:t>
      </w:r>
      <w:r w:rsidRPr="005F4C9A">
        <w:rPr>
          <w:szCs w:val="24"/>
        </w:rPr>
        <w:t xml:space="preserve"> </w:t>
      </w:r>
      <w:r>
        <w:rPr>
          <w:szCs w:val="24"/>
        </w:rPr>
        <w:t xml:space="preserve">2019 </w:t>
      </w:r>
      <w:r w:rsidRPr="005F4C9A">
        <w:rPr>
          <w:szCs w:val="24"/>
        </w:rPr>
        <w:t xml:space="preserve">is to amend the </w:t>
      </w:r>
      <w:r w:rsidRPr="005F4C9A">
        <w:rPr>
          <w:rFonts w:ascii="Helvetica Neue" w:hAnsi="Helvetica Neue"/>
          <w:i/>
          <w:iCs/>
          <w:szCs w:val="24"/>
        </w:rPr>
        <w:t>Health Insurance (Patholog</w:t>
      </w:r>
      <w:r>
        <w:rPr>
          <w:rFonts w:ascii="Helvetica Neue" w:hAnsi="Helvetica Neue"/>
          <w:i/>
          <w:iCs/>
          <w:szCs w:val="24"/>
        </w:rPr>
        <w:t xml:space="preserve">ist-determinable </w:t>
      </w:r>
      <w:r w:rsidRPr="005F4C9A">
        <w:rPr>
          <w:rFonts w:ascii="Helvetica Neue" w:hAnsi="Helvetica Neue"/>
          <w:i/>
          <w:iCs/>
          <w:szCs w:val="24"/>
        </w:rPr>
        <w:t>Services) Determination 201</w:t>
      </w:r>
      <w:r>
        <w:rPr>
          <w:rFonts w:ascii="Helvetica Neue" w:hAnsi="Helvetica Neue"/>
          <w:i/>
          <w:iCs/>
          <w:szCs w:val="24"/>
        </w:rPr>
        <w:t>5</w:t>
      </w:r>
      <w:r w:rsidRPr="005F4C9A">
        <w:rPr>
          <w:rFonts w:ascii="Helvetica Neue" w:hAnsi="Helvetica Neue"/>
          <w:i/>
          <w:iCs/>
          <w:szCs w:val="24"/>
        </w:rPr>
        <w:t xml:space="preserve"> </w:t>
      </w:r>
      <w:r>
        <w:t>to include a reference to a new pathologist-determinable service</w:t>
      </w:r>
      <w:r w:rsidRPr="005F4C9A">
        <w:t xml:space="preserve"> item </w:t>
      </w:r>
      <w:r>
        <w:t>73341</w:t>
      </w:r>
      <w:r w:rsidRPr="005F4C9A">
        <w:t>.</w:t>
      </w:r>
    </w:p>
    <w:p w14:paraId="13D3962A" w14:textId="77777777" w:rsidR="009C522C" w:rsidRDefault="009C522C" w:rsidP="009C522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lang w:eastAsia="en-US"/>
        </w:rPr>
      </w:pPr>
    </w:p>
    <w:p w14:paraId="237FE18F" w14:textId="0E093F71" w:rsidR="009C522C" w:rsidRDefault="009C522C" w:rsidP="009C522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lang w:eastAsia="en-US"/>
        </w:rPr>
      </w:pPr>
      <w:r>
        <w:rPr>
          <w:lang w:eastAsia="en-US"/>
        </w:rPr>
        <w:t xml:space="preserve">Although pathology service item 73341 is not listed in </w:t>
      </w:r>
      <w:r w:rsidRPr="00D87426">
        <w:rPr>
          <w:color w:val="000000"/>
          <w:shd w:val="clear" w:color="auto" w:fill="FFFFFF"/>
        </w:rPr>
        <w:t xml:space="preserve">the </w:t>
      </w:r>
      <w:r>
        <w:rPr>
          <w:color w:val="000000"/>
          <w:shd w:val="clear" w:color="auto" w:fill="FFFFFF"/>
        </w:rPr>
        <w:t>pathology</w:t>
      </w:r>
      <w:r w:rsidRPr="00D87426">
        <w:rPr>
          <w:color w:val="000000"/>
          <w:shd w:val="clear" w:color="auto" w:fill="FFFFFF"/>
        </w:rPr>
        <w:t xml:space="preserve"> services table </w:t>
      </w:r>
      <w:r>
        <w:rPr>
          <w:color w:val="000000"/>
          <w:shd w:val="clear" w:color="auto" w:fill="FFFFFF"/>
        </w:rPr>
        <w:t xml:space="preserve">made for the purposes of section 4A(1) of the Act, </w:t>
      </w:r>
      <w:r>
        <w:rPr>
          <w:lang w:eastAsia="en-US"/>
        </w:rPr>
        <w:t xml:space="preserve">the </w:t>
      </w:r>
      <w:r w:rsidRPr="000C3388">
        <w:rPr>
          <w:i/>
          <w:lang w:eastAsia="en-US"/>
        </w:rPr>
        <w:t>Health Insurance (Section 3C Co-Dependent Pathology Services) Determination 2018</w:t>
      </w:r>
      <w:r>
        <w:rPr>
          <w:i/>
          <w:lang w:eastAsia="en-US"/>
        </w:rPr>
        <w:t xml:space="preserve"> </w:t>
      </w:r>
      <w:r w:rsidRPr="00565333">
        <w:rPr>
          <w:lang w:eastAsia="en-US"/>
        </w:rPr>
        <w:t xml:space="preserve">deems it to be </w:t>
      </w:r>
      <w:r>
        <w:rPr>
          <w:lang w:eastAsia="en-US"/>
        </w:rPr>
        <w:t xml:space="preserve">a </w:t>
      </w:r>
      <w:r w:rsidRPr="00565333">
        <w:rPr>
          <w:lang w:eastAsia="en-US"/>
        </w:rPr>
        <w:t>pathology service s</w:t>
      </w:r>
      <w:r w:rsidRPr="00E02976">
        <w:rPr>
          <w:lang w:eastAsia="en-US"/>
        </w:rPr>
        <w:t>pecified in that table. T</w:t>
      </w:r>
      <w:r w:rsidRPr="00565333">
        <w:rPr>
          <w:lang w:eastAsia="en-US"/>
        </w:rPr>
        <w:t>he rendering of that service</w:t>
      </w:r>
      <w:r>
        <w:rPr>
          <w:lang w:eastAsia="en-US"/>
        </w:rPr>
        <w:t>,</w:t>
      </w:r>
      <w:r w:rsidRPr="00565333">
        <w:rPr>
          <w:lang w:eastAsia="en-US"/>
        </w:rPr>
        <w:t xml:space="preserve"> subject to </w:t>
      </w:r>
      <w:r w:rsidRPr="00E02976">
        <w:rPr>
          <w:lang w:eastAsia="en-US"/>
        </w:rPr>
        <w:t>requirements</w:t>
      </w:r>
      <w:r w:rsidRPr="00565333">
        <w:rPr>
          <w:lang w:eastAsia="en-US"/>
        </w:rPr>
        <w:t xml:space="preserve"> being met</w:t>
      </w:r>
      <w:r>
        <w:rPr>
          <w:lang w:eastAsia="en-US"/>
        </w:rPr>
        <w:t>,</w:t>
      </w:r>
      <w:r w:rsidRPr="00565333">
        <w:rPr>
          <w:lang w:eastAsia="en-US"/>
        </w:rPr>
        <w:t xml:space="preserve"> allows for Medicare benefit</w:t>
      </w:r>
      <w:r>
        <w:rPr>
          <w:lang w:eastAsia="en-US"/>
        </w:rPr>
        <w:t>s</w:t>
      </w:r>
      <w:r w:rsidRPr="00565333">
        <w:rPr>
          <w:lang w:eastAsia="en-US"/>
        </w:rPr>
        <w:t xml:space="preserve"> to be payable in relation to that service</w:t>
      </w:r>
      <w:r>
        <w:rPr>
          <w:i/>
          <w:lang w:eastAsia="en-US"/>
        </w:rPr>
        <w:t>.</w:t>
      </w:r>
    </w:p>
    <w:p w14:paraId="082F1F5C" w14:textId="77777777" w:rsidR="009C522C" w:rsidRDefault="009C522C">
      <w:pPr>
        <w:spacing w:after="200" w:line="276" w:lineRule="auto"/>
        <w:rPr>
          <w:b/>
        </w:rPr>
      </w:pPr>
    </w:p>
    <w:p w14:paraId="6D359F32" w14:textId="77777777" w:rsidR="0027761A" w:rsidRDefault="0027761A">
      <w:pPr>
        <w:spacing w:after="200" w:line="276" w:lineRule="auto"/>
        <w:rPr>
          <w:b/>
        </w:rPr>
      </w:pPr>
      <w:r>
        <w:rPr>
          <w:b/>
        </w:rPr>
        <w:lastRenderedPageBreak/>
        <w:br w:type="page"/>
      </w:r>
    </w:p>
    <w:p w14:paraId="2412D131" w14:textId="10822E44" w:rsidR="001865F8" w:rsidRDefault="00A1739A" w:rsidP="00E04B6F">
      <w:pPr>
        <w:rPr>
          <w:b/>
        </w:rPr>
      </w:pPr>
      <w:r w:rsidRPr="00A853D1">
        <w:rPr>
          <w:b/>
        </w:rPr>
        <w:t>Consultation</w:t>
      </w:r>
    </w:p>
    <w:p w14:paraId="2AE00046" w14:textId="30C494D0" w:rsidR="00A40CD5" w:rsidRDefault="00A40CD5" w:rsidP="000337CB">
      <w:r>
        <w:t xml:space="preserve">Section 4BA of the </w:t>
      </w:r>
      <w:r w:rsidRPr="00CD5C9D">
        <w:rPr>
          <w:iCs/>
        </w:rPr>
        <w:t xml:space="preserve">Act </w:t>
      </w:r>
      <w:r>
        <w:t xml:space="preserve">requires </w:t>
      </w:r>
      <w:r w:rsidR="005C4ED1">
        <w:t xml:space="preserve">that </w:t>
      </w:r>
      <w:r>
        <w:t>the</w:t>
      </w:r>
      <w:r w:rsidRPr="00A40CD5">
        <w:rPr>
          <w:szCs w:val="24"/>
        </w:rPr>
        <w:t xml:space="preserve"> Royal College of Pathologists of Australasia</w:t>
      </w:r>
      <w:r>
        <w:rPr>
          <w:szCs w:val="24"/>
        </w:rPr>
        <w:t xml:space="preserve"> (RCPA) </w:t>
      </w:r>
      <w:r w:rsidR="00631F6E">
        <w:rPr>
          <w:szCs w:val="24"/>
        </w:rPr>
        <w:t xml:space="preserve">is </w:t>
      </w:r>
      <w:r>
        <w:rPr>
          <w:szCs w:val="24"/>
        </w:rPr>
        <w:t xml:space="preserve">consulted </w:t>
      </w:r>
      <w:r w:rsidR="00631F6E">
        <w:rPr>
          <w:szCs w:val="24"/>
        </w:rPr>
        <w:t>on</w:t>
      </w:r>
      <w:r w:rsidR="008C4A64">
        <w:rPr>
          <w:szCs w:val="24"/>
        </w:rPr>
        <w:t xml:space="preserve"> pathology services </w:t>
      </w:r>
      <w:r w:rsidR="005C4ED1">
        <w:rPr>
          <w:szCs w:val="24"/>
        </w:rPr>
        <w:t>being</w:t>
      </w:r>
      <w:r w:rsidR="00631F6E">
        <w:rPr>
          <w:szCs w:val="24"/>
        </w:rPr>
        <w:t xml:space="preserve"> made p</w:t>
      </w:r>
      <w:r w:rsidR="008C4A64">
        <w:rPr>
          <w:szCs w:val="24"/>
        </w:rPr>
        <w:t>athologist-determinable services</w:t>
      </w:r>
      <w:r w:rsidR="00631F6E">
        <w:rPr>
          <w:szCs w:val="24"/>
        </w:rPr>
        <w:t>. RCPA was consulted on the inclusion of item 73341 in this legislative instrument, and</w:t>
      </w:r>
      <w:r>
        <w:rPr>
          <w:szCs w:val="24"/>
        </w:rPr>
        <w:t xml:space="preserve"> </w:t>
      </w:r>
      <w:r>
        <w:t>supported the inclusion of item</w:t>
      </w:r>
      <w:r w:rsidR="00891786">
        <w:t xml:space="preserve"> 7334</w:t>
      </w:r>
      <w:r w:rsidR="005F0464">
        <w:t>1</w:t>
      </w:r>
      <w:r>
        <w:t xml:space="preserve"> as a pathologist-determinable item.</w:t>
      </w:r>
    </w:p>
    <w:p w14:paraId="5777839A" w14:textId="77777777" w:rsidR="003223AB" w:rsidRDefault="003223AB" w:rsidP="000337CB">
      <w:pPr>
        <w:rPr>
          <w:szCs w:val="24"/>
        </w:rPr>
      </w:pPr>
    </w:p>
    <w:p w14:paraId="53B095F8" w14:textId="77777777" w:rsidR="00CE7DBC" w:rsidRDefault="00A1739A" w:rsidP="00CE7DBC">
      <w:pPr>
        <w:rPr>
          <w:szCs w:val="24"/>
        </w:rPr>
      </w:pPr>
      <w:r w:rsidRPr="00A853D1">
        <w:rPr>
          <w:szCs w:val="24"/>
        </w:rPr>
        <w:t xml:space="preserve">Details of the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3926B063" w14:textId="77777777" w:rsidR="00CE7DBC" w:rsidRPr="001C734C" w:rsidRDefault="00CE7DBC" w:rsidP="00CE7DBC">
      <w:pPr>
        <w:rPr>
          <w:szCs w:val="24"/>
        </w:rPr>
      </w:pPr>
    </w:p>
    <w:p w14:paraId="2412D135" w14:textId="5173944D" w:rsidR="006C138D" w:rsidRPr="001C734C" w:rsidRDefault="00297AD0" w:rsidP="00CE7DBC">
      <w:pPr>
        <w:rPr>
          <w:szCs w:val="24"/>
        </w:rPr>
      </w:pPr>
      <w:r w:rsidRPr="001C734C">
        <w:rPr>
          <w:szCs w:val="24"/>
        </w:rPr>
        <w:t xml:space="preserve">The </w:t>
      </w:r>
      <w:r w:rsidR="00967E51" w:rsidRPr="001C734C">
        <w:rPr>
          <w:szCs w:val="24"/>
        </w:rPr>
        <w:t>Determination</w:t>
      </w:r>
      <w:r w:rsidRPr="001C734C">
        <w:rPr>
          <w:szCs w:val="24"/>
        </w:rPr>
        <w:t xml:space="preserve"> </w:t>
      </w:r>
      <w:r w:rsidR="007524B0" w:rsidRPr="001C734C">
        <w:rPr>
          <w:szCs w:val="24"/>
        </w:rPr>
        <w:t xml:space="preserve">commences </w:t>
      </w:r>
      <w:r w:rsidR="005F0464">
        <w:rPr>
          <w:szCs w:val="24"/>
        </w:rPr>
        <w:t xml:space="preserve">on 1 April 2019. </w:t>
      </w:r>
    </w:p>
    <w:p w14:paraId="2412D136" w14:textId="77777777" w:rsidR="00236DF2" w:rsidRPr="00A853D1" w:rsidRDefault="00236DF2" w:rsidP="00574E71">
      <w:pPr>
        <w:rPr>
          <w:szCs w:val="24"/>
        </w:rPr>
      </w:pPr>
    </w:p>
    <w:p w14:paraId="2412D138" w14:textId="243DCBD5" w:rsidR="00574E71" w:rsidRPr="00A853D1" w:rsidRDefault="0002728B" w:rsidP="00DE07E4">
      <w:pPr>
        <w:spacing w:after="200" w:line="276" w:lineRule="auto"/>
        <w:rPr>
          <w:szCs w:val="24"/>
        </w:rPr>
      </w:pPr>
      <w:r>
        <w:rPr>
          <w:szCs w:val="24"/>
        </w:rPr>
        <w:t>T</w:t>
      </w:r>
      <w:r w:rsidR="00574E71" w:rsidRPr="00A853D1">
        <w:rPr>
          <w:szCs w:val="24"/>
        </w:rPr>
        <w:t xml:space="preserve">he Determination is </w:t>
      </w:r>
      <w:r w:rsidR="004417A2" w:rsidRPr="00A853D1">
        <w:rPr>
          <w:szCs w:val="24"/>
        </w:rPr>
        <w:t xml:space="preserve">a </w:t>
      </w:r>
      <w:r w:rsidR="00574E71" w:rsidRPr="00A853D1">
        <w:rPr>
          <w:szCs w:val="24"/>
        </w:rPr>
        <w:t xml:space="preserve">legislative instrument for the purposes of the </w:t>
      </w:r>
      <w:r w:rsidR="00574E71" w:rsidRPr="00A853D1">
        <w:rPr>
          <w:szCs w:val="24"/>
        </w:rPr>
        <w:br/>
      </w:r>
      <w:r w:rsidR="00574E71" w:rsidRPr="00A853D1">
        <w:rPr>
          <w:i/>
        </w:rPr>
        <w:t>Legislation Act 2003</w:t>
      </w:r>
      <w:r w:rsidR="00574E71" w:rsidRPr="00A853D1">
        <w:rPr>
          <w:szCs w:val="24"/>
        </w:rPr>
        <w:t>.</w:t>
      </w:r>
    </w:p>
    <w:p w14:paraId="2412D139" w14:textId="77777777" w:rsidR="00A1739A" w:rsidRPr="00A853D1" w:rsidRDefault="00A1739A" w:rsidP="000337CB">
      <w:pPr>
        <w:ind w:left="6663" w:hanging="3119"/>
        <w:rPr>
          <w:szCs w:val="24"/>
        </w:rPr>
      </w:pPr>
      <w:r w:rsidRPr="00A853D1">
        <w:rPr>
          <w:szCs w:val="24"/>
        </w:rPr>
        <w:t xml:space="preserve">           </w:t>
      </w:r>
    </w:p>
    <w:p w14:paraId="2412D13C" w14:textId="77777777" w:rsidR="00242974" w:rsidRPr="00EB601D" w:rsidRDefault="00242974" w:rsidP="000337CB">
      <w:pPr>
        <w:tabs>
          <w:tab w:val="left" w:pos="4536"/>
        </w:tabs>
        <w:rPr>
          <w:b/>
          <w:szCs w:val="24"/>
          <w:highlight w:val="yellow"/>
        </w:rPr>
      </w:pPr>
    </w:p>
    <w:p w14:paraId="75132979" w14:textId="77777777" w:rsidR="0077148B" w:rsidRDefault="0077148B">
      <w:pPr>
        <w:spacing w:after="200" w:line="276" w:lineRule="auto"/>
        <w:rPr>
          <w:b/>
          <w:szCs w:val="24"/>
        </w:rPr>
      </w:pPr>
      <w:r>
        <w:rPr>
          <w:szCs w:val="24"/>
        </w:rPr>
        <w:br w:type="page"/>
      </w:r>
    </w:p>
    <w:p w14:paraId="2412D13D" w14:textId="505557B9" w:rsidR="006D5816" w:rsidRPr="00215191" w:rsidRDefault="006D5816" w:rsidP="000337CB">
      <w:pPr>
        <w:pStyle w:val="BodyText"/>
        <w:jc w:val="right"/>
        <w:rPr>
          <w:szCs w:val="24"/>
        </w:rPr>
      </w:pPr>
      <w:r w:rsidRPr="00215191">
        <w:rPr>
          <w:szCs w:val="24"/>
        </w:rPr>
        <w:lastRenderedPageBreak/>
        <w:t>ATTACHMENT</w:t>
      </w:r>
    </w:p>
    <w:p w14:paraId="2412D13E" w14:textId="77777777" w:rsidR="006D5816" w:rsidRPr="00215191" w:rsidRDefault="006D5816" w:rsidP="000337CB">
      <w:pPr>
        <w:pStyle w:val="BodyText"/>
        <w:rPr>
          <w:szCs w:val="24"/>
          <w:u w:val="single"/>
        </w:rPr>
      </w:pPr>
    </w:p>
    <w:p w14:paraId="5B0C808A" w14:textId="6D583BC8" w:rsidR="00215191" w:rsidRPr="00215191" w:rsidRDefault="00A41364" w:rsidP="00215191">
      <w:pPr>
        <w:pStyle w:val="BodyText"/>
        <w:rPr>
          <w:i/>
          <w:szCs w:val="24"/>
        </w:rPr>
      </w:pPr>
      <w:r w:rsidRPr="00215191">
        <w:rPr>
          <w:szCs w:val="24"/>
        </w:rPr>
        <w:t xml:space="preserve">Details of the </w:t>
      </w:r>
      <w:r w:rsidR="00393A85">
        <w:rPr>
          <w:i/>
          <w:iCs/>
        </w:rPr>
        <w:t>Health Insurance (</w:t>
      </w:r>
      <w:r w:rsidR="00820C33">
        <w:rPr>
          <w:i/>
          <w:iCs/>
        </w:rPr>
        <w:t>Pathologist</w:t>
      </w:r>
      <w:r w:rsidR="001C734C">
        <w:rPr>
          <w:i/>
          <w:iCs/>
        </w:rPr>
        <w:t>-determinable Services</w:t>
      </w:r>
      <w:r w:rsidR="00393A85">
        <w:rPr>
          <w:i/>
          <w:iCs/>
        </w:rPr>
        <w:t>) Amendment Determination 201</w:t>
      </w:r>
      <w:r w:rsidR="00F96F1A">
        <w:rPr>
          <w:i/>
          <w:iCs/>
        </w:rPr>
        <w:t>9</w:t>
      </w:r>
    </w:p>
    <w:p w14:paraId="7BBEB147" w14:textId="720F9678" w:rsidR="00E70355" w:rsidRPr="00215191" w:rsidRDefault="00E70355" w:rsidP="000337CB">
      <w:pPr>
        <w:pStyle w:val="BodyText"/>
        <w:rPr>
          <w:b w:val="0"/>
          <w:i/>
          <w:szCs w:val="24"/>
        </w:rPr>
      </w:pPr>
    </w:p>
    <w:p w14:paraId="2412D141" w14:textId="1999EB49" w:rsidR="00FE02C2" w:rsidRPr="00215191" w:rsidRDefault="001B0111" w:rsidP="000337CB">
      <w:pPr>
        <w:pStyle w:val="BodyText"/>
        <w:rPr>
          <w:b w:val="0"/>
          <w:szCs w:val="24"/>
          <w:u w:val="single"/>
        </w:rPr>
      </w:pPr>
      <w:r w:rsidRPr="00215191">
        <w:rPr>
          <w:b w:val="0"/>
          <w:szCs w:val="24"/>
          <w:u w:val="single"/>
        </w:rPr>
        <w:t>Section 1 – Name</w:t>
      </w:r>
      <w:r w:rsidR="00967E51" w:rsidRPr="00215191">
        <w:rPr>
          <w:b w:val="0"/>
          <w:szCs w:val="24"/>
          <w:u w:val="single"/>
        </w:rPr>
        <w:t xml:space="preserve"> </w:t>
      </w:r>
    </w:p>
    <w:p w14:paraId="2412D142" w14:textId="77777777" w:rsidR="00FE02C2" w:rsidRPr="00215191" w:rsidRDefault="00FE02C2" w:rsidP="000337CB">
      <w:pPr>
        <w:pStyle w:val="BodyText"/>
        <w:rPr>
          <w:b w:val="0"/>
          <w:szCs w:val="24"/>
          <w:u w:val="single"/>
        </w:rPr>
      </w:pPr>
    </w:p>
    <w:p w14:paraId="2412D144" w14:textId="24E56AB4" w:rsidR="00F83B6F" w:rsidRPr="00FD602D" w:rsidRDefault="00BC7397" w:rsidP="00FD602D">
      <w:pPr>
        <w:pStyle w:val="Heading1"/>
        <w:jc w:val="left"/>
        <w:rPr>
          <w:b w:val="0"/>
          <w:i/>
          <w:iCs/>
          <w:u w:val="none"/>
        </w:rPr>
      </w:pPr>
      <w:r w:rsidRPr="00215191">
        <w:rPr>
          <w:b w:val="0"/>
          <w:szCs w:val="24"/>
          <w:u w:val="none"/>
        </w:rPr>
        <w:t>S</w:t>
      </w:r>
      <w:r w:rsidR="00FE02C2" w:rsidRPr="00215191">
        <w:rPr>
          <w:b w:val="0"/>
          <w:szCs w:val="24"/>
          <w:u w:val="none"/>
        </w:rPr>
        <w:t xml:space="preserve">ection </w:t>
      </w:r>
      <w:r w:rsidRPr="00215191">
        <w:rPr>
          <w:b w:val="0"/>
          <w:szCs w:val="24"/>
          <w:u w:val="none"/>
        </w:rPr>
        <w:t xml:space="preserve">1 </w:t>
      </w:r>
      <w:r w:rsidR="00FE02C2" w:rsidRPr="00215191">
        <w:rPr>
          <w:b w:val="0"/>
          <w:szCs w:val="24"/>
          <w:u w:val="none"/>
        </w:rPr>
        <w:t>provides</w:t>
      </w:r>
      <w:r w:rsidR="008B683E" w:rsidRPr="00215191">
        <w:rPr>
          <w:b w:val="0"/>
          <w:szCs w:val="24"/>
          <w:u w:val="none"/>
        </w:rPr>
        <w:t xml:space="preserve"> for the </w:t>
      </w:r>
      <w:r w:rsidR="00C61B8F">
        <w:rPr>
          <w:b w:val="0"/>
          <w:szCs w:val="24"/>
          <w:u w:val="none"/>
        </w:rPr>
        <w:t>instrument</w:t>
      </w:r>
      <w:r w:rsidR="00FE02C2" w:rsidRPr="00215191">
        <w:rPr>
          <w:b w:val="0"/>
          <w:szCs w:val="24"/>
          <w:u w:val="none"/>
        </w:rPr>
        <w:t xml:space="preserve"> to be referred to as the </w:t>
      </w:r>
      <w:r w:rsidR="00393A85">
        <w:rPr>
          <w:b w:val="0"/>
          <w:i/>
          <w:iCs/>
          <w:u w:val="none"/>
        </w:rPr>
        <w:t>Health Insurance (</w:t>
      </w:r>
      <w:r w:rsidR="001C734C">
        <w:rPr>
          <w:b w:val="0"/>
          <w:i/>
          <w:iCs/>
          <w:u w:val="none"/>
        </w:rPr>
        <w:t>Patholog</w:t>
      </w:r>
      <w:r w:rsidR="00820C33">
        <w:rPr>
          <w:b w:val="0"/>
          <w:i/>
          <w:iCs/>
          <w:u w:val="none"/>
        </w:rPr>
        <w:t>ist</w:t>
      </w:r>
      <w:r w:rsidR="001C734C">
        <w:rPr>
          <w:b w:val="0"/>
          <w:i/>
          <w:iCs/>
          <w:u w:val="none"/>
        </w:rPr>
        <w:t>-determinable Services</w:t>
      </w:r>
      <w:r w:rsidR="00393A85">
        <w:rPr>
          <w:b w:val="0"/>
          <w:i/>
          <w:iCs/>
          <w:u w:val="none"/>
        </w:rPr>
        <w:t>) Amendment Determination 201</w:t>
      </w:r>
      <w:r w:rsidR="00F96F1A">
        <w:rPr>
          <w:b w:val="0"/>
          <w:i/>
          <w:iCs/>
          <w:u w:val="none"/>
        </w:rPr>
        <w:t>9</w:t>
      </w:r>
      <w:r w:rsidR="0010617D">
        <w:rPr>
          <w:b w:val="0"/>
          <w:i/>
          <w:iCs/>
          <w:u w:val="none"/>
        </w:rPr>
        <w:t>.</w:t>
      </w:r>
    </w:p>
    <w:p w14:paraId="68DAA207" w14:textId="77777777" w:rsidR="00FD602D" w:rsidRPr="00FD602D" w:rsidRDefault="00FD602D" w:rsidP="00FD602D"/>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2412D148" w14:textId="185D2B6A" w:rsidR="00510A4F" w:rsidRPr="0077148B" w:rsidRDefault="00510A4F" w:rsidP="000337CB">
      <w:pPr>
        <w:pStyle w:val="BodyText"/>
        <w:rPr>
          <w:b w:val="0"/>
          <w:i/>
          <w:szCs w:val="24"/>
        </w:rPr>
      </w:pPr>
      <w:r w:rsidRPr="00393A85">
        <w:rPr>
          <w:b w:val="0"/>
          <w:szCs w:val="24"/>
        </w:rPr>
        <w:t xml:space="preserve">Section 2 </w:t>
      </w:r>
      <w:r w:rsidR="00404F11" w:rsidRPr="00393A85">
        <w:rPr>
          <w:b w:val="0"/>
          <w:szCs w:val="24"/>
        </w:rPr>
        <w:t xml:space="preserve">provides that the </w:t>
      </w:r>
      <w:r w:rsidR="00C61B8F">
        <w:rPr>
          <w:b w:val="0"/>
          <w:szCs w:val="24"/>
        </w:rPr>
        <w:t>instrument</w:t>
      </w:r>
      <w:r w:rsidR="00404F11" w:rsidRPr="00393A85">
        <w:rPr>
          <w:b w:val="0"/>
          <w:szCs w:val="24"/>
        </w:rPr>
        <w:t xml:space="preserve"> </w:t>
      </w:r>
      <w:r w:rsidR="0077148B">
        <w:rPr>
          <w:b w:val="0"/>
          <w:szCs w:val="24"/>
        </w:rPr>
        <w:t xml:space="preserve">commences </w:t>
      </w:r>
      <w:r w:rsidR="00F96F1A">
        <w:rPr>
          <w:b w:val="0"/>
          <w:szCs w:val="24"/>
        </w:rPr>
        <w:t>on 1 April 2019</w:t>
      </w:r>
      <w:r w:rsidR="00133EF3" w:rsidRPr="0077148B">
        <w:rPr>
          <w:b w:val="0"/>
          <w:i/>
          <w:szCs w:val="24"/>
        </w:rPr>
        <w:t xml:space="preserve">. </w:t>
      </w:r>
    </w:p>
    <w:p w14:paraId="16C03200" w14:textId="77777777" w:rsidR="007E0017" w:rsidRPr="0077148B" w:rsidRDefault="007E0017" w:rsidP="000337CB">
      <w:pPr>
        <w:pStyle w:val="BodyText"/>
        <w:rPr>
          <w:b w:val="0"/>
          <w:i/>
          <w:szCs w:val="24"/>
        </w:rPr>
      </w:pPr>
    </w:p>
    <w:p w14:paraId="005D5660" w14:textId="77777777" w:rsidR="007A4089" w:rsidRPr="00215191" w:rsidRDefault="00FE02C2" w:rsidP="000337CB">
      <w:pPr>
        <w:pStyle w:val="BodyText"/>
        <w:rPr>
          <w:b w:val="0"/>
          <w:szCs w:val="24"/>
          <w:u w:val="single"/>
        </w:rPr>
      </w:pPr>
      <w:r w:rsidRPr="00215191">
        <w:rPr>
          <w:b w:val="0"/>
          <w:szCs w:val="24"/>
          <w:u w:val="single"/>
        </w:rPr>
        <w:t xml:space="preserve">Section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0443334A" w:rsidR="00FE02C2" w:rsidRPr="00215191" w:rsidRDefault="00F83B6F" w:rsidP="000337CB">
      <w:pPr>
        <w:pStyle w:val="BodyText"/>
        <w:rPr>
          <w:b w:val="0"/>
        </w:rPr>
      </w:pPr>
      <w:r w:rsidRPr="00215191">
        <w:rPr>
          <w:b w:val="0"/>
        </w:rPr>
        <w:t xml:space="preserve">Section 3 provides that the </w:t>
      </w:r>
      <w:r w:rsidR="00C61B8F">
        <w:rPr>
          <w:b w:val="0"/>
        </w:rPr>
        <w:t>instrument</w:t>
      </w:r>
      <w:r w:rsidRPr="00215191">
        <w:rPr>
          <w:b w:val="0"/>
        </w:rPr>
        <w:t xml:space="preserve"> </w:t>
      </w:r>
      <w:r w:rsidR="00E5798A" w:rsidRPr="00215191">
        <w:rPr>
          <w:b w:val="0"/>
        </w:rPr>
        <w:t xml:space="preserve">is made under </w:t>
      </w:r>
      <w:r w:rsidR="00367440" w:rsidRPr="00215191">
        <w:rPr>
          <w:b w:val="0"/>
        </w:rPr>
        <w:t xml:space="preserve">section </w:t>
      </w:r>
      <w:r w:rsidR="001C734C">
        <w:rPr>
          <w:b w:val="0"/>
        </w:rPr>
        <w:t>4BA</w:t>
      </w:r>
      <w:r w:rsidR="00E5798A" w:rsidRPr="00215191">
        <w:rPr>
          <w:b w:val="0"/>
        </w:rPr>
        <w:t xml:space="preserve"> of the </w:t>
      </w:r>
      <w:r w:rsidR="00E5798A" w:rsidRPr="00215191">
        <w:rPr>
          <w:b w:val="0"/>
          <w:i/>
        </w:rPr>
        <w:t>Health Insurance Act 1973</w:t>
      </w:r>
      <w:r w:rsidR="00E5798A" w:rsidRPr="00215191">
        <w:rPr>
          <w:b w:val="0"/>
        </w:rPr>
        <w:t>.</w:t>
      </w:r>
    </w:p>
    <w:p w14:paraId="0DBF1241" w14:textId="77777777" w:rsidR="00E70355" w:rsidRPr="00215191" w:rsidRDefault="00E70355" w:rsidP="000337CB">
      <w:pPr>
        <w:pStyle w:val="BodyText"/>
        <w:rPr>
          <w:b w:val="0"/>
        </w:rPr>
      </w:pPr>
    </w:p>
    <w:p w14:paraId="3C92ED9B" w14:textId="6D5ADCDC" w:rsidR="00536D5B" w:rsidRDefault="00536D5B" w:rsidP="00536D5B">
      <w:pPr>
        <w:pStyle w:val="BodyText"/>
        <w:rPr>
          <w:b w:val="0"/>
          <w:szCs w:val="24"/>
          <w:u w:val="single"/>
        </w:rPr>
      </w:pPr>
      <w:r w:rsidRPr="00536D5B">
        <w:rPr>
          <w:b w:val="0"/>
          <w:szCs w:val="24"/>
          <w:u w:val="single"/>
        </w:rPr>
        <w:t xml:space="preserve">Section 4 </w:t>
      </w:r>
      <w:r>
        <w:rPr>
          <w:b w:val="0"/>
          <w:szCs w:val="24"/>
          <w:u w:val="single"/>
        </w:rPr>
        <w:t>–</w:t>
      </w:r>
      <w:r w:rsidRPr="00536D5B">
        <w:rPr>
          <w:b w:val="0"/>
          <w:szCs w:val="24"/>
          <w:u w:val="single"/>
        </w:rPr>
        <w:t xml:space="preserve"> Schedules</w:t>
      </w:r>
    </w:p>
    <w:p w14:paraId="51D7D8A9" w14:textId="77777777" w:rsidR="00536D5B" w:rsidRDefault="00536D5B" w:rsidP="00536D5B">
      <w:pPr>
        <w:pStyle w:val="BodyText"/>
        <w:rPr>
          <w:b w:val="0"/>
          <w:szCs w:val="24"/>
          <w:u w:val="single"/>
        </w:rPr>
      </w:pPr>
    </w:p>
    <w:p w14:paraId="44741FCE" w14:textId="229822EB" w:rsidR="00536D5B" w:rsidRDefault="00536D5B" w:rsidP="00536D5B">
      <w:pPr>
        <w:pStyle w:val="BodyText"/>
        <w:rPr>
          <w:b w:val="0"/>
        </w:rPr>
      </w:pPr>
      <w:r>
        <w:rPr>
          <w:b w:val="0"/>
          <w:szCs w:val="24"/>
        </w:rPr>
        <w:t>Section 4</w:t>
      </w:r>
      <w:r w:rsidRPr="00215191">
        <w:rPr>
          <w:b w:val="0"/>
          <w:szCs w:val="24"/>
        </w:rPr>
        <w:t xml:space="preserve"> </w:t>
      </w:r>
      <w:r>
        <w:rPr>
          <w:b w:val="0"/>
          <w:szCs w:val="24"/>
        </w:rPr>
        <w:t xml:space="preserve">provides that </w:t>
      </w:r>
      <w:r w:rsidRPr="008C4CAD">
        <w:rPr>
          <w:b w:val="0"/>
        </w:rPr>
        <w:t>each instrument that is s</w:t>
      </w:r>
      <w:r>
        <w:rPr>
          <w:b w:val="0"/>
        </w:rPr>
        <w:t xml:space="preserve">pecified in a Schedule to this </w:t>
      </w:r>
      <w:r w:rsidR="00C61B8F">
        <w:rPr>
          <w:b w:val="0"/>
        </w:rPr>
        <w:t>instrument</w:t>
      </w:r>
      <w:r w:rsidRPr="008C4CAD">
        <w:rPr>
          <w:b w:val="0"/>
        </w:rPr>
        <w:t xml:space="preserve"> is amended or repealed as set out in the applicable items in the Schedule concerned, and any ot</w:t>
      </w:r>
      <w:r>
        <w:rPr>
          <w:b w:val="0"/>
        </w:rPr>
        <w:t xml:space="preserve">her item in a Schedule to this </w:t>
      </w:r>
      <w:r w:rsidR="00C61B8F">
        <w:rPr>
          <w:b w:val="0"/>
        </w:rPr>
        <w:t>i</w:t>
      </w:r>
      <w:r w:rsidRPr="008C4CAD">
        <w:rPr>
          <w:b w:val="0"/>
        </w:rPr>
        <w:t>nstrument has effect according to its terms.</w:t>
      </w:r>
    </w:p>
    <w:p w14:paraId="49F4B367" w14:textId="77777777" w:rsidR="003D3D57" w:rsidRDefault="003D3D57" w:rsidP="00536D5B">
      <w:pPr>
        <w:pStyle w:val="BodyText"/>
        <w:rPr>
          <w:sz w:val="28"/>
          <w:szCs w:val="28"/>
        </w:rPr>
      </w:pPr>
    </w:p>
    <w:p w14:paraId="4B93429F" w14:textId="0B4132C9" w:rsidR="003D3D57" w:rsidRDefault="003D3D57" w:rsidP="003D3D57">
      <w:pPr>
        <w:pStyle w:val="BodyText"/>
        <w:rPr>
          <w:b w:val="0"/>
          <w:szCs w:val="24"/>
          <w:u w:val="single"/>
        </w:rPr>
      </w:pPr>
      <w:r w:rsidRPr="006A0DF2">
        <w:rPr>
          <w:b w:val="0"/>
          <w:szCs w:val="24"/>
          <w:u w:val="single"/>
        </w:rPr>
        <w:t xml:space="preserve">Schedule 1 </w:t>
      </w:r>
      <w:r>
        <w:rPr>
          <w:b w:val="0"/>
          <w:szCs w:val="24"/>
          <w:u w:val="single"/>
        </w:rPr>
        <w:t>–</w:t>
      </w:r>
      <w:r w:rsidRPr="006A0DF2">
        <w:rPr>
          <w:b w:val="0"/>
          <w:szCs w:val="24"/>
          <w:u w:val="single"/>
        </w:rPr>
        <w:t xml:space="preserve"> </w:t>
      </w:r>
      <w:r>
        <w:rPr>
          <w:b w:val="0"/>
          <w:szCs w:val="24"/>
          <w:u w:val="single"/>
        </w:rPr>
        <w:t>Amendment</w:t>
      </w:r>
    </w:p>
    <w:p w14:paraId="3BCD254B" w14:textId="77777777" w:rsidR="003D3D57" w:rsidRPr="003D3D57" w:rsidRDefault="003D3D57" w:rsidP="003D3D57">
      <w:pPr>
        <w:pStyle w:val="BodyText"/>
        <w:rPr>
          <w:b w:val="0"/>
        </w:rPr>
      </w:pPr>
    </w:p>
    <w:p w14:paraId="62B78934" w14:textId="00EAC637" w:rsidR="000A1670" w:rsidRDefault="000A1670" w:rsidP="00536D5B">
      <w:pPr>
        <w:pStyle w:val="BodyText"/>
        <w:rPr>
          <w:b w:val="0"/>
        </w:rPr>
      </w:pPr>
      <w:r w:rsidRPr="000A1670">
        <w:rPr>
          <w:b w:val="0"/>
        </w:rPr>
        <w:t xml:space="preserve">Item 1 </w:t>
      </w:r>
      <w:r w:rsidR="0077148B">
        <w:rPr>
          <w:b w:val="0"/>
        </w:rPr>
        <w:t xml:space="preserve">repeals </w:t>
      </w:r>
      <w:r w:rsidR="009C522C">
        <w:rPr>
          <w:b w:val="0"/>
        </w:rPr>
        <w:t xml:space="preserve">and replaces </w:t>
      </w:r>
      <w:r w:rsidR="0077148B">
        <w:rPr>
          <w:b w:val="0"/>
        </w:rPr>
        <w:t xml:space="preserve">the </w:t>
      </w:r>
      <w:r w:rsidR="003042D3">
        <w:rPr>
          <w:b w:val="0"/>
        </w:rPr>
        <w:t xml:space="preserve">table </w:t>
      </w:r>
      <w:r w:rsidR="009B423E">
        <w:rPr>
          <w:b w:val="0"/>
        </w:rPr>
        <w:t>under subsection 5</w:t>
      </w:r>
      <w:r w:rsidR="006E7E63">
        <w:rPr>
          <w:b w:val="0"/>
        </w:rPr>
        <w:t>(b</w:t>
      </w:r>
      <w:proofErr w:type="gramStart"/>
      <w:r w:rsidR="006E7E63">
        <w:rPr>
          <w:b w:val="0"/>
        </w:rPr>
        <w:t>)</w:t>
      </w:r>
      <w:r w:rsidR="003042D3">
        <w:rPr>
          <w:b w:val="0"/>
        </w:rPr>
        <w:t>(</w:t>
      </w:r>
      <w:proofErr w:type="gramEnd"/>
      <w:r w:rsidR="003042D3">
        <w:rPr>
          <w:b w:val="0"/>
        </w:rPr>
        <w:t>iii) to insert new item 7334</w:t>
      </w:r>
      <w:r w:rsidR="00F96F1A">
        <w:rPr>
          <w:b w:val="0"/>
        </w:rPr>
        <w:t>1</w:t>
      </w:r>
      <w:r w:rsidR="009C522C">
        <w:rPr>
          <w:b w:val="0"/>
        </w:rPr>
        <w:t xml:space="preserve">. Item 73341 is included in column 1 of row 1 of the table. This means it can be </w:t>
      </w:r>
      <w:r w:rsidR="002A5EB7">
        <w:rPr>
          <w:b w:val="0"/>
        </w:rPr>
        <w:t xml:space="preserve">rendered </w:t>
      </w:r>
      <w:r w:rsidR="009C522C">
        <w:rPr>
          <w:b w:val="0"/>
        </w:rPr>
        <w:t>as a pathologist-determinable services as a result of</w:t>
      </w:r>
      <w:r w:rsidR="002A5EB7">
        <w:rPr>
          <w:b w:val="0"/>
        </w:rPr>
        <w:t xml:space="preserve"> information learned from a service in column 2 of the table, to which a request is required</w:t>
      </w:r>
      <w:r w:rsidR="002A5EB7" w:rsidRPr="002A5EB7">
        <w:rPr>
          <w:b w:val="0"/>
        </w:rPr>
        <w:t>.</w:t>
      </w:r>
      <w:r w:rsidR="009C522C">
        <w:rPr>
          <w:b w:val="0"/>
        </w:rPr>
        <w:t xml:space="preserve"> It also inserts </w:t>
      </w:r>
      <w:r w:rsidR="003042D3">
        <w:rPr>
          <w:b w:val="0"/>
        </w:rPr>
        <w:t xml:space="preserve">a note at the bottom of the table to reference that items </w:t>
      </w:r>
      <w:r w:rsidR="003042D3" w:rsidRPr="003042D3">
        <w:rPr>
          <w:b w:val="0"/>
        </w:rPr>
        <w:t xml:space="preserve">73332, 73336, 73337, </w:t>
      </w:r>
      <w:r w:rsidR="00F96F1A">
        <w:rPr>
          <w:b w:val="0"/>
        </w:rPr>
        <w:t xml:space="preserve">73341, </w:t>
      </w:r>
      <w:r w:rsidR="003042D3" w:rsidRPr="003042D3">
        <w:rPr>
          <w:b w:val="0"/>
        </w:rPr>
        <w:t>73342 and 73344 are specified in a determination made under subsection 3C(1) of the Act.</w:t>
      </w:r>
    </w:p>
    <w:p w14:paraId="36177B1D" w14:textId="77777777" w:rsidR="000A1670" w:rsidRDefault="000A1670" w:rsidP="00536D5B">
      <w:pPr>
        <w:pStyle w:val="BodyText"/>
        <w:rPr>
          <w:b w:val="0"/>
        </w:rPr>
      </w:pPr>
    </w:p>
    <w:p w14:paraId="3DDADE9A" w14:textId="77777777" w:rsidR="000A1670" w:rsidRDefault="000A1670" w:rsidP="00536D5B">
      <w:pPr>
        <w:pStyle w:val="BodyText"/>
        <w:rPr>
          <w:b w:val="0"/>
        </w:rPr>
      </w:pPr>
    </w:p>
    <w:p w14:paraId="2412D14D" w14:textId="0E072DC9" w:rsidR="00F83B6F" w:rsidRPr="00215191" w:rsidRDefault="00F83B6F" w:rsidP="00536D5B">
      <w:pPr>
        <w:pStyle w:val="BodyText"/>
      </w:pPr>
      <w:r w:rsidRPr="00215191">
        <w:rPr>
          <w:sz w:val="28"/>
          <w:szCs w:val="28"/>
        </w:rPr>
        <w:br w:type="page"/>
      </w:r>
    </w:p>
    <w:p w14:paraId="2412D14E" w14:textId="77777777" w:rsidR="00A17F2C" w:rsidRPr="00B86A9F" w:rsidRDefault="00A17F2C" w:rsidP="00686FBD">
      <w:pPr>
        <w:pStyle w:val="Header"/>
        <w:tabs>
          <w:tab w:val="num" w:pos="1080"/>
        </w:tabs>
        <w:jc w:val="center"/>
        <w:rPr>
          <w:b/>
          <w:sz w:val="28"/>
          <w:szCs w:val="28"/>
        </w:rPr>
      </w:pPr>
      <w:r w:rsidRPr="00B86A9F">
        <w:rPr>
          <w:b/>
          <w:sz w:val="28"/>
          <w:szCs w:val="28"/>
        </w:rPr>
        <w:lastRenderedPageBreak/>
        <w:t>Statement of Compatibility with Human Rights</w:t>
      </w:r>
    </w:p>
    <w:p w14:paraId="2412D14F" w14:textId="77777777" w:rsidR="00A17F2C" w:rsidRPr="00B86A9F" w:rsidRDefault="00A17F2C" w:rsidP="000337CB">
      <w:pPr>
        <w:spacing w:before="120" w:after="120"/>
        <w:jc w:val="center"/>
        <w:rPr>
          <w:szCs w:val="24"/>
        </w:rPr>
      </w:pPr>
      <w:r w:rsidRPr="00B86A9F">
        <w:rPr>
          <w:i/>
          <w:szCs w:val="24"/>
        </w:rPr>
        <w:t>Prepared in accordance with Part 3 of the Human Rights (Parliamentary Scrutiny) Act 2011</w:t>
      </w:r>
    </w:p>
    <w:p w14:paraId="2412D150" w14:textId="77777777" w:rsidR="00A17F2C" w:rsidRPr="00B86A9F" w:rsidRDefault="00A17F2C" w:rsidP="000337CB">
      <w:pPr>
        <w:spacing w:before="120" w:after="120"/>
        <w:jc w:val="center"/>
        <w:rPr>
          <w:szCs w:val="24"/>
        </w:rPr>
      </w:pPr>
    </w:p>
    <w:p w14:paraId="3A52A4B2" w14:textId="1BD1E93F" w:rsidR="00C6094D" w:rsidRPr="00FD602D" w:rsidRDefault="00393A85" w:rsidP="00447E92">
      <w:pPr>
        <w:jc w:val="center"/>
        <w:rPr>
          <w:b/>
          <w:i/>
          <w:szCs w:val="24"/>
        </w:rPr>
      </w:pPr>
      <w:r>
        <w:rPr>
          <w:b/>
          <w:i/>
          <w:iCs/>
        </w:rPr>
        <w:t>Health Insurance (</w:t>
      </w:r>
      <w:r w:rsidR="006E7E63">
        <w:rPr>
          <w:b/>
          <w:i/>
          <w:iCs/>
        </w:rPr>
        <w:t>Pathologist</w:t>
      </w:r>
      <w:r w:rsidR="008F56AD">
        <w:rPr>
          <w:b/>
          <w:i/>
          <w:iCs/>
        </w:rPr>
        <w:t>-determinable Services) Amendment Determination</w:t>
      </w:r>
      <w:r>
        <w:rPr>
          <w:b/>
          <w:i/>
          <w:iCs/>
        </w:rPr>
        <w:t xml:space="preserve"> 201</w:t>
      </w:r>
      <w:r w:rsidR="00F96F1A">
        <w:rPr>
          <w:b/>
          <w:i/>
          <w:iCs/>
        </w:rPr>
        <w:t>9</w:t>
      </w:r>
      <w:r w:rsidR="00A34D89" w:rsidRPr="00FD602D">
        <w:rPr>
          <w:b/>
          <w:i/>
          <w:szCs w:val="24"/>
        </w:rPr>
        <w:br/>
      </w:r>
    </w:p>
    <w:p w14:paraId="2412D153" w14:textId="70140287" w:rsidR="00A17F2C" w:rsidRPr="00B86A9F" w:rsidRDefault="00A17F2C" w:rsidP="000337CB">
      <w:pPr>
        <w:jc w:val="center"/>
        <w:rPr>
          <w:szCs w:val="24"/>
        </w:rPr>
      </w:pPr>
      <w:r w:rsidRPr="00B86A9F">
        <w:rPr>
          <w:szCs w:val="24"/>
        </w:rPr>
        <w:t xml:space="preserve">This </w:t>
      </w:r>
      <w:r w:rsidR="00467ADB">
        <w:rPr>
          <w:szCs w:val="24"/>
        </w:rPr>
        <w:t>instrument</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7EDA9098" w14:textId="306A78E1" w:rsidR="006E6BBF" w:rsidRPr="00B86A9F" w:rsidRDefault="006E6BBF" w:rsidP="008734F5">
      <w:pPr>
        <w:spacing w:before="120" w:after="120"/>
        <w:rPr>
          <w:b/>
          <w:szCs w:val="24"/>
        </w:rPr>
      </w:pPr>
      <w:r w:rsidRPr="00B86A9F">
        <w:rPr>
          <w:b/>
          <w:szCs w:val="24"/>
        </w:rPr>
        <w:t xml:space="preserve">Overview of the </w:t>
      </w:r>
      <w:r w:rsidR="00B86A9F" w:rsidRPr="00B86A9F">
        <w:rPr>
          <w:b/>
          <w:szCs w:val="24"/>
        </w:rPr>
        <w:t>Determination</w:t>
      </w:r>
    </w:p>
    <w:p w14:paraId="4C184A57" w14:textId="77777777" w:rsidR="00CD5C9D" w:rsidRPr="008C4A64" w:rsidRDefault="00CD5C9D" w:rsidP="00CD5C9D">
      <w:pPr>
        <w:tabs>
          <w:tab w:val="left" w:pos="709"/>
        </w:tabs>
        <w:rPr>
          <w:szCs w:val="24"/>
        </w:rPr>
      </w:pPr>
      <w:r>
        <w:rPr>
          <w:szCs w:val="24"/>
        </w:rPr>
        <w:t xml:space="preserve">Item 73341 is </w:t>
      </w:r>
      <w:r w:rsidRPr="008C4A64">
        <w:rPr>
          <w:szCs w:val="24"/>
        </w:rPr>
        <w:t xml:space="preserve">for fluorescent in situ hybridisation testing for anaplastic lymphoma kinase </w:t>
      </w:r>
      <w:proofErr w:type="spellStart"/>
      <w:r w:rsidRPr="008C4A64">
        <w:rPr>
          <w:szCs w:val="24"/>
        </w:rPr>
        <w:t>immunoreactivity</w:t>
      </w:r>
      <w:proofErr w:type="spellEnd"/>
      <w:r w:rsidRPr="008C4A64">
        <w:rPr>
          <w:szCs w:val="24"/>
        </w:rPr>
        <w:t xml:space="preserve"> in patients with locally advanced or metastatic non-small cell lung cancer to determine access to</w:t>
      </w:r>
      <w:r>
        <w:rPr>
          <w:szCs w:val="24"/>
        </w:rPr>
        <w:t xml:space="preserve"> </w:t>
      </w:r>
      <w:proofErr w:type="spellStart"/>
      <w:r w:rsidRPr="008C4A64">
        <w:rPr>
          <w:szCs w:val="24"/>
        </w:rPr>
        <w:t>crizotinib</w:t>
      </w:r>
      <w:proofErr w:type="spellEnd"/>
      <w:r>
        <w:rPr>
          <w:szCs w:val="24"/>
        </w:rPr>
        <w:t>,</w:t>
      </w:r>
      <w:r w:rsidRPr="008C4A64">
        <w:rPr>
          <w:szCs w:val="24"/>
        </w:rPr>
        <w:t xml:space="preserve"> </w:t>
      </w:r>
      <w:proofErr w:type="spellStart"/>
      <w:r w:rsidRPr="008C4A64">
        <w:rPr>
          <w:szCs w:val="24"/>
        </w:rPr>
        <w:t>ceritinib</w:t>
      </w:r>
      <w:proofErr w:type="spellEnd"/>
      <w:r w:rsidRPr="008C4A64">
        <w:rPr>
          <w:szCs w:val="24"/>
        </w:rPr>
        <w:t xml:space="preserve"> </w:t>
      </w:r>
      <w:r>
        <w:rPr>
          <w:szCs w:val="24"/>
        </w:rPr>
        <w:t xml:space="preserve">or </w:t>
      </w:r>
      <w:proofErr w:type="spellStart"/>
      <w:r w:rsidRPr="008C4A64">
        <w:rPr>
          <w:szCs w:val="24"/>
        </w:rPr>
        <w:t>alectinib</w:t>
      </w:r>
      <w:proofErr w:type="spellEnd"/>
      <w:r w:rsidRPr="008C4A64">
        <w:rPr>
          <w:szCs w:val="24"/>
        </w:rPr>
        <w:t xml:space="preserve"> under the Pharmaceutical Benefits Scheme.</w:t>
      </w:r>
    </w:p>
    <w:p w14:paraId="5AE8C00C" w14:textId="77777777" w:rsidR="00CD5C9D" w:rsidRDefault="00CD5C9D" w:rsidP="00CD5C9D">
      <w:pPr>
        <w:tabs>
          <w:tab w:val="left" w:pos="709"/>
        </w:tabs>
        <w:rPr>
          <w:szCs w:val="24"/>
        </w:rPr>
      </w:pPr>
    </w:p>
    <w:p w14:paraId="2E1C8166" w14:textId="77777777" w:rsidR="00CD5C9D" w:rsidRPr="000C3388" w:rsidRDefault="00CD5C9D" w:rsidP="00CD5C9D">
      <w:pPr>
        <w:tabs>
          <w:tab w:val="left" w:pos="709"/>
        </w:tabs>
        <w:rPr>
          <w:szCs w:val="24"/>
        </w:rPr>
      </w:pPr>
      <w:r>
        <w:rPr>
          <w:szCs w:val="24"/>
        </w:rPr>
        <w:t xml:space="preserve">In November 2017, the Medical Services Advisory Committee recommended that item 73341 be made pathologist-determinable. This would enable the service to be rendered by a pathologist, without a request, on the basis of information learned in an original requested service. </w:t>
      </w:r>
      <w:r w:rsidRPr="005F0464">
        <w:rPr>
          <w:szCs w:val="24"/>
        </w:rPr>
        <w:t xml:space="preserve">This </w:t>
      </w:r>
      <w:r>
        <w:rPr>
          <w:szCs w:val="24"/>
        </w:rPr>
        <w:t>recommendation was supported by the Government.</w:t>
      </w:r>
    </w:p>
    <w:p w14:paraId="169CF542" w14:textId="77777777" w:rsidR="00CD5C9D" w:rsidRDefault="00CD5C9D" w:rsidP="00CD5C9D">
      <w:pPr>
        <w:tabs>
          <w:tab w:val="left" w:pos="709"/>
        </w:tabs>
        <w:rPr>
          <w:szCs w:val="24"/>
        </w:rPr>
      </w:pPr>
    </w:p>
    <w:p w14:paraId="1E79983B" w14:textId="77777777" w:rsidR="00CD5C9D" w:rsidRPr="005F4C9A" w:rsidRDefault="00CD5C9D" w:rsidP="00CD5C9D">
      <w:pPr>
        <w:rPr>
          <w:szCs w:val="24"/>
        </w:rPr>
      </w:pPr>
      <w:r w:rsidRPr="005F4C9A">
        <w:rPr>
          <w:szCs w:val="24"/>
        </w:rPr>
        <w:t xml:space="preserve">The purpose of the </w:t>
      </w:r>
      <w:r>
        <w:rPr>
          <w:i/>
          <w:szCs w:val="24"/>
        </w:rPr>
        <w:t>Health Insurance (Pathologist-determinable Services) Amendment Determination</w:t>
      </w:r>
      <w:r w:rsidRPr="005F4C9A">
        <w:rPr>
          <w:szCs w:val="24"/>
        </w:rPr>
        <w:t xml:space="preserve"> </w:t>
      </w:r>
      <w:r>
        <w:rPr>
          <w:szCs w:val="24"/>
        </w:rPr>
        <w:t xml:space="preserve">2019 </w:t>
      </w:r>
      <w:r w:rsidRPr="005F4C9A">
        <w:rPr>
          <w:szCs w:val="24"/>
        </w:rPr>
        <w:t xml:space="preserve">is to amend the </w:t>
      </w:r>
      <w:r w:rsidRPr="005F4C9A">
        <w:rPr>
          <w:rFonts w:ascii="Helvetica Neue" w:hAnsi="Helvetica Neue"/>
          <w:i/>
          <w:iCs/>
          <w:szCs w:val="24"/>
        </w:rPr>
        <w:t>Health Insurance (Patholog</w:t>
      </w:r>
      <w:r>
        <w:rPr>
          <w:rFonts w:ascii="Helvetica Neue" w:hAnsi="Helvetica Neue"/>
          <w:i/>
          <w:iCs/>
          <w:szCs w:val="24"/>
        </w:rPr>
        <w:t xml:space="preserve">ist-determinable </w:t>
      </w:r>
      <w:r w:rsidRPr="005F4C9A">
        <w:rPr>
          <w:rFonts w:ascii="Helvetica Neue" w:hAnsi="Helvetica Neue"/>
          <w:i/>
          <w:iCs/>
          <w:szCs w:val="24"/>
        </w:rPr>
        <w:t>Services) Determination 201</w:t>
      </w:r>
      <w:r>
        <w:rPr>
          <w:rFonts w:ascii="Helvetica Neue" w:hAnsi="Helvetica Neue"/>
          <w:i/>
          <w:iCs/>
          <w:szCs w:val="24"/>
        </w:rPr>
        <w:t>5</w:t>
      </w:r>
      <w:r w:rsidRPr="005F4C9A">
        <w:rPr>
          <w:rFonts w:ascii="Helvetica Neue" w:hAnsi="Helvetica Neue"/>
          <w:i/>
          <w:iCs/>
          <w:szCs w:val="24"/>
        </w:rPr>
        <w:t xml:space="preserve"> </w:t>
      </w:r>
      <w:r>
        <w:t>to include a reference to a new pathologist-determinable service</w:t>
      </w:r>
      <w:r w:rsidRPr="005F4C9A">
        <w:t xml:space="preserve"> item </w:t>
      </w:r>
      <w:r>
        <w:t>73341</w:t>
      </w:r>
      <w:r w:rsidRPr="005F4C9A">
        <w:t>.</w:t>
      </w:r>
    </w:p>
    <w:p w14:paraId="2412D15C" w14:textId="258F961E" w:rsidR="00A17F2C" w:rsidRPr="00B86A9F" w:rsidRDefault="00A17F2C" w:rsidP="008734F5">
      <w:pPr>
        <w:spacing w:before="120" w:after="120"/>
        <w:rPr>
          <w:b/>
          <w:szCs w:val="24"/>
        </w:rPr>
      </w:pPr>
      <w:bookmarkStart w:id="0" w:name="_GoBack"/>
      <w:bookmarkEnd w:id="0"/>
      <w:r w:rsidRPr="00B86A9F">
        <w:rPr>
          <w:b/>
          <w:szCs w:val="24"/>
        </w:rPr>
        <w:t>Human rights implications</w:t>
      </w:r>
    </w:p>
    <w:p w14:paraId="2412D15D" w14:textId="55CF4F88" w:rsidR="00A17F2C" w:rsidRPr="00B86A9F" w:rsidRDefault="008B683E" w:rsidP="000337CB">
      <w:pPr>
        <w:spacing w:before="120" w:after="120"/>
        <w:rPr>
          <w:szCs w:val="24"/>
        </w:rPr>
      </w:pPr>
      <w:r w:rsidRPr="00B86A9F">
        <w:rPr>
          <w:szCs w:val="24"/>
        </w:rPr>
        <w:t>Th</w:t>
      </w:r>
      <w:r w:rsidR="00C743D2">
        <w:rPr>
          <w:szCs w:val="24"/>
        </w:rPr>
        <w:t>is</w:t>
      </w:r>
      <w:r w:rsidRPr="00B86A9F">
        <w:rPr>
          <w:szCs w:val="24"/>
        </w:rPr>
        <w:t xml:space="preserve"> </w:t>
      </w:r>
      <w:r w:rsidR="00467ADB">
        <w:rPr>
          <w:szCs w:val="24"/>
        </w:rPr>
        <w:t>instrument</w:t>
      </w:r>
      <w:r w:rsidR="00A17F2C" w:rsidRPr="00B86A9F">
        <w:rPr>
          <w:szCs w:val="24"/>
        </w:rPr>
        <w:t xml:space="preserve"> engage</w:t>
      </w:r>
      <w:r w:rsidR="006E6BBF" w:rsidRPr="00B86A9F">
        <w:rPr>
          <w:szCs w:val="24"/>
        </w:rPr>
        <w:t>s</w:t>
      </w:r>
      <w:r w:rsidR="00A17F2C" w:rsidRPr="00B86A9F">
        <w:rPr>
          <w:szCs w:val="24"/>
        </w:rPr>
        <w:t xml:space="preserve"> Articles </w:t>
      </w:r>
      <w:r w:rsidR="002B7177" w:rsidRPr="00B86A9F">
        <w:rPr>
          <w:szCs w:val="24"/>
        </w:rPr>
        <w:t xml:space="preserve">9 </w:t>
      </w:r>
      <w:r w:rsidR="00A17F2C" w:rsidRPr="00B86A9F">
        <w:rPr>
          <w:szCs w:val="24"/>
        </w:rPr>
        <w:t xml:space="preserve">and 12 of the International Covenant on Economic Social and Cultural Rights (ICESCR), specifically the rights to health and social security. </w:t>
      </w:r>
    </w:p>
    <w:p w14:paraId="2412D15E" w14:textId="05832345" w:rsidR="00A17F2C" w:rsidRPr="00B86A9F" w:rsidRDefault="00A17F2C" w:rsidP="000337CB">
      <w:pPr>
        <w:spacing w:before="120" w:after="120"/>
        <w:rPr>
          <w:i/>
          <w:szCs w:val="24"/>
        </w:rPr>
      </w:pPr>
      <w:r w:rsidRPr="00B86A9F">
        <w:rPr>
          <w:i/>
          <w:szCs w:val="24"/>
        </w:rPr>
        <w:t>The Right to Health</w:t>
      </w:r>
    </w:p>
    <w:p w14:paraId="2412D15F" w14:textId="77777777" w:rsidR="00A17F2C" w:rsidRPr="00B86A9F" w:rsidRDefault="00A17F2C" w:rsidP="000337CB">
      <w:pPr>
        <w:spacing w:before="120" w:after="120"/>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B86A9F" w:rsidRDefault="00A17F2C" w:rsidP="000337CB">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1E3A71" w:rsidR="00A17F2C" w:rsidRPr="00B86A9F" w:rsidRDefault="00A17F2C" w:rsidP="000337CB">
      <w:pPr>
        <w:spacing w:before="120" w:after="120"/>
        <w:rPr>
          <w:i/>
          <w:szCs w:val="24"/>
        </w:rPr>
      </w:pPr>
      <w:r w:rsidRPr="00B86A9F">
        <w:rPr>
          <w:i/>
          <w:szCs w:val="24"/>
        </w:rPr>
        <w:t xml:space="preserve">The Right to Social Security </w:t>
      </w:r>
    </w:p>
    <w:p w14:paraId="2412D162" w14:textId="77777777" w:rsidR="00A17F2C" w:rsidRPr="00B86A9F" w:rsidRDefault="00A17F2C" w:rsidP="000337CB">
      <w:pPr>
        <w:spacing w:before="120" w:after="120"/>
        <w:rPr>
          <w:szCs w:val="24"/>
        </w:rPr>
      </w:pPr>
      <w:r w:rsidRPr="00B86A9F">
        <w:rPr>
          <w:szCs w:val="24"/>
        </w:rPr>
        <w:t>The right to social security is contained in Article 9 of the ICESCR. It requires that a country must, within its maximum available resources, ensure access to a social security scheme that</w:t>
      </w:r>
      <w:r w:rsidR="00BA69CB" w:rsidRPr="00B86A9F">
        <w:rPr>
          <w:szCs w:val="24"/>
        </w:rPr>
        <w:t xml:space="preserve"> </w:t>
      </w:r>
      <w:r w:rsidRPr="00B86A9F">
        <w:rPr>
          <w:szCs w:val="24"/>
        </w:rPr>
        <w:lastRenderedPageBreak/>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B86A9F" w:rsidRDefault="00A17F2C" w:rsidP="000337CB">
      <w:pPr>
        <w:spacing w:before="120" w:after="120"/>
        <w:rPr>
          <w:szCs w:val="24"/>
        </w:rPr>
      </w:pPr>
      <w:r w:rsidRPr="00B86A9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4B566F87" w:rsidR="00A17F2C" w:rsidRPr="00B86A9F" w:rsidRDefault="00A17F2C" w:rsidP="000337CB">
      <w:pPr>
        <w:spacing w:before="120" w:after="120"/>
        <w:rPr>
          <w:szCs w:val="24"/>
          <w:u w:val="single"/>
        </w:rPr>
      </w:pPr>
      <w:r w:rsidRPr="00B86A9F">
        <w:rPr>
          <w:szCs w:val="24"/>
          <w:u w:val="single"/>
        </w:rPr>
        <w:t xml:space="preserve">Analysis </w:t>
      </w:r>
    </w:p>
    <w:p w14:paraId="72B0BBE7" w14:textId="2AC7D8CF" w:rsidR="00E21297" w:rsidRDefault="009F0715" w:rsidP="00302F5C">
      <w:pPr>
        <w:rPr>
          <w:szCs w:val="24"/>
        </w:rPr>
      </w:pPr>
      <w:r w:rsidRPr="00B86A9F">
        <w:rPr>
          <w:szCs w:val="24"/>
        </w:rPr>
        <w:t xml:space="preserve">This </w:t>
      </w:r>
      <w:r w:rsidR="00467ADB">
        <w:rPr>
          <w:szCs w:val="24"/>
        </w:rPr>
        <w:t>instrument</w:t>
      </w:r>
      <w:r w:rsidRPr="00B86A9F">
        <w:rPr>
          <w:szCs w:val="24"/>
        </w:rPr>
        <w:t xml:space="preserve"> </w:t>
      </w:r>
      <w:r w:rsidR="000D1A87" w:rsidRPr="00B86A9F">
        <w:rPr>
          <w:szCs w:val="24"/>
        </w:rPr>
        <w:t>advance</w:t>
      </w:r>
      <w:r w:rsidR="006D33F6">
        <w:rPr>
          <w:szCs w:val="24"/>
        </w:rPr>
        <w:t>s the</w:t>
      </w:r>
      <w:r w:rsidR="000D1A87" w:rsidRPr="00B86A9F">
        <w:rPr>
          <w:szCs w:val="24"/>
        </w:rPr>
        <w:t xml:space="preserve"> </w:t>
      </w:r>
      <w:r w:rsidRPr="00B86A9F">
        <w:rPr>
          <w:szCs w:val="24"/>
        </w:rPr>
        <w:t>right</w:t>
      </w:r>
      <w:r w:rsidR="006D33F6">
        <w:rPr>
          <w:szCs w:val="24"/>
        </w:rPr>
        <w:t xml:space="preserve"> </w:t>
      </w:r>
      <w:r w:rsidRPr="00B86A9F">
        <w:rPr>
          <w:szCs w:val="24"/>
        </w:rPr>
        <w:t xml:space="preserve">to health and </w:t>
      </w:r>
      <w:r w:rsidR="006D33F6">
        <w:rPr>
          <w:szCs w:val="24"/>
        </w:rPr>
        <w:t xml:space="preserve">the right to </w:t>
      </w:r>
      <w:r w:rsidRPr="00B86A9F">
        <w:rPr>
          <w:szCs w:val="24"/>
        </w:rPr>
        <w:t>social security by ensuring access to publicly subsidised health services which are clinically effective</w:t>
      </w:r>
      <w:r w:rsidR="00E17001" w:rsidRPr="00B86A9F">
        <w:rPr>
          <w:szCs w:val="24"/>
        </w:rPr>
        <w:t>, safe</w:t>
      </w:r>
      <w:r w:rsidRPr="00B86A9F">
        <w:rPr>
          <w:szCs w:val="24"/>
        </w:rPr>
        <w:t xml:space="preserve"> and cost-effective.</w:t>
      </w:r>
      <w:r w:rsidR="00910EF6">
        <w:rPr>
          <w:szCs w:val="24"/>
        </w:rPr>
        <w:t xml:space="preserve"> </w:t>
      </w:r>
    </w:p>
    <w:p w14:paraId="2412D166" w14:textId="1973400E" w:rsidR="00A17F2C" w:rsidRPr="00B86A9F" w:rsidRDefault="00A17F2C" w:rsidP="004B7CB9">
      <w:pPr>
        <w:spacing w:before="120" w:after="120" w:line="276" w:lineRule="auto"/>
        <w:rPr>
          <w:rFonts w:eastAsia="Calibri"/>
          <w:b/>
          <w:szCs w:val="24"/>
          <w:lang w:eastAsia="en-US"/>
        </w:rPr>
      </w:pPr>
      <w:r w:rsidRPr="00B86A9F">
        <w:rPr>
          <w:rFonts w:eastAsia="Calibri"/>
          <w:b/>
          <w:szCs w:val="24"/>
          <w:lang w:eastAsia="en-US"/>
        </w:rPr>
        <w:t xml:space="preserve">Conclusion </w:t>
      </w:r>
    </w:p>
    <w:p w14:paraId="2412D167" w14:textId="530CE0EA" w:rsidR="00A17F2C" w:rsidRPr="00B86A9F" w:rsidRDefault="006E6BBF" w:rsidP="000337CB">
      <w:pPr>
        <w:rPr>
          <w:szCs w:val="24"/>
        </w:rPr>
      </w:pPr>
      <w:r w:rsidRPr="00B86A9F">
        <w:rPr>
          <w:szCs w:val="24"/>
        </w:rPr>
        <w:t xml:space="preserve">This </w:t>
      </w:r>
      <w:r w:rsidR="00467ADB">
        <w:rPr>
          <w:szCs w:val="24"/>
        </w:rPr>
        <w:t>instrument</w:t>
      </w:r>
      <w:r w:rsidRPr="00B86A9F">
        <w:rPr>
          <w:szCs w:val="24"/>
        </w:rPr>
        <w:t xml:space="preserve"> </w:t>
      </w:r>
      <w:r w:rsidR="00F15284" w:rsidRPr="00B86A9F">
        <w:rPr>
          <w:szCs w:val="24"/>
        </w:rPr>
        <w:t xml:space="preserve">is compatible with human rights as it has a positive effect on </w:t>
      </w:r>
      <w:r w:rsidR="00910EF6">
        <w:rPr>
          <w:szCs w:val="24"/>
        </w:rPr>
        <w:t xml:space="preserve">the right to health and the right to social security. </w:t>
      </w:r>
    </w:p>
    <w:p w14:paraId="2412D168" w14:textId="77777777" w:rsidR="00F15284" w:rsidRPr="00B86A9F" w:rsidRDefault="00F15284" w:rsidP="000337CB">
      <w:pPr>
        <w:rPr>
          <w:rFonts w:eastAsia="Calibri"/>
          <w:szCs w:val="24"/>
          <w:lang w:eastAsia="en-US"/>
        </w:rPr>
      </w:pPr>
    </w:p>
    <w:p w14:paraId="4DAA4EF0" w14:textId="77777777" w:rsidR="00B86A9F" w:rsidRDefault="00B86A9F" w:rsidP="00B86A9F">
      <w:pPr>
        <w:jc w:val="center"/>
        <w:rPr>
          <w:b/>
        </w:rPr>
      </w:pPr>
      <w:r>
        <w:rPr>
          <w:b/>
        </w:rPr>
        <w:t>Celia Street</w:t>
      </w:r>
    </w:p>
    <w:p w14:paraId="19A3356A" w14:textId="77777777" w:rsidR="00B86A9F" w:rsidRPr="00D67E0A" w:rsidRDefault="00B86A9F" w:rsidP="00B86A9F">
      <w:pPr>
        <w:jc w:val="center"/>
        <w:rPr>
          <w:b/>
        </w:rPr>
      </w:pPr>
      <w:r w:rsidRPr="00D67E0A">
        <w:rPr>
          <w:b/>
        </w:rPr>
        <w:t>Assistant Secretary</w:t>
      </w:r>
    </w:p>
    <w:p w14:paraId="2544F063" w14:textId="77777777" w:rsidR="00B86A9F" w:rsidRDefault="00B86A9F" w:rsidP="00B86A9F">
      <w:pPr>
        <w:jc w:val="center"/>
        <w:rPr>
          <w:b/>
        </w:rPr>
      </w:pPr>
      <w:r w:rsidRPr="00990EDD">
        <w:rPr>
          <w:b/>
        </w:rPr>
        <w:t xml:space="preserve">Diagnostic Imaging and Pathology Branch  </w:t>
      </w:r>
    </w:p>
    <w:p w14:paraId="60C6C760" w14:textId="77777777" w:rsidR="00B86A9F" w:rsidRDefault="00B86A9F" w:rsidP="00B86A9F">
      <w:pPr>
        <w:jc w:val="center"/>
        <w:rPr>
          <w:b/>
        </w:rPr>
      </w:pPr>
      <w:r w:rsidRPr="00D67E0A">
        <w:rPr>
          <w:b/>
        </w:rPr>
        <w:t>Medical Benefits Division</w:t>
      </w:r>
    </w:p>
    <w:p w14:paraId="7DE1543A" w14:textId="48692E61" w:rsidR="008F56AD" w:rsidRPr="00D67E0A" w:rsidRDefault="008F56AD" w:rsidP="00B86A9F">
      <w:pPr>
        <w:jc w:val="center"/>
        <w:rPr>
          <w:b/>
        </w:rPr>
      </w:pPr>
      <w:r>
        <w:rPr>
          <w:b/>
        </w:rPr>
        <w:t>Health Financing Group</w:t>
      </w:r>
    </w:p>
    <w:p w14:paraId="44DB9DAB" w14:textId="77777777" w:rsidR="00B86A9F" w:rsidRPr="00C5724B" w:rsidRDefault="00B86A9F" w:rsidP="00B86A9F">
      <w:pPr>
        <w:jc w:val="center"/>
        <w:rPr>
          <w:b/>
        </w:rPr>
      </w:pPr>
      <w:r w:rsidRPr="00D67E0A">
        <w:rPr>
          <w:b/>
        </w:rPr>
        <w:t>Department of Health</w:t>
      </w:r>
    </w:p>
    <w:p w14:paraId="2412D16E" w14:textId="77777777" w:rsidR="00636C51" w:rsidRPr="0020245D" w:rsidRDefault="00636C51" w:rsidP="009A26CA">
      <w:pPr>
        <w:spacing w:before="120" w:after="120" w:line="276" w:lineRule="auto"/>
        <w:rPr>
          <w:rFonts w:eastAsia="Calibri"/>
          <w:szCs w:val="24"/>
          <w:lang w:eastAsia="en-US"/>
        </w:rPr>
      </w:pPr>
    </w:p>
    <w:sectPr w:rsidR="00636C51" w:rsidRPr="0020245D" w:rsidSect="00D664A9">
      <w:headerReference w:type="even" r:id="rId11"/>
      <w:headerReference w:type="default" r:id="rId12"/>
      <w:headerReference w:type="first" r:id="rId13"/>
      <w:pgSz w:w="11906" w:h="16838"/>
      <w:pgMar w:top="1440"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02BE1B25" w:rsidR="00E23B6B" w:rsidRDefault="00E23B6B">
        <w:pPr>
          <w:pStyle w:val="Header"/>
          <w:jc w:val="center"/>
        </w:pPr>
        <w:r>
          <w:fldChar w:fldCharType="begin"/>
        </w:r>
        <w:r>
          <w:instrText xml:space="preserve"> PAGE   \* MERGEFORMAT </w:instrText>
        </w:r>
        <w:r>
          <w:fldChar w:fldCharType="separate"/>
        </w:r>
        <w:r w:rsidR="00CD5C9D">
          <w:rPr>
            <w:noProof/>
          </w:rPr>
          <w:t>5</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55767B04" w:rsidR="00E23B6B" w:rsidRDefault="00E23B6B">
        <w:pPr>
          <w:pStyle w:val="Header"/>
          <w:jc w:val="center"/>
        </w:pPr>
        <w:r>
          <w:fldChar w:fldCharType="begin"/>
        </w:r>
        <w:r>
          <w:instrText xml:space="preserve"> PAGE   \* MERGEFORMAT </w:instrText>
        </w:r>
        <w:r>
          <w:fldChar w:fldCharType="separate"/>
        </w:r>
        <w:r w:rsidR="00CD5C9D">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004631"/>
    <w:multiLevelType w:val="hybridMultilevel"/>
    <w:tmpl w:val="15B03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2C1336"/>
    <w:multiLevelType w:val="hybridMultilevel"/>
    <w:tmpl w:val="87D80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7"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3"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
  </w:num>
  <w:num w:numId="4">
    <w:abstractNumId w:val="10"/>
  </w:num>
  <w:num w:numId="5">
    <w:abstractNumId w:val="15"/>
  </w:num>
  <w:num w:numId="6">
    <w:abstractNumId w:val="8"/>
  </w:num>
  <w:num w:numId="7">
    <w:abstractNumId w:val="24"/>
  </w:num>
  <w:num w:numId="8">
    <w:abstractNumId w:val="5"/>
  </w:num>
  <w:num w:numId="9">
    <w:abstractNumId w:val="4"/>
  </w:num>
  <w:num w:numId="10">
    <w:abstractNumId w:val="25"/>
  </w:num>
  <w:num w:numId="11">
    <w:abstractNumId w:val="23"/>
  </w:num>
  <w:num w:numId="12">
    <w:abstractNumId w:val="12"/>
  </w:num>
  <w:num w:numId="13">
    <w:abstractNumId w:val="14"/>
  </w:num>
  <w:num w:numId="14">
    <w:abstractNumId w:val="22"/>
  </w:num>
  <w:num w:numId="15">
    <w:abstractNumId w:val="6"/>
  </w:num>
  <w:num w:numId="16">
    <w:abstractNumId w:val="17"/>
  </w:num>
  <w:num w:numId="17">
    <w:abstractNumId w:val="20"/>
  </w:num>
  <w:num w:numId="18">
    <w:abstractNumId w:val="18"/>
  </w:num>
  <w:num w:numId="19">
    <w:abstractNumId w:val="3"/>
  </w:num>
  <w:num w:numId="20">
    <w:abstractNumId w:val="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9"/>
  </w:num>
  <w:num w:numId="25">
    <w:abstractNumId w:val="7"/>
  </w:num>
  <w:num w:numId="26">
    <w:abstractNumId w:val="13"/>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D66"/>
    <w:rsid w:val="0000441D"/>
    <w:rsid w:val="00004E17"/>
    <w:rsid w:val="00005906"/>
    <w:rsid w:val="00007B65"/>
    <w:rsid w:val="00014639"/>
    <w:rsid w:val="00014B38"/>
    <w:rsid w:val="00014E40"/>
    <w:rsid w:val="00016774"/>
    <w:rsid w:val="000203B4"/>
    <w:rsid w:val="00021EFA"/>
    <w:rsid w:val="00024158"/>
    <w:rsid w:val="00025F64"/>
    <w:rsid w:val="0002704E"/>
    <w:rsid w:val="0002728B"/>
    <w:rsid w:val="00027830"/>
    <w:rsid w:val="0003079C"/>
    <w:rsid w:val="000319EF"/>
    <w:rsid w:val="00033034"/>
    <w:rsid w:val="000337CB"/>
    <w:rsid w:val="0003591F"/>
    <w:rsid w:val="00041849"/>
    <w:rsid w:val="0004426E"/>
    <w:rsid w:val="00044A2A"/>
    <w:rsid w:val="000509BA"/>
    <w:rsid w:val="0005224B"/>
    <w:rsid w:val="0005533C"/>
    <w:rsid w:val="00061046"/>
    <w:rsid w:val="00063242"/>
    <w:rsid w:val="000640CF"/>
    <w:rsid w:val="00064BA4"/>
    <w:rsid w:val="00067F59"/>
    <w:rsid w:val="000710DD"/>
    <w:rsid w:val="0007187A"/>
    <w:rsid w:val="000727E0"/>
    <w:rsid w:val="00072F69"/>
    <w:rsid w:val="00073983"/>
    <w:rsid w:val="00073BC9"/>
    <w:rsid w:val="00076C34"/>
    <w:rsid w:val="00076FE3"/>
    <w:rsid w:val="00080116"/>
    <w:rsid w:val="00081188"/>
    <w:rsid w:val="0008151A"/>
    <w:rsid w:val="00081C37"/>
    <w:rsid w:val="0009514A"/>
    <w:rsid w:val="000969EF"/>
    <w:rsid w:val="000A1670"/>
    <w:rsid w:val="000A199B"/>
    <w:rsid w:val="000A31F2"/>
    <w:rsid w:val="000A45BE"/>
    <w:rsid w:val="000A467F"/>
    <w:rsid w:val="000A6FB3"/>
    <w:rsid w:val="000A7B9B"/>
    <w:rsid w:val="000B3452"/>
    <w:rsid w:val="000C1226"/>
    <w:rsid w:val="000C12EE"/>
    <w:rsid w:val="000C3388"/>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1000CE"/>
    <w:rsid w:val="00103606"/>
    <w:rsid w:val="00104751"/>
    <w:rsid w:val="0010617D"/>
    <w:rsid w:val="00106763"/>
    <w:rsid w:val="00107F36"/>
    <w:rsid w:val="0011066E"/>
    <w:rsid w:val="00113B2E"/>
    <w:rsid w:val="00120766"/>
    <w:rsid w:val="00121189"/>
    <w:rsid w:val="00121A66"/>
    <w:rsid w:val="00132087"/>
    <w:rsid w:val="00133EF3"/>
    <w:rsid w:val="00134B27"/>
    <w:rsid w:val="00135D0D"/>
    <w:rsid w:val="001400C4"/>
    <w:rsid w:val="00141323"/>
    <w:rsid w:val="00141E8C"/>
    <w:rsid w:val="00143943"/>
    <w:rsid w:val="00145918"/>
    <w:rsid w:val="00145D25"/>
    <w:rsid w:val="00145DED"/>
    <w:rsid w:val="0015182B"/>
    <w:rsid w:val="001519E4"/>
    <w:rsid w:val="00154FC4"/>
    <w:rsid w:val="0015521F"/>
    <w:rsid w:val="001641C0"/>
    <w:rsid w:val="0016646C"/>
    <w:rsid w:val="00167DA1"/>
    <w:rsid w:val="0017187F"/>
    <w:rsid w:val="00174BA5"/>
    <w:rsid w:val="00174E96"/>
    <w:rsid w:val="001770D9"/>
    <w:rsid w:val="0017759F"/>
    <w:rsid w:val="0018012F"/>
    <w:rsid w:val="00180742"/>
    <w:rsid w:val="00181B3E"/>
    <w:rsid w:val="00181F74"/>
    <w:rsid w:val="00183C10"/>
    <w:rsid w:val="0018451D"/>
    <w:rsid w:val="001865F8"/>
    <w:rsid w:val="001867EA"/>
    <w:rsid w:val="00187EE5"/>
    <w:rsid w:val="00190FC9"/>
    <w:rsid w:val="001926AD"/>
    <w:rsid w:val="0019289B"/>
    <w:rsid w:val="001929C3"/>
    <w:rsid w:val="0019464A"/>
    <w:rsid w:val="00195A6A"/>
    <w:rsid w:val="001965DA"/>
    <w:rsid w:val="0019711F"/>
    <w:rsid w:val="001978CE"/>
    <w:rsid w:val="001A4BE2"/>
    <w:rsid w:val="001A5BC0"/>
    <w:rsid w:val="001A7249"/>
    <w:rsid w:val="001A7EF8"/>
    <w:rsid w:val="001B0111"/>
    <w:rsid w:val="001B3714"/>
    <w:rsid w:val="001B5ED9"/>
    <w:rsid w:val="001B66AF"/>
    <w:rsid w:val="001B7092"/>
    <w:rsid w:val="001C1B86"/>
    <w:rsid w:val="001C35BC"/>
    <w:rsid w:val="001C5FC1"/>
    <w:rsid w:val="001C6713"/>
    <w:rsid w:val="001C734C"/>
    <w:rsid w:val="001D6B46"/>
    <w:rsid w:val="001D778A"/>
    <w:rsid w:val="001D7D62"/>
    <w:rsid w:val="001E014D"/>
    <w:rsid w:val="001E2D6D"/>
    <w:rsid w:val="001E3B02"/>
    <w:rsid w:val="001E5391"/>
    <w:rsid w:val="001E5787"/>
    <w:rsid w:val="001E57BC"/>
    <w:rsid w:val="001E5DE7"/>
    <w:rsid w:val="001E63F3"/>
    <w:rsid w:val="001E7C25"/>
    <w:rsid w:val="001F07D4"/>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2F76"/>
    <w:rsid w:val="0022342C"/>
    <w:rsid w:val="0022384B"/>
    <w:rsid w:val="00225B50"/>
    <w:rsid w:val="00225D8E"/>
    <w:rsid w:val="002264F4"/>
    <w:rsid w:val="002322A8"/>
    <w:rsid w:val="0023311C"/>
    <w:rsid w:val="00233BEB"/>
    <w:rsid w:val="00236DF2"/>
    <w:rsid w:val="0024152E"/>
    <w:rsid w:val="00242974"/>
    <w:rsid w:val="00244D84"/>
    <w:rsid w:val="00250061"/>
    <w:rsid w:val="00250642"/>
    <w:rsid w:val="00251E4A"/>
    <w:rsid w:val="00251F50"/>
    <w:rsid w:val="00253E30"/>
    <w:rsid w:val="0025493F"/>
    <w:rsid w:val="00254F15"/>
    <w:rsid w:val="00257E4D"/>
    <w:rsid w:val="00261010"/>
    <w:rsid w:val="00262865"/>
    <w:rsid w:val="00263279"/>
    <w:rsid w:val="002643FC"/>
    <w:rsid w:val="00274073"/>
    <w:rsid w:val="002748F8"/>
    <w:rsid w:val="0027545F"/>
    <w:rsid w:val="0027610D"/>
    <w:rsid w:val="0027761A"/>
    <w:rsid w:val="00281918"/>
    <w:rsid w:val="00284483"/>
    <w:rsid w:val="00285256"/>
    <w:rsid w:val="002852B2"/>
    <w:rsid w:val="00287AEF"/>
    <w:rsid w:val="00287B08"/>
    <w:rsid w:val="00290B98"/>
    <w:rsid w:val="002944D4"/>
    <w:rsid w:val="00296763"/>
    <w:rsid w:val="0029737E"/>
    <w:rsid w:val="00297AD0"/>
    <w:rsid w:val="00297D55"/>
    <w:rsid w:val="002A0CC8"/>
    <w:rsid w:val="002A3243"/>
    <w:rsid w:val="002A5CDF"/>
    <w:rsid w:val="002A5EB7"/>
    <w:rsid w:val="002A68B3"/>
    <w:rsid w:val="002B2AC5"/>
    <w:rsid w:val="002B2E78"/>
    <w:rsid w:val="002B49DE"/>
    <w:rsid w:val="002B4E4D"/>
    <w:rsid w:val="002B53D3"/>
    <w:rsid w:val="002B7177"/>
    <w:rsid w:val="002C4F5B"/>
    <w:rsid w:val="002C54A1"/>
    <w:rsid w:val="002C5DCD"/>
    <w:rsid w:val="002C6021"/>
    <w:rsid w:val="002D03AB"/>
    <w:rsid w:val="002D0AE7"/>
    <w:rsid w:val="002D2A4E"/>
    <w:rsid w:val="002D5294"/>
    <w:rsid w:val="002D5DFC"/>
    <w:rsid w:val="002D5E92"/>
    <w:rsid w:val="002D6269"/>
    <w:rsid w:val="002D629A"/>
    <w:rsid w:val="002E12C3"/>
    <w:rsid w:val="002E3493"/>
    <w:rsid w:val="002E35BF"/>
    <w:rsid w:val="002E5F5C"/>
    <w:rsid w:val="002E6FD5"/>
    <w:rsid w:val="002E7D88"/>
    <w:rsid w:val="002F0434"/>
    <w:rsid w:val="002F1707"/>
    <w:rsid w:val="002F2F33"/>
    <w:rsid w:val="002F3A26"/>
    <w:rsid w:val="002F449C"/>
    <w:rsid w:val="002F4CD2"/>
    <w:rsid w:val="002F6069"/>
    <w:rsid w:val="002F7549"/>
    <w:rsid w:val="00301D49"/>
    <w:rsid w:val="003025C7"/>
    <w:rsid w:val="00302F5C"/>
    <w:rsid w:val="00304080"/>
    <w:rsid w:val="003042D3"/>
    <w:rsid w:val="0031124D"/>
    <w:rsid w:val="00312ED1"/>
    <w:rsid w:val="00313554"/>
    <w:rsid w:val="00317B55"/>
    <w:rsid w:val="0032155B"/>
    <w:rsid w:val="003223AB"/>
    <w:rsid w:val="00322EE8"/>
    <w:rsid w:val="003239D0"/>
    <w:rsid w:val="00324908"/>
    <w:rsid w:val="0033493D"/>
    <w:rsid w:val="00337856"/>
    <w:rsid w:val="00337DE1"/>
    <w:rsid w:val="00340BDB"/>
    <w:rsid w:val="00340E39"/>
    <w:rsid w:val="00341145"/>
    <w:rsid w:val="003412CB"/>
    <w:rsid w:val="0035214B"/>
    <w:rsid w:val="003527D6"/>
    <w:rsid w:val="00353351"/>
    <w:rsid w:val="00353622"/>
    <w:rsid w:val="00357CD8"/>
    <w:rsid w:val="0036105C"/>
    <w:rsid w:val="00361ADE"/>
    <w:rsid w:val="00363306"/>
    <w:rsid w:val="00363BBF"/>
    <w:rsid w:val="0036495A"/>
    <w:rsid w:val="00366C2C"/>
    <w:rsid w:val="00367440"/>
    <w:rsid w:val="00370BE6"/>
    <w:rsid w:val="00371F67"/>
    <w:rsid w:val="00375E39"/>
    <w:rsid w:val="003760ED"/>
    <w:rsid w:val="003775D7"/>
    <w:rsid w:val="00380CBA"/>
    <w:rsid w:val="00381278"/>
    <w:rsid w:val="0038127E"/>
    <w:rsid w:val="00384080"/>
    <w:rsid w:val="00386C22"/>
    <w:rsid w:val="003876E6"/>
    <w:rsid w:val="00391AFA"/>
    <w:rsid w:val="003937EF"/>
    <w:rsid w:val="00393A85"/>
    <w:rsid w:val="00393E9B"/>
    <w:rsid w:val="00396AE5"/>
    <w:rsid w:val="00397A97"/>
    <w:rsid w:val="003A280D"/>
    <w:rsid w:val="003A5A70"/>
    <w:rsid w:val="003A6230"/>
    <w:rsid w:val="003A6299"/>
    <w:rsid w:val="003B1976"/>
    <w:rsid w:val="003B20B7"/>
    <w:rsid w:val="003B27BA"/>
    <w:rsid w:val="003B366C"/>
    <w:rsid w:val="003B38C1"/>
    <w:rsid w:val="003B59A9"/>
    <w:rsid w:val="003B6B63"/>
    <w:rsid w:val="003B7C31"/>
    <w:rsid w:val="003C02D4"/>
    <w:rsid w:val="003C37E3"/>
    <w:rsid w:val="003C4CBD"/>
    <w:rsid w:val="003C546B"/>
    <w:rsid w:val="003C7719"/>
    <w:rsid w:val="003D0FBD"/>
    <w:rsid w:val="003D2A6D"/>
    <w:rsid w:val="003D3D57"/>
    <w:rsid w:val="003E005B"/>
    <w:rsid w:val="003E04DA"/>
    <w:rsid w:val="003E1249"/>
    <w:rsid w:val="003E3544"/>
    <w:rsid w:val="003E35A8"/>
    <w:rsid w:val="003E4124"/>
    <w:rsid w:val="003E77CB"/>
    <w:rsid w:val="003F47FD"/>
    <w:rsid w:val="003F4B52"/>
    <w:rsid w:val="003F73BA"/>
    <w:rsid w:val="003F73F0"/>
    <w:rsid w:val="00401423"/>
    <w:rsid w:val="00403105"/>
    <w:rsid w:val="00404F11"/>
    <w:rsid w:val="00405890"/>
    <w:rsid w:val="00405EF4"/>
    <w:rsid w:val="004072BA"/>
    <w:rsid w:val="00411365"/>
    <w:rsid w:val="0041237F"/>
    <w:rsid w:val="00412B6C"/>
    <w:rsid w:val="00414613"/>
    <w:rsid w:val="00415B19"/>
    <w:rsid w:val="0041767B"/>
    <w:rsid w:val="00420205"/>
    <w:rsid w:val="00421D5F"/>
    <w:rsid w:val="00422831"/>
    <w:rsid w:val="00424197"/>
    <w:rsid w:val="00425F40"/>
    <w:rsid w:val="004265AA"/>
    <w:rsid w:val="00426A8D"/>
    <w:rsid w:val="00430861"/>
    <w:rsid w:val="00432D4D"/>
    <w:rsid w:val="00433DCE"/>
    <w:rsid w:val="00437B1B"/>
    <w:rsid w:val="004405B8"/>
    <w:rsid w:val="004417A2"/>
    <w:rsid w:val="00442F9D"/>
    <w:rsid w:val="00444A0A"/>
    <w:rsid w:val="00444EDF"/>
    <w:rsid w:val="004456A4"/>
    <w:rsid w:val="00445A6D"/>
    <w:rsid w:val="00446A6B"/>
    <w:rsid w:val="00447E92"/>
    <w:rsid w:val="0045189C"/>
    <w:rsid w:val="00453925"/>
    <w:rsid w:val="004636B4"/>
    <w:rsid w:val="004641DC"/>
    <w:rsid w:val="00464AC7"/>
    <w:rsid w:val="004669A4"/>
    <w:rsid w:val="00466A5B"/>
    <w:rsid w:val="0046799A"/>
    <w:rsid w:val="00467ADB"/>
    <w:rsid w:val="0047494B"/>
    <w:rsid w:val="00475A85"/>
    <w:rsid w:val="00476F13"/>
    <w:rsid w:val="00480561"/>
    <w:rsid w:val="004806B3"/>
    <w:rsid w:val="00480FFF"/>
    <w:rsid w:val="00481E5E"/>
    <w:rsid w:val="004828A9"/>
    <w:rsid w:val="004849DE"/>
    <w:rsid w:val="00484A65"/>
    <w:rsid w:val="00484C11"/>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57A"/>
    <w:rsid w:val="004C405B"/>
    <w:rsid w:val="004C5B35"/>
    <w:rsid w:val="004C68D1"/>
    <w:rsid w:val="004C6AE7"/>
    <w:rsid w:val="004C72E8"/>
    <w:rsid w:val="004D04DF"/>
    <w:rsid w:val="004D1BF4"/>
    <w:rsid w:val="004D460E"/>
    <w:rsid w:val="004D480B"/>
    <w:rsid w:val="004D7821"/>
    <w:rsid w:val="004E10C5"/>
    <w:rsid w:val="004E22A7"/>
    <w:rsid w:val="004E39E6"/>
    <w:rsid w:val="004E71DC"/>
    <w:rsid w:val="004E7F97"/>
    <w:rsid w:val="004F1563"/>
    <w:rsid w:val="004F20B0"/>
    <w:rsid w:val="004F7682"/>
    <w:rsid w:val="005012BC"/>
    <w:rsid w:val="00502156"/>
    <w:rsid w:val="00502277"/>
    <w:rsid w:val="005042B5"/>
    <w:rsid w:val="00505C67"/>
    <w:rsid w:val="00510A4F"/>
    <w:rsid w:val="005119E9"/>
    <w:rsid w:val="00512A65"/>
    <w:rsid w:val="005130BE"/>
    <w:rsid w:val="005140F2"/>
    <w:rsid w:val="0051709B"/>
    <w:rsid w:val="00517B83"/>
    <w:rsid w:val="0052165A"/>
    <w:rsid w:val="00521802"/>
    <w:rsid w:val="0052324E"/>
    <w:rsid w:val="0052430B"/>
    <w:rsid w:val="00525D51"/>
    <w:rsid w:val="00526699"/>
    <w:rsid w:val="0053210D"/>
    <w:rsid w:val="00532B69"/>
    <w:rsid w:val="00532CD3"/>
    <w:rsid w:val="005345A9"/>
    <w:rsid w:val="00534D8A"/>
    <w:rsid w:val="00536D5B"/>
    <w:rsid w:val="0054004F"/>
    <w:rsid w:val="00542913"/>
    <w:rsid w:val="00543DC9"/>
    <w:rsid w:val="005440E4"/>
    <w:rsid w:val="005452CD"/>
    <w:rsid w:val="00546DB4"/>
    <w:rsid w:val="005474A5"/>
    <w:rsid w:val="00547D82"/>
    <w:rsid w:val="005504B4"/>
    <w:rsid w:val="00550DAB"/>
    <w:rsid w:val="00552105"/>
    <w:rsid w:val="0055354D"/>
    <w:rsid w:val="00554543"/>
    <w:rsid w:val="005555B8"/>
    <w:rsid w:val="005642D9"/>
    <w:rsid w:val="00564C2B"/>
    <w:rsid w:val="00564C37"/>
    <w:rsid w:val="00564D84"/>
    <w:rsid w:val="00570F2B"/>
    <w:rsid w:val="0057258C"/>
    <w:rsid w:val="00573651"/>
    <w:rsid w:val="00574E71"/>
    <w:rsid w:val="005757C1"/>
    <w:rsid w:val="00580063"/>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17F7"/>
    <w:rsid w:val="005A3D73"/>
    <w:rsid w:val="005A3D8D"/>
    <w:rsid w:val="005A445D"/>
    <w:rsid w:val="005B0EA3"/>
    <w:rsid w:val="005B1B0A"/>
    <w:rsid w:val="005B5062"/>
    <w:rsid w:val="005B6234"/>
    <w:rsid w:val="005B7596"/>
    <w:rsid w:val="005C4A91"/>
    <w:rsid w:val="005C4ED1"/>
    <w:rsid w:val="005C5824"/>
    <w:rsid w:val="005C6118"/>
    <w:rsid w:val="005D3575"/>
    <w:rsid w:val="005D3CED"/>
    <w:rsid w:val="005D538F"/>
    <w:rsid w:val="005D63D9"/>
    <w:rsid w:val="005D68D1"/>
    <w:rsid w:val="005E293A"/>
    <w:rsid w:val="005E49E7"/>
    <w:rsid w:val="005E56FE"/>
    <w:rsid w:val="005E62D6"/>
    <w:rsid w:val="005E6A82"/>
    <w:rsid w:val="005E7398"/>
    <w:rsid w:val="005F0464"/>
    <w:rsid w:val="005F04DC"/>
    <w:rsid w:val="005F0F6C"/>
    <w:rsid w:val="005F1A7F"/>
    <w:rsid w:val="005F4C9A"/>
    <w:rsid w:val="00601165"/>
    <w:rsid w:val="00607971"/>
    <w:rsid w:val="00611A4E"/>
    <w:rsid w:val="006122C0"/>
    <w:rsid w:val="0061281D"/>
    <w:rsid w:val="00613C46"/>
    <w:rsid w:val="00614AAD"/>
    <w:rsid w:val="00616889"/>
    <w:rsid w:val="00617F77"/>
    <w:rsid w:val="0062074E"/>
    <w:rsid w:val="00623004"/>
    <w:rsid w:val="00627C91"/>
    <w:rsid w:val="00631F6E"/>
    <w:rsid w:val="00634965"/>
    <w:rsid w:val="00635031"/>
    <w:rsid w:val="006369D4"/>
    <w:rsid w:val="00636C51"/>
    <w:rsid w:val="006407FA"/>
    <w:rsid w:val="006427B2"/>
    <w:rsid w:val="00642BEB"/>
    <w:rsid w:val="00647426"/>
    <w:rsid w:val="00647590"/>
    <w:rsid w:val="006526F5"/>
    <w:rsid w:val="00657702"/>
    <w:rsid w:val="006619F5"/>
    <w:rsid w:val="006629F9"/>
    <w:rsid w:val="006639F0"/>
    <w:rsid w:val="0066562D"/>
    <w:rsid w:val="00670998"/>
    <w:rsid w:val="00672050"/>
    <w:rsid w:val="00673872"/>
    <w:rsid w:val="00674A34"/>
    <w:rsid w:val="00685515"/>
    <w:rsid w:val="0068642A"/>
    <w:rsid w:val="00686FBD"/>
    <w:rsid w:val="00692404"/>
    <w:rsid w:val="00694C76"/>
    <w:rsid w:val="00694F4A"/>
    <w:rsid w:val="006A029B"/>
    <w:rsid w:val="006A17A1"/>
    <w:rsid w:val="006A61C5"/>
    <w:rsid w:val="006B0F31"/>
    <w:rsid w:val="006B13BC"/>
    <w:rsid w:val="006B32FE"/>
    <w:rsid w:val="006B330C"/>
    <w:rsid w:val="006B3959"/>
    <w:rsid w:val="006B4B58"/>
    <w:rsid w:val="006B6925"/>
    <w:rsid w:val="006C026A"/>
    <w:rsid w:val="006C138D"/>
    <w:rsid w:val="006C147B"/>
    <w:rsid w:val="006C3807"/>
    <w:rsid w:val="006C7491"/>
    <w:rsid w:val="006C761B"/>
    <w:rsid w:val="006C76B5"/>
    <w:rsid w:val="006D03ED"/>
    <w:rsid w:val="006D2B37"/>
    <w:rsid w:val="006D33F6"/>
    <w:rsid w:val="006D3D81"/>
    <w:rsid w:val="006D3ED2"/>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E7E63"/>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5753"/>
    <w:rsid w:val="00735CCC"/>
    <w:rsid w:val="007368DC"/>
    <w:rsid w:val="00736AC9"/>
    <w:rsid w:val="00741A4E"/>
    <w:rsid w:val="00742E97"/>
    <w:rsid w:val="007452E0"/>
    <w:rsid w:val="00745512"/>
    <w:rsid w:val="00745BD4"/>
    <w:rsid w:val="00750378"/>
    <w:rsid w:val="007505FB"/>
    <w:rsid w:val="007524B0"/>
    <w:rsid w:val="00752997"/>
    <w:rsid w:val="007533EC"/>
    <w:rsid w:val="00757618"/>
    <w:rsid w:val="00762606"/>
    <w:rsid w:val="00762B45"/>
    <w:rsid w:val="0076544A"/>
    <w:rsid w:val="00767402"/>
    <w:rsid w:val="0077044D"/>
    <w:rsid w:val="0077148B"/>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B7975"/>
    <w:rsid w:val="007C20FA"/>
    <w:rsid w:val="007C27D3"/>
    <w:rsid w:val="007C2C95"/>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4A98"/>
    <w:rsid w:val="00805C3A"/>
    <w:rsid w:val="008061B8"/>
    <w:rsid w:val="008129B1"/>
    <w:rsid w:val="00817A12"/>
    <w:rsid w:val="00820C33"/>
    <w:rsid w:val="008237F5"/>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5104"/>
    <w:rsid w:val="008774D2"/>
    <w:rsid w:val="00880E40"/>
    <w:rsid w:val="00883771"/>
    <w:rsid w:val="00883C9D"/>
    <w:rsid w:val="00883EFE"/>
    <w:rsid w:val="0088635B"/>
    <w:rsid w:val="008869CA"/>
    <w:rsid w:val="008905BA"/>
    <w:rsid w:val="00891786"/>
    <w:rsid w:val="00893941"/>
    <w:rsid w:val="00893DBB"/>
    <w:rsid w:val="0089513F"/>
    <w:rsid w:val="00895699"/>
    <w:rsid w:val="008A153F"/>
    <w:rsid w:val="008A54A9"/>
    <w:rsid w:val="008A6188"/>
    <w:rsid w:val="008A79C6"/>
    <w:rsid w:val="008A7E13"/>
    <w:rsid w:val="008B28F2"/>
    <w:rsid w:val="008B444F"/>
    <w:rsid w:val="008B683E"/>
    <w:rsid w:val="008B7F26"/>
    <w:rsid w:val="008C0EF7"/>
    <w:rsid w:val="008C11A2"/>
    <w:rsid w:val="008C20F7"/>
    <w:rsid w:val="008C4A64"/>
    <w:rsid w:val="008C5F1C"/>
    <w:rsid w:val="008D06D8"/>
    <w:rsid w:val="008D1B01"/>
    <w:rsid w:val="008D25D7"/>
    <w:rsid w:val="008D2A83"/>
    <w:rsid w:val="008D2D7B"/>
    <w:rsid w:val="008D2D98"/>
    <w:rsid w:val="008D44EB"/>
    <w:rsid w:val="008E3E1A"/>
    <w:rsid w:val="008E4039"/>
    <w:rsid w:val="008F0D28"/>
    <w:rsid w:val="008F1AA9"/>
    <w:rsid w:val="008F25BC"/>
    <w:rsid w:val="008F56AD"/>
    <w:rsid w:val="008F7C5B"/>
    <w:rsid w:val="009049C0"/>
    <w:rsid w:val="00906257"/>
    <w:rsid w:val="009069D6"/>
    <w:rsid w:val="00910EF6"/>
    <w:rsid w:val="00912380"/>
    <w:rsid w:val="009124F6"/>
    <w:rsid w:val="00912BC1"/>
    <w:rsid w:val="00913B67"/>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648F3"/>
    <w:rsid w:val="00964D68"/>
    <w:rsid w:val="00965025"/>
    <w:rsid w:val="009654C8"/>
    <w:rsid w:val="00967E51"/>
    <w:rsid w:val="00971039"/>
    <w:rsid w:val="00971B7B"/>
    <w:rsid w:val="00971D3B"/>
    <w:rsid w:val="00972D48"/>
    <w:rsid w:val="00975E68"/>
    <w:rsid w:val="00977A95"/>
    <w:rsid w:val="00982585"/>
    <w:rsid w:val="00983F5E"/>
    <w:rsid w:val="00985DC9"/>
    <w:rsid w:val="00985FA9"/>
    <w:rsid w:val="00987A99"/>
    <w:rsid w:val="009902F7"/>
    <w:rsid w:val="0099448D"/>
    <w:rsid w:val="00995A06"/>
    <w:rsid w:val="00997CFA"/>
    <w:rsid w:val="009A222A"/>
    <w:rsid w:val="009A26CA"/>
    <w:rsid w:val="009A6FE7"/>
    <w:rsid w:val="009B1FD2"/>
    <w:rsid w:val="009B2D35"/>
    <w:rsid w:val="009B3AEB"/>
    <w:rsid w:val="009B423E"/>
    <w:rsid w:val="009B7AE2"/>
    <w:rsid w:val="009C1606"/>
    <w:rsid w:val="009C3EB5"/>
    <w:rsid w:val="009C42BD"/>
    <w:rsid w:val="009C444B"/>
    <w:rsid w:val="009C522C"/>
    <w:rsid w:val="009D3773"/>
    <w:rsid w:val="009D499D"/>
    <w:rsid w:val="009D72AA"/>
    <w:rsid w:val="009D7484"/>
    <w:rsid w:val="009E2AEA"/>
    <w:rsid w:val="009E3183"/>
    <w:rsid w:val="009E36E1"/>
    <w:rsid w:val="009E3783"/>
    <w:rsid w:val="009E3EA3"/>
    <w:rsid w:val="009E3ED4"/>
    <w:rsid w:val="009F0715"/>
    <w:rsid w:val="009F1615"/>
    <w:rsid w:val="009F45FE"/>
    <w:rsid w:val="009F6717"/>
    <w:rsid w:val="00A01F6A"/>
    <w:rsid w:val="00A0321B"/>
    <w:rsid w:val="00A045C5"/>
    <w:rsid w:val="00A045CA"/>
    <w:rsid w:val="00A04DC3"/>
    <w:rsid w:val="00A0597B"/>
    <w:rsid w:val="00A05DAD"/>
    <w:rsid w:val="00A06FB4"/>
    <w:rsid w:val="00A14878"/>
    <w:rsid w:val="00A155F1"/>
    <w:rsid w:val="00A1707B"/>
    <w:rsid w:val="00A1739A"/>
    <w:rsid w:val="00A17694"/>
    <w:rsid w:val="00A17F2C"/>
    <w:rsid w:val="00A232B9"/>
    <w:rsid w:val="00A33893"/>
    <w:rsid w:val="00A34C9A"/>
    <w:rsid w:val="00A34D89"/>
    <w:rsid w:val="00A40CD5"/>
    <w:rsid w:val="00A41364"/>
    <w:rsid w:val="00A41F72"/>
    <w:rsid w:val="00A44A25"/>
    <w:rsid w:val="00A54891"/>
    <w:rsid w:val="00A54CA1"/>
    <w:rsid w:val="00A56516"/>
    <w:rsid w:val="00A62031"/>
    <w:rsid w:val="00A62966"/>
    <w:rsid w:val="00A65D80"/>
    <w:rsid w:val="00A672A7"/>
    <w:rsid w:val="00A714DD"/>
    <w:rsid w:val="00A73044"/>
    <w:rsid w:val="00A7379C"/>
    <w:rsid w:val="00A73CF1"/>
    <w:rsid w:val="00A75C9A"/>
    <w:rsid w:val="00A835D4"/>
    <w:rsid w:val="00A853D1"/>
    <w:rsid w:val="00A85AA3"/>
    <w:rsid w:val="00A86302"/>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B05D5"/>
    <w:rsid w:val="00AB2611"/>
    <w:rsid w:val="00AB35DC"/>
    <w:rsid w:val="00AB419D"/>
    <w:rsid w:val="00AB52D0"/>
    <w:rsid w:val="00AC046B"/>
    <w:rsid w:val="00AC1E16"/>
    <w:rsid w:val="00AC1EDB"/>
    <w:rsid w:val="00AC3582"/>
    <w:rsid w:val="00AC3A0C"/>
    <w:rsid w:val="00AC3EEC"/>
    <w:rsid w:val="00AC3FDA"/>
    <w:rsid w:val="00AC50EE"/>
    <w:rsid w:val="00AC54F8"/>
    <w:rsid w:val="00AC57A5"/>
    <w:rsid w:val="00AC681D"/>
    <w:rsid w:val="00AC6FF1"/>
    <w:rsid w:val="00AD0F67"/>
    <w:rsid w:val="00AD1A30"/>
    <w:rsid w:val="00AD3550"/>
    <w:rsid w:val="00AD7E8E"/>
    <w:rsid w:val="00AE0F81"/>
    <w:rsid w:val="00AE330D"/>
    <w:rsid w:val="00AF134A"/>
    <w:rsid w:val="00AF3563"/>
    <w:rsid w:val="00AF3BCE"/>
    <w:rsid w:val="00AF421C"/>
    <w:rsid w:val="00AF5C05"/>
    <w:rsid w:val="00AF5D09"/>
    <w:rsid w:val="00AF7622"/>
    <w:rsid w:val="00B00238"/>
    <w:rsid w:val="00B019A9"/>
    <w:rsid w:val="00B03218"/>
    <w:rsid w:val="00B03273"/>
    <w:rsid w:val="00B039EC"/>
    <w:rsid w:val="00B07EFF"/>
    <w:rsid w:val="00B10984"/>
    <w:rsid w:val="00B110B5"/>
    <w:rsid w:val="00B14C3A"/>
    <w:rsid w:val="00B167A2"/>
    <w:rsid w:val="00B174E3"/>
    <w:rsid w:val="00B2772E"/>
    <w:rsid w:val="00B27A5B"/>
    <w:rsid w:val="00B316E7"/>
    <w:rsid w:val="00B3398C"/>
    <w:rsid w:val="00B34BDE"/>
    <w:rsid w:val="00B34EF9"/>
    <w:rsid w:val="00B3578F"/>
    <w:rsid w:val="00B35DAD"/>
    <w:rsid w:val="00B36EB3"/>
    <w:rsid w:val="00B41AE8"/>
    <w:rsid w:val="00B445D0"/>
    <w:rsid w:val="00B45C4D"/>
    <w:rsid w:val="00B53FF2"/>
    <w:rsid w:val="00B54620"/>
    <w:rsid w:val="00B55CDD"/>
    <w:rsid w:val="00B56E4F"/>
    <w:rsid w:val="00B6141A"/>
    <w:rsid w:val="00B63345"/>
    <w:rsid w:val="00B63A7A"/>
    <w:rsid w:val="00B652B0"/>
    <w:rsid w:val="00B70D13"/>
    <w:rsid w:val="00B7119B"/>
    <w:rsid w:val="00B71CF1"/>
    <w:rsid w:val="00B72847"/>
    <w:rsid w:val="00B73A3D"/>
    <w:rsid w:val="00B74168"/>
    <w:rsid w:val="00B746F1"/>
    <w:rsid w:val="00B748AE"/>
    <w:rsid w:val="00B75DB2"/>
    <w:rsid w:val="00B7681E"/>
    <w:rsid w:val="00B81EB1"/>
    <w:rsid w:val="00B832A3"/>
    <w:rsid w:val="00B83AFF"/>
    <w:rsid w:val="00B84886"/>
    <w:rsid w:val="00B84958"/>
    <w:rsid w:val="00B86A9F"/>
    <w:rsid w:val="00B910E8"/>
    <w:rsid w:val="00B93137"/>
    <w:rsid w:val="00B9328C"/>
    <w:rsid w:val="00B94CD8"/>
    <w:rsid w:val="00B96F16"/>
    <w:rsid w:val="00B97A54"/>
    <w:rsid w:val="00BA0974"/>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2082B"/>
    <w:rsid w:val="00C20DBA"/>
    <w:rsid w:val="00C33771"/>
    <w:rsid w:val="00C3411B"/>
    <w:rsid w:val="00C34230"/>
    <w:rsid w:val="00C3661B"/>
    <w:rsid w:val="00C42112"/>
    <w:rsid w:val="00C435EB"/>
    <w:rsid w:val="00C45768"/>
    <w:rsid w:val="00C4692B"/>
    <w:rsid w:val="00C46A0C"/>
    <w:rsid w:val="00C46DFD"/>
    <w:rsid w:val="00C473F7"/>
    <w:rsid w:val="00C501E5"/>
    <w:rsid w:val="00C5100A"/>
    <w:rsid w:val="00C51884"/>
    <w:rsid w:val="00C549BC"/>
    <w:rsid w:val="00C56251"/>
    <w:rsid w:val="00C5667B"/>
    <w:rsid w:val="00C56A65"/>
    <w:rsid w:val="00C56BCE"/>
    <w:rsid w:val="00C56FE0"/>
    <w:rsid w:val="00C6072B"/>
    <w:rsid w:val="00C6094D"/>
    <w:rsid w:val="00C61B8F"/>
    <w:rsid w:val="00C62733"/>
    <w:rsid w:val="00C62FDC"/>
    <w:rsid w:val="00C70DEE"/>
    <w:rsid w:val="00C71B5C"/>
    <w:rsid w:val="00C724F5"/>
    <w:rsid w:val="00C73066"/>
    <w:rsid w:val="00C743D2"/>
    <w:rsid w:val="00C77A1F"/>
    <w:rsid w:val="00C80647"/>
    <w:rsid w:val="00C80836"/>
    <w:rsid w:val="00C81956"/>
    <w:rsid w:val="00C81D3E"/>
    <w:rsid w:val="00C82D82"/>
    <w:rsid w:val="00C84DDE"/>
    <w:rsid w:val="00C85162"/>
    <w:rsid w:val="00C87864"/>
    <w:rsid w:val="00C90EAC"/>
    <w:rsid w:val="00C917FD"/>
    <w:rsid w:val="00C93D01"/>
    <w:rsid w:val="00C958FA"/>
    <w:rsid w:val="00C96958"/>
    <w:rsid w:val="00C96A6B"/>
    <w:rsid w:val="00CA6026"/>
    <w:rsid w:val="00CA62C0"/>
    <w:rsid w:val="00CA73CB"/>
    <w:rsid w:val="00CA79BB"/>
    <w:rsid w:val="00CB4161"/>
    <w:rsid w:val="00CB43A2"/>
    <w:rsid w:val="00CB6DE1"/>
    <w:rsid w:val="00CB7730"/>
    <w:rsid w:val="00CC0405"/>
    <w:rsid w:val="00CC12A0"/>
    <w:rsid w:val="00CC20D2"/>
    <w:rsid w:val="00CC26A8"/>
    <w:rsid w:val="00CC4CED"/>
    <w:rsid w:val="00CC6EBB"/>
    <w:rsid w:val="00CD4A21"/>
    <w:rsid w:val="00CD5C9D"/>
    <w:rsid w:val="00CE3A6F"/>
    <w:rsid w:val="00CE63F9"/>
    <w:rsid w:val="00CE7DBC"/>
    <w:rsid w:val="00CF0A31"/>
    <w:rsid w:val="00CF1E87"/>
    <w:rsid w:val="00CF240F"/>
    <w:rsid w:val="00CF34FA"/>
    <w:rsid w:val="00CF4B5F"/>
    <w:rsid w:val="00CF4FAD"/>
    <w:rsid w:val="00CF5C15"/>
    <w:rsid w:val="00CF6201"/>
    <w:rsid w:val="00CF6B2F"/>
    <w:rsid w:val="00D05CAA"/>
    <w:rsid w:val="00D06129"/>
    <w:rsid w:val="00D114E6"/>
    <w:rsid w:val="00D1198D"/>
    <w:rsid w:val="00D15F17"/>
    <w:rsid w:val="00D161BE"/>
    <w:rsid w:val="00D162D9"/>
    <w:rsid w:val="00D179BE"/>
    <w:rsid w:val="00D2085B"/>
    <w:rsid w:val="00D30F03"/>
    <w:rsid w:val="00D317FC"/>
    <w:rsid w:val="00D33180"/>
    <w:rsid w:val="00D34E5E"/>
    <w:rsid w:val="00D4044B"/>
    <w:rsid w:val="00D4046C"/>
    <w:rsid w:val="00D41D2D"/>
    <w:rsid w:val="00D42638"/>
    <w:rsid w:val="00D44316"/>
    <w:rsid w:val="00D448E6"/>
    <w:rsid w:val="00D470E5"/>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5422"/>
    <w:rsid w:val="00D7566A"/>
    <w:rsid w:val="00D85008"/>
    <w:rsid w:val="00D87426"/>
    <w:rsid w:val="00D8754D"/>
    <w:rsid w:val="00D90223"/>
    <w:rsid w:val="00D92717"/>
    <w:rsid w:val="00D93E05"/>
    <w:rsid w:val="00D9515D"/>
    <w:rsid w:val="00DA3A08"/>
    <w:rsid w:val="00DA4715"/>
    <w:rsid w:val="00DA62DF"/>
    <w:rsid w:val="00DA7439"/>
    <w:rsid w:val="00DB0DA9"/>
    <w:rsid w:val="00DB108A"/>
    <w:rsid w:val="00DB60CC"/>
    <w:rsid w:val="00DC1776"/>
    <w:rsid w:val="00DC33A5"/>
    <w:rsid w:val="00DC4340"/>
    <w:rsid w:val="00DC7898"/>
    <w:rsid w:val="00DD0C95"/>
    <w:rsid w:val="00DD19F8"/>
    <w:rsid w:val="00DD1C70"/>
    <w:rsid w:val="00DD3239"/>
    <w:rsid w:val="00DE07E4"/>
    <w:rsid w:val="00DE0877"/>
    <w:rsid w:val="00DE0FF8"/>
    <w:rsid w:val="00DE3EBF"/>
    <w:rsid w:val="00DE4C0C"/>
    <w:rsid w:val="00DE6D39"/>
    <w:rsid w:val="00DE7345"/>
    <w:rsid w:val="00DF51CA"/>
    <w:rsid w:val="00DF5581"/>
    <w:rsid w:val="00DF7501"/>
    <w:rsid w:val="00DF7936"/>
    <w:rsid w:val="00E04B6F"/>
    <w:rsid w:val="00E13833"/>
    <w:rsid w:val="00E17001"/>
    <w:rsid w:val="00E17406"/>
    <w:rsid w:val="00E20AE5"/>
    <w:rsid w:val="00E20F00"/>
    <w:rsid w:val="00E21297"/>
    <w:rsid w:val="00E23A38"/>
    <w:rsid w:val="00E23B6B"/>
    <w:rsid w:val="00E265A0"/>
    <w:rsid w:val="00E266DE"/>
    <w:rsid w:val="00E311F5"/>
    <w:rsid w:val="00E33C6E"/>
    <w:rsid w:val="00E34BF8"/>
    <w:rsid w:val="00E35B1E"/>
    <w:rsid w:val="00E4250F"/>
    <w:rsid w:val="00E44A7E"/>
    <w:rsid w:val="00E44ED4"/>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377F"/>
    <w:rsid w:val="00E74710"/>
    <w:rsid w:val="00E74C1D"/>
    <w:rsid w:val="00E81B2F"/>
    <w:rsid w:val="00E844ED"/>
    <w:rsid w:val="00E85744"/>
    <w:rsid w:val="00E85810"/>
    <w:rsid w:val="00E85B0A"/>
    <w:rsid w:val="00E90558"/>
    <w:rsid w:val="00E909CD"/>
    <w:rsid w:val="00E92248"/>
    <w:rsid w:val="00E92BD1"/>
    <w:rsid w:val="00E935A1"/>
    <w:rsid w:val="00E93FB6"/>
    <w:rsid w:val="00EA1715"/>
    <w:rsid w:val="00EA2FFB"/>
    <w:rsid w:val="00EA31FD"/>
    <w:rsid w:val="00EA4349"/>
    <w:rsid w:val="00EA4EE4"/>
    <w:rsid w:val="00EA5A32"/>
    <w:rsid w:val="00EA6E1E"/>
    <w:rsid w:val="00EB2F51"/>
    <w:rsid w:val="00EB3BF0"/>
    <w:rsid w:val="00EB601D"/>
    <w:rsid w:val="00EB6CCD"/>
    <w:rsid w:val="00EC0258"/>
    <w:rsid w:val="00EC0273"/>
    <w:rsid w:val="00EC25BA"/>
    <w:rsid w:val="00EC2732"/>
    <w:rsid w:val="00EC435A"/>
    <w:rsid w:val="00ED0AD5"/>
    <w:rsid w:val="00ED1DE2"/>
    <w:rsid w:val="00ED1F31"/>
    <w:rsid w:val="00ED3630"/>
    <w:rsid w:val="00ED6CCC"/>
    <w:rsid w:val="00ED7140"/>
    <w:rsid w:val="00ED77E5"/>
    <w:rsid w:val="00ED7A30"/>
    <w:rsid w:val="00EE026E"/>
    <w:rsid w:val="00EE3C59"/>
    <w:rsid w:val="00EE55AA"/>
    <w:rsid w:val="00EE5A6D"/>
    <w:rsid w:val="00EE5B70"/>
    <w:rsid w:val="00EE66B6"/>
    <w:rsid w:val="00EE7B48"/>
    <w:rsid w:val="00EF0AFA"/>
    <w:rsid w:val="00EF38E5"/>
    <w:rsid w:val="00EF5C33"/>
    <w:rsid w:val="00EF629C"/>
    <w:rsid w:val="00EF6AB8"/>
    <w:rsid w:val="00EF7C6E"/>
    <w:rsid w:val="00F012F4"/>
    <w:rsid w:val="00F01632"/>
    <w:rsid w:val="00F0546E"/>
    <w:rsid w:val="00F055F0"/>
    <w:rsid w:val="00F05E2D"/>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4026"/>
    <w:rsid w:val="00F570AB"/>
    <w:rsid w:val="00F57A71"/>
    <w:rsid w:val="00F61C28"/>
    <w:rsid w:val="00F61E69"/>
    <w:rsid w:val="00F633B7"/>
    <w:rsid w:val="00F645F1"/>
    <w:rsid w:val="00F6591A"/>
    <w:rsid w:val="00F70D35"/>
    <w:rsid w:val="00F7546C"/>
    <w:rsid w:val="00F77B00"/>
    <w:rsid w:val="00F81316"/>
    <w:rsid w:val="00F83B6F"/>
    <w:rsid w:val="00F84470"/>
    <w:rsid w:val="00F857BC"/>
    <w:rsid w:val="00F90273"/>
    <w:rsid w:val="00F90BD0"/>
    <w:rsid w:val="00F93ACB"/>
    <w:rsid w:val="00F93C4F"/>
    <w:rsid w:val="00F95994"/>
    <w:rsid w:val="00F96F1A"/>
    <w:rsid w:val="00FA240B"/>
    <w:rsid w:val="00FA2524"/>
    <w:rsid w:val="00FA49C5"/>
    <w:rsid w:val="00FA5BD2"/>
    <w:rsid w:val="00FA6175"/>
    <w:rsid w:val="00FA6784"/>
    <w:rsid w:val="00FA7E00"/>
    <w:rsid w:val="00FB1780"/>
    <w:rsid w:val="00FB35C6"/>
    <w:rsid w:val="00FB4C5A"/>
    <w:rsid w:val="00FB5BFA"/>
    <w:rsid w:val="00FB6699"/>
    <w:rsid w:val="00FB6F79"/>
    <w:rsid w:val="00FC10F6"/>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2412D11F"/>
  <w15:docId w15:val="{47AAC375-A483-46EB-87EE-0288EF7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Char1">
    <w:name w:val="Char1"/>
    <w:basedOn w:val="Normal"/>
    <w:rsid w:val="00453925"/>
    <w:pPr>
      <w:spacing w:after="160" w:line="240" w:lineRule="exact"/>
    </w:pPr>
    <w:rPr>
      <w:rFonts w:ascii="Verdana" w:eastAsia="MS Mincho"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93101161">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374963801">
      <w:bodyDiv w:val="1"/>
      <w:marLeft w:val="0"/>
      <w:marRight w:val="0"/>
      <w:marTop w:val="0"/>
      <w:marBottom w:val="0"/>
      <w:divBdr>
        <w:top w:val="none" w:sz="0" w:space="0" w:color="auto"/>
        <w:left w:val="none" w:sz="0" w:space="0" w:color="auto"/>
        <w:bottom w:val="none" w:sz="0" w:space="0" w:color="auto"/>
        <w:right w:val="none" w:sz="0" w:space="0" w:color="auto"/>
      </w:divBdr>
      <w:divsChild>
        <w:div w:id="1823693471">
          <w:marLeft w:val="0"/>
          <w:marRight w:val="0"/>
          <w:marTop w:val="0"/>
          <w:marBottom w:val="0"/>
          <w:divBdr>
            <w:top w:val="none" w:sz="0" w:space="0" w:color="auto"/>
            <w:left w:val="none" w:sz="0" w:space="0" w:color="auto"/>
            <w:bottom w:val="none" w:sz="0" w:space="0" w:color="auto"/>
            <w:right w:val="none" w:sz="0" w:space="0" w:color="auto"/>
          </w:divBdr>
          <w:divsChild>
            <w:div w:id="776872311">
              <w:marLeft w:val="0"/>
              <w:marRight w:val="0"/>
              <w:marTop w:val="0"/>
              <w:marBottom w:val="0"/>
              <w:divBdr>
                <w:top w:val="none" w:sz="0" w:space="0" w:color="auto"/>
                <w:left w:val="none" w:sz="0" w:space="0" w:color="auto"/>
                <w:bottom w:val="none" w:sz="0" w:space="0" w:color="auto"/>
                <w:right w:val="none" w:sz="0" w:space="0" w:color="auto"/>
              </w:divBdr>
              <w:divsChild>
                <w:div w:id="681854865">
                  <w:marLeft w:val="0"/>
                  <w:marRight w:val="0"/>
                  <w:marTop w:val="0"/>
                  <w:marBottom w:val="0"/>
                  <w:divBdr>
                    <w:top w:val="none" w:sz="0" w:space="0" w:color="auto"/>
                    <w:left w:val="none" w:sz="0" w:space="0" w:color="auto"/>
                    <w:bottom w:val="none" w:sz="0" w:space="0" w:color="auto"/>
                    <w:right w:val="none" w:sz="0" w:space="0" w:color="auto"/>
                  </w:divBdr>
                  <w:divsChild>
                    <w:div w:id="1404178791">
                      <w:marLeft w:val="0"/>
                      <w:marRight w:val="0"/>
                      <w:marTop w:val="0"/>
                      <w:marBottom w:val="0"/>
                      <w:divBdr>
                        <w:top w:val="none" w:sz="0" w:space="0" w:color="auto"/>
                        <w:left w:val="none" w:sz="0" w:space="0" w:color="auto"/>
                        <w:bottom w:val="none" w:sz="0" w:space="0" w:color="auto"/>
                        <w:right w:val="none" w:sz="0" w:space="0" w:color="auto"/>
                      </w:divBdr>
                      <w:divsChild>
                        <w:div w:id="566649271">
                          <w:marLeft w:val="0"/>
                          <w:marRight w:val="0"/>
                          <w:marTop w:val="0"/>
                          <w:marBottom w:val="0"/>
                          <w:divBdr>
                            <w:top w:val="none" w:sz="0" w:space="0" w:color="auto"/>
                            <w:left w:val="none" w:sz="0" w:space="0" w:color="auto"/>
                            <w:bottom w:val="none" w:sz="0" w:space="0" w:color="auto"/>
                            <w:right w:val="none" w:sz="0" w:space="0" w:color="auto"/>
                          </w:divBdr>
                          <w:divsChild>
                            <w:div w:id="374042536">
                              <w:marLeft w:val="0"/>
                              <w:marRight w:val="0"/>
                              <w:marTop w:val="0"/>
                              <w:marBottom w:val="0"/>
                              <w:divBdr>
                                <w:top w:val="none" w:sz="0" w:space="0" w:color="auto"/>
                                <w:left w:val="none" w:sz="0" w:space="0" w:color="auto"/>
                                <w:bottom w:val="none" w:sz="0" w:space="0" w:color="auto"/>
                                <w:right w:val="none" w:sz="0" w:space="0" w:color="auto"/>
                              </w:divBdr>
                              <w:divsChild>
                                <w:div w:id="624585185">
                                  <w:marLeft w:val="0"/>
                                  <w:marRight w:val="0"/>
                                  <w:marTop w:val="0"/>
                                  <w:marBottom w:val="0"/>
                                  <w:divBdr>
                                    <w:top w:val="none" w:sz="0" w:space="0" w:color="auto"/>
                                    <w:left w:val="none" w:sz="0" w:space="0" w:color="auto"/>
                                    <w:bottom w:val="none" w:sz="0" w:space="0" w:color="auto"/>
                                    <w:right w:val="none" w:sz="0" w:space="0" w:color="auto"/>
                                  </w:divBdr>
                                  <w:divsChild>
                                    <w:div w:id="1868523054">
                                      <w:marLeft w:val="0"/>
                                      <w:marRight w:val="0"/>
                                      <w:marTop w:val="0"/>
                                      <w:marBottom w:val="0"/>
                                      <w:divBdr>
                                        <w:top w:val="none" w:sz="0" w:space="0" w:color="auto"/>
                                        <w:left w:val="none" w:sz="0" w:space="0" w:color="auto"/>
                                        <w:bottom w:val="none" w:sz="0" w:space="0" w:color="auto"/>
                                        <w:right w:val="none" w:sz="0" w:space="0" w:color="auto"/>
                                      </w:divBdr>
                                      <w:divsChild>
                                        <w:div w:id="1514953710">
                                          <w:marLeft w:val="0"/>
                                          <w:marRight w:val="0"/>
                                          <w:marTop w:val="0"/>
                                          <w:marBottom w:val="0"/>
                                          <w:divBdr>
                                            <w:top w:val="none" w:sz="0" w:space="0" w:color="auto"/>
                                            <w:left w:val="none" w:sz="0" w:space="0" w:color="auto"/>
                                            <w:bottom w:val="none" w:sz="0" w:space="0" w:color="auto"/>
                                            <w:right w:val="none" w:sz="0" w:space="0" w:color="auto"/>
                                          </w:divBdr>
                                          <w:divsChild>
                                            <w:div w:id="1187213652">
                                              <w:marLeft w:val="0"/>
                                              <w:marRight w:val="0"/>
                                              <w:marTop w:val="0"/>
                                              <w:marBottom w:val="0"/>
                                              <w:divBdr>
                                                <w:top w:val="none" w:sz="0" w:space="0" w:color="auto"/>
                                                <w:left w:val="none" w:sz="0" w:space="0" w:color="auto"/>
                                                <w:bottom w:val="none" w:sz="0" w:space="0" w:color="auto"/>
                                                <w:right w:val="none" w:sz="0" w:space="0" w:color="auto"/>
                                              </w:divBdr>
                                              <w:divsChild>
                                                <w:div w:id="640159416">
                                                  <w:marLeft w:val="0"/>
                                                  <w:marRight w:val="0"/>
                                                  <w:marTop w:val="0"/>
                                                  <w:marBottom w:val="0"/>
                                                  <w:divBdr>
                                                    <w:top w:val="none" w:sz="0" w:space="0" w:color="auto"/>
                                                    <w:left w:val="none" w:sz="0" w:space="0" w:color="auto"/>
                                                    <w:bottom w:val="none" w:sz="0" w:space="0" w:color="auto"/>
                                                    <w:right w:val="none" w:sz="0" w:space="0" w:color="auto"/>
                                                  </w:divBdr>
                                                  <w:divsChild>
                                                    <w:div w:id="1333605564">
                                                      <w:marLeft w:val="0"/>
                                                      <w:marRight w:val="0"/>
                                                      <w:marTop w:val="0"/>
                                                      <w:marBottom w:val="0"/>
                                                      <w:divBdr>
                                                        <w:top w:val="none" w:sz="0" w:space="0" w:color="auto"/>
                                                        <w:left w:val="none" w:sz="0" w:space="0" w:color="auto"/>
                                                        <w:bottom w:val="none" w:sz="0" w:space="0" w:color="auto"/>
                                                        <w:right w:val="none" w:sz="0" w:space="0" w:color="auto"/>
                                                      </w:divBdr>
                                                      <w:divsChild>
                                                        <w:div w:id="12261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665017084">
      <w:bodyDiv w:val="1"/>
      <w:marLeft w:val="0"/>
      <w:marRight w:val="0"/>
      <w:marTop w:val="0"/>
      <w:marBottom w:val="0"/>
      <w:divBdr>
        <w:top w:val="none" w:sz="0" w:space="0" w:color="auto"/>
        <w:left w:val="none" w:sz="0" w:space="0" w:color="auto"/>
        <w:bottom w:val="none" w:sz="0" w:space="0" w:color="auto"/>
        <w:right w:val="none" w:sz="0" w:space="0" w:color="auto"/>
      </w:divBdr>
      <w:divsChild>
        <w:div w:id="1344088355">
          <w:marLeft w:val="0"/>
          <w:marRight w:val="0"/>
          <w:marTop w:val="0"/>
          <w:marBottom w:val="0"/>
          <w:divBdr>
            <w:top w:val="none" w:sz="0" w:space="0" w:color="auto"/>
            <w:left w:val="none" w:sz="0" w:space="0" w:color="auto"/>
            <w:bottom w:val="none" w:sz="0" w:space="0" w:color="auto"/>
            <w:right w:val="none" w:sz="0" w:space="0" w:color="auto"/>
          </w:divBdr>
          <w:divsChild>
            <w:div w:id="1892424237">
              <w:marLeft w:val="0"/>
              <w:marRight w:val="0"/>
              <w:marTop w:val="0"/>
              <w:marBottom w:val="0"/>
              <w:divBdr>
                <w:top w:val="none" w:sz="0" w:space="0" w:color="auto"/>
                <w:left w:val="none" w:sz="0" w:space="0" w:color="auto"/>
                <w:bottom w:val="none" w:sz="0" w:space="0" w:color="auto"/>
                <w:right w:val="none" w:sz="0" w:space="0" w:color="auto"/>
              </w:divBdr>
              <w:divsChild>
                <w:div w:id="1925335642">
                  <w:marLeft w:val="0"/>
                  <w:marRight w:val="0"/>
                  <w:marTop w:val="0"/>
                  <w:marBottom w:val="0"/>
                  <w:divBdr>
                    <w:top w:val="none" w:sz="0" w:space="0" w:color="auto"/>
                    <w:left w:val="none" w:sz="0" w:space="0" w:color="auto"/>
                    <w:bottom w:val="none" w:sz="0" w:space="0" w:color="auto"/>
                    <w:right w:val="none" w:sz="0" w:space="0" w:color="auto"/>
                  </w:divBdr>
                  <w:divsChild>
                    <w:div w:id="416094032">
                      <w:marLeft w:val="0"/>
                      <w:marRight w:val="0"/>
                      <w:marTop w:val="0"/>
                      <w:marBottom w:val="0"/>
                      <w:divBdr>
                        <w:top w:val="none" w:sz="0" w:space="0" w:color="auto"/>
                        <w:left w:val="none" w:sz="0" w:space="0" w:color="auto"/>
                        <w:bottom w:val="none" w:sz="0" w:space="0" w:color="auto"/>
                        <w:right w:val="none" w:sz="0" w:space="0" w:color="auto"/>
                      </w:divBdr>
                      <w:divsChild>
                        <w:div w:id="1465199403">
                          <w:marLeft w:val="0"/>
                          <w:marRight w:val="0"/>
                          <w:marTop w:val="0"/>
                          <w:marBottom w:val="0"/>
                          <w:divBdr>
                            <w:top w:val="none" w:sz="0" w:space="0" w:color="auto"/>
                            <w:left w:val="none" w:sz="0" w:space="0" w:color="auto"/>
                            <w:bottom w:val="none" w:sz="0" w:space="0" w:color="auto"/>
                            <w:right w:val="none" w:sz="0" w:space="0" w:color="auto"/>
                          </w:divBdr>
                          <w:divsChild>
                            <w:div w:id="1126197347">
                              <w:marLeft w:val="0"/>
                              <w:marRight w:val="0"/>
                              <w:marTop w:val="0"/>
                              <w:marBottom w:val="0"/>
                              <w:divBdr>
                                <w:top w:val="none" w:sz="0" w:space="0" w:color="auto"/>
                                <w:left w:val="none" w:sz="0" w:space="0" w:color="auto"/>
                                <w:bottom w:val="none" w:sz="0" w:space="0" w:color="auto"/>
                                <w:right w:val="none" w:sz="0" w:space="0" w:color="auto"/>
                              </w:divBdr>
                              <w:divsChild>
                                <w:div w:id="526987349">
                                  <w:marLeft w:val="0"/>
                                  <w:marRight w:val="0"/>
                                  <w:marTop w:val="0"/>
                                  <w:marBottom w:val="0"/>
                                  <w:divBdr>
                                    <w:top w:val="none" w:sz="0" w:space="0" w:color="auto"/>
                                    <w:left w:val="none" w:sz="0" w:space="0" w:color="auto"/>
                                    <w:bottom w:val="none" w:sz="0" w:space="0" w:color="auto"/>
                                    <w:right w:val="none" w:sz="0" w:space="0" w:color="auto"/>
                                  </w:divBdr>
                                  <w:divsChild>
                                    <w:div w:id="666634928">
                                      <w:marLeft w:val="0"/>
                                      <w:marRight w:val="0"/>
                                      <w:marTop w:val="0"/>
                                      <w:marBottom w:val="0"/>
                                      <w:divBdr>
                                        <w:top w:val="none" w:sz="0" w:space="0" w:color="auto"/>
                                        <w:left w:val="none" w:sz="0" w:space="0" w:color="auto"/>
                                        <w:bottom w:val="none" w:sz="0" w:space="0" w:color="auto"/>
                                        <w:right w:val="none" w:sz="0" w:space="0" w:color="auto"/>
                                      </w:divBdr>
                                      <w:divsChild>
                                        <w:div w:id="1294411733">
                                          <w:marLeft w:val="0"/>
                                          <w:marRight w:val="0"/>
                                          <w:marTop w:val="0"/>
                                          <w:marBottom w:val="0"/>
                                          <w:divBdr>
                                            <w:top w:val="none" w:sz="0" w:space="0" w:color="auto"/>
                                            <w:left w:val="none" w:sz="0" w:space="0" w:color="auto"/>
                                            <w:bottom w:val="none" w:sz="0" w:space="0" w:color="auto"/>
                                            <w:right w:val="none" w:sz="0" w:space="0" w:color="auto"/>
                                          </w:divBdr>
                                          <w:divsChild>
                                            <w:div w:id="816728762">
                                              <w:marLeft w:val="0"/>
                                              <w:marRight w:val="0"/>
                                              <w:marTop w:val="0"/>
                                              <w:marBottom w:val="0"/>
                                              <w:divBdr>
                                                <w:top w:val="none" w:sz="0" w:space="0" w:color="auto"/>
                                                <w:left w:val="none" w:sz="0" w:space="0" w:color="auto"/>
                                                <w:bottom w:val="none" w:sz="0" w:space="0" w:color="auto"/>
                                                <w:right w:val="none" w:sz="0" w:space="0" w:color="auto"/>
                                              </w:divBdr>
                                              <w:divsChild>
                                                <w:div w:id="745614127">
                                                  <w:marLeft w:val="0"/>
                                                  <w:marRight w:val="0"/>
                                                  <w:marTop w:val="0"/>
                                                  <w:marBottom w:val="0"/>
                                                  <w:divBdr>
                                                    <w:top w:val="none" w:sz="0" w:space="0" w:color="auto"/>
                                                    <w:left w:val="none" w:sz="0" w:space="0" w:color="auto"/>
                                                    <w:bottom w:val="none" w:sz="0" w:space="0" w:color="auto"/>
                                                    <w:right w:val="none" w:sz="0" w:space="0" w:color="auto"/>
                                                  </w:divBdr>
                                                  <w:divsChild>
                                                    <w:div w:id="1021203626">
                                                      <w:marLeft w:val="0"/>
                                                      <w:marRight w:val="0"/>
                                                      <w:marTop w:val="0"/>
                                                      <w:marBottom w:val="0"/>
                                                      <w:divBdr>
                                                        <w:top w:val="none" w:sz="0" w:space="0" w:color="auto"/>
                                                        <w:left w:val="none" w:sz="0" w:space="0" w:color="auto"/>
                                                        <w:bottom w:val="none" w:sz="0" w:space="0" w:color="auto"/>
                                                        <w:right w:val="none" w:sz="0" w:space="0" w:color="auto"/>
                                                      </w:divBdr>
                                                      <w:divsChild>
                                                        <w:div w:id="13897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625850">
      <w:bodyDiv w:val="1"/>
      <w:marLeft w:val="0"/>
      <w:marRight w:val="0"/>
      <w:marTop w:val="0"/>
      <w:marBottom w:val="0"/>
      <w:divBdr>
        <w:top w:val="none" w:sz="0" w:space="0" w:color="auto"/>
        <w:left w:val="none" w:sz="0" w:space="0" w:color="auto"/>
        <w:bottom w:val="none" w:sz="0" w:space="0" w:color="auto"/>
        <w:right w:val="none" w:sz="0" w:space="0" w:color="auto"/>
      </w:divBdr>
      <w:divsChild>
        <w:div w:id="1946424112">
          <w:marLeft w:val="0"/>
          <w:marRight w:val="0"/>
          <w:marTop w:val="0"/>
          <w:marBottom w:val="0"/>
          <w:divBdr>
            <w:top w:val="none" w:sz="0" w:space="0" w:color="auto"/>
            <w:left w:val="none" w:sz="0" w:space="0" w:color="auto"/>
            <w:bottom w:val="none" w:sz="0" w:space="0" w:color="auto"/>
            <w:right w:val="none" w:sz="0" w:space="0" w:color="auto"/>
          </w:divBdr>
          <w:divsChild>
            <w:div w:id="1002007939">
              <w:marLeft w:val="0"/>
              <w:marRight w:val="0"/>
              <w:marTop w:val="0"/>
              <w:marBottom w:val="0"/>
              <w:divBdr>
                <w:top w:val="none" w:sz="0" w:space="0" w:color="auto"/>
                <w:left w:val="none" w:sz="0" w:space="0" w:color="auto"/>
                <w:bottom w:val="none" w:sz="0" w:space="0" w:color="auto"/>
                <w:right w:val="none" w:sz="0" w:space="0" w:color="auto"/>
              </w:divBdr>
              <w:divsChild>
                <w:div w:id="2011910862">
                  <w:marLeft w:val="0"/>
                  <w:marRight w:val="0"/>
                  <w:marTop w:val="0"/>
                  <w:marBottom w:val="0"/>
                  <w:divBdr>
                    <w:top w:val="none" w:sz="0" w:space="0" w:color="auto"/>
                    <w:left w:val="none" w:sz="0" w:space="0" w:color="auto"/>
                    <w:bottom w:val="none" w:sz="0" w:space="0" w:color="auto"/>
                    <w:right w:val="none" w:sz="0" w:space="0" w:color="auto"/>
                  </w:divBdr>
                  <w:divsChild>
                    <w:div w:id="1220287680">
                      <w:marLeft w:val="0"/>
                      <w:marRight w:val="0"/>
                      <w:marTop w:val="0"/>
                      <w:marBottom w:val="0"/>
                      <w:divBdr>
                        <w:top w:val="none" w:sz="0" w:space="0" w:color="auto"/>
                        <w:left w:val="none" w:sz="0" w:space="0" w:color="auto"/>
                        <w:bottom w:val="none" w:sz="0" w:space="0" w:color="auto"/>
                        <w:right w:val="none" w:sz="0" w:space="0" w:color="auto"/>
                      </w:divBdr>
                      <w:divsChild>
                        <w:div w:id="549848506">
                          <w:marLeft w:val="0"/>
                          <w:marRight w:val="0"/>
                          <w:marTop w:val="0"/>
                          <w:marBottom w:val="0"/>
                          <w:divBdr>
                            <w:top w:val="none" w:sz="0" w:space="0" w:color="auto"/>
                            <w:left w:val="none" w:sz="0" w:space="0" w:color="auto"/>
                            <w:bottom w:val="none" w:sz="0" w:space="0" w:color="auto"/>
                            <w:right w:val="none" w:sz="0" w:space="0" w:color="auto"/>
                          </w:divBdr>
                          <w:divsChild>
                            <w:div w:id="434207193">
                              <w:marLeft w:val="0"/>
                              <w:marRight w:val="0"/>
                              <w:marTop w:val="0"/>
                              <w:marBottom w:val="0"/>
                              <w:divBdr>
                                <w:top w:val="none" w:sz="0" w:space="0" w:color="auto"/>
                                <w:left w:val="none" w:sz="0" w:space="0" w:color="auto"/>
                                <w:bottom w:val="none" w:sz="0" w:space="0" w:color="auto"/>
                                <w:right w:val="none" w:sz="0" w:space="0" w:color="auto"/>
                              </w:divBdr>
                              <w:divsChild>
                                <w:div w:id="843252623">
                                  <w:marLeft w:val="0"/>
                                  <w:marRight w:val="0"/>
                                  <w:marTop w:val="0"/>
                                  <w:marBottom w:val="0"/>
                                  <w:divBdr>
                                    <w:top w:val="none" w:sz="0" w:space="0" w:color="auto"/>
                                    <w:left w:val="none" w:sz="0" w:space="0" w:color="auto"/>
                                    <w:bottom w:val="none" w:sz="0" w:space="0" w:color="auto"/>
                                    <w:right w:val="none" w:sz="0" w:space="0" w:color="auto"/>
                                  </w:divBdr>
                                  <w:divsChild>
                                    <w:div w:id="908225575">
                                      <w:marLeft w:val="0"/>
                                      <w:marRight w:val="0"/>
                                      <w:marTop w:val="0"/>
                                      <w:marBottom w:val="0"/>
                                      <w:divBdr>
                                        <w:top w:val="none" w:sz="0" w:space="0" w:color="auto"/>
                                        <w:left w:val="none" w:sz="0" w:space="0" w:color="auto"/>
                                        <w:bottom w:val="none" w:sz="0" w:space="0" w:color="auto"/>
                                        <w:right w:val="none" w:sz="0" w:space="0" w:color="auto"/>
                                      </w:divBdr>
                                      <w:divsChild>
                                        <w:div w:id="583803554">
                                          <w:marLeft w:val="0"/>
                                          <w:marRight w:val="0"/>
                                          <w:marTop w:val="0"/>
                                          <w:marBottom w:val="0"/>
                                          <w:divBdr>
                                            <w:top w:val="none" w:sz="0" w:space="0" w:color="auto"/>
                                            <w:left w:val="none" w:sz="0" w:space="0" w:color="auto"/>
                                            <w:bottom w:val="none" w:sz="0" w:space="0" w:color="auto"/>
                                            <w:right w:val="none" w:sz="0" w:space="0" w:color="auto"/>
                                          </w:divBdr>
                                          <w:divsChild>
                                            <w:div w:id="1005520527">
                                              <w:marLeft w:val="0"/>
                                              <w:marRight w:val="0"/>
                                              <w:marTop w:val="0"/>
                                              <w:marBottom w:val="0"/>
                                              <w:divBdr>
                                                <w:top w:val="none" w:sz="0" w:space="0" w:color="auto"/>
                                                <w:left w:val="none" w:sz="0" w:space="0" w:color="auto"/>
                                                <w:bottom w:val="none" w:sz="0" w:space="0" w:color="auto"/>
                                                <w:right w:val="none" w:sz="0" w:space="0" w:color="auto"/>
                                              </w:divBdr>
                                              <w:divsChild>
                                                <w:div w:id="1577745662">
                                                  <w:marLeft w:val="0"/>
                                                  <w:marRight w:val="0"/>
                                                  <w:marTop w:val="0"/>
                                                  <w:marBottom w:val="0"/>
                                                  <w:divBdr>
                                                    <w:top w:val="none" w:sz="0" w:space="0" w:color="auto"/>
                                                    <w:left w:val="none" w:sz="0" w:space="0" w:color="auto"/>
                                                    <w:bottom w:val="none" w:sz="0" w:space="0" w:color="auto"/>
                                                    <w:right w:val="none" w:sz="0" w:space="0" w:color="auto"/>
                                                  </w:divBdr>
                                                  <w:divsChild>
                                                    <w:div w:id="689065551">
                                                      <w:marLeft w:val="0"/>
                                                      <w:marRight w:val="0"/>
                                                      <w:marTop w:val="0"/>
                                                      <w:marBottom w:val="0"/>
                                                      <w:divBdr>
                                                        <w:top w:val="none" w:sz="0" w:space="0" w:color="auto"/>
                                                        <w:left w:val="none" w:sz="0" w:space="0" w:color="auto"/>
                                                        <w:bottom w:val="none" w:sz="0" w:space="0" w:color="auto"/>
                                                        <w:right w:val="none" w:sz="0" w:space="0" w:color="auto"/>
                                                      </w:divBdr>
                                                      <w:divsChild>
                                                        <w:div w:id="19451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97879815">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49970190">
      <w:bodyDiv w:val="1"/>
      <w:marLeft w:val="0"/>
      <w:marRight w:val="0"/>
      <w:marTop w:val="0"/>
      <w:marBottom w:val="0"/>
      <w:divBdr>
        <w:top w:val="none" w:sz="0" w:space="0" w:color="auto"/>
        <w:left w:val="none" w:sz="0" w:space="0" w:color="auto"/>
        <w:bottom w:val="none" w:sz="0" w:space="0" w:color="auto"/>
        <w:right w:val="none" w:sz="0" w:space="0" w:color="auto"/>
      </w:divBdr>
      <w:divsChild>
        <w:div w:id="79839460">
          <w:marLeft w:val="0"/>
          <w:marRight w:val="0"/>
          <w:marTop w:val="0"/>
          <w:marBottom w:val="0"/>
          <w:divBdr>
            <w:top w:val="none" w:sz="0" w:space="0" w:color="auto"/>
            <w:left w:val="none" w:sz="0" w:space="0" w:color="auto"/>
            <w:bottom w:val="none" w:sz="0" w:space="0" w:color="auto"/>
            <w:right w:val="none" w:sz="0" w:space="0" w:color="auto"/>
          </w:divBdr>
          <w:divsChild>
            <w:div w:id="1367636784">
              <w:marLeft w:val="0"/>
              <w:marRight w:val="0"/>
              <w:marTop w:val="0"/>
              <w:marBottom w:val="0"/>
              <w:divBdr>
                <w:top w:val="none" w:sz="0" w:space="0" w:color="auto"/>
                <w:left w:val="none" w:sz="0" w:space="0" w:color="auto"/>
                <w:bottom w:val="none" w:sz="0" w:space="0" w:color="auto"/>
                <w:right w:val="none" w:sz="0" w:space="0" w:color="auto"/>
              </w:divBdr>
              <w:divsChild>
                <w:div w:id="2021814158">
                  <w:marLeft w:val="0"/>
                  <w:marRight w:val="0"/>
                  <w:marTop w:val="0"/>
                  <w:marBottom w:val="0"/>
                  <w:divBdr>
                    <w:top w:val="none" w:sz="0" w:space="0" w:color="auto"/>
                    <w:left w:val="none" w:sz="0" w:space="0" w:color="auto"/>
                    <w:bottom w:val="none" w:sz="0" w:space="0" w:color="auto"/>
                    <w:right w:val="none" w:sz="0" w:space="0" w:color="auto"/>
                  </w:divBdr>
                  <w:divsChild>
                    <w:div w:id="2106608985">
                      <w:marLeft w:val="0"/>
                      <w:marRight w:val="0"/>
                      <w:marTop w:val="0"/>
                      <w:marBottom w:val="0"/>
                      <w:divBdr>
                        <w:top w:val="none" w:sz="0" w:space="0" w:color="auto"/>
                        <w:left w:val="none" w:sz="0" w:space="0" w:color="auto"/>
                        <w:bottom w:val="none" w:sz="0" w:space="0" w:color="auto"/>
                        <w:right w:val="none" w:sz="0" w:space="0" w:color="auto"/>
                      </w:divBdr>
                      <w:divsChild>
                        <w:div w:id="1413962798">
                          <w:marLeft w:val="0"/>
                          <w:marRight w:val="0"/>
                          <w:marTop w:val="0"/>
                          <w:marBottom w:val="0"/>
                          <w:divBdr>
                            <w:top w:val="none" w:sz="0" w:space="0" w:color="auto"/>
                            <w:left w:val="none" w:sz="0" w:space="0" w:color="auto"/>
                            <w:bottom w:val="none" w:sz="0" w:space="0" w:color="auto"/>
                            <w:right w:val="none" w:sz="0" w:space="0" w:color="auto"/>
                          </w:divBdr>
                          <w:divsChild>
                            <w:div w:id="1798138286">
                              <w:marLeft w:val="0"/>
                              <w:marRight w:val="0"/>
                              <w:marTop w:val="0"/>
                              <w:marBottom w:val="0"/>
                              <w:divBdr>
                                <w:top w:val="none" w:sz="0" w:space="0" w:color="auto"/>
                                <w:left w:val="none" w:sz="0" w:space="0" w:color="auto"/>
                                <w:bottom w:val="none" w:sz="0" w:space="0" w:color="auto"/>
                                <w:right w:val="none" w:sz="0" w:space="0" w:color="auto"/>
                              </w:divBdr>
                              <w:divsChild>
                                <w:div w:id="198933359">
                                  <w:marLeft w:val="0"/>
                                  <w:marRight w:val="0"/>
                                  <w:marTop w:val="0"/>
                                  <w:marBottom w:val="0"/>
                                  <w:divBdr>
                                    <w:top w:val="none" w:sz="0" w:space="0" w:color="auto"/>
                                    <w:left w:val="none" w:sz="0" w:space="0" w:color="auto"/>
                                    <w:bottom w:val="none" w:sz="0" w:space="0" w:color="auto"/>
                                    <w:right w:val="none" w:sz="0" w:space="0" w:color="auto"/>
                                  </w:divBdr>
                                  <w:divsChild>
                                    <w:div w:id="521095820">
                                      <w:marLeft w:val="0"/>
                                      <w:marRight w:val="0"/>
                                      <w:marTop w:val="0"/>
                                      <w:marBottom w:val="0"/>
                                      <w:divBdr>
                                        <w:top w:val="none" w:sz="0" w:space="0" w:color="auto"/>
                                        <w:left w:val="none" w:sz="0" w:space="0" w:color="auto"/>
                                        <w:bottom w:val="none" w:sz="0" w:space="0" w:color="auto"/>
                                        <w:right w:val="none" w:sz="0" w:space="0" w:color="auto"/>
                                      </w:divBdr>
                                      <w:divsChild>
                                        <w:div w:id="633103231">
                                          <w:marLeft w:val="0"/>
                                          <w:marRight w:val="0"/>
                                          <w:marTop w:val="0"/>
                                          <w:marBottom w:val="0"/>
                                          <w:divBdr>
                                            <w:top w:val="none" w:sz="0" w:space="0" w:color="auto"/>
                                            <w:left w:val="none" w:sz="0" w:space="0" w:color="auto"/>
                                            <w:bottom w:val="none" w:sz="0" w:space="0" w:color="auto"/>
                                            <w:right w:val="none" w:sz="0" w:space="0" w:color="auto"/>
                                          </w:divBdr>
                                          <w:divsChild>
                                            <w:div w:id="962004840">
                                              <w:marLeft w:val="0"/>
                                              <w:marRight w:val="0"/>
                                              <w:marTop w:val="0"/>
                                              <w:marBottom w:val="0"/>
                                              <w:divBdr>
                                                <w:top w:val="none" w:sz="0" w:space="0" w:color="auto"/>
                                                <w:left w:val="none" w:sz="0" w:space="0" w:color="auto"/>
                                                <w:bottom w:val="none" w:sz="0" w:space="0" w:color="auto"/>
                                                <w:right w:val="none" w:sz="0" w:space="0" w:color="auto"/>
                                              </w:divBdr>
                                              <w:divsChild>
                                                <w:div w:id="1904370713">
                                                  <w:marLeft w:val="0"/>
                                                  <w:marRight w:val="0"/>
                                                  <w:marTop w:val="0"/>
                                                  <w:marBottom w:val="0"/>
                                                  <w:divBdr>
                                                    <w:top w:val="none" w:sz="0" w:space="0" w:color="auto"/>
                                                    <w:left w:val="none" w:sz="0" w:space="0" w:color="auto"/>
                                                    <w:bottom w:val="none" w:sz="0" w:space="0" w:color="auto"/>
                                                    <w:right w:val="none" w:sz="0" w:space="0" w:color="auto"/>
                                                  </w:divBdr>
                                                  <w:divsChild>
                                                    <w:div w:id="1861316639">
                                                      <w:marLeft w:val="0"/>
                                                      <w:marRight w:val="0"/>
                                                      <w:marTop w:val="0"/>
                                                      <w:marBottom w:val="0"/>
                                                      <w:divBdr>
                                                        <w:top w:val="none" w:sz="0" w:space="0" w:color="auto"/>
                                                        <w:left w:val="none" w:sz="0" w:space="0" w:color="auto"/>
                                                        <w:bottom w:val="none" w:sz="0" w:space="0" w:color="auto"/>
                                                        <w:right w:val="none" w:sz="0" w:space="0" w:color="auto"/>
                                                      </w:divBdr>
                                                      <w:divsChild>
                                                        <w:div w:id="7976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768455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C58F645-AA3D-40F7-AFF9-E0667356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Golkowski, Izabel</cp:lastModifiedBy>
  <cp:revision>18</cp:revision>
  <cp:lastPrinted>2019-03-14T03:22:00Z</cp:lastPrinted>
  <dcterms:created xsi:type="dcterms:W3CDTF">2019-02-25T23:36:00Z</dcterms:created>
  <dcterms:modified xsi:type="dcterms:W3CDTF">2019-03-14T04:24:00Z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