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7415" w14:textId="77777777" w:rsidR="00E1704D" w:rsidRPr="00F52200" w:rsidRDefault="00E1704D" w:rsidP="00F52200">
      <w:pPr>
        <w:shd w:val="clear" w:color="auto" w:fill="FFFFFF"/>
        <w:spacing w:after="120" w:line="240" w:lineRule="auto"/>
        <w:jc w:val="center"/>
        <w:rPr>
          <w:rFonts w:ascii="Times New Roman" w:eastAsia="Times New Roman" w:hAnsi="Times New Roman" w:cs="Times New Roman"/>
          <w:sz w:val="24"/>
          <w:szCs w:val="24"/>
          <w:lang w:val="en-US" w:eastAsia="en-AU"/>
        </w:rPr>
      </w:pPr>
      <w:bookmarkStart w:id="0" w:name="_GoBack"/>
      <w:bookmarkEnd w:id="0"/>
      <w:r w:rsidRPr="00F52200">
        <w:rPr>
          <w:rFonts w:ascii="Times New Roman" w:eastAsia="Times New Roman" w:hAnsi="Times New Roman" w:cs="Times New Roman"/>
          <w:b/>
          <w:bCs/>
          <w:sz w:val="24"/>
          <w:szCs w:val="24"/>
          <w:lang w:eastAsia="en-AU"/>
        </w:rPr>
        <w:t>EXPLANATORY STATEMENT</w:t>
      </w:r>
    </w:p>
    <w:p w14:paraId="42850ECA" w14:textId="77777777" w:rsidR="00E1704D" w:rsidRPr="00F52200" w:rsidRDefault="00E1704D" w:rsidP="00F52200">
      <w:pPr>
        <w:shd w:val="clear" w:color="auto" w:fill="FFFFFF"/>
        <w:spacing w:after="120" w:line="240" w:lineRule="auto"/>
        <w:jc w:val="center"/>
        <w:rPr>
          <w:rFonts w:ascii="Times New Roman" w:eastAsia="Times New Roman" w:hAnsi="Times New Roman" w:cs="Times New Roman"/>
          <w:sz w:val="24"/>
          <w:szCs w:val="24"/>
          <w:lang w:val="en-US" w:eastAsia="en-AU"/>
        </w:rPr>
      </w:pPr>
      <w:r w:rsidRPr="00F52200">
        <w:rPr>
          <w:rFonts w:ascii="Times New Roman" w:eastAsia="Times New Roman" w:hAnsi="Times New Roman" w:cs="Times New Roman"/>
          <w:i/>
          <w:iCs/>
          <w:sz w:val="24"/>
          <w:szCs w:val="24"/>
          <w:lang w:eastAsia="en-AU"/>
        </w:rPr>
        <w:t>Safety, Rehabilitation and Compensation Act 1988</w:t>
      </w:r>
    </w:p>
    <w:p w14:paraId="059527F7" w14:textId="77777777" w:rsidR="00E1704D" w:rsidRPr="00F52200" w:rsidRDefault="00E1704D" w:rsidP="00F52200">
      <w:pPr>
        <w:shd w:val="clear" w:color="auto" w:fill="FFFFFF"/>
        <w:spacing w:after="120" w:line="240" w:lineRule="auto"/>
        <w:jc w:val="center"/>
        <w:rPr>
          <w:rFonts w:ascii="Times New Roman" w:eastAsia="Times New Roman" w:hAnsi="Times New Roman" w:cs="Times New Roman"/>
          <w:sz w:val="24"/>
          <w:szCs w:val="24"/>
          <w:lang w:val="en-US" w:eastAsia="en-AU"/>
        </w:rPr>
      </w:pPr>
      <w:r w:rsidRPr="00F52200">
        <w:rPr>
          <w:rFonts w:ascii="Times New Roman" w:eastAsia="Times New Roman" w:hAnsi="Times New Roman" w:cs="Times New Roman"/>
          <w:sz w:val="24"/>
          <w:szCs w:val="24"/>
          <w:lang w:eastAsia="en-AU"/>
        </w:rPr>
        <w:t xml:space="preserve">Issued by the </w:t>
      </w:r>
      <w:r w:rsidRPr="00F52200">
        <w:rPr>
          <w:rFonts w:ascii="Times New Roman" w:eastAsia="Times New Roman" w:hAnsi="Times New Roman" w:cs="Times New Roman"/>
          <w:sz w:val="24"/>
          <w:szCs w:val="24"/>
          <w:lang w:val="en" w:eastAsia="en-AU"/>
        </w:rPr>
        <w:t xml:space="preserve">Minister for </w:t>
      </w:r>
      <w:r w:rsidR="00505BF1" w:rsidRPr="00F52200">
        <w:rPr>
          <w:rFonts w:ascii="Times New Roman" w:eastAsia="Times New Roman" w:hAnsi="Times New Roman" w:cs="Times New Roman"/>
          <w:sz w:val="24"/>
          <w:szCs w:val="24"/>
          <w:lang w:val="en" w:eastAsia="en-AU"/>
        </w:rPr>
        <w:t>Jobs and Industrial Relations</w:t>
      </w:r>
    </w:p>
    <w:p w14:paraId="462AD445" w14:textId="77777777" w:rsidR="00E1704D" w:rsidRPr="00F52200" w:rsidRDefault="00E1704D" w:rsidP="00F52200">
      <w:pPr>
        <w:shd w:val="clear" w:color="auto" w:fill="FFFFFF"/>
        <w:spacing w:after="120" w:line="240" w:lineRule="auto"/>
        <w:jc w:val="center"/>
        <w:rPr>
          <w:rFonts w:ascii="Times New Roman" w:eastAsia="Times New Roman" w:hAnsi="Times New Roman" w:cs="Times New Roman"/>
          <w:sz w:val="24"/>
          <w:szCs w:val="24"/>
          <w:lang w:val="en-US" w:eastAsia="en-AU"/>
        </w:rPr>
      </w:pPr>
      <w:r w:rsidRPr="00F52200">
        <w:rPr>
          <w:rFonts w:ascii="Times New Roman" w:eastAsia="Times New Roman" w:hAnsi="Times New Roman" w:cs="Times New Roman"/>
          <w:b/>
          <w:bCs/>
          <w:sz w:val="24"/>
          <w:szCs w:val="24"/>
          <w:lang w:eastAsia="en-AU"/>
        </w:rPr>
        <w:t xml:space="preserve">Safety, Rehabilitation and Compensation Directions </w:t>
      </w:r>
      <w:r w:rsidR="0081592A" w:rsidRPr="00F52200">
        <w:rPr>
          <w:rFonts w:ascii="Times New Roman" w:eastAsia="Times New Roman" w:hAnsi="Times New Roman" w:cs="Times New Roman"/>
          <w:b/>
          <w:bCs/>
          <w:sz w:val="24"/>
          <w:szCs w:val="24"/>
          <w:lang w:eastAsia="en-AU"/>
        </w:rPr>
        <w:t>2019</w:t>
      </w:r>
    </w:p>
    <w:p w14:paraId="741E34FA" w14:textId="1E647C6A" w:rsidR="00E1704D" w:rsidRPr="00F52200" w:rsidRDefault="00E1704D" w:rsidP="00F52200">
      <w:pPr>
        <w:pStyle w:val="EMoverview"/>
        <w:spacing w:line="240" w:lineRule="auto"/>
        <w:rPr>
          <w:szCs w:val="24"/>
          <w:lang w:eastAsia="en-AU"/>
        </w:rPr>
      </w:pPr>
      <w:r w:rsidRPr="00F52200">
        <w:rPr>
          <w:szCs w:val="24"/>
          <w:lang w:eastAsia="en-AU"/>
        </w:rPr>
        <w:t xml:space="preserve">The </w:t>
      </w:r>
      <w:r w:rsidRPr="00F52200">
        <w:rPr>
          <w:i/>
          <w:iCs/>
          <w:szCs w:val="24"/>
          <w:lang w:eastAsia="en-AU"/>
        </w:rPr>
        <w:t xml:space="preserve">Safety, Rehabilitation and Compensation Act 1988 </w:t>
      </w:r>
      <w:r w:rsidRPr="00F52200">
        <w:rPr>
          <w:szCs w:val="24"/>
          <w:lang w:eastAsia="en-AU"/>
        </w:rPr>
        <w:t>(SRC Ac</w:t>
      </w:r>
      <w:r w:rsidR="00042416">
        <w:rPr>
          <w:szCs w:val="24"/>
          <w:lang w:eastAsia="en-AU"/>
        </w:rPr>
        <w:t>t</w:t>
      </w:r>
      <w:r w:rsidRPr="00F52200">
        <w:rPr>
          <w:szCs w:val="24"/>
          <w:lang w:eastAsia="en-AU"/>
        </w:rPr>
        <w:t>) establishes the Commonwealth workers</w:t>
      </w:r>
      <w:r w:rsidR="004303FD">
        <w:rPr>
          <w:szCs w:val="24"/>
          <w:lang w:eastAsia="en-AU"/>
        </w:rPr>
        <w:t>’</w:t>
      </w:r>
      <w:r w:rsidRPr="00F52200">
        <w:rPr>
          <w:szCs w:val="24"/>
          <w:lang w:eastAsia="en-AU"/>
        </w:rPr>
        <w:t xml:space="preserve"> compensation and rehabilitation scheme for employees of the Commonwealth, Commonwealth authorities and licensed corporations. </w:t>
      </w:r>
    </w:p>
    <w:p w14:paraId="45E359D3" w14:textId="534F1128" w:rsidR="00E1704D" w:rsidRPr="00F52200" w:rsidRDefault="00E1704D" w:rsidP="00F52200">
      <w:pPr>
        <w:pStyle w:val="EMoverview"/>
        <w:spacing w:line="240" w:lineRule="auto"/>
        <w:rPr>
          <w:szCs w:val="24"/>
          <w:lang w:val="en-US" w:eastAsia="en-AU"/>
        </w:rPr>
      </w:pPr>
      <w:r w:rsidRPr="00F52200">
        <w:rPr>
          <w:szCs w:val="24"/>
          <w:lang w:eastAsia="en-AU"/>
        </w:rPr>
        <w:t xml:space="preserve">The Safety, Rehabilitation and Compensation Commission (the Commission) is established by </w:t>
      </w:r>
      <w:r w:rsidR="00505BF1" w:rsidRPr="00F52200">
        <w:rPr>
          <w:szCs w:val="24"/>
          <w:lang w:eastAsia="en-AU"/>
        </w:rPr>
        <w:t xml:space="preserve">section 89A of </w:t>
      </w:r>
      <w:r w:rsidRPr="00F52200">
        <w:rPr>
          <w:szCs w:val="24"/>
          <w:lang w:eastAsia="en-AU"/>
        </w:rPr>
        <w:t xml:space="preserve">the SRC Act. The Commission has a number of functions and powers under the SRC Act, including the granting of licences to eligible applicants under Part VIII of the </w:t>
      </w:r>
      <w:r w:rsidR="004303FD">
        <w:rPr>
          <w:szCs w:val="24"/>
          <w:lang w:eastAsia="en-AU"/>
        </w:rPr>
        <w:t>SRC </w:t>
      </w:r>
      <w:r w:rsidRPr="00F52200">
        <w:rPr>
          <w:szCs w:val="24"/>
          <w:lang w:eastAsia="en-AU"/>
        </w:rPr>
        <w:t>Act.</w:t>
      </w:r>
    </w:p>
    <w:p w14:paraId="3DF9C8FF" w14:textId="6266355A" w:rsidR="00E1704D" w:rsidRPr="00F52200" w:rsidRDefault="00E1704D" w:rsidP="00F52200">
      <w:pPr>
        <w:pStyle w:val="EMoverview"/>
        <w:spacing w:line="240" w:lineRule="auto"/>
        <w:rPr>
          <w:szCs w:val="24"/>
          <w:lang w:val="en" w:eastAsia="en-AU"/>
        </w:rPr>
      </w:pPr>
      <w:r w:rsidRPr="00F52200">
        <w:rPr>
          <w:szCs w:val="24"/>
          <w:lang w:eastAsia="en-AU"/>
        </w:rPr>
        <w:t xml:space="preserve">Pursuant to section 89D of the SRC Act, the Minister may </w:t>
      </w:r>
      <w:r w:rsidRPr="00F52200">
        <w:rPr>
          <w:szCs w:val="24"/>
          <w:lang w:val="en" w:eastAsia="en-AU"/>
        </w:rPr>
        <w:t xml:space="preserve">give a direction to the Commission with respect to the performance of its functions </w:t>
      </w:r>
      <w:r w:rsidR="00F84417" w:rsidRPr="00F52200">
        <w:rPr>
          <w:szCs w:val="24"/>
          <w:lang w:val="en" w:eastAsia="en-AU"/>
        </w:rPr>
        <w:t>or</w:t>
      </w:r>
      <w:r w:rsidRPr="00F52200">
        <w:rPr>
          <w:szCs w:val="24"/>
          <w:lang w:val="en" w:eastAsia="en-AU"/>
        </w:rPr>
        <w:t xml:space="preserve"> the exercise of its powers under the SRC</w:t>
      </w:r>
      <w:r w:rsidR="004303FD">
        <w:rPr>
          <w:szCs w:val="24"/>
          <w:lang w:val="en" w:eastAsia="en-AU"/>
        </w:rPr>
        <w:t> </w:t>
      </w:r>
      <w:r w:rsidRPr="00F52200">
        <w:rPr>
          <w:szCs w:val="24"/>
          <w:lang w:val="en" w:eastAsia="en-AU"/>
        </w:rPr>
        <w:t>Act. Section 101 of the SRC Act provides that the Minister</w:t>
      </w:r>
      <w:r w:rsidR="004303FD">
        <w:rPr>
          <w:szCs w:val="24"/>
          <w:lang w:val="en" w:eastAsia="en-AU"/>
        </w:rPr>
        <w:t>’</w:t>
      </w:r>
      <w:r w:rsidRPr="00F52200">
        <w:rPr>
          <w:szCs w:val="24"/>
          <w:lang w:val="en" w:eastAsia="en-AU"/>
        </w:rPr>
        <w:t xml:space="preserve">s power to give directions to the Commission under section 89D of the SRC Act extends to directions concerning any matter relating to the grant of licences under Part VIII of the </w:t>
      </w:r>
      <w:r w:rsidR="004303FD">
        <w:rPr>
          <w:szCs w:val="24"/>
          <w:lang w:val="en" w:eastAsia="en-AU"/>
        </w:rPr>
        <w:t>SRC </w:t>
      </w:r>
      <w:r w:rsidRPr="00F52200">
        <w:rPr>
          <w:szCs w:val="24"/>
          <w:lang w:val="en" w:eastAsia="en-AU"/>
        </w:rPr>
        <w:t>Act.</w:t>
      </w:r>
    </w:p>
    <w:p w14:paraId="32A0B435" w14:textId="2127044B" w:rsidR="00E75542" w:rsidRPr="00F52200" w:rsidRDefault="000E61C9" w:rsidP="00F52200">
      <w:pPr>
        <w:pStyle w:val="EMoverview"/>
        <w:spacing w:line="240" w:lineRule="auto"/>
        <w:rPr>
          <w:szCs w:val="24"/>
          <w:lang w:val="en"/>
        </w:rPr>
      </w:pPr>
      <w:r w:rsidRPr="00F52200">
        <w:rPr>
          <w:szCs w:val="24"/>
          <w:lang w:val="en-US" w:eastAsia="en-AU"/>
        </w:rPr>
        <w:t>Pursuant to these provisions, the Minister, in t</w:t>
      </w:r>
      <w:r w:rsidR="001B3E9E" w:rsidRPr="00F52200">
        <w:rPr>
          <w:szCs w:val="24"/>
          <w:lang w:val="en-US" w:eastAsia="en-AU"/>
        </w:rPr>
        <w:t>his instrument</w:t>
      </w:r>
      <w:r w:rsidRPr="00F52200">
        <w:rPr>
          <w:szCs w:val="24"/>
          <w:lang w:val="en-US" w:eastAsia="en-AU"/>
        </w:rPr>
        <w:t>,</w:t>
      </w:r>
      <w:r w:rsidR="001B3E9E" w:rsidRPr="00F52200">
        <w:rPr>
          <w:szCs w:val="24"/>
          <w:lang w:val="en-US" w:eastAsia="en-AU"/>
        </w:rPr>
        <w:t xml:space="preserve"> </w:t>
      </w:r>
      <w:r w:rsidR="005B1F56" w:rsidRPr="00F52200">
        <w:rPr>
          <w:szCs w:val="24"/>
          <w:lang w:val="en-US" w:eastAsia="en-AU"/>
        </w:rPr>
        <w:t>give</w:t>
      </w:r>
      <w:r w:rsidRPr="00F52200">
        <w:rPr>
          <w:szCs w:val="24"/>
          <w:lang w:val="en-US" w:eastAsia="en-AU"/>
        </w:rPr>
        <w:t>s</w:t>
      </w:r>
      <w:r w:rsidR="005B1F56" w:rsidRPr="00F52200">
        <w:rPr>
          <w:szCs w:val="24"/>
          <w:lang w:val="en-US" w:eastAsia="en-AU"/>
        </w:rPr>
        <w:t xml:space="preserve"> directions to the </w:t>
      </w:r>
      <w:r w:rsidR="00A56820" w:rsidRPr="00F52200">
        <w:rPr>
          <w:szCs w:val="24"/>
          <w:lang w:val="en-US" w:eastAsia="en-AU"/>
        </w:rPr>
        <w:t xml:space="preserve">Commission </w:t>
      </w:r>
      <w:r w:rsidR="00A56820" w:rsidRPr="00F52200">
        <w:rPr>
          <w:szCs w:val="24"/>
          <w:lang w:val="en"/>
        </w:rPr>
        <w:t xml:space="preserve">with respect to the performance </w:t>
      </w:r>
      <w:r w:rsidR="00E75542" w:rsidRPr="00F52200">
        <w:rPr>
          <w:szCs w:val="24"/>
          <w:lang w:val="en"/>
        </w:rPr>
        <w:t xml:space="preserve">of </w:t>
      </w:r>
      <w:r w:rsidR="004303FD">
        <w:rPr>
          <w:szCs w:val="24"/>
          <w:lang w:val="en"/>
        </w:rPr>
        <w:t>its</w:t>
      </w:r>
      <w:r w:rsidR="004303FD" w:rsidRPr="00F52200">
        <w:rPr>
          <w:szCs w:val="24"/>
          <w:lang w:val="en"/>
        </w:rPr>
        <w:t xml:space="preserve"> </w:t>
      </w:r>
      <w:r w:rsidR="00E75542" w:rsidRPr="00F52200">
        <w:rPr>
          <w:szCs w:val="24"/>
          <w:lang w:val="en"/>
        </w:rPr>
        <w:t xml:space="preserve">functions and </w:t>
      </w:r>
      <w:r w:rsidR="004303FD">
        <w:rPr>
          <w:szCs w:val="24"/>
          <w:lang w:val="en"/>
        </w:rPr>
        <w:t xml:space="preserve">the exercise of its </w:t>
      </w:r>
      <w:r w:rsidR="00E75542" w:rsidRPr="00F52200">
        <w:rPr>
          <w:szCs w:val="24"/>
          <w:lang w:val="en"/>
        </w:rPr>
        <w:t>powers under the SRC Act</w:t>
      </w:r>
      <w:r w:rsidR="004303FD">
        <w:rPr>
          <w:szCs w:val="24"/>
          <w:lang w:val="en"/>
        </w:rPr>
        <w:t xml:space="preserve"> in relation to the following</w:t>
      </w:r>
      <w:r w:rsidR="00E75542" w:rsidRPr="00F52200">
        <w:rPr>
          <w:szCs w:val="24"/>
          <w:lang w:val="en"/>
        </w:rPr>
        <w:t>:</w:t>
      </w:r>
    </w:p>
    <w:p w14:paraId="5A2E195D" w14:textId="77777777" w:rsidR="00E75542" w:rsidRPr="00F52200" w:rsidRDefault="00E75542" w:rsidP="00F52200">
      <w:pPr>
        <w:pStyle w:val="ListParagraph"/>
        <w:numPr>
          <w:ilvl w:val="0"/>
          <w:numId w:val="1"/>
        </w:numPr>
        <w:shd w:val="clear" w:color="auto" w:fill="FFFFFF"/>
        <w:spacing w:after="120" w:line="240" w:lineRule="auto"/>
        <w:ind w:left="714" w:hanging="357"/>
        <w:rPr>
          <w:rFonts w:ascii="Times New Roman" w:hAnsi="Times New Roman" w:cs="Times New Roman"/>
          <w:sz w:val="24"/>
          <w:szCs w:val="24"/>
          <w:lang w:val="en"/>
        </w:rPr>
      </w:pPr>
      <w:r w:rsidRPr="00F52200">
        <w:rPr>
          <w:rFonts w:ascii="Times New Roman" w:hAnsi="Times New Roman" w:cs="Times New Roman"/>
          <w:sz w:val="24"/>
          <w:szCs w:val="24"/>
          <w:lang w:val="en"/>
        </w:rPr>
        <w:t xml:space="preserve">the grant of licences; </w:t>
      </w:r>
    </w:p>
    <w:p w14:paraId="358FE2E5" w14:textId="77777777" w:rsidR="00E75542" w:rsidRPr="00F52200" w:rsidRDefault="0088643E" w:rsidP="00F52200">
      <w:pPr>
        <w:pStyle w:val="ListParagraph"/>
        <w:numPr>
          <w:ilvl w:val="0"/>
          <w:numId w:val="1"/>
        </w:numPr>
        <w:shd w:val="clear" w:color="auto" w:fill="FFFFFF"/>
        <w:spacing w:after="120" w:line="240" w:lineRule="auto"/>
        <w:ind w:left="714" w:hanging="357"/>
        <w:rPr>
          <w:rFonts w:ascii="Times New Roman" w:hAnsi="Times New Roman" w:cs="Times New Roman"/>
          <w:sz w:val="24"/>
          <w:szCs w:val="24"/>
          <w:lang w:val="en"/>
        </w:rPr>
      </w:pPr>
      <w:r w:rsidRPr="00F52200">
        <w:rPr>
          <w:rFonts w:ascii="Times New Roman" w:hAnsi="Times New Roman" w:cs="Times New Roman"/>
          <w:sz w:val="24"/>
          <w:szCs w:val="24"/>
          <w:lang w:val="en"/>
        </w:rPr>
        <w:t>determin</w:t>
      </w:r>
      <w:r w:rsidR="00E75542" w:rsidRPr="00F52200">
        <w:rPr>
          <w:rFonts w:ascii="Times New Roman" w:hAnsi="Times New Roman" w:cs="Times New Roman"/>
          <w:sz w:val="24"/>
          <w:szCs w:val="24"/>
          <w:lang w:val="en"/>
        </w:rPr>
        <w:t>ation of the scope and conditions of licence;</w:t>
      </w:r>
    </w:p>
    <w:p w14:paraId="6C004A6C" w14:textId="77777777" w:rsidR="00E75542" w:rsidRPr="00F52200" w:rsidRDefault="00E75542" w:rsidP="00F52200">
      <w:pPr>
        <w:pStyle w:val="ListParagraph"/>
        <w:numPr>
          <w:ilvl w:val="0"/>
          <w:numId w:val="1"/>
        </w:numPr>
        <w:shd w:val="clear" w:color="auto" w:fill="FFFFFF"/>
        <w:spacing w:after="120" w:line="240" w:lineRule="auto"/>
        <w:ind w:left="714" w:hanging="357"/>
        <w:rPr>
          <w:rFonts w:ascii="Times New Roman" w:hAnsi="Times New Roman" w:cs="Times New Roman"/>
          <w:sz w:val="24"/>
          <w:szCs w:val="24"/>
          <w:lang w:val="en"/>
        </w:rPr>
      </w:pPr>
      <w:r w:rsidRPr="00F52200">
        <w:rPr>
          <w:rFonts w:ascii="Times New Roman" w:hAnsi="Times New Roman" w:cs="Times New Roman"/>
          <w:sz w:val="24"/>
          <w:szCs w:val="24"/>
          <w:lang w:val="en"/>
        </w:rPr>
        <w:t xml:space="preserve">the suspension and revocation </w:t>
      </w:r>
      <w:r w:rsidR="00F84417" w:rsidRPr="00F52200">
        <w:rPr>
          <w:rFonts w:ascii="Times New Roman" w:hAnsi="Times New Roman" w:cs="Times New Roman"/>
          <w:sz w:val="24"/>
          <w:szCs w:val="24"/>
          <w:lang w:val="en"/>
        </w:rPr>
        <w:t xml:space="preserve">of </w:t>
      </w:r>
      <w:r w:rsidRPr="00F52200">
        <w:rPr>
          <w:rFonts w:ascii="Times New Roman" w:hAnsi="Times New Roman" w:cs="Times New Roman"/>
          <w:sz w:val="24"/>
          <w:szCs w:val="24"/>
          <w:lang w:val="en"/>
        </w:rPr>
        <w:t>licences;</w:t>
      </w:r>
    </w:p>
    <w:p w14:paraId="62340C44" w14:textId="77777777" w:rsidR="00E75542" w:rsidRPr="00F52200" w:rsidRDefault="00E75542" w:rsidP="00F52200">
      <w:pPr>
        <w:pStyle w:val="ListParagraph"/>
        <w:numPr>
          <w:ilvl w:val="0"/>
          <w:numId w:val="1"/>
        </w:numPr>
        <w:shd w:val="clear" w:color="auto" w:fill="FFFFFF"/>
        <w:spacing w:after="120" w:line="240" w:lineRule="auto"/>
        <w:ind w:left="714" w:hanging="357"/>
        <w:rPr>
          <w:rFonts w:ascii="Times New Roman" w:hAnsi="Times New Roman" w:cs="Times New Roman"/>
          <w:sz w:val="24"/>
          <w:szCs w:val="24"/>
          <w:lang w:val="en"/>
        </w:rPr>
      </w:pPr>
      <w:r w:rsidRPr="00F52200">
        <w:rPr>
          <w:rFonts w:ascii="Times New Roman" w:hAnsi="Times New Roman" w:cs="Times New Roman"/>
          <w:sz w:val="24"/>
          <w:szCs w:val="24"/>
          <w:lang w:val="en"/>
        </w:rPr>
        <w:t>notification of licence decisions; and</w:t>
      </w:r>
    </w:p>
    <w:p w14:paraId="01C77070" w14:textId="77777777" w:rsidR="00E75542" w:rsidRPr="00F52200" w:rsidRDefault="00E75542" w:rsidP="00F52200">
      <w:pPr>
        <w:pStyle w:val="ListParagraph"/>
        <w:numPr>
          <w:ilvl w:val="0"/>
          <w:numId w:val="1"/>
        </w:numPr>
        <w:shd w:val="clear" w:color="auto" w:fill="FFFFFF"/>
        <w:spacing w:after="120" w:line="240" w:lineRule="auto"/>
        <w:ind w:left="714" w:hanging="357"/>
        <w:rPr>
          <w:rFonts w:ascii="Times New Roman" w:hAnsi="Times New Roman" w:cs="Times New Roman"/>
          <w:sz w:val="24"/>
          <w:szCs w:val="24"/>
          <w:lang w:val="en"/>
        </w:rPr>
      </w:pPr>
      <w:r w:rsidRPr="00F52200">
        <w:rPr>
          <w:rFonts w:ascii="Times New Roman" w:hAnsi="Times New Roman" w:cs="Times New Roman"/>
          <w:sz w:val="24"/>
          <w:szCs w:val="24"/>
          <w:lang w:val="en"/>
        </w:rPr>
        <w:t>recordkeeping and reporting.</w:t>
      </w:r>
    </w:p>
    <w:p w14:paraId="5B312318" w14:textId="77777777" w:rsidR="008C1874" w:rsidRPr="00F52200" w:rsidRDefault="00E75542" w:rsidP="00F52200">
      <w:pPr>
        <w:pStyle w:val="EMoverview"/>
        <w:spacing w:line="240" w:lineRule="auto"/>
        <w:rPr>
          <w:szCs w:val="24"/>
          <w:lang w:val="en"/>
        </w:rPr>
      </w:pPr>
      <w:r w:rsidRPr="00F52200">
        <w:rPr>
          <w:szCs w:val="24"/>
        </w:rPr>
        <w:t>This instrument</w:t>
      </w:r>
      <w:r w:rsidR="005B1F56" w:rsidRPr="00F52200">
        <w:rPr>
          <w:szCs w:val="24"/>
        </w:rPr>
        <w:t xml:space="preserve"> rep</w:t>
      </w:r>
      <w:r w:rsidR="00816D9E" w:rsidRPr="00F52200">
        <w:rPr>
          <w:szCs w:val="24"/>
        </w:rPr>
        <w:t>eals</w:t>
      </w:r>
      <w:r w:rsidR="00A56820" w:rsidRPr="00F52200">
        <w:rPr>
          <w:szCs w:val="24"/>
        </w:rPr>
        <w:t xml:space="preserve"> and substantially replicates</w:t>
      </w:r>
      <w:r w:rsidR="005B1F56" w:rsidRPr="00F52200">
        <w:rPr>
          <w:szCs w:val="24"/>
        </w:rPr>
        <w:t xml:space="preserve"> the </w:t>
      </w:r>
      <w:r w:rsidR="005B1F56" w:rsidRPr="00F52200">
        <w:rPr>
          <w:rFonts w:eastAsia="Times New Roman"/>
          <w:bCs/>
          <w:i/>
          <w:szCs w:val="24"/>
          <w:lang w:eastAsia="en-AU"/>
        </w:rPr>
        <w:t>Safety, Rehabilitation and Compensation Directions 2002</w:t>
      </w:r>
      <w:r w:rsidR="005B1F56" w:rsidRPr="00F52200">
        <w:rPr>
          <w:rFonts w:eastAsia="Times New Roman"/>
          <w:bCs/>
          <w:szCs w:val="24"/>
          <w:lang w:eastAsia="en-AU"/>
        </w:rPr>
        <w:t xml:space="preserve"> </w:t>
      </w:r>
      <w:r w:rsidR="00A56820" w:rsidRPr="00F52200">
        <w:rPr>
          <w:rFonts w:eastAsia="Times New Roman"/>
          <w:bCs/>
          <w:szCs w:val="24"/>
          <w:lang w:eastAsia="en-AU"/>
        </w:rPr>
        <w:t xml:space="preserve">with updates to reflect the </w:t>
      </w:r>
      <w:r w:rsidR="00A56820" w:rsidRPr="00F52200">
        <w:rPr>
          <w:rFonts w:eastAsia="Times New Roman"/>
          <w:i/>
          <w:iCs/>
          <w:szCs w:val="24"/>
          <w:lang w:eastAsia="en-AU"/>
        </w:rPr>
        <w:t>Safety, Rehabilitation and Compensation Regulations 2019</w:t>
      </w:r>
      <w:r w:rsidR="007A52F1" w:rsidRPr="00F52200">
        <w:rPr>
          <w:rFonts w:eastAsia="Times New Roman"/>
          <w:i/>
          <w:iCs/>
          <w:szCs w:val="24"/>
          <w:lang w:eastAsia="en-AU"/>
        </w:rPr>
        <w:t xml:space="preserve"> </w:t>
      </w:r>
      <w:r w:rsidR="007A52F1" w:rsidRPr="00F52200">
        <w:rPr>
          <w:rFonts w:eastAsia="Times New Roman"/>
          <w:iCs/>
          <w:szCs w:val="24"/>
          <w:lang w:eastAsia="en-AU"/>
        </w:rPr>
        <w:t>(2019 Regulations)</w:t>
      </w:r>
      <w:r w:rsidR="00A56820" w:rsidRPr="00F52200">
        <w:rPr>
          <w:rFonts w:eastAsia="Times New Roman"/>
          <w:i/>
          <w:iCs/>
          <w:szCs w:val="24"/>
          <w:lang w:eastAsia="en-AU"/>
        </w:rPr>
        <w:t>.</w:t>
      </w:r>
      <w:r w:rsidR="007A52F1" w:rsidRPr="00F52200">
        <w:rPr>
          <w:rFonts w:eastAsia="Times New Roman"/>
          <w:i/>
          <w:iCs/>
          <w:szCs w:val="24"/>
          <w:lang w:eastAsia="en-AU"/>
        </w:rPr>
        <w:t xml:space="preserve"> </w:t>
      </w:r>
      <w:r w:rsidR="008C1874" w:rsidRPr="00F52200">
        <w:rPr>
          <w:szCs w:val="24"/>
          <w:lang w:val="en"/>
        </w:rPr>
        <w:t xml:space="preserve">Details of the provisions of the instrument are at </w:t>
      </w:r>
      <w:r w:rsidR="008C1874" w:rsidRPr="00F52200">
        <w:rPr>
          <w:szCs w:val="24"/>
          <w:u w:val="single"/>
          <w:lang w:val="en"/>
        </w:rPr>
        <w:t>Attachment A</w:t>
      </w:r>
      <w:r w:rsidR="008C1874" w:rsidRPr="00F52200">
        <w:rPr>
          <w:szCs w:val="24"/>
          <w:lang w:val="en"/>
        </w:rPr>
        <w:t xml:space="preserve">. </w:t>
      </w:r>
    </w:p>
    <w:p w14:paraId="071C4896" w14:textId="37E23D9C" w:rsidR="008C1874" w:rsidRPr="00213A5E" w:rsidRDefault="008C1874" w:rsidP="00F52200">
      <w:pPr>
        <w:pStyle w:val="EMoverview"/>
        <w:spacing w:line="240" w:lineRule="auto"/>
        <w:rPr>
          <w:rFonts w:eastAsia="Calibri"/>
          <w:szCs w:val="24"/>
        </w:rPr>
      </w:pPr>
      <w:r w:rsidRPr="00213A5E">
        <w:rPr>
          <w:szCs w:val="24"/>
        </w:rPr>
        <w:t>This instrument commences the day after it is registered on the Federal Register of Legislation.</w:t>
      </w:r>
      <w:r w:rsidR="005A6F0C">
        <w:rPr>
          <w:szCs w:val="24"/>
        </w:rPr>
        <w:t xml:space="preserve"> The substantive provisions of the instrument commence the later of the day after registration, or the commencement of the 2019 Regulations (see also the notes to section 2 of the instrument in </w:t>
      </w:r>
      <w:r w:rsidR="005A6F0C" w:rsidRPr="005A6F0C">
        <w:rPr>
          <w:szCs w:val="24"/>
        </w:rPr>
        <w:t>Attachment A</w:t>
      </w:r>
      <w:r w:rsidR="005A6F0C">
        <w:rPr>
          <w:szCs w:val="24"/>
        </w:rPr>
        <w:t>).</w:t>
      </w:r>
    </w:p>
    <w:p w14:paraId="63194615" w14:textId="77777777" w:rsidR="008C1874" w:rsidRPr="00F52200" w:rsidRDefault="008C1874" w:rsidP="00F52200">
      <w:pPr>
        <w:pStyle w:val="EMoverview"/>
        <w:spacing w:line="240" w:lineRule="auto"/>
        <w:rPr>
          <w:rFonts w:eastAsia="Calibri"/>
          <w:szCs w:val="24"/>
        </w:rPr>
      </w:pPr>
      <w:r w:rsidRPr="008C51C1">
        <w:rPr>
          <w:rFonts w:eastAsia="Calibri"/>
          <w:szCs w:val="24"/>
        </w:rPr>
        <w:t xml:space="preserve">This instrument is a legislative instrument for the purposes of the </w:t>
      </w:r>
      <w:r w:rsidRPr="008C51C1">
        <w:rPr>
          <w:rFonts w:eastAsia="Calibri"/>
          <w:i/>
          <w:szCs w:val="24"/>
        </w:rPr>
        <w:t>Legislation Act 2003</w:t>
      </w:r>
      <w:r w:rsidR="00F44794">
        <w:rPr>
          <w:rFonts w:eastAsia="Calibri"/>
          <w:szCs w:val="24"/>
        </w:rPr>
        <w:t xml:space="preserve">, but is not subject to disallowance (see item 2 of section 9 of the </w:t>
      </w:r>
      <w:r w:rsidR="00F44794">
        <w:rPr>
          <w:rFonts w:eastAsia="Calibri"/>
          <w:i/>
          <w:szCs w:val="24"/>
        </w:rPr>
        <w:t>Legislation (Exemptions and Other Matters) Regulation 201</w:t>
      </w:r>
      <w:r w:rsidR="00130124">
        <w:rPr>
          <w:rFonts w:eastAsia="Calibri"/>
          <w:i/>
          <w:szCs w:val="24"/>
        </w:rPr>
        <w:t>5</w:t>
      </w:r>
      <w:r w:rsidR="00F44794">
        <w:rPr>
          <w:rFonts w:eastAsia="Calibri"/>
          <w:szCs w:val="24"/>
        </w:rPr>
        <w:t>) or sunsetting (</w:t>
      </w:r>
      <w:r w:rsidR="00130124">
        <w:rPr>
          <w:rFonts w:eastAsia="Calibri"/>
          <w:szCs w:val="24"/>
        </w:rPr>
        <w:t xml:space="preserve">see item 3 of section 11 of the </w:t>
      </w:r>
      <w:r w:rsidR="00130124">
        <w:rPr>
          <w:rFonts w:eastAsia="Calibri"/>
          <w:i/>
          <w:szCs w:val="24"/>
        </w:rPr>
        <w:t>Legislation (Exemptions and Other Matters) Regulation 2015</w:t>
      </w:r>
      <w:r w:rsidR="00130124">
        <w:rPr>
          <w:rFonts w:eastAsia="Calibri"/>
          <w:szCs w:val="24"/>
        </w:rPr>
        <w:t>).</w:t>
      </w:r>
    </w:p>
    <w:p w14:paraId="5BA2782E" w14:textId="77777777" w:rsidR="008C51C1" w:rsidRDefault="008C51C1">
      <w:pPr>
        <w:pStyle w:val="EMoverview"/>
        <w:spacing w:line="240" w:lineRule="auto"/>
        <w:rPr>
          <w:b/>
          <w:szCs w:val="24"/>
        </w:rPr>
      </w:pPr>
      <w:r>
        <w:rPr>
          <w:b/>
          <w:szCs w:val="24"/>
        </w:rPr>
        <w:t>Consultation</w:t>
      </w:r>
    </w:p>
    <w:p w14:paraId="02E973C7" w14:textId="0FCC0AA9" w:rsidR="00165D15" w:rsidRPr="00F52200" w:rsidRDefault="00165D15">
      <w:pPr>
        <w:pStyle w:val="EMoverview"/>
        <w:spacing w:line="240" w:lineRule="auto"/>
        <w:rPr>
          <w:szCs w:val="24"/>
        </w:rPr>
      </w:pPr>
      <w:r w:rsidRPr="00F52200">
        <w:rPr>
          <w:szCs w:val="24"/>
        </w:rPr>
        <w:t xml:space="preserve">Stakeholder consultations were conducted in February 2019. The </w:t>
      </w:r>
      <w:r w:rsidR="00213A5E">
        <w:rPr>
          <w:szCs w:val="24"/>
        </w:rPr>
        <w:t xml:space="preserve">Department of Jobs and Small Business </w:t>
      </w:r>
      <w:r w:rsidRPr="00F52200">
        <w:rPr>
          <w:szCs w:val="24"/>
        </w:rPr>
        <w:t>consulted with employee representatives (including the Australian Council of Tr</w:t>
      </w:r>
      <w:r w:rsidR="00BD06DC">
        <w:rPr>
          <w:szCs w:val="24"/>
        </w:rPr>
        <w:t>ade Unions, unions and lawyers);</w:t>
      </w:r>
      <w:r w:rsidRPr="00F52200">
        <w:rPr>
          <w:szCs w:val="24"/>
        </w:rPr>
        <w:t xml:space="preserve"> the Safety, Rehabilitation and Compensation Licensees Association</w:t>
      </w:r>
      <w:r w:rsidR="00BD06DC">
        <w:rPr>
          <w:szCs w:val="24"/>
        </w:rPr>
        <w:t>;</w:t>
      </w:r>
      <w:r w:rsidRPr="00F52200">
        <w:rPr>
          <w:szCs w:val="24"/>
        </w:rPr>
        <w:t xml:space="preserve"> </w:t>
      </w:r>
      <w:r w:rsidR="00BD06DC">
        <w:rPr>
          <w:szCs w:val="24"/>
        </w:rPr>
        <w:t>licensees;</w:t>
      </w:r>
      <w:r w:rsidR="00F84417" w:rsidRPr="00F52200">
        <w:rPr>
          <w:szCs w:val="24"/>
        </w:rPr>
        <w:t xml:space="preserve"> </w:t>
      </w:r>
      <w:r w:rsidRPr="00F52200">
        <w:rPr>
          <w:szCs w:val="24"/>
        </w:rPr>
        <w:t>Comcare and</w:t>
      </w:r>
      <w:r w:rsidR="002C2E9E" w:rsidRPr="00F52200">
        <w:rPr>
          <w:szCs w:val="24"/>
        </w:rPr>
        <w:t xml:space="preserve"> the </w:t>
      </w:r>
      <w:r w:rsidRPr="00F52200">
        <w:rPr>
          <w:szCs w:val="24"/>
        </w:rPr>
        <w:t>Commission.</w:t>
      </w:r>
    </w:p>
    <w:p w14:paraId="510B3E75" w14:textId="77777777" w:rsidR="00E04660" w:rsidRPr="00213A5E" w:rsidRDefault="00165D15" w:rsidP="008C51C1">
      <w:pPr>
        <w:pStyle w:val="EMoverview"/>
        <w:spacing w:line="240" w:lineRule="auto"/>
        <w:rPr>
          <w:szCs w:val="24"/>
          <w:highlight w:val="yellow"/>
        </w:rPr>
      </w:pPr>
      <w:r w:rsidRPr="00F52200">
        <w:rPr>
          <w:rFonts w:eastAsia="Calibri"/>
          <w:szCs w:val="24"/>
        </w:rPr>
        <w:t>For the consultation, stakeholders were provided with a draft version of this instrument, and were invited to provide feedback.</w:t>
      </w:r>
      <w:r w:rsidRPr="00213A5E">
        <w:rPr>
          <w:szCs w:val="24"/>
        </w:rPr>
        <w:t xml:space="preserve"> Where appropriate, feedback received by stakeholders in the consultation process has been incorporated into the instrument.</w:t>
      </w:r>
    </w:p>
    <w:p w14:paraId="3767EBF1" w14:textId="77777777" w:rsidR="007A52F1" w:rsidRPr="008C51C1" w:rsidRDefault="007A52F1" w:rsidP="00F2526B">
      <w:pPr>
        <w:pStyle w:val="EMoverview"/>
        <w:spacing w:line="240" w:lineRule="auto"/>
        <w:rPr>
          <w:b/>
          <w:szCs w:val="24"/>
        </w:rPr>
      </w:pPr>
      <w:r w:rsidRPr="008C51C1">
        <w:rPr>
          <w:b/>
          <w:szCs w:val="24"/>
        </w:rPr>
        <w:lastRenderedPageBreak/>
        <w:t>Regulation Impact Statement</w:t>
      </w:r>
    </w:p>
    <w:p w14:paraId="28D35A70" w14:textId="77777777" w:rsidR="006B526E" w:rsidRPr="008C51C1" w:rsidRDefault="000148F2" w:rsidP="008C51C1">
      <w:pPr>
        <w:spacing w:after="120" w:line="240" w:lineRule="auto"/>
        <w:contextualSpacing/>
        <w:rPr>
          <w:rFonts w:ascii="Times New Roman" w:eastAsia="Times New Roman" w:hAnsi="Times New Roman" w:cs="Times New Roman"/>
          <w:iCs/>
          <w:sz w:val="24"/>
          <w:szCs w:val="24"/>
          <w:lang w:eastAsia="en-AU"/>
        </w:rPr>
      </w:pPr>
      <w:r w:rsidRPr="00F52200">
        <w:rPr>
          <w:rFonts w:ascii="Times New Roman" w:eastAsia="Calibri" w:hAnsi="Times New Roman" w:cs="Times New Roman"/>
          <w:sz w:val="24"/>
          <w:szCs w:val="24"/>
        </w:rPr>
        <w:t xml:space="preserve">The Office of Best Practice Regulation </w:t>
      </w:r>
      <w:r w:rsidR="008C1874" w:rsidRPr="00F52200">
        <w:rPr>
          <w:rFonts w:ascii="Times New Roman" w:eastAsia="Calibri" w:hAnsi="Times New Roman" w:cs="Times New Roman"/>
          <w:sz w:val="24"/>
          <w:szCs w:val="24"/>
        </w:rPr>
        <w:t xml:space="preserve">confirmed that </w:t>
      </w:r>
      <w:r w:rsidRPr="00213A5E">
        <w:rPr>
          <w:rFonts w:ascii="Times New Roman" w:hAnsi="Times New Roman" w:cs="Times New Roman"/>
          <w:sz w:val="24"/>
          <w:szCs w:val="24"/>
          <w:lang w:eastAsia="en-AU"/>
        </w:rPr>
        <w:t>neither a Regulation Impact Statement nor a certification letter</w:t>
      </w:r>
      <w:r w:rsidRPr="008C51C1">
        <w:rPr>
          <w:rFonts w:ascii="Times New Roman" w:hAnsi="Times New Roman" w:cs="Times New Roman"/>
          <w:sz w:val="24"/>
          <w:szCs w:val="24"/>
          <w:lang w:eastAsia="en-AU"/>
        </w:rPr>
        <w:t xml:space="preserve"> was </w:t>
      </w:r>
      <w:r w:rsidRPr="008C51C1">
        <w:rPr>
          <w:rFonts w:ascii="Times New Roman" w:hAnsi="Times New Roman" w:cs="Times New Roman"/>
          <w:color w:val="000000" w:themeColor="text1"/>
          <w:sz w:val="24"/>
          <w:szCs w:val="24"/>
          <w:lang w:eastAsia="en-AU"/>
        </w:rPr>
        <w:t>required (OBPR</w:t>
      </w:r>
      <w:r w:rsidR="008C1874" w:rsidRPr="008C51C1">
        <w:rPr>
          <w:rFonts w:ascii="Times New Roman" w:hAnsi="Times New Roman" w:cs="Times New Roman"/>
          <w:color w:val="000000" w:themeColor="text1"/>
          <w:sz w:val="24"/>
          <w:szCs w:val="24"/>
          <w:lang w:eastAsia="en-AU"/>
        </w:rPr>
        <w:t> </w:t>
      </w:r>
      <w:r w:rsidRPr="008C51C1">
        <w:rPr>
          <w:rFonts w:ascii="Times New Roman" w:hAnsi="Times New Roman" w:cs="Times New Roman"/>
          <w:color w:val="000000" w:themeColor="text1"/>
          <w:sz w:val="24"/>
          <w:szCs w:val="24"/>
          <w:lang w:eastAsia="en-AU"/>
        </w:rPr>
        <w:t>ID</w:t>
      </w:r>
      <w:r w:rsidR="008C1874" w:rsidRPr="008C51C1">
        <w:rPr>
          <w:rFonts w:ascii="Times New Roman" w:hAnsi="Times New Roman" w:cs="Times New Roman"/>
          <w:color w:val="000000" w:themeColor="text1"/>
          <w:sz w:val="24"/>
          <w:szCs w:val="24"/>
          <w:lang w:eastAsia="en-AU"/>
        </w:rPr>
        <w:t> </w:t>
      </w:r>
      <w:r w:rsidRPr="008C51C1">
        <w:rPr>
          <w:rFonts w:ascii="Times New Roman" w:hAnsi="Times New Roman" w:cs="Times New Roman"/>
          <w:sz w:val="24"/>
          <w:szCs w:val="24"/>
        </w:rPr>
        <w:t>24668</w:t>
      </w:r>
      <w:r w:rsidRPr="008C51C1">
        <w:rPr>
          <w:rFonts w:ascii="Times New Roman" w:hAnsi="Times New Roman" w:cs="Times New Roman"/>
          <w:color w:val="000000" w:themeColor="text1"/>
          <w:sz w:val="24"/>
          <w:szCs w:val="24"/>
        </w:rPr>
        <w:t>)</w:t>
      </w:r>
      <w:r w:rsidRPr="008C51C1">
        <w:rPr>
          <w:rFonts w:ascii="Times New Roman" w:hAnsi="Times New Roman" w:cs="Times New Roman"/>
          <w:color w:val="000000" w:themeColor="text1"/>
          <w:sz w:val="24"/>
          <w:szCs w:val="24"/>
          <w:lang w:eastAsia="en-AU"/>
        </w:rPr>
        <w:t>.</w:t>
      </w:r>
    </w:p>
    <w:p w14:paraId="2A274326" w14:textId="77777777" w:rsidR="008C51C1" w:rsidRDefault="008C51C1" w:rsidP="008C51C1">
      <w:pPr>
        <w:spacing w:after="120" w:line="240" w:lineRule="auto"/>
        <w:contextualSpacing/>
        <w:jc w:val="right"/>
        <w:rPr>
          <w:rFonts w:ascii="Times New Roman" w:eastAsia="Times New Roman" w:hAnsi="Times New Roman" w:cs="Times New Roman"/>
          <w:iCs/>
          <w:sz w:val="24"/>
          <w:szCs w:val="24"/>
          <w:u w:val="single"/>
          <w:lang w:eastAsia="en-AU"/>
        </w:rPr>
        <w:sectPr w:rsidR="008C51C1" w:rsidSect="00BD06DC">
          <w:footerReference w:type="default" r:id="rId11"/>
          <w:pgSz w:w="11906" w:h="16838"/>
          <w:pgMar w:top="1440" w:right="1440" w:bottom="1440" w:left="1440" w:header="708" w:footer="708" w:gutter="0"/>
          <w:cols w:space="708"/>
          <w:titlePg/>
          <w:docGrid w:linePitch="360"/>
        </w:sectPr>
      </w:pPr>
    </w:p>
    <w:p w14:paraId="3F47C4D3" w14:textId="77777777" w:rsidR="007A52F1" w:rsidRPr="008C51C1" w:rsidRDefault="00E61311" w:rsidP="008C51C1">
      <w:pPr>
        <w:spacing w:after="120" w:line="240" w:lineRule="auto"/>
        <w:contextualSpacing/>
        <w:jc w:val="right"/>
        <w:rPr>
          <w:rFonts w:ascii="Times New Roman" w:eastAsia="Times New Roman" w:hAnsi="Times New Roman" w:cs="Times New Roman"/>
          <w:iCs/>
          <w:sz w:val="24"/>
          <w:szCs w:val="24"/>
          <w:u w:val="single"/>
          <w:lang w:eastAsia="en-AU"/>
        </w:rPr>
      </w:pPr>
      <w:r w:rsidRPr="008C51C1">
        <w:rPr>
          <w:rFonts w:ascii="Times New Roman" w:eastAsia="Times New Roman" w:hAnsi="Times New Roman" w:cs="Times New Roman"/>
          <w:iCs/>
          <w:sz w:val="24"/>
          <w:szCs w:val="24"/>
          <w:u w:val="single"/>
          <w:lang w:eastAsia="en-AU"/>
        </w:rPr>
        <w:lastRenderedPageBreak/>
        <w:t>Attachment A</w:t>
      </w:r>
    </w:p>
    <w:p w14:paraId="3F569916" w14:textId="77777777" w:rsidR="00FA6FA1" w:rsidRPr="008C51C1" w:rsidRDefault="00FA6FA1" w:rsidP="008C51C1">
      <w:pPr>
        <w:shd w:val="clear" w:color="auto" w:fill="FFFFFF"/>
        <w:spacing w:after="120" w:line="240" w:lineRule="auto"/>
        <w:contextualSpacing/>
        <w:rPr>
          <w:rFonts w:ascii="Times New Roman" w:eastAsia="Times New Roman" w:hAnsi="Times New Roman" w:cs="Times New Roman"/>
          <w:b/>
          <w:iCs/>
          <w:sz w:val="24"/>
          <w:szCs w:val="24"/>
          <w:lang w:eastAsia="en-AU"/>
        </w:rPr>
      </w:pPr>
    </w:p>
    <w:p w14:paraId="783BB0F0" w14:textId="77777777" w:rsidR="00811664" w:rsidRDefault="00811664" w:rsidP="008C51C1">
      <w:pPr>
        <w:pStyle w:val="EMPartHeading"/>
      </w:pPr>
      <w:r w:rsidRPr="00811664">
        <w:t>Part 1—Preliminary</w:t>
      </w:r>
    </w:p>
    <w:p w14:paraId="24FFE020" w14:textId="77777777" w:rsidR="00E61311" w:rsidRPr="008C51C1" w:rsidRDefault="00E61311" w:rsidP="008C51C1">
      <w:pPr>
        <w:pStyle w:val="EMSectionheading"/>
        <w:rPr>
          <w:lang w:eastAsia="en-AU"/>
        </w:rPr>
      </w:pPr>
      <w:r w:rsidRPr="008C51C1">
        <w:rPr>
          <w:lang w:eastAsia="en-AU"/>
        </w:rPr>
        <w:t>Section 1 – Name</w:t>
      </w:r>
    </w:p>
    <w:p w14:paraId="0745E5B3" w14:textId="77777777" w:rsidR="00E61311" w:rsidRPr="008C51C1" w:rsidRDefault="00BD7DA5" w:rsidP="008C51C1">
      <w:pPr>
        <w:pStyle w:val="EMbullet"/>
        <w:rPr>
          <w:iCs w:val="0"/>
        </w:rPr>
      </w:pPr>
      <w:r w:rsidRPr="00F52200">
        <w:t xml:space="preserve">The name of these directions is the </w:t>
      </w:r>
      <w:r>
        <w:rPr>
          <w:i/>
        </w:rPr>
        <w:t>Safety, Rehabilitation and Compensation Directions 2019</w:t>
      </w:r>
      <w:r>
        <w:t>.</w:t>
      </w:r>
    </w:p>
    <w:p w14:paraId="1F89AEBD" w14:textId="77777777" w:rsidR="00E61311" w:rsidRDefault="00E61311" w:rsidP="008C51C1">
      <w:pPr>
        <w:pStyle w:val="EMSectionheading"/>
        <w:rPr>
          <w:lang w:eastAsia="en-AU"/>
        </w:rPr>
      </w:pPr>
      <w:r w:rsidRPr="008C51C1">
        <w:rPr>
          <w:lang w:eastAsia="en-AU"/>
        </w:rPr>
        <w:t>Section 2 – Commencement</w:t>
      </w:r>
    </w:p>
    <w:p w14:paraId="000150AC" w14:textId="77777777" w:rsidR="00BD7DA5" w:rsidRDefault="00BD7DA5" w:rsidP="008C51C1">
      <w:pPr>
        <w:pStyle w:val="EMbullet"/>
      </w:pPr>
      <w:r>
        <w:t xml:space="preserve">Sections 1 to 3 commence on the day after this instrument is </w:t>
      </w:r>
      <w:r w:rsidR="00DC3B0A">
        <w:t xml:space="preserve">registered on the Federal Register of Legislation. </w:t>
      </w:r>
    </w:p>
    <w:p w14:paraId="4D8078F3" w14:textId="77777777" w:rsidR="00DC3B0A" w:rsidRPr="008C51C1" w:rsidRDefault="00DC3B0A" w:rsidP="008C51C1">
      <w:pPr>
        <w:pStyle w:val="EMbullet"/>
        <w:rPr>
          <w:iCs w:val="0"/>
        </w:rPr>
      </w:pPr>
      <w:r>
        <w:t>The rest of the instrument (that is, the other provisions and Schedule 1) commences on the later of either the start of the day the instrument is registered on the Federal Register of Legislation, or immediately after the 2019 Regulations commence. If the 2019 Regulations do not commence, then neither does the rest of this instrument. This is to ensure that these Directions only commence after the commencement of the 2019 Regulations.</w:t>
      </w:r>
    </w:p>
    <w:p w14:paraId="54ACF165" w14:textId="77777777" w:rsidR="00E61311" w:rsidRDefault="00E61311" w:rsidP="008C51C1">
      <w:pPr>
        <w:pStyle w:val="EMSectionheading"/>
        <w:rPr>
          <w:lang w:eastAsia="en-AU"/>
        </w:rPr>
      </w:pPr>
      <w:r w:rsidRPr="008C51C1">
        <w:rPr>
          <w:lang w:eastAsia="en-AU"/>
        </w:rPr>
        <w:t>Section 3 – Authority</w:t>
      </w:r>
    </w:p>
    <w:p w14:paraId="09B5A5B5" w14:textId="77777777" w:rsidR="00E61311" w:rsidRPr="00F52200" w:rsidRDefault="00DC3B0A" w:rsidP="008C51C1">
      <w:pPr>
        <w:pStyle w:val="EMbullet"/>
        <w:rPr>
          <w:b/>
          <w:iCs w:val="0"/>
        </w:rPr>
      </w:pPr>
      <w:r>
        <w:t xml:space="preserve">This instrument is made under s 89D of the SRC Act. </w:t>
      </w:r>
    </w:p>
    <w:p w14:paraId="18A2C774" w14:textId="77777777" w:rsidR="00E61311" w:rsidRDefault="00E61311" w:rsidP="008C51C1">
      <w:pPr>
        <w:pStyle w:val="EMSectionheading"/>
        <w:rPr>
          <w:lang w:eastAsia="en-AU"/>
        </w:rPr>
      </w:pPr>
      <w:r w:rsidRPr="008C51C1">
        <w:rPr>
          <w:lang w:eastAsia="en-AU"/>
        </w:rPr>
        <w:t>Section 4 – Definitions</w:t>
      </w:r>
    </w:p>
    <w:p w14:paraId="37CA778C" w14:textId="0AF00884" w:rsidR="00DC3B0A" w:rsidRDefault="00B67C76" w:rsidP="008C51C1">
      <w:pPr>
        <w:pStyle w:val="EMbullet"/>
      </w:pPr>
      <w:r>
        <w:t>A note to s 4 alerts the reader that a number of terms used in the instrument are defined in s 4</w:t>
      </w:r>
      <w:r w:rsidR="005A6F0C">
        <w:t>(1)</w:t>
      </w:r>
      <w:r>
        <w:t xml:space="preserve"> of the SRC Act.</w:t>
      </w:r>
    </w:p>
    <w:p w14:paraId="6D58F77E" w14:textId="3586E923" w:rsidR="00E61311" w:rsidRPr="00F52200" w:rsidRDefault="00B67C76" w:rsidP="00640A0E">
      <w:pPr>
        <w:pStyle w:val="EMbullet"/>
        <w:rPr>
          <w:b/>
        </w:rPr>
      </w:pPr>
      <w:r>
        <w:t xml:space="preserve">Section 4 also confirms that the </w:t>
      </w:r>
      <w:r w:rsidR="004303FD">
        <w:t>‘</w:t>
      </w:r>
      <w:r>
        <w:t>Act</w:t>
      </w:r>
      <w:r w:rsidR="004303FD">
        <w:t>’</w:t>
      </w:r>
      <w:r>
        <w:t xml:space="preserve"> refers to the </w:t>
      </w:r>
      <w:r w:rsidRPr="00F52200">
        <w:rPr>
          <w:i/>
        </w:rPr>
        <w:t>Safety, Rehabilitation and Compensation Act 1988</w:t>
      </w:r>
      <w:r>
        <w:t xml:space="preserve">, </w:t>
      </w:r>
      <w:r w:rsidR="00640A0E">
        <w:t>‘</w:t>
      </w:r>
      <w:r w:rsidR="00640A0E" w:rsidRPr="00640A0E">
        <w:t>preserved licence</w:t>
      </w:r>
      <w:r w:rsidR="00640A0E">
        <w:t>’</w:t>
      </w:r>
      <w:r w:rsidR="00640A0E" w:rsidRPr="00640A0E">
        <w:t xml:space="preserve"> has the same meaning as in the </w:t>
      </w:r>
      <w:r w:rsidR="00640A0E" w:rsidRPr="00F52200">
        <w:rPr>
          <w:i/>
        </w:rPr>
        <w:t>Safety, Rehabilitation and Compensation Regulations 2019</w:t>
      </w:r>
      <w:r w:rsidR="00640A0E">
        <w:rPr>
          <w:i/>
        </w:rPr>
        <w:t xml:space="preserve"> </w:t>
      </w:r>
      <w:r>
        <w:t xml:space="preserve">and </w:t>
      </w:r>
      <w:r w:rsidR="004303FD">
        <w:t>‘</w:t>
      </w:r>
      <w:r>
        <w:t>Regulations</w:t>
      </w:r>
      <w:r w:rsidR="004303FD">
        <w:t>’</w:t>
      </w:r>
      <w:r>
        <w:t xml:space="preserve"> refers to the </w:t>
      </w:r>
      <w:r w:rsidRPr="00F52200">
        <w:rPr>
          <w:i/>
        </w:rPr>
        <w:t>Safety, Rehabilitation and Compensation Regulations 2019</w:t>
      </w:r>
      <w:r>
        <w:t>.</w:t>
      </w:r>
    </w:p>
    <w:p w14:paraId="091BA17A" w14:textId="77777777" w:rsidR="00FA6FA1" w:rsidRPr="008C51C1" w:rsidRDefault="00E61311" w:rsidP="008C51C1">
      <w:pPr>
        <w:pStyle w:val="EMSectionheading"/>
      </w:pPr>
      <w:r w:rsidRPr="008C51C1">
        <w:rPr>
          <w:iCs/>
          <w:lang w:eastAsia="en-AU"/>
        </w:rPr>
        <w:t xml:space="preserve">Section 5 – Schedules </w:t>
      </w:r>
    </w:p>
    <w:p w14:paraId="040E6CD0" w14:textId="77777777" w:rsidR="00B67C76" w:rsidRDefault="00B67C76" w:rsidP="00B67C76">
      <w:pPr>
        <w:pStyle w:val="EMbullet"/>
      </w:pPr>
      <w:r w:rsidRPr="00D37F20">
        <w:t>This is a standard provision which</w:t>
      </w:r>
      <w:r>
        <w:t xml:space="preserve"> </w:t>
      </w:r>
      <w:r w:rsidRPr="00D37F20">
        <w:t>provide</w:t>
      </w:r>
      <w:r>
        <w:t>s</w:t>
      </w:r>
      <w:r w:rsidRPr="00D37F20">
        <w:t xml:space="preserve"> that each instrument that is specified in </w:t>
      </w:r>
      <w:r>
        <w:t>the schedules</w:t>
      </w:r>
      <w:r w:rsidRPr="00D37F20">
        <w:t xml:space="preserve"> to </w:t>
      </w:r>
      <w:r>
        <w:t>this instrument</w:t>
      </w:r>
      <w:r w:rsidRPr="00D37F20">
        <w:t xml:space="preserve"> is amended or repealed as set out in the applicable items in the Schedule, and any other item in </w:t>
      </w:r>
      <w:r>
        <w:t xml:space="preserve">the </w:t>
      </w:r>
      <w:r w:rsidRPr="00D37F20">
        <w:t>Schedule has effect according to its terms.</w:t>
      </w:r>
    </w:p>
    <w:p w14:paraId="38711079" w14:textId="77777777" w:rsidR="00811664" w:rsidRPr="008C51C1" w:rsidRDefault="00811664" w:rsidP="008C51C1">
      <w:pPr>
        <w:pStyle w:val="EMPartHeading"/>
        <w:rPr>
          <w:b w:val="0"/>
          <w:szCs w:val="24"/>
        </w:rPr>
      </w:pPr>
      <w:r w:rsidRPr="00F52200">
        <w:t>Part 2—Criteria and procedures—grant of licences</w:t>
      </w:r>
    </w:p>
    <w:p w14:paraId="6491D28A" w14:textId="77777777" w:rsidR="00AB37EE" w:rsidRPr="008C51C1" w:rsidRDefault="009E3953" w:rsidP="008C51C1">
      <w:pPr>
        <w:pStyle w:val="EMSectionheading"/>
      </w:pPr>
      <w:r w:rsidRPr="008C51C1">
        <w:t xml:space="preserve">Section </w:t>
      </w:r>
      <w:r w:rsidR="00BD2B80" w:rsidRPr="008C51C1">
        <w:t>6 – Matters to be considered in decidin</w:t>
      </w:r>
      <w:r w:rsidR="007B2AE4">
        <w:t>g whether to grant a licence</w:t>
      </w:r>
      <w:r w:rsidR="007B2AE4" w:rsidRPr="00F52200">
        <w:rPr>
          <w:rFonts w:eastAsia="Times New Roman"/>
          <w:b/>
          <w:noProof/>
          <w:kern w:val="28"/>
          <w:szCs w:val="20"/>
          <w:lang w:eastAsia="en-AU"/>
        </w:rPr>
        <w:t>—</w:t>
      </w:r>
      <w:r w:rsidR="00BD2B80" w:rsidRPr="008C51C1">
        <w:t>Commonwealth authorities</w:t>
      </w:r>
    </w:p>
    <w:p w14:paraId="4946D724" w14:textId="77777777" w:rsidR="007B2AE4" w:rsidRDefault="009E3953" w:rsidP="008C51C1">
      <w:pPr>
        <w:pStyle w:val="EMbullet"/>
      </w:pPr>
      <w:r w:rsidRPr="00F52200">
        <w:t xml:space="preserve">Section </w:t>
      </w:r>
      <w:r w:rsidR="003F34A3" w:rsidRPr="00F52200">
        <w:t>6</w:t>
      </w:r>
      <w:r w:rsidR="00763235" w:rsidRPr="00F52200">
        <w:t xml:space="preserve"> provides that the Commission must not grant a licence t</w:t>
      </w:r>
      <w:r w:rsidR="00FA6FA1" w:rsidRPr="00F52200">
        <w:t xml:space="preserve">o a Commonwealth authority that </w:t>
      </w:r>
      <w:r w:rsidR="00763235" w:rsidRPr="00213A5E">
        <w:t xml:space="preserve">has applied for a grant of licence, other than the Australian Capital Territory, under section 104 of the </w:t>
      </w:r>
      <w:r w:rsidR="00784D8A" w:rsidRPr="00213A5E">
        <w:t xml:space="preserve">SRC </w:t>
      </w:r>
      <w:r w:rsidR="00763235" w:rsidRPr="00213A5E">
        <w:t>Act, unless the Commission is satisfied that claims will be managed by employees o</w:t>
      </w:r>
      <w:r w:rsidR="00FA6FA1" w:rsidRPr="008C51C1">
        <w:t>f</w:t>
      </w:r>
      <w:r w:rsidR="007B2AE4">
        <w:t>:</w:t>
      </w:r>
    </w:p>
    <w:p w14:paraId="3DB86635" w14:textId="77777777" w:rsidR="007B2AE4" w:rsidRDefault="00763235" w:rsidP="007B2AE4">
      <w:pPr>
        <w:pStyle w:val="EMsubdotpoint"/>
      </w:pPr>
      <w:r w:rsidRPr="008C51C1">
        <w:t>the applicant</w:t>
      </w:r>
      <w:r w:rsidR="007B2AE4">
        <w:t>;</w:t>
      </w:r>
    </w:p>
    <w:p w14:paraId="6635C8D5" w14:textId="77777777" w:rsidR="007B2AE4" w:rsidRDefault="007B2AE4" w:rsidP="007B2AE4">
      <w:pPr>
        <w:pStyle w:val="EMsubdotpoint"/>
      </w:pPr>
      <w:r>
        <w:t>Comcare;</w:t>
      </w:r>
    </w:p>
    <w:p w14:paraId="38667B75" w14:textId="77777777" w:rsidR="007B2AE4" w:rsidRDefault="007B2AE4" w:rsidP="007B2AE4">
      <w:pPr>
        <w:pStyle w:val="EMsubdotpoint"/>
      </w:pPr>
      <w:r>
        <w:t>a Comcare subsidiary;</w:t>
      </w:r>
    </w:p>
    <w:p w14:paraId="4E9AF671" w14:textId="77777777" w:rsidR="00763235" w:rsidRDefault="00763235" w:rsidP="007B2AE4">
      <w:pPr>
        <w:pStyle w:val="EMsubdotpoint"/>
      </w:pPr>
      <w:r w:rsidRPr="008C51C1">
        <w:t>another Commonwealth authority.</w:t>
      </w:r>
    </w:p>
    <w:p w14:paraId="29ED3D12" w14:textId="77777777" w:rsidR="007B2AE4" w:rsidRDefault="007B2AE4" w:rsidP="007B2AE4">
      <w:pPr>
        <w:pStyle w:val="EMbullet"/>
      </w:pPr>
      <w:r>
        <w:t>Section 6 operates in conjunction with section 11, which deals with who may manage claims on behalf of a licensed authority.</w:t>
      </w:r>
    </w:p>
    <w:p w14:paraId="0D4CA439" w14:textId="77777777" w:rsidR="00763235" w:rsidRPr="008C51C1" w:rsidRDefault="009E3953" w:rsidP="008C51C1">
      <w:pPr>
        <w:pStyle w:val="EMSectionheading"/>
      </w:pPr>
      <w:r w:rsidRPr="008C51C1">
        <w:t>Section</w:t>
      </w:r>
      <w:r w:rsidR="003F34A3" w:rsidRPr="008C51C1">
        <w:t xml:space="preserve"> 7 – Matters to be considered in decidin</w:t>
      </w:r>
      <w:r w:rsidR="007B2AE4">
        <w:t>g whether to grant a licence</w:t>
      </w:r>
      <w:r w:rsidR="007B2AE4" w:rsidRPr="00F52200">
        <w:rPr>
          <w:rFonts w:eastAsia="Times New Roman"/>
          <w:noProof/>
          <w:kern w:val="28"/>
          <w:szCs w:val="20"/>
          <w:lang w:eastAsia="en-AU"/>
        </w:rPr>
        <w:t>—</w:t>
      </w:r>
      <w:r w:rsidR="003F34A3" w:rsidRPr="008C51C1">
        <w:t>eligible corporations</w:t>
      </w:r>
    </w:p>
    <w:p w14:paraId="5044D986" w14:textId="56B79799" w:rsidR="00B67C76" w:rsidRPr="00F52200" w:rsidRDefault="009E3953" w:rsidP="008C51C1">
      <w:pPr>
        <w:pStyle w:val="EMbullet"/>
      </w:pPr>
      <w:r w:rsidRPr="00F52200">
        <w:t>Section</w:t>
      </w:r>
      <w:r w:rsidR="003F34A3" w:rsidRPr="00F52200">
        <w:t xml:space="preserve"> 7 provides that the Commission must not grant</w:t>
      </w:r>
      <w:r w:rsidR="003F34A3" w:rsidRPr="00F52200">
        <w:rPr>
          <w:b/>
        </w:rPr>
        <w:t xml:space="preserve"> </w:t>
      </w:r>
      <w:r w:rsidR="003F34A3" w:rsidRPr="00F52200">
        <w:t xml:space="preserve">a licence to an eligible corporation under section 104 of the SRC Act unless </w:t>
      </w:r>
      <w:r w:rsidR="003F34A3" w:rsidRPr="00213A5E">
        <w:t xml:space="preserve">the Commission is satisfied, on reasonable grounds, that satisfactory arrangements have been made to ensure that payments that would be required to be made under the </w:t>
      </w:r>
      <w:r w:rsidR="004303FD">
        <w:t>SRC </w:t>
      </w:r>
      <w:r w:rsidR="003F34A3" w:rsidRPr="00213A5E">
        <w:t>Act to, or in respect of, the eligible corporation</w:t>
      </w:r>
      <w:r w:rsidR="004303FD">
        <w:t>’</w:t>
      </w:r>
      <w:r w:rsidR="003F34A3" w:rsidRPr="00213A5E">
        <w:t>s employees will continue to be paid if that corporation is wound up.</w:t>
      </w:r>
    </w:p>
    <w:p w14:paraId="7C59DA12" w14:textId="77777777" w:rsidR="00FA6FA1" w:rsidRDefault="009E3953" w:rsidP="008C51C1">
      <w:pPr>
        <w:pStyle w:val="EMSectionheading"/>
      </w:pPr>
      <w:r w:rsidRPr="008C51C1">
        <w:t xml:space="preserve">Section </w:t>
      </w:r>
      <w:r w:rsidR="003F34A3" w:rsidRPr="008C51C1">
        <w:t xml:space="preserve">8 – Licence decision </w:t>
      </w:r>
    </w:p>
    <w:p w14:paraId="1E0FD010" w14:textId="52477C6C" w:rsidR="003F34A3" w:rsidRPr="00213A5E" w:rsidRDefault="00784D8A" w:rsidP="008C51C1">
      <w:pPr>
        <w:pStyle w:val="EMbullet"/>
      </w:pPr>
      <w:r w:rsidRPr="00F52200">
        <w:t>Subsection</w:t>
      </w:r>
      <w:r w:rsidR="003F34A3" w:rsidRPr="00F52200">
        <w:t xml:space="preserve"> 8</w:t>
      </w:r>
      <w:r w:rsidRPr="00F52200">
        <w:t>(1)</w:t>
      </w:r>
      <w:r w:rsidR="003F34A3" w:rsidRPr="00F52200">
        <w:t xml:space="preserve"> provides that the written notice informing the applicant of the Commission</w:t>
      </w:r>
      <w:r w:rsidR="004303FD">
        <w:t>’</w:t>
      </w:r>
      <w:r w:rsidR="003F34A3" w:rsidRPr="00F52200">
        <w:t>s decision to grant the licence sought in accordance with subsection</w:t>
      </w:r>
      <w:r w:rsidR="00640A0E">
        <w:t> </w:t>
      </w:r>
      <w:r w:rsidR="003F34A3" w:rsidRPr="00F52200">
        <w:t xml:space="preserve">104(1) of the </w:t>
      </w:r>
      <w:r w:rsidRPr="00213A5E">
        <w:t xml:space="preserve">SRC </w:t>
      </w:r>
      <w:r w:rsidR="003F34A3" w:rsidRPr="00213A5E">
        <w:t>Act, must specify all of the following:</w:t>
      </w:r>
    </w:p>
    <w:p w14:paraId="5FADC276" w14:textId="77777777" w:rsidR="003F34A3" w:rsidRPr="008C51C1" w:rsidRDefault="003F34A3" w:rsidP="008C51C1">
      <w:pPr>
        <w:pStyle w:val="EMsubdotpoint"/>
      </w:pPr>
      <w:r w:rsidRPr="008C51C1">
        <w:t xml:space="preserve">the scope of the licence so far as concerns the degree to which, and the circumstances in which, the licensee may accept liability for compensation; and </w:t>
      </w:r>
    </w:p>
    <w:p w14:paraId="280A221A" w14:textId="77777777" w:rsidR="003F34A3" w:rsidRPr="008C51C1" w:rsidRDefault="003F34A3" w:rsidP="008C51C1">
      <w:pPr>
        <w:pStyle w:val="EMsubdotpoint"/>
      </w:pPr>
      <w:r w:rsidRPr="008C51C1">
        <w:t>the scope of the licence so far as concerns the degree to which, and the circumstances in which, the licensee is authorised to manage claims; and</w:t>
      </w:r>
    </w:p>
    <w:p w14:paraId="27CB153D" w14:textId="77777777" w:rsidR="003F34A3" w:rsidRPr="008C51C1" w:rsidRDefault="003F34A3" w:rsidP="008C51C1">
      <w:pPr>
        <w:pStyle w:val="EMsubdotpoint"/>
      </w:pPr>
      <w:r w:rsidRPr="008C51C1">
        <w:t>the conditions to which the grant of the licence is subject; and</w:t>
      </w:r>
    </w:p>
    <w:p w14:paraId="34FA9E2D" w14:textId="77777777" w:rsidR="003F34A3" w:rsidRPr="008C51C1" w:rsidRDefault="003F34A3" w:rsidP="008C51C1">
      <w:pPr>
        <w:pStyle w:val="EMsubdotpoint"/>
      </w:pPr>
      <w:r w:rsidRPr="008C51C1">
        <w:t>the period for which the licence is granted.</w:t>
      </w:r>
    </w:p>
    <w:p w14:paraId="0D92F619" w14:textId="77777777" w:rsidR="003F34A3" w:rsidRDefault="0094665A" w:rsidP="008C51C1">
      <w:pPr>
        <w:pStyle w:val="EMbullet"/>
      </w:pPr>
      <w:r w:rsidRPr="008C51C1">
        <w:t>Subsection 8</w:t>
      </w:r>
      <w:r w:rsidR="00FA6FA1" w:rsidRPr="008C51C1">
        <w:t xml:space="preserve">(2) provides that the </w:t>
      </w:r>
      <w:r w:rsidR="003F34A3" w:rsidRPr="008C51C1">
        <w:t xml:space="preserve">Commission must publish the written notice in the </w:t>
      </w:r>
      <w:r w:rsidR="003F34A3" w:rsidRPr="008C51C1">
        <w:rPr>
          <w:i/>
        </w:rPr>
        <w:t>Gazette</w:t>
      </w:r>
      <w:r w:rsidR="003F34A3" w:rsidRPr="008C51C1">
        <w:t xml:space="preserve"> or by notifiable instrument.</w:t>
      </w:r>
    </w:p>
    <w:p w14:paraId="59F7D713" w14:textId="77777777" w:rsidR="00811664" w:rsidRDefault="00811664" w:rsidP="008C51C1">
      <w:pPr>
        <w:pStyle w:val="EMPartHeading"/>
        <w:rPr>
          <w:szCs w:val="24"/>
        </w:rPr>
      </w:pPr>
      <w:r>
        <w:t>Part 3—Scope and conditions of licence</w:t>
      </w:r>
    </w:p>
    <w:p w14:paraId="1402E45F" w14:textId="77777777" w:rsidR="00811664" w:rsidRDefault="00811664" w:rsidP="008C51C1">
      <w:pPr>
        <w:pStyle w:val="EMPartHeading"/>
        <w:rPr>
          <w:szCs w:val="24"/>
        </w:rPr>
      </w:pPr>
      <w:r>
        <w:t>Division 3.1—Licences granted to Commonwealth authorities</w:t>
      </w:r>
    </w:p>
    <w:p w14:paraId="4DFFDCA3" w14:textId="77777777" w:rsidR="00F66B7B" w:rsidRDefault="00F66B7B" w:rsidP="008C51C1">
      <w:pPr>
        <w:pStyle w:val="EMSectionheading"/>
      </w:pPr>
      <w:r w:rsidRPr="00F52200">
        <w:t>Section 9</w:t>
      </w:r>
      <w:r>
        <w:t xml:space="preserve"> – </w:t>
      </w:r>
      <w:r w:rsidR="002E0B08">
        <w:t>Application</w:t>
      </w:r>
    </w:p>
    <w:p w14:paraId="6BC04808" w14:textId="77777777" w:rsidR="002E0B08" w:rsidRPr="00F52200" w:rsidRDefault="002E0B08" w:rsidP="008C51C1">
      <w:pPr>
        <w:pStyle w:val="EMbullet"/>
      </w:pPr>
      <w:r>
        <w:t xml:space="preserve">Section 9 provides that Division 3.1 applies to a licence granted by the Commission to a </w:t>
      </w:r>
      <w:r w:rsidR="00D37211">
        <w:t xml:space="preserve">Commonwealth authority. </w:t>
      </w:r>
    </w:p>
    <w:p w14:paraId="4A984D8C" w14:textId="1B7D1321" w:rsidR="003F34A3" w:rsidRPr="008C51C1" w:rsidRDefault="00692C54" w:rsidP="008C51C1">
      <w:pPr>
        <w:pStyle w:val="EMSectionheading"/>
      </w:pPr>
      <w:r w:rsidRPr="008C51C1">
        <w:t xml:space="preserve">Section 10 </w:t>
      </w:r>
      <w:r w:rsidR="00F66B7B">
        <w:t>–</w:t>
      </w:r>
      <w:r w:rsidRPr="008C51C1">
        <w:t xml:space="preserve"> Acceptance of l</w:t>
      </w:r>
      <w:r w:rsidR="009E3953" w:rsidRPr="008C51C1">
        <w:t>iabil</w:t>
      </w:r>
      <w:r w:rsidRPr="008C51C1">
        <w:t>ity</w:t>
      </w:r>
      <w:r w:rsidR="009E3953" w:rsidRPr="008C51C1">
        <w:t xml:space="preserve"> </w:t>
      </w:r>
      <w:r w:rsidR="009441C4">
        <w:t xml:space="preserve">– prior </w:t>
      </w:r>
      <w:r w:rsidR="009E3953" w:rsidRPr="008C51C1">
        <w:t>Class 3 licence or Class A or B licence</w:t>
      </w:r>
    </w:p>
    <w:p w14:paraId="4FE3CA67" w14:textId="2E5639C6" w:rsidR="009E3953" w:rsidRDefault="009E3953" w:rsidP="008C51C1">
      <w:pPr>
        <w:pStyle w:val="EMbullet"/>
      </w:pPr>
      <w:r w:rsidRPr="00F52200">
        <w:t xml:space="preserve">Section 10 provides that, if immediately before 1 April 2002, </w:t>
      </w:r>
      <w:r w:rsidR="00692C54" w:rsidRPr="00F52200">
        <w:t xml:space="preserve">a </w:t>
      </w:r>
      <w:r w:rsidRPr="00F52200">
        <w:t>license</w:t>
      </w:r>
      <w:r w:rsidR="002C3326" w:rsidRPr="00F52200">
        <w:t>d authority</w:t>
      </w:r>
      <w:r w:rsidRPr="00F52200">
        <w:t xml:space="preserve"> held a Class 3 licence under Part VIIIA of the </w:t>
      </w:r>
      <w:r w:rsidR="004303FD">
        <w:t>SRC </w:t>
      </w:r>
      <w:r w:rsidRPr="00F52200">
        <w:t xml:space="preserve">Act or a Class A or B licence under Part VIIIB of the </w:t>
      </w:r>
      <w:r w:rsidR="00692C54" w:rsidRPr="00213A5E">
        <w:t xml:space="preserve">SRC </w:t>
      </w:r>
      <w:r w:rsidRPr="00213A5E">
        <w:t xml:space="preserve">Act, the Commission may authorise the licensee to accept liability to pay compensation and other amounts under the </w:t>
      </w:r>
      <w:r w:rsidR="004303FD">
        <w:t>SRC </w:t>
      </w:r>
      <w:r w:rsidRPr="00213A5E">
        <w:t>Act for a particular injury, loss o</w:t>
      </w:r>
      <w:r w:rsidRPr="008C51C1">
        <w:t>r damage suffered by, or for the death of, some or all of its employees for claims for a</w:t>
      </w:r>
      <w:r w:rsidR="002C3326" w:rsidRPr="008C51C1">
        <w:t xml:space="preserve">n injury, loss, damage or death </w:t>
      </w:r>
      <w:r w:rsidRPr="008C51C1">
        <w:t>that occurred</w:t>
      </w:r>
      <w:r w:rsidR="002C3326" w:rsidRPr="008C51C1">
        <w:t xml:space="preserve"> during the period for which that</w:t>
      </w:r>
      <w:r w:rsidRPr="008C51C1">
        <w:t xml:space="preserve"> previous licence was in force; or</w:t>
      </w:r>
      <w:r w:rsidR="002C3326" w:rsidRPr="008C51C1">
        <w:t xml:space="preserve"> </w:t>
      </w:r>
      <w:r w:rsidRPr="008C51C1">
        <w:t>that occurs during the period specified in the licence.</w:t>
      </w:r>
    </w:p>
    <w:p w14:paraId="70D8A363" w14:textId="77777777" w:rsidR="002C3326" w:rsidRPr="008C51C1" w:rsidRDefault="002C3326" w:rsidP="008C51C1">
      <w:pPr>
        <w:pStyle w:val="EMSectionheading"/>
      </w:pPr>
      <w:r w:rsidRPr="008C51C1">
        <w:t>Section 11 – Claims management</w:t>
      </w:r>
    </w:p>
    <w:p w14:paraId="4201023A" w14:textId="0CA30F87" w:rsidR="00F029F3" w:rsidRPr="008C51C1" w:rsidRDefault="002C3326" w:rsidP="008C51C1">
      <w:pPr>
        <w:pStyle w:val="EMbullet"/>
      </w:pPr>
      <w:r w:rsidRPr="00F52200">
        <w:t xml:space="preserve">Section 11 provides </w:t>
      </w:r>
      <w:r w:rsidR="00F518D4" w:rsidRPr="00F52200">
        <w:t>that the Commission may only grant a licence to a Commonwealth authority</w:t>
      </w:r>
      <w:r w:rsidR="00F029F3" w:rsidRPr="00213A5E">
        <w:t>, other than the Australian Capital Territory,</w:t>
      </w:r>
      <w:r w:rsidR="00F518D4" w:rsidRPr="00213A5E">
        <w:t xml:space="preserve"> that authorises the licensee, or a specified person acting on the licensee</w:t>
      </w:r>
      <w:r w:rsidR="004303FD">
        <w:t>’</w:t>
      </w:r>
      <w:r w:rsidR="00F518D4" w:rsidRPr="00213A5E">
        <w:t>s behal</w:t>
      </w:r>
      <w:r w:rsidR="00F518D4" w:rsidRPr="008C51C1">
        <w:t>f,</w:t>
      </w:r>
      <w:r w:rsidR="00F029F3" w:rsidRPr="008C51C1">
        <w:t xml:space="preserve"> to manage claims under the SRC Act,</w:t>
      </w:r>
      <w:r w:rsidR="00F518D4" w:rsidRPr="008C51C1">
        <w:t xml:space="preserve"> </w:t>
      </w:r>
      <w:r w:rsidR="00F029F3" w:rsidRPr="008C51C1">
        <w:t>if the licence authorises</w:t>
      </w:r>
      <w:r w:rsidR="00CC70E4" w:rsidRPr="008C51C1">
        <w:t xml:space="preserve"> one or more of</w:t>
      </w:r>
      <w:r w:rsidR="00F029F3" w:rsidRPr="008C51C1">
        <w:t xml:space="preserve"> the following persons to manage claims on behalf of the licensee:</w:t>
      </w:r>
    </w:p>
    <w:p w14:paraId="3BBF4F40" w14:textId="77777777" w:rsidR="00F029F3" w:rsidRPr="008C51C1" w:rsidRDefault="00F029F3" w:rsidP="008C51C1">
      <w:pPr>
        <w:pStyle w:val="EMsubdotpoint"/>
        <w:numPr>
          <w:ilvl w:val="0"/>
          <w:numId w:val="20"/>
        </w:numPr>
      </w:pPr>
      <w:r w:rsidRPr="008C51C1">
        <w:t>Comcare;</w:t>
      </w:r>
    </w:p>
    <w:p w14:paraId="35501E78" w14:textId="77777777" w:rsidR="00F029F3" w:rsidRPr="008C51C1" w:rsidRDefault="00F029F3" w:rsidP="008C51C1">
      <w:pPr>
        <w:pStyle w:val="EMsubdotpoint"/>
        <w:numPr>
          <w:ilvl w:val="0"/>
          <w:numId w:val="20"/>
        </w:numPr>
      </w:pPr>
      <w:r w:rsidRPr="008C51C1">
        <w:t>a Comcare subsidiary;</w:t>
      </w:r>
    </w:p>
    <w:p w14:paraId="5DADC1BA" w14:textId="77777777" w:rsidR="00F029F3" w:rsidRPr="008C51C1" w:rsidRDefault="00F029F3" w:rsidP="008C51C1">
      <w:pPr>
        <w:pStyle w:val="EMsubdotpoint"/>
        <w:numPr>
          <w:ilvl w:val="0"/>
          <w:numId w:val="20"/>
        </w:numPr>
      </w:pPr>
      <w:r w:rsidRPr="008C51C1">
        <w:t>employees of Comcare or of a Comcare subsidiary;</w:t>
      </w:r>
    </w:p>
    <w:p w14:paraId="6DEDD821" w14:textId="77777777" w:rsidR="00F029F3" w:rsidRPr="008C51C1" w:rsidRDefault="00F029F3" w:rsidP="008C51C1">
      <w:pPr>
        <w:pStyle w:val="EMsubdotpoint"/>
        <w:numPr>
          <w:ilvl w:val="0"/>
          <w:numId w:val="20"/>
        </w:numPr>
      </w:pPr>
      <w:r w:rsidRPr="008C51C1">
        <w:t>another Commonwealth authority;</w:t>
      </w:r>
    </w:p>
    <w:p w14:paraId="588968D7" w14:textId="77777777" w:rsidR="00F029F3" w:rsidRPr="008C51C1" w:rsidRDefault="00F029F3" w:rsidP="008C51C1">
      <w:pPr>
        <w:pStyle w:val="EMsubdotpoint"/>
        <w:numPr>
          <w:ilvl w:val="0"/>
          <w:numId w:val="20"/>
        </w:numPr>
      </w:pPr>
      <w:r w:rsidRPr="008C51C1">
        <w:t>employees of another Commonwealth authority.</w:t>
      </w:r>
    </w:p>
    <w:p w14:paraId="2A87EDE1" w14:textId="77777777" w:rsidR="00D37211" w:rsidRDefault="00D37211" w:rsidP="008C51C1">
      <w:pPr>
        <w:pStyle w:val="EMPartHeading"/>
      </w:pPr>
      <w:r>
        <w:t>Division 3.2</w:t>
      </w:r>
      <w:r>
        <w:rPr>
          <w:rStyle w:val="CharPartNo"/>
        </w:rPr>
        <w:t>—Licences granted to eligible corporations</w:t>
      </w:r>
    </w:p>
    <w:p w14:paraId="3BBD8830" w14:textId="77777777" w:rsidR="00E61311" w:rsidRPr="008C51C1" w:rsidRDefault="00E61311" w:rsidP="008C51C1">
      <w:pPr>
        <w:pStyle w:val="EMSectionheading"/>
      </w:pPr>
      <w:r w:rsidRPr="008C51C1">
        <w:t xml:space="preserve">Section 12 – Application </w:t>
      </w:r>
    </w:p>
    <w:p w14:paraId="711E5CCC" w14:textId="506D99E4" w:rsidR="00D37211" w:rsidRPr="00456A06" w:rsidRDefault="005A6F0C" w:rsidP="00D37211">
      <w:pPr>
        <w:pStyle w:val="EMbullet"/>
      </w:pPr>
      <w:r>
        <w:t>Section 12 provides that Division 3.2</w:t>
      </w:r>
      <w:r w:rsidR="00D37211">
        <w:t xml:space="preserve"> applies to a licence granted by the Commis</w:t>
      </w:r>
      <w:r>
        <w:t>sion to a corporation (other than a corporation that is a Commonwealth authority)</w:t>
      </w:r>
      <w:r w:rsidR="00D37211">
        <w:t xml:space="preserve">. </w:t>
      </w:r>
    </w:p>
    <w:p w14:paraId="34DAE343" w14:textId="28538EF0" w:rsidR="00FA6FA1" w:rsidRPr="00F52200" w:rsidRDefault="00350DC7" w:rsidP="008C51C1">
      <w:pPr>
        <w:pStyle w:val="EMSectionheading"/>
      </w:pPr>
      <w:r w:rsidRPr="008C51C1">
        <w:t>Section 13 – Conditions</w:t>
      </w:r>
    </w:p>
    <w:p w14:paraId="4C4D6392" w14:textId="77777777" w:rsidR="00350DC7" w:rsidRPr="00F52200" w:rsidRDefault="00350DC7" w:rsidP="008C51C1">
      <w:pPr>
        <w:pStyle w:val="EMbullet"/>
      </w:pPr>
      <w:r w:rsidRPr="00F52200">
        <w:t>Section 13 provides that the Commission may include one or more of the following conditions in the licence of a licensed corporation:</w:t>
      </w:r>
    </w:p>
    <w:p w14:paraId="4FF1B6E6" w14:textId="576B49A9" w:rsidR="00350DC7" w:rsidRPr="008C51C1" w:rsidRDefault="00350DC7" w:rsidP="008C51C1">
      <w:pPr>
        <w:pStyle w:val="EMsubdotpoint"/>
        <w:numPr>
          <w:ilvl w:val="0"/>
          <w:numId w:val="21"/>
        </w:numPr>
      </w:pPr>
      <w:r w:rsidRPr="00F52200">
        <w:t>if requested in writing by the Commission to do so, the licensee must give to the Commission the information relating to the licensee</w:t>
      </w:r>
      <w:r w:rsidR="004303FD">
        <w:t>’</w:t>
      </w:r>
      <w:r w:rsidRPr="00F52200">
        <w:t xml:space="preserve">s operations under the </w:t>
      </w:r>
      <w:r w:rsidR="006528B8" w:rsidRPr="00213A5E">
        <w:t xml:space="preserve">SRC </w:t>
      </w:r>
      <w:r w:rsidRPr="008C51C1">
        <w:t>Act that is specified in the request;</w:t>
      </w:r>
    </w:p>
    <w:p w14:paraId="07026DC0" w14:textId="74BA5753" w:rsidR="00350DC7" w:rsidRPr="008C51C1" w:rsidRDefault="00350DC7" w:rsidP="008C51C1">
      <w:pPr>
        <w:pStyle w:val="EMsubdotpoint"/>
        <w:numPr>
          <w:ilvl w:val="0"/>
          <w:numId w:val="21"/>
        </w:numPr>
      </w:pPr>
      <w:r w:rsidRPr="008C51C1">
        <w:t>the licensee must lodge with the Commission, within 120 days after the end of each accounting period (or, if the Commission allows a longer period, within that period), a copy of the accounts required under the law of the place of the licensee</w:t>
      </w:r>
      <w:r w:rsidR="004303FD">
        <w:t>’</w:t>
      </w:r>
      <w:r w:rsidRPr="008C51C1">
        <w:t>s incorporation for the accounting period;</w:t>
      </w:r>
    </w:p>
    <w:p w14:paraId="03390A36" w14:textId="4FD1A884" w:rsidR="00350DC7" w:rsidRPr="008C51C1" w:rsidRDefault="00350DC7" w:rsidP="008C51C1">
      <w:pPr>
        <w:pStyle w:val="EMsubdotpoint"/>
        <w:numPr>
          <w:ilvl w:val="0"/>
          <w:numId w:val="21"/>
        </w:numPr>
      </w:pPr>
      <w:r w:rsidRPr="008C51C1">
        <w:t>the licensee must include and identify in the accounts mentioned in paragraph (b) provision for meeting the licensee</w:t>
      </w:r>
      <w:r w:rsidR="004303FD">
        <w:t>’</w:t>
      </w:r>
      <w:r w:rsidRPr="008C51C1">
        <w:t xml:space="preserve">s accrued and contingent liability as at the end of the accounting period for claims made under the </w:t>
      </w:r>
      <w:r w:rsidR="004303FD">
        <w:t>SRC </w:t>
      </w:r>
      <w:r w:rsidRPr="008C51C1">
        <w:t>Act in the accounting period.</w:t>
      </w:r>
    </w:p>
    <w:p w14:paraId="3E497A95" w14:textId="77777777" w:rsidR="00F029F3" w:rsidRPr="008C51C1" w:rsidRDefault="00350DC7" w:rsidP="008C51C1">
      <w:pPr>
        <w:pStyle w:val="EMbullet"/>
      </w:pPr>
      <w:r w:rsidRPr="008C51C1">
        <w:t xml:space="preserve">If the licence includes the condition mentioned in paragraph (c) the Commission must also include a condition </w:t>
      </w:r>
      <w:r w:rsidR="00237109" w:rsidRPr="008C51C1">
        <w:t xml:space="preserve">stating </w:t>
      </w:r>
      <w:r w:rsidRPr="008C51C1">
        <w:t xml:space="preserve">that: </w:t>
      </w:r>
    </w:p>
    <w:p w14:paraId="23F06C1E" w14:textId="3D396FBE" w:rsidR="00350DC7" w:rsidRPr="008C51C1" w:rsidRDefault="00350DC7" w:rsidP="008C51C1">
      <w:pPr>
        <w:pStyle w:val="EMsubdotpoint"/>
        <w:numPr>
          <w:ilvl w:val="0"/>
          <w:numId w:val="22"/>
        </w:numPr>
      </w:pPr>
      <w:r w:rsidRPr="008C51C1">
        <w:t>the provision mentioned in that paragraph must be consistent with a written evaluation, by an actuary, of the licensee</w:t>
      </w:r>
      <w:r w:rsidR="004303FD">
        <w:t>’</w:t>
      </w:r>
      <w:r w:rsidRPr="008C51C1">
        <w:t>s accrued and contingent liability for the accounting period; and</w:t>
      </w:r>
    </w:p>
    <w:p w14:paraId="5970780A" w14:textId="77777777" w:rsidR="00350DC7" w:rsidRPr="00F52200" w:rsidRDefault="00350DC7" w:rsidP="008C51C1">
      <w:pPr>
        <w:pStyle w:val="EMsubdotpoint"/>
        <w:numPr>
          <w:ilvl w:val="0"/>
          <w:numId w:val="22"/>
        </w:numPr>
      </w:pPr>
      <w:r w:rsidRPr="008C51C1">
        <w:t>the evaluation mentioned in paragraph (a) must be lodged with the Commission.</w:t>
      </w:r>
      <w:r w:rsidRPr="00F52200">
        <w:rPr>
          <w:b/>
          <w:bCs/>
        </w:rPr>
        <w:t xml:space="preserve"> </w:t>
      </w:r>
    </w:p>
    <w:p w14:paraId="4AB9F9DD" w14:textId="77777777" w:rsidR="008C51C1" w:rsidRPr="00E57547" w:rsidRDefault="008C51C1" w:rsidP="008C51C1">
      <w:pPr>
        <w:pStyle w:val="EMPartHeading"/>
        <w:rPr>
          <w:rStyle w:val="CharPartNo"/>
        </w:rPr>
      </w:pPr>
      <w:bookmarkStart w:id="1" w:name="_Toc2596759"/>
      <w:r w:rsidRPr="00B00DE1">
        <w:rPr>
          <w:rStyle w:val="CharPartNo"/>
        </w:rPr>
        <w:t>Division 3.3—General</w:t>
      </w:r>
      <w:bookmarkEnd w:id="1"/>
    </w:p>
    <w:p w14:paraId="5BB37225" w14:textId="77777777" w:rsidR="008C51C1" w:rsidRDefault="008C51C1" w:rsidP="008C51C1">
      <w:pPr>
        <w:pStyle w:val="EMbullet"/>
      </w:pPr>
      <w:r>
        <w:t xml:space="preserve">Division 3.3 applies to licences granted to both licensed corporations and licensed authorities. </w:t>
      </w:r>
    </w:p>
    <w:p w14:paraId="0E2ECDA3" w14:textId="77777777" w:rsidR="00350DC7" w:rsidRPr="008C51C1" w:rsidRDefault="00B0279D" w:rsidP="008C51C1">
      <w:pPr>
        <w:pStyle w:val="EMSectionheading"/>
        <w:keepNext/>
      </w:pPr>
      <w:r w:rsidRPr="008C51C1">
        <w:t xml:space="preserve">Section 14 – Claims management </w:t>
      </w:r>
    </w:p>
    <w:p w14:paraId="349391AD" w14:textId="65E37B65" w:rsidR="00B900A8" w:rsidRPr="008C51C1" w:rsidRDefault="00B0279D" w:rsidP="008C51C1">
      <w:pPr>
        <w:pStyle w:val="EMbullet"/>
      </w:pPr>
      <w:r w:rsidRPr="00F52200">
        <w:t>Section 14 provides that the Commission may only grant a licence that authorises a licensee, or a specified person acting on the licensee</w:t>
      </w:r>
      <w:r w:rsidR="004303FD">
        <w:t>’</w:t>
      </w:r>
      <w:r w:rsidRPr="00F52200">
        <w:t xml:space="preserve">s behalf, to manage some or all of the claims made by employees of the licensee under the </w:t>
      </w:r>
      <w:r w:rsidR="002C7042" w:rsidRPr="00F52200">
        <w:t xml:space="preserve">SRC </w:t>
      </w:r>
      <w:r w:rsidRPr="00F52200">
        <w:t>Act if the licence conta</w:t>
      </w:r>
      <w:r w:rsidRPr="00213A5E">
        <w:t xml:space="preserve">ins </w:t>
      </w:r>
      <w:r w:rsidR="00633ABA" w:rsidRPr="00213A5E">
        <w:t xml:space="preserve">the condition that </w:t>
      </w:r>
      <w:r w:rsidR="00B900A8" w:rsidRPr="00213A5E">
        <w:t xml:space="preserve">the </w:t>
      </w:r>
      <w:r w:rsidRPr="008C51C1">
        <w:t>licensee or specified person, in managing claims:</w:t>
      </w:r>
    </w:p>
    <w:p w14:paraId="1C485AD0" w14:textId="77777777" w:rsidR="00B0279D" w:rsidRPr="008C51C1" w:rsidRDefault="00B0279D" w:rsidP="008C51C1">
      <w:pPr>
        <w:pStyle w:val="EMsubdotpoint"/>
        <w:numPr>
          <w:ilvl w:val="0"/>
          <w:numId w:val="23"/>
        </w:numPr>
      </w:pPr>
      <w:r w:rsidRPr="008C51C1">
        <w:t>must be guided by equity, good conscience and the substantial merits of the case, without regard to technicalities; and</w:t>
      </w:r>
    </w:p>
    <w:p w14:paraId="1ED0A38C" w14:textId="77777777" w:rsidR="00B0279D" w:rsidRPr="008C51C1" w:rsidRDefault="00B0279D" w:rsidP="008C51C1">
      <w:pPr>
        <w:pStyle w:val="EMsubdotpoint"/>
        <w:numPr>
          <w:ilvl w:val="0"/>
          <w:numId w:val="23"/>
        </w:numPr>
      </w:pPr>
      <w:r w:rsidRPr="008C51C1">
        <w:t>is not required to conduct a hearing; and</w:t>
      </w:r>
    </w:p>
    <w:p w14:paraId="451EFE5C" w14:textId="77777777" w:rsidR="00B0279D" w:rsidRDefault="00B0279D" w:rsidP="008C51C1">
      <w:pPr>
        <w:pStyle w:val="EMsubdotpoint"/>
        <w:numPr>
          <w:ilvl w:val="0"/>
          <w:numId w:val="23"/>
        </w:numPr>
      </w:pPr>
      <w:r w:rsidRPr="008C51C1">
        <w:t>is not bound by the rules of evidence.</w:t>
      </w:r>
    </w:p>
    <w:p w14:paraId="5110FAB8" w14:textId="77777777" w:rsidR="008C51C1" w:rsidRPr="008C51C1" w:rsidRDefault="008C51C1" w:rsidP="008C51C1">
      <w:pPr>
        <w:pStyle w:val="EMPartHeading"/>
        <w:rPr>
          <w:szCs w:val="24"/>
        </w:rPr>
      </w:pPr>
      <w:r w:rsidRPr="008C51C1">
        <w:t>Part 4—Criteria and procedures—suspension and revocation of licences</w:t>
      </w:r>
    </w:p>
    <w:p w14:paraId="136F42E2" w14:textId="77777777" w:rsidR="00B900A8" w:rsidRPr="008C51C1" w:rsidRDefault="009F5351" w:rsidP="008C51C1">
      <w:pPr>
        <w:pStyle w:val="EMSectionheading"/>
      </w:pPr>
      <w:r w:rsidRPr="008C51C1">
        <w:t>Section 15</w:t>
      </w:r>
      <w:r w:rsidR="00093809" w:rsidRPr="008C51C1">
        <w:t xml:space="preserve"> –</w:t>
      </w:r>
      <w:r w:rsidRPr="008C51C1">
        <w:t xml:space="preserve"> Revocation or suspension of licence at the instance of the Commission</w:t>
      </w:r>
    </w:p>
    <w:p w14:paraId="2E658A01" w14:textId="289F5EA3" w:rsidR="00E24686" w:rsidRPr="008C51C1" w:rsidRDefault="009F5351" w:rsidP="008C51C1">
      <w:pPr>
        <w:pStyle w:val="EMbullet"/>
      </w:pPr>
      <w:r w:rsidRPr="00F52200">
        <w:t>S</w:t>
      </w:r>
      <w:r w:rsidR="00EF47EF" w:rsidRPr="00F52200">
        <w:t>ubs</w:t>
      </w:r>
      <w:r w:rsidRPr="00F52200">
        <w:t>ection 15</w:t>
      </w:r>
      <w:r w:rsidR="00EF47EF" w:rsidRPr="00F52200">
        <w:t>(1)</w:t>
      </w:r>
      <w:r w:rsidRPr="00213A5E">
        <w:t xml:space="preserve"> provides that the Commission may</w:t>
      </w:r>
      <w:r w:rsidR="00E24686" w:rsidRPr="00213A5E">
        <w:t>, under section 106 of the SRC</w:t>
      </w:r>
      <w:r w:rsidR="00754F63">
        <w:t> </w:t>
      </w:r>
      <w:r w:rsidR="00E24686" w:rsidRPr="00213A5E">
        <w:t>Act,</w:t>
      </w:r>
      <w:r w:rsidRPr="008C51C1">
        <w:t xml:space="preserve"> suspend or revoke a licence held by a Commonwealth authority</w:t>
      </w:r>
      <w:r w:rsidR="00E24686" w:rsidRPr="008C51C1">
        <w:t>.</w:t>
      </w:r>
    </w:p>
    <w:p w14:paraId="086C2128" w14:textId="04FE57B4" w:rsidR="009F5351" w:rsidRPr="00213A5E" w:rsidRDefault="00E24686" w:rsidP="008C51C1">
      <w:pPr>
        <w:pStyle w:val="EMbullet"/>
      </w:pPr>
      <w:r w:rsidRPr="00F52200">
        <w:t xml:space="preserve">Subsection 15(2) provides that the Commission </w:t>
      </w:r>
      <w:r w:rsidR="005E6B7D" w:rsidRPr="00F52200">
        <w:t>may, under section 106 of the SRC</w:t>
      </w:r>
      <w:r w:rsidR="00754F63">
        <w:t> </w:t>
      </w:r>
      <w:r w:rsidR="005E6B7D" w:rsidRPr="00F52200">
        <w:t xml:space="preserve">Act, </w:t>
      </w:r>
      <w:r w:rsidR="009F5351" w:rsidRPr="00213A5E">
        <w:t>revoke, but not suspend, a licence held by a licensed corporation.</w:t>
      </w:r>
    </w:p>
    <w:p w14:paraId="3740B860" w14:textId="77777777" w:rsidR="009F5351" w:rsidRPr="008C51C1" w:rsidRDefault="009F5351" w:rsidP="008C51C1">
      <w:pPr>
        <w:pStyle w:val="EMbullet"/>
      </w:pPr>
      <w:r w:rsidRPr="008C51C1">
        <w:t>Subsection 15(</w:t>
      </w:r>
      <w:r w:rsidR="00E24686" w:rsidRPr="008C51C1">
        <w:t>3</w:t>
      </w:r>
      <w:r w:rsidRPr="008C51C1">
        <w:t xml:space="preserve">) provides that, if the Commission suspends or revokes a licence under section 106 of the </w:t>
      </w:r>
      <w:r w:rsidR="00E24686" w:rsidRPr="008C51C1">
        <w:t xml:space="preserve">SRC </w:t>
      </w:r>
      <w:r w:rsidRPr="008C51C1">
        <w:t xml:space="preserve">Act, </w:t>
      </w:r>
      <w:r w:rsidR="00A46B48" w:rsidRPr="008C51C1">
        <w:t>it</w:t>
      </w:r>
      <w:r w:rsidRPr="008C51C1">
        <w:t xml:space="preserve"> must give the licensee written notice:</w:t>
      </w:r>
    </w:p>
    <w:p w14:paraId="48EE013C" w14:textId="2C77489E" w:rsidR="009F5351" w:rsidRPr="008C51C1" w:rsidRDefault="009F5351" w:rsidP="008C51C1">
      <w:pPr>
        <w:pStyle w:val="EMsubdotpoint"/>
        <w:numPr>
          <w:ilvl w:val="0"/>
          <w:numId w:val="24"/>
        </w:numPr>
      </w:pPr>
      <w:r w:rsidRPr="008C51C1">
        <w:t>stating that the Commission has suspended or revoked the licence under section</w:t>
      </w:r>
      <w:r w:rsidR="00754F63">
        <w:t> </w:t>
      </w:r>
      <w:r w:rsidRPr="008C51C1">
        <w:t xml:space="preserve">106 of the </w:t>
      </w:r>
      <w:r w:rsidR="004303FD">
        <w:t>SRC </w:t>
      </w:r>
      <w:r w:rsidRPr="008C51C1">
        <w:t>Act; and</w:t>
      </w:r>
    </w:p>
    <w:p w14:paraId="6DB223C6" w14:textId="77777777" w:rsidR="009F5351" w:rsidRPr="00F52200" w:rsidRDefault="009F5351" w:rsidP="008C51C1">
      <w:pPr>
        <w:pStyle w:val="EMsubdotpoint"/>
        <w:numPr>
          <w:ilvl w:val="0"/>
          <w:numId w:val="24"/>
        </w:numPr>
        <w:rPr>
          <w:lang w:val="en-US"/>
        </w:rPr>
      </w:pPr>
      <w:r w:rsidRPr="008C51C1">
        <w:t>stating the date of effect of the suspension or revocation; and</w:t>
      </w:r>
    </w:p>
    <w:p w14:paraId="66135FFC" w14:textId="77777777" w:rsidR="009F5351" w:rsidRPr="00F52200" w:rsidRDefault="009F5351" w:rsidP="008C51C1">
      <w:pPr>
        <w:pStyle w:val="EMsubdotpoint"/>
        <w:numPr>
          <w:ilvl w:val="0"/>
          <w:numId w:val="24"/>
        </w:numPr>
        <w:rPr>
          <w:lang w:val="en-US"/>
        </w:rPr>
      </w:pPr>
      <w:r w:rsidRPr="00F52200">
        <w:t>for notice</w:t>
      </w:r>
      <w:r w:rsidR="00E24686" w:rsidRPr="00F52200">
        <w:t>s relating to a suspension—stating</w:t>
      </w:r>
      <w:r w:rsidRPr="00F52200">
        <w:t xml:space="preserve"> the period for which the licence is suspended; and</w:t>
      </w:r>
    </w:p>
    <w:p w14:paraId="10562689" w14:textId="77777777" w:rsidR="009F5351" w:rsidRPr="00F52200" w:rsidRDefault="009F5351" w:rsidP="008C51C1">
      <w:pPr>
        <w:pStyle w:val="EMsubdotpoint"/>
        <w:numPr>
          <w:ilvl w:val="0"/>
          <w:numId w:val="24"/>
        </w:numPr>
        <w:rPr>
          <w:lang w:val="en-US"/>
        </w:rPr>
      </w:pPr>
      <w:r w:rsidRPr="00F52200">
        <w:t>setting out the reasons for the suspension or revocation.</w:t>
      </w:r>
    </w:p>
    <w:p w14:paraId="5410FD08" w14:textId="77777777" w:rsidR="009F5351" w:rsidRPr="008C51C1" w:rsidRDefault="00A46B48" w:rsidP="008C51C1">
      <w:pPr>
        <w:pStyle w:val="EMbullet"/>
      </w:pPr>
      <w:r w:rsidRPr="00F52200">
        <w:t>Subsection 15(</w:t>
      </w:r>
      <w:r w:rsidR="003A4F6C" w:rsidRPr="00F52200">
        <w:t>4</w:t>
      </w:r>
      <w:r w:rsidRPr="00F52200">
        <w:t>) provides that, i</w:t>
      </w:r>
      <w:r w:rsidR="009F5351" w:rsidRPr="00F52200">
        <w:t xml:space="preserve">f the Commission revokes or suspends a licence under section 106 of the </w:t>
      </w:r>
      <w:r w:rsidR="003A4F6C" w:rsidRPr="00213A5E">
        <w:t xml:space="preserve">SRC </w:t>
      </w:r>
      <w:r w:rsidR="009F5351" w:rsidRPr="00213A5E">
        <w:t xml:space="preserve">Act, </w:t>
      </w:r>
      <w:r w:rsidRPr="00213A5E">
        <w:t>it</w:t>
      </w:r>
      <w:r w:rsidR="009F5351" w:rsidRPr="008C51C1">
        <w:t xml:space="preserve"> must publish a notice in the </w:t>
      </w:r>
      <w:r w:rsidR="009F5351" w:rsidRPr="008C51C1">
        <w:rPr>
          <w:i/>
        </w:rPr>
        <w:t>Gazette</w:t>
      </w:r>
      <w:r w:rsidR="003A4F6C" w:rsidRPr="008C51C1">
        <w:t>, or by notifiable instrument</w:t>
      </w:r>
      <w:r w:rsidR="009F5351" w:rsidRPr="008C51C1">
        <w:t>:</w:t>
      </w:r>
    </w:p>
    <w:p w14:paraId="2AC7FCA4" w14:textId="53B77DDF" w:rsidR="009F5351" w:rsidRPr="00F52200" w:rsidRDefault="009F5351" w:rsidP="008C51C1">
      <w:pPr>
        <w:pStyle w:val="EMsubdotpoint"/>
        <w:numPr>
          <w:ilvl w:val="0"/>
          <w:numId w:val="27"/>
        </w:numPr>
      </w:pPr>
      <w:r w:rsidRPr="00F52200">
        <w:t xml:space="preserve">stating that the licence has been suspended or revoked under section 106 of the </w:t>
      </w:r>
      <w:r w:rsidR="004303FD">
        <w:t>SRC </w:t>
      </w:r>
      <w:r w:rsidRPr="00F52200">
        <w:t>Act; and</w:t>
      </w:r>
    </w:p>
    <w:p w14:paraId="5533E629" w14:textId="77777777" w:rsidR="009F5351" w:rsidRPr="00213A5E" w:rsidRDefault="009F5351" w:rsidP="008C51C1">
      <w:pPr>
        <w:pStyle w:val="EMsubdotpoint"/>
      </w:pPr>
      <w:r w:rsidRPr="00F52200">
        <w:t>stating the date of effect of the suspension or revocation; and</w:t>
      </w:r>
    </w:p>
    <w:p w14:paraId="431190C8" w14:textId="77777777" w:rsidR="009F5351" w:rsidRPr="008C51C1" w:rsidRDefault="009F5351" w:rsidP="008C51C1">
      <w:pPr>
        <w:pStyle w:val="EMsubdotpoint"/>
      </w:pPr>
      <w:r w:rsidRPr="008C51C1">
        <w:t>for a notic</w:t>
      </w:r>
      <w:r w:rsidR="003A4F6C" w:rsidRPr="008C51C1">
        <w:t>e relating to a suspension—stating</w:t>
      </w:r>
      <w:r w:rsidRPr="008C51C1">
        <w:t xml:space="preserve"> the period of suspension.</w:t>
      </w:r>
    </w:p>
    <w:p w14:paraId="13EC12FD" w14:textId="77777777" w:rsidR="00A46B48" w:rsidRPr="008C51C1" w:rsidRDefault="00A46B48" w:rsidP="008C51C1">
      <w:pPr>
        <w:pStyle w:val="EMSectionheading"/>
      </w:pPr>
      <w:r w:rsidRPr="008C51C1">
        <w:t>Section 16 – Suspected breach of condition</w:t>
      </w:r>
    </w:p>
    <w:p w14:paraId="62A12E94" w14:textId="77777777" w:rsidR="00A46B48" w:rsidRPr="00213A5E" w:rsidRDefault="00A46B48" w:rsidP="008C51C1">
      <w:pPr>
        <w:pStyle w:val="EMbullet"/>
      </w:pPr>
      <w:r w:rsidRPr="00F52200">
        <w:t xml:space="preserve">Section 16 provides that, for the purposes of subsection 106(2) of the SRC Act, if the Commission believes, on reasonable grounds, that a licensee may have breached a </w:t>
      </w:r>
      <w:r w:rsidRPr="00213A5E">
        <w:t>condition to which the grant of the licence is subject, the Commission may give a written notice to the licensee:</w:t>
      </w:r>
    </w:p>
    <w:p w14:paraId="5C84C638" w14:textId="77777777" w:rsidR="00A46B48" w:rsidRPr="00F52200" w:rsidRDefault="00A46B48" w:rsidP="008C51C1">
      <w:pPr>
        <w:pStyle w:val="EMsubdotpoint"/>
        <w:numPr>
          <w:ilvl w:val="0"/>
          <w:numId w:val="26"/>
        </w:numPr>
      </w:pPr>
      <w:r w:rsidRPr="00F52200">
        <w:t>stating that the Commission believes that the licensee may have breached a condition of its licence; and</w:t>
      </w:r>
    </w:p>
    <w:p w14:paraId="6CB5461B" w14:textId="77777777" w:rsidR="00A46B48" w:rsidRPr="00213A5E" w:rsidRDefault="00A46B48" w:rsidP="008C51C1">
      <w:pPr>
        <w:pStyle w:val="EMsubdotpoint"/>
      </w:pPr>
      <w:r w:rsidRPr="00F52200">
        <w:t>giving details of the matters that the Commission considers may constitute the breach; and</w:t>
      </w:r>
    </w:p>
    <w:p w14:paraId="014F6C01" w14:textId="77777777" w:rsidR="00A46B48" w:rsidRPr="00F52200" w:rsidRDefault="00A46B48" w:rsidP="008C51C1">
      <w:pPr>
        <w:pStyle w:val="EMsubdotpoint"/>
      </w:pPr>
      <w:r w:rsidRPr="008C51C1">
        <w:t>stating that if the Commission is satisfied that a breach has occurred, the Commission</w:t>
      </w:r>
      <w:r w:rsidRPr="00F52200">
        <w:t xml:space="preserve"> may:</w:t>
      </w:r>
    </w:p>
    <w:p w14:paraId="5EEF0EF2" w14:textId="77777777" w:rsidR="00A46B48" w:rsidRPr="00754F63" w:rsidRDefault="00A46B48" w:rsidP="00754F63">
      <w:pPr>
        <w:pStyle w:val="EMsubdotpoint"/>
        <w:numPr>
          <w:ilvl w:val="1"/>
          <w:numId w:val="2"/>
        </w:numPr>
      </w:pPr>
      <w:r w:rsidRPr="00754F63">
        <w:t>if the licensee is a Commonwealth authority—suspend or revoke the licence; or</w:t>
      </w:r>
    </w:p>
    <w:p w14:paraId="141D36AE" w14:textId="77777777" w:rsidR="00204F03" w:rsidRPr="00754F63" w:rsidRDefault="00A46B48" w:rsidP="00754F63">
      <w:pPr>
        <w:pStyle w:val="EMsubdotpoint"/>
        <w:numPr>
          <w:ilvl w:val="1"/>
          <w:numId w:val="2"/>
        </w:numPr>
      </w:pPr>
      <w:r w:rsidRPr="00754F63">
        <w:t>if the licensee is a licensed corporation—revoke the licence; and</w:t>
      </w:r>
    </w:p>
    <w:p w14:paraId="3FC76B35" w14:textId="77777777" w:rsidR="00A46B48" w:rsidRPr="00F52200" w:rsidRDefault="00A46B48" w:rsidP="008C51C1">
      <w:pPr>
        <w:pStyle w:val="EMsubdotpoint"/>
      </w:pPr>
      <w:r w:rsidRPr="00F52200">
        <w:t>inviting the licensee to make written submissions in relation to the matter to the Commission, within 30 days after receiving the notice.</w:t>
      </w:r>
    </w:p>
    <w:p w14:paraId="60689A5B" w14:textId="77777777" w:rsidR="00A46B48" w:rsidRPr="00F52200" w:rsidRDefault="008C51C1" w:rsidP="008C51C1">
      <w:pPr>
        <w:pStyle w:val="EMbullet"/>
      </w:pPr>
      <w:r>
        <w:t>Subsection 16(3) makes clear</w:t>
      </w:r>
      <w:r w:rsidR="00A46B48" w:rsidRPr="00F52200">
        <w:t xml:space="preserve"> that, if the licensee </w:t>
      </w:r>
      <w:r w:rsidR="00A46B48" w:rsidRPr="008C51C1">
        <w:t>makes a submission within the period mentioned in paragraph (d), the Commission must consider the submission.</w:t>
      </w:r>
    </w:p>
    <w:p w14:paraId="27F6878D" w14:textId="7729A006" w:rsidR="00A46B48" w:rsidRPr="008C51C1" w:rsidRDefault="00A46B48" w:rsidP="008C51C1">
      <w:pPr>
        <w:pStyle w:val="EMSectionheading"/>
      </w:pPr>
      <w:r w:rsidRPr="008C51C1">
        <w:t>Section 17 – Revocation of licence at the request of licen</w:t>
      </w:r>
      <w:r w:rsidR="004303FD">
        <w:t>se</w:t>
      </w:r>
      <w:r w:rsidRPr="008C51C1">
        <w:t>e</w:t>
      </w:r>
    </w:p>
    <w:p w14:paraId="37BAF4AE" w14:textId="12ED0317" w:rsidR="00A46B48" w:rsidRPr="008C51C1" w:rsidRDefault="00A46B48" w:rsidP="008C51C1">
      <w:pPr>
        <w:pStyle w:val="EMbullet"/>
      </w:pPr>
      <w:r w:rsidRPr="00F52200">
        <w:t>S</w:t>
      </w:r>
      <w:r w:rsidR="004346D8" w:rsidRPr="00F52200">
        <w:t>ubs</w:t>
      </w:r>
      <w:r w:rsidRPr="00F52200">
        <w:t>ection 17</w:t>
      </w:r>
      <w:r w:rsidR="004346D8" w:rsidRPr="00F52200">
        <w:t>(1)</w:t>
      </w:r>
      <w:r w:rsidRPr="00213A5E">
        <w:t xml:space="preserve"> provides that, if the Commission revoke</w:t>
      </w:r>
      <w:r w:rsidR="00204F03" w:rsidRPr="00213A5E">
        <w:t>s</w:t>
      </w:r>
      <w:r w:rsidRPr="00213A5E">
        <w:t xml:space="preserve"> a licence under section</w:t>
      </w:r>
      <w:r w:rsidR="00754F63">
        <w:t> </w:t>
      </w:r>
      <w:r w:rsidRPr="00213A5E">
        <w:t xml:space="preserve">107 of the </w:t>
      </w:r>
      <w:r w:rsidR="004346D8" w:rsidRPr="008C51C1">
        <w:t xml:space="preserve">SRC </w:t>
      </w:r>
      <w:r w:rsidRPr="008C51C1">
        <w:t xml:space="preserve">Act, </w:t>
      </w:r>
      <w:r w:rsidR="004E05F3" w:rsidRPr="008C51C1">
        <w:t>it</w:t>
      </w:r>
      <w:r w:rsidRPr="008C51C1">
        <w:t xml:space="preserve"> must give the licensee a notice in writing, stating:</w:t>
      </w:r>
    </w:p>
    <w:p w14:paraId="1A49837E" w14:textId="2FCC9BCE" w:rsidR="00A46B48" w:rsidRPr="00F52200" w:rsidRDefault="00A46B48" w:rsidP="008C51C1">
      <w:pPr>
        <w:pStyle w:val="EMsubdotpoint"/>
      </w:pPr>
      <w:r w:rsidRPr="00F52200">
        <w:t xml:space="preserve">that the Commission has revoked the licence under section 107 of the </w:t>
      </w:r>
      <w:r w:rsidR="004303FD">
        <w:t>SRC </w:t>
      </w:r>
      <w:r w:rsidRPr="00F52200">
        <w:t>Act; and</w:t>
      </w:r>
    </w:p>
    <w:p w14:paraId="114628CE" w14:textId="77777777" w:rsidR="00A46B48" w:rsidRPr="00213A5E" w:rsidRDefault="00A46B48" w:rsidP="008C51C1">
      <w:pPr>
        <w:pStyle w:val="EMsubdotpoint"/>
      </w:pPr>
      <w:r w:rsidRPr="00213A5E">
        <w:t>the date of effect of the revocation.</w:t>
      </w:r>
    </w:p>
    <w:p w14:paraId="4B982ADF" w14:textId="77777777" w:rsidR="004346D8" w:rsidRDefault="004346D8" w:rsidP="008C51C1">
      <w:pPr>
        <w:pStyle w:val="EMbullet"/>
      </w:pPr>
      <w:r w:rsidRPr="00F52200">
        <w:t xml:space="preserve">Subsection 17(2) provides that the Commission must publish the notice in the </w:t>
      </w:r>
      <w:r w:rsidRPr="00F52200">
        <w:rPr>
          <w:i/>
        </w:rPr>
        <w:t>Gazette</w:t>
      </w:r>
      <w:r w:rsidRPr="00F52200">
        <w:t xml:space="preserve"> or by notifiable instrument.</w:t>
      </w:r>
    </w:p>
    <w:p w14:paraId="27B18428" w14:textId="77777777" w:rsidR="008C51C1" w:rsidRDefault="008C51C1" w:rsidP="008C51C1">
      <w:pPr>
        <w:pStyle w:val="EMPartHeading"/>
      </w:pPr>
      <w:r>
        <w:t>Part 5</w:t>
      </w:r>
      <w:r w:rsidRPr="008C51C1">
        <w:t>—</w:t>
      </w:r>
      <w:r>
        <w:t>Notices</w:t>
      </w:r>
    </w:p>
    <w:p w14:paraId="6027AF85" w14:textId="543D99A2" w:rsidR="008C51C1" w:rsidRDefault="008C51C1" w:rsidP="008C51C1">
      <w:pPr>
        <w:pStyle w:val="EMbullet"/>
      </w:pPr>
      <w:r>
        <w:t>Part 5 sets out the Commission</w:t>
      </w:r>
      <w:r w:rsidR="004303FD">
        <w:t>’</w:t>
      </w:r>
      <w:r>
        <w:t>s notice an</w:t>
      </w:r>
      <w:r w:rsidR="00C7410E">
        <w:t>d publication requirements that</w:t>
      </w:r>
      <w:r>
        <w:t xml:space="preserve"> are not covered elsewhere in the Directions.</w:t>
      </w:r>
    </w:p>
    <w:p w14:paraId="6D857BF9" w14:textId="66F64E56" w:rsidR="008C51C1" w:rsidRDefault="008C51C1" w:rsidP="008C51C1">
      <w:pPr>
        <w:pStyle w:val="EMbullet"/>
      </w:pPr>
      <w:r>
        <w:t>Th</w:t>
      </w:r>
      <w:r w:rsidR="00F54813">
        <w:t>e Commission also has notice or</w:t>
      </w:r>
      <w:r>
        <w:t xml:space="preserve"> publication requirements under sections 8, 15, 16 and 17 of the Directions.</w:t>
      </w:r>
    </w:p>
    <w:p w14:paraId="34F1E68F" w14:textId="6DCB1AAB" w:rsidR="00A46B48" w:rsidRPr="008C51C1" w:rsidRDefault="004E05F3" w:rsidP="008C51C1">
      <w:pPr>
        <w:pStyle w:val="EMSectionheading"/>
      </w:pPr>
      <w:r w:rsidRPr="008C51C1">
        <w:t xml:space="preserve">Section 18 </w:t>
      </w:r>
      <w:r w:rsidR="00F54813" w:rsidRPr="008C51C1">
        <w:t>–</w:t>
      </w:r>
      <w:r w:rsidRPr="008C51C1">
        <w:t xml:space="preserve"> Variation of scope of licence or extension of term of licence</w:t>
      </w:r>
    </w:p>
    <w:p w14:paraId="3F26D364" w14:textId="19B98C7C" w:rsidR="004E05F3" w:rsidRPr="008C51C1" w:rsidRDefault="00093809" w:rsidP="008C51C1">
      <w:pPr>
        <w:pStyle w:val="EMbullet"/>
      </w:pPr>
      <w:r>
        <w:t>S</w:t>
      </w:r>
      <w:r w:rsidR="00754F63">
        <w:t>ubs</w:t>
      </w:r>
      <w:r>
        <w:t xml:space="preserve">ection </w:t>
      </w:r>
      <w:r w:rsidR="004E05F3" w:rsidRPr="00F52200">
        <w:t>18</w:t>
      </w:r>
      <w:r w:rsidR="00754F63">
        <w:t>(1)</w:t>
      </w:r>
      <w:r w:rsidR="004E05F3" w:rsidRPr="00213A5E">
        <w:t xml:space="preserve"> provides that if</w:t>
      </w:r>
      <w:r w:rsidR="005B648C">
        <w:t xml:space="preserve"> </w:t>
      </w:r>
      <w:r w:rsidR="004E05F3" w:rsidRPr="00213A5E">
        <w:t xml:space="preserve">the Commission varies the scope of a licence or extends the term of a licence, it must publish a notice in the </w:t>
      </w:r>
      <w:r w:rsidR="004E05F3" w:rsidRPr="008C51C1">
        <w:rPr>
          <w:i/>
        </w:rPr>
        <w:t>Gazette</w:t>
      </w:r>
      <w:r w:rsidR="005B648C" w:rsidRPr="005B648C">
        <w:t>,</w:t>
      </w:r>
      <w:r w:rsidR="004E05F3" w:rsidRPr="008C51C1">
        <w:rPr>
          <w:i/>
        </w:rPr>
        <w:t xml:space="preserve"> </w:t>
      </w:r>
      <w:r w:rsidR="004E05F3" w:rsidRPr="008C51C1">
        <w:t>or by notifiable instrument</w:t>
      </w:r>
      <w:r w:rsidR="005B648C">
        <w:t>,</w:t>
      </w:r>
      <w:r w:rsidR="004E05F3" w:rsidRPr="008C51C1">
        <w:t xml:space="preserve"> setting out the variation made to the scope of the licence or the extension of the term of the licence.</w:t>
      </w:r>
    </w:p>
    <w:p w14:paraId="6809492B" w14:textId="41242D38" w:rsidR="00F54813" w:rsidRDefault="00093809" w:rsidP="005B648C">
      <w:pPr>
        <w:pStyle w:val="EMbullet"/>
      </w:pPr>
      <w:r>
        <w:t>The Commission may vary the scope of a licence, or extend the term of a licence, under subsection 105(1) of the SRC Act.</w:t>
      </w:r>
    </w:p>
    <w:p w14:paraId="1C38959B" w14:textId="03771E0C" w:rsidR="005B648C" w:rsidRDefault="005B648C" w:rsidP="005B648C">
      <w:pPr>
        <w:pStyle w:val="EMbullet"/>
      </w:pPr>
      <w:r>
        <w:t xml:space="preserve">Subsection </w:t>
      </w:r>
      <w:r w:rsidRPr="00F52200">
        <w:t>18</w:t>
      </w:r>
      <w:r>
        <w:t>(2)</w:t>
      </w:r>
      <w:r w:rsidRPr="00213A5E">
        <w:t xml:space="preserve"> provides that if</w:t>
      </w:r>
      <w:r>
        <w:t xml:space="preserve"> </w:t>
      </w:r>
      <w:r w:rsidRPr="00213A5E">
        <w:t xml:space="preserve">the Commission varies the scope of a </w:t>
      </w:r>
      <w:r>
        <w:t xml:space="preserve">preserved </w:t>
      </w:r>
      <w:r w:rsidRPr="00213A5E">
        <w:t xml:space="preserve">licence, it must publish a notice in the </w:t>
      </w:r>
      <w:r w:rsidRPr="008C51C1">
        <w:rPr>
          <w:i/>
        </w:rPr>
        <w:t>Gazette</w:t>
      </w:r>
      <w:r w:rsidRPr="005B648C">
        <w:t xml:space="preserve">, </w:t>
      </w:r>
      <w:r w:rsidRPr="008C51C1">
        <w:t>or by notifiable instrument</w:t>
      </w:r>
      <w:r>
        <w:t>,</w:t>
      </w:r>
      <w:r w:rsidRPr="008C51C1">
        <w:t xml:space="preserve"> setting out the variation made to the scope of the </w:t>
      </w:r>
      <w:r>
        <w:t xml:space="preserve">preserved </w:t>
      </w:r>
      <w:r w:rsidRPr="008C51C1">
        <w:t>licence.</w:t>
      </w:r>
    </w:p>
    <w:p w14:paraId="0BC85D72" w14:textId="26A55DE7" w:rsidR="00780F70" w:rsidRPr="008C51C1" w:rsidRDefault="00780F70" w:rsidP="00D11BE2">
      <w:pPr>
        <w:pStyle w:val="EMbullet"/>
      </w:pPr>
      <w:r>
        <w:t>The Commission may vary the scope of a preserved licence under sections 22 or 28 of the 2019 Regulations.</w:t>
      </w:r>
    </w:p>
    <w:p w14:paraId="42114DF9" w14:textId="7225B90F" w:rsidR="004E05F3" w:rsidRPr="008C51C1" w:rsidRDefault="004E05F3" w:rsidP="008C51C1">
      <w:pPr>
        <w:pStyle w:val="EMSectionheading"/>
      </w:pPr>
      <w:r w:rsidRPr="008C51C1">
        <w:t>Section 19 – Variation of conditions</w:t>
      </w:r>
    </w:p>
    <w:p w14:paraId="2CE9320F" w14:textId="79895753" w:rsidR="004E05F3" w:rsidRDefault="008C51C1" w:rsidP="008C51C1">
      <w:pPr>
        <w:pStyle w:val="EMbullet"/>
      </w:pPr>
      <w:r>
        <w:rPr>
          <w:rFonts w:eastAsiaTheme="minorHAnsi"/>
          <w:lang w:eastAsia="en-US"/>
        </w:rPr>
        <w:t>S</w:t>
      </w:r>
      <w:r w:rsidR="004E05F3" w:rsidRPr="00F52200">
        <w:rPr>
          <w:rFonts w:eastAsiaTheme="minorHAnsi"/>
          <w:lang w:eastAsia="en-US"/>
        </w:rPr>
        <w:t>ection 19</w:t>
      </w:r>
      <w:r w:rsidR="004E05F3" w:rsidRPr="00213A5E">
        <w:rPr>
          <w:rFonts w:eastAsiaTheme="minorHAnsi"/>
          <w:lang w:eastAsia="en-US"/>
        </w:rPr>
        <w:t xml:space="preserve"> provides that, if </w:t>
      </w:r>
      <w:r w:rsidR="004E05F3" w:rsidRPr="00213A5E">
        <w:t xml:space="preserve">under subsection 108D(2) of the SRC Act, the Commission varies a condition to which the grant of a licence </w:t>
      </w:r>
      <w:r w:rsidR="00780F70">
        <w:t xml:space="preserve">or preserved licence </w:t>
      </w:r>
      <w:r w:rsidR="004E05F3" w:rsidRPr="00213A5E">
        <w:t xml:space="preserve">is subject, it must publish a notice in the </w:t>
      </w:r>
      <w:r w:rsidR="004E05F3" w:rsidRPr="008C51C1">
        <w:rPr>
          <w:i/>
        </w:rPr>
        <w:t xml:space="preserve">Gazette, </w:t>
      </w:r>
      <w:r w:rsidR="004E05F3" w:rsidRPr="008C51C1">
        <w:t>or by notifiable instrument, setting out the variation made to the condition.</w:t>
      </w:r>
    </w:p>
    <w:p w14:paraId="093232CF" w14:textId="19BD36A7" w:rsidR="00093809" w:rsidRDefault="00093809" w:rsidP="00093809">
      <w:pPr>
        <w:pStyle w:val="EMbullet"/>
      </w:pPr>
      <w:r>
        <w:t xml:space="preserve">The Commission may vary a condition of a licence under subsection 108D(2) of the SRC Act or under sections 22 or 28 of the 2019 Regulations. </w:t>
      </w:r>
    </w:p>
    <w:p w14:paraId="65D3DC01" w14:textId="77777777" w:rsidR="008C51C1" w:rsidRDefault="008C51C1" w:rsidP="008C51C1">
      <w:pPr>
        <w:pStyle w:val="EMPartHeading"/>
      </w:pPr>
      <w:r>
        <w:t>Part 6</w:t>
      </w:r>
      <w:r w:rsidRPr="008C51C1">
        <w:t>—</w:t>
      </w:r>
      <w:r>
        <w:t>Recordkeeping and reporting</w:t>
      </w:r>
    </w:p>
    <w:p w14:paraId="0BAC0408" w14:textId="77777777" w:rsidR="00FA6FA1" w:rsidRPr="00F52200" w:rsidRDefault="004E05F3" w:rsidP="008C51C1">
      <w:pPr>
        <w:pStyle w:val="EMSectionheading"/>
      </w:pPr>
      <w:r w:rsidRPr="008C51C1">
        <w:t>Section 20 – Commission must keep records</w:t>
      </w:r>
    </w:p>
    <w:p w14:paraId="61236F6F" w14:textId="77777777" w:rsidR="004E05F3" w:rsidRPr="00F52200" w:rsidRDefault="004E05F3" w:rsidP="008C51C1">
      <w:pPr>
        <w:pStyle w:val="EMbullet"/>
      </w:pPr>
      <w:r w:rsidRPr="00F52200">
        <w:t>Section 20 provides that the Commission must keep records of the following:</w:t>
      </w:r>
    </w:p>
    <w:p w14:paraId="2776EEEF" w14:textId="77777777" w:rsidR="004E05F3" w:rsidRPr="008C51C1" w:rsidRDefault="004E05F3" w:rsidP="008C51C1">
      <w:pPr>
        <w:pStyle w:val="EMsubdotpoint"/>
      </w:pPr>
      <w:r w:rsidRPr="008C51C1">
        <w:t>applications for licences;</w:t>
      </w:r>
    </w:p>
    <w:p w14:paraId="18B91919" w14:textId="77777777" w:rsidR="004E05F3" w:rsidRPr="00F52200" w:rsidRDefault="004E05F3" w:rsidP="008C51C1">
      <w:pPr>
        <w:pStyle w:val="EMsubdotpoint"/>
      </w:pPr>
      <w:r w:rsidRPr="008C51C1">
        <w:t>refusals to grant licences;</w:t>
      </w:r>
    </w:p>
    <w:p w14:paraId="1004987F" w14:textId="77777777" w:rsidR="004E05F3" w:rsidRPr="00F52200" w:rsidRDefault="004E05F3" w:rsidP="008C51C1">
      <w:pPr>
        <w:pStyle w:val="EMsubdotpoint"/>
      </w:pPr>
      <w:r w:rsidRPr="008C51C1">
        <w:t>grants of licences, including the scope of the licences and the condition</w:t>
      </w:r>
      <w:r w:rsidR="004346D8" w:rsidRPr="008C51C1">
        <w:t>s</w:t>
      </w:r>
      <w:r w:rsidRPr="008C51C1">
        <w:t xml:space="preserve"> to which the licences are subject;</w:t>
      </w:r>
    </w:p>
    <w:p w14:paraId="1B5AED65" w14:textId="56D56F4D" w:rsidR="004E05F3" w:rsidRPr="00F52200" w:rsidRDefault="00F54813" w:rsidP="008C51C1">
      <w:pPr>
        <w:pStyle w:val="EMsubdotpoint"/>
      </w:pPr>
      <w:r>
        <w:t>expiry</w:t>
      </w:r>
      <w:r w:rsidR="004E05F3" w:rsidRPr="008C51C1">
        <w:t xml:space="preserve"> of licences;</w:t>
      </w:r>
    </w:p>
    <w:p w14:paraId="0A520A72" w14:textId="59C996D0" w:rsidR="004E05F3" w:rsidRPr="00F52200" w:rsidRDefault="004E05F3" w:rsidP="008C51C1">
      <w:pPr>
        <w:pStyle w:val="EMsubdotpoint"/>
      </w:pPr>
      <w:r w:rsidRPr="008C51C1">
        <w:t>suspension</w:t>
      </w:r>
      <w:r w:rsidR="004346D8" w:rsidRPr="008C51C1">
        <w:t>s</w:t>
      </w:r>
      <w:r w:rsidRPr="008C51C1">
        <w:t xml:space="preserve"> of licen</w:t>
      </w:r>
      <w:r w:rsidR="00C7410E">
        <w:t>c</w:t>
      </w:r>
      <w:r w:rsidRPr="008C51C1">
        <w:t>es;</w:t>
      </w:r>
    </w:p>
    <w:p w14:paraId="08676739" w14:textId="3288466D" w:rsidR="004E05F3" w:rsidRPr="00F52200" w:rsidRDefault="004E05F3" w:rsidP="008C51C1">
      <w:pPr>
        <w:pStyle w:val="EMsubdotpoint"/>
      </w:pPr>
      <w:r w:rsidRPr="008C51C1">
        <w:t>revocation</w:t>
      </w:r>
      <w:r w:rsidR="004346D8" w:rsidRPr="008C51C1">
        <w:t>s</w:t>
      </w:r>
      <w:r w:rsidR="00C7410E">
        <w:t xml:space="preserve"> of licenc</w:t>
      </w:r>
      <w:r w:rsidRPr="008C51C1">
        <w:t>es;</w:t>
      </w:r>
    </w:p>
    <w:p w14:paraId="01EFA4D7" w14:textId="2200EEB8" w:rsidR="004E05F3" w:rsidRPr="00F52200" w:rsidRDefault="004E05F3" w:rsidP="008C51C1">
      <w:pPr>
        <w:pStyle w:val="EMsubdotpoint"/>
      </w:pPr>
      <w:r w:rsidRPr="008C51C1">
        <w:t>breaches of licences</w:t>
      </w:r>
      <w:r w:rsidR="00780F70">
        <w:t xml:space="preserve"> and preserved licences</w:t>
      </w:r>
      <w:r w:rsidRPr="008C51C1">
        <w:t>; and</w:t>
      </w:r>
    </w:p>
    <w:p w14:paraId="6193893F" w14:textId="1C7FE519" w:rsidR="004E05F3" w:rsidRPr="00F52200" w:rsidRDefault="004E05F3" w:rsidP="008C51C1">
      <w:pPr>
        <w:pStyle w:val="EMsubdotpoint"/>
      </w:pPr>
      <w:r w:rsidRPr="008C51C1">
        <w:t>suspected breaches of licence</w:t>
      </w:r>
      <w:r w:rsidR="00780F70" w:rsidRPr="00780F70">
        <w:t xml:space="preserve"> </w:t>
      </w:r>
      <w:r w:rsidR="00780F70">
        <w:t>and preserved licences</w:t>
      </w:r>
      <w:r w:rsidRPr="008C51C1">
        <w:t>.</w:t>
      </w:r>
    </w:p>
    <w:p w14:paraId="7405181E" w14:textId="77777777" w:rsidR="004E05F3" w:rsidRPr="008C51C1" w:rsidRDefault="00BE3BF8" w:rsidP="008C51C1">
      <w:pPr>
        <w:pStyle w:val="EMSectionheading"/>
      </w:pPr>
      <w:r w:rsidRPr="008C51C1">
        <w:t>Section 21 – Reporting</w:t>
      </w:r>
    </w:p>
    <w:p w14:paraId="027B2CC4" w14:textId="00B926A8" w:rsidR="00906196" w:rsidRPr="008C51C1" w:rsidRDefault="00BE3BF8" w:rsidP="004200B9">
      <w:pPr>
        <w:pStyle w:val="EMbullet"/>
      </w:pPr>
      <w:r w:rsidRPr="00F52200">
        <w:t xml:space="preserve">Section 21 provides that the Commission must include </w:t>
      </w:r>
      <w:r w:rsidRPr="008C51C1">
        <w:t xml:space="preserve">details of the records mentioned in </w:t>
      </w:r>
      <w:r w:rsidR="00C14CA5" w:rsidRPr="00093809">
        <w:t>section</w:t>
      </w:r>
      <w:r w:rsidRPr="008C51C1">
        <w:t xml:space="preserve"> 20</w:t>
      </w:r>
      <w:r w:rsidR="00C14CA5" w:rsidRPr="00093809">
        <w:t>, apart from suspected breaches of licence</w:t>
      </w:r>
      <w:r w:rsidR="00780F70" w:rsidRPr="00780F70">
        <w:t xml:space="preserve"> </w:t>
      </w:r>
      <w:r w:rsidR="00780F70">
        <w:t>and preserved licences</w:t>
      </w:r>
      <w:r w:rsidR="00C14CA5" w:rsidRPr="00093809">
        <w:t>,</w:t>
      </w:r>
      <w:r w:rsidRPr="008C51C1">
        <w:t xml:space="preserve"> for a financial year in the Commission</w:t>
      </w:r>
      <w:r w:rsidR="004303FD">
        <w:t>’</w:t>
      </w:r>
      <w:r w:rsidRPr="008C51C1">
        <w:t xml:space="preserve">s annual report for that financial year under section 89S of the </w:t>
      </w:r>
      <w:r w:rsidR="004346D8" w:rsidRPr="008C51C1">
        <w:t xml:space="preserve">SRC </w:t>
      </w:r>
      <w:r w:rsidRPr="008C51C1">
        <w:t>Act.</w:t>
      </w:r>
    </w:p>
    <w:p w14:paraId="4A71040A" w14:textId="77777777" w:rsidR="002C3C2B" w:rsidRDefault="002C3C2B" w:rsidP="002C3C2B">
      <w:pPr>
        <w:pStyle w:val="EMPartHeading"/>
      </w:pPr>
      <w:r>
        <w:t>Schedule 1</w:t>
      </w:r>
      <w:r w:rsidRPr="008C51C1">
        <w:t>—</w:t>
      </w:r>
      <w:r>
        <w:t>Repeals</w:t>
      </w:r>
    </w:p>
    <w:p w14:paraId="6CB4CD3F" w14:textId="77777777" w:rsidR="002C3C2B" w:rsidRDefault="002C3C2B" w:rsidP="004200B9">
      <w:pPr>
        <w:pStyle w:val="EMbullet"/>
      </w:pPr>
      <w:r>
        <w:t xml:space="preserve">Schedule 1 to the Directions repeals the </w:t>
      </w:r>
      <w:r>
        <w:rPr>
          <w:i/>
        </w:rPr>
        <w:t>Safety, Rehabilitation and Compensation Directions 2002</w:t>
      </w:r>
      <w:r>
        <w:t>.</w:t>
      </w:r>
    </w:p>
    <w:p w14:paraId="6F32E404" w14:textId="77777777" w:rsidR="002C3C2B" w:rsidRDefault="002C3C2B" w:rsidP="002C3C2B">
      <w:pPr>
        <w:pStyle w:val="EMPartHeading"/>
      </w:pPr>
    </w:p>
    <w:p w14:paraId="0E6270A8" w14:textId="77777777" w:rsidR="00906196" w:rsidRPr="00093809" w:rsidRDefault="00906196" w:rsidP="008C51C1">
      <w:pPr>
        <w:spacing w:after="120" w:line="240" w:lineRule="auto"/>
        <w:rPr>
          <w:rFonts w:ascii="Times New Roman" w:hAnsi="Times New Roman" w:cs="Times New Roman"/>
        </w:rPr>
      </w:pPr>
    </w:p>
    <w:sectPr w:rsidR="00906196" w:rsidRPr="00093809" w:rsidSect="000938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F9209" w14:textId="77777777" w:rsidR="00834B3D" w:rsidRDefault="00834B3D" w:rsidP="00834B3D">
      <w:pPr>
        <w:spacing w:after="0" w:line="240" w:lineRule="auto"/>
      </w:pPr>
      <w:r>
        <w:separator/>
      </w:r>
    </w:p>
  </w:endnote>
  <w:endnote w:type="continuationSeparator" w:id="0">
    <w:p w14:paraId="4E42238F" w14:textId="77777777" w:rsidR="00834B3D" w:rsidRDefault="00834B3D" w:rsidP="0083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12050"/>
      <w:docPartObj>
        <w:docPartGallery w:val="Page Numbers (Bottom of Page)"/>
        <w:docPartUnique/>
      </w:docPartObj>
    </w:sdtPr>
    <w:sdtEndPr>
      <w:rPr>
        <w:rFonts w:ascii="Times New Roman" w:hAnsi="Times New Roman" w:cs="Times New Roman"/>
        <w:noProof/>
      </w:rPr>
    </w:sdtEndPr>
    <w:sdtContent>
      <w:p w14:paraId="0C51E319" w14:textId="502A34F0" w:rsidR="00BD06DC" w:rsidRPr="00BD06DC" w:rsidRDefault="00BD06DC">
        <w:pPr>
          <w:pStyle w:val="Footer"/>
          <w:jc w:val="center"/>
          <w:rPr>
            <w:rFonts w:ascii="Times New Roman" w:hAnsi="Times New Roman" w:cs="Times New Roman"/>
            <w:i/>
          </w:rPr>
        </w:pPr>
        <w:r w:rsidRPr="00BD06DC">
          <w:rPr>
            <w:rFonts w:ascii="Times New Roman" w:hAnsi="Times New Roman" w:cs="Times New Roman"/>
            <w:i/>
          </w:rPr>
          <w:t>Safety, Rehabilitation and Compensation Directions 2019 – Explanatory Statement</w:t>
        </w:r>
      </w:p>
      <w:p w14:paraId="61BD67DA" w14:textId="31B891EA" w:rsidR="002A3517" w:rsidRPr="006B03DD" w:rsidRDefault="002A3517">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D62EEF">
          <w:rPr>
            <w:rFonts w:ascii="Times New Roman" w:hAnsi="Times New Roman" w:cs="Times New Roman"/>
            <w:noProof/>
          </w:rPr>
          <w:t>2</w:t>
        </w:r>
        <w:r w:rsidRPr="006B03DD">
          <w:rPr>
            <w:rFonts w:ascii="Times New Roman" w:hAnsi="Times New Roman" w:cs="Times New Roman"/>
            <w:noProof/>
          </w:rPr>
          <w:fldChar w:fldCharType="end"/>
        </w:r>
      </w:p>
    </w:sdtContent>
  </w:sdt>
  <w:p w14:paraId="3A45FDD2" w14:textId="77777777" w:rsidR="002A3517" w:rsidRDefault="002A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8929A" w14:textId="77777777" w:rsidR="00834B3D" w:rsidRDefault="00834B3D" w:rsidP="00834B3D">
      <w:pPr>
        <w:spacing w:after="0" w:line="240" w:lineRule="auto"/>
      </w:pPr>
      <w:r>
        <w:separator/>
      </w:r>
    </w:p>
  </w:footnote>
  <w:footnote w:type="continuationSeparator" w:id="0">
    <w:p w14:paraId="1F6D1948" w14:textId="77777777" w:rsidR="00834B3D" w:rsidRDefault="00834B3D" w:rsidP="00834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0A2"/>
    <w:multiLevelType w:val="hybridMultilevel"/>
    <w:tmpl w:val="62861A2E"/>
    <w:lvl w:ilvl="0" w:tplc="14C296F2">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F1417D0"/>
    <w:multiLevelType w:val="hybridMultilevel"/>
    <w:tmpl w:val="33465C66"/>
    <w:lvl w:ilvl="0" w:tplc="2364F58E">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A5403A"/>
    <w:multiLevelType w:val="hybridMultilevel"/>
    <w:tmpl w:val="DE8C49A8"/>
    <w:lvl w:ilvl="0" w:tplc="02EA1416">
      <w:start w:val="1"/>
      <w:numFmt w:val="lowerLetter"/>
      <w:lvlText w:val="(%1)"/>
      <w:lvlJc w:val="left"/>
      <w:pPr>
        <w:ind w:left="720" w:hanging="360"/>
      </w:pPr>
      <w:rPr>
        <w:rFonts w:ascii="Times New Roman" w:hAnsi="Times New Roman" w:cs="Times New Roman"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576586"/>
    <w:multiLevelType w:val="hybridMultilevel"/>
    <w:tmpl w:val="F79A5A90"/>
    <w:lvl w:ilvl="0" w:tplc="0C090003">
      <w:start w:val="1"/>
      <w:numFmt w:val="bullet"/>
      <w:lvlText w:val="o"/>
      <w:lvlJc w:val="left"/>
      <w:pPr>
        <w:ind w:left="1800" w:hanging="720"/>
      </w:pPr>
      <w:rPr>
        <w:rFonts w:ascii="Courier New" w:hAnsi="Courier New" w:cs="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283658E8"/>
    <w:multiLevelType w:val="hybridMultilevel"/>
    <w:tmpl w:val="42BC82D2"/>
    <w:lvl w:ilvl="0" w:tplc="4C664220">
      <w:start w:val="1"/>
      <w:numFmt w:val="decimal"/>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5" w15:restartNumberingAfterBreak="0">
    <w:nsid w:val="293457F8"/>
    <w:multiLevelType w:val="hybridMultilevel"/>
    <w:tmpl w:val="02EE9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355F5E"/>
    <w:multiLevelType w:val="hybridMultilevel"/>
    <w:tmpl w:val="FA4CDA84"/>
    <w:lvl w:ilvl="0" w:tplc="E31C3A88">
      <w:start w:val="1"/>
      <w:numFmt w:val="decimal"/>
      <w:pStyle w:val="EMParagraph"/>
      <w:lvlText w:val="%1."/>
      <w:lvlJc w:val="left"/>
      <w:pPr>
        <w:ind w:left="720" w:hanging="72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725FF1"/>
    <w:multiLevelType w:val="hybridMultilevel"/>
    <w:tmpl w:val="533443FA"/>
    <w:lvl w:ilvl="0" w:tplc="BE8A51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7B1EDA"/>
    <w:multiLevelType w:val="hybridMultilevel"/>
    <w:tmpl w:val="56BE2696"/>
    <w:lvl w:ilvl="0" w:tplc="0C090001">
      <w:start w:val="1"/>
      <w:numFmt w:val="bullet"/>
      <w:pStyle w:val="EMsubdotpoin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18D7CFD"/>
    <w:multiLevelType w:val="hybridMultilevel"/>
    <w:tmpl w:val="B7E8C674"/>
    <w:lvl w:ilvl="0" w:tplc="719A9A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C82E48"/>
    <w:multiLevelType w:val="hybridMultilevel"/>
    <w:tmpl w:val="B2A4CDA6"/>
    <w:lvl w:ilvl="0" w:tplc="09402A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E67AE0"/>
    <w:multiLevelType w:val="hybridMultilevel"/>
    <w:tmpl w:val="B352E96E"/>
    <w:lvl w:ilvl="0" w:tplc="42FAC8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0F1210"/>
    <w:multiLevelType w:val="hybridMultilevel"/>
    <w:tmpl w:val="62861A2E"/>
    <w:lvl w:ilvl="0" w:tplc="14C296F2">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6073723A"/>
    <w:multiLevelType w:val="hybridMultilevel"/>
    <w:tmpl w:val="E1A89DDC"/>
    <w:lvl w:ilvl="0" w:tplc="7DA6D262">
      <w:start w:val="1"/>
      <w:numFmt w:val="decimal"/>
      <w:pStyle w:val="EMbullet"/>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05779C"/>
    <w:multiLevelType w:val="hybridMultilevel"/>
    <w:tmpl w:val="4FD29DAC"/>
    <w:lvl w:ilvl="0" w:tplc="FA4CC8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5E2479"/>
    <w:multiLevelType w:val="hybridMultilevel"/>
    <w:tmpl w:val="7A442084"/>
    <w:lvl w:ilvl="0" w:tplc="BACA5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5B7D7F"/>
    <w:multiLevelType w:val="hybridMultilevel"/>
    <w:tmpl w:val="7EDC46EC"/>
    <w:lvl w:ilvl="0" w:tplc="55FAAD08">
      <w:start w:val="1"/>
      <w:numFmt w:val="lowerLetter"/>
      <w:lvlText w:val="(%1)"/>
      <w:lvlJc w:val="left"/>
      <w:pPr>
        <w:ind w:left="720" w:hanging="360"/>
      </w:pPr>
      <w:rPr>
        <w:rFonts w:ascii="Helvetica Neue" w:hAnsi="Helvetica Neue"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EE0C55"/>
    <w:multiLevelType w:val="hybridMultilevel"/>
    <w:tmpl w:val="45287FCE"/>
    <w:lvl w:ilvl="0" w:tplc="F8BE4B6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0423B0"/>
    <w:multiLevelType w:val="hybridMultilevel"/>
    <w:tmpl w:val="6682F790"/>
    <w:lvl w:ilvl="0" w:tplc="2244D3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0"/>
  </w:num>
  <w:num w:numId="5">
    <w:abstractNumId w:val="14"/>
  </w:num>
  <w:num w:numId="6">
    <w:abstractNumId w:val="7"/>
  </w:num>
  <w:num w:numId="7">
    <w:abstractNumId w:val="18"/>
  </w:num>
  <w:num w:numId="8">
    <w:abstractNumId w:val="10"/>
  </w:num>
  <w:num w:numId="9">
    <w:abstractNumId w:val="11"/>
  </w:num>
  <w:num w:numId="10">
    <w:abstractNumId w:val="15"/>
  </w:num>
  <w:num w:numId="11">
    <w:abstractNumId w:val="16"/>
  </w:num>
  <w:num w:numId="12">
    <w:abstractNumId w:val="4"/>
  </w:num>
  <w:num w:numId="13">
    <w:abstractNumId w:val="17"/>
  </w:num>
  <w:num w:numId="14">
    <w:abstractNumId w:val="1"/>
  </w:num>
  <w:num w:numId="15">
    <w:abstractNumId w:val="3"/>
  </w:num>
  <w:num w:numId="16">
    <w:abstractNumId w:val="9"/>
  </w:num>
  <w:num w:numId="17">
    <w:abstractNumId w:val="2"/>
  </w:num>
  <w:num w:numId="18">
    <w:abstractNumId w:val="13"/>
  </w:num>
  <w:num w:numId="19">
    <w:abstractNumId w:val="6"/>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4D"/>
    <w:rsid w:val="0000599E"/>
    <w:rsid w:val="000148F2"/>
    <w:rsid w:val="000359D1"/>
    <w:rsid w:val="00042416"/>
    <w:rsid w:val="00053FF3"/>
    <w:rsid w:val="00063293"/>
    <w:rsid w:val="000703AF"/>
    <w:rsid w:val="00077088"/>
    <w:rsid w:val="00093809"/>
    <w:rsid w:val="000A442A"/>
    <w:rsid w:val="000E61C9"/>
    <w:rsid w:val="000F19BD"/>
    <w:rsid w:val="001104AA"/>
    <w:rsid w:val="00130124"/>
    <w:rsid w:val="00165D15"/>
    <w:rsid w:val="00170781"/>
    <w:rsid w:val="00180B98"/>
    <w:rsid w:val="001B3E9E"/>
    <w:rsid w:val="00204F03"/>
    <w:rsid w:val="002060CD"/>
    <w:rsid w:val="00211BCF"/>
    <w:rsid w:val="00213A5E"/>
    <w:rsid w:val="00234D47"/>
    <w:rsid w:val="00237109"/>
    <w:rsid w:val="002A3517"/>
    <w:rsid w:val="002A4B98"/>
    <w:rsid w:val="002C2E9E"/>
    <w:rsid w:val="002C3326"/>
    <w:rsid w:val="002C3C2B"/>
    <w:rsid w:val="002C7042"/>
    <w:rsid w:val="002E0B08"/>
    <w:rsid w:val="00335164"/>
    <w:rsid w:val="00350DC7"/>
    <w:rsid w:val="003A4F6C"/>
    <w:rsid w:val="003D67D9"/>
    <w:rsid w:val="003F34A3"/>
    <w:rsid w:val="00402CC2"/>
    <w:rsid w:val="004200B9"/>
    <w:rsid w:val="004303FD"/>
    <w:rsid w:val="004346D8"/>
    <w:rsid w:val="004A1184"/>
    <w:rsid w:val="004A7051"/>
    <w:rsid w:val="004D0794"/>
    <w:rsid w:val="004E05F3"/>
    <w:rsid w:val="00505BF1"/>
    <w:rsid w:val="00525A99"/>
    <w:rsid w:val="00573AC5"/>
    <w:rsid w:val="005A6F0C"/>
    <w:rsid w:val="005B1F56"/>
    <w:rsid w:val="005B648C"/>
    <w:rsid w:val="005E6B7D"/>
    <w:rsid w:val="00621175"/>
    <w:rsid w:val="00633ABA"/>
    <w:rsid w:val="00640A0E"/>
    <w:rsid w:val="00642B39"/>
    <w:rsid w:val="006528B8"/>
    <w:rsid w:val="00692C54"/>
    <w:rsid w:val="006A68CF"/>
    <w:rsid w:val="006B526E"/>
    <w:rsid w:val="006E1730"/>
    <w:rsid w:val="006F118D"/>
    <w:rsid w:val="00727FA9"/>
    <w:rsid w:val="007318D5"/>
    <w:rsid w:val="0073606E"/>
    <w:rsid w:val="00754F63"/>
    <w:rsid w:val="00763235"/>
    <w:rsid w:val="00780F70"/>
    <w:rsid w:val="00784D8A"/>
    <w:rsid w:val="007A52F1"/>
    <w:rsid w:val="007B2AE4"/>
    <w:rsid w:val="00811664"/>
    <w:rsid w:val="0081592A"/>
    <w:rsid w:val="00816D9E"/>
    <w:rsid w:val="00834B3D"/>
    <w:rsid w:val="00842D16"/>
    <w:rsid w:val="00870209"/>
    <w:rsid w:val="00872639"/>
    <w:rsid w:val="0088643E"/>
    <w:rsid w:val="0089601A"/>
    <w:rsid w:val="008C1874"/>
    <w:rsid w:val="008C51C1"/>
    <w:rsid w:val="00906196"/>
    <w:rsid w:val="00936AE9"/>
    <w:rsid w:val="009441C4"/>
    <w:rsid w:val="0094665A"/>
    <w:rsid w:val="009513D7"/>
    <w:rsid w:val="009D5CBD"/>
    <w:rsid w:val="009E3953"/>
    <w:rsid w:val="009F4A37"/>
    <w:rsid w:val="009F5351"/>
    <w:rsid w:val="00A46B48"/>
    <w:rsid w:val="00A516C9"/>
    <w:rsid w:val="00A56820"/>
    <w:rsid w:val="00A61096"/>
    <w:rsid w:val="00A674CB"/>
    <w:rsid w:val="00AB37EE"/>
    <w:rsid w:val="00AC6B3E"/>
    <w:rsid w:val="00B0279D"/>
    <w:rsid w:val="00B35BD3"/>
    <w:rsid w:val="00B67C76"/>
    <w:rsid w:val="00B900A8"/>
    <w:rsid w:val="00B92424"/>
    <w:rsid w:val="00B92743"/>
    <w:rsid w:val="00BC7BF3"/>
    <w:rsid w:val="00BD06DC"/>
    <w:rsid w:val="00BD2B80"/>
    <w:rsid w:val="00BD7DA5"/>
    <w:rsid w:val="00BE3BF8"/>
    <w:rsid w:val="00C14CA5"/>
    <w:rsid w:val="00C73654"/>
    <w:rsid w:val="00C7410E"/>
    <w:rsid w:val="00CC70E4"/>
    <w:rsid w:val="00D37211"/>
    <w:rsid w:val="00D476E1"/>
    <w:rsid w:val="00D62EEF"/>
    <w:rsid w:val="00DC3B0A"/>
    <w:rsid w:val="00DD6819"/>
    <w:rsid w:val="00E04660"/>
    <w:rsid w:val="00E1704D"/>
    <w:rsid w:val="00E24686"/>
    <w:rsid w:val="00E61311"/>
    <w:rsid w:val="00E75542"/>
    <w:rsid w:val="00E82B65"/>
    <w:rsid w:val="00EF47EF"/>
    <w:rsid w:val="00F029F3"/>
    <w:rsid w:val="00F2526B"/>
    <w:rsid w:val="00F44794"/>
    <w:rsid w:val="00F518D4"/>
    <w:rsid w:val="00F52200"/>
    <w:rsid w:val="00F54813"/>
    <w:rsid w:val="00F66B7B"/>
    <w:rsid w:val="00F84417"/>
    <w:rsid w:val="00FA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02C9"/>
  <w15:chartTrackingRefBased/>
  <w15:docId w15:val="{0B9BC319-02CA-4F20-BF21-88C66ED2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5542"/>
    <w:pPr>
      <w:ind w:left="720"/>
      <w:contextualSpacing/>
    </w:pPr>
  </w:style>
  <w:style w:type="paragraph" w:styleId="Header">
    <w:name w:val="header"/>
    <w:basedOn w:val="Normal"/>
    <w:link w:val="HeaderChar"/>
    <w:uiPriority w:val="99"/>
    <w:unhideWhenUsed/>
    <w:rsid w:val="002A3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517"/>
  </w:style>
  <w:style w:type="paragraph" w:styleId="Footer">
    <w:name w:val="footer"/>
    <w:basedOn w:val="Normal"/>
    <w:link w:val="FooterChar"/>
    <w:uiPriority w:val="99"/>
    <w:unhideWhenUsed/>
    <w:rsid w:val="002A3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517"/>
  </w:style>
  <w:style w:type="paragraph" w:customStyle="1" w:styleId="subsection">
    <w:name w:val="subsection"/>
    <w:aliases w:val="ss"/>
    <w:basedOn w:val="Normal"/>
    <w:link w:val="subsectionChar"/>
    <w:rsid w:val="0076323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76323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63235"/>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763235"/>
    <w:rPr>
      <w:rFonts w:ascii="Times New Roman" w:eastAsia="Times New Roman" w:hAnsi="Times New Roman" w:cs="Times New Roman"/>
      <w:szCs w:val="20"/>
      <w:lang w:eastAsia="en-AU"/>
    </w:rPr>
  </w:style>
  <w:style w:type="paragraph" w:customStyle="1" w:styleId="paragraphsub">
    <w:name w:val="paragraph(sub)"/>
    <w:aliases w:val="aa"/>
    <w:basedOn w:val="Normal"/>
    <w:rsid w:val="00A46B48"/>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4E05F3"/>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styleId="FootnoteText">
    <w:name w:val="footnote text"/>
    <w:basedOn w:val="Normal"/>
    <w:link w:val="FootnoteTextChar"/>
    <w:semiHidden/>
    <w:unhideWhenUsed/>
    <w:rsid w:val="00834B3D"/>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834B3D"/>
    <w:rPr>
      <w:rFonts w:ascii="Times New Roman" w:eastAsia="Times New Roman" w:hAnsi="Times New Roman" w:cs="Times New Roman"/>
      <w:sz w:val="20"/>
      <w:szCs w:val="20"/>
      <w:lang w:eastAsia="en-AU"/>
    </w:rPr>
  </w:style>
  <w:style w:type="character" w:styleId="FootnoteReference">
    <w:name w:val="footnote reference"/>
    <w:semiHidden/>
    <w:unhideWhenUsed/>
    <w:rsid w:val="00834B3D"/>
    <w:rPr>
      <w:vertAlign w:val="superscript"/>
    </w:rPr>
  </w:style>
  <w:style w:type="paragraph" w:customStyle="1" w:styleId="EMoverview">
    <w:name w:val="EM overview"/>
    <w:basedOn w:val="Normal"/>
    <w:link w:val="EMoverviewChar"/>
    <w:qFormat/>
    <w:rsid w:val="00165D15"/>
    <w:pPr>
      <w:spacing w:after="120"/>
    </w:pPr>
    <w:rPr>
      <w:rFonts w:ascii="Times New Roman" w:hAnsi="Times New Roman" w:cs="Times New Roman"/>
      <w:sz w:val="24"/>
    </w:rPr>
  </w:style>
  <w:style w:type="character" w:customStyle="1" w:styleId="EMoverviewChar">
    <w:name w:val="EM overview Char"/>
    <w:basedOn w:val="DefaultParagraphFont"/>
    <w:link w:val="EMoverview"/>
    <w:rsid w:val="00165D15"/>
    <w:rPr>
      <w:rFonts w:ascii="Times New Roman" w:hAnsi="Times New Roman" w:cs="Times New Roman"/>
      <w:sz w:val="24"/>
    </w:rPr>
  </w:style>
  <w:style w:type="paragraph" w:customStyle="1" w:styleId="EMbullet">
    <w:name w:val="EM bullet"/>
    <w:basedOn w:val="ListParagraph"/>
    <w:link w:val="EMbulletChar"/>
    <w:qFormat/>
    <w:rsid w:val="00BD7DA5"/>
    <w:pPr>
      <w:numPr>
        <w:numId w:val="18"/>
      </w:numPr>
      <w:spacing w:after="120" w:line="240" w:lineRule="auto"/>
      <w:ind w:hanging="720"/>
    </w:pPr>
    <w:rPr>
      <w:rFonts w:ascii="Times New Roman" w:eastAsia="Times New Roman" w:hAnsi="Times New Roman" w:cs="Times New Roman"/>
      <w:iCs/>
      <w:sz w:val="24"/>
      <w:szCs w:val="24"/>
      <w:lang w:eastAsia="en-AU"/>
    </w:rPr>
  </w:style>
  <w:style w:type="paragraph" w:customStyle="1" w:styleId="EMParagraph">
    <w:name w:val="EM Paragraph"/>
    <w:basedOn w:val="ListParagraph"/>
    <w:link w:val="EMParagraphChar"/>
    <w:qFormat/>
    <w:rsid w:val="00B67C76"/>
    <w:pPr>
      <w:numPr>
        <w:numId w:val="19"/>
      </w:numPr>
      <w:spacing w:after="120"/>
    </w:pPr>
    <w:rPr>
      <w:rFonts w:ascii="Times New Roman" w:hAnsi="Times New Roman" w:cs="Times New Roman"/>
      <w:sz w:val="24"/>
    </w:rPr>
  </w:style>
  <w:style w:type="character" w:customStyle="1" w:styleId="ListParagraphChar">
    <w:name w:val="List Paragraph Char"/>
    <w:basedOn w:val="DefaultParagraphFont"/>
    <w:link w:val="ListParagraph"/>
    <w:uiPriority w:val="34"/>
    <w:rsid w:val="00BD7DA5"/>
  </w:style>
  <w:style w:type="character" w:customStyle="1" w:styleId="EMbulletChar">
    <w:name w:val="EM bullet Char"/>
    <w:basedOn w:val="ListParagraphChar"/>
    <w:link w:val="EMbullet"/>
    <w:rsid w:val="00BD7DA5"/>
    <w:rPr>
      <w:rFonts w:ascii="Times New Roman" w:eastAsia="Times New Roman" w:hAnsi="Times New Roman" w:cs="Times New Roman"/>
      <w:iCs/>
      <w:sz w:val="24"/>
      <w:szCs w:val="24"/>
      <w:lang w:eastAsia="en-AU"/>
    </w:rPr>
  </w:style>
  <w:style w:type="character" w:customStyle="1" w:styleId="EMParagraphChar">
    <w:name w:val="EM Paragraph Char"/>
    <w:basedOn w:val="DefaultParagraphFont"/>
    <w:link w:val="EMParagraph"/>
    <w:rsid w:val="00B67C76"/>
    <w:rPr>
      <w:rFonts w:ascii="Times New Roman" w:hAnsi="Times New Roman" w:cs="Times New Roman"/>
      <w:sz w:val="24"/>
    </w:rPr>
  </w:style>
  <w:style w:type="paragraph" w:customStyle="1" w:styleId="EMPartHeading">
    <w:name w:val="EM Part Heading"/>
    <w:basedOn w:val="ActHead5"/>
    <w:link w:val="EMPartHeadingChar"/>
    <w:qFormat/>
    <w:rsid w:val="00811664"/>
    <w:pPr>
      <w:spacing w:after="360"/>
    </w:pPr>
    <w:rPr>
      <w:noProof/>
      <w:u w:val="single"/>
    </w:rPr>
  </w:style>
  <w:style w:type="paragraph" w:customStyle="1" w:styleId="EMsubdotpoint">
    <w:name w:val="EM sub dot point"/>
    <w:basedOn w:val="paragraph"/>
    <w:link w:val="EMsubdotpointChar"/>
    <w:qFormat/>
    <w:rsid w:val="00811664"/>
    <w:pPr>
      <w:numPr>
        <w:numId w:val="2"/>
      </w:numPr>
      <w:spacing w:before="0" w:after="120"/>
      <w:contextualSpacing/>
    </w:pPr>
    <w:rPr>
      <w:sz w:val="24"/>
      <w:szCs w:val="24"/>
    </w:rPr>
  </w:style>
  <w:style w:type="character" w:customStyle="1" w:styleId="ActHead5Char">
    <w:name w:val="ActHead 5 Char"/>
    <w:aliases w:val="s Char"/>
    <w:basedOn w:val="DefaultParagraphFont"/>
    <w:link w:val="ActHead5"/>
    <w:rsid w:val="00811664"/>
    <w:rPr>
      <w:rFonts w:ascii="Times New Roman" w:eastAsia="Times New Roman" w:hAnsi="Times New Roman" w:cs="Times New Roman"/>
      <w:b/>
      <w:kern w:val="28"/>
      <w:sz w:val="24"/>
      <w:szCs w:val="20"/>
      <w:lang w:eastAsia="en-AU"/>
    </w:rPr>
  </w:style>
  <w:style w:type="character" w:customStyle="1" w:styleId="EMPartHeadingChar">
    <w:name w:val="EM Part Heading Char"/>
    <w:basedOn w:val="ActHead5Char"/>
    <w:link w:val="EMPartHeading"/>
    <w:rsid w:val="00811664"/>
    <w:rPr>
      <w:rFonts w:ascii="Times New Roman" w:eastAsia="Times New Roman" w:hAnsi="Times New Roman" w:cs="Times New Roman"/>
      <w:b/>
      <w:noProof/>
      <w:kern w:val="28"/>
      <w:sz w:val="24"/>
      <w:szCs w:val="20"/>
      <w:u w:val="single"/>
      <w:lang w:eastAsia="en-AU"/>
    </w:rPr>
  </w:style>
  <w:style w:type="paragraph" w:customStyle="1" w:styleId="EMSectionheading">
    <w:name w:val="EM Section heading"/>
    <w:basedOn w:val="Normal"/>
    <w:link w:val="EMSectionheadingChar"/>
    <w:qFormat/>
    <w:rsid w:val="00093809"/>
    <w:pPr>
      <w:spacing w:before="240" w:after="240" w:line="240" w:lineRule="auto"/>
      <w:contextualSpacing/>
    </w:pPr>
    <w:rPr>
      <w:rFonts w:ascii="Times New Roman" w:hAnsi="Times New Roman" w:cs="Times New Roman"/>
      <w:sz w:val="24"/>
      <w:szCs w:val="24"/>
      <w:u w:val="single"/>
    </w:rPr>
  </w:style>
  <w:style w:type="character" w:customStyle="1" w:styleId="EMsubdotpointChar">
    <w:name w:val="EM sub dot point Char"/>
    <w:basedOn w:val="paragraphChar"/>
    <w:link w:val="EMsubdotpoint"/>
    <w:rsid w:val="00811664"/>
    <w:rPr>
      <w:rFonts w:ascii="Times New Roman" w:eastAsia="Times New Roman" w:hAnsi="Times New Roman" w:cs="Times New Roman"/>
      <w:sz w:val="24"/>
      <w:szCs w:val="24"/>
      <w:lang w:eastAsia="en-AU"/>
    </w:rPr>
  </w:style>
  <w:style w:type="character" w:customStyle="1" w:styleId="CharPartNo">
    <w:name w:val="CharPartNo"/>
    <w:basedOn w:val="DefaultParagraphFont"/>
    <w:uiPriority w:val="1"/>
    <w:qFormat/>
    <w:rsid w:val="00D37211"/>
  </w:style>
  <w:style w:type="character" w:customStyle="1" w:styleId="EMSectionheadingChar">
    <w:name w:val="EM Section heading Char"/>
    <w:basedOn w:val="DefaultParagraphFont"/>
    <w:link w:val="EMSectionheading"/>
    <w:rsid w:val="00093809"/>
    <w:rPr>
      <w:rFonts w:ascii="Times New Roman" w:hAnsi="Times New Roman" w:cs="Times New Roman"/>
      <w:sz w:val="24"/>
      <w:szCs w:val="24"/>
      <w:u w:val="single"/>
    </w:rPr>
  </w:style>
  <w:style w:type="paragraph" w:styleId="BalloonText">
    <w:name w:val="Balloon Text"/>
    <w:basedOn w:val="Normal"/>
    <w:link w:val="BalloonTextChar"/>
    <w:uiPriority w:val="99"/>
    <w:semiHidden/>
    <w:unhideWhenUsed/>
    <w:rsid w:val="00F52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00"/>
    <w:rPr>
      <w:rFonts w:ascii="Segoe UI" w:hAnsi="Segoe UI" w:cs="Segoe UI"/>
      <w:sz w:val="18"/>
      <w:szCs w:val="18"/>
    </w:rPr>
  </w:style>
  <w:style w:type="paragraph" w:customStyle="1" w:styleId="ActHead3">
    <w:name w:val="ActHead 3"/>
    <w:aliases w:val="d"/>
    <w:basedOn w:val="Normal"/>
    <w:next w:val="Normal"/>
    <w:qFormat/>
    <w:rsid w:val="008C51C1"/>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08196">
      <w:bodyDiv w:val="1"/>
      <w:marLeft w:val="0"/>
      <w:marRight w:val="0"/>
      <w:marTop w:val="0"/>
      <w:marBottom w:val="0"/>
      <w:divBdr>
        <w:top w:val="none" w:sz="0" w:space="0" w:color="auto"/>
        <w:left w:val="none" w:sz="0" w:space="0" w:color="auto"/>
        <w:bottom w:val="none" w:sz="0" w:space="0" w:color="auto"/>
        <w:right w:val="none" w:sz="0" w:space="0" w:color="auto"/>
      </w:divBdr>
      <w:divsChild>
        <w:div w:id="123814594">
          <w:marLeft w:val="0"/>
          <w:marRight w:val="0"/>
          <w:marTop w:val="0"/>
          <w:marBottom w:val="0"/>
          <w:divBdr>
            <w:top w:val="none" w:sz="0" w:space="0" w:color="auto"/>
            <w:left w:val="none" w:sz="0" w:space="0" w:color="auto"/>
            <w:bottom w:val="none" w:sz="0" w:space="0" w:color="auto"/>
            <w:right w:val="none" w:sz="0" w:space="0" w:color="auto"/>
          </w:divBdr>
          <w:divsChild>
            <w:div w:id="1240672753">
              <w:marLeft w:val="0"/>
              <w:marRight w:val="0"/>
              <w:marTop w:val="0"/>
              <w:marBottom w:val="0"/>
              <w:divBdr>
                <w:top w:val="none" w:sz="0" w:space="0" w:color="auto"/>
                <w:left w:val="none" w:sz="0" w:space="0" w:color="auto"/>
                <w:bottom w:val="none" w:sz="0" w:space="0" w:color="auto"/>
                <w:right w:val="none" w:sz="0" w:space="0" w:color="auto"/>
              </w:divBdr>
              <w:divsChild>
                <w:div w:id="605502046">
                  <w:marLeft w:val="0"/>
                  <w:marRight w:val="0"/>
                  <w:marTop w:val="0"/>
                  <w:marBottom w:val="0"/>
                  <w:divBdr>
                    <w:top w:val="none" w:sz="0" w:space="0" w:color="auto"/>
                    <w:left w:val="none" w:sz="0" w:space="0" w:color="auto"/>
                    <w:bottom w:val="none" w:sz="0" w:space="0" w:color="auto"/>
                    <w:right w:val="none" w:sz="0" w:space="0" w:color="auto"/>
                  </w:divBdr>
                  <w:divsChild>
                    <w:div w:id="462773355">
                      <w:marLeft w:val="0"/>
                      <w:marRight w:val="0"/>
                      <w:marTop w:val="0"/>
                      <w:marBottom w:val="0"/>
                      <w:divBdr>
                        <w:top w:val="none" w:sz="0" w:space="0" w:color="auto"/>
                        <w:left w:val="none" w:sz="0" w:space="0" w:color="auto"/>
                        <w:bottom w:val="none" w:sz="0" w:space="0" w:color="auto"/>
                        <w:right w:val="none" w:sz="0" w:space="0" w:color="auto"/>
                      </w:divBdr>
                      <w:divsChild>
                        <w:div w:id="220215998">
                          <w:marLeft w:val="0"/>
                          <w:marRight w:val="0"/>
                          <w:marTop w:val="0"/>
                          <w:marBottom w:val="0"/>
                          <w:divBdr>
                            <w:top w:val="none" w:sz="0" w:space="0" w:color="auto"/>
                            <w:left w:val="none" w:sz="0" w:space="0" w:color="auto"/>
                            <w:bottom w:val="none" w:sz="0" w:space="0" w:color="auto"/>
                            <w:right w:val="none" w:sz="0" w:space="0" w:color="auto"/>
                          </w:divBdr>
                          <w:divsChild>
                            <w:div w:id="1068914941">
                              <w:marLeft w:val="0"/>
                              <w:marRight w:val="0"/>
                              <w:marTop w:val="0"/>
                              <w:marBottom w:val="0"/>
                              <w:divBdr>
                                <w:top w:val="none" w:sz="0" w:space="0" w:color="auto"/>
                                <w:left w:val="none" w:sz="0" w:space="0" w:color="auto"/>
                                <w:bottom w:val="none" w:sz="0" w:space="0" w:color="auto"/>
                                <w:right w:val="none" w:sz="0" w:space="0" w:color="auto"/>
                              </w:divBdr>
                              <w:divsChild>
                                <w:div w:id="1812356704">
                                  <w:marLeft w:val="0"/>
                                  <w:marRight w:val="0"/>
                                  <w:marTop w:val="0"/>
                                  <w:marBottom w:val="0"/>
                                  <w:divBdr>
                                    <w:top w:val="none" w:sz="0" w:space="0" w:color="auto"/>
                                    <w:left w:val="none" w:sz="0" w:space="0" w:color="auto"/>
                                    <w:bottom w:val="none" w:sz="0" w:space="0" w:color="auto"/>
                                    <w:right w:val="none" w:sz="0" w:space="0" w:color="auto"/>
                                  </w:divBdr>
                                  <w:divsChild>
                                    <w:div w:id="422840427">
                                      <w:marLeft w:val="0"/>
                                      <w:marRight w:val="0"/>
                                      <w:marTop w:val="0"/>
                                      <w:marBottom w:val="0"/>
                                      <w:divBdr>
                                        <w:top w:val="none" w:sz="0" w:space="0" w:color="auto"/>
                                        <w:left w:val="none" w:sz="0" w:space="0" w:color="auto"/>
                                        <w:bottom w:val="none" w:sz="0" w:space="0" w:color="auto"/>
                                        <w:right w:val="none" w:sz="0" w:space="0" w:color="auto"/>
                                      </w:divBdr>
                                      <w:divsChild>
                                        <w:div w:id="2142534538">
                                          <w:marLeft w:val="0"/>
                                          <w:marRight w:val="0"/>
                                          <w:marTop w:val="0"/>
                                          <w:marBottom w:val="0"/>
                                          <w:divBdr>
                                            <w:top w:val="none" w:sz="0" w:space="0" w:color="auto"/>
                                            <w:left w:val="none" w:sz="0" w:space="0" w:color="auto"/>
                                            <w:bottom w:val="none" w:sz="0" w:space="0" w:color="auto"/>
                                            <w:right w:val="none" w:sz="0" w:space="0" w:color="auto"/>
                                          </w:divBdr>
                                          <w:divsChild>
                                            <w:div w:id="933900812">
                                              <w:marLeft w:val="0"/>
                                              <w:marRight w:val="0"/>
                                              <w:marTop w:val="0"/>
                                              <w:marBottom w:val="0"/>
                                              <w:divBdr>
                                                <w:top w:val="none" w:sz="0" w:space="0" w:color="auto"/>
                                                <w:left w:val="none" w:sz="0" w:space="0" w:color="auto"/>
                                                <w:bottom w:val="none" w:sz="0" w:space="0" w:color="auto"/>
                                                <w:right w:val="none" w:sz="0" w:space="0" w:color="auto"/>
                                              </w:divBdr>
                                              <w:divsChild>
                                                <w:div w:id="219021777">
                                                  <w:marLeft w:val="0"/>
                                                  <w:marRight w:val="0"/>
                                                  <w:marTop w:val="0"/>
                                                  <w:marBottom w:val="0"/>
                                                  <w:divBdr>
                                                    <w:top w:val="none" w:sz="0" w:space="0" w:color="auto"/>
                                                    <w:left w:val="none" w:sz="0" w:space="0" w:color="auto"/>
                                                    <w:bottom w:val="none" w:sz="0" w:space="0" w:color="auto"/>
                                                    <w:right w:val="none" w:sz="0" w:space="0" w:color="auto"/>
                                                  </w:divBdr>
                                                  <w:divsChild>
                                                    <w:div w:id="1556894092">
                                                      <w:marLeft w:val="0"/>
                                                      <w:marRight w:val="0"/>
                                                      <w:marTop w:val="0"/>
                                                      <w:marBottom w:val="0"/>
                                                      <w:divBdr>
                                                        <w:top w:val="none" w:sz="0" w:space="0" w:color="auto"/>
                                                        <w:left w:val="none" w:sz="0" w:space="0" w:color="auto"/>
                                                        <w:bottom w:val="none" w:sz="0" w:space="0" w:color="auto"/>
                                                        <w:right w:val="none" w:sz="0" w:space="0" w:color="auto"/>
                                                      </w:divBdr>
                                                      <w:divsChild>
                                                        <w:div w:id="19862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430567">
      <w:bodyDiv w:val="1"/>
      <w:marLeft w:val="0"/>
      <w:marRight w:val="0"/>
      <w:marTop w:val="0"/>
      <w:marBottom w:val="0"/>
      <w:divBdr>
        <w:top w:val="none" w:sz="0" w:space="0" w:color="auto"/>
        <w:left w:val="none" w:sz="0" w:space="0" w:color="auto"/>
        <w:bottom w:val="none" w:sz="0" w:space="0" w:color="auto"/>
        <w:right w:val="none" w:sz="0" w:space="0" w:color="auto"/>
      </w:divBdr>
      <w:divsChild>
        <w:div w:id="178861705">
          <w:marLeft w:val="0"/>
          <w:marRight w:val="0"/>
          <w:marTop w:val="0"/>
          <w:marBottom w:val="0"/>
          <w:divBdr>
            <w:top w:val="none" w:sz="0" w:space="0" w:color="auto"/>
            <w:left w:val="none" w:sz="0" w:space="0" w:color="auto"/>
            <w:bottom w:val="none" w:sz="0" w:space="0" w:color="auto"/>
            <w:right w:val="none" w:sz="0" w:space="0" w:color="auto"/>
          </w:divBdr>
          <w:divsChild>
            <w:div w:id="280232063">
              <w:marLeft w:val="0"/>
              <w:marRight w:val="0"/>
              <w:marTop w:val="0"/>
              <w:marBottom w:val="0"/>
              <w:divBdr>
                <w:top w:val="none" w:sz="0" w:space="0" w:color="auto"/>
                <w:left w:val="none" w:sz="0" w:space="0" w:color="auto"/>
                <w:bottom w:val="none" w:sz="0" w:space="0" w:color="auto"/>
                <w:right w:val="none" w:sz="0" w:space="0" w:color="auto"/>
              </w:divBdr>
              <w:divsChild>
                <w:div w:id="1545025470">
                  <w:marLeft w:val="0"/>
                  <w:marRight w:val="0"/>
                  <w:marTop w:val="0"/>
                  <w:marBottom w:val="0"/>
                  <w:divBdr>
                    <w:top w:val="none" w:sz="0" w:space="0" w:color="auto"/>
                    <w:left w:val="none" w:sz="0" w:space="0" w:color="auto"/>
                    <w:bottom w:val="none" w:sz="0" w:space="0" w:color="auto"/>
                    <w:right w:val="none" w:sz="0" w:space="0" w:color="auto"/>
                  </w:divBdr>
                  <w:divsChild>
                    <w:div w:id="2100514500">
                      <w:marLeft w:val="0"/>
                      <w:marRight w:val="0"/>
                      <w:marTop w:val="0"/>
                      <w:marBottom w:val="0"/>
                      <w:divBdr>
                        <w:top w:val="none" w:sz="0" w:space="0" w:color="auto"/>
                        <w:left w:val="none" w:sz="0" w:space="0" w:color="auto"/>
                        <w:bottom w:val="none" w:sz="0" w:space="0" w:color="auto"/>
                        <w:right w:val="none" w:sz="0" w:space="0" w:color="auto"/>
                      </w:divBdr>
                      <w:divsChild>
                        <w:div w:id="2014797764">
                          <w:marLeft w:val="0"/>
                          <w:marRight w:val="0"/>
                          <w:marTop w:val="0"/>
                          <w:marBottom w:val="0"/>
                          <w:divBdr>
                            <w:top w:val="none" w:sz="0" w:space="0" w:color="auto"/>
                            <w:left w:val="none" w:sz="0" w:space="0" w:color="auto"/>
                            <w:bottom w:val="none" w:sz="0" w:space="0" w:color="auto"/>
                            <w:right w:val="none" w:sz="0" w:space="0" w:color="auto"/>
                          </w:divBdr>
                          <w:divsChild>
                            <w:div w:id="1026180397">
                              <w:marLeft w:val="0"/>
                              <w:marRight w:val="0"/>
                              <w:marTop w:val="0"/>
                              <w:marBottom w:val="0"/>
                              <w:divBdr>
                                <w:top w:val="none" w:sz="0" w:space="0" w:color="auto"/>
                                <w:left w:val="none" w:sz="0" w:space="0" w:color="auto"/>
                                <w:bottom w:val="none" w:sz="0" w:space="0" w:color="auto"/>
                                <w:right w:val="none" w:sz="0" w:space="0" w:color="auto"/>
                              </w:divBdr>
                              <w:divsChild>
                                <w:div w:id="1021476271">
                                  <w:marLeft w:val="0"/>
                                  <w:marRight w:val="0"/>
                                  <w:marTop w:val="0"/>
                                  <w:marBottom w:val="0"/>
                                  <w:divBdr>
                                    <w:top w:val="none" w:sz="0" w:space="0" w:color="auto"/>
                                    <w:left w:val="none" w:sz="0" w:space="0" w:color="auto"/>
                                    <w:bottom w:val="none" w:sz="0" w:space="0" w:color="auto"/>
                                    <w:right w:val="none" w:sz="0" w:space="0" w:color="auto"/>
                                  </w:divBdr>
                                  <w:divsChild>
                                    <w:div w:id="878973518">
                                      <w:marLeft w:val="0"/>
                                      <w:marRight w:val="0"/>
                                      <w:marTop w:val="0"/>
                                      <w:marBottom w:val="0"/>
                                      <w:divBdr>
                                        <w:top w:val="none" w:sz="0" w:space="0" w:color="auto"/>
                                        <w:left w:val="none" w:sz="0" w:space="0" w:color="auto"/>
                                        <w:bottom w:val="none" w:sz="0" w:space="0" w:color="auto"/>
                                        <w:right w:val="none" w:sz="0" w:space="0" w:color="auto"/>
                                      </w:divBdr>
                                      <w:divsChild>
                                        <w:div w:id="27026697">
                                          <w:marLeft w:val="0"/>
                                          <w:marRight w:val="0"/>
                                          <w:marTop w:val="0"/>
                                          <w:marBottom w:val="0"/>
                                          <w:divBdr>
                                            <w:top w:val="none" w:sz="0" w:space="0" w:color="auto"/>
                                            <w:left w:val="none" w:sz="0" w:space="0" w:color="auto"/>
                                            <w:bottom w:val="none" w:sz="0" w:space="0" w:color="auto"/>
                                            <w:right w:val="none" w:sz="0" w:space="0" w:color="auto"/>
                                          </w:divBdr>
                                          <w:divsChild>
                                            <w:div w:id="282658273">
                                              <w:marLeft w:val="0"/>
                                              <w:marRight w:val="0"/>
                                              <w:marTop w:val="0"/>
                                              <w:marBottom w:val="0"/>
                                              <w:divBdr>
                                                <w:top w:val="none" w:sz="0" w:space="0" w:color="auto"/>
                                                <w:left w:val="none" w:sz="0" w:space="0" w:color="auto"/>
                                                <w:bottom w:val="none" w:sz="0" w:space="0" w:color="auto"/>
                                                <w:right w:val="none" w:sz="0" w:space="0" w:color="auto"/>
                                              </w:divBdr>
                                              <w:divsChild>
                                                <w:div w:id="1698503989">
                                                  <w:marLeft w:val="0"/>
                                                  <w:marRight w:val="0"/>
                                                  <w:marTop w:val="0"/>
                                                  <w:marBottom w:val="0"/>
                                                  <w:divBdr>
                                                    <w:top w:val="none" w:sz="0" w:space="0" w:color="auto"/>
                                                    <w:left w:val="none" w:sz="0" w:space="0" w:color="auto"/>
                                                    <w:bottom w:val="none" w:sz="0" w:space="0" w:color="auto"/>
                                                    <w:right w:val="none" w:sz="0" w:space="0" w:color="auto"/>
                                                  </w:divBdr>
                                                  <w:divsChild>
                                                    <w:div w:id="1007901625">
                                                      <w:marLeft w:val="0"/>
                                                      <w:marRight w:val="0"/>
                                                      <w:marTop w:val="0"/>
                                                      <w:marBottom w:val="0"/>
                                                      <w:divBdr>
                                                        <w:top w:val="none" w:sz="0" w:space="0" w:color="auto"/>
                                                        <w:left w:val="none" w:sz="0" w:space="0" w:color="auto"/>
                                                        <w:bottom w:val="none" w:sz="0" w:space="0" w:color="auto"/>
                                                        <w:right w:val="none" w:sz="0" w:space="0" w:color="auto"/>
                                                      </w:divBdr>
                                                      <w:divsChild>
                                                        <w:div w:id="5280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9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7B06EBC-E449-4063-9A8B-A829799BE7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2871BA85A6C8E4181DE7AF25361B48D" ma:contentTypeVersion="" ma:contentTypeDescription="PDMS Document Site Content Type" ma:contentTypeScope="" ma:versionID="34d00284a9f30f76bab6d9f017f95fa6">
  <xsd:schema xmlns:xsd="http://www.w3.org/2001/XMLSchema" xmlns:xs="http://www.w3.org/2001/XMLSchema" xmlns:p="http://schemas.microsoft.com/office/2006/metadata/properties" xmlns:ns2="57B06EBC-E449-4063-9A8B-A829799BE7C9" targetNamespace="http://schemas.microsoft.com/office/2006/metadata/properties" ma:root="true" ma:fieldsID="a156f9a06254d361588079638fdc8744" ns2:_="">
    <xsd:import namespace="57B06EBC-E449-4063-9A8B-A829799BE7C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06EBC-E449-4063-9A8B-A829799BE7C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7281A-6096-45A9-B030-1807C77F99AA}">
  <ds:schemaRefs>
    <ds:schemaRef ds:uri="57B06EBC-E449-4063-9A8B-A829799BE7C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7CE63F-7D00-4AFE-8986-50474FDFE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06EBC-E449-4063-9A8B-A829799BE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8AE9A-A1C0-4AA0-9223-174D74DFB8A0}">
  <ds:schemaRefs>
    <ds:schemaRef ds:uri="http://schemas.microsoft.com/sharepoint/v3/contenttype/forms"/>
  </ds:schemaRefs>
</ds:datastoreItem>
</file>

<file path=customXml/itemProps4.xml><?xml version="1.0" encoding="utf-8"?>
<ds:datastoreItem xmlns:ds="http://schemas.openxmlformats.org/officeDocument/2006/customXml" ds:itemID="{19228F6A-816B-4DAC-9448-EEB4DAF8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50045E7C.dotm</Template>
  <TotalTime>0</TotalTime>
  <Pages>15</Pages>
  <Words>2338</Words>
  <Characters>13328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JURD,Michael</dc:creator>
  <cp:keywords/>
  <dc:description/>
  <cp:lastModifiedBy>Jenny Wong</cp:lastModifiedBy>
  <cp:revision>2</cp:revision>
  <dcterms:created xsi:type="dcterms:W3CDTF">2019-03-12T03:50:00Z</dcterms:created>
  <dcterms:modified xsi:type="dcterms:W3CDTF">2019-03-12T03:50:00Z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0x010100266966F133664895A6EE3632470D45F50002871BA85A6C8E4181DE7AF25361B48D</vt:lpwstr>
  </property>
</Properties>
</file>