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C15" w:rsidRPr="005C3C9F" w:rsidRDefault="004B5C15" w:rsidP="00E459C2">
      <w:pPr>
        <w:shd w:val="clear" w:color="auto" w:fill="FFFFFF"/>
        <w:spacing w:after="120"/>
        <w:jc w:val="center"/>
        <w:rPr>
          <w:rFonts w:eastAsia="Times New Roman"/>
          <w:b/>
          <w:lang w:eastAsia="en-AU"/>
        </w:rPr>
      </w:pPr>
      <w:bookmarkStart w:id="0" w:name="_GoBack"/>
      <w:bookmarkEnd w:id="0"/>
      <w:r w:rsidRPr="005C3C9F">
        <w:rPr>
          <w:rFonts w:eastAsia="Times New Roman"/>
          <w:b/>
          <w:lang w:eastAsia="en-AU"/>
        </w:rPr>
        <w:t>EXPLANATORY STATEMENT</w:t>
      </w:r>
    </w:p>
    <w:p w:rsidR="004B5C15" w:rsidRPr="00924151" w:rsidRDefault="004B5C15" w:rsidP="00E459C2">
      <w:pPr>
        <w:spacing w:after="120"/>
        <w:jc w:val="center"/>
        <w:rPr>
          <w:i/>
        </w:rPr>
      </w:pPr>
      <w:r>
        <w:rPr>
          <w:i/>
        </w:rPr>
        <w:t xml:space="preserve">Seafarers </w:t>
      </w:r>
      <w:r w:rsidRPr="00924151">
        <w:rPr>
          <w:i/>
        </w:rPr>
        <w:t>Rehabili</w:t>
      </w:r>
      <w:r>
        <w:rPr>
          <w:i/>
        </w:rPr>
        <w:t>tation and Compensation Act 1992</w:t>
      </w:r>
    </w:p>
    <w:p w:rsidR="004B5C15" w:rsidRPr="00924151" w:rsidRDefault="004B5C15" w:rsidP="00E459C2">
      <w:pPr>
        <w:spacing w:after="120"/>
        <w:jc w:val="center"/>
      </w:pPr>
      <w:r w:rsidRPr="00924151">
        <w:t xml:space="preserve">Issued by the Minister for </w:t>
      </w:r>
      <w:r>
        <w:t>Jobs and Industrial Relations</w:t>
      </w:r>
    </w:p>
    <w:p w:rsidR="001A0EEA" w:rsidRDefault="00074EB9" w:rsidP="00E459C2">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after="120"/>
        <w:ind w:left="57"/>
        <w:jc w:val="center"/>
        <w:rPr>
          <w:b/>
          <w:lang w:val="en-AU"/>
        </w:rPr>
      </w:pPr>
      <w:r w:rsidRPr="00B0138C">
        <w:rPr>
          <w:b/>
          <w:lang w:val="en-AU"/>
        </w:rPr>
        <w:t>Seafarers Rehabilitation and Compensation</w:t>
      </w:r>
      <w:r w:rsidR="004B5C15">
        <w:rPr>
          <w:b/>
          <w:lang w:val="en-AU"/>
        </w:rPr>
        <w:br/>
      </w:r>
      <w:r w:rsidRPr="00B0138C">
        <w:rPr>
          <w:b/>
          <w:lang w:val="en-AU"/>
        </w:rPr>
        <w:t xml:space="preserve">(Rate of Interest Payable – s130(3)) </w:t>
      </w:r>
      <w:r w:rsidR="00541DA3">
        <w:rPr>
          <w:b/>
          <w:lang w:val="en-AU"/>
        </w:rPr>
        <w:t xml:space="preserve">Instrument </w:t>
      </w:r>
      <w:r w:rsidR="00541DA3" w:rsidRPr="00B0138C">
        <w:rPr>
          <w:b/>
          <w:lang w:val="en-AU"/>
        </w:rPr>
        <w:t>2019</w:t>
      </w:r>
    </w:p>
    <w:p w:rsidR="004F201F" w:rsidRPr="00B0138C" w:rsidRDefault="004F201F" w:rsidP="006074A3">
      <w:pPr>
        <w:tabs>
          <w:tab w:val="left" w:pos="6521"/>
        </w:tabs>
        <w:spacing w:before="240" w:after="120"/>
        <w:ind w:right="-164"/>
      </w:pPr>
      <w:r w:rsidRPr="0036779E">
        <w:t xml:space="preserve">The </w:t>
      </w:r>
      <w:r w:rsidRPr="008D60E4">
        <w:rPr>
          <w:i/>
        </w:rPr>
        <w:t>Seafarers Rehabilitation and Compensation Act 1992</w:t>
      </w:r>
      <w:r w:rsidRPr="0036779E">
        <w:t xml:space="preserve"> (Seafarers Act) provides workers’ compensation and rehabilitation arrangements for seafarers in a defined part of the Australian maritime industry.</w:t>
      </w:r>
      <w:r w:rsidR="002729F1" w:rsidRPr="002729F1">
        <w:t xml:space="preserve"> </w:t>
      </w:r>
      <w:r w:rsidR="002729F1" w:rsidRPr="0036779E">
        <w:t xml:space="preserve">The Seafarers Act operates in conjunction with the </w:t>
      </w:r>
      <w:r w:rsidR="002729F1" w:rsidRPr="0036779E">
        <w:rPr>
          <w:i/>
          <w:iCs/>
        </w:rPr>
        <w:t>Occupational Health and Safety (Maritime Industry) Act 1993</w:t>
      </w:r>
      <w:r w:rsidR="002729F1">
        <w:t xml:space="preserve"> to</w:t>
      </w:r>
      <w:r w:rsidR="002729F1" w:rsidRPr="0036779E">
        <w:t xml:space="preserve"> establish the ‘Seacare scheme’.</w:t>
      </w:r>
    </w:p>
    <w:p w:rsidR="004F201F" w:rsidRDefault="00B0138C" w:rsidP="00E459C2">
      <w:pPr>
        <w:shd w:val="clear" w:color="auto" w:fill="FFFFFF"/>
        <w:spacing w:after="120"/>
        <w:rPr>
          <w:rFonts w:eastAsia="Times New Roman"/>
          <w:lang w:eastAsia="en-AU"/>
        </w:rPr>
      </w:pPr>
      <w:r w:rsidRPr="001900F5">
        <w:rPr>
          <w:rFonts w:eastAsia="Times New Roman"/>
          <w:lang w:eastAsia="en-AU"/>
        </w:rPr>
        <w:t xml:space="preserve">The </w:t>
      </w:r>
      <w:r>
        <w:rPr>
          <w:rFonts w:eastAsia="Times New Roman"/>
          <w:lang w:eastAsia="en-AU"/>
        </w:rPr>
        <w:t xml:space="preserve">Seafarers </w:t>
      </w:r>
      <w:r w:rsidRPr="001900F5">
        <w:rPr>
          <w:rFonts w:eastAsia="Times New Roman"/>
          <w:lang w:eastAsia="en-AU"/>
        </w:rPr>
        <w:t>Act provides for lump sum payments to claimants for injuries which result in permanent impairment</w:t>
      </w:r>
      <w:r w:rsidR="004F201F">
        <w:rPr>
          <w:rFonts w:eastAsia="Times New Roman"/>
          <w:lang w:eastAsia="en-AU"/>
        </w:rPr>
        <w:t xml:space="preserve"> or death</w:t>
      </w:r>
      <w:r w:rsidRPr="001900F5">
        <w:rPr>
          <w:rFonts w:eastAsia="Times New Roman"/>
          <w:lang w:eastAsia="en-AU"/>
        </w:rPr>
        <w:t xml:space="preserve">. The </w:t>
      </w:r>
      <w:r w:rsidR="00EE4313">
        <w:rPr>
          <w:rFonts w:eastAsia="Times New Roman"/>
          <w:lang w:eastAsia="en-AU"/>
        </w:rPr>
        <w:t xml:space="preserve">Seafarers Act provides for the </w:t>
      </w:r>
      <w:r w:rsidR="002D38DA">
        <w:rPr>
          <w:rFonts w:eastAsia="Times New Roman"/>
          <w:lang w:eastAsia="en-AU"/>
        </w:rPr>
        <w:t>determination</w:t>
      </w:r>
      <w:r w:rsidR="00EE4313">
        <w:rPr>
          <w:rFonts w:eastAsia="Times New Roman"/>
          <w:lang w:eastAsia="en-AU"/>
        </w:rPr>
        <w:t xml:space="preserve"> of the amount of compensation for</w:t>
      </w:r>
      <w:r w:rsidR="004F201F">
        <w:rPr>
          <w:rFonts w:eastAsia="Times New Roman"/>
          <w:lang w:eastAsia="en-AU"/>
        </w:rPr>
        <w:t>:</w:t>
      </w:r>
    </w:p>
    <w:p w:rsidR="00EE4313" w:rsidRPr="002D38DA" w:rsidRDefault="00B0138C" w:rsidP="00E459C2">
      <w:pPr>
        <w:pStyle w:val="ListParagraph"/>
        <w:numPr>
          <w:ilvl w:val="0"/>
          <w:numId w:val="29"/>
        </w:numPr>
        <w:shd w:val="clear" w:color="auto" w:fill="FFFFFF"/>
        <w:spacing w:after="120" w:line="240" w:lineRule="auto"/>
        <w:rPr>
          <w:rFonts w:eastAsia="Times New Roman"/>
          <w:lang w:eastAsia="en-AU"/>
        </w:rPr>
      </w:pPr>
      <w:r w:rsidRPr="002D38DA">
        <w:rPr>
          <w:rFonts w:eastAsia="Times New Roman"/>
          <w:lang w:eastAsia="en-AU"/>
        </w:rPr>
        <w:t>permanent impairment</w:t>
      </w:r>
      <w:r w:rsidR="00EE4313" w:rsidRPr="002D38DA">
        <w:rPr>
          <w:rFonts w:eastAsia="Times New Roman"/>
          <w:lang w:eastAsia="en-AU"/>
        </w:rPr>
        <w:t>—</w:t>
      </w:r>
      <w:r w:rsidRPr="002D38DA">
        <w:rPr>
          <w:rFonts w:eastAsia="Times New Roman"/>
          <w:lang w:eastAsia="en-AU"/>
        </w:rPr>
        <w:t>under section</w:t>
      </w:r>
      <w:r w:rsidR="004F201F" w:rsidRPr="002D38DA">
        <w:rPr>
          <w:rFonts w:eastAsia="Times New Roman"/>
          <w:lang w:eastAsia="en-AU"/>
        </w:rPr>
        <w:t>s 39 and 41 (if applicable)</w:t>
      </w:r>
      <w:r w:rsidR="00EE4313">
        <w:rPr>
          <w:rFonts w:eastAsia="Times New Roman"/>
          <w:lang w:eastAsia="en-AU"/>
        </w:rPr>
        <w:t xml:space="preserve"> and </w:t>
      </w:r>
      <w:r w:rsidR="00EE4313" w:rsidRPr="002D38DA">
        <w:rPr>
          <w:rFonts w:eastAsia="Times New Roman"/>
          <w:lang w:eastAsia="en-AU"/>
        </w:rPr>
        <w:t xml:space="preserve">related </w:t>
      </w:r>
      <w:r w:rsidRPr="002D38DA">
        <w:rPr>
          <w:rFonts w:eastAsia="Times New Roman"/>
          <w:lang w:eastAsia="en-AU"/>
        </w:rPr>
        <w:t>interim payment</w:t>
      </w:r>
      <w:r w:rsidR="00EE4313" w:rsidRPr="002D38DA">
        <w:rPr>
          <w:rFonts w:eastAsia="Times New Roman"/>
          <w:lang w:eastAsia="en-AU"/>
        </w:rPr>
        <w:t>s</w:t>
      </w:r>
      <w:r w:rsidR="00EE4313">
        <w:rPr>
          <w:rFonts w:eastAsia="Times New Roman"/>
          <w:lang w:eastAsia="en-AU"/>
        </w:rPr>
        <w:t xml:space="preserve"> </w:t>
      </w:r>
      <w:r w:rsidRPr="002D38DA">
        <w:rPr>
          <w:rFonts w:eastAsia="Times New Roman"/>
          <w:lang w:eastAsia="en-AU"/>
        </w:rPr>
        <w:t xml:space="preserve">under section </w:t>
      </w:r>
      <w:r w:rsidR="004F201F" w:rsidRPr="002D38DA">
        <w:rPr>
          <w:rFonts w:eastAsia="Times New Roman"/>
          <w:lang w:eastAsia="en-AU"/>
        </w:rPr>
        <w:t>40</w:t>
      </w:r>
      <w:r w:rsidR="00EE4313" w:rsidRPr="002D38DA">
        <w:rPr>
          <w:rFonts w:eastAsia="Times New Roman"/>
          <w:lang w:eastAsia="en-AU"/>
        </w:rPr>
        <w:t>; and</w:t>
      </w:r>
    </w:p>
    <w:p w:rsidR="00EE4313" w:rsidRDefault="00EE4313" w:rsidP="00E459C2">
      <w:pPr>
        <w:pStyle w:val="ListParagraph"/>
        <w:numPr>
          <w:ilvl w:val="0"/>
          <w:numId w:val="29"/>
        </w:numPr>
        <w:shd w:val="clear" w:color="auto" w:fill="FFFFFF"/>
        <w:spacing w:after="120" w:line="240" w:lineRule="auto"/>
        <w:rPr>
          <w:rFonts w:eastAsia="Times New Roman"/>
          <w:lang w:eastAsia="en-AU"/>
        </w:rPr>
      </w:pPr>
      <w:r>
        <w:rPr>
          <w:rFonts w:eastAsia="Times New Roman"/>
          <w:lang w:eastAsia="en-AU"/>
        </w:rPr>
        <w:t xml:space="preserve">injuries </w:t>
      </w:r>
      <w:r w:rsidR="006C47BD">
        <w:rPr>
          <w:rFonts w:eastAsia="Times New Roman"/>
          <w:lang w:eastAsia="en-AU"/>
        </w:rPr>
        <w:t xml:space="preserve">resulting </w:t>
      </w:r>
      <w:r>
        <w:rPr>
          <w:rFonts w:eastAsia="Times New Roman"/>
          <w:lang w:eastAsia="en-AU"/>
        </w:rPr>
        <w:t>in death—under section 29.</w:t>
      </w:r>
    </w:p>
    <w:p w:rsidR="00B0138C" w:rsidRDefault="00EE4313" w:rsidP="00E459C2">
      <w:pPr>
        <w:shd w:val="clear" w:color="auto" w:fill="FFFFFF"/>
        <w:spacing w:after="120"/>
        <w:rPr>
          <w:rFonts w:eastAsia="Times New Roman"/>
          <w:lang w:eastAsia="en-AU"/>
        </w:rPr>
      </w:pPr>
      <w:r>
        <w:rPr>
          <w:rFonts w:eastAsia="Times New Roman"/>
          <w:lang w:eastAsia="en-AU"/>
        </w:rPr>
        <w:t>The Seafarers Act pr</w:t>
      </w:r>
      <w:r w:rsidR="002D38DA">
        <w:rPr>
          <w:rFonts w:eastAsia="Times New Roman"/>
          <w:lang w:eastAsia="en-AU"/>
        </w:rPr>
        <w:t>ovides that interest is payable for late payment</w:t>
      </w:r>
      <w:r w:rsidR="00B0138C" w:rsidRPr="002D38DA">
        <w:rPr>
          <w:rFonts w:eastAsia="Times New Roman"/>
          <w:lang w:eastAsia="en-AU"/>
        </w:rPr>
        <w:t xml:space="preserve"> </w:t>
      </w:r>
      <w:r w:rsidR="006C47BD">
        <w:rPr>
          <w:rFonts w:eastAsia="Times New Roman"/>
          <w:lang w:eastAsia="en-AU"/>
        </w:rPr>
        <w:t>except in the</w:t>
      </w:r>
      <w:r w:rsidR="00B0138C" w:rsidRPr="002D38DA">
        <w:rPr>
          <w:rFonts w:eastAsia="Times New Roman"/>
          <w:lang w:eastAsia="en-AU"/>
        </w:rPr>
        <w:t xml:space="preserve"> circumstances</w:t>
      </w:r>
      <w:r w:rsidR="002D38DA">
        <w:rPr>
          <w:rFonts w:eastAsia="Times New Roman"/>
          <w:lang w:eastAsia="en-AU"/>
        </w:rPr>
        <w:t xml:space="preserve"> </w:t>
      </w:r>
      <w:r w:rsidR="006C47BD">
        <w:rPr>
          <w:rFonts w:eastAsia="Times New Roman"/>
          <w:lang w:eastAsia="en-AU"/>
        </w:rPr>
        <w:t>of</w:t>
      </w:r>
      <w:r w:rsidR="002D38DA">
        <w:rPr>
          <w:rFonts w:eastAsia="Times New Roman"/>
          <w:lang w:eastAsia="en-AU"/>
        </w:rPr>
        <w:t xml:space="preserve"> certain reconsideration and review processes</w:t>
      </w:r>
      <w:r>
        <w:rPr>
          <w:rFonts w:eastAsia="Times New Roman"/>
          <w:lang w:eastAsia="en-AU"/>
        </w:rPr>
        <w:t xml:space="preserve"> (s</w:t>
      </w:r>
      <w:r w:rsidR="009E4F00">
        <w:rPr>
          <w:rFonts w:eastAsia="Times New Roman"/>
          <w:lang w:eastAsia="en-AU"/>
        </w:rPr>
        <w:t>ection</w:t>
      </w:r>
      <w:r>
        <w:rPr>
          <w:rFonts w:eastAsia="Times New Roman"/>
          <w:lang w:eastAsia="en-AU"/>
        </w:rPr>
        <w:t> </w:t>
      </w:r>
      <w:r w:rsidR="002D38DA">
        <w:rPr>
          <w:rFonts w:eastAsia="Times New Roman"/>
          <w:lang w:eastAsia="en-AU"/>
        </w:rPr>
        <w:t>130)</w:t>
      </w:r>
      <w:r w:rsidR="00B0138C" w:rsidRPr="002D38DA">
        <w:rPr>
          <w:rFonts w:eastAsia="Times New Roman"/>
          <w:lang w:eastAsia="en-AU"/>
        </w:rPr>
        <w:t>. If payment is not made</w:t>
      </w:r>
      <w:r w:rsidR="002D38DA">
        <w:rPr>
          <w:rFonts w:eastAsia="Times New Roman"/>
          <w:lang w:eastAsia="en-AU"/>
        </w:rPr>
        <w:t xml:space="preserve"> to a claimant under section 29, 3</w:t>
      </w:r>
      <w:r w:rsidR="0094774B">
        <w:rPr>
          <w:rFonts w:eastAsia="Times New Roman"/>
          <w:lang w:eastAsia="en-AU"/>
        </w:rPr>
        <w:t>9</w:t>
      </w:r>
      <w:r w:rsidR="002D38DA">
        <w:rPr>
          <w:rFonts w:eastAsia="Times New Roman"/>
          <w:lang w:eastAsia="en-AU"/>
        </w:rPr>
        <w:t>, 40 or 41</w:t>
      </w:r>
      <w:r w:rsidR="00B0138C" w:rsidRPr="002D38DA">
        <w:rPr>
          <w:rFonts w:eastAsia="Times New Roman"/>
          <w:lang w:eastAsia="en-AU"/>
        </w:rPr>
        <w:t xml:space="preserve"> within 30 days after the date of </w:t>
      </w:r>
      <w:r w:rsidR="002D38DA">
        <w:rPr>
          <w:rFonts w:eastAsia="Times New Roman"/>
          <w:lang w:eastAsia="en-AU"/>
        </w:rPr>
        <w:t>determination</w:t>
      </w:r>
      <w:r w:rsidR="00B0138C" w:rsidRPr="002D38DA">
        <w:rPr>
          <w:rFonts w:eastAsia="Times New Roman"/>
          <w:lang w:eastAsia="en-AU"/>
        </w:rPr>
        <w:t xml:space="preserve"> of the amount, interest is payable </w:t>
      </w:r>
      <w:r w:rsidR="002D38DA">
        <w:rPr>
          <w:rFonts w:eastAsia="Times New Roman"/>
          <w:lang w:eastAsia="en-AU"/>
        </w:rPr>
        <w:t>to the claimant on that amount</w:t>
      </w:r>
      <w:r w:rsidR="004D79E3">
        <w:rPr>
          <w:rFonts w:eastAsia="Times New Roman"/>
          <w:lang w:eastAsia="en-AU"/>
        </w:rPr>
        <w:t xml:space="preserve"> (subsection 130(2))</w:t>
      </w:r>
      <w:r w:rsidR="002D38DA">
        <w:rPr>
          <w:rFonts w:eastAsia="Times New Roman"/>
          <w:lang w:eastAsia="en-AU"/>
        </w:rPr>
        <w:t>. Interest is payable for the period</w:t>
      </w:r>
      <w:r w:rsidR="00B0138C" w:rsidRPr="002D38DA">
        <w:rPr>
          <w:rFonts w:eastAsia="Times New Roman"/>
          <w:lang w:eastAsia="en-AU"/>
        </w:rPr>
        <w:t xml:space="preserve"> from the 31</w:t>
      </w:r>
      <w:r w:rsidR="00B0138C" w:rsidRPr="002D38DA">
        <w:rPr>
          <w:rFonts w:eastAsia="Times New Roman"/>
          <w:vertAlign w:val="superscript"/>
          <w:lang w:eastAsia="en-AU"/>
        </w:rPr>
        <w:t>st</w:t>
      </w:r>
      <w:r w:rsidR="00B0138C" w:rsidRPr="002D38DA">
        <w:rPr>
          <w:rFonts w:eastAsia="Times New Roman"/>
          <w:lang w:eastAsia="en-AU"/>
        </w:rPr>
        <w:t> day</w:t>
      </w:r>
      <w:r w:rsidR="003A659E">
        <w:rPr>
          <w:rFonts w:eastAsia="Times New Roman"/>
          <w:lang w:eastAsia="en-AU"/>
        </w:rPr>
        <w:t xml:space="preserve"> after the date of determination</w:t>
      </w:r>
      <w:r w:rsidR="00B0138C" w:rsidRPr="002D38DA">
        <w:rPr>
          <w:rFonts w:eastAsia="Times New Roman"/>
          <w:lang w:eastAsia="en-AU"/>
        </w:rPr>
        <w:t xml:space="preserve"> to the day on which the </w:t>
      </w:r>
      <w:r w:rsidR="002D38DA">
        <w:rPr>
          <w:rFonts w:eastAsia="Times New Roman"/>
          <w:lang w:eastAsia="en-AU"/>
        </w:rPr>
        <w:t xml:space="preserve">compensation </w:t>
      </w:r>
      <w:r w:rsidR="00B0138C" w:rsidRPr="002D38DA">
        <w:rPr>
          <w:rFonts w:eastAsia="Times New Roman"/>
          <w:lang w:eastAsia="en-AU"/>
        </w:rPr>
        <w:t>amount is paid.</w:t>
      </w:r>
    </w:p>
    <w:p w:rsidR="000F7347" w:rsidRPr="00DB089C" w:rsidRDefault="000F7347" w:rsidP="00E459C2">
      <w:pPr>
        <w:shd w:val="clear" w:color="auto" w:fill="FFFFFF"/>
        <w:spacing w:after="120"/>
        <w:rPr>
          <w:rFonts w:eastAsia="Times New Roman"/>
          <w:lang w:eastAsia="en-AU"/>
        </w:rPr>
      </w:pPr>
      <w:r>
        <w:rPr>
          <w:rFonts w:eastAsia="Times New Roman"/>
          <w:lang w:eastAsia="en-AU"/>
        </w:rPr>
        <w:t xml:space="preserve">Subsection 130(3) allows the Minister to specify the rate of interest for the purposes of this section by </w:t>
      </w:r>
      <w:r w:rsidRPr="00DB089C">
        <w:rPr>
          <w:rFonts w:eastAsia="Times New Roman"/>
          <w:lang w:eastAsia="en-AU"/>
        </w:rPr>
        <w:t>legislative instrument.</w:t>
      </w:r>
    </w:p>
    <w:p w:rsidR="004F201F" w:rsidRPr="00DB089C" w:rsidRDefault="0002674D" w:rsidP="00E459C2">
      <w:pPr>
        <w:shd w:val="clear" w:color="auto" w:fill="FFFFFF"/>
        <w:spacing w:after="120"/>
        <w:rPr>
          <w:rFonts w:eastAsia="Times New Roman"/>
          <w:lang w:eastAsia="en-AU"/>
        </w:rPr>
      </w:pPr>
      <w:r>
        <w:rPr>
          <w:rFonts w:eastAsia="Times New Roman"/>
          <w:lang w:eastAsia="en-AU"/>
        </w:rPr>
        <w:t>Item 5 of t</w:t>
      </w:r>
      <w:r w:rsidR="004F201F" w:rsidRPr="00DB089C">
        <w:rPr>
          <w:rFonts w:eastAsia="Times New Roman"/>
          <w:lang w:eastAsia="en-AU"/>
        </w:rPr>
        <w:t xml:space="preserve">his instrument specifies the rate of interest payable to be </w:t>
      </w:r>
      <w:r w:rsidR="004D79E3" w:rsidRPr="00DB089C">
        <w:rPr>
          <w:rFonts w:eastAsia="Times New Roman"/>
          <w:lang w:eastAsia="en-AU"/>
        </w:rPr>
        <w:t>5 per cent</w:t>
      </w:r>
      <w:r w:rsidR="00167DE3">
        <w:rPr>
          <w:rFonts w:eastAsia="Times New Roman"/>
          <w:lang w:eastAsia="en-AU"/>
        </w:rPr>
        <w:t xml:space="preserve"> per annum</w:t>
      </w:r>
      <w:r w:rsidR="004D79E3" w:rsidRPr="00DB089C">
        <w:rPr>
          <w:rFonts w:eastAsia="Times New Roman"/>
          <w:lang w:eastAsia="en-AU"/>
        </w:rPr>
        <w:t>.</w:t>
      </w:r>
    </w:p>
    <w:p w:rsidR="004F201F" w:rsidRPr="00DB089C" w:rsidRDefault="001C0CA1">
      <w:pPr>
        <w:shd w:val="clear" w:color="auto" w:fill="FFFFFF"/>
        <w:spacing w:after="120"/>
        <w:rPr>
          <w:i/>
        </w:rPr>
      </w:pPr>
      <w:r w:rsidRPr="00DB089C">
        <w:t>This maintains</w:t>
      </w:r>
      <w:r w:rsidR="004D79E3" w:rsidRPr="00DB089C">
        <w:t xml:space="preserve"> the same rate of interest</w:t>
      </w:r>
      <w:r w:rsidR="0002674D">
        <w:t xml:space="preserve"> as that which was specified by </w:t>
      </w:r>
      <w:r w:rsidR="0002674D" w:rsidRPr="00DB089C">
        <w:t xml:space="preserve">item 4 of the </w:t>
      </w:r>
      <w:r w:rsidR="0002674D" w:rsidRPr="00DB089C">
        <w:rPr>
          <w:i/>
        </w:rPr>
        <w:t>Seafarers Rehabilitation and Compensation Act 1992 – Notice of Declarations and Specifications</w:t>
      </w:r>
      <w:r w:rsidR="0002674D">
        <w:rPr>
          <w:i/>
        </w:rPr>
        <w:t xml:space="preserve"> (25/05/1993)</w:t>
      </w:r>
      <w:r w:rsidR="0002674D" w:rsidRPr="00DB089C">
        <w:rPr>
          <w:i/>
        </w:rPr>
        <w:t xml:space="preserve"> </w:t>
      </w:r>
      <w:r w:rsidR="0002674D" w:rsidRPr="00DB089C">
        <w:t xml:space="preserve">(1993 </w:t>
      </w:r>
      <w:r w:rsidR="0002674D">
        <w:t>Notice</w:t>
      </w:r>
      <w:r w:rsidR="0002674D" w:rsidRPr="00DB089C">
        <w:t>)</w:t>
      </w:r>
      <w:r w:rsidR="004F201F" w:rsidRPr="00DB089C">
        <w:t>.</w:t>
      </w:r>
    </w:p>
    <w:p w:rsidR="002729F1" w:rsidRDefault="002729F1">
      <w:pPr>
        <w:shd w:val="clear" w:color="auto" w:fill="FFFFFF"/>
        <w:spacing w:after="120"/>
        <w:rPr>
          <w:rFonts w:eastAsia="Times New Roman"/>
          <w:lang w:eastAsia="en-AU"/>
        </w:rPr>
      </w:pPr>
      <w:r w:rsidRPr="00DB089C">
        <w:rPr>
          <w:rFonts w:eastAsia="Times New Roman"/>
          <w:lang w:eastAsia="en-AU"/>
        </w:rPr>
        <w:t xml:space="preserve">To provide certainty that there will be no concurrent operation of this instrument and item 4 of the 1993 </w:t>
      </w:r>
      <w:r w:rsidR="00302E38">
        <w:rPr>
          <w:rFonts w:eastAsia="Times New Roman"/>
          <w:lang w:eastAsia="en-AU"/>
        </w:rPr>
        <w:t>N</w:t>
      </w:r>
      <w:r w:rsidRPr="00DB089C">
        <w:rPr>
          <w:rFonts w:eastAsia="Times New Roman"/>
          <w:lang w:eastAsia="en-AU"/>
        </w:rPr>
        <w:t xml:space="preserve">otice, </w:t>
      </w:r>
      <w:r w:rsidR="0002674D">
        <w:rPr>
          <w:rFonts w:eastAsia="Times New Roman"/>
          <w:lang w:eastAsia="en-AU"/>
        </w:rPr>
        <w:t xml:space="preserve">Schedule 1 to </w:t>
      </w:r>
      <w:r w:rsidRPr="00DB089C">
        <w:rPr>
          <w:rFonts w:eastAsia="Times New Roman"/>
          <w:lang w:eastAsia="en-AU"/>
        </w:rPr>
        <w:t xml:space="preserve">this instrument repeals item 4 of the 1993 </w:t>
      </w:r>
      <w:r w:rsidR="00302E38">
        <w:rPr>
          <w:rFonts w:eastAsia="Times New Roman"/>
          <w:lang w:eastAsia="en-AU"/>
        </w:rPr>
        <w:t>N</w:t>
      </w:r>
      <w:r w:rsidRPr="00DB089C">
        <w:rPr>
          <w:rFonts w:eastAsia="Times New Roman"/>
          <w:lang w:eastAsia="en-AU"/>
        </w:rPr>
        <w:t xml:space="preserve">otice. The 1993 </w:t>
      </w:r>
      <w:r w:rsidR="00302E38">
        <w:rPr>
          <w:rFonts w:eastAsia="Times New Roman"/>
          <w:lang w:eastAsia="en-AU"/>
        </w:rPr>
        <w:t>N</w:t>
      </w:r>
      <w:r w:rsidRPr="00DB089C">
        <w:rPr>
          <w:rFonts w:eastAsia="Times New Roman"/>
          <w:lang w:eastAsia="en-AU"/>
        </w:rPr>
        <w:t>otice</w:t>
      </w:r>
      <w:r w:rsidR="006B71E4">
        <w:rPr>
          <w:rFonts w:eastAsia="Times New Roman"/>
          <w:lang w:eastAsia="en-AU"/>
        </w:rPr>
        <w:t xml:space="preserve"> will</w:t>
      </w:r>
      <w:r w:rsidRPr="00DB089C">
        <w:rPr>
          <w:rFonts w:eastAsia="Times New Roman"/>
          <w:lang w:eastAsia="en-AU"/>
        </w:rPr>
        <w:t xml:space="preserve"> sunset on 1 April 2019 as a result of the operation of section 50 of the </w:t>
      </w:r>
      <w:r w:rsidRPr="00DB089C">
        <w:rPr>
          <w:rFonts w:eastAsia="Times New Roman"/>
          <w:i/>
          <w:lang w:eastAsia="en-AU"/>
        </w:rPr>
        <w:t>Legislation Act 2003</w:t>
      </w:r>
      <w:r w:rsidRPr="00DB089C">
        <w:rPr>
          <w:rFonts w:eastAsia="Times New Roman"/>
          <w:lang w:eastAsia="en-AU"/>
        </w:rPr>
        <w:t>.</w:t>
      </w:r>
    </w:p>
    <w:p w:rsidR="0002674D" w:rsidRDefault="0002674D">
      <w:pPr>
        <w:tabs>
          <w:tab w:val="left" w:pos="6521"/>
        </w:tabs>
        <w:spacing w:after="120"/>
        <w:ind w:right="-164"/>
      </w:pPr>
      <w:r>
        <w:rPr>
          <w:rFonts w:eastAsia="Times New Roman"/>
          <w:lang w:eastAsia="en-AU"/>
        </w:rPr>
        <w:t>Item 2 of t</w:t>
      </w:r>
      <w:r w:rsidRPr="00DB089C">
        <w:rPr>
          <w:rFonts w:eastAsia="Times New Roman"/>
          <w:lang w:eastAsia="en-AU"/>
        </w:rPr>
        <w:t>his instrument</w:t>
      </w:r>
      <w:r>
        <w:rPr>
          <w:rFonts w:eastAsia="Times New Roman"/>
          <w:lang w:eastAsia="en-AU"/>
        </w:rPr>
        <w:t xml:space="preserve"> provides that this instrument</w:t>
      </w:r>
      <w:r w:rsidRPr="00DB089C">
        <w:rPr>
          <w:rFonts w:eastAsia="Times New Roman"/>
          <w:lang w:eastAsia="en-AU"/>
        </w:rPr>
        <w:t xml:space="preserve"> commence</w:t>
      </w:r>
      <w:r w:rsidR="00DB640C">
        <w:rPr>
          <w:rFonts w:eastAsia="Times New Roman"/>
          <w:lang w:eastAsia="en-AU"/>
        </w:rPr>
        <w:t>s</w:t>
      </w:r>
      <w:r w:rsidRPr="00DB089C">
        <w:rPr>
          <w:rFonts w:eastAsia="Times New Roman"/>
          <w:lang w:eastAsia="en-AU"/>
        </w:rPr>
        <w:t xml:space="preserve"> the day after it is registered on the Federal Register of Legislation.</w:t>
      </w:r>
    </w:p>
    <w:p w:rsidR="00F16502" w:rsidRDefault="002729F1">
      <w:pPr>
        <w:spacing w:after="120"/>
        <w:rPr>
          <w:rFonts w:eastAsia="Times New Roman"/>
          <w:lang w:eastAsia="en-AU"/>
        </w:rPr>
      </w:pPr>
      <w:r w:rsidRPr="00DB089C">
        <w:rPr>
          <w:rFonts w:eastAsia="Times New Roman"/>
          <w:lang w:eastAsia="en-AU"/>
        </w:rPr>
        <w:t xml:space="preserve">This instrument is a legislative instrument for the purposes of the </w:t>
      </w:r>
      <w:r w:rsidRPr="00DB089C">
        <w:rPr>
          <w:rFonts w:eastAsia="Times New Roman"/>
          <w:i/>
          <w:lang w:eastAsia="en-AU"/>
        </w:rPr>
        <w:t>Legislation Act 2003</w:t>
      </w:r>
      <w:r w:rsidRPr="00DB089C">
        <w:rPr>
          <w:rFonts w:eastAsia="Times New Roman"/>
          <w:lang w:eastAsia="en-AU"/>
        </w:rPr>
        <w:t>.</w:t>
      </w:r>
    </w:p>
    <w:p w:rsidR="00F7374C" w:rsidRDefault="00F7374C">
      <w:pPr>
        <w:shd w:val="clear" w:color="auto" w:fill="FFFFFF"/>
        <w:spacing w:after="120"/>
        <w:rPr>
          <w:rFonts w:eastAsia="Times New Roman"/>
          <w:b/>
          <w:lang w:eastAsia="en-AU"/>
        </w:rPr>
      </w:pPr>
      <w:r w:rsidRPr="00684017">
        <w:rPr>
          <w:rFonts w:eastAsia="Times New Roman"/>
          <w:b/>
          <w:lang w:eastAsia="en-AU"/>
        </w:rPr>
        <w:t xml:space="preserve">Consultation </w:t>
      </w:r>
    </w:p>
    <w:p w:rsidR="00AE1F6A" w:rsidRDefault="00536F2F" w:rsidP="006074A3">
      <w:pPr>
        <w:spacing w:after="120"/>
        <w:rPr>
          <w:rFonts w:eastAsia="Times New Roman"/>
          <w:lang w:eastAsia="en-AU"/>
        </w:rPr>
      </w:pPr>
      <w:r>
        <w:rPr>
          <w:rFonts w:eastAsia="Times New Roman"/>
          <w:lang w:eastAsia="en-AU"/>
        </w:rPr>
        <w:t>The Department of Jobs and Small Business c</w:t>
      </w:r>
      <w:r w:rsidR="008C71FB">
        <w:rPr>
          <w:rFonts w:eastAsia="Times New Roman"/>
          <w:lang w:eastAsia="en-AU"/>
        </w:rPr>
        <w:t xml:space="preserve">onsulted </w:t>
      </w:r>
      <w:r>
        <w:rPr>
          <w:rFonts w:eastAsia="Times New Roman"/>
          <w:lang w:eastAsia="en-AU"/>
        </w:rPr>
        <w:t>employ</w:t>
      </w:r>
      <w:r w:rsidR="008C71FB">
        <w:rPr>
          <w:rFonts w:eastAsia="Times New Roman"/>
          <w:lang w:eastAsia="en-AU"/>
        </w:rPr>
        <w:t>er and employee representatives</w:t>
      </w:r>
      <w:r w:rsidR="003C37DD">
        <w:rPr>
          <w:rFonts w:eastAsia="Times New Roman"/>
          <w:lang w:eastAsia="en-AU"/>
        </w:rPr>
        <w:t>,</w:t>
      </w:r>
      <w:r>
        <w:rPr>
          <w:rFonts w:eastAsia="Times New Roman"/>
          <w:lang w:eastAsia="en-AU"/>
        </w:rPr>
        <w:t xml:space="preserve"> the Seacare Authority, Comcare and the Austr</w:t>
      </w:r>
      <w:r w:rsidR="001C0CA1">
        <w:rPr>
          <w:rFonts w:eastAsia="Times New Roman"/>
          <w:lang w:eastAsia="en-AU"/>
        </w:rPr>
        <w:t>alian Maritime Safety Authority.</w:t>
      </w:r>
    </w:p>
    <w:p w:rsidR="00F7374C" w:rsidRPr="00684017" w:rsidRDefault="00F7374C" w:rsidP="006074A3">
      <w:pPr>
        <w:spacing w:after="120"/>
        <w:rPr>
          <w:rFonts w:eastAsia="Calibri"/>
          <w:b/>
        </w:rPr>
      </w:pPr>
      <w:r w:rsidRPr="00C04ACC">
        <w:rPr>
          <w:rFonts w:eastAsia="Calibri"/>
          <w:b/>
        </w:rPr>
        <w:t>Regulation Impact Statement</w:t>
      </w:r>
    </w:p>
    <w:p w:rsidR="002729F1" w:rsidRPr="00DB089C" w:rsidRDefault="002729F1" w:rsidP="00E459C2">
      <w:pPr>
        <w:spacing w:after="120"/>
        <w:rPr>
          <w:rFonts w:eastAsia="Times New Roman"/>
          <w:lang w:eastAsia="en-AU"/>
        </w:rPr>
      </w:pPr>
      <w:r w:rsidRPr="00DB089C">
        <w:rPr>
          <w:rFonts w:eastAsia="Times New Roman"/>
          <w:lang w:eastAsia="en-AU"/>
        </w:rPr>
        <w:t xml:space="preserve">The Office of Best Practice Regulation has confirmed that a </w:t>
      </w:r>
      <w:r w:rsidR="0002674D">
        <w:rPr>
          <w:rFonts w:eastAsia="Times New Roman"/>
          <w:lang w:eastAsia="en-AU"/>
        </w:rPr>
        <w:t>R</w:t>
      </w:r>
      <w:r w:rsidRPr="00DB089C">
        <w:rPr>
          <w:rFonts w:eastAsia="Times New Roman"/>
          <w:lang w:eastAsia="en-AU"/>
        </w:rPr>
        <w:t xml:space="preserve">egulation </w:t>
      </w:r>
      <w:r w:rsidR="0002674D">
        <w:rPr>
          <w:rFonts w:eastAsia="Times New Roman"/>
          <w:lang w:eastAsia="en-AU"/>
        </w:rPr>
        <w:t>I</w:t>
      </w:r>
      <w:r w:rsidRPr="00DB089C">
        <w:rPr>
          <w:rFonts w:eastAsia="Times New Roman"/>
          <w:lang w:eastAsia="en-AU"/>
        </w:rPr>
        <w:t xml:space="preserve">mpact </w:t>
      </w:r>
      <w:r w:rsidR="0002674D">
        <w:rPr>
          <w:rFonts w:eastAsia="Times New Roman"/>
          <w:lang w:eastAsia="en-AU"/>
        </w:rPr>
        <w:t>S</w:t>
      </w:r>
      <w:r w:rsidRPr="00DB089C">
        <w:rPr>
          <w:rFonts w:eastAsia="Times New Roman"/>
          <w:lang w:eastAsia="en-AU"/>
        </w:rPr>
        <w:t>tateme</w:t>
      </w:r>
      <w:r w:rsidR="004B5C15">
        <w:rPr>
          <w:rFonts w:eastAsia="Times New Roman"/>
          <w:lang w:eastAsia="en-AU"/>
        </w:rPr>
        <w:t xml:space="preserve">nt is not required (OBPR ID </w:t>
      </w:r>
      <w:r w:rsidR="004D79E3" w:rsidRPr="00DB089C">
        <w:t>24218</w:t>
      </w:r>
      <w:r w:rsidRPr="00DB089C">
        <w:rPr>
          <w:rFonts w:eastAsia="Times New Roman"/>
          <w:lang w:eastAsia="en-AU"/>
        </w:rPr>
        <w:t>).</w:t>
      </w:r>
    </w:p>
    <w:p w:rsidR="00D81B99" w:rsidRDefault="00D81B99">
      <w:pPr>
        <w:widowControl/>
        <w:spacing w:after="120"/>
        <w:ind w:left="142"/>
        <w:rPr>
          <w:b/>
          <w:lang w:val="en-AU"/>
        </w:rPr>
      </w:pPr>
      <w:r>
        <w:rPr>
          <w:b/>
          <w:lang w:val="en-AU"/>
        </w:rPr>
        <w:br w:type="page"/>
      </w:r>
    </w:p>
    <w:p w:rsidR="000F7347" w:rsidRPr="001900F5" w:rsidRDefault="000F7347">
      <w:pPr>
        <w:spacing w:after="120"/>
        <w:jc w:val="center"/>
        <w:rPr>
          <w:b/>
        </w:rPr>
      </w:pPr>
      <w:r w:rsidRPr="001900F5">
        <w:rPr>
          <w:b/>
        </w:rPr>
        <w:lastRenderedPageBreak/>
        <w:t>Statement of Compatibility with Human Rights</w:t>
      </w:r>
    </w:p>
    <w:p w:rsidR="000F7347" w:rsidRPr="001900F5" w:rsidRDefault="000F7347">
      <w:pPr>
        <w:spacing w:after="120"/>
        <w:jc w:val="center"/>
      </w:pPr>
      <w:r w:rsidRPr="001900F5">
        <w:rPr>
          <w:i/>
        </w:rPr>
        <w:t>Prepared in accordance with Part 3 of the Human Rights (Parliamentary Scrutiny) Act 2011</w:t>
      </w:r>
    </w:p>
    <w:p w:rsidR="000F7347" w:rsidRPr="001900F5" w:rsidRDefault="000F7347">
      <w:pPr>
        <w:spacing w:after="120"/>
        <w:jc w:val="center"/>
      </w:pPr>
      <w:r w:rsidRPr="00C03D2D">
        <w:rPr>
          <w:b/>
        </w:rPr>
        <w:t>S</w:t>
      </w:r>
      <w:r w:rsidR="00CA5264">
        <w:rPr>
          <w:b/>
        </w:rPr>
        <w:t xml:space="preserve">eafarers Rehabilitation and Compensation </w:t>
      </w:r>
      <w:r w:rsidR="004B5C15">
        <w:rPr>
          <w:b/>
        </w:rPr>
        <w:br/>
      </w:r>
      <w:r w:rsidR="00CA5264">
        <w:rPr>
          <w:b/>
        </w:rPr>
        <w:t>(</w:t>
      </w:r>
      <w:r w:rsidRPr="00C03D2D">
        <w:rPr>
          <w:b/>
        </w:rPr>
        <w:t>Rate of Interest Payable – s</w:t>
      </w:r>
      <w:r w:rsidR="00CA5264">
        <w:rPr>
          <w:b/>
        </w:rPr>
        <w:t>130(3)</w:t>
      </w:r>
      <w:r w:rsidRPr="00C03D2D">
        <w:rPr>
          <w:b/>
        </w:rPr>
        <w:t xml:space="preserve">) </w:t>
      </w:r>
      <w:r w:rsidR="00CB0291">
        <w:rPr>
          <w:b/>
        </w:rPr>
        <w:t>Instrument</w:t>
      </w:r>
      <w:r w:rsidR="00CA5264">
        <w:rPr>
          <w:b/>
        </w:rPr>
        <w:t> </w:t>
      </w:r>
      <w:r w:rsidRPr="00C03D2D">
        <w:rPr>
          <w:b/>
        </w:rPr>
        <w:t>201</w:t>
      </w:r>
      <w:r w:rsidR="00DB089C">
        <w:rPr>
          <w:b/>
        </w:rPr>
        <w:t>9</w:t>
      </w:r>
    </w:p>
    <w:p w:rsidR="000F7347" w:rsidRPr="001900F5" w:rsidRDefault="000F7347">
      <w:pPr>
        <w:spacing w:after="120"/>
      </w:pPr>
      <w:r>
        <w:t>This legislative i</w:t>
      </w:r>
      <w:r w:rsidRPr="001900F5">
        <w:t xml:space="preserve">nstrument is compatible with the human rights and freedoms recognised or declared in the international instruments listed in section 3 of the </w:t>
      </w:r>
      <w:r w:rsidRPr="001900F5">
        <w:rPr>
          <w:i/>
        </w:rPr>
        <w:t>Human Rights (Parliamentary Scrutiny) Act 2011</w:t>
      </w:r>
      <w:r w:rsidRPr="001900F5">
        <w:t>.</w:t>
      </w:r>
    </w:p>
    <w:p w:rsidR="000F7347" w:rsidRPr="001900F5" w:rsidRDefault="000F7347">
      <w:pPr>
        <w:spacing w:after="120"/>
        <w:jc w:val="both"/>
        <w:rPr>
          <w:b/>
        </w:rPr>
      </w:pPr>
      <w:r w:rsidRPr="001900F5">
        <w:rPr>
          <w:b/>
        </w:rPr>
        <w:t xml:space="preserve">Overview of the </w:t>
      </w:r>
      <w:r>
        <w:rPr>
          <w:b/>
        </w:rPr>
        <w:t>l</w:t>
      </w:r>
      <w:r w:rsidRPr="001900F5">
        <w:rPr>
          <w:b/>
        </w:rPr>
        <w:t xml:space="preserve">egislative </w:t>
      </w:r>
      <w:r>
        <w:rPr>
          <w:b/>
        </w:rPr>
        <w:t>i</w:t>
      </w:r>
      <w:r w:rsidRPr="001900F5">
        <w:rPr>
          <w:b/>
        </w:rPr>
        <w:t>nstrument</w:t>
      </w:r>
    </w:p>
    <w:p w:rsidR="006C3ACD" w:rsidRDefault="006C3ACD">
      <w:pPr>
        <w:spacing w:after="120"/>
      </w:pPr>
      <w:r w:rsidRPr="0036779E">
        <w:t xml:space="preserve">The </w:t>
      </w:r>
      <w:r w:rsidRPr="008D60E4">
        <w:rPr>
          <w:i/>
        </w:rPr>
        <w:t>Seafarers Rehabilitation and Compensation Act 1992</w:t>
      </w:r>
      <w:r w:rsidRPr="0036779E">
        <w:t xml:space="preserve"> (Seafarers Act) provides workers’ compensation and rehabilitation arrangements for seafarers in a defined part of the Australian maritime industry.</w:t>
      </w:r>
    </w:p>
    <w:p w:rsidR="006C3ACD" w:rsidRPr="001900F5" w:rsidRDefault="006C3ACD">
      <w:pPr>
        <w:spacing w:after="120"/>
      </w:pPr>
      <w:r>
        <w:t>This instrument sets the</w:t>
      </w:r>
      <w:r w:rsidRPr="001900F5">
        <w:t xml:space="preserve"> rate of</w:t>
      </w:r>
      <w:r>
        <w:t xml:space="preserve"> interest payable in respect of </w:t>
      </w:r>
      <w:r w:rsidR="00CA5264">
        <w:t>certain late payments made to a claimant under section 29, 3</w:t>
      </w:r>
      <w:r w:rsidR="0094774B">
        <w:t>9</w:t>
      </w:r>
      <w:r w:rsidR="00CA5264">
        <w:t xml:space="preserve">, 40 or 41 of the Seafarers Act. These relate to </w:t>
      </w:r>
      <w:r w:rsidRPr="001900F5">
        <w:t>permanent impairment payments</w:t>
      </w:r>
      <w:r>
        <w:t xml:space="preserve"> (including interim payments of compensation for permanent impairment)</w:t>
      </w:r>
      <w:r w:rsidRPr="001900F5">
        <w:t xml:space="preserve"> </w:t>
      </w:r>
      <w:r>
        <w:t>and compensation for injuries resulting in death</w:t>
      </w:r>
      <w:r w:rsidR="00CA5264">
        <w:t>, which are not made</w:t>
      </w:r>
      <w:r w:rsidRPr="001900F5">
        <w:t xml:space="preserve"> within 30</w:t>
      </w:r>
      <w:r w:rsidR="00AE1F6A">
        <w:t> </w:t>
      </w:r>
      <w:r w:rsidRPr="001900F5">
        <w:t xml:space="preserve">days </w:t>
      </w:r>
      <w:r w:rsidR="00CA5264">
        <w:t>after the date of the determination</w:t>
      </w:r>
      <w:r w:rsidR="009E0F6E">
        <w:t xml:space="preserve">, except where a certain reconsideration or </w:t>
      </w:r>
      <w:r w:rsidR="00F76DB2">
        <w:t>a certain</w:t>
      </w:r>
      <w:r w:rsidR="009E0F6E">
        <w:t xml:space="preserve"> review </w:t>
      </w:r>
      <w:r w:rsidR="00F76DB2">
        <w:t>is</w:t>
      </w:r>
      <w:r w:rsidR="009E0F6E">
        <w:t xml:space="preserve"> underway</w:t>
      </w:r>
      <w:r w:rsidR="00CA5264">
        <w:t>.</w:t>
      </w:r>
    </w:p>
    <w:p w:rsidR="006C1673" w:rsidRDefault="000F7347">
      <w:pPr>
        <w:spacing w:after="120"/>
      </w:pPr>
      <w:r w:rsidRPr="001900F5">
        <w:rPr>
          <w:b/>
        </w:rPr>
        <w:t>Human rights implications</w:t>
      </w:r>
    </w:p>
    <w:p w:rsidR="000F7347" w:rsidRPr="001900F5" w:rsidRDefault="000F7347">
      <w:pPr>
        <w:spacing w:after="120"/>
        <w:rPr>
          <w:b/>
        </w:rPr>
      </w:pPr>
      <w:r w:rsidRPr="001900F5">
        <w:t xml:space="preserve">Article 9 of the </w:t>
      </w:r>
      <w:r w:rsidRPr="001900F5">
        <w:rPr>
          <w:i/>
        </w:rPr>
        <w:t>International Covenant on Economic, Social and Cultural Rights</w:t>
      </w:r>
      <w:r w:rsidRPr="001900F5">
        <w:t xml:space="preserve"> provides for the right of everyone to social security, including social insurance. General Comment 19 by the Committee on Economic, Social and Cultural Rights elaborates on Article 9, stating that ‘States parties should … ensure the protection of workers who are injured in the course of employment or other productive work’.</w:t>
      </w:r>
      <w:r w:rsidRPr="00CA5264">
        <w:rPr>
          <w:rStyle w:val="FootnoteReference"/>
          <w:sz w:val="20"/>
          <w:vertAlign w:val="superscript"/>
        </w:rPr>
        <w:footnoteReference w:customMarkFollows="1" w:id="1"/>
        <w:t>1</w:t>
      </w:r>
    </w:p>
    <w:p w:rsidR="000F7347" w:rsidRPr="006C3ACD" w:rsidRDefault="000F7347">
      <w:pPr>
        <w:spacing w:after="120"/>
      </w:pPr>
      <w:r w:rsidRPr="001900F5">
        <w:t xml:space="preserve">The </w:t>
      </w:r>
      <w:r w:rsidR="006C3ACD">
        <w:t xml:space="preserve">Seafarers </w:t>
      </w:r>
      <w:r w:rsidRPr="001900F5">
        <w:t>Act provides support for employees who have been injured at work by way of rehabilitation, weekly compensation payments, payment of medical expenses, permanent impairment benefits as well as other benefits.</w:t>
      </w:r>
    </w:p>
    <w:p w:rsidR="000F7347" w:rsidRPr="001900F5" w:rsidRDefault="000F7347">
      <w:pPr>
        <w:spacing w:after="120"/>
        <w:rPr>
          <w:b/>
        </w:rPr>
      </w:pPr>
      <w:r w:rsidRPr="001900F5">
        <w:t xml:space="preserve">The interest rate in respect of a lump sum for permanent impairment </w:t>
      </w:r>
      <w:r w:rsidR="006C3ACD">
        <w:t xml:space="preserve">and for injuries resulting in death </w:t>
      </w:r>
      <w:r w:rsidRPr="001900F5">
        <w:t xml:space="preserve">engages the right to social security by ensuring that, if a lump sum amount </w:t>
      </w:r>
      <w:r w:rsidR="006C3ACD">
        <w:t>is payable</w:t>
      </w:r>
      <w:r w:rsidRPr="001900F5">
        <w:t>, that it be paid promptly or the claima</w:t>
      </w:r>
      <w:r>
        <w:t xml:space="preserve">nt will be entitled to interest, as specified in this </w:t>
      </w:r>
      <w:r w:rsidR="00DB089C">
        <w:t>instrument</w:t>
      </w:r>
      <w:r>
        <w:t xml:space="preserve">, </w:t>
      </w:r>
      <w:r w:rsidRPr="001900F5">
        <w:t>on that lump sum.</w:t>
      </w:r>
    </w:p>
    <w:p w:rsidR="000F7347" w:rsidRPr="001900F5" w:rsidRDefault="000F7347">
      <w:pPr>
        <w:spacing w:after="120"/>
        <w:rPr>
          <w:b/>
        </w:rPr>
      </w:pPr>
      <w:r w:rsidRPr="001900F5">
        <w:rPr>
          <w:b/>
        </w:rPr>
        <w:t xml:space="preserve">Conclusion </w:t>
      </w:r>
    </w:p>
    <w:p w:rsidR="000F7347" w:rsidRPr="001900F5" w:rsidRDefault="000F7347">
      <w:pPr>
        <w:spacing w:after="120"/>
      </w:pPr>
      <w:r>
        <w:t>This legislative i</w:t>
      </w:r>
      <w:r w:rsidRPr="001900F5">
        <w:t>nstrument is compatible with human rights because, where it engages the right to social security, it encourages the prompt payment of an amount of compensation to a claimant or compensates for the late payment of that amount by awarding interest to the claimant in respect of the overdue amount.</w:t>
      </w:r>
    </w:p>
    <w:p w:rsidR="000F7347" w:rsidRPr="001900F5" w:rsidRDefault="000F7347">
      <w:pPr>
        <w:spacing w:after="120"/>
      </w:pPr>
    </w:p>
    <w:p w:rsidR="004D79E3" w:rsidRPr="005C3C9F" w:rsidRDefault="004D79E3">
      <w:pPr>
        <w:spacing w:after="120"/>
        <w:jc w:val="center"/>
        <w:rPr>
          <w:rFonts w:eastAsia="Times New Roman"/>
          <w:lang w:eastAsia="en-AU"/>
        </w:rPr>
      </w:pPr>
      <w:r>
        <w:rPr>
          <w:rFonts w:eastAsia="Times New Roman"/>
          <w:b/>
          <w:bCs/>
          <w:lang w:eastAsia="en-AU"/>
        </w:rPr>
        <w:t>T</w:t>
      </w:r>
      <w:r w:rsidRPr="005C3C9F">
        <w:rPr>
          <w:rFonts w:eastAsia="Times New Roman"/>
          <w:b/>
          <w:bCs/>
          <w:lang w:eastAsia="en-AU"/>
        </w:rPr>
        <w:t xml:space="preserve">he Hon </w:t>
      </w:r>
      <w:r w:rsidRPr="00627899">
        <w:rPr>
          <w:b/>
          <w:sz w:val="22"/>
          <w:szCs w:val="22"/>
        </w:rPr>
        <w:t xml:space="preserve">Kelly O’Dwyer </w:t>
      </w:r>
      <w:r w:rsidR="00F76DB2">
        <w:rPr>
          <w:b/>
          <w:sz w:val="22"/>
          <w:szCs w:val="22"/>
        </w:rPr>
        <w:t>MP</w:t>
      </w:r>
    </w:p>
    <w:p w:rsidR="00EF3D0A" w:rsidRDefault="004D79E3">
      <w:pPr>
        <w:spacing w:after="120"/>
        <w:jc w:val="center"/>
      </w:pPr>
      <w:r w:rsidRPr="005C3C9F">
        <w:rPr>
          <w:rFonts w:eastAsia="Times New Roman"/>
          <w:bCs/>
          <w:lang w:eastAsia="en-AU"/>
        </w:rPr>
        <w:t>Minister for</w:t>
      </w:r>
      <w:r>
        <w:rPr>
          <w:rFonts w:eastAsia="Times New Roman"/>
          <w:bCs/>
          <w:lang w:eastAsia="en-AU"/>
        </w:rPr>
        <w:t xml:space="preserve"> </w:t>
      </w:r>
      <w:r>
        <w:t>Jobs and Industrial Relations</w:t>
      </w:r>
    </w:p>
    <w:sectPr w:rsidR="00EF3D0A" w:rsidSect="00480D52">
      <w:headerReference w:type="default" r:id="rId11"/>
      <w:footerReference w:type="even" r:id="rId12"/>
      <w:footerReference w:type="default" r:id="rId13"/>
      <w:footerReference w:type="first" r:id="rId14"/>
      <w:endnotePr>
        <w:numFmt w:val="decimal"/>
      </w:endnotePr>
      <w:pgSz w:w="11906" w:h="16838"/>
      <w:pgMar w:top="1560" w:right="1558" w:bottom="663" w:left="1418" w:header="554" w:footer="52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252" w:rsidRDefault="00CE4252">
      <w:r>
        <w:separator/>
      </w:r>
    </w:p>
  </w:endnote>
  <w:endnote w:type="continuationSeparator" w:id="0">
    <w:p w:rsidR="00CE4252" w:rsidRDefault="00CE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1B" w:rsidRDefault="007C1E1B" w:rsidP="00367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1E1B" w:rsidRDefault="007C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1B" w:rsidRPr="004B5C15" w:rsidRDefault="007C1E1B" w:rsidP="00367322">
    <w:pPr>
      <w:pStyle w:val="Footer"/>
      <w:framePr w:wrap="around" w:vAnchor="text" w:hAnchor="margin" w:xAlign="center" w:y="1"/>
      <w:rPr>
        <w:rStyle w:val="PageNumber"/>
        <w:rFonts w:asciiTheme="minorHAnsi" w:hAnsiTheme="minorHAnsi" w:cstheme="minorHAnsi"/>
        <w:sz w:val="22"/>
        <w:szCs w:val="22"/>
      </w:rPr>
    </w:pPr>
    <w:r w:rsidRPr="004B5C15">
      <w:rPr>
        <w:rStyle w:val="PageNumber"/>
        <w:rFonts w:asciiTheme="minorHAnsi" w:hAnsiTheme="minorHAnsi" w:cstheme="minorHAnsi"/>
        <w:sz w:val="22"/>
        <w:szCs w:val="22"/>
      </w:rPr>
      <w:fldChar w:fldCharType="begin"/>
    </w:r>
    <w:r w:rsidRPr="004B5C15">
      <w:rPr>
        <w:rStyle w:val="PageNumber"/>
        <w:rFonts w:asciiTheme="minorHAnsi" w:hAnsiTheme="minorHAnsi" w:cstheme="minorHAnsi"/>
        <w:sz w:val="22"/>
        <w:szCs w:val="22"/>
      </w:rPr>
      <w:instrText xml:space="preserve">PAGE  </w:instrText>
    </w:r>
    <w:r w:rsidRPr="004B5C15">
      <w:rPr>
        <w:rStyle w:val="PageNumber"/>
        <w:rFonts w:asciiTheme="minorHAnsi" w:hAnsiTheme="minorHAnsi" w:cstheme="minorHAnsi"/>
        <w:sz w:val="22"/>
        <w:szCs w:val="22"/>
      </w:rPr>
      <w:fldChar w:fldCharType="separate"/>
    </w:r>
    <w:r w:rsidR="00C45C7E">
      <w:rPr>
        <w:rStyle w:val="PageNumber"/>
        <w:rFonts w:asciiTheme="minorHAnsi" w:hAnsiTheme="minorHAnsi" w:cstheme="minorHAnsi"/>
        <w:noProof/>
        <w:sz w:val="22"/>
        <w:szCs w:val="22"/>
      </w:rPr>
      <w:t>2</w:t>
    </w:r>
    <w:r w:rsidRPr="004B5C15">
      <w:rPr>
        <w:rStyle w:val="PageNumber"/>
        <w:rFonts w:asciiTheme="minorHAnsi" w:hAnsiTheme="minorHAnsi" w:cstheme="minorHAnsi"/>
        <w:sz w:val="22"/>
        <w:szCs w:val="22"/>
      </w:rPr>
      <w:fldChar w:fldCharType="end"/>
    </w:r>
  </w:p>
  <w:p w:rsidR="007C1E1B" w:rsidRDefault="007C1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CF" w:rsidRPr="004B5C15" w:rsidRDefault="005C49CF">
    <w:pPr>
      <w:pStyle w:val="Footer"/>
      <w:jc w:val="center"/>
      <w:rPr>
        <w:rFonts w:ascii="Calibri" w:hAnsi="Calibri"/>
        <w:sz w:val="22"/>
      </w:rPr>
    </w:pPr>
    <w:r w:rsidRPr="004B5C15">
      <w:rPr>
        <w:rFonts w:ascii="Calibri" w:hAnsi="Calibri"/>
        <w:sz w:val="22"/>
      </w:rPr>
      <w:fldChar w:fldCharType="begin"/>
    </w:r>
    <w:r w:rsidRPr="004B5C15">
      <w:rPr>
        <w:rFonts w:ascii="Calibri" w:hAnsi="Calibri"/>
        <w:sz w:val="22"/>
      </w:rPr>
      <w:instrText xml:space="preserve"> PAGE   \* MERGEFORMAT </w:instrText>
    </w:r>
    <w:r w:rsidRPr="004B5C15">
      <w:rPr>
        <w:rFonts w:ascii="Calibri" w:hAnsi="Calibri"/>
        <w:sz w:val="22"/>
      </w:rPr>
      <w:fldChar w:fldCharType="separate"/>
    </w:r>
    <w:r w:rsidR="00C45C7E">
      <w:rPr>
        <w:rFonts w:ascii="Calibri" w:hAnsi="Calibri"/>
        <w:noProof/>
        <w:sz w:val="22"/>
      </w:rPr>
      <w:t>1</w:t>
    </w:r>
    <w:r w:rsidRPr="004B5C15">
      <w:rPr>
        <w:rFonts w:ascii="Calibri" w:hAnsi="Calibri"/>
        <w:noProof/>
        <w:sz w:val="22"/>
      </w:rPr>
      <w:fldChar w:fldCharType="end"/>
    </w:r>
  </w:p>
  <w:p w:rsidR="005C49CF" w:rsidRDefault="005C4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252" w:rsidRDefault="00CE4252">
      <w:r>
        <w:separator/>
      </w:r>
    </w:p>
  </w:footnote>
  <w:footnote w:type="continuationSeparator" w:id="0">
    <w:p w:rsidR="00CE4252" w:rsidRDefault="00CE4252">
      <w:r>
        <w:continuationSeparator/>
      </w:r>
    </w:p>
  </w:footnote>
  <w:footnote w:id="1">
    <w:p w:rsidR="000F7347" w:rsidRPr="00480D52" w:rsidRDefault="000F7347" w:rsidP="000F7347">
      <w:pPr>
        <w:pStyle w:val="FootnoteText"/>
        <w:rPr>
          <w:rFonts w:ascii="Times New Roman" w:hAnsi="Times New Roman" w:cs="Times New Roman"/>
        </w:rPr>
      </w:pPr>
      <w:r w:rsidRPr="00480D52">
        <w:rPr>
          <w:rStyle w:val="FootnoteReference"/>
          <w:rFonts w:ascii="Times New Roman" w:hAnsi="Times New Roman" w:cs="Times New Roman"/>
        </w:rPr>
        <w:t>1</w:t>
      </w:r>
      <w:r w:rsidRPr="00480D52">
        <w:rPr>
          <w:rFonts w:ascii="Times New Roman" w:hAnsi="Times New Roman" w:cs="Times New Roman"/>
        </w:rPr>
        <w:t xml:space="preserve"> Committee on Economic, Social and Cultural Rights, </w:t>
      </w:r>
      <w:r w:rsidRPr="00480D52">
        <w:rPr>
          <w:rFonts w:ascii="Times New Roman" w:hAnsi="Times New Roman" w:cs="Times New Roman"/>
          <w:i/>
        </w:rPr>
        <w:t>General Comment 19: The Right to Social Security (art. 9)</w:t>
      </w:r>
      <w:r w:rsidRPr="00480D52">
        <w:rPr>
          <w:rFonts w:ascii="Times New Roman" w:hAnsi="Times New Roman" w:cs="Times New Roman"/>
        </w:rPr>
        <w:t>, U.N. Doc E/C.12/GC/19 (2008), [17].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1B" w:rsidRDefault="007C1E1B">
    <w:pPr>
      <w:ind w:left="-2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B7"/>
    <w:multiLevelType w:val="hybridMultilevel"/>
    <w:tmpl w:val="5082F6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0321D86"/>
    <w:multiLevelType w:val="hybridMultilevel"/>
    <w:tmpl w:val="AECC607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825E1"/>
    <w:multiLevelType w:val="hybridMultilevel"/>
    <w:tmpl w:val="BDDAD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4612F"/>
    <w:multiLevelType w:val="hybridMultilevel"/>
    <w:tmpl w:val="1D2EF34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731943"/>
    <w:multiLevelType w:val="hybridMultilevel"/>
    <w:tmpl w:val="85F45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25130"/>
    <w:multiLevelType w:val="hybridMultilevel"/>
    <w:tmpl w:val="C07E57B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222FD"/>
    <w:multiLevelType w:val="hybridMultilevel"/>
    <w:tmpl w:val="16FC2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90D22"/>
    <w:multiLevelType w:val="hybridMultilevel"/>
    <w:tmpl w:val="1D547EB4"/>
    <w:lvl w:ilvl="0" w:tplc="0C090001">
      <w:start w:val="1"/>
      <w:numFmt w:val="bullet"/>
      <w:lvlText w:val=""/>
      <w:lvlJc w:val="left"/>
      <w:pPr>
        <w:ind w:left="2234" w:hanging="360"/>
      </w:pPr>
      <w:rPr>
        <w:rFonts w:ascii="Symbol" w:hAnsi="Symbol" w:hint="default"/>
      </w:rPr>
    </w:lvl>
    <w:lvl w:ilvl="1" w:tplc="0C090003" w:tentative="1">
      <w:start w:val="1"/>
      <w:numFmt w:val="bullet"/>
      <w:lvlText w:val="o"/>
      <w:lvlJc w:val="left"/>
      <w:pPr>
        <w:ind w:left="2954" w:hanging="360"/>
      </w:pPr>
      <w:rPr>
        <w:rFonts w:ascii="Courier New" w:hAnsi="Courier New" w:cs="Courier New" w:hint="default"/>
      </w:rPr>
    </w:lvl>
    <w:lvl w:ilvl="2" w:tplc="0C090005" w:tentative="1">
      <w:start w:val="1"/>
      <w:numFmt w:val="bullet"/>
      <w:lvlText w:val=""/>
      <w:lvlJc w:val="left"/>
      <w:pPr>
        <w:ind w:left="3674" w:hanging="360"/>
      </w:pPr>
      <w:rPr>
        <w:rFonts w:ascii="Wingdings" w:hAnsi="Wingdings" w:hint="default"/>
      </w:rPr>
    </w:lvl>
    <w:lvl w:ilvl="3" w:tplc="0C090001" w:tentative="1">
      <w:start w:val="1"/>
      <w:numFmt w:val="bullet"/>
      <w:lvlText w:val=""/>
      <w:lvlJc w:val="left"/>
      <w:pPr>
        <w:ind w:left="4394" w:hanging="360"/>
      </w:pPr>
      <w:rPr>
        <w:rFonts w:ascii="Symbol" w:hAnsi="Symbol" w:hint="default"/>
      </w:rPr>
    </w:lvl>
    <w:lvl w:ilvl="4" w:tplc="0C090003" w:tentative="1">
      <w:start w:val="1"/>
      <w:numFmt w:val="bullet"/>
      <w:lvlText w:val="o"/>
      <w:lvlJc w:val="left"/>
      <w:pPr>
        <w:ind w:left="5114" w:hanging="360"/>
      </w:pPr>
      <w:rPr>
        <w:rFonts w:ascii="Courier New" w:hAnsi="Courier New" w:cs="Courier New" w:hint="default"/>
      </w:rPr>
    </w:lvl>
    <w:lvl w:ilvl="5" w:tplc="0C090005" w:tentative="1">
      <w:start w:val="1"/>
      <w:numFmt w:val="bullet"/>
      <w:lvlText w:val=""/>
      <w:lvlJc w:val="left"/>
      <w:pPr>
        <w:ind w:left="5834" w:hanging="360"/>
      </w:pPr>
      <w:rPr>
        <w:rFonts w:ascii="Wingdings" w:hAnsi="Wingdings" w:hint="default"/>
      </w:rPr>
    </w:lvl>
    <w:lvl w:ilvl="6" w:tplc="0C090001" w:tentative="1">
      <w:start w:val="1"/>
      <w:numFmt w:val="bullet"/>
      <w:lvlText w:val=""/>
      <w:lvlJc w:val="left"/>
      <w:pPr>
        <w:ind w:left="6554" w:hanging="360"/>
      </w:pPr>
      <w:rPr>
        <w:rFonts w:ascii="Symbol" w:hAnsi="Symbol" w:hint="default"/>
      </w:rPr>
    </w:lvl>
    <w:lvl w:ilvl="7" w:tplc="0C090003" w:tentative="1">
      <w:start w:val="1"/>
      <w:numFmt w:val="bullet"/>
      <w:lvlText w:val="o"/>
      <w:lvlJc w:val="left"/>
      <w:pPr>
        <w:ind w:left="7274" w:hanging="360"/>
      </w:pPr>
      <w:rPr>
        <w:rFonts w:ascii="Courier New" w:hAnsi="Courier New" w:cs="Courier New" w:hint="default"/>
      </w:rPr>
    </w:lvl>
    <w:lvl w:ilvl="8" w:tplc="0C090005" w:tentative="1">
      <w:start w:val="1"/>
      <w:numFmt w:val="bullet"/>
      <w:lvlText w:val=""/>
      <w:lvlJc w:val="left"/>
      <w:pPr>
        <w:ind w:left="7994" w:hanging="360"/>
      </w:pPr>
      <w:rPr>
        <w:rFonts w:ascii="Wingdings" w:hAnsi="Wingdings" w:hint="default"/>
      </w:rPr>
    </w:lvl>
  </w:abstractNum>
  <w:abstractNum w:abstractNumId="8" w15:restartNumberingAfterBreak="0">
    <w:nsid w:val="1BB76FBD"/>
    <w:multiLevelType w:val="hybridMultilevel"/>
    <w:tmpl w:val="F3F48F48"/>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04E68"/>
    <w:multiLevelType w:val="hybridMultilevel"/>
    <w:tmpl w:val="75300C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425D4"/>
    <w:multiLevelType w:val="hybridMultilevel"/>
    <w:tmpl w:val="D3FC0D7E"/>
    <w:lvl w:ilvl="0" w:tplc="C83067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C01DE"/>
    <w:multiLevelType w:val="hybridMultilevel"/>
    <w:tmpl w:val="B50E75DA"/>
    <w:lvl w:ilvl="0" w:tplc="10282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B947BC"/>
    <w:multiLevelType w:val="hybridMultilevel"/>
    <w:tmpl w:val="F6F47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755CF"/>
    <w:multiLevelType w:val="hybridMultilevel"/>
    <w:tmpl w:val="663EF94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5C1296"/>
    <w:multiLevelType w:val="hybridMultilevel"/>
    <w:tmpl w:val="0136AE48"/>
    <w:lvl w:ilvl="0" w:tplc="743CB0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322047"/>
    <w:multiLevelType w:val="hybridMultilevel"/>
    <w:tmpl w:val="19982F60"/>
    <w:lvl w:ilvl="0" w:tplc="9D4CE1EC">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95D38"/>
    <w:multiLevelType w:val="hybridMultilevel"/>
    <w:tmpl w:val="C49C51CA"/>
    <w:lvl w:ilvl="0" w:tplc="0C09000F">
      <w:start w:val="1"/>
      <w:numFmt w:val="decimal"/>
      <w:lvlText w:val="%1."/>
      <w:lvlJc w:val="left"/>
      <w:pPr>
        <w:tabs>
          <w:tab w:val="num" w:pos="1080"/>
        </w:tabs>
        <w:ind w:left="1080" w:hanging="360"/>
      </w:pPr>
      <w:rPr>
        <w:rFont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63192F"/>
    <w:multiLevelType w:val="hybridMultilevel"/>
    <w:tmpl w:val="B142B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C44493"/>
    <w:multiLevelType w:val="hybridMultilevel"/>
    <w:tmpl w:val="04102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87855A8"/>
    <w:multiLevelType w:val="hybridMultilevel"/>
    <w:tmpl w:val="AE06CB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3B87708"/>
    <w:multiLevelType w:val="hybridMultilevel"/>
    <w:tmpl w:val="8FA074AE"/>
    <w:lvl w:ilvl="0" w:tplc="0C090001">
      <w:start w:val="1"/>
      <w:numFmt w:val="bullet"/>
      <w:lvlText w:val=""/>
      <w:lvlJc w:val="left"/>
      <w:pPr>
        <w:tabs>
          <w:tab w:val="num" w:pos="720"/>
        </w:tabs>
        <w:ind w:left="720" w:hanging="360"/>
      </w:pPr>
      <w:rPr>
        <w:rFonts w:ascii="Symbol" w:hAnsi="Symbol" w:hint="default"/>
      </w:rPr>
    </w:lvl>
    <w:lvl w:ilvl="1" w:tplc="9D4CE1EC">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E2422"/>
    <w:multiLevelType w:val="multilevel"/>
    <w:tmpl w:val="A132AA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93AD3"/>
    <w:multiLevelType w:val="hybridMultilevel"/>
    <w:tmpl w:val="EB1C2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7413D9"/>
    <w:multiLevelType w:val="hybridMultilevel"/>
    <w:tmpl w:val="4D041A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C2021"/>
    <w:multiLevelType w:val="hybridMultilevel"/>
    <w:tmpl w:val="220C86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2A5F77"/>
    <w:multiLevelType w:val="hybridMultilevel"/>
    <w:tmpl w:val="686E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884CD0"/>
    <w:multiLevelType w:val="hybridMultilevel"/>
    <w:tmpl w:val="12B6137A"/>
    <w:lvl w:ilvl="0" w:tplc="9D4CE1EC">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90851"/>
    <w:multiLevelType w:val="hybridMultilevel"/>
    <w:tmpl w:val="C49C51CA"/>
    <w:lvl w:ilvl="0" w:tplc="0C09000F">
      <w:start w:val="1"/>
      <w:numFmt w:val="decimal"/>
      <w:lvlText w:val="%1."/>
      <w:lvlJc w:val="left"/>
      <w:pPr>
        <w:tabs>
          <w:tab w:val="num" w:pos="1080"/>
        </w:tabs>
        <w:ind w:left="1080" w:hanging="360"/>
      </w:pPr>
      <w:rPr>
        <w:rFont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EE760BC"/>
    <w:multiLevelType w:val="hybridMultilevel"/>
    <w:tmpl w:val="A132AA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8"/>
  </w:num>
  <w:num w:numId="3">
    <w:abstractNumId w:val="22"/>
  </w:num>
  <w:num w:numId="4">
    <w:abstractNumId w:val="9"/>
  </w:num>
  <w:num w:numId="5">
    <w:abstractNumId w:val="23"/>
  </w:num>
  <w:num w:numId="6">
    <w:abstractNumId w:val="24"/>
  </w:num>
  <w:num w:numId="7">
    <w:abstractNumId w:val="21"/>
  </w:num>
  <w:num w:numId="8">
    <w:abstractNumId w:val="20"/>
  </w:num>
  <w:num w:numId="9">
    <w:abstractNumId w:val="27"/>
  </w:num>
  <w:num w:numId="10">
    <w:abstractNumId w:val="26"/>
  </w:num>
  <w:num w:numId="11">
    <w:abstractNumId w:val="15"/>
  </w:num>
  <w:num w:numId="12">
    <w:abstractNumId w:val="1"/>
  </w:num>
  <w:num w:numId="13">
    <w:abstractNumId w:val="5"/>
  </w:num>
  <w:num w:numId="14">
    <w:abstractNumId w:val="2"/>
  </w:num>
  <w:num w:numId="15">
    <w:abstractNumId w:val="6"/>
  </w:num>
  <w:num w:numId="16">
    <w:abstractNumId w:val="11"/>
  </w:num>
  <w:num w:numId="17">
    <w:abstractNumId w:val="25"/>
  </w:num>
  <w:num w:numId="18">
    <w:abstractNumId w:val="3"/>
  </w:num>
  <w:num w:numId="19">
    <w:abstractNumId w:val="16"/>
  </w:num>
  <w:num w:numId="20">
    <w:abstractNumId w:val="8"/>
  </w:num>
  <w:num w:numId="21">
    <w:abstractNumId w:val="7"/>
  </w:num>
  <w:num w:numId="22">
    <w:abstractNumId w:val="18"/>
  </w:num>
  <w:num w:numId="23">
    <w:abstractNumId w:val="12"/>
  </w:num>
  <w:num w:numId="24">
    <w:abstractNumId w:val="19"/>
  </w:num>
  <w:num w:numId="25">
    <w:abstractNumId w:val="14"/>
  </w:num>
  <w:num w:numId="26">
    <w:abstractNumId w:val="17"/>
  </w:num>
  <w:num w:numId="27">
    <w:abstractNumId w:val="10"/>
  </w:num>
  <w:num w:numId="28">
    <w:abstractNumId w:val="0"/>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5D9DF97-B921-421A-AE46-9635181B3826}"/>
    <w:docVar w:name="dgnword-eventsink" w:val="154899376"/>
  </w:docVars>
  <w:rsids>
    <w:rsidRoot w:val="001A0EEA"/>
    <w:rsid w:val="00001930"/>
    <w:rsid w:val="00004793"/>
    <w:rsid w:val="00005639"/>
    <w:rsid w:val="000073C7"/>
    <w:rsid w:val="00020B61"/>
    <w:rsid w:val="00024139"/>
    <w:rsid w:val="000244F6"/>
    <w:rsid w:val="0002482F"/>
    <w:rsid w:val="0002674D"/>
    <w:rsid w:val="00027912"/>
    <w:rsid w:val="0003424C"/>
    <w:rsid w:val="00036041"/>
    <w:rsid w:val="000365CD"/>
    <w:rsid w:val="0003751C"/>
    <w:rsid w:val="00040431"/>
    <w:rsid w:val="00042412"/>
    <w:rsid w:val="000465BD"/>
    <w:rsid w:val="00046B46"/>
    <w:rsid w:val="00047AAB"/>
    <w:rsid w:val="00056D57"/>
    <w:rsid w:val="00057F2F"/>
    <w:rsid w:val="00063825"/>
    <w:rsid w:val="00065405"/>
    <w:rsid w:val="0006577C"/>
    <w:rsid w:val="00067E02"/>
    <w:rsid w:val="00070821"/>
    <w:rsid w:val="000708D9"/>
    <w:rsid w:val="0007093C"/>
    <w:rsid w:val="00074EB9"/>
    <w:rsid w:val="00081655"/>
    <w:rsid w:val="0008166F"/>
    <w:rsid w:val="0008290A"/>
    <w:rsid w:val="00084425"/>
    <w:rsid w:val="000847AF"/>
    <w:rsid w:val="00087FB8"/>
    <w:rsid w:val="00097E5B"/>
    <w:rsid w:val="000A0963"/>
    <w:rsid w:val="000A3116"/>
    <w:rsid w:val="000A5E97"/>
    <w:rsid w:val="000A7BC2"/>
    <w:rsid w:val="000B2EAD"/>
    <w:rsid w:val="000B32CA"/>
    <w:rsid w:val="000B5FF8"/>
    <w:rsid w:val="000B64AF"/>
    <w:rsid w:val="000B710C"/>
    <w:rsid w:val="000C4A6E"/>
    <w:rsid w:val="000C5A2C"/>
    <w:rsid w:val="000C7EE8"/>
    <w:rsid w:val="000D1C15"/>
    <w:rsid w:val="000D5FEA"/>
    <w:rsid w:val="000D6AEF"/>
    <w:rsid w:val="000D75E6"/>
    <w:rsid w:val="000E32DF"/>
    <w:rsid w:val="000F0487"/>
    <w:rsid w:val="000F3C8E"/>
    <w:rsid w:val="000F48F7"/>
    <w:rsid w:val="000F72E9"/>
    <w:rsid w:val="000F7337"/>
    <w:rsid w:val="000F7347"/>
    <w:rsid w:val="001065A7"/>
    <w:rsid w:val="00112BB0"/>
    <w:rsid w:val="00113E68"/>
    <w:rsid w:val="00114045"/>
    <w:rsid w:val="00116CFC"/>
    <w:rsid w:val="00117FA8"/>
    <w:rsid w:val="00121331"/>
    <w:rsid w:val="00121370"/>
    <w:rsid w:val="00123B34"/>
    <w:rsid w:val="00123FCF"/>
    <w:rsid w:val="00130E0A"/>
    <w:rsid w:val="0013121C"/>
    <w:rsid w:val="0013745C"/>
    <w:rsid w:val="001410A1"/>
    <w:rsid w:val="00147924"/>
    <w:rsid w:val="001510EB"/>
    <w:rsid w:val="00151FAE"/>
    <w:rsid w:val="00157678"/>
    <w:rsid w:val="00157F33"/>
    <w:rsid w:val="00167DE3"/>
    <w:rsid w:val="00174334"/>
    <w:rsid w:val="00175EF3"/>
    <w:rsid w:val="00186763"/>
    <w:rsid w:val="00192337"/>
    <w:rsid w:val="001924EE"/>
    <w:rsid w:val="00194B14"/>
    <w:rsid w:val="00196FCA"/>
    <w:rsid w:val="0019796F"/>
    <w:rsid w:val="001A0D7F"/>
    <w:rsid w:val="001A0EEA"/>
    <w:rsid w:val="001A1875"/>
    <w:rsid w:val="001A5D7B"/>
    <w:rsid w:val="001A6EAC"/>
    <w:rsid w:val="001B1CB7"/>
    <w:rsid w:val="001B3F60"/>
    <w:rsid w:val="001B5337"/>
    <w:rsid w:val="001B5CDD"/>
    <w:rsid w:val="001B6105"/>
    <w:rsid w:val="001B6BE0"/>
    <w:rsid w:val="001B7CCE"/>
    <w:rsid w:val="001C0CA1"/>
    <w:rsid w:val="001C266B"/>
    <w:rsid w:val="001C4573"/>
    <w:rsid w:val="001D2025"/>
    <w:rsid w:val="001D20D3"/>
    <w:rsid w:val="001D6175"/>
    <w:rsid w:val="001D62C6"/>
    <w:rsid w:val="001E2B6D"/>
    <w:rsid w:val="001E40AB"/>
    <w:rsid w:val="001E794E"/>
    <w:rsid w:val="001F0288"/>
    <w:rsid w:val="001F26E6"/>
    <w:rsid w:val="001F29CD"/>
    <w:rsid w:val="00204297"/>
    <w:rsid w:val="00205B46"/>
    <w:rsid w:val="0021004C"/>
    <w:rsid w:val="00211811"/>
    <w:rsid w:val="00212061"/>
    <w:rsid w:val="00212F2F"/>
    <w:rsid w:val="002165AF"/>
    <w:rsid w:val="00223EEF"/>
    <w:rsid w:val="0023303D"/>
    <w:rsid w:val="002359BC"/>
    <w:rsid w:val="002522DE"/>
    <w:rsid w:val="00254AAB"/>
    <w:rsid w:val="00254D78"/>
    <w:rsid w:val="002643BD"/>
    <w:rsid w:val="00264539"/>
    <w:rsid w:val="002650D6"/>
    <w:rsid w:val="00267DA7"/>
    <w:rsid w:val="00267E5A"/>
    <w:rsid w:val="00271F0D"/>
    <w:rsid w:val="002729F1"/>
    <w:rsid w:val="00277A45"/>
    <w:rsid w:val="00282B16"/>
    <w:rsid w:val="00285789"/>
    <w:rsid w:val="00292D56"/>
    <w:rsid w:val="002A2327"/>
    <w:rsid w:val="002A2FF5"/>
    <w:rsid w:val="002A3BB2"/>
    <w:rsid w:val="002A5470"/>
    <w:rsid w:val="002A5754"/>
    <w:rsid w:val="002A7FEE"/>
    <w:rsid w:val="002B7705"/>
    <w:rsid w:val="002C175F"/>
    <w:rsid w:val="002C238F"/>
    <w:rsid w:val="002C3A82"/>
    <w:rsid w:val="002C77F2"/>
    <w:rsid w:val="002D0D32"/>
    <w:rsid w:val="002D38DA"/>
    <w:rsid w:val="002D73DC"/>
    <w:rsid w:val="002E131C"/>
    <w:rsid w:val="002E6606"/>
    <w:rsid w:val="003015AC"/>
    <w:rsid w:val="00302E38"/>
    <w:rsid w:val="00305037"/>
    <w:rsid w:val="00306520"/>
    <w:rsid w:val="00310C2E"/>
    <w:rsid w:val="0031151E"/>
    <w:rsid w:val="003153A0"/>
    <w:rsid w:val="00315522"/>
    <w:rsid w:val="0031748F"/>
    <w:rsid w:val="0032058C"/>
    <w:rsid w:val="00324068"/>
    <w:rsid w:val="00330784"/>
    <w:rsid w:val="00331624"/>
    <w:rsid w:val="003429AD"/>
    <w:rsid w:val="0034491A"/>
    <w:rsid w:val="00347FE8"/>
    <w:rsid w:val="003528D4"/>
    <w:rsid w:val="003634C5"/>
    <w:rsid w:val="00364455"/>
    <w:rsid w:val="00365A2F"/>
    <w:rsid w:val="00366CF5"/>
    <w:rsid w:val="00367322"/>
    <w:rsid w:val="00367C5E"/>
    <w:rsid w:val="0037147E"/>
    <w:rsid w:val="00371929"/>
    <w:rsid w:val="00371C4B"/>
    <w:rsid w:val="00372D67"/>
    <w:rsid w:val="003741AF"/>
    <w:rsid w:val="00380A84"/>
    <w:rsid w:val="00380BEE"/>
    <w:rsid w:val="00386994"/>
    <w:rsid w:val="00386C30"/>
    <w:rsid w:val="003920A6"/>
    <w:rsid w:val="00392491"/>
    <w:rsid w:val="003928E7"/>
    <w:rsid w:val="00396D35"/>
    <w:rsid w:val="00397FFE"/>
    <w:rsid w:val="003A0CBB"/>
    <w:rsid w:val="003A195A"/>
    <w:rsid w:val="003A659E"/>
    <w:rsid w:val="003A7322"/>
    <w:rsid w:val="003B2BE9"/>
    <w:rsid w:val="003B2E7E"/>
    <w:rsid w:val="003B73A4"/>
    <w:rsid w:val="003C1E2E"/>
    <w:rsid w:val="003C37DD"/>
    <w:rsid w:val="003C3A63"/>
    <w:rsid w:val="003C4FCF"/>
    <w:rsid w:val="003D00F6"/>
    <w:rsid w:val="003D5652"/>
    <w:rsid w:val="003D5B5C"/>
    <w:rsid w:val="003E055E"/>
    <w:rsid w:val="003E06F0"/>
    <w:rsid w:val="003E496C"/>
    <w:rsid w:val="003E618A"/>
    <w:rsid w:val="003F12ED"/>
    <w:rsid w:val="003F1B6D"/>
    <w:rsid w:val="003F699C"/>
    <w:rsid w:val="003F6AE6"/>
    <w:rsid w:val="004029E8"/>
    <w:rsid w:val="00405147"/>
    <w:rsid w:val="00412523"/>
    <w:rsid w:val="00413579"/>
    <w:rsid w:val="0041636C"/>
    <w:rsid w:val="00424BA9"/>
    <w:rsid w:val="0042690F"/>
    <w:rsid w:val="00433E00"/>
    <w:rsid w:val="00442D91"/>
    <w:rsid w:val="004443DE"/>
    <w:rsid w:val="0044466C"/>
    <w:rsid w:val="00463746"/>
    <w:rsid w:val="004658CA"/>
    <w:rsid w:val="004660C4"/>
    <w:rsid w:val="00474591"/>
    <w:rsid w:val="00480D52"/>
    <w:rsid w:val="0048280D"/>
    <w:rsid w:val="00497B74"/>
    <w:rsid w:val="00497EF5"/>
    <w:rsid w:val="004A0544"/>
    <w:rsid w:val="004A0D25"/>
    <w:rsid w:val="004A1B0E"/>
    <w:rsid w:val="004B381D"/>
    <w:rsid w:val="004B46C4"/>
    <w:rsid w:val="004B5C15"/>
    <w:rsid w:val="004C0D68"/>
    <w:rsid w:val="004C1ED6"/>
    <w:rsid w:val="004C2934"/>
    <w:rsid w:val="004C314F"/>
    <w:rsid w:val="004D4A86"/>
    <w:rsid w:val="004D6611"/>
    <w:rsid w:val="004D79E3"/>
    <w:rsid w:val="004E06DF"/>
    <w:rsid w:val="004E1F1C"/>
    <w:rsid w:val="004E5C93"/>
    <w:rsid w:val="004E63A3"/>
    <w:rsid w:val="004F201F"/>
    <w:rsid w:val="004F5709"/>
    <w:rsid w:val="00500151"/>
    <w:rsid w:val="00501879"/>
    <w:rsid w:val="0050295E"/>
    <w:rsid w:val="00503DC1"/>
    <w:rsid w:val="00504585"/>
    <w:rsid w:val="0051753E"/>
    <w:rsid w:val="00517C30"/>
    <w:rsid w:val="00520544"/>
    <w:rsid w:val="005252F6"/>
    <w:rsid w:val="00527BA3"/>
    <w:rsid w:val="00527DA8"/>
    <w:rsid w:val="00530B97"/>
    <w:rsid w:val="00532C56"/>
    <w:rsid w:val="00536F2F"/>
    <w:rsid w:val="00541195"/>
    <w:rsid w:val="00541DA3"/>
    <w:rsid w:val="00547656"/>
    <w:rsid w:val="00550565"/>
    <w:rsid w:val="00554245"/>
    <w:rsid w:val="005572C0"/>
    <w:rsid w:val="00562D9A"/>
    <w:rsid w:val="0056302D"/>
    <w:rsid w:val="00565694"/>
    <w:rsid w:val="0057104A"/>
    <w:rsid w:val="005717B8"/>
    <w:rsid w:val="00574DB4"/>
    <w:rsid w:val="005873A8"/>
    <w:rsid w:val="0059058B"/>
    <w:rsid w:val="00594DBD"/>
    <w:rsid w:val="005957AC"/>
    <w:rsid w:val="005A2338"/>
    <w:rsid w:val="005A45A3"/>
    <w:rsid w:val="005A5173"/>
    <w:rsid w:val="005A6425"/>
    <w:rsid w:val="005A6DF4"/>
    <w:rsid w:val="005A7DBE"/>
    <w:rsid w:val="005B0DA3"/>
    <w:rsid w:val="005B2189"/>
    <w:rsid w:val="005B410E"/>
    <w:rsid w:val="005B4EC6"/>
    <w:rsid w:val="005B521F"/>
    <w:rsid w:val="005C06A2"/>
    <w:rsid w:val="005C49CF"/>
    <w:rsid w:val="005C6654"/>
    <w:rsid w:val="005D2C4F"/>
    <w:rsid w:val="005D34D7"/>
    <w:rsid w:val="005E15C2"/>
    <w:rsid w:val="005E2FF5"/>
    <w:rsid w:val="005E6A9F"/>
    <w:rsid w:val="005F1E92"/>
    <w:rsid w:val="005F2F09"/>
    <w:rsid w:val="005F711D"/>
    <w:rsid w:val="005F78DA"/>
    <w:rsid w:val="0060043D"/>
    <w:rsid w:val="00604CC5"/>
    <w:rsid w:val="0060629E"/>
    <w:rsid w:val="00606340"/>
    <w:rsid w:val="006074A3"/>
    <w:rsid w:val="0060788D"/>
    <w:rsid w:val="0062093F"/>
    <w:rsid w:val="00623B35"/>
    <w:rsid w:val="00624A06"/>
    <w:rsid w:val="00625052"/>
    <w:rsid w:val="006262AF"/>
    <w:rsid w:val="00626BDB"/>
    <w:rsid w:val="00626F40"/>
    <w:rsid w:val="006412B5"/>
    <w:rsid w:val="00644270"/>
    <w:rsid w:val="00645387"/>
    <w:rsid w:val="00652744"/>
    <w:rsid w:val="00656832"/>
    <w:rsid w:val="0066018B"/>
    <w:rsid w:val="006672B8"/>
    <w:rsid w:val="0066794F"/>
    <w:rsid w:val="006735F8"/>
    <w:rsid w:val="00674F63"/>
    <w:rsid w:val="00680438"/>
    <w:rsid w:val="00682285"/>
    <w:rsid w:val="006863F0"/>
    <w:rsid w:val="0068684F"/>
    <w:rsid w:val="006869EF"/>
    <w:rsid w:val="00686E09"/>
    <w:rsid w:val="00687512"/>
    <w:rsid w:val="00693370"/>
    <w:rsid w:val="00694955"/>
    <w:rsid w:val="00696CD0"/>
    <w:rsid w:val="006B0896"/>
    <w:rsid w:val="006B0DAC"/>
    <w:rsid w:val="006B7173"/>
    <w:rsid w:val="006B71E4"/>
    <w:rsid w:val="006C03EF"/>
    <w:rsid w:val="006C1673"/>
    <w:rsid w:val="006C3ACD"/>
    <w:rsid w:val="006C3CFA"/>
    <w:rsid w:val="006C47BD"/>
    <w:rsid w:val="006C5B5D"/>
    <w:rsid w:val="006C7066"/>
    <w:rsid w:val="006D2732"/>
    <w:rsid w:val="006E24E7"/>
    <w:rsid w:val="006E2C26"/>
    <w:rsid w:val="006E62EB"/>
    <w:rsid w:val="006E6E71"/>
    <w:rsid w:val="006F1136"/>
    <w:rsid w:val="006F274A"/>
    <w:rsid w:val="006F3061"/>
    <w:rsid w:val="006F36E4"/>
    <w:rsid w:val="006F57B3"/>
    <w:rsid w:val="00704280"/>
    <w:rsid w:val="00704536"/>
    <w:rsid w:val="007102E3"/>
    <w:rsid w:val="00711F8B"/>
    <w:rsid w:val="0072038D"/>
    <w:rsid w:val="007229CE"/>
    <w:rsid w:val="0072595A"/>
    <w:rsid w:val="00726957"/>
    <w:rsid w:val="00733391"/>
    <w:rsid w:val="00733D31"/>
    <w:rsid w:val="0073571E"/>
    <w:rsid w:val="0073779D"/>
    <w:rsid w:val="007411BF"/>
    <w:rsid w:val="00743B6D"/>
    <w:rsid w:val="00753910"/>
    <w:rsid w:val="00754CC7"/>
    <w:rsid w:val="007566F7"/>
    <w:rsid w:val="00756B70"/>
    <w:rsid w:val="007657E3"/>
    <w:rsid w:val="007662A1"/>
    <w:rsid w:val="0077129D"/>
    <w:rsid w:val="00772FAA"/>
    <w:rsid w:val="00773940"/>
    <w:rsid w:val="00775E13"/>
    <w:rsid w:val="0077747D"/>
    <w:rsid w:val="00780257"/>
    <w:rsid w:val="00785920"/>
    <w:rsid w:val="00786CD0"/>
    <w:rsid w:val="007936E7"/>
    <w:rsid w:val="00793ED1"/>
    <w:rsid w:val="007A0CC9"/>
    <w:rsid w:val="007A1E95"/>
    <w:rsid w:val="007A5566"/>
    <w:rsid w:val="007A7726"/>
    <w:rsid w:val="007B7E41"/>
    <w:rsid w:val="007C0B4E"/>
    <w:rsid w:val="007C1E1B"/>
    <w:rsid w:val="007C48B7"/>
    <w:rsid w:val="007C4B99"/>
    <w:rsid w:val="007C7FB2"/>
    <w:rsid w:val="007D3AC6"/>
    <w:rsid w:val="007D4D99"/>
    <w:rsid w:val="007D62A2"/>
    <w:rsid w:val="007D7A4F"/>
    <w:rsid w:val="007E77BF"/>
    <w:rsid w:val="007F4C8F"/>
    <w:rsid w:val="008022F2"/>
    <w:rsid w:val="008034BA"/>
    <w:rsid w:val="008042B6"/>
    <w:rsid w:val="008043BF"/>
    <w:rsid w:val="00805DB5"/>
    <w:rsid w:val="008125DF"/>
    <w:rsid w:val="008141C0"/>
    <w:rsid w:val="008160CB"/>
    <w:rsid w:val="00817508"/>
    <w:rsid w:val="00824366"/>
    <w:rsid w:val="00824C91"/>
    <w:rsid w:val="0082526D"/>
    <w:rsid w:val="00825B68"/>
    <w:rsid w:val="00832041"/>
    <w:rsid w:val="0083368A"/>
    <w:rsid w:val="00833EBC"/>
    <w:rsid w:val="00845C87"/>
    <w:rsid w:val="00850264"/>
    <w:rsid w:val="00852DE4"/>
    <w:rsid w:val="00857B43"/>
    <w:rsid w:val="00864CC4"/>
    <w:rsid w:val="008723C9"/>
    <w:rsid w:val="0087699B"/>
    <w:rsid w:val="00881552"/>
    <w:rsid w:val="008935FA"/>
    <w:rsid w:val="00894755"/>
    <w:rsid w:val="00894FBC"/>
    <w:rsid w:val="008A09D0"/>
    <w:rsid w:val="008A22C9"/>
    <w:rsid w:val="008A236F"/>
    <w:rsid w:val="008A2D0E"/>
    <w:rsid w:val="008A2F9B"/>
    <w:rsid w:val="008A35EC"/>
    <w:rsid w:val="008A5B1C"/>
    <w:rsid w:val="008B01A3"/>
    <w:rsid w:val="008B0914"/>
    <w:rsid w:val="008B193F"/>
    <w:rsid w:val="008B2E99"/>
    <w:rsid w:val="008B3321"/>
    <w:rsid w:val="008B3351"/>
    <w:rsid w:val="008B5650"/>
    <w:rsid w:val="008C52A4"/>
    <w:rsid w:val="008C71FB"/>
    <w:rsid w:val="008D16D2"/>
    <w:rsid w:val="008D4D47"/>
    <w:rsid w:val="008D60E4"/>
    <w:rsid w:val="008E00C3"/>
    <w:rsid w:val="008E6DBE"/>
    <w:rsid w:val="008F148F"/>
    <w:rsid w:val="008F1930"/>
    <w:rsid w:val="008F1CFA"/>
    <w:rsid w:val="008F54B6"/>
    <w:rsid w:val="00901D94"/>
    <w:rsid w:val="00905073"/>
    <w:rsid w:val="00910454"/>
    <w:rsid w:val="009117D9"/>
    <w:rsid w:val="00912AD0"/>
    <w:rsid w:val="009139FC"/>
    <w:rsid w:val="00915316"/>
    <w:rsid w:val="009162FB"/>
    <w:rsid w:val="00917709"/>
    <w:rsid w:val="00921BBC"/>
    <w:rsid w:val="00922072"/>
    <w:rsid w:val="0092714E"/>
    <w:rsid w:val="009329BA"/>
    <w:rsid w:val="00935A6D"/>
    <w:rsid w:val="00936EF7"/>
    <w:rsid w:val="00940565"/>
    <w:rsid w:val="00945BEC"/>
    <w:rsid w:val="0094774B"/>
    <w:rsid w:val="00952F61"/>
    <w:rsid w:val="0095330E"/>
    <w:rsid w:val="00953E2D"/>
    <w:rsid w:val="00961C94"/>
    <w:rsid w:val="00961F67"/>
    <w:rsid w:val="00965061"/>
    <w:rsid w:val="0096770E"/>
    <w:rsid w:val="00970E7E"/>
    <w:rsid w:val="00972DBA"/>
    <w:rsid w:val="0097370C"/>
    <w:rsid w:val="00975E9C"/>
    <w:rsid w:val="00975F99"/>
    <w:rsid w:val="00976BC2"/>
    <w:rsid w:val="0098093D"/>
    <w:rsid w:val="0098195C"/>
    <w:rsid w:val="0098240E"/>
    <w:rsid w:val="00987FB5"/>
    <w:rsid w:val="00990A03"/>
    <w:rsid w:val="009945FC"/>
    <w:rsid w:val="0099535A"/>
    <w:rsid w:val="009A4466"/>
    <w:rsid w:val="009A62B7"/>
    <w:rsid w:val="009B1019"/>
    <w:rsid w:val="009B275E"/>
    <w:rsid w:val="009B5745"/>
    <w:rsid w:val="009B6A1A"/>
    <w:rsid w:val="009B7BC8"/>
    <w:rsid w:val="009C18E4"/>
    <w:rsid w:val="009C3FD3"/>
    <w:rsid w:val="009C4BFB"/>
    <w:rsid w:val="009D3BA1"/>
    <w:rsid w:val="009E0974"/>
    <w:rsid w:val="009E0F6E"/>
    <w:rsid w:val="009E3AB3"/>
    <w:rsid w:val="009E4F00"/>
    <w:rsid w:val="009E5D74"/>
    <w:rsid w:val="009F1EA5"/>
    <w:rsid w:val="009F3107"/>
    <w:rsid w:val="009F3961"/>
    <w:rsid w:val="00A02AD0"/>
    <w:rsid w:val="00A03531"/>
    <w:rsid w:val="00A145E9"/>
    <w:rsid w:val="00A216BF"/>
    <w:rsid w:val="00A22C84"/>
    <w:rsid w:val="00A238D4"/>
    <w:rsid w:val="00A2671E"/>
    <w:rsid w:val="00A26E2D"/>
    <w:rsid w:val="00A26F3E"/>
    <w:rsid w:val="00A31096"/>
    <w:rsid w:val="00A34917"/>
    <w:rsid w:val="00A4006D"/>
    <w:rsid w:val="00A42943"/>
    <w:rsid w:val="00A43D12"/>
    <w:rsid w:val="00A43D88"/>
    <w:rsid w:val="00A44E73"/>
    <w:rsid w:val="00A50542"/>
    <w:rsid w:val="00A52278"/>
    <w:rsid w:val="00A606DC"/>
    <w:rsid w:val="00A63799"/>
    <w:rsid w:val="00A67F04"/>
    <w:rsid w:val="00A72435"/>
    <w:rsid w:val="00A7691D"/>
    <w:rsid w:val="00A826BA"/>
    <w:rsid w:val="00A84859"/>
    <w:rsid w:val="00A93B07"/>
    <w:rsid w:val="00A948B0"/>
    <w:rsid w:val="00AA2028"/>
    <w:rsid w:val="00AA2BEB"/>
    <w:rsid w:val="00AA6002"/>
    <w:rsid w:val="00AB7704"/>
    <w:rsid w:val="00AC391C"/>
    <w:rsid w:val="00AC4309"/>
    <w:rsid w:val="00AC5761"/>
    <w:rsid w:val="00AC6C25"/>
    <w:rsid w:val="00AD73C8"/>
    <w:rsid w:val="00AE0103"/>
    <w:rsid w:val="00AE10DF"/>
    <w:rsid w:val="00AE1F6A"/>
    <w:rsid w:val="00AE4213"/>
    <w:rsid w:val="00AF01AE"/>
    <w:rsid w:val="00AF0363"/>
    <w:rsid w:val="00AF1308"/>
    <w:rsid w:val="00AF34DD"/>
    <w:rsid w:val="00AF5225"/>
    <w:rsid w:val="00AF756A"/>
    <w:rsid w:val="00B0138C"/>
    <w:rsid w:val="00B06AAC"/>
    <w:rsid w:val="00B1136F"/>
    <w:rsid w:val="00B128D1"/>
    <w:rsid w:val="00B13946"/>
    <w:rsid w:val="00B14B7A"/>
    <w:rsid w:val="00B165B4"/>
    <w:rsid w:val="00B17351"/>
    <w:rsid w:val="00B22852"/>
    <w:rsid w:val="00B32429"/>
    <w:rsid w:val="00B343F6"/>
    <w:rsid w:val="00B35D42"/>
    <w:rsid w:val="00B40BBC"/>
    <w:rsid w:val="00B43D12"/>
    <w:rsid w:val="00B50088"/>
    <w:rsid w:val="00B5117F"/>
    <w:rsid w:val="00B515ED"/>
    <w:rsid w:val="00B55274"/>
    <w:rsid w:val="00B56FB7"/>
    <w:rsid w:val="00B653C8"/>
    <w:rsid w:val="00B71B48"/>
    <w:rsid w:val="00B76755"/>
    <w:rsid w:val="00B808B2"/>
    <w:rsid w:val="00B97081"/>
    <w:rsid w:val="00BA03C0"/>
    <w:rsid w:val="00BB3264"/>
    <w:rsid w:val="00BB3F2C"/>
    <w:rsid w:val="00BB7711"/>
    <w:rsid w:val="00BC39DE"/>
    <w:rsid w:val="00BC5C98"/>
    <w:rsid w:val="00BD5A04"/>
    <w:rsid w:val="00BD6758"/>
    <w:rsid w:val="00BD7B19"/>
    <w:rsid w:val="00BD7DC0"/>
    <w:rsid w:val="00BE12A9"/>
    <w:rsid w:val="00BE56DD"/>
    <w:rsid w:val="00BE62D2"/>
    <w:rsid w:val="00BE7619"/>
    <w:rsid w:val="00BE7927"/>
    <w:rsid w:val="00BF073A"/>
    <w:rsid w:val="00BF2553"/>
    <w:rsid w:val="00BF2C2A"/>
    <w:rsid w:val="00BF3C8D"/>
    <w:rsid w:val="00BF5456"/>
    <w:rsid w:val="00C002B3"/>
    <w:rsid w:val="00C00C31"/>
    <w:rsid w:val="00C106E6"/>
    <w:rsid w:val="00C11B78"/>
    <w:rsid w:val="00C140BC"/>
    <w:rsid w:val="00C141A5"/>
    <w:rsid w:val="00C22E66"/>
    <w:rsid w:val="00C24652"/>
    <w:rsid w:val="00C27098"/>
    <w:rsid w:val="00C30CF2"/>
    <w:rsid w:val="00C3755A"/>
    <w:rsid w:val="00C37690"/>
    <w:rsid w:val="00C41D0B"/>
    <w:rsid w:val="00C42082"/>
    <w:rsid w:val="00C42D72"/>
    <w:rsid w:val="00C45C7E"/>
    <w:rsid w:val="00C4756A"/>
    <w:rsid w:val="00C5089D"/>
    <w:rsid w:val="00C532A0"/>
    <w:rsid w:val="00C5604E"/>
    <w:rsid w:val="00C57DE4"/>
    <w:rsid w:val="00C63F96"/>
    <w:rsid w:val="00C64681"/>
    <w:rsid w:val="00C64FA1"/>
    <w:rsid w:val="00C707C3"/>
    <w:rsid w:val="00C70E4E"/>
    <w:rsid w:val="00C72E9A"/>
    <w:rsid w:val="00C742EE"/>
    <w:rsid w:val="00C76975"/>
    <w:rsid w:val="00C80B4E"/>
    <w:rsid w:val="00C813C0"/>
    <w:rsid w:val="00C875F1"/>
    <w:rsid w:val="00C878A9"/>
    <w:rsid w:val="00C87EB2"/>
    <w:rsid w:val="00C9175E"/>
    <w:rsid w:val="00C954D1"/>
    <w:rsid w:val="00CA2988"/>
    <w:rsid w:val="00CA5264"/>
    <w:rsid w:val="00CA7764"/>
    <w:rsid w:val="00CA7D4D"/>
    <w:rsid w:val="00CB0291"/>
    <w:rsid w:val="00CB1939"/>
    <w:rsid w:val="00CB2F10"/>
    <w:rsid w:val="00CB31A3"/>
    <w:rsid w:val="00CB4044"/>
    <w:rsid w:val="00CB5A3B"/>
    <w:rsid w:val="00CB5C6C"/>
    <w:rsid w:val="00CC5FCE"/>
    <w:rsid w:val="00CC608A"/>
    <w:rsid w:val="00CD398A"/>
    <w:rsid w:val="00CD567B"/>
    <w:rsid w:val="00CD7945"/>
    <w:rsid w:val="00CE0C84"/>
    <w:rsid w:val="00CE228E"/>
    <w:rsid w:val="00CE4252"/>
    <w:rsid w:val="00CE4C7F"/>
    <w:rsid w:val="00CE695D"/>
    <w:rsid w:val="00CF0876"/>
    <w:rsid w:val="00CF1502"/>
    <w:rsid w:val="00CF424A"/>
    <w:rsid w:val="00CF65AE"/>
    <w:rsid w:val="00D02BB6"/>
    <w:rsid w:val="00D049AB"/>
    <w:rsid w:val="00D07A3F"/>
    <w:rsid w:val="00D104C6"/>
    <w:rsid w:val="00D10639"/>
    <w:rsid w:val="00D11ABE"/>
    <w:rsid w:val="00D16498"/>
    <w:rsid w:val="00D17F01"/>
    <w:rsid w:val="00D269AF"/>
    <w:rsid w:val="00D26EAF"/>
    <w:rsid w:val="00D3176E"/>
    <w:rsid w:val="00D333FB"/>
    <w:rsid w:val="00D438D3"/>
    <w:rsid w:val="00D460D1"/>
    <w:rsid w:val="00D5450F"/>
    <w:rsid w:val="00D55768"/>
    <w:rsid w:val="00D60DF4"/>
    <w:rsid w:val="00D62AF3"/>
    <w:rsid w:val="00D6414D"/>
    <w:rsid w:val="00D67401"/>
    <w:rsid w:val="00D75E9E"/>
    <w:rsid w:val="00D8041F"/>
    <w:rsid w:val="00D80856"/>
    <w:rsid w:val="00D81B99"/>
    <w:rsid w:val="00D82F34"/>
    <w:rsid w:val="00D8320B"/>
    <w:rsid w:val="00D927B0"/>
    <w:rsid w:val="00D95CCE"/>
    <w:rsid w:val="00D969F0"/>
    <w:rsid w:val="00DA6251"/>
    <w:rsid w:val="00DA7244"/>
    <w:rsid w:val="00DA72DD"/>
    <w:rsid w:val="00DB03A6"/>
    <w:rsid w:val="00DB089C"/>
    <w:rsid w:val="00DB2346"/>
    <w:rsid w:val="00DB640C"/>
    <w:rsid w:val="00DC009C"/>
    <w:rsid w:val="00DC1065"/>
    <w:rsid w:val="00DC1A59"/>
    <w:rsid w:val="00DC44D8"/>
    <w:rsid w:val="00DC4573"/>
    <w:rsid w:val="00DC5340"/>
    <w:rsid w:val="00DC5F1A"/>
    <w:rsid w:val="00DD0D33"/>
    <w:rsid w:val="00DD2030"/>
    <w:rsid w:val="00DE17F1"/>
    <w:rsid w:val="00DE2BC5"/>
    <w:rsid w:val="00DE2BED"/>
    <w:rsid w:val="00DE2C3F"/>
    <w:rsid w:val="00DE408B"/>
    <w:rsid w:val="00DE4245"/>
    <w:rsid w:val="00DE54ED"/>
    <w:rsid w:val="00DE6432"/>
    <w:rsid w:val="00DF2F0B"/>
    <w:rsid w:val="00DF5543"/>
    <w:rsid w:val="00DF7C67"/>
    <w:rsid w:val="00E01600"/>
    <w:rsid w:val="00E0386E"/>
    <w:rsid w:val="00E12F7F"/>
    <w:rsid w:val="00E136B9"/>
    <w:rsid w:val="00E20671"/>
    <w:rsid w:val="00E21DF9"/>
    <w:rsid w:val="00E24D32"/>
    <w:rsid w:val="00E25461"/>
    <w:rsid w:val="00E37525"/>
    <w:rsid w:val="00E40C25"/>
    <w:rsid w:val="00E443A7"/>
    <w:rsid w:val="00E459C2"/>
    <w:rsid w:val="00E45B1E"/>
    <w:rsid w:val="00E53C35"/>
    <w:rsid w:val="00E6013D"/>
    <w:rsid w:val="00E6028C"/>
    <w:rsid w:val="00E617CE"/>
    <w:rsid w:val="00E62AB2"/>
    <w:rsid w:val="00E66DAC"/>
    <w:rsid w:val="00E73C25"/>
    <w:rsid w:val="00E75028"/>
    <w:rsid w:val="00E807A0"/>
    <w:rsid w:val="00E909DE"/>
    <w:rsid w:val="00EA1431"/>
    <w:rsid w:val="00EA25D9"/>
    <w:rsid w:val="00EA306C"/>
    <w:rsid w:val="00EA6F0B"/>
    <w:rsid w:val="00EB4FC6"/>
    <w:rsid w:val="00EB504C"/>
    <w:rsid w:val="00EB667D"/>
    <w:rsid w:val="00EB6710"/>
    <w:rsid w:val="00EC053B"/>
    <w:rsid w:val="00EC2586"/>
    <w:rsid w:val="00EC3298"/>
    <w:rsid w:val="00EC5FB3"/>
    <w:rsid w:val="00ED042A"/>
    <w:rsid w:val="00ED2CF7"/>
    <w:rsid w:val="00ED2E48"/>
    <w:rsid w:val="00ED3AB3"/>
    <w:rsid w:val="00ED441A"/>
    <w:rsid w:val="00EE2549"/>
    <w:rsid w:val="00EE2F05"/>
    <w:rsid w:val="00EE4313"/>
    <w:rsid w:val="00EE691D"/>
    <w:rsid w:val="00EF3D0A"/>
    <w:rsid w:val="00EF4373"/>
    <w:rsid w:val="00EF5913"/>
    <w:rsid w:val="00EF6510"/>
    <w:rsid w:val="00F008AF"/>
    <w:rsid w:val="00F03B78"/>
    <w:rsid w:val="00F1315B"/>
    <w:rsid w:val="00F161EB"/>
    <w:rsid w:val="00F16502"/>
    <w:rsid w:val="00F16C0A"/>
    <w:rsid w:val="00F323BB"/>
    <w:rsid w:val="00F32B81"/>
    <w:rsid w:val="00F32E24"/>
    <w:rsid w:val="00F345DA"/>
    <w:rsid w:val="00F36568"/>
    <w:rsid w:val="00F402DF"/>
    <w:rsid w:val="00F41F54"/>
    <w:rsid w:val="00F42275"/>
    <w:rsid w:val="00F43828"/>
    <w:rsid w:val="00F43A20"/>
    <w:rsid w:val="00F4755B"/>
    <w:rsid w:val="00F4775D"/>
    <w:rsid w:val="00F54612"/>
    <w:rsid w:val="00F553D6"/>
    <w:rsid w:val="00F60595"/>
    <w:rsid w:val="00F62ABA"/>
    <w:rsid w:val="00F6347E"/>
    <w:rsid w:val="00F63584"/>
    <w:rsid w:val="00F64F46"/>
    <w:rsid w:val="00F70114"/>
    <w:rsid w:val="00F7374C"/>
    <w:rsid w:val="00F76DB2"/>
    <w:rsid w:val="00F77CC4"/>
    <w:rsid w:val="00F77F9F"/>
    <w:rsid w:val="00F8202B"/>
    <w:rsid w:val="00F83ADA"/>
    <w:rsid w:val="00F860AC"/>
    <w:rsid w:val="00F923EB"/>
    <w:rsid w:val="00F93604"/>
    <w:rsid w:val="00F93EC3"/>
    <w:rsid w:val="00F959D1"/>
    <w:rsid w:val="00FA3A88"/>
    <w:rsid w:val="00FA54AF"/>
    <w:rsid w:val="00FB6466"/>
    <w:rsid w:val="00FC1C48"/>
    <w:rsid w:val="00FC3897"/>
    <w:rsid w:val="00FC50BE"/>
    <w:rsid w:val="00FC7320"/>
    <w:rsid w:val="00FD1EC1"/>
    <w:rsid w:val="00FD4B10"/>
    <w:rsid w:val="00FE6321"/>
    <w:rsid w:val="00FF08E5"/>
    <w:rsid w:val="00FF367D"/>
    <w:rsid w:val="00FF3E10"/>
    <w:rsid w:val="00FF58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402DF8-2FF5-4A08-82A5-DE6A677A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3">
    <w:name w:val="heading 3"/>
    <w:basedOn w:val="Normal"/>
    <w:next w:val="Normal"/>
    <w:link w:val="Heading3Char"/>
    <w:uiPriority w:val="9"/>
    <w:semiHidden/>
    <w:unhideWhenUsed/>
    <w:qFormat/>
    <w:rsid w:val="000F7347"/>
    <w:pPr>
      <w:keepNext/>
      <w:keepLines/>
      <w:widowControl/>
      <w:spacing w:before="200" w:line="276" w:lineRule="auto"/>
      <w:outlineLvl w:val="2"/>
    </w:pPr>
    <w:rPr>
      <w:rFonts w:asciiTheme="majorHAnsi" w:eastAsiaTheme="majorEastAsia" w:hAnsiTheme="majorHAnsi" w:cstheme="majorBidi"/>
      <w:b/>
      <w:bCs/>
      <w:snapToGrid/>
      <w:color w:val="4F81BD" w:themeColor="accent1"/>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ind w:left="565" w:hanging="565"/>
    </w:pPr>
    <w:rPr>
      <w:lang w:val="en-AU"/>
    </w:rPr>
  </w:style>
  <w:style w:type="paragraph" w:styleId="BodyText">
    <w:name w:val="Body Text"/>
    <w:basedOn w:val="Normal"/>
    <w:link w:val="BodyTextChar"/>
    <w:pPr>
      <w:tabs>
        <w:tab w:val="left" w:pos="1132"/>
        <w:tab w:val="left" w:pos="3684"/>
      </w:tabs>
      <w:spacing w:before="120" w:after="120"/>
      <w:jc w:val="both"/>
    </w:pPr>
    <w:rPr>
      <w:noProof/>
      <w:snapToGrid/>
    </w:rPr>
  </w:style>
  <w:style w:type="paragraph" w:styleId="ListBullet">
    <w:name w:val="List Bullet"/>
    <w:basedOn w:val="Normal"/>
    <w:autoRedefine/>
    <w:pPr>
      <w:tabs>
        <w:tab w:val="left" w:pos="-1"/>
      </w:tabs>
      <w:spacing w:before="120"/>
    </w:pPr>
    <w:rPr>
      <w:color w:val="000000"/>
      <w:lang w:val="en-AU"/>
    </w:rPr>
  </w:style>
  <w:style w:type="paragraph" w:styleId="ListContinue">
    <w:name w:val="List Continue"/>
    <w:basedOn w:val="Normal"/>
    <w:pPr>
      <w:spacing w:after="120"/>
      <w:ind w:left="283"/>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120"/>
      <w:jc w:val="center"/>
      <w:outlineLvl w:val="0"/>
    </w:pPr>
    <w:rPr>
      <w:b/>
      <w:sz w:val="22"/>
      <w:lang w:val="en-AU"/>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120"/>
      <w:ind w:left="57"/>
    </w:pPr>
    <w:rPr>
      <w:lang w:val="en-AU"/>
    </w:rPr>
  </w:style>
  <w:style w:type="paragraph" w:customStyle="1" w:styleId="CharCharChar">
    <w:name w:val="Char Char Char"/>
    <w:basedOn w:val="Normal"/>
    <w:rsid w:val="008935FA"/>
    <w:pPr>
      <w:widowControl/>
    </w:pPr>
    <w:rPr>
      <w:rFonts w:ascii="Arial" w:hAnsi="Arial" w:cs="Arial"/>
      <w:snapToGrid/>
      <w:sz w:val="22"/>
      <w:szCs w:val="22"/>
      <w:lang w:val="en-AU"/>
    </w:rPr>
  </w:style>
  <w:style w:type="paragraph" w:styleId="BalloonText">
    <w:name w:val="Balloon Text"/>
    <w:basedOn w:val="Normal"/>
    <w:semiHidden/>
    <w:rsid w:val="002C77F2"/>
    <w:rPr>
      <w:rFonts w:ascii="Tahoma" w:hAnsi="Tahoma" w:cs="Tahoma"/>
      <w:sz w:val="16"/>
      <w:szCs w:val="16"/>
    </w:rPr>
  </w:style>
  <w:style w:type="paragraph" w:customStyle="1" w:styleId="Char2Char">
    <w:name w:val="Char2 Char"/>
    <w:basedOn w:val="Normal"/>
    <w:rsid w:val="00C64681"/>
    <w:pPr>
      <w:widowControl/>
      <w:spacing w:after="160" w:line="240" w:lineRule="exact"/>
    </w:pPr>
    <w:rPr>
      <w:rFonts w:ascii="Verdana" w:hAnsi="Verdana" w:cs="Verdana"/>
      <w:snapToGrid/>
      <w:sz w:val="21"/>
      <w:szCs w:val="21"/>
    </w:rPr>
  </w:style>
  <w:style w:type="character" w:styleId="PageNumber">
    <w:name w:val="page number"/>
    <w:basedOn w:val="DefaultParagraphFont"/>
    <w:rsid w:val="00FC7320"/>
  </w:style>
  <w:style w:type="character" w:styleId="Hyperlink">
    <w:name w:val="Hyperlink"/>
    <w:rsid w:val="00CB1939"/>
    <w:rPr>
      <w:color w:val="0000FF"/>
      <w:u w:val="single"/>
    </w:rPr>
  </w:style>
  <w:style w:type="character" w:customStyle="1" w:styleId="FooterChar">
    <w:name w:val="Footer Char"/>
    <w:link w:val="Footer"/>
    <w:uiPriority w:val="99"/>
    <w:rsid w:val="005C49CF"/>
    <w:rPr>
      <w:snapToGrid w:val="0"/>
      <w:sz w:val="24"/>
      <w:lang w:val="en-US" w:eastAsia="en-US"/>
    </w:rPr>
  </w:style>
  <w:style w:type="paragraph" w:styleId="ListParagraph">
    <w:name w:val="List Paragraph"/>
    <w:basedOn w:val="Normal"/>
    <w:uiPriority w:val="34"/>
    <w:qFormat/>
    <w:rsid w:val="00BF3C8D"/>
    <w:pPr>
      <w:widowControl/>
      <w:spacing w:after="200" w:line="276" w:lineRule="auto"/>
      <w:ind w:left="720"/>
      <w:contextualSpacing/>
    </w:pPr>
    <w:rPr>
      <w:rFonts w:eastAsia="Calibri"/>
      <w:snapToGrid/>
      <w:szCs w:val="22"/>
      <w:lang w:val="en-AU"/>
    </w:rPr>
  </w:style>
  <w:style w:type="character" w:styleId="CommentReference">
    <w:name w:val="annotation reference"/>
    <w:rsid w:val="00CC608A"/>
    <w:rPr>
      <w:sz w:val="16"/>
      <w:szCs w:val="16"/>
    </w:rPr>
  </w:style>
  <w:style w:type="paragraph" w:styleId="CommentText">
    <w:name w:val="annotation text"/>
    <w:basedOn w:val="Normal"/>
    <w:link w:val="CommentTextChar"/>
    <w:rsid w:val="00CC608A"/>
    <w:rPr>
      <w:sz w:val="20"/>
    </w:rPr>
  </w:style>
  <w:style w:type="character" w:customStyle="1" w:styleId="CommentTextChar">
    <w:name w:val="Comment Text Char"/>
    <w:link w:val="CommentText"/>
    <w:rsid w:val="00CC608A"/>
    <w:rPr>
      <w:snapToGrid w:val="0"/>
      <w:lang w:val="en-US" w:eastAsia="en-US"/>
    </w:rPr>
  </w:style>
  <w:style w:type="paragraph" w:styleId="CommentSubject">
    <w:name w:val="annotation subject"/>
    <w:basedOn w:val="CommentText"/>
    <w:next w:val="CommentText"/>
    <w:link w:val="CommentSubjectChar"/>
    <w:rsid w:val="00CC608A"/>
    <w:rPr>
      <w:b/>
      <w:bCs/>
    </w:rPr>
  </w:style>
  <w:style w:type="character" w:customStyle="1" w:styleId="CommentSubjectChar">
    <w:name w:val="Comment Subject Char"/>
    <w:link w:val="CommentSubject"/>
    <w:rsid w:val="00CC608A"/>
    <w:rPr>
      <w:b/>
      <w:bCs/>
      <w:snapToGrid w:val="0"/>
      <w:lang w:val="en-US" w:eastAsia="en-US"/>
    </w:rPr>
  </w:style>
  <w:style w:type="paragraph" w:styleId="Revision">
    <w:name w:val="Revision"/>
    <w:hidden/>
    <w:uiPriority w:val="99"/>
    <w:semiHidden/>
    <w:rsid w:val="001B7CCE"/>
    <w:rPr>
      <w:snapToGrid w:val="0"/>
      <w:sz w:val="24"/>
      <w:lang w:val="en-US" w:eastAsia="en-US"/>
    </w:rPr>
  </w:style>
  <w:style w:type="character" w:customStyle="1" w:styleId="BodyTextChar">
    <w:name w:val="Body Text Char"/>
    <w:basedOn w:val="DefaultParagraphFont"/>
    <w:link w:val="BodyText"/>
    <w:rsid w:val="001F29CD"/>
    <w:rPr>
      <w:noProof/>
      <w:sz w:val="24"/>
      <w:lang w:val="en-US" w:eastAsia="en-US"/>
    </w:rPr>
  </w:style>
  <w:style w:type="character" w:customStyle="1" w:styleId="Heading3Char">
    <w:name w:val="Heading 3 Char"/>
    <w:basedOn w:val="DefaultParagraphFont"/>
    <w:link w:val="Heading3"/>
    <w:uiPriority w:val="9"/>
    <w:semiHidden/>
    <w:rsid w:val="000F7347"/>
    <w:rPr>
      <w:rFonts w:asciiTheme="majorHAnsi" w:eastAsiaTheme="majorEastAsia" w:hAnsiTheme="majorHAnsi" w:cstheme="majorBidi"/>
      <w:b/>
      <w:bCs/>
      <w:color w:val="4F81BD" w:themeColor="accent1"/>
      <w:sz w:val="22"/>
      <w:szCs w:val="22"/>
      <w:lang w:eastAsia="en-US"/>
    </w:rPr>
  </w:style>
  <w:style w:type="paragraph" w:styleId="FootnoteText">
    <w:name w:val="footnote text"/>
    <w:basedOn w:val="Normal"/>
    <w:link w:val="FootnoteTextChar"/>
    <w:unhideWhenUsed/>
    <w:rsid w:val="000F7347"/>
    <w:pPr>
      <w:widowControl/>
    </w:pPr>
    <w:rPr>
      <w:rFonts w:asciiTheme="minorHAnsi" w:eastAsiaTheme="minorHAnsi" w:hAnsiTheme="minorHAnsi" w:cstheme="minorBidi"/>
      <w:snapToGrid/>
      <w:sz w:val="20"/>
      <w:lang w:val="en-AU"/>
    </w:rPr>
  </w:style>
  <w:style w:type="character" w:customStyle="1" w:styleId="FootnoteTextChar">
    <w:name w:val="Footnote Text Char"/>
    <w:basedOn w:val="DefaultParagraphFont"/>
    <w:link w:val="FootnoteText"/>
    <w:rsid w:val="000F734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43479">
      <w:bodyDiv w:val="1"/>
      <w:marLeft w:val="0"/>
      <w:marRight w:val="0"/>
      <w:marTop w:val="0"/>
      <w:marBottom w:val="0"/>
      <w:divBdr>
        <w:top w:val="none" w:sz="0" w:space="0" w:color="auto"/>
        <w:left w:val="none" w:sz="0" w:space="0" w:color="auto"/>
        <w:bottom w:val="none" w:sz="0" w:space="0" w:color="auto"/>
        <w:right w:val="none" w:sz="0" w:space="0" w:color="auto"/>
      </w:divBdr>
    </w:div>
    <w:div w:id="1209875398">
      <w:bodyDiv w:val="1"/>
      <w:marLeft w:val="0"/>
      <w:marRight w:val="0"/>
      <w:marTop w:val="0"/>
      <w:marBottom w:val="0"/>
      <w:divBdr>
        <w:top w:val="none" w:sz="0" w:space="0" w:color="auto"/>
        <w:left w:val="none" w:sz="0" w:space="0" w:color="auto"/>
        <w:bottom w:val="none" w:sz="0" w:space="0" w:color="auto"/>
        <w:right w:val="none" w:sz="0" w:space="0" w:color="auto"/>
      </w:divBdr>
      <w:divsChild>
        <w:div w:id="52753001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670915550">
                  <w:marLeft w:val="0"/>
                  <w:marRight w:val="0"/>
                  <w:marTop w:val="0"/>
                  <w:marBottom w:val="0"/>
                  <w:divBdr>
                    <w:top w:val="none" w:sz="0" w:space="0" w:color="auto"/>
                    <w:left w:val="none" w:sz="0" w:space="0" w:color="auto"/>
                    <w:bottom w:val="none" w:sz="0" w:space="0" w:color="auto"/>
                    <w:right w:val="none" w:sz="0" w:space="0" w:color="auto"/>
                  </w:divBdr>
                  <w:divsChild>
                    <w:div w:id="1818302987">
                      <w:marLeft w:val="0"/>
                      <w:marRight w:val="0"/>
                      <w:marTop w:val="0"/>
                      <w:marBottom w:val="0"/>
                      <w:divBdr>
                        <w:top w:val="none" w:sz="0" w:space="0" w:color="auto"/>
                        <w:left w:val="none" w:sz="0" w:space="0" w:color="auto"/>
                        <w:bottom w:val="none" w:sz="0" w:space="0" w:color="auto"/>
                        <w:right w:val="none" w:sz="0" w:space="0" w:color="auto"/>
                      </w:divBdr>
                      <w:divsChild>
                        <w:div w:id="606231838">
                          <w:marLeft w:val="0"/>
                          <w:marRight w:val="0"/>
                          <w:marTop w:val="0"/>
                          <w:marBottom w:val="0"/>
                          <w:divBdr>
                            <w:top w:val="none" w:sz="0" w:space="0" w:color="auto"/>
                            <w:left w:val="none" w:sz="0" w:space="0" w:color="auto"/>
                            <w:bottom w:val="none" w:sz="0" w:space="0" w:color="auto"/>
                            <w:right w:val="none" w:sz="0" w:space="0" w:color="auto"/>
                          </w:divBdr>
                          <w:divsChild>
                            <w:div w:id="2082211941">
                              <w:marLeft w:val="0"/>
                              <w:marRight w:val="0"/>
                              <w:marTop w:val="0"/>
                              <w:marBottom w:val="0"/>
                              <w:divBdr>
                                <w:top w:val="none" w:sz="0" w:space="0" w:color="auto"/>
                                <w:left w:val="none" w:sz="0" w:space="0" w:color="auto"/>
                                <w:bottom w:val="none" w:sz="0" w:space="0" w:color="auto"/>
                                <w:right w:val="none" w:sz="0" w:space="0" w:color="auto"/>
                              </w:divBdr>
                              <w:divsChild>
                                <w:div w:id="490371474">
                                  <w:marLeft w:val="0"/>
                                  <w:marRight w:val="0"/>
                                  <w:marTop w:val="0"/>
                                  <w:marBottom w:val="0"/>
                                  <w:divBdr>
                                    <w:top w:val="none" w:sz="0" w:space="0" w:color="auto"/>
                                    <w:left w:val="none" w:sz="0" w:space="0" w:color="auto"/>
                                    <w:bottom w:val="none" w:sz="0" w:space="0" w:color="auto"/>
                                    <w:right w:val="none" w:sz="0" w:space="0" w:color="auto"/>
                                  </w:divBdr>
                                  <w:divsChild>
                                    <w:div w:id="1781801100">
                                      <w:marLeft w:val="0"/>
                                      <w:marRight w:val="0"/>
                                      <w:marTop w:val="0"/>
                                      <w:marBottom w:val="0"/>
                                      <w:divBdr>
                                        <w:top w:val="none" w:sz="0" w:space="0" w:color="auto"/>
                                        <w:left w:val="none" w:sz="0" w:space="0" w:color="auto"/>
                                        <w:bottom w:val="none" w:sz="0" w:space="0" w:color="auto"/>
                                        <w:right w:val="none" w:sz="0" w:space="0" w:color="auto"/>
                                      </w:divBdr>
                                      <w:divsChild>
                                        <w:div w:id="491722646">
                                          <w:marLeft w:val="0"/>
                                          <w:marRight w:val="0"/>
                                          <w:marTop w:val="0"/>
                                          <w:marBottom w:val="0"/>
                                          <w:divBdr>
                                            <w:top w:val="none" w:sz="0" w:space="0" w:color="auto"/>
                                            <w:left w:val="none" w:sz="0" w:space="0" w:color="auto"/>
                                            <w:bottom w:val="none" w:sz="0" w:space="0" w:color="auto"/>
                                            <w:right w:val="none" w:sz="0" w:space="0" w:color="auto"/>
                                          </w:divBdr>
                                          <w:divsChild>
                                            <w:div w:id="1257640598">
                                              <w:marLeft w:val="0"/>
                                              <w:marRight w:val="0"/>
                                              <w:marTop w:val="0"/>
                                              <w:marBottom w:val="0"/>
                                              <w:divBdr>
                                                <w:top w:val="none" w:sz="0" w:space="0" w:color="auto"/>
                                                <w:left w:val="none" w:sz="0" w:space="0" w:color="auto"/>
                                                <w:bottom w:val="none" w:sz="0" w:space="0" w:color="auto"/>
                                                <w:right w:val="none" w:sz="0" w:space="0" w:color="auto"/>
                                              </w:divBdr>
                                              <w:divsChild>
                                                <w:div w:id="318386875">
                                                  <w:marLeft w:val="0"/>
                                                  <w:marRight w:val="0"/>
                                                  <w:marTop w:val="0"/>
                                                  <w:marBottom w:val="0"/>
                                                  <w:divBdr>
                                                    <w:top w:val="none" w:sz="0" w:space="0" w:color="auto"/>
                                                    <w:left w:val="none" w:sz="0" w:space="0" w:color="auto"/>
                                                    <w:bottom w:val="none" w:sz="0" w:space="0" w:color="auto"/>
                                                    <w:right w:val="none" w:sz="0" w:space="0" w:color="auto"/>
                                                  </w:divBdr>
                                                  <w:divsChild>
                                                    <w:div w:id="1459375126">
                                                      <w:marLeft w:val="0"/>
                                                      <w:marRight w:val="0"/>
                                                      <w:marTop w:val="0"/>
                                                      <w:marBottom w:val="0"/>
                                                      <w:divBdr>
                                                        <w:top w:val="none" w:sz="0" w:space="0" w:color="auto"/>
                                                        <w:left w:val="none" w:sz="0" w:space="0" w:color="auto"/>
                                                        <w:bottom w:val="none" w:sz="0" w:space="0" w:color="auto"/>
                                                        <w:right w:val="none" w:sz="0" w:space="0" w:color="auto"/>
                                                      </w:divBdr>
                                                      <w:divsChild>
                                                        <w:div w:id="18527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4475938">
      <w:bodyDiv w:val="1"/>
      <w:marLeft w:val="0"/>
      <w:marRight w:val="0"/>
      <w:marTop w:val="0"/>
      <w:marBottom w:val="0"/>
      <w:divBdr>
        <w:top w:val="none" w:sz="0" w:space="0" w:color="auto"/>
        <w:left w:val="none" w:sz="0" w:space="0" w:color="auto"/>
        <w:bottom w:val="none" w:sz="0" w:space="0" w:color="auto"/>
        <w:right w:val="none" w:sz="0" w:space="0" w:color="auto"/>
      </w:divBdr>
    </w:div>
    <w:div w:id="18343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4E28AD5DA906B448A73D45C25EE0CCC" ma:contentTypeVersion="" ma:contentTypeDescription="PDMS Document Site Content Type" ma:contentTypeScope="" ma:versionID="b83586f2927bf92afe1fdbd4dd187f62">
  <xsd:schema xmlns:xsd="http://www.w3.org/2001/XMLSchema" xmlns:xs="http://www.w3.org/2001/XMLSchema" xmlns:p="http://schemas.microsoft.com/office/2006/metadata/properties" xmlns:ns2="80884B15-272F-414B-B096-A8A64B1E944C" targetNamespace="http://schemas.microsoft.com/office/2006/metadata/properties" ma:root="true" ma:fieldsID="e1a4acde16061a3831d91f92dc5c0695" ns2:_="">
    <xsd:import namespace="80884B15-272F-414B-B096-A8A64B1E944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4B15-272F-414B-B096-A8A64B1E944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0884B15-272F-414B-B096-A8A64B1E94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F861-1034-4AA2-B1EE-A9CF95EA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84B15-272F-414B-B096-A8A64B1E9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AA153-8964-4AC4-B837-EC471E36CB05}">
  <ds:schemaRefs>
    <ds:schemaRef ds:uri="http://schemas.microsoft.com/sharepoint/v3/contenttype/forms"/>
  </ds:schemaRefs>
</ds:datastoreItem>
</file>

<file path=customXml/itemProps3.xml><?xml version="1.0" encoding="utf-8"?>
<ds:datastoreItem xmlns:ds="http://schemas.openxmlformats.org/officeDocument/2006/customXml" ds:itemID="{57F6EC6D-90FE-49B8-8402-1C715E84F9B3}">
  <ds:schemaRefs>
    <ds:schemaRef ds:uri="http://schemas.microsoft.com/office/infopath/2007/PartnerControls"/>
    <ds:schemaRef ds:uri="http://purl.org/dc/terms/"/>
    <ds:schemaRef ds:uri="80884B15-272F-414B-B096-A8A64B1E944C"/>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785FF16-B6EA-4377-964C-D2B82579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177A8C13.dotm</Template>
  <TotalTime>1</TotalTime>
  <Pages>2</Pages>
  <Words>804</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DRAFT EXPLANATORY STATEMENT</vt:lpstr>
    </vt:vector>
  </TitlesOfParts>
  <Company>HFS</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dc:title>
  <dc:creator>Hamon</dc:creator>
  <cp:lastModifiedBy>DEBEVEC,Ivanka</cp:lastModifiedBy>
  <cp:revision>2</cp:revision>
  <cp:lastPrinted>2019-02-14T01:56:00Z</cp:lastPrinted>
  <dcterms:created xsi:type="dcterms:W3CDTF">2019-03-07T22:49:00Z</dcterms:created>
  <dcterms:modified xsi:type="dcterms:W3CDTF">2019-03-07T22:49:00Z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ontentTypeId">
    <vt:lpwstr>0x010100266966F133664895A6EE3632470D45F50024E28AD5DA906B448A73D45C25EE0CCC</vt:lpwstr>
  </property>
</Properties>
</file>