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D127" w14:textId="77777777" w:rsidR="00715914" w:rsidRPr="00F61B09" w:rsidRDefault="00D255DF" w:rsidP="00850F56">
      <w:pPr>
        <w:spacing w:after="600"/>
        <w:rPr>
          <w:sz w:val="28"/>
        </w:rPr>
      </w:pPr>
      <w:bookmarkStart w:id="0" w:name="_GoBack"/>
      <w:bookmarkEnd w:id="0"/>
      <w:r>
        <w:rPr>
          <w:noProof/>
          <w:lang w:eastAsia="en-AU"/>
        </w:rPr>
        <w:drawing>
          <wp:inline distT="0" distB="0" distL="0" distR="0" wp14:anchorId="474A1DBC" wp14:editId="01639D74">
            <wp:extent cx="5270500" cy="741680"/>
            <wp:effectExtent l="0" t="0" r="6350" b="127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0500" cy="741680"/>
                    </a:xfrm>
                    <a:prstGeom prst="rect">
                      <a:avLst/>
                    </a:prstGeom>
                    <a:noFill/>
                    <a:ln>
                      <a:noFill/>
                    </a:ln>
                  </pic:spPr>
                </pic:pic>
              </a:graphicData>
            </a:graphic>
          </wp:inline>
        </w:drawing>
      </w:r>
    </w:p>
    <w:p w14:paraId="28077918" w14:textId="2267A2F7" w:rsidR="00243EC0" w:rsidRPr="00243EC0" w:rsidRDefault="00C149D2" w:rsidP="00B16067">
      <w:pPr>
        <w:pStyle w:val="LI-Title"/>
        <w:pBdr>
          <w:bottom w:val="single" w:sz="4" w:space="1" w:color="auto"/>
        </w:pBdr>
      </w:pPr>
      <w:r w:rsidRPr="00C149D2">
        <w:t>ASIC Corporations (</w:t>
      </w:r>
      <w:r w:rsidR="007039B3">
        <w:t>Amendment</w:t>
      </w:r>
      <w:r w:rsidRPr="00C149D2">
        <w:t xml:space="preserve">) Instrument </w:t>
      </w:r>
      <w:r w:rsidR="00F56DE4">
        <w:t>2019/169</w:t>
      </w:r>
      <w:r w:rsidR="004E3F1B">
        <w:t xml:space="preserve"> </w:t>
      </w:r>
    </w:p>
    <w:p w14:paraId="41BD62D6" w14:textId="299D418C" w:rsidR="00F171A1" w:rsidRPr="00AC3E7B" w:rsidRDefault="00F171A1" w:rsidP="00005446">
      <w:pPr>
        <w:pStyle w:val="LI-Fronttext"/>
        <w:rPr>
          <w:sz w:val="24"/>
          <w:szCs w:val="24"/>
        </w:rPr>
      </w:pPr>
      <w:r w:rsidRPr="00BB5C17">
        <w:rPr>
          <w:sz w:val="24"/>
          <w:szCs w:val="24"/>
        </w:rPr>
        <w:t xml:space="preserve">I, </w:t>
      </w:r>
      <w:r w:rsidR="00E661DB">
        <w:rPr>
          <w:sz w:val="24"/>
          <w:szCs w:val="24"/>
        </w:rPr>
        <w:t>Nathan Bourne</w:t>
      </w:r>
      <w:r w:rsidR="00C0544A" w:rsidRPr="00AC3E7B">
        <w:rPr>
          <w:sz w:val="24"/>
          <w:szCs w:val="24"/>
        </w:rPr>
        <w:t>, delegate of the Australian Securities and Investments Commission</w:t>
      </w:r>
      <w:r w:rsidRPr="00AC3E7B">
        <w:rPr>
          <w:sz w:val="24"/>
          <w:szCs w:val="24"/>
        </w:rPr>
        <w:t xml:space="preserve">, make the following </w:t>
      </w:r>
      <w:r w:rsidR="008C0F29" w:rsidRPr="00AC3E7B">
        <w:rPr>
          <w:sz w:val="24"/>
          <w:szCs w:val="24"/>
        </w:rPr>
        <w:t>legislative instrument</w:t>
      </w:r>
      <w:r w:rsidRPr="00AC3E7B">
        <w:rPr>
          <w:sz w:val="24"/>
          <w:szCs w:val="24"/>
        </w:rPr>
        <w:t>.</w:t>
      </w:r>
    </w:p>
    <w:p w14:paraId="198592C5" w14:textId="77777777" w:rsidR="003A2A48" w:rsidRPr="00AC3E7B" w:rsidRDefault="003A2A48" w:rsidP="00005446">
      <w:pPr>
        <w:pStyle w:val="LI-Fronttext"/>
      </w:pPr>
    </w:p>
    <w:p w14:paraId="345C600A" w14:textId="27BB9585" w:rsidR="006554FF" w:rsidRDefault="00F171A1" w:rsidP="00005446">
      <w:pPr>
        <w:pStyle w:val="LI-Fronttext"/>
        <w:rPr>
          <w:sz w:val="24"/>
          <w:szCs w:val="24"/>
        </w:rPr>
      </w:pPr>
      <w:r w:rsidRPr="00AC3E7B">
        <w:rPr>
          <w:sz w:val="24"/>
          <w:szCs w:val="24"/>
        </w:rPr>
        <w:t>Date</w:t>
      </w:r>
      <w:r w:rsidR="00C149D2">
        <w:rPr>
          <w:sz w:val="24"/>
          <w:szCs w:val="24"/>
        </w:rPr>
        <w:t>d</w:t>
      </w:r>
      <w:bookmarkStart w:id="1" w:name="BKCheck15B_1"/>
      <w:bookmarkEnd w:id="1"/>
      <w:r w:rsidR="00347872">
        <w:rPr>
          <w:sz w:val="24"/>
          <w:szCs w:val="24"/>
        </w:rPr>
        <w:t xml:space="preserve">  11</w:t>
      </w:r>
      <w:r w:rsidR="000B2FE3">
        <w:rPr>
          <w:sz w:val="24"/>
          <w:szCs w:val="24"/>
        </w:rPr>
        <w:t xml:space="preserve"> March</w:t>
      </w:r>
      <w:r w:rsidR="00E661DB" w:rsidRPr="000F6D40">
        <w:rPr>
          <w:sz w:val="24"/>
          <w:szCs w:val="24"/>
        </w:rPr>
        <w:t xml:space="preserve"> </w:t>
      </w:r>
      <w:r w:rsidR="008B76F9" w:rsidRPr="000F6D40">
        <w:rPr>
          <w:sz w:val="24"/>
          <w:szCs w:val="24"/>
        </w:rPr>
        <w:t>201</w:t>
      </w:r>
      <w:r w:rsidR="005A75FD">
        <w:rPr>
          <w:sz w:val="24"/>
          <w:szCs w:val="24"/>
        </w:rPr>
        <w:t>9</w:t>
      </w:r>
    </w:p>
    <w:p w14:paraId="56DD3C9E" w14:textId="77777777" w:rsidR="00934C45" w:rsidRDefault="00934C45" w:rsidP="00934C45">
      <w:pPr>
        <w:rPr>
          <w:rFonts w:ascii="Tms Rmn" w:hAnsi="Tms Rmn"/>
          <w:noProof/>
          <w:sz w:val="24"/>
          <w:szCs w:val="24"/>
          <w:lang w:eastAsia="en-AU"/>
        </w:rPr>
      </w:pPr>
    </w:p>
    <w:p w14:paraId="006B6334" w14:textId="77777777" w:rsidR="008221DC" w:rsidRPr="00934C45" w:rsidRDefault="008221DC" w:rsidP="00934C45">
      <w:pPr>
        <w:rPr>
          <w:lang w:eastAsia="en-AU"/>
        </w:rPr>
      </w:pPr>
    </w:p>
    <w:p w14:paraId="32C96149" w14:textId="6ACC57B0" w:rsidR="00C149D2" w:rsidRDefault="00E661DB" w:rsidP="00730186">
      <w:pPr>
        <w:pStyle w:val="LI-Fronttext"/>
        <w:pBdr>
          <w:bottom w:val="single" w:sz="4" w:space="1" w:color="auto"/>
        </w:pBdr>
        <w:rPr>
          <w:sz w:val="24"/>
          <w:szCs w:val="24"/>
        </w:rPr>
      </w:pPr>
      <w:r>
        <w:rPr>
          <w:sz w:val="24"/>
          <w:szCs w:val="24"/>
        </w:rPr>
        <w:t>Nathan Bourne</w:t>
      </w:r>
    </w:p>
    <w:p w14:paraId="72A60B7A" w14:textId="77777777" w:rsidR="00715914" w:rsidRPr="008439C8" w:rsidRDefault="00715914" w:rsidP="00715914">
      <w:pPr>
        <w:pStyle w:val="Header"/>
        <w:tabs>
          <w:tab w:val="clear" w:pos="4150"/>
          <w:tab w:val="clear" w:pos="8307"/>
        </w:tabs>
        <w:rPr>
          <w:i/>
        </w:rPr>
      </w:pPr>
    </w:p>
    <w:p w14:paraId="67134A7B" w14:textId="77777777" w:rsidR="00715914" w:rsidRPr="008439C8" w:rsidRDefault="00715914" w:rsidP="00715914">
      <w:pPr>
        <w:sectPr w:rsidR="00715914" w:rsidRPr="008439C8" w:rsidSect="008945E0">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6A1D3C5A" w14:textId="77777777" w:rsidR="00F67BCA" w:rsidRPr="00F61B09" w:rsidRDefault="00715914" w:rsidP="00E2168B">
      <w:pPr>
        <w:spacing w:before="280" w:after="240"/>
        <w:rPr>
          <w:sz w:val="36"/>
        </w:rPr>
      </w:pPr>
      <w:r w:rsidRPr="006E5320">
        <w:rPr>
          <w:b/>
          <w:sz w:val="32"/>
          <w:szCs w:val="32"/>
        </w:rPr>
        <w:lastRenderedPageBreak/>
        <w:t>Contents</w:t>
      </w:r>
    </w:p>
    <w:bookmarkStart w:id="2" w:name="BKCheck15B_2"/>
    <w:bookmarkEnd w:id="2"/>
    <w:p w14:paraId="667CF8B0" w14:textId="6BF5E186" w:rsidR="00726207" w:rsidRDefault="003708CA">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84432" w:history="1">
        <w:r w:rsidR="00726207" w:rsidRPr="00C47CF8">
          <w:rPr>
            <w:rStyle w:val="Hyperlink"/>
            <w:noProof/>
          </w:rPr>
          <w:t>Part 1—Preliminary</w:t>
        </w:r>
        <w:r w:rsidR="00726207">
          <w:rPr>
            <w:noProof/>
            <w:webHidden/>
          </w:rPr>
          <w:tab/>
        </w:r>
        <w:r w:rsidR="00726207">
          <w:rPr>
            <w:noProof/>
            <w:webHidden/>
          </w:rPr>
          <w:fldChar w:fldCharType="begin"/>
        </w:r>
        <w:r w:rsidR="00726207">
          <w:rPr>
            <w:noProof/>
            <w:webHidden/>
          </w:rPr>
          <w:instrText xml:space="preserve"> PAGEREF _Toc1484432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635D62EF" w14:textId="643864FD" w:rsidR="00726207" w:rsidRDefault="00076737">
      <w:pPr>
        <w:pStyle w:val="TOC2"/>
        <w:tabs>
          <w:tab w:val="left" w:pos="1474"/>
        </w:tabs>
        <w:rPr>
          <w:rFonts w:asciiTheme="minorHAnsi" w:eastAsiaTheme="minorEastAsia" w:hAnsiTheme="minorHAnsi" w:cstheme="minorBidi"/>
          <w:noProof/>
          <w:kern w:val="0"/>
          <w:sz w:val="22"/>
          <w:szCs w:val="22"/>
        </w:rPr>
      </w:pPr>
      <w:hyperlink w:anchor="_Toc1484433" w:history="1">
        <w:r w:rsidR="00726207" w:rsidRPr="00C47CF8">
          <w:rPr>
            <w:rStyle w:val="Hyperlink"/>
            <w:noProof/>
          </w:rPr>
          <w:t>1</w:t>
        </w:r>
        <w:r w:rsidR="00726207">
          <w:rPr>
            <w:rFonts w:asciiTheme="minorHAnsi" w:eastAsiaTheme="minorEastAsia" w:hAnsiTheme="minorHAnsi" w:cstheme="minorBidi"/>
            <w:noProof/>
            <w:kern w:val="0"/>
            <w:sz w:val="22"/>
            <w:szCs w:val="22"/>
          </w:rPr>
          <w:tab/>
        </w:r>
        <w:r w:rsidR="00726207" w:rsidRPr="00C47CF8">
          <w:rPr>
            <w:rStyle w:val="Hyperlink"/>
            <w:noProof/>
          </w:rPr>
          <w:t>Name of legislative instrument</w:t>
        </w:r>
        <w:r w:rsidR="00726207">
          <w:rPr>
            <w:noProof/>
            <w:webHidden/>
          </w:rPr>
          <w:tab/>
        </w:r>
        <w:r w:rsidR="00726207">
          <w:rPr>
            <w:noProof/>
            <w:webHidden/>
          </w:rPr>
          <w:fldChar w:fldCharType="begin"/>
        </w:r>
        <w:r w:rsidR="00726207">
          <w:rPr>
            <w:noProof/>
            <w:webHidden/>
          </w:rPr>
          <w:instrText xml:space="preserve"> PAGEREF _Toc1484433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10A9535A" w14:textId="74AF6685" w:rsidR="00726207" w:rsidRDefault="00076737">
      <w:pPr>
        <w:pStyle w:val="TOC2"/>
        <w:tabs>
          <w:tab w:val="left" w:pos="1474"/>
        </w:tabs>
        <w:rPr>
          <w:rFonts w:asciiTheme="minorHAnsi" w:eastAsiaTheme="minorEastAsia" w:hAnsiTheme="minorHAnsi" w:cstheme="minorBidi"/>
          <w:noProof/>
          <w:kern w:val="0"/>
          <w:sz w:val="22"/>
          <w:szCs w:val="22"/>
        </w:rPr>
      </w:pPr>
      <w:hyperlink w:anchor="_Toc1484434" w:history="1">
        <w:r w:rsidR="00726207" w:rsidRPr="00C47CF8">
          <w:rPr>
            <w:rStyle w:val="Hyperlink"/>
            <w:noProof/>
          </w:rPr>
          <w:t>2</w:t>
        </w:r>
        <w:r w:rsidR="00726207">
          <w:rPr>
            <w:rFonts w:asciiTheme="minorHAnsi" w:eastAsiaTheme="minorEastAsia" w:hAnsiTheme="minorHAnsi" w:cstheme="minorBidi"/>
            <w:noProof/>
            <w:kern w:val="0"/>
            <w:sz w:val="22"/>
            <w:szCs w:val="22"/>
          </w:rPr>
          <w:tab/>
        </w:r>
        <w:r w:rsidR="00726207" w:rsidRPr="00C47CF8">
          <w:rPr>
            <w:rStyle w:val="Hyperlink"/>
            <w:noProof/>
          </w:rPr>
          <w:t>Commencement</w:t>
        </w:r>
        <w:r w:rsidR="00726207">
          <w:rPr>
            <w:noProof/>
            <w:webHidden/>
          </w:rPr>
          <w:tab/>
        </w:r>
        <w:r w:rsidR="00726207">
          <w:rPr>
            <w:noProof/>
            <w:webHidden/>
          </w:rPr>
          <w:fldChar w:fldCharType="begin"/>
        </w:r>
        <w:r w:rsidR="00726207">
          <w:rPr>
            <w:noProof/>
            <w:webHidden/>
          </w:rPr>
          <w:instrText xml:space="preserve"> PAGEREF _Toc1484434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4AEF6615" w14:textId="100B8515" w:rsidR="00726207" w:rsidRDefault="00076737">
      <w:pPr>
        <w:pStyle w:val="TOC2"/>
        <w:tabs>
          <w:tab w:val="left" w:pos="1474"/>
        </w:tabs>
        <w:rPr>
          <w:rFonts w:asciiTheme="minorHAnsi" w:eastAsiaTheme="minorEastAsia" w:hAnsiTheme="minorHAnsi" w:cstheme="minorBidi"/>
          <w:noProof/>
          <w:kern w:val="0"/>
          <w:sz w:val="22"/>
          <w:szCs w:val="22"/>
        </w:rPr>
      </w:pPr>
      <w:hyperlink w:anchor="_Toc1484435" w:history="1">
        <w:r w:rsidR="00726207" w:rsidRPr="00C47CF8">
          <w:rPr>
            <w:rStyle w:val="Hyperlink"/>
            <w:noProof/>
          </w:rPr>
          <w:t>3</w:t>
        </w:r>
        <w:r w:rsidR="00726207">
          <w:rPr>
            <w:rFonts w:asciiTheme="minorHAnsi" w:eastAsiaTheme="minorEastAsia" w:hAnsiTheme="minorHAnsi" w:cstheme="minorBidi"/>
            <w:noProof/>
            <w:kern w:val="0"/>
            <w:sz w:val="22"/>
            <w:szCs w:val="22"/>
          </w:rPr>
          <w:tab/>
        </w:r>
        <w:r w:rsidR="00726207" w:rsidRPr="00C47CF8">
          <w:rPr>
            <w:rStyle w:val="Hyperlink"/>
            <w:noProof/>
          </w:rPr>
          <w:t>Authority</w:t>
        </w:r>
        <w:r w:rsidR="00726207">
          <w:rPr>
            <w:noProof/>
            <w:webHidden/>
          </w:rPr>
          <w:tab/>
        </w:r>
        <w:r w:rsidR="00726207">
          <w:rPr>
            <w:noProof/>
            <w:webHidden/>
          </w:rPr>
          <w:fldChar w:fldCharType="begin"/>
        </w:r>
        <w:r w:rsidR="00726207">
          <w:rPr>
            <w:noProof/>
            <w:webHidden/>
          </w:rPr>
          <w:instrText xml:space="preserve"> PAGEREF _Toc1484435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5D2C0AEB" w14:textId="2164670A" w:rsidR="00726207" w:rsidRDefault="00076737">
      <w:pPr>
        <w:pStyle w:val="TOC2"/>
        <w:tabs>
          <w:tab w:val="left" w:pos="1474"/>
        </w:tabs>
        <w:rPr>
          <w:rFonts w:asciiTheme="minorHAnsi" w:eastAsiaTheme="minorEastAsia" w:hAnsiTheme="minorHAnsi" w:cstheme="minorBidi"/>
          <w:noProof/>
          <w:kern w:val="0"/>
          <w:sz w:val="22"/>
          <w:szCs w:val="22"/>
        </w:rPr>
      </w:pPr>
      <w:hyperlink w:anchor="_Toc1484436" w:history="1">
        <w:r w:rsidR="00726207" w:rsidRPr="00C47CF8">
          <w:rPr>
            <w:rStyle w:val="Hyperlink"/>
            <w:noProof/>
          </w:rPr>
          <w:t>4</w:t>
        </w:r>
        <w:r w:rsidR="00726207">
          <w:rPr>
            <w:rFonts w:asciiTheme="minorHAnsi" w:eastAsiaTheme="minorEastAsia" w:hAnsiTheme="minorHAnsi" w:cstheme="minorBidi"/>
            <w:noProof/>
            <w:kern w:val="0"/>
            <w:sz w:val="22"/>
            <w:szCs w:val="22"/>
          </w:rPr>
          <w:tab/>
        </w:r>
        <w:r w:rsidR="00726207" w:rsidRPr="00C47CF8">
          <w:rPr>
            <w:rStyle w:val="Hyperlink"/>
            <w:noProof/>
          </w:rPr>
          <w:t>Schedule</w:t>
        </w:r>
        <w:r w:rsidR="00726207">
          <w:rPr>
            <w:noProof/>
            <w:webHidden/>
          </w:rPr>
          <w:tab/>
        </w:r>
        <w:r w:rsidR="00726207">
          <w:rPr>
            <w:noProof/>
            <w:webHidden/>
          </w:rPr>
          <w:fldChar w:fldCharType="begin"/>
        </w:r>
        <w:r w:rsidR="00726207">
          <w:rPr>
            <w:noProof/>
            <w:webHidden/>
          </w:rPr>
          <w:instrText xml:space="preserve"> PAGEREF _Toc1484436 \h </w:instrText>
        </w:r>
        <w:r w:rsidR="00726207">
          <w:rPr>
            <w:noProof/>
            <w:webHidden/>
          </w:rPr>
        </w:r>
        <w:r w:rsidR="00726207">
          <w:rPr>
            <w:noProof/>
            <w:webHidden/>
          </w:rPr>
          <w:fldChar w:fldCharType="separate"/>
        </w:r>
        <w:r w:rsidR="00245B7B">
          <w:rPr>
            <w:noProof/>
            <w:webHidden/>
          </w:rPr>
          <w:t>3</w:t>
        </w:r>
        <w:r w:rsidR="00726207">
          <w:rPr>
            <w:noProof/>
            <w:webHidden/>
          </w:rPr>
          <w:fldChar w:fldCharType="end"/>
        </w:r>
      </w:hyperlink>
    </w:p>
    <w:p w14:paraId="7DABCAA9" w14:textId="3F9C5C73" w:rsidR="00726207" w:rsidRDefault="00076737">
      <w:pPr>
        <w:pStyle w:val="TOC1"/>
        <w:rPr>
          <w:rFonts w:asciiTheme="minorHAnsi" w:eastAsiaTheme="minorEastAsia" w:hAnsiTheme="minorHAnsi" w:cstheme="minorBidi"/>
          <w:b w:val="0"/>
          <w:noProof/>
          <w:kern w:val="0"/>
          <w:sz w:val="22"/>
          <w:szCs w:val="22"/>
        </w:rPr>
      </w:pPr>
      <w:hyperlink w:anchor="_Toc1484437" w:history="1">
        <w:r w:rsidR="00726207" w:rsidRPr="00C47CF8">
          <w:rPr>
            <w:rStyle w:val="Hyperlink"/>
            <w:noProof/>
          </w:rPr>
          <w:t>Schedule 1—Amendments</w:t>
        </w:r>
        <w:r w:rsidR="00726207">
          <w:rPr>
            <w:noProof/>
            <w:webHidden/>
          </w:rPr>
          <w:tab/>
        </w:r>
        <w:r w:rsidR="00726207">
          <w:rPr>
            <w:noProof/>
            <w:webHidden/>
          </w:rPr>
          <w:fldChar w:fldCharType="begin"/>
        </w:r>
        <w:r w:rsidR="00726207">
          <w:rPr>
            <w:noProof/>
            <w:webHidden/>
          </w:rPr>
          <w:instrText xml:space="preserve"> PAGEREF _Toc1484437 \h </w:instrText>
        </w:r>
        <w:r w:rsidR="00726207">
          <w:rPr>
            <w:noProof/>
            <w:webHidden/>
          </w:rPr>
        </w:r>
        <w:r w:rsidR="00726207">
          <w:rPr>
            <w:noProof/>
            <w:webHidden/>
          </w:rPr>
          <w:fldChar w:fldCharType="separate"/>
        </w:r>
        <w:r w:rsidR="00245B7B">
          <w:rPr>
            <w:noProof/>
            <w:webHidden/>
          </w:rPr>
          <w:t>4</w:t>
        </w:r>
        <w:r w:rsidR="00726207">
          <w:rPr>
            <w:noProof/>
            <w:webHidden/>
          </w:rPr>
          <w:fldChar w:fldCharType="end"/>
        </w:r>
      </w:hyperlink>
    </w:p>
    <w:p w14:paraId="428AA7CF" w14:textId="73812951" w:rsidR="00726207" w:rsidRDefault="00076737">
      <w:pPr>
        <w:pStyle w:val="TOC2"/>
        <w:rPr>
          <w:rFonts w:asciiTheme="minorHAnsi" w:eastAsiaTheme="minorEastAsia" w:hAnsiTheme="minorHAnsi" w:cstheme="minorBidi"/>
          <w:noProof/>
          <w:kern w:val="0"/>
          <w:sz w:val="22"/>
          <w:szCs w:val="22"/>
        </w:rPr>
      </w:pPr>
      <w:hyperlink w:anchor="_Toc1484438" w:history="1">
        <w:r w:rsidR="00726207" w:rsidRPr="00C47CF8">
          <w:rPr>
            <w:rStyle w:val="Hyperlink"/>
            <w:noProof/>
          </w:rPr>
          <w:t>ASIC Corporations (Derivative Transaction Reporting Exemption) Instrument 2015/844</w:t>
        </w:r>
        <w:r w:rsidR="00726207">
          <w:rPr>
            <w:noProof/>
            <w:webHidden/>
          </w:rPr>
          <w:tab/>
        </w:r>
        <w:r w:rsidR="00726207">
          <w:rPr>
            <w:noProof/>
            <w:webHidden/>
          </w:rPr>
          <w:fldChar w:fldCharType="begin"/>
        </w:r>
        <w:r w:rsidR="00726207">
          <w:rPr>
            <w:noProof/>
            <w:webHidden/>
          </w:rPr>
          <w:instrText xml:space="preserve"> PAGEREF _Toc1484438 \h </w:instrText>
        </w:r>
        <w:r w:rsidR="00726207">
          <w:rPr>
            <w:noProof/>
            <w:webHidden/>
          </w:rPr>
        </w:r>
        <w:r w:rsidR="00726207">
          <w:rPr>
            <w:noProof/>
            <w:webHidden/>
          </w:rPr>
          <w:fldChar w:fldCharType="separate"/>
        </w:r>
        <w:r w:rsidR="00245B7B">
          <w:rPr>
            <w:noProof/>
            <w:webHidden/>
          </w:rPr>
          <w:t>4</w:t>
        </w:r>
        <w:r w:rsidR="00726207">
          <w:rPr>
            <w:noProof/>
            <w:webHidden/>
          </w:rPr>
          <w:fldChar w:fldCharType="end"/>
        </w:r>
      </w:hyperlink>
    </w:p>
    <w:p w14:paraId="379D797D" w14:textId="2818D367" w:rsidR="00670EA1" w:rsidRPr="00F61B09" w:rsidRDefault="003708CA" w:rsidP="00715914">
      <w:r>
        <w:rPr>
          <w:rFonts w:eastAsia="Times New Roman"/>
          <w:kern w:val="28"/>
          <w:sz w:val="28"/>
          <w:lang w:eastAsia="en-AU"/>
        </w:rPr>
        <w:fldChar w:fldCharType="end"/>
      </w:r>
    </w:p>
    <w:p w14:paraId="2F4A8169" w14:textId="77777777" w:rsidR="00670EA1" w:rsidRPr="00F61B09" w:rsidRDefault="00670EA1" w:rsidP="00715914">
      <w:pPr>
        <w:sectPr w:rsidR="00670EA1" w:rsidRPr="00F61B09" w:rsidSect="00F4215A">
          <w:headerReference w:type="even" r:id="rId18"/>
          <w:headerReference w:type="default" r:id="rId19"/>
          <w:footerReference w:type="even" r:id="rId20"/>
          <w:footerReference w:type="default" r:id="rId21"/>
          <w:headerReference w:type="first" r:id="rId22"/>
          <w:pgSz w:w="11907" w:h="16839"/>
          <w:pgMar w:top="1098" w:right="1797" w:bottom="1440" w:left="1797" w:header="720" w:footer="709" w:gutter="0"/>
          <w:pgNumType w:fmt="lowerRoman"/>
          <w:cols w:space="708"/>
          <w:docGrid w:linePitch="360"/>
        </w:sectPr>
      </w:pPr>
    </w:p>
    <w:p w14:paraId="58535A2E" w14:textId="77777777" w:rsidR="00FA31DE" w:rsidRPr="00F61B09" w:rsidRDefault="00FA31DE" w:rsidP="006554FF">
      <w:pPr>
        <w:pStyle w:val="LI-Heading1"/>
      </w:pPr>
      <w:bookmarkStart w:id="3" w:name="BK_S3P1L1C1"/>
      <w:bookmarkStart w:id="4" w:name="_Toc1484432"/>
      <w:bookmarkEnd w:id="3"/>
      <w:r w:rsidRPr="006554FF">
        <w:lastRenderedPageBreak/>
        <w:t>Part</w:t>
      </w:r>
      <w:r w:rsidR="00F61B09" w:rsidRPr="006554FF">
        <w:t> </w:t>
      </w:r>
      <w:r w:rsidRPr="006E5320">
        <w:t>1</w:t>
      </w:r>
      <w:r w:rsidRPr="00F61B09">
        <w:t>—</w:t>
      </w:r>
      <w:r w:rsidRPr="00005446">
        <w:t>Preliminary</w:t>
      </w:r>
      <w:bookmarkEnd w:id="4"/>
    </w:p>
    <w:p w14:paraId="10B78A07" w14:textId="77777777" w:rsidR="00FA31DE" w:rsidRDefault="00FA31DE" w:rsidP="00C11452">
      <w:pPr>
        <w:pStyle w:val="LI-Heading2"/>
        <w:rPr>
          <w:szCs w:val="24"/>
        </w:rPr>
      </w:pPr>
      <w:bookmarkStart w:id="5" w:name="_Toc1484433"/>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p>
    <w:p w14:paraId="6C36F6EC" w14:textId="37C873E1" w:rsidR="00FA31DE" w:rsidRPr="00F34D33" w:rsidRDefault="00C149D2" w:rsidP="00BA2950">
      <w:pPr>
        <w:pStyle w:val="LI-BodyTextUnnumbered"/>
        <w:rPr>
          <w:szCs w:val="24"/>
        </w:rPr>
      </w:pPr>
      <w:r w:rsidRPr="00C149D2">
        <w:rPr>
          <w:szCs w:val="24"/>
        </w:rPr>
        <w:t xml:space="preserve">This is the </w:t>
      </w:r>
      <w:r w:rsidRPr="00C149D2">
        <w:rPr>
          <w:i/>
          <w:szCs w:val="24"/>
        </w:rPr>
        <w:t>ASIC Corporations (</w:t>
      </w:r>
      <w:r w:rsidR="007039B3">
        <w:rPr>
          <w:i/>
          <w:szCs w:val="24"/>
        </w:rPr>
        <w:t>Amendment</w:t>
      </w:r>
      <w:r w:rsidR="00F64ED1">
        <w:rPr>
          <w:i/>
          <w:szCs w:val="24"/>
        </w:rPr>
        <w:t>)</w:t>
      </w:r>
      <w:r w:rsidRPr="00C149D2">
        <w:rPr>
          <w:i/>
          <w:szCs w:val="24"/>
        </w:rPr>
        <w:t xml:space="preserve"> Instrument </w:t>
      </w:r>
      <w:r w:rsidR="00F56DE4" w:rsidRPr="000B09F9">
        <w:rPr>
          <w:i/>
        </w:rPr>
        <w:t>2019/169</w:t>
      </w:r>
      <w:r w:rsidR="00F34D33">
        <w:rPr>
          <w:szCs w:val="24"/>
        </w:rPr>
        <w:t>.</w:t>
      </w:r>
    </w:p>
    <w:p w14:paraId="13ABA769" w14:textId="77777777" w:rsidR="00FA31DE" w:rsidRPr="008C0F29" w:rsidRDefault="00FA31DE" w:rsidP="00C11452">
      <w:pPr>
        <w:pStyle w:val="LI-Heading2"/>
        <w:rPr>
          <w:szCs w:val="24"/>
        </w:rPr>
      </w:pPr>
      <w:bookmarkStart w:id="6" w:name="_Toc1484434"/>
      <w:r w:rsidRPr="008C0F29">
        <w:rPr>
          <w:szCs w:val="24"/>
        </w:rPr>
        <w:t>2</w:t>
      </w:r>
      <w:r w:rsidR="00FC3EB8">
        <w:rPr>
          <w:szCs w:val="24"/>
        </w:rPr>
        <w:tab/>
      </w:r>
      <w:r w:rsidRPr="008C0F29">
        <w:rPr>
          <w:szCs w:val="24"/>
        </w:rPr>
        <w:t>Commencement</w:t>
      </w:r>
      <w:bookmarkEnd w:id="6"/>
    </w:p>
    <w:p w14:paraId="3B421B5F" w14:textId="77777777" w:rsidR="00FA31DE" w:rsidRPr="008C0F29" w:rsidRDefault="00FA31DE" w:rsidP="008E531C">
      <w:pPr>
        <w:pStyle w:val="LI-BodyTextUnnumbered"/>
      </w:pPr>
      <w:r w:rsidRPr="008C0F29">
        <w:t xml:space="preserve">This </w:t>
      </w:r>
      <w:r w:rsidR="008C0F29">
        <w:t>instrument</w:t>
      </w:r>
      <w:r w:rsidRPr="008C0F29">
        <w:t xml:space="preserve"> commences on the day</w:t>
      </w:r>
      <w:r w:rsidR="006111A4">
        <w:t xml:space="preserve"> after</w:t>
      </w:r>
      <w:r w:rsidRPr="008C0F29">
        <w:t xml:space="preserve"> </w:t>
      </w:r>
      <w:r w:rsidR="004823C0">
        <w:t xml:space="preserve">it is </w:t>
      </w:r>
      <w:r w:rsidR="0075106E">
        <w:t>registered on</w:t>
      </w:r>
      <w:r w:rsidR="004823C0">
        <w:t xml:space="preserve"> the Federal</w:t>
      </w:r>
      <w:r w:rsidR="00F60F2F">
        <w:t> </w:t>
      </w:r>
      <w:r w:rsidR="004823C0">
        <w:t>Register of Legislative</w:t>
      </w:r>
      <w:r w:rsidR="00DE79F9">
        <w:t> </w:t>
      </w:r>
      <w:r w:rsidR="004823C0">
        <w:t>Instruments</w:t>
      </w:r>
      <w:r w:rsidRPr="008C0F29">
        <w:t>.</w:t>
      </w:r>
    </w:p>
    <w:p w14:paraId="7220D623" w14:textId="77777777" w:rsidR="00FA31DE" w:rsidRDefault="00FA31DE" w:rsidP="00BA2950">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3" w:history="1">
        <w:r w:rsidR="00132B7B" w:rsidRPr="00B16067">
          <w:rPr>
            <w:rStyle w:val="Hyperlink"/>
          </w:rPr>
          <w:t>www.comlaw.gov.au</w:t>
        </w:r>
      </w:hyperlink>
      <w:r w:rsidR="004823C0">
        <w:t>.</w:t>
      </w:r>
    </w:p>
    <w:p w14:paraId="70C3F99E" w14:textId="77777777" w:rsidR="00FA31DE" w:rsidRPr="008C0F29" w:rsidRDefault="00FA31DE" w:rsidP="00EC4757">
      <w:pPr>
        <w:pStyle w:val="LI-Heading2"/>
        <w:spacing w:before="240"/>
        <w:rPr>
          <w:szCs w:val="24"/>
        </w:rPr>
      </w:pPr>
      <w:bookmarkStart w:id="7" w:name="_Toc1484435"/>
      <w:r w:rsidRPr="008C0F29">
        <w:rPr>
          <w:szCs w:val="24"/>
        </w:rPr>
        <w:t>3</w:t>
      </w:r>
      <w:r w:rsidR="00FC3EB8">
        <w:rPr>
          <w:szCs w:val="24"/>
        </w:rPr>
        <w:tab/>
      </w:r>
      <w:r w:rsidRPr="008C0F29">
        <w:rPr>
          <w:szCs w:val="24"/>
        </w:rPr>
        <w:t>Authority</w:t>
      </w:r>
      <w:bookmarkEnd w:id="7"/>
    </w:p>
    <w:p w14:paraId="294C1ACF"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C149D2" w:rsidRPr="00C149D2">
        <w:rPr>
          <w:szCs w:val="24"/>
        </w:rPr>
        <w:t xml:space="preserve">paragraph 907D(2)(a) of the </w:t>
      </w:r>
      <w:r w:rsidR="00C149D2" w:rsidRPr="00C149D2">
        <w:rPr>
          <w:i/>
          <w:szCs w:val="24"/>
        </w:rPr>
        <w:t>Corporations Act 2001</w:t>
      </w:r>
      <w:r w:rsidR="00C149D2" w:rsidRPr="00C149D2">
        <w:rPr>
          <w:szCs w:val="24"/>
        </w:rPr>
        <w:t>.</w:t>
      </w:r>
    </w:p>
    <w:p w14:paraId="67AD4D24" w14:textId="77777777" w:rsidR="00FA31DE" w:rsidRPr="00BB5C17" w:rsidRDefault="008C0F29" w:rsidP="00EC4757">
      <w:pPr>
        <w:pStyle w:val="LI-Heading2"/>
        <w:spacing w:before="240"/>
        <w:rPr>
          <w:szCs w:val="24"/>
        </w:rPr>
      </w:pPr>
      <w:bookmarkStart w:id="8" w:name="_Toc1484436"/>
      <w:r w:rsidRPr="00BB5C17">
        <w:rPr>
          <w:szCs w:val="24"/>
        </w:rPr>
        <w:t>4</w:t>
      </w:r>
      <w:r w:rsidR="00FC3EB8">
        <w:rPr>
          <w:szCs w:val="24"/>
        </w:rPr>
        <w:tab/>
      </w:r>
      <w:r w:rsidR="009B69D4">
        <w:rPr>
          <w:szCs w:val="24"/>
        </w:rPr>
        <w:t>Schedule</w:t>
      </w:r>
      <w:bookmarkEnd w:id="8"/>
    </w:p>
    <w:p w14:paraId="7E754507" w14:textId="77777777" w:rsidR="001159DA" w:rsidRDefault="001159DA" w:rsidP="00305AA3">
      <w:pPr>
        <w:pStyle w:val="LI-BodyTextNumbered"/>
        <w:ind w:firstLine="0"/>
      </w:pPr>
      <w:r>
        <w:t>The instrument specified in Schedule 1 to this instrument is amended as set out in Schedule 1</w:t>
      </w:r>
      <w:r w:rsidR="001506AC">
        <w:t xml:space="preserve">. </w:t>
      </w:r>
    </w:p>
    <w:p w14:paraId="73E60D68" w14:textId="77777777" w:rsidR="0087000E" w:rsidRDefault="0087000E" w:rsidP="008E531C">
      <w:pPr>
        <w:pStyle w:val="LI-BodyTextNumbered"/>
      </w:pPr>
    </w:p>
    <w:p w14:paraId="5B9D5653" w14:textId="77777777" w:rsidR="008E531C" w:rsidRDefault="008E531C" w:rsidP="008E531C">
      <w:pPr>
        <w:pStyle w:val="LI-BodyTextNumbered"/>
      </w:pPr>
    </w:p>
    <w:p w14:paraId="3E059E9F" w14:textId="77777777" w:rsidR="00C149D2" w:rsidRPr="005C1C22" w:rsidRDefault="00C149D2" w:rsidP="00C149D2">
      <w:pPr>
        <w:pStyle w:val="LI-Heading2"/>
        <w:spacing w:before="240"/>
        <w:rPr>
          <w:i/>
        </w:rPr>
      </w:pPr>
    </w:p>
    <w:p w14:paraId="78A305E3" w14:textId="77777777" w:rsidR="005C1C22" w:rsidRDefault="005C1C22" w:rsidP="005C1C22">
      <w:pPr>
        <w:pStyle w:val="LI-BodyTextUnnumbered"/>
        <w:ind w:left="1701" w:hanging="567"/>
        <w:sectPr w:rsidR="005C1C22" w:rsidSect="007D230B">
          <w:headerReference w:type="even" r:id="rId24"/>
          <w:headerReference w:type="default" r:id="rId25"/>
          <w:footerReference w:type="even" r:id="rId26"/>
          <w:headerReference w:type="first" r:id="rId27"/>
          <w:footerReference w:type="first" r:id="rId28"/>
          <w:pgSz w:w="11907" w:h="16839" w:code="9"/>
          <w:pgMar w:top="1534" w:right="1797" w:bottom="1440" w:left="1797" w:header="720" w:footer="709" w:gutter="0"/>
          <w:cols w:space="708"/>
          <w:docGrid w:linePitch="360"/>
        </w:sectPr>
      </w:pPr>
    </w:p>
    <w:p w14:paraId="2125C449" w14:textId="77777777" w:rsidR="00FA31DE" w:rsidRPr="00F61B09" w:rsidRDefault="009B69D4" w:rsidP="006554FF">
      <w:pPr>
        <w:pStyle w:val="LI-Heading1"/>
      </w:pPr>
      <w:bookmarkStart w:id="9" w:name="_Toc1484437"/>
      <w:r>
        <w:lastRenderedPageBreak/>
        <w:t>Schedule 1</w:t>
      </w:r>
      <w:r w:rsidR="00FA31DE" w:rsidRPr="00F61B09">
        <w:t>—</w:t>
      </w:r>
      <w:r w:rsidR="008E290E">
        <w:t>Amendment</w:t>
      </w:r>
      <w:r w:rsidR="00102307">
        <w:t>s</w:t>
      </w:r>
      <w:bookmarkEnd w:id="9"/>
    </w:p>
    <w:p w14:paraId="1D107860" w14:textId="039D5050" w:rsidR="00FA0F44" w:rsidRDefault="00C149D2" w:rsidP="00E301C8">
      <w:pPr>
        <w:pStyle w:val="LI-Heading2"/>
        <w:ind w:left="0" w:firstLine="0"/>
      </w:pPr>
      <w:bookmarkStart w:id="10" w:name="_Toc1484438"/>
      <w:r w:rsidRPr="00C149D2">
        <w:rPr>
          <w:sz w:val="28"/>
          <w:szCs w:val="28"/>
        </w:rPr>
        <w:t xml:space="preserve">ASIC </w:t>
      </w:r>
      <w:r w:rsidR="0067167D">
        <w:rPr>
          <w:sz w:val="28"/>
          <w:szCs w:val="28"/>
        </w:rPr>
        <w:t xml:space="preserve">Corporations (Derivative Transaction Reporting Exemption) </w:t>
      </w:r>
      <w:r w:rsidR="0067167D" w:rsidRPr="00E301C8">
        <w:rPr>
          <w:sz w:val="28"/>
          <w:szCs w:val="28"/>
        </w:rPr>
        <w:t xml:space="preserve">Instrument </w:t>
      </w:r>
      <w:r w:rsidR="005A75FD" w:rsidRPr="00E301C8">
        <w:rPr>
          <w:sz w:val="28"/>
          <w:szCs w:val="28"/>
        </w:rPr>
        <w:t>201</w:t>
      </w:r>
      <w:r w:rsidR="00710198" w:rsidRPr="00E301C8">
        <w:rPr>
          <w:sz w:val="28"/>
          <w:szCs w:val="28"/>
        </w:rPr>
        <w:t>5</w:t>
      </w:r>
      <w:r w:rsidR="005A75FD" w:rsidRPr="00E301C8">
        <w:rPr>
          <w:sz w:val="28"/>
          <w:szCs w:val="28"/>
        </w:rPr>
        <w:t>/</w:t>
      </w:r>
      <w:r w:rsidR="00710198" w:rsidRPr="00E301C8">
        <w:rPr>
          <w:sz w:val="28"/>
          <w:szCs w:val="28"/>
        </w:rPr>
        <w:t>844</w:t>
      </w:r>
      <w:bookmarkStart w:id="11" w:name="_Hlk524508651"/>
      <w:bookmarkEnd w:id="10"/>
    </w:p>
    <w:p w14:paraId="51D206E6" w14:textId="451EC4BC" w:rsidR="005A75FD" w:rsidRPr="00B72D39" w:rsidRDefault="002269E1" w:rsidP="002269E1">
      <w:pPr>
        <w:pStyle w:val="LI-BodyTextNumbered"/>
        <w:ind w:left="567"/>
        <w:rPr>
          <w:b/>
        </w:rPr>
      </w:pPr>
      <w:bookmarkStart w:id="12" w:name="_Toc430266123"/>
      <w:r>
        <w:rPr>
          <w:b/>
        </w:rPr>
        <w:t>1</w:t>
      </w:r>
      <w:r>
        <w:rPr>
          <w:b/>
        </w:rPr>
        <w:tab/>
        <w:t>S</w:t>
      </w:r>
      <w:r w:rsidR="00B72D39">
        <w:rPr>
          <w:b/>
        </w:rPr>
        <w:t>ubs</w:t>
      </w:r>
      <w:r>
        <w:rPr>
          <w:b/>
        </w:rPr>
        <w:t>ection 4</w:t>
      </w:r>
      <w:r w:rsidR="00B72D39">
        <w:rPr>
          <w:b/>
        </w:rPr>
        <w:t>(1)</w:t>
      </w:r>
      <w:r w:rsidRPr="002269E1">
        <w:rPr>
          <w:b/>
        </w:rPr>
        <w:t xml:space="preserve"> </w:t>
      </w:r>
      <w:bookmarkEnd w:id="12"/>
      <w:r w:rsidR="00B72D39">
        <w:rPr>
          <w:b/>
        </w:rPr>
        <w:t>(</w:t>
      </w:r>
      <w:r w:rsidR="00F71164">
        <w:rPr>
          <w:b/>
        </w:rPr>
        <w:t>definiti</w:t>
      </w:r>
      <w:r>
        <w:rPr>
          <w:b/>
        </w:rPr>
        <w:t xml:space="preserve">on of </w:t>
      </w:r>
      <w:r w:rsidRPr="00B72D39">
        <w:rPr>
          <w:b/>
          <w:i/>
          <w:sz w:val="23"/>
          <w:szCs w:val="23"/>
        </w:rPr>
        <w:t>Relevant Foreign Jurisdiction</w:t>
      </w:r>
      <w:r w:rsidR="00B72D39">
        <w:rPr>
          <w:b/>
          <w:sz w:val="23"/>
          <w:szCs w:val="23"/>
        </w:rPr>
        <w:t>)</w:t>
      </w:r>
    </w:p>
    <w:p w14:paraId="0F5C106A" w14:textId="27562207" w:rsidR="00256D22" w:rsidRPr="002E1474" w:rsidRDefault="00B72D39" w:rsidP="00256D22">
      <w:pPr>
        <w:pStyle w:val="LI-BodyTextUnnumbered"/>
        <w:ind w:left="567"/>
      </w:pPr>
      <w:r>
        <w:t>Repeal the</w:t>
      </w:r>
      <w:r w:rsidRPr="002E1474">
        <w:t xml:space="preserve"> </w:t>
      </w:r>
      <w:r w:rsidR="005938D2">
        <w:t>definition</w:t>
      </w:r>
      <w:r w:rsidR="00256D22" w:rsidRPr="002E1474">
        <w:t>, substitute</w:t>
      </w:r>
      <w:r>
        <w:t>:</w:t>
      </w:r>
    </w:p>
    <w:p w14:paraId="733C0FED" w14:textId="6DE2EBAF" w:rsidR="00D45C57" w:rsidRDefault="00D45C57" w:rsidP="00D45C57">
      <w:pPr>
        <w:pStyle w:val="LI-BodyTextUnnumbered"/>
      </w:pPr>
      <w:r>
        <w:rPr>
          <w:b/>
          <w:bCs/>
          <w:i/>
          <w:iCs/>
          <w:sz w:val="23"/>
          <w:szCs w:val="23"/>
        </w:rPr>
        <w:t>Relevant Foreign Jurisdiction</w:t>
      </w:r>
      <w:r>
        <w:rPr>
          <w:sz w:val="23"/>
          <w:szCs w:val="23"/>
        </w:rPr>
        <w:t xml:space="preserve"> means each of the following foreign jurisdictions:</w:t>
      </w:r>
    </w:p>
    <w:p w14:paraId="0809641E" w14:textId="430D275B" w:rsidR="00256D22" w:rsidRPr="00256D22" w:rsidRDefault="00256D22" w:rsidP="00B72D39">
      <w:pPr>
        <w:pStyle w:val="LI-BodyTextUnnumbered"/>
        <w:ind w:left="1701" w:hanging="567"/>
      </w:pPr>
      <w:r w:rsidRPr="00256D22">
        <w:t>(</w:t>
      </w:r>
      <w:r w:rsidR="00F838FB">
        <w:t>a</w:t>
      </w:r>
      <w:r w:rsidRPr="00256D22">
        <w:t>)</w:t>
      </w:r>
      <w:r>
        <w:t xml:space="preserve"> </w:t>
      </w:r>
      <w:r w:rsidR="00B72D39">
        <w:tab/>
      </w:r>
      <w:r>
        <w:t>People’s Republic of China</w:t>
      </w:r>
      <w:r w:rsidRPr="00256D22">
        <w:t>;</w:t>
      </w:r>
    </w:p>
    <w:p w14:paraId="44721821" w14:textId="18AF8A68" w:rsidR="002269E1" w:rsidRDefault="00256D22" w:rsidP="00B72D39">
      <w:pPr>
        <w:pStyle w:val="LI-BodyTextUnnumbered"/>
        <w:ind w:left="1701" w:hanging="567"/>
      </w:pPr>
      <w:r w:rsidRPr="00256D22">
        <w:t>(</w:t>
      </w:r>
      <w:r w:rsidR="00F838FB">
        <w:t>b</w:t>
      </w:r>
      <w:r w:rsidRPr="00256D22">
        <w:t>)</w:t>
      </w:r>
      <w:r>
        <w:t xml:space="preserve"> </w:t>
      </w:r>
      <w:r w:rsidR="00B72D39">
        <w:tab/>
      </w:r>
      <w:r>
        <w:t>Saudi Arabia.</w:t>
      </w:r>
    </w:p>
    <w:bookmarkEnd w:id="11"/>
    <w:p w14:paraId="6C5D634C" w14:textId="3D51B1E0" w:rsidR="00B209C2" w:rsidRPr="00CA3A25" w:rsidRDefault="00B209C2" w:rsidP="00B209C2">
      <w:pPr>
        <w:pStyle w:val="LI-BodyTextNumbered"/>
        <w:ind w:left="567"/>
        <w:rPr>
          <w:b/>
        </w:rPr>
      </w:pPr>
      <w:r>
        <w:rPr>
          <w:b/>
        </w:rPr>
        <w:t>2</w:t>
      </w:r>
      <w:r w:rsidRPr="00CA3A25">
        <w:rPr>
          <w:b/>
        </w:rPr>
        <w:tab/>
      </w:r>
      <w:r w:rsidR="001C4FBE">
        <w:rPr>
          <w:b/>
        </w:rPr>
        <w:t xml:space="preserve">Subsection </w:t>
      </w:r>
      <w:r>
        <w:rPr>
          <w:b/>
        </w:rPr>
        <w:t>5(</w:t>
      </w:r>
      <w:r w:rsidR="001C4FBE">
        <w:rPr>
          <w:b/>
        </w:rPr>
        <w:t>1</w:t>
      </w:r>
      <w:r>
        <w:rPr>
          <w:b/>
        </w:rPr>
        <w:t>)</w:t>
      </w:r>
    </w:p>
    <w:p w14:paraId="3E799466" w14:textId="024397B2" w:rsidR="00F3454F" w:rsidRPr="002E1474" w:rsidRDefault="00B72D39" w:rsidP="00CD1A1B">
      <w:pPr>
        <w:pStyle w:val="LI-BodyTextNumbered"/>
      </w:pPr>
      <w:r>
        <w:t>Repeal</w:t>
      </w:r>
      <w:r w:rsidRPr="002E1474">
        <w:t xml:space="preserve"> </w:t>
      </w:r>
      <w:r w:rsidR="00CD1A1B" w:rsidRPr="002E1474">
        <w:t>paragraphs (a) and (b), substitute</w:t>
      </w:r>
      <w:r>
        <w:t>:</w:t>
      </w:r>
      <w:r w:rsidR="00B209C2" w:rsidRPr="002E1474">
        <w:t xml:space="preserve">  </w:t>
      </w:r>
    </w:p>
    <w:p w14:paraId="2103A5B7" w14:textId="3A0E2A26" w:rsidR="00F3454F" w:rsidRPr="00F3454F" w:rsidRDefault="00B72D39" w:rsidP="00B72D39">
      <w:pPr>
        <w:pStyle w:val="LI-BodyTextNumbered"/>
        <w:ind w:left="1701"/>
      </w:pPr>
      <w:r>
        <w:rPr>
          <w:szCs w:val="20"/>
        </w:rPr>
        <w:t>(a)</w:t>
      </w:r>
      <w:r>
        <w:rPr>
          <w:szCs w:val="20"/>
        </w:rPr>
        <w:tab/>
      </w:r>
      <w:r w:rsidR="00F3454F" w:rsidRPr="00CD1A1B">
        <w:rPr>
          <w:szCs w:val="20"/>
        </w:rPr>
        <w:t xml:space="preserve">the entry into of the arrangement that is the Derivative takes place on a financial market that is not </w:t>
      </w:r>
      <w:r w:rsidR="00D45C57">
        <w:rPr>
          <w:szCs w:val="20"/>
        </w:rPr>
        <w:t xml:space="preserve">operated </w:t>
      </w:r>
      <w:r w:rsidR="00F3454F" w:rsidRPr="00CD1A1B">
        <w:rPr>
          <w:szCs w:val="20"/>
        </w:rPr>
        <w:t>in this jurisdiction and the following apply:</w:t>
      </w:r>
    </w:p>
    <w:p w14:paraId="041A0A63" w14:textId="0D311DDF" w:rsidR="00F3454F" w:rsidRPr="00F3454F" w:rsidRDefault="00B72D39" w:rsidP="00B72D39">
      <w:pPr>
        <w:pStyle w:val="LI-BodyTextNumbered"/>
        <w:ind w:left="2268"/>
      </w:pPr>
      <w:r>
        <w:rPr>
          <w:iCs/>
          <w:color w:val="000000"/>
        </w:rPr>
        <w:t>(i)</w:t>
      </w:r>
      <w:r>
        <w:rPr>
          <w:iCs/>
          <w:color w:val="000000"/>
        </w:rPr>
        <w:tab/>
      </w:r>
      <w:r w:rsidR="00F3454F" w:rsidRPr="00CD1A1B">
        <w:rPr>
          <w:iCs/>
          <w:color w:val="000000"/>
        </w:rPr>
        <w:t>the entry into of the arrangement that is the Derivative is in accordance with the operating rules of the financial market;</w:t>
      </w:r>
    </w:p>
    <w:p w14:paraId="7AD322E4" w14:textId="024D8F37" w:rsidR="00F3454F" w:rsidRPr="00F3454F" w:rsidRDefault="00B72D39" w:rsidP="00B72D39">
      <w:pPr>
        <w:pStyle w:val="LI-BodyTextNumbered"/>
        <w:ind w:left="2268"/>
      </w:pPr>
      <w:r>
        <w:rPr>
          <w:iCs/>
          <w:color w:val="000000"/>
        </w:rPr>
        <w:t>(ii)</w:t>
      </w:r>
      <w:r>
        <w:rPr>
          <w:iCs/>
          <w:color w:val="000000"/>
        </w:rPr>
        <w:tab/>
      </w:r>
      <w:r w:rsidR="00F3454F" w:rsidRPr="00CD1A1B">
        <w:rPr>
          <w:iCs/>
          <w:color w:val="000000"/>
        </w:rPr>
        <w:t>the terms of the Derivative are documented under or prescribed by the operating rules of the financial market;</w:t>
      </w:r>
    </w:p>
    <w:p w14:paraId="73B4D036" w14:textId="35BB574B" w:rsidR="00F3454F" w:rsidRPr="00F3454F" w:rsidRDefault="00B72D39" w:rsidP="00B72D39">
      <w:pPr>
        <w:pStyle w:val="LI-BodyTextNumbered"/>
        <w:ind w:left="2268"/>
        <w:rPr>
          <w:rFonts w:eastAsia="Calibri"/>
          <w:iCs/>
          <w:lang w:eastAsia="en-US"/>
        </w:rPr>
      </w:pPr>
      <w:r>
        <w:rPr>
          <w:rFonts w:eastAsia="Calibri"/>
          <w:iCs/>
          <w:lang w:eastAsia="en-US"/>
        </w:rPr>
        <w:t>(iii)</w:t>
      </w:r>
      <w:r>
        <w:rPr>
          <w:rFonts w:eastAsia="Calibri"/>
          <w:iCs/>
          <w:lang w:eastAsia="en-US"/>
        </w:rPr>
        <w:tab/>
      </w:r>
      <w:r w:rsidR="00F3454F" w:rsidRPr="00CD1A1B">
        <w:rPr>
          <w:rFonts w:eastAsia="Calibri"/>
          <w:iCs/>
          <w:lang w:eastAsia="en-US"/>
        </w:rPr>
        <w:t>the Derivative is made available in one or more series in accordance with the operating rules of the financial market and the terms of the arrangement constituting the Derivative are the same as for every other Derivative in the same series, with the exception of price; or</w:t>
      </w:r>
    </w:p>
    <w:p w14:paraId="7EEF1BD7" w14:textId="14A7E554" w:rsidR="00F3454F" w:rsidRPr="00F3454F" w:rsidRDefault="00B72D39" w:rsidP="00B72D39">
      <w:pPr>
        <w:pStyle w:val="LI-BodyTextNumbered"/>
        <w:ind w:left="1701"/>
      </w:pPr>
      <w:r>
        <w:rPr>
          <w:color w:val="000000"/>
        </w:rPr>
        <w:t>(b)</w:t>
      </w:r>
      <w:r>
        <w:rPr>
          <w:color w:val="000000"/>
        </w:rPr>
        <w:tab/>
      </w:r>
      <w:r w:rsidR="00F3454F" w:rsidRPr="00CD1A1B">
        <w:rPr>
          <w:color w:val="000000"/>
        </w:rPr>
        <w:t>the Derivative is:</w:t>
      </w:r>
    </w:p>
    <w:p w14:paraId="5589CC50" w14:textId="48F6B3EA" w:rsidR="00F3454F" w:rsidRPr="00F3454F" w:rsidRDefault="00B72D39" w:rsidP="00B72D39">
      <w:pPr>
        <w:pStyle w:val="LI-BodyTextNumbered"/>
        <w:ind w:left="2268"/>
      </w:pPr>
      <w:r>
        <w:rPr>
          <w:iCs/>
          <w:color w:val="000000"/>
        </w:rPr>
        <w:t>(i)</w:t>
      </w:r>
      <w:r>
        <w:rPr>
          <w:iCs/>
          <w:color w:val="000000"/>
        </w:rPr>
        <w:tab/>
      </w:r>
      <w:r w:rsidR="00F3454F" w:rsidRPr="00CD1A1B">
        <w:rPr>
          <w:iCs/>
          <w:color w:val="000000"/>
        </w:rPr>
        <w:t>able to be traded (within the meaning of section 761A of the Act) on a Relevant Financial Market; and</w:t>
      </w:r>
    </w:p>
    <w:p w14:paraId="56551128" w14:textId="10B52D40" w:rsidR="00FA0F44" w:rsidRDefault="00B72D39" w:rsidP="00E301C8">
      <w:pPr>
        <w:pStyle w:val="LI-BodyTextNumbered"/>
        <w:ind w:left="2268"/>
        <w:rPr>
          <w:rFonts w:eastAsia="Calibri"/>
          <w:iCs/>
          <w:lang w:eastAsia="en-US"/>
        </w:rPr>
      </w:pPr>
      <w:r>
        <w:rPr>
          <w:rFonts w:eastAsia="Calibri"/>
          <w:iCs/>
          <w:lang w:eastAsia="en-US"/>
        </w:rPr>
        <w:t>(ii)</w:t>
      </w:r>
      <w:r>
        <w:rPr>
          <w:rFonts w:eastAsia="Calibri"/>
          <w:iCs/>
          <w:lang w:eastAsia="en-US"/>
        </w:rPr>
        <w:tab/>
      </w:r>
      <w:r w:rsidR="00F3454F" w:rsidRPr="00CD1A1B">
        <w:rPr>
          <w:rFonts w:eastAsia="Calibri"/>
          <w:iCs/>
          <w:lang w:eastAsia="en-US"/>
        </w:rPr>
        <w:t>the entry into of the arrangement that is the Derivative takes place on the Relevant Financial Market.</w:t>
      </w:r>
    </w:p>
    <w:p w14:paraId="1195AC45" w14:textId="37932430" w:rsidR="009E43C7" w:rsidRDefault="009E43C7" w:rsidP="00E301C8">
      <w:pPr>
        <w:pStyle w:val="LI-BodyTextNumbered"/>
        <w:ind w:left="2268"/>
        <w:rPr>
          <w:rFonts w:eastAsia="Calibri"/>
          <w:iCs/>
          <w:lang w:eastAsia="en-US"/>
        </w:rPr>
      </w:pPr>
    </w:p>
    <w:p w14:paraId="22E01683" w14:textId="77777777" w:rsidR="009E43C7" w:rsidRDefault="009E43C7" w:rsidP="00E301C8">
      <w:pPr>
        <w:pStyle w:val="LI-BodyTextNumbered"/>
        <w:ind w:left="2268"/>
        <w:rPr>
          <w:rFonts w:eastAsia="Calibri"/>
          <w:iCs/>
          <w:lang w:eastAsia="en-US"/>
        </w:rPr>
      </w:pPr>
    </w:p>
    <w:p w14:paraId="450E2ADE" w14:textId="3DBAB900" w:rsidR="009E43C7" w:rsidRDefault="009E43C7" w:rsidP="00E301C8">
      <w:pPr>
        <w:pStyle w:val="LI-BodyTextNumbered"/>
        <w:ind w:left="2268"/>
      </w:pPr>
    </w:p>
    <w:p w14:paraId="2318B9C6" w14:textId="6DBEBE78" w:rsidR="00D6272A" w:rsidRPr="00CA3A25" w:rsidRDefault="00D6272A" w:rsidP="00D6272A">
      <w:pPr>
        <w:pStyle w:val="LI-BodyTextNumbered"/>
        <w:ind w:left="567"/>
        <w:rPr>
          <w:b/>
        </w:rPr>
      </w:pPr>
      <w:r>
        <w:rPr>
          <w:b/>
        </w:rPr>
        <w:lastRenderedPageBreak/>
        <w:t>3</w:t>
      </w:r>
      <w:r>
        <w:rPr>
          <w:b/>
        </w:rPr>
        <w:tab/>
        <w:t xml:space="preserve">After </w:t>
      </w:r>
      <w:r w:rsidR="00AF60B4">
        <w:rPr>
          <w:b/>
        </w:rPr>
        <w:t>subsection</w:t>
      </w:r>
      <w:r>
        <w:rPr>
          <w:b/>
        </w:rPr>
        <w:t xml:space="preserve"> 5(3) </w:t>
      </w:r>
    </w:p>
    <w:p w14:paraId="069BB5D4" w14:textId="20EC0807" w:rsidR="00D6272A" w:rsidRDefault="00D6272A" w:rsidP="00D6272A">
      <w:pPr>
        <w:pStyle w:val="LI-BodyTextNumbered"/>
      </w:pPr>
      <w:r>
        <w:t>Insert:</w:t>
      </w:r>
    </w:p>
    <w:p w14:paraId="1E9B31C7" w14:textId="680A7B69" w:rsidR="00D6272A" w:rsidRPr="00BE2B92" w:rsidRDefault="00E84A26" w:rsidP="00E84A26">
      <w:pPr>
        <w:pStyle w:val="LI-BodyTextNumbered"/>
        <w:ind w:left="1701"/>
      </w:pPr>
      <w:r>
        <w:t>(3A)</w:t>
      </w:r>
      <w:r>
        <w:tab/>
      </w:r>
      <w:r w:rsidR="00D710CE">
        <w:t>Subject to subsection (3B), a</w:t>
      </w:r>
      <w:r w:rsidR="00D6272A" w:rsidRPr="00BE2B92">
        <w:t xml:space="preserve"> Reporting En</w:t>
      </w:r>
      <w:r w:rsidR="0016018B">
        <w:t>tit</w:t>
      </w:r>
      <w:r w:rsidR="00D6272A" w:rsidRPr="00BE2B92">
        <w:t>y</w:t>
      </w:r>
      <w:r>
        <w:t xml:space="preserve"> that</w:t>
      </w:r>
      <w:r w:rsidR="00D6272A" w:rsidRPr="00BE2B92">
        <w:t xml:space="preserve"> relies on the exemption in </w:t>
      </w:r>
      <w:r>
        <w:t>paragraph</w:t>
      </w:r>
      <w:r w:rsidR="00D6272A" w:rsidRPr="00BE2B92">
        <w:t xml:space="preserve"> (1)</w:t>
      </w:r>
      <w:r>
        <w:t xml:space="preserve">(a) in relation to </w:t>
      </w:r>
      <w:r w:rsidR="00FD15DB">
        <w:t xml:space="preserve">a Derivative entered into </w:t>
      </w:r>
      <w:r w:rsidR="00D710CE">
        <w:t>on a</w:t>
      </w:r>
      <w:r>
        <w:t xml:space="preserve"> financial market must, within 10 business days after entering into the Derivative, give</w:t>
      </w:r>
      <w:r w:rsidR="00D6272A" w:rsidRPr="00BE2B92">
        <w:t xml:space="preserve"> ASIC a written notice (</w:t>
      </w:r>
      <w:r w:rsidR="00D6272A" w:rsidRPr="00D710CE">
        <w:rPr>
          <w:b/>
          <w:i/>
        </w:rPr>
        <w:t>Opt-In Notice</w:t>
      </w:r>
      <w:r w:rsidR="00D6272A" w:rsidRPr="00BE2B92">
        <w:t>) containing the following information:</w:t>
      </w:r>
    </w:p>
    <w:p w14:paraId="42D155C4" w14:textId="72303122" w:rsidR="00D6272A" w:rsidRPr="00BE2B92" w:rsidRDefault="00D710CE" w:rsidP="00D710CE">
      <w:pPr>
        <w:pStyle w:val="LI-BodyTextNumbered"/>
        <w:ind w:left="2268"/>
        <w:rPr>
          <w:rFonts w:eastAsia="Calibri"/>
          <w:iCs/>
          <w:lang w:eastAsia="en-US"/>
        </w:rPr>
      </w:pPr>
      <w:r>
        <w:rPr>
          <w:rFonts w:eastAsia="Calibri"/>
          <w:iCs/>
          <w:lang w:eastAsia="en-US"/>
        </w:rPr>
        <w:t>(a)</w:t>
      </w:r>
      <w:r>
        <w:rPr>
          <w:rFonts w:eastAsia="Calibri"/>
          <w:iCs/>
          <w:lang w:eastAsia="en-US"/>
        </w:rPr>
        <w:tab/>
      </w:r>
      <w:r w:rsidR="00D6272A" w:rsidRPr="00BE2B92">
        <w:rPr>
          <w:rFonts w:eastAsia="Calibri"/>
          <w:iCs/>
          <w:lang w:eastAsia="en-US"/>
        </w:rPr>
        <w:t xml:space="preserve">the name of the Reporting Entity; </w:t>
      </w:r>
    </w:p>
    <w:p w14:paraId="73D41C10" w14:textId="119E09E8" w:rsidR="00D6272A" w:rsidRPr="00BE2B92" w:rsidRDefault="00D710CE" w:rsidP="00D710CE">
      <w:pPr>
        <w:pStyle w:val="LI-BodyTextNumbered"/>
        <w:ind w:left="2268"/>
        <w:rPr>
          <w:rFonts w:eastAsia="Calibri"/>
          <w:iCs/>
          <w:lang w:eastAsia="en-US"/>
        </w:rPr>
      </w:pPr>
      <w:r>
        <w:rPr>
          <w:rFonts w:eastAsia="Calibri"/>
          <w:iCs/>
          <w:lang w:eastAsia="en-US"/>
        </w:rPr>
        <w:t>(b)</w:t>
      </w:r>
      <w:r>
        <w:rPr>
          <w:rFonts w:eastAsia="Calibri"/>
          <w:iCs/>
          <w:lang w:eastAsia="en-US"/>
        </w:rPr>
        <w:tab/>
      </w:r>
      <w:r w:rsidR="00D6272A" w:rsidRPr="00BE2B92">
        <w:rPr>
          <w:rFonts w:eastAsia="Calibri"/>
          <w:iCs/>
          <w:lang w:eastAsia="en-US"/>
        </w:rPr>
        <w:t xml:space="preserve">the name of the financial market; </w:t>
      </w:r>
    </w:p>
    <w:p w14:paraId="2B45862D" w14:textId="1724C2DE" w:rsidR="00D6272A" w:rsidRPr="00BE2B92" w:rsidRDefault="00D710CE" w:rsidP="000F7746">
      <w:pPr>
        <w:pStyle w:val="LI-BodyTextNumbered"/>
        <w:ind w:left="2268"/>
        <w:rPr>
          <w:rFonts w:eastAsia="Calibri"/>
          <w:iCs/>
          <w:lang w:eastAsia="en-US"/>
        </w:rPr>
      </w:pPr>
      <w:r>
        <w:rPr>
          <w:rFonts w:eastAsia="Calibri"/>
          <w:iCs/>
          <w:lang w:eastAsia="en-US"/>
        </w:rPr>
        <w:t>(c)</w:t>
      </w:r>
      <w:r>
        <w:rPr>
          <w:rFonts w:eastAsia="Calibri"/>
          <w:iCs/>
          <w:lang w:eastAsia="en-US"/>
        </w:rPr>
        <w:tab/>
      </w:r>
      <w:r w:rsidR="00D6272A" w:rsidRPr="00BE2B92">
        <w:rPr>
          <w:rFonts w:eastAsia="Calibri"/>
          <w:iCs/>
          <w:lang w:eastAsia="en-US"/>
        </w:rPr>
        <w:t xml:space="preserve">the Market Identifier Code (MIC) issued in accordance with </w:t>
      </w:r>
      <w:r w:rsidR="000F7746">
        <w:rPr>
          <w:rFonts w:eastAsia="Calibri"/>
          <w:iCs/>
          <w:lang w:eastAsia="en-US"/>
        </w:rPr>
        <w:t>ISO 10383:2012</w:t>
      </w:r>
      <w:r w:rsidR="00296E29" w:rsidRPr="00296E29">
        <w:rPr>
          <w:rFonts w:eastAsia="Calibri"/>
          <w:iCs/>
          <w:lang w:eastAsia="en-US"/>
        </w:rPr>
        <w:t xml:space="preserve"> </w:t>
      </w:r>
      <w:r w:rsidR="00296E29">
        <w:rPr>
          <w:rFonts w:eastAsia="Calibri"/>
          <w:iCs/>
          <w:lang w:eastAsia="en-US"/>
        </w:rPr>
        <w:t>for the financial market</w:t>
      </w:r>
      <w:r w:rsidR="000F7746">
        <w:rPr>
          <w:rFonts w:eastAsia="Calibri"/>
          <w:iCs/>
          <w:lang w:eastAsia="en-US"/>
        </w:rPr>
        <w:t xml:space="preserve">; </w:t>
      </w:r>
    </w:p>
    <w:p w14:paraId="253949A3" w14:textId="374F3EB7" w:rsidR="00D6272A" w:rsidRPr="00BE2B92" w:rsidRDefault="00D710CE" w:rsidP="00D710CE">
      <w:pPr>
        <w:pStyle w:val="LI-BodyTextNumbered"/>
        <w:ind w:left="2268"/>
        <w:rPr>
          <w:rFonts w:eastAsia="Calibri"/>
          <w:iCs/>
          <w:lang w:eastAsia="en-US"/>
        </w:rPr>
      </w:pPr>
      <w:r>
        <w:rPr>
          <w:rFonts w:eastAsia="Calibri"/>
          <w:iCs/>
          <w:lang w:eastAsia="en-US"/>
        </w:rPr>
        <w:t>(d)</w:t>
      </w:r>
      <w:r>
        <w:rPr>
          <w:rFonts w:eastAsia="Calibri"/>
          <w:iCs/>
          <w:lang w:eastAsia="en-US"/>
        </w:rPr>
        <w:tab/>
      </w:r>
      <w:r w:rsidR="00D6272A" w:rsidRPr="00BE2B92">
        <w:rPr>
          <w:rFonts w:eastAsia="Calibri"/>
          <w:iCs/>
          <w:lang w:eastAsia="en-US"/>
        </w:rPr>
        <w:t xml:space="preserve">the date </w:t>
      </w:r>
      <w:r w:rsidR="008B642A">
        <w:rPr>
          <w:rFonts w:eastAsia="Calibri"/>
          <w:iCs/>
          <w:lang w:eastAsia="en-US"/>
        </w:rPr>
        <w:t>the Reporting Entity entered into the Derivative</w:t>
      </w:r>
      <w:r w:rsidR="00D6272A" w:rsidRPr="00BE2B92">
        <w:rPr>
          <w:rFonts w:eastAsia="Calibri"/>
          <w:iCs/>
          <w:lang w:eastAsia="en-US"/>
        </w:rPr>
        <w:t>.</w:t>
      </w:r>
    </w:p>
    <w:p w14:paraId="1DA03D67" w14:textId="219DE8AA" w:rsidR="00D710CE" w:rsidRDefault="00D6272A" w:rsidP="00D710CE">
      <w:pPr>
        <w:pStyle w:val="li-bodytextnumbered0"/>
        <w:shd w:val="clear" w:color="auto" w:fill="FFFFFF"/>
        <w:ind w:left="1701" w:hanging="567"/>
        <w:rPr>
          <w:rFonts w:eastAsia="Calibri"/>
          <w:iCs/>
          <w:lang w:eastAsia="en-US"/>
        </w:rPr>
      </w:pPr>
      <w:r w:rsidRPr="00D6272A">
        <w:rPr>
          <w:rFonts w:eastAsia="Calibri"/>
          <w:iCs/>
          <w:lang w:eastAsia="en-US"/>
        </w:rPr>
        <w:t>(</w:t>
      </w:r>
      <w:r w:rsidR="00D710CE">
        <w:rPr>
          <w:rFonts w:eastAsia="Calibri"/>
          <w:iCs/>
          <w:lang w:eastAsia="en-US"/>
        </w:rPr>
        <w:t>3B</w:t>
      </w:r>
      <w:r w:rsidRPr="00D6272A">
        <w:rPr>
          <w:rFonts w:eastAsia="Calibri"/>
          <w:iCs/>
          <w:lang w:eastAsia="en-US"/>
        </w:rPr>
        <w:t xml:space="preserve">)  The condition in </w:t>
      </w:r>
      <w:r w:rsidR="00D710CE">
        <w:rPr>
          <w:rFonts w:eastAsia="Calibri"/>
          <w:iCs/>
          <w:lang w:eastAsia="en-US"/>
        </w:rPr>
        <w:t>subsection (3</w:t>
      </w:r>
      <w:r w:rsidR="00FD15DB">
        <w:rPr>
          <w:rFonts w:eastAsia="Calibri"/>
          <w:iCs/>
          <w:lang w:eastAsia="en-US"/>
        </w:rPr>
        <w:t>A</w:t>
      </w:r>
      <w:r w:rsidR="00D710CE">
        <w:rPr>
          <w:rFonts w:eastAsia="Calibri"/>
          <w:iCs/>
          <w:lang w:eastAsia="en-US"/>
        </w:rPr>
        <w:t>)</w:t>
      </w:r>
      <w:r w:rsidRPr="00D6272A">
        <w:rPr>
          <w:rFonts w:eastAsia="Calibri"/>
          <w:iCs/>
          <w:lang w:eastAsia="en-US"/>
        </w:rPr>
        <w:t xml:space="preserve"> does not apply</w:t>
      </w:r>
      <w:r w:rsidR="00296E29">
        <w:rPr>
          <w:rFonts w:eastAsia="Calibri"/>
          <w:iCs/>
          <w:lang w:eastAsia="en-US"/>
        </w:rPr>
        <w:t xml:space="preserve"> to a Reporting Entity</w:t>
      </w:r>
      <w:r w:rsidR="00D710CE">
        <w:rPr>
          <w:rFonts w:eastAsia="Calibri"/>
          <w:iCs/>
          <w:lang w:eastAsia="en-US"/>
        </w:rPr>
        <w:t xml:space="preserve"> </w:t>
      </w:r>
      <w:r w:rsidR="00FD15DB">
        <w:rPr>
          <w:rFonts w:eastAsia="Calibri"/>
          <w:iCs/>
          <w:lang w:eastAsia="en-US"/>
        </w:rPr>
        <w:t xml:space="preserve">in relation to a financial market </w:t>
      </w:r>
      <w:r w:rsidR="00D710CE">
        <w:rPr>
          <w:rFonts w:eastAsia="Calibri"/>
          <w:iCs/>
          <w:lang w:eastAsia="en-US"/>
        </w:rPr>
        <w:t>if:</w:t>
      </w:r>
      <w:r w:rsidRPr="00D6272A">
        <w:rPr>
          <w:rFonts w:eastAsia="Calibri"/>
          <w:iCs/>
          <w:lang w:eastAsia="en-US"/>
        </w:rPr>
        <w:t xml:space="preserve"> </w:t>
      </w:r>
    </w:p>
    <w:p w14:paraId="52D28C23" w14:textId="2A5BA176" w:rsidR="00D710CE" w:rsidRDefault="00D710CE" w:rsidP="00D710CE">
      <w:pPr>
        <w:pStyle w:val="li-bodytextnumbered0"/>
        <w:shd w:val="clear" w:color="auto" w:fill="FFFFFF"/>
        <w:ind w:left="2268" w:hanging="567"/>
        <w:rPr>
          <w:rFonts w:eastAsia="Calibri"/>
          <w:iCs/>
          <w:lang w:eastAsia="en-US"/>
        </w:rPr>
      </w:pPr>
      <w:r>
        <w:rPr>
          <w:rFonts w:eastAsia="Calibri"/>
          <w:iCs/>
          <w:lang w:eastAsia="en-US"/>
        </w:rPr>
        <w:t>(a)</w:t>
      </w:r>
      <w:r>
        <w:rPr>
          <w:rFonts w:eastAsia="Calibri"/>
          <w:iCs/>
          <w:lang w:eastAsia="en-US"/>
        </w:rPr>
        <w:tab/>
      </w:r>
      <w:r w:rsidR="00D6272A" w:rsidRPr="00D6272A">
        <w:rPr>
          <w:rFonts w:eastAsia="Calibri"/>
          <w:iCs/>
          <w:lang w:eastAsia="en-US"/>
        </w:rPr>
        <w:t>the R</w:t>
      </w:r>
      <w:r w:rsidR="0016018B">
        <w:rPr>
          <w:rFonts w:eastAsia="Calibri"/>
          <w:iCs/>
          <w:lang w:eastAsia="en-US"/>
        </w:rPr>
        <w:t>e</w:t>
      </w:r>
      <w:r w:rsidR="00D6272A" w:rsidRPr="00D6272A">
        <w:rPr>
          <w:rFonts w:eastAsia="Calibri"/>
          <w:iCs/>
          <w:lang w:eastAsia="en-US"/>
        </w:rPr>
        <w:t xml:space="preserve">porting Entity has previously </w:t>
      </w:r>
      <w:r w:rsidR="008B642A">
        <w:rPr>
          <w:rFonts w:eastAsia="Calibri"/>
          <w:iCs/>
          <w:lang w:eastAsia="en-US"/>
        </w:rPr>
        <w:t>given ASIC</w:t>
      </w:r>
      <w:r w:rsidR="00D6272A" w:rsidRPr="00D6272A">
        <w:rPr>
          <w:rFonts w:eastAsia="Calibri"/>
          <w:iCs/>
          <w:lang w:eastAsia="en-US"/>
        </w:rPr>
        <w:t xml:space="preserve"> an Opt-in Notice in </w:t>
      </w:r>
      <w:r w:rsidR="00FD15DB">
        <w:rPr>
          <w:rFonts w:eastAsia="Calibri"/>
          <w:iCs/>
          <w:lang w:eastAsia="en-US"/>
        </w:rPr>
        <w:t>relation to the financial market</w:t>
      </w:r>
      <w:r>
        <w:rPr>
          <w:rFonts w:eastAsia="Calibri"/>
          <w:iCs/>
          <w:lang w:eastAsia="en-US"/>
        </w:rPr>
        <w:t>:</w:t>
      </w:r>
      <w:r w:rsidR="00D6272A" w:rsidRPr="00D6272A">
        <w:rPr>
          <w:rFonts w:eastAsia="Calibri"/>
          <w:iCs/>
          <w:lang w:eastAsia="en-US"/>
        </w:rPr>
        <w:t xml:space="preserve"> or </w:t>
      </w:r>
    </w:p>
    <w:p w14:paraId="0F20C879" w14:textId="77777777" w:rsidR="008B642A" w:rsidRDefault="00D710CE" w:rsidP="00D710CE">
      <w:pPr>
        <w:pStyle w:val="li-bodytextnumbered0"/>
        <w:shd w:val="clear" w:color="auto" w:fill="FFFFFF"/>
        <w:ind w:left="2268" w:hanging="567"/>
        <w:rPr>
          <w:rFonts w:eastAsia="Calibri"/>
          <w:iCs/>
          <w:lang w:eastAsia="en-US"/>
        </w:rPr>
      </w:pPr>
      <w:r>
        <w:rPr>
          <w:rFonts w:eastAsia="Calibri"/>
          <w:iCs/>
          <w:lang w:eastAsia="en-US"/>
        </w:rPr>
        <w:t>(b)</w:t>
      </w:r>
      <w:r>
        <w:rPr>
          <w:rFonts w:eastAsia="Calibri"/>
          <w:iCs/>
          <w:lang w:eastAsia="en-US"/>
        </w:rPr>
        <w:tab/>
      </w:r>
      <w:r w:rsidR="00D6272A" w:rsidRPr="00D6272A">
        <w:rPr>
          <w:rFonts w:eastAsia="Calibri"/>
          <w:iCs/>
          <w:lang w:eastAsia="en-US"/>
        </w:rPr>
        <w:t>the financial market is</w:t>
      </w:r>
      <w:r w:rsidR="008B642A">
        <w:rPr>
          <w:rFonts w:eastAsia="Calibri"/>
          <w:iCs/>
          <w:lang w:eastAsia="en-US"/>
        </w:rPr>
        <w:t>:</w:t>
      </w:r>
      <w:r w:rsidR="00D6272A" w:rsidRPr="00D6272A">
        <w:rPr>
          <w:rFonts w:eastAsia="Calibri"/>
          <w:iCs/>
          <w:lang w:eastAsia="en-US"/>
        </w:rPr>
        <w:t xml:space="preserve"> </w:t>
      </w:r>
    </w:p>
    <w:p w14:paraId="13DBD28A" w14:textId="77777777" w:rsidR="008B642A" w:rsidRDefault="008B642A" w:rsidP="008B642A">
      <w:pPr>
        <w:pStyle w:val="li-bodytextnumbered0"/>
        <w:shd w:val="clear" w:color="auto" w:fill="FFFFFF"/>
        <w:ind w:left="2835" w:hanging="567"/>
        <w:rPr>
          <w:rFonts w:eastAsia="Calibri"/>
          <w:iCs/>
          <w:lang w:eastAsia="en-US"/>
        </w:rPr>
      </w:pPr>
      <w:r>
        <w:rPr>
          <w:rFonts w:eastAsia="Calibri"/>
          <w:iCs/>
          <w:lang w:eastAsia="en-US"/>
        </w:rPr>
        <w:t>(i)</w:t>
      </w:r>
      <w:r>
        <w:rPr>
          <w:rFonts w:eastAsia="Calibri"/>
          <w:iCs/>
          <w:lang w:eastAsia="en-US"/>
        </w:rPr>
        <w:tab/>
      </w:r>
      <w:r w:rsidR="00D6272A" w:rsidRPr="00D6272A">
        <w:rPr>
          <w:rFonts w:eastAsia="Calibri"/>
          <w:iCs/>
          <w:lang w:eastAsia="en-US"/>
        </w:rPr>
        <w:t xml:space="preserve">a </w:t>
      </w:r>
      <w:r w:rsidR="00D6272A" w:rsidRPr="00CD1A1B">
        <w:rPr>
          <w:rFonts w:eastAsia="Calibri"/>
          <w:iCs/>
          <w:lang w:eastAsia="en-US"/>
        </w:rPr>
        <w:t>Relevant Financial Market</w:t>
      </w:r>
      <w:r>
        <w:rPr>
          <w:rFonts w:eastAsia="Calibri"/>
          <w:iCs/>
          <w:lang w:eastAsia="en-US"/>
        </w:rPr>
        <w:t>;</w:t>
      </w:r>
      <w:r w:rsidR="00D6272A">
        <w:rPr>
          <w:rFonts w:eastAsia="Calibri"/>
          <w:iCs/>
          <w:lang w:eastAsia="en-US"/>
        </w:rPr>
        <w:t xml:space="preserve"> or </w:t>
      </w:r>
    </w:p>
    <w:p w14:paraId="21CAAB2A" w14:textId="31098255" w:rsidR="00D6272A" w:rsidRDefault="008B642A" w:rsidP="008B642A">
      <w:pPr>
        <w:pStyle w:val="li-bodytextnumbered0"/>
        <w:shd w:val="clear" w:color="auto" w:fill="FFFFFF"/>
        <w:ind w:left="2835" w:hanging="567"/>
        <w:rPr>
          <w:rFonts w:eastAsia="Calibri"/>
          <w:iCs/>
          <w:lang w:eastAsia="en-US"/>
        </w:rPr>
      </w:pPr>
      <w:r>
        <w:rPr>
          <w:rFonts w:eastAsia="Calibri"/>
          <w:iCs/>
          <w:lang w:eastAsia="en-US"/>
        </w:rPr>
        <w:t>(ii)</w:t>
      </w:r>
      <w:r>
        <w:rPr>
          <w:rFonts w:eastAsia="Calibri"/>
          <w:iCs/>
          <w:lang w:eastAsia="en-US"/>
        </w:rPr>
        <w:tab/>
      </w:r>
      <w:r w:rsidR="00FD15DB">
        <w:rPr>
          <w:rFonts w:eastAsia="Calibri"/>
          <w:iCs/>
          <w:lang w:eastAsia="en-US"/>
        </w:rPr>
        <w:t xml:space="preserve">a </w:t>
      </w:r>
      <w:r w:rsidR="00D6272A" w:rsidRPr="00D6272A">
        <w:rPr>
          <w:rFonts w:eastAsia="Calibri"/>
          <w:iCs/>
          <w:lang w:eastAsia="en-US"/>
        </w:rPr>
        <w:t>Regulated Foreign Market for the purposes of the Rules</w:t>
      </w:r>
      <w:r w:rsidR="00A3101A">
        <w:rPr>
          <w:rFonts w:eastAsia="Calibri"/>
          <w:iCs/>
          <w:lang w:eastAsia="en-US"/>
        </w:rPr>
        <w:t>.</w:t>
      </w:r>
    </w:p>
    <w:p w14:paraId="69B17221" w14:textId="77777777" w:rsidR="008B642A" w:rsidRDefault="002C6C1A" w:rsidP="002C6C1A">
      <w:pPr>
        <w:pStyle w:val="li-bodytextnumbered0"/>
        <w:shd w:val="clear" w:color="auto" w:fill="FFFFFF"/>
        <w:ind w:left="1701" w:hanging="567"/>
        <w:rPr>
          <w:rFonts w:eastAsia="Calibri"/>
          <w:iCs/>
          <w:lang w:eastAsia="en-US"/>
        </w:rPr>
      </w:pPr>
      <w:r>
        <w:rPr>
          <w:rFonts w:eastAsia="Calibri"/>
          <w:iCs/>
          <w:lang w:eastAsia="en-US"/>
        </w:rPr>
        <w:t>(3C)</w:t>
      </w:r>
      <w:r>
        <w:rPr>
          <w:rFonts w:eastAsia="Calibri"/>
          <w:iCs/>
          <w:lang w:eastAsia="en-US"/>
        </w:rPr>
        <w:tab/>
        <w:t xml:space="preserve">In </w:t>
      </w:r>
      <w:r w:rsidR="008B642A">
        <w:rPr>
          <w:rFonts w:eastAsia="Calibri"/>
          <w:iCs/>
          <w:lang w:eastAsia="en-US"/>
        </w:rPr>
        <w:t>this section:</w:t>
      </w:r>
      <w:r>
        <w:rPr>
          <w:rFonts w:eastAsia="Calibri"/>
          <w:iCs/>
          <w:lang w:eastAsia="en-US"/>
        </w:rPr>
        <w:t xml:space="preserve"> </w:t>
      </w:r>
    </w:p>
    <w:p w14:paraId="72A2BB21" w14:textId="01AC6E42" w:rsidR="002C6C1A" w:rsidRPr="00D6272A" w:rsidRDefault="002C6C1A" w:rsidP="008B642A">
      <w:pPr>
        <w:pStyle w:val="li-bodytextnumbered0"/>
        <w:shd w:val="clear" w:color="auto" w:fill="FFFFFF"/>
        <w:ind w:left="1701"/>
        <w:rPr>
          <w:rFonts w:eastAsia="Calibri"/>
          <w:iCs/>
          <w:lang w:eastAsia="en-US"/>
        </w:rPr>
      </w:pPr>
      <w:r w:rsidRPr="002C6C1A">
        <w:rPr>
          <w:rFonts w:eastAsia="Calibri"/>
          <w:b/>
          <w:i/>
          <w:iCs/>
          <w:lang w:eastAsia="en-US"/>
        </w:rPr>
        <w:t>ISO 10383:2012</w:t>
      </w:r>
      <w:r>
        <w:rPr>
          <w:rFonts w:eastAsia="Calibri"/>
          <w:iCs/>
          <w:lang w:eastAsia="en-US"/>
        </w:rPr>
        <w:t xml:space="preserve"> means ISO 10383:2012 </w:t>
      </w:r>
      <w:r w:rsidRPr="000F7746">
        <w:rPr>
          <w:rFonts w:eastAsia="Calibri"/>
          <w:i/>
          <w:iCs/>
          <w:lang w:eastAsia="en-US"/>
        </w:rPr>
        <w:t>Securities and related financial instruments—Codes for exchanges and market identification (MIC)</w:t>
      </w:r>
      <w:r>
        <w:rPr>
          <w:rFonts w:eastAsia="Calibri"/>
          <w:iCs/>
          <w:lang w:eastAsia="en-US"/>
        </w:rPr>
        <w:t xml:space="preserve"> published by the International Organisation for Standardization as in force on the date of this instrument.</w:t>
      </w:r>
    </w:p>
    <w:p w14:paraId="1880102A" w14:textId="6988D109" w:rsidR="004429D7" w:rsidRPr="00CA3A25" w:rsidRDefault="00724AEB" w:rsidP="004429D7">
      <w:pPr>
        <w:pStyle w:val="LI-BodyTextNumbered"/>
        <w:ind w:left="567"/>
        <w:rPr>
          <w:b/>
        </w:rPr>
      </w:pPr>
      <w:r>
        <w:rPr>
          <w:b/>
        </w:rPr>
        <w:t>4</w:t>
      </w:r>
      <w:r w:rsidR="004429D7">
        <w:rPr>
          <w:b/>
        </w:rPr>
        <w:tab/>
        <w:t>S</w:t>
      </w:r>
      <w:r w:rsidR="00E301C8">
        <w:rPr>
          <w:b/>
        </w:rPr>
        <w:t>ubs</w:t>
      </w:r>
      <w:r w:rsidR="0012599B">
        <w:rPr>
          <w:b/>
        </w:rPr>
        <w:t>ection</w:t>
      </w:r>
      <w:r w:rsidR="004429D7">
        <w:rPr>
          <w:b/>
        </w:rPr>
        <w:t xml:space="preserve"> </w:t>
      </w:r>
      <w:r w:rsidR="00B209C2">
        <w:rPr>
          <w:b/>
        </w:rPr>
        <w:t>6</w:t>
      </w:r>
      <w:r w:rsidR="00E301C8">
        <w:rPr>
          <w:b/>
        </w:rPr>
        <w:t>(1)</w:t>
      </w:r>
      <w:r w:rsidR="00024E2B">
        <w:rPr>
          <w:b/>
        </w:rPr>
        <w:t xml:space="preserve"> </w:t>
      </w:r>
      <w:r w:rsidR="00C479AF">
        <w:rPr>
          <w:b/>
        </w:rPr>
        <w:t xml:space="preserve"> </w:t>
      </w:r>
    </w:p>
    <w:p w14:paraId="361A8BF7" w14:textId="77777777" w:rsidR="00F07AA9" w:rsidRDefault="00DA4C54" w:rsidP="00DA4C54">
      <w:pPr>
        <w:pStyle w:val="LI-BodyTextNumbered"/>
      </w:pPr>
      <w:r>
        <w:t xml:space="preserve">Omit “31 March 2019”, substitute “the Exemption End Date”. </w:t>
      </w:r>
    </w:p>
    <w:p w14:paraId="59A30B96" w14:textId="40C83A69" w:rsidR="00F07AA9" w:rsidRPr="00CA3A25" w:rsidRDefault="00724AEB" w:rsidP="00F07AA9">
      <w:pPr>
        <w:pStyle w:val="LI-BodyTextNumbered"/>
        <w:ind w:left="567"/>
        <w:rPr>
          <w:b/>
        </w:rPr>
      </w:pPr>
      <w:r>
        <w:rPr>
          <w:b/>
        </w:rPr>
        <w:t>5</w:t>
      </w:r>
      <w:r w:rsidR="00F07AA9">
        <w:rPr>
          <w:b/>
        </w:rPr>
        <w:tab/>
        <w:t xml:space="preserve">After subsection 6(1)  </w:t>
      </w:r>
    </w:p>
    <w:p w14:paraId="3B3B99F3" w14:textId="400CD943" w:rsidR="0012599B" w:rsidRDefault="00F07AA9" w:rsidP="00DA4C54">
      <w:pPr>
        <w:pStyle w:val="LI-BodyTextNumbered"/>
      </w:pPr>
      <w:r>
        <w:t>Insert:</w:t>
      </w:r>
    </w:p>
    <w:p w14:paraId="788DC94E" w14:textId="77777777" w:rsidR="0012599B" w:rsidRDefault="0012599B" w:rsidP="00E301C8">
      <w:pPr>
        <w:pStyle w:val="LI-BodyTextNumbered"/>
        <w:ind w:left="1701"/>
      </w:pPr>
      <w:r>
        <w:t>(1A)</w:t>
      </w:r>
      <w:r>
        <w:tab/>
        <w:t xml:space="preserve">In subsection (1), </w:t>
      </w:r>
      <w:r w:rsidRPr="00D76120">
        <w:rPr>
          <w:b/>
          <w:i/>
        </w:rPr>
        <w:t>Exemption End Date</w:t>
      </w:r>
      <w:r>
        <w:t xml:space="preserve"> means:</w:t>
      </w:r>
    </w:p>
    <w:p w14:paraId="09997F14" w14:textId="53E05C4F" w:rsidR="00151638" w:rsidRDefault="0012599B" w:rsidP="00E301C8">
      <w:pPr>
        <w:pStyle w:val="LI-BodyTextNumbered"/>
        <w:ind w:left="2268"/>
      </w:pPr>
      <w:r>
        <w:t>(a)</w:t>
      </w:r>
      <w:r>
        <w:tab/>
      </w:r>
      <w:r w:rsidR="005938D2">
        <w:t>30 September 2019 if the</w:t>
      </w:r>
      <w:r>
        <w:t xml:space="preserve"> Relevant Entity</w:t>
      </w:r>
      <w:r w:rsidR="00151638">
        <w:t>:</w:t>
      </w:r>
      <w:r>
        <w:t xml:space="preserve"> </w:t>
      </w:r>
    </w:p>
    <w:p w14:paraId="0218F46F" w14:textId="61422DFF" w:rsidR="00151638" w:rsidRDefault="00151638" w:rsidP="00151638">
      <w:pPr>
        <w:pStyle w:val="LI-BodyTextNumbered"/>
        <w:ind w:left="2835"/>
      </w:pPr>
      <w:r>
        <w:lastRenderedPageBreak/>
        <w:t>(i)</w:t>
      </w:r>
      <w:r>
        <w:tab/>
        <w:t xml:space="preserve">is incorporated or formed </w:t>
      </w:r>
      <w:r w:rsidR="0012599B">
        <w:t>in this jurisdiction</w:t>
      </w:r>
      <w:r>
        <w:t>; or</w:t>
      </w:r>
    </w:p>
    <w:p w14:paraId="7270A0DB" w14:textId="49649DF7" w:rsidR="0012599B" w:rsidRDefault="00151638" w:rsidP="005938D2">
      <w:pPr>
        <w:pStyle w:val="LI-BodyTextNumbered"/>
        <w:ind w:left="2835"/>
      </w:pPr>
      <w:r>
        <w:t>(ii)</w:t>
      </w:r>
      <w:r>
        <w:tab/>
      </w:r>
      <w:r w:rsidR="005938D2">
        <w:t xml:space="preserve">is a counterparty to the OTC Derivative to which the Reportable Transaction or Reportable Position relates as the result of a transaction entered into by a </w:t>
      </w:r>
      <w:r>
        <w:t xml:space="preserve">branch </w:t>
      </w:r>
      <w:r w:rsidR="005938D2">
        <w:t>of the Relevant Entity that is located in this jurisdiction</w:t>
      </w:r>
      <w:r w:rsidR="0012599B">
        <w:t>; and</w:t>
      </w:r>
    </w:p>
    <w:p w14:paraId="10E77FF2" w14:textId="33D96FA1" w:rsidR="00DA4C54" w:rsidRDefault="0012599B" w:rsidP="00F07AA9">
      <w:pPr>
        <w:pStyle w:val="LI-BodyTextNumbered"/>
        <w:ind w:left="2268"/>
        <w:rPr>
          <w:b/>
        </w:rPr>
      </w:pPr>
      <w:r>
        <w:t>(b)</w:t>
      </w:r>
      <w:r>
        <w:tab/>
      </w:r>
      <w:r w:rsidR="005938D2">
        <w:t xml:space="preserve">otherwise, </w:t>
      </w:r>
      <w:r w:rsidRPr="00151638">
        <w:t>31 March 2020</w:t>
      </w:r>
      <w:r>
        <w:t>.</w:t>
      </w:r>
      <w:r w:rsidR="004429D7">
        <w:t xml:space="preserve"> </w:t>
      </w:r>
    </w:p>
    <w:p w14:paraId="3C3C38E2" w14:textId="5C759673" w:rsidR="0012599B" w:rsidRDefault="00724AEB" w:rsidP="00E301C8">
      <w:pPr>
        <w:pStyle w:val="LI-BodyTextNumbered"/>
        <w:ind w:left="567"/>
      </w:pPr>
      <w:r>
        <w:rPr>
          <w:b/>
        </w:rPr>
        <w:t>6</w:t>
      </w:r>
      <w:r w:rsidR="0098235D">
        <w:rPr>
          <w:b/>
        </w:rPr>
        <w:tab/>
      </w:r>
      <w:r w:rsidR="00DA4C54">
        <w:rPr>
          <w:b/>
        </w:rPr>
        <w:t>After subs</w:t>
      </w:r>
      <w:r w:rsidR="0098235D">
        <w:rPr>
          <w:b/>
        </w:rPr>
        <w:t>ection 6</w:t>
      </w:r>
      <w:r w:rsidR="00DA4C54">
        <w:rPr>
          <w:b/>
        </w:rPr>
        <w:t>(2)</w:t>
      </w:r>
    </w:p>
    <w:p w14:paraId="03F8CC91" w14:textId="1DF5657D" w:rsidR="004429D7" w:rsidRDefault="00DA4C54" w:rsidP="0012599B">
      <w:pPr>
        <w:pStyle w:val="LI-BodyTextNumbered"/>
      </w:pPr>
      <w:r>
        <w:t>I</w:t>
      </w:r>
      <w:r w:rsidR="0012599B">
        <w:t>nsert</w:t>
      </w:r>
      <w:r w:rsidR="00E301C8">
        <w:t>:</w:t>
      </w:r>
    </w:p>
    <w:p w14:paraId="3E24ADAA" w14:textId="77777777" w:rsidR="0012599B" w:rsidRPr="001F3155" w:rsidRDefault="0012599B" w:rsidP="006660FF">
      <w:pPr>
        <w:pStyle w:val="LI-BodyTextNumbered"/>
        <w:ind w:left="1701"/>
        <w:rPr>
          <w:i/>
        </w:rPr>
      </w:pPr>
      <w:r w:rsidRPr="001F3155">
        <w:rPr>
          <w:i/>
        </w:rPr>
        <w:t>Conditions</w:t>
      </w:r>
    </w:p>
    <w:p w14:paraId="253FE8BF" w14:textId="45AFFF42" w:rsidR="00230F15" w:rsidRDefault="0012599B" w:rsidP="00230F15">
      <w:pPr>
        <w:pStyle w:val="LI-BodyTextNumbered"/>
        <w:ind w:left="1701"/>
      </w:pPr>
      <w:r>
        <w:t>(3)</w:t>
      </w:r>
      <w:r>
        <w:tab/>
        <w:t>The Reporting Entity must use its best efforts to obtain the Entity Information as soon as reasonably practicable</w:t>
      </w:r>
      <w:r w:rsidR="00B10D2F">
        <w:t xml:space="preserve">, including </w:t>
      </w:r>
      <w:r>
        <w:t>by maintaining and following documented procedures for</w:t>
      </w:r>
      <w:r w:rsidR="00162992">
        <w:t xml:space="preserve"> one or both of the following</w:t>
      </w:r>
      <w:r w:rsidR="00230F15">
        <w:t>:</w:t>
      </w:r>
    </w:p>
    <w:p w14:paraId="09B9DDEA" w14:textId="399027DE" w:rsidR="00230F15" w:rsidRDefault="00230F15" w:rsidP="00162992">
      <w:pPr>
        <w:pStyle w:val="LI-BodyTextNumbered"/>
        <w:ind w:left="2268"/>
      </w:pPr>
      <w:r>
        <w:t>(</w:t>
      </w:r>
      <w:r w:rsidR="00B10D2F">
        <w:t>a</w:t>
      </w:r>
      <w:r>
        <w:t>)</w:t>
      </w:r>
      <w:r>
        <w:tab/>
      </w:r>
      <w:r w:rsidR="0012599B">
        <w:t>requesting that Relevant Entities obtain Entity Information and provide it to the Reporting Entity</w:t>
      </w:r>
      <w:r>
        <w:t xml:space="preserve">; </w:t>
      </w:r>
    </w:p>
    <w:p w14:paraId="253B8BC4" w14:textId="089F10FF" w:rsidR="0012599B" w:rsidRDefault="00F52169" w:rsidP="00162992">
      <w:pPr>
        <w:pStyle w:val="LI-BodyTextNumbered"/>
        <w:ind w:left="2268"/>
      </w:pPr>
      <w:r>
        <w:t>(</w:t>
      </w:r>
      <w:r w:rsidR="00B10D2F">
        <w:t>b</w:t>
      </w:r>
      <w:r w:rsidR="00230F15">
        <w:t>)</w:t>
      </w:r>
      <w:r w:rsidR="00230F15">
        <w:tab/>
        <w:t>obtaining the Entity Information</w:t>
      </w:r>
      <w:r w:rsidR="00162992">
        <w:t xml:space="preserve"> on behalf of Relevant Entities</w:t>
      </w:r>
      <w:r w:rsidR="00230F15">
        <w:t>.</w:t>
      </w:r>
    </w:p>
    <w:p w14:paraId="786DABAD" w14:textId="6A4330BE" w:rsidR="0012599B" w:rsidRDefault="0012599B" w:rsidP="006660FF">
      <w:pPr>
        <w:pStyle w:val="LI-BodyTextNumbered"/>
        <w:ind w:left="1701"/>
      </w:pPr>
      <w:r>
        <w:t>(4)</w:t>
      </w:r>
      <w:r>
        <w:tab/>
        <w:t>As soon as reasonably practicable after Entity Information for a Relevant Entity is available, including on a public website, the Reporting Entity must use all reasonable endeavours to report the Entity Information to the Trade Repository, unless the Derivative to which the Entity Information relates has been terminated or has expired.</w:t>
      </w:r>
    </w:p>
    <w:p w14:paraId="22600502" w14:textId="78CD874F" w:rsidR="0012599B" w:rsidRDefault="0012599B" w:rsidP="006660FF">
      <w:pPr>
        <w:pStyle w:val="LI-BodyTextNumbered"/>
        <w:ind w:left="1701"/>
      </w:pPr>
      <w:r>
        <w:t>(5)</w:t>
      </w:r>
      <w:r>
        <w:tab/>
        <w:t>The Reporting Entity must,</w:t>
      </w:r>
      <w:r w:rsidDel="005353CB">
        <w:t xml:space="preserve"> </w:t>
      </w:r>
      <w:r>
        <w:t>on written request by ASIC, provide ASIC with a written statement reporting on the Reporting Entity’s</w:t>
      </w:r>
      <w:r w:rsidRPr="00B70CE6">
        <w:t xml:space="preserve"> </w:t>
      </w:r>
      <w:r>
        <w:t>compliance with the conditions in subsections (3) and (4) during the period specified in the request.</w:t>
      </w:r>
    </w:p>
    <w:p w14:paraId="7ACC77B7" w14:textId="2C91B0A8" w:rsidR="004429D7" w:rsidRDefault="0012599B" w:rsidP="006660FF">
      <w:pPr>
        <w:pStyle w:val="LI-BodyTextNumbered"/>
        <w:ind w:left="1701"/>
      </w:pPr>
      <w:r>
        <w:t>(6)</w:t>
      </w:r>
      <w:r>
        <w:tab/>
        <w:t>The Reporting Entity must provide the statement under subsection (5) within the time specified in the written request by ASIC or, if no time is specified, within a reasonable time.</w:t>
      </w:r>
    </w:p>
    <w:p w14:paraId="6F0386D2" w14:textId="26199E7C" w:rsidR="00024E2B" w:rsidRPr="00CA3A25" w:rsidRDefault="00724AEB" w:rsidP="00024E2B">
      <w:pPr>
        <w:pStyle w:val="LI-BodyTextNumbered"/>
        <w:ind w:left="567"/>
        <w:rPr>
          <w:b/>
        </w:rPr>
      </w:pPr>
      <w:r>
        <w:rPr>
          <w:b/>
        </w:rPr>
        <w:t>7</w:t>
      </w:r>
      <w:r w:rsidR="00024E2B">
        <w:rPr>
          <w:b/>
        </w:rPr>
        <w:tab/>
        <w:t xml:space="preserve">Subsection </w:t>
      </w:r>
      <w:r w:rsidR="0012599B">
        <w:rPr>
          <w:b/>
        </w:rPr>
        <w:t>8</w:t>
      </w:r>
      <w:r w:rsidR="00024E2B">
        <w:rPr>
          <w:b/>
        </w:rPr>
        <w:t>(1)</w:t>
      </w:r>
    </w:p>
    <w:p w14:paraId="755820DE" w14:textId="3D1199B4" w:rsidR="00024E2B" w:rsidRDefault="00C819CA" w:rsidP="00024E2B">
      <w:pPr>
        <w:pStyle w:val="LI-BodyTextNumbered"/>
      </w:pPr>
      <w:r>
        <w:t>Omit “31</w:t>
      </w:r>
      <w:r w:rsidR="00024E2B">
        <w:t xml:space="preserve"> </w:t>
      </w:r>
      <w:r w:rsidR="0012599B">
        <w:t>March</w:t>
      </w:r>
      <w:r w:rsidR="00024E2B">
        <w:t xml:space="preserve"> 201</w:t>
      </w:r>
      <w:r w:rsidR="0012599B">
        <w:t>9</w:t>
      </w:r>
      <w:r w:rsidR="00024E2B">
        <w:t>”, substitute “3</w:t>
      </w:r>
      <w:r w:rsidR="0012599B">
        <w:t>0</w:t>
      </w:r>
      <w:r w:rsidR="00024E2B">
        <w:t xml:space="preserve"> </w:t>
      </w:r>
      <w:r w:rsidR="0012599B">
        <w:t>September</w:t>
      </w:r>
      <w:r w:rsidR="00024E2B">
        <w:t xml:space="preserve"> 20</w:t>
      </w:r>
      <w:r w:rsidR="0012599B">
        <w:t>20</w:t>
      </w:r>
      <w:r w:rsidR="00024E2B">
        <w:t xml:space="preserve">”.  </w:t>
      </w:r>
    </w:p>
    <w:p w14:paraId="4D917785" w14:textId="3FE1B351" w:rsidR="0098235D" w:rsidRPr="00CA3A25" w:rsidRDefault="00724AEB" w:rsidP="0098235D">
      <w:pPr>
        <w:pStyle w:val="LI-BodyTextNumbered"/>
        <w:ind w:left="567"/>
        <w:rPr>
          <w:b/>
        </w:rPr>
      </w:pPr>
      <w:r>
        <w:rPr>
          <w:b/>
        </w:rPr>
        <w:t>8</w:t>
      </w:r>
      <w:r w:rsidR="0098235D">
        <w:rPr>
          <w:b/>
        </w:rPr>
        <w:tab/>
        <w:t>Subsection 9(1)</w:t>
      </w:r>
    </w:p>
    <w:p w14:paraId="54B2926B" w14:textId="685E09EF" w:rsidR="0098235D" w:rsidRDefault="0098235D" w:rsidP="00E301C8">
      <w:pPr>
        <w:pStyle w:val="LI-BodyTextNumbered"/>
        <w:ind w:left="567" w:firstLine="0"/>
        <w:rPr>
          <w:b/>
        </w:rPr>
      </w:pPr>
      <w:r>
        <w:t>Omit “31 March 2019”, substitute “30 September 2020”.</w:t>
      </w:r>
    </w:p>
    <w:sectPr w:rsidR="0098235D" w:rsidSect="0040053F">
      <w:headerReference w:type="even" r:id="rId29"/>
      <w:headerReference w:type="default" r:id="rId30"/>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59619" w14:textId="77777777" w:rsidR="00F07AA9" w:rsidRDefault="00F07AA9" w:rsidP="00715914">
      <w:pPr>
        <w:spacing w:line="240" w:lineRule="auto"/>
      </w:pPr>
      <w:r>
        <w:separator/>
      </w:r>
    </w:p>
  </w:endnote>
  <w:endnote w:type="continuationSeparator" w:id="0">
    <w:p w14:paraId="018D91E1" w14:textId="77777777" w:rsidR="00F07AA9" w:rsidRDefault="00F07AA9" w:rsidP="00715914">
      <w:pPr>
        <w:spacing w:line="240" w:lineRule="auto"/>
      </w:pPr>
      <w:r>
        <w:continuationSeparator/>
      </w:r>
    </w:p>
  </w:endnote>
  <w:endnote w:type="continuationNotice" w:id="1">
    <w:p w14:paraId="4BA5B508" w14:textId="77777777" w:rsidR="00F07AA9" w:rsidRDefault="00F07A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F07AA9" w:rsidRPr="00081794" w14:paraId="5E6892D2" w14:textId="77777777" w:rsidTr="00081794">
      <w:tc>
        <w:tcPr>
          <w:tcW w:w="8472" w:type="dxa"/>
          <w:shd w:val="clear" w:color="auto" w:fill="auto"/>
        </w:tcPr>
        <w:p w14:paraId="5068C55E" w14:textId="77777777" w:rsidR="00F07AA9" w:rsidRPr="00081794" w:rsidRDefault="00F07AA9" w:rsidP="00081794">
          <w:pPr>
            <w:jc w:val="right"/>
            <w:rPr>
              <w:sz w:val="18"/>
            </w:rPr>
          </w:pPr>
          <w:r>
            <w:rPr>
              <w:noProof/>
              <w:lang w:eastAsia="en-AU"/>
            </w:rPr>
            <mc:AlternateContent>
              <mc:Choice Requires="wps">
                <w:drawing>
                  <wp:anchor distT="0" distB="0" distL="114300" distR="114300" simplePos="0" relativeHeight="251658752" behindDoc="1" locked="0" layoutInCell="1" allowOverlap="1" wp14:anchorId="2CE6A248" wp14:editId="26EC7229">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FA41AE2" w14:textId="1816EBF2" w:rsidR="00F07AA9" w:rsidRPr="00284719" w:rsidRDefault="00F07A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45B7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6A248"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0FA41AE2" w14:textId="1816EBF2" w:rsidR="00F07AA9" w:rsidRPr="00284719" w:rsidRDefault="00F07A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45B7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6CD55CCD" w14:textId="77777777" w:rsidR="00F07AA9" w:rsidRPr="007500C8" w:rsidRDefault="00F07AA9"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F8E1" w14:textId="77777777" w:rsidR="00F07AA9" w:rsidRDefault="00F07AA9" w:rsidP="007500C8">
    <w:pPr>
      <w:pStyle w:val="Footer"/>
    </w:pPr>
    <w:r>
      <w:rPr>
        <w:noProof/>
      </w:rPr>
      <mc:AlternateContent>
        <mc:Choice Requires="wps">
          <w:drawing>
            <wp:anchor distT="0" distB="0" distL="114300" distR="114300" simplePos="0" relativeHeight="251657728" behindDoc="1" locked="0" layoutInCell="1" allowOverlap="1" wp14:anchorId="57E445BE" wp14:editId="6B54625D">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9C094E3" w14:textId="77777777" w:rsidR="00F07AA9" w:rsidRPr="00284719" w:rsidRDefault="00F07AA9"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445B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39C094E3" w14:textId="77777777" w:rsidR="00F07AA9" w:rsidRPr="00284719" w:rsidRDefault="00F07AA9"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F07AA9" w:rsidRPr="00081794" w14:paraId="2923C8DA" w14:textId="77777777" w:rsidTr="00081794">
      <w:tc>
        <w:tcPr>
          <w:tcW w:w="8472" w:type="dxa"/>
          <w:shd w:val="clear" w:color="auto" w:fill="auto"/>
        </w:tcPr>
        <w:p w14:paraId="3F3681F1" w14:textId="77777777" w:rsidR="00F07AA9" w:rsidRPr="00081794" w:rsidRDefault="00F07AA9" w:rsidP="00102CA6">
          <w:pPr>
            <w:rPr>
              <w:sz w:val="18"/>
            </w:rPr>
          </w:pPr>
        </w:p>
      </w:tc>
    </w:tr>
  </w:tbl>
  <w:p w14:paraId="5CDD25EA" w14:textId="77777777" w:rsidR="00F07AA9" w:rsidRPr="007500C8" w:rsidRDefault="00F07AA9"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C5FD" w14:textId="77777777" w:rsidR="00F07AA9" w:rsidRPr="00ED79B6" w:rsidRDefault="00F07AA9"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F15B" w14:textId="77777777" w:rsidR="00F07AA9" w:rsidRPr="00E2168B" w:rsidRDefault="00F07AA9"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503A" w14:textId="77777777" w:rsidR="00F07AA9" w:rsidRPr="00E33C1C" w:rsidRDefault="00F07AA9"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sidR="00F52169">
      <w:rPr>
        <w:noProof/>
      </w:rPr>
      <w:t>4</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B916" w14:textId="77777777" w:rsidR="00F07AA9" w:rsidRPr="00243EC0" w:rsidRDefault="00F07AA9"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4797" w14:textId="77777777" w:rsidR="00F07AA9" w:rsidRPr="00E33C1C" w:rsidRDefault="00F07AA9"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F07AA9" w:rsidRPr="00081794" w14:paraId="4126B33F" w14:textId="77777777" w:rsidTr="00081794">
      <w:tc>
        <w:tcPr>
          <w:tcW w:w="1384" w:type="dxa"/>
          <w:tcBorders>
            <w:top w:val="nil"/>
            <w:left w:val="nil"/>
            <w:bottom w:val="nil"/>
            <w:right w:val="nil"/>
          </w:tcBorders>
          <w:shd w:val="clear" w:color="auto" w:fill="auto"/>
        </w:tcPr>
        <w:p w14:paraId="44B90EB2" w14:textId="77777777" w:rsidR="00F07AA9" w:rsidRPr="00081794" w:rsidRDefault="00F07AA9" w:rsidP="00081794">
          <w:pPr>
            <w:spacing w:line="0" w:lineRule="atLeast"/>
            <w:rPr>
              <w:sz w:val="18"/>
            </w:rPr>
          </w:pPr>
        </w:p>
      </w:tc>
      <w:tc>
        <w:tcPr>
          <w:tcW w:w="6379" w:type="dxa"/>
          <w:tcBorders>
            <w:top w:val="nil"/>
            <w:left w:val="nil"/>
            <w:bottom w:val="nil"/>
            <w:right w:val="nil"/>
          </w:tcBorders>
          <w:shd w:val="clear" w:color="auto" w:fill="auto"/>
        </w:tcPr>
        <w:p w14:paraId="0A75AE44" w14:textId="1D3EA91F" w:rsidR="00F07AA9" w:rsidRPr="00081794" w:rsidRDefault="00F07AA9"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245B7B">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5FAB13E2" w14:textId="77777777" w:rsidR="00F07AA9" w:rsidRPr="00081794" w:rsidRDefault="00F07AA9"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F07AA9" w:rsidRPr="00081794" w14:paraId="07D85D78"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4B7522E" w14:textId="77777777" w:rsidR="00F07AA9" w:rsidRPr="00081794" w:rsidRDefault="00F07AA9"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12868543" w14:textId="77777777" w:rsidR="00F07AA9" w:rsidRPr="00ED79B6" w:rsidRDefault="00F07AA9"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40028" w14:textId="77777777" w:rsidR="00F07AA9" w:rsidRDefault="00F07AA9" w:rsidP="00715914">
      <w:pPr>
        <w:spacing w:line="240" w:lineRule="auto"/>
      </w:pPr>
      <w:r>
        <w:separator/>
      </w:r>
    </w:p>
  </w:footnote>
  <w:footnote w:type="continuationSeparator" w:id="0">
    <w:p w14:paraId="5056CFA4" w14:textId="77777777" w:rsidR="00F07AA9" w:rsidRDefault="00F07AA9" w:rsidP="00715914">
      <w:pPr>
        <w:spacing w:line="240" w:lineRule="auto"/>
      </w:pPr>
      <w:r>
        <w:continuationSeparator/>
      </w:r>
    </w:p>
  </w:footnote>
  <w:footnote w:type="continuationNotice" w:id="1">
    <w:p w14:paraId="21E4BA49" w14:textId="77777777" w:rsidR="00F07AA9" w:rsidRDefault="00F07A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0F50" w14:textId="77777777" w:rsidR="00F07AA9" w:rsidRPr="005F1388" w:rsidRDefault="00F07AA9" w:rsidP="00715914">
    <w:pPr>
      <w:pStyle w:val="Header"/>
      <w:tabs>
        <w:tab w:val="clear" w:pos="4150"/>
        <w:tab w:val="clear" w:pos="8307"/>
      </w:tabs>
    </w:pPr>
    <w:r>
      <w:rPr>
        <w:noProof/>
      </w:rPr>
      <mc:AlternateContent>
        <mc:Choice Requires="wps">
          <w:drawing>
            <wp:anchor distT="0" distB="0" distL="114300" distR="114300" simplePos="0" relativeHeight="251656704" behindDoc="1" locked="0" layoutInCell="1" allowOverlap="1" wp14:anchorId="35C0D14D" wp14:editId="412A4BDE">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F4E698C" w14:textId="5B830408" w:rsidR="00F07AA9" w:rsidRPr="00284719" w:rsidRDefault="00F07A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45B7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0D14D" id="_x0000_t202" coordsize="21600,21600" o:spt="202" path="m,l,21600r21600,l21600,xe">
              <v:stroke joinstyle="miter"/>
              <v:path gradientshapeok="t" o:connecttype="rect"/>
            </v:shapetype>
            <v:shape id="Text Box 15" o:spid="_x0000_s1026" type="#_x0000_t202" style="position:absolute;margin-left:0;margin-top:11.3pt;width:347.25pt;height:31.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1F4E698C" w14:textId="5B830408" w:rsidR="00F07AA9" w:rsidRPr="00284719" w:rsidRDefault="00F07AA9"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45B7B">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E9C3" w14:textId="77777777" w:rsidR="00F07AA9" w:rsidRPr="00243EC0" w:rsidRDefault="00F07AA9"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7"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521"/>
      <w:gridCol w:w="2126"/>
    </w:tblGrid>
    <w:tr w:rsidR="00F07AA9" w:rsidRPr="00E40FF8" w14:paraId="14217D31" w14:textId="77777777" w:rsidTr="00934E68">
      <w:tc>
        <w:tcPr>
          <w:tcW w:w="6521" w:type="dxa"/>
          <w:shd w:val="clear" w:color="auto" w:fill="auto"/>
        </w:tcPr>
        <w:p w14:paraId="243FA457" w14:textId="0D0AEA5C" w:rsidR="00F07AA9" w:rsidRDefault="00F07AA9" w:rsidP="003D4555">
          <w:pPr>
            <w:pStyle w:val="LI-Header"/>
            <w:pBdr>
              <w:bottom w:val="none" w:sz="0" w:space="0" w:color="auto"/>
            </w:pBdr>
            <w:jc w:val="left"/>
          </w:pPr>
          <w:r>
            <w:t xml:space="preserve">ASIC Corporations (Amendment) Instrument </w:t>
          </w:r>
          <w:r w:rsidR="00F56DE4">
            <w:t>2019/169</w:t>
          </w:r>
        </w:p>
      </w:tc>
      <w:tc>
        <w:tcPr>
          <w:tcW w:w="2126" w:type="dxa"/>
          <w:shd w:val="clear" w:color="auto" w:fill="auto"/>
        </w:tcPr>
        <w:p w14:paraId="38905534" w14:textId="53AEC69C" w:rsidR="00F07AA9" w:rsidRDefault="00F52169" w:rsidP="00934E68">
          <w:pPr>
            <w:pStyle w:val="LI-Header"/>
            <w:pBdr>
              <w:bottom w:val="none" w:sz="0" w:space="0" w:color="auto"/>
            </w:pBdr>
            <w:ind w:left="143"/>
            <w:jc w:val="left"/>
          </w:pPr>
          <w:r>
            <w:rPr>
              <w:noProof/>
            </w:rPr>
            <w:fldChar w:fldCharType="begin"/>
          </w:r>
          <w:r>
            <w:rPr>
              <w:noProof/>
            </w:rPr>
            <w:instrText xml:space="preserve"> STYLEREF  "LI - Heading 1" </w:instrText>
          </w:r>
          <w:r>
            <w:rPr>
              <w:noProof/>
            </w:rPr>
            <w:fldChar w:fldCharType="separate"/>
          </w:r>
          <w:r w:rsidR="00076737">
            <w:rPr>
              <w:noProof/>
            </w:rPr>
            <w:t>Schedule 1—Amendments</w:t>
          </w:r>
          <w:r>
            <w:rPr>
              <w:noProof/>
            </w:rPr>
            <w:fldChar w:fldCharType="end"/>
          </w:r>
        </w:p>
      </w:tc>
    </w:tr>
  </w:tbl>
  <w:p w14:paraId="63CC7759" w14:textId="5737C4D6" w:rsidR="00F07AA9" w:rsidRPr="00F4215A" w:rsidRDefault="00F07AA9"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0611" w14:textId="77777777" w:rsidR="00F07AA9" w:rsidRPr="005F1388" w:rsidRDefault="00F07AA9" w:rsidP="00715914">
    <w:pPr>
      <w:pStyle w:val="Header"/>
      <w:tabs>
        <w:tab w:val="clear" w:pos="4150"/>
        <w:tab w:val="clear" w:pos="8307"/>
      </w:tabs>
    </w:pPr>
    <w:r>
      <w:rPr>
        <w:noProof/>
      </w:rPr>
      <mc:AlternateContent>
        <mc:Choice Requires="wps">
          <w:drawing>
            <wp:anchor distT="0" distB="0" distL="114300" distR="114300" simplePos="0" relativeHeight="251655680" behindDoc="1" locked="0" layoutInCell="1" allowOverlap="1" wp14:anchorId="0EAD55C6" wp14:editId="2AC04367">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60E529A" w14:textId="77777777" w:rsidR="00F07AA9" w:rsidRPr="00284719" w:rsidRDefault="00F07AA9"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D55C6" id="_x0000_t202" coordsize="21600,21600" o:spt="202" path="m,l,21600r21600,l21600,xe">
              <v:stroke joinstyle="miter"/>
              <v:path gradientshapeok="t" o:connecttype="rect"/>
            </v:shapetype>
            <v:shape id="Text Box 14" o:spid="_x0000_s1027" type="#_x0000_t202" style="position:absolute;margin-left:0;margin-top:11.3pt;width:347.25pt;height:31.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460E529A" w14:textId="77777777" w:rsidR="00F07AA9" w:rsidRPr="00284719" w:rsidRDefault="00F07AA9"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4253" w14:textId="48D6B12B" w:rsidR="00F07AA9" w:rsidRPr="005F1388" w:rsidRDefault="00F07AA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D6F86" w14:textId="77777777" w:rsidR="00F07AA9" w:rsidRDefault="00F07AA9"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07AA9" w:rsidRPr="00E40FF8" w14:paraId="0C051E51" w14:textId="77777777" w:rsidTr="00BF75C9">
      <w:tc>
        <w:tcPr>
          <w:tcW w:w="6804" w:type="dxa"/>
          <w:shd w:val="clear" w:color="auto" w:fill="auto"/>
        </w:tcPr>
        <w:p w14:paraId="1611D22F" w14:textId="2D0E7295" w:rsidR="00F07AA9" w:rsidRDefault="00F07AA9" w:rsidP="004373F6">
          <w:pPr>
            <w:pStyle w:val="LI-Header"/>
            <w:pBdr>
              <w:bottom w:val="none" w:sz="0" w:space="0" w:color="auto"/>
            </w:pBdr>
            <w:jc w:val="left"/>
          </w:pPr>
          <w:r>
            <w:t xml:space="preserve">ASIC Corporations (Amendment) Instrument </w:t>
          </w:r>
          <w:r w:rsidR="00F56DE4">
            <w:t>2019/169</w:t>
          </w:r>
          <w:r>
            <w:t xml:space="preserve"> </w:t>
          </w:r>
        </w:p>
      </w:tc>
      <w:tc>
        <w:tcPr>
          <w:tcW w:w="1509" w:type="dxa"/>
          <w:shd w:val="clear" w:color="auto" w:fill="auto"/>
        </w:tcPr>
        <w:p w14:paraId="44B9191C" w14:textId="77777777" w:rsidR="00F07AA9" w:rsidRDefault="00F07AA9" w:rsidP="00E40FF8">
          <w:pPr>
            <w:pStyle w:val="LI-Header"/>
            <w:pBdr>
              <w:bottom w:val="none" w:sz="0" w:space="0" w:color="auto"/>
            </w:pBdr>
          </w:pPr>
        </w:p>
      </w:tc>
    </w:tr>
  </w:tbl>
  <w:p w14:paraId="3B68C66B" w14:textId="77777777" w:rsidR="00F07AA9" w:rsidRPr="008945E0" w:rsidRDefault="00F07AA9"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C82E" w14:textId="77777777" w:rsidR="00F07AA9" w:rsidRPr="00ED79B6" w:rsidRDefault="00F07AA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A198" w14:textId="77777777" w:rsidR="00F07AA9" w:rsidRPr="00243EC0" w:rsidRDefault="00F07AA9"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07AA9" w14:paraId="340E1ACA" w14:textId="77777777" w:rsidTr="00BF75C9">
      <w:tc>
        <w:tcPr>
          <w:tcW w:w="6804" w:type="dxa"/>
          <w:shd w:val="clear" w:color="auto" w:fill="auto"/>
        </w:tcPr>
        <w:p w14:paraId="26043580" w14:textId="45B35317" w:rsidR="00F07AA9" w:rsidRDefault="00F07AA9" w:rsidP="004373F6">
          <w:pPr>
            <w:pStyle w:val="LI-Header"/>
            <w:pBdr>
              <w:bottom w:val="none" w:sz="0" w:space="0" w:color="auto"/>
            </w:pBdr>
            <w:jc w:val="left"/>
          </w:pPr>
          <w:r>
            <w:t xml:space="preserve">ASIC Corporations (Amendment) Instrument </w:t>
          </w:r>
          <w:r w:rsidR="00F56DE4">
            <w:t>2019/169</w:t>
          </w:r>
        </w:p>
      </w:tc>
      <w:tc>
        <w:tcPr>
          <w:tcW w:w="1509" w:type="dxa"/>
          <w:shd w:val="clear" w:color="auto" w:fill="auto"/>
        </w:tcPr>
        <w:p w14:paraId="0A8539FB" w14:textId="426B3E0E" w:rsidR="00F07AA9" w:rsidRDefault="00F52169" w:rsidP="00E40FF8">
          <w:pPr>
            <w:pStyle w:val="LI-Header"/>
            <w:pBdr>
              <w:bottom w:val="none" w:sz="0" w:space="0" w:color="auto"/>
            </w:pBdr>
          </w:pPr>
          <w:r>
            <w:rPr>
              <w:noProof/>
            </w:rPr>
            <w:fldChar w:fldCharType="begin"/>
          </w:r>
          <w:r>
            <w:rPr>
              <w:noProof/>
            </w:rPr>
            <w:instrText xml:space="preserve"> STYLEREF  "LI - Heading 1" </w:instrText>
          </w:r>
          <w:r>
            <w:rPr>
              <w:noProof/>
            </w:rPr>
            <w:fldChar w:fldCharType="separate"/>
          </w:r>
          <w:r w:rsidR="00076737">
            <w:rPr>
              <w:noProof/>
            </w:rPr>
            <w:t>Part 1—Preliminary</w:t>
          </w:r>
          <w:r>
            <w:rPr>
              <w:noProof/>
            </w:rPr>
            <w:fldChar w:fldCharType="end"/>
          </w:r>
        </w:p>
      </w:tc>
    </w:tr>
  </w:tbl>
  <w:p w14:paraId="1C269199" w14:textId="77777777" w:rsidR="00F07AA9" w:rsidRPr="00F4215A" w:rsidRDefault="00F07AA9"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0214" w14:textId="77777777" w:rsidR="00F07AA9" w:rsidRPr="007A1328" w:rsidRDefault="00F07AA9"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6D4BA1"/>
    <w:multiLevelType w:val="hybridMultilevel"/>
    <w:tmpl w:val="FD983BA4"/>
    <w:lvl w:ilvl="0" w:tplc="8C42382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B5315E"/>
    <w:multiLevelType w:val="hybridMultilevel"/>
    <w:tmpl w:val="2E70D862"/>
    <w:lvl w:ilvl="0" w:tplc="0C090017">
      <w:start w:val="1"/>
      <w:numFmt w:val="lowerLetter"/>
      <w:lvlText w:val="%1)"/>
      <w:lvlJc w:val="left"/>
      <w:pPr>
        <w:ind w:left="1287" w:hanging="360"/>
      </w:pPr>
    </w:lvl>
    <w:lvl w:ilvl="1" w:tplc="3BDAA02C">
      <w:start w:val="1"/>
      <w:numFmt w:val="lowerRoman"/>
      <w:lvlText w:val="(%2)"/>
      <w:lvlJc w:val="left"/>
      <w:pPr>
        <w:ind w:left="2007" w:hanging="360"/>
      </w:pPr>
      <w:rPr>
        <w:rFonts w:hint="default"/>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8B36567"/>
    <w:multiLevelType w:val="hybridMultilevel"/>
    <w:tmpl w:val="4D3E97C8"/>
    <w:lvl w:ilvl="0" w:tplc="E5EC2FF6">
      <w:start w:val="1"/>
      <w:numFmt w:val="lowerLetter"/>
      <w:lvlText w:val="(%1)"/>
      <w:lvlJc w:val="left"/>
      <w:pPr>
        <w:ind w:left="2271" w:hanging="57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ED5CDD"/>
    <w:multiLevelType w:val="hybridMultilevel"/>
    <w:tmpl w:val="3724B388"/>
    <w:lvl w:ilvl="0" w:tplc="87787A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F13F0A"/>
    <w:multiLevelType w:val="hybridMultilevel"/>
    <w:tmpl w:val="2B5A70DA"/>
    <w:lvl w:ilvl="0" w:tplc="B1E8BD18">
      <w:start w:val="1"/>
      <w:numFmt w:val="lowerRoman"/>
      <w:lvlText w:val="(%1)"/>
      <w:lvlJc w:val="righ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0" w15:restartNumberingAfterBreak="0">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17"/>
  </w:num>
  <w:num w:numId="15">
    <w:abstractNumId w:val="11"/>
  </w:num>
  <w:num w:numId="16">
    <w:abstractNumId w:val="20"/>
  </w:num>
  <w:num w:numId="17">
    <w:abstractNumId w:val="18"/>
  </w:num>
  <w:num w:numId="18">
    <w:abstractNumId w:val="13"/>
  </w:num>
  <w:num w:numId="19">
    <w:abstractNumId w:val="14"/>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TrueTypeFonts/>
  <w:saveSubsetFonts/>
  <w:hideSpellingErrors/>
  <w:hideGrammaticalErrors/>
  <w:attachedTemplate r:id="rId1"/>
  <w:stylePaneSortMethod w:val="0000"/>
  <w:doNotTrackFormatting/>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A1"/>
    <w:rsid w:val="00004470"/>
    <w:rsid w:val="00005446"/>
    <w:rsid w:val="00007233"/>
    <w:rsid w:val="000136AF"/>
    <w:rsid w:val="00013B8D"/>
    <w:rsid w:val="00023D53"/>
    <w:rsid w:val="00024B3E"/>
    <w:rsid w:val="00024E2B"/>
    <w:rsid w:val="000437C1"/>
    <w:rsid w:val="0005365D"/>
    <w:rsid w:val="000614BF"/>
    <w:rsid w:val="0006250C"/>
    <w:rsid w:val="00076737"/>
    <w:rsid w:val="0007762A"/>
    <w:rsid w:val="00081794"/>
    <w:rsid w:val="000835A5"/>
    <w:rsid w:val="000A0D6F"/>
    <w:rsid w:val="000A1152"/>
    <w:rsid w:val="000A142F"/>
    <w:rsid w:val="000A6C39"/>
    <w:rsid w:val="000B09F9"/>
    <w:rsid w:val="000B2FE3"/>
    <w:rsid w:val="000B58FA"/>
    <w:rsid w:val="000C1383"/>
    <w:rsid w:val="000C4FFB"/>
    <w:rsid w:val="000C55A0"/>
    <w:rsid w:val="000D05EF"/>
    <w:rsid w:val="000E2261"/>
    <w:rsid w:val="000E3C2E"/>
    <w:rsid w:val="000F0C7B"/>
    <w:rsid w:val="000F1671"/>
    <w:rsid w:val="000F1CD2"/>
    <w:rsid w:val="000F21C1"/>
    <w:rsid w:val="000F6D40"/>
    <w:rsid w:val="000F7746"/>
    <w:rsid w:val="00101F32"/>
    <w:rsid w:val="00102307"/>
    <w:rsid w:val="00102CA6"/>
    <w:rsid w:val="00102ED7"/>
    <w:rsid w:val="0010745C"/>
    <w:rsid w:val="00111163"/>
    <w:rsid w:val="001159DA"/>
    <w:rsid w:val="00120985"/>
    <w:rsid w:val="0012599B"/>
    <w:rsid w:val="001276CD"/>
    <w:rsid w:val="001302BA"/>
    <w:rsid w:val="00132B7B"/>
    <w:rsid w:val="00132CEB"/>
    <w:rsid w:val="0013772C"/>
    <w:rsid w:val="00142B62"/>
    <w:rsid w:val="001506AC"/>
    <w:rsid w:val="00151638"/>
    <w:rsid w:val="00157B8B"/>
    <w:rsid w:val="0016018B"/>
    <w:rsid w:val="00162992"/>
    <w:rsid w:val="00166C2F"/>
    <w:rsid w:val="001715A3"/>
    <w:rsid w:val="00171A6E"/>
    <w:rsid w:val="001809D7"/>
    <w:rsid w:val="001850D6"/>
    <w:rsid w:val="001909DD"/>
    <w:rsid w:val="001939E1"/>
    <w:rsid w:val="00194C3E"/>
    <w:rsid w:val="00195382"/>
    <w:rsid w:val="00195A58"/>
    <w:rsid w:val="00195BD4"/>
    <w:rsid w:val="001B154B"/>
    <w:rsid w:val="001C21CE"/>
    <w:rsid w:val="001C4FBE"/>
    <w:rsid w:val="001C61C5"/>
    <w:rsid w:val="001C69C4"/>
    <w:rsid w:val="001C7CD5"/>
    <w:rsid w:val="001D37EF"/>
    <w:rsid w:val="001E0BF5"/>
    <w:rsid w:val="001E3590"/>
    <w:rsid w:val="001E7407"/>
    <w:rsid w:val="001F5655"/>
    <w:rsid w:val="001F5D5E"/>
    <w:rsid w:val="001F6219"/>
    <w:rsid w:val="001F6CD4"/>
    <w:rsid w:val="00206C4D"/>
    <w:rsid w:val="0021053C"/>
    <w:rsid w:val="00215AF1"/>
    <w:rsid w:val="002269E1"/>
    <w:rsid w:val="00230F15"/>
    <w:rsid w:val="002321E8"/>
    <w:rsid w:val="00236D4A"/>
    <w:rsid w:val="00236EEC"/>
    <w:rsid w:val="0024010F"/>
    <w:rsid w:val="00240749"/>
    <w:rsid w:val="00243018"/>
    <w:rsid w:val="00243EC0"/>
    <w:rsid w:val="00244742"/>
    <w:rsid w:val="00245B7B"/>
    <w:rsid w:val="002564A4"/>
    <w:rsid w:val="00256D22"/>
    <w:rsid w:val="002609C4"/>
    <w:rsid w:val="0026736C"/>
    <w:rsid w:val="00272CDD"/>
    <w:rsid w:val="00275FD8"/>
    <w:rsid w:val="00281308"/>
    <w:rsid w:val="00281813"/>
    <w:rsid w:val="00284719"/>
    <w:rsid w:val="00296E29"/>
    <w:rsid w:val="00297ECB"/>
    <w:rsid w:val="002A0AC3"/>
    <w:rsid w:val="002A7BCF"/>
    <w:rsid w:val="002B19F3"/>
    <w:rsid w:val="002B4A0D"/>
    <w:rsid w:val="002B653E"/>
    <w:rsid w:val="002C40C9"/>
    <w:rsid w:val="002C6C1A"/>
    <w:rsid w:val="002D043A"/>
    <w:rsid w:val="002D07D1"/>
    <w:rsid w:val="002D6224"/>
    <w:rsid w:val="002E1474"/>
    <w:rsid w:val="002E3F4B"/>
    <w:rsid w:val="002F4B2D"/>
    <w:rsid w:val="003017B3"/>
    <w:rsid w:val="00304F8B"/>
    <w:rsid w:val="00305AA3"/>
    <w:rsid w:val="00327DDF"/>
    <w:rsid w:val="003354D2"/>
    <w:rsid w:val="00335BC6"/>
    <w:rsid w:val="003415D3"/>
    <w:rsid w:val="00344701"/>
    <w:rsid w:val="00346403"/>
    <w:rsid w:val="00347872"/>
    <w:rsid w:val="003528DA"/>
    <w:rsid w:val="00352B0F"/>
    <w:rsid w:val="00356690"/>
    <w:rsid w:val="00360459"/>
    <w:rsid w:val="00363E9F"/>
    <w:rsid w:val="00365497"/>
    <w:rsid w:val="003708CA"/>
    <w:rsid w:val="00374DDD"/>
    <w:rsid w:val="00387A96"/>
    <w:rsid w:val="00390306"/>
    <w:rsid w:val="003A111C"/>
    <w:rsid w:val="003A2A48"/>
    <w:rsid w:val="003B732F"/>
    <w:rsid w:val="003C2096"/>
    <w:rsid w:val="003C34AE"/>
    <w:rsid w:val="003C6231"/>
    <w:rsid w:val="003D0BFE"/>
    <w:rsid w:val="003D4555"/>
    <w:rsid w:val="003D5700"/>
    <w:rsid w:val="003E0F99"/>
    <w:rsid w:val="003E341B"/>
    <w:rsid w:val="003F388C"/>
    <w:rsid w:val="0040053F"/>
    <w:rsid w:val="004116CD"/>
    <w:rsid w:val="004144EC"/>
    <w:rsid w:val="00417EB9"/>
    <w:rsid w:val="0042116C"/>
    <w:rsid w:val="00424CA9"/>
    <w:rsid w:val="004251C2"/>
    <w:rsid w:val="00431C3B"/>
    <w:rsid w:val="00431E9B"/>
    <w:rsid w:val="004373F6"/>
    <w:rsid w:val="004379E3"/>
    <w:rsid w:val="0044015E"/>
    <w:rsid w:val="0044291A"/>
    <w:rsid w:val="004429D7"/>
    <w:rsid w:val="00444ABD"/>
    <w:rsid w:val="00447DB4"/>
    <w:rsid w:val="004539F1"/>
    <w:rsid w:val="0045688C"/>
    <w:rsid w:val="00460F1D"/>
    <w:rsid w:val="00467661"/>
    <w:rsid w:val="004705B7"/>
    <w:rsid w:val="00472DBE"/>
    <w:rsid w:val="00474A19"/>
    <w:rsid w:val="004823C0"/>
    <w:rsid w:val="0048276B"/>
    <w:rsid w:val="00496B5F"/>
    <w:rsid w:val="00496F97"/>
    <w:rsid w:val="004A44FC"/>
    <w:rsid w:val="004E063A"/>
    <w:rsid w:val="004E3F1B"/>
    <w:rsid w:val="004E5704"/>
    <w:rsid w:val="004E7BEC"/>
    <w:rsid w:val="004F2071"/>
    <w:rsid w:val="0050044F"/>
    <w:rsid w:val="00505D3D"/>
    <w:rsid w:val="00506AF6"/>
    <w:rsid w:val="00516B8D"/>
    <w:rsid w:val="00517E56"/>
    <w:rsid w:val="00522B3F"/>
    <w:rsid w:val="00530968"/>
    <w:rsid w:val="00532049"/>
    <w:rsid w:val="005356A7"/>
    <w:rsid w:val="00537FBC"/>
    <w:rsid w:val="00556934"/>
    <w:rsid w:val="005574D1"/>
    <w:rsid w:val="00565133"/>
    <w:rsid w:val="005657FE"/>
    <w:rsid w:val="00572BB1"/>
    <w:rsid w:val="0057750E"/>
    <w:rsid w:val="00584811"/>
    <w:rsid w:val="00585784"/>
    <w:rsid w:val="005938D2"/>
    <w:rsid w:val="00593AA6"/>
    <w:rsid w:val="00594161"/>
    <w:rsid w:val="00594749"/>
    <w:rsid w:val="005A74B3"/>
    <w:rsid w:val="005A75FD"/>
    <w:rsid w:val="005B1D21"/>
    <w:rsid w:val="005B4067"/>
    <w:rsid w:val="005B780C"/>
    <w:rsid w:val="005C1C22"/>
    <w:rsid w:val="005C3F41"/>
    <w:rsid w:val="005D0489"/>
    <w:rsid w:val="005D2D09"/>
    <w:rsid w:val="005D46F6"/>
    <w:rsid w:val="005E4810"/>
    <w:rsid w:val="005F52D5"/>
    <w:rsid w:val="005F65CD"/>
    <w:rsid w:val="00600219"/>
    <w:rsid w:val="00603DC4"/>
    <w:rsid w:val="00604E20"/>
    <w:rsid w:val="00607A71"/>
    <w:rsid w:val="006111A4"/>
    <w:rsid w:val="0061693F"/>
    <w:rsid w:val="00620076"/>
    <w:rsid w:val="006343E9"/>
    <w:rsid w:val="00640161"/>
    <w:rsid w:val="00647598"/>
    <w:rsid w:val="00652769"/>
    <w:rsid w:val="0065542F"/>
    <w:rsid w:val="006554FF"/>
    <w:rsid w:val="00655874"/>
    <w:rsid w:val="00660DD0"/>
    <w:rsid w:val="006660FF"/>
    <w:rsid w:val="00670EA1"/>
    <w:rsid w:val="0067167D"/>
    <w:rsid w:val="00677CC2"/>
    <w:rsid w:val="00681D6D"/>
    <w:rsid w:val="006905DE"/>
    <w:rsid w:val="0069207B"/>
    <w:rsid w:val="0069394A"/>
    <w:rsid w:val="00696E12"/>
    <w:rsid w:val="006A7F57"/>
    <w:rsid w:val="006B5789"/>
    <w:rsid w:val="006C24B5"/>
    <w:rsid w:val="006C30C5"/>
    <w:rsid w:val="006C48FA"/>
    <w:rsid w:val="006C7F8C"/>
    <w:rsid w:val="006D256B"/>
    <w:rsid w:val="006D2D82"/>
    <w:rsid w:val="006E5320"/>
    <w:rsid w:val="006E6246"/>
    <w:rsid w:val="006F11F9"/>
    <w:rsid w:val="006F318F"/>
    <w:rsid w:val="006F4226"/>
    <w:rsid w:val="006F5EB2"/>
    <w:rsid w:val="006F6CAB"/>
    <w:rsid w:val="0070017E"/>
    <w:rsid w:val="00700B2C"/>
    <w:rsid w:val="007039B3"/>
    <w:rsid w:val="007050A2"/>
    <w:rsid w:val="007078C2"/>
    <w:rsid w:val="00710198"/>
    <w:rsid w:val="00713084"/>
    <w:rsid w:val="00714F20"/>
    <w:rsid w:val="0071590F"/>
    <w:rsid w:val="00715914"/>
    <w:rsid w:val="00722B95"/>
    <w:rsid w:val="00724AEB"/>
    <w:rsid w:val="00726207"/>
    <w:rsid w:val="00730186"/>
    <w:rsid w:val="00731E00"/>
    <w:rsid w:val="00734673"/>
    <w:rsid w:val="00741EE8"/>
    <w:rsid w:val="007440B7"/>
    <w:rsid w:val="007500C8"/>
    <w:rsid w:val="0075106E"/>
    <w:rsid w:val="007532E6"/>
    <w:rsid w:val="00756272"/>
    <w:rsid w:val="007662B5"/>
    <w:rsid w:val="0076681A"/>
    <w:rsid w:val="007715C9"/>
    <w:rsid w:val="00771613"/>
    <w:rsid w:val="00773F8F"/>
    <w:rsid w:val="00774EDD"/>
    <w:rsid w:val="007757EC"/>
    <w:rsid w:val="00783E89"/>
    <w:rsid w:val="00785A9E"/>
    <w:rsid w:val="007875B1"/>
    <w:rsid w:val="007912FD"/>
    <w:rsid w:val="00793915"/>
    <w:rsid w:val="007B4C4F"/>
    <w:rsid w:val="007B6DF6"/>
    <w:rsid w:val="007C2253"/>
    <w:rsid w:val="007C61D2"/>
    <w:rsid w:val="007D230B"/>
    <w:rsid w:val="007E163D"/>
    <w:rsid w:val="007E667A"/>
    <w:rsid w:val="007E6DD7"/>
    <w:rsid w:val="007F28C9"/>
    <w:rsid w:val="007F71CC"/>
    <w:rsid w:val="0080312D"/>
    <w:rsid w:val="00803587"/>
    <w:rsid w:val="008117E9"/>
    <w:rsid w:val="008221DC"/>
    <w:rsid w:val="00824498"/>
    <w:rsid w:val="0082759A"/>
    <w:rsid w:val="00840442"/>
    <w:rsid w:val="008439C8"/>
    <w:rsid w:val="00850F56"/>
    <w:rsid w:val="00851BD6"/>
    <w:rsid w:val="008527C0"/>
    <w:rsid w:val="00855E08"/>
    <w:rsid w:val="00856A31"/>
    <w:rsid w:val="00860B58"/>
    <w:rsid w:val="008628EA"/>
    <w:rsid w:val="00867927"/>
    <w:rsid w:val="00867B37"/>
    <w:rsid w:val="0087000E"/>
    <w:rsid w:val="008754D0"/>
    <w:rsid w:val="00877BCD"/>
    <w:rsid w:val="008855C9"/>
    <w:rsid w:val="00886456"/>
    <w:rsid w:val="008945E0"/>
    <w:rsid w:val="0089527F"/>
    <w:rsid w:val="00896134"/>
    <w:rsid w:val="008A362B"/>
    <w:rsid w:val="008A46E1"/>
    <w:rsid w:val="008A4F43"/>
    <w:rsid w:val="008B01EE"/>
    <w:rsid w:val="008B254C"/>
    <w:rsid w:val="008B2706"/>
    <w:rsid w:val="008B48FD"/>
    <w:rsid w:val="008B642A"/>
    <w:rsid w:val="008B76F9"/>
    <w:rsid w:val="008C0F29"/>
    <w:rsid w:val="008C28AD"/>
    <w:rsid w:val="008D0EE0"/>
    <w:rsid w:val="008D3422"/>
    <w:rsid w:val="008E290E"/>
    <w:rsid w:val="008E531C"/>
    <w:rsid w:val="008E6067"/>
    <w:rsid w:val="008F54E7"/>
    <w:rsid w:val="008F7B19"/>
    <w:rsid w:val="00903422"/>
    <w:rsid w:val="009157B9"/>
    <w:rsid w:val="00915DF9"/>
    <w:rsid w:val="00921CE9"/>
    <w:rsid w:val="009254C3"/>
    <w:rsid w:val="00930A0A"/>
    <w:rsid w:val="00932377"/>
    <w:rsid w:val="00934C45"/>
    <w:rsid w:val="00934E68"/>
    <w:rsid w:val="00943C32"/>
    <w:rsid w:val="0094562B"/>
    <w:rsid w:val="00947D5A"/>
    <w:rsid w:val="009532A5"/>
    <w:rsid w:val="0095528E"/>
    <w:rsid w:val="00962120"/>
    <w:rsid w:val="0096753E"/>
    <w:rsid w:val="00972567"/>
    <w:rsid w:val="00982242"/>
    <w:rsid w:val="0098235D"/>
    <w:rsid w:val="009868E9"/>
    <w:rsid w:val="009944E6"/>
    <w:rsid w:val="009A42A7"/>
    <w:rsid w:val="009A49C9"/>
    <w:rsid w:val="009B02BE"/>
    <w:rsid w:val="009B69D4"/>
    <w:rsid w:val="009C1C85"/>
    <w:rsid w:val="009C5469"/>
    <w:rsid w:val="009D1818"/>
    <w:rsid w:val="009E0B05"/>
    <w:rsid w:val="009E43C7"/>
    <w:rsid w:val="009E50F1"/>
    <w:rsid w:val="009E5CFC"/>
    <w:rsid w:val="009F0047"/>
    <w:rsid w:val="00A079CB"/>
    <w:rsid w:val="00A12128"/>
    <w:rsid w:val="00A12F48"/>
    <w:rsid w:val="00A14EA4"/>
    <w:rsid w:val="00A15512"/>
    <w:rsid w:val="00A20FCE"/>
    <w:rsid w:val="00A22C98"/>
    <w:rsid w:val="00A231E2"/>
    <w:rsid w:val="00A3101A"/>
    <w:rsid w:val="00A33D55"/>
    <w:rsid w:val="00A40424"/>
    <w:rsid w:val="00A52B0F"/>
    <w:rsid w:val="00A5632E"/>
    <w:rsid w:val="00A64912"/>
    <w:rsid w:val="00A70A74"/>
    <w:rsid w:val="00A800A8"/>
    <w:rsid w:val="00A84B2F"/>
    <w:rsid w:val="00A91966"/>
    <w:rsid w:val="00AA66AC"/>
    <w:rsid w:val="00AA671D"/>
    <w:rsid w:val="00AC0886"/>
    <w:rsid w:val="00AC3E7B"/>
    <w:rsid w:val="00AD5315"/>
    <w:rsid w:val="00AD5641"/>
    <w:rsid w:val="00AD7889"/>
    <w:rsid w:val="00AF021B"/>
    <w:rsid w:val="00AF06CF"/>
    <w:rsid w:val="00AF60B4"/>
    <w:rsid w:val="00B065B8"/>
    <w:rsid w:val="00B07CDB"/>
    <w:rsid w:val="00B10D2F"/>
    <w:rsid w:val="00B130CA"/>
    <w:rsid w:val="00B13FD7"/>
    <w:rsid w:val="00B16067"/>
    <w:rsid w:val="00B16A31"/>
    <w:rsid w:val="00B17DFD"/>
    <w:rsid w:val="00B209C2"/>
    <w:rsid w:val="00B26452"/>
    <w:rsid w:val="00B2799D"/>
    <w:rsid w:val="00B308FE"/>
    <w:rsid w:val="00B33709"/>
    <w:rsid w:val="00B33B3C"/>
    <w:rsid w:val="00B3422F"/>
    <w:rsid w:val="00B35670"/>
    <w:rsid w:val="00B445F9"/>
    <w:rsid w:val="00B50ADC"/>
    <w:rsid w:val="00B538C4"/>
    <w:rsid w:val="00B566B1"/>
    <w:rsid w:val="00B63834"/>
    <w:rsid w:val="00B72734"/>
    <w:rsid w:val="00B72CBB"/>
    <w:rsid w:val="00B72D39"/>
    <w:rsid w:val="00B80199"/>
    <w:rsid w:val="00B80708"/>
    <w:rsid w:val="00B82D81"/>
    <w:rsid w:val="00B83204"/>
    <w:rsid w:val="00B874EC"/>
    <w:rsid w:val="00B905B0"/>
    <w:rsid w:val="00BA220B"/>
    <w:rsid w:val="00BA2950"/>
    <w:rsid w:val="00BA2AA6"/>
    <w:rsid w:val="00BA3A57"/>
    <w:rsid w:val="00BB208C"/>
    <w:rsid w:val="00BB4E1A"/>
    <w:rsid w:val="00BB5C17"/>
    <w:rsid w:val="00BC015E"/>
    <w:rsid w:val="00BC7183"/>
    <w:rsid w:val="00BC76AC"/>
    <w:rsid w:val="00BD0ECB"/>
    <w:rsid w:val="00BE2155"/>
    <w:rsid w:val="00BE2213"/>
    <w:rsid w:val="00BE2B92"/>
    <w:rsid w:val="00BE4EA0"/>
    <w:rsid w:val="00BE719A"/>
    <w:rsid w:val="00BE720A"/>
    <w:rsid w:val="00BF0D73"/>
    <w:rsid w:val="00BF2465"/>
    <w:rsid w:val="00BF75C9"/>
    <w:rsid w:val="00C02164"/>
    <w:rsid w:val="00C02D44"/>
    <w:rsid w:val="00C0544A"/>
    <w:rsid w:val="00C06187"/>
    <w:rsid w:val="00C11452"/>
    <w:rsid w:val="00C149D2"/>
    <w:rsid w:val="00C25E7F"/>
    <w:rsid w:val="00C2746F"/>
    <w:rsid w:val="00C278C8"/>
    <w:rsid w:val="00C324A0"/>
    <w:rsid w:val="00C3300F"/>
    <w:rsid w:val="00C35875"/>
    <w:rsid w:val="00C42BF8"/>
    <w:rsid w:val="00C42C54"/>
    <w:rsid w:val="00C45171"/>
    <w:rsid w:val="00C470D0"/>
    <w:rsid w:val="00C479AF"/>
    <w:rsid w:val="00C47A0D"/>
    <w:rsid w:val="00C50043"/>
    <w:rsid w:val="00C50B97"/>
    <w:rsid w:val="00C6434E"/>
    <w:rsid w:val="00C70CA8"/>
    <w:rsid w:val="00C7573B"/>
    <w:rsid w:val="00C7737A"/>
    <w:rsid w:val="00C819CA"/>
    <w:rsid w:val="00C93B92"/>
    <w:rsid w:val="00C93C03"/>
    <w:rsid w:val="00CA10F0"/>
    <w:rsid w:val="00CA3A25"/>
    <w:rsid w:val="00CA66DC"/>
    <w:rsid w:val="00CB1AA8"/>
    <w:rsid w:val="00CB2C8E"/>
    <w:rsid w:val="00CB4E5D"/>
    <w:rsid w:val="00CB602E"/>
    <w:rsid w:val="00CC3EF6"/>
    <w:rsid w:val="00CD1A1B"/>
    <w:rsid w:val="00CD2E90"/>
    <w:rsid w:val="00CE051D"/>
    <w:rsid w:val="00CE1335"/>
    <w:rsid w:val="00CE3D2A"/>
    <w:rsid w:val="00CE493D"/>
    <w:rsid w:val="00CF07FA"/>
    <w:rsid w:val="00CF0A69"/>
    <w:rsid w:val="00CF0BB2"/>
    <w:rsid w:val="00CF3EE8"/>
    <w:rsid w:val="00CF7567"/>
    <w:rsid w:val="00D050E6"/>
    <w:rsid w:val="00D061B6"/>
    <w:rsid w:val="00D13441"/>
    <w:rsid w:val="00D150E7"/>
    <w:rsid w:val="00D255DF"/>
    <w:rsid w:val="00D31550"/>
    <w:rsid w:val="00D32F65"/>
    <w:rsid w:val="00D33B8A"/>
    <w:rsid w:val="00D341C4"/>
    <w:rsid w:val="00D45C57"/>
    <w:rsid w:val="00D52DC2"/>
    <w:rsid w:val="00D53BCC"/>
    <w:rsid w:val="00D6272A"/>
    <w:rsid w:val="00D702DE"/>
    <w:rsid w:val="00D70DFB"/>
    <w:rsid w:val="00D710CE"/>
    <w:rsid w:val="00D73C22"/>
    <w:rsid w:val="00D7567C"/>
    <w:rsid w:val="00D766DF"/>
    <w:rsid w:val="00D82C4F"/>
    <w:rsid w:val="00D93801"/>
    <w:rsid w:val="00DA0085"/>
    <w:rsid w:val="00DA06AF"/>
    <w:rsid w:val="00DA0D6B"/>
    <w:rsid w:val="00DA186E"/>
    <w:rsid w:val="00DA1EE7"/>
    <w:rsid w:val="00DA4116"/>
    <w:rsid w:val="00DA41D5"/>
    <w:rsid w:val="00DA4C54"/>
    <w:rsid w:val="00DA7B63"/>
    <w:rsid w:val="00DB251C"/>
    <w:rsid w:val="00DB3241"/>
    <w:rsid w:val="00DB38AD"/>
    <w:rsid w:val="00DB4530"/>
    <w:rsid w:val="00DB4630"/>
    <w:rsid w:val="00DB692B"/>
    <w:rsid w:val="00DC4445"/>
    <w:rsid w:val="00DC4F88"/>
    <w:rsid w:val="00DE0A07"/>
    <w:rsid w:val="00DE37EA"/>
    <w:rsid w:val="00DE79F9"/>
    <w:rsid w:val="00DE7FEF"/>
    <w:rsid w:val="00E02532"/>
    <w:rsid w:val="00E05704"/>
    <w:rsid w:val="00E06CC3"/>
    <w:rsid w:val="00E11E44"/>
    <w:rsid w:val="00E13AFA"/>
    <w:rsid w:val="00E160FE"/>
    <w:rsid w:val="00E2168B"/>
    <w:rsid w:val="00E21F03"/>
    <w:rsid w:val="00E301C8"/>
    <w:rsid w:val="00E338EF"/>
    <w:rsid w:val="00E40FF8"/>
    <w:rsid w:val="00E44D48"/>
    <w:rsid w:val="00E50FCF"/>
    <w:rsid w:val="00E544BB"/>
    <w:rsid w:val="00E578EC"/>
    <w:rsid w:val="00E60423"/>
    <w:rsid w:val="00E62F35"/>
    <w:rsid w:val="00E661DB"/>
    <w:rsid w:val="00E662CB"/>
    <w:rsid w:val="00E714A4"/>
    <w:rsid w:val="00E74DC7"/>
    <w:rsid w:val="00E8075A"/>
    <w:rsid w:val="00E818A6"/>
    <w:rsid w:val="00E84A26"/>
    <w:rsid w:val="00E86920"/>
    <w:rsid w:val="00E93392"/>
    <w:rsid w:val="00E94D5E"/>
    <w:rsid w:val="00E94F4F"/>
    <w:rsid w:val="00EA139E"/>
    <w:rsid w:val="00EA581A"/>
    <w:rsid w:val="00EA7100"/>
    <w:rsid w:val="00EA7F9F"/>
    <w:rsid w:val="00EB0218"/>
    <w:rsid w:val="00EB1274"/>
    <w:rsid w:val="00EC40B7"/>
    <w:rsid w:val="00EC4757"/>
    <w:rsid w:val="00EC7EDB"/>
    <w:rsid w:val="00ED2BB6"/>
    <w:rsid w:val="00ED34E1"/>
    <w:rsid w:val="00ED3B8D"/>
    <w:rsid w:val="00EE00BA"/>
    <w:rsid w:val="00EE4377"/>
    <w:rsid w:val="00EE72A7"/>
    <w:rsid w:val="00EF2E3A"/>
    <w:rsid w:val="00F02EF9"/>
    <w:rsid w:val="00F072A7"/>
    <w:rsid w:val="00F078DC"/>
    <w:rsid w:val="00F07AA9"/>
    <w:rsid w:val="00F14593"/>
    <w:rsid w:val="00F171A1"/>
    <w:rsid w:val="00F32BA8"/>
    <w:rsid w:val="00F3454F"/>
    <w:rsid w:val="00F349F1"/>
    <w:rsid w:val="00F34D33"/>
    <w:rsid w:val="00F4215A"/>
    <w:rsid w:val="00F4350D"/>
    <w:rsid w:val="00F50532"/>
    <w:rsid w:val="00F52169"/>
    <w:rsid w:val="00F567F7"/>
    <w:rsid w:val="00F56DE4"/>
    <w:rsid w:val="00F60F2F"/>
    <w:rsid w:val="00F61879"/>
    <w:rsid w:val="00F61B09"/>
    <w:rsid w:val="00F62036"/>
    <w:rsid w:val="00F64ED1"/>
    <w:rsid w:val="00F65B52"/>
    <w:rsid w:val="00F67BCA"/>
    <w:rsid w:val="00F71164"/>
    <w:rsid w:val="00F73BD6"/>
    <w:rsid w:val="00F838FB"/>
    <w:rsid w:val="00F83989"/>
    <w:rsid w:val="00F84DE9"/>
    <w:rsid w:val="00F85099"/>
    <w:rsid w:val="00F86B70"/>
    <w:rsid w:val="00F92C6C"/>
    <w:rsid w:val="00F9379C"/>
    <w:rsid w:val="00F9469F"/>
    <w:rsid w:val="00F9632C"/>
    <w:rsid w:val="00FA0A39"/>
    <w:rsid w:val="00FA0F44"/>
    <w:rsid w:val="00FA1E52"/>
    <w:rsid w:val="00FA31DE"/>
    <w:rsid w:val="00FA5C23"/>
    <w:rsid w:val="00FA7D17"/>
    <w:rsid w:val="00FC3EB8"/>
    <w:rsid w:val="00FC7D25"/>
    <w:rsid w:val="00FD15DB"/>
    <w:rsid w:val="00FE4688"/>
    <w:rsid w:val="00FE72D6"/>
    <w:rsid w:val="00FE79D0"/>
    <w:rsid w:val="00FF5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EB17E7"/>
  <w15:docId w15:val="{F9FA0E5C-ECCD-492B-9B0E-D53EF8FD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Default">
    <w:name w:val="Default"/>
    <w:basedOn w:val="Normal"/>
    <w:rsid w:val="00FA0F44"/>
    <w:pPr>
      <w:autoSpaceDE w:val="0"/>
      <w:autoSpaceDN w:val="0"/>
      <w:spacing w:line="240" w:lineRule="auto"/>
    </w:pPr>
    <w:rPr>
      <w:rFonts w:eastAsiaTheme="minorHAnsi"/>
      <w:color w:val="000000"/>
      <w:sz w:val="24"/>
      <w:szCs w:val="24"/>
      <w:lang w:eastAsia="en-AU"/>
    </w:rPr>
  </w:style>
  <w:style w:type="paragraph" w:styleId="FootnoteText">
    <w:name w:val="footnote text"/>
    <w:basedOn w:val="Normal"/>
    <w:link w:val="FootnoteTextChar"/>
    <w:semiHidden/>
    <w:unhideWhenUsed/>
    <w:rsid w:val="007912FD"/>
    <w:pPr>
      <w:spacing w:line="240" w:lineRule="auto"/>
    </w:pPr>
    <w:rPr>
      <w:rFonts w:ascii="Arial" w:eastAsia="Times New Roman" w:hAnsi="Arial" w:cs="Arial"/>
      <w:sz w:val="20"/>
    </w:rPr>
  </w:style>
  <w:style w:type="character" w:customStyle="1" w:styleId="FootnoteTextChar">
    <w:name w:val="Footnote Text Char"/>
    <w:basedOn w:val="DefaultParagraphFont"/>
    <w:link w:val="FootnoteText"/>
    <w:semiHidden/>
    <w:rsid w:val="007912FD"/>
    <w:rPr>
      <w:rFonts w:ascii="Arial" w:eastAsia="Times New Roman" w:hAnsi="Arial" w:cs="Arial"/>
      <w:lang w:eastAsia="en-US"/>
    </w:rPr>
  </w:style>
  <w:style w:type="character" w:styleId="FootnoteReference">
    <w:name w:val="footnote reference"/>
    <w:semiHidden/>
    <w:unhideWhenUsed/>
    <w:rsid w:val="007912FD"/>
    <w:rPr>
      <w:vertAlign w:val="superscript"/>
    </w:rPr>
  </w:style>
  <w:style w:type="paragraph" w:styleId="Revision">
    <w:name w:val="Revision"/>
    <w:hidden/>
    <w:uiPriority w:val="99"/>
    <w:semiHidden/>
    <w:rsid w:val="00272CDD"/>
    <w:rPr>
      <w:sz w:val="22"/>
      <w:lang w:eastAsia="en-US"/>
    </w:rPr>
  </w:style>
  <w:style w:type="paragraph" w:customStyle="1" w:styleId="li-bodytextnumbered0">
    <w:name w:val="li-bodytextnumbered"/>
    <w:basedOn w:val="Normal"/>
    <w:rsid w:val="00BE2B92"/>
    <w:pPr>
      <w:spacing w:before="100" w:beforeAutospacing="1" w:after="100" w:afterAutospacing="1" w:line="240" w:lineRule="auto"/>
    </w:pPr>
    <w:rPr>
      <w:rFonts w:eastAsia="Times New Roman"/>
      <w:sz w:val="24"/>
      <w:szCs w:val="24"/>
      <w:lang w:eastAsia="en-AU"/>
    </w:rPr>
  </w:style>
  <w:style w:type="character" w:customStyle="1" w:styleId="ilfuvd">
    <w:name w:val="ilfuvd"/>
    <w:basedOn w:val="DefaultParagraphFont"/>
    <w:rsid w:val="00BE2B92"/>
  </w:style>
  <w:style w:type="character" w:customStyle="1" w:styleId="st1">
    <w:name w:val="st1"/>
    <w:basedOn w:val="DefaultParagraphFont"/>
    <w:rsid w:val="00BE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63424">
      <w:bodyDiv w:val="1"/>
      <w:marLeft w:val="0"/>
      <w:marRight w:val="0"/>
      <w:marTop w:val="0"/>
      <w:marBottom w:val="0"/>
      <w:divBdr>
        <w:top w:val="none" w:sz="0" w:space="0" w:color="auto"/>
        <w:left w:val="none" w:sz="0" w:space="0" w:color="auto"/>
        <w:bottom w:val="none" w:sz="0" w:space="0" w:color="auto"/>
        <w:right w:val="none" w:sz="0" w:space="0" w:color="auto"/>
      </w:divBdr>
    </w:div>
    <w:div w:id="349532704">
      <w:bodyDiv w:val="1"/>
      <w:marLeft w:val="0"/>
      <w:marRight w:val="0"/>
      <w:marTop w:val="0"/>
      <w:marBottom w:val="0"/>
      <w:divBdr>
        <w:top w:val="none" w:sz="0" w:space="0" w:color="auto"/>
        <w:left w:val="none" w:sz="0" w:space="0" w:color="auto"/>
        <w:bottom w:val="none" w:sz="0" w:space="0" w:color="auto"/>
        <w:right w:val="none" w:sz="0" w:space="0" w:color="auto"/>
      </w:divBdr>
      <w:divsChild>
        <w:div w:id="1620456792">
          <w:marLeft w:val="0"/>
          <w:marRight w:val="0"/>
          <w:marTop w:val="0"/>
          <w:marBottom w:val="0"/>
          <w:divBdr>
            <w:top w:val="none" w:sz="0" w:space="0" w:color="auto"/>
            <w:left w:val="none" w:sz="0" w:space="0" w:color="auto"/>
            <w:bottom w:val="none" w:sz="0" w:space="0" w:color="auto"/>
            <w:right w:val="none" w:sz="0" w:space="0" w:color="auto"/>
          </w:divBdr>
          <w:divsChild>
            <w:div w:id="34040395">
              <w:marLeft w:val="0"/>
              <w:marRight w:val="0"/>
              <w:marTop w:val="0"/>
              <w:marBottom w:val="0"/>
              <w:divBdr>
                <w:top w:val="none" w:sz="0" w:space="0" w:color="auto"/>
                <w:left w:val="none" w:sz="0" w:space="0" w:color="auto"/>
                <w:bottom w:val="none" w:sz="0" w:space="0" w:color="auto"/>
                <w:right w:val="none" w:sz="0" w:space="0" w:color="auto"/>
              </w:divBdr>
              <w:divsChild>
                <w:div w:id="1628049145">
                  <w:marLeft w:val="0"/>
                  <w:marRight w:val="0"/>
                  <w:marTop w:val="0"/>
                  <w:marBottom w:val="0"/>
                  <w:divBdr>
                    <w:top w:val="none" w:sz="0" w:space="0" w:color="auto"/>
                    <w:left w:val="none" w:sz="0" w:space="0" w:color="auto"/>
                    <w:bottom w:val="none" w:sz="0" w:space="0" w:color="auto"/>
                    <w:right w:val="none" w:sz="0" w:space="0" w:color="auto"/>
                  </w:divBdr>
                  <w:divsChild>
                    <w:div w:id="2130004519">
                      <w:marLeft w:val="0"/>
                      <w:marRight w:val="0"/>
                      <w:marTop w:val="0"/>
                      <w:marBottom w:val="0"/>
                      <w:divBdr>
                        <w:top w:val="none" w:sz="0" w:space="0" w:color="auto"/>
                        <w:left w:val="none" w:sz="0" w:space="0" w:color="auto"/>
                        <w:bottom w:val="none" w:sz="0" w:space="0" w:color="auto"/>
                        <w:right w:val="none" w:sz="0" w:space="0" w:color="auto"/>
                      </w:divBdr>
                      <w:divsChild>
                        <w:div w:id="1232737935">
                          <w:marLeft w:val="0"/>
                          <w:marRight w:val="0"/>
                          <w:marTop w:val="0"/>
                          <w:marBottom w:val="0"/>
                          <w:divBdr>
                            <w:top w:val="none" w:sz="0" w:space="0" w:color="auto"/>
                            <w:left w:val="none" w:sz="0" w:space="0" w:color="auto"/>
                            <w:bottom w:val="none" w:sz="0" w:space="0" w:color="auto"/>
                            <w:right w:val="none" w:sz="0" w:space="0" w:color="auto"/>
                          </w:divBdr>
                          <w:divsChild>
                            <w:div w:id="924413841">
                              <w:marLeft w:val="0"/>
                              <w:marRight w:val="0"/>
                              <w:marTop w:val="0"/>
                              <w:marBottom w:val="0"/>
                              <w:divBdr>
                                <w:top w:val="none" w:sz="0" w:space="0" w:color="auto"/>
                                <w:left w:val="none" w:sz="0" w:space="0" w:color="auto"/>
                                <w:bottom w:val="none" w:sz="0" w:space="0" w:color="auto"/>
                                <w:right w:val="none" w:sz="0" w:space="0" w:color="auto"/>
                              </w:divBdr>
                              <w:divsChild>
                                <w:div w:id="615212714">
                                  <w:marLeft w:val="0"/>
                                  <w:marRight w:val="0"/>
                                  <w:marTop w:val="0"/>
                                  <w:marBottom w:val="0"/>
                                  <w:divBdr>
                                    <w:top w:val="none" w:sz="0" w:space="0" w:color="auto"/>
                                    <w:left w:val="none" w:sz="0" w:space="0" w:color="auto"/>
                                    <w:bottom w:val="none" w:sz="0" w:space="0" w:color="auto"/>
                                    <w:right w:val="none" w:sz="0" w:space="0" w:color="auto"/>
                                  </w:divBdr>
                                  <w:divsChild>
                                    <w:div w:id="1933708647">
                                      <w:marLeft w:val="0"/>
                                      <w:marRight w:val="0"/>
                                      <w:marTop w:val="0"/>
                                      <w:marBottom w:val="0"/>
                                      <w:divBdr>
                                        <w:top w:val="none" w:sz="0" w:space="0" w:color="auto"/>
                                        <w:left w:val="none" w:sz="0" w:space="0" w:color="auto"/>
                                        <w:bottom w:val="none" w:sz="0" w:space="0" w:color="auto"/>
                                        <w:right w:val="none" w:sz="0" w:space="0" w:color="auto"/>
                                      </w:divBdr>
                                      <w:divsChild>
                                        <w:div w:id="1314143863">
                                          <w:marLeft w:val="0"/>
                                          <w:marRight w:val="0"/>
                                          <w:marTop w:val="0"/>
                                          <w:marBottom w:val="0"/>
                                          <w:divBdr>
                                            <w:top w:val="none" w:sz="0" w:space="0" w:color="auto"/>
                                            <w:left w:val="none" w:sz="0" w:space="0" w:color="auto"/>
                                            <w:bottom w:val="none" w:sz="0" w:space="0" w:color="auto"/>
                                            <w:right w:val="none" w:sz="0" w:space="0" w:color="auto"/>
                                          </w:divBdr>
                                          <w:divsChild>
                                            <w:div w:id="1607074898">
                                              <w:marLeft w:val="0"/>
                                              <w:marRight w:val="0"/>
                                              <w:marTop w:val="0"/>
                                              <w:marBottom w:val="0"/>
                                              <w:divBdr>
                                                <w:top w:val="none" w:sz="0" w:space="0" w:color="auto"/>
                                                <w:left w:val="none" w:sz="0" w:space="0" w:color="auto"/>
                                                <w:bottom w:val="none" w:sz="0" w:space="0" w:color="auto"/>
                                                <w:right w:val="none" w:sz="0" w:space="0" w:color="auto"/>
                                              </w:divBdr>
                                              <w:divsChild>
                                                <w:div w:id="1484737210">
                                                  <w:marLeft w:val="0"/>
                                                  <w:marRight w:val="0"/>
                                                  <w:marTop w:val="0"/>
                                                  <w:marBottom w:val="0"/>
                                                  <w:divBdr>
                                                    <w:top w:val="none" w:sz="0" w:space="0" w:color="auto"/>
                                                    <w:left w:val="none" w:sz="0" w:space="0" w:color="auto"/>
                                                    <w:bottom w:val="none" w:sz="0" w:space="0" w:color="auto"/>
                                                    <w:right w:val="none" w:sz="0" w:space="0" w:color="auto"/>
                                                  </w:divBdr>
                                                  <w:divsChild>
                                                    <w:div w:id="1032028054">
                                                      <w:marLeft w:val="0"/>
                                                      <w:marRight w:val="0"/>
                                                      <w:marTop w:val="0"/>
                                                      <w:marBottom w:val="0"/>
                                                      <w:divBdr>
                                                        <w:top w:val="none" w:sz="0" w:space="0" w:color="auto"/>
                                                        <w:left w:val="none" w:sz="0" w:space="0" w:color="auto"/>
                                                        <w:bottom w:val="none" w:sz="0" w:space="0" w:color="auto"/>
                                                        <w:right w:val="none" w:sz="0" w:space="0" w:color="auto"/>
                                                      </w:divBdr>
                                                      <w:divsChild>
                                                        <w:div w:id="4260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06035">
      <w:bodyDiv w:val="1"/>
      <w:marLeft w:val="0"/>
      <w:marRight w:val="0"/>
      <w:marTop w:val="0"/>
      <w:marBottom w:val="0"/>
      <w:divBdr>
        <w:top w:val="none" w:sz="0" w:space="0" w:color="auto"/>
        <w:left w:val="none" w:sz="0" w:space="0" w:color="auto"/>
        <w:bottom w:val="none" w:sz="0" w:space="0" w:color="auto"/>
        <w:right w:val="none" w:sz="0" w:space="0" w:color="auto"/>
      </w:divBdr>
    </w:div>
    <w:div w:id="19944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omlaw.gov.au"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R20190001558459</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beb4cffa-a87e-476d-882d-4d3866992d4f">
      <Value>6</Value>
    </TaxCatchAll>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bdf3bab5a81c426f8b5cbfa0265a271c xmlns="beb4cffa-a87e-476d-882d-4d3866992d4f">
      <Terms xmlns="http://schemas.microsoft.com/office/infopath/2007/PartnerControls"/>
    </bdf3bab5a81c426f8b5cbfa0265a271c>
    <IconOverlay xmlns="http://schemas.microsoft.com/sharepoint/v4" xsi:nil="true"/>
    <h347d40a5eb44329a0cf7599459f5873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3145-EB79-4E54-BD26-F3BCB0BD0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2C892-D292-4999-ADB7-A0E4683A53DF}">
  <ds:schemaRefs>
    <ds:schemaRef ds:uri="http://schemas.microsoft.com/sharepoint/v3/contenttype/forms"/>
  </ds:schemaRefs>
</ds:datastoreItem>
</file>

<file path=customXml/itemProps3.xml><?xml version="1.0" encoding="utf-8"?>
<ds:datastoreItem xmlns:ds="http://schemas.openxmlformats.org/officeDocument/2006/customXml" ds:itemID="{B6AC271B-3F60-472E-9C7A-EE0971CD3CC3}">
  <ds:schemaRefs>
    <ds:schemaRef ds:uri="http://purl.org/dc/elements/1.1/"/>
    <ds:schemaRef ds:uri="http://www.w3.org/XML/1998/namespace"/>
    <ds:schemaRef ds:uri="http://schemas.microsoft.com/office/2006/metadata/properties"/>
    <ds:schemaRef ds:uri="http://purl.org/dc/dcmitype/"/>
    <ds:schemaRef ds:uri="http://purl.org/dc/terms/"/>
    <ds:schemaRef ds:uri="http://schemas.microsoft.com/sharepoint/v4"/>
    <ds:schemaRef ds:uri="http://schemas.openxmlformats.org/package/2006/metadata/core-properties"/>
    <ds:schemaRef ds:uri="http://schemas.microsoft.com/office/2006/documentManagement/types"/>
    <ds:schemaRef ds:uri="17f478ab-373e-4295-9ff0-9b833ad01319"/>
    <ds:schemaRef ds:uri="http://schemas.microsoft.com/office/infopath/2007/PartnerControls"/>
    <ds:schemaRef ds:uri="beb4cffa-a87e-476d-882d-4d3866992d4f"/>
    <ds:schemaRef ds:uri="da7a9ac0-bc47-4684-84e6-3a8e9ac80c12"/>
  </ds:schemaRefs>
</ds:datastoreItem>
</file>

<file path=customXml/itemProps4.xml><?xml version="1.0" encoding="utf-8"?>
<ds:datastoreItem xmlns:ds="http://schemas.openxmlformats.org/officeDocument/2006/customXml" ds:itemID="{841FE8CE-8A42-4E79-B884-24E40A7D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873</Words>
  <Characters>4980</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ASIC Corporations (Derivative Transaction Reporting) Amendment Instrument 2016</vt:lpstr>
    </vt:vector>
  </TitlesOfParts>
  <Manager>Alex Orgaz-Barnier</Manager>
  <Company>ASIC</Company>
  <LinksUpToDate>false</LinksUpToDate>
  <CharactersWithSpaces>5842</CharactersWithSpaces>
  <SharedDoc>false</SharedDoc>
  <HyperlinkBase/>
  <HLinks>
    <vt:vector size="48" baseType="variant">
      <vt:variant>
        <vt:i4>6160468</vt:i4>
      </vt:variant>
      <vt:variant>
        <vt:i4>45</vt:i4>
      </vt:variant>
      <vt:variant>
        <vt:i4>0</vt:i4>
      </vt:variant>
      <vt:variant>
        <vt:i4>5</vt:i4>
      </vt:variant>
      <vt:variant>
        <vt:lpwstr>http://www.comlaw.gov.au/</vt:lpwstr>
      </vt:variant>
      <vt:variant>
        <vt:lpwstr/>
      </vt:variant>
      <vt:variant>
        <vt:i4>1310774</vt:i4>
      </vt:variant>
      <vt:variant>
        <vt:i4>38</vt:i4>
      </vt:variant>
      <vt:variant>
        <vt:i4>0</vt:i4>
      </vt:variant>
      <vt:variant>
        <vt:i4>5</vt:i4>
      </vt:variant>
      <vt:variant>
        <vt:lpwstr/>
      </vt:variant>
      <vt:variant>
        <vt:lpwstr>_Toc432087871</vt:lpwstr>
      </vt:variant>
      <vt:variant>
        <vt:i4>1310774</vt:i4>
      </vt:variant>
      <vt:variant>
        <vt:i4>32</vt:i4>
      </vt:variant>
      <vt:variant>
        <vt:i4>0</vt:i4>
      </vt:variant>
      <vt:variant>
        <vt:i4>5</vt:i4>
      </vt:variant>
      <vt:variant>
        <vt:lpwstr/>
      </vt:variant>
      <vt:variant>
        <vt:lpwstr>_Toc432087870</vt:lpwstr>
      </vt:variant>
      <vt:variant>
        <vt:i4>1376310</vt:i4>
      </vt:variant>
      <vt:variant>
        <vt:i4>26</vt:i4>
      </vt:variant>
      <vt:variant>
        <vt:i4>0</vt:i4>
      </vt:variant>
      <vt:variant>
        <vt:i4>5</vt:i4>
      </vt:variant>
      <vt:variant>
        <vt:lpwstr/>
      </vt:variant>
      <vt:variant>
        <vt:lpwstr>_Toc432087869</vt:lpwstr>
      </vt:variant>
      <vt:variant>
        <vt:i4>1376310</vt:i4>
      </vt:variant>
      <vt:variant>
        <vt:i4>20</vt:i4>
      </vt:variant>
      <vt:variant>
        <vt:i4>0</vt:i4>
      </vt:variant>
      <vt:variant>
        <vt:i4>5</vt:i4>
      </vt:variant>
      <vt:variant>
        <vt:lpwstr/>
      </vt:variant>
      <vt:variant>
        <vt:lpwstr>_Toc432087868</vt:lpwstr>
      </vt:variant>
      <vt:variant>
        <vt:i4>1376310</vt:i4>
      </vt:variant>
      <vt:variant>
        <vt:i4>14</vt:i4>
      </vt:variant>
      <vt:variant>
        <vt:i4>0</vt:i4>
      </vt:variant>
      <vt:variant>
        <vt:i4>5</vt:i4>
      </vt:variant>
      <vt:variant>
        <vt:lpwstr/>
      </vt:variant>
      <vt:variant>
        <vt:lpwstr>_Toc432087867</vt:lpwstr>
      </vt:variant>
      <vt:variant>
        <vt:i4>1376310</vt:i4>
      </vt:variant>
      <vt:variant>
        <vt:i4>8</vt:i4>
      </vt:variant>
      <vt:variant>
        <vt:i4>0</vt:i4>
      </vt:variant>
      <vt:variant>
        <vt:i4>5</vt:i4>
      </vt:variant>
      <vt:variant>
        <vt:lpwstr/>
      </vt:variant>
      <vt:variant>
        <vt:lpwstr>_Toc432087866</vt:lpwstr>
      </vt:variant>
      <vt:variant>
        <vt:i4>1376310</vt:i4>
      </vt:variant>
      <vt:variant>
        <vt:i4>2</vt:i4>
      </vt:variant>
      <vt:variant>
        <vt:i4>0</vt:i4>
      </vt:variant>
      <vt:variant>
        <vt:i4>5</vt:i4>
      </vt:variant>
      <vt:variant>
        <vt:lpwstr/>
      </vt:variant>
      <vt:variant>
        <vt:lpwstr>_Toc432087865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Corporations (Derivative Transaction Reporting) Amendment Instrument 2016</dc:title>
  <dc:subject>Class Order Relief for Trade Reporting Entities</dc:subject>
  <dc:creator>Ben Durnford</dc:creator>
  <cp:keywords>Deferral of UTI reporting</cp:keywords>
  <cp:lastModifiedBy>Michael Cleland</cp:lastModifiedBy>
  <cp:revision>2</cp:revision>
  <cp:lastPrinted>2019-02-20T23:27:00Z</cp:lastPrinted>
  <dcterms:created xsi:type="dcterms:W3CDTF">2019-03-11T22:40:00Z</dcterms:created>
  <dcterms:modified xsi:type="dcterms:W3CDTF">2019-03-11T22:40:00Z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A4621547</vt:lpwstr>
  </property>
  <property fmtid="{D5CDD505-2E9C-101B-9397-08002B2CF9AE}" pid="20" name="Objective-Title">
    <vt:lpwstr>Phase 3B reporting deferral - class order 14 - 0633 amendment</vt:lpwstr>
  </property>
  <property fmtid="{D5CDD505-2E9C-101B-9397-08002B2CF9AE}" pid="21" name="Objective-Comment">
    <vt:lpwstr/>
  </property>
  <property fmtid="{D5CDD505-2E9C-101B-9397-08002B2CF9AE}" pid="22" name="Objective-CreationStamp">
    <vt:filetime>2015-10-08T06:39:40Z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2015-10-08T07:47:16Z</vt:filetime>
  </property>
  <property fmtid="{D5CDD505-2E9C-101B-9397-08002B2CF9AE}" pid="27" name="Objective-Owner">
    <vt:lpwstr>Rhonda.Luo</vt:lpwstr>
  </property>
  <property fmtid="{D5CDD505-2E9C-101B-9397-08002B2CF9AE}" pid="28" name="Objective-Path">
    <vt:lpwstr>BCS:ASIC:POLICY &amp; REGULATORY FRAMEWORK:Policy Development:Markets:G20 OTC Derivative Reforms:Trade reporting (DTRs):Relief Applications:Phase 3B relief application - October 2015:</vt:lpwstr>
  </property>
  <property fmtid="{D5CDD505-2E9C-101B-9397-08002B2CF9AE}" pid="29" name="Objective-Parent">
    <vt:lpwstr>Phase 3B relief application - October 2015</vt:lpwstr>
  </property>
  <property fmtid="{D5CDD505-2E9C-101B-9397-08002B2CF9AE}" pid="30" name="Objective-State">
    <vt:lpwstr>Being Drafted</vt:lpwstr>
  </property>
  <property fmtid="{D5CDD505-2E9C-101B-9397-08002B2CF9AE}" pid="31" name="Objective-Version">
    <vt:lpwstr>0.2</vt:lpwstr>
  </property>
  <property fmtid="{D5CDD505-2E9C-101B-9397-08002B2CF9AE}" pid="32" name="Objective-VersionNumber">
    <vt:i4>2</vt:i4>
  </property>
  <property fmtid="{D5CDD505-2E9C-101B-9397-08002B2CF9AE}" pid="33" name="Objective-VersionComment">
    <vt:lpwstr>Version 2</vt:lpwstr>
  </property>
  <property fmtid="{D5CDD505-2E9C-101B-9397-08002B2CF9AE}" pid="34" name="Objective-FileNumber">
    <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ContentTypeId">
    <vt:lpwstr>0x010100B5F685A1365F544391EF8C813B164F3A82009F3E422DF83A794B8899A9A539F2255A</vt:lpwstr>
  </property>
  <property fmtid="{D5CDD505-2E9C-101B-9397-08002B2CF9AE}" pid="39" name="SecurityClassification">
    <vt:lpwstr>6;#Sensitive|19fd2cb8-3e97-4464-ae71-8c2c2095d028</vt:lpwstr>
  </property>
  <property fmtid="{D5CDD505-2E9C-101B-9397-08002B2CF9AE}" pid="40" name="PolicyWorkDocumentType">
    <vt:lpwstr/>
  </property>
  <property fmtid="{D5CDD505-2E9C-101B-9397-08002B2CF9AE}" pid="41" name="RecordPoint_WorkflowType">
    <vt:lpwstr>ActiveSubmitStub</vt:lpwstr>
  </property>
  <property fmtid="{D5CDD505-2E9C-101B-9397-08002B2CF9AE}" pid="42" name="RecordPoint_ActiveItemWebId">
    <vt:lpwstr>{beb4cffa-a87e-476d-882d-4d3866992d4f}</vt:lpwstr>
  </property>
  <property fmtid="{D5CDD505-2E9C-101B-9397-08002B2CF9AE}" pid="43" name="RecordPoint_ActiveItemSiteId">
    <vt:lpwstr>{17c60cf1-008c-4115-82e5-e12b1392a9ba}</vt:lpwstr>
  </property>
  <property fmtid="{D5CDD505-2E9C-101B-9397-08002B2CF9AE}" pid="44" name="RecordPoint_ActiveItemListId">
    <vt:lpwstr>{eff5351a-b648-4586-ad2b-124cbe458711}</vt:lpwstr>
  </property>
  <property fmtid="{D5CDD505-2E9C-101B-9397-08002B2CF9AE}" pid="45" name="RecordPoint_ActiveItemUniqueId">
    <vt:lpwstr>{89f998c5-6a09-4ad8-aad4-38b73a0f8b6e}</vt:lpwstr>
  </property>
  <property fmtid="{D5CDD505-2E9C-101B-9397-08002B2CF9AE}" pid="46" name="RecordPoint_RecordNumberSubmitted">
    <vt:lpwstr>R20190001558459</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bdf3bab5a81c426f8b5cbfa0265a271c">
    <vt:lpwstr/>
  </property>
  <property fmtid="{D5CDD505-2E9C-101B-9397-08002B2CF9AE}" pid="51" name="Order">
    <vt:r8>8500</vt:r8>
  </property>
  <property fmtid="{D5CDD505-2E9C-101B-9397-08002B2CF9AE}" pid="52" name="RecordPoint_SubmissionCompleted">
    <vt:lpwstr>2019-03-11T09:00:54.8181421+11:00</vt:lpwstr>
  </property>
</Properties>
</file>