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70995" w:rsidRPr="00370995" w:rsidRDefault="00370995" w:rsidP="00370995">
      <w:pPr>
        <w:shd w:val="clear" w:color="auto" w:fill="FFFFFF"/>
        <w:spacing w:after="240" w:line="240" w:lineRule="auto"/>
        <w:jc w:val="center"/>
        <w:rPr>
          <w:rFonts w:eastAsia="Times New Roman" w:cstheme="minorHAnsi"/>
          <w:b/>
          <w:bCs/>
          <w:color w:val="000000"/>
          <w:sz w:val="28"/>
          <w:szCs w:val="28"/>
          <w:lang w:eastAsia="en-AU"/>
        </w:rPr>
      </w:pPr>
      <w:r w:rsidRPr="00370995">
        <w:rPr>
          <w:rFonts w:eastAsia="Times New Roman" w:cstheme="minorHAnsi"/>
          <w:b/>
          <w:bCs/>
          <w:color w:val="000000"/>
          <w:sz w:val="28"/>
          <w:szCs w:val="28"/>
          <w:lang w:eastAsia="en-AU"/>
        </w:rPr>
        <w:t>Explanatory Statement</w:t>
      </w:r>
    </w:p>
    <w:p w:rsidR="00370995" w:rsidRPr="00370995" w:rsidRDefault="00BE20B8" w:rsidP="00370995">
      <w:pPr>
        <w:shd w:val="clear" w:color="auto" w:fill="FFFFFF"/>
        <w:spacing w:after="240" w:line="240" w:lineRule="auto"/>
        <w:jc w:val="center"/>
        <w:rPr>
          <w:rFonts w:eastAsia="Times New Roman" w:cstheme="minorHAnsi"/>
          <w:color w:val="000000"/>
          <w:sz w:val="28"/>
          <w:szCs w:val="28"/>
          <w:lang w:eastAsia="en-AU"/>
        </w:rPr>
      </w:pPr>
      <w:r>
        <w:rPr>
          <w:rFonts w:eastAsia="Times New Roman" w:cstheme="minorHAnsi"/>
          <w:b/>
          <w:bCs/>
          <w:color w:val="000000"/>
          <w:sz w:val="28"/>
          <w:szCs w:val="28"/>
          <w:lang w:eastAsia="en-AU"/>
        </w:rPr>
        <w:t>Director-General</w:t>
      </w:r>
      <w:r w:rsidR="0065711F">
        <w:rPr>
          <w:rFonts w:eastAsia="Times New Roman" w:cstheme="minorHAnsi"/>
          <w:b/>
          <w:bCs/>
          <w:color w:val="000000"/>
          <w:sz w:val="28"/>
          <w:szCs w:val="28"/>
          <w:lang w:eastAsia="en-AU"/>
        </w:rPr>
        <w:t xml:space="preserve"> Notice – Prohibition of Entry</w:t>
      </w:r>
      <w:r>
        <w:rPr>
          <w:rFonts w:eastAsia="Times New Roman" w:cstheme="minorHAnsi"/>
          <w:b/>
          <w:bCs/>
          <w:color w:val="000000"/>
          <w:sz w:val="28"/>
          <w:szCs w:val="28"/>
          <w:lang w:eastAsia="en-AU"/>
        </w:rPr>
        <w:t xml:space="preserve"> Notice</w:t>
      </w:r>
      <w:r w:rsidR="001B4262">
        <w:rPr>
          <w:rFonts w:eastAsia="Times New Roman" w:cstheme="minorHAnsi"/>
          <w:b/>
          <w:bCs/>
          <w:color w:val="000000"/>
          <w:sz w:val="28"/>
          <w:szCs w:val="28"/>
          <w:lang w:eastAsia="en-AU"/>
        </w:rPr>
        <w:t xml:space="preserve"> 2019</w:t>
      </w:r>
    </w:p>
    <w:p w:rsidR="002C23EA" w:rsidRDefault="002C23EA" w:rsidP="002C23EA">
      <w:pPr>
        <w:pStyle w:val="Heading3"/>
        <w:rPr>
          <w:rFonts w:asciiTheme="minorHAnsi" w:eastAsiaTheme="minorHAnsi" w:hAnsiTheme="minorHAnsi" w:cstheme="minorHAnsi"/>
          <w:sz w:val="22"/>
          <w:szCs w:val="22"/>
        </w:rPr>
      </w:pPr>
    </w:p>
    <w:p w:rsidR="00370995" w:rsidRPr="002C23EA" w:rsidRDefault="001B4262" w:rsidP="002C23EA">
      <w:pPr>
        <w:pStyle w:val="Heading3"/>
        <w:rPr>
          <w:rFonts w:ascii="Calibri" w:hAnsi="Calibri" w:cs="Calibri"/>
          <w:color w:val="000000"/>
          <w:lang w:eastAsia="en-AU"/>
        </w:rPr>
      </w:pPr>
      <w:r w:rsidRPr="002C23EA">
        <w:rPr>
          <w:rFonts w:asciiTheme="minorHAnsi" w:eastAsiaTheme="minorHAnsi" w:hAnsiTheme="minorHAnsi" w:cstheme="minorHAnsi"/>
          <w:sz w:val="22"/>
          <w:szCs w:val="22"/>
        </w:rPr>
        <w:t>Authority</w:t>
      </w:r>
      <w:r w:rsidRPr="002C23EA">
        <w:rPr>
          <w:rFonts w:ascii="Calibri" w:hAnsi="Calibri" w:cs="Calibri"/>
          <w:bCs/>
          <w:color w:val="000000"/>
          <w:lang w:eastAsia="en-AU"/>
        </w:rPr>
        <w:t xml:space="preserve"> for making the instrument</w:t>
      </w:r>
    </w:p>
    <w:p w:rsidR="00370995" w:rsidRPr="00370995" w:rsidRDefault="001B4262" w:rsidP="00370995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000000"/>
          <w:lang w:eastAsia="en-AU"/>
        </w:rPr>
      </w:pPr>
      <w:r>
        <w:rPr>
          <w:rFonts w:ascii="Calibri" w:eastAsia="Times New Roman" w:hAnsi="Calibri" w:cs="Calibri"/>
          <w:color w:val="000000"/>
          <w:lang w:eastAsia="en-AU"/>
        </w:rPr>
        <w:t>This instrument is made under se</w:t>
      </w:r>
      <w:r w:rsidR="00370995" w:rsidRPr="00370995">
        <w:rPr>
          <w:rFonts w:ascii="Calibri" w:eastAsia="Times New Roman" w:hAnsi="Calibri" w:cs="Calibri"/>
          <w:color w:val="000000"/>
          <w:lang w:eastAsia="en-AU"/>
        </w:rPr>
        <w:t xml:space="preserve">ction </w:t>
      </w:r>
      <w:r>
        <w:rPr>
          <w:rFonts w:ascii="Calibri" w:eastAsia="Times New Roman" w:hAnsi="Calibri" w:cs="Calibri"/>
          <w:color w:val="000000"/>
          <w:lang w:eastAsia="en-AU"/>
        </w:rPr>
        <w:t>20</w:t>
      </w:r>
      <w:r w:rsidR="00370995" w:rsidRPr="00370995">
        <w:rPr>
          <w:rFonts w:ascii="Calibri" w:eastAsia="Times New Roman" w:hAnsi="Calibri" w:cs="Calibri"/>
          <w:color w:val="000000"/>
          <w:lang w:eastAsia="en-AU"/>
        </w:rPr>
        <w:t xml:space="preserve"> of the </w:t>
      </w:r>
      <w:r w:rsidR="00BE20B8">
        <w:rPr>
          <w:rFonts w:ascii="Calibri" w:eastAsia="Times New Roman" w:hAnsi="Calibri" w:cs="Calibri"/>
          <w:i/>
          <w:iCs/>
          <w:color w:val="000000"/>
          <w:lang w:eastAsia="en-AU"/>
        </w:rPr>
        <w:t>National Library Regulations 2018</w:t>
      </w:r>
      <w:r>
        <w:rPr>
          <w:rFonts w:ascii="Calibri" w:eastAsia="Times New Roman" w:hAnsi="Calibri" w:cs="Calibri"/>
          <w:i/>
          <w:iCs/>
          <w:color w:val="000000"/>
          <w:lang w:eastAsia="en-AU"/>
        </w:rPr>
        <w:t xml:space="preserve">.  </w:t>
      </w:r>
    </w:p>
    <w:p w:rsidR="00370995" w:rsidRPr="002C23EA" w:rsidRDefault="001B4262" w:rsidP="002C23EA">
      <w:pPr>
        <w:pStyle w:val="Heading3"/>
        <w:rPr>
          <w:rFonts w:asciiTheme="minorHAnsi" w:eastAsiaTheme="minorHAnsi" w:hAnsiTheme="minorHAnsi" w:cstheme="minorHAnsi"/>
          <w:sz w:val="22"/>
          <w:szCs w:val="22"/>
        </w:rPr>
      </w:pPr>
      <w:r w:rsidRPr="002C23EA">
        <w:rPr>
          <w:rFonts w:asciiTheme="minorHAnsi" w:eastAsiaTheme="minorHAnsi" w:hAnsiTheme="minorHAnsi" w:cstheme="minorHAnsi"/>
          <w:sz w:val="22"/>
          <w:szCs w:val="22"/>
        </w:rPr>
        <w:t>Purpose and operation of the instrument</w:t>
      </w:r>
    </w:p>
    <w:p w:rsidR="00516F35" w:rsidRPr="00370995" w:rsidRDefault="001B4262" w:rsidP="00947461">
      <w:pPr>
        <w:shd w:val="clear" w:color="auto" w:fill="FFFFFF"/>
        <w:spacing w:after="240" w:line="240" w:lineRule="auto"/>
        <w:rPr>
          <w:rFonts w:ascii="Calibri" w:eastAsia="Times New Roman" w:hAnsi="Calibri" w:cs="Calibri"/>
          <w:color w:val="000000"/>
          <w:lang w:eastAsia="en-AU"/>
        </w:rPr>
      </w:pPr>
      <w:r>
        <w:rPr>
          <w:rFonts w:ascii="Calibri" w:eastAsia="Times New Roman" w:hAnsi="Calibri" w:cs="Calibri"/>
          <w:color w:val="000000"/>
          <w:lang w:eastAsia="en-AU"/>
        </w:rPr>
        <w:t xml:space="preserve">The instrument prohibits entry to the National Library of Australia, or various areas of the Library outside of opening hours, with the exception of attending approved events.  </w:t>
      </w:r>
      <w:r w:rsidR="00516F35">
        <w:rPr>
          <w:rFonts w:ascii="Calibri" w:eastAsia="Times New Roman" w:hAnsi="Calibri" w:cs="Calibri"/>
          <w:color w:val="000000"/>
          <w:lang w:eastAsia="en-AU"/>
        </w:rPr>
        <w:t xml:space="preserve">The instrument is necessary to </w:t>
      </w:r>
      <w:r w:rsidR="006E6C4D">
        <w:rPr>
          <w:rFonts w:ascii="Calibri" w:eastAsia="Times New Roman" w:hAnsi="Calibri" w:cs="Calibri"/>
          <w:color w:val="000000"/>
          <w:lang w:eastAsia="en-AU"/>
        </w:rPr>
        <w:t>ensure</w:t>
      </w:r>
      <w:r w:rsidR="00516F35">
        <w:rPr>
          <w:rFonts w:ascii="Calibri" w:eastAsia="Times New Roman" w:hAnsi="Calibri" w:cs="Calibri"/>
          <w:color w:val="000000"/>
          <w:lang w:eastAsia="en-AU"/>
        </w:rPr>
        <w:t xml:space="preserve"> the safety of the</w:t>
      </w:r>
      <w:r w:rsidR="006E6C4D">
        <w:rPr>
          <w:rFonts w:ascii="Calibri" w:eastAsia="Times New Roman" w:hAnsi="Calibri" w:cs="Calibri"/>
          <w:color w:val="000000"/>
          <w:lang w:eastAsia="en-AU"/>
        </w:rPr>
        <w:t xml:space="preserve"> Library’s</w:t>
      </w:r>
      <w:r w:rsidR="00516F35">
        <w:rPr>
          <w:rFonts w:ascii="Calibri" w:eastAsia="Times New Roman" w:hAnsi="Calibri" w:cs="Calibri"/>
          <w:color w:val="000000"/>
          <w:lang w:eastAsia="en-AU"/>
        </w:rPr>
        <w:t xml:space="preserve"> collection</w:t>
      </w:r>
      <w:r w:rsidR="006E6C4D">
        <w:rPr>
          <w:rFonts w:ascii="Calibri" w:eastAsia="Times New Roman" w:hAnsi="Calibri" w:cs="Calibri"/>
          <w:color w:val="000000"/>
          <w:lang w:eastAsia="en-AU"/>
        </w:rPr>
        <w:t xml:space="preserve"> assets and the safety of people</w:t>
      </w:r>
      <w:r w:rsidR="00516F35">
        <w:rPr>
          <w:rFonts w:ascii="Calibri" w:eastAsia="Times New Roman" w:hAnsi="Calibri" w:cs="Calibri"/>
          <w:color w:val="000000"/>
          <w:lang w:eastAsia="en-AU"/>
        </w:rPr>
        <w:t xml:space="preserve">.  Opening hours </w:t>
      </w:r>
      <w:r w:rsidR="00DE20B6">
        <w:rPr>
          <w:rFonts w:ascii="Calibri" w:eastAsia="Times New Roman" w:hAnsi="Calibri" w:cs="Calibri"/>
          <w:color w:val="000000"/>
          <w:lang w:eastAsia="en-AU"/>
        </w:rPr>
        <w:t>may</w:t>
      </w:r>
      <w:r w:rsidR="000C6326">
        <w:rPr>
          <w:rFonts w:ascii="Calibri" w:eastAsia="Times New Roman" w:hAnsi="Calibri" w:cs="Calibri"/>
          <w:color w:val="000000"/>
          <w:lang w:eastAsia="en-AU"/>
        </w:rPr>
        <w:t xml:space="preserve"> be</w:t>
      </w:r>
      <w:r w:rsidR="00516F35">
        <w:rPr>
          <w:rFonts w:ascii="Calibri" w:eastAsia="Times New Roman" w:hAnsi="Calibri" w:cs="Calibri"/>
          <w:color w:val="000000"/>
          <w:lang w:eastAsia="en-AU"/>
        </w:rPr>
        <w:t xml:space="preserve"> adjusted in accordance with operational needs, for example to extend opening hours to the Exhibitions Rooms for various Exhibitions.  </w:t>
      </w:r>
    </w:p>
    <w:p w:rsidR="00370995" w:rsidRDefault="001B4262" w:rsidP="002C23EA">
      <w:pPr>
        <w:pStyle w:val="Heading3"/>
        <w:rPr>
          <w:rFonts w:ascii="Calibri" w:hAnsi="Calibri" w:cs="Calibri"/>
          <w:b w:val="0"/>
          <w:bCs/>
          <w:color w:val="000000"/>
          <w:lang w:eastAsia="en-AU"/>
        </w:rPr>
      </w:pPr>
      <w:r w:rsidRPr="002C23EA">
        <w:rPr>
          <w:rFonts w:asciiTheme="minorHAnsi" w:eastAsiaTheme="minorHAnsi" w:hAnsiTheme="minorHAnsi" w:cstheme="minorHAnsi"/>
          <w:sz w:val="22"/>
          <w:szCs w:val="22"/>
        </w:rPr>
        <w:t>Consultation</w:t>
      </w:r>
    </w:p>
    <w:p w:rsidR="00DE20B6" w:rsidRPr="00F13B0E" w:rsidRDefault="00F13B0E" w:rsidP="002C23EA">
      <w:pPr>
        <w:spacing w:before="120" w:after="120" w:line="240" w:lineRule="auto"/>
        <w:rPr>
          <w:rFonts w:ascii="Calibri" w:hAnsi="Calibri" w:cs="Calibri"/>
          <w:color w:val="000000"/>
          <w:shd w:val="clear" w:color="auto" w:fill="FFFFFF"/>
        </w:rPr>
      </w:pPr>
      <w:r>
        <w:rPr>
          <w:rFonts w:ascii="Calibri" w:hAnsi="Calibri" w:cs="Calibri"/>
          <w:color w:val="000000"/>
          <w:shd w:val="clear" w:color="auto" w:fill="FFFFFF"/>
        </w:rPr>
        <w:t>C</w:t>
      </w:r>
      <w:r w:rsidRPr="002C23EA">
        <w:rPr>
          <w:rFonts w:ascii="Calibri" w:hAnsi="Calibri" w:cs="Calibri"/>
          <w:color w:val="000000"/>
          <w:shd w:val="clear" w:color="auto" w:fill="FFFFFF"/>
        </w:rPr>
        <w:t>onsultation</w:t>
      </w:r>
      <w:r>
        <w:rPr>
          <w:rFonts w:ascii="Calibri" w:eastAsia="Times New Roman" w:hAnsi="Calibri" w:cs="Calibri"/>
          <w:bCs/>
          <w:color w:val="000000"/>
          <w:lang w:eastAsia="en-AU"/>
        </w:rPr>
        <w:t xml:space="preserve"> was not undertaken in relation to this instrument as it was considered of a ‘minor or machinery nature’ and does not substantially alter existing arrangements</w:t>
      </w:r>
      <w:r>
        <w:rPr>
          <w:rFonts w:ascii="Calibri" w:hAnsi="Calibri" w:cs="Calibri"/>
          <w:color w:val="000000"/>
          <w:shd w:val="clear" w:color="auto" w:fill="FFFFFF"/>
        </w:rPr>
        <w:t xml:space="preserve"> </w:t>
      </w:r>
      <w:bookmarkStart w:id="0" w:name="_GoBack"/>
      <w:bookmarkEnd w:id="0"/>
      <w:r w:rsidR="000C6326">
        <w:rPr>
          <w:rFonts w:ascii="Calibri" w:eastAsia="Times New Roman" w:hAnsi="Calibri" w:cs="Calibri"/>
          <w:bCs/>
          <w:color w:val="000000"/>
          <w:lang w:eastAsia="en-AU"/>
        </w:rPr>
        <w:t>under which</w:t>
      </w:r>
      <w:r w:rsidR="00DE20B6">
        <w:rPr>
          <w:rFonts w:ascii="Calibri" w:eastAsia="Times New Roman" w:hAnsi="Calibri" w:cs="Calibri"/>
          <w:bCs/>
          <w:color w:val="000000"/>
          <w:lang w:eastAsia="en-AU"/>
        </w:rPr>
        <w:t xml:space="preserve"> limits</w:t>
      </w:r>
      <w:r w:rsidR="000C6326">
        <w:rPr>
          <w:rFonts w:ascii="Calibri" w:eastAsia="Times New Roman" w:hAnsi="Calibri" w:cs="Calibri"/>
          <w:bCs/>
          <w:color w:val="000000"/>
          <w:lang w:eastAsia="en-AU"/>
        </w:rPr>
        <w:t xml:space="preserve"> access to the Library to the opening hours specified within a notice issued by the Director-General under the </w:t>
      </w:r>
      <w:r w:rsidR="000C6326">
        <w:rPr>
          <w:rFonts w:ascii="Calibri" w:eastAsia="Times New Roman" w:hAnsi="Calibri" w:cs="Calibri"/>
          <w:bCs/>
          <w:i/>
          <w:color w:val="000000"/>
          <w:lang w:eastAsia="en-AU"/>
        </w:rPr>
        <w:t>National Library Regulations 1994</w:t>
      </w:r>
      <w:r w:rsidR="000C6326">
        <w:rPr>
          <w:rFonts w:ascii="Calibri" w:eastAsia="Times New Roman" w:hAnsi="Calibri" w:cs="Calibri"/>
          <w:bCs/>
          <w:color w:val="000000"/>
          <w:lang w:eastAsia="en-AU"/>
        </w:rPr>
        <w:t xml:space="preserve">.  </w:t>
      </w:r>
      <w:r w:rsidR="00DE20B6">
        <w:rPr>
          <w:rFonts w:ascii="Calibri" w:eastAsia="Times New Roman" w:hAnsi="Calibri" w:cs="Calibri"/>
          <w:bCs/>
          <w:color w:val="000000"/>
          <w:lang w:eastAsia="en-AU"/>
        </w:rPr>
        <w:t xml:space="preserve">Prohibition periods, which are outside Library published opening hours, will be equally applied to all members of the community and therefore will not </w:t>
      </w:r>
      <w:r w:rsidR="004275B2">
        <w:rPr>
          <w:rFonts w:ascii="Calibri" w:eastAsia="Times New Roman" w:hAnsi="Calibri" w:cs="Calibri"/>
          <w:bCs/>
          <w:color w:val="000000"/>
          <w:lang w:eastAsia="en-AU"/>
        </w:rPr>
        <w:t xml:space="preserve">advantage or </w:t>
      </w:r>
      <w:r w:rsidR="00DE20B6">
        <w:rPr>
          <w:rFonts w:ascii="Calibri" w:eastAsia="Times New Roman" w:hAnsi="Calibri" w:cs="Calibri"/>
          <w:bCs/>
          <w:color w:val="000000"/>
          <w:lang w:eastAsia="en-AU"/>
        </w:rPr>
        <w:t xml:space="preserve">disadvantage any particular sections of the community.  The Library considers that all members of the community </w:t>
      </w:r>
      <w:r w:rsidR="0061248D">
        <w:rPr>
          <w:rFonts w:ascii="Calibri" w:eastAsia="Times New Roman" w:hAnsi="Calibri" w:cs="Calibri"/>
          <w:bCs/>
          <w:color w:val="000000"/>
          <w:lang w:eastAsia="en-AU"/>
        </w:rPr>
        <w:t>will</w:t>
      </w:r>
      <w:r w:rsidR="00DE20B6">
        <w:rPr>
          <w:rFonts w:ascii="Calibri" w:eastAsia="Times New Roman" w:hAnsi="Calibri" w:cs="Calibri"/>
          <w:bCs/>
          <w:color w:val="000000"/>
          <w:lang w:eastAsia="en-AU"/>
        </w:rPr>
        <w:t xml:space="preserve"> have a reasonable expectation that entry </w:t>
      </w:r>
      <w:r w:rsidR="0061248D">
        <w:rPr>
          <w:rFonts w:ascii="Calibri" w:eastAsia="Times New Roman" w:hAnsi="Calibri" w:cs="Calibri"/>
          <w:bCs/>
          <w:color w:val="000000"/>
          <w:lang w:eastAsia="en-AU"/>
        </w:rPr>
        <w:t>will</w:t>
      </w:r>
      <w:r w:rsidR="00DE20B6">
        <w:rPr>
          <w:rFonts w:ascii="Calibri" w:eastAsia="Times New Roman" w:hAnsi="Calibri" w:cs="Calibri"/>
          <w:bCs/>
          <w:color w:val="000000"/>
          <w:lang w:eastAsia="en-AU"/>
        </w:rPr>
        <w:t xml:space="preserve"> not be permitted outside opening hours.</w:t>
      </w:r>
    </w:p>
    <w:p w:rsidR="001B4262" w:rsidRPr="00736D3D" w:rsidRDefault="001B4262" w:rsidP="001B4262">
      <w:pPr>
        <w:pStyle w:val="Heading2"/>
        <w:jc w:val="left"/>
        <w:rPr>
          <w:rFonts w:asciiTheme="minorHAnsi" w:eastAsiaTheme="minorHAnsi" w:hAnsiTheme="minorHAnsi" w:cstheme="minorHAnsi"/>
          <w:sz w:val="24"/>
          <w:szCs w:val="24"/>
        </w:rPr>
      </w:pPr>
      <w:r w:rsidRPr="00736D3D">
        <w:rPr>
          <w:rFonts w:asciiTheme="minorHAnsi" w:eastAsiaTheme="minorHAnsi" w:hAnsiTheme="minorHAnsi" w:cstheme="minorHAnsi"/>
          <w:sz w:val="24"/>
          <w:szCs w:val="24"/>
        </w:rPr>
        <w:t>Statement of Compatibility with Human Rights</w:t>
      </w:r>
    </w:p>
    <w:p w:rsidR="001B4262" w:rsidRPr="001D5966" w:rsidRDefault="001B4262" w:rsidP="001B4262">
      <w:pPr>
        <w:spacing w:before="120" w:after="120" w:line="240" w:lineRule="auto"/>
        <w:rPr>
          <w:rFonts w:cstheme="minorHAnsi"/>
        </w:rPr>
      </w:pPr>
      <w:r w:rsidRPr="001D5966">
        <w:rPr>
          <w:rFonts w:cstheme="minorHAnsi"/>
          <w:i/>
        </w:rPr>
        <w:t>Prepared in accordance with Part 3 of the Human Rights (Parliamentary Scrutiny) Act 2011</w:t>
      </w:r>
    </w:p>
    <w:p w:rsidR="001B4262" w:rsidRPr="001D5966" w:rsidRDefault="001B4262" w:rsidP="001B4262">
      <w:pPr>
        <w:spacing w:before="120" w:after="120" w:line="240" w:lineRule="auto"/>
        <w:rPr>
          <w:rFonts w:cstheme="minorHAnsi"/>
        </w:rPr>
      </w:pPr>
      <w:r w:rsidRPr="001D5966">
        <w:rPr>
          <w:rFonts w:cstheme="minorHAnsi"/>
        </w:rPr>
        <w:t xml:space="preserve">This Legislative Instrument is compatible with the human rights and freedoms recognised or declared in the international instruments listed in section 3 of the </w:t>
      </w:r>
      <w:r w:rsidRPr="001D5966">
        <w:rPr>
          <w:rFonts w:cstheme="minorHAnsi"/>
          <w:i/>
        </w:rPr>
        <w:t>Human Rights (Parliamentary Scrutiny) Act 2011</w:t>
      </w:r>
      <w:r w:rsidRPr="001D5966">
        <w:rPr>
          <w:rFonts w:cstheme="minorHAnsi"/>
        </w:rPr>
        <w:t>.</w:t>
      </w:r>
    </w:p>
    <w:p w:rsidR="001B4262" w:rsidRPr="001D5966" w:rsidRDefault="001B4262" w:rsidP="001B4262">
      <w:pPr>
        <w:pStyle w:val="Heading3"/>
        <w:rPr>
          <w:rFonts w:asciiTheme="minorHAnsi" w:eastAsiaTheme="minorHAnsi" w:hAnsiTheme="minorHAnsi" w:cstheme="minorHAnsi"/>
          <w:sz w:val="22"/>
          <w:szCs w:val="22"/>
        </w:rPr>
      </w:pPr>
      <w:r w:rsidRPr="001D5966">
        <w:rPr>
          <w:rFonts w:asciiTheme="minorHAnsi" w:eastAsiaTheme="minorHAnsi" w:hAnsiTheme="minorHAnsi" w:cstheme="minorHAnsi"/>
          <w:sz w:val="22"/>
          <w:szCs w:val="22"/>
        </w:rPr>
        <w:t>Overview of the Legislative Instrument</w:t>
      </w:r>
    </w:p>
    <w:p w:rsidR="001B4262" w:rsidRPr="001D5966" w:rsidRDefault="001B4262" w:rsidP="001B4262">
      <w:pPr>
        <w:spacing w:before="120" w:after="120" w:line="240" w:lineRule="auto"/>
        <w:rPr>
          <w:rFonts w:cstheme="minorHAnsi"/>
        </w:rPr>
      </w:pPr>
      <w:r>
        <w:rPr>
          <w:rFonts w:ascii="Calibri" w:hAnsi="Calibri" w:cs="Calibri"/>
          <w:color w:val="000000"/>
          <w:shd w:val="clear" w:color="auto" w:fill="FFFFFF"/>
        </w:rPr>
        <w:t xml:space="preserve">Section </w:t>
      </w:r>
      <w:r>
        <w:rPr>
          <w:rFonts w:ascii="Calibri" w:eastAsia="Times New Roman" w:hAnsi="Calibri" w:cs="Calibri"/>
          <w:color w:val="000000"/>
          <w:lang w:eastAsia="en-AU"/>
        </w:rPr>
        <w:t>20</w:t>
      </w:r>
      <w:r w:rsidRPr="00370995">
        <w:rPr>
          <w:rFonts w:ascii="Calibri" w:eastAsia="Times New Roman" w:hAnsi="Calibri" w:cs="Calibri"/>
          <w:color w:val="000000"/>
          <w:lang w:eastAsia="en-AU"/>
        </w:rPr>
        <w:t xml:space="preserve"> of the </w:t>
      </w:r>
      <w:r>
        <w:rPr>
          <w:rFonts w:ascii="Calibri" w:eastAsia="Times New Roman" w:hAnsi="Calibri" w:cs="Calibri"/>
          <w:i/>
          <w:iCs/>
          <w:color w:val="000000"/>
          <w:lang w:eastAsia="en-AU"/>
        </w:rPr>
        <w:t xml:space="preserve">National Library Regulations 2018 </w:t>
      </w:r>
      <w:r>
        <w:rPr>
          <w:rFonts w:ascii="Calibri" w:eastAsia="Times New Roman" w:hAnsi="Calibri" w:cs="Calibri"/>
          <w:iCs/>
          <w:color w:val="000000"/>
          <w:lang w:eastAsia="en-AU"/>
        </w:rPr>
        <w:t>provide</w:t>
      </w:r>
      <w:r w:rsidR="00EB5ABC">
        <w:rPr>
          <w:rFonts w:ascii="Calibri" w:eastAsia="Times New Roman" w:hAnsi="Calibri" w:cs="Calibri"/>
          <w:iCs/>
          <w:color w:val="000000"/>
          <w:lang w:eastAsia="en-AU"/>
        </w:rPr>
        <w:t>s</w:t>
      </w:r>
      <w:r>
        <w:rPr>
          <w:rFonts w:ascii="Calibri" w:eastAsia="Times New Roman" w:hAnsi="Calibri" w:cs="Calibri"/>
          <w:iCs/>
          <w:color w:val="000000"/>
          <w:lang w:eastAsia="en-AU"/>
        </w:rPr>
        <w:t xml:space="preserve"> the Director-General authority </w:t>
      </w:r>
      <w:r w:rsidR="00EB5ABC">
        <w:rPr>
          <w:rFonts w:ascii="Calibri" w:hAnsi="Calibri" w:cs="Calibri"/>
          <w:color w:val="000000"/>
          <w:shd w:val="clear" w:color="auto" w:fill="FFFFFF"/>
        </w:rPr>
        <w:t>to issue a notice that specifies a prohibition or restriction relating to Library property</w:t>
      </w:r>
      <w:r>
        <w:rPr>
          <w:rFonts w:ascii="Calibri" w:hAnsi="Calibri" w:cs="Calibri"/>
          <w:color w:val="000000"/>
          <w:shd w:val="clear" w:color="auto" w:fill="FFFFFF"/>
        </w:rPr>
        <w:t>.</w:t>
      </w:r>
      <w:r w:rsidR="00EB5ABC">
        <w:rPr>
          <w:rFonts w:ascii="Calibri" w:hAnsi="Calibri" w:cs="Calibri"/>
          <w:color w:val="000000"/>
          <w:shd w:val="clear" w:color="auto" w:fill="FFFFFF"/>
        </w:rPr>
        <w:t xml:space="preserve">  The instrument </w:t>
      </w:r>
      <w:r w:rsidR="00EB5ABC" w:rsidRPr="00EB5ABC">
        <w:rPr>
          <w:rFonts w:ascii="Calibri" w:hAnsi="Calibri" w:cs="Calibri"/>
          <w:color w:val="000000"/>
          <w:shd w:val="clear" w:color="auto" w:fill="FFFFFF"/>
        </w:rPr>
        <w:t>provides for the prohibition of entry to the National Library of Australia outside of opening hours</w:t>
      </w:r>
      <w:r w:rsidR="00DE20B6">
        <w:rPr>
          <w:rFonts w:ascii="Calibri" w:hAnsi="Calibri" w:cs="Calibri"/>
          <w:color w:val="000000"/>
          <w:shd w:val="clear" w:color="auto" w:fill="FFFFFF"/>
        </w:rPr>
        <w:t>,</w:t>
      </w:r>
      <w:r w:rsidR="00EB5ABC" w:rsidRPr="00EB5ABC">
        <w:rPr>
          <w:rFonts w:ascii="Calibri" w:hAnsi="Calibri" w:cs="Calibri"/>
          <w:color w:val="000000"/>
          <w:shd w:val="clear" w:color="auto" w:fill="FFFFFF"/>
        </w:rPr>
        <w:t xml:space="preserve"> with the exception of attendance at approved events that are held outside of opening hours.</w:t>
      </w:r>
      <w:r w:rsidR="00EB5ABC">
        <w:rPr>
          <w:i/>
          <w:iCs/>
        </w:rPr>
        <w:t xml:space="preserve">   </w:t>
      </w:r>
    </w:p>
    <w:p w:rsidR="001B4262" w:rsidRPr="001D5966" w:rsidRDefault="001B4262" w:rsidP="001B4262">
      <w:pPr>
        <w:pStyle w:val="Heading3"/>
        <w:rPr>
          <w:rFonts w:asciiTheme="minorHAnsi" w:eastAsiaTheme="minorHAnsi" w:hAnsiTheme="minorHAnsi" w:cstheme="minorHAnsi"/>
          <w:sz w:val="22"/>
          <w:szCs w:val="22"/>
        </w:rPr>
      </w:pPr>
      <w:r w:rsidRPr="001D5966">
        <w:rPr>
          <w:rFonts w:asciiTheme="minorHAnsi" w:eastAsiaTheme="minorHAnsi" w:hAnsiTheme="minorHAnsi" w:cstheme="minorHAnsi"/>
          <w:sz w:val="22"/>
          <w:szCs w:val="22"/>
        </w:rPr>
        <w:t>Human rights implications</w:t>
      </w:r>
    </w:p>
    <w:p w:rsidR="001B4262" w:rsidRPr="001D5966" w:rsidRDefault="001B4262" w:rsidP="001B4262">
      <w:pPr>
        <w:spacing w:before="120" w:after="120" w:line="240" w:lineRule="auto"/>
        <w:rPr>
          <w:rFonts w:cstheme="minorHAnsi"/>
        </w:rPr>
      </w:pPr>
      <w:r w:rsidRPr="001D5966">
        <w:rPr>
          <w:rFonts w:cstheme="minorHAnsi"/>
        </w:rPr>
        <w:t xml:space="preserve">This Legislative Instrument </w:t>
      </w:r>
      <w:r w:rsidR="00EB5ABC">
        <w:rPr>
          <w:rFonts w:cstheme="minorHAnsi"/>
        </w:rPr>
        <w:t xml:space="preserve">regulates access to the National Library of Australia and therefore </w:t>
      </w:r>
      <w:r w:rsidRPr="001D5966">
        <w:rPr>
          <w:rFonts w:cstheme="minorHAnsi"/>
        </w:rPr>
        <w:t>engage</w:t>
      </w:r>
      <w:r w:rsidR="00EB5ABC">
        <w:rPr>
          <w:rFonts w:cstheme="minorHAnsi"/>
        </w:rPr>
        <w:t>s in the human right to enjoy and benefit from culture.</w:t>
      </w:r>
      <w:r w:rsidR="00BC3FC1">
        <w:rPr>
          <w:rFonts w:cstheme="minorHAnsi"/>
        </w:rPr>
        <w:t xml:space="preserve">  </w:t>
      </w:r>
      <w:r w:rsidR="00BC3FC1" w:rsidRPr="00BC3FC1">
        <w:rPr>
          <w:rFonts w:cstheme="minorHAnsi"/>
        </w:rPr>
        <w:t xml:space="preserve">Article 15 of </w:t>
      </w:r>
      <w:r w:rsidR="00BC3FC1">
        <w:rPr>
          <w:rFonts w:cstheme="minorHAnsi"/>
          <w:i/>
        </w:rPr>
        <w:t>International Covenant on Economic, Social and Cultural Rights</w:t>
      </w:r>
      <w:r w:rsidR="00BC3FC1" w:rsidRPr="00BC3FC1">
        <w:rPr>
          <w:rFonts w:cstheme="minorHAnsi"/>
        </w:rPr>
        <w:t xml:space="preserve"> protects the right of all persons to take part in cultural life and to enjoy the benefits of scientific progress and its applications</w:t>
      </w:r>
      <w:r w:rsidR="00BC3FC1">
        <w:rPr>
          <w:rFonts w:cstheme="minorHAnsi"/>
        </w:rPr>
        <w:t>.</w:t>
      </w:r>
      <w:r w:rsidR="00EB5ABC">
        <w:rPr>
          <w:rFonts w:cstheme="minorHAnsi"/>
        </w:rPr>
        <w:t xml:space="preserve"> </w:t>
      </w:r>
      <w:r w:rsidR="002C23EA">
        <w:rPr>
          <w:rFonts w:cstheme="minorHAnsi"/>
        </w:rPr>
        <w:t xml:space="preserve">  To ensure safety of individuals and security of the collection, </w:t>
      </w:r>
      <w:r w:rsidR="00BC3FC1">
        <w:rPr>
          <w:rFonts w:cstheme="minorHAnsi"/>
        </w:rPr>
        <w:t>prohibiting</w:t>
      </w:r>
      <w:r w:rsidR="002C23EA">
        <w:rPr>
          <w:rFonts w:cstheme="minorHAnsi"/>
        </w:rPr>
        <w:t xml:space="preserve"> access to the Library </w:t>
      </w:r>
      <w:r w:rsidR="00BC3FC1">
        <w:rPr>
          <w:rFonts w:cstheme="minorHAnsi"/>
        </w:rPr>
        <w:t>outside</w:t>
      </w:r>
      <w:r w:rsidR="002C23EA">
        <w:rPr>
          <w:rFonts w:cstheme="minorHAnsi"/>
        </w:rPr>
        <w:t xml:space="preserve"> opening hours is appropriate, and compatible with human rights. </w:t>
      </w:r>
      <w:r w:rsidR="00EB5ABC">
        <w:rPr>
          <w:rFonts w:cstheme="minorHAnsi"/>
        </w:rPr>
        <w:t xml:space="preserve"> </w:t>
      </w:r>
      <w:r w:rsidRPr="001D5966">
        <w:rPr>
          <w:rFonts w:cstheme="minorHAnsi"/>
        </w:rPr>
        <w:t xml:space="preserve"> </w:t>
      </w:r>
    </w:p>
    <w:p w:rsidR="001B4262" w:rsidRPr="001D5966" w:rsidRDefault="001B4262" w:rsidP="001B4262">
      <w:pPr>
        <w:pStyle w:val="Heading3"/>
        <w:rPr>
          <w:rFonts w:asciiTheme="minorHAnsi" w:eastAsiaTheme="minorHAnsi" w:hAnsiTheme="minorHAnsi" w:cstheme="minorHAnsi"/>
          <w:sz w:val="22"/>
          <w:szCs w:val="22"/>
        </w:rPr>
      </w:pPr>
      <w:r w:rsidRPr="001D5966">
        <w:rPr>
          <w:rFonts w:asciiTheme="minorHAnsi" w:eastAsiaTheme="minorHAnsi" w:hAnsiTheme="minorHAnsi" w:cstheme="minorHAnsi"/>
          <w:sz w:val="22"/>
          <w:szCs w:val="22"/>
        </w:rPr>
        <w:t>Conclusion</w:t>
      </w:r>
    </w:p>
    <w:p w:rsidR="000C6326" w:rsidRDefault="001B4262" w:rsidP="00736D3D">
      <w:pPr>
        <w:spacing w:before="120" w:after="120" w:line="240" w:lineRule="auto"/>
        <w:rPr>
          <w:rFonts w:cstheme="minorHAnsi"/>
        </w:rPr>
      </w:pPr>
      <w:r w:rsidRPr="001D5966">
        <w:rPr>
          <w:rFonts w:cstheme="minorHAnsi"/>
        </w:rPr>
        <w:t>This Legislative Instrument is compatible with human rights.</w:t>
      </w:r>
    </w:p>
    <w:p w:rsidR="000C6326" w:rsidRDefault="000C6326" w:rsidP="00736D3D">
      <w:pPr>
        <w:spacing w:before="120" w:after="120" w:line="240" w:lineRule="auto"/>
        <w:rPr>
          <w:rFonts w:cstheme="minorHAnsi"/>
        </w:rPr>
      </w:pPr>
    </w:p>
    <w:p w:rsidR="001D5966" w:rsidRPr="00903C48" w:rsidRDefault="001B4262" w:rsidP="00903C48">
      <w:pPr>
        <w:jc w:val="right"/>
        <w:rPr>
          <w:rFonts w:cstheme="minorHAnsi"/>
          <w:b/>
        </w:rPr>
      </w:pPr>
      <w:r>
        <w:rPr>
          <w:rFonts w:cstheme="minorHAnsi"/>
        </w:rPr>
        <w:lastRenderedPageBreak/>
        <w:t xml:space="preserve">As approved by Dr Marie-Louise Ayres, Director-General on </w:t>
      </w:r>
      <w:r w:rsidR="000C6326">
        <w:rPr>
          <w:rFonts w:cstheme="minorHAnsi"/>
        </w:rPr>
        <w:t>2</w:t>
      </w:r>
      <w:r w:rsidR="00903C48">
        <w:rPr>
          <w:rFonts w:cstheme="minorHAnsi"/>
        </w:rPr>
        <w:t>6</w:t>
      </w:r>
      <w:r w:rsidR="000C6326">
        <w:rPr>
          <w:rFonts w:cstheme="minorHAnsi"/>
        </w:rPr>
        <w:t xml:space="preserve"> June</w:t>
      </w:r>
      <w:r>
        <w:rPr>
          <w:rFonts w:cstheme="minorHAnsi"/>
        </w:rPr>
        <w:t xml:space="preserve"> 2019</w:t>
      </w:r>
    </w:p>
    <w:sectPr w:rsidR="001D5966" w:rsidRPr="00903C4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70995"/>
    <w:rsid w:val="000370D0"/>
    <w:rsid w:val="000C6326"/>
    <w:rsid w:val="001B4262"/>
    <w:rsid w:val="001D5966"/>
    <w:rsid w:val="002C23EA"/>
    <w:rsid w:val="003445EB"/>
    <w:rsid w:val="00370995"/>
    <w:rsid w:val="004275B2"/>
    <w:rsid w:val="00432CF8"/>
    <w:rsid w:val="00516F35"/>
    <w:rsid w:val="005A35B1"/>
    <w:rsid w:val="0061248D"/>
    <w:rsid w:val="0065711F"/>
    <w:rsid w:val="006E6C4D"/>
    <w:rsid w:val="00736D3D"/>
    <w:rsid w:val="007968E2"/>
    <w:rsid w:val="00903C48"/>
    <w:rsid w:val="00947461"/>
    <w:rsid w:val="00A0099E"/>
    <w:rsid w:val="00BC3FC1"/>
    <w:rsid w:val="00BE20B8"/>
    <w:rsid w:val="00BE5A2D"/>
    <w:rsid w:val="00CC372E"/>
    <w:rsid w:val="00D30FBF"/>
    <w:rsid w:val="00D35C3F"/>
    <w:rsid w:val="00D95C5F"/>
    <w:rsid w:val="00DD7C4C"/>
    <w:rsid w:val="00DE20B6"/>
    <w:rsid w:val="00EB5ABC"/>
    <w:rsid w:val="00F13B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AEB46B6"/>
  <w15:chartTrackingRefBased/>
  <w15:docId w15:val="{F82B025B-14F6-4239-B8F2-358EB1FB2F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D5966"/>
    <w:pPr>
      <w:spacing w:before="360" w:after="120" w:line="240" w:lineRule="auto"/>
      <w:jc w:val="center"/>
      <w:outlineLvl w:val="1"/>
    </w:pPr>
    <w:rPr>
      <w:rFonts w:ascii="Times New Roman" w:eastAsia="Times New Roman" w:hAnsi="Times New Roman"/>
      <w:b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D5966"/>
    <w:pPr>
      <w:spacing w:before="120" w:after="120" w:line="240" w:lineRule="auto"/>
      <w:jc w:val="both"/>
      <w:outlineLvl w:val="2"/>
    </w:pPr>
    <w:rPr>
      <w:rFonts w:ascii="Times New Roman" w:eastAsia="Times New Roman" w:hAnsi="Times New Roman"/>
      <w:b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bold">
    <w:name w:val="normalbold"/>
    <w:basedOn w:val="Normal"/>
    <w:rsid w:val="0037099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D5966"/>
    <w:rPr>
      <w:rFonts w:ascii="Times New Roman" w:eastAsia="Times New Roman" w:hAnsi="Times New Roman"/>
      <w:b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D5966"/>
    <w:rPr>
      <w:rFonts w:ascii="Times New Roman" w:eastAsia="Times New Roman" w:hAnsi="Times New Roman"/>
      <w:b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23E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23E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543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0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8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432</Words>
  <Characters>2465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National Library of Australia</Company>
  <LinksUpToDate>false</LinksUpToDate>
  <CharactersWithSpaces>2892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Kirsten Burns</dc:creator>
  <cp:keywords/>
  <dc:description/>
  <cp:lastModifiedBy>Maureen Dupree</cp:lastModifiedBy>
  <cp:revision>7</cp:revision>
  <cp:lastPrinted>2019-06-24T22:52:00Z</cp:lastPrinted>
  <dcterms:created xsi:type="dcterms:W3CDTF">2019-06-26T01:14:00Z</dcterms:created>
  <dcterms:modified xsi:type="dcterms:W3CDTF">2019-06-26T01:43:00Z</dcterms:modified>
</cp:coreProperties>
</file>