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proofErr w:type="gramStart"/>
      <w:r w:rsidRPr="00024911">
        <w:t>c</w:t>
      </w:r>
      <w:r w:rsidR="00E55F66" w:rsidRPr="00024911">
        <w:t>oncerning</w:t>
      </w:r>
      <w:proofErr w:type="gramEnd"/>
    </w:p>
    <w:p w:rsidR="00054930" w:rsidRDefault="00433BB1" w:rsidP="006647B7">
      <w:pPr>
        <w:pStyle w:val="Plainheader"/>
      </w:pPr>
      <w:r>
        <w:t xml:space="preserve">PILONIDAL </w:t>
      </w:r>
      <w:proofErr w:type="gramStart"/>
      <w:r>
        <w:t>SINUS</w:t>
      </w:r>
      <w:proofErr w:type="gramEnd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0" w:name="BP"/>
      <w:r w:rsidR="00B00D2E">
        <w:t>27</w:t>
      </w:r>
      <w:bookmarkEnd w:id="0"/>
      <w:r w:rsidRPr="00024911">
        <w:t xml:space="preserve"> of</w:t>
      </w:r>
      <w:r w:rsidR="00085567">
        <w:t xml:space="preserve"> </w:t>
      </w:r>
      <w:r w:rsidR="00433BB1">
        <w:t>2019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 xml:space="preserve">subsection </w:t>
      </w:r>
      <w:proofErr w:type="gramStart"/>
      <w:r w:rsidR="005E589B">
        <w:rPr>
          <w:sz w:val="24"/>
          <w:szCs w:val="24"/>
        </w:rPr>
        <w:t>196B(</w:t>
      </w:r>
      <w:proofErr w:type="gramEnd"/>
      <w:r w:rsidR="005E589B">
        <w:rPr>
          <w:sz w:val="24"/>
          <w:szCs w:val="24"/>
        </w:rPr>
        <w:t>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781DD2" w:rsidRPr="00781DD2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="00B00D2E">
        <w:rPr>
          <w:b w:val="0"/>
        </w:rPr>
        <w:t>1 March 2019</w:t>
      </w:r>
    </w:p>
    <w:p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ED20B7" w:rsidRPr="00781DD2" w:rsidTr="0034373D">
        <w:tc>
          <w:tcPr>
            <w:tcW w:w="4116" w:type="dxa"/>
          </w:tcPr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The Common Seal of the</w:t>
            </w:r>
            <w:r w:rsidRPr="00781DD2">
              <w:rPr>
                <w:b w:val="0"/>
              </w:rPr>
              <w:br/>
              <w:t>Repatriation Medical Authority</w:t>
            </w:r>
            <w:r w:rsidRPr="00781DD2">
              <w:rPr>
                <w:b w:val="0"/>
              </w:rPr>
              <w:br/>
              <w:t>was affixed to this instrument</w:t>
            </w:r>
            <w:r w:rsidRPr="00781DD2">
              <w:rPr>
                <w:b w:val="0"/>
              </w:rPr>
              <w:br/>
              <w:t>at the direction of:</w:t>
            </w:r>
          </w:p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</w:p>
        </w:tc>
      </w:tr>
      <w:tr w:rsidR="00ED20B7" w:rsidRPr="00781DD2" w:rsidTr="0034373D">
        <w:tc>
          <w:tcPr>
            <w:tcW w:w="4116" w:type="dxa"/>
          </w:tcPr>
          <w:p w:rsidR="00ED20B7" w:rsidRPr="00781DD2" w:rsidRDefault="009E2549" w:rsidP="00781DD2">
            <w:pPr>
              <w:pStyle w:val="Plain"/>
              <w:spacing w:before="0"/>
              <w:ind w:left="0"/>
              <w:rPr>
                <w:b w:val="0"/>
              </w:rPr>
            </w:pPr>
            <w:r>
              <w:rPr>
                <w:noProof/>
              </w:rPr>
              <w:drawing>
                <wp:inline distT="0" distB="0" distL="0" distR="0" wp14:anchorId="10CB28F0" wp14:editId="3845BF00">
                  <wp:extent cx="2466975" cy="533400"/>
                  <wp:effectExtent l="0" t="0" r="9525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</w:p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Professor Nicholas Saunders AO</w:t>
            </w:r>
          </w:p>
          <w:p w:rsidR="00ED20B7" w:rsidRPr="00781DD2" w:rsidRDefault="00ED20B7" w:rsidP="00781DD2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Chairperson</w:t>
            </w:r>
          </w:p>
          <w:p w:rsidR="00ED20B7" w:rsidRPr="00781DD2" w:rsidRDefault="00ED20B7" w:rsidP="00781DD2"/>
        </w:tc>
      </w:tr>
    </w:tbl>
    <w:p w:rsidR="00ED20B7" w:rsidRPr="00FA33FB" w:rsidRDefault="00ED20B7" w:rsidP="00ED20B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:rsidR="005962C4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5962C4">
        <w:rPr>
          <w:noProof/>
        </w:rPr>
        <w:t>1</w:t>
      </w:r>
      <w:r w:rsidR="005962C4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5962C4">
        <w:rPr>
          <w:noProof/>
        </w:rPr>
        <w:t>Name</w:t>
      </w:r>
      <w:r w:rsidR="005962C4">
        <w:rPr>
          <w:noProof/>
        </w:rPr>
        <w:tab/>
      </w:r>
      <w:r w:rsidR="005962C4">
        <w:rPr>
          <w:noProof/>
        </w:rPr>
        <w:fldChar w:fldCharType="begin"/>
      </w:r>
      <w:r w:rsidR="005962C4">
        <w:rPr>
          <w:noProof/>
        </w:rPr>
        <w:instrText xml:space="preserve"> PAGEREF _Toc512513134 \h </w:instrText>
      </w:r>
      <w:r w:rsidR="005962C4">
        <w:rPr>
          <w:noProof/>
        </w:rPr>
      </w:r>
      <w:r w:rsidR="005962C4">
        <w:rPr>
          <w:noProof/>
        </w:rPr>
        <w:fldChar w:fldCharType="separate"/>
      </w:r>
      <w:r w:rsidR="00B00D2E">
        <w:rPr>
          <w:noProof/>
        </w:rPr>
        <w:t>3</w:t>
      </w:r>
      <w:r w:rsidR="005962C4"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_Toc512513135 \h </w:instrText>
      </w:r>
      <w:r>
        <w:rPr>
          <w:noProof/>
        </w:rPr>
      </w:r>
      <w:r>
        <w:rPr>
          <w:noProof/>
        </w:rPr>
        <w:fldChar w:fldCharType="separate"/>
      </w:r>
      <w:r w:rsidR="00B00D2E">
        <w:rPr>
          <w:noProof/>
        </w:rPr>
        <w:t>3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_Toc512513136 \h </w:instrText>
      </w:r>
      <w:r>
        <w:rPr>
          <w:noProof/>
        </w:rPr>
      </w:r>
      <w:r>
        <w:rPr>
          <w:noProof/>
        </w:rPr>
        <w:fldChar w:fldCharType="separate"/>
      </w:r>
      <w:r w:rsidR="00B00D2E">
        <w:rPr>
          <w:noProof/>
        </w:rPr>
        <w:t>3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_Toc512513137 \h </w:instrText>
      </w:r>
      <w:r>
        <w:rPr>
          <w:noProof/>
        </w:rPr>
      </w:r>
      <w:r>
        <w:rPr>
          <w:noProof/>
        </w:rPr>
        <w:fldChar w:fldCharType="separate"/>
      </w:r>
      <w:r w:rsidR="00B00D2E">
        <w:rPr>
          <w:noProof/>
        </w:rPr>
        <w:t>3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_Toc512513138 \h </w:instrText>
      </w:r>
      <w:r>
        <w:rPr>
          <w:noProof/>
        </w:rPr>
      </w:r>
      <w:r>
        <w:rPr>
          <w:noProof/>
        </w:rPr>
        <w:fldChar w:fldCharType="separate"/>
      </w:r>
      <w:r w:rsidR="00B00D2E">
        <w:rPr>
          <w:noProof/>
        </w:rPr>
        <w:t>3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_Toc512513139 \h </w:instrText>
      </w:r>
      <w:r>
        <w:rPr>
          <w:noProof/>
        </w:rPr>
      </w:r>
      <w:r>
        <w:rPr>
          <w:noProof/>
        </w:rPr>
        <w:fldChar w:fldCharType="separate"/>
      </w:r>
      <w:r w:rsidR="00B00D2E">
        <w:rPr>
          <w:noProof/>
        </w:rPr>
        <w:t>3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_Toc512513140 \h </w:instrText>
      </w:r>
      <w:r>
        <w:rPr>
          <w:noProof/>
        </w:rPr>
      </w:r>
      <w:r>
        <w:rPr>
          <w:noProof/>
        </w:rPr>
        <w:fldChar w:fldCharType="separate"/>
      </w:r>
      <w:r w:rsidR="00B00D2E">
        <w:rPr>
          <w:noProof/>
        </w:rPr>
        <w:t>3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_Toc512513141 \h </w:instrText>
      </w:r>
      <w:r>
        <w:rPr>
          <w:noProof/>
        </w:rPr>
      </w:r>
      <w:r>
        <w:rPr>
          <w:noProof/>
        </w:rPr>
        <w:fldChar w:fldCharType="separate"/>
      </w:r>
      <w:r w:rsidR="00B00D2E">
        <w:rPr>
          <w:noProof/>
        </w:rPr>
        <w:t>4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_Toc512513142 \h </w:instrText>
      </w:r>
      <w:r>
        <w:rPr>
          <w:noProof/>
        </w:rPr>
      </w:r>
      <w:r>
        <w:rPr>
          <w:noProof/>
        </w:rPr>
        <w:fldChar w:fldCharType="separate"/>
      </w:r>
      <w:r w:rsidR="00B00D2E">
        <w:rPr>
          <w:noProof/>
        </w:rPr>
        <w:t>4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_Toc512513143 \h </w:instrText>
      </w:r>
      <w:r>
        <w:rPr>
          <w:noProof/>
        </w:rPr>
      </w:r>
      <w:r>
        <w:rPr>
          <w:noProof/>
        </w:rPr>
        <w:fldChar w:fldCharType="separate"/>
      </w:r>
      <w:r w:rsidR="00B00D2E">
        <w:rPr>
          <w:noProof/>
        </w:rPr>
        <w:t>5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_Toc512513144 \h </w:instrText>
      </w:r>
      <w:r>
        <w:rPr>
          <w:noProof/>
        </w:rPr>
      </w:r>
      <w:r>
        <w:rPr>
          <w:noProof/>
        </w:rPr>
        <w:fldChar w:fldCharType="separate"/>
      </w:r>
      <w:r w:rsidR="00B00D2E">
        <w:rPr>
          <w:noProof/>
        </w:rPr>
        <w:t>5</w:t>
      </w:r>
      <w:r>
        <w:rPr>
          <w:noProof/>
        </w:rPr>
        <w:fldChar w:fldCharType="end"/>
      </w:r>
    </w:p>
    <w:p w:rsidR="005962C4" w:rsidRDefault="005962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_Toc512513145 \h </w:instrText>
      </w:r>
      <w:r>
        <w:rPr>
          <w:noProof/>
        </w:rPr>
      </w:r>
      <w:r>
        <w:rPr>
          <w:noProof/>
        </w:rPr>
        <w:fldChar w:fldCharType="separate"/>
      </w:r>
      <w:r w:rsidR="00B00D2E">
        <w:rPr>
          <w:noProof/>
        </w:rPr>
        <w:t>7</w:t>
      </w:r>
      <w:r>
        <w:rPr>
          <w:noProof/>
        </w:rPr>
        <w:fldChar w:fldCharType="end"/>
      </w:r>
    </w:p>
    <w:p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_Toc512513146 \h </w:instrText>
      </w:r>
      <w:r>
        <w:rPr>
          <w:noProof/>
        </w:rPr>
      </w:r>
      <w:r>
        <w:rPr>
          <w:noProof/>
        </w:rPr>
        <w:fldChar w:fldCharType="separate"/>
      </w:r>
      <w:r w:rsidR="00B00D2E">
        <w:rPr>
          <w:noProof/>
        </w:rPr>
        <w:t>7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253D7C">
      <w:pPr>
        <w:pStyle w:val="LV1"/>
      </w:pPr>
      <w:bookmarkStart w:id="3" w:name="_Toc512513134"/>
      <w:r>
        <w:lastRenderedPageBreak/>
        <w:t>Name</w:t>
      </w:r>
      <w:bookmarkEnd w:id="3"/>
    </w:p>
    <w:p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E55F66" w:rsidRPr="00F97A62">
        <w:t>Statement of Principles concerning</w:t>
      </w:r>
      <w:r w:rsidR="00912B55" w:rsidRPr="00F97A62">
        <w:t xml:space="preserve"> </w:t>
      </w:r>
      <w:r w:rsidR="00433BB1">
        <w:rPr>
          <w:i/>
        </w:rPr>
        <w:t>pilonidal sinus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B00D2E">
        <w:t>27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433BB1">
        <w:t>2019</w:t>
      </w:r>
      <w:r w:rsidR="00E55F66" w:rsidRPr="00F97A62">
        <w:t>)</w:t>
      </w:r>
      <w:r w:rsidRPr="00F97A62">
        <w:t>.</w:t>
      </w:r>
    </w:p>
    <w:p w:rsidR="00F67B67" w:rsidRPr="00684C0E" w:rsidRDefault="00F67B67" w:rsidP="00253D7C">
      <w:pPr>
        <w:pStyle w:val="LV1"/>
      </w:pPr>
      <w:bookmarkStart w:id="5" w:name="_Toc512513135"/>
      <w:r w:rsidRPr="00684C0E">
        <w:t>Commencement</w:t>
      </w:r>
      <w:bookmarkEnd w:id="5"/>
    </w:p>
    <w:p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D0770F">
        <w:t>25 March</w:t>
      </w:r>
      <w:r w:rsidR="00D0770F" w:rsidRPr="00BF043C">
        <w:t xml:space="preserve"> 2019</w:t>
      </w:r>
      <w:r w:rsidR="00F67B67" w:rsidRPr="007527C1">
        <w:t>.</w:t>
      </w:r>
    </w:p>
    <w:p w:rsidR="00F67B67" w:rsidRPr="00684C0E" w:rsidRDefault="00F67B67" w:rsidP="00253D7C">
      <w:pPr>
        <w:pStyle w:val="LV1"/>
      </w:pPr>
      <w:bookmarkStart w:id="6" w:name="_Toc512513136"/>
      <w:r w:rsidRPr="00684C0E">
        <w:t>Authority</w:t>
      </w:r>
      <w:bookmarkEnd w:id="6"/>
    </w:p>
    <w:p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proofErr w:type="gramStart"/>
      <w:r w:rsidR="00167E0C">
        <w:t>196B(</w:t>
      </w:r>
      <w:proofErr w:type="gramEnd"/>
      <w:r w:rsidR="00167E0C">
        <w:t>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253D7C">
      <w:pPr>
        <w:pStyle w:val="LV1"/>
      </w:pPr>
      <w:bookmarkStart w:id="7" w:name="_Toc512513137"/>
      <w:r>
        <w:t>Re</w:t>
      </w:r>
      <w:r w:rsidR="005962C4">
        <w:t>peal</w:t>
      </w:r>
      <w:bookmarkEnd w:id="7"/>
    </w:p>
    <w:p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433BB1">
        <w:t>pilonidal sinus</w:t>
      </w:r>
      <w:r w:rsidRPr="00DA3996">
        <w:t xml:space="preserve"> No. </w:t>
      </w:r>
      <w:r w:rsidR="00302532">
        <w:t>71</w:t>
      </w:r>
      <w:r w:rsidRPr="00DA3996">
        <w:t xml:space="preserve"> of </w:t>
      </w:r>
      <w:r w:rsidR="00433BB1">
        <w:t>201</w:t>
      </w:r>
      <w:r w:rsidR="00302532">
        <w:t>0</w:t>
      </w:r>
      <w:r w:rsidR="005962C4">
        <w:t xml:space="preserve"> </w:t>
      </w:r>
      <w:r w:rsidR="005962C4" w:rsidRPr="00786DAE">
        <w:t xml:space="preserve">(Federal Register of Legislation No. </w:t>
      </w:r>
      <w:r w:rsidR="00302532" w:rsidRPr="00302532">
        <w:t>F2010L02310</w:t>
      </w:r>
      <w:r w:rsidR="005962C4" w:rsidRPr="00786DAE">
        <w:t xml:space="preserve">) </w:t>
      </w:r>
      <w:r w:rsidR="005962C4" w:rsidRPr="00DA3996">
        <w:t xml:space="preserve">made under subsection </w:t>
      </w:r>
      <w:proofErr w:type="gramStart"/>
      <w:r w:rsidR="005962C4" w:rsidRPr="00DA3996">
        <w:t>196B(</w:t>
      </w:r>
      <w:proofErr w:type="gramEnd"/>
      <w:r w:rsidR="005962C4" w:rsidRPr="00DA3996">
        <w:t xml:space="preserve">2)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:rsidR="007C7DEE" w:rsidRPr="00684C0E" w:rsidRDefault="007C7DEE" w:rsidP="00253D7C">
      <w:pPr>
        <w:pStyle w:val="LV1"/>
      </w:pPr>
      <w:bookmarkStart w:id="8" w:name="_Toc512513138"/>
      <w:r w:rsidRPr="00684C0E">
        <w:t>Application</w:t>
      </w:r>
      <w:bookmarkEnd w:id="8"/>
    </w:p>
    <w:p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253D7C">
      <w:pPr>
        <w:pStyle w:val="LV1"/>
      </w:pPr>
      <w:bookmarkStart w:id="9" w:name="_Ref410129949"/>
      <w:bookmarkStart w:id="10" w:name="_Toc512513139"/>
      <w:r w:rsidRPr="00684C0E">
        <w:t>Definitions</w:t>
      </w:r>
      <w:bookmarkEnd w:id="9"/>
      <w:bookmarkEnd w:id="10"/>
    </w:p>
    <w:p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253D7C">
      <w:pPr>
        <w:pStyle w:val="LV1"/>
      </w:pPr>
      <w:bookmarkStart w:id="11" w:name="_Ref409687573"/>
      <w:bookmarkStart w:id="12" w:name="_Ref409687579"/>
      <w:bookmarkStart w:id="13" w:name="_Ref409687725"/>
      <w:bookmarkStart w:id="14" w:name="_Toc51251314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1"/>
      <w:bookmarkEnd w:id="12"/>
      <w:bookmarkEnd w:id="13"/>
      <w:bookmarkEnd w:id="14"/>
    </w:p>
    <w:p w:rsidR="007C7DEE" w:rsidRPr="00D5620B" w:rsidRDefault="007C7DEE" w:rsidP="00253D7C">
      <w:pPr>
        <w:pStyle w:val="LV2"/>
      </w:pPr>
      <w:bookmarkStart w:id="15" w:name="_Ref403053584"/>
      <w:r w:rsidRPr="00D5620B">
        <w:t xml:space="preserve">This Statement of Principles is </w:t>
      </w:r>
      <w:r w:rsidRPr="002F77A1">
        <w:t xml:space="preserve">about </w:t>
      </w:r>
      <w:r w:rsidR="00433BB1">
        <w:t>pilonidal sinus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433BB1">
        <w:t>pilonidal sinus</w:t>
      </w:r>
      <w:r w:rsidRPr="00D5620B">
        <w:t>.</w:t>
      </w:r>
      <w:bookmarkEnd w:id="15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433BB1">
        <w:rPr>
          <w:b/>
        </w:rPr>
        <w:t>pilonidal sinus</w:t>
      </w:r>
    </w:p>
    <w:p w:rsidR="002716E4" w:rsidRPr="00237BAF" w:rsidRDefault="007C7DEE" w:rsidP="00253D7C">
      <w:pPr>
        <w:pStyle w:val="LV2"/>
      </w:pPr>
      <w:bookmarkStart w:id="16" w:name="_Ref409598124"/>
      <w:bookmarkStart w:id="17" w:name="_Ref402529683"/>
      <w:r w:rsidRPr="00237BAF">
        <w:t>For the purposes of this Statement of Principles,</w:t>
      </w:r>
      <w:r w:rsidR="002F77A1" w:rsidRPr="002F77A1">
        <w:t xml:space="preserve"> </w:t>
      </w:r>
      <w:r w:rsidR="00433BB1">
        <w:t>pilonidal sinus</w:t>
      </w:r>
      <w:r w:rsidR="002716E4" w:rsidRPr="00237BAF">
        <w:t>:</w:t>
      </w:r>
      <w:bookmarkEnd w:id="16"/>
    </w:p>
    <w:bookmarkEnd w:id="17"/>
    <w:p w:rsidR="00302532" w:rsidRDefault="00302532" w:rsidP="00302532">
      <w:pPr>
        <w:pStyle w:val="LV3"/>
      </w:pPr>
      <w:r>
        <w:t>means an inflammatory tissue reaction of the skin to an embedded hair which is manifested by the development of a sinus or fistula; and</w:t>
      </w:r>
    </w:p>
    <w:p w:rsidR="00302532" w:rsidRDefault="00302532" w:rsidP="00302532">
      <w:pPr>
        <w:pStyle w:val="LV3"/>
      </w:pPr>
      <w:r>
        <w:tab/>
        <w:t xml:space="preserve">includes pilonidal cyst and pilonidal fistula; and </w:t>
      </w:r>
    </w:p>
    <w:p w:rsidR="00253D7C" w:rsidRDefault="00302532" w:rsidP="00302532">
      <w:pPr>
        <w:pStyle w:val="LV3"/>
      </w:pPr>
      <w:r>
        <w:tab/>
      </w:r>
      <w:proofErr w:type="gramStart"/>
      <w:r>
        <w:t>excludes</w:t>
      </w:r>
      <w:proofErr w:type="gramEnd"/>
      <w:r>
        <w:t xml:space="preserve"> ingrown hair.</w:t>
      </w:r>
    </w:p>
    <w:p w:rsidR="00253D7C" w:rsidRPr="008E76DC" w:rsidRDefault="00253D7C" w:rsidP="00253D7C">
      <w:pPr>
        <w:pStyle w:val="Note2"/>
      </w:pPr>
      <w:r>
        <w:t xml:space="preserve">Note: </w:t>
      </w:r>
      <w:r w:rsidR="00302532">
        <w:t xml:space="preserve"> </w:t>
      </w:r>
      <w:r w:rsidR="00302532" w:rsidRPr="00302532">
        <w:t>Pilonidal sinus principally occurs in the sacrococcygeal region, but can also occur in the interdigital webs of the hands and in other regions of the body.</w:t>
      </w:r>
    </w:p>
    <w:p w:rsidR="008F572A" w:rsidRPr="00237BAF" w:rsidRDefault="008F572A" w:rsidP="00253D7C">
      <w:pPr>
        <w:pStyle w:val="LV2"/>
      </w:pPr>
      <w:r w:rsidRPr="00237BAF">
        <w:t xml:space="preserve">While </w:t>
      </w:r>
      <w:r w:rsidR="00433BB1">
        <w:t>pilonidal sinus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302532">
        <w:t>L05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433BB1">
        <w:t>pilonidal sinus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</w:t>
      </w:r>
      <w:proofErr w:type="gramStart"/>
      <w:r w:rsidRPr="00237BAF">
        <w:t>.</w:t>
      </w:r>
      <w:proofErr w:type="gramEnd"/>
    </w:p>
    <w:p w:rsidR="000F76FA" w:rsidRPr="0053697E" w:rsidRDefault="00CD6358" w:rsidP="00253D7C">
      <w:pPr>
        <w:pStyle w:val="LV2"/>
        <w:rPr>
          <w:i/>
          <w:color w:val="000000"/>
        </w:rPr>
      </w:pPr>
      <w:r w:rsidRPr="00743C76">
        <w:lastRenderedPageBreak/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433BB1">
        <w:rPr>
          <w:b/>
        </w:rPr>
        <w:t>pilonidal sinus</w:t>
      </w:r>
    </w:p>
    <w:p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433BB1">
        <w:t>pilonidal sinus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433BB1">
        <w:t>pilonidal sinus</w:t>
      </w:r>
      <w:r w:rsidRPr="00D5620B">
        <w:t>.</w:t>
      </w:r>
    </w:p>
    <w:p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:rsidR="007C7DEE" w:rsidRPr="00A20CA1" w:rsidRDefault="007C7DEE" w:rsidP="00253D7C">
      <w:pPr>
        <w:pStyle w:val="LV1"/>
      </w:pPr>
      <w:bookmarkStart w:id="18" w:name="_Toc512513141"/>
      <w:r w:rsidRPr="00A20CA1">
        <w:t>Basis for determining the factors</w:t>
      </w:r>
      <w:bookmarkEnd w:id="18"/>
    </w:p>
    <w:p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433BB1">
        <w:t>pilonidal sinus</w:t>
      </w:r>
      <w:r>
        <w:t xml:space="preserve"> </w:t>
      </w:r>
      <w:r w:rsidRPr="00D5620B">
        <w:t>and death from</w:t>
      </w:r>
      <w:r>
        <w:t xml:space="preserve"> </w:t>
      </w:r>
      <w:r w:rsidR="00433BB1">
        <w:t>pilonidal sinus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:rsidR="007C7DEE" w:rsidRPr="00301C54" w:rsidRDefault="007C7DEE" w:rsidP="00253D7C">
      <w:pPr>
        <w:pStyle w:val="LV1"/>
      </w:pPr>
      <w:bookmarkStart w:id="19" w:name="_Ref411946955"/>
      <w:bookmarkStart w:id="20" w:name="_Ref411946997"/>
      <w:bookmarkStart w:id="21" w:name="_Ref412032503"/>
      <w:bookmarkStart w:id="22" w:name="_Toc512513142"/>
      <w:r w:rsidRPr="00301C54">
        <w:t xml:space="preserve">Factors that must </w:t>
      </w:r>
      <w:r w:rsidR="00D32F71">
        <w:t>exist</w:t>
      </w:r>
      <w:bookmarkEnd w:id="19"/>
      <w:bookmarkEnd w:id="20"/>
      <w:bookmarkEnd w:id="21"/>
      <w:bookmarkEnd w:id="22"/>
    </w:p>
    <w:p w:rsidR="007C7DEE" w:rsidRPr="00AA6D8B" w:rsidRDefault="002716E4" w:rsidP="00253D7C">
      <w:pPr>
        <w:pStyle w:val="PlainIndent"/>
      </w:pPr>
      <w:bookmarkStart w:id="23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433BB1">
        <w:t>pilonidal sinus</w:t>
      </w:r>
      <w:r w:rsidR="007A3989">
        <w:t xml:space="preserve"> </w:t>
      </w:r>
      <w:r w:rsidR="007C7DEE" w:rsidRPr="00AA6D8B">
        <w:t xml:space="preserve">or death from </w:t>
      </w:r>
      <w:r w:rsidR="00433BB1">
        <w:t>pilonidal sinus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3"/>
    </w:p>
    <w:p w:rsidR="00253D7C" w:rsidRPr="008E76DC" w:rsidRDefault="00302532" w:rsidP="00302532">
      <w:pPr>
        <w:pStyle w:val="LV2"/>
      </w:pPr>
      <w:bookmarkStart w:id="24" w:name="_Ref402530260"/>
      <w:bookmarkStart w:id="25" w:name="_Ref409598844"/>
      <w:r w:rsidRPr="00302532">
        <w:t>for pilonidal</w:t>
      </w:r>
      <w:r>
        <w:t xml:space="preserve"> sinus of the hand or foot only</w:t>
      </w:r>
      <w:r w:rsidR="00253D7C" w:rsidRPr="008E76DC">
        <w:t>:</w:t>
      </w:r>
    </w:p>
    <w:p w:rsidR="00253D7C" w:rsidRPr="008E76DC" w:rsidRDefault="00302532" w:rsidP="00302532">
      <w:pPr>
        <w:pStyle w:val="LV3"/>
      </w:pPr>
      <w:r w:rsidRPr="00302532">
        <w:t>working as a hairdresser or barber within the six months before the clinical onset of pilonidal sinus;</w:t>
      </w:r>
      <w:r>
        <w:t xml:space="preserve"> </w:t>
      </w:r>
      <w:r w:rsidR="00253D7C" w:rsidRPr="008E76DC">
        <w:t>or</w:t>
      </w:r>
    </w:p>
    <w:p w:rsidR="00253D7C" w:rsidRPr="008E76DC" w:rsidRDefault="00302532" w:rsidP="00302532">
      <w:pPr>
        <w:pStyle w:val="LV3"/>
      </w:pPr>
      <w:r w:rsidRPr="00302532">
        <w:t>having cutaneous exposure to animal hair within the six months before the clinical onset of pilonidal sinus;</w:t>
      </w:r>
    </w:p>
    <w:p w:rsidR="00253D7C" w:rsidRPr="00046E67" w:rsidRDefault="00253D7C" w:rsidP="00253D7C">
      <w:pPr>
        <w:pStyle w:val="Note1"/>
      </w:pPr>
      <w:r>
        <w:t xml:space="preserve">Note: </w:t>
      </w:r>
      <w:r w:rsidR="00302532" w:rsidRPr="00302532">
        <w:rPr>
          <w:b/>
          <w:bCs/>
          <w:i/>
        </w:rPr>
        <w:t>having cutaneous exposure to animal hair</w:t>
      </w:r>
      <w:r w:rsidRPr="00046E67">
        <w:t xml:space="preserve"> </w:t>
      </w:r>
      <w:r>
        <w:t>is</w:t>
      </w:r>
      <w:r w:rsidRPr="00046E67">
        <w:t xml:space="preserve"> defined in the </w:t>
      </w:r>
      <w:r>
        <w:t>Schedule</w:t>
      </w:r>
      <w:r w:rsidR="002D74C5">
        <w:t> </w:t>
      </w:r>
      <w:r>
        <w:t>1</w:t>
      </w:r>
      <w:r w:rsidR="002D74C5">
        <w:t> </w:t>
      </w:r>
      <w:r>
        <w:t>-</w:t>
      </w:r>
      <w:r w:rsidR="002D74C5">
        <w:t> </w:t>
      </w:r>
      <w:r w:rsidRPr="00046E67">
        <w:t>Dictionary.</w:t>
      </w:r>
      <w:r w:rsidRPr="00046E67">
        <w:tab/>
      </w:r>
    </w:p>
    <w:p w:rsidR="00253D7C" w:rsidRPr="008E76DC" w:rsidRDefault="006926AA" w:rsidP="006926AA">
      <w:pPr>
        <w:pStyle w:val="LV2"/>
      </w:pPr>
      <w:r w:rsidRPr="006926AA">
        <w:t>for pilonidal sinus of the sacrococcygeal region only</w:t>
      </w:r>
      <w:r w:rsidR="00253D7C" w:rsidRPr="008E76DC">
        <w:t>:</w:t>
      </w:r>
    </w:p>
    <w:p w:rsidR="00253D7C" w:rsidRDefault="006926AA" w:rsidP="006926AA">
      <w:pPr>
        <w:pStyle w:val="LV3"/>
      </w:pPr>
      <w:r w:rsidRPr="006926AA">
        <w:t>driving or being a seated passenger in a motorised vehicle for an average of at least 20 hours per week for a period of at least three months, within the six months before the clinical onset of pilonidal sinus;</w:t>
      </w:r>
      <w:r>
        <w:t xml:space="preserve"> or </w:t>
      </w:r>
    </w:p>
    <w:p w:rsidR="006926AA" w:rsidRDefault="006926AA" w:rsidP="006926AA">
      <w:pPr>
        <w:pStyle w:val="LV3"/>
      </w:pPr>
      <w:r w:rsidRPr="006926AA">
        <w:t xml:space="preserve">being overweight </w:t>
      </w:r>
      <w:r w:rsidR="00DA1C99">
        <w:t xml:space="preserve">or obese </w:t>
      </w:r>
      <w:r w:rsidRPr="006926AA">
        <w:t>within the six months before the clinical onset of pilonidal sinus;</w:t>
      </w:r>
    </w:p>
    <w:p w:rsidR="006926AA" w:rsidRPr="00D66277" w:rsidRDefault="006926AA" w:rsidP="006926AA">
      <w:pPr>
        <w:pStyle w:val="Note1"/>
      </w:pPr>
      <w:r>
        <w:t xml:space="preserve">Note: </w:t>
      </w:r>
      <w:r>
        <w:rPr>
          <w:b/>
          <w:bCs/>
          <w:i/>
        </w:rPr>
        <w:t>being overweight</w:t>
      </w:r>
      <w:r w:rsidR="00DA1C99">
        <w:rPr>
          <w:b/>
          <w:bCs/>
          <w:i/>
        </w:rPr>
        <w:t xml:space="preserve"> or obese</w:t>
      </w:r>
      <w:r w:rsidRPr="00046E67">
        <w:t xml:space="preserve"> </w:t>
      </w:r>
      <w:r>
        <w:t>is</w:t>
      </w:r>
      <w:r w:rsidRPr="00046E67">
        <w:t xml:space="preserve"> defined in the </w:t>
      </w:r>
      <w:r>
        <w:t>Schedule 1 - </w:t>
      </w:r>
      <w:r w:rsidRPr="00046E67">
        <w:t>Dictionary.</w:t>
      </w:r>
      <w:r w:rsidRPr="00046E67">
        <w:tab/>
      </w:r>
    </w:p>
    <w:p w:rsidR="006926AA" w:rsidRDefault="006926AA" w:rsidP="006926AA">
      <w:pPr>
        <w:pStyle w:val="LV2"/>
      </w:pPr>
      <w:r w:rsidRPr="006926AA">
        <w:lastRenderedPageBreak/>
        <w:t>for pilonidal sinus of the sacrococcygeal and umbilical region</w:t>
      </w:r>
      <w:r w:rsidR="00B766AF">
        <w:t>s</w:t>
      </w:r>
      <w:r w:rsidRPr="006926AA">
        <w:t xml:space="preserve"> only, inability to shower or bathe more than two times per week for a period of at least four weeks, within the six months before the clinical onset of pilonidal sinus;</w:t>
      </w:r>
    </w:p>
    <w:p w:rsidR="006926AA" w:rsidRPr="008E76DC" w:rsidRDefault="006926AA" w:rsidP="006926AA">
      <w:pPr>
        <w:pStyle w:val="LV2"/>
      </w:pPr>
      <w:r w:rsidRPr="00302532">
        <w:t>for pilonidal</w:t>
      </w:r>
      <w:r>
        <w:t xml:space="preserve"> sinus of the hand or foot only</w:t>
      </w:r>
      <w:r w:rsidRPr="008E76DC">
        <w:t>:</w:t>
      </w:r>
    </w:p>
    <w:p w:rsidR="006926AA" w:rsidRPr="008E76DC" w:rsidRDefault="006926AA" w:rsidP="006926AA">
      <w:pPr>
        <w:pStyle w:val="LV3"/>
      </w:pPr>
      <w:r w:rsidRPr="00302532">
        <w:t>working as a hairdresser or barber within the six months before the clinical worsening of pilonidal sinus;</w:t>
      </w:r>
      <w:r>
        <w:t xml:space="preserve"> </w:t>
      </w:r>
      <w:r w:rsidRPr="008E76DC">
        <w:t>or</w:t>
      </w:r>
    </w:p>
    <w:p w:rsidR="006926AA" w:rsidRPr="008E76DC" w:rsidRDefault="006926AA" w:rsidP="006926AA">
      <w:pPr>
        <w:pStyle w:val="LV3"/>
      </w:pPr>
      <w:r w:rsidRPr="00302532">
        <w:t>having cutaneous exposure to animal hair within the six months before the clinical worsening of pilonidal sinus;</w:t>
      </w:r>
    </w:p>
    <w:p w:rsidR="006926AA" w:rsidRPr="00046E67" w:rsidRDefault="006926AA" w:rsidP="006926AA">
      <w:pPr>
        <w:pStyle w:val="Note1"/>
      </w:pPr>
      <w:r>
        <w:t xml:space="preserve">Note: </w:t>
      </w:r>
      <w:r w:rsidRPr="00302532">
        <w:rPr>
          <w:b/>
          <w:bCs/>
          <w:i/>
        </w:rPr>
        <w:t>having cutaneous exposure to animal hair</w:t>
      </w:r>
      <w:r w:rsidRPr="00046E67">
        <w:t xml:space="preserve"> </w:t>
      </w:r>
      <w:r>
        <w:t>is</w:t>
      </w:r>
      <w:r w:rsidRPr="00046E67">
        <w:t xml:space="preserve"> defined in the </w:t>
      </w:r>
      <w:r>
        <w:t>Schedule 1 - </w:t>
      </w:r>
      <w:r w:rsidRPr="00046E67">
        <w:t>Dictionary.</w:t>
      </w:r>
      <w:r w:rsidRPr="00046E67">
        <w:tab/>
      </w:r>
    </w:p>
    <w:p w:rsidR="006926AA" w:rsidRPr="008E76DC" w:rsidRDefault="006926AA" w:rsidP="006926AA">
      <w:pPr>
        <w:pStyle w:val="LV2"/>
      </w:pPr>
      <w:r w:rsidRPr="006926AA">
        <w:t>for pilonidal sinus of the sacrococcygeal region only</w:t>
      </w:r>
      <w:r w:rsidRPr="008E76DC">
        <w:t>:</w:t>
      </w:r>
    </w:p>
    <w:p w:rsidR="006926AA" w:rsidRDefault="006926AA" w:rsidP="006926AA">
      <w:pPr>
        <w:pStyle w:val="LV3"/>
      </w:pPr>
      <w:r w:rsidRPr="006926AA">
        <w:t>driving or being a seated passenger in a motorised vehicle for an average of at least 20 hours per week for a period of at least three months, within the six months before the clinical worsening of pilonidal sinus;</w:t>
      </w:r>
      <w:r>
        <w:t xml:space="preserve"> or </w:t>
      </w:r>
    </w:p>
    <w:p w:rsidR="006926AA" w:rsidRDefault="006926AA" w:rsidP="006926AA">
      <w:pPr>
        <w:pStyle w:val="LV3"/>
      </w:pPr>
      <w:r w:rsidRPr="006926AA">
        <w:t xml:space="preserve">being overweight </w:t>
      </w:r>
      <w:r w:rsidR="00DA1C99">
        <w:t xml:space="preserve">or obese </w:t>
      </w:r>
      <w:r w:rsidRPr="006926AA">
        <w:t>within the six months before the clinical worsening of pilonidal sinus;</w:t>
      </w:r>
    </w:p>
    <w:p w:rsidR="006926AA" w:rsidRPr="00D66277" w:rsidRDefault="006926AA" w:rsidP="006926AA">
      <w:pPr>
        <w:pStyle w:val="Note1"/>
      </w:pPr>
      <w:r>
        <w:t xml:space="preserve">Note: </w:t>
      </w:r>
      <w:r>
        <w:rPr>
          <w:b/>
          <w:bCs/>
          <w:i/>
        </w:rPr>
        <w:t>being overweight</w:t>
      </w:r>
      <w:r w:rsidR="00DA1C99">
        <w:rPr>
          <w:b/>
          <w:bCs/>
          <w:i/>
        </w:rPr>
        <w:t xml:space="preserve"> or obese</w:t>
      </w:r>
      <w:r w:rsidRPr="00046E67">
        <w:t xml:space="preserve"> </w:t>
      </w:r>
      <w:r>
        <w:t>is</w:t>
      </w:r>
      <w:r w:rsidRPr="00046E67">
        <w:t xml:space="preserve"> defined in the </w:t>
      </w:r>
      <w:r>
        <w:t>Schedule 1 - </w:t>
      </w:r>
      <w:r w:rsidRPr="00046E67">
        <w:t>Dictionary.</w:t>
      </w:r>
      <w:r w:rsidRPr="00046E67">
        <w:tab/>
      </w:r>
    </w:p>
    <w:p w:rsidR="006926AA" w:rsidRDefault="006926AA" w:rsidP="006926AA">
      <w:pPr>
        <w:pStyle w:val="LV2"/>
      </w:pPr>
      <w:r w:rsidRPr="006926AA">
        <w:t>for pilonidal sinus of the sacrococcygeal and umbilical region</w:t>
      </w:r>
      <w:r w:rsidR="0067076D">
        <w:t>s</w:t>
      </w:r>
      <w:r w:rsidRPr="006926AA">
        <w:t xml:space="preserve"> only, inability to shower or bathe more than two times per week for a period of at least four weeks, within the six months before the clinical worsening of pilonidal sinus;</w:t>
      </w:r>
    </w:p>
    <w:p w:rsidR="007C7DEE" w:rsidRPr="008D1B8B" w:rsidRDefault="007C7DEE" w:rsidP="006926AA">
      <w:pPr>
        <w:pStyle w:val="LV2"/>
      </w:pPr>
      <w:proofErr w:type="gramStart"/>
      <w:r w:rsidRPr="008D1B8B">
        <w:t>inability</w:t>
      </w:r>
      <w:proofErr w:type="gramEnd"/>
      <w:r w:rsidRPr="008D1B8B">
        <w:t xml:space="preserve"> to obtain appropriate clinical management for</w:t>
      </w:r>
      <w:bookmarkEnd w:id="24"/>
      <w:r w:rsidR="007A3989">
        <w:t xml:space="preserve"> </w:t>
      </w:r>
      <w:r w:rsidR="00433BB1">
        <w:t>pilonidal sinus</w:t>
      </w:r>
      <w:r w:rsidR="00D5620B" w:rsidRPr="008D1B8B">
        <w:t>.</w:t>
      </w:r>
      <w:bookmarkEnd w:id="25"/>
    </w:p>
    <w:p w:rsidR="000C21A3" w:rsidRPr="00684C0E" w:rsidRDefault="00D32F71" w:rsidP="00253D7C">
      <w:pPr>
        <w:pStyle w:val="LV1"/>
      </w:pPr>
      <w:bookmarkStart w:id="26" w:name="_Toc512513143"/>
      <w:bookmarkStart w:id="27" w:name="_Ref402530057"/>
      <w:r>
        <w:t>Relationship to s</w:t>
      </w:r>
      <w:r w:rsidR="000C21A3" w:rsidRPr="00684C0E">
        <w:t>ervice</w:t>
      </w:r>
      <w:bookmarkEnd w:id="26"/>
    </w:p>
    <w:p w:rsidR="00F03C06" w:rsidRPr="00187DE1" w:rsidRDefault="00F03C06" w:rsidP="00253D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7"/>
    <w:p w:rsidR="00CF2367" w:rsidRPr="00187DE1" w:rsidRDefault="00F03C06" w:rsidP="00253D7C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5E624D">
        <w:t>subsection</w:t>
      </w:r>
      <w:r w:rsidR="009056AF">
        <w:t>s</w:t>
      </w:r>
      <w:r w:rsidR="00FF1D47">
        <w:t xml:space="preserve"> </w:t>
      </w:r>
      <w:r w:rsidR="00DA3996">
        <w:t>9</w:t>
      </w:r>
      <w:r w:rsidR="00FF1D47">
        <w:t>(</w:t>
      </w:r>
      <w:r w:rsidR="005E624D">
        <w:t>4</w:t>
      </w:r>
      <w:r w:rsidR="00FF1D47">
        <w:t>)</w:t>
      </w:r>
      <w:r w:rsidR="005E624D">
        <w:t xml:space="preserve"> to 9(7)</w:t>
      </w:r>
      <w:r w:rsidR="00FF1D47">
        <w:t xml:space="preserve">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433BB1">
        <w:t>pilonidal sinus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433BB1">
        <w:t>pilonidal sinus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:rsidR="00774897" w:rsidRPr="00301C54" w:rsidRDefault="00774897" w:rsidP="00253D7C">
      <w:pPr>
        <w:pStyle w:val="LV1"/>
      </w:pPr>
      <w:bookmarkStart w:id="28" w:name="_Toc51251314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8"/>
    </w:p>
    <w:p w:rsidR="00F03C06" w:rsidRPr="00E64EE4" w:rsidRDefault="00F03C06" w:rsidP="00253D7C">
      <w:pPr>
        <w:pStyle w:val="PlainIndent"/>
      </w:pPr>
      <w:r w:rsidRPr="00E64EE4">
        <w:t>In this Statement of Principles:</w:t>
      </w:r>
    </w:p>
    <w:p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253D7C">
      <w:pPr>
        <w:pStyle w:val="PlainIndent"/>
      </w:pPr>
      <w:proofErr w:type="gramStart"/>
      <w:r w:rsidRPr="00E64EE4">
        <w:lastRenderedPageBreak/>
        <w:t>then</w:t>
      </w:r>
      <w:proofErr w:type="gramEnd"/>
      <w:r w:rsidRPr="00E64EE4">
        <w:t xml:space="preserve">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253D7C">
      <w:pPr>
        <w:pStyle w:val="PlainIndent"/>
      </w:pPr>
    </w:p>
    <w:p w:rsidR="00081B7C" w:rsidRPr="00FA33FB" w:rsidRDefault="00081B7C" w:rsidP="00253D7C">
      <w:pPr>
        <w:pStyle w:val="PlainIndent"/>
        <w:sectPr w:rsidR="00081B7C" w:rsidRPr="00FA33FB" w:rsidSect="00B846A0">
          <w:footerReference w:type="default" r:id="rId9"/>
          <w:headerReference w:type="firs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253D7C">
      <w:pPr>
        <w:pStyle w:val="PlainIndent"/>
      </w:pPr>
    </w:p>
    <w:p w:rsidR="00CF2367" w:rsidRPr="00FA33FB" w:rsidRDefault="00CF2367" w:rsidP="002A3436">
      <w:pPr>
        <w:pStyle w:val="SHHeader"/>
      </w:pPr>
      <w:bookmarkStart w:id="29" w:name="opcAmSched"/>
      <w:bookmarkStart w:id="30" w:name="opcCurrentFind"/>
      <w:bookmarkStart w:id="31" w:name="_Toc51251314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9"/>
      <w:bookmarkEnd w:id="30"/>
      <w:bookmarkEnd w:id="31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2" w:name="_Toc405472918"/>
      <w:bookmarkStart w:id="33" w:name="_Toc512513146"/>
      <w:r w:rsidRPr="00D97BB3">
        <w:t>Definitions</w:t>
      </w:r>
      <w:bookmarkEnd w:id="32"/>
      <w:bookmarkEnd w:id="33"/>
    </w:p>
    <w:p w:rsidR="00702C42" w:rsidRPr="00516768" w:rsidRDefault="00702C42" w:rsidP="00253D7C">
      <w:pPr>
        <w:pStyle w:val="SH2"/>
      </w:pPr>
      <w:r w:rsidRPr="00516768">
        <w:t>In this instrument:</w:t>
      </w:r>
    </w:p>
    <w:p w:rsidR="005E624D" w:rsidRDefault="005E624D" w:rsidP="005E624D">
      <w:pPr>
        <w:pStyle w:val="SH3"/>
      </w:pPr>
      <w:bookmarkStart w:id="34" w:name="_Ref402530810"/>
      <w:proofErr w:type="gramStart"/>
      <w:r w:rsidRPr="005E624D">
        <w:rPr>
          <w:b/>
          <w:i/>
        </w:rPr>
        <w:t>being</w:t>
      </w:r>
      <w:proofErr w:type="gramEnd"/>
      <w:r w:rsidRPr="005E624D">
        <w:rPr>
          <w:b/>
          <w:i/>
        </w:rPr>
        <w:t xml:space="preserve"> overweight</w:t>
      </w:r>
      <w:r w:rsidR="00DA1C99">
        <w:rPr>
          <w:b/>
          <w:i/>
        </w:rPr>
        <w:t xml:space="preserve"> or obese</w:t>
      </w:r>
      <w:r>
        <w:t xml:space="preserve"> means having a Body Mass Index (BMI) of 25 or greater.</w:t>
      </w:r>
    </w:p>
    <w:p w:rsidR="005E624D" w:rsidRDefault="005E624D" w:rsidP="005E624D">
      <w:pPr>
        <w:pStyle w:val="ScheduleNote"/>
      </w:pPr>
      <w:r>
        <w:t xml:space="preserve">Note: </w:t>
      </w:r>
      <w:r w:rsidRPr="005E624D">
        <w:rPr>
          <w:b/>
          <w:i/>
        </w:rPr>
        <w:t>BMI</w:t>
      </w:r>
      <w:r>
        <w:t xml:space="preserve"> is also defined in the Schedule 1 - Dictionary.</w:t>
      </w:r>
    </w:p>
    <w:p w:rsidR="005E624D" w:rsidRDefault="005E624D" w:rsidP="005E624D">
      <w:pPr>
        <w:pStyle w:val="SH3"/>
        <w:spacing w:after="100"/>
        <w:ind w:left="850"/>
      </w:pPr>
      <w:r w:rsidRPr="005E624D">
        <w:rPr>
          <w:b/>
          <w:i/>
        </w:rPr>
        <w:t>BMI</w:t>
      </w:r>
      <w:r>
        <w:t xml:space="preserve"> means W/H</w:t>
      </w:r>
      <w:r w:rsidRPr="005E624D">
        <w:rPr>
          <w:vertAlign w:val="superscript"/>
        </w:rPr>
        <w:t>2</w:t>
      </w:r>
      <w:r>
        <w:t xml:space="preserve"> where:</w:t>
      </w:r>
    </w:p>
    <w:p w:rsidR="005E624D" w:rsidRPr="005E624D" w:rsidRDefault="005E624D" w:rsidP="005E624D">
      <w:pPr>
        <w:ind w:left="851"/>
        <w:rPr>
          <w:sz w:val="24"/>
          <w:szCs w:val="24"/>
        </w:rPr>
      </w:pPr>
      <w:r w:rsidRPr="005E624D">
        <w:rPr>
          <w:sz w:val="24"/>
          <w:szCs w:val="24"/>
        </w:rPr>
        <w:t>W is the person's weight in kilograms; and</w:t>
      </w:r>
    </w:p>
    <w:p w:rsidR="005E624D" w:rsidRPr="005E624D" w:rsidRDefault="005E624D" w:rsidP="005E624D">
      <w:pPr>
        <w:ind w:left="851"/>
        <w:rPr>
          <w:sz w:val="24"/>
          <w:szCs w:val="24"/>
        </w:rPr>
      </w:pPr>
      <w:r w:rsidRPr="005E624D">
        <w:rPr>
          <w:sz w:val="24"/>
          <w:szCs w:val="24"/>
        </w:rPr>
        <w:t>H is the person's height in metres.</w:t>
      </w:r>
    </w:p>
    <w:p w:rsidR="00302532" w:rsidRDefault="00302532" w:rsidP="00302532">
      <w:pPr>
        <w:pStyle w:val="SH3"/>
      </w:pPr>
      <w:proofErr w:type="gramStart"/>
      <w:r w:rsidRPr="00302532">
        <w:rPr>
          <w:b/>
          <w:i/>
        </w:rPr>
        <w:t>having</w:t>
      </w:r>
      <w:proofErr w:type="gramEnd"/>
      <w:r w:rsidRPr="00302532">
        <w:rPr>
          <w:b/>
          <w:i/>
        </w:rPr>
        <w:t xml:space="preserve"> cutaneous exposure to animal hair</w:t>
      </w:r>
      <w:r w:rsidRPr="00302532">
        <w:t xml:space="preserve"> means milking, shearing, grooming, clipping or slaughtering animals.</w:t>
      </w:r>
    </w:p>
    <w:p w:rsidR="00885EAB" w:rsidRPr="009C404D" w:rsidRDefault="007B52F6" w:rsidP="004A1E0E">
      <w:pPr>
        <w:pStyle w:val="SH3"/>
      </w:pPr>
      <w:r w:rsidRPr="007B52F6">
        <w:tab/>
      </w:r>
      <w:r w:rsidR="00885EAB" w:rsidRPr="00E424C8">
        <w:rPr>
          <w:b/>
          <w:i/>
        </w:rPr>
        <w:t>MRCA</w:t>
      </w:r>
      <w:r w:rsidR="00885EAB" w:rsidRPr="00E424C8">
        <w:rPr>
          <w:b/>
        </w:rPr>
        <w:t xml:space="preserve"> </w:t>
      </w:r>
      <w:r w:rsidR="00885EAB" w:rsidRPr="00973808">
        <w:t>me</w:t>
      </w:r>
      <w:r w:rsidR="00885EAB" w:rsidRPr="00024911">
        <w:rPr>
          <w:rStyle w:val="SH3nospaceChar"/>
        </w:rPr>
        <w:t>a</w:t>
      </w:r>
      <w:r w:rsidR="00885EAB" w:rsidRPr="00973808">
        <w:t>ns</w:t>
      </w:r>
      <w:r w:rsidR="00885EAB" w:rsidRPr="009C404D">
        <w:t xml:space="preserve"> the </w:t>
      </w:r>
      <w:r w:rsidR="00885EAB" w:rsidRPr="00E424C8">
        <w:rPr>
          <w:i/>
        </w:rPr>
        <w:t>Military Rehabilitation and Compensation Act 2004</w:t>
      </w:r>
      <w:r w:rsidR="00885EAB" w:rsidRPr="009C404D">
        <w:t>.</w:t>
      </w:r>
    </w:p>
    <w:p w:rsidR="0040497F" w:rsidRPr="00513D05" w:rsidRDefault="0040497F" w:rsidP="0040497F">
      <w:pPr>
        <w:pStyle w:val="SH3"/>
      </w:pPr>
      <w:bookmarkStart w:id="35" w:name="_Ref402529607"/>
      <w:bookmarkEnd w:id="34"/>
      <w:proofErr w:type="gramStart"/>
      <w:r>
        <w:rPr>
          <w:b/>
          <w:i/>
        </w:rPr>
        <w:t>pilonidal</w:t>
      </w:r>
      <w:proofErr w:type="gramEnd"/>
      <w:r>
        <w:rPr>
          <w:b/>
          <w:i/>
        </w:rPr>
        <w:t xml:space="preserve"> sinus</w:t>
      </w:r>
      <w:r w:rsidRPr="00513D05">
        <w:t>—see subsection</w:t>
      </w:r>
      <w:r>
        <w:t xml:space="preserve"> 7(2).</w:t>
      </w:r>
    </w:p>
    <w:p w:rsidR="0090262E" w:rsidRPr="0090262E" w:rsidRDefault="0090262E" w:rsidP="00576E99">
      <w:pPr>
        <w:pStyle w:val="SH3"/>
      </w:pPr>
      <w:r w:rsidRPr="00E424C8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proofErr w:type="gramStart"/>
      <w:r w:rsidRPr="0090262E">
        <w:t>non-warlike</w:t>
      </w:r>
      <w:proofErr w:type="gramEnd"/>
      <w:r w:rsidRPr="0090262E">
        <w:t xml:space="preserve"> service under the MRCA.</w:t>
      </w:r>
    </w:p>
    <w:p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Pr="00A36B1A">
        <w:t xml:space="preserve"> are also defined in the Schedule 1 - Dictionary.</w:t>
      </w:r>
    </w:p>
    <w:p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5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</w:r>
      <w:proofErr w:type="gramStart"/>
      <w:r w:rsidRPr="00513D05">
        <w:t>cessation</w:t>
      </w:r>
      <w:proofErr w:type="gramEnd"/>
      <w:r w:rsidRPr="00513D05">
        <w:t xml:space="preserve"> of brain function.</w:t>
      </w:r>
    </w:p>
    <w:p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footerReference w:type="even" r:id="rId14"/>
          <w:headerReference w:type="first" r:id="rId15"/>
          <w:footerReference w:type="first" r:id="rId16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3F4535">
      <w:pPr>
        <w:rPr>
          <w:b/>
          <w:i/>
        </w:rPr>
      </w:pPr>
    </w:p>
    <w:sectPr w:rsidR="00FD775E" w:rsidSect="00FA33F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4A2007" w:rsidRDefault="00433BB1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Pilonidal </w:t>
          </w:r>
          <w:r w:rsidR="005E624D">
            <w:rPr>
              <w:i/>
              <w:sz w:val="18"/>
              <w:szCs w:val="18"/>
            </w:rPr>
            <w:t>S</w:t>
          </w:r>
          <w:r>
            <w:rPr>
              <w:i/>
              <w:sz w:val="18"/>
              <w:szCs w:val="18"/>
            </w:rPr>
            <w:t>inus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B00D2E">
            <w:rPr>
              <w:i/>
              <w:sz w:val="18"/>
            </w:rPr>
            <w:t>27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2019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9E2549">
            <w:rPr>
              <w:i/>
              <w:noProof/>
              <w:sz w:val="18"/>
            </w:rPr>
            <w:t>7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9E2549">
            <w:rPr>
              <w:i/>
              <w:noProof/>
              <w:sz w:val="18"/>
            </w:rPr>
            <w:t>7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4A2007" w:rsidRDefault="00433BB1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Pilonidal </w:t>
          </w:r>
          <w:r w:rsidR="005E624D">
            <w:rPr>
              <w:i/>
              <w:sz w:val="18"/>
              <w:szCs w:val="18"/>
            </w:rPr>
            <w:t>S</w:t>
          </w:r>
          <w:r>
            <w:rPr>
              <w:i/>
              <w:sz w:val="18"/>
              <w:szCs w:val="18"/>
            </w:rPr>
            <w:t>inus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B00D2E">
            <w:rPr>
              <w:i/>
              <w:sz w:val="18"/>
            </w:rPr>
            <w:t>27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2019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9E2549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9E2549">
            <w:rPr>
              <w:i/>
              <w:noProof/>
              <w:sz w:val="18"/>
            </w:rPr>
            <w:t>7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07" w:rsidRPr="00ED20B7" w:rsidRDefault="004A2007" w:rsidP="00ED20B7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4A2007" w:rsidRDefault="00885EAB" w:rsidP="004A2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4A2007" w:rsidRDefault="004A2007" w:rsidP="004A2007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4A2007" w:rsidRDefault="00885EAB" w:rsidP="004A200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2"/>
  </w:num>
  <w:num w:numId="2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A651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D74C5"/>
    <w:rsid w:val="002E35CD"/>
    <w:rsid w:val="002E3F4B"/>
    <w:rsid w:val="002F5948"/>
    <w:rsid w:val="002F77A1"/>
    <w:rsid w:val="00301C54"/>
    <w:rsid w:val="00302532"/>
    <w:rsid w:val="00304166"/>
    <w:rsid w:val="00304F8B"/>
    <w:rsid w:val="0032243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934D8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0497F"/>
    <w:rsid w:val="004116CD"/>
    <w:rsid w:val="0041386E"/>
    <w:rsid w:val="004144EC"/>
    <w:rsid w:val="00417EB9"/>
    <w:rsid w:val="00420A33"/>
    <w:rsid w:val="0042300E"/>
    <w:rsid w:val="00424CA9"/>
    <w:rsid w:val="00431E9B"/>
    <w:rsid w:val="00433BB1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2007"/>
    <w:rsid w:val="004A4764"/>
    <w:rsid w:val="004A5E4B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76E99"/>
    <w:rsid w:val="00584811"/>
    <w:rsid w:val="00585784"/>
    <w:rsid w:val="00593AA6"/>
    <w:rsid w:val="00594161"/>
    <w:rsid w:val="00594749"/>
    <w:rsid w:val="005962C4"/>
    <w:rsid w:val="005B05D3"/>
    <w:rsid w:val="005B4067"/>
    <w:rsid w:val="005C3F41"/>
    <w:rsid w:val="005C74AC"/>
    <w:rsid w:val="005C7B57"/>
    <w:rsid w:val="005C7CC5"/>
    <w:rsid w:val="005D2D09"/>
    <w:rsid w:val="005D7D8A"/>
    <w:rsid w:val="005E589B"/>
    <w:rsid w:val="005E624D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7A4E"/>
    <w:rsid w:val="0067076D"/>
    <w:rsid w:val="00670EA1"/>
    <w:rsid w:val="00677CC2"/>
    <w:rsid w:val="006840B0"/>
    <w:rsid w:val="00684C0E"/>
    <w:rsid w:val="006905DE"/>
    <w:rsid w:val="0069207B"/>
    <w:rsid w:val="0069220C"/>
    <w:rsid w:val="006926AA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0C80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B5A4E"/>
    <w:rsid w:val="009C2B65"/>
    <w:rsid w:val="009C404D"/>
    <w:rsid w:val="009D6BB0"/>
    <w:rsid w:val="009E2549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0D2E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766AF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0770F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1C99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424C8"/>
    <w:rsid w:val="00E443FF"/>
    <w:rsid w:val="00E544BB"/>
    <w:rsid w:val="00E55F66"/>
    <w:rsid w:val="00E64EE4"/>
    <w:rsid w:val="00E662CB"/>
    <w:rsid w:val="00E73C11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1258</Words>
  <Characters>7175</Characters>
  <Application>Microsoft Office Word</Application>
  <DocSecurity>0</DocSecurity>
  <PresentationFormat/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2019-01-09T01:27:00Z</dcterms:created>
  <dcterms:modified xsi:type="dcterms:W3CDTF">2019-02-26T00:02:00Z</dcterms:modified>
  <cp:category/>
  <cp:contentStatus/>
  <dc:language/>
  <cp:version/>
</cp:coreProperties>
</file>