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14" w:rsidRPr="006E6314" w:rsidRDefault="00BF43F8" w:rsidP="009C21F8">
      <w:pPr>
        <w:spacing w:after="0" w:line="240" w:lineRule="auto"/>
        <w:jc w:val="center"/>
        <w:rPr>
          <w:rFonts w:ascii="Times New Roman" w:eastAsia="Times New Roman" w:hAnsi="Times New Roman" w:cs="Times New Roman"/>
          <w:sz w:val="24"/>
          <w:szCs w:val="24"/>
          <w:lang w:val="en-US" w:eastAsia="en-AU"/>
        </w:rPr>
      </w:pPr>
      <w:bookmarkStart w:id="0" w:name="_GoBack"/>
      <w:bookmarkEnd w:id="0"/>
      <w:r>
        <w:rPr>
          <w:rFonts w:ascii="Times New Roman" w:eastAsia="Times New Roman" w:hAnsi="Times New Roman" w:cs="Times New Roman"/>
          <w:b/>
          <w:bCs/>
          <w:sz w:val="24"/>
          <w:szCs w:val="24"/>
          <w:u w:val="single"/>
          <w:lang w:eastAsia="en-AU"/>
        </w:rPr>
        <w:t xml:space="preserve"> </w:t>
      </w:r>
      <w:r w:rsidR="006E6314" w:rsidRPr="006E6314">
        <w:rPr>
          <w:rFonts w:ascii="Times New Roman" w:eastAsia="Times New Roman" w:hAnsi="Times New Roman" w:cs="Times New Roman"/>
          <w:b/>
          <w:bCs/>
          <w:sz w:val="24"/>
          <w:szCs w:val="24"/>
          <w:u w:val="single"/>
          <w:lang w:eastAsia="en-AU"/>
        </w:rPr>
        <w:t>EXPLANATORY STATEMENT</w:t>
      </w:r>
    </w:p>
    <w:p w:rsidR="006E6314" w:rsidRPr="00CC1E4A" w:rsidRDefault="006E6314" w:rsidP="00CC1E4A">
      <w:pPr>
        <w:spacing w:after="0" w:line="240" w:lineRule="auto"/>
        <w:jc w:val="center"/>
        <w:rPr>
          <w:rFonts w:ascii="Times New Roman" w:eastAsia="Times New Roman" w:hAnsi="Times New Roman" w:cs="Times New Roman"/>
          <w:sz w:val="24"/>
          <w:szCs w:val="24"/>
          <w:lang w:eastAsia="en-AU"/>
        </w:rPr>
      </w:pPr>
    </w:p>
    <w:p w:rsidR="00D122D7" w:rsidRDefault="00D122D7" w:rsidP="00CC1E4A">
      <w:pPr>
        <w:spacing w:after="0"/>
        <w:jc w:val="center"/>
        <w:rPr>
          <w:rFonts w:ascii="Times New Roman" w:hAnsi="Times New Roman"/>
          <w:i/>
          <w:szCs w:val="24"/>
        </w:rPr>
      </w:pPr>
      <w:r w:rsidRPr="009B4011">
        <w:rPr>
          <w:rFonts w:ascii="Times New Roman" w:hAnsi="Times New Roman"/>
          <w:i/>
          <w:szCs w:val="24"/>
        </w:rPr>
        <w:t>Therapeutic Goods Act 1989</w:t>
      </w:r>
    </w:p>
    <w:p w:rsidR="00CC1E4A" w:rsidRPr="00CC1E4A" w:rsidRDefault="00CC1E4A" w:rsidP="00CC1E4A">
      <w:pPr>
        <w:spacing w:after="0"/>
        <w:jc w:val="center"/>
        <w:rPr>
          <w:rFonts w:ascii="Times New Roman" w:hAnsi="Times New Roman"/>
          <w:szCs w:val="24"/>
          <w:u w:val="single"/>
        </w:rPr>
      </w:pPr>
    </w:p>
    <w:p w:rsidR="006E6314" w:rsidRPr="00AF7E00" w:rsidRDefault="00302561" w:rsidP="00CC1E4A">
      <w:pPr>
        <w:spacing w:after="0" w:line="240" w:lineRule="auto"/>
        <w:jc w:val="center"/>
        <w:rPr>
          <w:rFonts w:ascii="Times New Roman" w:eastAsia="Times New Roman" w:hAnsi="Times New Roman" w:cs="Times New Roman"/>
          <w:i/>
          <w:sz w:val="24"/>
          <w:szCs w:val="24"/>
          <w:lang w:eastAsia="en-AU"/>
        </w:rPr>
      </w:pPr>
      <w:r w:rsidRPr="00AF7E00">
        <w:rPr>
          <w:rFonts w:ascii="Times New Roman" w:eastAsia="Times New Roman" w:hAnsi="Times New Roman" w:cs="Times New Roman"/>
          <w:i/>
          <w:sz w:val="24"/>
          <w:szCs w:val="24"/>
          <w:lang w:eastAsia="en-AU"/>
        </w:rPr>
        <w:t>Therapeutic Goods (</w:t>
      </w:r>
      <w:r w:rsidR="006E6314" w:rsidRPr="00AF7E00">
        <w:rPr>
          <w:rFonts w:ascii="Times New Roman" w:eastAsia="Times New Roman" w:hAnsi="Times New Roman" w:cs="Times New Roman"/>
          <w:i/>
          <w:sz w:val="24"/>
          <w:szCs w:val="24"/>
          <w:lang w:eastAsia="en-AU"/>
        </w:rPr>
        <w:t>Medicines Advisory Statements</w:t>
      </w:r>
      <w:r w:rsidRPr="00AF7E00">
        <w:rPr>
          <w:rFonts w:ascii="Times New Roman" w:eastAsia="Times New Roman" w:hAnsi="Times New Roman" w:cs="Times New Roman"/>
          <w:i/>
          <w:sz w:val="24"/>
          <w:szCs w:val="24"/>
          <w:lang w:eastAsia="en-AU"/>
        </w:rPr>
        <w:t>)</w:t>
      </w:r>
      <w:r w:rsidR="006E6314" w:rsidRPr="00AF7E00">
        <w:rPr>
          <w:rFonts w:ascii="Times New Roman" w:eastAsia="Times New Roman" w:hAnsi="Times New Roman" w:cs="Times New Roman"/>
          <w:i/>
          <w:sz w:val="24"/>
          <w:szCs w:val="24"/>
          <w:lang w:eastAsia="en-AU"/>
        </w:rPr>
        <w:t xml:space="preserve"> Specification </w:t>
      </w:r>
      <w:r w:rsidR="009B374A" w:rsidRPr="00AF7E00">
        <w:rPr>
          <w:rFonts w:ascii="Times New Roman" w:eastAsia="Times New Roman" w:hAnsi="Times New Roman" w:cs="Times New Roman"/>
          <w:i/>
          <w:sz w:val="24"/>
          <w:szCs w:val="24"/>
          <w:lang w:eastAsia="en-AU"/>
        </w:rPr>
        <w:t>201</w:t>
      </w:r>
      <w:r w:rsidR="00871A68" w:rsidRPr="00AF7E00">
        <w:rPr>
          <w:rFonts w:ascii="Times New Roman" w:eastAsia="Times New Roman" w:hAnsi="Times New Roman" w:cs="Times New Roman"/>
          <w:i/>
          <w:sz w:val="24"/>
          <w:szCs w:val="24"/>
          <w:lang w:eastAsia="en-AU"/>
        </w:rPr>
        <w:t>9</w:t>
      </w:r>
    </w:p>
    <w:p w:rsidR="006E6314" w:rsidRPr="00CC1E4A" w:rsidRDefault="006E6314" w:rsidP="00CC1E4A">
      <w:pPr>
        <w:spacing w:after="0" w:line="240" w:lineRule="auto"/>
        <w:jc w:val="center"/>
        <w:rPr>
          <w:rFonts w:ascii="Times New Roman" w:eastAsia="Times New Roman" w:hAnsi="Times New Roman" w:cs="Times New Roman"/>
          <w:sz w:val="24"/>
          <w:szCs w:val="24"/>
          <w:lang w:eastAsia="en-AU"/>
        </w:rPr>
      </w:pPr>
    </w:p>
    <w:p w:rsidR="006E6314" w:rsidRDefault="006E6314" w:rsidP="009C21F8">
      <w:pPr>
        <w:spacing w:after="0" w:line="240" w:lineRule="auto"/>
        <w:rPr>
          <w:rFonts w:ascii="Times New Roman" w:eastAsia="Times New Roman" w:hAnsi="Times New Roman" w:cs="Times New Roman"/>
          <w:sz w:val="24"/>
          <w:szCs w:val="24"/>
          <w:lang w:eastAsia="en-AU"/>
        </w:rPr>
      </w:pPr>
      <w:r w:rsidRPr="006E6314">
        <w:rPr>
          <w:rFonts w:ascii="Times New Roman" w:eastAsia="Times New Roman" w:hAnsi="Times New Roman" w:cs="Times New Roman"/>
          <w:sz w:val="24"/>
          <w:szCs w:val="24"/>
          <w:lang w:eastAsia="en-AU"/>
        </w:rPr>
        <w:t xml:space="preserve">The </w:t>
      </w:r>
      <w:r w:rsidRPr="006E6314">
        <w:rPr>
          <w:rFonts w:ascii="Times New Roman" w:eastAsia="Times New Roman" w:hAnsi="Times New Roman" w:cs="Times New Roman"/>
          <w:i/>
          <w:iCs/>
          <w:sz w:val="24"/>
          <w:szCs w:val="24"/>
          <w:lang w:eastAsia="en-AU"/>
        </w:rPr>
        <w:t>Therapeutic Goods Act 1989</w:t>
      </w:r>
      <w:r w:rsidRPr="006E6314">
        <w:rPr>
          <w:rFonts w:ascii="Times New Roman" w:eastAsia="Times New Roman" w:hAnsi="Times New Roman" w:cs="Times New Roman"/>
          <w:sz w:val="24"/>
          <w:szCs w:val="24"/>
          <w:lang w:eastAsia="en-AU"/>
        </w:rPr>
        <w:t xml:space="preserve"> (</w:t>
      </w:r>
      <w:r w:rsidR="00832807">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the Act</w:t>
      </w:r>
      <w:r w:rsidR="00832807">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 provides for the establishment and maintenance of</w:t>
      </w:r>
      <w:r w:rsidR="00B61716">
        <w:rPr>
          <w:rFonts w:ascii="Times New Roman" w:eastAsia="Times New Roman" w:hAnsi="Times New Roman" w:cs="Times New Roman"/>
          <w:sz w:val="24"/>
          <w:szCs w:val="24"/>
          <w:lang w:eastAsia="en-AU"/>
        </w:rPr>
        <w:t> </w:t>
      </w:r>
      <w:r w:rsidRPr="006E6314">
        <w:rPr>
          <w:rFonts w:ascii="Times New Roman" w:eastAsia="Times New Roman" w:hAnsi="Times New Roman" w:cs="Times New Roman"/>
          <w:sz w:val="24"/>
          <w:szCs w:val="24"/>
          <w:lang w:eastAsia="en-AU"/>
        </w:rPr>
        <w:t>a national system of controls for the quality, safety, efficacy and timely availability of therapeutic goods that are used in or exported from Australia. The Therapeutic Goods Administration (</w:t>
      </w:r>
      <w:r w:rsidR="00832807">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the TGA</w:t>
      </w:r>
      <w:r w:rsidR="00832807">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w:t>
      </w:r>
      <w:r w:rsidR="00180390">
        <w:rPr>
          <w:rFonts w:ascii="Times New Roman" w:eastAsia="Times New Roman" w:hAnsi="Times New Roman" w:cs="Times New Roman"/>
          <w:sz w:val="24"/>
          <w:szCs w:val="24"/>
          <w:lang w:eastAsia="en-AU"/>
        </w:rPr>
        <w:t>, which is part of the Department of Health,</w:t>
      </w:r>
      <w:r w:rsidRPr="006E6314">
        <w:rPr>
          <w:rFonts w:ascii="Times New Roman" w:eastAsia="Times New Roman" w:hAnsi="Times New Roman" w:cs="Times New Roman"/>
          <w:sz w:val="24"/>
          <w:szCs w:val="24"/>
          <w:lang w:eastAsia="en-AU"/>
        </w:rPr>
        <w:t xml:space="preserve"> is responsible for administering the Act.</w:t>
      </w:r>
    </w:p>
    <w:p w:rsidR="005D1B10" w:rsidRPr="006E6314" w:rsidRDefault="005D1B10" w:rsidP="005D1B10">
      <w:pPr>
        <w:spacing w:after="0" w:line="240" w:lineRule="auto"/>
        <w:rPr>
          <w:rFonts w:ascii="Times New Roman" w:eastAsia="Times New Roman" w:hAnsi="Times New Roman" w:cs="Times New Roman"/>
          <w:sz w:val="24"/>
          <w:szCs w:val="24"/>
          <w:lang w:val="en-US" w:eastAsia="en-AU"/>
        </w:rPr>
      </w:pPr>
    </w:p>
    <w:p w:rsidR="006E6314" w:rsidRPr="005D1B10" w:rsidRDefault="006E6314" w:rsidP="009C21F8">
      <w:pPr>
        <w:spacing w:after="0" w:line="240" w:lineRule="auto"/>
        <w:rPr>
          <w:rFonts w:ascii="Times New Roman" w:hAnsi="Times New Roman"/>
          <w:sz w:val="24"/>
          <w:szCs w:val="24"/>
        </w:rPr>
      </w:pPr>
      <w:r w:rsidRPr="006E6314">
        <w:rPr>
          <w:rFonts w:ascii="Times New Roman" w:hAnsi="Times New Roman"/>
          <w:sz w:val="24"/>
          <w:szCs w:val="24"/>
        </w:rPr>
        <w:t xml:space="preserve">The </w:t>
      </w:r>
      <w:r w:rsidR="00650032" w:rsidRPr="00650032">
        <w:rPr>
          <w:rFonts w:ascii="Times New Roman" w:hAnsi="Times New Roman"/>
          <w:i/>
          <w:sz w:val="24"/>
          <w:szCs w:val="24"/>
        </w:rPr>
        <w:t>Therapeutic Goods</w:t>
      </w:r>
      <w:r w:rsidR="00650032">
        <w:rPr>
          <w:rFonts w:ascii="Times New Roman" w:hAnsi="Times New Roman"/>
          <w:sz w:val="24"/>
          <w:szCs w:val="24"/>
        </w:rPr>
        <w:t xml:space="preserve"> (</w:t>
      </w:r>
      <w:r w:rsidRPr="0028073C">
        <w:rPr>
          <w:rFonts w:ascii="Times New Roman" w:hAnsi="Times New Roman"/>
          <w:i/>
          <w:sz w:val="24"/>
          <w:szCs w:val="24"/>
        </w:rPr>
        <w:t>Medicines Advisory Statements</w:t>
      </w:r>
      <w:r w:rsidR="00650032">
        <w:rPr>
          <w:rFonts w:ascii="Times New Roman" w:hAnsi="Times New Roman"/>
          <w:i/>
          <w:sz w:val="24"/>
          <w:szCs w:val="24"/>
        </w:rPr>
        <w:t>)</w:t>
      </w:r>
      <w:r w:rsidRPr="0028073C">
        <w:rPr>
          <w:rFonts w:ascii="Times New Roman" w:hAnsi="Times New Roman"/>
          <w:i/>
          <w:sz w:val="24"/>
          <w:szCs w:val="24"/>
        </w:rPr>
        <w:t xml:space="preserve"> Specification </w:t>
      </w:r>
      <w:r w:rsidR="009B374A" w:rsidRPr="0028073C">
        <w:rPr>
          <w:rFonts w:ascii="Times New Roman" w:hAnsi="Times New Roman"/>
          <w:i/>
          <w:sz w:val="24"/>
          <w:szCs w:val="24"/>
        </w:rPr>
        <w:t>201</w:t>
      </w:r>
      <w:r w:rsidR="00871A68">
        <w:rPr>
          <w:rFonts w:ascii="Times New Roman" w:hAnsi="Times New Roman"/>
          <w:i/>
          <w:sz w:val="24"/>
          <w:szCs w:val="24"/>
        </w:rPr>
        <w:t>9</w:t>
      </w:r>
      <w:r w:rsidR="00DF7331">
        <w:rPr>
          <w:rFonts w:ascii="Times New Roman" w:hAnsi="Times New Roman"/>
          <w:sz w:val="24"/>
          <w:szCs w:val="24"/>
        </w:rPr>
        <w:t xml:space="preserve"> </w:t>
      </w:r>
      <w:r w:rsidRPr="006E6314">
        <w:rPr>
          <w:rFonts w:ascii="Times New Roman" w:hAnsi="Times New Roman"/>
          <w:sz w:val="24"/>
          <w:szCs w:val="24"/>
        </w:rPr>
        <w:t>(</w:t>
      </w:r>
      <w:r w:rsidR="005D1B10">
        <w:rPr>
          <w:rFonts w:ascii="Times New Roman" w:hAnsi="Times New Roman"/>
          <w:sz w:val="24"/>
          <w:szCs w:val="24"/>
        </w:rPr>
        <w:t>“</w:t>
      </w:r>
      <w:r w:rsidRPr="006E6314">
        <w:rPr>
          <w:rFonts w:ascii="Times New Roman" w:hAnsi="Times New Roman"/>
          <w:sz w:val="24"/>
          <w:szCs w:val="24"/>
        </w:rPr>
        <w:t>the Specification</w:t>
      </w:r>
      <w:r w:rsidR="005D1B10">
        <w:rPr>
          <w:rFonts w:ascii="Times New Roman" w:hAnsi="Times New Roman"/>
          <w:sz w:val="24"/>
          <w:szCs w:val="24"/>
        </w:rPr>
        <w:t>”</w:t>
      </w:r>
      <w:r w:rsidRPr="006E6314">
        <w:rPr>
          <w:rFonts w:ascii="Times New Roman" w:hAnsi="Times New Roman"/>
          <w:sz w:val="24"/>
          <w:szCs w:val="24"/>
        </w:rPr>
        <w:t xml:space="preserve">) is made by the Minister under subsection 3(5A) of the Act </w:t>
      </w:r>
      <w:r w:rsidR="00F66442">
        <w:rPr>
          <w:rFonts w:ascii="Times New Roman" w:hAnsi="Times New Roman"/>
          <w:sz w:val="24"/>
          <w:szCs w:val="24"/>
        </w:rPr>
        <w:t>to</w:t>
      </w:r>
      <w:r w:rsidR="005D1B10">
        <w:rPr>
          <w:rFonts w:ascii="Times New Roman" w:hAnsi="Times New Roman"/>
          <w:sz w:val="24"/>
          <w:szCs w:val="24"/>
        </w:rPr>
        <w:t xml:space="preserve"> specify, for the </w:t>
      </w:r>
      <w:r w:rsidRPr="006E6314">
        <w:rPr>
          <w:rFonts w:ascii="Times New Roman" w:hAnsi="Times New Roman"/>
          <w:sz w:val="24"/>
          <w:szCs w:val="24"/>
        </w:rPr>
        <w:t>purposes of paragraph 3(5</w:t>
      </w:r>
      <w:proofErr w:type="gramStart"/>
      <w:r w:rsidRPr="006E6314">
        <w:rPr>
          <w:rFonts w:ascii="Times New Roman" w:hAnsi="Times New Roman"/>
          <w:sz w:val="24"/>
          <w:szCs w:val="24"/>
        </w:rPr>
        <w:t>)(</w:t>
      </w:r>
      <w:proofErr w:type="gramEnd"/>
      <w:r w:rsidRPr="006E6314">
        <w:rPr>
          <w:rFonts w:ascii="Times New Roman" w:hAnsi="Times New Roman"/>
          <w:sz w:val="24"/>
          <w:szCs w:val="24"/>
        </w:rPr>
        <w:t>ca) of the Act, advisory stateme</w:t>
      </w:r>
      <w:r w:rsidR="005D1B10">
        <w:rPr>
          <w:rFonts w:ascii="Times New Roman" w:hAnsi="Times New Roman"/>
          <w:sz w:val="24"/>
          <w:szCs w:val="24"/>
        </w:rPr>
        <w:t>nts that are required to be set </w:t>
      </w:r>
      <w:r w:rsidRPr="006E6314">
        <w:rPr>
          <w:rFonts w:ascii="Times New Roman" w:hAnsi="Times New Roman"/>
          <w:sz w:val="24"/>
          <w:szCs w:val="24"/>
        </w:rPr>
        <w:t>out on the label of medicines that are included in a class of medicine prescribed by the regulations.</w:t>
      </w:r>
      <w:r w:rsidR="007D0C51">
        <w:rPr>
          <w:rFonts w:ascii="Times New Roman" w:hAnsi="Times New Roman"/>
          <w:sz w:val="24"/>
          <w:szCs w:val="24"/>
        </w:rPr>
        <w:t xml:space="preserve"> The Specification repeal</w:t>
      </w:r>
      <w:r w:rsidR="00550D1B">
        <w:rPr>
          <w:rFonts w:ascii="Times New Roman" w:hAnsi="Times New Roman"/>
          <w:sz w:val="24"/>
          <w:szCs w:val="24"/>
        </w:rPr>
        <w:t>s</w:t>
      </w:r>
      <w:r w:rsidR="007D0C51">
        <w:rPr>
          <w:rFonts w:ascii="Times New Roman" w:hAnsi="Times New Roman"/>
          <w:sz w:val="24"/>
          <w:szCs w:val="24"/>
        </w:rPr>
        <w:t xml:space="preserve"> and replace</w:t>
      </w:r>
      <w:r w:rsidR="00550D1B">
        <w:rPr>
          <w:rFonts w:ascii="Times New Roman" w:hAnsi="Times New Roman"/>
          <w:sz w:val="24"/>
          <w:szCs w:val="24"/>
        </w:rPr>
        <w:t>s</w:t>
      </w:r>
      <w:r w:rsidR="007D0C51">
        <w:rPr>
          <w:rFonts w:ascii="Times New Roman" w:hAnsi="Times New Roman"/>
          <w:sz w:val="24"/>
          <w:szCs w:val="24"/>
        </w:rPr>
        <w:t xml:space="preserve"> the </w:t>
      </w:r>
      <w:r w:rsidR="007D0C51" w:rsidRPr="00134CDB">
        <w:rPr>
          <w:rFonts w:ascii="Times New Roman" w:hAnsi="Times New Roman"/>
          <w:i/>
          <w:sz w:val="24"/>
          <w:szCs w:val="24"/>
        </w:rPr>
        <w:t>Medicines Advisory Statements Specification 201</w:t>
      </w:r>
      <w:r w:rsidR="007D0C51" w:rsidRPr="00CA6F80">
        <w:rPr>
          <w:rFonts w:ascii="Times New Roman" w:hAnsi="Times New Roman"/>
          <w:i/>
          <w:sz w:val="24"/>
          <w:szCs w:val="24"/>
        </w:rPr>
        <w:t>7</w:t>
      </w:r>
      <w:r w:rsidR="007D0C51">
        <w:rPr>
          <w:rFonts w:ascii="Times New Roman" w:hAnsi="Times New Roman"/>
          <w:i/>
          <w:sz w:val="24"/>
          <w:szCs w:val="24"/>
        </w:rPr>
        <w:t xml:space="preserve"> </w:t>
      </w:r>
      <w:r w:rsidR="007D0C51">
        <w:rPr>
          <w:rFonts w:ascii="Times New Roman" w:hAnsi="Times New Roman"/>
          <w:sz w:val="24"/>
          <w:szCs w:val="24"/>
        </w:rPr>
        <w:t>(</w:t>
      </w:r>
      <w:r w:rsidR="005D1B10">
        <w:rPr>
          <w:rFonts w:ascii="Times New Roman" w:hAnsi="Times New Roman"/>
          <w:sz w:val="24"/>
          <w:szCs w:val="24"/>
        </w:rPr>
        <w:t>“</w:t>
      </w:r>
      <w:r w:rsidR="007D0C51">
        <w:rPr>
          <w:rFonts w:ascii="Times New Roman" w:hAnsi="Times New Roman"/>
          <w:sz w:val="24"/>
          <w:szCs w:val="24"/>
        </w:rPr>
        <w:t>the former Specification</w:t>
      </w:r>
      <w:r w:rsidR="005D1B10">
        <w:rPr>
          <w:rFonts w:ascii="Times New Roman" w:hAnsi="Times New Roman"/>
          <w:sz w:val="24"/>
          <w:szCs w:val="24"/>
        </w:rPr>
        <w:t>”</w:t>
      </w:r>
      <w:r w:rsidR="007D0C51">
        <w:rPr>
          <w:rFonts w:ascii="Times New Roman" w:hAnsi="Times New Roman"/>
          <w:sz w:val="24"/>
          <w:szCs w:val="24"/>
        </w:rPr>
        <w:t>)</w:t>
      </w:r>
      <w:r w:rsidR="005D1B10">
        <w:rPr>
          <w:rFonts w:ascii="Times New Roman" w:hAnsi="Times New Roman"/>
          <w:sz w:val="24"/>
          <w:szCs w:val="24"/>
        </w:rPr>
        <w:t>.</w:t>
      </w:r>
    </w:p>
    <w:p w:rsidR="005D1B10" w:rsidRDefault="005D1B10" w:rsidP="005D1B10">
      <w:pPr>
        <w:autoSpaceDE w:val="0"/>
        <w:autoSpaceDN w:val="0"/>
        <w:adjustRightInd w:val="0"/>
        <w:spacing w:after="0" w:line="240" w:lineRule="auto"/>
        <w:rPr>
          <w:rFonts w:ascii="Times New Roman" w:hAnsi="Times New Roman"/>
          <w:sz w:val="24"/>
          <w:szCs w:val="24"/>
        </w:rPr>
      </w:pPr>
    </w:p>
    <w:p w:rsidR="00134CDB" w:rsidRDefault="00F57EFA" w:rsidP="009C21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w:t>
      </w:r>
      <w:r w:rsidR="006E6314" w:rsidRPr="006E6314">
        <w:rPr>
          <w:rFonts w:ascii="Times New Roman" w:hAnsi="Times New Roman"/>
          <w:sz w:val="24"/>
          <w:szCs w:val="24"/>
        </w:rPr>
        <w:t xml:space="preserve">egulation 3AA of the </w:t>
      </w:r>
      <w:r w:rsidR="006E6314" w:rsidRPr="0028073C">
        <w:rPr>
          <w:rFonts w:ascii="Times New Roman" w:hAnsi="Times New Roman"/>
          <w:i/>
          <w:sz w:val="24"/>
          <w:szCs w:val="24"/>
        </w:rPr>
        <w:t>Therapeutic Goods Regulations 1990</w:t>
      </w:r>
      <w:r w:rsidR="006E6314" w:rsidRPr="006E6314">
        <w:rPr>
          <w:rFonts w:ascii="Times New Roman" w:hAnsi="Times New Roman"/>
          <w:sz w:val="24"/>
          <w:szCs w:val="24"/>
        </w:rPr>
        <w:t xml:space="preserve"> (</w:t>
      </w:r>
      <w:r w:rsidR="00832807">
        <w:rPr>
          <w:rFonts w:ascii="Times New Roman" w:hAnsi="Times New Roman"/>
          <w:sz w:val="24"/>
          <w:szCs w:val="24"/>
        </w:rPr>
        <w:t>“</w:t>
      </w:r>
      <w:r w:rsidR="006E6314" w:rsidRPr="006E6314">
        <w:rPr>
          <w:rFonts w:ascii="Times New Roman" w:hAnsi="Times New Roman"/>
          <w:sz w:val="24"/>
          <w:szCs w:val="24"/>
        </w:rPr>
        <w:t>the Regulations</w:t>
      </w:r>
      <w:r w:rsidR="00832807">
        <w:rPr>
          <w:rFonts w:ascii="Times New Roman" w:hAnsi="Times New Roman"/>
          <w:sz w:val="24"/>
          <w:szCs w:val="24"/>
        </w:rPr>
        <w:t>”</w:t>
      </w:r>
      <w:r w:rsidR="006E6314" w:rsidRPr="006E6314">
        <w:rPr>
          <w:rFonts w:ascii="Times New Roman" w:hAnsi="Times New Roman"/>
          <w:sz w:val="24"/>
          <w:szCs w:val="24"/>
        </w:rPr>
        <w:t>)</w:t>
      </w:r>
      <w:r>
        <w:rPr>
          <w:rFonts w:ascii="Times New Roman" w:hAnsi="Times New Roman"/>
          <w:sz w:val="24"/>
          <w:szCs w:val="24"/>
        </w:rPr>
        <w:t xml:space="preserve"> prescribes</w:t>
      </w:r>
      <w:r w:rsidR="006E6314" w:rsidRPr="006E6314">
        <w:rPr>
          <w:rFonts w:ascii="Times New Roman" w:hAnsi="Times New Roman"/>
          <w:sz w:val="24"/>
          <w:szCs w:val="24"/>
        </w:rPr>
        <w:t xml:space="preserve"> </w:t>
      </w:r>
      <w:r w:rsidR="007D0C51">
        <w:rPr>
          <w:rFonts w:ascii="Times New Roman" w:hAnsi="Times New Roman"/>
          <w:sz w:val="24"/>
          <w:szCs w:val="24"/>
        </w:rPr>
        <w:t>the</w:t>
      </w:r>
      <w:r w:rsidR="007D0C51" w:rsidRPr="006E6314">
        <w:rPr>
          <w:rFonts w:ascii="Times New Roman" w:hAnsi="Times New Roman"/>
          <w:sz w:val="24"/>
          <w:szCs w:val="24"/>
        </w:rPr>
        <w:t xml:space="preserve"> </w:t>
      </w:r>
      <w:r>
        <w:rPr>
          <w:rFonts w:ascii="Times New Roman" w:hAnsi="Times New Roman"/>
          <w:sz w:val="24"/>
          <w:szCs w:val="24"/>
        </w:rPr>
        <w:t xml:space="preserve">classes of </w:t>
      </w:r>
      <w:r w:rsidR="006E6314" w:rsidRPr="006E6314">
        <w:rPr>
          <w:rFonts w:ascii="Times New Roman" w:hAnsi="Times New Roman"/>
          <w:sz w:val="24"/>
          <w:szCs w:val="24"/>
        </w:rPr>
        <w:t xml:space="preserve">medicine </w:t>
      </w:r>
      <w:r w:rsidR="007D0C51">
        <w:rPr>
          <w:rFonts w:ascii="Times New Roman" w:hAnsi="Times New Roman"/>
          <w:sz w:val="24"/>
          <w:szCs w:val="24"/>
        </w:rPr>
        <w:t>for the purposes of paragraph 3(5</w:t>
      </w:r>
      <w:proofErr w:type="gramStart"/>
      <w:r w:rsidR="007D0C51">
        <w:rPr>
          <w:rFonts w:ascii="Times New Roman" w:hAnsi="Times New Roman"/>
          <w:sz w:val="24"/>
          <w:szCs w:val="24"/>
        </w:rPr>
        <w:t>)(</w:t>
      </w:r>
      <w:proofErr w:type="gramEnd"/>
      <w:r w:rsidR="007D0C51">
        <w:rPr>
          <w:rFonts w:ascii="Times New Roman" w:hAnsi="Times New Roman"/>
          <w:sz w:val="24"/>
          <w:szCs w:val="24"/>
        </w:rPr>
        <w:t>ca) of the Act. T</w:t>
      </w:r>
      <w:r>
        <w:rPr>
          <w:rFonts w:ascii="Times New Roman" w:hAnsi="Times New Roman"/>
          <w:sz w:val="24"/>
          <w:szCs w:val="24"/>
        </w:rPr>
        <w:t xml:space="preserve">hese </w:t>
      </w:r>
      <w:r w:rsidR="006E6314" w:rsidRPr="006E6314">
        <w:rPr>
          <w:rFonts w:ascii="Times New Roman" w:hAnsi="Times New Roman"/>
          <w:sz w:val="24"/>
          <w:szCs w:val="24"/>
        </w:rPr>
        <w:t xml:space="preserve">are, principally, </w:t>
      </w:r>
      <w:r w:rsidR="00134CDB">
        <w:rPr>
          <w:rFonts w:ascii="Times New Roman" w:hAnsi="Times New Roman"/>
          <w:sz w:val="24"/>
          <w:szCs w:val="24"/>
        </w:rPr>
        <w:t>over the counter (</w:t>
      </w:r>
      <w:r w:rsidR="00832807">
        <w:rPr>
          <w:rFonts w:ascii="Times New Roman" w:hAnsi="Times New Roman"/>
          <w:sz w:val="24"/>
          <w:szCs w:val="24"/>
        </w:rPr>
        <w:t>“</w:t>
      </w:r>
      <w:r w:rsidR="00134CDB">
        <w:rPr>
          <w:rFonts w:ascii="Times New Roman" w:hAnsi="Times New Roman"/>
          <w:sz w:val="24"/>
          <w:szCs w:val="24"/>
        </w:rPr>
        <w:t>OTC</w:t>
      </w:r>
      <w:r w:rsidR="00832807">
        <w:rPr>
          <w:rFonts w:ascii="Times New Roman" w:hAnsi="Times New Roman"/>
          <w:sz w:val="24"/>
          <w:szCs w:val="24"/>
        </w:rPr>
        <w:t>”</w:t>
      </w:r>
      <w:r w:rsidR="00134CDB">
        <w:rPr>
          <w:rFonts w:ascii="Times New Roman" w:hAnsi="Times New Roman"/>
          <w:sz w:val="24"/>
          <w:szCs w:val="24"/>
        </w:rPr>
        <w:t xml:space="preserve">) </w:t>
      </w:r>
      <w:r w:rsidR="006E6314" w:rsidRPr="006E6314">
        <w:rPr>
          <w:rFonts w:ascii="Times New Roman" w:hAnsi="Times New Roman"/>
          <w:sz w:val="24"/>
          <w:szCs w:val="24"/>
        </w:rPr>
        <w:t>medicines</w:t>
      </w:r>
      <w:r w:rsidR="00134CDB">
        <w:rPr>
          <w:rFonts w:ascii="Times New Roman" w:hAnsi="Times New Roman"/>
          <w:sz w:val="24"/>
          <w:szCs w:val="24"/>
        </w:rPr>
        <w:t xml:space="preserve"> and registered complementary medicines.</w:t>
      </w:r>
    </w:p>
    <w:p w:rsidR="007D0C51" w:rsidRDefault="00326B72" w:rsidP="009C21F8">
      <w:pPr>
        <w:autoSpaceDE w:val="0"/>
        <w:autoSpaceDN w:val="0"/>
        <w:adjustRightInd w:val="0"/>
        <w:spacing w:after="0" w:line="240" w:lineRule="auto"/>
        <w:rPr>
          <w:rFonts w:ascii="Times New Roman" w:hAnsi="Times New Roman"/>
          <w:sz w:val="24"/>
          <w:szCs w:val="24"/>
        </w:rPr>
      </w:pPr>
      <w:r w:rsidRPr="00305950">
        <w:rPr>
          <w:rFonts w:ascii="Times New Roman" w:hAnsi="Times New Roman"/>
          <w:sz w:val="24"/>
          <w:szCs w:val="24"/>
        </w:rPr>
        <w:t>Regulation 3AA has the effect that</w:t>
      </w:r>
      <w:r w:rsidRPr="00570A2F">
        <w:rPr>
          <w:rFonts w:ascii="Times New Roman" w:hAnsi="Times New Roman"/>
          <w:sz w:val="24"/>
          <w:szCs w:val="24"/>
        </w:rPr>
        <w:t xml:space="preserve"> the Specification </w:t>
      </w:r>
      <w:r w:rsidR="00F57EFA" w:rsidRPr="00442DA7">
        <w:rPr>
          <w:rFonts w:ascii="Times New Roman" w:hAnsi="Times New Roman"/>
          <w:sz w:val="24"/>
          <w:szCs w:val="24"/>
        </w:rPr>
        <w:t>will</w:t>
      </w:r>
      <w:r w:rsidR="00F57EFA" w:rsidRPr="002E4423">
        <w:rPr>
          <w:rFonts w:ascii="Times New Roman" w:hAnsi="Times New Roman"/>
          <w:sz w:val="24"/>
          <w:szCs w:val="24"/>
        </w:rPr>
        <w:t xml:space="preserve"> </w:t>
      </w:r>
      <w:r w:rsidRPr="002E4423">
        <w:rPr>
          <w:rFonts w:ascii="Times New Roman" w:hAnsi="Times New Roman"/>
          <w:sz w:val="24"/>
          <w:szCs w:val="24"/>
        </w:rPr>
        <w:t>not apply to</w:t>
      </w:r>
      <w:r w:rsidR="007D0C51" w:rsidRPr="00AF7E00">
        <w:rPr>
          <w:rFonts w:ascii="Times New Roman" w:hAnsi="Times New Roman"/>
          <w:sz w:val="24"/>
          <w:szCs w:val="24"/>
        </w:rPr>
        <w:t>:</w:t>
      </w:r>
    </w:p>
    <w:p w:rsidR="005D1B10" w:rsidRPr="00AF7E00" w:rsidRDefault="005D1B10" w:rsidP="005D1B10">
      <w:pPr>
        <w:autoSpaceDE w:val="0"/>
        <w:autoSpaceDN w:val="0"/>
        <w:adjustRightInd w:val="0"/>
        <w:spacing w:after="0" w:line="240" w:lineRule="auto"/>
        <w:rPr>
          <w:rFonts w:ascii="Times New Roman" w:hAnsi="Times New Roman"/>
          <w:sz w:val="24"/>
          <w:szCs w:val="24"/>
        </w:rPr>
      </w:pPr>
    </w:p>
    <w:p w:rsidR="007D0C51" w:rsidRDefault="00326B72" w:rsidP="005D1B10">
      <w:pPr>
        <w:pStyle w:val="ListParagraph"/>
        <w:numPr>
          <w:ilvl w:val="0"/>
          <w:numId w:val="5"/>
        </w:numPr>
        <w:autoSpaceDE w:val="0"/>
        <w:autoSpaceDN w:val="0"/>
        <w:adjustRightInd w:val="0"/>
        <w:spacing w:before="0" w:beforeAutospacing="0" w:after="0" w:afterAutospacing="0"/>
        <w:ind w:left="777" w:hanging="357"/>
      </w:pPr>
      <w:r w:rsidRPr="00305950">
        <w:t xml:space="preserve">medicines </w:t>
      </w:r>
      <w:r w:rsidR="001D745D">
        <w:t xml:space="preserve">of a kind </w:t>
      </w:r>
      <w:r w:rsidRPr="00305950">
        <w:t>mentioned in Part 1 of Schedule 10 to the Regulations</w:t>
      </w:r>
      <w:r w:rsidR="007D0C51" w:rsidRPr="00AF7E00">
        <w:t>, which are</w:t>
      </w:r>
      <w:r w:rsidR="00B61716">
        <w:t> </w:t>
      </w:r>
      <w:r w:rsidRPr="00305950">
        <w:t>principally prescription medicines, radiopharmaceuticals and medical gases</w:t>
      </w:r>
      <w:r w:rsidR="00305950">
        <w:t>; and</w:t>
      </w:r>
    </w:p>
    <w:p w:rsidR="005D1B10" w:rsidRPr="00AF7E00" w:rsidRDefault="005D1B10" w:rsidP="005D1B10">
      <w:pPr>
        <w:pStyle w:val="ListParagraph"/>
        <w:autoSpaceDE w:val="0"/>
        <w:autoSpaceDN w:val="0"/>
        <w:adjustRightInd w:val="0"/>
        <w:spacing w:before="0" w:beforeAutospacing="0" w:after="0" w:afterAutospacing="0"/>
        <w:ind w:left="777"/>
      </w:pPr>
    </w:p>
    <w:p w:rsidR="004B06A6" w:rsidRPr="00305950" w:rsidRDefault="00326B72" w:rsidP="009C21F8">
      <w:pPr>
        <w:pStyle w:val="ListParagraph"/>
        <w:numPr>
          <w:ilvl w:val="0"/>
          <w:numId w:val="5"/>
        </w:numPr>
        <w:autoSpaceDE w:val="0"/>
        <w:autoSpaceDN w:val="0"/>
        <w:adjustRightInd w:val="0"/>
        <w:spacing w:before="0" w:beforeAutospacing="0" w:after="0" w:afterAutospacing="0"/>
        <w:ind w:left="777" w:hanging="357"/>
      </w:pPr>
      <w:proofErr w:type="gramStart"/>
      <w:r w:rsidRPr="00305950">
        <w:t>listed</w:t>
      </w:r>
      <w:proofErr w:type="gramEnd"/>
      <w:r w:rsidRPr="00305950">
        <w:t xml:space="preserve"> complementary medicines that comply with the permissible ingredients determination for such medicines made by the Minister under section 26BB of the Act</w:t>
      </w:r>
      <w:r w:rsidR="007D0C51">
        <w:t>.</w:t>
      </w:r>
    </w:p>
    <w:p w:rsidR="005D1B10" w:rsidRDefault="005D1B10" w:rsidP="005D1B10">
      <w:pPr>
        <w:autoSpaceDE w:val="0"/>
        <w:autoSpaceDN w:val="0"/>
        <w:adjustRightInd w:val="0"/>
        <w:spacing w:after="0" w:line="240" w:lineRule="auto"/>
        <w:rPr>
          <w:rFonts w:ascii="Times New Roman" w:hAnsi="Times New Roman"/>
          <w:sz w:val="24"/>
          <w:szCs w:val="24"/>
        </w:rPr>
      </w:pPr>
    </w:p>
    <w:p w:rsidR="007D0C51" w:rsidRDefault="007D0C51" w:rsidP="009C21F8">
      <w:pPr>
        <w:autoSpaceDE w:val="0"/>
        <w:autoSpaceDN w:val="0"/>
        <w:adjustRightInd w:val="0"/>
        <w:spacing w:after="0" w:line="240" w:lineRule="auto"/>
        <w:rPr>
          <w:rFonts w:ascii="Times New Roman" w:hAnsi="Times New Roman"/>
          <w:sz w:val="24"/>
          <w:szCs w:val="24"/>
        </w:rPr>
      </w:pPr>
      <w:r w:rsidRPr="00AF7E00">
        <w:rPr>
          <w:rFonts w:ascii="Times New Roman" w:hAnsi="Times New Roman"/>
          <w:sz w:val="24"/>
          <w:szCs w:val="24"/>
        </w:rPr>
        <w:t xml:space="preserve">The exclusion of prescription medicines reflects that access to prescription medicines is controlled by medical practitioners, and </w:t>
      </w:r>
      <w:r w:rsidR="00550D1B">
        <w:rPr>
          <w:rFonts w:ascii="Times New Roman" w:hAnsi="Times New Roman"/>
          <w:sz w:val="24"/>
          <w:szCs w:val="24"/>
        </w:rPr>
        <w:t xml:space="preserve">that </w:t>
      </w:r>
      <w:r w:rsidRPr="00AF7E00">
        <w:rPr>
          <w:rFonts w:ascii="Times New Roman" w:hAnsi="Times New Roman"/>
          <w:sz w:val="24"/>
          <w:szCs w:val="24"/>
        </w:rPr>
        <w:t>information about the potential benefits and risks of a medicine is part of the consultation between prescriber and patient</w:t>
      </w:r>
      <w:r w:rsidR="00305950">
        <w:rPr>
          <w:rFonts w:ascii="Times New Roman" w:hAnsi="Times New Roman"/>
          <w:sz w:val="24"/>
          <w:szCs w:val="24"/>
        </w:rPr>
        <w:t>. T</w:t>
      </w:r>
      <w:r w:rsidRPr="00AF7E00">
        <w:rPr>
          <w:rFonts w:ascii="Times New Roman" w:hAnsi="Times New Roman"/>
          <w:sz w:val="24"/>
          <w:szCs w:val="24"/>
        </w:rPr>
        <w:t xml:space="preserve">he exclusion of radiopharmaceuticals and medical gases reflects that these products are not usually supplied directly to consumers. </w:t>
      </w:r>
      <w:r w:rsidR="00305950">
        <w:rPr>
          <w:rFonts w:ascii="Times New Roman" w:hAnsi="Times New Roman"/>
          <w:sz w:val="24"/>
          <w:szCs w:val="24"/>
        </w:rPr>
        <w:t>T</w:t>
      </w:r>
      <w:r w:rsidRPr="00AF7E00">
        <w:rPr>
          <w:rFonts w:ascii="Times New Roman" w:hAnsi="Times New Roman"/>
          <w:sz w:val="24"/>
          <w:szCs w:val="24"/>
        </w:rPr>
        <w:t xml:space="preserve">he exclusion of listed </w:t>
      </w:r>
      <w:r w:rsidR="00305950">
        <w:rPr>
          <w:rFonts w:ascii="Times New Roman" w:hAnsi="Times New Roman"/>
          <w:sz w:val="24"/>
          <w:szCs w:val="24"/>
        </w:rPr>
        <w:t xml:space="preserve">complementary </w:t>
      </w:r>
      <w:r w:rsidRPr="00AF7E00">
        <w:rPr>
          <w:rFonts w:ascii="Times New Roman" w:hAnsi="Times New Roman"/>
          <w:sz w:val="24"/>
          <w:szCs w:val="24"/>
        </w:rPr>
        <w:t xml:space="preserve">medicines </w:t>
      </w:r>
      <w:r w:rsidR="005D1B10">
        <w:rPr>
          <w:rFonts w:ascii="Times New Roman" w:hAnsi="Times New Roman"/>
          <w:sz w:val="24"/>
          <w:szCs w:val="24"/>
        </w:rPr>
        <w:t>that comply with the </w:t>
      </w:r>
      <w:r w:rsidR="002E4423">
        <w:rPr>
          <w:rFonts w:ascii="Times New Roman" w:hAnsi="Times New Roman"/>
          <w:sz w:val="24"/>
          <w:szCs w:val="24"/>
        </w:rPr>
        <w:t>permissible ingredients</w:t>
      </w:r>
      <w:r w:rsidR="00305950">
        <w:rPr>
          <w:rFonts w:ascii="Times New Roman" w:hAnsi="Times New Roman"/>
          <w:sz w:val="24"/>
          <w:szCs w:val="24"/>
        </w:rPr>
        <w:t xml:space="preserve"> </w:t>
      </w:r>
      <w:r w:rsidR="002E4423">
        <w:rPr>
          <w:rFonts w:ascii="Times New Roman" w:hAnsi="Times New Roman"/>
          <w:sz w:val="24"/>
          <w:szCs w:val="24"/>
        </w:rPr>
        <w:t>d</w:t>
      </w:r>
      <w:r w:rsidR="00305950">
        <w:rPr>
          <w:rFonts w:ascii="Times New Roman" w:hAnsi="Times New Roman"/>
          <w:sz w:val="24"/>
          <w:szCs w:val="24"/>
        </w:rPr>
        <w:t>etermination</w:t>
      </w:r>
      <w:r w:rsidR="002E4423">
        <w:rPr>
          <w:rFonts w:ascii="Times New Roman" w:hAnsi="Times New Roman"/>
          <w:sz w:val="24"/>
          <w:szCs w:val="24"/>
        </w:rPr>
        <w:t xml:space="preserve"> made under section 26BB of the Act</w:t>
      </w:r>
      <w:r w:rsidR="00305950">
        <w:rPr>
          <w:rFonts w:ascii="Times New Roman" w:hAnsi="Times New Roman"/>
          <w:sz w:val="24"/>
          <w:szCs w:val="24"/>
        </w:rPr>
        <w:t xml:space="preserve"> </w:t>
      </w:r>
      <w:r w:rsidRPr="00AF7E00">
        <w:rPr>
          <w:rFonts w:ascii="Times New Roman" w:hAnsi="Times New Roman"/>
          <w:sz w:val="24"/>
          <w:szCs w:val="24"/>
        </w:rPr>
        <w:t>reflects that relevant requirements for such products form part of th</w:t>
      </w:r>
      <w:r w:rsidR="00305950">
        <w:rPr>
          <w:rFonts w:ascii="Times New Roman" w:hAnsi="Times New Roman"/>
          <w:sz w:val="24"/>
          <w:szCs w:val="24"/>
        </w:rPr>
        <w:t>at</w:t>
      </w:r>
      <w:r w:rsidRPr="00AF7E00">
        <w:rPr>
          <w:rFonts w:ascii="Times New Roman" w:hAnsi="Times New Roman"/>
          <w:sz w:val="24"/>
          <w:szCs w:val="24"/>
        </w:rPr>
        <w:t xml:space="preserve"> determination, and </w:t>
      </w:r>
      <w:r w:rsidR="00F66442">
        <w:rPr>
          <w:rFonts w:ascii="Times New Roman" w:hAnsi="Times New Roman"/>
          <w:sz w:val="24"/>
          <w:szCs w:val="24"/>
        </w:rPr>
        <w:t xml:space="preserve">so </w:t>
      </w:r>
      <w:r w:rsidRPr="00AF7E00">
        <w:rPr>
          <w:rFonts w:ascii="Times New Roman" w:hAnsi="Times New Roman"/>
          <w:sz w:val="24"/>
          <w:szCs w:val="24"/>
        </w:rPr>
        <w:t>avoids duplication.</w:t>
      </w:r>
    </w:p>
    <w:p w:rsidR="005D1B10" w:rsidRPr="00AF7E00" w:rsidRDefault="005D1B10" w:rsidP="005D1B10">
      <w:pPr>
        <w:autoSpaceDE w:val="0"/>
        <w:autoSpaceDN w:val="0"/>
        <w:adjustRightInd w:val="0"/>
        <w:spacing w:after="0" w:line="240" w:lineRule="auto"/>
        <w:rPr>
          <w:rFonts w:ascii="Times New Roman" w:hAnsi="Times New Roman"/>
          <w:sz w:val="24"/>
          <w:szCs w:val="24"/>
        </w:rPr>
      </w:pPr>
    </w:p>
    <w:p w:rsidR="006E6314" w:rsidRDefault="00570A2F" w:rsidP="009C21F8">
      <w:pPr>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Background</w:t>
      </w:r>
    </w:p>
    <w:p w:rsidR="005D1B10" w:rsidRPr="006E6314" w:rsidRDefault="005D1B10" w:rsidP="005D1B10">
      <w:pPr>
        <w:spacing w:after="0" w:line="240" w:lineRule="auto"/>
        <w:rPr>
          <w:rFonts w:ascii="Times New Roman" w:eastAsia="Times New Roman" w:hAnsi="Times New Roman" w:cs="Times New Roman"/>
          <w:sz w:val="24"/>
          <w:szCs w:val="24"/>
          <w:lang w:val="en-US" w:eastAsia="en-AU"/>
        </w:rPr>
      </w:pPr>
    </w:p>
    <w:p w:rsidR="006E6314" w:rsidRDefault="006E6314" w:rsidP="009C21F8">
      <w:pPr>
        <w:spacing w:after="0" w:line="240" w:lineRule="auto"/>
        <w:rPr>
          <w:rFonts w:ascii="Times New Roman" w:eastAsia="Times New Roman" w:hAnsi="Times New Roman" w:cs="Times New Roman"/>
          <w:sz w:val="24"/>
          <w:szCs w:val="24"/>
          <w:lang w:eastAsia="en-AU"/>
        </w:rPr>
      </w:pPr>
      <w:r w:rsidRPr="006E6314">
        <w:rPr>
          <w:rFonts w:ascii="Times New Roman" w:eastAsia="Times New Roman" w:hAnsi="Times New Roman" w:cs="Times New Roman"/>
          <w:sz w:val="24"/>
          <w:szCs w:val="24"/>
          <w:lang w:eastAsia="en-AU"/>
        </w:rPr>
        <w:t>Subsection 3(5) of the Act sets out a number of circumstances in which the presentation of therapeutic goods is considered to be unacceptable for the purposes of the Act</w:t>
      </w:r>
      <w:r w:rsidR="00570A2F">
        <w:rPr>
          <w:rFonts w:ascii="Times New Roman" w:eastAsia="Times New Roman" w:hAnsi="Times New Roman" w:cs="Times New Roman"/>
          <w:sz w:val="24"/>
          <w:szCs w:val="24"/>
          <w:lang w:eastAsia="en-AU"/>
        </w:rPr>
        <w:t>. These</w:t>
      </w:r>
      <w:r w:rsidRPr="006E6314">
        <w:rPr>
          <w:rFonts w:ascii="Times New Roman" w:eastAsia="Times New Roman" w:hAnsi="Times New Roman" w:cs="Times New Roman"/>
          <w:sz w:val="24"/>
          <w:szCs w:val="24"/>
          <w:lang w:eastAsia="en-AU"/>
        </w:rPr>
        <w:t xml:space="preserve"> includ</w:t>
      </w:r>
      <w:r w:rsidR="00570A2F">
        <w:rPr>
          <w:rFonts w:ascii="Times New Roman" w:eastAsia="Times New Roman" w:hAnsi="Times New Roman" w:cs="Times New Roman"/>
          <w:sz w:val="24"/>
          <w:szCs w:val="24"/>
          <w:lang w:eastAsia="en-AU"/>
        </w:rPr>
        <w:t>e</w:t>
      </w:r>
      <w:r w:rsidRPr="006E6314">
        <w:rPr>
          <w:rFonts w:ascii="Times New Roman" w:eastAsia="Times New Roman" w:hAnsi="Times New Roman" w:cs="Times New Roman"/>
          <w:sz w:val="24"/>
          <w:szCs w:val="24"/>
          <w:lang w:eastAsia="en-AU"/>
        </w:rPr>
        <w:t>, for example, where the presentation of therapeutic good</w:t>
      </w:r>
      <w:r w:rsidR="005E752F">
        <w:rPr>
          <w:rFonts w:ascii="Times New Roman" w:eastAsia="Times New Roman" w:hAnsi="Times New Roman" w:cs="Times New Roman"/>
          <w:sz w:val="24"/>
          <w:szCs w:val="24"/>
          <w:lang w:eastAsia="en-AU"/>
        </w:rPr>
        <w:t>s</w:t>
      </w:r>
      <w:r w:rsidRPr="006E6314">
        <w:rPr>
          <w:rFonts w:ascii="Times New Roman" w:eastAsia="Times New Roman" w:hAnsi="Times New Roman" w:cs="Times New Roman"/>
          <w:sz w:val="24"/>
          <w:szCs w:val="24"/>
          <w:lang w:eastAsia="en-AU"/>
        </w:rPr>
        <w:t xml:space="preserve"> states or suggests that the goods have ingredients, components or characteristics that they do not have, or where the label of the goods does not declare the presence of a therapeutically active ingredient.</w:t>
      </w:r>
    </w:p>
    <w:p w:rsidR="005D1B10" w:rsidRPr="006E6314" w:rsidRDefault="005D1B10" w:rsidP="005D1B10">
      <w:pPr>
        <w:spacing w:after="0" w:line="240" w:lineRule="auto"/>
        <w:rPr>
          <w:rFonts w:ascii="Times New Roman" w:eastAsia="Times New Roman" w:hAnsi="Times New Roman" w:cs="Times New Roman"/>
          <w:sz w:val="24"/>
          <w:szCs w:val="24"/>
          <w:lang w:val="en-US" w:eastAsia="en-AU"/>
        </w:rPr>
      </w:pPr>
    </w:p>
    <w:p w:rsidR="006E6314" w:rsidRDefault="00570A2F" w:rsidP="009C21F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w:t>
      </w:r>
      <w:r w:rsidR="006E6314" w:rsidRPr="006E6314">
        <w:rPr>
          <w:rFonts w:ascii="Times New Roman" w:eastAsia="Times New Roman" w:hAnsi="Times New Roman" w:cs="Times New Roman"/>
          <w:sz w:val="24"/>
          <w:szCs w:val="24"/>
          <w:lang w:eastAsia="en-AU"/>
        </w:rPr>
        <w:t>paragraph 3(5</w:t>
      </w:r>
      <w:proofErr w:type="gramStart"/>
      <w:r w:rsidR="006E6314" w:rsidRPr="006E6314">
        <w:rPr>
          <w:rFonts w:ascii="Times New Roman" w:eastAsia="Times New Roman" w:hAnsi="Times New Roman" w:cs="Times New Roman"/>
          <w:sz w:val="24"/>
          <w:szCs w:val="24"/>
          <w:lang w:eastAsia="en-AU"/>
        </w:rPr>
        <w:t>)(</w:t>
      </w:r>
      <w:proofErr w:type="gramEnd"/>
      <w:r w:rsidR="006E6314" w:rsidRPr="006E6314">
        <w:rPr>
          <w:rFonts w:ascii="Times New Roman" w:eastAsia="Times New Roman" w:hAnsi="Times New Roman" w:cs="Times New Roman"/>
          <w:sz w:val="24"/>
          <w:szCs w:val="24"/>
          <w:lang w:eastAsia="en-AU"/>
        </w:rPr>
        <w:t xml:space="preserve">ca) of the Act, </w:t>
      </w:r>
      <w:r>
        <w:rPr>
          <w:rFonts w:ascii="Times New Roman" w:eastAsia="Times New Roman" w:hAnsi="Times New Roman" w:cs="Times New Roman"/>
          <w:sz w:val="24"/>
          <w:szCs w:val="24"/>
          <w:lang w:eastAsia="en-AU"/>
        </w:rPr>
        <w:t xml:space="preserve">the presentation of therapeutic goods is unacceptable </w:t>
      </w:r>
      <w:r w:rsidR="006E6314" w:rsidRPr="006E6314">
        <w:rPr>
          <w:rFonts w:ascii="Times New Roman" w:eastAsia="Times New Roman" w:hAnsi="Times New Roman" w:cs="Times New Roman"/>
          <w:sz w:val="24"/>
          <w:szCs w:val="24"/>
          <w:lang w:eastAsia="en-AU"/>
        </w:rPr>
        <w:t xml:space="preserve">where the goods are medicine that are included in a class of medicine prescribed by the </w:t>
      </w:r>
      <w:r w:rsidR="006E6314" w:rsidRPr="006E6314">
        <w:rPr>
          <w:rFonts w:ascii="Times New Roman" w:eastAsia="Times New Roman" w:hAnsi="Times New Roman" w:cs="Times New Roman"/>
          <w:sz w:val="24"/>
          <w:szCs w:val="24"/>
          <w:lang w:eastAsia="en-AU"/>
        </w:rPr>
        <w:lastRenderedPageBreak/>
        <w:t>Regulations for the purposes of that paragraph, and where the medicine’s label does not contain the advisory statements specified under subsection 3(5A) of the Act in relation to th</w:t>
      </w:r>
      <w:r w:rsidR="00832807">
        <w:rPr>
          <w:rFonts w:ascii="Times New Roman" w:eastAsia="Times New Roman" w:hAnsi="Times New Roman" w:cs="Times New Roman"/>
          <w:sz w:val="24"/>
          <w:szCs w:val="24"/>
          <w:lang w:eastAsia="en-AU"/>
        </w:rPr>
        <w:t>at</w:t>
      </w:r>
      <w:r w:rsidR="006E6314" w:rsidRPr="006E6314">
        <w:rPr>
          <w:rFonts w:ascii="Times New Roman" w:eastAsia="Times New Roman" w:hAnsi="Times New Roman" w:cs="Times New Roman"/>
          <w:sz w:val="24"/>
          <w:szCs w:val="24"/>
          <w:lang w:eastAsia="en-AU"/>
        </w:rPr>
        <w:t xml:space="preserve"> medicine.</w:t>
      </w:r>
    </w:p>
    <w:p w:rsidR="005D1B10" w:rsidRPr="006E6314" w:rsidRDefault="005D1B10" w:rsidP="005D1B10">
      <w:pPr>
        <w:spacing w:after="0" w:line="240" w:lineRule="auto"/>
        <w:rPr>
          <w:rFonts w:ascii="Times New Roman" w:eastAsia="Times New Roman" w:hAnsi="Times New Roman" w:cs="Times New Roman"/>
          <w:sz w:val="24"/>
          <w:szCs w:val="24"/>
          <w:lang w:val="en-US" w:eastAsia="en-AU"/>
        </w:rPr>
      </w:pPr>
    </w:p>
    <w:p w:rsidR="006E6314" w:rsidRDefault="006E6314" w:rsidP="009C21F8">
      <w:pPr>
        <w:spacing w:after="0" w:line="240" w:lineRule="auto"/>
        <w:rPr>
          <w:rFonts w:ascii="Times New Roman" w:eastAsia="Times New Roman" w:hAnsi="Times New Roman" w:cs="Times New Roman"/>
          <w:sz w:val="24"/>
          <w:szCs w:val="24"/>
          <w:lang w:eastAsia="en-AU"/>
        </w:rPr>
      </w:pPr>
      <w:r w:rsidRPr="006E6314">
        <w:rPr>
          <w:rFonts w:ascii="Times New Roman" w:eastAsia="Times New Roman" w:hAnsi="Times New Roman" w:cs="Times New Roman"/>
          <w:sz w:val="24"/>
          <w:szCs w:val="24"/>
          <w:lang w:eastAsia="en-AU"/>
        </w:rPr>
        <w:t xml:space="preserve">Subsection 3(5A) of the Act authorises the Minister to make a legislative instrument specifying advisory statements in relation to </w:t>
      </w:r>
      <w:r w:rsidR="00D00F31">
        <w:rPr>
          <w:rFonts w:ascii="Times New Roman" w:eastAsia="Times New Roman" w:hAnsi="Times New Roman" w:cs="Times New Roman"/>
          <w:sz w:val="24"/>
          <w:szCs w:val="24"/>
          <w:lang w:eastAsia="en-AU"/>
        </w:rPr>
        <w:t xml:space="preserve">such </w:t>
      </w:r>
      <w:r w:rsidRPr="006E6314">
        <w:rPr>
          <w:rFonts w:ascii="Times New Roman" w:eastAsia="Times New Roman" w:hAnsi="Times New Roman" w:cs="Times New Roman"/>
          <w:sz w:val="24"/>
          <w:szCs w:val="24"/>
          <w:lang w:eastAsia="en-AU"/>
        </w:rPr>
        <w:t>medicine</w:t>
      </w:r>
      <w:r w:rsidR="00401129">
        <w:rPr>
          <w:rFonts w:ascii="Times New Roman" w:eastAsia="Times New Roman" w:hAnsi="Times New Roman" w:cs="Times New Roman"/>
          <w:sz w:val="24"/>
          <w:szCs w:val="24"/>
          <w:lang w:eastAsia="en-AU"/>
        </w:rPr>
        <w:t>s</w:t>
      </w:r>
      <w:r w:rsidRPr="006E6314">
        <w:rPr>
          <w:rFonts w:ascii="Times New Roman" w:eastAsia="Times New Roman" w:hAnsi="Times New Roman" w:cs="Times New Roman"/>
          <w:sz w:val="24"/>
          <w:szCs w:val="24"/>
          <w:lang w:eastAsia="en-AU"/>
        </w:rPr>
        <w:t xml:space="preserve"> for the purposes of paragraph 3(5</w:t>
      </w:r>
      <w:proofErr w:type="gramStart"/>
      <w:r w:rsidRPr="006E6314">
        <w:rPr>
          <w:rFonts w:ascii="Times New Roman" w:eastAsia="Times New Roman" w:hAnsi="Times New Roman" w:cs="Times New Roman"/>
          <w:sz w:val="24"/>
          <w:szCs w:val="24"/>
          <w:lang w:eastAsia="en-AU"/>
        </w:rPr>
        <w:t>)(</w:t>
      </w:r>
      <w:proofErr w:type="gramEnd"/>
      <w:r w:rsidRPr="006E6314">
        <w:rPr>
          <w:rFonts w:ascii="Times New Roman" w:eastAsia="Times New Roman" w:hAnsi="Times New Roman" w:cs="Times New Roman"/>
          <w:sz w:val="24"/>
          <w:szCs w:val="24"/>
          <w:lang w:eastAsia="en-AU"/>
        </w:rPr>
        <w:t>ca) of the Act.</w:t>
      </w:r>
    </w:p>
    <w:p w:rsidR="005D1B10" w:rsidRDefault="005D1B10" w:rsidP="005D1B10">
      <w:pPr>
        <w:spacing w:after="0" w:line="240" w:lineRule="auto"/>
        <w:rPr>
          <w:rFonts w:ascii="Times New Roman" w:eastAsia="Times New Roman" w:hAnsi="Times New Roman" w:cs="Times New Roman"/>
          <w:sz w:val="24"/>
          <w:szCs w:val="24"/>
          <w:lang w:eastAsia="en-AU"/>
        </w:rPr>
      </w:pPr>
    </w:p>
    <w:p w:rsidR="0055666B" w:rsidRDefault="0055666B" w:rsidP="009C21F8">
      <w:pPr>
        <w:spacing w:after="0" w:line="240" w:lineRule="auto"/>
        <w:rPr>
          <w:rFonts w:ascii="Times New Roman" w:eastAsia="Times New Roman" w:hAnsi="Times New Roman" w:cs="Times New Roman"/>
          <w:sz w:val="24"/>
          <w:szCs w:val="24"/>
          <w:lang w:eastAsia="en-AU"/>
        </w:rPr>
      </w:pPr>
      <w:r w:rsidRPr="006E6314">
        <w:rPr>
          <w:rFonts w:ascii="Times New Roman" w:eastAsia="Times New Roman" w:hAnsi="Times New Roman" w:cs="Times New Roman"/>
          <w:sz w:val="24"/>
          <w:szCs w:val="24"/>
          <w:lang w:eastAsia="en-AU"/>
        </w:rPr>
        <w:t xml:space="preserve">The main kinds of medicines required to comply with the Specification are </w:t>
      </w:r>
      <w:r w:rsidR="00D00F31">
        <w:rPr>
          <w:rFonts w:ascii="Times New Roman" w:eastAsia="Times New Roman" w:hAnsi="Times New Roman" w:cs="Times New Roman"/>
          <w:sz w:val="24"/>
          <w:szCs w:val="24"/>
          <w:lang w:eastAsia="en-AU"/>
        </w:rPr>
        <w:t xml:space="preserve">OTC </w:t>
      </w:r>
      <w:r w:rsidRPr="006E6314">
        <w:rPr>
          <w:rFonts w:ascii="Times New Roman" w:eastAsia="Times New Roman" w:hAnsi="Times New Roman" w:cs="Times New Roman"/>
          <w:sz w:val="24"/>
          <w:szCs w:val="24"/>
          <w:lang w:eastAsia="en-AU"/>
        </w:rPr>
        <w:t xml:space="preserve">and </w:t>
      </w:r>
      <w:r w:rsidR="00134CDB">
        <w:rPr>
          <w:rFonts w:ascii="Times New Roman" w:eastAsia="Times New Roman" w:hAnsi="Times New Roman" w:cs="Times New Roman"/>
          <w:sz w:val="24"/>
          <w:szCs w:val="24"/>
          <w:lang w:eastAsia="en-AU"/>
        </w:rPr>
        <w:t xml:space="preserve">registered </w:t>
      </w:r>
      <w:r w:rsidRPr="006E6314">
        <w:rPr>
          <w:rFonts w:ascii="Times New Roman" w:eastAsia="Times New Roman" w:hAnsi="Times New Roman" w:cs="Times New Roman"/>
          <w:sz w:val="24"/>
          <w:szCs w:val="24"/>
          <w:lang w:eastAsia="en-AU"/>
        </w:rPr>
        <w:t>complementary medicines. Prescription medicines</w:t>
      </w:r>
      <w:r w:rsidR="00D00F31">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 xml:space="preserve"> and medicines such as radiopharmaceuticals and medical gases that are not usually supplied directly to consumers, are not within the scope of the instrument</w:t>
      </w:r>
      <w:r w:rsidR="002E4423">
        <w:rPr>
          <w:rFonts w:ascii="Times New Roman" w:eastAsia="Times New Roman" w:hAnsi="Times New Roman" w:cs="Times New Roman"/>
          <w:sz w:val="24"/>
          <w:szCs w:val="24"/>
          <w:lang w:eastAsia="en-AU"/>
        </w:rPr>
        <w:t>.</w:t>
      </w:r>
      <w:r w:rsidR="00D00F31">
        <w:rPr>
          <w:rFonts w:ascii="Times New Roman" w:eastAsia="Times New Roman" w:hAnsi="Times New Roman" w:cs="Times New Roman"/>
          <w:sz w:val="24"/>
          <w:szCs w:val="24"/>
          <w:lang w:eastAsia="en-AU"/>
        </w:rPr>
        <w:t xml:space="preserve"> L</w:t>
      </w:r>
      <w:r w:rsidR="00134CDB">
        <w:rPr>
          <w:rFonts w:ascii="Times New Roman" w:eastAsia="Times New Roman" w:hAnsi="Times New Roman" w:cs="Times New Roman"/>
          <w:sz w:val="24"/>
          <w:szCs w:val="24"/>
          <w:lang w:eastAsia="en-AU"/>
        </w:rPr>
        <w:t>isted complementary medicines (i.e. medicines that are listed in the Register under section 26A of the Act)</w:t>
      </w:r>
      <w:r w:rsidR="00D00F31">
        <w:rPr>
          <w:rFonts w:ascii="Times New Roman" w:eastAsia="Times New Roman" w:hAnsi="Times New Roman" w:cs="Times New Roman"/>
          <w:sz w:val="24"/>
          <w:szCs w:val="24"/>
          <w:lang w:eastAsia="en-AU"/>
        </w:rPr>
        <w:t xml:space="preserve"> are also</w:t>
      </w:r>
      <w:r w:rsidR="00B61716">
        <w:rPr>
          <w:rFonts w:ascii="Times New Roman" w:eastAsia="Times New Roman" w:hAnsi="Times New Roman" w:cs="Times New Roman"/>
          <w:sz w:val="24"/>
          <w:szCs w:val="24"/>
          <w:lang w:eastAsia="en-AU"/>
        </w:rPr>
        <w:t> </w:t>
      </w:r>
      <w:r w:rsidR="00D00F31">
        <w:rPr>
          <w:rFonts w:ascii="Times New Roman" w:eastAsia="Times New Roman" w:hAnsi="Times New Roman" w:cs="Times New Roman"/>
          <w:sz w:val="24"/>
          <w:szCs w:val="24"/>
          <w:lang w:eastAsia="en-AU"/>
        </w:rPr>
        <w:t>not subject to the Specification,</w:t>
      </w:r>
      <w:r w:rsidR="00134CDB">
        <w:rPr>
          <w:rFonts w:ascii="Times New Roman" w:eastAsia="Times New Roman" w:hAnsi="Times New Roman" w:cs="Times New Roman"/>
          <w:sz w:val="24"/>
          <w:szCs w:val="24"/>
          <w:lang w:eastAsia="en-AU"/>
        </w:rPr>
        <w:t xml:space="preserve"> provided </w:t>
      </w:r>
      <w:r w:rsidR="00D00F31">
        <w:rPr>
          <w:rFonts w:ascii="Times New Roman" w:eastAsia="Times New Roman" w:hAnsi="Times New Roman" w:cs="Times New Roman"/>
          <w:sz w:val="24"/>
          <w:szCs w:val="24"/>
          <w:lang w:eastAsia="en-AU"/>
        </w:rPr>
        <w:t xml:space="preserve">that </w:t>
      </w:r>
      <w:r w:rsidR="00832807">
        <w:rPr>
          <w:rFonts w:ascii="Times New Roman" w:eastAsia="Times New Roman" w:hAnsi="Times New Roman" w:cs="Times New Roman"/>
          <w:sz w:val="24"/>
          <w:szCs w:val="24"/>
          <w:lang w:eastAsia="en-AU"/>
        </w:rPr>
        <w:t xml:space="preserve">those medicines </w:t>
      </w:r>
      <w:r w:rsidR="00134CDB">
        <w:rPr>
          <w:rFonts w:ascii="Times New Roman" w:eastAsia="Times New Roman" w:hAnsi="Times New Roman" w:cs="Times New Roman"/>
          <w:sz w:val="24"/>
          <w:szCs w:val="24"/>
          <w:lang w:eastAsia="en-AU"/>
        </w:rPr>
        <w:t>comply with the requirements of the permissible ingredients determination made by the Minister in respect of such products under section 26BB of the Act</w:t>
      </w:r>
      <w:r w:rsidRPr="006E6314">
        <w:rPr>
          <w:rFonts w:ascii="Times New Roman" w:eastAsia="Times New Roman" w:hAnsi="Times New Roman" w:cs="Times New Roman"/>
          <w:sz w:val="24"/>
          <w:szCs w:val="24"/>
          <w:lang w:eastAsia="en-AU"/>
        </w:rPr>
        <w:t>.</w:t>
      </w:r>
    </w:p>
    <w:p w:rsidR="005D1B10" w:rsidRPr="006E6314" w:rsidRDefault="005D1B10" w:rsidP="005D1B10">
      <w:pPr>
        <w:spacing w:after="0" w:line="240" w:lineRule="auto"/>
        <w:rPr>
          <w:rFonts w:ascii="Times New Roman" w:eastAsia="Times New Roman" w:hAnsi="Times New Roman" w:cs="Times New Roman"/>
          <w:sz w:val="24"/>
          <w:szCs w:val="24"/>
          <w:lang w:val="en-US" w:eastAsia="en-AU"/>
        </w:rPr>
      </w:pPr>
    </w:p>
    <w:p w:rsidR="0055666B" w:rsidRDefault="0055666B" w:rsidP="009C21F8">
      <w:pPr>
        <w:spacing w:after="0" w:line="240" w:lineRule="auto"/>
        <w:rPr>
          <w:rFonts w:ascii="Times New Roman" w:eastAsia="Times New Roman" w:hAnsi="Times New Roman" w:cs="Times New Roman"/>
          <w:sz w:val="24"/>
          <w:szCs w:val="24"/>
          <w:lang w:eastAsia="en-AU"/>
        </w:rPr>
      </w:pPr>
      <w:r w:rsidRPr="006E6314">
        <w:rPr>
          <w:rFonts w:ascii="Times New Roman" w:eastAsia="Times New Roman" w:hAnsi="Times New Roman" w:cs="Times New Roman"/>
          <w:sz w:val="24"/>
          <w:szCs w:val="24"/>
          <w:lang w:eastAsia="en-AU"/>
        </w:rPr>
        <w:t>The advi</w:t>
      </w:r>
      <w:r>
        <w:rPr>
          <w:rFonts w:ascii="Times New Roman" w:eastAsia="Times New Roman" w:hAnsi="Times New Roman" w:cs="Times New Roman"/>
          <w:sz w:val="24"/>
          <w:szCs w:val="24"/>
          <w:lang w:eastAsia="en-AU"/>
        </w:rPr>
        <w:t xml:space="preserve">sory statements set out in the </w:t>
      </w:r>
      <w:r w:rsidRPr="006E6314">
        <w:rPr>
          <w:rFonts w:ascii="Times New Roman" w:eastAsia="Times New Roman" w:hAnsi="Times New Roman" w:cs="Times New Roman"/>
          <w:sz w:val="24"/>
          <w:szCs w:val="24"/>
          <w:lang w:eastAsia="en-AU"/>
        </w:rPr>
        <w:t xml:space="preserve">Specification are designed to address specific risks related to the use of </w:t>
      </w:r>
      <w:r w:rsidR="00D00F31">
        <w:rPr>
          <w:rFonts w:ascii="Times New Roman" w:eastAsia="Times New Roman" w:hAnsi="Times New Roman" w:cs="Times New Roman"/>
          <w:sz w:val="24"/>
          <w:szCs w:val="24"/>
          <w:lang w:eastAsia="en-AU"/>
        </w:rPr>
        <w:t xml:space="preserve">OTC and registered complementary </w:t>
      </w:r>
      <w:r w:rsidRPr="006E6314">
        <w:rPr>
          <w:rFonts w:ascii="Times New Roman" w:eastAsia="Times New Roman" w:hAnsi="Times New Roman" w:cs="Times New Roman"/>
          <w:sz w:val="24"/>
          <w:szCs w:val="24"/>
          <w:lang w:eastAsia="en-AU"/>
        </w:rPr>
        <w:t xml:space="preserve">medicines that have been identified </w:t>
      </w:r>
      <w:r w:rsidR="00AA7074">
        <w:rPr>
          <w:rFonts w:ascii="Times New Roman" w:eastAsia="Times New Roman" w:hAnsi="Times New Roman" w:cs="Times New Roman"/>
          <w:sz w:val="24"/>
          <w:szCs w:val="24"/>
          <w:lang w:eastAsia="en-AU"/>
        </w:rPr>
        <w:t>by means of</w:t>
      </w:r>
      <w:r w:rsidR="00AA7074" w:rsidRPr="006E6314">
        <w:rPr>
          <w:rFonts w:ascii="Times New Roman" w:eastAsia="Times New Roman" w:hAnsi="Times New Roman" w:cs="Times New Roman"/>
          <w:sz w:val="24"/>
          <w:szCs w:val="24"/>
          <w:lang w:eastAsia="en-AU"/>
        </w:rPr>
        <w:t xml:space="preserve"> </w:t>
      </w:r>
      <w:r w:rsidRPr="006E6314">
        <w:rPr>
          <w:rFonts w:ascii="Times New Roman" w:eastAsia="Times New Roman" w:hAnsi="Times New Roman" w:cs="Times New Roman"/>
          <w:sz w:val="24"/>
          <w:szCs w:val="24"/>
          <w:lang w:eastAsia="en-AU"/>
        </w:rPr>
        <w:t xml:space="preserve">pharmacovigilance activities, testing, adverse event reports or other scientific or clinical information. Having advisory statements on medicine labels </w:t>
      </w:r>
      <w:r w:rsidR="00D00F31">
        <w:rPr>
          <w:rFonts w:ascii="Times New Roman" w:eastAsia="Times New Roman" w:hAnsi="Times New Roman" w:cs="Times New Roman"/>
          <w:sz w:val="24"/>
          <w:szCs w:val="24"/>
          <w:lang w:eastAsia="en-AU"/>
        </w:rPr>
        <w:t xml:space="preserve">is designed to </w:t>
      </w:r>
      <w:r w:rsidRPr="006E6314">
        <w:rPr>
          <w:rFonts w:ascii="Times New Roman" w:eastAsia="Times New Roman" w:hAnsi="Times New Roman" w:cs="Times New Roman"/>
          <w:sz w:val="24"/>
          <w:szCs w:val="24"/>
          <w:lang w:eastAsia="en-AU"/>
        </w:rPr>
        <w:t>ensure that consumers are informed about these risks.</w:t>
      </w:r>
    </w:p>
    <w:p w:rsidR="005D1B10" w:rsidRPr="006E6314" w:rsidRDefault="005D1B10" w:rsidP="005D1B10">
      <w:pPr>
        <w:spacing w:after="0" w:line="240" w:lineRule="auto"/>
        <w:rPr>
          <w:rFonts w:ascii="Times New Roman" w:eastAsia="Times New Roman" w:hAnsi="Times New Roman" w:cs="Times New Roman"/>
          <w:sz w:val="24"/>
          <w:szCs w:val="24"/>
          <w:lang w:val="en-US" w:eastAsia="en-AU"/>
        </w:rPr>
      </w:pPr>
    </w:p>
    <w:p w:rsidR="0055666B" w:rsidRDefault="0055666B" w:rsidP="009C21F8">
      <w:pPr>
        <w:pStyle w:val="ListParagraph"/>
        <w:autoSpaceDE w:val="0"/>
        <w:autoSpaceDN w:val="0"/>
        <w:adjustRightInd w:val="0"/>
        <w:spacing w:before="0" w:beforeAutospacing="0" w:after="0" w:afterAutospacing="0"/>
      </w:pPr>
      <w:r>
        <w:t xml:space="preserve">The need for new advisory statements to be included on the labels of </w:t>
      </w:r>
      <w:r w:rsidR="00D00F31">
        <w:t>these</w:t>
      </w:r>
      <w:r>
        <w:t xml:space="preserve"> medicines may arise for a number of reasons, including the entry of new medicines into the market, the identification of new risks associated with particular medicines and “down-scheduling” of medicines in the Poisons Standard.</w:t>
      </w:r>
    </w:p>
    <w:p w:rsidR="005D1B10" w:rsidRDefault="005D1B10" w:rsidP="005D1B10">
      <w:pPr>
        <w:pStyle w:val="ListParagraph"/>
        <w:autoSpaceDE w:val="0"/>
        <w:autoSpaceDN w:val="0"/>
        <w:adjustRightInd w:val="0"/>
        <w:spacing w:before="0" w:beforeAutospacing="0" w:after="0" w:afterAutospacing="0"/>
      </w:pPr>
    </w:p>
    <w:p w:rsidR="0055666B" w:rsidRDefault="0055666B" w:rsidP="009C21F8">
      <w:pPr>
        <w:pStyle w:val="ListParagraph"/>
        <w:autoSpaceDE w:val="0"/>
        <w:autoSpaceDN w:val="0"/>
        <w:adjustRightInd w:val="0"/>
        <w:spacing w:before="0" w:beforeAutospacing="0" w:after="0" w:afterAutospacing="0"/>
      </w:pPr>
      <w:r>
        <w:t>“Down-scheduling” refers to where the Secretary</w:t>
      </w:r>
      <w:r w:rsidR="00A20A86">
        <w:t xml:space="preserve"> amends the Poisons Standard to</w:t>
      </w:r>
      <w:r>
        <w:t xml:space="preserve"> move a medicine from a higher risk schedule to a lower risk schedule, meaning an affected product may then be more widely available for self-selection by consumers. Consequently, there may be a need in such circumstances for advisory statements to help consumers to self-select in an informed manner and to use such medicines safely and effectively.</w:t>
      </w:r>
    </w:p>
    <w:p w:rsidR="005D1B10" w:rsidRDefault="005D1B10" w:rsidP="005D1B10">
      <w:pPr>
        <w:pStyle w:val="ListParagraph"/>
        <w:autoSpaceDE w:val="0"/>
        <w:autoSpaceDN w:val="0"/>
        <w:adjustRightInd w:val="0"/>
        <w:spacing w:before="0" w:beforeAutospacing="0" w:after="0" w:afterAutospacing="0"/>
      </w:pPr>
    </w:p>
    <w:p w:rsidR="00A109A2" w:rsidRPr="00F15D77" w:rsidRDefault="005E752F" w:rsidP="009C21F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B49D5" w:rsidRPr="00F15D77">
        <w:rPr>
          <w:rFonts w:ascii="Times New Roman" w:eastAsia="Times New Roman" w:hAnsi="Times New Roman" w:cs="Times New Roman"/>
          <w:sz w:val="24"/>
          <w:szCs w:val="24"/>
          <w:lang w:eastAsia="en-AU"/>
        </w:rPr>
        <w:t xml:space="preserve">he </w:t>
      </w:r>
      <w:r w:rsidR="00BA6FE1" w:rsidRPr="00F15D77">
        <w:rPr>
          <w:rFonts w:ascii="Times New Roman" w:eastAsia="Times New Roman" w:hAnsi="Times New Roman" w:cs="Times New Roman"/>
          <w:sz w:val="24"/>
          <w:szCs w:val="24"/>
          <w:lang w:eastAsia="en-AU"/>
        </w:rPr>
        <w:t xml:space="preserve">Schedule to the </w:t>
      </w:r>
      <w:r w:rsidR="008B49D5" w:rsidRPr="00F15D77">
        <w:rPr>
          <w:rFonts w:ascii="Times New Roman" w:eastAsia="Times New Roman" w:hAnsi="Times New Roman" w:cs="Times New Roman"/>
          <w:sz w:val="24"/>
          <w:szCs w:val="24"/>
          <w:lang w:eastAsia="en-AU"/>
        </w:rPr>
        <w:t xml:space="preserve">Specification </w:t>
      </w:r>
      <w:r w:rsidR="00487EC6">
        <w:rPr>
          <w:rFonts w:ascii="Times New Roman" w:eastAsia="Times New Roman" w:hAnsi="Times New Roman" w:cs="Times New Roman"/>
          <w:sz w:val="24"/>
          <w:szCs w:val="24"/>
          <w:lang w:eastAsia="en-AU"/>
        </w:rPr>
        <w:t>is</w:t>
      </w:r>
      <w:r w:rsidR="00487EC6" w:rsidRPr="00F15D77">
        <w:rPr>
          <w:rFonts w:ascii="Times New Roman" w:eastAsia="Times New Roman" w:hAnsi="Times New Roman" w:cs="Times New Roman"/>
          <w:sz w:val="24"/>
          <w:szCs w:val="24"/>
          <w:lang w:eastAsia="en-AU"/>
        </w:rPr>
        <w:t xml:space="preserve"> </w:t>
      </w:r>
      <w:r w:rsidR="00A109A2" w:rsidRPr="00F15D77">
        <w:rPr>
          <w:rFonts w:ascii="Times New Roman" w:eastAsia="Times New Roman" w:hAnsi="Times New Roman" w:cs="Times New Roman"/>
          <w:sz w:val="24"/>
          <w:szCs w:val="24"/>
          <w:lang w:eastAsia="en-AU"/>
        </w:rPr>
        <w:t>principally</w:t>
      </w:r>
      <w:r w:rsidR="008B49D5" w:rsidRPr="00F15D77">
        <w:rPr>
          <w:rFonts w:ascii="Times New Roman" w:eastAsia="Times New Roman" w:hAnsi="Times New Roman" w:cs="Times New Roman"/>
          <w:sz w:val="24"/>
          <w:szCs w:val="24"/>
          <w:lang w:eastAsia="en-AU"/>
        </w:rPr>
        <w:t xml:space="preserve"> based on </w:t>
      </w:r>
      <w:r w:rsidR="00487EC6">
        <w:rPr>
          <w:rFonts w:ascii="Times New Roman" w:eastAsia="Times New Roman" w:hAnsi="Times New Roman" w:cs="Times New Roman"/>
          <w:sz w:val="24"/>
          <w:szCs w:val="24"/>
          <w:lang w:eastAsia="en-AU"/>
        </w:rPr>
        <w:t>the most recent</w:t>
      </w:r>
      <w:r w:rsidR="00BA6FE1" w:rsidRPr="00F15D77">
        <w:rPr>
          <w:rFonts w:ascii="Times New Roman" w:eastAsia="Times New Roman" w:hAnsi="Times New Roman" w:cs="Times New Roman"/>
          <w:sz w:val="24"/>
          <w:szCs w:val="24"/>
          <w:lang w:eastAsia="en-AU"/>
        </w:rPr>
        <w:t xml:space="preserve"> version of the </w:t>
      </w:r>
      <w:r w:rsidR="005D1B10">
        <w:rPr>
          <w:rFonts w:ascii="Times New Roman" w:eastAsia="Times New Roman" w:hAnsi="Times New Roman" w:cs="Times New Roman"/>
          <w:sz w:val="24"/>
          <w:szCs w:val="24"/>
          <w:lang w:eastAsia="en-AU"/>
        </w:rPr>
        <w:t>TGA </w:t>
      </w:r>
      <w:r w:rsidR="008B49D5" w:rsidRPr="00F15D77">
        <w:rPr>
          <w:rFonts w:ascii="Times New Roman" w:eastAsia="Times New Roman" w:hAnsi="Times New Roman" w:cs="Times New Roman"/>
          <w:sz w:val="24"/>
          <w:szCs w:val="24"/>
          <w:lang w:eastAsia="en-AU"/>
        </w:rPr>
        <w:t xml:space="preserve">document </w:t>
      </w:r>
      <w:r w:rsidR="00BA6FE1" w:rsidRPr="00F15D77">
        <w:rPr>
          <w:rFonts w:ascii="Times New Roman" w:eastAsia="Times New Roman" w:hAnsi="Times New Roman" w:cs="Times New Roman"/>
          <w:sz w:val="24"/>
          <w:szCs w:val="24"/>
          <w:lang w:eastAsia="en-AU"/>
        </w:rPr>
        <w:t>t</w:t>
      </w:r>
      <w:r w:rsidR="008B49D5" w:rsidRPr="00F15D77">
        <w:rPr>
          <w:rFonts w:ascii="Times New Roman" w:eastAsia="Times New Roman" w:hAnsi="Times New Roman" w:cs="Times New Roman"/>
          <w:sz w:val="24"/>
          <w:szCs w:val="24"/>
          <w:lang w:eastAsia="en-AU"/>
        </w:rPr>
        <w:t xml:space="preserve">he </w:t>
      </w:r>
      <w:r w:rsidR="00BA6FE1" w:rsidRPr="00F15D77">
        <w:rPr>
          <w:rFonts w:ascii="Times New Roman" w:eastAsia="Times New Roman" w:hAnsi="Times New Roman" w:cs="Times New Roman"/>
          <w:sz w:val="24"/>
          <w:szCs w:val="24"/>
          <w:lang w:eastAsia="en-AU"/>
        </w:rPr>
        <w:t>‘</w:t>
      </w:r>
      <w:r w:rsidR="008B49D5" w:rsidRPr="00F15D77">
        <w:rPr>
          <w:rFonts w:ascii="Times New Roman" w:eastAsia="Times New Roman" w:hAnsi="Times New Roman" w:cs="Times New Roman"/>
          <w:i/>
          <w:sz w:val="24"/>
          <w:szCs w:val="24"/>
          <w:lang w:eastAsia="en-AU"/>
        </w:rPr>
        <w:t>Required Advisory Statements for Medicine Labels</w:t>
      </w:r>
      <w:r w:rsidR="00BA6FE1" w:rsidRPr="00F15D77">
        <w:rPr>
          <w:rFonts w:ascii="Times New Roman" w:eastAsia="Times New Roman" w:hAnsi="Times New Roman" w:cs="Times New Roman"/>
          <w:sz w:val="24"/>
          <w:szCs w:val="24"/>
          <w:lang w:eastAsia="en-AU"/>
        </w:rPr>
        <w:t>’</w:t>
      </w:r>
      <w:r w:rsidR="008B49D5" w:rsidRPr="00F15D77">
        <w:rPr>
          <w:rFonts w:ascii="Times New Roman" w:eastAsia="Times New Roman" w:hAnsi="Times New Roman" w:cs="Times New Roman"/>
          <w:sz w:val="24"/>
          <w:szCs w:val="24"/>
          <w:lang w:eastAsia="en-AU"/>
        </w:rPr>
        <w:t xml:space="preserve"> (</w:t>
      </w:r>
      <w:r w:rsidR="00CC1E4A">
        <w:rPr>
          <w:rFonts w:ascii="Times New Roman" w:eastAsia="Times New Roman" w:hAnsi="Times New Roman" w:cs="Times New Roman"/>
          <w:sz w:val="24"/>
          <w:szCs w:val="24"/>
          <w:lang w:eastAsia="en-AU"/>
        </w:rPr>
        <w:t>“</w:t>
      </w:r>
      <w:r w:rsidR="008B49D5" w:rsidRPr="00F15D77">
        <w:rPr>
          <w:rFonts w:ascii="Times New Roman" w:eastAsia="Times New Roman" w:hAnsi="Times New Roman" w:cs="Times New Roman"/>
          <w:sz w:val="24"/>
          <w:szCs w:val="24"/>
          <w:lang w:eastAsia="en-AU"/>
        </w:rPr>
        <w:t>the RASML</w:t>
      </w:r>
      <w:r w:rsidR="00CC1E4A">
        <w:rPr>
          <w:rFonts w:ascii="Times New Roman" w:eastAsia="Times New Roman" w:hAnsi="Times New Roman" w:cs="Times New Roman"/>
          <w:sz w:val="24"/>
          <w:szCs w:val="24"/>
          <w:lang w:eastAsia="en-AU"/>
        </w:rPr>
        <w:t>”</w:t>
      </w:r>
      <w:r w:rsidR="008B49D5" w:rsidRPr="00F15D77">
        <w:rPr>
          <w:rFonts w:ascii="Times New Roman" w:eastAsia="Times New Roman" w:hAnsi="Times New Roman" w:cs="Times New Roman"/>
          <w:sz w:val="24"/>
          <w:szCs w:val="24"/>
          <w:lang w:eastAsia="en-AU"/>
        </w:rPr>
        <w:t>).</w:t>
      </w:r>
    </w:p>
    <w:p w:rsidR="005D1B10" w:rsidRDefault="005D1B10" w:rsidP="005D1B10">
      <w:pPr>
        <w:spacing w:after="0" w:line="240" w:lineRule="auto"/>
        <w:rPr>
          <w:rFonts w:ascii="Times New Roman" w:eastAsia="Times New Roman" w:hAnsi="Times New Roman" w:cs="Times New Roman"/>
          <w:sz w:val="24"/>
          <w:szCs w:val="24"/>
          <w:lang w:eastAsia="en-AU"/>
        </w:rPr>
      </w:pPr>
    </w:p>
    <w:p w:rsidR="00A109A2" w:rsidRDefault="001F4BBD" w:rsidP="009C21F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val="en-US" w:eastAsia="en-AU"/>
        </w:rPr>
        <w:t>T</w:t>
      </w:r>
      <w:r w:rsidRPr="0055666B">
        <w:rPr>
          <w:rFonts w:ascii="Times New Roman" w:eastAsia="Times New Roman" w:hAnsi="Times New Roman" w:cs="Times New Roman"/>
          <w:sz w:val="24"/>
          <w:szCs w:val="24"/>
          <w:lang w:val="en-US" w:eastAsia="en-AU"/>
        </w:rPr>
        <w:t xml:space="preserve">he </w:t>
      </w:r>
      <w:r>
        <w:rPr>
          <w:rFonts w:ascii="Times New Roman" w:eastAsia="Times New Roman" w:hAnsi="Times New Roman" w:cs="Times New Roman"/>
          <w:sz w:val="24"/>
          <w:szCs w:val="24"/>
          <w:lang w:val="en-US" w:eastAsia="en-AU"/>
        </w:rPr>
        <w:t>Specification</w:t>
      </w:r>
      <w:r w:rsidRPr="0055666B">
        <w:rPr>
          <w:rFonts w:ascii="Times New Roman" w:eastAsia="Times New Roman" w:hAnsi="Times New Roman" w:cs="Times New Roman"/>
          <w:sz w:val="24"/>
          <w:szCs w:val="24"/>
          <w:lang w:val="en-US" w:eastAsia="en-AU"/>
        </w:rPr>
        <w:t xml:space="preserve"> </w:t>
      </w:r>
      <w:r>
        <w:rPr>
          <w:rFonts w:ascii="Times New Roman" w:eastAsia="Times New Roman" w:hAnsi="Times New Roman" w:cs="Times New Roman"/>
          <w:sz w:val="24"/>
          <w:szCs w:val="24"/>
          <w:lang w:val="en-US" w:eastAsia="en-AU"/>
        </w:rPr>
        <w:t>repeals and replaces</w:t>
      </w:r>
      <w:r w:rsidRPr="0055666B">
        <w:rPr>
          <w:rFonts w:ascii="Times New Roman" w:eastAsia="Times New Roman" w:hAnsi="Times New Roman" w:cs="Times New Roman"/>
          <w:sz w:val="24"/>
          <w:szCs w:val="24"/>
          <w:lang w:val="en-US" w:eastAsia="en-AU"/>
        </w:rPr>
        <w:t xml:space="preserve"> the </w:t>
      </w:r>
      <w:r>
        <w:rPr>
          <w:rFonts w:ascii="Times New Roman" w:eastAsia="Times New Roman" w:hAnsi="Times New Roman" w:cs="Times New Roman"/>
          <w:sz w:val="24"/>
          <w:szCs w:val="24"/>
          <w:lang w:val="en-US" w:eastAsia="en-AU"/>
        </w:rPr>
        <w:t>former</w:t>
      </w:r>
      <w:r w:rsidRPr="0055666B">
        <w:rPr>
          <w:rFonts w:ascii="Times New Roman" w:eastAsia="Times New Roman" w:hAnsi="Times New Roman" w:cs="Times New Roman"/>
          <w:sz w:val="24"/>
          <w:szCs w:val="24"/>
          <w:lang w:val="en-US" w:eastAsia="en-AU"/>
        </w:rPr>
        <w:t xml:space="preserve"> </w:t>
      </w:r>
      <w:r>
        <w:rPr>
          <w:rFonts w:ascii="Times New Roman" w:eastAsia="Times New Roman" w:hAnsi="Times New Roman" w:cs="Times New Roman"/>
          <w:sz w:val="24"/>
          <w:szCs w:val="24"/>
          <w:lang w:val="en-US" w:eastAsia="en-AU"/>
        </w:rPr>
        <w:t xml:space="preserve">Specification, </w:t>
      </w:r>
      <w:r w:rsidRPr="0055666B">
        <w:rPr>
          <w:rFonts w:ascii="Times New Roman" w:eastAsia="Times New Roman" w:hAnsi="Times New Roman" w:cs="Times New Roman"/>
          <w:sz w:val="24"/>
          <w:szCs w:val="24"/>
          <w:lang w:val="en-US" w:eastAsia="en-AU"/>
        </w:rPr>
        <w:t xml:space="preserve">which commenced on </w:t>
      </w:r>
      <w:r>
        <w:rPr>
          <w:rFonts w:ascii="Times New Roman" w:eastAsia="Times New Roman" w:hAnsi="Times New Roman" w:cs="Times New Roman"/>
          <w:sz w:val="24"/>
          <w:szCs w:val="24"/>
          <w:lang w:val="en-US" w:eastAsia="en-AU"/>
        </w:rPr>
        <w:t>1 July 2017</w:t>
      </w:r>
      <w:r w:rsidRPr="0055666B">
        <w:rPr>
          <w:rFonts w:ascii="Times New Roman" w:eastAsia="Times New Roman" w:hAnsi="Times New Roman" w:cs="Times New Roman"/>
          <w:sz w:val="24"/>
          <w:szCs w:val="24"/>
          <w:lang w:val="en-US" w:eastAsia="en-AU"/>
        </w:rPr>
        <w:t>.</w:t>
      </w:r>
      <w:r>
        <w:rPr>
          <w:rFonts w:ascii="Times New Roman" w:eastAsia="Times New Roman" w:hAnsi="Times New Roman" w:cs="Times New Roman"/>
          <w:sz w:val="24"/>
          <w:szCs w:val="24"/>
          <w:lang w:val="en-US" w:eastAsia="en-AU"/>
        </w:rPr>
        <w:t xml:space="preserve"> </w:t>
      </w:r>
      <w:r w:rsidR="00BA6FE1" w:rsidRPr="00F15D77">
        <w:rPr>
          <w:rFonts w:ascii="Times New Roman" w:eastAsia="Times New Roman" w:hAnsi="Times New Roman" w:cs="Times New Roman"/>
          <w:sz w:val="24"/>
          <w:szCs w:val="24"/>
          <w:lang w:eastAsia="en-AU"/>
        </w:rPr>
        <w:t>Under t</w:t>
      </w:r>
      <w:r w:rsidR="00A109A2" w:rsidRPr="00F15D77">
        <w:rPr>
          <w:rFonts w:ascii="Times New Roman" w:eastAsia="Times New Roman" w:hAnsi="Times New Roman" w:cs="Times New Roman"/>
          <w:sz w:val="24"/>
          <w:szCs w:val="24"/>
          <w:lang w:eastAsia="en-AU"/>
        </w:rPr>
        <w:t xml:space="preserve">he </w:t>
      </w:r>
      <w:r w:rsidR="00D84778" w:rsidRPr="00F15D77">
        <w:rPr>
          <w:rFonts w:ascii="Times New Roman" w:eastAsia="Times New Roman" w:hAnsi="Times New Roman" w:cs="Times New Roman"/>
          <w:sz w:val="24"/>
          <w:szCs w:val="24"/>
          <w:lang w:eastAsia="en-AU"/>
        </w:rPr>
        <w:t>former</w:t>
      </w:r>
      <w:r w:rsidR="00DF7331" w:rsidRPr="00F15D77">
        <w:rPr>
          <w:rFonts w:ascii="Times New Roman" w:eastAsia="Times New Roman" w:hAnsi="Times New Roman" w:cs="Times New Roman"/>
          <w:sz w:val="24"/>
          <w:szCs w:val="24"/>
          <w:lang w:eastAsia="en-AU"/>
        </w:rPr>
        <w:t xml:space="preserve"> </w:t>
      </w:r>
      <w:r w:rsidR="009B374A" w:rsidRPr="00F15D77">
        <w:rPr>
          <w:rFonts w:ascii="Times New Roman" w:eastAsia="Times New Roman" w:hAnsi="Times New Roman" w:cs="Times New Roman"/>
          <w:sz w:val="24"/>
          <w:szCs w:val="24"/>
          <w:lang w:eastAsia="en-AU"/>
        </w:rPr>
        <w:t>Specification</w:t>
      </w:r>
      <w:r w:rsidR="00BA6FE1" w:rsidRPr="00F15D77">
        <w:rPr>
          <w:rFonts w:ascii="Times New Roman" w:eastAsia="Times New Roman" w:hAnsi="Times New Roman" w:cs="Times New Roman"/>
          <w:sz w:val="24"/>
          <w:szCs w:val="24"/>
          <w:lang w:eastAsia="en-AU"/>
        </w:rPr>
        <w:t>, medicine sponsors were required to comply with Schedule 1</w:t>
      </w:r>
      <w:r w:rsidR="00BA6FE1">
        <w:rPr>
          <w:rFonts w:ascii="Times New Roman" w:eastAsia="Times New Roman" w:hAnsi="Times New Roman" w:cs="Times New Roman"/>
          <w:sz w:val="24"/>
          <w:szCs w:val="24"/>
          <w:lang w:eastAsia="en-AU"/>
        </w:rPr>
        <w:t xml:space="preserve"> to </w:t>
      </w:r>
      <w:r w:rsidR="0082326C">
        <w:rPr>
          <w:rFonts w:ascii="Times New Roman" w:eastAsia="Times New Roman" w:hAnsi="Times New Roman" w:cs="Times New Roman"/>
          <w:sz w:val="24"/>
          <w:szCs w:val="24"/>
          <w:lang w:eastAsia="en-AU"/>
        </w:rPr>
        <w:t>that</w:t>
      </w:r>
      <w:r w:rsidR="00BA6FE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w:t>
      </w:r>
      <w:r w:rsidR="00BA6FE1">
        <w:rPr>
          <w:rFonts w:ascii="Times New Roman" w:eastAsia="Times New Roman" w:hAnsi="Times New Roman" w:cs="Times New Roman"/>
          <w:sz w:val="24"/>
          <w:szCs w:val="24"/>
          <w:lang w:eastAsia="en-AU"/>
        </w:rPr>
        <w:t xml:space="preserve">pecification </w:t>
      </w:r>
      <w:r w:rsidR="00A109A2">
        <w:rPr>
          <w:rFonts w:ascii="Times New Roman" w:eastAsia="Times New Roman" w:hAnsi="Times New Roman" w:cs="Times New Roman"/>
          <w:sz w:val="24"/>
          <w:szCs w:val="24"/>
          <w:lang w:eastAsia="en-AU"/>
        </w:rPr>
        <w:t xml:space="preserve">for the first 18 months after it commenced on </w:t>
      </w:r>
      <w:r w:rsidR="00DF7331">
        <w:rPr>
          <w:rFonts w:ascii="Times New Roman" w:eastAsia="Times New Roman" w:hAnsi="Times New Roman" w:cs="Times New Roman"/>
          <w:sz w:val="24"/>
          <w:szCs w:val="24"/>
          <w:lang w:eastAsia="en-AU"/>
        </w:rPr>
        <w:t xml:space="preserve">1 </w:t>
      </w:r>
      <w:r w:rsidR="00871A68">
        <w:rPr>
          <w:rFonts w:ascii="Times New Roman" w:eastAsia="Times New Roman" w:hAnsi="Times New Roman" w:cs="Times New Roman"/>
          <w:sz w:val="24"/>
          <w:szCs w:val="24"/>
          <w:lang w:eastAsia="en-AU"/>
        </w:rPr>
        <w:t xml:space="preserve">July </w:t>
      </w:r>
      <w:r w:rsidR="00DF7331">
        <w:rPr>
          <w:rFonts w:ascii="Times New Roman" w:eastAsia="Times New Roman" w:hAnsi="Times New Roman" w:cs="Times New Roman"/>
          <w:sz w:val="24"/>
          <w:szCs w:val="24"/>
          <w:lang w:eastAsia="en-AU"/>
        </w:rPr>
        <w:t>201</w:t>
      </w:r>
      <w:r w:rsidR="00871A68">
        <w:rPr>
          <w:rFonts w:ascii="Times New Roman" w:eastAsia="Times New Roman" w:hAnsi="Times New Roman" w:cs="Times New Roman"/>
          <w:sz w:val="24"/>
          <w:szCs w:val="24"/>
          <w:lang w:eastAsia="en-AU"/>
        </w:rPr>
        <w:t>7</w:t>
      </w:r>
      <w:r w:rsidR="001F1BCA">
        <w:rPr>
          <w:rFonts w:ascii="Times New Roman" w:eastAsia="Times New Roman" w:hAnsi="Times New Roman" w:cs="Times New Roman"/>
          <w:sz w:val="24"/>
          <w:szCs w:val="24"/>
          <w:lang w:eastAsia="en-AU"/>
        </w:rPr>
        <w:t xml:space="preserve"> (which</w:t>
      </w:r>
      <w:r w:rsidR="00BA6FE1">
        <w:rPr>
          <w:rFonts w:ascii="Times New Roman" w:eastAsia="Times New Roman" w:hAnsi="Times New Roman" w:cs="Times New Roman"/>
          <w:sz w:val="24"/>
          <w:szCs w:val="24"/>
          <w:lang w:eastAsia="en-AU"/>
        </w:rPr>
        <w:t xml:space="preserve"> was based on the edition of the RASML known as RASML 3), but could </w:t>
      </w:r>
      <w:r w:rsidR="00182760">
        <w:rPr>
          <w:rFonts w:ascii="Times New Roman" w:eastAsia="Times New Roman" w:hAnsi="Times New Roman" w:cs="Times New Roman"/>
          <w:sz w:val="24"/>
          <w:szCs w:val="24"/>
          <w:lang w:eastAsia="en-AU"/>
        </w:rPr>
        <w:t>instead</w:t>
      </w:r>
      <w:r w:rsidR="00BA6FE1">
        <w:rPr>
          <w:rFonts w:ascii="Times New Roman" w:eastAsia="Times New Roman" w:hAnsi="Times New Roman" w:cs="Times New Roman"/>
          <w:sz w:val="24"/>
          <w:szCs w:val="24"/>
          <w:lang w:eastAsia="en-AU"/>
        </w:rPr>
        <w:t xml:space="preserve"> elect to comply with Schedule 2 to the </w:t>
      </w:r>
      <w:r w:rsidR="00D84778">
        <w:rPr>
          <w:rFonts w:ascii="Times New Roman" w:eastAsia="Times New Roman" w:hAnsi="Times New Roman" w:cs="Times New Roman"/>
          <w:sz w:val="24"/>
          <w:szCs w:val="24"/>
          <w:lang w:eastAsia="en-AU"/>
        </w:rPr>
        <w:t>former</w:t>
      </w:r>
      <w:r w:rsidR="00BA6FE1">
        <w:rPr>
          <w:rFonts w:ascii="Times New Roman" w:eastAsia="Times New Roman" w:hAnsi="Times New Roman" w:cs="Times New Roman"/>
          <w:sz w:val="24"/>
          <w:szCs w:val="24"/>
          <w:lang w:eastAsia="en-AU"/>
        </w:rPr>
        <w:t xml:space="preserve"> Specification during that period (which was based on the edition of the RASML known as RASML 4)</w:t>
      </w:r>
      <w:r w:rsidR="005D1B10">
        <w:rPr>
          <w:rFonts w:ascii="Times New Roman" w:eastAsia="Times New Roman" w:hAnsi="Times New Roman" w:cs="Times New Roman"/>
          <w:sz w:val="24"/>
          <w:szCs w:val="24"/>
          <w:lang w:eastAsia="en-AU"/>
        </w:rPr>
        <w:t xml:space="preserve">. </w:t>
      </w:r>
      <w:r w:rsidR="00DF7331">
        <w:rPr>
          <w:rFonts w:ascii="Times New Roman" w:eastAsia="Times New Roman" w:hAnsi="Times New Roman" w:cs="Times New Roman"/>
          <w:sz w:val="24"/>
          <w:szCs w:val="24"/>
          <w:lang w:eastAsia="en-AU"/>
        </w:rPr>
        <w:t xml:space="preserve">After that initial 18 month period, sponsors </w:t>
      </w:r>
      <w:r w:rsidR="00BA6FE1">
        <w:rPr>
          <w:rFonts w:ascii="Times New Roman" w:eastAsia="Times New Roman" w:hAnsi="Times New Roman" w:cs="Times New Roman"/>
          <w:sz w:val="24"/>
          <w:szCs w:val="24"/>
          <w:lang w:eastAsia="en-AU"/>
        </w:rPr>
        <w:t xml:space="preserve">were required under the </w:t>
      </w:r>
      <w:r w:rsidR="00D84778">
        <w:rPr>
          <w:rFonts w:ascii="Times New Roman" w:eastAsia="Times New Roman" w:hAnsi="Times New Roman" w:cs="Times New Roman"/>
          <w:sz w:val="24"/>
          <w:szCs w:val="24"/>
          <w:lang w:eastAsia="en-AU"/>
        </w:rPr>
        <w:t>former</w:t>
      </w:r>
      <w:r w:rsidR="00BA6FE1">
        <w:rPr>
          <w:rFonts w:ascii="Times New Roman" w:eastAsia="Times New Roman" w:hAnsi="Times New Roman" w:cs="Times New Roman"/>
          <w:sz w:val="24"/>
          <w:szCs w:val="24"/>
          <w:lang w:eastAsia="en-AU"/>
        </w:rPr>
        <w:t xml:space="preserve"> Specification </w:t>
      </w:r>
      <w:r w:rsidR="007F6125">
        <w:rPr>
          <w:rFonts w:ascii="Times New Roman" w:eastAsia="Times New Roman" w:hAnsi="Times New Roman" w:cs="Times New Roman"/>
          <w:sz w:val="24"/>
          <w:szCs w:val="24"/>
          <w:lang w:eastAsia="en-AU"/>
        </w:rPr>
        <w:t xml:space="preserve">to </w:t>
      </w:r>
      <w:r w:rsidR="00DF7331">
        <w:rPr>
          <w:rFonts w:ascii="Times New Roman" w:eastAsia="Times New Roman" w:hAnsi="Times New Roman" w:cs="Times New Roman"/>
          <w:sz w:val="24"/>
          <w:szCs w:val="24"/>
          <w:lang w:eastAsia="en-AU"/>
        </w:rPr>
        <w:t xml:space="preserve">comply with Schedule 2 </w:t>
      </w:r>
      <w:r w:rsidR="00D00F31">
        <w:rPr>
          <w:rFonts w:ascii="Times New Roman" w:eastAsia="Times New Roman" w:hAnsi="Times New Roman" w:cs="Times New Roman"/>
          <w:sz w:val="24"/>
          <w:szCs w:val="24"/>
          <w:lang w:eastAsia="en-AU"/>
        </w:rPr>
        <w:t>to</w:t>
      </w:r>
      <w:r w:rsidR="00DF7331">
        <w:rPr>
          <w:rFonts w:ascii="Times New Roman" w:eastAsia="Times New Roman" w:hAnsi="Times New Roman" w:cs="Times New Roman"/>
          <w:sz w:val="24"/>
          <w:szCs w:val="24"/>
          <w:lang w:eastAsia="en-AU"/>
        </w:rPr>
        <w:t xml:space="preserve"> </w:t>
      </w:r>
      <w:r w:rsidR="0082326C">
        <w:rPr>
          <w:rFonts w:ascii="Times New Roman" w:eastAsia="Times New Roman" w:hAnsi="Times New Roman" w:cs="Times New Roman"/>
          <w:sz w:val="24"/>
          <w:szCs w:val="24"/>
          <w:lang w:eastAsia="en-AU"/>
        </w:rPr>
        <w:t>that</w:t>
      </w:r>
      <w:r w:rsidR="00DF7331">
        <w:rPr>
          <w:rFonts w:ascii="Times New Roman" w:eastAsia="Times New Roman" w:hAnsi="Times New Roman" w:cs="Times New Roman"/>
          <w:sz w:val="24"/>
          <w:szCs w:val="24"/>
          <w:lang w:eastAsia="en-AU"/>
        </w:rPr>
        <w:t xml:space="preserve"> Specification.</w:t>
      </w:r>
    </w:p>
    <w:p w:rsidR="005D1B10" w:rsidRDefault="005D1B10" w:rsidP="005D1B10">
      <w:pPr>
        <w:spacing w:after="0" w:line="240" w:lineRule="auto"/>
        <w:rPr>
          <w:rFonts w:ascii="Times New Roman" w:eastAsia="Times New Roman" w:hAnsi="Times New Roman" w:cs="Times New Roman"/>
          <w:sz w:val="24"/>
          <w:szCs w:val="24"/>
          <w:lang w:eastAsia="en-AU"/>
        </w:rPr>
      </w:pPr>
    </w:p>
    <w:p w:rsidR="00377699" w:rsidRDefault="00672214" w:rsidP="009C21F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On </w:t>
      </w:r>
      <w:r w:rsidR="008A3735">
        <w:rPr>
          <w:rFonts w:ascii="Times New Roman" w:eastAsia="Times New Roman" w:hAnsi="Times New Roman" w:cs="Times New Roman"/>
          <w:sz w:val="24"/>
          <w:szCs w:val="24"/>
          <w:lang w:eastAsia="en-AU"/>
        </w:rPr>
        <w:t xml:space="preserve">1 </w:t>
      </w:r>
      <w:r w:rsidR="00067225">
        <w:rPr>
          <w:rFonts w:ascii="Times New Roman" w:eastAsia="Times New Roman" w:hAnsi="Times New Roman" w:cs="Times New Roman"/>
          <w:sz w:val="24"/>
          <w:szCs w:val="24"/>
          <w:lang w:eastAsia="en-AU"/>
        </w:rPr>
        <w:t xml:space="preserve">January </w:t>
      </w:r>
      <w:r w:rsidR="00DF7331">
        <w:rPr>
          <w:rFonts w:ascii="Times New Roman" w:eastAsia="Times New Roman" w:hAnsi="Times New Roman" w:cs="Times New Roman"/>
          <w:sz w:val="24"/>
          <w:szCs w:val="24"/>
          <w:lang w:eastAsia="en-AU"/>
        </w:rPr>
        <w:t>201</w:t>
      </w:r>
      <w:r w:rsidR="00067225">
        <w:rPr>
          <w:rFonts w:ascii="Times New Roman" w:eastAsia="Times New Roman" w:hAnsi="Times New Roman" w:cs="Times New Roman"/>
          <w:sz w:val="24"/>
          <w:szCs w:val="24"/>
          <w:lang w:eastAsia="en-AU"/>
        </w:rPr>
        <w:t>9</w:t>
      </w:r>
      <w:r>
        <w:rPr>
          <w:rFonts w:ascii="Times New Roman" w:eastAsia="Times New Roman" w:hAnsi="Times New Roman" w:cs="Times New Roman"/>
          <w:sz w:val="24"/>
          <w:szCs w:val="24"/>
          <w:lang w:eastAsia="en-AU"/>
        </w:rPr>
        <w:t xml:space="preserve">, the initial 18 month period from the commencement of the </w:t>
      </w:r>
      <w:r w:rsidR="0082326C">
        <w:rPr>
          <w:rFonts w:ascii="Times New Roman" w:eastAsia="Times New Roman" w:hAnsi="Times New Roman" w:cs="Times New Roman"/>
          <w:sz w:val="24"/>
          <w:szCs w:val="24"/>
          <w:lang w:eastAsia="en-AU"/>
        </w:rPr>
        <w:t>former</w:t>
      </w:r>
      <w:r w:rsidR="008A373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Specification </w:t>
      </w:r>
      <w:r w:rsidR="00067225">
        <w:rPr>
          <w:rFonts w:ascii="Times New Roman" w:eastAsia="Times New Roman" w:hAnsi="Times New Roman" w:cs="Times New Roman"/>
          <w:sz w:val="24"/>
          <w:szCs w:val="24"/>
          <w:lang w:eastAsia="en-AU"/>
        </w:rPr>
        <w:t>ended</w:t>
      </w:r>
      <w:r>
        <w:rPr>
          <w:rFonts w:ascii="Times New Roman" w:eastAsia="Times New Roman" w:hAnsi="Times New Roman" w:cs="Times New Roman"/>
          <w:sz w:val="24"/>
          <w:szCs w:val="24"/>
          <w:lang w:eastAsia="en-AU"/>
        </w:rPr>
        <w:t>, with the effect that</w:t>
      </w:r>
      <w:r w:rsidR="00D00F31">
        <w:rPr>
          <w:rFonts w:ascii="Times New Roman" w:eastAsia="Times New Roman" w:hAnsi="Times New Roman" w:cs="Times New Roman"/>
          <w:sz w:val="24"/>
          <w:szCs w:val="24"/>
          <w:lang w:eastAsia="en-AU"/>
        </w:rPr>
        <w:t xml:space="preserve"> since that date</w:t>
      </w:r>
      <w:r>
        <w:rPr>
          <w:rFonts w:ascii="Times New Roman" w:eastAsia="Times New Roman" w:hAnsi="Times New Roman" w:cs="Times New Roman"/>
          <w:sz w:val="24"/>
          <w:szCs w:val="24"/>
          <w:lang w:eastAsia="en-AU"/>
        </w:rPr>
        <w:t xml:space="preserve"> </w:t>
      </w:r>
      <w:r w:rsidR="00D00F31">
        <w:rPr>
          <w:rFonts w:ascii="Times New Roman" w:eastAsia="Times New Roman" w:hAnsi="Times New Roman" w:cs="Times New Roman"/>
          <w:sz w:val="24"/>
          <w:szCs w:val="24"/>
          <w:lang w:eastAsia="en-AU"/>
        </w:rPr>
        <w:t xml:space="preserve">sponsors of OTC and registered </w:t>
      </w:r>
      <w:r w:rsidR="00D00F31">
        <w:rPr>
          <w:rFonts w:ascii="Times New Roman" w:eastAsia="Times New Roman" w:hAnsi="Times New Roman" w:cs="Times New Roman"/>
          <w:sz w:val="24"/>
          <w:szCs w:val="24"/>
          <w:lang w:eastAsia="en-AU"/>
        </w:rPr>
        <w:lastRenderedPageBreak/>
        <w:t xml:space="preserve">complementary </w:t>
      </w:r>
      <w:r>
        <w:rPr>
          <w:rFonts w:ascii="Times New Roman" w:eastAsia="Times New Roman" w:hAnsi="Times New Roman" w:cs="Times New Roman"/>
          <w:sz w:val="24"/>
          <w:szCs w:val="24"/>
          <w:lang w:eastAsia="en-AU"/>
        </w:rPr>
        <w:t>medicine</w:t>
      </w:r>
      <w:r w:rsidR="00D00F31">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00D00F31">
        <w:rPr>
          <w:rFonts w:ascii="Times New Roman" w:eastAsia="Times New Roman" w:hAnsi="Times New Roman" w:cs="Times New Roman"/>
          <w:sz w:val="24"/>
          <w:szCs w:val="24"/>
          <w:lang w:eastAsia="en-AU"/>
        </w:rPr>
        <w:t>have only had the option</w:t>
      </w:r>
      <w:r>
        <w:rPr>
          <w:rFonts w:ascii="Times New Roman" w:eastAsia="Times New Roman" w:hAnsi="Times New Roman" w:cs="Times New Roman"/>
          <w:sz w:val="24"/>
          <w:szCs w:val="24"/>
          <w:lang w:eastAsia="en-AU"/>
        </w:rPr>
        <w:t xml:space="preserve"> under the </w:t>
      </w:r>
      <w:r w:rsidR="0082326C">
        <w:rPr>
          <w:rFonts w:ascii="Times New Roman" w:eastAsia="Times New Roman" w:hAnsi="Times New Roman" w:cs="Times New Roman"/>
          <w:sz w:val="24"/>
          <w:szCs w:val="24"/>
          <w:lang w:eastAsia="en-AU"/>
        </w:rPr>
        <w:t>former</w:t>
      </w:r>
      <w:r w:rsidR="00DF733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Specification</w:t>
      </w:r>
      <w:r w:rsidR="00D00F3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of complying with Schedule 2 </w:t>
      </w:r>
      <w:r w:rsidR="001F1BCA">
        <w:rPr>
          <w:rFonts w:ascii="Times New Roman" w:eastAsia="Times New Roman" w:hAnsi="Times New Roman" w:cs="Times New Roman"/>
          <w:sz w:val="24"/>
          <w:szCs w:val="24"/>
          <w:lang w:eastAsia="en-AU"/>
        </w:rPr>
        <w:t>to</w:t>
      </w:r>
      <w:r>
        <w:rPr>
          <w:rFonts w:ascii="Times New Roman" w:eastAsia="Times New Roman" w:hAnsi="Times New Roman" w:cs="Times New Roman"/>
          <w:sz w:val="24"/>
          <w:szCs w:val="24"/>
          <w:lang w:eastAsia="en-AU"/>
        </w:rPr>
        <w:t xml:space="preserve"> that instrument</w:t>
      </w:r>
      <w:r w:rsidR="00681D2C">
        <w:rPr>
          <w:rFonts w:ascii="Times New Roman" w:eastAsia="Times New Roman" w:hAnsi="Times New Roman" w:cs="Times New Roman"/>
          <w:sz w:val="24"/>
          <w:szCs w:val="24"/>
          <w:lang w:eastAsia="en-AU"/>
        </w:rPr>
        <w:t xml:space="preserve"> </w:t>
      </w:r>
      <w:r w:rsidR="001F1BCA">
        <w:rPr>
          <w:rFonts w:ascii="Times New Roman" w:eastAsia="Times New Roman" w:hAnsi="Times New Roman" w:cs="Times New Roman"/>
          <w:sz w:val="24"/>
          <w:szCs w:val="24"/>
          <w:lang w:eastAsia="en-AU"/>
        </w:rPr>
        <w:t xml:space="preserve">(RASML 4) </w:t>
      </w:r>
      <w:r>
        <w:rPr>
          <w:rFonts w:ascii="Times New Roman" w:eastAsia="Times New Roman" w:hAnsi="Times New Roman" w:cs="Times New Roman"/>
          <w:sz w:val="24"/>
          <w:szCs w:val="24"/>
          <w:lang w:eastAsia="en-AU"/>
        </w:rPr>
        <w:t>in relation to their medicine labels.</w:t>
      </w:r>
    </w:p>
    <w:p w:rsidR="005D1B10" w:rsidRDefault="005D1B10" w:rsidP="005D1B10">
      <w:pPr>
        <w:spacing w:after="0" w:line="240" w:lineRule="auto"/>
        <w:rPr>
          <w:rFonts w:ascii="Times New Roman" w:eastAsia="Times New Roman" w:hAnsi="Times New Roman" w:cs="Times New Roman"/>
          <w:sz w:val="24"/>
          <w:szCs w:val="24"/>
          <w:lang w:eastAsia="en-AU"/>
        </w:rPr>
      </w:pPr>
    </w:p>
    <w:p w:rsidR="00746508" w:rsidRDefault="00672214" w:rsidP="009C21F8">
      <w:pPr>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w:t>
      </w:r>
      <w:r w:rsidR="009F180F">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Specification</w:t>
      </w:r>
      <w:r w:rsidR="00D97F6C">
        <w:rPr>
          <w:rFonts w:ascii="Times New Roman" w:eastAsia="Times New Roman" w:hAnsi="Times New Roman" w:cs="Times New Roman"/>
          <w:sz w:val="24"/>
          <w:szCs w:val="24"/>
          <w:lang w:eastAsia="en-AU"/>
        </w:rPr>
        <w:t xml:space="preserve"> repeals the </w:t>
      </w:r>
      <w:r w:rsidR="0082326C">
        <w:rPr>
          <w:rFonts w:ascii="Times New Roman" w:eastAsia="Times New Roman" w:hAnsi="Times New Roman" w:cs="Times New Roman"/>
          <w:sz w:val="24"/>
          <w:szCs w:val="24"/>
          <w:lang w:eastAsia="en-AU"/>
        </w:rPr>
        <w:t>former</w:t>
      </w:r>
      <w:r w:rsidR="00D97F6C">
        <w:rPr>
          <w:rFonts w:ascii="Times New Roman" w:eastAsia="Times New Roman" w:hAnsi="Times New Roman" w:cs="Times New Roman"/>
          <w:sz w:val="24"/>
          <w:szCs w:val="24"/>
          <w:lang w:eastAsia="en-AU"/>
        </w:rPr>
        <w:t xml:space="preserve"> Specification</w:t>
      </w:r>
      <w:r w:rsidR="00CB1316">
        <w:rPr>
          <w:rFonts w:ascii="Times New Roman" w:eastAsia="Times New Roman" w:hAnsi="Times New Roman" w:cs="Times New Roman"/>
          <w:sz w:val="24"/>
          <w:szCs w:val="24"/>
          <w:lang w:eastAsia="en-AU"/>
        </w:rPr>
        <w:t xml:space="preserve"> and</w:t>
      </w:r>
      <w:r w:rsidR="00322DE7">
        <w:rPr>
          <w:rFonts w:ascii="Times New Roman" w:eastAsia="Times New Roman" w:hAnsi="Times New Roman" w:cs="Times New Roman"/>
          <w:sz w:val="24"/>
          <w:szCs w:val="24"/>
          <w:lang w:eastAsia="en-AU"/>
        </w:rPr>
        <w:t xml:space="preserve"> </w:t>
      </w:r>
      <w:r w:rsidR="00CB1316">
        <w:rPr>
          <w:rFonts w:ascii="Times New Roman" w:eastAsia="Times New Roman" w:hAnsi="Times New Roman" w:cs="Times New Roman"/>
          <w:sz w:val="24"/>
          <w:szCs w:val="24"/>
          <w:lang w:eastAsia="en-AU"/>
        </w:rPr>
        <w:t xml:space="preserve">specifies a new edition of the RASML known as RASML 5. </w:t>
      </w:r>
      <w:r w:rsidR="00377699">
        <w:rPr>
          <w:rFonts w:ascii="Times New Roman" w:eastAsia="Times New Roman" w:hAnsi="Times New Roman" w:cs="Times New Roman"/>
          <w:sz w:val="24"/>
          <w:szCs w:val="24"/>
          <w:lang w:val="en-US" w:eastAsia="en-AU"/>
        </w:rPr>
        <w:t xml:space="preserve">RASML </w:t>
      </w:r>
      <w:r w:rsidR="00D9075C">
        <w:rPr>
          <w:rFonts w:ascii="Times New Roman" w:eastAsia="Times New Roman" w:hAnsi="Times New Roman" w:cs="Times New Roman"/>
          <w:sz w:val="24"/>
          <w:szCs w:val="24"/>
          <w:lang w:val="en-US" w:eastAsia="en-AU"/>
        </w:rPr>
        <w:t>5</w:t>
      </w:r>
      <w:r w:rsidR="005D7FBE">
        <w:rPr>
          <w:rFonts w:ascii="Times New Roman" w:eastAsia="Times New Roman" w:hAnsi="Times New Roman" w:cs="Times New Roman"/>
          <w:sz w:val="24"/>
          <w:szCs w:val="24"/>
          <w:lang w:val="en-US" w:eastAsia="en-AU"/>
        </w:rPr>
        <w:t xml:space="preserve"> </w:t>
      </w:r>
      <w:r w:rsidR="00377699">
        <w:rPr>
          <w:rFonts w:ascii="Times New Roman" w:eastAsia="Times New Roman" w:hAnsi="Times New Roman" w:cs="Times New Roman"/>
          <w:sz w:val="24"/>
          <w:szCs w:val="24"/>
          <w:lang w:val="en-US" w:eastAsia="en-AU"/>
        </w:rPr>
        <w:t xml:space="preserve">incorporates a number of new changes as compared with RASML </w:t>
      </w:r>
      <w:r w:rsidR="00D9075C">
        <w:rPr>
          <w:rFonts w:ascii="Times New Roman" w:eastAsia="Times New Roman" w:hAnsi="Times New Roman" w:cs="Times New Roman"/>
          <w:sz w:val="24"/>
          <w:szCs w:val="24"/>
          <w:lang w:val="en-US" w:eastAsia="en-AU"/>
        </w:rPr>
        <w:t>4</w:t>
      </w:r>
      <w:r w:rsidR="005D1B10">
        <w:rPr>
          <w:rFonts w:ascii="Times New Roman" w:eastAsia="Times New Roman" w:hAnsi="Times New Roman" w:cs="Times New Roman"/>
          <w:sz w:val="24"/>
          <w:szCs w:val="24"/>
          <w:lang w:val="en-US" w:eastAsia="en-AU"/>
        </w:rPr>
        <w:t xml:space="preserve">. </w:t>
      </w:r>
      <w:r w:rsidR="00377699">
        <w:rPr>
          <w:rFonts w:ascii="Times New Roman" w:eastAsia="Times New Roman" w:hAnsi="Times New Roman" w:cs="Times New Roman"/>
          <w:sz w:val="24"/>
          <w:szCs w:val="24"/>
          <w:lang w:val="en-US" w:eastAsia="en-AU"/>
        </w:rPr>
        <w:t xml:space="preserve">These </w:t>
      </w:r>
      <w:r w:rsidR="003C08D0">
        <w:rPr>
          <w:rFonts w:ascii="Times New Roman" w:eastAsia="Times New Roman" w:hAnsi="Times New Roman" w:cs="Times New Roman"/>
          <w:sz w:val="24"/>
          <w:szCs w:val="24"/>
          <w:lang w:val="en-US" w:eastAsia="en-AU"/>
        </w:rPr>
        <w:t xml:space="preserve">changes </w:t>
      </w:r>
      <w:r w:rsidR="003B1AA2">
        <w:rPr>
          <w:rFonts w:ascii="Times New Roman" w:eastAsia="Times New Roman" w:hAnsi="Times New Roman" w:cs="Times New Roman"/>
          <w:sz w:val="24"/>
          <w:szCs w:val="24"/>
          <w:lang w:val="en-US" w:eastAsia="en-AU"/>
        </w:rPr>
        <w:t xml:space="preserve">consist of </w:t>
      </w:r>
      <w:r w:rsidR="00D00F31">
        <w:rPr>
          <w:rFonts w:ascii="Times New Roman" w:eastAsia="Times New Roman" w:hAnsi="Times New Roman" w:cs="Times New Roman"/>
          <w:sz w:val="24"/>
          <w:szCs w:val="24"/>
          <w:lang w:val="en-US" w:eastAsia="en-AU"/>
        </w:rPr>
        <w:t xml:space="preserve">the introduction of new </w:t>
      </w:r>
      <w:r w:rsidR="003B1AA2">
        <w:rPr>
          <w:rFonts w:ascii="Times New Roman" w:eastAsia="Times New Roman" w:hAnsi="Times New Roman" w:cs="Times New Roman"/>
          <w:sz w:val="24"/>
          <w:szCs w:val="24"/>
          <w:lang w:val="en-US" w:eastAsia="en-AU"/>
        </w:rPr>
        <w:t>advisory statement</w:t>
      </w:r>
      <w:r w:rsidR="00AD2518">
        <w:rPr>
          <w:rFonts w:ascii="Times New Roman" w:eastAsia="Times New Roman" w:hAnsi="Times New Roman" w:cs="Times New Roman"/>
          <w:sz w:val="24"/>
          <w:szCs w:val="24"/>
          <w:lang w:val="en-US" w:eastAsia="en-AU"/>
        </w:rPr>
        <w:t xml:space="preserve">s </w:t>
      </w:r>
      <w:r w:rsidR="00377699">
        <w:rPr>
          <w:rFonts w:ascii="Times New Roman" w:eastAsia="Times New Roman" w:hAnsi="Times New Roman" w:cs="Times New Roman"/>
          <w:sz w:val="24"/>
          <w:szCs w:val="24"/>
          <w:lang w:val="en-US" w:eastAsia="en-AU"/>
        </w:rPr>
        <w:t>for</w:t>
      </w:r>
      <w:r w:rsidR="003B1AA2">
        <w:rPr>
          <w:rFonts w:ascii="Times New Roman" w:eastAsia="Times New Roman" w:hAnsi="Times New Roman" w:cs="Times New Roman"/>
          <w:sz w:val="24"/>
          <w:szCs w:val="24"/>
          <w:lang w:val="en-US" w:eastAsia="en-AU"/>
        </w:rPr>
        <w:t xml:space="preserve"> </w:t>
      </w:r>
      <w:r w:rsidR="00573F2B">
        <w:rPr>
          <w:rFonts w:ascii="Times New Roman" w:eastAsia="Times New Roman" w:hAnsi="Times New Roman" w:cs="Times New Roman"/>
          <w:sz w:val="24"/>
          <w:szCs w:val="24"/>
          <w:lang w:val="en-US" w:eastAsia="en-AU"/>
        </w:rPr>
        <w:t>the following</w:t>
      </w:r>
      <w:r w:rsidR="003B1AA2">
        <w:rPr>
          <w:rFonts w:ascii="Times New Roman" w:eastAsia="Times New Roman" w:hAnsi="Times New Roman" w:cs="Times New Roman"/>
          <w:sz w:val="24"/>
          <w:szCs w:val="24"/>
          <w:lang w:val="en-US" w:eastAsia="en-AU"/>
        </w:rPr>
        <w:t xml:space="preserve"> substances</w:t>
      </w:r>
      <w:r w:rsidR="00746508">
        <w:rPr>
          <w:rFonts w:ascii="Times New Roman" w:eastAsia="Times New Roman" w:hAnsi="Times New Roman" w:cs="Times New Roman"/>
          <w:sz w:val="24"/>
          <w:szCs w:val="24"/>
          <w:lang w:val="en-US" w:eastAsia="en-AU"/>
        </w:rPr>
        <w:t>:</w:t>
      </w:r>
    </w:p>
    <w:p w:rsidR="005D1B10" w:rsidRDefault="005D1B10" w:rsidP="005D1B10">
      <w:pPr>
        <w:spacing w:after="0" w:line="240" w:lineRule="auto"/>
        <w:rPr>
          <w:rFonts w:ascii="Times New Roman" w:eastAsia="Times New Roman" w:hAnsi="Times New Roman" w:cs="Times New Roman"/>
          <w:sz w:val="24"/>
          <w:szCs w:val="24"/>
          <w:lang w:val="en-US" w:eastAsia="en-AU"/>
        </w:rPr>
      </w:pPr>
    </w:p>
    <w:p w:rsidR="00621F53" w:rsidRDefault="005D7FBE"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r>
        <w:rPr>
          <w:rFonts w:ascii="Times New Roman" w:eastAsia="Times New Roman" w:hAnsi="Times New Roman" w:cs="Times New Roman"/>
          <w:sz w:val="24"/>
          <w:szCs w:val="24"/>
          <w:lang w:val="en" w:eastAsia="en-AU"/>
        </w:rPr>
        <w:t>alimemazine (trimeprazine), brompheniramine, chlorpheniramine, dexchlorpheniramine, diphenhydramine, doxyla</w:t>
      </w:r>
      <w:r w:rsidR="00336DB5">
        <w:rPr>
          <w:rFonts w:ascii="Times New Roman" w:eastAsia="Times New Roman" w:hAnsi="Times New Roman" w:cs="Times New Roman"/>
          <w:sz w:val="24"/>
          <w:szCs w:val="24"/>
          <w:lang w:val="en" w:eastAsia="en-AU"/>
        </w:rPr>
        <w:t>mine, pheniramine, promethazine and</w:t>
      </w:r>
      <w:r>
        <w:rPr>
          <w:rFonts w:ascii="Times New Roman" w:eastAsia="Times New Roman" w:hAnsi="Times New Roman" w:cs="Times New Roman"/>
          <w:sz w:val="24"/>
          <w:szCs w:val="24"/>
          <w:lang w:val="en" w:eastAsia="en-AU"/>
        </w:rPr>
        <w:t xml:space="preserve"> triprolidine </w:t>
      </w:r>
      <w:r w:rsidR="00336DB5">
        <w:rPr>
          <w:rFonts w:ascii="Times New Roman" w:eastAsia="Times New Roman" w:hAnsi="Times New Roman" w:cs="Times New Roman"/>
          <w:sz w:val="24"/>
          <w:szCs w:val="24"/>
          <w:lang w:val="en" w:eastAsia="en-AU"/>
        </w:rPr>
        <w:t>for oral use</w:t>
      </w:r>
      <w:r w:rsidR="00182760">
        <w:rPr>
          <w:rFonts w:ascii="Times New Roman" w:eastAsia="Times New Roman" w:hAnsi="Times New Roman" w:cs="Times New Roman"/>
          <w:sz w:val="24"/>
          <w:szCs w:val="24"/>
          <w:lang w:val="en" w:eastAsia="en-AU"/>
        </w:rPr>
        <w:t xml:space="preserve">, which </w:t>
      </w:r>
      <w:r>
        <w:rPr>
          <w:rFonts w:ascii="Times New Roman" w:eastAsia="Times New Roman" w:hAnsi="Times New Roman" w:cs="Times New Roman"/>
          <w:sz w:val="24"/>
          <w:szCs w:val="24"/>
          <w:lang w:val="en" w:eastAsia="en-AU"/>
        </w:rPr>
        <w:t>are sedating antihistamines</w:t>
      </w:r>
      <w:r w:rsidR="00D00F31">
        <w:rPr>
          <w:rFonts w:ascii="Times New Roman" w:eastAsia="Times New Roman" w:hAnsi="Times New Roman" w:cs="Times New Roman"/>
          <w:sz w:val="24"/>
          <w:szCs w:val="24"/>
          <w:lang w:val="en" w:eastAsia="en-AU"/>
        </w:rPr>
        <w:t xml:space="preserve"> (e.g.</w:t>
      </w:r>
      <w:r w:rsidR="00614A24">
        <w:rPr>
          <w:rFonts w:ascii="Times New Roman" w:eastAsia="Times New Roman" w:hAnsi="Times New Roman" w:cs="Times New Roman"/>
          <w:sz w:val="24"/>
          <w:szCs w:val="24"/>
          <w:lang w:val="en" w:eastAsia="en-AU"/>
        </w:rPr>
        <w:t xml:space="preserve"> “Do not give to children under 2 years of age”</w:t>
      </w:r>
      <w:r w:rsidR="00D00F31">
        <w:rPr>
          <w:rFonts w:ascii="Times New Roman" w:eastAsia="Times New Roman" w:hAnsi="Times New Roman" w:cs="Times New Roman"/>
          <w:sz w:val="24"/>
          <w:szCs w:val="24"/>
          <w:lang w:val="en" w:eastAsia="en-AU"/>
        </w:rPr>
        <w:t>)</w:t>
      </w:r>
      <w:r w:rsidR="00322DE7">
        <w:rPr>
          <w:rFonts w:ascii="Times New Roman" w:eastAsia="Times New Roman" w:hAnsi="Times New Roman" w:cs="Times New Roman"/>
          <w:sz w:val="24"/>
          <w:szCs w:val="24"/>
          <w:lang w:val="en" w:eastAsia="en-AU"/>
        </w:rPr>
        <w:t>;</w:t>
      </w:r>
    </w:p>
    <w:p w:rsidR="007F6125" w:rsidRDefault="00336DB5"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r>
        <w:rPr>
          <w:rFonts w:ascii="Times New Roman" w:hAnsi="Times New Roman" w:cs="Times New Roman"/>
          <w:sz w:val="24"/>
          <w:szCs w:val="24"/>
          <w:lang w:val="en"/>
        </w:rPr>
        <w:t>benzocaine</w:t>
      </w:r>
      <w:r w:rsidR="007F6125">
        <w:rPr>
          <w:rFonts w:ascii="Times New Roman" w:hAnsi="Times New Roman" w:cs="Times New Roman"/>
          <w:sz w:val="24"/>
          <w:szCs w:val="24"/>
          <w:lang w:val="en"/>
        </w:rPr>
        <w:t>, an</w:t>
      </w:r>
      <w:r w:rsidR="007F6125" w:rsidRPr="00371F78">
        <w:rPr>
          <w:rFonts w:ascii="Times New Roman" w:hAnsi="Times New Roman" w:cs="Times New Roman"/>
          <w:sz w:val="24"/>
          <w:szCs w:val="24"/>
        </w:rPr>
        <w:t xml:space="preserve"> anaesthetic</w:t>
      </w:r>
      <w:r>
        <w:rPr>
          <w:rFonts w:ascii="Times New Roman" w:hAnsi="Times New Roman" w:cs="Times New Roman"/>
          <w:sz w:val="24"/>
          <w:szCs w:val="24"/>
          <w:lang w:val="en"/>
        </w:rPr>
        <w:t xml:space="preserve"> for topical oral use</w:t>
      </w:r>
      <w:r w:rsidR="00322DE7">
        <w:rPr>
          <w:rFonts w:ascii="Times New Roman" w:hAnsi="Times New Roman" w:cs="Times New Roman"/>
          <w:sz w:val="24"/>
          <w:szCs w:val="24"/>
          <w:lang w:val="en"/>
        </w:rPr>
        <w:t>;</w:t>
      </w:r>
    </w:p>
    <w:p w:rsidR="007F6125" w:rsidRDefault="007F6125"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r>
        <w:rPr>
          <w:rFonts w:ascii="Times New Roman" w:hAnsi="Times New Roman" w:cs="Times New Roman"/>
          <w:sz w:val="24"/>
          <w:szCs w:val="24"/>
          <w:lang w:val="en"/>
        </w:rPr>
        <w:t>fennel oil; and</w:t>
      </w:r>
    </w:p>
    <w:p w:rsidR="00AD2518" w:rsidRDefault="007F6125"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r>
        <w:rPr>
          <w:rFonts w:ascii="Times New Roman" w:hAnsi="Times New Roman" w:cs="Times New Roman"/>
          <w:sz w:val="24"/>
          <w:szCs w:val="24"/>
          <w:lang w:val="en"/>
        </w:rPr>
        <w:t>oral fluconazole and topical miconazole,</w:t>
      </w:r>
      <w:r w:rsidR="00182760">
        <w:rPr>
          <w:rFonts w:ascii="Times New Roman" w:hAnsi="Times New Roman" w:cs="Times New Roman"/>
          <w:sz w:val="24"/>
          <w:szCs w:val="24"/>
          <w:lang w:val="en"/>
        </w:rPr>
        <w:t xml:space="preserve"> which are</w:t>
      </w:r>
      <w:r>
        <w:rPr>
          <w:rFonts w:ascii="Times New Roman" w:hAnsi="Times New Roman" w:cs="Times New Roman"/>
          <w:sz w:val="24"/>
          <w:szCs w:val="24"/>
          <w:lang w:val="en"/>
        </w:rPr>
        <w:t xml:space="preserve"> antifungal agents</w:t>
      </w:r>
      <w:r w:rsidR="00573F2B">
        <w:rPr>
          <w:rFonts w:ascii="Times New Roman" w:hAnsi="Times New Roman" w:cs="Times New Roman"/>
          <w:sz w:val="24"/>
          <w:szCs w:val="24"/>
          <w:lang w:val="en"/>
        </w:rPr>
        <w:t>.</w:t>
      </w:r>
    </w:p>
    <w:p w:rsidR="005D1B10" w:rsidRDefault="005D1B10" w:rsidP="005D1B10">
      <w:pPr>
        <w:spacing w:after="0" w:line="240" w:lineRule="auto"/>
        <w:rPr>
          <w:rFonts w:ascii="Times New Roman" w:eastAsia="Times New Roman" w:hAnsi="Times New Roman" w:cs="Times New Roman"/>
          <w:sz w:val="24"/>
          <w:szCs w:val="24"/>
          <w:lang w:val="en-US" w:eastAsia="en-AU"/>
        </w:rPr>
      </w:pPr>
    </w:p>
    <w:p w:rsidR="00CB1316" w:rsidRDefault="00CB1316" w:rsidP="005D1B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addition, th</w:t>
      </w:r>
      <w:r w:rsidR="009F180F">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Specification provides that the former Specification continues to apply for the first 18 months following the Specification’s commencement notwithstanding the repeal of the former Specification. </w:t>
      </w:r>
      <w:r w:rsidRPr="00CB1316">
        <w:rPr>
          <w:rFonts w:ascii="Times New Roman" w:eastAsia="Times New Roman" w:hAnsi="Times New Roman" w:cs="Times New Roman"/>
          <w:sz w:val="24"/>
          <w:szCs w:val="24"/>
          <w:lang w:eastAsia="en-AU"/>
        </w:rPr>
        <w:t xml:space="preserve">In effect, this means that sponsors will have the option of </w:t>
      </w:r>
      <w:r>
        <w:rPr>
          <w:rFonts w:ascii="Times New Roman" w:eastAsia="Times New Roman" w:hAnsi="Times New Roman" w:cs="Times New Roman"/>
          <w:sz w:val="24"/>
          <w:szCs w:val="24"/>
          <w:lang w:eastAsia="en-AU"/>
        </w:rPr>
        <w:t xml:space="preserve">using the statements specified in </w:t>
      </w:r>
      <w:r w:rsidRPr="00CB1316">
        <w:rPr>
          <w:rFonts w:ascii="Times New Roman" w:eastAsia="Times New Roman" w:hAnsi="Times New Roman" w:cs="Times New Roman"/>
          <w:sz w:val="24"/>
          <w:szCs w:val="24"/>
          <w:lang w:eastAsia="en-AU"/>
        </w:rPr>
        <w:t xml:space="preserve">either Schedule 1 to the Specification </w:t>
      </w:r>
      <w:r>
        <w:rPr>
          <w:rFonts w:ascii="Times New Roman" w:eastAsia="Times New Roman" w:hAnsi="Times New Roman" w:cs="Times New Roman"/>
          <w:sz w:val="24"/>
          <w:szCs w:val="24"/>
          <w:lang w:eastAsia="en-AU"/>
        </w:rPr>
        <w:t xml:space="preserve">(RASML 5) </w:t>
      </w:r>
      <w:r w:rsidRPr="00CB1316">
        <w:rPr>
          <w:rFonts w:ascii="Times New Roman" w:eastAsia="Times New Roman" w:hAnsi="Times New Roman" w:cs="Times New Roman"/>
          <w:sz w:val="24"/>
          <w:szCs w:val="24"/>
          <w:lang w:eastAsia="en-AU"/>
        </w:rPr>
        <w:t xml:space="preserve">or Schedule 2 to the former Specification </w:t>
      </w:r>
      <w:r>
        <w:rPr>
          <w:rFonts w:ascii="Times New Roman" w:eastAsia="Times New Roman" w:hAnsi="Times New Roman" w:cs="Times New Roman"/>
          <w:sz w:val="24"/>
          <w:szCs w:val="24"/>
          <w:lang w:eastAsia="en-AU"/>
        </w:rPr>
        <w:t>(RASML 4) for the duration of the transition period.</w:t>
      </w:r>
    </w:p>
    <w:p w:rsidR="00CB1316" w:rsidRDefault="00CB1316" w:rsidP="005D1B10">
      <w:pPr>
        <w:spacing w:after="0" w:line="240" w:lineRule="auto"/>
        <w:rPr>
          <w:rFonts w:ascii="Times New Roman" w:eastAsia="Times New Roman" w:hAnsi="Times New Roman" w:cs="Times New Roman"/>
          <w:sz w:val="24"/>
          <w:szCs w:val="24"/>
          <w:lang w:eastAsia="en-AU"/>
        </w:rPr>
      </w:pPr>
    </w:p>
    <w:p w:rsidR="00BB3375" w:rsidRDefault="00EB0C24" w:rsidP="005D1B10">
      <w:pPr>
        <w:spacing w:after="0" w:line="240" w:lineRule="auto"/>
        <w:rPr>
          <w:rFonts w:ascii="Times New Roman" w:eastAsia="Times New Roman" w:hAnsi="Times New Roman" w:cs="Times New Roman"/>
          <w:sz w:val="24"/>
          <w:szCs w:val="24"/>
          <w:lang w:val="en-US" w:eastAsia="en-AU"/>
        </w:rPr>
      </w:pPr>
      <w:r w:rsidRPr="005D1B10">
        <w:rPr>
          <w:rFonts w:ascii="Times New Roman" w:eastAsia="Times New Roman" w:hAnsi="Times New Roman" w:cs="Times New Roman"/>
          <w:sz w:val="24"/>
          <w:szCs w:val="24"/>
          <w:lang w:val="en-US" w:eastAsia="en-AU"/>
        </w:rPr>
        <w:t xml:space="preserve">On 1 September 2020, the </w:t>
      </w:r>
      <w:r w:rsidR="009F180F">
        <w:rPr>
          <w:rFonts w:ascii="Times New Roman" w:eastAsia="Times New Roman" w:hAnsi="Times New Roman" w:cs="Times New Roman"/>
          <w:sz w:val="24"/>
          <w:szCs w:val="24"/>
          <w:lang w:val="en-US" w:eastAsia="en-AU"/>
        </w:rPr>
        <w:t xml:space="preserve">18 month </w:t>
      </w:r>
      <w:r>
        <w:rPr>
          <w:rFonts w:ascii="Times New Roman" w:eastAsia="Times New Roman" w:hAnsi="Times New Roman" w:cs="Times New Roman"/>
          <w:sz w:val="24"/>
          <w:szCs w:val="24"/>
          <w:lang w:val="en-US" w:eastAsia="en-AU"/>
        </w:rPr>
        <w:t>transition period</w:t>
      </w:r>
      <w:r w:rsidRPr="005D1B10">
        <w:rPr>
          <w:rFonts w:ascii="Times New Roman" w:eastAsia="Times New Roman" w:hAnsi="Times New Roman" w:cs="Times New Roman"/>
          <w:sz w:val="24"/>
          <w:szCs w:val="24"/>
          <w:lang w:val="en-US" w:eastAsia="en-AU"/>
        </w:rPr>
        <w:t xml:space="preserve"> will end, with the effect that from that date, sponsors will only have the option of complying with </w:t>
      </w:r>
      <w:r>
        <w:rPr>
          <w:rFonts w:ascii="Times New Roman" w:eastAsia="Times New Roman" w:hAnsi="Times New Roman" w:cs="Times New Roman"/>
          <w:sz w:val="24"/>
          <w:szCs w:val="24"/>
          <w:lang w:val="en-US" w:eastAsia="en-AU"/>
        </w:rPr>
        <w:t>Schedule 1 to the Specification (</w:t>
      </w:r>
      <w:r w:rsidRPr="005D1B10">
        <w:rPr>
          <w:rFonts w:ascii="Times New Roman" w:eastAsia="Times New Roman" w:hAnsi="Times New Roman" w:cs="Times New Roman"/>
          <w:sz w:val="24"/>
          <w:szCs w:val="24"/>
          <w:lang w:val="en-US" w:eastAsia="en-AU"/>
        </w:rPr>
        <w:t>RASML 5</w:t>
      </w:r>
      <w:r>
        <w:rPr>
          <w:rFonts w:ascii="Times New Roman" w:eastAsia="Times New Roman" w:hAnsi="Times New Roman" w:cs="Times New Roman"/>
          <w:sz w:val="24"/>
          <w:szCs w:val="24"/>
          <w:lang w:val="en-US" w:eastAsia="en-AU"/>
        </w:rPr>
        <w:t>)</w:t>
      </w:r>
      <w:r w:rsidRPr="005D1B10">
        <w:rPr>
          <w:rFonts w:ascii="Times New Roman" w:eastAsia="Times New Roman" w:hAnsi="Times New Roman" w:cs="Times New Roman"/>
          <w:sz w:val="24"/>
          <w:szCs w:val="24"/>
          <w:lang w:val="en-US" w:eastAsia="en-AU"/>
        </w:rPr>
        <w:t xml:space="preserve"> in relation to their medicine labels.</w:t>
      </w:r>
    </w:p>
    <w:p w:rsidR="005D1B10" w:rsidRPr="005D1B10" w:rsidRDefault="005D1B10" w:rsidP="005D1B10">
      <w:pPr>
        <w:spacing w:after="0" w:line="240" w:lineRule="auto"/>
        <w:rPr>
          <w:rFonts w:ascii="Times New Roman" w:eastAsia="Times New Roman" w:hAnsi="Times New Roman" w:cs="Times New Roman"/>
          <w:sz w:val="24"/>
          <w:szCs w:val="24"/>
          <w:lang w:val="en-US" w:eastAsia="en-AU"/>
        </w:rPr>
      </w:pPr>
    </w:p>
    <w:p w:rsidR="006E6314" w:rsidRPr="006E6314" w:rsidRDefault="00570A2F" w:rsidP="005D1B10">
      <w:pPr>
        <w:spacing w:after="0" w:line="240" w:lineRule="auto"/>
        <w:ind w:right="-96"/>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Consultation</w:t>
      </w:r>
    </w:p>
    <w:p w:rsidR="005D1B10" w:rsidRDefault="005D1B10" w:rsidP="005D1B10">
      <w:pPr>
        <w:spacing w:after="0" w:line="240" w:lineRule="auto"/>
        <w:rPr>
          <w:rFonts w:ascii="Times New Roman" w:eastAsia="Times New Roman" w:hAnsi="Times New Roman" w:cs="Times New Roman"/>
          <w:sz w:val="24"/>
          <w:szCs w:val="24"/>
          <w:lang w:val="en-US" w:eastAsia="en-AU"/>
        </w:rPr>
      </w:pPr>
    </w:p>
    <w:p w:rsidR="006A417A" w:rsidRPr="00E8218F" w:rsidRDefault="006A417A" w:rsidP="005D1B10">
      <w:pPr>
        <w:spacing w:after="0" w:line="240" w:lineRule="auto"/>
        <w:rPr>
          <w:rFonts w:ascii="Times New Roman" w:eastAsia="Times New Roman" w:hAnsi="Times New Roman" w:cs="Times New Roman"/>
          <w:sz w:val="24"/>
          <w:szCs w:val="24"/>
          <w:lang w:val="en" w:eastAsia="en-AU"/>
        </w:rPr>
      </w:pPr>
      <w:r w:rsidRPr="00E8218F">
        <w:rPr>
          <w:rFonts w:ascii="Times New Roman" w:eastAsia="Times New Roman" w:hAnsi="Times New Roman" w:cs="Times New Roman"/>
          <w:sz w:val="24"/>
          <w:szCs w:val="24"/>
          <w:lang w:val="en-US" w:eastAsia="en-AU"/>
        </w:rPr>
        <w:t>Public comment was invited on</w:t>
      </w:r>
      <w:r>
        <w:rPr>
          <w:rFonts w:ascii="Times New Roman" w:eastAsia="Times New Roman" w:hAnsi="Times New Roman" w:cs="Times New Roman"/>
          <w:sz w:val="24"/>
          <w:szCs w:val="24"/>
          <w:lang w:val="en-US" w:eastAsia="en-AU"/>
        </w:rPr>
        <w:t xml:space="preserve"> the </w:t>
      </w:r>
      <w:r w:rsidRPr="00E8218F">
        <w:rPr>
          <w:rFonts w:ascii="Times New Roman" w:eastAsia="Times New Roman" w:hAnsi="Times New Roman" w:cs="Times New Roman"/>
          <w:sz w:val="24"/>
          <w:szCs w:val="24"/>
          <w:lang w:val="en-US" w:eastAsia="en-AU"/>
        </w:rPr>
        <w:t>propos</w:t>
      </w:r>
      <w:r w:rsidR="003C08D0">
        <w:rPr>
          <w:rFonts w:ascii="Times New Roman" w:eastAsia="Times New Roman" w:hAnsi="Times New Roman" w:cs="Times New Roman"/>
          <w:sz w:val="24"/>
          <w:szCs w:val="24"/>
          <w:lang w:val="en-US" w:eastAsia="en-AU"/>
        </w:rPr>
        <w:t>ed amendments</w:t>
      </w:r>
      <w:r>
        <w:rPr>
          <w:rFonts w:ascii="Times New Roman" w:eastAsia="Times New Roman" w:hAnsi="Times New Roman" w:cs="Times New Roman"/>
          <w:sz w:val="24"/>
          <w:szCs w:val="24"/>
          <w:lang w:val="en-US" w:eastAsia="en-AU"/>
        </w:rPr>
        <w:t xml:space="preserve"> in </w:t>
      </w:r>
      <w:r w:rsidR="00A346FC">
        <w:rPr>
          <w:rFonts w:ascii="Times New Roman" w:eastAsia="Times New Roman" w:hAnsi="Times New Roman" w:cs="Times New Roman"/>
          <w:sz w:val="24"/>
          <w:szCs w:val="24"/>
          <w:lang w:val="en-US" w:eastAsia="en-AU"/>
        </w:rPr>
        <w:t xml:space="preserve">RASML </w:t>
      </w:r>
      <w:r w:rsidR="00931399">
        <w:rPr>
          <w:rFonts w:ascii="Times New Roman" w:eastAsia="Times New Roman" w:hAnsi="Times New Roman" w:cs="Times New Roman"/>
          <w:sz w:val="24"/>
          <w:szCs w:val="24"/>
          <w:lang w:val="en-US" w:eastAsia="en-AU"/>
        </w:rPr>
        <w:t>5</w:t>
      </w:r>
      <w:r>
        <w:rPr>
          <w:rFonts w:ascii="Times New Roman" w:eastAsia="Times New Roman" w:hAnsi="Times New Roman" w:cs="Times New Roman"/>
          <w:sz w:val="24"/>
          <w:szCs w:val="24"/>
          <w:lang w:val="en-US" w:eastAsia="en-AU"/>
        </w:rPr>
        <w:t>, as follows</w:t>
      </w:r>
      <w:r w:rsidRPr="00E8218F">
        <w:rPr>
          <w:rFonts w:ascii="Times New Roman" w:eastAsia="Times New Roman" w:hAnsi="Times New Roman" w:cs="Times New Roman"/>
          <w:sz w:val="24"/>
          <w:szCs w:val="24"/>
          <w:lang w:val="en-US" w:eastAsia="en-AU"/>
        </w:rPr>
        <w:t>:</w:t>
      </w:r>
    </w:p>
    <w:p w:rsidR="00EB4F45" w:rsidRPr="00EB4F45" w:rsidRDefault="00322DE7" w:rsidP="00EB4F45">
      <w:pPr>
        <w:numPr>
          <w:ilvl w:val="0"/>
          <w:numId w:val="3"/>
        </w:numPr>
        <w:spacing w:before="120" w:after="120" w:line="240" w:lineRule="auto"/>
        <w:ind w:left="709" w:hanging="709"/>
        <w:rPr>
          <w:rFonts w:ascii="Times New Roman" w:hAnsi="Times New Roman" w:cs="Times New Roman"/>
          <w:sz w:val="24"/>
          <w:szCs w:val="24"/>
          <w:lang w:val="en"/>
        </w:rPr>
      </w:pPr>
      <w:proofErr w:type="gramStart"/>
      <w:r>
        <w:rPr>
          <w:rFonts w:ascii="Times New Roman" w:eastAsia="Times New Roman" w:hAnsi="Times New Roman" w:cs="Times New Roman"/>
          <w:sz w:val="24"/>
          <w:szCs w:val="24"/>
          <w:lang w:val="en" w:eastAsia="en-AU"/>
        </w:rPr>
        <w:t>s</w:t>
      </w:r>
      <w:r w:rsidR="00B15847">
        <w:rPr>
          <w:rFonts w:ascii="Times New Roman" w:eastAsia="Times New Roman" w:hAnsi="Times New Roman" w:cs="Times New Roman"/>
          <w:sz w:val="24"/>
          <w:szCs w:val="24"/>
          <w:lang w:val="en" w:eastAsia="en-AU"/>
        </w:rPr>
        <w:t>edating</w:t>
      </w:r>
      <w:proofErr w:type="gramEnd"/>
      <w:r w:rsidR="00B15847">
        <w:rPr>
          <w:rFonts w:ascii="Times New Roman" w:eastAsia="Times New Roman" w:hAnsi="Times New Roman" w:cs="Times New Roman"/>
          <w:sz w:val="24"/>
          <w:szCs w:val="24"/>
          <w:lang w:val="en" w:eastAsia="en-AU"/>
        </w:rPr>
        <w:t xml:space="preserve"> antihistamines</w:t>
      </w:r>
      <w:r w:rsidR="007C3F14">
        <w:rPr>
          <w:rFonts w:ascii="Times New Roman" w:eastAsia="Times New Roman" w:hAnsi="Times New Roman" w:cs="Times New Roman"/>
          <w:sz w:val="24"/>
          <w:szCs w:val="24"/>
          <w:lang w:val="en" w:eastAsia="en-AU"/>
        </w:rPr>
        <w:t>:</w:t>
      </w:r>
      <w:r w:rsidR="00B15847">
        <w:rPr>
          <w:rFonts w:ascii="Times New Roman" w:eastAsia="Times New Roman" w:hAnsi="Times New Roman" w:cs="Times New Roman"/>
          <w:sz w:val="24"/>
          <w:szCs w:val="24"/>
          <w:lang w:val="en" w:eastAsia="en-AU"/>
        </w:rPr>
        <w:t xml:space="preserve"> proposed additional advisory statements for medicines alimemazine (trimeprazine), brompheniramine, chlorpheniramine, dexchlorpheniramine, diphenhydramine, doxylamine, pheniramine, promethazine and triprolidine for oral use</w:t>
      </w:r>
      <w:r w:rsidR="007C3F14">
        <w:rPr>
          <w:rFonts w:ascii="Times New Roman" w:eastAsia="Times New Roman" w:hAnsi="Times New Roman" w:cs="Times New Roman"/>
          <w:sz w:val="24"/>
          <w:szCs w:val="24"/>
          <w:lang w:eastAsia="en-AU"/>
        </w:rPr>
        <w:sym w:font="Symbol" w:char="F0BE"/>
      </w:r>
      <w:r w:rsidR="00EB4F45">
        <w:rPr>
          <w:rFonts w:ascii="Times New Roman" w:eastAsia="Times New Roman" w:hAnsi="Times New Roman" w:cs="Times New Roman"/>
          <w:sz w:val="24"/>
          <w:szCs w:val="24"/>
          <w:lang w:eastAsia="en-AU"/>
        </w:rPr>
        <w:t xml:space="preserve">the </w:t>
      </w:r>
      <w:r w:rsidR="00EB4F45" w:rsidRPr="00D7641B">
        <w:rPr>
          <w:rFonts w:ascii="Times New Roman" w:eastAsia="Times New Roman" w:hAnsi="Times New Roman" w:cs="Times New Roman"/>
          <w:sz w:val="24"/>
          <w:szCs w:val="24"/>
          <w:lang w:eastAsia="en-AU"/>
        </w:rPr>
        <w:t xml:space="preserve">invitation to comment in relation to </w:t>
      </w:r>
      <w:r w:rsidR="003B5745">
        <w:rPr>
          <w:rFonts w:ascii="Times New Roman" w:eastAsia="Times New Roman" w:hAnsi="Times New Roman" w:cs="Times New Roman"/>
          <w:sz w:val="24"/>
          <w:szCs w:val="24"/>
          <w:lang w:eastAsia="en-AU"/>
        </w:rPr>
        <w:t>these changes</w:t>
      </w:r>
      <w:r w:rsidR="00EB4F45" w:rsidRPr="00D7641B">
        <w:rPr>
          <w:rFonts w:ascii="Times New Roman" w:eastAsia="Times New Roman" w:hAnsi="Times New Roman" w:cs="Times New Roman"/>
          <w:sz w:val="24"/>
          <w:szCs w:val="24"/>
          <w:lang w:eastAsia="en-AU"/>
        </w:rPr>
        <w:t xml:space="preserve"> was advertised on the TGA website (</w:t>
      </w:r>
      <w:hyperlink r:id="rId9" w:history="1">
        <w:r w:rsidR="00EB4F45" w:rsidRPr="00D7641B">
          <w:rPr>
            <w:rStyle w:val="Hyperlink"/>
            <w:rFonts w:ascii="Times New Roman" w:eastAsia="Times New Roman" w:hAnsi="Times New Roman" w:cs="Times New Roman"/>
            <w:sz w:val="24"/>
            <w:szCs w:val="24"/>
            <w:lang w:eastAsia="en-AU"/>
          </w:rPr>
          <w:t>www.tga.gov.au</w:t>
        </w:r>
      </w:hyperlink>
      <w:r w:rsidR="00EB4F45" w:rsidRPr="00D7641B">
        <w:rPr>
          <w:rFonts w:ascii="Times New Roman" w:eastAsia="Times New Roman" w:hAnsi="Times New Roman" w:cs="Times New Roman"/>
          <w:sz w:val="24"/>
          <w:szCs w:val="24"/>
          <w:lang w:eastAsia="en-AU"/>
        </w:rPr>
        <w:t xml:space="preserve">) from </w:t>
      </w:r>
      <w:r w:rsidR="00B15847">
        <w:rPr>
          <w:rFonts w:ascii="Times New Roman" w:eastAsia="Times New Roman" w:hAnsi="Times New Roman" w:cs="Times New Roman"/>
          <w:sz w:val="24"/>
          <w:szCs w:val="24"/>
          <w:lang w:eastAsia="en-AU"/>
        </w:rPr>
        <w:t>24</w:t>
      </w:r>
      <w:r w:rsidR="00B15847" w:rsidRPr="00D7641B">
        <w:rPr>
          <w:rFonts w:ascii="Times New Roman" w:eastAsia="Times New Roman" w:hAnsi="Times New Roman" w:cs="Times New Roman"/>
          <w:sz w:val="24"/>
          <w:szCs w:val="24"/>
          <w:lang w:eastAsia="en-AU"/>
        </w:rPr>
        <w:t xml:space="preserve"> </w:t>
      </w:r>
      <w:r w:rsidR="00B15847">
        <w:rPr>
          <w:rFonts w:ascii="Times New Roman" w:eastAsia="Times New Roman" w:hAnsi="Times New Roman" w:cs="Times New Roman"/>
          <w:sz w:val="24"/>
          <w:szCs w:val="24"/>
          <w:lang w:eastAsia="en-AU"/>
        </w:rPr>
        <w:t>May 2018</w:t>
      </w:r>
      <w:r w:rsidR="00EB4F45" w:rsidRPr="00D7641B">
        <w:rPr>
          <w:rFonts w:ascii="Times New Roman" w:eastAsia="Times New Roman" w:hAnsi="Times New Roman" w:cs="Times New Roman"/>
          <w:sz w:val="24"/>
          <w:szCs w:val="24"/>
          <w:lang w:eastAsia="en-AU"/>
        </w:rPr>
        <w:t xml:space="preserve">, and closed on </w:t>
      </w:r>
      <w:r w:rsidR="00B15847">
        <w:rPr>
          <w:rFonts w:ascii="Times New Roman" w:eastAsia="Times New Roman" w:hAnsi="Times New Roman" w:cs="Times New Roman"/>
          <w:sz w:val="24"/>
          <w:szCs w:val="24"/>
          <w:lang w:eastAsia="en-AU"/>
        </w:rPr>
        <w:t>21 June 2018</w:t>
      </w:r>
      <w:r>
        <w:rPr>
          <w:rFonts w:ascii="Times New Roman" w:eastAsia="Times New Roman" w:hAnsi="Times New Roman" w:cs="Times New Roman"/>
          <w:sz w:val="24"/>
          <w:szCs w:val="24"/>
          <w:lang w:eastAsia="en-AU"/>
        </w:rPr>
        <w:t>.</w:t>
      </w:r>
      <w:r w:rsidR="00B15847" w:rsidRPr="00D7641B">
        <w:rPr>
          <w:rFonts w:ascii="Times New Roman" w:eastAsia="Times New Roman" w:hAnsi="Times New Roman" w:cs="Times New Roman"/>
          <w:sz w:val="24"/>
          <w:szCs w:val="24"/>
          <w:lang w:eastAsia="en-AU"/>
        </w:rPr>
        <w:t xml:space="preserve"> </w:t>
      </w:r>
      <w:r w:rsidR="004E1805">
        <w:rPr>
          <w:rFonts w:ascii="Times New Roman" w:hAnsi="Times New Roman" w:cs="Times New Roman"/>
          <w:sz w:val="24"/>
          <w:szCs w:val="24"/>
          <w:lang w:val="en"/>
        </w:rPr>
        <w:t xml:space="preserve">Submissions and </w:t>
      </w:r>
      <w:r>
        <w:rPr>
          <w:rFonts w:ascii="Times New Roman" w:hAnsi="Times New Roman" w:cs="Times New Roman"/>
          <w:sz w:val="24"/>
          <w:szCs w:val="24"/>
          <w:lang w:val="en"/>
        </w:rPr>
        <w:t xml:space="preserve">the </w:t>
      </w:r>
      <w:r w:rsidR="004E1805">
        <w:rPr>
          <w:rFonts w:ascii="Times New Roman" w:hAnsi="Times New Roman" w:cs="Times New Roman"/>
          <w:sz w:val="24"/>
          <w:szCs w:val="24"/>
          <w:lang w:val="en"/>
        </w:rPr>
        <w:t>TGA</w:t>
      </w:r>
      <w:r>
        <w:rPr>
          <w:rFonts w:ascii="Times New Roman" w:hAnsi="Times New Roman" w:cs="Times New Roman"/>
          <w:sz w:val="24"/>
          <w:szCs w:val="24"/>
          <w:lang w:val="en"/>
        </w:rPr>
        <w:t>’s</w:t>
      </w:r>
      <w:r w:rsidR="004E1805">
        <w:rPr>
          <w:rFonts w:ascii="Times New Roman" w:hAnsi="Times New Roman" w:cs="Times New Roman"/>
          <w:sz w:val="24"/>
          <w:szCs w:val="24"/>
          <w:lang w:val="en"/>
        </w:rPr>
        <w:t xml:space="preserve"> response</w:t>
      </w:r>
      <w:r w:rsidR="00EB4F45">
        <w:rPr>
          <w:rFonts w:ascii="Times New Roman" w:hAnsi="Times New Roman" w:cs="Times New Roman"/>
          <w:sz w:val="24"/>
          <w:szCs w:val="24"/>
          <w:lang w:val="en"/>
        </w:rPr>
        <w:t xml:space="preserve"> were published on </w:t>
      </w:r>
      <w:r w:rsidR="00EB4F45" w:rsidRPr="00D7641B">
        <w:rPr>
          <w:rFonts w:ascii="Times New Roman" w:eastAsia="Times New Roman" w:hAnsi="Times New Roman" w:cs="Times New Roman"/>
          <w:sz w:val="24"/>
          <w:szCs w:val="24"/>
          <w:lang w:eastAsia="en-AU"/>
        </w:rPr>
        <w:t xml:space="preserve">the TGA website on </w:t>
      </w:r>
      <w:r w:rsidR="00B15847">
        <w:rPr>
          <w:rFonts w:ascii="Times New Roman" w:hAnsi="Times New Roman" w:cs="Times New Roman"/>
          <w:sz w:val="24"/>
          <w:szCs w:val="24"/>
          <w:lang w:val="en"/>
        </w:rPr>
        <w:t>25 September 2018</w:t>
      </w:r>
      <w:r w:rsidR="00167B2F">
        <w:rPr>
          <w:rFonts w:ascii="Times New Roman" w:hAnsi="Times New Roman" w:cs="Times New Roman"/>
          <w:sz w:val="24"/>
          <w:szCs w:val="24"/>
          <w:lang w:val="en"/>
        </w:rPr>
        <w:t>;</w:t>
      </w:r>
    </w:p>
    <w:p w:rsidR="00550E59" w:rsidRDefault="00322DE7" w:rsidP="00EB4F45">
      <w:pPr>
        <w:numPr>
          <w:ilvl w:val="0"/>
          <w:numId w:val="3"/>
        </w:numPr>
        <w:spacing w:before="120" w:after="120" w:line="240" w:lineRule="auto"/>
        <w:ind w:left="709" w:hanging="709"/>
        <w:rPr>
          <w:rFonts w:ascii="Times New Roman" w:hAnsi="Times New Roman" w:cs="Times New Roman"/>
          <w:sz w:val="24"/>
          <w:szCs w:val="24"/>
          <w:lang w:val="en"/>
        </w:rPr>
      </w:pPr>
      <w:proofErr w:type="gramStart"/>
      <w:r>
        <w:rPr>
          <w:rFonts w:ascii="Times New Roman" w:eastAsia="Times New Roman" w:hAnsi="Times New Roman" w:cs="Times New Roman"/>
          <w:bCs/>
          <w:sz w:val="24"/>
          <w:szCs w:val="24"/>
          <w:lang w:val="en" w:eastAsia="en-AU"/>
        </w:rPr>
        <w:t>m</w:t>
      </w:r>
      <w:r w:rsidR="001D39FA" w:rsidRPr="001D39FA">
        <w:rPr>
          <w:rFonts w:ascii="Times New Roman" w:eastAsia="Times New Roman" w:hAnsi="Times New Roman" w:cs="Times New Roman"/>
          <w:bCs/>
          <w:sz w:val="24"/>
          <w:szCs w:val="24"/>
          <w:lang w:val="en" w:eastAsia="en-AU"/>
        </w:rPr>
        <w:t>iconazole</w:t>
      </w:r>
      <w:proofErr w:type="gramEnd"/>
      <w:r w:rsidR="001D39FA" w:rsidRPr="001D39FA">
        <w:rPr>
          <w:rFonts w:ascii="Times New Roman" w:eastAsia="Times New Roman" w:hAnsi="Times New Roman" w:cs="Times New Roman"/>
          <w:bCs/>
          <w:sz w:val="24"/>
          <w:szCs w:val="24"/>
          <w:lang w:val="en" w:eastAsia="en-AU"/>
        </w:rPr>
        <w:t xml:space="preserve"> and fluconazole</w:t>
      </w:r>
      <w:r w:rsidR="007C3F14">
        <w:rPr>
          <w:rFonts w:ascii="Times New Roman" w:eastAsia="Times New Roman" w:hAnsi="Times New Roman" w:cs="Times New Roman"/>
          <w:bCs/>
          <w:sz w:val="24"/>
          <w:szCs w:val="24"/>
          <w:lang w:val="en" w:eastAsia="en-AU"/>
        </w:rPr>
        <w:t>:</w:t>
      </w:r>
      <w:r w:rsidR="001D39FA" w:rsidRPr="001D39FA">
        <w:rPr>
          <w:rFonts w:ascii="Times New Roman" w:eastAsia="Times New Roman" w:hAnsi="Times New Roman" w:cs="Times New Roman"/>
          <w:bCs/>
          <w:sz w:val="24"/>
          <w:szCs w:val="24"/>
          <w:lang w:val="en" w:eastAsia="en-AU"/>
        </w:rPr>
        <w:t xml:space="preserve"> proposed advisory statements for medicines</w:t>
      </w:r>
      <w:r w:rsidR="007C3F14">
        <w:rPr>
          <w:rFonts w:ascii="Times New Roman" w:eastAsia="Times New Roman" w:hAnsi="Times New Roman" w:cs="Times New Roman"/>
          <w:sz w:val="24"/>
          <w:szCs w:val="24"/>
          <w:lang w:eastAsia="en-AU"/>
        </w:rPr>
        <w:sym w:font="Symbol" w:char="F0BE"/>
      </w:r>
      <w:r w:rsidR="00550E59" w:rsidRPr="001D39FA">
        <w:rPr>
          <w:rFonts w:ascii="Times New Roman" w:eastAsia="Times New Roman" w:hAnsi="Times New Roman" w:cs="Times New Roman"/>
          <w:sz w:val="24"/>
          <w:szCs w:val="24"/>
          <w:lang w:eastAsia="en-AU"/>
        </w:rPr>
        <w:t xml:space="preserve">the </w:t>
      </w:r>
      <w:r w:rsidR="00550E59" w:rsidRPr="001D39FA">
        <w:rPr>
          <w:rFonts w:ascii="Times New Roman" w:eastAsia="Times New Roman" w:hAnsi="Times New Roman" w:cs="Times New Roman"/>
          <w:sz w:val="24"/>
          <w:szCs w:val="24"/>
          <w:lang w:val="en-US" w:eastAsia="en-AU"/>
        </w:rPr>
        <w:t>i</w:t>
      </w:r>
      <w:r w:rsidR="00550E59">
        <w:rPr>
          <w:rFonts w:ascii="Times New Roman" w:eastAsia="Times New Roman" w:hAnsi="Times New Roman" w:cs="Times New Roman"/>
          <w:sz w:val="24"/>
          <w:szCs w:val="24"/>
          <w:lang w:val="en-US" w:eastAsia="en-AU"/>
        </w:rPr>
        <w:t>nvitation to comment in relation to this change was advertised on the TGA website (</w:t>
      </w:r>
      <w:hyperlink r:id="rId10" w:history="1">
        <w:r w:rsidR="00550E59">
          <w:rPr>
            <w:rStyle w:val="Hyperlink"/>
            <w:rFonts w:ascii="Times New Roman" w:eastAsia="Times New Roman" w:hAnsi="Times New Roman" w:cs="Times New Roman"/>
            <w:sz w:val="24"/>
            <w:szCs w:val="24"/>
            <w:lang w:val="en-US" w:eastAsia="en-AU"/>
          </w:rPr>
          <w:t>www.tga.gov.au</w:t>
        </w:r>
      </w:hyperlink>
      <w:r w:rsidR="00550E59">
        <w:rPr>
          <w:rFonts w:ascii="Times New Roman" w:eastAsia="Times New Roman" w:hAnsi="Times New Roman" w:cs="Times New Roman"/>
          <w:sz w:val="24"/>
          <w:szCs w:val="24"/>
          <w:lang w:val="en-US" w:eastAsia="en-AU"/>
        </w:rPr>
        <w:t xml:space="preserve">) from </w:t>
      </w:r>
      <w:r w:rsidR="001D39FA">
        <w:rPr>
          <w:rFonts w:ascii="Times New Roman" w:eastAsia="Times New Roman" w:hAnsi="Times New Roman" w:cs="Times New Roman"/>
          <w:sz w:val="24"/>
          <w:szCs w:val="24"/>
          <w:lang w:val="en-US" w:eastAsia="en-AU"/>
        </w:rPr>
        <w:t>24 May 2018</w:t>
      </w:r>
      <w:r w:rsidR="00550E59">
        <w:rPr>
          <w:rFonts w:ascii="Times New Roman" w:eastAsia="Times New Roman" w:hAnsi="Times New Roman" w:cs="Times New Roman"/>
          <w:sz w:val="24"/>
          <w:szCs w:val="24"/>
          <w:lang w:val="en-US" w:eastAsia="en-AU"/>
        </w:rPr>
        <w:t>, and closed</w:t>
      </w:r>
      <w:r w:rsidR="001D39FA">
        <w:rPr>
          <w:rFonts w:ascii="Times New Roman" w:eastAsia="Times New Roman" w:hAnsi="Times New Roman" w:cs="Times New Roman"/>
          <w:sz w:val="24"/>
          <w:szCs w:val="24"/>
          <w:lang w:val="en-US" w:eastAsia="en-AU"/>
        </w:rPr>
        <w:t xml:space="preserve"> on 21</w:t>
      </w:r>
      <w:r w:rsidR="00550E59">
        <w:rPr>
          <w:rFonts w:ascii="Times New Roman" w:eastAsia="Times New Roman" w:hAnsi="Times New Roman" w:cs="Times New Roman"/>
          <w:sz w:val="24"/>
          <w:szCs w:val="24"/>
          <w:lang w:val="en-US" w:eastAsia="en-AU"/>
        </w:rPr>
        <w:t xml:space="preserve"> </w:t>
      </w:r>
      <w:r w:rsidR="001D39FA">
        <w:rPr>
          <w:rFonts w:ascii="Times New Roman" w:eastAsia="Times New Roman" w:hAnsi="Times New Roman" w:cs="Times New Roman"/>
          <w:sz w:val="24"/>
          <w:szCs w:val="24"/>
          <w:lang w:val="en-US" w:eastAsia="en-AU"/>
        </w:rPr>
        <w:t>June 2018</w:t>
      </w:r>
      <w:r>
        <w:rPr>
          <w:rFonts w:ascii="Times New Roman" w:eastAsia="Times New Roman" w:hAnsi="Times New Roman" w:cs="Times New Roman"/>
          <w:sz w:val="24"/>
          <w:szCs w:val="24"/>
          <w:lang w:val="en-US" w:eastAsia="en-AU"/>
        </w:rPr>
        <w:t>.</w:t>
      </w:r>
      <w:r w:rsidR="00550E59">
        <w:rPr>
          <w:rFonts w:ascii="Times New Roman" w:eastAsia="Times New Roman" w:hAnsi="Times New Roman" w:cs="Times New Roman"/>
          <w:sz w:val="24"/>
          <w:szCs w:val="24"/>
          <w:lang w:val="en-US" w:eastAsia="en-AU"/>
        </w:rPr>
        <w:t xml:space="preserve"> </w:t>
      </w:r>
      <w:r w:rsidR="00550E59">
        <w:rPr>
          <w:rFonts w:ascii="Times New Roman" w:hAnsi="Times New Roman" w:cs="Times New Roman"/>
          <w:sz w:val="24"/>
          <w:szCs w:val="24"/>
          <w:lang w:val="en"/>
        </w:rPr>
        <w:t>Submissions and</w:t>
      </w:r>
      <w:r>
        <w:rPr>
          <w:rFonts w:ascii="Times New Roman" w:hAnsi="Times New Roman" w:cs="Times New Roman"/>
          <w:sz w:val="24"/>
          <w:szCs w:val="24"/>
          <w:lang w:val="en"/>
        </w:rPr>
        <w:t xml:space="preserve"> the</w:t>
      </w:r>
      <w:r w:rsidR="00550E59">
        <w:rPr>
          <w:rFonts w:ascii="Times New Roman" w:hAnsi="Times New Roman" w:cs="Times New Roman"/>
          <w:sz w:val="24"/>
          <w:szCs w:val="24"/>
          <w:lang w:val="en"/>
        </w:rPr>
        <w:t xml:space="preserve"> TGA</w:t>
      </w:r>
      <w:r>
        <w:rPr>
          <w:rFonts w:ascii="Times New Roman" w:hAnsi="Times New Roman" w:cs="Times New Roman"/>
          <w:sz w:val="24"/>
          <w:szCs w:val="24"/>
          <w:lang w:val="en"/>
        </w:rPr>
        <w:t>’s</w:t>
      </w:r>
      <w:r w:rsidR="00550E59">
        <w:rPr>
          <w:rFonts w:ascii="Times New Roman" w:hAnsi="Times New Roman" w:cs="Times New Roman"/>
          <w:sz w:val="24"/>
          <w:szCs w:val="24"/>
          <w:lang w:val="en"/>
        </w:rPr>
        <w:t xml:space="preserve"> response were published on </w:t>
      </w:r>
      <w:r w:rsidR="00550E59">
        <w:rPr>
          <w:rFonts w:ascii="Times New Roman" w:eastAsia="Times New Roman" w:hAnsi="Times New Roman" w:cs="Times New Roman"/>
          <w:sz w:val="24"/>
          <w:szCs w:val="24"/>
          <w:lang w:val="en-US" w:eastAsia="en-AU"/>
        </w:rPr>
        <w:t xml:space="preserve">the TGA website on </w:t>
      </w:r>
      <w:r w:rsidR="001D39FA">
        <w:rPr>
          <w:rFonts w:ascii="Times New Roman" w:hAnsi="Times New Roman" w:cs="Times New Roman"/>
          <w:sz w:val="24"/>
          <w:szCs w:val="24"/>
          <w:lang w:val="en"/>
        </w:rPr>
        <w:t>14</w:t>
      </w:r>
      <w:r w:rsidR="00550E59">
        <w:rPr>
          <w:rFonts w:ascii="Times New Roman" w:hAnsi="Times New Roman" w:cs="Times New Roman"/>
          <w:sz w:val="24"/>
          <w:szCs w:val="24"/>
          <w:lang w:val="en"/>
        </w:rPr>
        <w:t xml:space="preserve"> </w:t>
      </w:r>
      <w:r w:rsidR="001D39FA">
        <w:rPr>
          <w:rFonts w:ascii="Times New Roman" w:hAnsi="Times New Roman" w:cs="Times New Roman"/>
          <w:sz w:val="24"/>
          <w:szCs w:val="24"/>
          <w:lang w:val="en"/>
        </w:rPr>
        <w:t>September 2018</w:t>
      </w:r>
      <w:r>
        <w:rPr>
          <w:rFonts w:ascii="Times New Roman" w:hAnsi="Times New Roman" w:cs="Times New Roman"/>
          <w:sz w:val="24"/>
          <w:szCs w:val="24"/>
          <w:lang w:val="en"/>
        </w:rPr>
        <w:t>; and</w:t>
      </w:r>
    </w:p>
    <w:p w:rsidR="00EC5936" w:rsidRPr="00EB4F45" w:rsidRDefault="00322DE7" w:rsidP="00EB4F45">
      <w:pPr>
        <w:numPr>
          <w:ilvl w:val="0"/>
          <w:numId w:val="3"/>
        </w:numPr>
        <w:spacing w:before="120" w:after="120" w:line="240" w:lineRule="auto"/>
        <w:ind w:left="709" w:hanging="709"/>
        <w:rPr>
          <w:rFonts w:ascii="Times New Roman" w:hAnsi="Times New Roman" w:cs="Times New Roman"/>
          <w:sz w:val="24"/>
          <w:szCs w:val="24"/>
          <w:lang w:val="en"/>
        </w:rPr>
      </w:pPr>
      <w:r>
        <w:rPr>
          <w:rFonts w:ascii="Times New Roman" w:hAnsi="Times New Roman" w:cs="Times New Roman"/>
          <w:sz w:val="24"/>
          <w:szCs w:val="24"/>
          <w:lang w:val="en"/>
        </w:rPr>
        <w:t>b</w:t>
      </w:r>
      <w:r w:rsidR="00EC5936">
        <w:rPr>
          <w:rFonts w:ascii="Times New Roman" w:hAnsi="Times New Roman" w:cs="Times New Roman"/>
          <w:sz w:val="24"/>
          <w:szCs w:val="24"/>
          <w:lang w:val="en"/>
        </w:rPr>
        <w:t>enzocaine</w:t>
      </w:r>
      <w:r w:rsidR="007C3F14">
        <w:rPr>
          <w:rFonts w:ascii="Times New Roman" w:hAnsi="Times New Roman" w:cs="Times New Roman"/>
          <w:sz w:val="24"/>
          <w:szCs w:val="24"/>
          <w:lang w:val="en"/>
        </w:rPr>
        <w:t>:</w:t>
      </w:r>
      <w:r w:rsidR="00EC5936">
        <w:rPr>
          <w:rFonts w:ascii="Times New Roman" w:hAnsi="Times New Roman" w:cs="Times New Roman"/>
          <w:sz w:val="24"/>
          <w:szCs w:val="24"/>
          <w:lang w:val="en"/>
        </w:rPr>
        <w:t xml:space="preserve"> proposed advisory statements for medicines</w:t>
      </w:r>
      <w:r w:rsidR="007C3F14">
        <w:rPr>
          <w:rFonts w:ascii="Times New Roman" w:eastAsia="Times New Roman" w:hAnsi="Times New Roman" w:cs="Times New Roman"/>
          <w:sz w:val="24"/>
          <w:szCs w:val="24"/>
          <w:lang w:eastAsia="en-AU"/>
        </w:rPr>
        <w:sym w:font="Symbol" w:char="F0BE"/>
      </w:r>
      <w:r w:rsidR="00EC5936" w:rsidRPr="001D39FA">
        <w:rPr>
          <w:rFonts w:ascii="Times New Roman" w:eastAsia="Times New Roman" w:hAnsi="Times New Roman" w:cs="Times New Roman"/>
          <w:sz w:val="24"/>
          <w:szCs w:val="24"/>
          <w:lang w:eastAsia="en-AU"/>
        </w:rPr>
        <w:t xml:space="preserve">the </w:t>
      </w:r>
      <w:r w:rsidR="00EC5936" w:rsidRPr="001D39FA">
        <w:rPr>
          <w:rFonts w:ascii="Times New Roman" w:eastAsia="Times New Roman" w:hAnsi="Times New Roman" w:cs="Times New Roman"/>
          <w:sz w:val="24"/>
          <w:szCs w:val="24"/>
          <w:lang w:val="en-US" w:eastAsia="en-AU"/>
        </w:rPr>
        <w:t>i</w:t>
      </w:r>
      <w:r w:rsidR="00EC5936">
        <w:rPr>
          <w:rFonts w:ascii="Times New Roman" w:eastAsia="Times New Roman" w:hAnsi="Times New Roman" w:cs="Times New Roman"/>
          <w:sz w:val="24"/>
          <w:szCs w:val="24"/>
          <w:lang w:val="en-US" w:eastAsia="en-AU"/>
        </w:rPr>
        <w:t>nvitation to comment in relation to this change was advertised on the TGA website (</w:t>
      </w:r>
      <w:hyperlink r:id="rId11" w:history="1">
        <w:r w:rsidR="00EC5936">
          <w:rPr>
            <w:rStyle w:val="Hyperlink"/>
            <w:rFonts w:ascii="Times New Roman" w:eastAsia="Times New Roman" w:hAnsi="Times New Roman" w:cs="Times New Roman"/>
            <w:sz w:val="24"/>
            <w:szCs w:val="24"/>
            <w:lang w:val="en-US" w:eastAsia="en-AU"/>
          </w:rPr>
          <w:t>www.tga.gov.au</w:t>
        </w:r>
      </w:hyperlink>
      <w:r w:rsidR="00EC5936">
        <w:rPr>
          <w:rFonts w:ascii="Times New Roman" w:eastAsia="Times New Roman" w:hAnsi="Times New Roman" w:cs="Times New Roman"/>
          <w:sz w:val="24"/>
          <w:szCs w:val="24"/>
          <w:lang w:val="en-US" w:eastAsia="en-AU"/>
        </w:rPr>
        <w:t>) from 18 September 2018, and closed on 16 October 2018</w:t>
      </w:r>
      <w:r>
        <w:rPr>
          <w:rFonts w:ascii="Times New Roman" w:eastAsia="Times New Roman" w:hAnsi="Times New Roman" w:cs="Times New Roman"/>
          <w:sz w:val="24"/>
          <w:szCs w:val="24"/>
          <w:lang w:val="en-US" w:eastAsia="en-AU"/>
        </w:rPr>
        <w:t>.</w:t>
      </w:r>
      <w:r w:rsidR="00EC5936">
        <w:rPr>
          <w:rFonts w:ascii="Times New Roman" w:eastAsia="Times New Roman" w:hAnsi="Times New Roman" w:cs="Times New Roman"/>
          <w:sz w:val="24"/>
          <w:szCs w:val="24"/>
          <w:lang w:val="en" w:eastAsia="en-AU"/>
        </w:rPr>
        <w:t xml:space="preserve"> </w:t>
      </w:r>
      <w:r>
        <w:rPr>
          <w:rFonts w:ascii="Times New Roman" w:eastAsia="Times New Roman" w:hAnsi="Times New Roman" w:cs="Times New Roman"/>
          <w:sz w:val="24"/>
          <w:szCs w:val="24"/>
          <w:lang w:val="en" w:eastAsia="en-AU"/>
        </w:rPr>
        <w:t xml:space="preserve"> </w:t>
      </w:r>
      <w:r w:rsidR="00EC5936">
        <w:rPr>
          <w:rFonts w:ascii="Times New Roman" w:hAnsi="Times New Roman" w:cs="Times New Roman"/>
          <w:sz w:val="24"/>
          <w:szCs w:val="24"/>
          <w:lang w:val="en"/>
        </w:rPr>
        <w:t xml:space="preserve">Submissions and </w:t>
      </w:r>
      <w:r>
        <w:rPr>
          <w:rFonts w:ascii="Times New Roman" w:hAnsi="Times New Roman" w:cs="Times New Roman"/>
          <w:sz w:val="24"/>
          <w:szCs w:val="24"/>
          <w:lang w:val="en"/>
        </w:rPr>
        <w:t xml:space="preserve">the </w:t>
      </w:r>
      <w:r w:rsidR="00EC5936">
        <w:rPr>
          <w:rFonts w:ascii="Times New Roman" w:hAnsi="Times New Roman" w:cs="Times New Roman"/>
          <w:sz w:val="24"/>
          <w:szCs w:val="24"/>
          <w:lang w:val="en"/>
        </w:rPr>
        <w:t>TGA</w:t>
      </w:r>
      <w:r>
        <w:rPr>
          <w:rFonts w:ascii="Times New Roman" w:hAnsi="Times New Roman" w:cs="Times New Roman"/>
          <w:sz w:val="24"/>
          <w:szCs w:val="24"/>
          <w:lang w:val="en"/>
        </w:rPr>
        <w:t>’s</w:t>
      </w:r>
      <w:r w:rsidR="00EC5936">
        <w:rPr>
          <w:rFonts w:ascii="Times New Roman" w:hAnsi="Times New Roman" w:cs="Times New Roman"/>
          <w:sz w:val="24"/>
          <w:szCs w:val="24"/>
          <w:lang w:val="en"/>
        </w:rPr>
        <w:t xml:space="preserve"> response were published on </w:t>
      </w:r>
      <w:r w:rsidR="00EC5936">
        <w:rPr>
          <w:rFonts w:ascii="Times New Roman" w:eastAsia="Times New Roman" w:hAnsi="Times New Roman" w:cs="Times New Roman"/>
          <w:sz w:val="24"/>
          <w:szCs w:val="24"/>
          <w:lang w:val="en-US" w:eastAsia="en-AU"/>
        </w:rPr>
        <w:t xml:space="preserve">the TGA website on </w:t>
      </w:r>
      <w:r w:rsidR="0021766F">
        <w:rPr>
          <w:rFonts w:ascii="Times New Roman" w:eastAsia="Times New Roman" w:hAnsi="Times New Roman" w:cs="Times New Roman"/>
          <w:sz w:val="24"/>
          <w:szCs w:val="24"/>
          <w:lang w:val="en-US" w:eastAsia="en-AU"/>
        </w:rPr>
        <w:t>14 January 2019</w:t>
      </w:r>
      <w:r w:rsidR="00EC5936">
        <w:rPr>
          <w:rFonts w:ascii="Times New Roman" w:hAnsi="Times New Roman" w:cs="Times New Roman"/>
          <w:sz w:val="24"/>
          <w:szCs w:val="24"/>
          <w:lang w:val="en"/>
        </w:rPr>
        <w:t>.</w:t>
      </w:r>
    </w:p>
    <w:p w:rsidR="00D00D5D" w:rsidRPr="006E6314" w:rsidRDefault="005E3266"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S</w:t>
      </w:r>
      <w:r w:rsidR="00D00D5D" w:rsidRPr="009C21F8">
        <w:rPr>
          <w:rFonts w:ascii="Times New Roman" w:eastAsia="Times New Roman" w:hAnsi="Times New Roman" w:cs="Times New Roman"/>
          <w:sz w:val="24"/>
          <w:szCs w:val="24"/>
          <w:lang w:val="en-US" w:eastAsia="en-AU"/>
        </w:rPr>
        <w:t xml:space="preserve">ubmissions were received in </w:t>
      </w:r>
      <w:r w:rsidR="00322DE7" w:rsidRPr="009C21F8">
        <w:rPr>
          <w:rFonts w:ascii="Times New Roman" w:eastAsia="Times New Roman" w:hAnsi="Times New Roman" w:cs="Times New Roman"/>
          <w:sz w:val="24"/>
          <w:szCs w:val="24"/>
          <w:lang w:val="en-US" w:eastAsia="en-AU"/>
        </w:rPr>
        <w:t xml:space="preserve">relation to </w:t>
      </w:r>
      <w:r w:rsidR="00D00D5D" w:rsidRPr="009C21F8">
        <w:rPr>
          <w:rFonts w:ascii="Times New Roman" w:eastAsia="Times New Roman" w:hAnsi="Times New Roman" w:cs="Times New Roman"/>
          <w:sz w:val="24"/>
          <w:szCs w:val="24"/>
          <w:lang w:val="en-US" w:eastAsia="en-AU"/>
        </w:rPr>
        <w:t xml:space="preserve">each </w:t>
      </w:r>
      <w:r w:rsidR="00322DE7" w:rsidRPr="009C21F8">
        <w:rPr>
          <w:rFonts w:ascii="Times New Roman" w:eastAsia="Times New Roman" w:hAnsi="Times New Roman" w:cs="Times New Roman"/>
          <w:sz w:val="24"/>
          <w:szCs w:val="24"/>
          <w:lang w:val="en-US" w:eastAsia="en-AU"/>
        </w:rPr>
        <w:t>of the above main changes,</w:t>
      </w:r>
      <w:r w:rsidR="00D00D5D" w:rsidRPr="009C21F8">
        <w:rPr>
          <w:rFonts w:ascii="Times New Roman" w:eastAsia="Times New Roman" w:hAnsi="Times New Roman" w:cs="Times New Roman"/>
          <w:sz w:val="24"/>
          <w:szCs w:val="24"/>
          <w:lang w:val="en-US" w:eastAsia="en-AU"/>
        </w:rPr>
        <w:t xml:space="preserve"> </w:t>
      </w:r>
      <w:r w:rsidR="00322DE7" w:rsidRPr="009C21F8">
        <w:rPr>
          <w:rFonts w:ascii="Times New Roman" w:eastAsia="Times New Roman" w:hAnsi="Times New Roman" w:cs="Times New Roman"/>
          <w:sz w:val="24"/>
          <w:szCs w:val="24"/>
          <w:lang w:val="en-US" w:eastAsia="en-AU"/>
        </w:rPr>
        <w:t>with the</w:t>
      </w:r>
      <w:r w:rsidR="00D00D5D" w:rsidRPr="009C21F8">
        <w:rPr>
          <w:rFonts w:ascii="Times New Roman" w:eastAsia="Times New Roman" w:hAnsi="Times New Roman" w:cs="Times New Roman"/>
          <w:sz w:val="24"/>
          <w:szCs w:val="24"/>
          <w:lang w:val="en-US" w:eastAsia="en-AU"/>
        </w:rPr>
        <w:t xml:space="preserve"> submissions support</w:t>
      </w:r>
      <w:r w:rsidR="00322DE7" w:rsidRPr="009C21F8">
        <w:rPr>
          <w:rFonts w:ascii="Times New Roman" w:eastAsia="Times New Roman" w:hAnsi="Times New Roman" w:cs="Times New Roman"/>
          <w:sz w:val="24"/>
          <w:szCs w:val="24"/>
          <w:lang w:val="en-US" w:eastAsia="en-AU"/>
        </w:rPr>
        <w:t>ing</w:t>
      </w:r>
      <w:r w:rsidR="00D00D5D" w:rsidRPr="009C21F8">
        <w:rPr>
          <w:rFonts w:ascii="Times New Roman" w:eastAsia="Times New Roman" w:hAnsi="Times New Roman" w:cs="Times New Roman"/>
          <w:sz w:val="24"/>
          <w:szCs w:val="24"/>
          <w:lang w:val="en-US" w:eastAsia="en-AU"/>
        </w:rPr>
        <w:t xml:space="preserve"> the proposals</w:t>
      </w:r>
      <w:r w:rsidR="00322DE7" w:rsidRPr="009C21F8">
        <w:rPr>
          <w:rFonts w:ascii="Times New Roman" w:eastAsia="Times New Roman" w:hAnsi="Times New Roman" w:cs="Times New Roman"/>
          <w:sz w:val="24"/>
          <w:szCs w:val="24"/>
          <w:lang w:val="en-US" w:eastAsia="en-AU"/>
        </w:rPr>
        <w:t xml:space="preserve"> and setting out some </w:t>
      </w:r>
      <w:r w:rsidR="00D00D5D" w:rsidRPr="009C21F8">
        <w:rPr>
          <w:rFonts w:ascii="Times New Roman" w:eastAsia="Times New Roman" w:hAnsi="Times New Roman" w:cs="Times New Roman"/>
          <w:sz w:val="24"/>
          <w:szCs w:val="24"/>
          <w:lang w:val="en-US" w:eastAsia="en-AU"/>
        </w:rPr>
        <w:t>suggestions for rewording</w:t>
      </w:r>
      <w:r w:rsidRPr="009C21F8">
        <w:rPr>
          <w:rFonts w:ascii="Times New Roman" w:eastAsia="Times New Roman" w:hAnsi="Times New Roman" w:cs="Times New Roman"/>
          <w:sz w:val="24"/>
          <w:szCs w:val="24"/>
          <w:lang w:val="en-US" w:eastAsia="en-AU"/>
        </w:rPr>
        <w:t xml:space="preserve"> </w:t>
      </w:r>
      <w:r w:rsidR="00322DE7" w:rsidRPr="009C21F8">
        <w:rPr>
          <w:rFonts w:ascii="Times New Roman" w:eastAsia="Times New Roman" w:hAnsi="Times New Roman" w:cs="Times New Roman"/>
          <w:sz w:val="24"/>
          <w:szCs w:val="24"/>
          <w:lang w:val="en-US" w:eastAsia="en-AU"/>
        </w:rPr>
        <w:t xml:space="preserve">of </w:t>
      </w:r>
      <w:r w:rsidR="00322DE7" w:rsidRPr="009C21F8">
        <w:rPr>
          <w:rFonts w:ascii="Times New Roman" w:eastAsia="Times New Roman" w:hAnsi="Times New Roman" w:cs="Times New Roman"/>
          <w:sz w:val="24"/>
          <w:szCs w:val="24"/>
          <w:lang w:val="en-US" w:eastAsia="en-AU"/>
        </w:rPr>
        <w:lastRenderedPageBreak/>
        <w:t xml:space="preserve">proposed advisory statements </w:t>
      </w:r>
      <w:r w:rsidRPr="009C21F8">
        <w:rPr>
          <w:rFonts w:ascii="Times New Roman" w:eastAsia="Times New Roman" w:hAnsi="Times New Roman" w:cs="Times New Roman"/>
          <w:sz w:val="24"/>
          <w:szCs w:val="24"/>
          <w:lang w:val="en-US" w:eastAsia="en-AU"/>
        </w:rPr>
        <w:t>in some cases</w:t>
      </w:r>
      <w:r w:rsidR="00322DE7" w:rsidRPr="009C21F8">
        <w:rPr>
          <w:rFonts w:ascii="Times New Roman" w:eastAsia="Times New Roman" w:hAnsi="Times New Roman" w:cs="Times New Roman"/>
          <w:sz w:val="24"/>
          <w:szCs w:val="24"/>
          <w:lang w:val="en-US" w:eastAsia="en-AU"/>
        </w:rPr>
        <w:t xml:space="preserve">. </w:t>
      </w:r>
      <w:r w:rsidR="00614A24" w:rsidRPr="009C21F8">
        <w:rPr>
          <w:rFonts w:ascii="Times New Roman" w:eastAsia="Times New Roman" w:hAnsi="Times New Roman" w:cs="Times New Roman"/>
          <w:sz w:val="24"/>
          <w:szCs w:val="24"/>
          <w:lang w:val="en-US" w:eastAsia="en-AU"/>
        </w:rPr>
        <w:t>Several of the suggestions were incorporated into the final advisory statements.</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D00D5D" w:rsidRPr="009C21F8" w:rsidRDefault="00D00D5D"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Public consultation was not held in regard to</w:t>
      </w:r>
      <w:r w:rsidR="00AF7E00" w:rsidRPr="009C21F8">
        <w:rPr>
          <w:rFonts w:ascii="Times New Roman" w:eastAsia="Times New Roman" w:hAnsi="Times New Roman" w:cs="Times New Roman"/>
          <w:sz w:val="24"/>
          <w:szCs w:val="24"/>
          <w:lang w:val="en-US" w:eastAsia="en-AU"/>
        </w:rPr>
        <w:t xml:space="preserve"> the</w:t>
      </w:r>
      <w:r w:rsidRPr="009C21F8">
        <w:rPr>
          <w:rFonts w:ascii="Times New Roman" w:eastAsia="Times New Roman" w:hAnsi="Times New Roman" w:cs="Times New Roman"/>
          <w:sz w:val="24"/>
          <w:szCs w:val="24"/>
          <w:lang w:val="en-US" w:eastAsia="en-AU"/>
        </w:rPr>
        <w:t xml:space="preserve"> </w:t>
      </w:r>
      <w:r w:rsidR="00614A24" w:rsidRPr="009C21F8">
        <w:rPr>
          <w:rFonts w:ascii="Times New Roman" w:eastAsia="Times New Roman" w:hAnsi="Times New Roman" w:cs="Times New Roman"/>
          <w:sz w:val="24"/>
          <w:szCs w:val="24"/>
          <w:lang w:val="en-US" w:eastAsia="en-AU"/>
        </w:rPr>
        <w:t xml:space="preserve">inclusion of </w:t>
      </w:r>
      <w:r w:rsidR="005D1250" w:rsidRPr="009C21F8">
        <w:rPr>
          <w:rFonts w:ascii="Times New Roman" w:eastAsia="Times New Roman" w:hAnsi="Times New Roman" w:cs="Times New Roman"/>
          <w:sz w:val="24"/>
          <w:szCs w:val="24"/>
          <w:lang w:val="en-US" w:eastAsia="en-AU"/>
        </w:rPr>
        <w:t>the</w:t>
      </w:r>
      <w:r w:rsidR="00614A24" w:rsidRPr="009C21F8">
        <w:rPr>
          <w:rFonts w:ascii="Times New Roman" w:eastAsia="Times New Roman" w:hAnsi="Times New Roman" w:cs="Times New Roman"/>
          <w:sz w:val="24"/>
          <w:szCs w:val="24"/>
          <w:lang w:val="en-US" w:eastAsia="en-AU"/>
        </w:rPr>
        <w:t xml:space="preserve"> new advisory statement </w:t>
      </w:r>
      <w:r w:rsidR="008445DD" w:rsidRPr="009C21F8">
        <w:rPr>
          <w:rFonts w:ascii="Times New Roman" w:eastAsia="Times New Roman" w:hAnsi="Times New Roman" w:cs="Times New Roman"/>
          <w:sz w:val="24"/>
          <w:szCs w:val="24"/>
          <w:lang w:val="en-US" w:eastAsia="en-AU"/>
        </w:rPr>
        <w:t>(“Keep out of reach of children”</w:t>
      </w:r>
      <w:r w:rsidR="00614A24" w:rsidRPr="009C21F8">
        <w:rPr>
          <w:rFonts w:ascii="Times New Roman" w:eastAsia="Times New Roman" w:hAnsi="Times New Roman" w:cs="Times New Roman"/>
          <w:sz w:val="24"/>
          <w:szCs w:val="24"/>
          <w:lang w:val="en-US" w:eastAsia="en-AU"/>
        </w:rPr>
        <w:t>) for fennel oil</w:t>
      </w:r>
      <w:r w:rsidR="005D1250" w:rsidRPr="009C21F8">
        <w:rPr>
          <w:rFonts w:ascii="Times New Roman" w:eastAsia="Times New Roman" w:hAnsi="Times New Roman" w:cs="Times New Roman"/>
          <w:sz w:val="24"/>
          <w:szCs w:val="24"/>
          <w:lang w:val="en-US" w:eastAsia="en-AU"/>
        </w:rPr>
        <w:t xml:space="preserve"> in Schedule 2 to the Specification</w:t>
      </w:r>
      <w:r w:rsidR="00614A24" w:rsidRPr="009C21F8">
        <w:rPr>
          <w:rFonts w:ascii="Times New Roman" w:eastAsia="Times New Roman" w:hAnsi="Times New Roman" w:cs="Times New Roman"/>
          <w:sz w:val="24"/>
          <w:szCs w:val="24"/>
          <w:lang w:val="en-US" w:eastAsia="en-AU"/>
        </w:rPr>
        <w:t xml:space="preserve">. This advisory statement is included </w:t>
      </w:r>
      <w:r w:rsidR="00CC1E4A">
        <w:rPr>
          <w:rFonts w:ascii="Times New Roman" w:eastAsia="Times New Roman" w:hAnsi="Times New Roman" w:cs="Times New Roman"/>
          <w:sz w:val="24"/>
          <w:szCs w:val="24"/>
          <w:lang w:val="en-US" w:eastAsia="en-AU"/>
        </w:rPr>
        <w:t>in accordance</w:t>
      </w:r>
      <w:r w:rsidR="00614A24" w:rsidRPr="009C21F8">
        <w:rPr>
          <w:rFonts w:ascii="Times New Roman" w:eastAsia="Times New Roman" w:hAnsi="Times New Roman" w:cs="Times New Roman"/>
          <w:sz w:val="24"/>
          <w:szCs w:val="24"/>
          <w:lang w:val="en-US" w:eastAsia="en-AU"/>
        </w:rPr>
        <w:t xml:space="preserve"> with requirements for fennel oil that were included, </w:t>
      </w:r>
      <w:r w:rsidR="00FA3935" w:rsidRPr="009C21F8">
        <w:rPr>
          <w:rFonts w:ascii="Times New Roman" w:eastAsia="Times New Roman" w:hAnsi="Times New Roman" w:cs="Times New Roman"/>
          <w:sz w:val="24"/>
          <w:szCs w:val="24"/>
          <w:lang w:val="en-US" w:eastAsia="en-AU"/>
        </w:rPr>
        <w:t>following public</w:t>
      </w:r>
      <w:r w:rsidR="00614A24" w:rsidRPr="009C21F8">
        <w:rPr>
          <w:rFonts w:ascii="Times New Roman" w:eastAsia="Times New Roman" w:hAnsi="Times New Roman" w:cs="Times New Roman"/>
          <w:sz w:val="24"/>
          <w:szCs w:val="24"/>
          <w:lang w:val="en-US" w:eastAsia="en-AU"/>
        </w:rPr>
        <w:t xml:space="preserve"> consultation, in the Poisons Standard on 1 June 2017</w:t>
      </w:r>
      <w:r w:rsidR="006812AA" w:rsidRPr="009C21F8">
        <w:rPr>
          <w:rFonts w:ascii="Times New Roman" w:eastAsia="Times New Roman" w:hAnsi="Times New Roman" w:cs="Times New Roman"/>
          <w:sz w:val="24"/>
          <w:szCs w:val="24"/>
          <w:lang w:val="en-US" w:eastAsia="en-AU"/>
        </w:rPr>
        <w:t>.</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1844B7" w:rsidRPr="009C21F8" w:rsidRDefault="001844B7"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The Office of Best Practice Regulation (</w:t>
      </w:r>
      <w:r w:rsidR="00A71964">
        <w:rPr>
          <w:rFonts w:ascii="Times New Roman" w:eastAsia="Times New Roman" w:hAnsi="Times New Roman" w:cs="Times New Roman"/>
          <w:sz w:val="24"/>
          <w:szCs w:val="24"/>
          <w:lang w:val="en-US" w:eastAsia="en-AU"/>
        </w:rPr>
        <w:t>“</w:t>
      </w:r>
      <w:r w:rsidRPr="009C21F8">
        <w:rPr>
          <w:rFonts w:ascii="Times New Roman" w:eastAsia="Times New Roman" w:hAnsi="Times New Roman" w:cs="Times New Roman"/>
          <w:sz w:val="24"/>
          <w:szCs w:val="24"/>
          <w:lang w:val="en-US" w:eastAsia="en-AU"/>
        </w:rPr>
        <w:t>OBPR</w:t>
      </w:r>
      <w:r w:rsidR="00A71964">
        <w:rPr>
          <w:rFonts w:ascii="Times New Roman" w:eastAsia="Times New Roman" w:hAnsi="Times New Roman" w:cs="Times New Roman"/>
          <w:sz w:val="24"/>
          <w:szCs w:val="24"/>
          <w:lang w:val="en-US" w:eastAsia="en-AU"/>
        </w:rPr>
        <w:t>”</w:t>
      </w:r>
      <w:r w:rsidRPr="009C21F8">
        <w:rPr>
          <w:rFonts w:ascii="Times New Roman" w:eastAsia="Times New Roman" w:hAnsi="Times New Roman" w:cs="Times New Roman"/>
          <w:sz w:val="24"/>
          <w:szCs w:val="24"/>
          <w:lang w:val="en-US" w:eastAsia="en-AU"/>
        </w:rPr>
        <w:t>) advised that a regulation impact statement was not required in relation to the Specification (OBPR reference: 24796).</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E21FE3" w:rsidRPr="009C21F8" w:rsidRDefault="00E21FE3" w:rsidP="009C21F8">
      <w:pPr>
        <w:spacing w:after="0" w:line="240" w:lineRule="auto"/>
        <w:rPr>
          <w:rFonts w:ascii="Times New Roman" w:eastAsia="Times New Roman" w:hAnsi="Times New Roman" w:cs="Times New Roman"/>
          <w:b/>
          <w:sz w:val="24"/>
          <w:szCs w:val="24"/>
          <w:lang w:val="en-US" w:eastAsia="en-AU"/>
        </w:rPr>
      </w:pPr>
      <w:r w:rsidRPr="009C21F8">
        <w:rPr>
          <w:rFonts w:ascii="Times New Roman" w:eastAsia="Times New Roman" w:hAnsi="Times New Roman" w:cs="Times New Roman"/>
          <w:b/>
          <w:sz w:val="24"/>
          <w:szCs w:val="24"/>
          <w:lang w:val="en-US" w:eastAsia="en-AU"/>
        </w:rPr>
        <w:t>Incorporation by reference</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E21FE3" w:rsidRPr="009C21F8" w:rsidRDefault="00E21FE3"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 xml:space="preserve">The Specification specifies advisory statements by reference to certain matters contained in the </w:t>
      </w:r>
      <w:r w:rsidR="00A71964">
        <w:rPr>
          <w:rFonts w:ascii="Times New Roman" w:eastAsia="Times New Roman" w:hAnsi="Times New Roman" w:cs="Times New Roman"/>
          <w:sz w:val="24"/>
          <w:szCs w:val="24"/>
          <w:lang w:val="en-US" w:eastAsia="en-AU"/>
        </w:rPr>
        <w:t>“Poisons Standard”</w:t>
      </w:r>
      <w:r w:rsidR="007B7A7D" w:rsidRPr="009C21F8">
        <w:rPr>
          <w:rFonts w:ascii="Times New Roman" w:eastAsia="Times New Roman" w:hAnsi="Times New Roman" w:cs="Times New Roman"/>
          <w:sz w:val="24"/>
          <w:szCs w:val="24"/>
          <w:lang w:val="en-US" w:eastAsia="en-AU"/>
        </w:rPr>
        <w:t xml:space="preserve">, which is defined in the instrument as the </w:t>
      </w:r>
      <w:r w:rsidRPr="009C21F8">
        <w:rPr>
          <w:rFonts w:ascii="Times New Roman" w:eastAsia="Times New Roman" w:hAnsi="Times New Roman" w:cs="Times New Roman"/>
          <w:sz w:val="24"/>
          <w:szCs w:val="24"/>
          <w:lang w:val="en-US" w:eastAsia="en-AU"/>
        </w:rPr>
        <w:t xml:space="preserve">current Poisons Standard as in force on </w:t>
      </w:r>
      <w:r w:rsidR="00DF1179" w:rsidRPr="009C21F8">
        <w:rPr>
          <w:rFonts w:ascii="Times New Roman" w:eastAsia="Times New Roman" w:hAnsi="Times New Roman" w:cs="Times New Roman"/>
          <w:sz w:val="24"/>
          <w:szCs w:val="24"/>
          <w:lang w:val="en-US" w:eastAsia="en-AU"/>
        </w:rPr>
        <w:t>the commencement of the instrument</w:t>
      </w:r>
      <w:r w:rsidR="007B7A7D" w:rsidRPr="009C21F8">
        <w:rPr>
          <w:rFonts w:ascii="Times New Roman" w:eastAsia="Times New Roman" w:hAnsi="Times New Roman" w:cs="Times New Roman"/>
          <w:sz w:val="24"/>
          <w:szCs w:val="24"/>
          <w:lang w:val="en-US" w:eastAsia="en-AU"/>
        </w:rPr>
        <w:t>.</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8408B5" w:rsidRPr="009C21F8" w:rsidRDefault="00E21FE3"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 xml:space="preserve">The current Poisons Standard is </w:t>
      </w:r>
      <w:r w:rsidR="00E359B0" w:rsidRPr="009C21F8">
        <w:rPr>
          <w:rFonts w:ascii="Times New Roman" w:eastAsia="Times New Roman" w:hAnsi="Times New Roman" w:cs="Times New Roman"/>
          <w:sz w:val="24"/>
          <w:szCs w:val="24"/>
          <w:lang w:val="en-US" w:eastAsia="en-AU"/>
        </w:rPr>
        <w:t xml:space="preserve">relevantly </w:t>
      </w:r>
      <w:r w:rsidRPr="009C21F8">
        <w:rPr>
          <w:rFonts w:ascii="Times New Roman" w:eastAsia="Times New Roman" w:hAnsi="Times New Roman" w:cs="Times New Roman"/>
          <w:sz w:val="24"/>
          <w:szCs w:val="24"/>
          <w:lang w:val="en-US" w:eastAsia="en-AU"/>
        </w:rPr>
        <w:t>defined in the Act as</w:t>
      </w:r>
      <w:r w:rsidR="00E359B0" w:rsidRPr="009C21F8">
        <w:rPr>
          <w:rFonts w:ascii="Times New Roman" w:eastAsia="Times New Roman" w:hAnsi="Times New Roman" w:cs="Times New Roman"/>
          <w:sz w:val="24"/>
          <w:szCs w:val="24"/>
          <w:lang w:val="en-US" w:eastAsia="en-AU"/>
        </w:rPr>
        <w:t xml:space="preserve"> the document last prepared by the Secretary under paragraph </w:t>
      </w:r>
      <w:proofErr w:type="gramStart"/>
      <w:r w:rsidR="00E359B0" w:rsidRPr="009C21F8">
        <w:rPr>
          <w:rFonts w:ascii="Times New Roman" w:eastAsia="Times New Roman" w:hAnsi="Times New Roman" w:cs="Times New Roman"/>
          <w:sz w:val="24"/>
          <w:szCs w:val="24"/>
          <w:lang w:val="en-US" w:eastAsia="en-AU"/>
        </w:rPr>
        <w:t>52</w:t>
      </w:r>
      <w:r w:rsidR="00A71964">
        <w:rPr>
          <w:rFonts w:ascii="Times New Roman" w:eastAsia="Times New Roman" w:hAnsi="Times New Roman" w:cs="Times New Roman"/>
          <w:sz w:val="24"/>
          <w:szCs w:val="24"/>
          <w:lang w:val="en-US" w:eastAsia="en-AU"/>
        </w:rPr>
        <w:t>D(</w:t>
      </w:r>
      <w:proofErr w:type="gramEnd"/>
      <w:r w:rsidR="00A71964">
        <w:rPr>
          <w:rFonts w:ascii="Times New Roman" w:eastAsia="Times New Roman" w:hAnsi="Times New Roman" w:cs="Times New Roman"/>
          <w:sz w:val="24"/>
          <w:szCs w:val="24"/>
          <w:lang w:val="en-US" w:eastAsia="en-AU"/>
        </w:rPr>
        <w:t xml:space="preserve">2)(b) of the Act. It reflects </w:t>
      </w:r>
      <w:r w:rsidR="00346AE6" w:rsidRPr="009C21F8">
        <w:rPr>
          <w:rFonts w:ascii="Times New Roman" w:eastAsia="Times New Roman" w:hAnsi="Times New Roman" w:cs="Times New Roman"/>
          <w:sz w:val="24"/>
          <w:szCs w:val="24"/>
          <w:lang w:val="en-US" w:eastAsia="en-AU"/>
        </w:rPr>
        <w:t>decisions regarding the classification of medicines and poisons into</w:t>
      </w:r>
      <w:r w:rsidR="008408B5" w:rsidRPr="009C21F8">
        <w:rPr>
          <w:rFonts w:ascii="Times New Roman" w:eastAsia="Times New Roman" w:hAnsi="Times New Roman" w:cs="Times New Roman"/>
          <w:sz w:val="24"/>
          <w:szCs w:val="24"/>
          <w:lang w:val="en-US" w:eastAsia="en-AU"/>
        </w:rPr>
        <w:t xml:space="preserve"> different</w:t>
      </w:r>
      <w:r w:rsidR="00346AE6" w:rsidRPr="009C21F8">
        <w:rPr>
          <w:rFonts w:ascii="Times New Roman" w:eastAsia="Times New Roman" w:hAnsi="Times New Roman" w:cs="Times New Roman"/>
          <w:sz w:val="24"/>
          <w:szCs w:val="24"/>
          <w:lang w:val="en-US" w:eastAsia="en-AU"/>
        </w:rPr>
        <w:t xml:space="preserve"> </w:t>
      </w:r>
      <w:r w:rsidR="00A71964">
        <w:rPr>
          <w:rFonts w:ascii="Times New Roman" w:eastAsia="Times New Roman" w:hAnsi="Times New Roman" w:cs="Times New Roman"/>
          <w:sz w:val="24"/>
          <w:szCs w:val="24"/>
          <w:lang w:val="en-US" w:eastAsia="en-AU"/>
        </w:rPr>
        <w:t>s</w:t>
      </w:r>
      <w:r w:rsidR="00346AE6" w:rsidRPr="009C21F8">
        <w:rPr>
          <w:rFonts w:ascii="Times New Roman" w:eastAsia="Times New Roman" w:hAnsi="Times New Roman" w:cs="Times New Roman"/>
          <w:sz w:val="24"/>
          <w:szCs w:val="24"/>
          <w:lang w:val="en-US" w:eastAsia="en-AU"/>
        </w:rPr>
        <w:t>chedules</w:t>
      </w:r>
      <w:r w:rsidR="008408B5" w:rsidRPr="009C21F8">
        <w:rPr>
          <w:rFonts w:ascii="Times New Roman" w:eastAsia="Times New Roman" w:hAnsi="Times New Roman" w:cs="Times New Roman"/>
          <w:sz w:val="24"/>
          <w:szCs w:val="24"/>
          <w:lang w:val="en-US" w:eastAsia="en-AU"/>
        </w:rPr>
        <w:t>, signifying the degree of risk and the control recommended to be exercised over their availability to the public.</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E21FE3" w:rsidRPr="009C21F8" w:rsidRDefault="00346AE6"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While t</w:t>
      </w:r>
      <w:r w:rsidR="007B7A7D" w:rsidRPr="009C21F8">
        <w:rPr>
          <w:rFonts w:ascii="Times New Roman" w:eastAsia="Times New Roman" w:hAnsi="Times New Roman" w:cs="Times New Roman"/>
          <w:sz w:val="24"/>
          <w:szCs w:val="24"/>
          <w:lang w:val="en-US" w:eastAsia="en-AU"/>
        </w:rPr>
        <w:t xml:space="preserve">he </w:t>
      </w:r>
      <w:r w:rsidR="00A71964">
        <w:rPr>
          <w:rFonts w:ascii="Times New Roman" w:eastAsia="Times New Roman" w:hAnsi="Times New Roman" w:cs="Times New Roman"/>
          <w:sz w:val="24"/>
          <w:szCs w:val="24"/>
          <w:lang w:val="en-US" w:eastAsia="en-AU"/>
        </w:rPr>
        <w:t xml:space="preserve">current </w:t>
      </w:r>
      <w:r w:rsidR="007B7A7D" w:rsidRPr="009C21F8">
        <w:rPr>
          <w:rFonts w:ascii="Times New Roman" w:eastAsia="Times New Roman" w:hAnsi="Times New Roman" w:cs="Times New Roman"/>
          <w:sz w:val="24"/>
          <w:szCs w:val="24"/>
          <w:lang w:val="en-US" w:eastAsia="en-AU"/>
        </w:rPr>
        <w:t xml:space="preserve">Poisons Standard is </w:t>
      </w:r>
      <w:r w:rsidRPr="009C21F8">
        <w:rPr>
          <w:rFonts w:ascii="Times New Roman" w:eastAsia="Times New Roman" w:hAnsi="Times New Roman" w:cs="Times New Roman"/>
          <w:sz w:val="24"/>
          <w:szCs w:val="24"/>
          <w:lang w:val="en-US" w:eastAsia="en-AU"/>
        </w:rPr>
        <w:t>a legislative instrument, it is not subject to disallowance under section 42 of the</w:t>
      </w:r>
      <w:r w:rsidR="007B7A7D" w:rsidRPr="009C21F8">
        <w:rPr>
          <w:rFonts w:ascii="Times New Roman" w:eastAsia="Times New Roman" w:hAnsi="Times New Roman" w:cs="Times New Roman"/>
          <w:sz w:val="24"/>
          <w:szCs w:val="24"/>
          <w:lang w:val="en-US" w:eastAsia="en-AU"/>
        </w:rPr>
        <w:t xml:space="preserve"> </w:t>
      </w:r>
      <w:r w:rsidRPr="00A71964">
        <w:rPr>
          <w:rFonts w:ascii="Times New Roman" w:eastAsia="Times New Roman" w:hAnsi="Times New Roman" w:cs="Times New Roman"/>
          <w:i/>
          <w:sz w:val="24"/>
          <w:szCs w:val="24"/>
          <w:lang w:val="en-US" w:eastAsia="en-AU"/>
        </w:rPr>
        <w:t>Legislation Act 2003</w:t>
      </w:r>
      <w:r w:rsidR="00A71964">
        <w:rPr>
          <w:rFonts w:ascii="Times New Roman" w:eastAsia="Times New Roman" w:hAnsi="Times New Roman" w:cs="Times New Roman"/>
          <w:i/>
          <w:sz w:val="24"/>
          <w:szCs w:val="24"/>
          <w:lang w:val="en-US" w:eastAsia="en-AU"/>
        </w:rPr>
        <w:t xml:space="preserve"> </w:t>
      </w:r>
      <w:r w:rsidR="00A71964">
        <w:rPr>
          <w:rFonts w:ascii="Times New Roman" w:eastAsia="Times New Roman" w:hAnsi="Times New Roman" w:cs="Times New Roman"/>
          <w:sz w:val="24"/>
          <w:szCs w:val="24"/>
          <w:lang w:val="en-US" w:eastAsia="en-AU"/>
        </w:rPr>
        <w:t>(“the Legislation Act”)</w:t>
      </w:r>
      <w:r w:rsidRPr="009C21F8">
        <w:rPr>
          <w:rFonts w:ascii="Times New Roman" w:eastAsia="Times New Roman" w:hAnsi="Times New Roman" w:cs="Times New Roman"/>
          <w:sz w:val="24"/>
          <w:szCs w:val="24"/>
          <w:lang w:val="en-US" w:eastAsia="en-AU"/>
        </w:rPr>
        <w:t>.</w:t>
      </w:r>
    </w:p>
    <w:p w:rsidR="009C21F8" w:rsidRDefault="009C21F8" w:rsidP="009C21F8">
      <w:pPr>
        <w:spacing w:after="0" w:line="240" w:lineRule="auto"/>
        <w:rPr>
          <w:rFonts w:ascii="Times New Roman" w:eastAsia="Times New Roman" w:hAnsi="Times New Roman" w:cs="Times New Roman"/>
          <w:sz w:val="24"/>
          <w:szCs w:val="24"/>
          <w:lang w:eastAsia="en-AU"/>
        </w:rPr>
      </w:pPr>
    </w:p>
    <w:p w:rsidR="00E21FE3" w:rsidRDefault="007B7A7D" w:rsidP="009C21F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accordance with section 14 of the </w:t>
      </w:r>
      <w:r w:rsidRPr="00346AE6">
        <w:rPr>
          <w:rFonts w:ascii="Times New Roman" w:eastAsia="Times New Roman" w:hAnsi="Times New Roman" w:cs="Times New Roman"/>
          <w:sz w:val="24"/>
          <w:szCs w:val="24"/>
          <w:lang w:eastAsia="en-AU"/>
        </w:rPr>
        <w:t>Legislation Act</w:t>
      </w:r>
      <w:r>
        <w:rPr>
          <w:rFonts w:ascii="Times New Roman" w:eastAsia="Times New Roman" w:hAnsi="Times New Roman" w:cs="Times New Roman"/>
          <w:sz w:val="24"/>
          <w:szCs w:val="24"/>
          <w:lang w:eastAsia="en-AU"/>
        </w:rPr>
        <w:t xml:space="preserve">, </w:t>
      </w:r>
      <w:r w:rsidR="00346AE6">
        <w:rPr>
          <w:rFonts w:ascii="Times New Roman" w:eastAsia="Times New Roman" w:hAnsi="Times New Roman" w:cs="Times New Roman"/>
          <w:sz w:val="24"/>
          <w:szCs w:val="24"/>
          <w:lang w:eastAsia="en-AU"/>
        </w:rPr>
        <w:t>the Poisons Standard</w:t>
      </w:r>
      <w:r>
        <w:rPr>
          <w:rFonts w:ascii="Times New Roman" w:eastAsia="Times New Roman" w:hAnsi="Times New Roman" w:cs="Times New Roman"/>
          <w:sz w:val="24"/>
          <w:szCs w:val="24"/>
          <w:lang w:eastAsia="en-AU"/>
        </w:rPr>
        <w:t xml:space="preserve"> is incorporated </w:t>
      </w:r>
      <w:r w:rsidR="001F4BBD">
        <w:rPr>
          <w:rFonts w:ascii="Times New Roman" w:eastAsia="Times New Roman" w:hAnsi="Times New Roman" w:cs="Times New Roman"/>
          <w:sz w:val="24"/>
          <w:szCs w:val="24"/>
          <w:lang w:eastAsia="en-AU"/>
        </w:rPr>
        <w:t xml:space="preserve">as in force </w:t>
      </w:r>
      <w:r>
        <w:rPr>
          <w:rFonts w:ascii="Times New Roman" w:eastAsia="Times New Roman" w:hAnsi="Times New Roman" w:cs="Times New Roman"/>
          <w:sz w:val="24"/>
          <w:szCs w:val="24"/>
          <w:lang w:eastAsia="en-AU"/>
        </w:rPr>
        <w:t xml:space="preserve">at </w:t>
      </w:r>
      <w:r w:rsidR="001F4BBD">
        <w:rPr>
          <w:rFonts w:ascii="Times New Roman" w:eastAsia="Times New Roman" w:hAnsi="Times New Roman" w:cs="Times New Roman"/>
          <w:sz w:val="24"/>
          <w:szCs w:val="24"/>
          <w:lang w:eastAsia="en-AU"/>
        </w:rPr>
        <w:t xml:space="preserve">the time of the Specification’s commencement </w:t>
      </w:r>
      <w:r w:rsidR="00635D45">
        <w:rPr>
          <w:rFonts w:ascii="Times New Roman" w:eastAsia="Times New Roman" w:hAnsi="Times New Roman" w:cs="Times New Roman"/>
          <w:sz w:val="24"/>
          <w:szCs w:val="24"/>
          <w:lang w:eastAsia="en-AU"/>
        </w:rPr>
        <w:t xml:space="preserve">- that being, </w:t>
      </w:r>
      <w:r>
        <w:rPr>
          <w:rFonts w:ascii="Times New Roman" w:eastAsia="Times New Roman" w:hAnsi="Times New Roman" w:cs="Times New Roman"/>
          <w:sz w:val="24"/>
          <w:szCs w:val="24"/>
          <w:lang w:eastAsia="en-AU"/>
        </w:rPr>
        <w:t>1 March 2019</w:t>
      </w:r>
      <w:r w:rsidR="00346AE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21FE3" w:rsidRPr="00E21FE3">
        <w:rPr>
          <w:rFonts w:ascii="Times New Roman" w:eastAsia="Times New Roman" w:hAnsi="Times New Roman" w:cs="Times New Roman"/>
          <w:sz w:val="24"/>
          <w:szCs w:val="24"/>
          <w:lang w:eastAsia="en-AU"/>
        </w:rPr>
        <w:t xml:space="preserve">The </w:t>
      </w:r>
      <w:r w:rsidR="004617B9">
        <w:rPr>
          <w:rFonts w:ascii="Times New Roman" w:eastAsia="Times New Roman" w:hAnsi="Times New Roman" w:cs="Times New Roman"/>
          <w:sz w:val="24"/>
          <w:szCs w:val="24"/>
          <w:lang w:eastAsia="en-AU"/>
        </w:rPr>
        <w:t>current</w:t>
      </w:r>
      <w:r w:rsidR="00E21FE3" w:rsidRPr="00E21FE3">
        <w:rPr>
          <w:rFonts w:ascii="Times New Roman" w:eastAsia="Times New Roman" w:hAnsi="Times New Roman" w:cs="Times New Roman"/>
          <w:sz w:val="24"/>
          <w:szCs w:val="24"/>
          <w:lang w:eastAsia="en-AU"/>
        </w:rPr>
        <w:t xml:space="preserve"> Poisons Standard</w:t>
      </w:r>
      <w:r w:rsidR="00E359B0">
        <w:rPr>
          <w:rFonts w:ascii="Times New Roman" w:eastAsia="Times New Roman" w:hAnsi="Times New Roman" w:cs="Times New Roman"/>
          <w:sz w:val="24"/>
          <w:szCs w:val="24"/>
          <w:lang w:eastAsia="en-AU"/>
        </w:rPr>
        <w:t xml:space="preserve"> commenced on 1 February 2019 and</w:t>
      </w:r>
      <w:r w:rsidR="00E21FE3" w:rsidRPr="00E21FE3">
        <w:rPr>
          <w:rFonts w:ascii="Times New Roman" w:eastAsia="Times New Roman" w:hAnsi="Times New Roman" w:cs="Times New Roman"/>
          <w:sz w:val="24"/>
          <w:szCs w:val="24"/>
          <w:lang w:eastAsia="en-AU"/>
        </w:rPr>
        <w:t xml:space="preserve"> </w:t>
      </w:r>
      <w:r w:rsidR="00704E3E">
        <w:rPr>
          <w:rFonts w:ascii="Times New Roman" w:eastAsia="Times New Roman" w:hAnsi="Times New Roman" w:cs="Times New Roman"/>
          <w:sz w:val="24"/>
          <w:szCs w:val="24"/>
          <w:lang w:eastAsia="en-AU"/>
        </w:rPr>
        <w:t>is freely available from</w:t>
      </w:r>
      <w:r w:rsidR="00E21FE3" w:rsidRPr="00E21FE3">
        <w:rPr>
          <w:rFonts w:ascii="Times New Roman" w:eastAsia="Times New Roman" w:hAnsi="Times New Roman" w:cs="Times New Roman"/>
          <w:sz w:val="24"/>
          <w:szCs w:val="24"/>
          <w:lang w:eastAsia="en-AU"/>
        </w:rPr>
        <w:t xml:space="preserve"> the Federal Register of Legislation at </w:t>
      </w:r>
      <w:hyperlink r:id="rId12" w:history="1">
        <w:r w:rsidR="00422997" w:rsidRPr="00343FDF">
          <w:rPr>
            <w:rStyle w:val="Hyperlink"/>
            <w:rFonts w:ascii="Times New Roman" w:eastAsia="Times New Roman" w:hAnsi="Times New Roman" w:cs="Times New Roman"/>
            <w:sz w:val="24"/>
            <w:szCs w:val="24"/>
            <w:lang w:eastAsia="en-AU"/>
          </w:rPr>
          <w:t>www.legislation.gov.au</w:t>
        </w:r>
      </w:hyperlink>
      <w:r w:rsidR="00422997">
        <w:rPr>
          <w:rFonts w:ascii="Times New Roman" w:eastAsia="Times New Roman" w:hAnsi="Times New Roman" w:cs="Times New Roman"/>
          <w:sz w:val="24"/>
          <w:szCs w:val="24"/>
          <w:lang w:eastAsia="en-AU"/>
        </w:rPr>
        <w:t xml:space="preserve">. </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F02143" w:rsidRPr="009C21F8" w:rsidRDefault="00F02143"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 xml:space="preserve">Details of the Specification are set out in </w:t>
      </w:r>
      <w:r w:rsidRPr="009C21F8">
        <w:rPr>
          <w:rFonts w:ascii="Times New Roman" w:eastAsia="Times New Roman" w:hAnsi="Times New Roman" w:cs="Times New Roman"/>
          <w:b/>
          <w:sz w:val="24"/>
          <w:szCs w:val="24"/>
          <w:lang w:val="en-US" w:eastAsia="en-AU"/>
        </w:rPr>
        <w:t>Attachment A</w:t>
      </w:r>
      <w:r w:rsidRPr="009C21F8">
        <w:rPr>
          <w:rFonts w:ascii="Times New Roman" w:eastAsia="Times New Roman" w:hAnsi="Times New Roman" w:cs="Times New Roman"/>
          <w:sz w:val="24"/>
          <w:szCs w:val="24"/>
          <w:lang w:val="en-US" w:eastAsia="en-AU"/>
        </w:rPr>
        <w:t>.</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D349B0" w:rsidRPr="009C21F8" w:rsidRDefault="00D349B0"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 xml:space="preserve">The Specification is compatible with the human rights and freedoms recognised or declared under section 3 of the </w:t>
      </w:r>
      <w:r w:rsidRPr="009C21F8">
        <w:rPr>
          <w:rFonts w:ascii="Times New Roman" w:eastAsia="Times New Roman" w:hAnsi="Times New Roman" w:cs="Times New Roman"/>
          <w:i/>
          <w:sz w:val="24"/>
          <w:szCs w:val="24"/>
          <w:lang w:val="en-US" w:eastAsia="en-AU"/>
        </w:rPr>
        <w:t>Human Rights (Parliamentary Scrutiny) Act 2011</w:t>
      </w:r>
      <w:r w:rsidR="009C21F8">
        <w:rPr>
          <w:rFonts w:ascii="Times New Roman" w:eastAsia="Times New Roman" w:hAnsi="Times New Roman" w:cs="Times New Roman"/>
          <w:sz w:val="24"/>
          <w:szCs w:val="24"/>
          <w:lang w:val="en-US" w:eastAsia="en-AU"/>
        </w:rPr>
        <w:t xml:space="preserve">. </w:t>
      </w:r>
      <w:r w:rsidRPr="009C21F8">
        <w:rPr>
          <w:rFonts w:ascii="Times New Roman" w:eastAsia="Times New Roman" w:hAnsi="Times New Roman" w:cs="Times New Roman"/>
          <w:sz w:val="24"/>
          <w:szCs w:val="24"/>
          <w:lang w:val="en-US" w:eastAsia="en-AU"/>
        </w:rPr>
        <w:t>A full statement o</w:t>
      </w:r>
      <w:r w:rsidR="007C3F14" w:rsidRPr="009C21F8">
        <w:rPr>
          <w:rFonts w:ascii="Times New Roman" w:eastAsia="Times New Roman" w:hAnsi="Times New Roman" w:cs="Times New Roman"/>
          <w:sz w:val="24"/>
          <w:szCs w:val="24"/>
          <w:lang w:val="en-US" w:eastAsia="en-AU"/>
        </w:rPr>
        <w:t>f</w:t>
      </w:r>
      <w:r w:rsidRPr="009C21F8">
        <w:rPr>
          <w:rFonts w:ascii="Times New Roman" w:eastAsia="Times New Roman" w:hAnsi="Times New Roman" w:cs="Times New Roman"/>
          <w:sz w:val="24"/>
          <w:szCs w:val="24"/>
          <w:lang w:val="en-US" w:eastAsia="en-AU"/>
        </w:rPr>
        <w:t xml:space="preserve"> compatibility is set out in </w:t>
      </w:r>
      <w:r w:rsidRPr="009C21F8">
        <w:rPr>
          <w:rFonts w:ascii="Times New Roman" w:eastAsia="Times New Roman" w:hAnsi="Times New Roman" w:cs="Times New Roman"/>
          <w:b/>
          <w:sz w:val="24"/>
          <w:szCs w:val="24"/>
          <w:lang w:val="en-US" w:eastAsia="en-AU"/>
        </w:rPr>
        <w:t>Attachment B</w:t>
      </w:r>
      <w:r w:rsidRPr="009C21F8">
        <w:rPr>
          <w:rFonts w:ascii="Times New Roman" w:eastAsia="Times New Roman" w:hAnsi="Times New Roman" w:cs="Times New Roman"/>
          <w:sz w:val="24"/>
          <w:szCs w:val="24"/>
          <w:lang w:val="en-US" w:eastAsia="en-AU"/>
        </w:rPr>
        <w:t>.</w:t>
      </w:r>
    </w:p>
    <w:p w:rsidR="009C21F8" w:rsidRDefault="009C21F8" w:rsidP="009C21F8">
      <w:pPr>
        <w:spacing w:after="0" w:line="240" w:lineRule="auto"/>
        <w:rPr>
          <w:rFonts w:ascii="Times New Roman" w:eastAsia="Times New Roman" w:hAnsi="Times New Roman" w:cs="Times New Roman"/>
          <w:sz w:val="24"/>
          <w:szCs w:val="24"/>
          <w:lang w:val="en-US" w:eastAsia="en-AU"/>
        </w:rPr>
      </w:pPr>
    </w:p>
    <w:p w:rsidR="00D349B0" w:rsidRPr="009C21F8" w:rsidRDefault="006E6314" w:rsidP="009C21F8">
      <w:pPr>
        <w:spacing w:after="0" w:line="240" w:lineRule="auto"/>
        <w:rPr>
          <w:rFonts w:ascii="Times New Roman" w:eastAsia="Times New Roman" w:hAnsi="Times New Roman" w:cs="Times New Roman"/>
          <w:sz w:val="24"/>
          <w:szCs w:val="24"/>
          <w:lang w:val="en-US" w:eastAsia="en-AU"/>
        </w:rPr>
      </w:pPr>
      <w:r w:rsidRPr="009C21F8">
        <w:rPr>
          <w:rFonts w:ascii="Times New Roman" w:eastAsia="Times New Roman" w:hAnsi="Times New Roman" w:cs="Times New Roman"/>
          <w:sz w:val="24"/>
          <w:szCs w:val="24"/>
          <w:lang w:val="en-US" w:eastAsia="en-AU"/>
        </w:rPr>
        <w:t xml:space="preserve">The Specification is a </w:t>
      </w:r>
      <w:r w:rsidR="00D349B0" w:rsidRPr="009C21F8">
        <w:rPr>
          <w:rFonts w:ascii="Times New Roman" w:eastAsia="Times New Roman" w:hAnsi="Times New Roman" w:cs="Times New Roman"/>
          <w:sz w:val="24"/>
          <w:szCs w:val="24"/>
          <w:lang w:val="en-US" w:eastAsia="en-AU"/>
        </w:rPr>
        <w:t xml:space="preserve">disallowable </w:t>
      </w:r>
      <w:r w:rsidRPr="009C21F8">
        <w:rPr>
          <w:rFonts w:ascii="Times New Roman" w:eastAsia="Times New Roman" w:hAnsi="Times New Roman" w:cs="Times New Roman"/>
          <w:sz w:val="24"/>
          <w:szCs w:val="24"/>
          <w:lang w:val="en-US" w:eastAsia="en-AU"/>
        </w:rPr>
        <w:t>legislative instrument</w:t>
      </w:r>
      <w:r w:rsidR="007C3F14" w:rsidRPr="009C21F8">
        <w:rPr>
          <w:rFonts w:ascii="Times New Roman" w:eastAsia="Times New Roman" w:hAnsi="Times New Roman" w:cs="Times New Roman"/>
          <w:sz w:val="24"/>
          <w:szCs w:val="24"/>
          <w:lang w:val="en-US" w:eastAsia="en-AU"/>
        </w:rPr>
        <w:t xml:space="preserve"> for the purposes of the </w:t>
      </w:r>
      <w:r w:rsidR="001F4BBD">
        <w:rPr>
          <w:rFonts w:ascii="Times New Roman" w:eastAsia="Times New Roman" w:hAnsi="Times New Roman" w:cs="Times New Roman"/>
          <w:sz w:val="24"/>
          <w:szCs w:val="24"/>
          <w:lang w:val="en-US" w:eastAsia="en-AU"/>
        </w:rPr>
        <w:t xml:space="preserve">Legislation Act </w:t>
      </w:r>
      <w:r w:rsidR="00D349B0" w:rsidRPr="009C21F8">
        <w:rPr>
          <w:rFonts w:ascii="Times New Roman" w:eastAsia="Times New Roman" w:hAnsi="Times New Roman" w:cs="Times New Roman"/>
          <w:sz w:val="24"/>
          <w:szCs w:val="24"/>
          <w:lang w:val="en-US" w:eastAsia="en-AU"/>
        </w:rPr>
        <w:t>and commences on 1 March 2019</w:t>
      </w:r>
      <w:r w:rsidRPr="009C21F8">
        <w:rPr>
          <w:rFonts w:ascii="Times New Roman" w:eastAsia="Times New Roman" w:hAnsi="Times New Roman" w:cs="Times New Roman"/>
          <w:sz w:val="24"/>
          <w:szCs w:val="24"/>
          <w:lang w:val="en-US" w:eastAsia="en-AU"/>
        </w:rPr>
        <w:t>.</w:t>
      </w:r>
    </w:p>
    <w:p w:rsidR="00D349B0" w:rsidRDefault="00D349B0">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rsidR="006E6314" w:rsidRPr="00D349B0" w:rsidRDefault="00D349B0" w:rsidP="00D349B0">
      <w:pPr>
        <w:spacing w:before="120" w:after="120" w:line="240" w:lineRule="auto"/>
        <w:jc w:val="right"/>
        <w:rPr>
          <w:rFonts w:ascii="Times New Roman" w:eastAsia="Times New Roman" w:hAnsi="Times New Roman" w:cs="Times New Roman"/>
          <w:b/>
          <w:sz w:val="24"/>
          <w:szCs w:val="24"/>
          <w:lang w:eastAsia="en-AU"/>
        </w:rPr>
      </w:pPr>
      <w:r w:rsidRPr="00D349B0">
        <w:rPr>
          <w:rFonts w:ascii="Times New Roman" w:eastAsia="Times New Roman" w:hAnsi="Times New Roman" w:cs="Times New Roman"/>
          <w:b/>
          <w:sz w:val="24"/>
          <w:szCs w:val="24"/>
          <w:lang w:eastAsia="en-AU"/>
        </w:rPr>
        <w:lastRenderedPageBreak/>
        <w:t>A</w:t>
      </w:r>
      <w:r w:rsidR="005E682D">
        <w:rPr>
          <w:rFonts w:ascii="Times New Roman" w:eastAsia="Times New Roman" w:hAnsi="Times New Roman" w:cs="Times New Roman"/>
          <w:b/>
          <w:sz w:val="24"/>
          <w:szCs w:val="24"/>
          <w:lang w:eastAsia="en-AU"/>
        </w:rPr>
        <w:t>ttachment</w:t>
      </w:r>
      <w:r w:rsidRPr="00D349B0">
        <w:rPr>
          <w:rFonts w:ascii="Times New Roman" w:eastAsia="Times New Roman" w:hAnsi="Times New Roman" w:cs="Times New Roman"/>
          <w:b/>
          <w:sz w:val="24"/>
          <w:szCs w:val="24"/>
          <w:lang w:eastAsia="en-AU"/>
        </w:rPr>
        <w:t xml:space="preserve"> A</w:t>
      </w:r>
    </w:p>
    <w:p w:rsidR="00D349B0" w:rsidRDefault="00D349B0" w:rsidP="009C21F8">
      <w:pPr>
        <w:spacing w:after="0" w:line="240" w:lineRule="auto"/>
        <w:rPr>
          <w:rFonts w:ascii="Times New Roman" w:eastAsia="Times New Roman" w:hAnsi="Times New Roman" w:cs="Times New Roman"/>
          <w:sz w:val="24"/>
          <w:szCs w:val="24"/>
          <w:lang w:eastAsia="en-AU"/>
        </w:rPr>
      </w:pPr>
    </w:p>
    <w:p w:rsidR="00667E35" w:rsidRPr="00D349B0" w:rsidRDefault="00D349B0" w:rsidP="009C21F8">
      <w:pPr>
        <w:spacing w:after="0" w:line="240" w:lineRule="auto"/>
        <w:rPr>
          <w:rFonts w:ascii="Times New Roman" w:hAnsi="Times New Roman"/>
          <w:b/>
          <w:sz w:val="24"/>
          <w:szCs w:val="24"/>
        </w:rPr>
      </w:pPr>
      <w:r w:rsidRPr="00D349B0">
        <w:rPr>
          <w:rFonts w:ascii="Times New Roman" w:eastAsia="Times New Roman" w:hAnsi="Times New Roman" w:cs="Times New Roman"/>
          <w:b/>
          <w:sz w:val="24"/>
          <w:szCs w:val="24"/>
          <w:lang w:eastAsia="en-AU"/>
        </w:rPr>
        <w:t xml:space="preserve">Details of </w:t>
      </w:r>
      <w:r w:rsidR="005E682D">
        <w:rPr>
          <w:rFonts w:ascii="Times New Roman" w:eastAsia="Times New Roman" w:hAnsi="Times New Roman" w:cs="Times New Roman"/>
          <w:b/>
          <w:sz w:val="24"/>
          <w:szCs w:val="24"/>
          <w:lang w:eastAsia="en-AU"/>
        </w:rPr>
        <w:t xml:space="preserve">the </w:t>
      </w:r>
      <w:r w:rsidRPr="00D349B0">
        <w:rPr>
          <w:rFonts w:ascii="Times New Roman" w:hAnsi="Times New Roman"/>
          <w:b/>
          <w:i/>
          <w:sz w:val="24"/>
          <w:szCs w:val="24"/>
        </w:rPr>
        <w:t>Therapeutic Goods</w:t>
      </w:r>
      <w:r w:rsidRPr="00D349B0">
        <w:rPr>
          <w:rFonts w:ascii="Times New Roman" w:hAnsi="Times New Roman"/>
          <w:b/>
          <w:sz w:val="24"/>
          <w:szCs w:val="24"/>
        </w:rPr>
        <w:t xml:space="preserve"> (</w:t>
      </w:r>
      <w:r w:rsidRPr="00D349B0">
        <w:rPr>
          <w:rFonts w:ascii="Times New Roman" w:hAnsi="Times New Roman"/>
          <w:b/>
          <w:i/>
          <w:sz w:val="24"/>
          <w:szCs w:val="24"/>
        </w:rPr>
        <w:t>Medicines Advisory Statements) Specification 2019</w:t>
      </w:r>
    </w:p>
    <w:p w:rsidR="00D349B0" w:rsidRDefault="00D349B0" w:rsidP="009C21F8">
      <w:pPr>
        <w:spacing w:after="0" w:line="240" w:lineRule="auto"/>
        <w:rPr>
          <w:rFonts w:ascii="Times New Roman" w:hAnsi="Times New Roman"/>
          <w:sz w:val="24"/>
          <w:szCs w:val="24"/>
        </w:rPr>
      </w:pPr>
    </w:p>
    <w:p w:rsidR="00D349B0" w:rsidRDefault="00D349B0" w:rsidP="009C21F8">
      <w:pPr>
        <w:spacing w:after="0" w:line="240" w:lineRule="auto"/>
        <w:rPr>
          <w:rFonts w:ascii="Times New Roman" w:hAnsi="Times New Roman"/>
          <w:b/>
          <w:sz w:val="24"/>
          <w:szCs w:val="24"/>
        </w:rPr>
      </w:pPr>
      <w:r w:rsidRPr="00D349B0">
        <w:rPr>
          <w:rFonts w:ascii="Times New Roman" w:hAnsi="Times New Roman"/>
          <w:b/>
          <w:sz w:val="24"/>
          <w:szCs w:val="24"/>
        </w:rPr>
        <w:t>Section 1 Name</w:t>
      </w:r>
    </w:p>
    <w:p w:rsidR="009C21F8" w:rsidRPr="00D349B0" w:rsidRDefault="009C21F8" w:rsidP="009C21F8">
      <w:pPr>
        <w:spacing w:after="0" w:line="240" w:lineRule="auto"/>
        <w:rPr>
          <w:rFonts w:ascii="Times New Roman" w:hAnsi="Times New Roman"/>
          <w:b/>
          <w:sz w:val="24"/>
          <w:szCs w:val="24"/>
        </w:rPr>
      </w:pPr>
    </w:p>
    <w:p w:rsidR="00D349B0" w:rsidRPr="00F15D77" w:rsidRDefault="00D349B0" w:rsidP="009C21F8">
      <w:pPr>
        <w:spacing w:after="0" w:line="240" w:lineRule="auto"/>
        <w:rPr>
          <w:rFonts w:ascii="Times New Roman" w:hAnsi="Times New Roman"/>
          <w:sz w:val="24"/>
          <w:szCs w:val="24"/>
        </w:rPr>
      </w:pPr>
      <w:r>
        <w:rPr>
          <w:rFonts w:ascii="Times New Roman" w:hAnsi="Times New Roman"/>
          <w:sz w:val="24"/>
          <w:szCs w:val="24"/>
        </w:rPr>
        <w:t>This section provides that the name of th</w:t>
      </w:r>
      <w:r w:rsidR="005E682D">
        <w:rPr>
          <w:rFonts w:ascii="Times New Roman" w:hAnsi="Times New Roman"/>
          <w:sz w:val="24"/>
          <w:szCs w:val="24"/>
        </w:rPr>
        <w:t>e</w:t>
      </w:r>
      <w:r>
        <w:rPr>
          <w:rFonts w:ascii="Times New Roman" w:hAnsi="Times New Roman"/>
          <w:sz w:val="24"/>
          <w:szCs w:val="24"/>
        </w:rPr>
        <w:t xml:space="preserve"> Specification is the </w:t>
      </w:r>
      <w:r w:rsidRPr="00AF7E00">
        <w:rPr>
          <w:rFonts w:ascii="Times New Roman" w:hAnsi="Times New Roman"/>
          <w:i/>
          <w:sz w:val="24"/>
          <w:szCs w:val="24"/>
        </w:rPr>
        <w:t>Therapeutic Goods (Medicines Advisory Statements) Specification 2019</w:t>
      </w:r>
      <w:r w:rsidR="005E682D">
        <w:rPr>
          <w:rFonts w:ascii="Times New Roman" w:hAnsi="Times New Roman"/>
          <w:i/>
          <w:sz w:val="24"/>
          <w:szCs w:val="24"/>
        </w:rPr>
        <w:t xml:space="preserve"> </w:t>
      </w:r>
      <w:r w:rsidR="005E682D" w:rsidRPr="00AF7E00">
        <w:rPr>
          <w:rFonts w:ascii="Times New Roman" w:hAnsi="Times New Roman"/>
          <w:sz w:val="24"/>
          <w:szCs w:val="24"/>
        </w:rPr>
        <w:t>(</w:t>
      </w:r>
      <w:r w:rsidR="00EB0C24">
        <w:rPr>
          <w:rFonts w:ascii="Times New Roman" w:hAnsi="Times New Roman"/>
          <w:sz w:val="24"/>
          <w:szCs w:val="24"/>
        </w:rPr>
        <w:t>“</w:t>
      </w:r>
      <w:r w:rsidR="005E682D" w:rsidRPr="00AF7E00">
        <w:rPr>
          <w:rFonts w:ascii="Times New Roman" w:hAnsi="Times New Roman"/>
          <w:sz w:val="24"/>
          <w:szCs w:val="24"/>
        </w:rPr>
        <w:t>the Specification</w:t>
      </w:r>
      <w:r w:rsidR="00EB0C24">
        <w:rPr>
          <w:rFonts w:ascii="Times New Roman" w:hAnsi="Times New Roman"/>
          <w:sz w:val="24"/>
          <w:szCs w:val="24"/>
        </w:rPr>
        <w:t>”</w:t>
      </w:r>
      <w:r w:rsidR="005E682D" w:rsidRPr="00AF7E00">
        <w:rPr>
          <w:rFonts w:ascii="Times New Roman" w:hAnsi="Times New Roman"/>
          <w:sz w:val="24"/>
          <w:szCs w:val="24"/>
        </w:rPr>
        <w:t>)</w:t>
      </w:r>
      <w:r w:rsidRPr="00F15D77">
        <w:rPr>
          <w:rFonts w:ascii="Times New Roman" w:hAnsi="Times New Roman"/>
          <w:sz w:val="24"/>
          <w:szCs w:val="24"/>
        </w:rPr>
        <w:t>.</w:t>
      </w:r>
    </w:p>
    <w:p w:rsidR="00D349B0" w:rsidRDefault="00D349B0" w:rsidP="009C21F8">
      <w:pPr>
        <w:spacing w:after="0" w:line="240" w:lineRule="auto"/>
        <w:rPr>
          <w:rFonts w:ascii="Times New Roman" w:hAnsi="Times New Roman"/>
          <w:sz w:val="24"/>
          <w:szCs w:val="24"/>
        </w:rPr>
      </w:pPr>
    </w:p>
    <w:p w:rsidR="00D349B0" w:rsidRDefault="00D349B0" w:rsidP="009C21F8">
      <w:pPr>
        <w:spacing w:after="0" w:line="240" w:lineRule="auto"/>
        <w:rPr>
          <w:rFonts w:ascii="Times New Roman" w:hAnsi="Times New Roman"/>
          <w:b/>
          <w:sz w:val="24"/>
          <w:szCs w:val="24"/>
        </w:rPr>
      </w:pPr>
      <w:r w:rsidRPr="00CE5709">
        <w:rPr>
          <w:rFonts w:ascii="Times New Roman" w:hAnsi="Times New Roman"/>
          <w:b/>
          <w:sz w:val="24"/>
          <w:szCs w:val="24"/>
        </w:rPr>
        <w:t>Section 2 Commencement</w:t>
      </w:r>
    </w:p>
    <w:p w:rsidR="009C21F8" w:rsidRPr="00CE5709" w:rsidRDefault="009C21F8" w:rsidP="009C21F8">
      <w:pPr>
        <w:spacing w:after="0" w:line="240" w:lineRule="auto"/>
        <w:rPr>
          <w:rFonts w:ascii="Times New Roman" w:hAnsi="Times New Roman"/>
          <w:b/>
          <w:sz w:val="24"/>
          <w:szCs w:val="24"/>
        </w:rPr>
      </w:pPr>
    </w:p>
    <w:p w:rsidR="00D349B0" w:rsidRDefault="00D349B0" w:rsidP="009C21F8">
      <w:pPr>
        <w:spacing w:after="0" w:line="240" w:lineRule="auto"/>
        <w:rPr>
          <w:rFonts w:ascii="Times New Roman" w:hAnsi="Times New Roman"/>
          <w:sz w:val="24"/>
          <w:szCs w:val="24"/>
        </w:rPr>
      </w:pPr>
      <w:r>
        <w:rPr>
          <w:rFonts w:ascii="Times New Roman" w:hAnsi="Times New Roman"/>
          <w:sz w:val="24"/>
          <w:szCs w:val="24"/>
        </w:rPr>
        <w:t>This section provides that the Specification commences on 1 March 2019.</w:t>
      </w:r>
    </w:p>
    <w:p w:rsidR="00D349B0" w:rsidRDefault="00D349B0" w:rsidP="009C21F8">
      <w:pPr>
        <w:spacing w:after="0" w:line="240" w:lineRule="auto"/>
        <w:rPr>
          <w:rFonts w:ascii="Times New Roman" w:hAnsi="Times New Roman"/>
          <w:sz w:val="24"/>
          <w:szCs w:val="24"/>
        </w:rPr>
      </w:pPr>
    </w:p>
    <w:p w:rsidR="00D349B0" w:rsidRDefault="00D349B0" w:rsidP="009C21F8">
      <w:pPr>
        <w:spacing w:after="0" w:line="240" w:lineRule="auto"/>
        <w:rPr>
          <w:rFonts w:ascii="Times New Roman" w:hAnsi="Times New Roman"/>
          <w:b/>
          <w:sz w:val="24"/>
          <w:szCs w:val="24"/>
        </w:rPr>
      </w:pPr>
      <w:r w:rsidRPr="00CE5709">
        <w:rPr>
          <w:rFonts w:ascii="Times New Roman" w:hAnsi="Times New Roman"/>
          <w:b/>
          <w:sz w:val="24"/>
          <w:szCs w:val="24"/>
        </w:rPr>
        <w:t>Section 3 Authority</w:t>
      </w:r>
    </w:p>
    <w:p w:rsidR="009C21F8" w:rsidRPr="00CE5709" w:rsidRDefault="009C21F8" w:rsidP="009C21F8">
      <w:pPr>
        <w:spacing w:after="0" w:line="240" w:lineRule="auto"/>
        <w:rPr>
          <w:rFonts w:ascii="Times New Roman" w:hAnsi="Times New Roman"/>
          <w:b/>
          <w:sz w:val="24"/>
          <w:szCs w:val="24"/>
        </w:rPr>
      </w:pPr>
    </w:p>
    <w:p w:rsidR="00D349B0" w:rsidRDefault="00D349B0" w:rsidP="009C21F8">
      <w:pPr>
        <w:spacing w:after="0" w:line="240" w:lineRule="auto"/>
        <w:rPr>
          <w:rFonts w:ascii="Times New Roman" w:hAnsi="Times New Roman"/>
          <w:sz w:val="24"/>
          <w:szCs w:val="24"/>
        </w:rPr>
      </w:pPr>
      <w:r>
        <w:rPr>
          <w:rFonts w:ascii="Times New Roman" w:hAnsi="Times New Roman"/>
          <w:sz w:val="24"/>
          <w:szCs w:val="24"/>
        </w:rPr>
        <w:t xml:space="preserve">This section provides that the legislative authority for making the Specification is subsection 3(5A) of the </w:t>
      </w:r>
      <w:r w:rsidR="005E682D" w:rsidRPr="00AF7E00">
        <w:rPr>
          <w:rFonts w:ascii="Times New Roman" w:hAnsi="Times New Roman"/>
          <w:i/>
          <w:sz w:val="24"/>
          <w:szCs w:val="24"/>
        </w:rPr>
        <w:t>Therapeutic Goods Act 1989</w:t>
      </w:r>
      <w:r w:rsidR="005E682D">
        <w:rPr>
          <w:rFonts w:ascii="Times New Roman" w:hAnsi="Times New Roman"/>
          <w:sz w:val="24"/>
          <w:szCs w:val="24"/>
        </w:rPr>
        <w:t xml:space="preserve"> (</w:t>
      </w:r>
      <w:r w:rsidR="00C30B88">
        <w:rPr>
          <w:rFonts w:ascii="Times New Roman" w:hAnsi="Times New Roman"/>
          <w:sz w:val="24"/>
          <w:szCs w:val="24"/>
        </w:rPr>
        <w:t>“</w:t>
      </w:r>
      <w:r w:rsidR="005E682D">
        <w:rPr>
          <w:rFonts w:ascii="Times New Roman" w:hAnsi="Times New Roman"/>
          <w:sz w:val="24"/>
          <w:szCs w:val="24"/>
        </w:rPr>
        <w:t xml:space="preserve">the </w:t>
      </w:r>
      <w:r>
        <w:rPr>
          <w:rFonts w:ascii="Times New Roman" w:hAnsi="Times New Roman"/>
          <w:sz w:val="24"/>
          <w:szCs w:val="24"/>
        </w:rPr>
        <w:t>Act</w:t>
      </w:r>
      <w:r w:rsidR="00C30B88">
        <w:rPr>
          <w:rFonts w:ascii="Times New Roman" w:hAnsi="Times New Roman"/>
          <w:sz w:val="24"/>
          <w:szCs w:val="24"/>
        </w:rPr>
        <w:t>”</w:t>
      </w:r>
      <w:r w:rsidR="005E682D">
        <w:rPr>
          <w:rFonts w:ascii="Times New Roman" w:hAnsi="Times New Roman"/>
          <w:sz w:val="24"/>
          <w:szCs w:val="24"/>
        </w:rPr>
        <w:t>)</w:t>
      </w:r>
      <w:r>
        <w:rPr>
          <w:rFonts w:ascii="Times New Roman" w:hAnsi="Times New Roman"/>
          <w:sz w:val="24"/>
          <w:szCs w:val="24"/>
        </w:rPr>
        <w:t>.</w:t>
      </w:r>
    </w:p>
    <w:p w:rsidR="00D349B0" w:rsidRDefault="00D349B0" w:rsidP="009C21F8">
      <w:pPr>
        <w:spacing w:after="0" w:line="240" w:lineRule="auto"/>
        <w:rPr>
          <w:rFonts w:ascii="Times New Roman" w:hAnsi="Times New Roman"/>
          <w:sz w:val="24"/>
          <w:szCs w:val="24"/>
        </w:rPr>
      </w:pPr>
    </w:p>
    <w:p w:rsidR="00D349B0" w:rsidRDefault="00D349B0" w:rsidP="009C21F8">
      <w:pPr>
        <w:spacing w:after="0" w:line="240" w:lineRule="auto"/>
        <w:rPr>
          <w:rFonts w:ascii="Times New Roman" w:hAnsi="Times New Roman"/>
          <w:b/>
          <w:sz w:val="24"/>
          <w:szCs w:val="24"/>
        </w:rPr>
      </w:pPr>
      <w:r w:rsidRPr="00CE5709">
        <w:rPr>
          <w:rFonts w:ascii="Times New Roman" w:hAnsi="Times New Roman"/>
          <w:b/>
          <w:sz w:val="24"/>
          <w:szCs w:val="24"/>
        </w:rPr>
        <w:t>Section 4 Definitions</w:t>
      </w:r>
    </w:p>
    <w:p w:rsidR="009C21F8" w:rsidRPr="00CE5709" w:rsidRDefault="009C21F8" w:rsidP="009C21F8">
      <w:pPr>
        <w:spacing w:after="0" w:line="240" w:lineRule="auto"/>
        <w:rPr>
          <w:rFonts w:ascii="Times New Roman" w:hAnsi="Times New Roman"/>
          <w:b/>
          <w:sz w:val="24"/>
          <w:szCs w:val="24"/>
        </w:rPr>
      </w:pPr>
    </w:p>
    <w:p w:rsidR="00D349B0" w:rsidRDefault="00D349B0" w:rsidP="009C21F8">
      <w:pPr>
        <w:spacing w:after="0" w:line="240" w:lineRule="auto"/>
        <w:rPr>
          <w:rFonts w:ascii="Times New Roman" w:hAnsi="Times New Roman"/>
          <w:sz w:val="24"/>
          <w:szCs w:val="24"/>
        </w:rPr>
      </w:pPr>
      <w:r>
        <w:rPr>
          <w:rFonts w:ascii="Times New Roman" w:hAnsi="Times New Roman"/>
          <w:sz w:val="24"/>
          <w:szCs w:val="24"/>
        </w:rPr>
        <w:t xml:space="preserve">This section sets out definitions for a number of terms used in the Specification, for example </w:t>
      </w:r>
      <w:r w:rsidR="00CE5709">
        <w:rPr>
          <w:rFonts w:ascii="Times New Roman" w:hAnsi="Times New Roman"/>
          <w:sz w:val="24"/>
          <w:szCs w:val="24"/>
        </w:rPr>
        <w:t>“dermal use”, “essential oils” and “signal heading”.</w:t>
      </w:r>
    </w:p>
    <w:p w:rsidR="00EB0C24" w:rsidRDefault="00EB0C24" w:rsidP="009C21F8">
      <w:pPr>
        <w:spacing w:after="0" w:line="240" w:lineRule="auto"/>
        <w:rPr>
          <w:rFonts w:ascii="Times New Roman" w:hAnsi="Times New Roman"/>
          <w:sz w:val="24"/>
          <w:szCs w:val="24"/>
        </w:rPr>
      </w:pPr>
    </w:p>
    <w:p w:rsidR="00CE5709" w:rsidRDefault="00CE5709" w:rsidP="009C21F8">
      <w:pPr>
        <w:spacing w:after="0" w:line="240" w:lineRule="auto"/>
        <w:rPr>
          <w:rFonts w:ascii="Times New Roman" w:hAnsi="Times New Roman"/>
          <w:sz w:val="24"/>
          <w:szCs w:val="24"/>
        </w:rPr>
      </w:pPr>
      <w:r>
        <w:rPr>
          <w:rFonts w:ascii="Times New Roman" w:hAnsi="Times New Roman"/>
          <w:sz w:val="24"/>
          <w:szCs w:val="24"/>
        </w:rPr>
        <w:t xml:space="preserve">This section also </w:t>
      </w:r>
      <w:r w:rsidR="00520F4F">
        <w:rPr>
          <w:rFonts w:ascii="Times New Roman" w:hAnsi="Times New Roman"/>
          <w:sz w:val="24"/>
          <w:szCs w:val="24"/>
        </w:rPr>
        <w:t>notes</w:t>
      </w:r>
      <w:r>
        <w:rPr>
          <w:rFonts w:ascii="Times New Roman" w:hAnsi="Times New Roman"/>
          <w:sz w:val="24"/>
          <w:szCs w:val="24"/>
        </w:rPr>
        <w:t xml:space="preserve"> that a number of terms used in the </w:t>
      </w:r>
      <w:r w:rsidR="00520F4F">
        <w:rPr>
          <w:rFonts w:ascii="Times New Roman" w:hAnsi="Times New Roman"/>
          <w:sz w:val="24"/>
          <w:szCs w:val="24"/>
        </w:rPr>
        <w:t>Specification</w:t>
      </w:r>
      <w:r>
        <w:rPr>
          <w:rFonts w:ascii="Times New Roman" w:hAnsi="Times New Roman"/>
          <w:sz w:val="24"/>
          <w:szCs w:val="24"/>
        </w:rPr>
        <w:t xml:space="preserve"> have the meaning given to them in subsection 3(1) of the Act, </w:t>
      </w:r>
      <w:r w:rsidR="00520F4F">
        <w:rPr>
          <w:rFonts w:ascii="Times New Roman" w:hAnsi="Times New Roman"/>
          <w:sz w:val="24"/>
          <w:szCs w:val="24"/>
        </w:rPr>
        <w:t>including “label” and</w:t>
      </w:r>
      <w:r>
        <w:rPr>
          <w:rFonts w:ascii="Times New Roman" w:hAnsi="Times New Roman"/>
          <w:sz w:val="24"/>
          <w:szCs w:val="24"/>
        </w:rPr>
        <w:t xml:space="preserve"> “medicine”.</w:t>
      </w:r>
    </w:p>
    <w:p w:rsidR="00D349B0" w:rsidRDefault="00D349B0" w:rsidP="009C21F8">
      <w:pPr>
        <w:spacing w:after="0" w:line="240" w:lineRule="auto"/>
        <w:rPr>
          <w:rFonts w:ascii="Times New Roman" w:hAnsi="Times New Roman"/>
          <w:sz w:val="24"/>
          <w:szCs w:val="24"/>
        </w:rPr>
      </w:pPr>
    </w:p>
    <w:p w:rsidR="00D349B0" w:rsidRDefault="00CE5709" w:rsidP="009C21F8">
      <w:pPr>
        <w:spacing w:after="0" w:line="240" w:lineRule="auto"/>
        <w:rPr>
          <w:rFonts w:ascii="Times New Roman" w:hAnsi="Times New Roman"/>
          <w:b/>
          <w:sz w:val="24"/>
          <w:szCs w:val="24"/>
        </w:rPr>
      </w:pPr>
      <w:r w:rsidRPr="00B733F8">
        <w:rPr>
          <w:rFonts w:ascii="Times New Roman" w:hAnsi="Times New Roman"/>
          <w:b/>
          <w:sz w:val="24"/>
          <w:szCs w:val="24"/>
        </w:rPr>
        <w:t>Section 5 Interpretation</w:t>
      </w:r>
    </w:p>
    <w:p w:rsidR="009C21F8" w:rsidRPr="00B733F8" w:rsidRDefault="009C21F8" w:rsidP="009C21F8">
      <w:pPr>
        <w:spacing w:after="0" w:line="240" w:lineRule="auto"/>
        <w:rPr>
          <w:rFonts w:ascii="Times New Roman" w:hAnsi="Times New Roman"/>
          <w:b/>
          <w:sz w:val="24"/>
          <w:szCs w:val="24"/>
        </w:rPr>
      </w:pPr>
    </w:p>
    <w:p w:rsidR="00F15D77" w:rsidRDefault="00CE5709" w:rsidP="009C21F8">
      <w:pPr>
        <w:spacing w:after="0" w:line="240" w:lineRule="auto"/>
        <w:rPr>
          <w:rFonts w:ascii="Times New Roman" w:hAnsi="Times New Roman"/>
          <w:sz w:val="24"/>
          <w:szCs w:val="24"/>
        </w:rPr>
      </w:pPr>
      <w:r>
        <w:rPr>
          <w:rFonts w:ascii="Times New Roman" w:hAnsi="Times New Roman"/>
          <w:sz w:val="24"/>
          <w:szCs w:val="24"/>
        </w:rPr>
        <w:t>This section sets out</w:t>
      </w:r>
      <w:r w:rsidR="00585951">
        <w:rPr>
          <w:rFonts w:ascii="Times New Roman" w:hAnsi="Times New Roman"/>
          <w:sz w:val="24"/>
          <w:szCs w:val="24"/>
        </w:rPr>
        <w:t xml:space="preserve"> provisions to assist in the interpretation </w:t>
      </w:r>
      <w:r w:rsidR="00DF5986">
        <w:rPr>
          <w:rFonts w:ascii="Times New Roman" w:hAnsi="Times New Roman"/>
          <w:sz w:val="24"/>
          <w:szCs w:val="24"/>
        </w:rPr>
        <w:t>of the Specification.</w:t>
      </w:r>
    </w:p>
    <w:p w:rsidR="00CE5709" w:rsidRDefault="00585951" w:rsidP="009C21F8">
      <w:pPr>
        <w:spacing w:after="0" w:line="240" w:lineRule="auto"/>
        <w:rPr>
          <w:rFonts w:ascii="Times New Roman" w:hAnsi="Times New Roman"/>
          <w:sz w:val="24"/>
          <w:szCs w:val="24"/>
        </w:rPr>
      </w:pPr>
      <w:r>
        <w:rPr>
          <w:rFonts w:ascii="Times New Roman" w:hAnsi="Times New Roman"/>
          <w:sz w:val="24"/>
          <w:szCs w:val="24"/>
        </w:rPr>
        <w:t>I</w:t>
      </w:r>
      <w:r w:rsidR="00CE5709">
        <w:rPr>
          <w:rFonts w:ascii="Times New Roman" w:hAnsi="Times New Roman"/>
          <w:sz w:val="24"/>
          <w:szCs w:val="24"/>
        </w:rPr>
        <w:t>n particular</w:t>
      </w:r>
      <w:r>
        <w:rPr>
          <w:rFonts w:ascii="Times New Roman" w:hAnsi="Times New Roman"/>
          <w:sz w:val="24"/>
          <w:szCs w:val="24"/>
        </w:rPr>
        <w:t>, subsection 5(1) provides</w:t>
      </w:r>
      <w:r w:rsidR="00CE5709">
        <w:rPr>
          <w:rFonts w:ascii="Times New Roman" w:hAnsi="Times New Roman"/>
          <w:sz w:val="24"/>
          <w:szCs w:val="24"/>
        </w:rPr>
        <w:t xml:space="preserve"> that unless the contrary intention appears, a reference to a substance in the Specification includes the items identified in paragraphs 5(1</w:t>
      </w:r>
      <w:proofErr w:type="gramStart"/>
      <w:r w:rsidR="00CE5709">
        <w:rPr>
          <w:rFonts w:ascii="Times New Roman" w:hAnsi="Times New Roman"/>
          <w:sz w:val="24"/>
          <w:szCs w:val="24"/>
        </w:rPr>
        <w:t>)(</w:t>
      </w:r>
      <w:proofErr w:type="gramEnd"/>
      <w:r w:rsidR="00CE5709">
        <w:rPr>
          <w:rFonts w:ascii="Times New Roman" w:hAnsi="Times New Roman"/>
          <w:sz w:val="24"/>
          <w:szCs w:val="24"/>
        </w:rPr>
        <w:t>a) – (f)</w:t>
      </w:r>
      <w:r>
        <w:rPr>
          <w:rFonts w:ascii="Times New Roman" w:hAnsi="Times New Roman"/>
          <w:sz w:val="24"/>
          <w:szCs w:val="24"/>
        </w:rPr>
        <w:t xml:space="preserve"> (such as the substance as prepared from natural sources or artificially)</w:t>
      </w:r>
      <w:r w:rsidR="00CE5709">
        <w:rPr>
          <w:rFonts w:ascii="Times New Roman" w:hAnsi="Times New Roman"/>
          <w:sz w:val="24"/>
          <w:szCs w:val="24"/>
        </w:rPr>
        <w:t xml:space="preserve">, but </w:t>
      </w:r>
      <w:r w:rsidR="00B733F8">
        <w:rPr>
          <w:rFonts w:ascii="Times New Roman" w:hAnsi="Times New Roman"/>
          <w:sz w:val="24"/>
          <w:szCs w:val="24"/>
        </w:rPr>
        <w:t>does not include the items identified in paragraphs 5(1)(g) – (i)</w:t>
      </w:r>
      <w:r>
        <w:rPr>
          <w:rFonts w:ascii="Times New Roman" w:hAnsi="Times New Roman"/>
          <w:sz w:val="24"/>
          <w:szCs w:val="24"/>
        </w:rPr>
        <w:t xml:space="preserve"> (including a preparation or product included in Appendix A of the Poisons Standard)</w:t>
      </w:r>
      <w:r w:rsidR="00B733F8">
        <w:rPr>
          <w:rFonts w:ascii="Times New Roman" w:hAnsi="Times New Roman"/>
          <w:sz w:val="24"/>
          <w:szCs w:val="24"/>
        </w:rPr>
        <w:t>.</w:t>
      </w:r>
    </w:p>
    <w:p w:rsidR="009C21F8" w:rsidRDefault="009C21F8" w:rsidP="009C21F8">
      <w:pPr>
        <w:spacing w:after="0" w:line="240" w:lineRule="auto"/>
        <w:rPr>
          <w:rFonts w:ascii="Times New Roman" w:hAnsi="Times New Roman"/>
          <w:sz w:val="24"/>
          <w:szCs w:val="24"/>
        </w:rPr>
      </w:pPr>
    </w:p>
    <w:p w:rsidR="00B733F8" w:rsidRDefault="00B733F8" w:rsidP="009C21F8">
      <w:pPr>
        <w:spacing w:after="0" w:line="240" w:lineRule="auto"/>
        <w:rPr>
          <w:rFonts w:ascii="Times New Roman" w:hAnsi="Times New Roman"/>
          <w:sz w:val="24"/>
          <w:szCs w:val="24"/>
        </w:rPr>
      </w:pPr>
      <w:r>
        <w:rPr>
          <w:rFonts w:ascii="Times New Roman" w:hAnsi="Times New Roman"/>
          <w:sz w:val="24"/>
          <w:szCs w:val="24"/>
        </w:rPr>
        <w:t>This section also clarifies the intended meaning in the Specification of references to a concentration, strength or quantity, the intended meaning of the expression “one per cent” and the meaning of a small number of symbols used in Schedules 1 and 2 to the Specification.</w:t>
      </w:r>
    </w:p>
    <w:p w:rsidR="00B733F8" w:rsidRDefault="00B733F8" w:rsidP="009C21F8">
      <w:pPr>
        <w:spacing w:after="0" w:line="240" w:lineRule="auto"/>
        <w:rPr>
          <w:rFonts w:ascii="Times New Roman" w:hAnsi="Times New Roman"/>
          <w:sz w:val="24"/>
          <w:szCs w:val="24"/>
        </w:rPr>
      </w:pPr>
    </w:p>
    <w:p w:rsidR="00B733F8" w:rsidRDefault="00B733F8" w:rsidP="009C21F8">
      <w:pPr>
        <w:spacing w:after="0" w:line="240" w:lineRule="auto"/>
        <w:rPr>
          <w:rFonts w:ascii="Times New Roman" w:hAnsi="Times New Roman"/>
          <w:b/>
          <w:sz w:val="24"/>
          <w:szCs w:val="24"/>
        </w:rPr>
      </w:pPr>
      <w:r w:rsidRPr="00B733F8">
        <w:rPr>
          <w:rFonts w:ascii="Times New Roman" w:hAnsi="Times New Roman"/>
          <w:b/>
          <w:sz w:val="24"/>
          <w:szCs w:val="24"/>
        </w:rPr>
        <w:t>Section 6 Application</w:t>
      </w:r>
    </w:p>
    <w:p w:rsidR="009C21F8" w:rsidRPr="00B733F8" w:rsidRDefault="009C21F8" w:rsidP="009C21F8">
      <w:pPr>
        <w:spacing w:after="0" w:line="240" w:lineRule="auto"/>
        <w:rPr>
          <w:rFonts w:ascii="Times New Roman" w:hAnsi="Times New Roman"/>
          <w:b/>
          <w:sz w:val="24"/>
          <w:szCs w:val="24"/>
        </w:rPr>
      </w:pPr>
    </w:p>
    <w:p w:rsidR="00B733F8" w:rsidRDefault="00B733F8" w:rsidP="009C21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section makes it clear that the Specification applies to a medicine that is a medicine</w:t>
      </w:r>
      <w:r w:rsidR="00F15D77">
        <w:rPr>
          <w:rFonts w:ascii="Times New Roman" w:hAnsi="Times New Roman"/>
          <w:sz w:val="24"/>
          <w:szCs w:val="24"/>
        </w:rPr>
        <w:t xml:space="preserve"> </w:t>
      </w:r>
      <w:r>
        <w:rPr>
          <w:rFonts w:ascii="Times New Roman" w:hAnsi="Times New Roman"/>
          <w:sz w:val="24"/>
          <w:szCs w:val="24"/>
        </w:rPr>
        <w:t>i</w:t>
      </w:r>
      <w:r w:rsidR="00EB0C24">
        <w:rPr>
          <w:rFonts w:ascii="Times New Roman" w:hAnsi="Times New Roman"/>
          <w:sz w:val="24"/>
          <w:szCs w:val="24"/>
        </w:rPr>
        <w:t>n a prescribed class. The term “</w:t>
      </w:r>
      <w:r>
        <w:rPr>
          <w:rFonts w:ascii="Times New Roman" w:hAnsi="Times New Roman"/>
          <w:sz w:val="24"/>
          <w:szCs w:val="24"/>
        </w:rPr>
        <w:t>medicine in a prescribed class</w:t>
      </w:r>
      <w:r w:rsidR="00EB0C24">
        <w:rPr>
          <w:rFonts w:ascii="Times New Roman" w:hAnsi="Times New Roman"/>
          <w:sz w:val="24"/>
          <w:szCs w:val="24"/>
        </w:rPr>
        <w:t>”</w:t>
      </w:r>
      <w:r>
        <w:rPr>
          <w:rFonts w:ascii="Times New Roman" w:hAnsi="Times New Roman"/>
          <w:sz w:val="24"/>
          <w:szCs w:val="24"/>
        </w:rPr>
        <w:t xml:space="preserve"> is defined in section 4 of the Specification to mean a medicine that is</w:t>
      </w:r>
      <w:r w:rsidR="00DF1179">
        <w:rPr>
          <w:rFonts w:ascii="Times New Roman" w:hAnsi="Times New Roman"/>
          <w:sz w:val="24"/>
          <w:szCs w:val="24"/>
        </w:rPr>
        <w:t xml:space="preserve"> included</w:t>
      </w:r>
      <w:r w:rsidR="00F15D77">
        <w:rPr>
          <w:rFonts w:ascii="Times New Roman" w:hAnsi="Times New Roman"/>
          <w:sz w:val="24"/>
          <w:szCs w:val="24"/>
        </w:rPr>
        <w:t xml:space="preserve"> in a class</w:t>
      </w:r>
      <w:r>
        <w:rPr>
          <w:rFonts w:ascii="Times New Roman" w:hAnsi="Times New Roman"/>
          <w:sz w:val="24"/>
          <w:szCs w:val="24"/>
        </w:rPr>
        <w:t xml:space="preserve"> </w:t>
      </w:r>
      <w:r w:rsidR="00DF1179">
        <w:rPr>
          <w:rFonts w:ascii="Times New Roman" w:hAnsi="Times New Roman"/>
          <w:sz w:val="24"/>
          <w:szCs w:val="24"/>
        </w:rPr>
        <w:t xml:space="preserve">of medicine </w:t>
      </w:r>
      <w:r>
        <w:rPr>
          <w:rFonts w:ascii="Times New Roman" w:hAnsi="Times New Roman"/>
          <w:sz w:val="24"/>
          <w:szCs w:val="24"/>
        </w:rPr>
        <w:t xml:space="preserve">prescribed </w:t>
      </w:r>
      <w:r w:rsidR="00F15D77">
        <w:rPr>
          <w:rFonts w:ascii="Times New Roman" w:hAnsi="Times New Roman"/>
          <w:sz w:val="24"/>
          <w:szCs w:val="24"/>
        </w:rPr>
        <w:t>by</w:t>
      </w:r>
      <w:r>
        <w:rPr>
          <w:rFonts w:ascii="Times New Roman" w:hAnsi="Times New Roman"/>
          <w:sz w:val="24"/>
          <w:szCs w:val="24"/>
        </w:rPr>
        <w:t xml:space="preserve"> the </w:t>
      </w:r>
      <w:r w:rsidRPr="00B733F8">
        <w:rPr>
          <w:rFonts w:ascii="Times New Roman" w:hAnsi="Times New Roman"/>
          <w:i/>
          <w:sz w:val="24"/>
          <w:szCs w:val="24"/>
        </w:rPr>
        <w:t>Therapeutic Goods Regulations 1990</w:t>
      </w:r>
      <w:r>
        <w:rPr>
          <w:rFonts w:ascii="Times New Roman" w:hAnsi="Times New Roman"/>
          <w:sz w:val="24"/>
          <w:szCs w:val="24"/>
        </w:rPr>
        <w:t xml:space="preserve"> (</w:t>
      </w:r>
      <w:r w:rsidR="00EB0C24">
        <w:rPr>
          <w:rFonts w:ascii="Times New Roman" w:hAnsi="Times New Roman"/>
          <w:sz w:val="24"/>
          <w:szCs w:val="24"/>
        </w:rPr>
        <w:t>“</w:t>
      </w:r>
      <w:r>
        <w:rPr>
          <w:rFonts w:ascii="Times New Roman" w:hAnsi="Times New Roman"/>
          <w:sz w:val="24"/>
          <w:szCs w:val="24"/>
        </w:rPr>
        <w:t>the Regulations</w:t>
      </w:r>
      <w:r w:rsidR="00EB0C24">
        <w:rPr>
          <w:rFonts w:ascii="Times New Roman" w:hAnsi="Times New Roman"/>
          <w:sz w:val="24"/>
          <w:szCs w:val="24"/>
        </w:rPr>
        <w:t>”</w:t>
      </w:r>
      <w:r>
        <w:rPr>
          <w:rFonts w:ascii="Times New Roman" w:hAnsi="Times New Roman"/>
          <w:sz w:val="24"/>
          <w:szCs w:val="24"/>
        </w:rPr>
        <w:t>) for the purposes of paragraph 3(5</w:t>
      </w:r>
      <w:proofErr w:type="gramStart"/>
      <w:r>
        <w:rPr>
          <w:rFonts w:ascii="Times New Roman" w:hAnsi="Times New Roman"/>
          <w:sz w:val="24"/>
          <w:szCs w:val="24"/>
        </w:rPr>
        <w:t>)(</w:t>
      </w:r>
      <w:proofErr w:type="gramEnd"/>
      <w:r>
        <w:rPr>
          <w:rFonts w:ascii="Times New Roman" w:hAnsi="Times New Roman"/>
          <w:sz w:val="24"/>
          <w:szCs w:val="24"/>
        </w:rPr>
        <w:t xml:space="preserve">ca) of the Act. </w:t>
      </w:r>
      <w:r w:rsidRPr="006E6314">
        <w:rPr>
          <w:rFonts w:ascii="Times New Roman" w:hAnsi="Times New Roman"/>
          <w:sz w:val="24"/>
          <w:szCs w:val="24"/>
        </w:rPr>
        <w:t xml:space="preserve">Under regulation 3AA of the </w:t>
      </w:r>
      <w:r>
        <w:rPr>
          <w:rFonts w:ascii="Times New Roman" w:hAnsi="Times New Roman"/>
          <w:sz w:val="24"/>
          <w:szCs w:val="24"/>
        </w:rPr>
        <w:t>Regulations</w:t>
      </w:r>
      <w:r w:rsidRPr="006E6314">
        <w:rPr>
          <w:rFonts w:ascii="Times New Roman" w:hAnsi="Times New Roman"/>
          <w:sz w:val="24"/>
          <w:szCs w:val="24"/>
        </w:rPr>
        <w:t xml:space="preserve">, such medicines are, principally, </w:t>
      </w:r>
      <w:r>
        <w:rPr>
          <w:rFonts w:ascii="Times New Roman" w:hAnsi="Times New Roman"/>
          <w:sz w:val="24"/>
          <w:szCs w:val="24"/>
        </w:rPr>
        <w:t>over the counter (</w:t>
      </w:r>
      <w:r w:rsidR="00EB0C24">
        <w:rPr>
          <w:rFonts w:ascii="Times New Roman" w:hAnsi="Times New Roman"/>
          <w:sz w:val="24"/>
          <w:szCs w:val="24"/>
        </w:rPr>
        <w:t>“</w:t>
      </w:r>
      <w:r>
        <w:rPr>
          <w:rFonts w:ascii="Times New Roman" w:hAnsi="Times New Roman"/>
          <w:sz w:val="24"/>
          <w:szCs w:val="24"/>
        </w:rPr>
        <w:t>OTC</w:t>
      </w:r>
      <w:r w:rsidR="00EB0C24">
        <w:rPr>
          <w:rFonts w:ascii="Times New Roman" w:hAnsi="Times New Roman"/>
          <w:sz w:val="24"/>
          <w:szCs w:val="24"/>
        </w:rPr>
        <w:t>”</w:t>
      </w:r>
      <w:r>
        <w:rPr>
          <w:rFonts w:ascii="Times New Roman" w:hAnsi="Times New Roman"/>
          <w:sz w:val="24"/>
          <w:szCs w:val="24"/>
        </w:rPr>
        <w:t xml:space="preserve">) </w:t>
      </w:r>
      <w:r w:rsidRPr="006E6314">
        <w:rPr>
          <w:rFonts w:ascii="Times New Roman" w:hAnsi="Times New Roman"/>
          <w:sz w:val="24"/>
          <w:szCs w:val="24"/>
        </w:rPr>
        <w:t>medicines</w:t>
      </w:r>
      <w:r>
        <w:rPr>
          <w:rFonts w:ascii="Times New Roman" w:hAnsi="Times New Roman"/>
          <w:sz w:val="24"/>
          <w:szCs w:val="24"/>
        </w:rPr>
        <w:t xml:space="preserve"> and registered complementary medicines.</w:t>
      </w:r>
    </w:p>
    <w:p w:rsidR="00371715" w:rsidRDefault="00371715" w:rsidP="009C21F8">
      <w:pPr>
        <w:spacing w:after="0" w:line="240" w:lineRule="auto"/>
        <w:rPr>
          <w:rFonts w:ascii="Times New Roman" w:hAnsi="Times New Roman"/>
          <w:sz w:val="24"/>
          <w:szCs w:val="24"/>
        </w:rPr>
      </w:pPr>
    </w:p>
    <w:p w:rsidR="00D349B0" w:rsidRDefault="00371715" w:rsidP="009C21F8">
      <w:pPr>
        <w:spacing w:after="0" w:line="240" w:lineRule="auto"/>
        <w:rPr>
          <w:rFonts w:ascii="Times New Roman" w:hAnsi="Times New Roman"/>
          <w:b/>
          <w:sz w:val="24"/>
          <w:szCs w:val="24"/>
        </w:rPr>
      </w:pPr>
      <w:r w:rsidRPr="00371715">
        <w:rPr>
          <w:rFonts w:ascii="Times New Roman" w:hAnsi="Times New Roman"/>
          <w:b/>
          <w:sz w:val="24"/>
          <w:szCs w:val="24"/>
        </w:rPr>
        <w:t xml:space="preserve">Section </w:t>
      </w:r>
      <w:r w:rsidR="005D3B0D">
        <w:rPr>
          <w:rFonts w:ascii="Times New Roman" w:hAnsi="Times New Roman"/>
          <w:b/>
          <w:sz w:val="24"/>
          <w:szCs w:val="24"/>
        </w:rPr>
        <w:t>7</w:t>
      </w:r>
      <w:r w:rsidRPr="00371715">
        <w:rPr>
          <w:rFonts w:ascii="Times New Roman" w:hAnsi="Times New Roman"/>
          <w:b/>
          <w:sz w:val="24"/>
          <w:szCs w:val="24"/>
        </w:rPr>
        <w:t xml:space="preserve"> Medicines advisory statements</w:t>
      </w:r>
    </w:p>
    <w:p w:rsidR="00587A37" w:rsidRPr="00371715" w:rsidRDefault="00587A37" w:rsidP="009C21F8">
      <w:pPr>
        <w:spacing w:after="0" w:line="240" w:lineRule="auto"/>
        <w:rPr>
          <w:rFonts w:ascii="Times New Roman" w:hAnsi="Times New Roman"/>
          <w:b/>
          <w:sz w:val="24"/>
          <w:szCs w:val="24"/>
        </w:rPr>
      </w:pPr>
    </w:p>
    <w:p w:rsidR="000A7A91" w:rsidRDefault="00516E6F" w:rsidP="009C21F8">
      <w:pPr>
        <w:spacing w:after="0" w:line="240" w:lineRule="auto"/>
        <w:rPr>
          <w:rFonts w:ascii="Times New Roman" w:hAnsi="Times New Roman"/>
          <w:sz w:val="24"/>
          <w:szCs w:val="24"/>
        </w:rPr>
      </w:pPr>
      <w:r>
        <w:rPr>
          <w:rFonts w:ascii="Times New Roman" w:hAnsi="Times New Roman"/>
          <w:sz w:val="24"/>
          <w:szCs w:val="24"/>
        </w:rPr>
        <w:t>This section provides that</w:t>
      </w:r>
      <w:r w:rsidR="000A7A91">
        <w:rPr>
          <w:rFonts w:ascii="Times New Roman" w:hAnsi="Times New Roman"/>
          <w:sz w:val="24"/>
          <w:szCs w:val="24"/>
        </w:rPr>
        <w:t>, subject to this section and section 8,</w:t>
      </w:r>
      <w:r>
        <w:rPr>
          <w:rFonts w:ascii="Times New Roman" w:hAnsi="Times New Roman"/>
          <w:sz w:val="24"/>
          <w:szCs w:val="24"/>
        </w:rPr>
        <w:t xml:space="preserve"> the advisory statements mentioned in</w:t>
      </w:r>
      <w:r w:rsidR="000A7A91">
        <w:rPr>
          <w:rFonts w:ascii="Times New Roman" w:hAnsi="Times New Roman"/>
          <w:sz w:val="24"/>
          <w:szCs w:val="24"/>
        </w:rPr>
        <w:t xml:space="preserve"> column 3 of the table in</w:t>
      </w:r>
      <w:r>
        <w:rPr>
          <w:rFonts w:ascii="Times New Roman" w:hAnsi="Times New Roman"/>
          <w:sz w:val="24"/>
          <w:szCs w:val="24"/>
        </w:rPr>
        <w:t xml:space="preserve"> Schedule </w:t>
      </w:r>
      <w:r w:rsidR="00487EC6">
        <w:rPr>
          <w:rFonts w:ascii="Times New Roman" w:hAnsi="Times New Roman"/>
          <w:sz w:val="24"/>
          <w:szCs w:val="24"/>
        </w:rPr>
        <w:t>1</w:t>
      </w:r>
      <w:r>
        <w:rPr>
          <w:rFonts w:ascii="Times New Roman" w:hAnsi="Times New Roman"/>
          <w:sz w:val="24"/>
          <w:szCs w:val="24"/>
        </w:rPr>
        <w:t xml:space="preserve"> are specified for the purposes of paragraph 3(5</w:t>
      </w:r>
      <w:proofErr w:type="gramStart"/>
      <w:r>
        <w:rPr>
          <w:rFonts w:ascii="Times New Roman" w:hAnsi="Times New Roman"/>
          <w:sz w:val="24"/>
          <w:szCs w:val="24"/>
        </w:rPr>
        <w:t>)(</w:t>
      </w:r>
      <w:proofErr w:type="gramEnd"/>
      <w:r>
        <w:rPr>
          <w:rFonts w:ascii="Times New Roman" w:hAnsi="Times New Roman"/>
          <w:sz w:val="24"/>
          <w:szCs w:val="24"/>
        </w:rPr>
        <w:t>ca) of the Act</w:t>
      </w:r>
      <w:r w:rsidR="000A7A91">
        <w:rPr>
          <w:rFonts w:ascii="Times New Roman" w:hAnsi="Times New Roman"/>
          <w:sz w:val="24"/>
          <w:szCs w:val="24"/>
        </w:rPr>
        <w:t xml:space="preserve"> in relation to a medicine that includes a substance described in column 1 of the corresponding row and meets the conditions described in column 2. Subject to subsection 7(2) and section 8, this has the effect that the advisory statements in column 3 of the table must be contained on the label of such a medicine.</w:t>
      </w:r>
    </w:p>
    <w:p w:rsidR="00587A37" w:rsidRDefault="00587A37" w:rsidP="009C21F8">
      <w:pPr>
        <w:spacing w:after="0" w:line="240" w:lineRule="auto"/>
        <w:rPr>
          <w:rFonts w:ascii="Times New Roman" w:hAnsi="Times New Roman"/>
          <w:sz w:val="24"/>
          <w:szCs w:val="24"/>
        </w:rPr>
      </w:pPr>
    </w:p>
    <w:p w:rsidR="009438F1" w:rsidRDefault="000A7A91" w:rsidP="009C21F8">
      <w:pPr>
        <w:spacing w:after="0" w:line="240" w:lineRule="auto"/>
        <w:rPr>
          <w:rFonts w:ascii="Times New Roman" w:hAnsi="Times New Roman"/>
          <w:sz w:val="24"/>
          <w:szCs w:val="24"/>
        </w:rPr>
      </w:pPr>
      <w:r>
        <w:rPr>
          <w:rFonts w:ascii="Times New Roman" w:hAnsi="Times New Roman"/>
          <w:sz w:val="24"/>
          <w:szCs w:val="24"/>
        </w:rPr>
        <w:t>Sub</w:t>
      </w:r>
      <w:r w:rsidR="009438F1">
        <w:rPr>
          <w:rFonts w:ascii="Times New Roman" w:hAnsi="Times New Roman"/>
          <w:sz w:val="24"/>
          <w:szCs w:val="24"/>
        </w:rPr>
        <w:t>section</w:t>
      </w:r>
      <w:r>
        <w:rPr>
          <w:rFonts w:ascii="Times New Roman" w:hAnsi="Times New Roman"/>
          <w:sz w:val="24"/>
          <w:szCs w:val="24"/>
        </w:rPr>
        <w:t xml:space="preserve"> (2)</w:t>
      </w:r>
      <w:r w:rsidR="009438F1">
        <w:rPr>
          <w:rFonts w:ascii="Times New Roman" w:hAnsi="Times New Roman"/>
          <w:sz w:val="24"/>
          <w:szCs w:val="24"/>
        </w:rPr>
        <w:t xml:space="preserve"> </w:t>
      </w:r>
      <w:r>
        <w:rPr>
          <w:rFonts w:ascii="Times New Roman" w:hAnsi="Times New Roman"/>
          <w:sz w:val="24"/>
          <w:szCs w:val="24"/>
        </w:rPr>
        <w:t xml:space="preserve">further </w:t>
      </w:r>
      <w:r w:rsidR="009438F1">
        <w:rPr>
          <w:rFonts w:ascii="Times New Roman" w:hAnsi="Times New Roman"/>
          <w:sz w:val="24"/>
          <w:szCs w:val="24"/>
        </w:rPr>
        <w:t xml:space="preserve">provides that the advisory statements mentioned in Schedule </w:t>
      </w:r>
      <w:r w:rsidR="00103E0A">
        <w:rPr>
          <w:rFonts w:ascii="Times New Roman" w:hAnsi="Times New Roman"/>
          <w:sz w:val="24"/>
          <w:szCs w:val="24"/>
        </w:rPr>
        <w:t>1</w:t>
      </w:r>
      <w:r w:rsidR="009438F1">
        <w:rPr>
          <w:rFonts w:ascii="Times New Roman" w:hAnsi="Times New Roman"/>
          <w:sz w:val="24"/>
          <w:szCs w:val="24"/>
        </w:rPr>
        <w:t>, if varied or (where more than one such statement applies) combined to form a simple sentence on the label of a medicine in a prescribed class in a manner that does not change the intent of the advisory statement, are also specified for the purposes of paragraph 3(5</w:t>
      </w:r>
      <w:proofErr w:type="gramStart"/>
      <w:r w:rsidR="009438F1">
        <w:rPr>
          <w:rFonts w:ascii="Times New Roman" w:hAnsi="Times New Roman"/>
          <w:sz w:val="24"/>
          <w:szCs w:val="24"/>
        </w:rPr>
        <w:t>)(</w:t>
      </w:r>
      <w:proofErr w:type="gramEnd"/>
      <w:r w:rsidR="009438F1">
        <w:rPr>
          <w:rFonts w:ascii="Times New Roman" w:hAnsi="Times New Roman"/>
          <w:sz w:val="24"/>
          <w:szCs w:val="24"/>
        </w:rPr>
        <w:t>ca) of the Act.</w:t>
      </w:r>
    </w:p>
    <w:p w:rsidR="005D3B0D" w:rsidRDefault="005D3B0D" w:rsidP="009C21F8">
      <w:pPr>
        <w:autoSpaceDE w:val="0"/>
        <w:autoSpaceDN w:val="0"/>
        <w:adjustRightInd w:val="0"/>
        <w:spacing w:after="0" w:line="240" w:lineRule="auto"/>
        <w:rPr>
          <w:rFonts w:ascii="Times New Roman" w:hAnsi="Times New Roman"/>
          <w:sz w:val="24"/>
          <w:szCs w:val="24"/>
        </w:rPr>
      </w:pPr>
    </w:p>
    <w:p w:rsidR="005D3B0D" w:rsidRDefault="005D3B0D" w:rsidP="009C21F8">
      <w:pPr>
        <w:spacing w:after="0" w:line="240" w:lineRule="auto"/>
        <w:rPr>
          <w:rFonts w:ascii="Times New Roman" w:hAnsi="Times New Roman"/>
          <w:b/>
          <w:sz w:val="24"/>
          <w:szCs w:val="24"/>
        </w:rPr>
      </w:pPr>
      <w:r w:rsidRPr="00AF7E00">
        <w:rPr>
          <w:rFonts w:ascii="Times New Roman" w:hAnsi="Times New Roman"/>
          <w:b/>
          <w:sz w:val="24"/>
          <w:szCs w:val="24"/>
        </w:rPr>
        <w:t xml:space="preserve">Section </w:t>
      </w:r>
      <w:r>
        <w:rPr>
          <w:rFonts w:ascii="Times New Roman" w:hAnsi="Times New Roman"/>
          <w:b/>
          <w:sz w:val="24"/>
          <w:szCs w:val="24"/>
        </w:rPr>
        <w:t>8</w:t>
      </w:r>
      <w:r w:rsidRPr="00AF7E00">
        <w:rPr>
          <w:rFonts w:ascii="Times New Roman" w:hAnsi="Times New Roman"/>
          <w:b/>
          <w:sz w:val="24"/>
          <w:szCs w:val="24"/>
        </w:rPr>
        <w:t xml:space="preserve"> Transitional arrangements</w:t>
      </w:r>
    </w:p>
    <w:p w:rsidR="00587A37" w:rsidRPr="00371715" w:rsidRDefault="00587A37" w:rsidP="009C21F8">
      <w:pPr>
        <w:spacing w:after="0" w:line="240" w:lineRule="auto"/>
        <w:rPr>
          <w:rFonts w:ascii="Times New Roman" w:hAnsi="Times New Roman"/>
          <w:b/>
          <w:sz w:val="24"/>
          <w:szCs w:val="24"/>
        </w:rPr>
      </w:pPr>
    </w:p>
    <w:p w:rsidR="005D3B0D" w:rsidRDefault="005D3B0D" w:rsidP="009C21F8">
      <w:pPr>
        <w:spacing w:after="0" w:line="240" w:lineRule="auto"/>
        <w:rPr>
          <w:rFonts w:ascii="Times New Roman" w:hAnsi="Times New Roman"/>
          <w:sz w:val="24"/>
          <w:szCs w:val="24"/>
        </w:rPr>
      </w:pPr>
      <w:r>
        <w:rPr>
          <w:rFonts w:ascii="Times New Roman" w:hAnsi="Times New Roman"/>
          <w:sz w:val="24"/>
          <w:szCs w:val="24"/>
        </w:rPr>
        <w:t>This section provides that between the commencement of the Specification on 1 March 2019 and 31 August 2020 (</w:t>
      </w:r>
      <w:r w:rsidR="00EB0C24">
        <w:rPr>
          <w:rFonts w:ascii="Times New Roman" w:hAnsi="Times New Roman"/>
          <w:sz w:val="24"/>
          <w:szCs w:val="24"/>
        </w:rPr>
        <w:t>“</w:t>
      </w:r>
      <w:r>
        <w:rPr>
          <w:rFonts w:ascii="Times New Roman" w:hAnsi="Times New Roman"/>
          <w:sz w:val="24"/>
          <w:szCs w:val="24"/>
        </w:rPr>
        <w:t xml:space="preserve">the </w:t>
      </w:r>
      <w:r w:rsidR="00C30B88">
        <w:rPr>
          <w:rFonts w:ascii="Times New Roman" w:hAnsi="Times New Roman"/>
          <w:sz w:val="24"/>
          <w:szCs w:val="24"/>
        </w:rPr>
        <w:t>transition period”</w:t>
      </w:r>
      <w:r>
        <w:rPr>
          <w:rFonts w:ascii="Times New Roman" w:hAnsi="Times New Roman"/>
          <w:sz w:val="24"/>
          <w:szCs w:val="24"/>
        </w:rPr>
        <w:t xml:space="preserve">), a sponsor of a medicine to which the Specification applies </w:t>
      </w:r>
      <w:r w:rsidR="005D7338">
        <w:rPr>
          <w:rFonts w:ascii="Times New Roman" w:hAnsi="Times New Roman"/>
          <w:sz w:val="24"/>
          <w:szCs w:val="24"/>
        </w:rPr>
        <w:t>may</w:t>
      </w:r>
      <w:r>
        <w:rPr>
          <w:rFonts w:ascii="Times New Roman" w:hAnsi="Times New Roman"/>
          <w:sz w:val="24"/>
          <w:szCs w:val="24"/>
        </w:rPr>
        <w:t xml:space="preserve"> comply with the requirements in Schedule </w:t>
      </w:r>
      <w:r w:rsidR="00487EC6">
        <w:rPr>
          <w:rFonts w:ascii="Times New Roman" w:hAnsi="Times New Roman"/>
          <w:sz w:val="24"/>
          <w:szCs w:val="24"/>
        </w:rPr>
        <w:t xml:space="preserve">2 to the </w:t>
      </w:r>
      <w:r w:rsidR="00487EC6" w:rsidRPr="005D1B10">
        <w:rPr>
          <w:rFonts w:ascii="Times New Roman" w:hAnsi="Times New Roman"/>
          <w:i/>
          <w:sz w:val="24"/>
          <w:szCs w:val="24"/>
        </w:rPr>
        <w:t>Medicines Advisory Statements Specification 2017</w:t>
      </w:r>
      <w:r w:rsidR="00C30B88">
        <w:rPr>
          <w:rFonts w:ascii="Times New Roman" w:hAnsi="Times New Roman"/>
          <w:sz w:val="24"/>
          <w:szCs w:val="24"/>
        </w:rPr>
        <w:t xml:space="preserve"> (</w:t>
      </w:r>
      <w:r w:rsidR="00EB0C24">
        <w:rPr>
          <w:rFonts w:ascii="Times New Roman" w:hAnsi="Times New Roman"/>
          <w:sz w:val="24"/>
          <w:szCs w:val="24"/>
        </w:rPr>
        <w:t>“</w:t>
      </w:r>
      <w:r w:rsidR="00C30B88">
        <w:rPr>
          <w:rFonts w:ascii="Times New Roman" w:hAnsi="Times New Roman"/>
          <w:sz w:val="24"/>
          <w:szCs w:val="24"/>
        </w:rPr>
        <w:t xml:space="preserve">the </w:t>
      </w:r>
      <w:r w:rsidR="00487EC6">
        <w:rPr>
          <w:rFonts w:ascii="Times New Roman" w:hAnsi="Times New Roman"/>
          <w:sz w:val="24"/>
          <w:szCs w:val="24"/>
        </w:rPr>
        <w:t>former Specification</w:t>
      </w:r>
      <w:r w:rsidR="00C30B88">
        <w:rPr>
          <w:rFonts w:ascii="Times New Roman" w:hAnsi="Times New Roman"/>
          <w:sz w:val="24"/>
          <w:szCs w:val="24"/>
        </w:rPr>
        <w:t>”</w:t>
      </w:r>
      <w:r w:rsidR="00487EC6">
        <w:rPr>
          <w:rFonts w:ascii="Times New Roman" w:hAnsi="Times New Roman"/>
          <w:sz w:val="24"/>
          <w:szCs w:val="24"/>
        </w:rPr>
        <w:t>)</w:t>
      </w:r>
      <w:r w:rsidR="0099609C">
        <w:rPr>
          <w:rFonts w:ascii="Times New Roman" w:hAnsi="Times New Roman"/>
          <w:sz w:val="24"/>
          <w:szCs w:val="24"/>
        </w:rPr>
        <w:t>,</w:t>
      </w:r>
      <w:r>
        <w:rPr>
          <w:rFonts w:ascii="Times New Roman" w:hAnsi="Times New Roman"/>
          <w:sz w:val="24"/>
          <w:szCs w:val="24"/>
        </w:rPr>
        <w:t xml:space="preserve"> </w:t>
      </w:r>
      <w:r w:rsidR="005D7338">
        <w:rPr>
          <w:rFonts w:ascii="Times New Roman" w:hAnsi="Times New Roman"/>
          <w:sz w:val="24"/>
          <w:szCs w:val="24"/>
        </w:rPr>
        <w:t>instead of those in</w:t>
      </w:r>
      <w:r>
        <w:rPr>
          <w:rFonts w:ascii="Times New Roman" w:hAnsi="Times New Roman"/>
          <w:sz w:val="24"/>
          <w:szCs w:val="24"/>
        </w:rPr>
        <w:t xml:space="preserve"> Schedule </w:t>
      </w:r>
      <w:r w:rsidR="00487EC6">
        <w:rPr>
          <w:rFonts w:ascii="Times New Roman" w:hAnsi="Times New Roman"/>
          <w:sz w:val="24"/>
          <w:szCs w:val="24"/>
        </w:rPr>
        <w:t>1</w:t>
      </w:r>
      <w:r>
        <w:rPr>
          <w:rFonts w:ascii="Times New Roman" w:hAnsi="Times New Roman"/>
          <w:sz w:val="24"/>
          <w:szCs w:val="24"/>
        </w:rPr>
        <w:t xml:space="preserve"> to this instrument, in relation to the inclusion o</w:t>
      </w:r>
      <w:r w:rsidR="0099609C">
        <w:rPr>
          <w:rFonts w:ascii="Times New Roman" w:hAnsi="Times New Roman"/>
          <w:sz w:val="24"/>
          <w:szCs w:val="24"/>
        </w:rPr>
        <w:t>f advisory statements on</w:t>
      </w:r>
      <w:r>
        <w:rPr>
          <w:rFonts w:ascii="Times New Roman" w:hAnsi="Times New Roman"/>
          <w:sz w:val="24"/>
          <w:szCs w:val="24"/>
        </w:rPr>
        <w:t xml:space="preserve"> their medicine labels</w:t>
      </w:r>
      <w:r w:rsidR="005D7338">
        <w:rPr>
          <w:rFonts w:ascii="Times New Roman" w:hAnsi="Times New Roman"/>
          <w:sz w:val="24"/>
          <w:szCs w:val="24"/>
        </w:rPr>
        <w:t>. In effect</w:t>
      </w:r>
      <w:r w:rsidR="00103E0A">
        <w:rPr>
          <w:rFonts w:ascii="Times New Roman" w:hAnsi="Times New Roman"/>
          <w:sz w:val="24"/>
          <w:szCs w:val="24"/>
        </w:rPr>
        <w:t>,</w:t>
      </w:r>
      <w:r w:rsidR="005D7338">
        <w:rPr>
          <w:rFonts w:ascii="Times New Roman" w:hAnsi="Times New Roman"/>
          <w:sz w:val="24"/>
          <w:szCs w:val="24"/>
        </w:rPr>
        <w:t xml:space="preserve"> this means</w:t>
      </w:r>
      <w:r>
        <w:rPr>
          <w:rFonts w:ascii="Times New Roman" w:hAnsi="Times New Roman"/>
          <w:sz w:val="24"/>
          <w:szCs w:val="24"/>
        </w:rPr>
        <w:t xml:space="preserve"> that sponsors will have the option of relying on either Schedule 1 </w:t>
      </w:r>
      <w:r w:rsidR="00487EC6">
        <w:rPr>
          <w:rFonts w:ascii="Times New Roman" w:hAnsi="Times New Roman"/>
          <w:sz w:val="24"/>
          <w:szCs w:val="24"/>
        </w:rPr>
        <w:t xml:space="preserve">to the Specification </w:t>
      </w:r>
      <w:r>
        <w:rPr>
          <w:rFonts w:ascii="Times New Roman" w:hAnsi="Times New Roman"/>
          <w:sz w:val="24"/>
          <w:szCs w:val="24"/>
        </w:rPr>
        <w:t xml:space="preserve">or Schedule 2 </w:t>
      </w:r>
      <w:r w:rsidR="00487EC6">
        <w:rPr>
          <w:rFonts w:ascii="Times New Roman" w:hAnsi="Times New Roman"/>
          <w:sz w:val="24"/>
          <w:szCs w:val="24"/>
        </w:rPr>
        <w:t xml:space="preserve">to the former Specification </w:t>
      </w:r>
      <w:r>
        <w:rPr>
          <w:rFonts w:ascii="Times New Roman" w:hAnsi="Times New Roman"/>
          <w:sz w:val="24"/>
          <w:szCs w:val="24"/>
        </w:rPr>
        <w:t>during this period.</w:t>
      </w:r>
    </w:p>
    <w:p w:rsidR="00587A37" w:rsidRDefault="00587A37" w:rsidP="009C21F8">
      <w:pPr>
        <w:spacing w:after="0" w:line="240" w:lineRule="auto"/>
        <w:rPr>
          <w:rFonts w:ascii="Times New Roman" w:hAnsi="Times New Roman"/>
          <w:sz w:val="24"/>
          <w:szCs w:val="24"/>
        </w:rPr>
      </w:pPr>
    </w:p>
    <w:p w:rsidR="005D3B0D" w:rsidRDefault="005D3B0D" w:rsidP="009C21F8">
      <w:pPr>
        <w:spacing w:after="0" w:line="240" w:lineRule="auto"/>
        <w:rPr>
          <w:rFonts w:ascii="Times New Roman" w:hAnsi="Times New Roman"/>
          <w:sz w:val="24"/>
          <w:szCs w:val="24"/>
        </w:rPr>
      </w:pPr>
      <w:r>
        <w:rPr>
          <w:rFonts w:ascii="Times New Roman" w:hAnsi="Times New Roman"/>
          <w:sz w:val="24"/>
          <w:szCs w:val="24"/>
        </w:rPr>
        <w:t xml:space="preserve">This section also </w:t>
      </w:r>
      <w:r w:rsidR="005D7338">
        <w:rPr>
          <w:rFonts w:ascii="Times New Roman" w:hAnsi="Times New Roman"/>
          <w:sz w:val="24"/>
          <w:szCs w:val="24"/>
        </w:rPr>
        <w:t>notes</w:t>
      </w:r>
      <w:r w:rsidR="0099609C">
        <w:rPr>
          <w:rFonts w:ascii="Times New Roman" w:hAnsi="Times New Roman"/>
          <w:sz w:val="24"/>
          <w:szCs w:val="24"/>
        </w:rPr>
        <w:t xml:space="preserve"> that</w:t>
      </w:r>
      <w:r>
        <w:rPr>
          <w:rFonts w:ascii="Times New Roman" w:hAnsi="Times New Roman"/>
          <w:sz w:val="24"/>
          <w:szCs w:val="24"/>
        </w:rPr>
        <w:t xml:space="preserve"> from 1 September 2020, a sponsor of a medicine to which the Specification applies must comply with the requirements in Schedule </w:t>
      </w:r>
      <w:r w:rsidR="00487EC6">
        <w:rPr>
          <w:rFonts w:ascii="Times New Roman" w:hAnsi="Times New Roman"/>
          <w:sz w:val="24"/>
          <w:szCs w:val="24"/>
        </w:rPr>
        <w:t>1</w:t>
      </w:r>
      <w:r>
        <w:rPr>
          <w:rFonts w:ascii="Times New Roman" w:hAnsi="Times New Roman"/>
          <w:sz w:val="24"/>
          <w:szCs w:val="24"/>
        </w:rPr>
        <w:t xml:space="preserve"> to this instrument, in relation to the inclusion </w:t>
      </w:r>
      <w:r w:rsidR="0099609C">
        <w:rPr>
          <w:rFonts w:ascii="Times New Roman" w:hAnsi="Times New Roman"/>
          <w:sz w:val="24"/>
          <w:szCs w:val="24"/>
        </w:rPr>
        <w:t xml:space="preserve">of applicable advisory statements </w:t>
      </w:r>
      <w:r>
        <w:rPr>
          <w:rFonts w:ascii="Times New Roman" w:hAnsi="Times New Roman"/>
          <w:sz w:val="24"/>
          <w:szCs w:val="24"/>
        </w:rPr>
        <w:t>on their medicine labels specified in that Schedule.</w:t>
      </w:r>
    </w:p>
    <w:p w:rsidR="005D3B0D" w:rsidRDefault="005D3B0D" w:rsidP="009C21F8">
      <w:pPr>
        <w:spacing w:after="0" w:line="240" w:lineRule="auto"/>
        <w:rPr>
          <w:rFonts w:ascii="Times New Roman" w:hAnsi="Times New Roman"/>
          <w:sz w:val="24"/>
          <w:szCs w:val="24"/>
        </w:rPr>
      </w:pPr>
    </w:p>
    <w:p w:rsidR="005D3B0D" w:rsidRDefault="005D3B0D" w:rsidP="009C21F8">
      <w:pPr>
        <w:autoSpaceDE w:val="0"/>
        <w:autoSpaceDN w:val="0"/>
        <w:adjustRightInd w:val="0"/>
        <w:spacing w:after="0" w:line="240" w:lineRule="auto"/>
        <w:rPr>
          <w:rFonts w:ascii="Times New Roman" w:hAnsi="Times New Roman"/>
          <w:b/>
          <w:sz w:val="24"/>
          <w:szCs w:val="24"/>
        </w:rPr>
      </w:pPr>
      <w:r w:rsidRPr="00371715">
        <w:rPr>
          <w:rFonts w:ascii="Times New Roman" w:hAnsi="Times New Roman"/>
          <w:b/>
          <w:sz w:val="24"/>
          <w:szCs w:val="24"/>
        </w:rPr>
        <w:t xml:space="preserve">Section </w:t>
      </w:r>
      <w:r>
        <w:rPr>
          <w:rFonts w:ascii="Times New Roman" w:hAnsi="Times New Roman"/>
          <w:b/>
          <w:sz w:val="24"/>
          <w:szCs w:val="24"/>
        </w:rPr>
        <w:t>9</w:t>
      </w:r>
      <w:r w:rsidRPr="00371715">
        <w:rPr>
          <w:rFonts w:ascii="Times New Roman" w:hAnsi="Times New Roman"/>
          <w:b/>
          <w:sz w:val="24"/>
          <w:szCs w:val="24"/>
        </w:rPr>
        <w:t xml:space="preserve"> Repeal</w:t>
      </w:r>
      <w:r>
        <w:rPr>
          <w:rFonts w:ascii="Times New Roman" w:hAnsi="Times New Roman"/>
          <w:b/>
          <w:sz w:val="24"/>
          <w:szCs w:val="24"/>
        </w:rPr>
        <w:t>s</w:t>
      </w:r>
    </w:p>
    <w:p w:rsidR="00587A37" w:rsidRPr="00371715" w:rsidRDefault="00587A37" w:rsidP="009C21F8">
      <w:pPr>
        <w:autoSpaceDE w:val="0"/>
        <w:autoSpaceDN w:val="0"/>
        <w:adjustRightInd w:val="0"/>
        <w:spacing w:after="0" w:line="240" w:lineRule="auto"/>
        <w:rPr>
          <w:rFonts w:ascii="Times New Roman" w:hAnsi="Times New Roman"/>
          <w:b/>
          <w:sz w:val="24"/>
          <w:szCs w:val="24"/>
        </w:rPr>
      </w:pPr>
    </w:p>
    <w:p w:rsidR="005D3B0D" w:rsidRDefault="005D3B0D" w:rsidP="009C21F8">
      <w:pPr>
        <w:spacing w:after="0" w:line="240" w:lineRule="auto"/>
        <w:rPr>
          <w:rFonts w:ascii="Times New Roman" w:hAnsi="Times New Roman"/>
          <w:sz w:val="24"/>
          <w:szCs w:val="24"/>
        </w:rPr>
      </w:pPr>
      <w:r>
        <w:rPr>
          <w:rFonts w:ascii="Times New Roman" w:hAnsi="Times New Roman"/>
          <w:sz w:val="24"/>
          <w:szCs w:val="24"/>
        </w:rPr>
        <w:t>This section provides that each instrument that is specified in Schedule 3 to the Specification is repealed as set out in the applicable items in that Schedule.</w:t>
      </w:r>
    </w:p>
    <w:p w:rsidR="00D349B0" w:rsidRDefault="00D349B0" w:rsidP="009C21F8">
      <w:pPr>
        <w:spacing w:after="0" w:line="240" w:lineRule="auto"/>
        <w:rPr>
          <w:rFonts w:ascii="Times New Roman" w:hAnsi="Times New Roman"/>
          <w:sz w:val="24"/>
          <w:szCs w:val="24"/>
        </w:rPr>
      </w:pPr>
    </w:p>
    <w:p w:rsidR="009438F1" w:rsidRPr="009438F1" w:rsidRDefault="009438F1" w:rsidP="009C21F8">
      <w:pPr>
        <w:spacing w:after="0" w:line="240" w:lineRule="auto"/>
        <w:rPr>
          <w:rFonts w:ascii="Times New Roman" w:hAnsi="Times New Roman"/>
          <w:b/>
          <w:sz w:val="24"/>
          <w:szCs w:val="24"/>
        </w:rPr>
      </w:pPr>
      <w:r w:rsidRPr="009438F1">
        <w:rPr>
          <w:rFonts w:ascii="Times New Roman" w:hAnsi="Times New Roman"/>
          <w:b/>
          <w:sz w:val="24"/>
          <w:szCs w:val="24"/>
        </w:rPr>
        <w:t>Schedule 1 Required Advisory Statements for Medicine Labels No.4</w:t>
      </w:r>
    </w:p>
    <w:p w:rsidR="00587A37" w:rsidRDefault="00587A37" w:rsidP="009C21F8">
      <w:pPr>
        <w:spacing w:after="0" w:line="240" w:lineRule="auto"/>
        <w:rPr>
          <w:rFonts w:ascii="Times New Roman" w:hAnsi="Times New Roman"/>
          <w:sz w:val="24"/>
          <w:szCs w:val="24"/>
        </w:rPr>
      </w:pPr>
    </w:p>
    <w:p w:rsidR="009438F1" w:rsidRDefault="009438F1" w:rsidP="009C21F8">
      <w:pPr>
        <w:spacing w:after="0" w:line="240" w:lineRule="auto"/>
        <w:rPr>
          <w:rFonts w:ascii="Times New Roman" w:hAnsi="Times New Roman"/>
          <w:sz w:val="24"/>
          <w:szCs w:val="24"/>
        </w:rPr>
      </w:pPr>
      <w:r>
        <w:rPr>
          <w:rFonts w:ascii="Times New Roman" w:hAnsi="Times New Roman"/>
          <w:sz w:val="24"/>
          <w:szCs w:val="24"/>
        </w:rPr>
        <w:t xml:space="preserve">This Schedule </w:t>
      </w:r>
      <w:r w:rsidR="00E2396E">
        <w:rPr>
          <w:rFonts w:ascii="Times New Roman" w:hAnsi="Times New Roman"/>
          <w:sz w:val="24"/>
          <w:szCs w:val="24"/>
        </w:rPr>
        <w:t>specifies</w:t>
      </w:r>
      <w:r>
        <w:rPr>
          <w:rFonts w:ascii="Times New Roman" w:hAnsi="Times New Roman"/>
          <w:sz w:val="24"/>
          <w:szCs w:val="24"/>
        </w:rPr>
        <w:t xml:space="preserve"> advisory statements for applicable medicines, based on the edition of the TGA document </w:t>
      </w:r>
      <w:r w:rsidRPr="00AF7E00">
        <w:rPr>
          <w:rFonts w:ascii="Times New Roman" w:hAnsi="Times New Roman"/>
          <w:i/>
          <w:sz w:val="24"/>
          <w:szCs w:val="24"/>
        </w:rPr>
        <w:t>Required Advisory Statements for Medicine Labels</w:t>
      </w:r>
      <w:r>
        <w:rPr>
          <w:rFonts w:ascii="Times New Roman" w:hAnsi="Times New Roman"/>
          <w:sz w:val="24"/>
          <w:szCs w:val="24"/>
        </w:rPr>
        <w:t xml:space="preserve"> (</w:t>
      </w:r>
      <w:r w:rsidR="00EB0C24">
        <w:rPr>
          <w:rFonts w:ascii="Times New Roman" w:hAnsi="Times New Roman"/>
          <w:sz w:val="24"/>
          <w:szCs w:val="24"/>
        </w:rPr>
        <w:t>“</w:t>
      </w:r>
      <w:r>
        <w:rPr>
          <w:rFonts w:ascii="Times New Roman" w:hAnsi="Times New Roman"/>
          <w:sz w:val="24"/>
          <w:szCs w:val="24"/>
        </w:rPr>
        <w:t>RASML</w:t>
      </w:r>
      <w:r w:rsidR="00EB0C24">
        <w:rPr>
          <w:rFonts w:ascii="Times New Roman" w:hAnsi="Times New Roman"/>
          <w:sz w:val="24"/>
          <w:szCs w:val="24"/>
        </w:rPr>
        <w:t>”</w:t>
      </w:r>
      <w:r>
        <w:rPr>
          <w:rFonts w:ascii="Times New Roman" w:hAnsi="Times New Roman"/>
          <w:sz w:val="24"/>
          <w:szCs w:val="24"/>
        </w:rPr>
        <w:t xml:space="preserve">) known as RASML </w:t>
      </w:r>
      <w:r w:rsidR="00487EC6">
        <w:rPr>
          <w:rFonts w:ascii="Times New Roman" w:hAnsi="Times New Roman"/>
          <w:sz w:val="24"/>
          <w:szCs w:val="24"/>
        </w:rPr>
        <w:t>5</w:t>
      </w:r>
      <w:r>
        <w:rPr>
          <w:rFonts w:ascii="Times New Roman" w:hAnsi="Times New Roman"/>
          <w:sz w:val="24"/>
          <w:szCs w:val="24"/>
        </w:rPr>
        <w:t>.</w:t>
      </w:r>
    </w:p>
    <w:p w:rsidR="00D349B0" w:rsidRDefault="00D349B0" w:rsidP="009C21F8">
      <w:pPr>
        <w:spacing w:after="0" w:line="240" w:lineRule="auto"/>
        <w:rPr>
          <w:rFonts w:ascii="Times New Roman" w:hAnsi="Times New Roman"/>
          <w:sz w:val="24"/>
          <w:szCs w:val="24"/>
        </w:rPr>
      </w:pPr>
    </w:p>
    <w:p w:rsidR="009438F1" w:rsidRPr="00371F78" w:rsidRDefault="009438F1" w:rsidP="009C21F8">
      <w:pPr>
        <w:spacing w:after="0" w:line="240" w:lineRule="auto"/>
        <w:rPr>
          <w:rFonts w:ascii="Times New Roman" w:hAnsi="Times New Roman"/>
          <w:b/>
          <w:sz w:val="24"/>
          <w:szCs w:val="24"/>
        </w:rPr>
      </w:pPr>
      <w:r w:rsidRPr="00371F78">
        <w:rPr>
          <w:rFonts w:ascii="Times New Roman" w:hAnsi="Times New Roman"/>
          <w:b/>
          <w:sz w:val="24"/>
          <w:szCs w:val="24"/>
        </w:rPr>
        <w:t xml:space="preserve">Schedule </w:t>
      </w:r>
      <w:r w:rsidR="00487EC6">
        <w:rPr>
          <w:rFonts w:ascii="Times New Roman" w:hAnsi="Times New Roman"/>
          <w:b/>
          <w:sz w:val="24"/>
          <w:szCs w:val="24"/>
        </w:rPr>
        <w:t>2</w:t>
      </w:r>
      <w:r w:rsidRPr="00371F78">
        <w:rPr>
          <w:rFonts w:ascii="Times New Roman" w:hAnsi="Times New Roman"/>
          <w:b/>
          <w:sz w:val="24"/>
          <w:szCs w:val="24"/>
        </w:rPr>
        <w:t xml:space="preserve"> Repeals</w:t>
      </w:r>
    </w:p>
    <w:p w:rsidR="00587A37" w:rsidRDefault="00587A37" w:rsidP="009C21F8">
      <w:pPr>
        <w:spacing w:after="0" w:line="240" w:lineRule="auto"/>
        <w:rPr>
          <w:rFonts w:ascii="Times New Roman" w:hAnsi="Times New Roman"/>
          <w:sz w:val="24"/>
          <w:szCs w:val="24"/>
        </w:rPr>
      </w:pPr>
    </w:p>
    <w:p w:rsidR="00D349B0" w:rsidRDefault="009438F1" w:rsidP="009C21F8">
      <w:pPr>
        <w:spacing w:after="0" w:line="240" w:lineRule="auto"/>
        <w:rPr>
          <w:rFonts w:ascii="Times New Roman" w:hAnsi="Times New Roman"/>
          <w:sz w:val="24"/>
          <w:szCs w:val="24"/>
        </w:rPr>
      </w:pPr>
      <w:r>
        <w:rPr>
          <w:rFonts w:ascii="Times New Roman" w:hAnsi="Times New Roman"/>
          <w:sz w:val="24"/>
          <w:szCs w:val="24"/>
        </w:rPr>
        <w:t xml:space="preserve">This Schedule repeals the whole of the </w:t>
      </w:r>
      <w:r w:rsidRPr="00371F78">
        <w:rPr>
          <w:rFonts w:ascii="Times New Roman" w:hAnsi="Times New Roman"/>
          <w:i/>
          <w:sz w:val="24"/>
          <w:szCs w:val="24"/>
        </w:rPr>
        <w:t>Medicines Advisory Statements Specification 2017</w:t>
      </w:r>
      <w:r>
        <w:rPr>
          <w:rFonts w:ascii="Times New Roman" w:hAnsi="Times New Roman"/>
          <w:sz w:val="24"/>
          <w:szCs w:val="24"/>
        </w:rPr>
        <w:t>.</w:t>
      </w:r>
    </w:p>
    <w:p w:rsidR="00510702" w:rsidRDefault="00510702" w:rsidP="005D1B10">
      <w:pPr>
        <w:spacing w:before="120"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rsidR="00D458F8" w:rsidRDefault="00D458F8" w:rsidP="00371F78">
      <w:pPr>
        <w:spacing w:before="120" w:after="120" w:line="240" w:lineRule="auto"/>
        <w:jc w:val="right"/>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lastRenderedPageBreak/>
        <w:t>A</w:t>
      </w:r>
      <w:r w:rsidR="005E682D">
        <w:rPr>
          <w:rFonts w:ascii="Times New Roman" w:eastAsia="Times New Roman" w:hAnsi="Times New Roman" w:cs="Times New Roman"/>
          <w:b/>
          <w:bCs/>
          <w:sz w:val="24"/>
          <w:szCs w:val="24"/>
          <w:lang w:eastAsia="en-AU"/>
        </w:rPr>
        <w:t>ttachment</w:t>
      </w:r>
      <w:r>
        <w:rPr>
          <w:rFonts w:ascii="Times New Roman" w:eastAsia="Times New Roman" w:hAnsi="Times New Roman" w:cs="Times New Roman"/>
          <w:b/>
          <w:bCs/>
          <w:sz w:val="24"/>
          <w:szCs w:val="24"/>
          <w:lang w:eastAsia="en-AU"/>
        </w:rPr>
        <w:t xml:space="preserve"> B</w:t>
      </w:r>
    </w:p>
    <w:p w:rsidR="00D458F8" w:rsidRDefault="00D458F8">
      <w:pPr>
        <w:spacing w:before="120" w:after="120" w:line="240" w:lineRule="auto"/>
        <w:jc w:val="cente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Statement of Compatibility with Human Rights</w:t>
      </w:r>
    </w:p>
    <w:p w:rsidR="006E6314" w:rsidRPr="006E6314" w:rsidRDefault="006E6314" w:rsidP="006E6314">
      <w:pPr>
        <w:spacing w:before="120" w:after="120" w:line="240" w:lineRule="auto"/>
        <w:rPr>
          <w:rFonts w:ascii="Times New Roman" w:eastAsia="Times New Roman" w:hAnsi="Times New Roman" w:cs="Times New Roman"/>
          <w:sz w:val="24"/>
          <w:szCs w:val="24"/>
          <w:lang w:val="en-US" w:eastAsia="en-AU"/>
        </w:rPr>
      </w:pPr>
      <w:r w:rsidRPr="006E6314">
        <w:rPr>
          <w:rFonts w:ascii="Times New Roman" w:eastAsia="Times New Roman" w:hAnsi="Times New Roman" w:cs="Times New Roman"/>
          <w:i/>
          <w:iCs/>
          <w:sz w:val="24"/>
          <w:szCs w:val="24"/>
          <w:lang w:eastAsia="en-AU"/>
        </w:rPr>
        <w:t>Prepared in accordance with Part 3 of the Human Rights (Parliamentary Scrutiny) Act 2011</w:t>
      </w:r>
    </w:p>
    <w:p w:rsidR="003C08D0" w:rsidRDefault="003C08D0" w:rsidP="006E6314">
      <w:pPr>
        <w:spacing w:before="120" w:after="120" w:line="240" w:lineRule="auto"/>
        <w:rPr>
          <w:rFonts w:ascii="Times New Roman" w:eastAsia="Times New Roman" w:hAnsi="Times New Roman" w:cs="Times New Roman"/>
          <w:b/>
          <w:bCs/>
          <w:sz w:val="24"/>
          <w:szCs w:val="24"/>
          <w:lang w:eastAsia="en-AU"/>
        </w:rPr>
      </w:pPr>
    </w:p>
    <w:p w:rsidR="006E6314" w:rsidRPr="00AF7E00" w:rsidRDefault="00D122D7" w:rsidP="00371F78">
      <w:pPr>
        <w:spacing w:before="120" w:after="120" w:line="240" w:lineRule="auto"/>
        <w:jc w:val="center"/>
        <w:rPr>
          <w:rFonts w:ascii="Times New Roman" w:eastAsia="Times New Roman" w:hAnsi="Times New Roman" w:cs="Times New Roman"/>
          <w:i/>
          <w:sz w:val="24"/>
          <w:szCs w:val="24"/>
          <w:lang w:val="en-US" w:eastAsia="en-AU"/>
        </w:rPr>
      </w:pPr>
      <w:r w:rsidRPr="00AF7E00">
        <w:rPr>
          <w:rFonts w:ascii="Times New Roman" w:eastAsia="Times New Roman" w:hAnsi="Times New Roman" w:cs="Times New Roman"/>
          <w:b/>
          <w:bCs/>
          <w:i/>
          <w:sz w:val="24"/>
          <w:szCs w:val="24"/>
          <w:lang w:eastAsia="en-AU"/>
        </w:rPr>
        <w:t>Therapeutic Goods (</w:t>
      </w:r>
      <w:r w:rsidR="006E6314" w:rsidRPr="00AF7E00">
        <w:rPr>
          <w:rFonts w:ascii="Times New Roman" w:eastAsia="Times New Roman" w:hAnsi="Times New Roman" w:cs="Times New Roman"/>
          <w:b/>
          <w:bCs/>
          <w:i/>
          <w:sz w:val="24"/>
          <w:szCs w:val="24"/>
          <w:lang w:eastAsia="en-AU"/>
        </w:rPr>
        <w:t>Medicines Advisory Statements</w:t>
      </w:r>
      <w:r w:rsidRPr="00AF7E00">
        <w:rPr>
          <w:rFonts w:ascii="Times New Roman" w:eastAsia="Times New Roman" w:hAnsi="Times New Roman" w:cs="Times New Roman"/>
          <w:b/>
          <w:bCs/>
          <w:i/>
          <w:sz w:val="24"/>
          <w:szCs w:val="24"/>
          <w:lang w:eastAsia="en-AU"/>
        </w:rPr>
        <w:t>)</w:t>
      </w:r>
      <w:r w:rsidR="006E6314" w:rsidRPr="00AF7E00">
        <w:rPr>
          <w:rFonts w:ascii="Times New Roman" w:eastAsia="Times New Roman" w:hAnsi="Times New Roman" w:cs="Times New Roman"/>
          <w:b/>
          <w:bCs/>
          <w:i/>
          <w:sz w:val="24"/>
          <w:szCs w:val="24"/>
          <w:lang w:eastAsia="en-AU"/>
        </w:rPr>
        <w:t xml:space="preserve"> Specification </w:t>
      </w:r>
      <w:r w:rsidR="00DF7331" w:rsidRPr="00AF7E00">
        <w:rPr>
          <w:rFonts w:ascii="Times New Roman" w:eastAsia="Times New Roman" w:hAnsi="Times New Roman" w:cs="Times New Roman"/>
          <w:b/>
          <w:bCs/>
          <w:i/>
          <w:sz w:val="24"/>
          <w:szCs w:val="24"/>
          <w:lang w:eastAsia="en-AU"/>
        </w:rPr>
        <w:t>201</w:t>
      </w:r>
      <w:r w:rsidR="00377CA5" w:rsidRPr="00AF7E00">
        <w:rPr>
          <w:rFonts w:ascii="Times New Roman" w:eastAsia="Times New Roman" w:hAnsi="Times New Roman" w:cs="Times New Roman"/>
          <w:b/>
          <w:bCs/>
          <w:i/>
          <w:sz w:val="24"/>
          <w:szCs w:val="24"/>
          <w:lang w:eastAsia="en-AU"/>
        </w:rPr>
        <w:t>9</w:t>
      </w:r>
    </w:p>
    <w:p w:rsidR="006E6314" w:rsidRPr="006E6314" w:rsidRDefault="006E6314" w:rsidP="006E6314">
      <w:pPr>
        <w:spacing w:before="120" w:after="120" w:line="240" w:lineRule="auto"/>
        <w:rPr>
          <w:rFonts w:ascii="Times New Roman" w:eastAsia="Times New Roman" w:hAnsi="Times New Roman" w:cs="Times New Roman"/>
          <w:sz w:val="24"/>
          <w:szCs w:val="24"/>
          <w:lang w:val="en-US" w:eastAsia="en-AU"/>
        </w:rPr>
      </w:pPr>
      <w:r w:rsidRPr="006E6314">
        <w:rPr>
          <w:rFonts w:ascii="Times New Roman" w:eastAsia="Times New Roman" w:hAnsi="Times New Roman" w:cs="Times New Roman"/>
          <w:sz w:val="24"/>
          <w:szCs w:val="24"/>
          <w:lang w:eastAsia="en-AU"/>
        </w:rPr>
        <w:t>This</w:t>
      </w:r>
      <w:r w:rsidR="00A66C9E">
        <w:rPr>
          <w:rFonts w:ascii="Times New Roman" w:eastAsia="Times New Roman" w:hAnsi="Times New Roman" w:cs="Times New Roman"/>
          <w:sz w:val="24"/>
          <w:szCs w:val="24"/>
          <w:lang w:eastAsia="en-AU"/>
        </w:rPr>
        <w:t xml:space="preserve"> disallowable</w:t>
      </w:r>
      <w:r w:rsidRPr="006E6314">
        <w:rPr>
          <w:rFonts w:ascii="Times New Roman" w:eastAsia="Times New Roman" w:hAnsi="Times New Roman" w:cs="Times New Roman"/>
          <w:sz w:val="24"/>
          <w:szCs w:val="24"/>
          <w:lang w:eastAsia="en-AU"/>
        </w:rPr>
        <w:t xml:space="preserve"> legislative instrument is compatible with the human rights and freedoms recognised or declared in the international instruments listed in section 3 of the </w:t>
      </w:r>
      <w:r w:rsidRPr="006E6314">
        <w:rPr>
          <w:rFonts w:ascii="Times New Roman" w:eastAsia="Times New Roman" w:hAnsi="Times New Roman" w:cs="Times New Roman"/>
          <w:i/>
          <w:iCs/>
          <w:sz w:val="24"/>
          <w:szCs w:val="24"/>
          <w:lang w:eastAsia="en-AU"/>
        </w:rPr>
        <w:t>Human Rights (Parliamentary Scrutiny) Act 2011</w:t>
      </w:r>
      <w:r w:rsidRPr="006E6314">
        <w:rPr>
          <w:rFonts w:ascii="Times New Roman" w:eastAsia="Times New Roman" w:hAnsi="Times New Roman" w:cs="Times New Roman"/>
          <w:sz w:val="24"/>
          <w:szCs w:val="24"/>
          <w:lang w:eastAsia="en-AU"/>
        </w:rPr>
        <w:t>.</w:t>
      </w:r>
    </w:p>
    <w:p w:rsidR="003C08D0" w:rsidRDefault="003C08D0" w:rsidP="00587A37">
      <w:pPr>
        <w:spacing w:after="0" w:line="240" w:lineRule="auto"/>
        <w:rPr>
          <w:rFonts w:ascii="Times New Roman" w:eastAsia="Times New Roman" w:hAnsi="Times New Roman" w:cs="Times New Roman"/>
          <w:b/>
          <w:bCs/>
          <w:sz w:val="24"/>
          <w:szCs w:val="24"/>
          <w:lang w:eastAsia="en-AU"/>
        </w:rPr>
      </w:pPr>
    </w:p>
    <w:p w:rsidR="006E6314" w:rsidRDefault="006E6314" w:rsidP="00587A37">
      <w:pPr>
        <w:spacing w:after="0" w:line="240" w:lineRule="auto"/>
        <w:rPr>
          <w:rFonts w:ascii="Times New Roman" w:eastAsia="Times New Roman" w:hAnsi="Times New Roman" w:cs="Times New Roman"/>
          <w:b/>
          <w:bCs/>
          <w:sz w:val="24"/>
          <w:szCs w:val="24"/>
          <w:lang w:eastAsia="en-AU"/>
        </w:rPr>
      </w:pPr>
      <w:r w:rsidRPr="006E6314">
        <w:rPr>
          <w:rFonts w:ascii="Times New Roman" w:eastAsia="Times New Roman" w:hAnsi="Times New Roman" w:cs="Times New Roman"/>
          <w:b/>
          <w:bCs/>
          <w:sz w:val="24"/>
          <w:szCs w:val="24"/>
          <w:lang w:eastAsia="en-AU"/>
        </w:rPr>
        <w:t>Overview of the Legislative Instrument</w:t>
      </w:r>
    </w:p>
    <w:p w:rsidR="00CB1316" w:rsidRPr="006E6314" w:rsidRDefault="00CB1316" w:rsidP="00587A37">
      <w:pPr>
        <w:spacing w:after="0" w:line="240" w:lineRule="auto"/>
        <w:rPr>
          <w:rFonts w:ascii="Times New Roman" w:eastAsia="Times New Roman" w:hAnsi="Times New Roman" w:cs="Times New Roman"/>
          <w:sz w:val="24"/>
          <w:szCs w:val="24"/>
          <w:lang w:val="en-US" w:eastAsia="en-AU"/>
        </w:rPr>
      </w:pPr>
    </w:p>
    <w:p w:rsidR="00D458F8" w:rsidRPr="006E6314" w:rsidRDefault="00D458F8" w:rsidP="00587A37">
      <w:pPr>
        <w:spacing w:after="0" w:line="240" w:lineRule="auto"/>
        <w:rPr>
          <w:rFonts w:ascii="Times New Roman" w:hAnsi="Times New Roman"/>
          <w:sz w:val="24"/>
          <w:szCs w:val="24"/>
        </w:rPr>
      </w:pPr>
      <w:r w:rsidRPr="006E6314">
        <w:rPr>
          <w:rFonts w:ascii="Times New Roman" w:hAnsi="Times New Roman"/>
          <w:sz w:val="24"/>
          <w:szCs w:val="24"/>
        </w:rPr>
        <w:t xml:space="preserve">The </w:t>
      </w:r>
      <w:r w:rsidRPr="00650032">
        <w:rPr>
          <w:rFonts w:ascii="Times New Roman" w:hAnsi="Times New Roman"/>
          <w:i/>
          <w:sz w:val="24"/>
          <w:szCs w:val="24"/>
        </w:rPr>
        <w:t>Therapeutic Goods</w:t>
      </w:r>
      <w:r>
        <w:rPr>
          <w:rFonts w:ascii="Times New Roman" w:hAnsi="Times New Roman"/>
          <w:sz w:val="24"/>
          <w:szCs w:val="24"/>
        </w:rPr>
        <w:t xml:space="preserve"> (</w:t>
      </w:r>
      <w:r w:rsidRPr="0028073C">
        <w:rPr>
          <w:rFonts w:ascii="Times New Roman" w:hAnsi="Times New Roman"/>
          <w:i/>
          <w:sz w:val="24"/>
          <w:szCs w:val="24"/>
        </w:rPr>
        <w:t>Medicines Advisory Statements</w:t>
      </w:r>
      <w:r>
        <w:rPr>
          <w:rFonts w:ascii="Times New Roman" w:hAnsi="Times New Roman"/>
          <w:i/>
          <w:sz w:val="24"/>
          <w:szCs w:val="24"/>
        </w:rPr>
        <w:t>)</w:t>
      </w:r>
      <w:r w:rsidRPr="0028073C">
        <w:rPr>
          <w:rFonts w:ascii="Times New Roman" w:hAnsi="Times New Roman"/>
          <w:i/>
          <w:sz w:val="24"/>
          <w:szCs w:val="24"/>
        </w:rPr>
        <w:t xml:space="preserve"> Specification 201</w:t>
      </w:r>
      <w:r>
        <w:rPr>
          <w:rFonts w:ascii="Times New Roman" w:hAnsi="Times New Roman"/>
          <w:i/>
          <w:sz w:val="24"/>
          <w:szCs w:val="24"/>
        </w:rPr>
        <w:t>9</w:t>
      </w:r>
      <w:r>
        <w:rPr>
          <w:rFonts w:ascii="Times New Roman" w:hAnsi="Times New Roman"/>
          <w:sz w:val="24"/>
          <w:szCs w:val="24"/>
        </w:rPr>
        <w:t xml:space="preserve"> </w:t>
      </w:r>
      <w:r w:rsidRPr="006E6314">
        <w:rPr>
          <w:rFonts w:ascii="Times New Roman" w:hAnsi="Times New Roman"/>
          <w:sz w:val="24"/>
          <w:szCs w:val="24"/>
        </w:rPr>
        <w:t>(</w:t>
      </w:r>
      <w:r w:rsidR="00EB0C24">
        <w:rPr>
          <w:rFonts w:ascii="Times New Roman" w:hAnsi="Times New Roman"/>
          <w:sz w:val="24"/>
          <w:szCs w:val="24"/>
        </w:rPr>
        <w:t>“</w:t>
      </w:r>
      <w:r w:rsidRPr="006E6314">
        <w:rPr>
          <w:rFonts w:ascii="Times New Roman" w:hAnsi="Times New Roman"/>
          <w:sz w:val="24"/>
          <w:szCs w:val="24"/>
        </w:rPr>
        <w:t xml:space="preserve">the </w:t>
      </w:r>
      <w:r w:rsidR="009F180F">
        <w:rPr>
          <w:rFonts w:ascii="Times New Roman" w:hAnsi="Times New Roman"/>
          <w:sz w:val="24"/>
          <w:szCs w:val="24"/>
        </w:rPr>
        <w:t>instrument</w:t>
      </w:r>
      <w:r w:rsidR="00EB0C24">
        <w:rPr>
          <w:rFonts w:ascii="Times New Roman" w:hAnsi="Times New Roman"/>
          <w:sz w:val="24"/>
          <w:szCs w:val="24"/>
        </w:rPr>
        <w:t>”</w:t>
      </w:r>
      <w:r w:rsidRPr="006E6314">
        <w:rPr>
          <w:rFonts w:ascii="Times New Roman" w:hAnsi="Times New Roman"/>
          <w:sz w:val="24"/>
          <w:szCs w:val="24"/>
        </w:rPr>
        <w:t>) is made by the Minister under subsection 3(5A) of the Act</w:t>
      </w:r>
      <w:r w:rsidR="008E7A98">
        <w:rPr>
          <w:rFonts w:ascii="Times New Roman" w:hAnsi="Times New Roman"/>
          <w:sz w:val="24"/>
          <w:szCs w:val="24"/>
        </w:rPr>
        <w:t xml:space="preserve"> to</w:t>
      </w:r>
      <w:r w:rsidRPr="006E6314">
        <w:rPr>
          <w:rFonts w:ascii="Times New Roman" w:hAnsi="Times New Roman"/>
          <w:sz w:val="24"/>
          <w:szCs w:val="24"/>
        </w:rPr>
        <w:t xml:space="preserve"> specif</w:t>
      </w:r>
      <w:r w:rsidR="008E7A98">
        <w:rPr>
          <w:rFonts w:ascii="Times New Roman" w:hAnsi="Times New Roman"/>
          <w:sz w:val="24"/>
          <w:szCs w:val="24"/>
        </w:rPr>
        <w:t>y</w:t>
      </w:r>
      <w:r w:rsidRPr="006E6314">
        <w:rPr>
          <w:rFonts w:ascii="Times New Roman" w:hAnsi="Times New Roman"/>
          <w:sz w:val="24"/>
          <w:szCs w:val="24"/>
        </w:rPr>
        <w:t xml:space="preserve"> for the purposes of paragraph 3(5</w:t>
      </w:r>
      <w:proofErr w:type="gramStart"/>
      <w:r w:rsidRPr="006E6314">
        <w:rPr>
          <w:rFonts w:ascii="Times New Roman" w:hAnsi="Times New Roman"/>
          <w:sz w:val="24"/>
          <w:szCs w:val="24"/>
        </w:rPr>
        <w:t>)(</w:t>
      </w:r>
      <w:proofErr w:type="gramEnd"/>
      <w:r w:rsidRPr="006E6314">
        <w:rPr>
          <w:rFonts w:ascii="Times New Roman" w:hAnsi="Times New Roman"/>
          <w:sz w:val="24"/>
          <w:szCs w:val="24"/>
        </w:rPr>
        <w:t>ca) of the Act, advisory statements that are required to be set out on the label of medicines that are included in a class of medicines prescribed by the regulations</w:t>
      </w:r>
      <w:r w:rsidR="00A66C9E">
        <w:rPr>
          <w:rFonts w:ascii="Times New Roman" w:hAnsi="Times New Roman"/>
          <w:sz w:val="24"/>
          <w:szCs w:val="24"/>
        </w:rPr>
        <w:t>. This has</w:t>
      </w:r>
      <w:r w:rsidR="00F009F5">
        <w:rPr>
          <w:rFonts w:ascii="Times New Roman" w:hAnsi="Times New Roman"/>
          <w:sz w:val="24"/>
          <w:szCs w:val="24"/>
        </w:rPr>
        <w:t xml:space="preserve"> the effect that if the label of such a medicine does not contain an advisory statement identified in the Specification in relation to it, the medicine’s presentation will be unacceptable</w:t>
      </w:r>
      <w:r w:rsidRPr="006E6314">
        <w:rPr>
          <w:rFonts w:ascii="Times New Roman" w:hAnsi="Times New Roman"/>
          <w:sz w:val="24"/>
          <w:szCs w:val="24"/>
        </w:rPr>
        <w:t>.</w:t>
      </w:r>
    </w:p>
    <w:p w:rsidR="00587A37" w:rsidRDefault="00587A37" w:rsidP="00587A37">
      <w:pPr>
        <w:spacing w:after="0" w:line="240" w:lineRule="auto"/>
        <w:rPr>
          <w:rFonts w:ascii="Times New Roman" w:hAnsi="Times New Roman"/>
          <w:sz w:val="24"/>
          <w:szCs w:val="24"/>
        </w:rPr>
      </w:pPr>
    </w:p>
    <w:p w:rsidR="00F009F5" w:rsidRDefault="00F009F5" w:rsidP="00587A37">
      <w:pPr>
        <w:spacing w:after="0" w:line="240" w:lineRule="auto"/>
        <w:rPr>
          <w:rFonts w:ascii="Times New Roman" w:eastAsia="Times New Roman" w:hAnsi="Times New Roman" w:cs="Times New Roman"/>
          <w:sz w:val="24"/>
          <w:szCs w:val="24"/>
          <w:lang w:eastAsia="en-AU"/>
        </w:rPr>
      </w:pPr>
      <w:r w:rsidRPr="006E6314">
        <w:rPr>
          <w:rFonts w:ascii="Times New Roman" w:hAnsi="Times New Roman"/>
          <w:sz w:val="24"/>
          <w:szCs w:val="24"/>
        </w:rPr>
        <w:t xml:space="preserve">Under regulation 3AA of the </w:t>
      </w:r>
      <w:r w:rsidRPr="0028073C">
        <w:rPr>
          <w:rFonts w:ascii="Times New Roman" w:hAnsi="Times New Roman"/>
          <w:i/>
          <w:sz w:val="24"/>
          <w:szCs w:val="24"/>
        </w:rPr>
        <w:t>Therapeutic Goods Regulations 1990</w:t>
      </w:r>
      <w:r w:rsidRPr="006E6314">
        <w:rPr>
          <w:rFonts w:ascii="Times New Roman" w:hAnsi="Times New Roman"/>
          <w:sz w:val="24"/>
          <w:szCs w:val="24"/>
        </w:rPr>
        <w:t xml:space="preserve"> (</w:t>
      </w:r>
      <w:r w:rsidR="001F4BBD">
        <w:rPr>
          <w:rFonts w:ascii="Times New Roman" w:hAnsi="Times New Roman"/>
          <w:sz w:val="24"/>
          <w:szCs w:val="24"/>
        </w:rPr>
        <w:t>“</w:t>
      </w:r>
      <w:r w:rsidRPr="006E6314">
        <w:rPr>
          <w:rFonts w:ascii="Times New Roman" w:hAnsi="Times New Roman"/>
          <w:sz w:val="24"/>
          <w:szCs w:val="24"/>
        </w:rPr>
        <w:t>the Regulations</w:t>
      </w:r>
      <w:r w:rsidR="001F4BBD">
        <w:rPr>
          <w:rFonts w:ascii="Times New Roman" w:hAnsi="Times New Roman"/>
          <w:sz w:val="24"/>
          <w:szCs w:val="24"/>
        </w:rPr>
        <w:t>”</w:t>
      </w:r>
      <w:r w:rsidRPr="006E6314">
        <w:rPr>
          <w:rFonts w:ascii="Times New Roman" w:hAnsi="Times New Roman"/>
          <w:sz w:val="24"/>
          <w:szCs w:val="24"/>
        </w:rPr>
        <w:t>)</w:t>
      </w:r>
      <w:r>
        <w:rPr>
          <w:rFonts w:ascii="Times New Roman" w:eastAsia="Times New Roman" w:hAnsi="Times New Roman" w:cs="Times New Roman"/>
          <w:sz w:val="24"/>
          <w:szCs w:val="24"/>
          <w:lang w:eastAsia="en-AU"/>
        </w:rPr>
        <w:t>, t</w:t>
      </w:r>
      <w:r w:rsidRPr="006E6314">
        <w:rPr>
          <w:rFonts w:ascii="Times New Roman" w:eastAsia="Times New Roman" w:hAnsi="Times New Roman" w:cs="Times New Roman"/>
          <w:sz w:val="24"/>
          <w:szCs w:val="24"/>
          <w:lang w:eastAsia="en-AU"/>
        </w:rPr>
        <w:t xml:space="preserve">he main kinds of medicines required to comply with the Specification are over the counter </w:t>
      </w:r>
      <w:r>
        <w:rPr>
          <w:rFonts w:ascii="Times New Roman" w:eastAsia="Times New Roman" w:hAnsi="Times New Roman" w:cs="Times New Roman"/>
          <w:sz w:val="24"/>
          <w:szCs w:val="24"/>
          <w:lang w:eastAsia="en-AU"/>
        </w:rPr>
        <w:t>(</w:t>
      </w:r>
      <w:r w:rsidR="00EB0C2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OTC</w:t>
      </w:r>
      <w:r w:rsidR="00EB0C2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6E6314">
        <w:rPr>
          <w:rFonts w:ascii="Times New Roman" w:eastAsia="Times New Roman" w:hAnsi="Times New Roman" w:cs="Times New Roman"/>
          <w:sz w:val="24"/>
          <w:szCs w:val="24"/>
          <w:lang w:eastAsia="en-AU"/>
        </w:rPr>
        <w:t xml:space="preserve">medicines and </w:t>
      </w:r>
      <w:r>
        <w:rPr>
          <w:rFonts w:ascii="Times New Roman" w:eastAsia="Times New Roman" w:hAnsi="Times New Roman" w:cs="Times New Roman"/>
          <w:sz w:val="24"/>
          <w:szCs w:val="24"/>
          <w:lang w:eastAsia="en-AU"/>
        </w:rPr>
        <w:t xml:space="preserve">registered </w:t>
      </w:r>
      <w:r w:rsidRPr="006E6314">
        <w:rPr>
          <w:rFonts w:ascii="Times New Roman" w:eastAsia="Times New Roman" w:hAnsi="Times New Roman" w:cs="Times New Roman"/>
          <w:sz w:val="24"/>
          <w:szCs w:val="24"/>
          <w:lang w:eastAsia="en-AU"/>
        </w:rPr>
        <w:t xml:space="preserve">complementary medicines. </w:t>
      </w:r>
    </w:p>
    <w:p w:rsidR="00587A37" w:rsidRDefault="00587A37" w:rsidP="00587A37">
      <w:pPr>
        <w:spacing w:after="0" w:line="240" w:lineRule="auto"/>
        <w:rPr>
          <w:rFonts w:ascii="Times New Roman" w:eastAsia="Times New Roman" w:hAnsi="Times New Roman" w:cs="Times New Roman"/>
          <w:sz w:val="24"/>
          <w:szCs w:val="24"/>
          <w:lang w:eastAsia="en-AU"/>
        </w:rPr>
      </w:pPr>
    </w:p>
    <w:p w:rsidR="00F009F5" w:rsidRPr="006E6314" w:rsidRDefault="00F009F5" w:rsidP="00587A37">
      <w:pPr>
        <w:spacing w:after="0" w:line="240" w:lineRule="auto"/>
        <w:rPr>
          <w:rFonts w:ascii="Times New Roman" w:eastAsia="Times New Roman" w:hAnsi="Times New Roman" w:cs="Times New Roman"/>
          <w:sz w:val="24"/>
          <w:szCs w:val="24"/>
          <w:lang w:val="en-US" w:eastAsia="en-AU"/>
        </w:rPr>
      </w:pPr>
      <w:r w:rsidRPr="006E6314">
        <w:rPr>
          <w:rFonts w:ascii="Times New Roman" w:eastAsia="Times New Roman" w:hAnsi="Times New Roman" w:cs="Times New Roman"/>
          <w:sz w:val="24"/>
          <w:szCs w:val="24"/>
          <w:lang w:eastAsia="en-AU"/>
        </w:rPr>
        <w:t>Prescription medicines</w:t>
      </w:r>
      <w:r>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 xml:space="preserve"> and medicines such as radiopharmaceuticals and medical gases that are not usually supplied directly to consumers, are not within the scope of the instrument</w:t>
      </w:r>
      <w:r w:rsidR="00103E0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Listed complementary medicines (i.e. medicines that are listed in the Register under section 26A of the Act) are also not subject to the Specification, provided that </w:t>
      </w:r>
      <w:r w:rsidR="00103E0A">
        <w:rPr>
          <w:rFonts w:ascii="Times New Roman" w:eastAsia="Times New Roman" w:hAnsi="Times New Roman" w:cs="Times New Roman"/>
          <w:sz w:val="24"/>
          <w:szCs w:val="24"/>
          <w:lang w:eastAsia="en-AU"/>
        </w:rPr>
        <w:t xml:space="preserve">those medicines </w:t>
      </w:r>
      <w:r>
        <w:rPr>
          <w:rFonts w:ascii="Times New Roman" w:eastAsia="Times New Roman" w:hAnsi="Times New Roman" w:cs="Times New Roman"/>
          <w:sz w:val="24"/>
          <w:szCs w:val="24"/>
          <w:lang w:eastAsia="en-AU"/>
        </w:rPr>
        <w:t>comply with the requirements of the permissible ingredients determination made by the Minister in respect of such products under section 26BB of the Act</w:t>
      </w:r>
      <w:r w:rsidR="001F4BBD">
        <w:rPr>
          <w:rFonts w:ascii="Times New Roman" w:eastAsia="Times New Roman" w:hAnsi="Times New Roman" w:cs="Times New Roman"/>
          <w:sz w:val="24"/>
          <w:szCs w:val="24"/>
          <w:lang w:eastAsia="en-AU"/>
        </w:rPr>
        <w:t>.</w:t>
      </w:r>
    </w:p>
    <w:p w:rsidR="00587A37" w:rsidRDefault="00587A37" w:rsidP="00587A37">
      <w:pPr>
        <w:spacing w:after="0" w:line="240" w:lineRule="auto"/>
        <w:rPr>
          <w:rFonts w:ascii="Times New Roman" w:eastAsia="Times New Roman" w:hAnsi="Times New Roman" w:cs="Times New Roman"/>
          <w:sz w:val="24"/>
          <w:szCs w:val="24"/>
          <w:lang w:eastAsia="en-AU"/>
        </w:rPr>
      </w:pPr>
    </w:p>
    <w:p w:rsidR="00F009F5" w:rsidRPr="006E6314" w:rsidRDefault="00F009F5" w:rsidP="00587A37">
      <w:pPr>
        <w:spacing w:after="0" w:line="240" w:lineRule="auto"/>
        <w:rPr>
          <w:rFonts w:ascii="Times New Roman" w:eastAsia="Times New Roman" w:hAnsi="Times New Roman" w:cs="Times New Roman"/>
          <w:sz w:val="24"/>
          <w:szCs w:val="24"/>
          <w:lang w:val="en-US" w:eastAsia="en-AU"/>
        </w:rPr>
      </w:pPr>
      <w:r w:rsidRPr="006E6314">
        <w:rPr>
          <w:rFonts w:ascii="Times New Roman" w:eastAsia="Times New Roman" w:hAnsi="Times New Roman" w:cs="Times New Roman"/>
          <w:sz w:val="24"/>
          <w:szCs w:val="24"/>
          <w:lang w:eastAsia="en-AU"/>
        </w:rPr>
        <w:t>The advi</w:t>
      </w:r>
      <w:r>
        <w:rPr>
          <w:rFonts w:ascii="Times New Roman" w:eastAsia="Times New Roman" w:hAnsi="Times New Roman" w:cs="Times New Roman"/>
          <w:sz w:val="24"/>
          <w:szCs w:val="24"/>
          <w:lang w:eastAsia="en-AU"/>
        </w:rPr>
        <w:t xml:space="preserve">sory statements set out in </w:t>
      </w:r>
      <w:r w:rsidR="009F180F">
        <w:rPr>
          <w:rFonts w:ascii="Times New Roman" w:eastAsia="Times New Roman" w:hAnsi="Times New Roman" w:cs="Times New Roman"/>
          <w:sz w:val="24"/>
          <w:szCs w:val="24"/>
          <w:lang w:eastAsia="en-AU"/>
        </w:rPr>
        <w:t xml:space="preserve">the instrument </w:t>
      </w:r>
      <w:r w:rsidRPr="006E6314">
        <w:rPr>
          <w:rFonts w:ascii="Times New Roman" w:eastAsia="Times New Roman" w:hAnsi="Times New Roman" w:cs="Times New Roman"/>
          <w:sz w:val="24"/>
          <w:szCs w:val="24"/>
          <w:lang w:eastAsia="en-AU"/>
        </w:rPr>
        <w:t xml:space="preserve">are designed to address specific risks related to the use of </w:t>
      </w:r>
      <w:r>
        <w:rPr>
          <w:rFonts w:ascii="Times New Roman" w:eastAsia="Times New Roman" w:hAnsi="Times New Roman" w:cs="Times New Roman"/>
          <w:sz w:val="24"/>
          <w:szCs w:val="24"/>
          <w:lang w:eastAsia="en-AU"/>
        </w:rPr>
        <w:t xml:space="preserve">OTC and registered complementary </w:t>
      </w:r>
      <w:r w:rsidRPr="006E6314">
        <w:rPr>
          <w:rFonts w:ascii="Times New Roman" w:eastAsia="Times New Roman" w:hAnsi="Times New Roman" w:cs="Times New Roman"/>
          <w:sz w:val="24"/>
          <w:szCs w:val="24"/>
          <w:lang w:eastAsia="en-AU"/>
        </w:rPr>
        <w:t xml:space="preserve">medicines that have been identified </w:t>
      </w:r>
      <w:r w:rsidR="004A3327">
        <w:rPr>
          <w:rFonts w:ascii="Times New Roman" w:eastAsia="Times New Roman" w:hAnsi="Times New Roman" w:cs="Times New Roman"/>
          <w:sz w:val="24"/>
          <w:szCs w:val="24"/>
          <w:lang w:eastAsia="en-AU"/>
        </w:rPr>
        <w:t>by means of</w:t>
      </w:r>
      <w:r w:rsidRPr="006E6314">
        <w:rPr>
          <w:rFonts w:ascii="Times New Roman" w:eastAsia="Times New Roman" w:hAnsi="Times New Roman" w:cs="Times New Roman"/>
          <w:sz w:val="24"/>
          <w:szCs w:val="24"/>
          <w:lang w:eastAsia="en-AU"/>
        </w:rPr>
        <w:t xml:space="preserve"> pharmacovigilance activities, testing, adverse event reports or other scientific or clinical information. Having advisory statements on medicine labels </w:t>
      </w:r>
      <w:r>
        <w:rPr>
          <w:rFonts w:ascii="Times New Roman" w:eastAsia="Times New Roman" w:hAnsi="Times New Roman" w:cs="Times New Roman"/>
          <w:sz w:val="24"/>
          <w:szCs w:val="24"/>
          <w:lang w:eastAsia="en-AU"/>
        </w:rPr>
        <w:t xml:space="preserve">is designed to </w:t>
      </w:r>
      <w:r w:rsidRPr="006E6314">
        <w:rPr>
          <w:rFonts w:ascii="Times New Roman" w:eastAsia="Times New Roman" w:hAnsi="Times New Roman" w:cs="Times New Roman"/>
          <w:sz w:val="24"/>
          <w:szCs w:val="24"/>
          <w:lang w:eastAsia="en-AU"/>
        </w:rPr>
        <w:t>ensure that consumers are informed about these risks.</w:t>
      </w:r>
    </w:p>
    <w:p w:rsidR="00587A37" w:rsidRDefault="00587A37" w:rsidP="00587A37">
      <w:pPr>
        <w:pStyle w:val="ListParagraph"/>
        <w:autoSpaceDE w:val="0"/>
        <w:autoSpaceDN w:val="0"/>
        <w:adjustRightInd w:val="0"/>
        <w:spacing w:before="0" w:beforeAutospacing="0" w:after="0" w:afterAutospacing="0"/>
      </w:pPr>
    </w:p>
    <w:p w:rsidR="00F009F5" w:rsidRDefault="00F009F5" w:rsidP="00587A37">
      <w:pPr>
        <w:pStyle w:val="ListParagraph"/>
        <w:autoSpaceDE w:val="0"/>
        <w:autoSpaceDN w:val="0"/>
        <w:adjustRightInd w:val="0"/>
        <w:spacing w:before="0" w:beforeAutospacing="0" w:after="0" w:afterAutospacing="0"/>
      </w:pPr>
      <w:r>
        <w:t>The need for new advisory statements to be included on the labels of these medicines may arise for a number of reasons, including the entry of new medicines into the market, the identification of new risks associated with particular medicines and “down-scheduling” of medicines in the Poisons Standard.</w:t>
      </w:r>
    </w:p>
    <w:p w:rsidR="00587A37" w:rsidRDefault="00587A37" w:rsidP="00587A37">
      <w:pPr>
        <w:pStyle w:val="ListParagraph"/>
        <w:autoSpaceDE w:val="0"/>
        <w:autoSpaceDN w:val="0"/>
        <w:adjustRightInd w:val="0"/>
        <w:spacing w:before="0" w:beforeAutospacing="0" w:after="0" w:afterAutospacing="0"/>
      </w:pPr>
    </w:p>
    <w:p w:rsidR="00F009F5" w:rsidRDefault="00F009F5" w:rsidP="00587A37">
      <w:pPr>
        <w:pStyle w:val="ListParagraph"/>
        <w:autoSpaceDE w:val="0"/>
        <w:autoSpaceDN w:val="0"/>
        <w:adjustRightInd w:val="0"/>
        <w:spacing w:before="0" w:beforeAutospacing="0" w:after="0" w:afterAutospacing="0"/>
      </w:pPr>
      <w:r>
        <w:t xml:space="preserve">“Down-scheduling” refers to where the Secretary </w:t>
      </w:r>
      <w:r w:rsidR="004A3327">
        <w:t xml:space="preserve">amends the Poisons Standard to </w:t>
      </w:r>
      <w:r>
        <w:t>move a medicine from a higher risk schedule to a lower risk schedule, meaning an affected product may then be more widely available f</w:t>
      </w:r>
      <w:r w:rsidR="001F4BBD">
        <w:t>or self-selection by consumers.</w:t>
      </w:r>
      <w:r>
        <w:t xml:space="preserve"> Consequently, there may be a need in such circumstances for advisory statements to help consumers to self-select in an informed manner and to use such medicines safely and effectively.</w:t>
      </w:r>
    </w:p>
    <w:p w:rsidR="00F009F5" w:rsidRDefault="00F009F5" w:rsidP="00587A37">
      <w:pPr>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lastRenderedPageBreak/>
        <w:t>T</w:t>
      </w:r>
      <w:r w:rsidRPr="0055666B">
        <w:rPr>
          <w:rFonts w:ascii="Times New Roman" w:eastAsia="Times New Roman" w:hAnsi="Times New Roman" w:cs="Times New Roman"/>
          <w:sz w:val="24"/>
          <w:szCs w:val="24"/>
          <w:lang w:val="en-US" w:eastAsia="en-AU"/>
        </w:rPr>
        <w:t xml:space="preserve">he </w:t>
      </w:r>
      <w:r w:rsidR="009F180F">
        <w:rPr>
          <w:rFonts w:ascii="Times New Roman" w:eastAsia="Times New Roman" w:hAnsi="Times New Roman" w:cs="Times New Roman"/>
          <w:sz w:val="24"/>
          <w:szCs w:val="24"/>
          <w:lang w:val="en-US" w:eastAsia="en-AU"/>
        </w:rPr>
        <w:t xml:space="preserve">instrument </w:t>
      </w:r>
      <w:r>
        <w:rPr>
          <w:rFonts w:ascii="Times New Roman" w:eastAsia="Times New Roman" w:hAnsi="Times New Roman" w:cs="Times New Roman"/>
          <w:sz w:val="24"/>
          <w:szCs w:val="24"/>
          <w:lang w:val="en-US" w:eastAsia="en-AU"/>
        </w:rPr>
        <w:t xml:space="preserve">repeals and </w:t>
      </w:r>
      <w:r w:rsidR="004A3327">
        <w:rPr>
          <w:rFonts w:ascii="Times New Roman" w:eastAsia="Times New Roman" w:hAnsi="Times New Roman" w:cs="Times New Roman"/>
          <w:sz w:val="24"/>
          <w:szCs w:val="24"/>
          <w:lang w:val="en-US" w:eastAsia="en-AU"/>
        </w:rPr>
        <w:t>replaces</w:t>
      </w:r>
      <w:r w:rsidRPr="0055666B">
        <w:rPr>
          <w:rFonts w:ascii="Times New Roman" w:eastAsia="Times New Roman" w:hAnsi="Times New Roman" w:cs="Times New Roman"/>
          <w:sz w:val="24"/>
          <w:szCs w:val="24"/>
          <w:lang w:val="en-US" w:eastAsia="en-AU"/>
        </w:rPr>
        <w:t xml:space="preserve"> the</w:t>
      </w:r>
      <w:r w:rsidR="00AF2993">
        <w:rPr>
          <w:rFonts w:ascii="Times New Roman" w:eastAsia="Times New Roman" w:hAnsi="Times New Roman" w:cs="Times New Roman"/>
          <w:sz w:val="24"/>
          <w:szCs w:val="24"/>
          <w:lang w:val="en-US" w:eastAsia="en-AU"/>
        </w:rPr>
        <w:t xml:space="preserve"> </w:t>
      </w:r>
      <w:r w:rsidRPr="0055666B">
        <w:rPr>
          <w:rFonts w:ascii="Times New Roman" w:eastAsia="Times New Roman" w:hAnsi="Times New Roman" w:cs="Times New Roman"/>
          <w:sz w:val="24"/>
          <w:szCs w:val="24"/>
          <w:lang w:val="en-US" w:eastAsia="en-AU"/>
        </w:rPr>
        <w:t xml:space="preserve">previous </w:t>
      </w:r>
      <w:r w:rsidR="002A53E7">
        <w:rPr>
          <w:rFonts w:ascii="Times New Roman" w:eastAsia="Times New Roman" w:hAnsi="Times New Roman" w:cs="Times New Roman"/>
          <w:sz w:val="24"/>
          <w:szCs w:val="24"/>
          <w:lang w:val="en-US" w:eastAsia="en-AU"/>
        </w:rPr>
        <w:t>s</w:t>
      </w:r>
      <w:r>
        <w:rPr>
          <w:rFonts w:ascii="Times New Roman" w:eastAsia="Times New Roman" w:hAnsi="Times New Roman" w:cs="Times New Roman"/>
          <w:sz w:val="24"/>
          <w:szCs w:val="24"/>
          <w:lang w:val="en-US" w:eastAsia="en-AU"/>
        </w:rPr>
        <w:t>pecification</w:t>
      </w:r>
      <w:r w:rsidR="002A53E7">
        <w:rPr>
          <w:rFonts w:ascii="Times New Roman" w:eastAsia="Times New Roman" w:hAnsi="Times New Roman" w:cs="Times New Roman"/>
          <w:sz w:val="24"/>
          <w:szCs w:val="24"/>
          <w:lang w:val="en-US" w:eastAsia="en-AU"/>
        </w:rPr>
        <w:t>,</w:t>
      </w:r>
      <w:r w:rsidRPr="0055666B">
        <w:rPr>
          <w:rFonts w:ascii="Times New Roman" w:eastAsia="Times New Roman" w:hAnsi="Times New Roman" w:cs="Times New Roman"/>
          <w:sz w:val="24"/>
          <w:szCs w:val="24"/>
          <w:lang w:val="en-US" w:eastAsia="en-AU"/>
        </w:rPr>
        <w:t xml:space="preserve"> the </w:t>
      </w:r>
      <w:r w:rsidRPr="00134CDB">
        <w:rPr>
          <w:rFonts w:ascii="Times New Roman" w:eastAsia="Times New Roman" w:hAnsi="Times New Roman" w:cs="Times New Roman"/>
          <w:i/>
          <w:sz w:val="24"/>
          <w:szCs w:val="24"/>
          <w:lang w:val="en-US" w:eastAsia="en-AU"/>
        </w:rPr>
        <w:t>Medicines Advisory Statements Specification 201</w:t>
      </w:r>
      <w:r>
        <w:rPr>
          <w:rFonts w:ascii="Times New Roman" w:eastAsia="Times New Roman" w:hAnsi="Times New Roman" w:cs="Times New Roman"/>
          <w:i/>
          <w:sz w:val="24"/>
          <w:szCs w:val="24"/>
          <w:lang w:val="en-US" w:eastAsia="en-AU"/>
        </w:rPr>
        <w:t>7</w:t>
      </w:r>
      <w:r w:rsidR="00E04CA0">
        <w:rPr>
          <w:rFonts w:ascii="Times New Roman" w:eastAsia="Times New Roman" w:hAnsi="Times New Roman" w:cs="Times New Roman"/>
          <w:sz w:val="24"/>
          <w:szCs w:val="24"/>
          <w:lang w:val="en-US" w:eastAsia="en-AU"/>
        </w:rPr>
        <w:t>,</w:t>
      </w:r>
      <w:r w:rsidRPr="0055666B">
        <w:rPr>
          <w:rFonts w:ascii="Times New Roman" w:eastAsia="Times New Roman" w:hAnsi="Times New Roman" w:cs="Times New Roman"/>
          <w:sz w:val="24"/>
          <w:szCs w:val="24"/>
          <w:lang w:val="en-US" w:eastAsia="en-AU"/>
        </w:rPr>
        <w:t xml:space="preserve"> which commenced on </w:t>
      </w:r>
      <w:r>
        <w:rPr>
          <w:rFonts w:ascii="Times New Roman" w:eastAsia="Times New Roman" w:hAnsi="Times New Roman" w:cs="Times New Roman"/>
          <w:sz w:val="24"/>
          <w:szCs w:val="24"/>
          <w:lang w:val="en-US" w:eastAsia="en-AU"/>
        </w:rPr>
        <w:t>1 July 2017 (</w:t>
      </w:r>
      <w:r w:rsidR="00EB0C24">
        <w:rPr>
          <w:rFonts w:ascii="Times New Roman" w:eastAsia="Times New Roman" w:hAnsi="Times New Roman" w:cs="Times New Roman"/>
          <w:sz w:val="24"/>
          <w:szCs w:val="24"/>
          <w:lang w:val="en-US" w:eastAsia="en-AU"/>
        </w:rPr>
        <w:t>“</w:t>
      </w:r>
      <w:r>
        <w:rPr>
          <w:rFonts w:ascii="Times New Roman" w:eastAsia="Times New Roman" w:hAnsi="Times New Roman" w:cs="Times New Roman"/>
          <w:sz w:val="24"/>
          <w:szCs w:val="24"/>
          <w:lang w:val="en-US" w:eastAsia="en-AU"/>
        </w:rPr>
        <w:t xml:space="preserve">the </w:t>
      </w:r>
      <w:r w:rsidR="002A53E7">
        <w:rPr>
          <w:rFonts w:ascii="Times New Roman" w:eastAsia="Times New Roman" w:hAnsi="Times New Roman" w:cs="Times New Roman"/>
          <w:sz w:val="24"/>
          <w:szCs w:val="24"/>
          <w:lang w:val="en-US" w:eastAsia="en-AU"/>
        </w:rPr>
        <w:t>former</w:t>
      </w:r>
      <w:r>
        <w:rPr>
          <w:rFonts w:ascii="Times New Roman" w:eastAsia="Times New Roman" w:hAnsi="Times New Roman" w:cs="Times New Roman"/>
          <w:sz w:val="24"/>
          <w:szCs w:val="24"/>
          <w:lang w:val="en-US" w:eastAsia="en-AU"/>
        </w:rPr>
        <w:t xml:space="preserve"> Specification</w:t>
      </w:r>
      <w:r w:rsidR="00EB0C24">
        <w:rPr>
          <w:rFonts w:ascii="Times New Roman" w:eastAsia="Times New Roman" w:hAnsi="Times New Roman" w:cs="Times New Roman"/>
          <w:sz w:val="24"/>
          <w:szCs w:val="24"/>
          <w:lang w:val="en-US" w:eastAsia="en-AU"/>
        </w:rPr>
        <w:t>”</w:t>
      </w:r>
      <w:r>
        <w:rPr>
          <w:rFonts w:ascii="Times New Roman" w:eastAsia="Times New Roman" w:hAnsi="Times New Roman" w:cs="Times New Roman"/>
          <w:sz w:val="24"/>
          <w:szCs w:val="24"/>
          <w:lang w:val="en-US" w:eastAsia="en-AU"/>
        </w:rPr>
        <w:t>)</w:t>
      </w:r>
      <w:r w:rsidRPr="0055666B">
        <w:rPr>
          <w:rFonts w:ascii="Times New Roman" w:eastAsia="Times New Roman" w:hAnsi="Times New Roman" w:cs="Times New Roman"/>
          <w:sz w:val="24"/>
          <w:szCs w:val="24"/>
          <w:lang w:val="en-US" w:eastAsia="en-AU"/>
        </w:rPr>
        <w:t>.</w:t>
      </w:r>
    </w:p>
    <w:p w:rsidR="009F180F" w:rsidRPr="0055666B" w:rsidRDefault="009F180F" w:rsidP="00587A37">
      <w:pPr>
        <w:spacing w:after="0" w:line="240" w:lineRule="auto"/>
        <w:rPr>
          <w:rFonts w:ascii="Times New Roman" w:eastAsia="Times New Roman" w:hAnsi="Times New Roman" w:cs="Times New Roman"/>
          <w:sz w:val="24"/>
          <w:szCs w:val="24"/>
          <w:lang w:val="en-US" w:eastAsia="en-AU"/>
        </w:rPr>
      </w:pPr>
    </w:p>
    <w:p w:rsidR="00F009F5" w:rsidRDefault="00F009F5" w:rsidP="00587A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with the </w:t>
      </w:r>
      <w:r w:rsidR="004A3327">
        <w:rPr>
          <w:rFonts w:ascii="Times New Roman" w:eastAsia="Times New Roman" w:hAnsi="Times New Roman" w:cs="Times New Roman"/>
          <w:sz w:val="24"/>
          <w:szCs w:val="24"/>
          <w:lang w:eastAsia="en-AU"/>
        </w:rPr>
        <w:t>former</w:t>
      </w:r>
      <w:r>
        <w:rPr>
          <w:rFonts w:ascii="Times New Roman" w:eastAsia="Times New Roman" w:hAnsi="Times New Roman" w:cs="Times New Roman"/>
          <w:sz w:val="24"/>
          <w:szCs w:val="24"/>
          <w:lang w:eastAsia="en-AU"/>
        </w:rPr>
        <w:t xml:space="preserve"> Specification, t</w:t>
      </w:r>
      <w:r w:rsidRPr="006E6314">
        <w:rPr>
          <w:rFonts w:ascii="Times New Roman" w:eastAsia="Times New Roman" w:hAnsi="Times New Roman" w:cs="Times New Roman"/>
          <w:sz w:val="24"/>
          <w:szCs w:val="24"/>
          <w:lang w:eastAsia="en-AU"/>
        </w:rPr>
        <w:t xml:space="preserve">he </w:t>
      </w:r>
      <w:r>
        <w:rPr>
          <w:rFonts w:ascii="Times New Roman" w:eastAsia="Times New Roman" w:hAnsi="Times New Roman" w:cs="Times New Roman"/>
          <w:sz w:val="24"/>
          <w:szCs w:val="24"/>
          <w:lang w:eastAsia="en-AU"/>
        </w:rPr>
        <w:t xml:space="preserve">Schedule to </w:t>
      </w:r>
      <w:r w:rsidR="009F180F">
        <w:rPr>
          <w:rFonts w:ascii="Times New Roman" w:eastAsia="Times New Roman" w:hAnsi="Times New Roman" w:cs="Times New Roman"/>
          <w:sz w:val="24"/>
          <w:szCs w:val="24"/>
          <w:lang w:eastAsia="en-AU"/>
        </w:rPr>
        <w:t xml:space="preserve">this instrument </w:t>
      </w:r>
      <w:r w:rsidR="00487EC6">
        <w:rPr>
          <w:rFonts w:ascii="Times New Roman" w:eastAsia="Times New Roman" w:hAnsi="Times New Roman" w:cs="Times New Roman"/>
          <w:sz w:val="24"/>
          <w:szCs w:val="24"/>
          <w:lang w:eastAsia="en-AU"/>
        </w:rPr>
        <w:t>is</w:t>
      </w:r>
      <w:r w:rsidR="00487EC6" w:rsidRPr="006E631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principally</w:t>
      </w:r>
      <w:r w:rsidRPr="006E6314">
        <w:rPr>
          <w:rFonts w:ascii="Times New Roman" w:eastAsia="Times New Roman" w:hAnsi="Times New Roman" w:cs="Times New Roman"/>
          <w:sz w:val="24"/>
          <w:szCs w:val="24"/>
          <w:lang w:eastAsia="en-AU"/>
        </w:rPr>
        <w:t xml:space="preserve"> based on </w:t>
      </w:r>
      <w:r w:rsidR="00487EC6">
        <w:rPr>
          <w:rFonts w:ascii="Times New Roman" w:eastAsia="Times New Roman" w:hAnsi="Times New Roman" w:cs="Times New Roman"/>
          <w:sz w:val="24"/>
          <w:szCs w:val="24"/>
          <w:lang w:eastAsia="en-AU"/>
        </w:rPr>
        <w:t>the latest</w:t>
      </w:r>
      <w:r>
        <w:rPr>
          <w:rFonts w:ascii="Times New Roman" w:eastAsia="Times New Roman" w:hAnsi="Times New Roman" w:cs="Times New Roman"/>
          <w:sz w:val="24"/>
          <w:szCs w:val="24"/>
          <w:lang w:eastAsia="en-AU"/>
        </w:rPr>
        <w:t xml:space="preserve"> version of the </w:t>
      </w:r>
      <w:r w:rsidRPr="006E6314">
        <w:rPr>
          <w:rFonts w:ascii="Times New Roman" w:eastAsia="Times New Roman" w:hAnsi="Times New Roman" w:cs="Times New Roman"/>
          <w:sz w:val="24"/>
          <w:szCs w:val="24"/>
          <w:lang w:eastAsia="en-AU"/>
        </w:rPr>
        <w:t>T</w:t>
      </w:r>
      <w:r w:rsidR="00AF2993">
        <w:rPr>
          <w:rFonts w:ascii="Times New Roman" w:eastAsia="Times New Roman" w:hAnsi="Times New Roman" w:cs="Times New Roman"/>
          <w:sz w:val="24"/>
          <w:szCs w:val="24"/>
          <w:lang w:eastAsia="en-AU"/>
        </w:rPr>
        <w:t>herapeutic Goods Administration</w:t>
      </w:r>
      <w:r w:rsidRPr="006E6314">
        <w:rPr>
          <w:rFonts w:ascii="Times New Roman" w:eastAsia="Times New Roman" w:hAnsi="Times New Roman" w:cs="Times New Roman"/>
          <w:sz w:val="24"/>
          <w:szCs w:val="24"/>
          <w:lang w:eastAsia="en-AU"/>
        </w:rPr>
        <w:t xml:space="preserve"> document </w:t>
      </w:r>
      <w:r>
        <w:rPr>
          <w:rFonts w:ascii="Times New Roman" w:eastAsia="Times New Roman" w:hAnsi="Times New Roman" w:cs="Times New Roman"/>
          <w:sz w:val="24"/>
          <w:szCs w:val="24"/>
          <w:lang w:eastAsia="en-AU"/>
        </w:rPr>
        <w:t>t</w:t>
      </w:r>
      <w:r w:rsidRPr="006E6314">
        <w:rPr>
          <w:rFonts w:ascii="Times New Roman" w:eastAsia="Times New Roman" w:hAnsi="Times New Roman" w:cs="Times New Roman"/>
          <w:sz w:val="24"/>
          <w:szCs w:val="24"/>
          <w:lang w:eastAsia="en-AU"/>
        </w:rPr>
        <w:t xml:space="preserve">he </w:t>
      </w:r>
      <w:r w:rsidRPr="009F180F">
        <w:rPr>
          <w:rFonts w:ascii="Times New Roman" w:eastAsia="Times New Roman" w:hAnsi="Times New Roman" w:cs="Times New Roman"/>
          <w:sz w:val="24"/>
          <w:szCs w:val="24"/>
          <w:lang w:eastAsia="en-AU"/>
        </w:rPr>
        <w:t>‘</w:t>
      </w:r>
      <w:r w:rsidRPr="009F180F">
        <w:rPr>
          <w:rFonts w:ascii="Times New Roman" w:eastAsia="Times New Roman" w:hAnsi="Times New Roman" w:cs="Times New Roman"/>
          <w:i/>
          <w:sz w:val="24"/>
          <w:szCs w:val="24"/>
          <w:lang w:eastAsia="en-AU"/>
        </w:rPr>
        <w:t>Required Advisory Statements for Medicine Labels</w:t>
      </w:r>
      <w:r w:rsidRPr="009F180F">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 xml:space="preserve"> (</w:t>
      </w:r>
      <w:r w:rsidR="001F4BBD">
        <w:rPr>
          <w:rFonts w:ascii="Times New Roman" w:eastAsia="Times New Roman" w:hAnsi="Times New Roman" w:cs="Times New Roman"/>
          <w:sz w:val="24"/>
          <w:szCs w:val="24"/>
          <w:lang w:eastAsia="en-AU"/>
        </w:rPr>
        <w:t>“</w:t>
      </w:r>
      <w:r w:rsidRPr="006E6314">
        <w:rPr>
          <w:rFonts w:ascii="Times New Roman" w:eastAsia="Times New Roman" w:hAnsi="Times New Roman" w:cs="Times New Roman"/>
          <w:sz w:val="24"/>
          <w:szCs w:val="24"/>
          <w:lang w:eastAsia="en-AU"/>
        </w:rPr>
        <w:t>the RASML</w:t>
      </w:r>
      <w:r w:rsidR="001F4BBD">
        <w:rPr>
          <w:rFonts w:ascii="Times New Roman" w:eastAsia="Times New Roman" w:hAnsi="Times New Roman" w:cs="Times New Roman"/>
          <w:sz w:val="24"/>
          <w:szCs w:val="24"/>
          <w:lang w:eastAsia="en-AU"/>
        </w:rPr>
        <w:t>”).</w:t>
      </w:r>
    </w:p>
    <w:p w:rsidR="00587A37" w:rsidRDefault="00587A37" w:rsidP="00587A37">
      <w:pPr>
        <w:spacing w:after="0" w:line="240" w:lineRule="auto"/>
        <w:rPr>
          <w:rFonts w:ascii="Times New Roman" w:eastAsia="Times New Roman" w:hAnsi="Times New Roman" w:cs="Times New Roman"/>
          <w:sz w:val="24"/>
          <w:szCs w:val="24"/>
          <w:lang w:eastAsia="en-AU"/>
        </w:rPr>
      </w:pPr>
    </w:p>
    <w:p w:rsidR="00F009F5" w:rsidRDefault="00F009F5" w:rsidP="00587A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the </w:t>
      </w:r>
      <w:r w:rsidR="00347270">
        <w:rPr>
          <w:rFonts w:ascii="Times New Roman" w:eastAsia="Times New Roman" w:hAnsi="Times New Roman" w:cs="Times New Roman"/>
          <w:sz w:val="24"/>
          <w:szCs w:val="24"/>
          <w:lang w:eastAsia="en-AU"/>
        </w:rPr>
        <w:t xml:space="preserve">former </w:t>
      </w:r>
      <w:r>
        <w:rPr>
          <w:rFonts w:ascii="Times New Roman" w:eastAsia="Times New Roman" w:hAnsi="Times New Roman" w:cs="Times New Roman"/>
          <w:sz w:val="24"/>
          <w:szCs w:val="24"/>
          <w:lang w:eastAsia="en-AU"/>
        </w:rPr>
        <w:t xml:space="preserve">Specification, medicine sponsors were required to comply with Schedule 1 </w:t>
      </w:r>
      <w:r w:rsidR="001F4BBD">
        <w:rPr>
          <w:rFonts w:ascii="Times New Roman" w:eastAsia="Times New Roman" w:hAnsi="Times New Roman" w:cs="Times New Roman"/>
          <w:sz w:val="24"/>
          <w:szCs w:val="24"/>
          <w:lang w:eastAsia="en-AU"/>
        </w:rPr>
        <w:t xml:space="preserve">to that specification </w:t>
      </w:r>
      <w:r>
        <w:rPr>
          <w:rFonts w:ascii="Times New Roman" w:eastAsia="Times New Roman" w:hAnsi="Times New Roman" w:cs="Times New Roman"/>
          <w:sz w:val="24"/>
          <w:szCs w:val="24"/>
          <w:lang w:eastAsia="en-AU"/>
        </w:rPr>
        <w:t xml:space="preserve">for the first 18 months after it commenced on 1 July 2017 (which was based on the edition of the RASML known as RASML 3), but could also elect to comply with Schedule 2 to the </w:t>
      </w:r>
      <w:r w:rsidR="00347270">
        <w:rPr>
          <w:rFonts w:ascii="Times New Roman" w:eastAsia="Times New Roman" w:hAnsi="Times New Roman" w:cs="Times New Roman"/>
          <w:sz w:val="24"/>
          <w:szCs w:val="24"/>
          <w:lang w:eastAsia="en-AU"/>
        </w:rPr>
        <w:t xml:space="preserve">former </w:t>
      </w:r>
      <w:r>
        <w:rPr>
          <w:rFonts w:ascii="Times New Roman" w:eastAsia="Times New Roman" w:hAnsi="Times New Roman" w:cs="Times New Roman"/>
          <w:sz w:val="24"/>
          <w:szCs w:val="24"/>
          <w:lang w:eastAsia="en-AU"/>
        </w:rPr>
        <w:t>Specification during that period (which was based on the edition o</w:t>
      </w:r>
      <w:r w:rsidR="001F4BBD">
        <w:rPr>
          <w:rFonts w:ascii="Times New Roman" w:eastAsia="Times New Roman" w:hAnsi="Times New Roman" w:cs="Times New Roman"/>
          <w:sz w:val="24"/>
          <w:szCs w:val="24"/>
          <w:lang w:eastAsia="en-AU"/>
        </w:rPr>
        <w:t xml:space="preserve">f the RASML known as RASML 4). </w:t>
      </w:r>
      <w:r>
        <w:rPr>
          <w:rFonts w:ascii="Times New Roman" w:eastAsia="Times New Roman" w:hAnsi="Times New Roman" w:cs="Times New Roman"/>
          <w:sz w:val="24"/>
          <w:szCs w:val="24"/>
          <w:lang w:eastAsia="en-AU"/>
        </w:rPr>
        <w:t xml:space="preserve">After that initial 18 month period, sponsors were required under the </w:t>
      </w:r>
      <w:r w:rsidR="00347270">
        <w:rPr>
          <w:rFonts w:ascii="Times New Roman" w:eastAsia="Times New Roman" w:hAnsi="Times New Roman" w:cs="Times New Roman"/>
          <w:sz w:val="24"/>
          <w:szCs w:val="24"/>
          <w:lang w:eastAsia="en-AU"/>
        </w:rPr>
        <w:t xml:space="preserve">former </w:t>
      </w:r>
      <w:r>
        <w:rPr>
          <w:rFonts w:ascii="Times New Roman" w:eastAsia="Times New Roman" w:hAnsi="Times New Roman" w:cs="Times New Roman"/>
          <w:sz w:val="24"/>
          <w:szCs w:val="24"/>
          <w:lang w:eastAsia="en-AU"/>
        </w:rPr>
        <w:t xml:space="preserve">Specification to comply with Schedule 2 to the </w:t>
      </w:r>
      <w:r w:rsidR="00347270">
        <w:rPr>
          <w:rFonts w:ascii="Times New Roman" w:eastAsia="Times New Roman" w:hAnsi="Times New Roman" w:cs="Times New Roman"/>
          <w:sz w:val="24"/>
          <w:szCs w:val="24"/>
          <w:lang w:eastAsia="en-AU"/>
        </w:rPr>
        <w:t xml:space="preserve">former </w:t>
      </w:r>
      <w:r w:rsidR="00587A37">
        <w:rPr>
          <w:rFonts w:ascii="Times New Roman" w:eastAsia="Times New Roman" w:hAnsi="Times New Roman" w:cs="Times New Roman"/>
          <w:sz w:val="24"/>
          <w:szCs w:val="24"/>
          <w:lang w:eastAsia="en-AU"/>
        </w:rPr>
        <w:t>Specification.</w:t>
      </w:r>
    </w:p>
    <w:p w:rsidR="00587A37" w:rsidRDefault="00587A37" w:rsidP="00587A37">
      <w:pPr>
        <w:spacing w:after="0" w:line="240" w:lineRule="auto"/>
        <w:rPr>
          <w:rFonts w:ascii="Times New Roman" w:eastAsia="Times New Roman" w:hAnsi="Times New Roman" w:cs="Times New Roman"/>
          <w:sz w:val="24"/>
          <w:szCs w:val="24"/>
          <w:lang w:eastAsia="en-AU"/>
        </w:rPr>
      </w:pPr>
    </w:p>
    <w:p w:rsidR="00F009F5" w:rsidRDefault="00F009F5" w:rsidP="00587A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On 1 January 2019, the initial 18 month period from the commencement of the </w:t>
      </w:r>
      <w:r w:rsidR="00347270">
        <w:rPr>
          <w:rFonts w:ascii="Times New Roman" w:eastAsia="Times New Roman" w:hAnsi="Times New Roman" w:cs="Times New Roman"/>
          <w:sz w:val="24"/>
          <w:szCs w:val="24"/>
          <w:lang w:eastAsia="en-AU"/>
        </w:rPr>
        <w:t xml:space="preserve">former </w:t>
      </w:r>
      <w:r>
        <w:rPr>
          <w:rFonts w:ascii="Times New Roman" w:eastAsia="Times New Roman" w:hAnsi="Times New Roman" w:cs="Times New Roman"/>
          <w:sz w:val="24"/>
          <w:szCs w:val="24"/>
          <w:lang w:eastAsia="en-AU"/>
        </w:rPr>
        <w:t xml:space="preserve">Specification ended, with the effect that since that date sponsors of OTC and registered complementary medicines have only had the option under the </w:t>
      </w:r>
      <w:r w:rsidR="00347270">
        <w:rPr>
          <w:rFonts w:ascii="Times New Roman" w:eastAsia="Times New Roman" w:hAnsi="Times New Roman" w:cs="Times New Roman"/>
          <w:sz w:val="24"/>
          <w:szCs w:val="24"/>
          <w:lang w:eastAsia="en-AU"/>
        </w:rPr>
        <w:t xml:space="preserve">former </w:t>
      </w:r>
      <w:r>
        <w:rPr>
          <w:rFonts w:ascii="Times New Roman" w:eastAsia="Times New Roman" w:hAnsi="Times New Roman" w:cs="Times New Roman"/>
          <w:sz w:val="24"/>
          <w:szCs w:val="24"/>
          <w:lang w:eastAsia="en-AU"/>
        </w:rPr>
        <w:t xml:space="preserve">Specification of complying with Schedule 2 to that </w:t>
      </w:r>
      <w:r w:rsidR="00635D45">
        <w:rPr>
          <w:rFonts w:ascii="Times New Roman" w:eastAsia="Times New Roman" w:hAnsi="Times New Roman" w:cs="Times New Roman"/>
          <w:sz w:val="24"/>
          <w:szCs w:val="24"/>
          <w:lang w:eastAsia="en-AU"/>
        </w:rPr>
        <w:t>specification</w:t>
      </w:r>
      <w:r>
        <w:rPr>
          <w:rFonts w:ascii="Times New Roman" w:eastAsia="Times New Roman" w:hAnsi="Times New Roman" w:cs="Times New Roman"/>
          <w:sz w:val="24"/>
          <w:szCs w:val="24"/>
          <w:lang w:eastAsia="en-AU"/>
        </w:rPr>
        <w:t xml:space="preserve"> (RASML 4) in relation to their med</w:t>
      </w:r>
      <w:r w:rsidR="00587A37">
        <w:rPr>
          <w:rFonts w:ascii="Times New Roman" w:eastAsia="Times New Roman" w:hAnsi="Times New Roman" w:cs="Times New Roman"/>
          <w:sz w:val="24"/>
          <w:szCs w:val="24"/>
          <w:lang w:eastAsia="en-AU"/>
        </w:rPr>
        <w:t>icine labels.</w:t>
      </w:r>
    </w:p>
    <w:p w:rsidR="00587A37" w:rsidRDefault="00587A37" w:rsidP="00587A37">
      <w:pPr>
        <w:spacing w:after="0" w:line="240" w:lineRule="auto"/>
        <w:rPr>
          <w:rFonts w:ascii="Times New Roman" w:eastAsia="Times New Roman" w:hAnsi="Times New Roman" w:cs="Times New Roman"/>
          <w:sz w:val="24"/>
          <w:szCs w:val="24"/>
          <w:lang w:eastAsia="en-AU"/>
        </w:rPr>
      </w:pPr>
    </w:p>
    <w:p w:rsidR="00CB1316" w:rsidRDefault="00CB1316" w:rsidP="00CB1316">
      <w:pPr>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w:t>
      </w:r>
      <w:r w:rsidR="009F180F">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w:t>
      </w:r>
      <w:r w:rsidR="009F180F">
        <w:rPr>
          <w:rFonts w:ascii="Times New Roman" w:eastAsia="Times New Roman" w:hAnsi="Times New Roman" w:cs="Times New Roman"/>
          <w:sz w:val="24"/>
          <w:szCs w:val="24"/>
          <w:lang w:eastAsia="en-AU"/>
        </w:rPr>
        <w:t xml:space="preserve">instrument </w:t>
      </w:r>
      <w:r>
        <w:rPr>
          <w:rFonts w:ascii="Times New Roman" w:eastAsia="Times New Roman" w:hAnsi="Times New Roman" w:cs="Times New Roman"/>
          <w:sz w:val="24"/>
          <w:szCs w:val="24"/>
          <w:lang w:eastAsia="en-AU"/>
        </w:rPr>
        <w:t xml:space="preserve">repeals the former Specification and specifies a new edition of the RASML known as RASML 5. </w:t>
      </w:r>
      <w:r>
        <w:rPr>
          <w:rFonts w:ascii="Times New Roman" w:eastAsia="Times New Roman" w:hAnsi="Times New Roman" w:cs="Times New Roman"/>
          <w:sz w:val="24"/>
          <w:szCs w:val="24"/>
          <w:lang w:val="en-US" w:eastAsia="en-AU"/>
        </w:rPr>
        <w:t>RASML 5 incorporates a number of new changes as compared with RASML 4. These changes consist of the introduction of new advisory statements for the following substances:</w:t>
      </w:r>
    </w:p>
    <w:p w:rsidR="00CB1316" w:rsidRDefault="00CB1316" w:rsidP="00CB1316">
      <w:pPr>
        <w:spacing w:after="0" w:line="240" w:lineRule="auto"/>
        <w:rPr>
          <w:rFonts w:ascii="Times New Roman" w:eastAsia="Times New Roman" w:hAnsi="Times New Roman" w:cs="Times New Roman"/>
          <w:sz w:val="24"/>
          <w:szCs w:val="24"/>
          <w:lang w:val="en-US" w:eastAsia="en-AU"/>
        </w:rPr>
      </w:pPr>
    </w:p>
    <w:p w:rsidR="00CB1316" w:rsidRDefault="00CB1316"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proofErr w:type="spellStart"/>
      <w:r>
        <w:rPr>
          <w:rFonts w:ascii="Times New Roman" w:eastAsia="Times New Roman" w:hAnsi="Times New Roman" w:cs="Times New Roman"/>
          <w:sz w:val="24"/>
          <w:szCs w:val="24"/>
          <w:lang w:val="en" w:eastAsia="en-AU"/>
        </w:rPr>
        <w:t>alimemazine</w:t>
      </w:r>
      <w:proofErr w:type="spellEnd"/>
      <w:r>
        <w:rPr>
          <w:rFonts w:ascii="Times New Roman" w:eastAsia="Times New Roman" w:hAnsi="Times New Roman" w:cs="Times New Roman"/>
          <w:sz w:val="24"/>
          <w:szCs w:val="24"/>
          <w:lang w:val="en" w:eastAsia="en-AU"/>
        </w:rPr>
        <w:t xml:space="preserve"> (</w:t>
      </w:r>
      <w:proofErr w:type="spellStart"/>
      <w:r>
        <w:rPr>
          <w:rFonts w:ascii="Times New Roman" w:eastAsia="Times New Roman" w:hAnsi="Times New Roman" w:cs="Times New Roman"/>
          <w:sz w:val="24"/>
          <w:szCs w:val="24"/>
          <w:lang w:val="en" w:eastAsia="en-AU"/>
        </w:rPr>
        <w:t>trimeprazine</w:t>
      </w:r>
      <w:proofErr w:type="spellEnd"/>
      <w:r>
        <w:rPr>
          <w:rFonts w:ascii="Times New Roman" w:eastAsia="Times New Roman" w:hAnsi="Times New Roman" w:cs="Times New Roman"/>
          <w:sz w:val="24"/>
          <w:szCs w:val="24"/>
          <w:lang w:val="en" w:eastAsia="en-AU"/>
        </w:rPr>
        <w:t xml:space="preserve">), </w:t>
      </w:r>
      <w:proofErr w:type="spellStart"/>
      <w:r>
        <w:rPr>
          <w:rFonts w:ascii="Times New Roman" w:eastAsia="Times New Roman" w:hAnsi="Times New Roman" w:cs="Times New Roman"/>
          <w:sz w:val="24"/>
          <w:szCs w:val="24"/>
          <w:lang w:val="en" w:eastAsia="en-AU"/>
        </w:rPr>
        <w:t>brompheniramine</w:t>
      </w:r>
      <w:proofErr w:type="spellEnd"/>
      <w:r>
        <w:rPr>
          <w:rFonts w:ascii="Times New Roman" w:eastAsia="Times New Roman" w:hAnsi="Times New Roman" w:cs="Times New Roman"/>
          <w:sz w:val="24"/>
          <w:szCs w:val="24"/>
          <w:lang w:val="en" w:eastAsia="en-AU"/>
        </w:rPr>
        <w:t xml:space="preserve">, </w:t>
      </w:r>
      <w:proofErr w:type="spellStart"/>
      <w:r>
        <w:rPr>
          <w:rFonts w:ascii="Times New Roman" w:eastAsia="Times New Roman" w:hAnsi="Times New Roman" w:cs="Times New Roman"/>
          <w:sz w:val="24"/>
          <w:szCs w:val="24"/>
          <w:lang w:val="en" w:eastAsia="en-AU"/>
        </w:rPr>
        <w:t>chlorpheniramine</w:t>
      </w:r>
      <w:proofErr w:type="spellEnd"/>
      <w:r>
        <w:rPr>
          <w:rFonts w:ascii="Times New Roman" w:eastAsia="Times New Roman" w:hAnsi="Times New Roman" w:cs="Times New Roman"/>
          <w:sz w:val="24"/>
          <w:szCs w:val="24"/>
          <w:lang w:val="en" w:eastAsia="en-AU"/>
        </w:rPr>
        <w:t xml:space="preserve">, </w:t>
      </w:r>
      <w:proofErr w:type="spellStart"/>
      <w:r>
        <w:rPr>
          <w:rFonts w:ascii="Times New Roman" w:eastAsia="Times New Roman" w:hAnsi="Times New Roman" w:cs="Times New Roman"/>
          <w:sz w:val="24"/>
          <w:szCs w:val="24"/>
          <w:lang w:val="en" w:eastAsia="en-AU"/>
        </w:rPr>
        <w:t>dexchlorpheniramine</w:t>
      </w:r>
      <w:proofErr w:type="spellEnd"/>
      <w:r>
        <w:rPr>
          <w:rFonts w:ascii="Times New Roman" w:eastAsia="Times New Roman" w:hAnsi="Times New Roman" w:cs="Times New Roman"/>
          <w:sz w:val="24"/>
          <w:szCs w:val="24"/>
          <w:lang w:val="en" w:eastAsia="en-AU"/>
        </w:rPr>
        <w:t xml:space="preserve">, diphenhydramine, </w:t>
      </w:r>
      <w:proofErr w:type="spellStart"/>
      <w:r>
        <w:rPr>
          <w:rFonts w:ascii="Times New Roman" w:eastAsia="Times New Roman" w:hAnsi="Times New Roman" w:cs="Times New Roman"/>
          <w:sz w:val="24"/>
          <w:szCs w:val="24"/>
          <w:lang w:val="en" w:eastAsia="en-AU"/>
        </w:rPr>
        <w:t>doxylamine</w:t>
      </w:r>
      <w:proofErr w:type="spellEnd"/>
      <w:r>
        <w:rPr>
          <w:rFonts w:ascii="Times New Roman" w:eastAsia="Times New Roman" w:hAnsi="Times New Roman" w:cs="Times New Roman"/>
          <w:sz w:val="24"/>
          <w:szCs w:val="24"/>
          <w:lang w:val="en" w:eastAsia="en-AU"/>
        </w:rPr>
        <w:t xml:space="preserve">, </w:t>
      </w:r>
      <w:proofErr w:type="spellStart"/>
      <w:r>
        <w:rPr>
          <w:rFonts w:ascii="Times New Roman" w:eastAsia="Times New Roman" w:hAnsi="Times New Roman" w:cs="Times New Roman"/>
          <w:sz w:val="24"/>
          <w:szCs w:val="24"/>
          <w:lang w:val="en" w:eastAsia="en-AU"/>
        </w:rPr>
        <w:t>pheniramine</w:t>
      </w:r>
      <w:proofErr w:type="spellEnd"/>
      <w:r>
        <w:rPr>
          <w:rFonts w:ascii="Times New Roman" w:eastAsia="Times New Roman" w:hAnsi="Times New Roman" w:cs="Times New Roman"/>
          <w:sz w:val="24"/>
          <w:szCs w:val="24"/>
          <w:lang w:val="en" w:eastAsia="en-AU"/>
        </w:rPr>
        <w:t xml:space="preserve">, promethazine and </w:t>
      </w:r>
      <w:proofErr w:type="spellStart"/>
      <w:r>
        <w:rPr>
          <w:rFonts w:ascii="Times New Roman" w:eastAsia="Times New Roman" w:hAnsi="Times New Roman" w:cs="Times New Roman"/>
          <w:sz w:val="24"/>
          <w:szCs w:val="24"/>
          <w:lang w:val="en" w:eastAsia="en-AU"/>
        </w:rPr>
        <w:t>triprolidine</w:t>
      </w:r>
      <w:proofErr w:type="spellEnd"/>
      <w:r>
        <w:rPr>
          <w:rFonts w:ascii="Times New Roman" w:eastAsia="Times New Roman" w:hAnsi="Times New Roman" w:cs="Times New Roman"/>
          <w:sz w:val="24"/>
          <w:szCs w:val="24"/>
          <w:lang w:val="en" w:eastAsia="en-AU"/>
        </w:rPr>
        <w:t xml:space="preserve"> for oral use, which are sedating antihistamines (e.g. “Do not give to children under 2 years of age”);</w:t>
      </w:r>
    </w:p>
    <w:p w:rsidR="00CB1316" w:rsidRDefault="00CB1316"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r>
        <w:rPr>
          <w:rFonts w:ascii="Times New Roman" w:hAnsi="Times New Roman" w:cs="Times New Roman"/>
          <w:sz w:val="24"/>
          <w:szCs w:val="24"/>
          <w:lang w:val="en"/>
        </w:rPr>
        <w:t>benzocaine, an</w:t>
      </w:r>
      <w:r w:rsidRPr="00371F78">
        <w:rPr>
          <w:rFonts w:ascii="Times New Roman" w:hAnsi="Times New Roman" w:cs="Times New Roman"/>
          <w:sz w:val="24"/>
          <w:szCs w:val="24"/>
        </w:rPr>
        <w:t xml:space="preserve"> anaesthetic</w:t>
      </w:r>
      <w:r>
        <w:rPr>
          <w:rFonts w:ascii="Times New Roman" w:hAnsi="Times New Roman" w:cs="Times New Roman"/>
          <w:sz w:val="24"/>
          <w:szCs w:val="24"/>
          <w:lang w:val="en"/>
        </w:rPr>
        <w:t xml:space="preserve"> for topical oral use;</w:t>
      </w:r>
    </w:p>
    <w:p w:rsidR="00CB1316" w:rsidRDefault="00CB1316"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r>
        <w:rPr>
          <w:rFonts w:ascii="Times New Roman" w:hAnsi="Times New Roman" w:cs="Times New Roman"/>
          <w:sz w:val="24"/>
          <w:szCs w:val="24"/>
          <w:lang w:val="en"/>
        </w:rPr>
        <w:t>fennel oil; and</w:t>
      </w:r>
    </w:p>
    <w:p w:rsidR="00CB1316" w:rsidRDefault="00CB1316" w:rsidP="00CB1316">
      <w:pPr>
        <w:numPr>
          <w:ilvl w:val="0"/>
          <w:numId w:val="1"/>
        </w:numPr>
        <w:tabs>
          <w:tab w:val="clear" w:pos="720"/>
          <w:tab w:val="num" w:pos="709"/>
        </w:tabs>
        <w:spacing w:before="60" w:after="0" w:line="240" w:lineRule="auto"/>
        <w:ind w:left="709" w:hanging="709"/>
        <w:rPr>
          <w:rFonts w:ascii="Times New Roman" w:hAnsi="Times New Roman" w:cs="Times New Roman"/>
          <w:sz w:val="24"/>
          <w:szCs w:val="24"/>
          <w:lang w:val="en"/>
        </w:rPr>
      </w:pPr>
      <w:proofErr w:type="gramStart"/>
      <w:r>
        <w:rPr>
          <w:rFonts w:ascii="Times New Roman" w:hAnsi="Times New Roman" w:cs="Times New Roman"/>
          <w:sz w:val="24"/>
          <w:szCs w:val="24"/>
          <w:lang w:val="en"/>
        </w:rPr>
        <w:t>oral</w:t>
      </w:r>
      <w:proofErr w:type="gramEnd"/>
      <w:r>
        <w:rPr>
          <w:rFonts w:ascii="Times New Roman" w:hAnsi="Times New Roman" w:cs="Times New Roman"/>
          <w:sz w:val="24"/>
          <w:szCs w:val="24"/>
          <w:lang w:val="en"/>
        </w:rPr>
        <w:t xml:space="preserve"> fluconazole and topical miconazole, which are antifungal agents.</w:t>
      </w:r>
    </w:p>
    <w:p w:rsidR="00CB1316" w:rsidRDefault="00CB1316" w:rsidP="00CB1316">
      <w:pPr>
        <w:spacing w:after="0" w:line="240" w:lineRule="auto"/>
        <w:rPr>
          <w:rFonts w:ascii="Times New Roman" w:eastAsia="Times New Roman" w:hAnsi="Times New Roman" w:cs="Times New Roman"/>
          <w:sz w:val="24"/>
          <w:szCs w:val="24"/>
          <w:lang w:val="en-US" w:eastAsia="en-AU"/>
        </w:rPr>
      </w:pPr>
    </w:p>
    <w:p w:rsidR="00CB1316" w:rsidRDefault="00CB1316" w:rsidP="00CB131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addition, t</w:t>
      </w:r>
      <w:r w:rsidR="009F180F">
        <w:rPr>
          <w:rFonts w:ascii="Times New Roman" w:eastAsia="Times New Roman" w:hAnsi="Times New Roman" w:cs="Times New Roman"/>
          <w:sz w:val="24"/>
          <w:szCs w:val="24"/>
          <w:lang w:eastAsia="en-AU"/>
        </w:rPr>
        <w:t>his</w:t>
      </w:r>
      <w:r>
        <w:rPr>
          <w:rFonts w:ascii="Times New Roman" w:eastAsia="Times New Roman" w:hAnsi="Times New Roman" w:cs="Times New Roman"/>
          <w:sz w:val="24"/>
          <w:szCs w:val="24"/>
          <w:lang w:eastAsia="en-AU"/>
        </w:rPr>
        <w:t xml:space="preserve"> </w:t>
      </w:r>
      <w:r w:rsidR="009F180F">
        <w:rPr>
          <w:rFonts w:ascii="Times New Roman" w:eastAsia="Times New Roman" w:hAnsi="Times New Roman" w:cs="Times New Roman"/>
          <w:sz w:val="24"/>
          <w:szCs w:val="24"/>
          <w:lang w:eastAsia="en-AU"/>
        </w:rPr>
        <w:t xml:space="preserve">instrument </w:t>
      </w:r>
      <w:r>
        <w:rPr>
          <w:rFonts w:ascii="Times New Roman" w:eastAsia="Times New Roman" w:hAnsi="Times New Roman" w:cs="Times New Roman"/>
          <w:sz w:val="24"/>
          <w:szCs w:val="24"/>
          <w:lang w:eastAsia="en-AU"/>
        </w:rPr>
        <w:t xml:space="preserve">provides that the former Specification continues to apply for the first 18 months following the </w:t>
      </w:r>
      <w:r w:rsidR="009F180F">
        <w:rPr>
          <w:rFonts w:ascii="Times New Roman" w:eastAsia="Times New Roman" w:hAnsi="Times New Roman" w:cs="Times New Roman"/>
          <w:sz w:val="24"/>
          <w:szCs w:val="24"/>
          <w:lang w:eastAsia="en-AU"/>
        </w:rPr>
        <w:t xml:space="preserve">instrument’s </w:t>
      </w:r>
      <w:r>
        <w:rPr>
          <w:rFonts w:ascii="Times New Roman" w:eastAsia="Times New Roman" w:hAnsi="Times New Roman" w:cs="Times New Roman"/>
          <w:sz w:val="24"/>
          <w:szCs w:val="24"/>
          <w:lang w:eastAsia="en-AU"/>
        </w:rPr>
        <w:t xml:space="preserve">commencement notwithstanding the repeal of the former Specification. </w:t>
      </w:r>
      <w:r w:rsidRPr="00CB1316">
        <w:rPr>
          <w:rFonts w:ascii="Times New Roman" w:eastAsia="Times New Roman" w:hAnsi="Times New Roman" w:cs="Times New Roman"/>
          <w:sz w:val="24"/>
          <w:szCs w:val="24"/>
          <w:lang w:eastAsia="en-AU"/>
        </w:rPr>
        <w:t xml:space="preserve">In effect, this means that sponsors will have the option of </w:t>
      </w:r>
      <w:r>
        <w:rPr>
          <w:rFonts w:ascii="Times New Roman" w:eastAsia="Times New Roman" w:hAnsi="Times New Roman" w:cs="Times New Roman"/>
          <w:sz w:val="24"/>
          <w:szCs w:val="24"/>
          <w:lang w:eastAsia="en-AU"/>
        </w:rPr>
        <w:t xml:space="preserve">using the statements specified in </w:t>
      </w:r>
      <w:r w:rsidRPr="00CB1316">
        <w:rPr>
          <w:rFonts w:ascii="Times New Roman" w:eastAsia="Times New Roman" w:hAnsi="Times New Roman" w:cs="Times New Roman"/>
          <w:sz w:val="24"/>
          <w:szCs w:val="24"/>
          <w:lang w:eastAsia="en-AU"/>
        </w:rPr>
        <w:t xml:space="preserve">either Schedule 1 to the </w:t>
      </w:r>
      <w:r w:rsidR="009F180F">
        <w:rPr>
          <w:rFonts w:ascii="Times New Roman" w:eastAsia="Times New Roman" w:hAnsi="Times New Roman" w:cs="Times New Roman"/>
          <w:sz w:val="24"/>
          <w:szCs w:val="24"/>
          <w:lang w:eastAsia="en-AU"/>
        </w:rPr>
        <w:t xml:space="preserve">instrument </w:t>
      </w:r>
      <w:r>
        <w:rPr>
          <w:rFonts w:ascii="Times New Roman" w:eastAsia="Times New Roman" w:hAnsi="Times New Roman" w:cs="Times New Roman"/>
          <w:sz w:val="24"/>
          <w:szCs w:val="24"/>
          <w:lang w:eastAsia="en-AU"/>
        </w:rPr>
        <w:t xml:space="preserve">(RASML 5) </w:t>
      </w:r>
      <w:r w:rsidRPr="00CB1316">
        <w:rPr>
          <w:rFonts w:ascii="Times New Roman" w:eastAsia="Times New Roman" w:hAnsi="Times New Roman" w:cs="Times New Roman"/>
          <w:sz w:val="24"/>
          <w:szCs w:val="24"/>
          <w:lang w:eastAsia="en-AU"/>
        </w:rPr>
        <w:t xml:space="preserve">or Schedule 2 to the former Specification </w:t>
      </w:r>
      <w:r>
        <w:rPr>
          <w:rFonts w:ascii="Times New Roman" w:eastAsia="Times New Roman" w:hAnsi="Times New Roman" w:cs="Times New Roman"/>
          <w:sz w:val="24"/>
          <w:szCs w:val="24"/>
          <w:lang w:eastAsia="en-AU"/>
        </w:rPr>
        <w:t>(RASML 4) for the duration of the transition period.</w:t>
      </w:r>
    </w:p>
    <w:p w:rsidR="00CB1316" w:rsidRDefault="00CB1316" w:rsidP="00CB1316">
      <w:pPr>
        <w:spacing w:after="0" w:line="240" w:lineRule="auto"/>
        <w:rPr>
          <w:rFonts w:ascii="Times New Roman" w:eastAsia="Times New Roman" w:hAnsi="Times New Roman" w:cs="Times New Roman"/>
          <w:sz w:val="24"/>
          <w:szCs w:val="24"/>
          <w:lang w:eastAsia="en-AU"/>
        </w:rPr>
      </w:pPr>
    </w:p>
    <w:p w:rsidR="00CB1316" w:rsidRDefault="00CB1316" w:rsidP="00CB1316">
      <w:pPr>
        <w:spacing w:after="0" w:line="240" w:lineRule="auto"/>
        <w:rPr>
          <w:rFonts w:ascii="Times New Roman" w:eastAsia="Times New Roman" w:hAnsi="Times New Roman" w:cs="Times New Roman"/>
          <w:sz w:val="24"/>
          <w:szCs w:val="24"/>
          <w:lang w:val="en-US" w:eastAsia="en-AU"/>
        </w:rPr>
      </w:pPr>
      <w:r w:rsidRPr="005D1B10">
        <w:rPr>
          <w:rFonts w:ascii="Times New Roman" w:eastAsia="Times New Roman" w:hAnsi="Times New Roman" w:cs="Times New Roman"/>
          <w:sz w:val="24"/>
          <w:szCs w:val="24"/>
          <w:lang w:val="en-US" w:eastAsia="en-AU"/>
        </w:rPr>
        <w:t xml:space="preserve">On 1 September 2020, the </w:t>
      </w:r>
      <w:r w:rsidR="009F180F">
        <w:rPr>
          <w:rFonts w:ascii="Times New Roman" w:eastAsia="Times New Roman" w:hAnsi="Times New Roman" w:cs="Times New Roman"/>
          <w:sz w:val="24"/>
          <w:szCs w:val="24"/>
          <w:lang w:val="en-US" w:eastAsia="en-AU"/>
        </w:rPr>
        <w:t xml:space="preserve">18 month </w:t>
      </w:r>
      <w:r>
        <w:rPr>
          <w:rFonts w:ascii="Times New Roman" w:eastAsia="Times New Roman" w:hAnsi="Times New Roman" w:cs="Times New Roman"/>
          <w:sz w:val="24"/>
          <w:szCs w:val="24"/>
          <w:lang w:val="en-US" w:eastAsia="en-AU"/>
        </w:rPr>
        <w:t>transition</w:t>
      </w:r>
      <w:r w:rsidR="00EB0C24">
        <w:rPr>
          <w:rFonts w:ascii="Times New Roman" w:eastAsia="Times New Roman" w:hAnsi="Times New Roman" w:cs="Times New Roman"/>
          <w:sz w:val="24"/>
          <w:szCs w:val="24"/>
          <w:lang w:val="en-US" w:eastAsia="en-AU"/>
        </w:rPr>
        <w:t xml:space="preserve"> period</w:t>
      </w:r>
      <w:r w:rsidRPr="005D1B10">
        <w:rPr>
          <w:rFonts w:ascii="Times New Roman" w:eastAsia="Times New Roman" w:hAnsi="Times New Roman" w:cs="Times New Roman"/>
          <w:sz w:val="24"/>
          <w:szCs w:val="24"/>
          <w:lang w:val="en-US" w:eastAsia="en-AU"/>
        </w:rPr>
        <w:t xml:space="preserve"> will end, with the effect that from that date, sponsors will only have the option of complying with </w:t>
      </w:r>
      <w:r w:rsidR="00EB0C24">
        <w:rPr>
          <w:rFonts w:ascii="Times New Roman" w:eastAsia="Times New Roman" w:hAnsi="Times New Roman" w:cs="Times New Roman"/>
          <w:sz w:val="24"/>
          <w:szCs w:val="24"/>
          <w:lang w:val="en-US" w:eastAsia="en-AU"/>
        </w:rPr>
        <w:t xml:space="preserve">Schedule 1 to the </w:t>
      </w:r>
      <w:r w:rsidR="009F180F">
        <w:rPr>
          <w:rFonts w:ascii="Times New Roman" w:eastAsia="Times New Roman" w:hAnsi="Times New Roman" w:cs="Times New Roman"/>
          <w:sz w:val="24"/>
          <w:szCs w:val="24"/>
          <w:lang w:val="en-US" w:eastAsia="en-AU"/>
        </w:rPr>
        <w:t xml:space="preserve">instrument </w:t>
      </w:r>
      <w:r w:rsidR="00EB0C24">
        <w:rPr>
          <w:rFonts w:ascii="Times New Roman" w:eastAsia="Times New Roman" w:hAnsi="Times New Roman" w:cs="Times New Roman"/>
          <w:sz w:val="24"/>
          <w:szCs w:val="24"/>
          <w:lang w:val="en-US" w:eastAsia="en-AU"/>
        </w:rPr>
        <w:t>(</w:t>
      </w:r>
      <w:r w:rsidRPr="005D1B10">
        <w:rPr>
          <w:rFonts w:ascii="Times New Roman" w:eastAsia="Times New Roman" w:hAnsi="Times New Roman" w:cs="Times New Roman"/>
          <w:sz w:val="24"/>
          <w:szCs w:val="24"/>
          <w:lang w:val="en-US" w:eastAsia="en-AU"/>
        </w:rPr>
        <w:t>RASML 5</w:t>
      </w:r>
      <w:r w:rsidR="00EB0C24">
        <w:rPr>
          <w:rFonts w:ascii="Times New Roman" w:eastAsia="Times New Roman" w:hAnsi="Times New Roman" w:cs="Times New Roman"/>
          <w:sz w:val="24"/>
          <w:szCs w:val="24"/>
          <w:lang w:val="en-US" w:eastAsia="en-AU"/>
        </w:rPr>
        <w:t>)</w:t>
      </w:r>
      <w:r w:rsidRPr="005D1B10">
        <w:rPr>
          <w:rFonts w:ascii="Times New Roman" w:eastAsia="Times New Roman" w:hAnsi="Times New Roman" w:cs="Times New Roman"/>
          <w:sz w:val="24"/>
          <w:szCs w:val="24"/>
          <w:lang w:val="en-US" w:eastAsia="en-AU"/>
        </w:rPr>
        <w:t xml:space="preserve"> in relation to their medicine labels.</w:t>
      </w:r>
    </w:p>
    <w:p w:rsidR="00F009F5" w:rsidRDefault="00F009F5" w:rsidP="00587A37">
      <w:pPr>
        <w:spacing w:after="0" w:line="240" w:lineRule="auto"/>
        <w:rPr>
          <w:rFonts w:ascii="Times New Roman" w:eastAsia="Times New Roman" w:hAnsi="Times New Roman" w:cs="Times New Roman"/>
          <w:sz w:val="24"/>
          <w:szCs w:val="24"/>
          <w:lang w:eastAsia="en-AU"/>
        </w:rPr>
      </w:pPr>
    </w:p>
    <w:p w:rsidR="009F180F" w:rsidRDefault="009F180F">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rsidR="006E6314" w:rsidRPr="006E6314" w:rsidRDefault="006E6314" w:rsidP="00587A37">
      <w:pPr>
        <w:spacing w:after="0" w:line="240" w:lineRule="auto"/>
        <w:rPr>
          <w:rFonts w:ascii="Times New Roman" w:eastAsia="Times New Roman" w:hAnsi="Times New Roman" w:cs="Times New Roman"/>
          <w:sz w:val="24"/>
          <w:szCs w:val="24"/>
          <w:lang w:val="en-US" w:eastAsia="en-AU"/>
        </w:rPr>
      </w:pPr>
      <w:r w:rsidRPr="006E6314">
        <w:rPr>
          <w:rFonts w:ascii="Times New Roman" w:eastAsia="Times New Roman" w:hAnsi="Times New Roman" w:cs="Times New Roman"/>
          <w:b/>
          <w:bCs/>
          <w:sz w:val="24"/>
          <w:szCs w:val="24"/>
          <w:lang w:eastAsia="en-AU"/>
        </w:rPr>
        <w:lastRenderedPageBreak/>
        <w:t>Human rights implications</w:t>
      </w:r>
    </w:p>
    <w:p w:rsidR="00587A37" w:rsidRDefault="00587A37" w:rsidP="00587A37">
      <w:pPr>
        <w:spacing w:after="0" w:line="240" w:lineRule="auto"/>
        <w:rPr>
          <w:rFonts w:ascii="Times New Roman" w:eastAsia="Times New Roman" w:hAnsi="Times New Roman" w:cs="Times New Roman"/>
          <w:sz w:val="24"/>
          <w:szCs w:val="24"/>
          <w:lang w:eastAsia="en-AU"/>
        </w:rPr>
      </w:pPr>
    </w:p>
    <w:p w:rsidR="004A3327" w:rsidRPr="00567BD7" w:rsidRDefault="004B5FE4" w:rsidP="00587A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9F180F">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w:t>
      </w:r>
      <w:r w:rsidR="004A3327" w:rsidRPr="00567BD7">
        <w:rPr>
          <w:rFonts w:ascii="Times New Roman" w:eastAsia="Times New Roman" w:hAnsi="Times New Roman" w:cs="Times New Roman"/>
          <w:sz w:val="24"/>
          <w:szCs w:val="24"/>
          <w:lang w:eastAsia="en-AU"/>
        </w:rPr>
        <w:t>engages</w:t>
      </w:r>
      <w:r w:rsidRPr="00567BD7">
        <w:rPr>
          <w:rFonts w:ascii="Times New Roman" w:eastAsia="Times New Roman" w:hAnsi="Times New Roman" w:cs="Times New Roman"/>
          <w:sz w:val="24"/>
          <w:szCs w:val="24"/>
          <w:lang w:eastAsia="en-AU"/>
        </w:rPr>
        <w:t xml:space="preserve"> the right to health in </w:t>
      </w:r>
      <w:r w:rsidR="00567BD7">
        <w:rPr>
          <w:rFonts w:ascii="Times New Roman" w:eastAsia="Times New Roman" w:hAnsi="Times New Roman" w:cs="Times New Roman"/>
          <w:sz w:val="24"/>
          <w:szCs w:val="24"/>
          <w:lang w:eastAsia="en-AU"/>
        </w:rPr>
        <w:t>A</w:t>
      </w:r>
      <w:r w:rsidRPr="00567BD7">
        <w:rPr>
          <w:rFonts w:ascii="Times New Roman" w:eastAsia="Times New Roman" w:hAnsi="Times New Roman" w:cs="Times New Roman"/>
          <w:sz w:val="24"/>
          <w:szCs w:val="24"/>
          <w:lang w:eastAsia="en-AU"/>
        </w:rPr>
        <w:t>rticle 12 of the International Covenant on Economic, Social and Cultural Rights (</w:t>
      </w:r>
      <w:r w:rsidR="009F180F">
        <w:rPr>
          <w:rFonts w:ascii="Times New Roman" w:eastAsia="Times New Roman" w:hAnsi="Times New Roman" w:cs="Times New Roman"/>
          <w:sz w:val="24"/>
          <w:szCs w:val="24"/>
          <w:lang w:eastAsia="en-AU"/>
        </w:rPr>
        <w:t>“</w:t>
      </w:r>
      <w:r w:rsidRPr="00567BD7">
        <w:rPr>
          <w:rFonts w:ascii="Times New Roman" w:eastAsia="Times New Roman" w:hAnsi="Times New Roman" w:cs="Times New Roman"/>
          <w:sz w:val="24"/>
          <w:szCs w:val="24"/>
          <w:lang w:eastAsia="en-AU"/>
        </w:rPr>
        <w:t>the ICESCR</w:t>
      </w:r>
      <w:r w:rsidR="009F180F">
        <w:rPr>
          <w:rFonts w:ascii="Times New Roman" w:eastAsia="Times New Roman" w:hAnsi="Times New Roman" w:cs="Times New Roman"/>
          <w:sz w:val="24"/>
          <w:szCs w:val="24"/>
          <w:lang w:eastAsia="en-AU"/>
        </w:rPr>
        <w:t>”</w:t>
      </w:r>
      <w:r w:rsidRPr="00567BD7">
        <w:rPr>
          <w:rFonts w:ascii="Times New Roman" w:eastAsia="Times New Roman" w:hAnsi="Times New Roman" w:cs="Times New Roman"/>
          <w:sz w:val="24"/>
          <w:szCs w:val="24"/>
          <w:lang w:eastAsia="en-AU"/>
        </w:rPr>
        <w:t>).</w:t>
      </w:r>
    </w:p>
    <w:p w:rsidR="00587A37" w:rsidRDefault="00587A37" w:rsidP="00587A37">
      <w:pPr>
        <w:spacing w:after="0" w:line="240" w:lineRule="auto"/>
        <w:rPr>
          <w:rFonts w:ascii="Times New Roman" w:eastAsia="Times New Roman" w:hAnsi="Times New Roman" w:cs="Times New Roman"/>
          <w:sz w:val="24"/>
          <w:szCs w:val="24"/>
          <w:lang w:eastAsia="en-AU"/>
        </w:rPr>
      </w:pPr>
    </w:p>
    <w:p w:rsidR="004B5FE4" w:rsidRPr="00567BD7" w:rsidRDefault="004A3327" w:rsidP="00587A37">
      <w:pPr>
        <w:spacing w:after="0" w:line="240" w:lineRule="auto"/>
        <w:rPr>
          <w:rFonts w:ascii="Times New Roman" w:eastAsia="Times New Roman" w:hAnsi="Times New Roman" w:cs="Times New Roman"/>
          <w:sz w:val="24"/>
          <w:szCs w:val="24"/>
          <w:lang w:eastAsia="en-AU"/>
        </w:rPr>
      </w:pPr>
      <w:r w:rsidRPr="00567BD7">
        <w:rPr>
          <w:rFonts w:ascii="Times New Roman" w:eastAsia="Times New Roman" w:hAnsi="Times New Roman" w:cs="Times New Roman"/>
          <w:sz w:val="24"/>
          <w:szCs w:val="24"/>
          <w:lang w:eastAsia="en-AU"/>
        </w:rPr>
        <w:t xml:space="preserve">Article 12 of the IESCR promotes the right of all individuals </w:t>
      </w:r>
      <w:r w:rsidR="004B5FE4" w:rsidRPr="00567BD7">
        <w:rPr>
          <w:rFonts w:ascii="Times New Roman" w:eastAsia="Times New Roman" w:hAnsi="Times New Roman" w:cs="Times New Roman"/>
          <w:sz w:val="24"/>
          <w:szCs w:val="24"/>
          <w:lang w:eastAsia="en-AU"/>
        </w:rPr>
        <w:t xml:space="preserve">to enjoy the highest attainable standard of physical and mental health, and includes an obligation to take reasonable measures within available resources to progressively secure broader enjoyment of the right. In </w:t>
      </w:r>
      <w:r w:rsidR="004B5FE4" w:rsidRPr="00567BD7">
        <w:rPr>
          <w:rFonts w:ascii="Times New Roman" w:hAnsi="Times New Roman" w:cs="Times New Roman"/>
          <w:i/>
          <w:iCs/>
          <w:sz w:val="24"/>
          <w:szCs w:val="24"/>
        </w:rPr>
        <w:t xml:space="preserve">General Comment No. 14: The Right to the Highest Attainable Standard of Health (Art. 12) </w:t>
      </w:r>
      <w:r w:rsidR="004B5FE4" w:rsidRPr="00567BD7">
        <w:rPr>
          <w:rFonts w:ascii="Times New Roman" w:eastAsia="Times New Roman" w:hAnsi="Times New Roman" w:cs="Times New Roman"/>
          <w:sz w:val="24"/>
          <w:szCs w:val="24"/>
          <w:lang w:eastAsia="en-AU"/>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587A37" w:rsidRDefault="00587A37" w:rsidP="00587A37">
      <w:pPr>
        <w:spacing w:after="0" w:line="240" w:lineRule="auto"/>
        <w:rPr>
          <w:rFonts w:ascii="Times New Roman" w:eastAsia="Times New Roman" w:hAnsi="Times New Roman" w:cs="Times New Roman"/>
          <w:sz w:val="24"/>
          <w:szCs w:val="24"/>
          <w:lang w:eastAsia="en-AU"/>
        </w:rPr>
      </w:pPr>
    </w:p>
    <w:p w:rsidR="006E6314" w:rsidRPr="00567BD7" w:rsidRDefault="004A3327" w:rsidP="00587A37">
      <w:pPr>
        <w:spacing w:after="0" w:line="240" w:lineRule="auto"/>
        <w:rPr>
          <w:rFonts w:ascii="Times New Roman" w:eastAsia="Times New Roman" w:hAnsi="Times New Roman" w:cs="Times New Roman"/>
          <w:sz w:val="24"/>
          <w:szCs w:val="24"/>
          <w:lang w:eastAsia="en-AU"/>
        </w:rPr>
      </w:pPr>
      <w:r w:rsidRPr="00567BD7">
        <w:rPr>
          <w:rFonts w:ascii="Times New Roman" w:eastAsia="Times New Roman" w:hAnsi="Times New Roman" w:cs="Times New Roman"/>
          <w:sz w:val="24"/>
          <w:szCs w:val="24"/>
          <w:lang w:eastAsia="en-AU"/>
        </w:rPr>
        <w:t xml:space="preserve">The </w:t>
      </w:r>
      <w:r w:rsidR="009F180F">
        <w:rPr>
          <w:rFonts w:ascii="Times New Roman" w:eastAsia="Times New Roman" w:hAnsi="Times New Roman" w:cs="Times New Roman"/>
          <w:sz w:val="24"/>
          <w:szCs w:val="24"/>
          <w:lang w:eastAsia="en-AU"/>
        </w:rPr>
        <w:t xml:space="preserve">instrument </w:t>
      </w:r>
      <w:r w:rsidRPr="00567BD7">
        <w:rPr>
          <w:rFonts w:ascii="Times New Roman" w:eastAsia="Times New Roman" w:hAnsi="Times New Roman" w:cs="Times New Roman"/>
          <w:sz w:val="24"/>
          <w:szCs w:val="24"/>
          <w:lang w:eastAsia="en-AU"/>
        </w:rPr>
        <w:t>takes positive steps to promote the right to health b</w:t>
      </w:r>
      <w:r w:rsidR="00371F78" w:rsidRPr="00567BD7">
        <w:rPr>
          <w:rFonts w:ascii="Times New Roman" w:eastAsia="Times New Roman" w:hAnsi="Times New Roman" w:cs="Times New Roman"/>
          <w:sz w:val="24"/>
          <w:szCs w:val="24"/>
          <w:lang w:eastAsia="en-AU"/>
        </w:rPr>
        <w:t xml:space="preserve">y ensuring </w:t>
      </w:r>
      <w:r w:rsidR="00567BD7" w:rsidRPr="00567BD7">
        <w:rPr>
          <w:rFonts w:ascii="Times New Roman" w:eastAsia="Times New Roman" w:hAnsi="Times New Roman" w:cs="Times New Roman"/>
          <w:sz w:val="24"/>
          <w:szCs w:val="24"/>
          <w:lang w:eastAsia="en-AU"/>
        </w:rPr>
        <w:t>the safe and proper use of</w:t>
      </w:r>
      <w:r w:rsidR="00371F78" w:rsidRPr="00567BD7">
        <w:rPr>
          <w:rFonts w:ascii="Times New Roman" w:eastAsia="Times New Roman" w:hAnsi="Times New Roman" w:cs="Times New Roman"/>
          <w:sz w:val="24"/>
          <w:szCs w:val="24"/>
          <w:lang w:eastAsia="en-AU"/>
        </w:rPr>
        <w:t xml:space="preserve"> OTC and registered complementary medicines</w:t>
      </w:r>
      <w:r w:rsidR="00567BD7" w:rsidRPr="00567BD7">
        <w:rPr>
          <w:rFonts w:ascii="Times New Roman" w:eastAsia="Times New Roman" w:hAnsi="Times New Roman" w:cs="Times New Roman"/>
          <w:sz w:val="24"/>
          <w:szCs w:val="24"/>
          <w:lang w:eastAsia="en-AU"/>
        </w:rPr>
        <w:t xml:space="preserve">. The </w:t>
      </w:r>
      <w:r w:rsidR="009F180F">
        <w:rPr>
          <w:rFonts w:ascii="Times New Roman" w:eastAsia="Times New Roman" w:hAnsi="Times New Roman" w:cs="Times New Roman"/>
          <w:sz w:val="24"/>
          <w:szCs w:val="24"/>
          <w:lang w:eastAsia="en-AU"/>
        </w:rPr>
        <w:t>instrument</w:t>
      </w:r>
      <w:r w:rsidR="00567BD7" w:rsidRPr="00567BD7">
        <w:rPr>
          <w:rFonts w:ascii="Times New Roman" w:eastAsia="Times New Roman" w:hAnsi="Times New Roman" w:cs="Times New Roman"/>
          <w:sz w:val="24"/>
          <w:szCs w:val="24"/>
          <w:lang w:eastAsia="en-AU"/>
        </w:rPr>
        <w:t xml:space="preserve"> seeks to protect and promote the health of Australians by ensuring that these medicines</w:t>
      </w:r>
      <w:r w:rsidR="00371F78" w:rsidRPr="00567BD7">
        <w:rPr>
          <w:rFonts w:ascii="Times New Roman" w:eastAsia="Times New Roman" w:hAnsi="Times New Roman" w:cs="Times New Roman"/>
          <w:sz w:val="24"/>
          <w:szCs w:val="24"/>
          <w:lang w:eastAsia="en-AU"/>
        </w:rPr>
        <w:t xml:space="preserve"> carry advisory statements that highlight important safety information for consumers</w:t>
      </w:r>
      <w:r w:rsidRPr="00567BD7">
        <w:rPr>
          <w:rFonts w:ascii="Times New Roman" w:eastAsia="Times New Roman" w:hAnsi="Times New Roman" w:cs="Times New Roman"/>
          <w:sz w:val="24"/>
          <w:szCs w:val="24"/>
          <w:lang w:eastAsia="en-AU"/>
        </w:rPr>
        <w:t>.</w:t>
      </w:r>
      <w:r w:rsidR="00371F78" w:rsidRPr="00567BD7">
        <w:rPr>
          <w:rFonts w:ascii="Times New Roman" w:eastAsia="Times New Roman" w:hAnsi="Times New Roman" w:cs="Times New Roman"/>
          <w:sz w:val="24"/>
          <w:szCs w:val="24"/>
          <w:lang w:eastAsia="en-AU"/>
        </w:rPr>
        <w:t xml:space="preserve"> </w:t>
      </w:r>
      <w:r w:rsidRPr="00567BD7">
        <w:rPr>
          <w:rFonts w:ascii="Times New Roman" w:eastAsia="Times New Roman" w:hAnsi="Times New Roman" w:cs="Times New Roman"/>
          <w:sz w:val="24"/>
          <w:szCs w:val="24"/>
          <w:lang w:eastAsia="en-AU"/>
        </w:rPr>
        <w:t>T</w:t>
      </w:r>
      <w:r w:rsidR="00371F78" w:rsidRPr="00567BD7">
        <w:rPr>
          <w:rFonts w:ascii="Times New Roman" w:eastAsia="Times New Roman" w:hAnsi="Times New Roman" w:cs="Times New Roman"/>
          <w:sz w:val="24"/>
          <w:szCs w:val="24"/>
          <w:lang w:eastAsia="en-AU"/>
        </w:rPr>
        <w:t xml:space="preserve">he </w:t>
      </w:r>
      <w:r w:rsidR="009F180F">
        <w:rPr>
          <w:rFonts w:ascii="Times New Roman" w:eastAsia="Times New Roman" w:hAnsi="Times New Roman" w:cs="Times New Roman"/>
          <w:sz w:val="24"/>
          <w:szCs w:val="24"/>
          <w:lang w:eastAsia="en-AU"/>
        </w:rPr>
        <w:t>instrument</w:t>
      </w:r>
      <w:r w:rsidR="00371F78" w:rsidRPr="00567BD7">
        <w:rPr>
          <w:rFonts w:ascii="Times New Roman" w:eastAsia="Times New Roman" w:hAnsi="Times New Roman" w:cs="Times New Roman"/>
          <w:sz w:val="24"/>
          <w:szCs w:val="24"/>
          <w:lang w:eastAsia="en-AU"/>
        </w:rPr>
        <w:t xml:space="preserve"> particular</w:t>
      </w:r>
      <w:r w:rsidR="00567BD7" w:rsidRPr="00567BD7">
        <w:rPr>
          <w:rFonts w:ascii="Times New Roman" w:eastAsia="Times New Roman" w:hAnsi="Times New Roman" w:cs="Times New Roman"/>
          <w:sz w:val="24"/>
          <w:szCs w:val="24"/>
          <w:lang w:eastAsia="en-AU"/>
        </w:rPr>
        <w:t>ly</w:t>
      </w:r>
      <w:r w:rsidR="00371F78" w:rsidRPr="00567BD7">
        <w:rPr>
          <w:rFonts w:ascii="Times New Roman" w:eastAsia="Times New Roman" w:hAnsi="Times New Roman" w:cs="Times New Roman"/>
          <w:sz w:val="24"/>
          <w:szCs w:val="24"/>
          <w:lang w:eastAsia="en-AU"/>
        </w:rPr>
        <w:t xml:space="preserve"> supports the right to health in relation to the quality of scientifically approved medicines that reflect up to date information about safe use (e.g. required advisory statements relating to medicines that should not be used by persons who are pregnant, or statements highlighting that consumers should consult their doctor or pharmacist before using a product if </w:t>
      </w:r>
      <w:r w:rsidR="009F180F">
        <w:rPr>
          <w:rFonts w:ascii="Times New Roman" w:eastAsia="Times New Roman" w:hAnsi="Times New Roman" w:cs="Times New Roman"/>
          <w:sz w:val="24"/>
          <w:szCs w:val="24"/>
          <w:lang w:eastAsia="en-AU"/>
        </w:rPr>
        <w:t xml:space="preserve">those persons </w:t>
      </w:r>
      <w:r w:rsidR="00371F78" w:rsidRPr="00567BD7">
        <w:rPr>
          <w:rFonts w:ascii="Times New Roman" w:eastAsia="Times New Roman" w:hAnsi="Times New Roman" w:cs="Times New Roman"/>
          <w:sz w:val="24"/>
          <w:szCs w:val="24"/>
          <w:lang w:eastAsia="en-AU"/>
        </w:rPr>
        <w:t>are regularly taking other medicines as well).</w:t>
      </w:r>
    </w:p>
    <w:p w:rsidR="00D541F7" w:rsidRDefault="00D541F7" w:rsidP="00587A37">
      <w:pPr>
        <w:spacing w:after="0" w:line="240" w:lineRule="auto"/>
        <w:rPr>
          <w:rFonts w:ascii="Times New Roman" w:eastAsia="Times New Roman" w:hAnsi="Times New Roman" w:cs="Times New Roman"/>
          <w:b/>
          <w:bCs/>
          <w:sz w:val="24"/>
          <w:szCs w:val="24"/>
          <w:lang w:eastAsia="en-AU"/>
        </w:rPr>
      </w:pPr>
    </w:p>
    <w:p w:rsidR="006E6314" w:rsidRPr="006E6314" w:rsidRDefault="006E6314" w:rsidP="00587A37">
      <w:pPr>
        <w:spacing w:after="0" w:line="240" w:lineRule="auto"/>
        <w:rPr>
          <w:rFonts w:ascii="Times New Roman" w:eastAsia="Times New Roman" w:hAnsi="Times New Roman" w:cs="Times New Roman"/>
          <w:sz w:val="24"/>
          <w:szCs w:val="24"/>
          <w:lang w:val="en-US" w:eastAsia="en-AU"/>
        </w:rPr>
      </w:pPr>
      <w:r w:rsidRPr="006E6314">
        <w:rPr>
          <w:rFonts w:ascii="Times New Roman" w:eastAsia="Times New Roman" w:hAnsi="Times New Roman" w:cs="Times New Roman"/>
          <w:b/>
          <w:bCs/>
          <w:sz w:val="24"/>
          <w:szCs w:val="24"/>
          <w:lang w:eastAsia="en-AU"/>
        </w:rPr>
        <w:t>Conclusion</w:t>
      </w:r>
    </w:p>
    <w:p w:rsidR="00587A37" w:rsidRDefault="00587A37" w:rsidP="00587A37">
      <w:pPr>
        <w:spacing w:after="0" w:line="240" w:lineRule="auto"/>
        <w:rPr>
          <w:rFonts w:ascii="Times New Roman" w:eastAsia="Times New Roman" w:hAnsi="Times New Roman" w:cs="Times New Roman"/>
          <w:sz w:val="24"/>
          <w:szCs w:val="24"/>
          <w:lang w:eastAsia="en-AU"/>
        </w:rPr>
      </w:pPr>
    </w:p>
    <w:p w:rsidR="006E6314" w:rsidRPr="006E6314" w:rsidRDefault="00371F78" w:rsidP="00587A37">
      <w:pPr>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w:t>
      </w:r>
      <w:r w:rsidR="00567BD7">
        <w:rPr>
          <w:rFonts w:ascii="Times New Roman" w:eastAsia="Times New Roman" w:hAnsi="Times New Roman" w:cs="Times New Roman"/>
          <w:sz w:val="24"/>
          <w:szCs w:val="24"/>
          <w:lang w:eastAsia="en-AU"/>
        </w:rPr>
        <w:t>is instrument</w:t>
      </w:r>
      <w:r w:rsidR="006E6314" w:rsidRPr="006E6314">
        <w:rPr>
          <w:rFonts w:ascii="Times New Roman" w:eastAsia="Times New Roman" w:hAnsi="Times New Roman" w:cs="Times New Roman"/>
          <w:sz w:val="24"/>
          <w:szCs w:val="24"/>
          <w:lang w:eastAsia="en-AU"/>
        </w:rPr>
        <w:t xml:space="preserve"> is compatible with human rights</w:t>
      </w:r>
      <w:r>
        <w:rPr>
          <w:rFonts w:ascii="Times New Roman" w:eastAsia="Times New Roman" w:hAnsi="Times New Roman" w:cs="Times New Roman"/>
          <w:sz w:val="24"/>
          <w:szCs w:val="24"/>
          <w:lang w:eastAsia="en-AU"/>
        </w:rPr>
        <w:t xml:space="preserve"> because it promotes the right to health in </w:t>
      </w:r>
      <w:r w:rsidR="00567BD7">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rticle 12 of the ICESCR as outlined above,</w:t>
      </w:r>
      <w:r w:rsidR="006E6314" w:rsidRPr="006E631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w:t>
      </w:r>
      <w:r w:rsidR="006E6314" w:rsidRPr="006E6314">
        <w:rPr>
          <w:rFonts w:ascii="Times New Roman" w:eastAsia="Times New Roman" w:hAnsi="Times New Roman" w:cs="Times New Roman"/>
          <w:sz w:val="24"/>
          <w:szCs w:val="24"/>
          <w:lang w:eastAsia="en-AU"/>
        </w:rPr>
        <w:t>does not raise any human rights issues.</w:t>
      </w:r>
    </w:p>
    <w:p w:rsidR="00510702" w:rsidRDefault="00510702" w:rsidP="00587A37">
      <w:pPr>
        <w:spacing w:after="0" w:line="240" w:lineRule="auto"/>
        <w:rPr>
          <w:rFonts w:ascii="Times New Roman" w:eastAsia="Times New Roman" w:hAnsi="Times New Roman" w:cs="Times New Roman"/>
          <w:b/>
          <w:bCs/>
          <w:sz w:val="24"/>
          <w:szCs w:val="24"/>
          <w:lang w:eastAsia="en-AU"/>
        </w:rPr>
      </w:pPr>
    </w:p>
    <w:p w:rsidR="00F009F5" w:rsidRPr="004B5FE4" w:rsidRDefault="004B5FE4" w:rsidP="00587A37">
      <w:pPr>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Jane Cook</w:t>
      </w:r>
      <w:r w:rsidR="006E6314" w:rsidRPr="006E6314">
        <w:rPr>
          <w:rFonts w:ascii="Times New Roman" w:eastAsia="Times New Roman" w:hAnsi="Times New Roman" w:cs="Times New Roman"/>
          <w:b/>
          <w:bCs/>
          <w:sz w:val="24"/>
          <w:szCs w:val="24"/>
          <w:lang w:eastAsia="en-AU"/>
        </w:rPr>
        <w:t>, delegate of the Minister for Healt</w:t>
      </w:r>
      <w:r w:rsidR="002D661E">
        <w:rPr>
          <w:rFonts w:ascii="Times New Roman" w:eastAsia="Times New Roman" w:hAnsi="Times New Roman" w:cs="Times New Roman"/>
          <w:b/>
          <w:bCs/>
          <w:sz w:val="24"/>
          <w:szCs w:val="24"/>
          <w:lang w:eastAsia="en-AU"/>
        </w:rPr>
        <w:t>h</w:t>
      </w:r>
    </w:p>
    <w:p w:rsidR="00652E0E" w:rsidRDefault="006E6314" w:rsidP="0097295E">
      <w:pPr>
        <w:spacing w:before="120" w:after="120" w:line="240" w:lineRule="auto"/>
        <w:ind w:hanging="1797"/>
      </w:pPr>
      <w:r w:rsidRPr="006E6314">
        <w:rPr>
          <w:rFonts w:ascii="Arial" w:eastAsia="Times New Roman" w:hAnsi="Arial" w:cs="Arial"/>
          <w:i/>
          <w:iCs/>
          <w:sz w:val="19"/>
          <w:szCs w:val="19"/>
          <w:lang w:eastAsia="en-AU"/>
        </w:rPr>
        <w:t> </w:t>
      </w:r>
    </w:p>
    <w:sectPr w:rsidR="00652E0E" w:rsidSect="00B21812">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8F" w:rsidRDefault="00AD168F" w:rsidP="00B21812">
      <w:pPr>
        <w:spacing w:after="0" w:line="240" w:lineRule="auto"/>
      </w:pPr>
      <w:r>
        <w:separator/>
      </w:r>
    </w:p>
  </w:endnote>
  <w:endnote w:type="continuationSeparator" w:id="0">
    <w:p w:rsidR="00AD168F" w:rsidRDefault="00AD168F" w:rsidP="00B2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8F" w:rsidRDefault="00AD168F" w:rsidP="00B21812">
      <w:pPr>
        <w:spacing w:after="0" w:line="240" w:lineRule="auto"/>
      </w:pPr>
      <w:r>
        <w:separator/>
      </w:r>
    </w:p>
  </w:footnote>
  <w:footnote w:type="continuationSeparator" w:id="0">
    <w:p w:rsidR="00AD168F" w:rsidRDefault="00AD168F" w:rsidP="00B21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23414"/>
      <w:docPartObj>
        <w:docPartGallery w:val="Page Numbers (Top of Page)"/>
        <w:docPartUnique/>
      </w:docPartObj>
    </w:sdtPr>
    <w:sdtEndPr>
      <w:rPr>
        <w:noProof/>
      </w:rPr>
    </w:sdtEndPr>
    <w:sdtContent>
      <w:p w:rsidR="00F009F5" w:rsidRDefault="00F009F5">
        <w:pPr>
          <w:pStyle w:val="Header"/>
          <w:jc w:val="center"/>
        </w:pPr>
        <w:r>
          <w:fldChar w:fldCharType="begin"/>
        </w:r>
        <w:r>
          <w:instrText xml:space="preserve"> PAGE   \* MERGEFORMAT </w:instrText>
        </w:r>
        <w:r>
          <w:fldChar w:fldCharType="separate"/>
        </w:r>
        <w:r w:rsidR="000C00EC">
          <w:rPr>
            <w:noProof/>
          </w:rPr>
          <w:t>9</w:t>
        </w:r>
        <w:r>
          <w:rPr>
            <w:noProof/>
          </w:rPr>
          <w:fldChar w:fldCharType="end"/>
        </w:r>
      </w:p>
    </w:sdtContent>
  </w:sdt>
  <w:p w:rsidR="00F009F5" w:rsidRDefault="00F00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A5D"/>
    <w:multiLevelType w:val="hybridMultilevel"/>
    <w:tmpl w:val="0238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F36454"/>
    <w:multiLevelType w:val="hybridMultilevel"/>
    <w:tmpl w:val="4DC039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191B43BA"/>
    <w:multiLevelType w:val="hybridMultilevel"/>
    <w:tmpl w:val="340C3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E4E7819"/>
    <w:multiLevelType w:val="multilevel"/>
    <w:tmpl w:val="47865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14"/>
    <w:rsid w:val="00035BA2"/>
    <w:rsid w:val="000659E7"/>
    <w:rsid w:val="00066044"/>
    <w:rsid w:val="00067225"/>
    <w:rsid w:val="000739D0"/>
    <w:rsid w:val="00074952"/>
    <w:rsid w:val="000969FB"/>
    <w:rsid w:val="000A7A91"/>
    <w:rsid w:val="000C00EC"/>
    <w:rsid w:val="000F3259"/>
    <w:rsid w:val="00103E0A"/>
    <w:rsid w:val="00116A91"/>
    <w:rsid w:val="00134CDB"/>
    <w:rsid w:val="00135E89"/>
    <w:rsid w:val="00140278"/>
    <w:rsid w:val="0016218F"/>
    <w:rsid w:val="00167B2F"/>
    <w:rsid w:val="00180390"/>
    <w:rsid w:val="00182760"/>
    <w:rsid w:val="001844B7"/>
    <w:rsid w:val="001A6503"/>
    <w:rsid w:val="001B5864"/>
    <w:rsid w:val="001C2DA6"/>
    <w:rsid w:val="001D39FA"/>
    <w:rsid w:val="001D4999"/>
    <w:rsid w:val="001D745D"/>
    <w:rsid w:val="001F1633"/>
    <w:rsid w:val="001F1BCA"/>
    <w:rsid w:val="001F3187"/>
    <w:rsid w:val="001F4BBD"/>
    <w:rsid w:val="001F660D"/>
    <w:rsid w:val="001F6E02"/>
    <w:rsid w:val="0021766F"/>
    <w:rsid w:val="002234D6"/>
    <w:rsid w:val="0023469C"/>
    <w:rsid w:val="00255372"/>
    <w:rsid w:val="0028073C"/>
    <w:rsid w:val="0029061E"/>
    <w:rsid w:val="002A53E7"/>
    <w:rsid w:val="002D0339"/>
    <w:rsid w:val="002D661E"/>
    <w:rsid w:val="002E4423"/>
    <w:rsid w:val="002F4550"/>
    <w:rsid w:val="002F4B5C"/>
    <w:rsid w:val="00302561"/>
    <w:rsid w:val="00305950"/>
    <w:rsid w:val="00320913"/>
    <w:rsid w:val="00322DE7"/>
    <w:rsid w:val="00326B72"/>
    <w:rsid w:val="0033223C"/>
    <w:rsid w:val="00336DB5"/>
    <w:rsid w:val="00346AE6"/>
    <w:rsid w:val="00347270"/>
    <w:rsid w:val="0036477D"/>
    <w:rsid w:val="00365EE7"/>
    <w:rsid w:val="00371715"/>
    <w:rsid w:val="00371F78"/>
    <w:rsid w:val="00377699"/>
    <w:rsid w:val="00377CA5"/>
    <w:rsid w:val="00381A79"/>
    <w:rsid w:val="003A7998"/>
    <w:rsid w:val="003B1AA2"/>
    <w:rsid w:val="003B5745"/>
    <w:rsid w:val="003C08D0"/>
    <w:rsid w:val="003C215A"/>
    <w:rsid w:val="003E60A5"/>
    <w:rsid w:val="003E66A0"/>
    <w:rsid w:val="003F5198"/>
    <w:rsid w:val="00401129"/>
    <w:rsid w:val="004051F5"/>
    <w:rsid w:val="00422997"/>
    <w:rsid w:val="00434104"/>
    <w:rsid w:val="00442DA7"/>
    <w:rsid w:val="004534A5"/>
    <w:rsid w:val="004617B9"/>
    <w:rsid w:val="00463B40"/>
    <w:rsid w:val="00464D05"/>
    <w:rsid w:val="00483A6A"/>
    <w:rsid w:val="00487EC6"/>
    <w:rsid w:val="00492B13"/>
    <w:rsid w:val="004A3327"/>
    <w:rsid w:val="004A590A"/>
    <w:rsid w:val="004B06A6"/>
    <w:rsid w:val="004B5FE4"/>
    <w:rsid w:val="004D577F"/>
    <w:rsid w:val="004E1805"/>
    <w:rsid w:val="004E4384"/>
    <w:rsid w:val="004F68F3"/>
    <w:rsid w:val="00506E40"/>
    <w:rsid w:val="00510702"/>
    <w:rsid w:val="00516E6F"/>
    <w:rsid w:val="00520F4F"/>
    <w:rsid w:val="0053745C"/>
    <w:rsid w:val="00542D18"/>
    <w:rsid w:val="00547058"/>
    <w:rsid w:val="00550D1B"/>
    <w:rsid w:val="00550E59"/>
    <w:rsid w:val="0055666B"/>
    <w:rsid w:val="00567BD7"/>
    <w:rsid w:val="00570A2F"/>
    <w:rsid w:val="00573F2B"/>
    <w:rsid w:val="00585951"/>
    <w:rsid w:val="00587A37"/>
    <w:rsid w:val="005A0D34"/>
    <w:rsid w:val="005B7610"/>
    <w:rsid w:val="005D1250"/>
    <w:rsid w:val="005D1B10"/>
    <w:rsid w:val="005D3B0D"/>
    <w:rsid w:val="005D7338"/>
    <w:rsid w:val="005D7FBE"/>
    <w:rsid w:val="005E3266"/>
    <w:rsid w:val="005E682D"/>
    <w:rsid w:val="005E752F"/>
    <w:rsid w:val="005F157E"/>
    <w:rsid w:val="005F465D"/>
    <w:rsid w:val="00614A24"/>
    <w:rsid w:val="00621F53"/>
    <w:rsid w:val="00635D45"/>
    <w:rsid w:val="006367B1"/>
    <w:rsid w:val="00647DD2"/>
    <w:rsid w:val="00650032"/>
    <w:rsid w:val="00652E0E"/>
    <w:rsid w:val="00667E35"/>
    <w:rsid w:val="00672214"/>
    <w:rsid w:val="00680FF4"/>
    <w:rsid w:val="006812AA"/>
    <w:rsid w:val="00681D2C"/>
    <w:rsid w:val="00683084"/>
    <w:rsid w:val="006951F0"/>
    <w:rsid w:val="006A04F5"/>
    <w:rsid w:val="006A2A91"/>
    <w:rsid w:val="006A417A"/>
    <w:rsid w:val="006C4088"/>
    <w:rsid w:val="006E25B0"/>
    <w:rsid w:val="006E6314"/>
    <w:rsid w:val="006F3EF8"/>
    <w:rsid w:val="006F53B6"/>
    <w:rsid w:val="00704E3E"/>
    <w:rsid w:val="0072153E"/>
    <w:rsid w:val="00723CDF"/>
    <w:rsid w:val="0072418E"/>
    <w:rsid w:val="00740DD6"/>
    <w:rsid w:val="0074371B"/>
    <w:rsid w:val="00746508"/>
    <w:rsid w:val="00773EBB"/>
    <w:rsid w:val="00792B20"/>
    <w:rsid w:val="007A63F5"/>
    <w:rsid w:val="007A6A7F"/>
    <w:rsid w:val="007B3742"/>
    <w:rsid w:val="007B7A7D"/>
    <w:rsid w:val="007C3F14"/>
    <w:rsid w:val="007D0C51"/>
    <w:rsid w:val="007E509E"/>
    <w:rsid w:val="007F58BF"/>
    <w:rsid w:val="007F6125"/>
    <w:rsid w:val="007F71F1"/>
    <w:rsid w:val="00815428"/>
    <w:rsid w:val="00823050"/>
    <w:rsid w:val="0082326C"/>
    <w:rsid w:val="00832807"/>
    <w:rsid w:val="00837450"/>
    <w:rsid w:val="008408B5"/>
    <w:rsid w:val="008445DD"/>
    <w:rsid w:val="00856608"/>
    <w:rsid w:val="008711C7"/>
    <w:rsid w:val="00871A68"/>
    <w:rsid w:val="008A28C7"/>
    <w:rsid w:val="008A3735"/>
    <w:rsid w:val="008A4B09"/>
    <w:rsid w:val="008A541D"/>
    <w:rsid w:val="008B49D5"/>
    <w:rsid w:val="008B55D8"/>
    <w:rsid w:val="008C50CF"/>
    <w:rsid w:val="008E7A98"/>
    <w:rsid w:val="00904123"/>
    <w:rsid w:val="00931399"/>
    <w:rsid w:val="00934447"/>
    <w:rsid w:val="009410D6"/>
    <w:rsid w:val="009438F1"/>
    <w:rsid w:val="009521C7"/>
    <w:rsid w:val="00963270"/>
    <w:rsid w:val="0097295E"/>
    <w:rsid w:val="00973FE0"/>
    <w:rsid w:val="00994CC7"/>
    <w:rsid w:val="0099609C"/>
    <w:rsid w:val="009B374A"/>
    <w:rsid w:val="009B4011"/>
    <w:rsid w:val="009C17C4"/>
    <w:rsid w:val="009C21F8"/>
    <w:rsid w:val="009D21DE"/>
    <w:rsid w:val="009F180F"/>
    <w:rsid w:val="009F4DB0"/>
    <w:rsid w:val="00A109A2"/>
    <w:rsid w:val="00A13B20"/>
    <w:rsid w:val="00A20A86"/>
    <w:rsid w:val="00A346FC"/>
    <w:rsid w:val="00A60380"/>
    <w:rsid w:val="00A66C9E"/>
    <w:rsid w:val="00A71964"/>
    <w:rsid w:val="00A71CA9"/>
    <w:rsid w:val="00A74869"/>
    <w:rsid w:val="00A7532E"/>
    <w:rsid w:val="00A77B6C"/>
    <w:rsid w:val="00A8630C"/>
    <w:rsid w:val="00AA2711"/>
    <w:rsid w:val="00AA7074"/>
    <w:rsid w:val="00AD168F"/>
    <w:rsid w:val="00AD2518"/>
    <w:rsid w:val="00AE4258"/>
    <w:rsid w:val="00AE45E4"/>
    <w:rsid w:val="00AF2993"/>
    <w:rsid w:val="00AF74D6"/>
    <w:rsid w:val="00AF7E00"/>
    <w:rsid w:val="00B01312"/>
    <w:rsid w:val="00B10D98"/>
    <w:rsid w:val="00B14B7D"/>
    <w:rsid w:val="00B15847"/>
    <w:rsid w:val="00B21812"/>
    <w:rsid w:val="00B26E36"/>
    <w:rsid w:val="00B306E3"/>
    <w:rsid w:val="00B3119B"/>
    <w:rsid w:val="00B33ADB"/>
    <w:rsid w:val="00B35D2A"/>
    <w:rsid w:val="00B46B9F"/>
    <w:rsid w:val="00B61716"/>
    <w:rsid w:val="00B733F8"/>
    <w:rsid w:val="00B81839"/>
    <w:rsid w:val="00B863A1"/>
    <w:rsid w:val="00BA06EB"/>
    <w:rsid w:val="00BA6FE1"/>
    <w:rsid w:val="00BB1C3F"/>
    <w:rsid w:val="00BB3375"/>
    <w:rsid w:val="00BC08F7"/>
    <w:rsid w:val="00BE3D96"/>
    <w:rsid w:val="00BF0E66"/>
    <w:rsid w:val="00BF43F8"/>
    <w:rsid w:val="00BF552E"/>
    <w:rsid w:val="00C06307"/>
    <w:rsid w:val="00C140F0"/>
    <w:rsid w:val="00C30B88"/>
    <w:rsid w:val="00C72E13"/>
    <w:rsid w:val="00C74C94"/>
    <w:rsid w:val="00C962DC"/>
    <w:rsid w:val="00CB1316"/>
    <w:rsid w:val="00CB23C3"/>
    <w:rsid w:val="00CC1E4A"/>
    <w:rsid w:val="00CC650D"/>
    <w:rsid w:val="00CD439E"/>
    <w:rsid w:val="00CE5709"/>
    <w:rsid w:val="00D00D5D"/>
    <w:rsid w:val="00D00F31"/>
    <w:rsid w:val="00D02FED"/>
    <w:rsid w:val="00D122D7"/>
    <w:rsid w:val="00D14090"/>
    <w:rsid w:val="00D349B0"/>
    <w:rsid w:val="00D377C0"/>
    <w:rsid w:val="00D458F8"/>
    <w:rsid w:val="00D52522"/>
    <w:rsid w:val="00D541F7"/>
    <w:rsid w:val="00D63151"/>
    <w:rsid w:val="00D7641B"/>
    <w:rsid w:val="00D84778"/>
    <w:rsid w:val="00D9075C"/>
    <w:rsid w:val="00D97F6C"/>
    <w:rsid w:val="00DD5987"/>
    <w:rsid w:val="00DF1179"/>
    <w:rsid w:val="00DF1BD1"/>
    <w:rsid w:val="00DF4D94"/>
    <w:rsid w:val="00DF5986"/>
    <w:rsid w:val="00DF7331"/>
    <w:rsid w:val="00E04CA0"/>
    <w:rsid w:val="00E21FE3"/>
    <w:rsid w:val="00E22DB6"/>
    <w:rsid w:val="00E2396E"/>
    <w:rsid w:val="00E3296A"/>
    <w:rsid w:val="00E359B0"/>
    <w:rsid w:val="00E405FA"/>
    <w:rsid w:val="00E53D37"/>
    <w:rsid w:val="00E77A6E"/>
    <w:rsid w:val="00E805B3"/>
    <w:rsid w:val="00E8153B"/>
    <w:rsid w:val="00E8218F"/>
    <w:rsid w:val="00E943FD"/>
    <w:rsid w:val="00EA2A7E"/>
    <w:rsid w:val="00EB0C24"/>
    <w:rsid w:val="00EB1F73"/>
    <w:rsid w:val="00EB4F45"/>
    <w:rsid w:val="00EC0C6C"/>
    <w:rsid w:val="00EC5936"/>
    <w:rsid w:val="00ED3708"/>
    <w:rsid w:val="00ED4B72"/>
    <w:rsid w:val="00EF4C9B"/>
    <w:rsid w:val="00F009F5"/>
    <w:rsid w:val="00F02143"/>
    <w:rsid w:val="00F14B22"/>
    <w:rsid w:val="00F159C9"/>
    <w:rsid w:val="00F15D77"/>
    <w:rsid w:val="00F172AE"/>
    <w:rsid w:val="00F223B8"/>
    <w:rsid w:val="00F52D87"/>
    <w:rsid w:val="00F56A82"/>
    <w:rsid w:val="00F57EFA"/>
    <w:rsid w:val="00F66147"/>
    <w:rsid w:val="00F66442"/>
    <w:rsid w:val="00F6661C"/>
    <w:rsid w:val="00F7521F"/>
    <w:rsid w:val="00F80E8A"/>
    <w:rsid w:val="00F91C09"/>
    <w:rsid w:val="00FA0BFF"/>
    <w:rsid w:val="00FA3935"/>
    <w:rsid w:val="00FA3DDC"/>
    <w:rsid w:val="00FA4A86"/>
    <w:rsid w:val="00FA4CE6"/>
    <w:rsid w:val="00FB00A4"/>
    <w:rsid w:val="00FC3D24"/>
    <w:rsid w:val="00FD7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8A3735"/>
    <w:pPr>
      <w:keepNext/>
      <w:keepLines/>
      <w:spacing w:before="480" w:after="120" w:line="240" w:lineRule="atLeast"/>
      <w:outlineLvl w:val="1"/>
    </w:pPr>
    <w:rPr>
      <w:rFonts w:asciiTheme="majorHAnsi" w:eastAsia="Times New Roman" w:hAnsiTheme="majorHAns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E63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6E6314"/>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A6503"/>
    <w:rPr>
      <w:color w:val="0000FF"/>
      <w:u w:val="single"/>
    </w:rPr>
  </w:style>
  <w:style w:type="character" w:styleId="FollowedHyperlink">
    <w:name w:val="FollowedHyperlink"/>
    <w:basedOn w:val="DefaultParagraphFont"/>
    <w:uiPriority w:val="99"/>
    <w:semiHidden/>
    <w:unhideWhenUsed/>
    <w:rsid w:val="00E8218F"/>
    <w:rPr>
      <w:color w:val="800080" w:themeColor="followedHyperlink"/>
      <w:u w:val="single"/>
    </w:rPr>
  </w:style>
  <w:style w:type="paragraph" w:styleId="BalloonText">
    <w:name w:val="Balloon Text"/>
    <w:basedOn w:val="Normal"/>
    <w:link w:val="BalloonTextChar"/>
    <w:uiPriority w:val="99"/>
    <w:semiHidden/>
    <w:unhideWhenUsed/>
    <w:rsid w:val="00A1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9A2"/>
    <w:rPr>
      <w:rFonts w:ascii="Tahoma" w:hAnsi="Tahoma" w:cs="Tahoma"/>
      <w:sz w:val="16"/>
      <w:szCs w:val="16"/>
    </w:rPr>
  </w:style>
  <w:style w:type="character" w:styleId="CommentReference">
    <w:name w:val="annotation reference"/>
    <w:basedOn w:val="DefaultParagraphFont"/>
    <w:uiPriority w:val="99"/>
    <w:semiHidden/>
    <w:unhideWhenUsed/>
    <w:rsid w:val="00672214"/>
    <w:rPr>
      <w:sz w:val="16"/>
      <w:szCs w:val="16"/>
    </w:rPr>
  </w:style>
  <w:style w:type="paragraph" w:styleId="CommentText">
    <w:name w:val="annotation text"/>
    <w:basedOn w:val="Normal"/>
    <w:link w:val="CommentTextChar"/>
    <w:uiPriority w:val="99"/>
    <w:semiHidden/>
    <w:unhideWhenUsed/>
    <w:rsid w:val="00672214"/>
    <w:pPr>
      <w:spacing w:line="240" w:lineRule="auto"/>
    </w:pPr>
    <w:rPr>
      <w:sz w:val="20"/>
      <w:szCs w:val="20"/>
    </w:rPr>
  </w:style>
  <w:style w:type="character" w:customStyle="1" w:styleId="CommentTextChar">
    <w:name w:val="Comment Text Char"/>
    <w:basedOn w:val="DefaultParagraphFont"/>
    <w:link w:val="CommentText"/>
    <w:uiPriority w:val="99"/>
    <w:semiHidden/>
    <w:rsid w:val="00672214"/>
    <w:rPr>
      <w:sz w:val="20"/>
      <w:szCs w:val="20"/>
    </w:rPr>
  </w:style>
  <w:style w:type="paragraph" w:styleId="CommentSubject">
    <w:name w:val="annotation subject"/>
    <w:basedOn w:val="CommentText"/>
    <w:next w:val="CommentText"/>
    <w:link w:val="CommentSubjectChar"/>
    <w:uiPriority w:val="99"/>
    <w:semiHidden/>
    <w:unhideWhenUsed/>
    <w:rsid w:val="00672214"/>
    <w:rPr>
      <w:b/>
      <w:bCs/>
    </w:rPr>
  </w:style>
  <w:style w:type="character" w:customStyle="1" w:styleId="CommentSubjectChar">
    <w:name w:val="Comment Subject Char"/>
    <w:basedOn w:val="CommentTextChar"/>
    <w:link w:val="CommentSubject"/>
    <w:uiPriority w:val="99"/>
    <w:semiHidden/>
    <w:rsid w:val="00672214"/>
    <w:rPr>
      <w:b/>
      <w:bCs/>
      <w:sz w:val="20"/>
      <w:szCs w:val="20"/>
    </w:rPr>
  </w:style>
  <w:style w:type="paragraph" w:styleId="Footer">
    <w:name w:val="footer"/>
    <w:basedOn w:val="Normal"/>
    <w:link w:val="FooterChar"/>
    <w:uiPriority w:val="99"/>
    <w:unhideWhenUsed/>
    <w:rsid w:val="00B21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812"/>
  </w:style>
  <w:style w:type="character" w:customStyle="1" w:styleId="Heading2Char">
    <w:name w:val="Heading 2 Char"/>
    <w:basedOn w:val="DefaultParagraphFont"/>
    <w:link w:val="Heading2"/>
    <w:uiPriority w:val="9"/>
    <w:rsid w:val="008A3735"/>
    <w:rPr>
      <w:rFonts w:asciiTheme="majorHAnsi" w:eastAsia="Times New Roman" w:hAnsiTheme="majorHAnsi" w:cs="Times New Roman"/>
      <w:b/>
      <w:bCs/>
      <w:sz w:val="28"/>
      <w:szCs w:val="28"/>
    </w:rPr>
  </w:style>
  <w:style w:type="paragraph" w:styleId="Revision">
    <w:name w:val="Revision"/>
    <w:hidden/>
    <w:uiPriority w:val="99"/>
    <w:semiHidden/>
    <w:rsid w:val="008A54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8A3735"/>
    <w:pPr>
      <w:keepNext/>
      <w:keepLines/>
      <w:spacing w:before="480" w:after="120" w:line="240" w:lineRule="atLeast"/>
      <w:outlineLvl w:val="1"/>
    </w:pPr>
    <w:rPr>
      <w:rFonts w:asciiTheme="majorHAnsi" w:eastAsia="Times New Roman" w:hAnsiTheme="majorHAns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E63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6E6314"/>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A6503"/>
    <w:rPr>
      <w:color w:val="0000FF"/>
      <w:u w:val="single"/>
    </w:rPr>
  </w:style>
  <w:style w:type="character" w:styleId="FollowedHyperlink">
    <w:name w:val="FollowedHyperlink"/>
    <w:basedOn w:val="DefaultParagraphFont"/>
    <w:uiPriority w:val="99"/>
    <w:semiHidden/>
    <w:unhideWhenUsed/>
    <w:rsid w:val="00E8218F"/>
    <w:rPr>
      <w:color w:val="800080" w:themeColor="followedHyperlink"/>
      <w:u w:val="single"/>
    </w:rPr>
  </w:style>
  <w:style w:type="paragraph" w:styleId="BalloonText">
    <w:name w:val="Balloon Text"/>
    <w:basedOn w:val="Normal"/>
    <w:link w:val="BalloonTextChar"/>
    <w:uiPriority w:val="99"/>
    <w:semiHidden/>
    <w:unhideWhenUsed/>
    <w:rsid w:val="00A1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9A2"/>
    <w:rPr>
      <w:rFonts w:ascii="Tahoma" w:hAnsi="Tahoma" w:cs="Tahoma"/>
      <w:sz w:val="16"/>
      <w:szCs w:val="16"/>
    </w:rPr>
  </w:style>
  <w:style w:type="character" w:styleId="CommentReference">
    <w:name w:val="annotation reference"/>
    <w:basedOn w:val="DefaultParagraphFont"/>
    <w:uiPriority w:val="99"/>
    <w:semiHidden/>
    <w:unhideWhenUsed/>
    <w:rsid w:val="00672214"/>
    <w:rPr>
      <w:sz w:val="16"/>
      <w:szCs w:val="16"/>
    </w:rPr>
  </w:style>
  <w:style w:type="paragraph" w:styleId="CommentText">
    <w:name w:val="annotation text"/>
    <w:basedOn w:val="Normal"/>
    <w:link w:val="CommentTextChar"/>
    <w:uiPriority w:val="99"/>
    <w:semiHidden/>
    <w:unhideWhenUsed/>
    <w:rsid w:val="00672214"/>
    <w:pPr>
      <w:spacing w:line="240" w:lineRule="auto"/>
    </w:pPr>
    <w:rPr>
      <w:sz w:val="20"/>
      <w:szCs w:val="20"/>
    </w:rPr>
  </w:style>
  <w:style w:type="character" w:customStyle="1" w:styleId="CommentTextChar">
    <w:name w:val="Comment Text Char"/>
    <w:basedOn w:val="DefaultParagraphFont"/>
    <w:link w:val="CommentText"/>
    <w:uiPriority w:val="99"/>
    <w:semiHidden/>
    <w:rsid w:val="00672214"/>
    <w:rPr>
      <w:sz w:val="20"/>
      <w:szCs w:val="20"/>
    </w:rPr>
  </w:style>
  <w:style w:type="paragraph" w:styleId="CommentSubject">
    <w:name w:val="annotation subject"/>
    <w:basedOn w:val="CommentText"/>
    <w:next w:val="CommentText"/>
    <w:link w:val="CommentSubjectChar"/>
    <w:uiPriority w:val="99"/>
    <w:semiHidden/>
    <w:unhideWhenUsed/>
    <w:rsid w:val="00672214"/>
    <w:rPr>
      <w:b/>
      <w:bCs/>
    </w:rPr>
  </w:style>
  <w:style w:type="character" w:customStyle="1" w:styleId="CommentSubjectChar">
    <w:name w:val="Comment Subject Char"/>
    <w:basedOn w:val="CommentTextChar"/>
    <w:link w:val="CommentSubject"/>
    <w:uiPriority w:val="99"/>
    <w:semiHidden/>
    <w:rsid w:val="00672214"/>
    <w:rPr>
      <w:b/>
      <w:bCs/>
      <w:sz w:val="20"/>
      <w:szCs w:val="20"/>
    </w:rPr>
  </w:style>
  <w:style w:type="paragraph" w:styleId="Footer">
    <w:name w:val="footer"/>
    <w:basedOn w:val="Normal"/>
    <w:link w:val="FooterChar"/>
    <w:uiPriority w:val="99"/>
    <w:unhideWhenUsed/>
    <w:rsid w:val="00B21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812"/>
  </w:style>
  <w:style w:type="character" w:customStyle="1" w:styleId="Heading2Char">
    <w:name w:val="Heading 2 Char"/>
    <w:basedOn w:val="DefaultParagraphFont"/>
    <w:link w:val="Heading2"/>
    <w:uiPriority w:val="9"/>
    <w:rsid w:val="008A3735"/>
    <w:rPr>
      <w:rFonts w:asciiTheme="majorHAnsi" w:eastAsia="Times New Roman" w:hAnsiTheme="majorHAnsi" w:cs="Times New Roman"/>
      <w:b/>
      <w:bCs/>
      <w:sz w:val="28"/>
      <w:szCs w:val="28"/>
    </w:rPr>
  </w:style>
  <w:style w:type="paragraph" w:styleId="Revision">
    <w:name w:val="Revision"/>
    <w:hidden/>
    <w:uiPriority w:val="99"/>
    <w:semiHidden/>
    <w:rsid w:val="008A5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4532">
      <w:bodyDiv w:val="1"/>
      <w:marLeft w:val="0"/>
      <w:marRight w:val="0"/>
      <w:marTop w:val="0"/>
      <w:marBottom w:val="0"/>
      <w:divBdr>
        <w:top w:val="none" w:sz="0" w:space="0" w:color="auto"/>
        <w:left w:val="none" w:sz="0" w:space="0" w:color="auto"/>
        <w:bottom w:val="none" w:sz="0" w:space="0" w:color="auto"/>
        <w:right w:val="none" w:sz="0" w:space="0" w:color="auto"/>
      </w:divBdr>
    </w:div>
    <w:div w:id="587932142">
      <w:bodyDiv w:val="1"/>
      <w:marLeft w:val="0"/>
      <w:marRight w:val="0"/>
      <w:marTop w:val="0"/>
      <w:marBottom w:val="0"/>
      <w:divBdr>
        <w:top w:val="none" w:sz="0" w:space="0" w:color="auto"/>
        <w:left w:val="none" w:sz="0" w:space="0" w:color="auto"/>
        <w:bottom w:val="none" w:sz="0" w:space="0" w:color="auto"/>
        <w:right w:val="none" w:sz="0" w:space="0" w:color="auto"/>
      </w:divBdr>
      <w:divsChild>
        <w:div w:id="1553152091">
          <w:marLeft w:val="0"/>
          <w:marRight w:val="0"/>
          <w:marTop w:val="0"/>
          <w:marBottom w:val="0"/>
          <w:divBdr>
            <w:top w:val="none" w:sz="0" w:space="0" w:color="auto"/>
            <w:left w:val="none" w:sz="0" w:space="0" w:color="auto"/>
            <w:bottom w:val="none" w:sz="0" w:space="0" w:color="auto"/>
            <w:right w:val="none" w:sz="0" w:space="0" w:color="auto"/>
          </w:divBdr>
          <w:divsChild>
            <w:div w:id="814880482">
              <w:marLeft w:val="0"/>
              <w:marRight w:val="0"/>
              <w:marTop w:val="0"/>
              <w:marBottom w:val="0"/>
              <w:divBdr>
                <w:top w:val="none" w:sz="0" w:space="0" w:color="auto"/>
                <w:left w:val="none" w:sz="0" w:space="0" w:color="auto"/>
                <w:bottom w:val="none" w:sz="0" w:space="0" w:color="auto"/>
                <w:right w:val="none" w:sz="0" w:space="0" w:color="auto"/>
              </w:divBdr>
              <w:divsChild>
                <w:div w:id="25496548">
                  <w:marLeft w:val="0"/>
                  <w:marRight w:val="0"/>
                  <w:marTop w:val="0"/>
                  <w:marBottom w:val="0"/>
                  <w:divBdr>
                    <w:top w:val="none" w:sz="0" w:space="0" w:color="auto"/>
                    <w:left w:val="none" w:sz="0" w:space="0" w:color="auto"/>
                    <w:bottom w:val="none" w:sz="0" w:space="0" w:color="auto"/>
                    <w:right w:val="none" w:sz="0" w:space="0" w:color="auto"/>
                  </w:divBdr>
                  <w:divsChild>
                    <w:div w:id="539824796">
                      <w:marLeft w:val="0"/>
                      <w:marRight w:val="0"/>
                      <w:marTop w:val="0"/>
                      <w:marBottom w:val="0"/>
                      <w:divBdr>
                        <w:top w:val="none" w:sz="0" w:space="0" w:color="auto"/>
                        <w:left w:val="none" w:sz="0" w:space="0" w:color="auto"/>
                        <w:bottom w:val="none" w:sz="0" w:space="0" w:color="auto"/>
                        <w:right w:val="none" w:sz="0" w:space="0" w:color="auto"/>
                      </w:divBdr>
                      <w:divsChild>
                        <w:div w:id="1602375860">
                          <w:marLeft w:val="0"/>
                          <w:marRight w:val="0"/>
                          <w:marTop w:val="0"/>
                          <w:marBottom w:val="0"/>
                          <w:divBdr>
                            <w:top w:val="none" w:sz="0" w:space="0" w:color="auto"/>
                            <w:left w:val="none" w:sz="0" w:space="0" w:color="auto"/>
                            <w:bottom w:val="none" w:sz="0" w:space="0" w:color="auto"/>
                            <w:right w:val="none" w:sz="0" w:space="0" w:color="auto"/>
                          </w:divBdr>
                          <w:divsChild>
                            <w:div w:id="1367565688">
                              <w:marLeft w:val="0"/>
                              <w:marRight w:val="0"/>
                              <w:marTop w:val="0"/>
                              <w:marBottom w:val="0"/>
                              <w:divBdr>
                                <w:top w:val="single" w:sz="6" w:space="0" w:color="828282"/>
                                <w:left w:val="single" w:sz="6" w:space="0" w:color="828282"/>
                                <w:bottom w:val="single" w:sz="6" w:space="0" w:color="828282"/>
                                <w:right w:val="single" w:sz="6" w:space="0" w:color="828282"/>
                              </w:divBdr>
                              <w:divsChild>
                                <w:div w:id="496922814">
                                  <w:marLeft w:val="0"/>
                                  <w:marRight w:val="0"/>
                                  <w:marTop w:val="0"/>
                                  <w:marBottom w:val="0"/>
                                  <w:divBdr>
                                    <w:top w:val="none" w:sz="0" w:space="0" w:color="auto"/>
                                    <w:left w:val="none" w:sz="0" w:space="0" w:color="auto"/>
                                    <w:bottom w:val="none" w:sz="0" w:space="0" w:color="auto"/>
                                    <w:right w:val="none" w:sz="0" w:space="0" w:color="auto"/>
                                  </w:divBdr>
                                  <w:divsChild>
                                    <w:div w:id="985472473">
                                      <w:marLeft w:val="0"/>
                                      <w:marRight w:val="0"/>
                                      <w:marTop w:val="0"/>
                                      <w:marBottom w:val="0"/>
                                      <w:divBdr>
                                        <w:top w:val="none" w:sz="0" w:space="0" w:color="auto"/>
                                        <w:left w:val="none" w:sz="0" w:space="0" w:color="auto"/>
                                        <w:bottom w:val="none" w:sz="0" w:space="0" w:color="auto"/>
                                        <w:right w:val="none" w:sz="0" w:space="0" w:color="auto"/>
                                      </w:divBdr>
                                      <w:divsChild>
                                        <w:div w:id="231817953">
                                          <w:marLeft w:val="0"/>
                                          <w:marRight w:val="0"/>
                                          <w:marTop w:val="0"/>
                                          <w:marBottom w:val="0"/>
                                          <w:divBdr>
                                            <w:top w:val="none" w:sz="0" w:space="0" w:color="auto"/>
                                            <w:left w:val="none" w:sz="0" w:space="0" w:color="auto"/>
                                            <w:bottom w:val="none" w:sz="0" w:space="0" w:color="auto"/>
                                            <w:right w:val="none" w:sz="0" w:space="0" w:color="auto"/>
                                          </w:divBdr>
                                          <w:divsChild>
                                            <w:div w:id="652565909">
                                              <w:marLeft w:val="0"/>
                                              <w:marRight w:val="0"/>
                                              <w:marTop w:val="0"/>
                                              <w:marBottom w:val="0"/>
                                              <w:divBdr>
                                                <w:top w:val="none" w:sz="0" w:space="0" w:color="auto"/>
                                                <w:left w:val="none" w:sz="0" w:space="0" w:color="auto"/>
                                                <w:bottom w:val="none" w:sz="0" w:space="0" w:color="auto"/>
                                                <w:right w:val="none" w:sz="0" w:space="0" w:color="auto"/>
                                              </w:divBdr>
                                              <w:divsChild>
                                                <w:div w:id="1976134197">
                                                  <w:marLeft w:val="0"/>
                                                  <w:marRight w:val="0"/>
                                                  <w:marTop w:val="0"/>
                                                  <w:marBottom w:val="0"/>
                                                  <w:divBdr>
                                                    <w:top w:val="none" w:sz="0" w:space="0" w:color="auto"/>
                                                    <w:left w:val="none" w:sz="0" w:space="0" w:color="auto"/>
                                                    <w:bottom w:val="none" w:sz="0" w:space="0" w:color="auto"/>
                                                    <w:right w:val="none" w:sz="0" w:space="0" w:color="auto"/>
                                                  </w:divBdr>
                                                  <w:divsChild>
                                                    <w:div w:id="168638678">
                                                      <w:marLeft w:val="0"/>
                                                      <w:marRight w:val="0"/>
                                                      <w:marTop w:val="0"/>
                                                      <w:marBottom w:val="0"/>
                                                      <w:divBdr>
                                                        <w:top w:val="none" w:sz="0" w:space="0" w:color="auto"/>
                                                        <w:left w:val="none" w:sz="0" w:space="0" w:color="auto"/>
                                                        <w:bottom w:val="none" w:sz="0" w:space="0" w:color="auto"/>
                                                        <w:right w:val="none" w:sz="0" w:space="0" w:color="auto"/>
                                                      </w:divBdr>
                                                      <w:divsChild>
                                                        <w:div w:id="6308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990128">
      <w:bodyDiv w:val="1"/>
      <w:marLeft w:val="0"/>
      <w:marRight w:val="0"/>
      <w:marTop w:val="0"/>
      <w:marBottom w:val="0"/>
      <w:divBdr>
        <w:top w:val="none" w:sz="0" w:space="0" w:color="auto"/>
        <w:left w:val="none" w:sz="0" w:space="0" w:color="auto"/>
        <w:bottom w:val="none" w:sz="0" w:space="0" w:color="auto"/>
        <w:right w:val="none" w:sz="0" w:space="0" w:color="auto"/>
      </w:divBdr>
      <w:divsChild>
        <w:div w:id="1442336431">
          <w:marLeft w:val="0"/>
          <w:marRight w:val="0"/>
          <w:marTop w:val="0"/>
          <w:marBottom w:val="0"/>
          <w:divBdr>
            <w:top w:val="none" w:sz="0" w:space="0" w:color="auto"/>
            <w:left w:val="none" w:sz="0" w:space="0" w:color="auto"/>
            <w:bottom w:val="none" w:sz="0" w:space="0" w:color="auto"/>
            <w:right w:val="none" w:sz="0" w:space="0" w:color="auto"/>
          </w:divBdr>
          <w:divsChild>
            <w:div w:id="2088843350">
              <w:marLeft w:val="0"/>
              <w:marRight w:val="0"/>
              <w:marTop w:val="0"/>
              <w:marBottom w:val="0"/>
              <w:divBdr>
                <w:top w:val="none" w:sz="0" w:space="0" w:color="auto"/>
                <w:left w:val="none" w:sz="0" w:space="0" w:color="auto"/>
                <w:bottom w:val="none" w:sz="0" w:space="0" w:color="auto"/>
                <w:right w:val="none" w:sz="0" w:space="0" w:color="auto"/>
              </w:divBdr>
              <w:divsChild>
                <w:div w:id="1257441274">
                  <w:marLeft w:val="0"/>
                  <w:marRight w:val="0"/>
                  <w:marTop w:val="0"/>
                  <w:marBottom w:val="0"/>
                  <w:divBdr>
                    <w:top w:val="none" w:sz="0" w:space="0" w:color="auto"/>
                    <w:left w:val="none" w:sz="0" w:space="0" w:color="auto"/>
                    <w:bottom w:val="none" w:sz="0" w:space="0" w:color="auto"/>
                    <w:right w:val="none" w:sz="0" w:space="0" w:color="auto"/>
                  </w:divBdr>
                  <w:divsChild>
                    <w:div w:id="386537806">
                      <w:marLeft w:val="0"/>
                      <w:marRight w:val="0"/>
                      <w:marTop w:val="0"/>
                      <w:marBottom w:val="0"/>
                      <w:divBdr>
                        <w:top w:val="none" w:sz="0" w:space="0" w:color="auto"/>
                        <w:left w:val="none" w:sz="0" w:space="0" w:color="auto"/>
                        <w:bottom w:val="none" w:sz="0" w:space="0" w:color="auto"/>
                        <w:right w:val="none" w:sz="0" w:space="0" w:color="auto"/>
                      </w:divBdr>
                      <w:divsChild>
                        <w:div w:id="2129011174">
                          <w:marLeft w:val="0"/>
                          <w:marRight w:val="0"/>
                          <w:marTop w:val="0"/>
                          <w:marBottom w:val="0"/>
                          <w:divBdr>
                            <w:top w:val="none" w:sz="0" w:space="0" w:color="auto"/>
                            <w:left w:val="none" w:sz="0" w:space="0" w:color="auto"/>
                            <w:bottom w:val="none" w:sz="0" w:space="0" w:color="auto"/>
                            <w:right w:val="none" w:sz="0" w:space="0" w:color="auto"/>
                          </w:divBdr>
                          <w:divsChild>
                            <w:div w:id="16083391">
                              <w:marLeft w:val="0"/>
                              <w:marRight w:val="0"/>
                              <w:marTop w:val="0"/>
                              <w:marBottom w:val="0"/>
                              <w:divBdr>
                                <w:top w:val="single" w:sz="6" w:space="0" w:color="828282"/>
                                <w:left w:val="single" w:sz="6" w:space="0" w:color="828282"/>
                                <w:bottom w:val="single" w:sz="6" w:space="0" w:color="828282"/>
                                <w:right w:val="single" w:sz="6" w:space="0" w:color="828282"/>
                              </w:divBdr>
                              <w:divsChild>
                                <w:div w:id="1843349139">
                                  <w:marLeft w:val="0"/>
                                  <w:marRight w:val="0"/>
                                  <w:marTop w:val="0"/>
                                  <w:marBottom w:val="0"/>
                                  <w:divBdr>
                                    <w:top w:val="none" w:sz="0" w:space="0" w:color="auto"/>
                                    <w:left w:val="none" w:sz="0" w:space="0" w:color="auto"/>
                                    <w:bottom w:val="none" w:sz="0" w:space="0" w:color="auto"/>
                                    <w:right w:val="none" w:sz="0" w:space="0" w:color="auto"/>
                                  </w:divBdr>
                                  <w:divsChild>
                                    <w:div w:id="976449523">
                                      <w:marLeft w:val="0"/>
                                      <w:marRight w:val="0"/>
                                      <w:marTop w:val="0"/>
                                      <w:marBottom w:val="0"/>
                                      <w:divBdr>
                                        <w:top w:val="none" w:sz="0" w:space="0" w:color="auto"/>
                                        <w:left w:val="none" w:sz="0" w:space="0" w:color="auto"/>
                                        <w:bottom w:val="none" w:sz="0" w:space="0" w:color="auto"/>
                                        <w:right w:val="none" w:sz="0" w:space="0" w:color="auto"/>
                                      </w:divBdr>
                                      <w:divsChild>
                                        <w:div w:id="992835213">
                                          <w:marLeft w:val="0"/>
                                          <w:marRight w:val="0"/>
                                          <w:marTop w:val="0"/>
                                          <w:marBottom w:val="0"/>
                                          <w:divBdr>
                                            <w:top w:val="none" w:sz="0" w:space="0" w:color="auto"/>
                                            <w:left w:val="none" w:sz="0" w:space="0" w:color="auto"/>
                                            <w:bottom w:val="none" w:sz="0" w:space="0" w:color="auto"/>
                                            <w:right w:val="none" w:sz="0" w:space="0" w:color="auto"/>
                                          </w:divBdr>
                                          <w:divsChild>
                                            <w:div w:id="1393963910">
                                              <w:marLeft w:val="0"/>
                                              <w:marRight w:val="0"/>
                                              <w:marTop w:val="0"/>
                                              <w:marBottom w:val="0"/>
                                              <w:divBdr>
                                                <w:top w:val="none" w:sz="0" w:space="0" w:color="auto"/>
                                                <w:left w:val="none" w:sz="0" w:space="0" w:color="auto"/>
                                                <w:bottom w:val="none" w:sz="0" w:space="0" w:color="auto"/>
                                                <w:right w:val="none" w:sz="0" w:space="0" w:color="auto"/>
                                              </w:divBdr>
                                              <w:divsChild>
                                                <w:div w:id="2018533028">
                                                  <w:marLeft w:val="0"/>
                                                  <w:marRight w:val="0"/>
                                                  <w:marTop w:val="0"/>
                                                  <w:marBottom w:val="0"/>
                                                  <w:divBdr>
                                                    <w:top w:val="none" w:sz="0" w:space="0" w:color="auto"/>
                                                    <w:left w:val="none" w:sz="0" w:space="0" w:color="auto"/>
                                                    <w:bottom w:val="none" w:sz="0" w:space="0" w:color="auto"/>
                                                    <w:right w:val="none" w:sz="0" w:space="0" w:color="auto"/>
                                                  </w:divBdr>
                                                  <w:divsChild>
                                                    <w:div w:id="188496296">
                                                      <w:marLeft w:val="0"/>
                                                      <w:marRight w:val="0"/>
                                                      <w:marTop w:val="0"/>
                                                      <w:marBottom w:val="0"/>
                                                      <w:divBdr>
                                                        <w:top w:val="none" w:sz="0" w:space="0" w:color="auto"/>
                                                        <w:left w:val="none" w:sz="0" w:space="0" w:color="auto"/>
                                                        <w:bottom w:val="none" w:sz="0" w:space="0" w:color="auto"/>
                                                        <w:right w:val="none" w:sz="0" w:space="0" w:color="auto"/>
                                                      </w:divBdr>
                                                      <w:divsChild>
                                                        <w:div w:id="13229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42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gislation.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 TargetMode="Externa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68EA-43CF-4422-9F17-165D7371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Sharp</dc:creator>
  <cp:lastModifiedBy>CARTER, Bless</cp:lastModifiedBy>
  <cp:revision>2</cp:revision>
  <cp:lastPrinted>2019-02-20T23:22:00Z</cp:lastPrinted>
  <dcterms:created xsi:type="dcterms:W3CDTF">2019-02-25T23:57:00Z</dcterms:created>
  <dcterms:modified xsi:type="dcterms:W3CDTF">2019-02-25T23:57:00Z</dcterms:modified>
</cp:coreProperties>
</file>