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85162" w:rsidRDefault="00FA6784" w:rsidP="00FA6784">
      <w:pPr>
        <w:pStyle w:val="H3"/>
        <w:jc w:val="center"/>
        <w:rPr>
          <w:sz w:val="24"/>
          <w:szCs w:val="24"/>
        </w:rPr>
      </w:pPr>
      <w:r w:rsidRPr="00C85162">
        <w:rPr>
          <w:sz w:val="24"/>
          <w:szCs w:val="24"/>
        </w:rPr>
        <w:t>EXPLANATORY STATEMENT</w:t>
      </w:r>
    </w:p>
    <w:p w14:paraId="2412D120" w14:textId="77777777" w:rsidR="00FA6784" w:rsidRPr="00C85162" w:rsidRDefault="00FA6784" w:rsidP="00FA6784">
      <w:pPr>
        <w:jc w:val="center"/>
        <w:rPr>
          <w:sz w:val="22"/>
          <w:szCs w:val="22"/>
        </w:rPr>
      </w:pPr>
    </w:p>
    <w:p w14:paraId="2412D121" w14:textId="77777777" w:rsidR="00FA6784" w:rsidRPr="00C85162" w:rsidRDefault="00FA6784" w:rsidP="00FA6784">
      <w:pPr>
        <w:jc w:val="center"/>
      </w:pPr>
      <w:r w:rsidRPr="00C85162">
        <w:t>Issued by the Authority of the Minister for Health</w:t>
      </w:r>
    </w:p>
    <w:p w14:paraId="2412D122" w14:textId="77777777" w:rsidR="00FA6784" w:rsidRPr="00C85162" w:rsidRDefault="00FA6784" w:rsidP="00FA6784">
      <w:pPr>
        <w:jc w:val="center"/>
        <w:rPr>
          <w:i/>
          <w:iCs/>
          <w:sz w:val="20"/>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581BB36A" w14:textId="67EF033A" w:rsidR="00334642" w:rsidRDefault="00B504CB" w:rsidP="00334642">
      <w:pPr>
        <w:ind w:right="-483"/>
        <w:jc w:val="center"/>
        <w:rPr>
          <w:i/>
          <w:szCs w:val="24"/>
        </w:rPr>
      </w:pPr>
      <w:r w:rsidRPr="00B504CB">
        <w:rPr>
          <w:i/>
          <w:szCs w:val="24"/>
        </w:rPr>
        <w:t>Health Insurance (Section 3C General Medical Services –</w:t>
      </w:r>
      <w:r w:rsidR="00147AA2">
        <w:rPr>
          <w:i/>
          <w:szCs w:val="24"/>
        </w:rPr>
        <w:t xml:space="preserve"> Other Medical Practitioner)</w:t>
      </w:r>
      <w:r w:rsidRPr="00B504CB">
        <w:rPr>
          <w:i/>
          <w:szCs w:val="24"/>
        </w:rPr>
        <w:t xml:space="preserve"> </w:t>
      </w:r>
      <w:r w:rsidR="00147AA2">
        <w:rPr>
          <w:i/>
          <w:szCs w:val="24"/>
        </w:rPr>
        <w:t>(</w:t>
      </w:r>
      <w:r w:rsidRPr="00B504CB">
        <w:rPr>
          <w:i/>
          <w:szCs w:val="24"/>
        </w:rPr>
        <w:t>Services for Patients in Residential Aged Care Facilities) Amendment Determination 2019</w:t>
      </w:r>
    </w:p>
    <w:p w14:paraId="44A196CE" w14:textId="77777777" w:rsidR="00B504CB" w:rsidRPr="00EB601D" w:rsidRDefault="00B504CB" w:rsidP="00334642">
      <w:pPr>
        <w:ind w:right="-483"/>
        <w:jc w:val="center"/>
        <w:rPr>
          <w:szCs w:val="24"/>
          <w:highlight w:val="yellow"/>
        </w:rPr>
      </w:pPr>
    </w:p>
    <w:p w14:paraId="461F2C14" w14:textId="105971A7" w:rsidR="00334642" w:rsidRDefault="004C6AE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D87426">
        <w:rPr>
          <w:color w:val="000000"/>
          <w:shd w:val="clear" w:color="auto" w:fill="FFFFFF"/>
        </w:rPr>
        <w:t xml:space="preserve">Subsection 3C(1) of the </w:t>
      </w:r>
      <w:r w:rsidRPr="00D87426">
        <w:rPr>
          <w:i/>
          <w:color w:val="000000"/>
          <w:shd w:val="clear" w:color="auto" w:fill="FFFFFF"/>
        </w:rPr>
        <w:t>Health Insurance Act 1973</w:t>
      </w:r>
      <w:r w:rsidRPr="00D87426">
        <w:rPr>
          <w:color w:val="000000"/>
          <w:shd w:val="clear" w:color="auto" w:fill="FFFFFF"/>
        </w:rPr>
        <w:t xml:space="preserve"> (the Act) </w:t>
      </w:r>
      <w:r w:rsidR="00147AA2">
        <w:rPr>
          <w:color w:val="000000"/>
          <w:shd w:val="clear" w:color="auto" w:fill="FFFFFF"/>
        </w:rPr>
        <w:t>authorises</w:t>
      </w:r>
      <w:r w:rsidR="00147AA2" w:rsidRPr="00D87426">
        <w:rPr>
          <w:color w:val="000000"/>
          <w:shd w:val="clear" w:color="auto" w:fill="FFFFFF"/>
        </w:rPr>
        <w:t xml:space="preserve"> </w:t>
      </w:r>
      <w:r w:rsidRPr="00D87426">
        <w:rPr>
          <w:color w:val="000000"/>
          <w:shd w:val="clear" w:color="auto" w:fill="FFFFFF"/>
        </w:rPr>
        <w:t xml:space="preserve">the Minister </w:t>
      </w:r>
      <w:r w:rsidR="00147AA2">
        <w:rPr>
          <w:color w:val="000000"/>
          <w:shd w:val="clear" w:color="auto" w:fill="FFFFFF"/>
        </w:rPr>
        <w:t>to</w:t>
      </w:r>
      <w:r w:rsidRPr="00D87426">
        <w:rPr>
          <w:color w:val="000000"/>
          <w:shd w:val="clear" w:color="auto" w:fill="FFFFFF"/>
        </w:rPr>
        <w:t xml:space="preserve">, by </w:t>
      </w:r>
      <w:r w:rsidR="00673872" w:rsidRPr="00D87426">
        <w:rPr>
          <w:color w:val="000000"/>
          <w:shd w:val="clear" w:color="auto" w:fill="FFFFFF"/>
        </w:rPr>
        <w:t>legislative instrument</w:t>
      </w:r>
      <w:r w:rsidRPr="00D87426">
        <w:rPr>
          <w:color w:val="000000"/>
          <w:shd w:val="clear" w:color="auto" w:fill="FFFFFF"/>
        </w:rPr>
        <w:t xml:space="preserve">, determine that a health service not specified in an item in the </w:t>
      </w:r>
      <w:r w:rsidR="0058678D">
        <w:rPr>
          <w:color w:val="000000"/>
          <w:shd w:val="clear" w:color="auto" w:fill="FFFFFF"/>
        </w:rPr>
        <w:t>general medical</w:t>
      </w:r>
      <w:r w:rsidR="00D42638" w:rsidRPr="00D87426">
        <w:rPr>
          <w:color w:val="000000"/>
          <w:shd w:val="clear" w:color="auto" w:fill="FFFFFF"/>
        </w:rPr>
        <w:t xml:space="preserve"> </w:t>
      </w:r>
      <w:r w:rsidR="005E62D6" w:rsidRPr="00D87426">
        <w:rPr>
          <w:color w:val="000000"/>
          <w:shd w:val="clear" w:color="auto" w:fill="FFFFFF"/>
        </w:rPr>
        <w:t>services table</w:t>
      </w:r>
      <w:r w:rsidR="00334642">
        <w:rPr>
          <w:color w:val="000000"/>
          <w:shd w:val="clear" w:color="auto" w:fill="FFFFFF"/>
        </w:rPr>
        <w:t xml:space="preserve"> (the Table)</w:t>
      </w:r>
      <w:r w:rsidR="005E62D6" w:rsidRPr="00D87426">
        <w:rPr>
          <w:color w:val="000000"/>
          <w:shd w:val="clear" w:color="auto" w:fill="FFFFFF"/>
        </w:rPr>
        <w:t xml:space="preserve"> </w:t>
      </w:r>
      <w:r w:rsidRPr="00D87426">
        <w:rPr>
          <w:color w:val="000000"/>
          <w:shd w:val="clear" w:color="auto" w:fill="FFFFFF"/>
        </w:rPr>
        <w:t>shall, in specified circumstances and for specified statutory provisions, be treated as i</w:t>
      </w:r>
      <w:r w:rsidR="005E62D6" w:rsidRPr="00D87426">
        <w:rPr>
          <w:color w:val="000000"/>
          <w:shd w:val="clear" w:color="auto" w:fill="FFFFFF"/>
        </w:rPr>
        <w:t xml:space="preserve">f it were specified in the </w:t>
      </w:r>
      <w:r w:rsidR="00334642">
        <w:rPr>
          <w:color w:val="000000"/>
          <w:shd w:val="clear" w:color="auto" w:fill="FFFFFF"/>
        </w:rPr>
        <w:t>Table</w:t>
      </w:r>
      <w:r w:rsidRPr="00D87426">
        <w:rPr>
          <w:color w:val="000000"/>
          <w:shd w:val="clear" w:color="auto" w:fill="FFFFFF"/>
        </w:rPr>
        <w:t>.</w:t>
      </w:r>
      <w:r w:rsidR="00334642">
        <w:rPr>
          <w:color w:val="000000"/>
          <w:shd w:val="clear" w:color="auto" w:fill="FFFFFF"/>
        </w:rPr>
        <w:t xml:space="preserve"> </w:t>
      </w:r>
    </w:p>
    <w:p w14:paraId="30694AAF" w14:textId="77777777" w:rsidR="00153007" w:rsidRDefault="0015300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5262DC76" w14:textId="1169D098" w:rsidR="00153007" w:rsidRPr="00334642" w:rsidRDefault="0015300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highlight w:val="yellow"/>
          <w:shd w:val="clear" w:color="auto" w:fill="FFFFFF"/>
        </w:rPr>
      </w:pPr>
      <w:r>
        <w:t xml:space="preserve">The Table is set out in the regulations made under subsection 4(1) of the Act, which is repealed and re-made each year. The most recent version of the regulations is the </w:t>
      </w:r>
      <w:r>
        <w:rPr>
          <w:i/>
          <w:iCs/>
        </w:rPr>
        <w:t>Health Insurance (General Medical Services Table) Regulations 2018</w:t>
      </w:r>
      <w:r>
        <w:t>.</w:t>
      </w:r>
    </w:p>
    <w:p w14:paraId="2E07351D" w14:textId="77777777" w:rsidR="00334642" w:rsidRDefault="00334642"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658D6B34" w14:textId="77777777" w:rsidR="00334642" w:rsidRPr="0092616B" w:rsidRDefault="00334642" w:rsidP="0033464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t xml:space="preserve">Subsection 33(3) of the </w:t>
      </w:r>
      <w:r>
        <w:rPr>
          <w:i/>
        </w:rPr>
        <w:t xml:space="preserve">Acts Interpretation Act 1901 </w:t>
      </w:r>
      <w:r w:rsidRPr="0092616B">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w:t>
      </w:r>
      <w:r>
        <w:t>t.</w:t>
      </w:r>
    </w:p>
    <w:p w14:paraId="2412D129" w14:textId="77777777" w:rsidR="008C5F1C" w:rsidRPr="00EB601D" w:rsidRDefault="008C5F1C" w:rsidP="00D33180">
      <w:pPr>
        <w:autoSpaceDE w:val="0"/>
        <w:autoSpaceDN w:val="0"/>
        <w:adjustRightInd w:val="0"/>
        <w:ind w:right="-483"/>
        <w:rPr>
          <w:szCs w:val="24"/>
          <w:highlight w:val="yellow"/>
        </w:rPr>
      </w:pPr>
    </w:p>
    <w:p w14:paraId="2412D12A" w14:textId="77777777" w:rsidR="00BB00BA" w:rsidRPr="00FA2336" w:rsidRDefault="00A1739A" w:rsidP="00BB00BA">
      <w:pPr>
        <w:rPr>
          <w:b/>
          <w:szCs w:val="24"/>
          <w:lang w:val="en-US" w:eastAsia="en-US"/>
        </w:rPr>
      </w:pPr>
      <w:r w:rsidRPr="00FA2336">
        <w:rPr>
          <w:b/>
          <w:szCs w:val="24"/>
          <w:lang w:val="en-US" w:eastAsia="en-US"/>
        </w:rPr>
        <w:t>Purpose</w:t>
      </w:r>
    </w:p>
    <w:p w14:paraId="51C44B9A" w14:textId="6C8804A6" w:rsidR="00FA2336" w:rsidRPr="00FA2336" w:rsidRDefault="00FA2336" w:rsidP="00FA2336">
      <w:pPr>
        <w:contextualSpacing/>
      </w:pPr>
      <w:r w:rsidRPr="00FA2336">
        <w:t xml:space="preserve">The purpose of the </w:t>
      </w:r>
      <w:r w:rsidRPr="00FA2336">
        <w:rPr>
          <w:i/>
          <w:iCs/>
        </w:rPr>
        <w:t xml:space="preserve">Health Insurance (Section 3C General Medical Services – </w:t>
      </w:r>
      <w:r w:rsidR="00147AA2">
        <w:rPr>
          <w:i/>
          <w:iCs/>
        </w:rPr>
        <w:t>Other Medical Practitioner) (</w:t>
      </w:r>
      <w:r w:rsidRPr="00FA2336">
        <w:rPr>
          <w:i/>
          <w:iCs/>
        </w:rPr>
        <w:t xml:space="preserve">Services for Patients in Residential Aged Care Facilities) Amendment Determination 2019 </w:t>
      </w:r>
      <w:r w:rsidRPr="00FA2336">
        <w:rPr>
          <w:iCs/>
        </w:rPr>
        <w:t>(</w:t>
      </w:r>
      <w:r w:rsidRPr="00FA2336">
        <w:t xml:space="preserve">the Determination) is to </w:t>
      </w:r>
      <w:r w:rsidR="00821D9D">
        <w:t xml:space="preserve">simplify and improve patient rebates for general practice attendances at residential </w:t>
      </w:r>
      <w:r w:rsidR="00821D9D" w:rsidRPr="00FA2336">
        <w:t>aged care facilities</w:t>
      </w:r>
      <w:r w:rsidR="00821D9D">
        <w:t>.</w:t>
      </w:r>
    </w:p>
    <w:p w14:paraId="72953E51" w14:textId="799D9F2B" w:rsidR="00FA2336" w:rsidRDefault="00FA2336" w:rsidP="00FA2336">
      <w:pPr>
        <w:contextualSpacing/>
        <w:rPr>
          <w:highlight w:val="yellow"/>
        </w:rPr>
      </w:pPr>
    </w:p>
    <w:p w14:paraId="4C41E790" w14:textId="5111DF82" w:rsidR="00FA2336" w:rsidRPr="00FA2336" w:rsidRDefault="00FA2336" w:rsidP="00FA2336">
      <w:pPr>
        <w:rPr>
          <w:szCs w:val="24"/>
        </w:rPr>
      </w:pPr>
      <w:r w:rsidRPr="00FA2336">
        <w:t xml:space="preserve">The Determination amends the </w:t>
      </w:r>
      <w:r w:rsidRPr="00FA2336">
        <w:rPr>
          <w:i/>
        </w:rPr>
        <w:t>Health Insurance (Section 3C General Medical Services – Other Medical Practitioner) Determination 2018</w:t>
      </w:r>
      <w:r w:rsidRPr="00FA2336">
        <w:t xml:space="preserve"> (Principal OMP Determination) </w:t>
      </w:r>
      <w:r w:rsidR="00FD38FB">
        <w:t xml:space="preserve">from 1 March 2019 </w:t>
      </w:r>
      <w:r w:rsidRPr="00FA2336">
        <w:t xml:space="preserve">to increase the </w:t>
      </w:r>
      <w:r w:rsidR="00821D9D">
        <w:t>Medicare benefit</w:t>
      </w:r>
      <w:r w:rsidRPr="00FA2336">
        <w:t xml:space="preserve"> for the most commonly claimed general practice services </w:t>
      </w:r>
      <w:r>
        <w:t xml:space="preserve">performed by other medical practitioners (OMPs) </w:t>
      </w:r>
      <w:r w:rsidRPr="00FA2336">
        <w:t xml:space="preserve">in </w:t>
      </w:r>
      <w:r w:rsidR="00821D9D">
        <w:t xml:space="preserve">regional </w:t>
      </w:r>
      <w:r w:rsidR="00C13CEB">
        <w:t>residential aged care facilities</w:t>
      </w:r>
      <w:r w:rsidRPr="00FA2336">
        <w:t xml:space="preserve">. </w:t>
      </w:r>
      <w:r w:rsidRPr="00FA2336">
        <w:rPr>
          <w:szCs w:val="24"/>
        </w:rPr>
        <w:t xml:space="preserve">The changes also simplify the item structure for doctors and patients. </w:t>
      </w:r>
    </w:p>
    <w:p w14:paraId="2EF02670" w14:textId="484AF150" w:rsidR="00FA2336" w:rsidRPr="00FA2336" w:rsidRDefault="00FA2336" w:rsidP="00FA2336">
      <w:pPr>
        <w:contextualSpacing/>
      </w:pPr>
    </w:p>
    <w:p w14:paraId="778072F8" w14:textId="4B3056A3" w:rsidR="00FA2336" w:rsidRPr="00FA2336" w:rsidRDefault="00FA2336" w:rsidP="00FA2336">
      <w:pPr>
        <w:rPr>
          <w:szCs w:val="24"/>
        </w:rPr>
      </w:pPr>
      <w:r w:rsidRPr="00FA2336">
        <w:rPr>
          <w:szCs w:val="24"/>
        </w:rPr>
        <w:t xml:space="preserve">Currently, the Medicare benefit is calculated from the type of service provided and the number of patients seen at the residential aged care facility. This complex arrangement, known as a ‘ready reckoner’, requires doctors and patients to calculate the total benefit based on a nominal amount plus a modifier. The modifier must be divided or multiplied (6 or fewer patients is divided, 7 or more patients is </w:t>
      </w:r>
      <w:r w:rsidR="00C13CEB" w:rsidRPr="00FA2336">
        <w:rPr>
          <w:szCs w:val="24"/>
        </w:rPr>
        <w:t>multipli</w:t>
      </w:r>
      <w:r w:rsidR="00C13CEB">
        <w:rPr>
          <w:szCs w:val="24"/>
        </w:rPr>
        <w:t>ed</w:t>
      </w:r>
      <w:r w:rsidRPr="00FA2336">
        <w:rPr>
          <w:szCs w:val="24"/>
        </w:rPr>
        <w:t>) by the number of patients seen by the doctor at the residential aged care facility.</w:t>
      </w:r>
    </w:p>
    <w:p w14:paraId="4A0923C1" w14:textId="5C686164" w:rsidR="00AE508D" w:rsidRDefault="00FA2336" w:rsidP="00FA2336">
      <w:pPr>
        <w:rPr>
          <w:szCs w:val="24"/>
        </w:rPr>
      </w:pPr>
      <w:r w:rsidRPr="00FA2336">
        <w:rPr>
          <w:szCs w:val="24"/>
          <w:highlight w:val="yellow"/>
        </w:rPr>
        <w:br/>
      </w:r>
      <w:r w:rsidRPr="00FA2336">
        <w:rPr>
          <w:szCs w:val="24"/>
        </w:rPr>
        <w:t xml:space="preserve">This arrangement will be replaced with a flag </w:t>
      </w:r>
      <w:r w:rsidRPr="00FA2336">
        <w:t>fall</w:t>
      </w:r>
      <w:r w:rsidRPr="00FA2336">
        <w:rPr>
          <w:szCs w:val="24"/>
        </w:rPr>
        <w:t xml:space="preserve"> amount plus the standard attendance structure for each patient attendance at the residential aged care facility. </w:t>
      </w:r>
      <w:r>
        <w:rPr>
          <w:szCs w:val="24"/>
        </w:rPr>
        <w:t xml:space="preserve">This Determination will implement the arrangements for services performed by OMPs in regional areas (Modified Monash areas 2 to 7). </w:t>
      </w:r>
      <w:r w:rsidR="00F84D4F">
        <w:rPr>
          <w:szCs w:val="24"/>
        </w:rPr>
        <w:t xml:space="preserve">The arrangements for vocationally registered </w:t>
      </w:r>
      <w:r w:rsidR="00821D9D">
        <w:rPr>
          <w:szCs w:val="24"/>
        </w:rPr>
        <w:t>general practitioners</w:t>
      </w:r>
      <w:r w:rsidR="00C13CEB">
        <w:rPr>
          <w:szCs w:val="24"/>
        </w:rPr>
        <w:t>,</w:t>
      </w:r>
      <w:r w:rsidR="00F84D4F">
        <w:rPr>
          <w:szCs w:val="24"/>
        </w:rPr>
        <w:t xml:space="preserve"> and OMPs working in metropolitan areas</w:t>
      </w:r>
      <w:r w:rsidR="00C13CEB">
        <w:rPr>
          <w:szCs w:val="24"/>
        </w:rPr>
        <w:t>,</w:t>
      </w:r>
      <w:r w:rsidR="00F84D4F">
        <w:rPr>
          <w:szCs w:val="24"/>
        </w:rPr>
        <w:t xml:space="preserve"> will be </w:t>
      </w:r>
      <w:r w:rsidR="00F84D4F">
        <w:rPr>
          <w:szCs w:val="24"/>
        </w:rPr>
        <w:lastRenderedPageBreak/>
        <w:t xml:space="preserve">implemented by the </w:t>
      </w:r>
      <w:r w:rsidR="00F84D4F" w:rsidRPr="00F84D4F">
        <w:rPr>
          <w:i/>
          <w:szCs w:val="24"/>
        </w:rPr>
        <w:t>Health Insurance Legislation Amendment (Services for Patients in Residential Aged Care Facilities) Regulations 2019</w:t>
      </w:r>
      <w:r w:rsidR="00F84D4F">
        <w:rPr>
          <w:szCs w:val="24"/>
        </w:rPr>
        <w:t>.</w:t>
      </w:r>
    </w:p>
    <w:p w14:paraId="7C23C06A" w14:textId="53717F17" w:rsidR="00FA2336" w:rsidRDefault="00FA2336" w:rsidP="00FA2336">
      <w:pPr>
        <w:rPr>
          <w:szCs w:val="24"/>
        </w:rPr>
      </w:pPr>
    </w:p>
    <w:p w14:paraId="44258320" w14:textId="3B223740" w:rsidR="00FA2336" w:rsidRPr="00B504CB" w:rsidRDefault="00FA2336" w:rsidP="00FA2336">
      <w:pPr>
        <w:rPr>
          <w:szCs w:val="24"/>
          <w:highlight w:val="yellow"/>
        </w:rPr>
      </w:pPr>
      <w:r>
        <w:t xml:space="preserve">The Government announced this change as part of the </w:t>
      </w:r>
      <w:r w:rsidRPr="00F364ED">
        <w:rPr>
          <w:i/>
          <w:iCs/>
        </w:rPr>
        <w:t xml:space="preserve">Guaranteeing Medicare — strengthening primary care </w:t>
      </w:r>
      <w:r>
        <w:t>package</w:t>
      </w:r>
      <w:r w:rsidRPr="00F364ED">
        <w:t xml:space="preserve"> in the 2018-19 Mid-Ye</w:t>
      </w:r>
      <w:r w:rsidR="00821D9D">
        <w:t>ar Economic and Fiscal Outlook.</w:t>
      </w:r>
    </w:p>
    <w:p w14:paraId="56C2F910" w14:textId="77777777" w:rsidR="009C1606" w:rsidRPr="00B504CB" w:rsidRDefault="009C1606" w:rsidP="00E04B6F">
      <w:pPr>
        <w:rPr>
          <w:b/>
          <w:highlight w:val="yellow"/>
        </w:rPr>
      </w:pPr>
    </w:p>
    <w:p w14:paraId="2412D131" w14:textId="77777777" w:rsidR="001865F8" w:rsidRPr="00FA2336" w:rsidRDefault="00A1739A" w:rsidP="00E04B6F">
      <w:pPr>
        <w:rPr>
          <w:b/>
        </w:rPr>
      </w:pPr>
      <w:r w:rsidRPr="00FA2336">
        <w:rPr>
          <w:b/>
        </w:rPr>
        <w:t>Consultation</w:t>
      </w:r>
    </w:p>
    <w:p w14:paraId="55630A8F" w14:textId="15199F8F" w:rsidR="00821D9D" w:rsidRDefault="00FA2336" w:rsidP="00FA2336">
      <w:r w:rsidRPr="00FA2336">
        <w:t xml:space="preserve">The </w:t>
      </w:r>
      <w:r w:rsidR="00821D9D">
        <w:t>Medicare Benefits Schedule (MBS)</w:t>
      </w:r>
      <w:r w:rsidRPr="00FA2336">
        <w:t xml:space="preserve"> Review is conducted by expert committees and working groups focusing on specific areas of the MBS. The Taskforce </w:t>
      </w:r>
      <w:r w:rsidR="00821D9D">
        <w:t>considered general practice items for services provided at residential aged care facilities in 20</w:t>
      </w:r>
      <w:bookmarkStart w:id="0" w:name="_GoBack"/>
      <w:r w:rsidR="00526776">
        <w:t>1</w:t>
      </w:r>
      <w:bookmarkEnd w:id="0"/>
      <w:r w:rsidR="00821D9D">
        <w:t>8. Its draft report and recommendations, which included a flag fall approach, was provided to general practice stakeholders for targeted consultation in 2018.</w:t>
      </w:r>
    </w:p>
    <w:p w14:paraId="1A99AB19" w14:textId="77777777" w:rsidR="00AB5C5C" w:rsidRPr="00FA2336" w:rsidRDefault="00AB5C5C" w:rsidP="000337CB">
      <w:pPr>
        <w:rPr>
          <w:rFonts w:ascii="Arial" w:hAnsi="Arial" w:cs="Arial"/>
          <w:color w:val="FF0000"/>
          <w:sz w:val="18"/>
          <w:szCs w:val="18"/>
        </w:rPr>
      </w:pPr>
    </w:p>
    <w:p w14:paraId="2412D134" w14:textId="4111A387" w:rsidR="00967E51" w:rsidRPr="00FA2336" w:rsidRDefault="00A1739A" w:rsidP="000337CB">
      <w:pPr>
        <w:rPr>
          <w:szCs w:val="24"/>
        </w:rPr>
      </w:pPr>
      <w:r w:rsidRPr="00FA2336">
        <w:rPr>
          <w:szCs w:val="24"/>
        </w:rPr>
        <w:t xml:space="preserve">Details of the </w:t>
      </w:r>
      <w:r w:rsidR="00574E71" w:rsidRPr="00FA2336">
        <w:rPr>
          <w:szCs w:val="24"/>
        </w:rPr>
        <w:t>Determination</w:t>
      </w:r>
      <w:r w:rsidRPr="00FA2336">
        <w:rPr>
          <w:szCs w:val="24"/>
        </w:rPr>
        <w:t xml:space="preserve"> are set out in the </w:t>
      </w:r>
      <w:r w:rsidRPr="00FA2336">
        <w:rPr>
          <w:szCs w:val="24"/>
          <w:u w:val="single"/>
        </w:rPr>
        <w:t>Attachment</w:t>
      </w:r>
      <w:r w:rsidRPr="00FA2336">
        <w:rPr>
          <w:szCs w:val="24"/>
        </w:rPr>
        <w:t>.</w:t>
      </w:r>
    </w:p>
    <w:p w14:paraId="2412D135" w14:textId="57219E8D" w:rsidR="006C138D" w:rsidRPr="00FA2336" w:rsidRDefault="00297AD0" w:rsidP="006C138D">
      <w:pPr>
        <w:tabs>
          <w:tab w:val="left" w:pos="567"/>
        </w:tabs>
        <w:spacing w:before="240"/>
        <w:rPr>
          <w:szCs w:val="24"/>
        </w:rPr>
      </w:pPr>
      <w:r w:rsidRPr="00FA2336">
        <w:rPr>
          <w:szCs w:val="24"/>
        </w:rPr>
        <w:t xml:space="preserve">The </w:t>
      </w:r>
      <w:r w:rsidR="00967E51" w:rsidRPr="00FA2336">
        <w:rPr>
          <w:szCs w:val="24"/>
        </w:rPr>
        <w:t>Determination</w:t>
      </w:r>
      <w:r w:rsidRPr="00FA2336">
        <w:rPr>
          <w:szCs w:val="24"/>
        </w:rPr>
        <w:t xml:space="preserve"> </w:t>
      </w:r>
      <w:r w:rsidR="007524B0" w:rsidRPr="00FA2336">
        <w:rPr>
          <w:szCs w:val="24"/>
        </w:rPr>
        <w:t xml:space="preserve">commences </w:t>
      </w:r>
      <w:r w:rsidR="00363306" w:rsidRPr="00FA2336">
        <w:rPr>
          <w:szCs w:val="24"/>
        </w:rPr>
        <w:t xml:space="preserve">on </w:t>
      </w:r>
      <w:r w:rsidR="007524B0" w:rsidRPr="00FA2336">
        <w:t xml:space="preserve">1 </w:t>
      </w:r>
      <w:r w:rsidR="00FA2336" w:rsidRPr="00FA2336">
        <w:t>March 2019</w:t>
      </w:r>
      <w:r w:rsidR="007524B0" w:rsidRPr="00FA2336">
        <w:t>.</w:t>
      </w:r>
    </w:p>
    <w:p w14:paraId="2412D136" w14:textId="77777777" w:rsidR="00236DF2" w:rsidRPr="00FA2336" w:rsidRDefault="00236DF2" w:rsidP="00574E71">
      <w:pPr>
        <w:rPr>
          <w:szCs w:val="24"/>
        </w:rPr>
      </w:pPr>
    </w:p>
    <w:p w14:paraId="2412D138" w14:textId="243DCBD5" w:rsidR="00574E71" w:rsidRPr="00A853D1" w:rsidRDefault="0002728B" w:rsidP="00DE07E4">
      <w:pPr>
        <w:spacing w:after="200" w:line="276" w:lineRule="auto"/>
        <w:rPr>
          <w:szCs w:val="24"/>
        </w:rPr>
      </w:pPr>
      <w:r w:rsidRPr="00FA2336">
        <w:rPr>
          <w:szCs w:val="24"/>
        </w:rPr>
        <w:t>T</w:t>
      </w:r>
      <w:r w:rsidR="00574E71" w:rsidRPr="00FA2336">
        <w:rPr>
          <w:szCs w:val="24"/>
        </w:rPr>
        <w:t xml:space="preserve">he Determination is </w:t>
      </w:r>
      <w:r w:rsidR="004417A2" w:rsidRPr="00FA2336">
        <w:rPr>
          <w:szCs w:val="24"/>
        </w:rPr>
        <w:t xml:space="preserve">a </w:t>
      </w:r>
      <w:r w:rsidR="00574E71" w:rsidRPr="00FA2336">
        <w:rPr>
          <w:szCs w:val="24"/>
        </w:rPr>
        <w:t xml:space="preserve">legislative instrument for the purposes of the </w:t>
      </w:r>
      <w:r w:rsidR="00574E71" w:rsidRPr="00FA2336">
        <w:rPr>
          <w:szCs w:val="24"/>
        </w:rPr>
        <w:br/>
      </w:r>
      <w:r w:rsidR="00574E71" w:rsidRPr="00FA2336">
        <w:rPr>
          <w:i/>
        </w:rPr>
        <w:t>Legislation Act 2003</w:t>
      </w:r>
      <w:r w:rsidR="00574E71" w:rsidRPr="00FA2336">
        <w:rPr>
          <w:szCs w:val="24"/>
        </w:rPr>
        <w:t>.</w:t>
      </w:r>
    </w:p>
    <w:p w14:paraId="2412D139" w14:textId="77777777" w:rsidR="00A1739A" w:rsidRPr="00A853D1" w:rsidRDefault="00A1739A" w:rsidP="000337CB">
      <w:pPr>
        <w:ind w:left="6663" w:hanging="3119"/>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proofErr w:type="gramStart"/>
      <w:r w:rsidRPr="00A853D1">
        <w:rPr>
          <w:szCs w:val="24"/>
        </w:rPr>
        <w:t>3</w:t>
      </w:r>
      <w:r w:rsidR="00967E51" w:rsidRPr="00A853D1">
        <w:rPr>
          <w:szCs w:val="24"/>
        </w:rPr>
        <w:t>C</w:t>
      </w:r>
      <w:r w:rsidRPr="00A853D1">
        <w:rPr>
          <w:szCs w:val="24"/>
        </w:rPr>
        <w:t>(</w:t>
      </w:r>
      <w:proofErr w:type="gramEnd"/>
      <w:r w:rsidRPr="00A853D1">
        <w:rPr>
          <w:szCs w:val="24"/>
        </w:rPr>
        <w:t xml:space="preserve">1) of the </w:t>
      </w:r>
    </w:p>
    <w:p w14:paraId="2412D13B" w14:textId="0596CD30" w:rsidR="00A1739A" w:rsidRPr="00A853D1" w:rsidRDefault="00A1739A" w:rsidP="000337CB">
      <w:pPr>
        <w:tabs>
          <w:tab w:val="left" w:pos="4820"/>
        </w:tabs>
        <w:rPr>
          <w:szCs w:val="24"/>
        </w:rPr>
        <w:sectPr w:rsidR="00A1739A" w:rsidRPr="00A853D1" w:rsidSect="00CC62CC">
          <w:headerReference w:type="default" r:id="rId11"/>
          <w:pgSz w:w="11906" w:h="16838"/>
          <w:pgMar w:top="1440" w:right="1800" w:bottom="1440" w:left="1800" w:header="708" w:footer="708" w:gutter="0"/>
          <w:pgNumType w:start="1"/>
          <w:cols w:space="708"/>
          <w:docGrid w:linePitch="360"/>
        </w:sectPr>
      </w:pPr>
      <w:r w:rsidRPr="00A853D1">
        <w:rPr>
          <w:i/>
          <w:szCs w:val="24"/>
        </w:rPr>
        <w:tab/>
        <w:t>Health Insurance Act 1973</w:t>
      </w:r>
    </w:p>
    <w:p w14:paraId="2412D13C" w14:textId="77777777" w:rsidR="00242974" w:rsidRPr="00EB601D" w:rsidRDefault="00242974" w:rsidP="000337CB">
      <w:pPr>
        <w:tabs>
          <w:tab w:val="left" w:pos="4536"/>
        </w:tabs>
        <w:rPr>
          <w:b/>
          <w:szCs w:val="24"/>
          <w:highlight w:val="yellow"/>
        </w:rPr>
      </w:pPr>
    </w:p>
    <w:p w14:paraId="2412D13D" w14:textId="77777777" w:rsidR="006D5816" w:rsidRPr="00215191" w:rsidRDefault="006D5816" w:rsidP="000337CB">
      <w:pPr>
        <w:pStyle w:val="BodyText"/>
        <w:jc w:val="right"/>
        <w:rPr>
          <w:szCs w:val="24"/>
        </w:rPr>
      </w:pPr>
      <w:r w:rsidRPr="00215191">
        <w:rPr>
          <w:szCs w:val="24"/>
        </w:rPr>
        <w:t>ATTACHMENT</w:t>
      </w:r>
    </w:p>
    <w:p w14:paraId="2412D13E" w14:textId="77777777" w:rsidR="006D5816" w:rsidRPr="00215191" w:rsidRDefault="006D5816" w:rsidP="000337CB">
      <w:pPr>
        <w:pStyle w:val="BodyText"/>
        <w:rPr>
          <w:szCs w:val="24"/>
          <w:u w:val="single"/>
        </w:rPr>
      </w:pPr>
    </w:p>
    <w:p w14:paraId="5B0C808A" w14:textId="531AB2FE" w:rsidR="00215191" w:rsidRPr="00FA2336" w:rsidRDefault="00A41364" w:rsidP="00215191">
      <w:pPr>
        <w:pStyle w:val="BodyText"/>
        <w:rPr>
          <w:i/>
          <w:szCs w:val="24"/>
        </w:rPr>
      </w:pPr>
      <w:r w:rsidRPr="00FA2336">
        <w:rPr>
          <w:szCs w:val="24"/>
        </w:rPr>
        <w:t xml:space="preserve">Details of the </w:t>
      </w:r>
      <w:r w:rsidR="00B504CB" w:rsidRPr="00FA2336">
        <w:rPr>
          <w:i/>
          <w:iCs/>
        </w:rPr>
        <w:t xml:space="preserve">Health Insurance (Section 3C General Medical Services – </w:t>
      </w:r>
      <w:r w:rsidR="00147AA2">
        <w:rPr>
          <w:i/>
          <w:iCs/>
        </w:rPr>
        <w:t>Other Medical Practitioner) (</w:t>
      </w:r>
      <w:r w:rsidR="00B504CB" w:rsidRPr="00FA2336">
        <w:rPr>
          <w:i/>
          <w:iCs/>
        </w:rPr>
        <w:t>Services for Patients in Residential Aged Care Facilities) Amendment Determination 2019</w:t>
      </w:r>
    </w:p>
    <w:p w14:paraId="7BBEB147" w14:textId="720F9678" w:rsidR="00E70355" w:rsidRPr="00FA2336" w:rsidRDefault="00E70355" w:rsidP="000337CB">
      <w:pPr>
        <w:pStyle w:val="BodyText"/>
        <w:rPr>
          <w:b w:val="0"/>
          <w:i/>
          <w:szCs w:val="24"/>
        </w:rPr>
      </w:pPr>
    </w:p>
    <w:p w14:paraId="2412D141" w14:textId="1999EB49" w:rsidR="00FE02C2" w:rsidRPr="00FA2336" w:rsidRDefault="001B0111" w:rsidP="000337CB">
      <w:pPr>
        <w:pStyle w:val="BodyText"/>
        <w:rPr>
          <w:b w:val="0"/>
          <w:szCs w:val="24"/>
          <w:u w:val="single"/>
        </w:rPr>
      </w:pPr>
      <w:r w:rsidRPr="00FA2336">
        <w:rPr>
          <w:b w:val="0"/>
          <w:szCs w:val="24"/>
          <w:u w:val="single"/>
        </w:rPr>
        <w:t>Section 1 – Name</w:t>
      </w:r>
      <w:r w:rsidR="00967E51" w:rsidRPr="00FA2336">
        <w:rPr>
          <w:b w:val="0"/>
          <w:szCs w:val="24"/>
          <w:u w:val="single"/>
        </w:rPr>
        <w:t xml:space="preserve"> </w:t>
      </w:r>
    </w:p>
    <w:p w14:paraId="2412D142" w14:textId="77777777" w:rsidR="00FE02C2" w:rsidRPr="00FA2336" w:rsidRDefault="00FE02C2" w:rsidP="000337CB">
      <w:pPr>
        <w:pStyle w:val="BodyText"/>
        <w:rPr>
          <w:b w:val="0"/>
          <w:szCs w:val="24"/>
          <w:u w:val="single"/>
        </w:rPr>
      </w:pPr>
    </w:p>
    <w:p w14:paraId="68DAA207" w14:textId="0AEC6E55" w:rsidR="00FD602D" w:rsidRPr="00FA2336" w:rsidRDefault="00BC7397" w:rsidP="00FD38FB">
      <w:pPr>
        <w:pStyle w:val="NoSpacing"/>
        <w:rPr>
          <w:b/>
        </w:rPr>
      </w:pPr>
      <w:r w:rsidRPr="00FA2336">
        <w:t>S</w:t>
      </w:r>
      <w:r w:rsidR="00FE02C2" w:rsidRPr="00FA2336">
        <w:t xml:space="preserve">ection </w:t>
      </w:r>
      <w:r w:rsidRPr="00FA2336">
        <w:t xml:space="preserve">1 </w:t>
      </w:r>
      <w:r w:rsidR="00FE02C2" w:rsidRPr="00FA2336">
        <w:t>provides</w:t>
      </w:r>
      <w:r w:rsidR="008B683E" w:rsidRPr="00FA2336">
        <w:t xml:space="preserve"> for the </w:t>
      </w:r>
      <w:r w:rsidR="00E26C0D">
        <w:t>instrument</w:t>
      </w:r>
      <w:r w:rsidR="00FE02C2" w:rsidRPr="00FA2336">
        <w:t xml:space="preserve"> to be referred to as the </w:t>
      </w:r>
      <w:r w:rsidR="00B504CB" w:rsidRPr="00FD38FB">
        <w:rPr>
          <w:i/>
        </w:rPr>
        <w:t xml:space="preserve">Health Insurance (Section 3C General Medical Services – </w:t>
      </w:r>
      <w:r w:rsidR="00147AA2">
        <w:rPr>
          <w:i/>
        </w:rPr>
        <w:t>Other Medical Practitioner) (</w:t>
      </w:r>
      <w:r w:rsidR="00B504CB" w:rsidRPr="00FD38FB">
        <w:rPr>
          <w:i/>
        </w:rPr>
        <w:t>Services for Patients in Residential Aged Care Facilities) Amendment Determination 2019</w:t>
      </w:r>
      <w:r w:rsidR="00FD38FB">
        <w:rPr>
          <w:b/>
        </w:rPr>
        <w:t>.</w:t>
      </w:r>
    </w:p>
    <w:p w14:paraId="0B4E4D7E" w14:textId="77777777" w:rsidR="00B504CB" w:rsidRPr="00FA2336" w:rsidRDefault="00B504CB" w:rsidP="00B504CB"/>
    <w:p w14:paraId="49D1E050" w14:textId="77777777" w:rsidR="007A4089" w:rsidRPr="00FA2336" w:rsidRDefault="00FE02C2" w:rsidP="000337CB">
      <w:pPr>
        <w:pStyle w:val="BodyText"/>
        <w:rPr>
          <w:b w:val="0"/>
          <w:szCs w:val="24"/>
          <w:u w:val="single"/>
        </w:rPr>
      </w:pPr>
      <w:r w:rsidRPr="00FA2336">
        <w:rPr>
          <w:b w:val="0"/>
          <w:szCs w:val="24"/>
          <w:u w:val="single"/>
        </w:rPr>
        <w:t xml:space="preserve">Section 2 – Commencement </w:t>
      </w:r>
    </w:p>
    <w:p w14:paraId="2DCE2ED0" w14:textId="77777777" w:rsidR="007A4089" w:rsidRPr="00FA2336" w:rsidRDefault="007A4089" w:rsidP="000337CB">
      <w:pPr>
        <w:pStyle w:val="BodyText"/>
        <w:rPr>
          <w:b w:val="0"/>
          <w:szCs w:val="24"/>
          <w:u w:val="single"/>
        </w:rPr>
      </w:pPr>
    </w:p>
    <w:p w14:paraId="2412D148" w14:textId="66E74D99" w:rsidR="00510A4F" w:rsidRPr="00FA2336" w:rsidRDefault="00510A4F" w:rsidP="000337CB">
      <w:pPr>
        <w:pStyle w:val="BodyText"/>
        <w:rPr>
          <w:b w:val="0"/>
          <w:szCs w:val="24"/>
        </w:rPr>
      </w:pPr>
      <w:r w:rsidRPr="00FA2336">
        <w:rPr>
          <w:b w:val="0"/>
          <w:szCs w:val="24"/>
        </w:rPr>
        <w:t xml:space="preserve">Section 2 </w:t>
      </w:r>
      <w:r w:rsidR="00404F11" w:rsidRPr="00FA2336">
        <w:rPr>
          <w:b w:val="0"/>
          <w:szCs w:val="24"/>
        </w:rPr>
        <w:t xml:space="preserve">provides that the </w:t>
      </w:r>
      <w:r w:rsidR="00E26C0D" w:rsidRPr="00E26C0D">
        <w:rPr>
          <w:b w:val="0"/>
        </w:rPr>
        <w:t>instrument</w:t>
      </w:r>
      <w:r w:rsidR="00E26C0D" w:rsidRPr="00FA2336">
        <w:t xml:space="preserve"> </w:t>
      </w:r>
      <w:r w:rsidR="00404F11" w:rsidRPr="00FA2336">
        <w:rPr>
          <w:b w:val="0"/>
          <w:szCs w:val="24"/>
        </w:rPr>
        <w:t xml:space="preserve">commences </w:t>
      </w:r>
      <w:r w:rsidR="00363306" w:rsidRPr="00FA2336">
        <w:rPr>
          <w:b w:val="0"/>
          <w:szCs w:val="24"/>
        </w:rPr>
        <w:t xml:space="preserve">on </w:t>
      </w:r>
      <w:r w:rsidR="007524B0" w:rsidRPr="00FA2336">
        <w:rPr>
          <w:b w:val="0"/>
          <w:szCs w:val="24"/>
        </w:rPr>
        <w:t xml:space="preserve">1 </w:t>
      </w:r>
      <w:r w:rsidR="00FA2336" w:rsidRPr="00FA2336">
        <w:rPr>
          <w:b w:val="0"/>
          <w:szCs w:val="24"/>
        </w:rPr>
        <w:t>March</w:t>
      </w:r>
      <w:r w:rsidR="00CC0405" w:rsidRPr="00FA2336">
        <w:rPr>
          <w:b w:val="0"/>
          <w:szCs w:val="24"/>
        </w:rPr>
        <w:t xml:space="preserve"> </w:t>
      </w:r>
      <w:r w:rsidR="00FA2336" w:rsidRPr="00FA2336">
        <w:rPr>
          <w:b w:val="0"/>
          <w:szCs w:val="24"/>
        </w:rPr>
        <w:t>2019</w:t>
      </w:r>
      <w:r w:rsidR="007524B0" w:rsidRPr="00FA2336">
        <w:rPr>
          <w:b w:val="0"/>
          <w:szCs w:val="24"/>
        </w:rPr>
        <w:t>.</w:t>
      </w:r>
    </w:p>
    <w:p w14:paraId="16C03200" w14:textId="77777777" w:rsidR="007E0017" w:rsidRPr="00FA2336" w:rsidRDefault="007E0017" w:rsidP="000337CB">
      <w:pPr>
        <w:pStyle w:val="BodyText"/>
        <w:rPr>
          <w:b w:val="0"/>
          <w:szCs w:val="24"/>
        </w:rPr>
      </w:pPr>
    </w:p>
    <w:p w14:paraId="005D5660" w14:textId="77777777" w:rsidR="007A4089" w:rsidRPr="00FA2336" w:rsidRDefault="00FE02C2" w:rsidP="000337CB">
      <w:pPr>
        <w:pStyle w:val="BodyText"/>
        <w:rPr>
          <w:b w:val="0"/>
          <w:szCs w:val="24"/>
          <w:u w:val="single"/>
        </w:rPr>
      </w:pPr>
      <w:r w:rsidRPr="00FA2336">
        <w:rPr>
          <w:b w:val="0"/>
          <w:szCs w:val="24"/>
          <w:u w:val="single"/>
        </w:rPr>
        <w:t xml:space="preserve">Section 3 – </w:t>
      </w:r>
      <w:r w:rsidR="00E5798A" w:rsidRPr="00FA2336">
        <w:rPr>
          <w:b w:val="0"/>
          <w:szCs w:val="24"/>
          <w:u w:val="single"/>
        </w:rPr>
        <w:t>Authority</w:t>
      </w:r>
    </w:p>
    <w:p w14:paraId="53BFA098" w14:textId="77777777" w:rsidR="007A4089" w:rsidRPr="00FA2336" w:rsidRDefault="007A4089" w:rsidP="000337CB">
      <w:pPr>
        <w:pStyle w:val="BodyText"/>
        <w:rPr>
          <w:b w:val="0"/>
          <w:szCs w:val="24"/>
          <w:u w:val="single"/>
        </w:rPr>
      </w:pPr>
    </w:p>
    <w:p w14:paraId="2412D14B" w14:textId="48FB9A00" w:rsidR="00FE02C2" w:rsidRPr="00FA2336" w:rsidRDefault="00F83B6F" w:rsidP="000337CB">
      <w:pPr>
        <w:pStyle w:val="BodyText"/>
        <w:rPr>
          <w:b w:val="0"/>
        </w:rPr>
      </w:pPr>
      <w:r w:rsidRPr="00FA2336">
        <w:rPr>
          <w:b w:val="0"/>
        </w:rPr>
        <w:t xml:space="preserve">Section 3 provides that the </w:t>
      </w:r>
      <w:r w:rsidR="00E26C0D" w:rsidRPr="00E26C0D">
        <w:rPr>
          <w:b w:val="0"/>
        </w:rPr>
        <w:t>instrument</w:t>
      </w:r>
      <w:r w:rsidR="00E26C0D" w:rsidRPr="00FA2336">
        <w:t xml:space="preserve"> </w:t>
      </w:r>
      <w:r w:rsidR="00E5798A" w:rsidRPr="00FA2336">
        <w:rPr>
          <w:b w:val="0"/>
        </w:rPr>
        <w:t xml:space="preserve">is made under </w:t>
      </w:r>
      <w:r w:rsidR="00367440" w:rsidRPr="00FA2336">
        <w:rPr>
          <w:b w:val="0"/>
        </w:rPr>
        <w:t xml:space="preserve">subsection </w:t>
      </w:r>
      <w:proofErr w:type="gramStart"/>
      <w:r w:rsidR="00E5798A" w:rsidRPr="00FA2336">
        <w:rPr>
          <w:b w:val="0"/>
        </w:rPr>
        <w:t>3C(</w:t>
      </w:r>
      <w:proofErr w:type="gramEnd"/>
      <w:r w:rsidR="00E5798A" w:rsidRPr="00FA2336">
        <w:rPr>
          <w:b w:val="0"/>
        </w:rPr>
        <w:t xml:space="preserve">1) of the </w:t>
      </w:r>
      <w:r w:rsidR="00E5798A" w:rsidRPr="00FA2336">
        <w:rPr>
          <w:b w:val="0"/>
          <w:i/>
        </w:rPr>
        <w:t>Health Insurance Act 1973</w:t>
      </w:r>
      <w:r w:rsidR="00E5798A" w:rsidRPr="00FA2336">
        <w:rPr>
          <w:b w:val="0"/>
        </w:rPr>
        <w:t>.</w:t>
      </w:r>
    </w:p>
    <w:p w14:paraId="0DBF1241" w14:textId="77777777" w:rsidR="00E70355" w:rsidRPr="00B504CB" w:rsidRDefault="00E70355" w:rsidP="000337CB">
      <w:pPr>
        <w:pStyle w:val="BodyText"/>
        <w:rPr>
          <w:b w:val="0"/>
          <w:highlight w:val="yellow"/>
        </w:rPr>
      </w:pPr>
    </w:p>
    <w:p w14:paraId="30C481C4" w14:textId="5441F95E" w:rsidR="005F4E44" w:rsidRPr="00FA2336" w:rsidRDefault="005F4E44" w:rsidP="005F4E44">
      <w:pPr>
        <w:pStyle w:val="BodyText"/>
        <w:rPr>
          <w:b w:val="0"/>
          <w:szCs w:val="24"/>
          <w:u w:val="single"/>
        </w:rPr>
      </w:pPr>
      <w:r w:rsidRPr="00FA2336">
        <w:rPr>
          <w:b w:val="0"/>
          <w:szCs w:val="24"/>
          <w:u w:val="single"/>
        </w:rPr>
        <w:t>Section 4 – Schedules</w:t>
      </w:r>
    </w:p>
    <w:p w14:paraId="7DB307E1" w14:textId="77777777" w:rsidR="005F4E44" w:rsidRPr="00FA2336" w:rsidRDefault="005F4E44" w:rsidP="005F4E44">
      <w:pPr>
        <w:pStyle w:val="BodyText"/>
        <w:rPr>
          <w:b w:val="0"/>
          <w:szCs w:val="24"/>
          <w:u w:val="single"/>
        </w:rPr>
      </w:pPr>
    </w:p>
    <w:p w14:paraId="58422E1C" w14:textId="632E2025" w:rsidR="005F4E44" w:rsidRPr="00FA2336" w:rsidRDefault="005F4E44" w:rsidP="005F4E44">
      <w:pPr>
        <w:pStyle w:val="BodyText"/>
        <w:rPr>
          <w:b w:val="0"/>
          <w:szCs w:val="24"/>
        </w:rPr>
      </w:pPr>
      <w:r w:rsidRPr="00FA2336">
        <w:rPr>
          <w:b w:val="0"/>
          <w:szCs w:val="24"/>
        </w:rPr>
        <w:t xml:space="preserve">Section 4 provides that that each instrument that is specified in a Schedule to this </w:t>
      </w:r>
      <w:r w:rsidR="00E26C0D" w:rsidRPr="00E26C0D">
        <w:rPr>
          <w:b w:val="0"/>
        </w:rPr>
        <w:t>instrument</w:t>
      </w:r>
      <w:r w:rsidR="00E26C0D" w:rsidRPr="00FA2336">
        <w:t xml:space="preserve"> </w:t>
      </w:r>
      <w:r w:rsidRPr="00FA2336">
        <w:rPr>
          <w:b w:val="0"/>
          <w:szCs w:val="24"/>
        </w:rPr>
        <w:t xml:space="preserve">is amended or repealed as set out in the applicable items in the Schedule concerned, and any other item in a Schedule to this </w:t>
      </w:r>
      <w:r w:rsidR="00E26C0D" w:rsidRPr="00E26C0D">
        <w:rPr>
          <w:b w:val="0"/>
        </w:rPr>
        <w:t>instrument</w:t>
      </w:r>
      <w:r w:rsidR="00E26C0D" w:rsidRPr="00FA2336">
        <w:t xml:space="preserve"> </w:t>
      </w:r>
      <w:r w:rsidRPr="00FA2336">
        <w:rPr>
          <w:b w:val="0"/>
          <w:szCs w:val="24"/>
        </w:rPr>
        <w:t>has effect according to its terms.</w:t>
      </w:r>
    </w:p>
    <w:p w14:paraId="1FE4FFBD" w14:textId="77777777" w:rsidR="005F4E44" w:rsidRPr="00B504CB" w:rsidRDefault="005F4E44" w:rsidP="00E70355">
      <w:pPr>
        <w:pStyle w:val="BodyText"/>
        <w:rPr>
          <w:b w:val="0"/>
          <w:szCs w:val="24"/>
          <w:highlight w:val="yellow"/>
          <w:u w:val="single"/>
        </w:rPr>
      </w:pPr>
    </w:p>
    <w:p w14:paraId="3D04D2C7" w14:textId="5E2E1E34" w:rsidR="00D21765" w:rsidRPr="00FA2336" w:rsidRDefault="00D21765" w:rsidP="00D21765">
      <w:pPr>
        <w:pStyle w:val="Header"/>
        <w:tabs>
          <w:tab w:val="num" w:pos="1080"/>
        </w:tabs>
        <w:rPr>
          <w:szCs w:val="24"/>
          <w:u w:val="single"/>
        </w:rPr>
      </w:pPr>
      <w:r w:rsidRPr="00FA2336">
        <w:rPr>
          <w:szCs w:val="24"/>
          <w:u w:val="single"/>
        </w:rPr>
        <w:t xml:space="preserve">Schedule </w:t>
      </w:r>
      <w:r w:rsidR="00076B61" w:rsidRPr="00FA2336">
        <w:rPr>
          <w:szCs w:val="24"/>
          <w:u w:val="single"/>
        </w:rPr>
        <w:t xml:space="preserve">1 </w:t>
      </w:r>
      <w:r w:rsidRPr="00FA2336">
        <w:rPr>
          <w:szCs w:val="24"/>
          <w:u w:val="single"/>
        </w:rPr>
        <w:t xml:space="preserve">– </w:t>
      </w:r>
      <w:r w:rsidR="00FA2336" w:rsidRPr="00FA2336">
        <w:rPr>
          <w:szCs w:val="24"/>
          <w:u w:val="single"/>
        </w:rPr>
        <w:t>Amendments</w:t>
      </w:r>
    </w:p>
    <w:p w14:paraId="1D33D872" w14:textId="77777777" w:rsidR="00085596" w:rsidRPr="00B504CB" w:rsidRDefault="00085596" w:rsidP="00D21765">
      <w:pPr>
        <w:pStyle w:val="Header"/>
        <w:tabs>
          <w:tab w:val="num" w:pos="1080"/>
        </w:tabs>
        <w:rPr>
          <w:szCs w:val="24"/>
          <w:highlight w:val="yellow"/>
          <w:u w:val="single"/>
        </w:rPr>
      </w:pPr>
    </w:p>
    <w:p w14:paraId="69035438" w14:textId="10B2B74E" w:rsidR="00085596" w:rsidRPr="00FA2336" w:rsidRDefault="00085596" w:rsidP="00D21765">
      <w:pPr>
        <w:pStyle w:val="Header"/>
        <w:tabs>
          <w:tab w:val="num" w:pos="1080"/>
        </w:tabs>
        <w:rPr>
          <w:b/>
          <w:i/>
          <w:szCs w:val="24"/>
        </w:rPr>
      </w:pPr>
      <w:r w:rsidRPr="00FA2336">
        <w:rPr>
          <w:b/>
          <w:i/>
          <w:szCs w:val="24"/>
        </w:rPr>
        <w:t>Health Insurance (Section 3C General Medical Services – Other Medical Practitioner) Determination 2018</w:t>
      </w:r>
      <w:r w:rsidR="004D1221" w:rsidRPr="00FA2336">
        <w:rPr>
          <w:b/>
          <w:i/>
          <w:szCs w:val="24"/>
        </w:rPr>
        <w:t xml:space="preserve"> </w:t>
      </w:r>
    </w:p>
    <w:p w14:paraId="7D16FD3D" w14:textId="77777777" w:rsidR="00D21765" w:rsidRPr="00B504CB" w:rsidRDefault="00D21765" w:rsidP="00D21765">
      <w:pPr>
        <w:pStyle w:val="Header"/>
        <w:tabs>
          <w:tab w:val="num" w:pos="1080"/>
        </w:tabs>
        <w:rPr>
          <w:szCs w:val="24"/>
          <w:highlight w:val="yellow"/>
        </w:rPr>
      </w:pPr>
    </w:p>
    <w:p w14:paraId="3F551AC8" w14:textId="076A653C" w:rsidR="00FA2336" w:rsidRDefault="00FC07C6" w:rsidP="005F4E44">
      <w:pPr>
        <w:pStyle w:val="Header"/>
        <w:tabs>
          <w:tab w:val="num" w:pos="1080"/>
        </w:tabs>
        <w:rPr>
          <w:b/>
          <w:szCs w:val="24"/>
        </w:rPr>
      </w:pPr>
      <w:r>
        <w:rPr>
          <w:b/>
          <w:szCs w:val="24"/>
        </w:rPr>
        <w:t>Amendment</w:t>
      </w:r>
      <w:r w:rsidR="00FA2336" w:rsidRPr="00FA2336">
        <w:rPr>
          <w:b/>
          <w:szCs w:val="24"/>
        </w:rPr>
        <w:t xml:space="preserve"> 1</w:t>
      </w:r>
      <w:r w:rsidR="005F4E44" w:rsidRPr="00FA2336">
        <w:rPr>
          <w:b/>
          <w:szCs w:val="24"/>
        </w:rPr>
        <w:t xml:space="preserve"> – </w:t>
      </w:r>
      <w:r w:rsidR="00FA2336" w:rsidRPr="00FA2336">
        <w:rPr>
          <w:b/>
          <w:szCs w:val="24"/>
        </w:rPr>
        <w:t>Clause 1.1.1</w:t>
      </w:r>
      <w:r w:rsidR="005F4E44" w:rsidRPr="00FA2336">
        <w:rPr>
          <w:b/>
          <w:szCs w:val="24"/>
        </w:rPr>
        <w:t xml:space="preserve"> </w:t>
      </w:r>
      <w:r w:rsidR="00FA2336" w:rsidRPr="00FA2336">
        <w:rPr>
          <w:b/>
          <w:szCs w:val="24"/>
        </w:rPr>
        <w:t xml:space="preserve">of Schedule 1 (table items 2, 4, 6 and 8) </w:t>
      </w:r>
    </w:p>
    <w:p w14:paraId="1C664B15" w14:textId="0C1329AD" w:rsidR="00FA2336" w:rsidRDefault="00F84D4F" w:rsidP="00FA2336">
      <w:pPr>
        <w:pStyle w:val="NoSpacing"/>
      </w:pPr>
      <w:r>
        <w:t>Clause 1</w:t>
      </w:r>
      <w:r w:rsidR="00FA2336" w:rsidRPr="00B6378C">
        <w:t xml:space="preserve">.1.1 of the </w:t>
      </w:r>
      <w:r w:rsidRPr="00F84D4F">
        <w:t xml:space="preserve">Principal OMP Determination </w:t>
      </w:r>
      <w:r w:rsidR="00FA2336">
        <w:t>is the legal basis for applying the ready reckoner calculation. This calculation determines the total amount for a service based on the type of service provided and the number of patients seen at a residential aged care facility.</w:t>
      </w:r>
      <w:r w:rsidR="00FA2336">
        <w:br/>
      </w:r>
    </w:p>
    <w:p w14:paraId="1B5B22BF" w14:textId="379A2DA8" w:rsidR="00FA2336" w:rsidRDefault="00FC07C6" w:rsidP="00FA2336">
      <w:pPr>
        <w:pStyle w:val="NoSpacing"/>
      </w:pPr>
      <w:r>
        <w:t>Amendment</w:t>
      </w:r>
      <w:r w:rsidR="00FA2336">
        <w:t xml:space="preserve"> 1 </w:t>
      </w:r>
      <w:r w:rsidR="00FA2336" w:rsidRPr="00B6378C">
        <w:t xml:space="preserve">repeals </w:t>
      </w:r>
      <w:r w:rsidR="00FA2336">
        <w:t>the old attendance items (183, 188, 202</w:t>
      </w:r>
      <w:r w:rsidR="00F84D4F">
        <w:t xml:space="preserve"> and 212</w:t>
      </w:r>
      <w:r w:rsidR="00F4744E">
        <w:t>) from this clause.</w:t>
      </w:r>
    </w:p>
    <w:p w14:paraId="654371FF" w14:textId="382B2B3D" w:rsidR="005F4E44" w:rsidRDefault="005F4E44" w:rsidP="004D1221">
      <w:pPr>
        <w:pStyle w:val="Header"/>
        <w:tabs>
          <w:tab w:val="num" w:pos="1080"/>
        </w:tabs>
        <w:rPr>
          <w:b/>
          <w:szCs w:val="24"/>
          <w:highlight w:val="yellow"/>
        </w:rPr>
      </w:pPr>
    </w:p>
    <w:p w14:paraId="70737B90" w14:textId="225BE18C" w:rsidR="00F84D4F" w:rsidRPr="00B6378C" w:rsidRDefault="00FC07C6" w:rsidP="00F84D4F">
      <w:pPr>
        <w:pStyle w:val="NoSpacing"/>
        <w:rPr>
          <w:b/>
        </w:rPr>
      </w:pPr>
      <w:r>
        <w:rPr>
          <w:b/>
        </w:rPr>
        <w:t>Amendment</w:t>
      </w:r>
      <w:r w:rsidR="00F84D4F" w:rsidRPr="00B6378C">
        <w:rPr>
          <w:b/>
        </w:rPr>
        <w:t xml:space="preserve"> </w:t>
      </w:r>
      <w:r w:rsidR="00F84D4F">
        <w:rPr>
          <w:b/>
        </w:rPr>
        <w:t>2</w:t>
      </w:r>
      <w:r w:rsidR="00F84D4F" w:rsidRPr="00B6378C">
        <w:rPr>
          <w:b/>
        </w:rPr>
        <w:t xml:space="preserve"> </w:t>
      </w:r>
      <w:r w:rsidR="00F84D4F">
        <w:rPr>
          <w:b/>
        </w:rPr>
        <w:t>–</w:t>
      </w:r>
      <w:r w:rsidR="00F84D4F" w:rsidRPr="00B6378C">
        <w:rPr>
          <w:b/>
        </w:rPr>
        <w:t xml:space="preserve"> </w:t>
      </w:r>
      <w:r w:rsidR="00F84D4F">
        <w:rPr>
          <w:b/>
        </w:rPr>
        <w:t>Division 1.2 of Schedule 1</w:t>
      </w:r>
      <w:r w:rsidR="00F84D4F" w:rsidRPr="00B6378C">
        <w:rPr>
          <w:b/>
        </w:rPr>
        <w:t xml:space="preserve"> (items </w:t>
      </w:r>
      <w:r w:rsidR="00F84D4F" w:rsidRPr="00F84D4F">
        <w:rPr>
          <w:b/>
        </w:rPr>
        <w:t>183, 188, 202 and 212)</w:t>
      </w:r>
    </w:p>
    <w:p w14:paraId="19583EF2" w14:textId="58DCE952" w:rsidR="00F84D4F" w:rsidRDefault="00FC07C6" w:rsidP="00F84D4F">
      <w:pPr>
        <w:pStyle w:val="NoSpacing"/>
      </w:pPr>
      <w:r>
        <w:t>Amendment</w:t>
      </w:r>
      <w:r w:rsidR="00F84D4F">
        <w:t xml:space="preserve"> 2 repeals the </w:t>
      </w:r>
      <w:r w:rsidR="00F84D4F" w:rsidRPr="0014132F">
        <w:t xml:space="preserve">old </w:t>
      </w:r>
      <w:r w:rsidR="00F84D4F">
        <w:t xml:space="preserve">residential aged care facility </w:t>
      </w:r>
      <w:r w:rsidR="00F84D4F" w:rsidRPr="0014132F">
        <w:t xml:space="preserve">attendance </w:t>
      </w:r>
      <w:r w:rsidR="00F84D4F">
        <w:t>items for regional OMPs (</w:t>
      </w:r>
      <w:r w:rsidR="00F84D4F" w:rsidRPr="00F84D4F">
        <w:t>183, 188, 202 and 212</w:t>
      </w:r>
      <w:r w:rsidR="00F84D4F">
        <w:t xml:space="preserve">). These services will be replaced with the new attendance items (see </w:t>
      </w:r>
      <w:r>
        <w:t>amendment</w:t>
      </w:r>
      <w:r w:rsidR="00F84D4F">
        <w:t xml:space="preserve"> 3).</w:t>
      </w:r>
    </w:p>
    <w:p w14:paraId="6B269EA5" w14:textId="19D8256F" w:rsidR="00F84D4F" w:rsidRDefault="00F84D4F" w:rsidP="004D1221">
      <w:pPr>
        <w:pStyle w:val="Header"/>
        <w:tabs>
          <w:tab w:val="num" w:pos="1080"/>
        </w:tabs>
        <w:rPr>
          <w:b/>
          <w:szCs w:val="24"/>
          <w:highlight w:val="yellow"/>
        </w:rPr>
      </w:pPr>
    </w:p>
    <w:p w14:paraId="3804F246" w14:textId="251D0813" w:rsidR="00F84D4F" w:rsidRPr="00F84D4F" w:rsidRDefault="00FC07C6" w:rsidP="00F84D4F">
      <w:pPr>
        <w:pStyle w:val="NoSpacing"/>
        <w:rPr>
          <w:b/>
        </w:rPr>
      </w:pPr>
      <w:r>
        <w:rPr>
          <w:b/>
        </w:rPr>
        <w:t>Amendment</w:t>
      </w:r>
      <w:r w:rsidR="00F84D4F" w:rsidRPr="00F84D4F">
        <w:rPr>
          <w:b/>
        </w:rPr>
        <w:t xml:space="preserve"> 3 – After </w:t>
      </w:r>
      <w:r>
        <w:rPr>
          <w:b/>
        </w:rPr>
        <w:t xml:space="preserve">item 898, </w:t>
      </w:r>
      <w:r w:rsidR="00F84D4F" w:rsidRPr="00F84D4F">
        <w:rPr>
          <w:b/>
        </w:rPr>
        <w:t>Division 1.12</w:t>
      </w:r>
      <w:r>
        <w:rPr>
          <w:b/>
        </w:rPr>
        <w:t>,</w:t>
      </w:r>
      <w:r w:rsidR="00F84D4F" w:rsidRPr="00F84D4F">
        <w:rPr>
          <w:b/>
        </w:rPr>
        <w:t xml:space="preserve"> of Schedule 1</w:t>
      </w:r>
    </w:p>
    <w:p w14:paraId="30CF392E" w14:textId="3C0DB86B" w:rsidR="00F84D4F" w:rsidRPr="00F84D4F" w:rsidRDefault="00FC07C6" w:rsidP="00F84D4F">
      <w:pPr>
        <w:pStyle w:val="NoSpacing"/>
      </w:pPr>
      <w:r>
        <w:t>Amendment</w:t>
      </w:r>
      <w:r w:rsidR="00F84D4F" w:rsidRPr="00F84D4F">
        <w:t xml:space="preserve"> 3 inserts Division 1.13 which creates the new arrangements for general practice service</w:t>
      </w:r>
      <w:r w:rsidR="00F84D4F">
        <w:t>s</w:t>
      </w:r>
      <w:r w:rsidR="00F84D4F" w:rsidRPr="00F84D4F">
        <w:t xml:space="preserve"> </w:t>
      </w:r>
      <w:r w:rsidR="00F84D4F">
        <w:t xml:space="preserve">performed by </w:t>
      </w:r>
      <w:r w:rsidR="00F4744E">
        <w:t xml:space="preserve">regional </w:t>
      </w:r>
      <w:r w:rsidR="00F84D4F">
        <w:t xml:space="preserve">OMPs </w:t>
      </w:r>
      <w:r w:rsidR="00F84D4F" w:rsidRPr="00F84D4F">
        <w:t>in residential aged care facilities.</w:t>
      </w:r>
    </w:p>
    <w:p w14:paraId="18D16218" w14:textId="77777777" w:rsidR="00F84D4F" w:rsidRPr="00F84D4F" w:rsidRDefault="00F84D4F" w:rsidP="00F84D4F">
      <w:pPr>
        <w:pStyle w:val="NoSpacing"/>
        <w:rPr>
          <w:highlight w:val="yellow"/>
        </w:rPr>
      </w:pPr>
    </w:p>
    <w:p w14:paraId="33ACF807" w14:textId="004A8A3C" w:rsidR="00F84D4F" w:rsidRPr="00F84D4F" w:rsidRDefault="00F84D4F" w:rsidP="00F84D4F">
      <w:pPr>
        <w:pStyle w:val="NoSpacing"/>
        <w:rPr>
          <w:highlight w:val="yellow"/>
        </w:rPr>
      </w:pPr>
      <w:r w:rsidRPr="00F84D4F">
        <w:lastRenderedPageBreak/>
        <w:t xml:space="preserve">Subclause 1.13.1 will increase the fee for the first patient attendance during the residential aged </w:t>
      </w:r>
      <w:r w:rsidR="00C13CEB">
        <w:t xml:space="preserve">care </w:t>
      </w:r>
      <w:r w:rsidRPr="00F84D4F">
        <w:t>facility visit by $40. This amount is</w:t>
      </w:r>
      <w:r w:rsidR="00F4744E">
        <w:t xml:space="preserve"> intended to reflect</w:t>
      </w:r>
      <w:r w:rsidRPr="00F84D4F">
        <w:t xml:space="preserve"> the </w:t>
      </w:r>
      <w:r w:rsidR="00F4744E">
        <w:t>costs</w:t>
      </w:r>
      <w:r w:rsidRPr="00F84D4F">
        <w:t xml:space="preserve"> doctors </w:t>
      </w:r>
      <w:r w:rsidR="00F4744E">
        <w:t xml:space="preserve">incur </w:t>
      </w:r>
      <w:r w:rsidRPr="00F84D4F">
        <w:t xml:space="preserve">when providing </w:t>
      </w:r>
      <w:r w:rsidR="00F4744E">
        <w:t>professional services</w:t>
      </w:r>
      <w:r w:rsidRPr="00F84D4F">
        <w:t xml:space="preserve"> in residential aged </w:t>
      </w:r>
      <w:r w:rsidR="00C13CEB">
        <w:t xml:space="preserve">care </w:t>
      </w:r>
      <w:r w:rsidR="00F4744E">
        <w:t>facilities</w:t>
      </w:r>
      <w:r w:rsidRPr="00F84D4F">
        <w:t xml:space="preserve">. Subclause 1.13.1 only applies to the attendance for the first patient seen at the residential aged care facility. </w:t>
      </w:r>
    </w:p>
    <w:p w14:paraId="4D4CA61C" w14:textId="7BD6B457" w:rsidR="00F84D4F" w:rsidRPr="00F84D4F" w:rsidRDefault="00F84D4F" w:rsidP="00F84D4F">
      <w:pPr>
        <w:pStyle w:val="NoSpacing"/>
        <w:rPr>
          <w:highlight w:val="yellow"/>
        </w:rPr>
      </w:pPr>
    </w:p>
    <w:p w14:paraId="3C95315F" w14:textId="1D8CE47E" w:rsidR="00DD2C2E" w:rsidRPr="008C63B6" w:rsidRDefault="00F84D4F" w:rsidP="008C63B6">
      <w:pPr>
        <w:pStyle w:val="NoSpacing"/>
        <w:rPr>
          <w:b/>
        </w:rPr>
      </w:pPr>
      <w:r w:rsidRPr="00FC07C6">
        <w:t>Division 1.13 also creates the new attendance items for regional OMPs</w:t>
      </w:r>
      <w:r w:rsidR="008C63B6" w:rsidRPr="00FC07C6">
        <w:t xml:space="preserve"> (90183, 90188, 90202 and 90212)</w:t>
      </w:r>
      <w:r w:rsidRPr="00FC07C6">
        <w:t>. These items</w:t>
      </w:r>
      <w:r w:rsidRPr="00F84D4F">
        <w:t xml:space="preserve"> have the same requirements as the deleted attendance items (see </w:t>
      </w:r>
      <w:r w:rsidR="00F4744E">
        <w:t>amendment</w:t>
      </w:r>
      <w:r w:rsidRPr="00F84D4F">
        <w:t xml:space="preserve"> 2), but have a nominal fee amount like other standard attendances. The new attendance items can be claimed for each patient attended during a residential aged care facility visit.  </w:t>
      </w:r>
      <w:r w:rsidRPr="00F84D4F">
        <w:br/>
      </w:r>
    </w:p>
    <w:p w14:paraId="6E5762F1" w14:textId="299639E2" w:rsidR="00EA6E1E" w:rsidRPr="00B504CB" w:rsidRDefault="004D1221" w:rsidP="004D1221">
      <w:pPr>
        <w:rPr>
          <w:szCs w:val="24"/>
          <w:highlight w:val="yellow"/>
          <w:u w:val="single"/>
        </w:rPr>
      </w:pPr>
      <w:r w:rsidRPr="00B504CB">
        <w:rPr>
          <w:szCs w:val="24"/>
          <w:highlight w:val="yellow"/>
        </w:rPr>
        <w:br/>
      </w:r>
    </w:p>
    <w:p w14:paraId="2412D14D" w14:textId="2A7C6DD0" w:rsidR="00F83B6F" w:rsidRPr="00B504CB" w:rsidRDefault="00F83B6F" w:rsidP="00A34D89">
      <w:pPr>
        <w:pStyle w:val="Header"/>
        <w:tabs>
          <w:tab w:val="num" w:pos="1080"/>
        </w:tabs>
        <w:rPr>
          <w:highlight w:val="yellow"/>
        </w:rPr>
      </w:pPr>
      <w:r w:rsidRPr="00B504CB">
        <w:rPr>
          <w:b/>
          <w:sz w:val="28"/>
          <w:szCs w:val="28"/>
          <w:highlight w:val="yellow"/>
        </w:rPr>
        <w:br w:type="page"/>
      </w:r>
    </w:p>
    <w:p w14:paraId="2412D14E" w14:textId="77777777" w:rsidR="00A17F2C" w:rsidRPr="008C63B6" w:rsidRDefault="00A17F2C" w:rsidP="00686FBD">
      <w:pPr>
        <w:pStyle w:val="Header"/>
        <w:tabs>
          <w:tab w:val="num" w:pos="1080"/>
        </w:tabs>
        <w:jc w:val="center"/>
        <w:rPr>
          <w:b/>
          <w:sz w:val="28"/>
          <w:szCs w:val="28"/>
        </w:rPr>
      </w:pPr>
      <w:r w:rsidRPr="008C63B6">
        <w:rPr>
          <w:b/>
          <w:sz w:val="28"/>
          <w:szCs w:val="28"/>
        </w:rPr>
        <w:lastRenderedPageBreak/>
        <w:t>Statement of Compatibility with Human Rights</w:t>
      </w:r>
    </w:p>
    <w:p w14:paraId="2412D14F" w14:textId="77777777" w:rsidR="00A17F2C" w:rsidRPr="008C63B6" w:rsidRDefault="00A17F2C" w:rsidP="000337CB">
      <w:pPr>
        <w:spacing w:before="120" w:after="120"/>
        <w:jc w:val="center"/>
        <w:rPr>
          <w:szCs w:val="24"/>
        </w:rPr>
      </w:pPr>
      <w:r w:rsidRPr="008C63B6">
        <w:rPr>
          <w:i/>
          <w:szCs w:val="24"/>
        </w:rPr>
        <w:t>Prepared in accordance with Part 3 of the Human Rights (Parliamentary Scrutiny) Act 2011</w:t>
      </w:r>
    </w:p>
    <w:p w14:paraId="2412D150" w14:textId="77777777" w:rsidR="00A17F2C" w:rsidRPr="008C63B6" w:rsidRDefault="00A17F2C" w:rsidP="000337CB">
      <w:pPr>
        <w:spacing w:before="120" w:after="120"/>
        <w:jc w:val="center"/>
        <w:rPr>
          <w:szCs w:val="24"/>
        </w:rPr>
      </w:pPr>
    </w:p>
    <w:p w14:paraId="3A52A4B2" w14:textId="5286A516" w:rsidR="00C6094D" w:rsidRPr="008C63B6" w:rsidRDefault="008C63B6" w:rsidP="00447E92">
      <w:pPr>
        <w:jc w:val="center"/>
        <w:rPr>
          <w:b/>
          <w:i/>
          <w:szCs w:val="24"/>
        </w:rPr>
      </w:pPr>
      <w:r w:rsidRPr="008C63B6">
        <w:rPr>
          <w:b/>
          <w:i/>
          <w:iCs/>
        </w:rPr>
        <w:t xml:space="preserve">Health Insurance (Section 3C General Medical Services – </w:t>
      </w:r>
      <w:r w:rsidR="00147AA2">
        <w:rPr>
          <w:b/>
          <w:i/>
          <w:iCs/>
        </w:rPr>
        <w:t>Other Medical Practitioner) (</w:t>
      </w:r>
      <w:r w:rsidRPr="008C63B6">
        <w:rPr>
          <w:b/>
          <w:i/>
          <w:iCs/>
        </w:rPr>
        <w:t>Services for Patients in Residential Aged Care Facilities) Amendment Determination 2019</w:t>
      </w:r>
      <w:r w:rsidR="00A34D89" w:rsidRPr="008C63B6">
        <w:rPr>
          <w:b/>
          <w:i/>
          <w:szCs w:val="24"/>
        </w:rPr>
        <w:br/>
      </w:r>
    </w:p>
    <w:p w14:paraId="2412D153" w14:textId="1B242C70" w:rsidR="00A17F2C" w:rsidRPr="008C63B6" w:rsidRDefault="00A17F2C" w:rsidP="000337CB">
      <w:pPr>
        <w:jc w:val="center"/>
        <w:rPr>
          <w:szCs w:val="24"/>
        </w:rPr>
      </w:pPr>
      <w:r w:rsidRPr="008C63B6">
        <w:rPr>
          <w:szCs w:val="24"/>
        </w:rPr>
        <w:t xml:space="preserve">This </w:t>
      </w:r>
      <w:r w:rsidR="00A90EE0" w:rsidRPr="008C63B6">
        <w:rPr>
          <w:szCs w:val="24"/>
        </w:rPr>
        <w:t>Determination</w:t>
      </w:r>
      <w:r w:rsidRPr="008C63B6">
        <w:rPr>
          <w:szCs w:val="24"/>
        </w:rPr>
        <w:t xml:space="preserve"> is compatible with the human rights and freedoms recognised or declared in the international instruments listed in section 3 of the </w:t>
      </w:r>
      <w:r w:rsidRPr="008C63B6">
        <w:rPr>
          <w:i/>
          <w:szCs w:val="24"/>
        </w:rPr>
        <w:t>Human Rights (Parliamentary Scrutiny) Act 2011</w:t>
      </w:r>
      <w:r w:rsidRPr="008C63B6">
        <w:rPr>
          <w:szCs w:val="24"/>
        </w:rPr>
        <w:t>.</w:t>
      </w:r>
    </w:p>
    <w:p w14:paraId="2412D154" w14:textId="77777777" w:rsidR="00A17F2C" w:rsidRPr="00B504CB" w:rsidRDefault="00A17F2C" w:rsidP="000337CB">
      <w:pPr>
        <w:jc w:val="center"/>
        <w:rPr>
          <w:szCs w:val="24"/>
          <w:highlight w:val="yellow"/>
        </w:rPr>
      </w:pPr>
    </w:p>
    <w:p w14:paraId="7EDA9098" w14:textId="306A78E1" w:rsidR="006E6BBF" w:rsidRPr="008C63B6" w:rsidRDefault="006E6BBF" w:rsidP="008734F5">
      <w:pPr>
        <w:spacing w:before="120" w:after="120"/>
        <w:rPr>
          <w:b/>
          <w:szCs w:val="24"/>
        </w:rPr>
      </w:pPr>
      <w:r w:rsidRPr="008C63B6">
        <w:rPr>
          <w:b/>
          <w:szCs w:val="24"/>
        </w:rPr>
        <w:t xml:space="preserve">Overview of the </w:t>
      </w:r>
      <w:r w:rsidR="00B86A9F" w:rsidRPr="008C63B6">
        <w:rPr>
          <w:b/>
          <w:szCs w:val="24"/>
        </w:rPr>
        <w:t>Determination</w:t>
      </w:r>
    </w:p>
    <w:p w14:paraId="5DA7C45F" w14:textId="664C4E9B" w:rsidR="008C63B6" w:rsidRDefault="008C63B6" w:rsidP="008C63B6">
      <w:pPr>
        <w:spacing w:before="120" w:after="120"/>
      </w:pPr>
      <w:r w:rsidRPr="00FA2336">
        <w:t xml:space="preserve">The purpose of the </w:t>
      </w:r>
      <w:r w:rsidRPr="00FA2336">
        <w:rPr>
          <w:i/>
          <w:iCs/>
        </w:rPr>
        <w:t xml:space="preserve">Health Insurance (Section 3C General Medical Services – </w:t>
      </w:r>
      <w:r w:rsidR="00147AA2">
        <w:rPr>
          <w:i/>
          <w:iCs/>
        </w:rPr>
        <w:t>Other Medical Practitioner) (</w:t>
      </w:r>
      <w:r w:rsidRPr="00FA2336">
        <w:rPr>
          <w:i/>
          <w:iCs/>
        </w:rPr>
        <w:t xml:space="preserve">Services for Patients in Residential Aged Care Facilities) Amendment Determination 2019 </w:t>
      </w:r>
      <w:r w:rsidRPr="00FA2336">
        <w:rPr>
          <w:iCs/>
        </w:rPr>
        <w:t>(</w:t>
      </w:r>
      <w:r w:rsidRPr="00FA2336">
        <w:t xml:space="preserve">the Determination) is to implement the Government’s response to recommendations from the clinician-led Medicare Benefits Schedule Review Taskforce (the Taskforce) relating to general practice attendances at residential aged care facilities. </w:t>
      </w:r>
    </w:p>
    <w:p w14:paraId="518490A6" w14:textId="7F4D43A9" w:rsidR="008C63B6" w:rsidRDefault="008C63B6" w:rsidP="008C63B6">
      <w:pPr>
        <w:spacing w:before="120" w:after="120"/>
      </w:pPr>
      <w:r w:rsidRPr="00FA2336">
        <w:t xml:space="preserve">The Determination amends the </w:t>
      </w:r>
      <w:r w:rsidRPr="00FA2336">
        <w:rPr>
          <w:i/>
        </w:rPr>
        <w:t>Health Insurance (Section 3C General Medical Services – Other Medical Practitioner) Determination 2018</w:t>
      </w:r>
      <w:r w:rsidRPr="00FA2336">
        <w:t xml:space="preserve"> (Principal OMP Determination) to increase the MBS fees for the most commonly claimed general practice services </w:t>
      </w:r>
      <w:r>
        <w:t xml:space="preserve">performed by other medical practitioners (OMPs) </w:t>
      </w:r>
      <w:r w:rsidRPr="00FA2336">
        <w:t xml:space="preserve">in </w:t>
      </w:r>
      <w:r>
        <w:t xml:space="preserve">regional </w:t>
      </w:r>
      <w:r w:rsidR="00FD38FB">
        <w:t>residential aged care facilities</w:t>
      </w:r>
      <w:r w:rsidRPr="00FA2336">
        <w:t xml:space="preserve">. </w:t>
      </w:r>
      <w:r w:rsidRPr="00FA2336">
        <w:rPr>
          <w:szCs w:val="24"/>
        </w:rPr>
        <w:t xml:space="preserve">The changes also simplify the item structure for doctors and patients. </w:t>
      </w:r>
    </w:p>
    <w:p w14:paraId="3CBF3EF0" w14:textId="7EDD60E1" w:rsidR="008C63B6" w:rsidRPr="008C63B6" w:rsidRDefault="008C63B6" w:rsidP="008734F5">
      <w:pPr>
        <w:spacing w:before="120" w:after="120"/>
      </w:pPr>
      <w:r>
        <w:t xml:space="preserve">The Government announced this change as part of the </w:t>
      </w:r>
      <w:r w:rsidRPr="00F364ED">
        <w:rPr>
          <w:i/>
          <w:iCs/>
        </w:rPr>
        <w:t xml:space="preserve">Guaranteeing Medicare — strengthening primary care </w:t>
      </w:r>
      <w:r>
        <w:t>package</w:t>
      </w:r>
      <w:r w:rsidRPr="00F364ED">
        <w:t xml:space="preserve"> in the 2018-19 Mid-Year Economic and Fiscal Outlook (MYEFO).</w:t>
      </w:r>
    </w:p>
    <w:p w14:paraId="2412D15C" w14:textId="24E693C2" w:rsidR="00A17F2C" w:rsidRPr="008C63B6" w:rsidRDefault="00A17F2C" w:rsidP="008734F5">
      <w:pPr>
        <w:spacing w:before="120" w:after="120"/>
        <w:rPr>
          <w:b/>
          <w:szCs w:val="24"/>
        </w:rPr>
      </w:pPr>
      <w:r w:rsidRPr="008C63B6">
        <w:rPr>
          <w:b/>
          <w:szCs w:val="24"/>
        </w:rPr>
        <w:t>Human rights implications</w:t>
      </w:r>
    </w:p>
    <w:p w14:paraId="2412D15D" w14:textId="71E7135C" w:rsidR="00A17F2C" w:rsidRPr="008C63B6" w:rsidRDefault="008B683E" w:rsidP="000337CB">
      <w:pPr>
        <w:spacing w:before="120" w:after="120"/>
        <w:rPr>
          <w:szCs w:val="24"/>
        </w:rPr>
      </w:pPr>
      <w:r w:rsidRPr="008C63B6">
        <w:rPr>
          <w:szCs w:val="24"/>
        </w:rPr>
        <w:t>Th</w:t>
      </w:r>
      <w:r w:rsidR="00C743D2" w:rsidRPr="008C63B6">
        <w:rPr>
          <w:szCs w:val="24"/>
        </w:rPr>
        <w:t>is</w:t>
      </w:r>
      <w:r w:rsidRPr="008C63B6">
        <w:rPr>
          <w:szCs w:val="24"/>
        </w:rPr>
        <w:t xml:space="preserve"> </w:t>
      </w:r>
      <w:r w:rsidR="006E6BBF" w:rsidRPr="008C63B6">
        <w:rPr>
          <w:szCs w:val="24"/>
        </w:rPr>
        <w:t>Determination</w:t>
      </w:r>
      <w:r w:rsidR="00A17F2C" w:rsidRPr="008C63B6">
        <w:rPr>
          <w:szCs w:val="24"/>
        </w:rPr>
        <w:t xml:space="preserve"> engage</w:t>
      </w:r>
      <w:r w:rsidR="006E6BBF" w:rsidRPr="008C63B6">
        <w:rPr>
          <w:szCs w:val="24"/>
        </w:rPr>
        <w:t>s</w:t>
      </w:r>
      <w:r w:rsidR="00A17F2C" w:rsidRPr="008C63B6">
        <w:rPr>
          <w:szCs w:val="24"/>
        </w:rPr>
        <w:t xml:space="preserve"> Articles </w:t>
      </w:r>
      <w:r w:rsidR="002B7177" w:rsidRPr="008C63B6">
        <w:rPr>
          <w:szCs w:val="24"/>
        </w:rPr>
        <w:t xml:space="preserve">9 </w:t>
      </w:r>
      <w:r w:rsidR="00A17F2C" w:rsidRPr="008C63B6">
        <w:rPr>
          <w:szCs w:val="24"/>
        </w:rPr>
        <w:t xml:space="preserve">and 12 of the International Covenant on Economic Social and Cultural Rights (ICESCR), specifically the rights to health and social security. </w:t>
      </w:r>
    </w:p>
    <w:p w14:paraId="2412D15E" w14:textId="05832345" w:rsidR="00A17F2C" w:rsidRPr="008C63B6" w:rsidRDefault="00A17F2C" w:rsidP="000337CB">
      <w:pPr>
        <w:spacing w:before="120" w:after="120"/>
        <w:rPr>
          <w:i/>
          <w:szCs w:val="24"/>
        </w:rPr>
      </w:pPr>
      <w:r w:rsidRPr="008C63B6">
        <w:rPr>
          <w:i/>
          <w:szCs w:val="24"/>
        </w:rPr>
        <w:t>The Right to Health</w:t>
      </w:r>
    </w:p>
    <w:p w14:paraId="2412D15F" w14:textId="77777777" w:rsidR="00A17F2C" w:rsidRPr="008C63B6" w:rsidRDefault="00A17F2C" w:rsidP="000337CB">
      <w:pPr>
        <w:spacing w:before="120" w:after="120"/>
        <w:rPr>
          <w:szCs w:val="24"/>
        </w:rPr>
      </w:pPr>
      <w:r w:rsidRPr="008C63B6">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8C63B6" w:rsidRDefault="00A17F2C" w:rsidP="000337CB">
      <w:pPr>
        <w:spacing w:before="120" w:after="120"/>
        <w:rPr>
          <w:szCs w:val="24"/>
        </w:rPr>
      </w:pPr>
      <w:r w:rsidRPr="008C63B6">
        <w:rPr>
          <w:szCs w:val="24"/>
        </w:rPr>
        <w:t xml:space="preserve">The Committee reports that the </w:t>
      </w:r>
      <w:r w:rsidRPr="008C63B6">
        <w:rPr>
          <w:i/>
          <w:szCs w:val="24"/>
        </w:rPr>
        <w:t>‘highest attainable standard of health’</w:t>
      </w:r>
      <w:r w:rsidRPr="008C63B6">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77777777" w:rsidR="00A17F2C" w:rsidRPr="008C63B6" w:rsidRDefault="00A17F2C" w:rsidP="000337CB">
      <w:pPr>
        <w:spacing w:before="120" w:after="120"/>
        <w:rPr>
          <w:i/>
          <w:szCs w:val="24"/>
        </w:rPr>
      </w:pPr>
      <w:r w:rsidRPr="008C63B6">
        <w:rPr>
          <w:i/>
          <w:szCs w:val="24"/>
        </w:rPr>
        <w:t xml:space="preserve">The Right to Social Security </w:t>
      </w:r>
    </w:p>
    <w:p w14:paraId="2412D162" w14:textId="77777777" w:rsidR="00A17F2C" w:rsidRPr="008C63B6" w:rsidRDefault="00A17F2C" w:rsidP="000337CB">
      <w:pPr>
        <w:spacing w:before="120" w:after="120"/>
        <w:rPr>
          <w:szCs w:val="24"/>
        </w:rPr>
      </w:pPr>
      <w:r w:rsidRPr="008C63B6">
        <w:rPr>
          <w:szCs w:val="24"/>
        </w:rPr>
        <w:t>The right to social security is contained in Article 9 of the ICESCR. It requires that a country must, within its maximum available resources, ensure access to a social security scheme that</w:t>
      </w:r>
      <w:r w:rsidR="00BA69CB" w:rsidRPr="008C63B6">
        <w:rPr>
          <w:szCs w:val="24"/>
        </w:rPr>
        <w:t xml:space="preserve"> </w:t>
      </w:r>
      <w:r w:rsidRPr="008C63B6">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8C63B6" w:rsidRDefault="00A17F2C" w:rsidP="000337CB">
      <w:pPr>
        <w:spacing w:before="120" w:after="120"/>
        <w:rPr>
          <w:szCs w:val="24"/>
        </w:rPr>
      </w:pPr>
      <w:r w:rsidRPr="008C63B6">
        <w:rPr>
          <w:szCs w:val="24"/>
        </w:rPr>
        <w:lastRenderedPageBreak/>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4B566F87" w:rsidR="00A17F2C" w:rsidRPr="008C63B6" w:rsidRDefault="00A17F2C" w:rsidP="000337CB">
      <w:pPr>
        <w:spacing w:before="120" w:after="120"/>
        <w:rPr>
          <w:szCs w:val="24"/>
          <w:u w:val="single"/>
        </w:rPr>
      </w:pPr>
      <w:r w:rsidRPr="008C63B6">
        <w:rPr>
          <w:szCs w:val="24"/>
          <w:u w:val="single"/>
        </w:rPr>
        <w:t xml:space="preserve">Analysis </w:t>
      </w:r>
    </w:p>
    <w:p w14:paraId="3C99467C" w14:textId="6CD79ECD" w:rsidR="008C63B6" w:rsidRPr="008C63B6" w:rsidRDefault="008C63B6" w:rsidP="008C63B6">
      <w:pPr>
        <w:spacing w:before="120" w:after="120"/>
        <w:rPr>
          <w:szCs w:val="24"/>
        </w:rPr>
      </w:pPr>
      <w:r w:rsidRPr="008C63B6">
        <w:rPr>
          <w:szCs w:val="24"/>
        </w:rPr>
        <w:t xml:space="preserve">The Determination will advance rights to health and social security by increasing the patient subsidy (the Medicare benefit) for the most commonly claimed general practice services in </w:t>
      </w:r>
      <w:r w:rsidR="00C13CEB">
        <w:rPr>
          <w:szCs w:val="24"/>
        </w:rPr>
        <w:t xml:space="preserve">regional </w:t>
      </w:r>
      <w:r w:rsidRPr="008C63B6">
        <w:rPr>
          <w:szCs w:val="24"/>
        </w:rPr>
        <w:t xml:space="preserve">residential aged care facilities. This investment will incentivise doctors to </w:t>
      </w:r>
      <w:r w:rsidRPr="008C63B6">
        <w:t xml:space="preserve">provide </w:t>
      </w:r>
      <w:r w:rsidRPr="008C63B6">
        <w:rPr>
          <w:szCs w:val="24"/>
        </w:rPr>
        <w:t xml:space="preserve">clinically effective </w:t>
      </w:r>
      <w:r w:rsidRPr="008C63B6">
        <w:t xml:space="preserve">medical services in residential aged </w:t>
      </w:r>
      <w:r w:rsidR="00FD38FB">
        <w:t xml:space="preserve">care </w:t>
      </w:r>
      <w:r w:rsidR="009335AC">
        <w:t>facilities</w:t>
      </w:r>
      <w:r w:rsidRPr="008C63B6">
        <w:rPr>
          <w:szCs w:val="24"/>
        </w:rPr>
        <w:t xml:space="preserve">. </w:t>
      </w:r>
    </w:p>
    <w:p w14:paraId="2412D166" w14:textId="1973400E" w:rsidR="00A17F2C" w:rsidRPr="008C63B6" w:rsidRDefault="00A17F2C" w:rsidP="004B7CB9">
      <w:pPr>
        <w:spacing w:before="120" w:after="120" w:line="276" w:lineRule="auto"/>
        <w:rPr>
          <w:rFonts w:eastAsia="Calibri"/>
          <w:b/>
          <w:szCs w:val="24"/>
          <w:lang w:eastAsia="en-US"/>
        </w:rPr>
      </w:pPr>
      <w:r w:rsidRPr="008C63B6">
        <w:rPr>
          <w:rFonts w:eastAsia="Calibri"/>
          <w:b/>
          <w:szCs w:val="24"/>
          <w:lang w:eastAsia="en-US"/>
        </w:rPr>
        <w:t xml:space="preserve">Conclusion </w:t>
      </w:r>
    </w:p>
    <w:p w14:paraId="2412D167" w14:textId="0A313D60" w:rsidR="00A17F2C" w:rsidRPr="008C63B6" w:rsidRDefault="006E6BBF" w:rsidP="000337CB">
      <w:pPr>
        <w:rPr>
          <w:szCs w:val="24"/>
        </w:rPr>
      </w:pPr>
      <w:r w:rsidRPr="008C63B6">
        <w:rPr>
          <w:szCs w:val="24"/>
        </w:rPr>
        <w:t xml:space="preserve">This </w:t>
      </w:r>
      <w:r w:rsidR="00B86A9F" w:rsidRPr="008C63B6">
        <w:rPr>
          <w:szCs w:val="24"/>
        </w:rPr>
        <w:t>Determination</w:t>
      </w:r>
      <w:r w:rsidRPr="008C63B6">
        <w:rPr>
          <w:szCs w:val="24"/>
        </w:rPr>
        <w:t xml:space="preserve"> </w:t>
      </w:r>
      <w:r w:rsidR="00F15284" w:rsidRPr="008C63B6">
        <w:rPr>
          <w:szCs w:val="24"/>
        </w:rPr>
        <w:t xml:space="preserve">is compatible with human rights as it has a positive effect on </w:t>
      </w:r>
      <w:r w:rsidR="00910EF6" w:rsidRPr="008C63B6">
        <w:rPr>
          <w:szCs w:val="24"/>
        </w:rPr>
        <w:t xml:space="preserve">the right to health and the right to social security. </w:t>
      </w:r>
    </w:p>
    <w:p w14:paraId="2412D168" w14:textId="77777777" w:rsidR="00F15284" w:rsidRPr="00B504CB" w:rsidRDefault="00F15284" w:rsidP="000337CB">
      <w:pPr>
        <w:rPr>
          <w:rFonts w:eastAsia="Calibri"/>
          <w:szCs w:val="24"/>
          <w:highlight w:val="yellow"/>
          <w:lang w:eastAsia="en-US"/>
        </w:rPr>
      </w:pPr>
    </w:p>
    <w:p w14:paraId="4D563976" w14:textId="77777777" w:rsidR="002C0F5D" w:rsidRDefault="002C0F5D" w:rsidP="00B86A9F">
      <w:pPr>
        <w:jc w:val="center"/>
        <w:rPr>
          <w:b/>
        </w:rPr>
      </w:pPr>
      <w:r w:rsidRPr="002C0F5D">
        <w:rPr>
          <w:b/>
        </w:rPr>
        <w:t>Andrew Simpson</w:t>
      </w:r>
    </w:p>
    <w:p w14:paraId="445C4FA9" w14:textId="77777777" w:rsidR="002C0F5D" w:rsidRPr="002C0F5D" w:rsidRDefault="002C0F5D" w:rsidP="00E317BC">
      <w:pPr>
        <w:spacing w:line="240" w:lineRule="atLeast"/>
        <w:ind w:right="-23"/>
        <w:jc w:val="center"/>
        <w:rPr>
          <w:b/>
        </w:rPr>
      </w:pPr>
      <w:r w:rsidRPr="002C0F5D">
        <w:rPr>
          <w:b/>
        </w:rPr>
        <w:t>Assistant Secretary</w:t>
      </w:r>
    </w:p>
    <w:p w14:paraId="2468E4E2" w14:textId="77777777" w:rsidR="002C0F5D" w:rsidRPr="002C0F5D" w:rsidRDefault="002C0F5D" w:rsidP="00E317BC">
      <w:pPr>
        <w:spacing w:line="240" w:lineRule="atLeast"/>
        <w:ind w:right="-23"/>
        <w:jc w:val="center"/>
        <w:rPr>
          <w:b/>
        </w:rPr>
      </w:pPr>
      <w:r w:rsidRPr="002C0F5D">
        <w:rPr>
          <w:b/>
        </w:rPr>
        <w:t>MBS Reviews Branch</w:t>
      </w:r>
    </w:p>
    <w:p w14:paraId="60C6C760" w14:textId="54379C88" w:rsidR="00B86A9F" w:rsidRDefault="00B86A9F" w:rsidP="00B86A9F">
      <w:pPr>
        <w:jc w:val="center"/>
        <w:rPr>
          <w:b/>
        </w:rPr>
      </w:pPr>
      <w:r w:rsidRPr="008C63B6">
        <w:rPr>
          <w:b/>
        </w:rPr>
        <w:t>Medical Benefits Division</w:t>
      </w:r>
    </w:p>
    <w:p w14:paraId="747CF33B" w14:textId="73FBA7B3" w:rsidR="00E26C0D" w:rsidRPr="008C63B6" w:rsidRDefault="00E26C0D" w:rsidP="00B86A9F">
      <w:pPr>
        <w:jc w:val="center"/>
        <w:rPr>
          <w:b/>
        </w:rPr>
      </w:pPr>
      <w:r>
        <w:rPr>
          <w:b/>
        </w:rPr>
        <w:t>Health Financing Group</w:t>
      </w:r>
    </w:p>
    <w:p w14:paraId="44DB9DAB" w14:textId="77777777" w:rsidR="00B86A9F" w:rsidRPr="00C5724B" w:rsidRDefault="00B86A9F" w:rsidP="00B86A9F">
      <w:pPr>
        <w:jc w:val="center"/>
        <w:rPr>
          <w:b/>
        </w:rPr>
      </w:pPr>
      <w:r w:rsidRPr="008C63B6">
        <w:rPr>
          <w:b/>
        </w:rPr>
        <w:t>Department of Health</w:t>
      </w:r>
    </w:p>
    <w:p w14:paraId="2412D16E" w14:textId="77777777" w:rsidR="00636C51" w:rsidRPr="0020245D" w:rsidRDefault="00636C51" w:rsidP="009A26CA">
      <w:pPr>
        <w:spacing w:before="120" w:after="120" w:line="276" w:lineRule="auto"/>
        <w:rPr>
          <w:rFonts w:eastAsia="Calibri"/>
          <w:szCs w:val="24"/>
          <w:lang w:eastAsia="en-US"/>
        </w:rPr>
      </w:pPr>
    </w:p>
    <w:sectPr w:rsidR="00636C51" w:rsidRPr="0020245D" w:rsidSect="00D664A9">
      <w:headerReference w:type="even" r:id="rId12"/>
      <w:headerReference w:type="default" r:id="rId13"/>
      <w:headerReference w:type="first" r:id="rId14"/>
      <w:pgSz w:w="11906" w:h="16838"/>
      <w:pgMar w:top="1440" w:right="1133"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65B49529" w:rsidR="00A1739A" w:rsidRDefault="00A1739A" w:rsidP="00BD6F5F">
    <w:pPr>
      <w:pStyle w:val="Header"/>
      <w:jc w:val="center"/>
    </w:pPr>
    <w:r>
      <w:fldChar w:fldCharType="begin"/>
    </w:r>
    <w:r>
      <w:instrText xml:space="preserve"> PAGE  \* Arabic  \* MERGEFORMAT </w:instrText>
    </w:r>
    <w:r>
      <w:fldChar w:fldCharType="separate"/>
    </w:r>
    <w:r w:rsidR="00526776">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1226AF88" w:rsidR="00E23B6B" w:rsidRDefault="00E23B6B">
        <w:pPr>
          <w:pStyle w:val="Header"/>
          <w:jc w:val="center"/>
        </w:pPr>
        <w:r>
          <w:fldChar w:fldCharType="begin"/>
        </w:r>
        <w:r>
          <w:instrText xml:space="preserve"> PAGE   \* MERGEFORMAT </w:instrText>
        </w:r>
        <w:r>
          <w:fldChar w:fldCharType="separate"/>
        </w:r>
        <w:r w:rsidR="00526776">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1DCEDB77" w:rsidR="00E23B6B" w:rsidRDefault="00E23B6B">
        <w:pPr>
          <w:pStyle w:val="Header"/>
          <w:jc w:val="center"/>
        </w:pPr>
        <w:r>
          <w:fldChar w:fldCharType="begin"/>
        </w:r>
        <w:r>
          <w:instrText xml:space="preserve"> PAGE   \* MERGEFORMAT </w:instrText>
        </w:r>
        <w:r>
          <w:fldChar w:fldCharType="separate"/>
        </w:r>
        <w:r w:rsidR="00526776">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47403"/>
    <w:multiLevelType w:val="hybridMultilevel"/>
    <w:tmpl w:val="E83E0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004631"/>
    <w:multiLevelType w:val="hybridMultilevel"/>
    <w:tmpl w:val="15B03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2C1336"/>
    <w:multiLevelType w:val="hybridMultilevel"/>
    <w:tmpl w:val="87D80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8"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CB5AD8"/>
    <w:multiLevelType w:val="hybridMultilevel"/>
    <w:tmpl w:val="BDB67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5"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6"/>
  </w:num>
  <w:num w:numId="6">
    <w:abstractNumId w:val="9"/>
  </w:num>
  <w:num w:numId="7">
    <w:abstractNumId w:val="26"/>
  </w:num>
  <w:num w:numId="8">
    <w:abstractNumId w:val="6"/>
  </w:num>
  <w:num w:numId="9">
    <w:abstractNumId w:val="5"/>
  </w:num>
  <w:num w:numId="10">
    <w:abstractNumId w:val="27"/>
  </w:num>
  <w:num w:numId="11">
    <w:abstractNumId w:val="25"/>
  </w:num>
  <w:num w:numId="12">
    <w:abstractNumId w:val="13"/>
  </w:num>
  <w:num w:numId="13">
    <w:abstractNumId w:val="15"/>
  </w:num>
  <w:num w:numId="14">
    <w:abstractNumId w:val="24"/>
  </w:num>
  <w:num w:numId="15">
    <w:abstractNumId w:val="7"/>
  </w:num>
  <w:num w:numId="16">
    <w:abstractNumId w:val="18"/>
  </w:num>
  <w:num w:numId="17">
    <w:abstractNumId w:val="22"/>
  </w:num>
  <w:num w:numId="18">
    <w:abstractNumId w:val="19"/>
  </w:num>
  <w:num w:numId="19">
    <w:abstractNumId w:val="4"/>
  </w:num>
  <w:num w:numId="20">
    <w:abstractNumId w:val="1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8"/>
  </w:num>
  <w:num w:numId="26">
    <w:abstractNumId w:val="14"/>
  </w:num>
  <w:num w:numId="27">
    <w:abstractNumId w:val="12"/>
  </w:num>
  <w:num w:numId="28">
    <w:abstractNumId w:val="3"/>
  </w:num>
  <w:num w:numId="2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CCE"/>
    <w:rsid w:val="00003D66"/>
    <w:rsid w:val="0000441D"/>
    <w:rsid w:val="00004E17"/>
    <w:rsid w:val="00005906"/>
    <w:rsid w:val="00007B65"/>
    <w:rsid w:val="00014639"/>
    <w:rsid w:val="00014B38"/>
    <w:rsid w:val="00014E40"/>
    <w:rsid w:val="00016774"/>
    <w:rsid w:val="000203B4"/>
    <w:rsid w:val="00021EFA"/>
    <w:rsid w:val="00024158"/>
    <w:rsid w:val="00025F64"/>
    <w:rsid w:val="0002704E"/>
    <w:rsid w:val="0002728B"/>
    <w:rsid w:val="00027830"/>
    <w:rsid w:val="0003079C"/>
    <w:rsid w:val="000319EF"/>
    <w:rsid w:val="00033034"/>
    <w:rsid w:val="000337CB"/>
    <w:rsid w:val="0003591F"/>
    <w:rsid w:val="00041849"/>
    <w:rsid w:val="0004426E"/>
    <w:rsid w:val="00044A2A"/>
    <w:rsid w:val="000509BA"/>
    <w:rsid w:val="0005224B"/>
    <w:rsid w:val="0005533C"/>
    <w:rsid w:val="00061046"/>
    <w:rsid w:val="000621FE"/>
    <w:rsid w:val="00063242"/>
    <w:rsid w:val="000640CF"/>
    <w:rsid w:val="00064BA4"/>
    <w:rsid w:val="00067F59"/>
    <w:rsid w:val="000710DD"/>
    <w:rsid w:val="0007187A"/>
    <w:rsid w:val="000727E0"/>
    <w:rsid w:val="00072F69"/>
    <w:rsid w:val="00073983"/>
    <w:rsid w:val="00073BC9"/>
    <w:rsid w:val="00073DF4"/>
    <w:rsid w:val="00076B61"/>
    <w:rsid w:val="00076C34"/>
    <w:rsid w:val="00076FE3"/>
    <w:rsid w:val="00080116"/>
    <w:rsid w:val="00081188"/>
    <w:rsid w:val="0008151A"/>
    <w:rsid w:val="00081C37"/>
    <w:rsid w:val="00085596"/>
    <w:rsid w:val="0009514A"/>
    <w:rsid w:val="000969EF"/>
    <w:rsid w:val="000A199B"/>
    <w:rsid w:val="000A31F2"/>
    <w:rsid w:val="000A45BE"/>
    <w:rsid w:val="000A467F"/>
    <w:rsid w:val="000A6FB3"/>
    <w:rsid w:val="000A7B9B"/>
    <w:rsid w:val="000B3452"/>
    <w:rsid w:val="000B7A1B"/>
    <w:rsid w:val="000C1226"/>
    <w:rsid w:val="000C12EE"/>
    <w:rsid w:val="000C3D8A"/>
    <w:rsid w:val="000C46E6"/>
    <w:rsid w:val="000C4B3D"/>
    <w:rsid w:val="000C5BA2"/>
    <w:rsid w:val="000C6797"/>
    <w:rsid w:val="000C6FF8"/>
    <w:rsid w:val="000C7FE1"/>
    <w:rsid w:val="000D1325"/>
    <w:rsid w:val="000D1A87"/>
    <w:rsid w:val="000D2300"/>
    <w:rsid w:val="000D2E57"/>
    <w:rsid w:val="000D3B79"/>
    <w:rsid w:val="000D7803"/>
    <w:rsid w:val="000E0C87"/>
    <w:rsid w:val="000E1ACD"/>
    <w:rsid w:val="000E1EB3"/>
    <w:rsid w:val="000E3444"/>
    <w:rsid w:val="000E4AFA"/>
    <w:rsid w:val="000E534F"/>
    <w:rsid w:val="000E66FA"/>
    <w:rsid w:val="000E7163"/>
    <w:rsid w:val="000F14A0"/>
    <w:rsid w:val="000F1575"/>
    <w:rsid w:val="000F1714"/>
    <w:rsid w:val="000F249E"/>
    <w:rsid w:val="000F2AFC"/>
    <w:rsid w:val="000F37A0"/>
    <w:rsid w:val="000F5E76"/>
    <w:rsid w:val="000F6853"/>
    <w:rsid w:val="001000CE"/>
    <w:rsid w:val="00104751"/>
    <w:rsid w:val="0010617D"/>
    <w:rsid w:val="00106763"/>
    <w:rsid w:val="00107F36"/>
    <w:rsid w:val="0011066E"/>
    <w:rsid w:val="00113B2E"/>
    <w:rsid w:val="00120766"/>
    <w:rsid w:val="00121189"/>
    <w:rsid w:val="00121A66"/>
    <w:rsid w:val="00132087"/>
    <w:rsid w:val="0013406C"/>
    <w:rsid w:val="00134B27"/>
    <w:rsid w:val="00135D0D"/>
    <w:rsid w:val="001400C4"/>
    <w:rsid w:val="00141323"/>
    <w:rsid w:val="00141E8C"/>
    <w:rsid w:val="00143943"/>
    <w:rsid w:val="00145918"/>
    <w:rsid w:val="00145D25"/>
    <w:rsid w:val="00145DED"/>
    <w:rsid w:val="00147AA2"/>
    <w:rsid w:val="001519E4"/>
    <w:rsid w:val="00153007"/>
    <w:rsid w:val="00154FC4"/>
    <w:rsid w:val="0015521F"/>
    <w:rsid w:val="001641C0"/>
    <w:rsid w:val="0016646C"/>
    <w:rsid w:val="00167DA1"/>
    <w:rsid w:val="0017187F"/>
    <w:rsid w:val="00174E96"/>
    <w:rsid w:val="001770D9"/>
    <w:rsid w:val="0017759F"/>
    <w:rsid w:val="0018012F"/>
    <w:rsid w:val="00180742"/>
    <w:rsid w:val="00181B3E"/>
    <w:rsid w:val="00181F74"/>
    <w:rsid w:val="00183C10"/>
    <w:rsid w:val="0018451D"/>
    <w:rsid w:val="001865F8"/>
    <w:rsid w:val="001867EA"/>
    <w:rsid w:val="00187EE5"/>
    <w:rsid w:val="00190FC9"/>
    <w:rsid w:val="001926AD"/>
    <w:rsid w:val="0019289B"/>
    <w:rsid w:val="001929C3"/>
    <w:rsid w:val="0019464A"/>
    <w:rsid w:val="00195A6A"/>
    <w:rsid w:val="001965DA"/>
    <w:rsid w:val="0019711F"/>
    <w:rsid w:val="001978CE"/>
    <w:rsid w:val="001A4BE2"/>
    <w:rsid w:val="001A5BC0"/>
    <w:rsid w:val="001A7249"/>
    <w:rsid w:val="001A7EF8"/>
    <w:rsid w:val="001B0111"/>
    <w:rsid w:val="001B3714"/>
    <w:rsid w:val="001B5ED9"/>
    <w:rsid w:val="001B66AF"/>
    <w:rsid w:val="001B7092"/>
    <w:rsid w:val="001C1B86"/>
    <w:rsid w:val="001C35BC"/>
    <w:rsid w:val="001C5FC1"/>
    <w:rsid w:val="001C6713"/>
    <w:rsid w:val="001D6B46"/>
    <w:rsid w:val="001D778A"/>
    <w:rsid w:val="001D7D62"/>
    <w:rsid w:val="001E014D"/>
    <w:rsid w:val="001E2D6D"/>
    <w:rsid w:val="001E3B02"/>
    <w:rsid w:val="001E5391"/>
    <w:rsid w:val="001E5787"/>
    <w:rsid w:val="001E57BC"/>
    <w:rsid w:val="001E5DE7"/>
    <w:rsid w:val="001E63F3"/>
    <w:rsid w:val="001E7C25"/>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2F76"/>
    <w:rsid w:val="0022342C"/>
    <w:rsid w:val="0022384B"/>
    <w:rsid w:val="00225B50"/>
    <w:rsid w:val="00225D8E"/>
    <w:rsid w:val="002264F4"/>
    <w:rsid w:val="002322A8"/>
    <w:rsid w:val="0023311C"/>
    <w:rsid w:val="00233BEB"/>
    <w:rsid w:val="00236DF2"/>
    <w:rsid w:val="0024152E"/>
    <w:rsid w:val="00242974"/>
    <w:rsid w:val="00244D84"/>
    <w:rsid w:val="00250061"/>
    <w:rsid w:val="00250642"/>
    <w:rsid w:val="00251E4A"/>
    <w:rsid w:val="00251F50"/>
    <w:rsid w:val="00253E30"/>
    <w:rsid w:val="0025493F"/>
    <w:rsid w:val="00257E4D"/>
    <w:rsid w:val="00261010"/>
    <w:rsid w:val="00262865"/>
    <w:rsid w:val="00263279"/>
    <w:rsid w:val="002643FC"/>
    <w:rsid w:val="00274073"/>
    <w:rsid w:val="002748F8"/>
    <w:rsid w:val="0027545F"/>
    <w:rsid w:val="0027610D"/>
    <w:rsid w:val="00281918"/>
    <w:rsid w:val="00284483"/>
    <w:rsid w:val="00285256"/>
    <w:rsid w:val="002852B2"/>
    <w:rsid w:val="00287AEF"/>
    <w:rsid w:val="00287B08"/>
    <w:rsid w:val="00290B98"/>
    <w:rsid w:val="002944D4"/>
    <w:rsid w:val="00296763"/>
    <w:rsid w:val="0029737E"/>
    <w:rsid w:val="00297AD0"/>
    <w:rsid w:val="002A0CC8"/>
    <w:rsid w:val="002A3243"/>
    <w:rsid w:val="002A5CDF"/>
    <w:rsid w:val="002A68B3"/>
    <w:rsid w:val="002B2AC5"/>
    <w:rsid w:val="002B2E78"/>
    <w:rsid w:val="002B49DE"/>
    <w:rsid w:val="002B4E4D"/>
    <w:rsid w:val="002B53D3"/>
    <w:rsid w:val="002B7177"/>
    <w:rsid w:val="002C0F5D"/>
    <w:rsid w:val="002C4F5B"/>
    <w:rsid w:val="002C54A1"/>
    <w:rsid w:val="002C5DCD"/>
    <w:rsid w:val="002D03AB"/>
    <w:rsid w:val="002D2A4E"/>
    <w:rsid w:val="002D5294"/>
    <w:rsid w:val="002D5DFC"/>
    <w:rsid w:val="002D5E92"/>
    <w:rsid w:val="002D6269"/>
    <w:rsid w:val="002D629A"/>
    <w:rsid w:val="002E12C3"/>
    <w:rsid w:val="002E3493"/>
    <w:rsid w:val="002E35BF"/>
    <w:rsid w:val="002E5F5C"/>
    <w:rsid w:val="002E6FD5"/>
    <w:rsid w:val="002E7D88"/>
    <w:rsid w:val="002F0434"/>
    <w:rsid w:val="002F1707"/>
    <w:rsid w:val="002F2F33"/>
    <w:rsid w:val="002F3A26"/>
    <w:rsid w:val="002F449C"/>
    <w:rsid w:val="002F4CD2"/>
    <w:rsid w:val="002F6069"/>
    <w:rsid w:val="002F7549"/>
    <w:rsid w:val="00301D49"/>
    <w:rsid w:val="003025C7"/>
    <w:rsid w:val="00302F5C"/>
    <w:rsid w:val="00304080"/>
    <w:rsid w:val="0031124D"/>
    <w:rsid w:val="00312ED1"/>
    <w:rsid w:val="00313554"/>
    <w:rsid w:val="00317B55"/>
    <w:rsid w:val="0032155B"/>
    <w:rsid w:val="003239D0"/>
    <w:rsid w:val="00324908"/>
    <w:rsid w:val="00334642"/>
    <w:rsid w:val="0033493D"/>
    <w:rsid w:val="00337856"/>
    <w:rsid w:val="00337DE1"/>
    <w:rsid w:val="00340BDB"/>
    <w:rsid w:val="00340E39"/>
    <w:rsid w:val="00341145"/>
    <w:rsid w:val="003412CB"/>
    <w:rsid w:val="0035214B"/>
    <w:rsid w:val="003527D6"/>
    <w:rsid w:val="00353351"/>
    <w:rsid w:val="00353622"/>
    <w:rsid w:val="00357CD8"/>
    <w:rsid w:val="0036105C"/>
    <w:rsid w:val="00361ADE"/>
    <w:rsid w:val="00363306"/>
    <w:rsid w:val="00363655"/>
    <w:rsid w:val="0036495A"/>
    <w:rsid w:val="00366C2C"/>
    <w:rsid w:val="00367440"/>
    <w:rsid w:val="00370BE6"/>
    <w:rsid w:val="00371F67"/>
    <w:rsid w:val="00375E39"/>
    <w:rsid w:val="003760ED"/>
    <w:rsid w:val="003775D7"/>
    <w:rsid w:val="00380CBA"/>
    <w:rsid w:val="00381278"/>
    <w:rsid w:val="0038127E"/>
    <w:rsid w:val="00384080"/>
    <w:rsid w:val="00386C22"/>
    <w:rsid w:val="003876E6"/>
    <w:rsid w:val="00391AFA"/>
    <w:rsid w:val="003937EF"/>
    <w:rsid w:val="00393E9B"/>
    <w:rsid w:val="00396AE5"/>
    <w:rsid w:val="00397A97"/>
    <w:rsid w:val="003A280D"/>
    <w:rsid w:val="003A5A70"/>
    <w:rsid w:val="003A6230"/>
    <w:rsid w:val="003A6299"/>
    <w:rsid w:val="003B1976"/>
    <w:rsid w:val="003B20B7"/>
    <w:rsid w:val="003B27BA"/>
    <w:rsid w:val="003B366C"/>
    <w:rsid w:val="003B38C1"/>
    <w:rsid w:val="003B42AF"/>
    <w:rsid w:val="003B59A9"/>
    <w:rsid w:val="003B6B63"/>
    <w:rsid w:val="003B7C31"/>
    <w:rsid w:val="003C02D4"/>
    <w:rsid w:val="003C37E3"/>
    <w:rsid w:val="003C4CBD"/>
    <w:rsid w:val="003C546B"/>
    <w:rsid w:val="003C57EE"/>
    <w:rsid w:val="003C7719"/>
    <w:rsid w:val="003D0FBD"/>
    <w:rsid w:val="003D2A6D"/>
    <w:rsid w:val="003E005B"/>
    <w:rsid w:val="003E04DA"/>
    <w:rsid w:val="003E1249"/>
    <w:rsid w:val="003E3544"/>
    <w:rsid w:val="003E35A8"/>
    <w:rsid w:val="003E4124"/>
    <w:rsid w:val="003E77CB"/>
    <w:rsid w:val="003F47FD"/>
    <w:rsid w:val="003F4B52"/>
    <w:rsid w:val="003F73BA"/>
    <w:rsid w:val="003F73F0"/>
    <w:rsid w:val="00401423"/>
    <w:rsid w:val="00403105"/>
    <w:rsid w:val="00404F11"/>
    <w:rsid w:val="00405890"/>
    <w:rsid w:val="00405EF4"/>
    <w:rsid w:val="00411186"/>
    <w:rsid w:val="00411365"/>
    <w:rsid w:val="0041237F"/>
    <w:rsid w:val="00412B6C"/>
    <w:rsid w:val="00414613"/>
    <w:rsid w:val="00415B19"/>
    <w:rsid w:val="0041767B"/>
    <w:rsid w:val="00420205"/>
    <w:rsid w:val="00421D5F"/>
    <w:rsid w:val="00422831"/>
    <w:rsid w:val="00424197"/>
    <w:rsid w:val="00425F40"/>
    <w:rsid w:val="004265AA"/>
    <w:rsid w:val="00426A8D"/>
    <w:rsid w:val="00430861"/>
    <w:rsid w:val="00432D4D"/>
    <w:rsid w:val="00433DCE"/>
    <w:rsid w:val="00437B1B"/>
    <w:rsid w:val="004405B8"/>
    <w:rsid w:val="004417A2"/>
    <w:rsid w:val="00442F9D"/>
    <w:rsid w:val="00444A0A"/>
    <w:rsid w:val="00444EDF"/>
    <w:rsid w:val="004456A4"/>
    <w:rsid w:val="00445A6D"/>
    <w:rsid w:val="00446A6B"/>
    <w:rsid w:val="00447E92"/>
    <w:rsid w:val="0045189C"/>
    <w:rsid w:val="00453925"/>
    <w:rsid w:val="004636B4"/>
    <w:rsid w:val="004641DC"/>
    <w:rsid w:val="00464AC7"/>
    <w:rsid w:val="004669A4"/>
    <w:rsid w:val="00466A5B"/>
    <w:rsid w:val="0046799A"/>
    <w:rsid w:val="0047494B"/>
    <w:rsid w:val="00475A85"/>
    <w:rsid w:val="00476F13"/>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4B48"/>
    <w:rsid w:val="004B5C2E"/>
    <w:rsid w:val="004B7CB9"/>
    <w:rsid w:val="004C10BA"/>
    <w:rsid w:val="004C27EB"/>
    <w:rsid w:val="004C357A"/>
    <w:rsid w:val="004C405B"/>
    <w:rsid w:val="004C5B35"/>
    <w:rsid w:val="004C68D1"/>
    <w:rsid w:val="004C6AE7"/>
    <w:rsid w:val="004C72E8"/>
    <w:rsid w:val="004C73A9"/>
    <w:rsid w:val="004D04DF"/>
    <w:rsid w:val="004D1221"/>
    <w:rsid w:val="004D1BF4"/>
    <w:rsid w:val="004D460E"/>
    <w:rsid w:val="004D480B"/>
    <w:rsid w:val="004D7821"/>
    <w:rsid w:val="004E1075"/>
    <w:rsid w:val="004E10C5"/>
    <w:rsid w:val="004E22A7"/>
    <w:rsid w:val="004E39E6"/>
    <w:rsid w:val="004E71DC"/>
    <w:rsid w:val="004E7F97"/>
    <w:rsid w:val="004F1563"/>
    <w:rsid w:val="004F20B0"/>
    <w:rsid w:val="004F7682"/>
    <w:rsid w:val="005012BC"/>
    <w:rsid w:val="00502156"/>
    <w:rsid w:val="00502277"/>
    <w:rsid w:val="005042B5"/>
    <w:rsid w:val="00505C67"/>
    <w:rsid w:val="00510A4F"/>
    <w:rsid w:val="005119E9"/>
    <w:rsid w:val="00512A65"/>
    <w:rsid w:val="005130BE"/>
    <w:rsid w:val="005140F2"/>
    <w:rsid w:val="0051709B"/>
    <w:rsid w:val="00517B83"/>
    <w:rsid w:val="0052165A"/>
    <w:rsid w:val="00521802"/>
    <w:rsid w:val="0052430B"/>
    <w:rsid w:val="00525D51"/>
    <w:rsid w:val="00526699"/>
    <w:rsid w:val="00526776"/>
    <w:rsid w:val="00532CD3"/>
    <w:rsid w:val="005345A9"/>
    <w:rsid w:val="00534D8A"/>
    <w:rsid w:val="0054004F"/>
    <w:rsid w:val="00542913"/>
    <w:rsid w:val="005440E4"/>
    <w:rsid w:val="005452CD"/>
    <w:rsid w:val="00546DB4"/>
    <w:rsid w:val="005474A5"/>
    <w:rsid w:val="00547D82"/>
    <w:rsid w:val="005504B4"/>
    <w:rsid w:val="00550DAB"/>
    <w:rsid w:val="00552105"/>
    <w:rsid w:val="0055354D"/>
    <w:rsid w:val="00554543"/>
    <w:rsid w:val="005555B8"/>
    <w:rsid w:val="005642D9"/>
    <w:rsid w:val="00564C2B"/>
    <w:rsid w:val="00564C37"/>
    <w:rsid w:val="00564D84"/>
    <w:rsid w:val="00570F2B"/>
    <w:rsid w:val="0057258C"/>
    <w:rsid w:val="00573651"/>
    <w:rsid w:val="00574E71"/>
    <w:rsid w:val="005757C1"/>
    <w:rsid w:val="005811D8"/>
    <w:rsid w:val="00581904"/>
    <w:rsid w:val="00582B3F"/>
    <w:rsid w:val="00582FA7"/>
    <w:rsid w:val="00583643"/>
    <w:rsid w:val="00585309"/>
    <w:rsid w:val="005857E8"/>
    <w:rsid w:val="005858CB"/>
    <w:rsid w:val="0058678D"/>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23"/>
    <w:rsid w:val="005B7596"/>
    <w:rsid w:val="005C4A91"/>
    <w:rsid w:val="005C5824"/>
    <w:rsid w:val="005C6118"/>
    <w:rsid w:val="005D12F2"/>
    <w:rsid w:val="005D3575"/>
    <w:rsid w:val="005D3CED"/>
    <w:rsid w:val="005D538F"/>
    <w:rsid w:val="005D63D9"/>
    <w:rsid w:val="005D68D1"/>
    <w:rsid w:val="005E293A"/>
    <w:rsid w:val="005E49E7"/>
    <w:rsid w:val="005E56FE"/>
    <w:rsid w:val="005E62D6"/>
    <w:rsid w:val="005E6A82"/>
    <w:rsid w:val="005E7398"/>
    <w:rsid w:val="005F04DC"/>
    <w:rsid w:val="005F0F6C"/>
    <w:rsid w:val="005F1A7F"/>
    <w:rsid w:val="005F4E44"/>
    <w:rsid w:val="005F52C4"/>
    <w:rsid w:val="00601165"/>
    <w:rsid w:val="00607971"/>
    <w:rsid w:val="00611A4E"/>
    <w:rsid w:val="006122C0"/>
    <w:rsid w:val="0061281D"/>
    <w:rsid w:val="00613C46"/>
    <w:rsid w:val="00614AAD"/>
    <w:rsid w:val="00616889"/>
    <w:rsid w:val="00617F77"/>
    <w:rsid w:val="0062074E"/>
    <w:rsid w:val="00623004"/>
    <w:rsid w:val="00627C91"/>
    <w:rsid w:val="00627FDA"/>
    <w:rsid w:val="00632779"/>
    <w:rsid w:val="00635031"/>
    <w:rsid w:val="006369D4"/>
    <w:rsid w:val="00636C51"/>
    <w:rsid w:val="006407FA"/>
    <w:rsid w:val="006427B2"/>
    <w:rsid w:val="00642BEB"/>
    <w:rsid w:val="00647426"/>
    <w:rsid w:val="00647590"/>
    <w:rsid w:val="006526F5"/>
    <w:rsid w:val="00657702"/>
    <w:rsid w:val="006619F5"/>
    <w:rsid w:val="006629F9"/>
    <w:rsid w:val="006639F0"/>
    <w:rsid w:val="0066562D"/>
    <w:rsid w:val="00670998"/>
    <w:rsid w:val="00672050"/>
    <w:rsid w:val="00673872"/>
    <w:rsid w:val="00674A34"/>
    <w:rsid w:val="00682BA7"/>
    <w:rsid w:val="00685515"/>
    <w:rsid w:val="0068642A"/>
    <w:rsid w:val="00686FBD"/>
    <w:rsid w:val="00692404"/>
    <w:rsid w:val="00694C76"/>
    <w:rsid w:val="00694F4A"/>
    <w:rsid w:val="006A029B"/>
    <w:rsid w:val="006A17A1"/>
    <w:rsid w:val="006A61C5"/>
    <w:rsid w:val="006B0AC0"/>
    <w:rsid w:val="006B0F31"/>
    <w:rsid w:val="006B13BC"/>
    <w:rsid w:val="006B32FE"/>
    <w:rsid w:val="006B3959"/>
    <w:rsid w:val="006B4B58"/>
    <w:rsid w:val="006B6925"/>
    <w:rsid w:val="006C026A"/>
    <w:rsid w:val="006C138D"/>
    <w:rsid w:val="006C3807"/>
    <w:rsid w:val="006C7491"/>
    <w:rsid w:val="006C761B"/>
    <w:rsid w:val="006C76B5"/>
    <w:rsid w:val="006D03ED"/>
    <w:rsid w:val="006D2B37"/>
    <w:rsid w:val="006D33F6"/>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5753"/>
    <w:rsid w:val="00735CCC"/>
    <w:rsid w:val="007368DC"/>
    <w:rsid w:val="00736AC9"/>
    <w:rsid w:val="00741A4E"/>
    <w:rsid w:val="00742E97"/>
    <w:rsid w:val="007452E0"/>
    <w:rsid w:val="00745BD4"/>
    <w:rsid w:val="00750378"/>
    <w:rsid w:val="007505FB"/>
    <w:rsid w:val="007524B0"/>
    <w:rsid w:val="00752997"/>
    <w:rsid w:val="007533EC"/>
    <w:rsid w:val="00757618"/>
    <w:rsid w:val="00762606"/>
    <w:rsid w:val="00762B45"/>
    <w:rsid w:val="00763FF7"/>
    <w:rsid w:val="0076544A"/>
    <w:rsid w:val="00767402"/>
    <w:rsid w:val="0077044D"/>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1C67"/>
    <w:rsid w:val="007A4089"/>
    <w:rsid w:val="007A5936"/>
    <w:rsid w:val="007A5B55"/>
    <w:rsid w:val="007A5F41"/>
    <w:rsid w:val="007A5FEC"/>
    <w:rsid w:val="007B08D1"/>
    <w:rsid w:val="007B161A"/>
    <w:rsid w:val="007B29C6"/>
    <w:rsid w:val="007B37E0"/>
    <w:rsid w:val="007B4EAA"/>
    <w:rsid w:val="007B790F"/>
    <w:rsid w:val="007B7975"/>
    <w:rsid w:val="007C20FA"/>
    <w:rsid w:val="007C27D3"/>
    <w:rsid w:val="007C2C95"/>
    <w:rsid w:val="007C767F"/>
    <w:rsid w:val="007C79FB"/>
    <w:rsid w:val="007D3891"/>
    <w:rsid w:val="007D4584"/>
    <w:rsid w:val="007D4A14"/>
    <w:rsid w:val="007E0017"/>
    <w:rsid w:val="007E0D9D"/>
    <w:rsid w:val="007E4B14"/>
    <w:rsid w:val="007E4B4C"/>
    <w:rsid w:val="007E7ABF"/>
    <w:rsid w:val="007F0907"/>
    <w:rsid w:val="007F0D24"/>
    <w:rsid w:val="007F10B5"/>
    <w:rsid w:val="007F1442"/>
    <w:rsid w:val="007F1C81"/>
    <w:rsid w:val="007F6ABA"/>
    <w:rsid w:val="0080144C"/>
    <w:rsid w:val="00804A98"/>
    <w:rsid w:val="00805C3A"/>
    <w:rsid w:val="008061B8"/>
    <w:rsid w:val="008129B1"/>
    <w:rsid w:val="00817A12"/>
    <w:rsid w:val="00821D9D"/>
    <w:rsid w:val="008237F5"/>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272E"/>
    <w:rsid w:val="008645C4"/>
    <w:rsid w:val="00867884"/>
    <w:rsid w:val="008734F5"/>
    <w:rsid w:val="00875104"/>
    <w:rsid w:val="008774D2"/>
    <w:rsid w:val="00880E40"/>
    <w:rsid w:val="00883771"/>
    <w:rsid w:val="00883C9D"/>
    <w:rsid w:val="00883EFE"/>
    <w:rsid w:val="0088635B"/>
    <w:rsid w:val="008869CA"/>
    <w:rsid w:val="008905BA"/>
    <w:rsid w:val="0089513F"/>
    <w:rsid w:val="00895699"/>
    <w:rsid w:val="0089583C"/>
    <w:rsid w:val="008A153F"/>
    <w:rsid w:val="008A30B2"/>
    <w:rsid w:val="008A54A9"/>
    <w:rsid w:val="008A6188"/>
    <w:rsid w:val="008A79C6"/>
    <w:rsid w:val="008A7E13"/>
    <w:rsid w:val="008B28F2"/>
    <w:rsid w:val="008B444F"/>
    <w:rsid w:val="008B683E"/>
    <w:rsid w:val="008C0EF7"/>
    <w:rsid w:val="008C11A2"/>
    <w:rsid w:val="008C20F7"/>
    <w:rsid w:val="008C5F1C"/>
    <w:rsid w:val="008C63B6"/>
    <w:rsid w:val="008D06D8"/>
    <w:rsid w:val="008D1B01"/>
    <w:rsid w:val="008D25D7"/>
    <w:rsid w:val="008D2A83"/>
    <w:rsid w:val="008D2D7B"/>
    <w:rsid w:val="008D2D98"/>
    <w:rsid w:val="008D44EB"/>
    <w:rsid w:val="008E3E1A"/>
    <w:rsid w:val="008E4039"/>
    <w:rsid w:val="008F0D28"/>
    <w:rsid w:val="008F1AA9"/>
    <w:rsid w:val="008F33DE"/>
    <w:rsid w:val="008F7C5B"/>
    <w:rsid w:val="009049C0"/>
    <w:rsid w:val="00906257"/>
    <w:rsid w:val="009069D6"/>
    <w:rsid w:val="00907FAE"/>
    <w:rsid w:val="00910EF6"/>
    <w:rsid w:val="00912380"/>
    <w:rsid w:val="009124F6"/>
    <w:rsid w:val="00912BC1"/>
    <w:rsid w:val="00913B67"/>
    <w:rsid w:val="00915B08"/>
    <w:rsid w:val="00921DD1"/>
    <w:rsid w:val="009225FE"/>
    <w:rsid w:val="00923D31"/>
    <w:rsid w:val="00923F94"/>
    <w:rsid w:val="00926DD3"/>
    <w:rsid w:val="009335AC"/>
    <w:rsid w:val="00935308"/>
    <w:rsid w:val="009361FD"/>
    <w:rsid w:val="009406D2"/>
    <w:rsid w:val="00940F17"/>
    <w:rsid w:val="009414C5"/>
    <w:rsid w:val="009427F2"/>
    <w:rsid w:val="00944F64"/>
    <w:rsid w:val="00945CE1"/>
    <w:rsid w:val="009467A8"/>
    <w:rsid w:val="00951A0B"/>
    <w:rsid w:val="00953383"/>
    <w:rsid w:val="009574A8"/>
    <w:rsid w:val="009648F3"/>
    <w:rsid w:val="00964D68"/>
    <w:rsid w:val="00965025"/>
    <w:rsid w:val="009654C8"/>
    <w:rsid w:val="00967E51"/>
    <w:rsid w:val="00971039"/>
    <w:rsid w:val="00971B7B"/>
    <w:rsid w:val="00971D3B"/>
    <w:rsid w:val="00972D48"/>
    <w:rsid w:val="00975E68"/>
    <w:rsid w:val="00977A95"/>
    <w:rsid w:val="00982585"/>
    <w:rsid w:val="00985DC9"/>
    <w:rsid w:val="00985FA9"/>
    <w:rsid w:val="00987A99"/>
    <w:rsid w:val="009902F7"/>
    <w:rsid w:val="0099448D"/>
    <w:rsid w:val="00995A06"/>
    <w:rsid w:val="009A222A"/>
    <w:rsid w:val="009A26CA"/>
    <w:rsid w:val="009A6FE7"/>
    <w:rsid w:val="009B1FD2"/>
    <w:rsid w:val="009B2D35"/>
    <w:rsid w:val="009B3AEB"/>
    <w:rsid w:val="009B52EA"/>
    <w:rsid w:val="009B7AE2"/>
    <w:rsid w:val="009C1606"/>
    <w:rsid w:val="009C3EB5"/>
    <w:rsid w:val="009C42BD"/>
    <w:rsid w:val="009C444B"/>
    <w:rsid w:val="009C54E1"/>
    <w:rsid w:val="009D3773"/>
    <w:rsid w:val="009D499D"/>
    <w:rsid w:val="009D72AA"/>
    <w:rsid w:val="009D7484"/>
    <w:rsid w:val="009E2AEA"/>
    <w:rsid w:val="009E3183"/>
    <w:rsid w:val="009E36E1"/>
    <w:rsid w:val="009E3783"/>
    <w:rsid w:val="009E3EA3"/>
    <w:rsid w:val="009E3ED4"/>
    <w:rsid w:val="009F0715"/>
    <w:rsid w:val="009F1615"/>
    <w:rsid w:val="009F45FE"/>
    <w:rsid w:val="009F6717"/>
    <w:rsid w:val="00A01F6A"/>
    <w:rsid w:val="00A0321B"/>
    <w:rsid w:val="00A045CA"/>
    <w:rsid w:val="00A04DC3"/>
    <w:rsid w:val="00A0597B"/>
    <w:rsid w:val="00A05DAD"/>
    <w:rsid w:val="00A06FB4"/>
    <w:rsid w:val="00A14878"/>
    <w:rsid w:val="00A155F1"/>
    <w:rsid w:val="00A1707B"/>
    <w:rsid w:val="00A1739A"/>
    <w:rsid w:val="00A17694"/>
    <w:rsid w:val="00A17F2C"/>
    <w:rsid w:val="00A232B9"/>
    <w:rsid w:val="00A33893"/>
    <w:rsid w:val="00A34C9A"/>
    <w:rsid w:val="00A34D89"/>
    <w:rsid w:val="00A41364"/>
    <w:rsid w:val="00A41F72"/>
    <w:rsid w:val="00A431BE"/>
    <w:rsid w:val="00A44A25"/>
    <w:rsid w:val="00A54891"/>
    <w:rsid w:val="00A54CA1"/>
    <w:rsid w:val="00A56516"/>
    <w:rsid w:val="00A62031"/>
    <w:rsid w:val="00A65D80"/>
    <w:rsid w:val="00A672A7"/>
    <w:rsid w:val="00A714DD"/>
    <w:rsid w:val="00A73044"/>
    <w:rsid w:val="00A7379C"/>
    <w:rsid w:val="00A73CF1"/>
    <w:rsid w:val="00A75C9A"/>
    <w:rsid w:val="00A835D4"/>
    <w:rsid w:val="00A853D1"/>
    <w:rsid w:val="00A85AA3"/>
    <w:rsid w:val="00A86302"/>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B05D5"/>
    <w:rsid w:val="00AB2611"/>
    <w:rsid w:val="00AB35DC"/>
    <w:rsid w:val="00AB419D"/>
    <w:rsid w:val="00AB52D0"/>
    <w:rsid w:val="00AB5C5C"/>
    <w:rsid w:val="00AC046B"/>
    <w:rsid w:val="00AC1E16"/>
    <w:rsid w:val="00AC1EDB"/>
    <w:rsid w:val="00AC3582"/>
    <w:rsid w:val="00AC3A0C"/>
    <w:rsid w:val="00AC3EEC"/>
    <w:rsid w:val="00AC50EE"/>
    <w:rsid w:val="00AC54F8"/>
    <w:rsid w:val="00AC57A5"/>
    <w:rsid w:val="00AC681D"/>
    <w:rsid w:val="00AC6FF1"/>
    <w:rsid w:val="00AD0F67"/>
    <w:rsid w:val="00AD1A30"/>
    <w:rsid w:val="00AD7E8E"/>
    <w:rsid w:val="00AE0F81"/>
    <w:rsid w:val="00AE330D"/>
    <w:rsid w:val="00AE508D"/>
    <w:rsid w:val="00AF134A"/>
    <w:rsid w:val="00AF3563"/>
    <w:rsid w:val="00AF3BCE"/>
    <w:rsid w:val="00AF421C"/>
    <w:rsid w:val="00AF5C05"/>
    <w:rsid w:val="00AF7622"/>
    <w:rsid w:val="00B00238"/>
    <w:rsid w:val="00B019A9"/>
    <w:rsid w:val="00B03218"/>
    <w:rsid w:val="00B03273"/>
    <w:rsid w:val="00B039EC"/>
    <w:rsid w:val="00B07EFF"/>
    <w:rsid w:val="00B10984"/>
    <w:rsid w:val="00B110B5"/>
    <w:rsid w:val="00B14C3A"/>
    <w:rsid w:val="00B167A2"/>
    <w:rsid w:val="00B174E3"/>
    <w:rsid w:val="00B2772E"/>
    <w:rsid w:val="00B27A5B"/>
    <w:rsid w:val="00B316E7"/>
    <w:rsid w:val="00B3398C"/>
    <w:rsid w:val="00B34BDE"/>
    <w:rsid w:val="00B34EF9"/>
    <w:rsid w:val="00B3578F"/>
    <w:rsid w:val="00B35DAD"/>
    <w:rsid w:val="00B36EB3"/>
    <w:rsid w:val="00B41AE8"/>
    <w:rsid w:val="00B445D0"/>
    <w:rsid w:val="00B45C4D"/>
    <w:rsid w:val="00B504CB"/>
    <w:rsid w:val="00B53FF2"/>
    <w:rsid w:val="00B54620"/>
    <w:rsid w:val="00B55367"/>
    <w:rsid w:val="00B55CDD"/>
    <w:rsid w:val="00B56E4F"/>
    <w:rsid w:val="00B6141A"/>
    <w:rsid w:val="00B63345"/>
    <w:rsid w:val="00B63A7A"/>
    <w:rsid w:val="00B652B0"/>
    <w:rsid w:val="00B70D13"/>
    <w:rsid w:val="00B7119B"/>
    <w:rsid w:val="00B71CF1"/>
    <w:rsid w:val="00B72847"/>
    <w:rsid w:val="00B73A3D"/>
    <w:rsid w:val="00B74168"/>
    <w:rsid w:val="00B746F1"/>
    <w:rsid w:val="00B748AE"/>
    <w:rsid w:val="00B75DB2"/>
    <w:rsid w:val="00B7681E"/>
    <w:rsid w:val="00B81EB1"/>
    <w:rsid w:val="00B832A3"/>
    <w:rsid w:val="00B83AFF"/>
    <w:rsid w:val="00B84886"/>
    <w:rsid w:val="00B84958"/>
    <w:rsid w:val="00B86A9F"/>
    <w:rsid w:val="00B910E8"/>
    <w:rsid w:val="00B93137"/>
    <w:rsid w:val="00B9328C"/>
    <w:rsid w:val="00B94CD8"/>
    <w:rsid w:val="00B96F16"/>
    <w:rsid w:val="00B97A54"/>
    <w:rsid w:val="00BA0974"/>
    <w:rsid w:val="00BA3D73"/>
    <w:rsid w:val="00BA58AC"/>
    <w:rsid w:val="00BA6076"/>
    <w:rsid w:val="00BA67DC"/>
    <w:rsid w:val="00BA69CB"/>
    <w:rsid w:val="00BA7C49"/>
    <w:rsid w:val="00BB00BA"/>
    <w:rsid w:val="00BB112B"/>
    <w:rsid w:val="00BB1B81"/>
    <w:rsid w:val="00BB1CDA"/>
    <w:rsid w:val="00BB25B1"/>
    <w:rsid w:val="00BB2CD8"/>
    <w:rsid w:val="00BB4114"/>
    <w:rsid w:val="00BB49CB"/>
    <w:rsid w:val="00BB6375"/>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4594"/>
    <w:rsid w:val="00BF564D"/>
    <w:rsid w:val="00BF591D"/>
    <w:rsid w:val="00BF5A87"/>
    <w:rsid w:val="00BF6341"/>
    <w:rsid w:val="00C0045E"/>
    <w:rsid w:val="00C00FC7"/>
    <w:rsid w:val="00C00FD8"/>
    <w:rsid w:val="00C05E84"/>
    <w:rsid w:val="00C073E4"/>
    <w:rsid w:val="00C07C34"/>
    <w:rsid w:val="00C13962"/>
    <w:rsid w:val="00C13CEB"/>
    <w:rsid w:val="00C154E6"/>
    <w:rsid w:val="00C158B5"/>
    <w:rsid w:val="00C16E23"/>
    <w:rsid w:val="00C2082B"/>
    <w:rsid w:val="00C20DBA"/>
    <w:rsid w:val="00C33771"/>
    <w:rsid w:val="00C3411B"/>
    <w:rsid w:val="00C34230"/>
    <w:rsid w:val="00C3661B"/>
    <w:rsid w:val="00C42112"/>
    <w:rsid w:val="00C435EB"/>
    <w:rsid w:val="00C45768"/>
    <w:rsid w:val="00C4692B"/>
    <w:rsid w:val="00C46A0C"/>
    <w:rsid w:val="00C46DFD"/>
    <w:rsid w:val="00C473F7"/>
    <w:rsid w:val="00C501E5"/>
    <w:rsid w:val="00C5100A"/>
    <w:rsid w:val="00C51884"/>
    <w:rsid w:val="00C549BC"/>
    <w:rsid w:val="00C56251"/>
    <w:rsid w:val="00C5667B"/>
    <w:rsid w:val="00C56A65"/>
    <w:rsid w:val="00C56FE0"/>
    <w:rsid w:val="00C6072B"/>
    <w:rsid w:val="00C6094D"/>
    <w:rsid w:val="00C62733"/>
    <w:rsid w:val="00C62FDC"/>
    <w:rsid w:val="00C631C7"/>
    <w:rsid w:val="00C71B5C"/>
    <w:rsid w:val="00C724F5"/>
    <w:rsid w:val="00C73066"/>
    <w:rsid w:val="00C743D2"/>
    <w:rsid w:val="00C77A1F"/>
    <w:rsid w:val="00C80647"/>
    <w:rsid w:val="00C80836"/>
    <w:rsid w:val="00C81956"/>
    <w:rsid w:val="00C84DDE"/>
    <w:rsid w:val="00C85162"/>
    <w:rsid w:val="00C87864"/>
    <w:rsid w:val="00C90EAC"/>
    <w:rsid w:val="00C917FD"/>
    <w:rsid w:val="00C93D01"/>
    <w:rsid w:val="00C958FA"/>
    <w:rsid w:val="00C96958"/>
    <w:rsid w:val="00C96A6B"/>
    <w:rsid w:val="00CA6026"/>
    <w:rsid w:val="00CA62C0"/>
    <w:rsid w:val="00CA73CB"/>
    <w:rsid w:val="00CA79BB"/>
    <w:rsid w:val="00CB4161"/>
    <w:rsid w:val="00CB43A2"/>
    <w:rsid w:val="00CB6A58"/>
    <w:rsid w:val="00CB6DE1"/>
    <w:rsid w:val="00CB7730"/>
    <w:rsid w:val="00CC0405"/>
    <w:rsid w:val="00CC12A0"/>
    <w:rsid w:val="00CC20D2"/>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5CAA"/>
    <w:rsid w:val="00D06129"/>
    <w:rsid w:val="00D114E6"/>
    <w:rsid w:val="00D1198D"/>
    <w:rsid w:val="00D15F17"/>
    <w:rsid w:val="00D161BE"/>
    <w:rsid w:val="00D162D9"/>
    <w:rsid w:val="00D2085B"/>
    <w:rsid w:val="00D21765"/>
    <w:rsid w:val="00D30F03"/>
    <w:rsid w:val="00D317FC"/>
    <w:rsid w:val="00D33180"/>
    <w:rsid w:val="00D34E5E"/>
    <w:rsid w:val="00D4044B"/>
    <w:rsid w:val="00D4046C"/>
    <w:rsid w:val="00D41D2D"/>
    <w:rsid w:val="00D42638"/>
    <w:rsid w:val="00D44316"/>
    <w:rsid w:val="00D448E6"/>
    <w:rsid w:val="00D4743F"/>
    <w:rsid w:val="00D501EC"/>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71E2"/>
    <w:rsid w:val="00D67E0A"/>
    <w:rsid w:val="00D75422"/>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5BD"/>
    <w:rsid w:val="00DD19F8"/>
    <w:rsid w:val="00DD1C70"/>
    <w:rsid w:val="00DD2C2E"/>
    <w:rsid w:val="00DD3239"/>
    <w:rsid w:val="00DE07E4"/>
    <w:rsid w:val="00DE0877"/>
    <w:rsid w:val="00DE0FF8"/>
    <w:rsid w:val="00DE3EBF"/>
    <w:rsid w:val="00DE6D39"/>
    <w:rsid w:val="00DE7345"/>
    <w:rsid w:val="00DF51CA"/>
    <w:rsid w:val="00DF5581"/>
    <w:rsid w:val="00DF7501"/>
    <w:rsid w:val="00DF7936"/>
    <w:rsid w:val="00E04B6F"/>
    <w:rsid w:val="00E13568"/>
    <w:rsid w:val="00E13833"/>
    <w:rsid w:val="00E17001"/>
    <w:rsid w:val="00E17406"/>
    <w:rsid w:val="00E200B5"/>
    <w:rsid w:val="00E20AE5"/>
    <w:rsid w:val="00E20F00"/>
    <w:rsid w:val="00E21297"/>
    <w:rsid w:val="00E23A38"/>
    <w:rsid w:val="00E23B6B"/>
    <w:rsid w:val="00E265A0"/>
    <w:rsid w:val="00E266DE"/>
    <w:rsid w:val="00E26C0D"/>
    <w:rsid w:val="00E311F5"/>
    <w:rsid w:val="00E317BC"/>
    <w:rsid w:val="00E33C6E"/>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262"/>
    <w:rsid w:val="00E645F6"/>
    <w:rsid w:val="00E64C5F"/>
    <w:rsid w:val="00E664F4"/>
    <w:rsid w:val="00E70355"/>
    <w:rsid w:val="00E72855"/>
    <w:rsid w:val="00E7377F"/>
    <w:rsid w:val="00E74710"/>
    <w:rsid w:val="00E74C1D"/>
    <w:rsid w:val="00E818D3"/>
    <w:rsid w:val="00E81B2F"/>
    <w:rsid w:val="00E844ED"/>
    <w:rsid w:val="00E85810"/>
    <w:rsid w:val="00E85B0A"/>
    <w:rsid w:val="00E90558"/>
    <w:rsid w:val="00E909CD"/>
    <w:rsid w:val="00E92248"/>
    <w:rsid w:val="00E92BD1"/>
    <w:rsid w:val="00E935A1"/>
    <w:rsid w:val="00E93FB6"/>
    <w:rsid w:val="00EA1715"/>
    <w:rsid w:val="00EA2FFB"/>
    <w:rsid w:val="00EA31FD"/>
    <w:rsid w:val="00EA4349"/>
    <w:rsid w:val="00EA4484"/>
    <w:rsid w:val="00EA4EE4"/>
    <w:rsid w:val="00EA5A32"/>
    <w:rsid w:val="00EA5B89"/>
    <w:rsid w:val="00EA6E1E"/>
    <w:rsid w:val="00EB2F51"/>
    <w:rsid w:val="00EB3BF0"/>
    <w:rsid w:val="00EB601D"/>
    <w:rsid w:val="00EB6CCD"/>
    <w:rsid w:val="00EC0258"/>
    <w:rsid w:val="00EC0273"/>
    <w:rsid w:val="00EC25BA"/>
    <w:rsid w:val="00EC435A"/>
    <w:rsid w:val="00ED0AD5"/>
    <w:rsid w:val="00ED1DE2"/>
    <w:rsid w:val="00ED1F31"/>
    <w:rsid w:val="00ED2304"/>
    <w:rsid w:val="00ED3630"/>
    <w:rsid w:val="00ED7140"/>
    <w:rsid w:val="00ED77E5"/>
    <w:rsid w:val="00EE026E"/>
    <w:rsid w:val="00EE3C59"/>
    <w:rsid w:val="00EE5B70"/>
    <w:rsid w:val="00EE66B6"/>
    <w:rsid w:val="00EE7B48"/>
    <w:rsid w:val="00EF0AFA"/>
    <w:rsid w:val="00EF38E5"/>
    <w:rsid w:val="00EF5C33"/>
    <w:rsid w:val="00EF629C"/>
    <w:rsid w:val="00EF6AB8"/>
    <w:rsid w:val="00EF7C6E"/>
    <w:rsid w:val="00EF7D29"/>
    <w:rsid w:val="00F012F4"/>
    <w:rsid w:val="00F01632"/>
    <w:rsid w:val="00F03364"/>
    <w:rsid w:val="00F0546E"/>
    <w:rsid w:val="00F05E2D"/>
    <w:rsid w:val="00F0625D"/>
    <w:rsid w:val="00F0672D"/>
    <w:rsid w:val="00F072E1"/>
    <w:rsid w:val="00F11185"/>
    <w:rsid w:val="00F11DDA"/>
    <w:rsid w:val="00F12E98"/>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436C"/>
    <w:rsid w:val="00F45470"/>
    <w:rsid w:val="00F464FE"/>
    <w:rsid w:val="00F465F9"/>
    <w:rsid w:val="00F4744E"/>
    <w:rsid w:val="00F47621"/>
    <w:rsid w:val="00F570AB"/>
    <w:rsid w:val="00F57A71"/>
    <w:rsid w:val="00F61C28"/>
    <w:rsid w:val="00F61E69"/>
    <w:rsid w:val="00F633B7"/>
    <w:rsid w:val="00F645F1"/>
    <w:rsid w:val="00F6591A"/>
    <w:rsid w:val="00F70D35"/>
    <w:rsid w:val="00F7546C"/>
    <w:rsid w:val="00F77B00"/>
    <w:rsid w:val="00F83B6F"/>
    <w:rsid w:val="00F84470"/>
    <w:rsid w:val="00F84D4F"/>
    <w:rsid w:val="00F857BC"/>
    <w:rsid w:val="00F90273"/>
    <w:rsid w:val="00F90BD0"/>
    <w:rsid w:val="00F93ACB"/>
    <w:rsid w:val="00F93C4F"/>
    <w:rsid w:val="00F95994"/>
    <w:rsid w:val="00FA2336"/>
    <w:rsid w:val="00FA240B"/>
    <w:rsid w:val="00FA2524"/>
    <w:rsid w:val="00FA49C5"/>
    <w:rsid w:val="00FA5BD2"/>
    <w:rsid w:val="00FA6175"/>
    <w:rsid w:val="00FA6784"/>
    <w:rsid w:val="00FA7E00"/>
    <w:rsid w:val="00FB1780"/>
    <w:rsid w:val="00FB35C6"/>
    <w:rsid w:val="00FB4C5A"/>
    <w:rsid w:val="00FB5BFA"/>
    <w:rsid w:val="00FB6F79"/>
    <w:rsid w:val="00FC07C6"/>
    <w:rsid w:val="00FC10F6"/>
    <w:rsid w:val="00FC7C25"/>
    <w:rsid w:val="00FD1C2E"/>
    <w:rsid w:val="00FD3574"/>
    <w:rsid w:val="00FD38FB"/>
    <w:rsid w:val="00FD3D6B"/>
    <w:rsid w:val="00FD602D"/>
    <w:rsid w:val="00FD60D2"/>
    <w:rsid w:val="00FD6A7D"/>
    <w:rsid w:val="00FD6FC9"/>
    <w:rsid w:val="00FE02C2"/>
    <w:rsid w:val="00FE04F5"/>
    <w:rsid w:val="00FE2D34"/>
    <w:rsid w:val="00FF26F6"/>
    <w:rsid w:val="00FF2780"/>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2412D11F"/>
  <w15:docId w15:val="{42BF4ECD-EB8F-4F72-B830-D3843B3A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Char1">
    <w:name w:val="Char1"/>
    <w:basedOn w:val="Normal"/>
    <w:rsid w:val="00453925"/>
    <w:pPr>
      <w:spacing w:after="160" w:line="240" w:lineRule="exact"/>
    </w:pPr>
    <w:rPr>
      <w:rFonts w:ascii="Verdana" w:eastAsia="MS Mincho" w:hAnsi="Verdana" w:cs="Verdana"/>
      <w:sz w:val="20"/>
      <w:lang w:val="en-US" w:eastAsia="en-US"/>
    </w:rPr>
  </w:style>
  <w:style w:type="character" w:customStyle="1" w:styleId="CABNETParagraphChar">
    <w:name w:val="CABNET Paragraph. Char"/>
    <w:basedOn w:val="DefaultParagraphFont"/>
    <w:link w:val="CABNETParagraph"/>
    <w:uiPriority w:val="98"/>
    <w:locked/>
    <w:rsid w:val="00BF4594"/>
    <w:rPr>
      <w:rFonts w:ascii="Arial" w:hAnsi="Arial" w:cs="Arial"/>
    </w:rPr>
  </w:style>
  <w:style w:type="paragraph" w:customStyle="1" w:styleId="CABNETParagraph">
    <w:name w:val="CABNET Paragraph."/>
    <w:basedOn w:val="Normal"/>
    <w:link w:val="CABNETParagraphChar"/>
    <w:uiPriority w:val="98"/>
    <w:rsid w:val="00BF4594"/>
    <w:pPr>
      <w:spacing w:before="120" w:after="120"/>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93101161">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8bd9498f-fa43-4ae2-8bb2-4c55a71680a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B8FD82F7-F5D1-442F-A8E5-F87A565F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Golkowski, Izabel</cp:lastModifiedBy>
  <cp:revision>5</cp:revision>
  <cp:lastPrinted>2019-02-19T05:03:00Z</cp:lastPrinted>
  <dcterms:created xsi:type="dcterms:W3CDTF">2019-02-19T03:04:00Z</dcterms:created>
  <dcterms:modified xsi:type="dcterms:W3CDTF">2019-02-19T05:21:00Z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