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2F9E5C" w14:textId="0BA0D2EA" w:rsidR="007E48A8" w:rsidRDefault="007E48A8" w:rsidP="007E48A8">
      <w:pPr>
        <w:jc w:val="center"/>
        <w:rPr>
          <w:rFonts w:ascii="Times New Roman" w:hAnsi="Times New Roman"/>
          <w:b/>
          <w:sz w:val="28"/>
          <w:szCs w:val="28"/>
        </w:rPr>
      </w:pPr>
      <w:bookmarkStart w:id="0" w:name="_GoBack"/>
      <w:bookmarkEnd w:id="0"/>
      <w:r>
        <w:rPr>
          <w:rFonts w:ascii="Times New Roman" w:hAnsi="Times New Roman"/>
          <w:b/>
          <w:sz w:val="28"/>
          <w:szCs w:val="28"/>
        </w:rPr>
        <w:t>EXPLANATORY STATEMENT</w:t>
      </w:r>
    </w:p>
    <w:p w14:paraId="33C80D70" w14:textId="77777777" w:rsidR="008F5B7B" w:rsidRDefault="008F5B7B" w:rsidP="007E48A8">
      <w:pPr>
        <w:jc w:val="center"/>
        <w:rPr>
          <w:rFonts w:ascii="Times New Roman" w:hAnsi="Times New Roman"/>
          <w:b/>
          <w:sz w:val="28"/>
          <w:szCs w:val="28"/>
          <w:lang w:bidi="ar-SA"/>
        </w:rPr>
      </w:pPr>
    </w:p>
    <w:p w14:paraId="6CDB3AC9" w14:textId="59D1D320" w:rsidR="007E48A8" w:rsidRPr="00AA7714" w:rsidRDefault="007E48A8" w:rsidP="007E48A8">
      <w:pPr>
        <w:jc w:val="center"/>
        <w:rPr>
          <w:rFonts w:ascii="Times New Roman" w:hAnsi="Times New Roman"/>
          <w:sz w:val="22"/>
          <w:szCs w:val="22"/>
        </w:rPr>
      </w:pPr>
      <w:r w:rsidRPr="00AA7714">
        <w:rPr>
          <w:rFonts w:ascii="Times New Roman" w:hAnsi="Times New Roman"/>
          <w:sz w:val="22"/>
          <w:szCs w:val="22"/>
        </w:rPr>
        <w:t>Approved by the Australian Communications and Media Authority</w:t>
      </w:r>
    </w:p>
    <w:p w14:paraId="619D675D" w14:textId="77777777" w:rsidR="008F5B7B" w:rsidRPr="00AA7714" w:rsidRDefault="008F5B7B" w:rsidP="007E48A8">
      <w:pPr>
        <w:jc w:val="center"/>
        <w:rPr>
          <w:rFonts w:ascii="Times New Roman" w:hAnsi="Times New Roman"/>
          <w:sz w:val="22"/>
          <w:szCs w:val="22"/>
        </w:rPr>
      </w:pPr>
    </w:p>
    <w:p w14:paraId="2A8C0CBF" w14:textId="5E4F2F53" w:rsidR="008F5B7B" w:rsidRPr="00AA7714" w:rsidRDefault="008F5B7B" w:rsidP="008F5B7B">
      <w:pPr>
        <w:jc w:val="center"/>
        <w:rPr>
          <w:rFonts w:ascii="Times New Roman" w:hAnsi="Times New Roman"/>
          <w:i/>
          <w:sz w:val="22"/>
          <w:szCs w:val="22"/>
        </w:rPr>
      </w:pPr>
      <w:r w:rsidRPr="00AA7714">
        <w:rPr>
          <w:rFonts w:ascii="Times New Roman" w:hAnsi="Times New Roman"/>
          <w:i/>
          <w:sz w:val="22"/>
          <w:szCs w:val="22"/>
        </w:rPr>
        <w:t>Radiocommunications (Receiver Licence Tax</w:t>
      </w:r>
      <w:r w:rsidR="00AB59FB">
        <w:rPr>
          <w:rFonts w:ascii="Times New Roman" w:hAnsi="Times New Roman"/>
          <w:i/>
          <w:sz w:val="22"/>
          <w:szCs w:val="22"/>
        </w:rPr>
        <w:t>)</w:t>
      </w:r>
      <w:r w:rsidRPr="00AA7714">
        <w:rPr>
          <w:rFonts w:ascii="Times New Roman" w:hAnsi="Times New Roman"/>
          <w:i/>
          <w:sz w:val="22"/>
          <w:szCs w:val="22"/>
        </w:rPr>
        <w:t xml:space="preserve"> Act 1983 </w:t>
      </w:r>
    </w:p>
    <w:p w14:paraId="6343ADC3" w14:textId="77777777" w:rsidR="008F5B7B" w:rsidRPr="0015106B" w:rsidRDefault="008F5B7B" w:rsidP="007E48A8">
      <w:pPr>
        <w:jc w:val="center"/>
        <w:rPr>
          <w:rFonts w:ascii="Times New Roman" w:hAnsi="Times New Roman"/>
          <w:sz w:val="22"/>
          <w:szCs w:val="22"/>
        </w:rPr>
      </w:pPr>
    </w:p>
    <w:p w14:paraId="2A0526BF" w14:textId="6555C46C" w:rsidR="008F5B7B" w:rsidRPr="00AA7714" w:rsidRDefault="008F5B7B" w:rsidP="008F5B7B">
      <w:pPr>
        <w:jc w:val="center"/>
        <w:rPr>
          <w:rFonts w:ascii="Times New Roman" w:hAnsi="Times New Roman"/>
          <w:b/>
          <w:i/>
          <w:sz w:val="22"/>
          <w:szCs w:val="22"/>
        </w:rPr>
      </w:pPr>
      <w:r w:rsidRPr="00AA7714">
        <w:rPr>
          <w:rFonts w:ascii="Times New Roman" w:hAnsi="Times New Roman"/>
          <w:b/>
          <w:i/>
          <w:sz w:val="22"/>
          <w:szCs w:val="22"/>
        </w:rPr>
        <w:t>Radiocommunications (Receiver Licence</w:t>
      </w:r>
      <w:r w:rsidR="00AB59FB">
        <w:rPr>
          <w:rFonts w:ascii="Times New Roman" w:hAnsi="Times New Roman"/>
          <w:b/>
          <w:i/>
          <w:sz w:val="22"/>
          <w:szCs w:val="22"/>
        </w:rPr>
        <w:t xml:space="preserve"> Tax</w:t>
      </w:r>
      <w:r w:rsidRPr="00AA7714">
        <w:rPr>
          <w:rFonts w:ascii="Times New Roman" w:hAnsi="Times New Roman"/>
          <w:b/>
          <w:i/>
          <w:sz w:val="22"/>
          <w:szCs w:val="22"/>
        </w:rPr>
        <w:t>) Amendment Determination 2019 (No. 2)</w:t>
      </w:r>
    </w:p>
    <w:p w14:paraId="5FF7B7CE" w14:textId="5971A252" w:rsidR="007E48A8" w:rsidRPr="00AA7714" w:rsidRDefault="007E48A8" w:rsidP="00AA7714">
      <w:pPr>
        <w:spacing w:before="280" w:after="120"/>
        <w:rPr>
          <w:rFonts w:ascii="Times New Roman" w:hAnsi="Times New Roman"/>
          <w:b/>
          <w:sz w:val="22"/>
          <w:szCs w:val="22"/>
        </w:rPr>
      </w:pPr>
      <w:r w:rsidRPr="00AA7714">
        <w:rPr>
          <w:rFonts w:ascii="Times New Roman" w:hAnsi="Times New Roman"/>
          <w:b/>
          <w:sz w:val="22"/>
          <w:szCs w:val="22"/>
        </w:rPr>
        <w:t>Authority</w:t>
      </w:r>
    </w:p>
    <w:p w14:paraId="005CA1B2" w14:textId="6A4DE20F" w:rsidR="00DC0C16" w:rsidRPr="008C3215" w:rsidRDefault="00DC0C16" w:rsidP="00DC0C16">
      <w:pPr>
        <w:rPr>
          <w:rFonts w:ascii="Times New Roman" w:hAnsi="Times New Roman"/>
          <w:sz w:val="22"/>
          <w:szCs w:val="22"/>
        </w:rPr>
      </w:pPr>
      <w:r w:rsidRPr="0015106B">
        <w:rPr>
          <w:rFonts w:ascii="Times New Roman" w:hAnsi="Times New Roman"/>
          <w:sz w:val="22"/>
          <w:szCs w:val="22"/>
        </w:rPr>
        <w:t>The Australian Communications and Media Authority (</w:t>
      </w:r>
      <w:r w:rsidRPr="0015106B">
        <w:rPr>
          <w:rFonts w:ascii="Times New Roman" w:hAnsi="Times New Roman"/>
          <w:b/>
          <w:sz w:val="22"/>
          <w:szCs w:val="22"/>
        </w:rPr>
        <w:t>the ACMA</w:t>
      </w:r>
      <w:r w:rsidRPr="0015106B">
        <w:rPr>
          <w:rFonts w:ascii="Times New Roman" w:hAnsi="Times New Roman"/>
          <w:sz w:val="22"/>
          <w:szCs w:val="22"/>
        </w:rPr>
        <w:t xml:space="preserve">) has made the </w:t>
      </w:r>
      <w:r w:rsidRPr="0015106B">
        <w:rPr>
          <w:rFonts w:ascii="Times New Roman" w:hAnsi="Times New Roman"/>
          <w:i/>
          <w:sz w:val="22"/>
          <w:szCs w:val="22"/>
        </w:rPr>
        <w:t xml:space="preserve">Radiocommunications (Receiver Licence Tax) Amendment Determination 2019 (No. </w:t>
      </w:r>
      <w:r w:rsidR="0015106B">
        <w:rPr>
          <w:rFonts w:ascii="Times New Roman" w:hAnsi="Times New Roman"/>
          <w:i/>
          <w:sz w:val="22"/>
          <w:szCs w:val="22"/>
        </w:rPr>
        <w:t>2</w:t>
      </w:r>
      <w:r w:rsidRPr="0015106B">
        <w:rPr>
          <w:rFonts w:ascii="Times New Roman" w:hAnsi="Times New Roman"/>
          <w:i/>
          <w:sz w:val="22"/>
          <w:szCs w:val="22"/>
        </w:rPr>
        <w:t xml:space="preserve">) </w:t>
      </w:r>
      <w:r w:rsidRPr="0015106B">
        <w:rPr>
          <w:rFonts w:ascii="Times New Roman" w:hAnsi="Times New Roman"/>
          <w:sz w:val="22"/>
          <w:szCs w:val="22"/>
        </w:rPr>
        <w:t>(</w:t>
      </w:r>
      <w:r w:rsidRPr="0015106B">
        <w:rPr>
          <w:rFonts w:ascii="Times New Roman" w:hAnsi="Times New Roman"/>
          <w:b/>
          <w:sz w:val="22"/>
          <w:szCs w:val="22"/>
        </w:rPr>
        <w:t xml:space="preserve">the </w:t>
      </w:r>
      <w:r w:rsidRPr="00B65114">
        <w:rPr>
          <w:rFonts w:ascii="Times New Roman" w:hAnsi="Times New Roman"/>
          <w:b/>
          <w:sz w:val="22"/>
          <w:szCs w:val="22"/>
        </w:rPr>
        <w:t>Amendment Determination</w:t>
      </w:r>
      <w:r w:rsidRPr="000423AC">
        <w:rPr>
          <w:rFonts w:ascii="Times New Roman" w:hAnsi="Times New Roman"/>
          <w:sz w:val="22"/>
          <w:szCs w:val="22"/>
        </w:rPr>
        <w:t xml:space="preserve">) under subsection 7(1) of the </w:t>
      </w:r>
      <w:r w:rsidRPr="000423AC">
        <w:rPr>
          <w:rFonts w:ascii="Times New Roman" w:hAnsi="Times New Roman"/>
          <w:i/>
          <w:sz w:val="22"/>
          <w:szCs w:val="22"/>
        </w:rPr>
        <w:t>Radiocommunications (Receiver Licence Tax</w:t>
      </w:r>
      <w:r w:rsidRPr="005A35BD">
        <w:rPr>
          <w:rFonts w:ascii="Times New Roman" w:hAnsi="Times New Roman"/>
          <w:i/>
          <w:sz w:val="22"/>
          <w:szCs w:val="22"/>
        </w:rPr>
        <w:t xml:space="preserve">) Act 1983 </w:t>
      </w:r>
      <w:r w:rsidRPr="005A35BD">
        <w:rPr>
          <w:rFonts w:ascii="Times New Roman" w:hAnsi="Times New Roman"/>
          <w:sz w:val="22"/>
          <w:szCs w:val="22"/>
        </w:rPr>
        <w:t>(</w:t>
      </w:r>
      <w:r w:rsidRPr="005A35BD">
        <w:rPr>
          <w:rFonts w:ascii="Times New Roman" w:hAnsi="Times New Roman"/>
          <w:b/>
          <w:sz w:val="22"/>
          <w:szCs w:val="22"/>
        </w:rPr>
        <w:t>the Tax Act</w:t>
      </w:r>
      <w:r w:rsidRPr="005A35BD">
        <w:rPr>
          <w:rFonts w:ascii="Times New Roman" w:hAnsi="Times New Roman"/>
          <w:sz w:val="22"/>
          <w:szCs w:val="22"/>
        </w:rPr>
        <w:t xml:space="preserve">) and subsection 33(3) of the </w:t>
      </w:r>
      <w:r w:rsidRPr="005A35BD">
        <w:rPr>
          <w:rFonts w:ascii="Times New Roman" w:hAnsi="Times New Roman"/>
          <w:i/>
          <w:sz w:val="22"/>
          <w:szCs w:val="22"/>
        </w:rPr>
        <w:t xml:space="preserve">Acts Interpretation Act 1901 </w:t>
      </w:r>
      <w:r w:rsidRPr="005A35BD">
        <w:rPr>
          <w:rFonts w:ascii="Times New Roman" w:hAnsi="Times New Roman"/>
          <w:sz w:val="22"/>
          <w:szCs w:val="22"/>
        </w:rPr>
        <w:t>(</w:t>
      </w:r>
      <w:r w:rsidRPr="005A35BD">
        <w:rPr>
          <w:rFonts w:ascii="Times New Roman" w:hAnsi="Times New Roman"/>
          <w:b/>
          <w:sz w:val="22"/>
          <w:szCs w:val="22"/>
        </w:rPr>
        <w:t>the AIA</w:t>
      </w:r>
      <w:r w:rsidRPr="005A35BD">
        <w:rPr>
          <w:rFonts w:ascii="Times New Roman" w:hAnsi="Times New Roman"/>
          <w:sz w:val="22"/>
          <w:szCs w:val="22"/>
        </w:rPr>
        <w:t>). Subsection 7(1) of the Tax Act provides that the ACMA</w:t>
      </w:r>
      <w:r w:rsidRPr="008C3215">
        <w:rPr>
          <w:rFonts w:ascii="Times New Roman" w:hAnsi="Times New Roman"/>
          <w:sz w:val="22"/>
          <w:szCs w:val="22"/>
        </w:rPr>
        <w:t xml:space="preserve"> may determine the amount of tax in respect of:</w:t>
      </w:r>
    </w:p>
    <w:p w14:paraId="7CB3D532" w14:textId="77777777" w:rsidR="00DC0C16" w:rsidRPr="0015106B" w:rsidRDefault="00DC0C16" w:rsidP="00DC0C16">
      <w:pPr>
        <w:pStyle w:val="Dotpoints"/>
        <w:tabs>
          <w:tab w:val="clear" w:pos="720"/>
        </w:tabs>
        <w:spacing w:before="120"/>
        <w:ind w:left="360"/>
        <w:rPr>
          <w:sz w:val="22"/>
          <w:szCs w:val="22"/>
          <w:lang w:eastAsia="en-US" w:bidi="he-IL"/>
        </w:rPr>
      </w:pPr>
      <w:r w:rsidRPr="0015106B">
        <w:rPr>
          <w:sz w:val="22"/>
          <w:szCs w:val="22"/>
          <w:lang w:eastAsia="en-US" w:bidi="he-IL"/>
        </w:rPr>
        <w:t>the issue of a receiver licence;</w:t>
      </w:r>
    </w:p>
    <w:p w14:paraId="1A06CD76" w14:textId="77777777" w:rsidR="00DC0C16" w:rsidRPr="0015106B" w:rsidRDefault="00DC0C16" w:rsidP="00DC0C16">
      <w:pPr>
        <w:pStyle w:val="Dotpoints"/>
        <w:tabs>
          <w:tab w:val="clear" w:pos="720"/>
        </w:tabs>
        <w:ind w:left="357" w:hanging="357"/>
        <w:rPr>
          <w:sz w:val="22"/>
          <w:szCs w:val="22"/>
          <w:lang w:eastAsia="en-US" w:bidi="he-IL"/>
        </w:rPr>
      </w:pPr>
      <w:r w:rsidRPr="0015106B">
        <w:rPr>
          <w:sz w:val="22"/>
          <w:szCs w:val="22"/>
          <w:lang w:eastAsia="en-US" w:bidi="he-IL"/>
        </w:rPr>
        <w:t xml:space="preserve">the anniversary of a receiver licence coming into force; and </w:t>
      </w:r>
    </w:p>
    <w:p w14:paraId="1204F81E" w14:textId="77777777" w:rsidR="00DC0C16" w:rsidRPr="0015106B" w:rsidRDefault="00DC0C16" w:rsidP="00DC0C16">
      <w:pPr>
        <w:pStyle w:val="Dotpoints"/>
        <w:tabs>
          <w:tab w:val="clear" w:pos="720"/>
        </w:tabs>
        <w:ind w:left="357" w:hanging="357"/>
        <w:rPr>
          <w:sz w:val="22"/>
          <w:szCs w:val="22"/>
          <w:lang w:eastAsia="en-US" w:bidi="he-IL"/>
        </w:rPr>
      </w:pPr>
      <w:r w:rsidRPr="0015106B">
        <w:rPr>
          <w:sz w:val="22"/>
          <w:szCs w:val="22"/>
          <w:lang w:eastAsia="en-US" w:bidi="he-IL"/>
        </w:rPr>
        <w:t>the holding of a receiver licence.</w:t>
      </w:r>
    </w:p>
    <w:p w14:paraId="63AF5EFA" w14:textId="77777777" w:rsidR="00DC0C16" w:rsidRPr="0015106B" w:rsidRDefault="00DC0C16" w:rsidP="00DC0C16">
      <w:pPr>
        <w:pStyle w:val="Dotpoints"/>
        <w:numPr>
          <w:ilvl w:val="0"/>
          <w:numId w:val="0"/>
        </w:numPr>
        <w:rPr>
          <w:i/>
          <w:sz w:val="22"/>
          <w:szCs w:val="22"/>
          <w:lang w:eastAsia="en-US" w:bidi="he-IL"/>
        </w:rPr>
      </w:pPr>
    </w:p>
    <w:p w14:paraId="59DB92FB" w14:textId="77777777" w:rsidR="00DC0C16" w:rsidRPr="0015106B" w:rsidRDefault="00DC0C16" w:rsidP="00DC0C16">
      <w:pPr>
        <w:rPr>
          <w:rFonts w:ascii="Times New Roman" w:hAnsi="Times New Roman"/>
          <w:sz w:val="22"/>
          <w:szCs w:val="22"/>
        </w:rPr>
      </w:pPr>
      <w:r w:rsidRPr="0015106B">
        <w:rPr>
          <w:rFonts w:ascii="Times New Roman" w:hAnsi="Times New Roman"/>
          <w:sz w:val="22"/>
          <w:szCs w:val="22"/>
        </w:rPr>
        <w:t>Subsection 33(3) of the AIA provides that when an Act confers a power to make an instrument, that power shall, unless the contrary intention appears, be construed as including a power exercisable in a like manner and subject to like conditions, to amend that instrument.</w:t>
      </w:r>
    </w:p>
    <w:p w14:paraId="5FB344D1" w14:textId="77777777" w:rsidR="00F960AA" w:rsidRPr="00AA7714" w:rsidRDefault="00F960AA" w:rsidP="007E48A8">
      <w:pPr>
        <w:rPr>
          <w:rFonts w:ascii="Times New Roman" w:hAnsi="Times New Roman"/>
          <w:sz w:val="22"/>
          <w:szCs w:val="22"/>
        </w:rPr>
      </w:pPr>
    </w:p>
    <w:p w14:paraId="284E3109" w14:textId="4F2BD5BB" w:rsidR="007E48A8" w:rsidRPr="00AA7714" w:rsidRDefault="007E48A8" w:rsidP="00AA7714">
      <w:pPr>
        <w:spacing w:after="120"/>
        <w:rPr>
          <w:rFonts w:ascii="Times New Roman" w:hAnsi="Times New Roman"/>
          <w:b/>
          <w:sz w:val="22"/>
          <w:szCs w:val="22"/>
        </w:rPr>
      </w:pPr>
      <w:r w:rsidRPr="00AA7714">
        <w:rPr>
          <w:rFonts w:ascii="Times New Roman" w:hAnsi="Times New Roman"/>
          <w:b/>
          <w:sz w:val="22"/>
          <w:szCs w:val="22"/>
        </w:rPr>
        <w:t>Purpose and operation of the instrument</w:t>
      </w:r>
    </w:p>
    <w:p w14:paraId="09E6D921" w14:textId="4720265F" w:rsidR="0015106B" w:rsidRDefault="0015106B" w:rsidP="00F960AA">
      <w:pPr>
        <w:spacing w:after="40"/>
        <w:rPr>
          <w:rFonts w:ascii="Times New Roman" w:hAnsi="Times New Roman"/>
          <w:sz w:val="22"/>
          <w:szCs w:val="22"/>
        </w:rPr>
      </w:pPr>
      <w:r w:rsidRPr="001E1810">
        <w:rPr>
          <w:rFonts w:ascii="Times New Roman" w:hAnsi="Times New Roman"/>
          <w:sz w:val="22"/>
          <w:szCs w:val="22"/>
        </w:rPr>
        <w:t xml:space="preserve">The </w:t>
      </w:r>
      <w:r>
        <w:rPr>
          <w:rFonts w:ascii="Times New Roman" w:hAnsi="Times New Roman"/>
          <w:sz w:val="22"/>
          <w:szCs w:val="22"/>
        </w:rPr>
        <w:t>Amendment Determination</w:t>
      </w:r>
      <w:r w:rsidRPr="001E1810">
        <w:rPr>
          <w:rFonts w:ascii="Times New Roman" w:hAnsi="Times New Roman"/>
          <w:sz w:val="22"/>
          <w:szCs w:val="22"/>
        </w:rPr>
        <w:t xml:space="preserve"> </w:t>
      </w:r>
      <w:r>
        <w:rPr>
          <w:rFonts w:ascii="Times New Roman" w:hAnsi="Times New Roman"/>
          <w:sz w:val="22"/>
          <w:szCs w:val="22"/>
        </w:rPr>
        <w:t xml:space="preserve">amends the </w:t>
      </w:r>
      <w:r>
        <w:rPr>
          <w:rFonts w:ascii="Times New Roman" w:hAnsi="Times New Roman"/>
          <w:i/>
          <w:sz w:val="22"/>
          <w:szCs w:val="22"/>
        </w:rPr>
        <w:t xml:space="preserve">Radiocommunications (Receiver Licence Tax) Determination 2015 </w:t>
      </w:r>
      <w:r>
        <w:rPr>
          <w:rFonts w:ascii="Times New Roman" w:hAnsi="Times New Roman"/>
          <w:sz w:val="22"/>
          <w:szCs w:val="22"/>
        </w:rPr>
        <w:t>(</w:t>
      </w:r>
      <w:r>
        <w:rPr>
          <w:rFonts w:ascii="Times New Roman" w:hAnsi="Times New Roman"/>
          <w:b/>
          <w:sz w:val="22"/>
          <w:szCs w:val="22"/>
        </w:rPr>
        <w:t xml:space="preserve">the Tax </w:t>
      </w:r>
      <w:r w:rsidRPr="00D02160">
        <w:rPr>
          <w:rFonts w:ascii="Times New Roman" w:hAnsi="Times New Roman"/>
          <w:b/>
          <w:sz w:val="22"/>
          <w:szCs w:val="22"/>
        </w:rPr>
        <w:t>Determination</w:t>
      </w:r>
      <w:r>
        <w:rPr>
          <w:rFonts w:ascii="Times New Roman" w:hAnsi="Times New Roman"/>
          <w:sz w:val="22"/>
          <w:szCs w:val="22"/>
        </w:rPr>
        <w:t xml:space="preserve">) which </w:t>
      </w:r>
      <w:r w:rsidRPr="001E1810">
        <w:rPr>
          <w:rFonts w:ascii="Times New Roman" w:hAnsi="Times New Roman"/>
          <w:sz w:val="22"/>
          <w:szCs w:val="22"/>
        </w:rPr>
        <w:t xml:space="preserve">sets the </w:t>
      </w:r>
      <w:r>
        <w:rPr>
          <w:rFonts w:ascii="Times New Roman" w:hAnsi="Times New Roman"/>
          <w:sz w:val="22"/>
          <w:szCs w:val="22"/>
        </w:rPr>
        <w:t>taxes</w:t>
      </w:r>
      <w:r w:rsidRPr="001E1810">
        <w:rPr>
          <w:rFonts w:ascii="Times New Roman" w:hAnsi="Times New Roman"/>
          <w:sz w:val="22"/>
          <w:szCs w:val="22"/>
        </w:rPr>
        <w:t xml:space="preserve"> for receiver licences</w:t>
      </w:r>
      <w:r>
        <w:rPr>
          <w:rFonts w:ascii="Times New Roman" w:hAnsi="Times New Roman"/>
          <w:sz w:val="22"/>
          <w:szCs w:val="22"/>
        </w:rPr>
        <w:t xml:space="preserve"> which are apparatus licences. The Tax Determination</w:t>
      </w:r>
      <w:r w:rsidRPr="00F036A9">
        <w:rPr>
          <w:rFonts w:ascii="Times New Roman" w:hAnsi="Times New Roman"/>
          <w:sz w:val="22"/>
          <w:szCs w:val="22"/>
        </w:rPr>
        <w:t xml:space="preserve"> sets out the different amounts of receiver licence tax that the ACMA has determined </w:t>
      </w:r>
      <w:r w:rsidR="00520A0D">
        <w:rPr>
          <w:rFonts w:ascii="Times New Roman" w:hAnsi="Times New Roman"/>
          <w:sz w:val="22"/>
          <w:szCs w:val="22"/>
        </w:rPr>
        <w:t>are</w:t>
      </w:r>
      <w:r w:rsidR="00520A0D" w:rsidRPr="00F036A9">
        <w:rPr>
          <w:rFonts w:ascii="Times New Roman" w:hAnsi="Times New Roman"/>
          <w:sz w:val="22"/>
          <w:szCs w:val="22"/>
        </w:rPr>
        <w:t xml:space="preserve"> </w:t>
      </w:r>
      <w:r w:rsidRPr="00F036A9">
        <w:rPr>
          <w:rFonts w:ascii="Times New Roman" w:hAnsi="Times New Roman"/>
          <w:sz w:val="22"/>
          <w:szCs w:val="22"/>
        </w:rPr>
        <w:t xml:space="preserve">payable by licensees of </w:t>
      </w:r>
      <w:proofErr w:type="gramStart"/>
      <w:r w:rsidRPr="00F036A9">
        <w:rPr>
          <w:rFonts w:ascii="Times New Roman" w:hAnsi="Times New Roman"/>
          <w:sz w:val="22"/>
          <w:szCs w:val="22"/>
        </w:rPr>
        <w:t>particular apparatus</w:t>
      </w:r>
      <w:proofErr w:type="gramEnd"/>
      <w:r w:rsidRPr="00F036A9">
        <w:rPr>
          <w:rFonts w:ascii="Times New Roman" w:hAnsi="Times New Roman"/>
          <w:sz w:val="22"/>
          <w:szCs w:val="22"/>
        </w:rPr>
        <w:t xml:space="preserve"> licences for receivers.</w:t>
      </w:r>
    </w:p>
    <w:p w14:paraId="6758A563" w14:textId="27471A1B" w:rsidR="0015106B" w:rsidRDefault="0015106B" w:rsidP="00F960AA">
      <w:pPr>
        <w:spacing w:after="40"/>
        <w:rPr>
          <w:rFonts w:ascii="Times New Roman" w:hAnsi="Times New Roman"/>
          <w:sz w:val="22"/>
          <w:szCs w:val="22"/>
        </w:rPr>
      </w:pPr>
    </w:p>
    <w:p w14:paraId="3E426A1F" w14:textId="7C0B2747" w:rsidR="004C55A2" w:rsidRDefault="000423AC" w:rsidP="00F960AA">
      <w:pPr>
        <w:spacing w:after="40"/>
        <w:rPr>
          <w:rFonts w:ascii="Times New Roman" w:hAnsi="Times New Roman"/>
          <w:sz w:val="22"/>
          <w:szCs w:val="22"/>
        </w:rPr>
      </w:pPr>
      <w:r>
        <w:rPr>
          <w:rFonts w:ascii="Times New Roman" w:hAnsi="Times New Roman"/>
          <w:sz w:val="22"/>
          <w:szCs w:val="22"/>
        </w:rPr>
        <w:t xml:space="preserve">On 25 January 2019, the ACMA made the </w:t>
      </w:r>
      <w:r w:rsidRPr="00D95A22">
        <w:rPr>
          <w:rFonts w:ascii="Times New Roman" w:hAnsi="Times New Roman"/>
          <w:i/>
          <w:sz w:val="22"/>
          <w:szCs w:val="22"/>
        </w:rPr>
        <w:t>Radiocommunications (Receiver Licence</w:t>
      </w:r>
      <w:r>
        <w:rPr>
          <w:rFonts w:ascii="Times New Roman" w:hAnsi="Times New Roman"/>
          <w:i/>
          <w:sz w:val="22"/>
          <w:szCs w:val="22"/>
        </w:rPr>
        <w:t xml:space="preserve"> Tax</w:t>
      </w:r>
      <w:r w:rsidRPr="00D95A22">
        <w:rPr>
          <w:rFonts w:ascii="Times New Roman" w:hAnsi="Times New Roman"/>
          <w:i/>
          <w:sz w:val="22"/>
          <w:szCs w:val="22"/>
        </w:rPr>
        <w:t>) Amendment Determination 2019 (No.1)</w:t>
      </w:r>
      <w:r w:rsidR="00AB59FB">
        <w:rPr>
          <w:rFonts w:ascii="Times New Roman" w:hAnsi="Times New Roman"/>
          <w:i/>
          <w:sz w:val="22"/>
          <w:szCs w:val="22"/>
        </w:rPr>
        <w:t xml:space="preserve"> </w:t>
      </w:r>
      <w:r w:rsidR="00AB59FB">
        <w:rPr>
          <w:rFonts w:ascii="Times New Roman" w:hAnsi="Times New Roman"/>
          <w:sz w:val="22"/>
          <w:szCs w:val="22"/>
        </w:rPr>
        <w:t>(</w:t>
      </w:r>
      <w:r w:rsidR="00AB59FB">
        <w:rPr>
          <w:rFonts w:ascii="Times New Roman" w:hAnsi="Times New Roman"/>
          <w:b/>
          <w:sz w:val="22"/>
          <w:szCs w:val="22"/>
        </w:rPr>
        <w:t>the First Amendment Determination</w:t>
      </w:r>
      <w:r w:rsidR="0070082B">
        <w:rPr>
          <w:rFonts w:ascii="Times New Roman" w:hAnsi="Times New Roman"/>
          <w:sz w:val="22"/>
          <w:szCs w:val="22"/>
        </w:rPr>
        <w:t xml:space="preserve">) which amended the Tax Determination to increase all taxes (except for </w:t>
      </w:r>
      <w:r w:rsidR="004C55A2" w:rsidRPr="006F04E3">
        <w:rPr>
          <w:rFonts w:ascii="Times New Roman" w:hAnsi="Times New Roman"/>
          <w:sz w:val="22"/>
          <w:szCs w:val="22"/>
        </w:rPr>
        <w:t>fixed receive licences</w:t>
      </w:r>
      <w:r w:rsidR="004C55A2" w:rsidRPr="004D3EF7">
        <w:rPr>
          <w:rFonts w:ascii="Times New Roman" w:hAnsi="Times New Roman"/>
          <w:sz w:val="22"/>
          <w:szCs w:val="22"/>
        </w:rPr>
        <w:t xml:space="preserve"> below 960 MHz in remote density areas</w:t>
      </w:r>
      <w:r w:rsidR="004C55A2">
        <w:rPr>
          <w:rFonts w:ascii="Times New Roman" w:hAnsi="Times New Roman"/>
          <w:sz w:val="22"/>
          <w:szCs w:val="22"/>
        </w:rPr>
        <w:t>) by the consumer price index of 2.1%. The explanatory statement for the First Amendment Determination details the</w:t>
      </w:r>
      <w:r w:rsidR="005A35BD">
        <w:rPr>
          <w:rFonts w:ascii="Times New Roman" w:hAnsi="Times New Roman"/>
          <w:sz w:val="22"/>
          <w:szCs w:val="22"/>
        </w:rPr>
        <w:t xml:space="preserve"> amendments made by that instrument. </w:t>
      </w:r>
      <w:r w:rsidR="00EC77B6">
        <w:rPr>
          <w:rFonts w:ascii="Times New Roman" w:hAnsi="Times New Roman"/>
          <w:sz w:val="22"/>
          <w:szCs w:val="22"/>
        </w:rPr>
        <w:t xml:space="preserve">The First Amendment Determination was registered on 30 January 2019 and commenced on 31 January 2019. </w:t>
      </w:r>
    </w:p>
    <w:p w14:paraId="2BB65EC5" w14:textId="524AF04E" w:rsidR="00EC77B6" w:rsidRPr="0070082B" w:rsidRDefault="004E48F9" w:rsidP="00F960AA">
      <w:pPr>
        <w:spacing w:after="40"/>
        <w:rPr>
          <w:rFonts w:ascii="Times New Roman" w:hAnsi="Times New Roman"/>
          <w:sz w:val="22"/>
          <w:szCs w:val="22"/>
        </w:rPr>
      </w:pPr>
      <w:r>
        <w:rPr>
          <w:rFonts w:ascii="Times New Roman" w:hAnsi="Times New Roman"/>
          <w:sz w:val="22"/>
          <w:szCs w:val="22"/>
        </w:rPr>
        <w:t xml:space="preserve">Table 402 of Schedule 2 </w:t>
      </w:r>
      <w:r w:rsidR="007D5D78">
        <w:rPr>
          <w:rFonts w:ascii="Times New Roman" w:hAnsi="Times New Roman"/>
          <w:sz w:val="22"/>
          <w:szCs w:val="22"/>
        </w:rPr>
        <w:t xml:space="preserve">of the Tax Determination was repealed and substituted by the First Amendment Determination. </w:t>
      </w:r>
      <w:r w:rsidR="00C63656">
        <w:rPr>
          <w:rFonts w:ascii="Times New Roman" w:hAnsi="Times New Roman"/>
          <w:sz w:val="22"/>
          <w:szCs w:val="22"/>
        </w:rPr>
        <w:t xml:space="preserve"> The table as substituted </w:t>
      </w:r>
      <w:r w:rsidR="00796523">
        <w:rPr>
          <w:rFonts w:ascii="Times New Roman" w:hAnsi="Times New Roman"/>
          <w:sz w:val="22"/>
          <w:szCs w:val="22"/>
        </w:rPr>
        <w:t xml:space="preserve">incorrectly refers to some </w:t>
      </w:r>
      <w:r w:rsidR="00975D38">
        <w:rPr>
          <w:rFonts w:ascii="Times New Roman" w:hAnsi="Times New Roman"/>
          <w:sz w:val="22"/>
          <w:szCs w:val="22"/>
        </w:rPr>
        <w:t>frequency ranges in column 1</w:t>
      </w:r>
      <w:r w:rsidR="00B01F0B">
        <w:rPr>
          <w:rFonts w:ascii="Times New Roman" w:hAnsi="Times New Roman"/>
          <w:sz w:val="22"/>
          <w:szCs w:val="22"/>
        </w:rPr>
        <w:t xml:space="preserve">. The purpose of the Amendment Determination is to correct </w:t>
      </w:r>
      <w:r w:rsidR="00796523">
        <w:rPr>
          <w:rFonts w:ascii="Times New Roman" w:hAnsi="Times New Roman"/>
          <w:sz w:val="22"/>
          <w:szCs w:val="22"/>
        </w:rPr>
        <w:t>the references to those frequency ranges</w:t>
      </w:r>
      <w:r w:rsidR="00B01F0B">
        <w:rPr>
          <w:rFonts w:ascii="Times New Roman" w:hAnsi="Times New Roman"/>
          <w:sz w:val="22"/>
          <w:szCs w:val="22"/>
        </w:rPr>
        <w:t xml:space="preserve">. </w:t>
      </w:r>
    </w:p>
    <w:p w14:paraId="4C3B3227" w14:textId="46E4087C" w:rsidR="00ED4373" w:rsidRPr="00AA7714" w:rsidRDefault="00B26E56" w:rsidP="00F960AA">
      <w:pPr>
        <w:spacing w:after="40"/>
        <w:rPr>
          <w:rFonts w:ascii="Times New Roman" w:hAnsi="Times New Roman"/>
          <w:sz w:val="22"/>
          <w:szCs w:val="22"/>
        </w:rPr>
      </w:pPr>
      <w:r w:rsidRPr="00597743">
        <w:rPr>
          <w:rFonts w:ascii="Times New Roman" w:hAnsi="Times New Roman"/>
          <w:sz w:val="22"/>
          <w:szCs w:val="22"/>
        </w:rPr>
        <w:t xml:space="preserve">The </w:t>
      </w:r>
      <w:r>
        <w:rPr>
          <w:rFonts w:ascii="Times New Roman" w:hAnsi="Times New Roman"/>
          <w:sz w:val="22"/>
          <w:szCs w:val="22"/>
        </w:rPr>
        <w:t xml:space="preserve">changes to </w:t>
      </w:r>
      <w:r w:rsidRPr="00597743">
        <w:rPr>
          <w:rFonts w:ascii="Times New Roman" w:hAnsi="Times New Roman"/>
          <w:sz w:val="22"/>
          <w:szCs w:val="22"/>
        </w:rPr>
        <w:t xml:space="preserve">taxes </w:t>
      </w:r>
      <w:r>
        <w:rPr>
          <w:rFonts w:ascii="Times New Roman" w:hAnsi="Times New Roman"/>
          <w:sz w:val="22"/>
          <w:szCs w:val="22"/>
        </w:rPr>
        <w:t>made by the First Amendment Determination and the Amendment Determination affect</w:t>
      </w:r>
      <w:r w:rsidRPr="00597743">
        <w:rPr>
          <w:rFonts w:ascii="Times New Roman" w:hAnsi="Times New Roman"/>
          <w:sz w:val="22"/>
          <w:szCs w:val="22"/>
        </w:rPr>
        <w:t xml:space="preserve"> licences issued or renewed on or after 5 April 2019</w:t>
      </w:r>
      <w:r>
        <w:rPr>
          <w:rFonts w:ascii="Times New Roman" w:hAnsi="Times New Roman"/>
          <w:sz w:val="22"/>
          <w:szCs w:val="22"/>
        </w:rPr>
        <w:t xml:space="preserve"> and licences issued after the commencement of the First Amendment Determination</w:t>
      </w:r>
      <w:r w:rsidR="00104FB1">
        <w:rPr>
          <w:rFonts w:ascii="Times New Roman" w:hAnsi="Times New Roman"/>
          <w:sz w:val="22"/>
          <w:szCs w:val="22"/>
        </w:rPr>
        <w:t xml:space="preserve"> </w:t>
      </w:r>
      <w:r>
        <w:rPr>
          <w:rFonts w:ascii="Times New Roman" w:hAnsi="Times New Roman"/>
          <w:sz w:val="22"/>
          <w:szCs w:val="22"/>
        </w:rPr>
        <w:t>which come into force on or after 5 April 2019</w:t>
      </w:r>
      <w:r w:rsidR="00742A72">
        <w:rPr>
          <w:rFonts w:ascii="Times New Roman" w:hAnsi="Times New Roman"/>
          <w:sz w:val="22"/>
          <w:szCs w:val="22"/>
        </w:rPr>
        <w:t>.</w:t>
      </w:r>
    </w:p>
    <w:p w14:paraId="6B7DD1FF" w14:textId="77777777" w:rsidR="00F960AA" w:rsidRPr="00AA7714" w:rsidRDefault="00F960AA" w:rsidP="00F960AA">
      <w:pPr>
        <w:spacing w:after="40"/>
        <w:rPr>
          <w:rFonts w:ascii="Times New Roman" w:hAnsi="Times New Roman"/>
          <w:sz w:val="22"/>
          <w:szCs w:val="22"/>
        </w:rPr>
      </w:pPr>
    </w:p>
    <w:p w14:paraId="70EE0FCF" w14:textId="567FF31E" w:rsidR="007E48A8" w:rsidRDefault="007E48A8" w:rsidP="007E48A8">
      <w:pPr>
        <w:rPr>
          <w:rFonts w:ascii="Times New Roman" w:hAnsi="Times New Roman"/>
          <w:sz w:val="22"/>
          <w:szCs w:val="22"/>
        </w:rPr>
      </w:pPr>
      <w:r w:rsidRPr="00AA7714">
        <w:rPr>
          <w:rFonts w:ascii="Times New Roman" w:hAnsi="Times New Roman"/>
          <w:sz w:val="22"/>
          <w:szCs w:val="22"/>
        </w:rPr>
        <w:t xml:space="preserve">A provision-by-provision description of the </w:t>
      </w:r>
      <w:r w:rsidR="00CD2A9C">
        <w:rPr>
          <w:rFonts w:ascii="Times New Roman" w:hAnsi="Times New Roman"/>
          <w:sz w:val="22"/>
          <w:szCs w:val="22"/>
        </w:rPr>
        <w:t xml:space="preserve">Amendment Determination </w:t>
      </w:r>
      <w:r w:rsidRPr="00AA7714">
        <w:rPr>
          <w:rFonts w:ascii="Times New Roman" w:hAnsi="Times New Roman"/>
          <w:sz w:val="22"/>
          <w:szCs w:val="22"/>
        </w:rPr>
        <w:t xml:space="preserve">is set out in the notes at </w:t>
      </w:r>
      <w:r w:rsidRPr="00AA7714">
        <w:rPr>
          <w:rFonts w:ascii="Times New Roman" w:hAnsi="Times New Roman"/>
          <w:b/>
          <w:sz w:val="22"/>
          <w:szCs w:val="22"/>
        </w:rPr>
        <w:t>Attachment A</w:t>
      </w:r>
      <w:r w:rsidRPr="00AA7714">
        <w:rPr>
          <w:rFonts w:ascii="Times New Roman" w:hAnsi="Times New Roman"/>
          <w:sz w:val="22"/>
          <w:szCs w:val="22"/>
        </w:rPr>
        <w:t>.</w:t>
      </w:r>
    </w:p>
    <w:p w14:paraId="69489604" w14:textId="77777777" w:rsidR="00104FB1" w:rsidRPr="00AA7714" w:rsidRDefault="00104FB1" w:rsidP="007E48A8">
      <w:pPr>
        <w:rPr>
          <w:rFonts w:ascii="Times New Roman" w:hAnsi="Times New Roman"/>
          <w:sz w:val="22"/>
          <w:szCs w:val="22"/>
        </w:rPr>
      </w:pPr>
    </w:p>
    <w:p w14:paraId="77E16FDB" w14:textId="059EB6F8" w:rsidR="007E48A8" w:rsidRPr="00AA7714" w:rsidRDefault="007E48A8" w:rsidP="007E48A8">
      <w:pPr>
        <w:rPr>
          <w:rFonts w:ascii="Times New Roman" w:hAnsi="Times New Roman"/>
          <w:sz w:val="22"/>
          <w:szCs w:val="22"/>
        </w:rPr>
      </w:pPr>
      <w:r w:rsidRPr="00AA7714">
        <w:rPr>
          <w:rFonts w:ascii="Times New Roman" w:hAnsi="Times New Roman"/>
          <w:sz w:val="22"/>
          <w:szCs w:val="22"/>
        </w:rPr>
        <w:t xml:space="preserve">The </w:t>
      </w:r>
      <w:r w:rsidR="00CD2A9C">
        <w:rPr>
          <w:rFonts w:ascii="Times New Roman" w:hAnsi="Times New Roman"/>
          <w:sz w:val="22"/>
          <w:szCs w:val="22"/>
        </w:rPr>
        <w:t>Amendment Determination</w:t>
      </w:r>
      <w:r w:rsidRPr="00AA7714">
        <w:rPr>
          <w:rFonts w:ascii="Times New Roman" w:hAnsi="Times New Roman"/>
          <w:sz w:val="22"/>
          <w:szCs w:val="22"/>
        </w:rPr>
        <w:t xml:space="preserve"> is a legislative instrument for the purposes of the </w:t>
      </w:r>
      <w:r w:rsidRPr="00AA7714">
        <w:rPr>
          <w:rFonts w:ascii="Times New Roman" w:hAnsi="Times New Roman"/>
          <w:i/>
          <w:sz w:val="22"/>
          <w:szCs w:val="22"/>
        </w:rPr>
        <w:t xml:space="preserve">Legislation Act 2003 </w:t>
      </w:r>
      <w:r w:rsidRPr="00AA7714">
        <w:rPr>
          <w:rFonts w:ascii="Times New Roman" w:hAnsi="Times New Roman"/>
          <w:sz w:val="22"/>
          <w:szCs w:val="22"/>
        </w:rPr>
        <w:t>(</w:t>
      </w:r>
      <w:r w:rsidRPr="00AA7714">
        <w:rPr>
          <w:rFonts w:ascii="Times New Roman" w:hAnsi="Times New Roman"/>
          <w:b/>
          <w:sz w:val="22"/>
          <w:szCs w:val="22"/>
        </w:rPr>
        <w:t>the LA</w:t>
      </w:r>
      <w:r w:rsidRPr="00AA7714">
        <w:rPr>
          <w:rFonts w:ascii="Times New Roman" w:hAnsi="Times New Roman"/>
          <w:sz w:val="22"/>
          <w:szCs w:val="22"/>
        </w:rPr>
        <w:t xml:space="preserve">). </w:t>
      </w:r>
    </w:p>
    <w:p w14:paraId="0905BCFA" w14:textId="77777777" w:rsidR="000B5D9F" w:rsidRPr="00AA7714" w:rsidRDefault="000B5D9F" w:rsidP="007E48A8">
      <w:pPr>
        <w:rPr>
          <w:rFonts w:ascii="Times New Roman" w:hAnsi="Times New Roman"/>
          <w:b/>
          <w:sz w:val="22"/>
          <w:szCs w:val="22"/>
        </w:rPr>
      </w:pPr>
    </w:p>
    <w:p w14:paraId="270CFB93" w14:textId="77777777" w:rsidR="00EF5ACB" w:rsidRDefault="00EF5ACB">
      <w:pPr>
        <w:spacing w:after="160" w:line="259" w:lineRule="auto"/>
        <w:rPr>
          <w:rFonts w:ascii="Times New Roman" w:hAnsi="Times New Roman"/>
          <w:b/>
          <w:sz w:val="22"/>
          <w:szCs w:val="22"/>
        </w:rPr>
      </w:pPr>
      <w:r>
        <w:rPr>
          <w:rFonts w:ascii="Times New Roman" w:hAnsi="Times New Roman"/>
          <w:b/>
          <w:sz w:val="22"/>
          <w:szCs w:val="22"/>
        </w:rPr>
        <w:br w:type="page"/>
      </w:r>
    </w:p>
    <w:p w14:paraId="1E8D27E9" w14:textId="6AB7C4FD" w:rsidR="007E48A8" w:rsidRPr="00AA7714" w:rsidRDefault="007E48A8" w:rsidP="00AA7714">
      <w:pPr>
        <w:spacing w:after="120"/>
        <w:rPr>
          <w:rFonts w:ascii="Times New Roman" w:hAnsi="Times New Roman"/>
          <w:b/>
          <w:sz w:val="22"/>
          <w:szCs w:val="22"/>
        </w:rPr>
      </w:pPr>
      <w:r w:rsidRPr="00AA7714">
        <w:rPr>
          <w:rFonts w:ascii="Times New Roman" w:hAnsi="Times New Roman"/>
          <w:b/>
          <w:sz w:val="22"/>
          <w:szCs w:val="22"/>
        </w:rPr>
        <w:lastRenderedPageBreak/>
        <w:t>Documents incorporated by reference</w:t>
      </w:r>
    </w:p>
    <w:p w14:paraId="4C96D8AF" w14:textId="34DDFF3E" w:rsidR="007E48A8" w:rsidRPr="00AA7714" w:rsidRDefault="00F960AA" w:rsidP="007E48A8">
      <w:pPr>
        <w:rPr>
          <w:rFonts w:ascii="Times New Roman" w:hAnsi="Times New Roman"/>
          <w:sz w:val="22"/>
          <w:szCs w:val="22"/>
        </w:rPr>
      </w:pPr>
      <w:r w:rsidRPr="00AA7714">
        <w:rPr>
          <w:rFonts w:ascii="Times New Roman" w:hAnsi="Times New Roman"/>
          <w:sz w:val="22"/>
          <w:szCs w:val="22"/>
        </w:rPr>
        <w:t xml:space="preserve">The </w:t>
      </w:r>
      <w:r w:rsidR="00CD2A9C">
        <w:rPr>
          <w:rFonts w:ascii="Times New Roman" w:hAnsi="Times New Roman"/>
          <w:sz w:val="22"/>
          <w:szCs w:val="22"/>
        </w:rPr>
        <w:t>Amendment Determination</w:t>
      </w:r>
      <w:r w:rsidRPr="00AA7714">
        <w:rPr>
          <w:rFonts w:ascii="Times New Roman" w:hAnsi="Times New Roman"/>
          <w:sz w:val="22"/>
          <w:szCs w:val="22"/>
        </w:rPr>
        <w:t xml:space="preserve"> does not incorporate a</w:t>
      </w:r>
      <w:r w:rsidR="00C070DD">
        <w:rPr>
          <w:rFonts w:ascii="Times New Roman" w:hAnsi="Times New Roman"/>
          <w:sz w:val="22"/>
          <w:szCs w:val="22"/>
        </w:rPr>
        <w:t>ny</w:t>
      </w:r>
      <w:r w:rsidRPr="00AA7714">
        <w:rPr>
          <w:rFonts w:ascii="Times New Roman" w:hAnsi="Times New Roman"/>
          <w:sz w:val="22"/>
          <w:szCs w:val="22"/>
        </w:rPr>
        <w:t xml:space="preserve"> document</w:t>
      </w:r>
      <w:r w:rsidR="00C070DD">
        <w:rPr>
          <w:rFonts w:ascii="Times New Roman" w:hAnsi="Times New Roman"/>
          <w:sz w:val="22"/>
          <w:szCs w:val="22"/>
        </w:rPr>
        <w:t>s</w:t>
      </w:r>
      <w:r w:rsidRPr="00AA7714">
        <w:rPr>
          <w:rFonts w:ascii="Times New Roman" w:hAnsi="Times New Roman"/>
          <w:sz w:val="22"/>
          <w:szCs w:val="22"/>
        </w:rPr>
        <w:t xml:space="preserve"> by reference. </w:t>
      </w:r>
    </w:p>
    <w:p w14:paraId="1D55C2FE" w14:textId="77777777" w:rsidR="00F960AA" w:rsidRPr="00AA7714" w:rsidRDefault="00F960AA" w:rsidP="007E48A8">
      <w:pPr>
        <w:rPr>
          <w:rFonts w:ascii="Times New Roman" w:hAnsi="Times New Roman"/>
          <w:sz w:val="22"/>
          <w:szCs w:val="22"/>
        </w:rPr>
      </w:pPr>
    </w:p>
    <w:p w14:paraId="52037D53" w14:textId="77777777" w:rsidR="007E48A8" w:rsidRPr="00AA7714" w:rsidRDefault="007E48A8" w:rsidP="00AA7714">
      <w:pPr>
        <w:spacing w:after="120"/>
        <w:rPr>
          <w:rFonts w:ascii="Times New Roman" w:hAnsi="Times New Roman"/>
          <w:b/>
          <w:sz w:val="22"/>
          <w:szCs w:val="22"/>
        </w:rPr>
      </w:pPr>
      <w:r w:rsidRPr="00AA7714">
        <w:rPr>
          <w:rFonts w:ascii="Times New Roman" w:hAnsi="Times New Roman"/>
          <w:b/>
          <w:sz w:val="22"/>
          <w:szCs w:val="22"/>
        </w:rPr>
        <w:t>Consultation</w:t>
      </w:r>
    </w:p>
    <w:p w14:paraId="3B735D13" w14:textId="35264FD8" w:rsidR="00B13480" w:rsidRPr="00AA7714" w:rsidRDefault="000B5D9F" w:rsidP="007E48A8">
      <w:pPr>
        <w:rPr>
          <w:rFonts w:ascii="Times New Roman" w:hAnsi="Times New Roman"/>
          <w:sz w:val="22"/>
          <w:szCs w:val="22"/>
        </w:rPr>
      </w:pPr>
      <w:r w:rsidRPr="00AA7714">
        <w:rPr>
          <w:rFonts w:ascii="Times New Roman" w:hAnsi="Times New Roman"/>
          <w:sz w:val="22"/>
          <w:szCs w:val="22"/>
        </w:rPr>
        <w:t xml:space="preserve">The ACMA did not consult on </w:t>
      </w:r>
      <w:r w:rsidR="00B96128" w:rsidRPr="00AA7714">
        <w:rPr>
          <w:rFonts w:ascii="Times New Roman" w:hAnsi="Times New Roman"/>
          <w:sz w:val="22"/>
          <w:szCs w:val="22"/>
        </w:rPr>
        <w:t>th</w:t>
      </w:r>
      <w:r w:rsidR="00C447C2">
        <w:rPr>
          <w:rFonts w:ascii="Times New Roman" w:hAnsi="Times New Roman"/>
          <w:sz w:val="22"/>
          <w:szCs w:val="22"/>
        </w:rPr>
        <w:t>e</w:t>
      </w:r>
      <w:r w:rsidR="00B96128" w:rsidRPr="00AA7714">
        <w:rPr>
          <w:rFonts w:ascii="Times New Roman" w:hAnsi="Times New Roman"/>
          <w:sz w:val="22"/>
          <w:szCs w:val="22"/>
        </w:rPr>
        <w:t xml:space="preserve"> </w:t>
      </w:r>
      <w:r w:rsidR="00C447C2">
        <w:rPr>
          <w:rFonts w:ascii="Times New Roman" w:hAnsi="Times New Roman"/>
          <w:sz w:val="22"/>
          <w:szCs w:val="22"/>
        </w:rPr>
        <w:t>Amendment D</w:t>
      </w:r>
      <w:r w:rsidR="00B96128" w:rsidRPr="00AA7714">
        <w:rPr>
          <w:rFonts w:ascii="Times New Roman" w:hAnsi="Times New Roman"/>
          <w:sz w:val="22"/>
          <w:szCs w:val="22"/>
        </w:rPr>
        <w:t xml:space="preserve">etermination because it only corrects a </w:t>
      </w:r>
      <w:r w:rsidR="00C93C5E">
        <w:rPr>
          <w:rFonts w:ascii="Times New Roman" w:hAnsi="Times New Roman"/>
          <w:sz w:val="22"/>
          <w:szCs w:val="22"/>
        </w:rPr>
        <w:t xml:space="preserve">minor </w:t>
      </w:r>
      <w:r w:rsidR="00B96128" w:rsidRPr="00AA7714">
        <w:rPr>
          <w:rFonts w:ascii="Times New Roman" w:hAnsi="Times New Roman"/>
          <w:sz w:val="22"/>
          <w:szCs w:val="22"/>
        </w:rPr>
        <w:t xml:space="preserve">drafting </w:t>
      </w:r>
      <w:r w:rsidR="00BD731A">
        <w:rPr>
          <w:rFonts w:ascii="Times New Roman" w:hAnsi="Times New Roman"/>
          <w:sz w:val="22"/>
          <w:szCs w:val="22"/>
        </w:rPr>
        <w:t xml:space="preserve">error </w:t>
      </w:r>
      <w:r w:rsidR="009706BF">
        <w:rPr>
          <w:rFonts w:ascii="Times New Roman" w:hAnsi="Times New Roman"/>
          <w:sz w:val="22"/>
          <w:szCs w:val="22"/>
        </w:rPr>
        <w:t>with</w:t>
      </w:r>
      <w:r w:rsidR="002A4089">
        <w:rPr>
          <w:rFonts w:ascii="Times New Roman" w:hAnsi="Times New Roman"/>
          <w:sz w:val="22"/>
          <w:szCs w:val="22"/>
        </w:rPr>
        <w:t xml:space="preserve"> </w:t>
      </w:r>
      <w:r w:rsidR="00973C6E">
        <w:rPr>
          <w:rFonts w:ascii="Times New Roman" w:hAnsi="Times New Roman"/>
          <w:sz w:val="22"/>
          <w:szCs w:val="22"/>
        </w:rPr>
        <w:t xml:space="preserve">references to frequency ranges </w:t>
      </w:r>
      <w:r w:rsidR="003655A6">
        <w:rPr>
          <w:rFonts w:ascii="Times New Roman" w:hAnsi="Times New Roman"/>
          <w:sz w:val="22"/>
          <w:szCs w:val="22"/>
        </w:rPr>
        <w:t>made in the First Amendment Determination</w:t>
      </w:r>
      <w:r w:rsidR="00B96128" w:rsidRPr="00AA7714">
        <w:rPr>
          <w:rFonts w:ascii="Times New Roman" w:hAnsi="Times New Roman"/>
          <w:sz w:val="22"/>
          <w:szCs w:val="22"/>
        </w:rPr>
        <w:t>.</w:t>
      </w:r>
    </w:p>
    <w:p w14:paraId="56F8BE50" w14:textId="1FA9D64F" w:rsidR="00B96128" w:rsidRPr="00AA7714" w:rsidRDefault="00B96128" w:rsidP="007E48A8">
      <w:pPr>
        <w:rPr>
          <w:rFonts w:ascii="Times New Roman" w:hAnsi="Times New Roman"/>
          <w:sz w:val="22"/>
          <w:szCs w:val="22"/>
        </w:rPr>
      </w:pPr>
    </w:p>
    <w:p w14:paraId="518F66F8" w14:textId="34646F12" w:rsidR="00B96128" w:rsidRPr="00AA7714" w:rsidRDefault="00B96128" w:rsidP="007E48A8">
      <w:pPr>
        <w:rPr>
          <w:rFonts w:ascii="Times New Roman" w:hAnsi="Times New Roman"/>
          <w:sz w:val="22"/>
          <w:szCs w:val="22"/>
        </w:rPr>
      </w:pPr>
      <w:r w:rsidRPr="00AA7714">
        <w:rPr>
          <w:rFonts w:ascii="Times New Roman" w:hAnsi="Times New Roman"/>
          <w:sz w:val="22"/>
          <w:szCs w:val="22"/>
        </w:rPr>
        <w:t xml:space="preserve">The ACMA consulted </w:t>
      </w:r>
      <w:r w:rsidR="00190D5B">
        <w:rPr>
          <w:rFonts w:ascii="Times New Roman" w:hAnsi="Times New Roman"/>
          <w:sz w:val="22"/>
          <w:szCs w:val="22"/>
        </w:rPr>
        <w:t xml:space="preserve">prior to making the First Amendment Determination. </w:t>
      </w:r>
      <w:r w:rsidR="00ED4373" w:rsidRPr="00AA7714">
        <w:rPr>
          <w:rFonts w:ascii="Times New Roman" w:hAnsi="Times New Roman"/>
          <w:i/>
          <w:sz w:val="22"/>
          <w:szCs w:val="22"/>
        </w:rPr>
        <w:t xml:space="preserve"> </w:t>
      </w:r>
      <w:r w:rsidR="00ED4373" w:rsidRPr="00AA7714">
        <w:rPr>
          <w:rFonts w:ascii="Times New Roman" w:hAnsi="Times New Roman"/>
          <w:sz w:val="22"/>
          <w:szCs w:val="22"/>
        </w:rPr>
        <w:t xml:space="preserve">A description of the consultation undertaken can be found in the Explanatory Statement to </w:t>
      </w:r>
      <w:r w:rsidR="00190D5B">
        <w:rPr>
          <w:rFonts w:ascii="Times New Roman" w:hAnsi="Times New Roman"/>
          <w:sz w:val="22"/>
          <w:szCs w:val="22"/>
        </w:rPr>
        <w:t>that instrument</w:t>
      </w:r>
      <w:r w:rsidR="003839BF">
        <w:rPr>
          <w:rFonts w:ascii="Times New Roman" w:hAnsi="Times New Roman"/>
          <w:sz w:val="22"/>
          <w:szCs w:val="22"/>
        </w:rPr>
        <w:t>.</w:t>
      </w:r>
      <w:r w:rsidR="007E7ABE" w:rsidRPr="00AA7714">
        <w:rPr>
          <w:rFonts w:ascii="Times New Roman" w:hAnsi="Times New Roman"/>
          <w:sz w:val="22"/>
          <w:szCs w:val="22"/>
        </w:rPr>
        <w:t xml:space="preserve">  </w:t>
      </w:r>
    </w:p>
    <w:p w14:paraId="634D65CC" w14:textId="77777777" w:rsidR="00B96128" w:rsidRPr="00AA7714" w:rsidRDefault="00B96128" w:rsidP="007E48A8">
      <w:pPr>
        <w:rPr>
          <w:rFonts w:ascii="Times New Roman" w:hAnsi="Times New Roman"/>
          <w:sz w:val="22"/>
          <w:szCs w:val="22"/>
        </w:rPr>
      </w:pPr>
    </w:p>
    <w:p w14:paraId="5442057D" w14:textId="595D6523" w:rsidR="007E48A8" w:rsidRPr="00AA7714" w:rsidRDefault="007E48A8" w:rsidP="00AA7714">
      <w:pPr>
        <w:spacing w:after="120"/>
        <w:rPr>
          <w:rFonts w:ascii="Times New Roman" w:hAnsi="Times New Roman"/>
          <w:b/>
          <w:sz w:val="22"/>
          <w:szCs w:val="22"/>
        </w:rPr>
      </w:pPr>
      <w:r w:rsidRPr="00AA7714">
        <w:rPr>
          <w:rFonts w:ascii="Times New Roman" w:hAnsi="Times New Roman"/>
          <w:b/>
          <w:sz w:val="22"/>
          <w:szCs w:val="22"/>
        </w:rPr>
        <w:t>Regulatory impact assessment</w:t>
      </w:r>
    </w:p>
    <w:p w14:paraId="6EFDDE75" w14:textId="0B8A1BDD" w:rsidR="00766064" w:rsidRPr="00AA7714" w:rsidRDefault="00766064" w:rsidP="007E48A8">
      <w:pPr>
        <w:rPr>
          <w:rFonts w:ascii="Times New Roman" w:hAnsi="Times New Roman"/>
          <w:sz w:val="22"/>
          <w:szCs w:val="22"/>
          <w:highlight w:val="yellow"/>
        </w:rPr>
      </w:pPr>
      <w:r w:rsidRPr="00AA7714">
        <w:rPr>
          <w:rFonts w:ascii="Times New Roman" w:hAnsi="Times New Roman"/>
          <w:sz w:val="22"/>
          <w:szCs w:val="22"/>
        </w:rPr>
        <w:t xml:space="preserve">The Office of Best Practice Regulation (OBPR) has </w:t>
      </w:r>
      <w:r w:rsidR="000B5D9F" w:rsidRPr="00AA7714">
        <w:rPr>
          <w:rFonts w:ascii="Times New Roman" w:hAnsi="Times New Roman"/>
          <w:sz w:val="22"/>
          <w:szCs w:val="22"/>
        </w:rPr>
        <w:t>not considered the impact of th</w:t>
      </w:r>
      <w:r w:rsidR="00197D37">
        <w:rPr>
          <w:rFonts w:ascii="Times New Roman" w:hAnsi="Times New Roman"/>
          <w:sz w:val="22"/>
          <w:szCs w:val="22"/>
        </w:rPr>
        <w:t>e Amendment D</w:t>
      </w:r>
      <w:r w:rsidR="000B5D9F" w:rsidRPr="00AA7714">
        <w:rPr>
          <w:rFonts w:ascii="Times New Roman" w:hAnsi="Times New Roman"/>
          <w:sz w:val="22"/>
          <w:szCs w:val="22"/>
        </w:rPr>
        <w:t>etermination on regulatory burden as it</w:t>
      </w:r>
      <w:r w:rsidR="00A12B54" w:rsidRPr="00AA7714">
        <w:rPr>
          <w:rFonts w:ascii="Times New Roman" w:hAnsi="Times New Roman"/>
          <w:sz w:val="22"/>
          <w:szCs w:val="22"/>
        </w:rPr>
        <w:t xml:space="preserve"> merely</w:t>
      </w:r>
      <w:r w:rsidR="000B5D9F" w:rsidRPr="00AA7714">
        <w:rPr>
          <w:rFonts w:ascii="Times New Roman" w:hAnsi="Times New Roman"/>
          <w:sz w:val="22"/>
          <w:szCs w:val="22"/>
        </w:rPr>
        <w:t xml:space="preserve"> corrects a drafting </w:t>
      </w:r>
      <w:r w:rsidR="00796523">
        <w:rPr>
          <w:rFonts w:ascii="Times New Roman" w:hAnsi="Times New Roman"/>
          <w:sz w:val="22"/>
          <w:szCs w:val="22"/>
        </w:rPr>
        <w:t>matter</w:t>
      </w:r>
      <w:r w:rsidR="00796523" w:rsidRPr="00AA7714">
        <w:rPr>
          <w:rFonts w:ascii="Times New Roman" w:hAnsi="Times New Roman"/>
          <w:sz w:val="22"/>
          <w:szCs w:val="22"/>
        </w:rPr>
        <w:t xml:space="preserve"> </w:t>
      </w:r>
      <w:r w:rsidR="000B5D9F" w:rsidRPr="00AA7714">
        <w:rPr>
          <w:rFonts w:ascii="Times New Roman" w:hAnsi="Times New Roman"/>
          <w:sz w:val="22"/>
          <w:szCs w:val="22"/>
        </w:rPr>
        <w:t xml:space="preserve">and will not </w:t>
      </w:r>
      <w:r w:rsidR="00A12B54" w:rsidRPr="00AA7714">
        <w:rPr>
          <w:rFonts w:ascii="Times New Roman" w:hAnsi="Times New Roman"/>
          <w:sz w:val="22"/>
          <w:szCs w:val="22"/>
        </w:rPr>
        <w:t xml:space="preserve">have a significant impact on regulation in Australia. </w:t>
      </w:r>
    </w:p>
    <w:p w14:paraId="29E2C29C" w14:textId="04D9B5FD" w:rsidR="00CF628D" w:rsidRPr="00AA7714" w:rsidRDefault="00CF628D" w:rsidP="007E48A8">
      <w:pPr>
        <w:rPr>
          <w:rFonts w:ascii="Times New Roman" w:hAnsi="Times New Roman"/>
          <w:sz w:val="22"/>
          <w:szCs w:val="22"/>
        </w:rPr>
      </w:pPr>
    </w:p>
    <w:p w14:paraId="2F274B0E" w14:textId="46B8FFA4" w:rsidR="006C6DB0" w:rsidRPr="00AA7714" w:rsidRDefault="006C6DB0" w:rsidP="007E48A8">
      <w:pPr>
        <w:rPr>
          <w:rFonts w:ascii="Times New Roman" w:hAnsi="Times New Roman"/>
          <w:sz w:val="22"/>
          <w:szCs w:val="22"/>
        </w:rPr>
      </w:pPr>
      <w:r w:rsidRPr="00AA7714">
        <w:rPr>
          <w:rFonts w:ascii="Times New Roman" w:hAnsi="Times New Roman"/>
          <w:sz w:val="22"/>
          <w:szCs w:val="22"/>
        </w:rPr>
        <w:t xml:space="preserve">The </w:t>
      </w:r>
      <w:r w:rsidR="00D754E2">
        <w:rPr>
          <w:rFonts w:ascii="Times New Roman" w:hAnsi="Times New Roman"/>
          <w:sz w:val="22"/>
          <w:szCs w:val="22"/>
        </w:rPr>
        <w:t xml:space="preserve">OBPR </w:t>
      </w:r>
      <w:r w:rsidRPr="00AA7714">
        <w:rPr>
          <w:rFonts w:ascii="Times New Roman" w:hAnsi="Times New Roman"/>
          <w:sz w:val="22"/>
          <w:szCs w:val="22"/>
        </w:rPr>
        <w:t xml:space="preserve">has </w:t>
      </w:r>
      <w:r w:rsidR="0023139F">
        <w:rPr>
          <w:rFonts w:ascii="Times New Roman" w:hAnsi="Times New Roman"/>
          <w:sz w:val="22"/>
          <w:szCs w:val="22"/>
        </w:rPr>
        <w:t xml:space="preserve">previously </w:t>
      </w:r>
      <w:r w:rsidRPr="00AA7714">
        <w:rPr>
          <w:rFonts w:ascii="Times New Roman" w:hAnsi="Times New Roman"/>
          <w:sz w:val="22"/>
          <w:szCs w:val="22"/>
        </w:rPr>
        <w:t xml:space="preserve">considered the routine annual escalation of licence tax rates by CPI and formed the opinion that no regulatory impact analysis is required. The OBPR reference number is 2011/12297. As these changes are minor and preserve the price structure </w:t>
      </w:r>
      <w:r w:rsidR="00104FB1">
        <w:rPr>
          <w:rFonts w:ascii="Times New Roman" w:hAnsi="Times New Roman"/>
          <w:sz w:val="22"/>
          <w:szCs w:val="22"/>
        </w:rPr>
        <w:t xml:space="preserve">for </w:t>
      </w:r>
      <w:r w:rsidR="0058771E">
        <w:rPr>
          <w:rFonts w:ascii="Times New Roman" w:hAnsi="Times New Roman"/>
          <w:sz w:val="22"/>
          <w:szCs w:val="22"/>
        </w:rPr>
        <w:t xml:space="preserve">space system </w:t>
      </w:r>
      <w:r w:rsidR="00104FB1">
        <w:rPr>
          <w:rFonts w:ascii="Times New Roman" w:hAnsi="Times New Roman"/>
          <w:sz w:val="22"/>
          <w:szCs w:val="22"/>
        </w:rPr>
        <w:t xml:space="preserve">receive licences </w:t>
      </w:r>
      <w:r w:rsidRPr="00AA7714">
        <w:rPr>
          <w:rFonts w:ascii="Times New Roman" w:hAnsi="Times New Roman"/>
          <w:sz w:val="22"/>
          <w:szCs w:val="22"/>
        </w:rPr>
        <w:t xml:space="preserve">the ACMA has had in previous years, no OBPR preliminary assessment is required. </w:t>
      </w:r>
    </w:p>
    <w:p w14:paraId="58C5FD21" w14:textId="77777777" w:rsidR="00A660FA" w:rsidRPr="00AA7714" w:rsidRDefault="00A660FA" w:rsidP="007E48A8">
      <w:pPr>
        <w:rPr>
          <w:rFonts w:ascii="Times New Roman" w:hAnsi="Times New Roman"/>
          <w:sz w:val="22"/>
          <w:szCs w:val="22"/>
        </w:rPr>
      </w:pPr>
    </w:p>
    <w:p w14:paraId="45AA7D21" w14:textId="08B315F1" w:rsidR="007E48A8" w:rsidRPr="00AA7714" w:rsidRDefault="007E48A8" w:rsidP="00AA7714">
      <w:pPr>
        <w:spacing w:after="120"/>
        <w:rPr>
          <w:rFonts w:ascii="Times New Roman" w:hAnsi="Times New Roman"/>
          <w:b/>
          <w:sz w:val="22"/>
          <w:szCs w:val="22"/>
        </w:rPr>
      </w:pPr>
      <w:r w:rsidRPr="00AA7714">
        <w:rPr>
          <w:rFonts w:ascii="Times New Roman" w:hAnsi="Times New Roman"/>
          <w:b/>
          <w:sz w:val="22"/>
          <w:szCs w:val="22"/>
        </w:rPr>
        <w:t>Statement of compatibility with human rights</w:t>
      </w:r>
    </w:p>
    <w:p w14:paraId="2031D20F" w14:textId="42341C7B" w:rsidR="009F0D03" w:rsidRPr="001E1810" w:rsidRDefault="00325FAF" w:rsidP="009F0D03">
      <w:pPr>
        <w:spacing w:after="240"/>
        <w:jc w:val="both"/>
        <w:rPr>
          <w:rFonts w:ascii="Times New Roman" w:hAnsi="Times New Roman"/>
          <w:sz w:val="22"/>
          <w:szCs w:val="22"/>
        </w:rPr>
      </w:pPr>
      <w:r w:rsidRPr="00AA7714">
        <w:rPr>
          <w:rFonts w:ascii="Times New Roman" w:hAnsi="Times New Roman"/>
          <w:sz w:val="22"/>
          <w:szCs w:val="22"/>
        </w:rPr>
        <w:t xml:space="preserve">Subsection 9(1) of the </w:t>
      </w:r>
      <w:r w:rsidRPr="00AA7714">
        <w:rPr>
          <w:rFonts w:ascii="Times New Roman" w:hAnsi="Times New Roman"/>
          <w:i/>
          <w:sz w:val="22"/>
          <w:szCs w:val="22"/>
        </w:rPr>
        <w:t>Human Rights (Parliamentary Scrutiny) Act 2011</w:t>
      </w:r>
      <w:r w:rsidRPr="00AA7714">
        <w:rPr>
          <w:rFonts w:ascii="Times New Roman" w:hAnsi="Times New Roman"/>
          <w:sz w:val="22"/>
          <w:szCs w:val="22"/>
        </w:rPr>
        <w:t xml:space="preserve"> requires a rule maker in relation to a legislative instrument to which section 42 (disallowance) of the </w:t>
      </w:r>
      <w:r w:rsidR="00C239AA">
        <w:rPr>
          <w:rFonts w:ascii="Times New Roman" w:hAnsi="Times New Roman"/>
          <w:sz w:val="22"/>
          <w:szCs w:val="22"/>
        </w:rPr>
        <w:t>LA</w:t>
      </w:r>
      <w:r w:rsidRPr="00AA7714">
        <w:rPr>
          <w:rFonts w:ascii="Times New Roman" w:hAnsi="Times New Roman"/>
          <w:sz w:val="22"/>
          <w:szCs w:val="22"/>
        </w:rPr>
        <w:t xml:space="preserve"> applies, to cause a statement of compatibility with human rights to be prepared in respect of that legislative instrument. </w:t>
      </w:r>
      <w:r w:rsidR="009F0D03">
        <w:rPr>
          <w:rFonts w:ascii="Times New Roman" w:hAnsi="Times New Roman"/>
          <w:sz w:val="22"/>
          <w:szCs w:val="22"/>
        </w:rPr>
        <w:t>This statement has been prepared in accordance with that requirement.</w:t>
      </w:r>
    </w:p>
    <w:p w14:paraId="3DAAEBD8" w14:textId="77777777" w:rsidR="00AB31F8" w:rsidRDefault="00AB31F8" w:rsidP="00AB31F8">
      <w:pPr>
        <w:spacing w:after="240"/>
        <w:jc w:val="both"/>
        <w:rPr>
          <w:rFonts w:ascii="Times New Roman" w:hAnsi="Times New Roman"/>
          <w:b/>
          <w:i/>
          <w:sz w:val="22"/>
          <w:szCs w:val="22"/>
        </w:rPr>
      </w:pPr>
      <w:r>
        <w:rPr>
          <w:rFonts w:ascii="Times New Roman" w:hAnsi="Times New Roman"/>
          <w:b/>
          <w:i/>
          <w:sz w:val="22"/>
          <w:szCs w:val="22"/>
        </w:rPr>
        <w:t>Overview of the instrument</w:t>
      </w:r>
    </w:p>
    <w:p w14:paraId="663D39FC" w14:textId="4C5B9453" w:rsidR="00104FB1" w:rsidRDefault="00AB31F8" w:rsidP="00AB31F8">
      <w:pPr>
        <w:spacing w:after="240"/>
        <w:jc w:val="both"/>
        <w:rPr>
          <w:rFonts w:ascii="Times New Roman" w:hAnsi="Times New Roman"/>
          <w:sz w:val="22"/>
          <w:szCs w:val="22"/>
        </w:rPr>
      </w:pPr>
      <w:r>
        <w:rPr>
          <w:rFonts w:ascii="Times New Roman" w:hAnsi="Times New Roman"/>
          <w:sz w:val="22"/>
          <w:szCs w:val="22"/>
        </w:rPr>
        <w:t xml:space="preserve">The Amendment Determination is made under subsection 7(1) of the Tax Act and amends the Tax Determination to </w:t>
      </w:r>
      <w:r w:rsidR="00AD3792">
        <w:rPr>
          <w:rFonts w:ascii="Times New Roman" w:hAnsi="Times New Roman"/>
          <w:sz w:val="22"/>
          <w:szCs w:val="22"/>
        </w:rPr>
        <w:t xml:space="preserve">correct </w:t>
      </w:r>
      <w:r w:rsidR="00796523">
        <w:rPr>
          <w:rFonts w:ascii="Times New Roman" w:hAnsi="Times New Roman"/>
          <w:sz w:val="22"/>
          <w:szCs w:val="22"/>
        </w:rPr>
        <w:t>the frequency ranges</w:t>
      </w:r>
      <w:r w:rsidR="00AD3792">
        <w:rPr>
          <w:rFonts w:ascii="Times New Roman" w:hAnsi="Times New Roman"/>
          <w:sz w:val="22"/>
          <w:szCs w:val="22"/>
        </w:rPr>
        <w:t xml:space="preserve"> in Table 402 of Schedule 2 of the Tax Determination</w:t>
      </w:r>
      <w:r>
        <w:rPr>
          <w:rFonts w:ascii="Times New Roman" w:hAnsi="Times New Roman"/>
          <w:sz w:val="22"/>
          <w:szCs w:val="22"/>
        </w:rPr>
        <w:t>.</w:t>
      </w:r>
    </w:p>
    <w:p w14:paraId="62A19364" w14:textId="77777777" w:rsidR="00C6148B" w:rsidRDefault="00C6148B" w:rsidP="007A01AC">
      <w:pPr>
        <w:spacing w:after="240"/>
        <w:jc w:val="both"/>
        <w:rPr>
          <w:rFonts w:ascii="Times New Roman" w:hAnsi="Times New Roman"/>
          <w:b/>
          <w:i/>
          <w:sz w:val="22"/>
          <w:szCs w:val="22"/>
        </w:rPr>
      </w:pPr>
      <w:r>
        <w:rPr>
          <w:rFonts w:ascii="Times New Roman" w:hAnsi="Times New Roman"/>
          <w:b/>
          <w:i/>
          <w:sz w:val="22"/>
          <w:szCs w:val="22"/>
        </w:rPr>
        <w:t>Human rights implications</w:t>
      </w:r>
    </w:p>
    <w:p w14:paraId="00D56414" w14:textId="77777777" w:rsidR="00C6148B" w:rsidRDefault="00C6148B" w:rsidP="007E48A8">
      <w:pPr>
        <w:rPr>
          <w:rFonts w:ascii="Times New Roman" w:hAnsi="Times New Roman"/>
          <w:sz w:val="22"/>
          <w:szCs w:val="22"/>
        </w:rPr>
      </w:pPr>
    </w:p>
    <w:p w14:paraId="693C4ACB" w14:textId="0C05D318" w:rsidR="007E48A8" w:rsidRDefault="007E48A8" w:rsidP="007E48A8">
      <w:pPr>
        <w:rPr>
          <w:rFonts w:ascii="Times New Roman" w:hAnsi="Times New Roman"/>
          <w:sz w:val="22"/>
          <w:szCs w:val="22"/>
        </w:rPr>
      </w:pPr>
      <w:r w:rsidRPr="00AA7714">
        <w:rPr>
          <w:rFonts w:ascii="Times New Roman" w:hAnsi="Times New Roman"/>
          <w:sz w:val="22"/>
          <w:szCs w:val="22"/>
        </w:rPr>
        <w:t xml:space="preserve">The ACMA has assessed whether the </w:t>
      </w:r>
      <w:r w:rsidR="00C6148B">
        <w:rPr>
          <w:rFonts w:ascii="Times New Roman" w:hAnsi="Times New Roman"/>
          <w:sz w:val="22"/>
          <w:szCs w:val="22"/>
        </w:rPr>
        <w:t>Amendment Determination</w:t>
      </w:r>
      <w:r w:rsidRPr="00AA7714">
        <w:rPr>
          <w:rFonts w:ascii="Times New Roman" w:hAnsi="Times New Roman"/>
          <w:sz w:val="22"/>
          <w:szCs w:val="22"/>
        </w:rPr>
        <w:t xml:space="preserve"> is compatible with human rights, being the rights and freedoms recognised or declared by the international instruments listed in subsection 3(1) of the</w:t>
      </w:r>
      <w:r w:rsidRPr="00AA7714">
        <w:rPr>
          <w:rFonts w:ascii="Times New Roman" w:hAnsi="Times New Roman"/>
          <w:i/>
          <w:sz w:val="22"/>
          <w:szCs w:val="22"/>
        </w:rPr>
        <w:t xml:space="preserve"> Human Rights (Parliamentary Scrutiny) Act 2011 </w:t>
      </w:r>
      <w:r w:rsidRPr="00AA7714">
        <w:rPr>
          <w:rFonts w:ascii="Times New Roman" w:hAnsi="Times New Roman"/>
          <w:sz w:val="22"/>
          <w:szCs w:val="22"/>
        </w:rPr>
        <w:t xml:space="preserve">as they apply to Australia. </w:t>
      </w:r>
    </w:p>
    <w:p w14:paraId="3B0331DF" w14:textId="77777777" w:rsidR="00C6148B" w:rsidRPr="00AA7714" w:rsidRDefault="00C6148B" w:rsidP="007E48A8">
      <w:pPr>
        <w:rPr>
          <w:rFonts w:ascii="Times New Roman" w:hAnsi="Times New Roman"/>
          <w:sz w:val="22"/>
          <w:szCs w:val="22"/>
        </w:rPr>
      </w:pPr>
    </w:p>
    <w:p w14:paraId="55F04EBA" w14:textId="71F20848" w:rsidR="007E48A8" w:rsidRDefault="007E48A8" w:rsidP="007E48A8">
      <w:pPr>
        <w:rPr>
          <w:rFonts w:ascii="Times New Roman" w:hAnsi="Times New Roman"/>
          <w:sz w:val="22"/>
          <w:szCs w:val="22"/>
        </w:rPr>
      </w:pPr>
      <w:r w:rsidRPr="00AA7714">
        <w:rPr>
          <w:rFonts w:ascii="Times New Roman" w:hAnsi="Times New Roman"/>
          <w:sz w:val="22"/>
          <w:szCs w:val="22"/>
        </w:rPr>
        <w:t xml:space="preserve">Having considered the likely impact of the </w:t>
      </w:r>
      <w:r w:rsidR="00C6148B">
        <w:rPr>
          <w:rFonts w:ascii="Times New Roman" w:hAnsi="Times New Roman"/>
          <w:sz w:val="22"/>
          <w:szCs w:val="22"/>
        </w:rPr>
        <w:t>Amendment Determination</w:t>
      </w:r>
      <w:r w:rsidRPr="00AA7714">
        <w:rPr>
          <w:rFonts w:ascii="Times New Roman" w:hAnsi="Times New Roman"/>
          <w:sz w:val="22"/>
          <w:szCs w:val="22"/>
        </w:rPr>
        <w:t xml:space="preserve"> and the nature of the applicable rights and freedoms, the ACMA has formed the view that the instrument does not engage any of those rights or freedoms.  </w:t>
      </w:r>
    </w:p>
    <w:p w14:paraId="756FE131" w14:textId="77777777" w:rsidR="00104FB1" w:rsidRPr="00AA7714" w:rsidRDefault="00104FB1" w:rsidP="007E48A8">
      <w:pPr>
        <w:rPr>
          <w:rFonts w:ascii="Times New Roman" w:hAnsi="Times New Roman"/>
          <w:sz w:val="22"/>
          <w:szCs w:val="22"/>
        </w:rPr>
      </w:pPr>
    </w:p>
    <w:p w14:paraId="1E1CC1D2" w14:textId="77777777" w:rsidR="008C3215" w:rsidRPr="004D3EF7" w:rsidRDefault="008C3215" w:rsidP="008C3215">
      <w:pPr>
        <w:pStyle w:val="PlainText"/>
        <w:spacing w:after="200" w:line="276" w:lineRule="auto"/>
        <w:rPr>
          <w:rFonts w:ascii="Times New Roman" w:hAnsi="Times New Roman" w:cs="Times New Roman"/>
          <w:b/>
          <w:i/>
          <w:snapToGrid w:val="0"/>
          <w:color w:val="000000" w:themeColor="text1"/>
          <w:sz w:val="22"/>
          <w:szCs w:val="22"/>
        </w:rPr>
      </w:pPr>
      <w:r w:rsidRPr="004D3EF7">
        <w:rPr>
          <w:rFonts w:ascii="Times New Roman" w:hAnsi="Times New Roman" w:cs="Times New Roman"/>
          <w:b/>
          <w:i/>
          <w:snapToGrid w:val="0"/>
          <w:color w:val="000000" w:themeColor="text1"/>
          <w:sz w:val="22"/>
          <w:szCs w:val="22"/>
        </w:rPr>
        <w:t>Conclusion</w:t>
      </w:r>
    </w:p>
    <w:p w14:paraId="1C026567" w14:textId="504450B5" w:rsidR="007E48A8" w:rsidRPr="00AA7714" w:rsidRDefault="008C3215" w:rsidP="008C3215">
      <w:pPr>
        <w:rPr>
          <w:rFonts w:ascii="Times New Roman" w:hAnsi="Times New Roman"/>
          <w:sz w:val="22"/>
          <w:szCs w:val="22"/>
        </w:rPr>
      </w:pPr>
      <w:r w:rsidRPr="004D3EF7">
        <w:rPr>
          <w:rFonts w:ascii="Times New Roman" w:hAnsi="Times New Roman"/>
          <w:snapToGrid w:val="0"/>
          <w:color w:val="000000" w:themeColor="text1"/>
          <w:sz w:val="22"/>
          <w:szCs w:val="22"/>
        </w:rPr>
        <w:t xml:space="preserve">The </w:t>
      </w:r>
      <w:r>
        <w:rPr>
          <w:rFonts w:ascii="Times New Roman" w:hAnsi="Times New Roman"/>
          <w:snapToGrid w:val="0"/>
          <w:color w:val="000000" w:themeColor="text1"/>
          <w:sz w:val="22"/>
          <w:szCs w:val="22"/>
        </w:rPr>
        <w:t xml:space="preserve">Amendment Determination </w:t>
      </w:r>
      <w:r w:rsidRPr="004D3EF7">
        <w:rPr>
          <w:rFonts w:ascii="Times New Roman" w:hAnsi="Times New Roman"/>
          <w:snapToGrid w:val="0"/>
          <w:color w:val="000000" w:themeColor="text1"/>
          <w:sz w:val="22"/>
          <w:szCs w:val="22"/>
        </w:rPr>
        <w:t>is compatible with human rights and freedoms as it does not raise any human rights issues.</w:t>
      </w:r>
    </w:p>
    <w:p w14:paraId="22F8DC4A" w14:textId="77777777" w:rsidR="007E48A8" w:rsidRPr="00AA7714" w:rsidRDefault="007E48A8" w:rsidP="007E48A8">
      <w:pPr>
        <w:rPr>
          <w:rFonts w:ascii="Times New Roman" w:hAnsi="Times New Roman"/>
          <w:b/>
          <w:sz w:val="22"/>
          <w:szCs w:val="22"/>
        </w:rPr>
      </w:pPr>
      <w:r w:rsidRPr="00AA7714">
        <w:rPr>
          <w:rFonts w:ascii="Times New Roman" w:hAnsi="Times New Roman"/>
          <w:b/>
          <w:sz w:val="22"/>
          <w:szCs w:val="22"/>
        </w:rPr>
        <w:br w:type="page"/>
      </w:r>
    </w:p>
    <w:p w14:paraId="4027BB61" w14:textId="66472764" w:rsidR="007E48A8" w:rsidRDefault="007E48A8" w:rsidP="007E48A8">
      <w:pPr>
        <w:jc w:val="right"/>
        <w:rPr>
          <w:rFonts w:ascii="Times New Roman" w:hAnsi="Times New Roman"/>
          <w:b/>
          <w:sz w:val="22"/>
          <w:szCs w:val="22"/>
        </w:rPr>
      </w:pPr>
      <w:r w:rsidRPr="00AA7714">
        <w:rPr>
          <w:rFonts w:ascii="Times New Roman" w:hAnsi="Times New Roman"/>
          <w:b/>
          <w:sz w:val="22"/>
          <w:szCs w:val="22"/>
        </w:rPr>
        <w:lastRenderedPageBreak/>
        <w:t>Attachment A</w:t>
      </w:r>
    </w:p>
    <w:p w14:paraId="52BF147F" w14:textId="77777777" w:rsidR="00BD731A" w:rsidRPr="00AA7714" w:rsidRDefault="00BD731A" w:rsidP="007E48A8">
      <w:pPr>
        <w:jc w:val="right"/>
        <w:rPr>
          <w:rFonts w:ascii="Times New Roman" w:hAnsi="Times New Roman"/>
          <w:b/>
          <w:sz w:val="22"/>
          <w:szCs w:val="22"/>
        </w:rPr>
      </w:pPr>
    </w:p>
    <w:p w14:paraId="10A08E14" w14:textId="076320C7" w:rsidR="00F85481" w:rsidRPr="0015106B" w:rsidRDefault="00F85481" w:rsidP="00F85481">
      <w:pPr>
        <w:jc w:val="center"/>
        <w:rPr>
          <w:rFonts w:ascii="Times New Roman" w:hAnsi="Times New Roman"/>
          <w:b/>
          <w:sz w:val="22"/>
          <w:szCs w:val="22"/>
        </w:rPr>
      </w:pPr>
      <w:r w:rsidRPr="00AA7714">
        <w:rPr>
          <w:rFonts w:ascii="Times New Roman" w:hAnsi="Times New Roman"/>
          <w:b/>
          <w:sz w:val="22"/>
          <w:szCs w:val="22"/>
        </w:rPr>
        <w:t xml:space="preserve">Notes to the </w:t>
      </w:r>
      <w:r w:rsidRPr="00AA7714">
        <w:rPr>
          <w:rFonts w:ascii="Times New Roman" w:hAnsi="Times New Roman"/>
          <w:b/>
          <w:i/>
          <w:sz w:val="22"/>
          <w:szCs w:val="22"/>
        </w:rPr>
        <w:t>Radiocommunications (Receiver Licence</w:t>
      </w:r>
      <w:r w:rsidR="00D6361A">
        <w:rPr>
          <w:rFonts w:ascii="Times New Roman" w:hAnsi="Times New Roman"/>
          <w:b/>
          <w:i/>
          <w:sz w:val="22"/>
          <w:szCs w:val="22"/>
        </w:rPr>
        <w:t xml:space="preserve"> Tax</w:t>
      </w:r>
      <w:r w:rsidRPr="00AA7714">
        <w:rPr>
          <w:rFonts w:ascii="Times New Roman" w:hAnsi="Times New Roman"/>
          <w:b/>
          <w:i/>
          <w:sz w:val="22"/>
          <w:szCs w:val="22"/>
        </w:rPr>
        <w:t>) Amendment Determination 2019 (No.</w:t>
      </w:r>
      <w:r w:rsidR="00ED4373" w:rsidRPr="00AA7714">
        <w:rPr>
          <w:rFonts w:ascii="Times New Roman" w:hAnsi="Times New Roman"/>
          <w:b/>
          <w:i/>
          <w:sz w:val="22"/>
          <w:szCs w:val="22"/>
        </w:rPr>
        <w:t>2</w:t>
      </w:r>
      <w:r w:rsidRPr="00AA7714">
        <w:rPr>
          <w:rFonts w:ascii="Times New Roman" w:hAnsi="Times New Roman"/>
          <w:b/>
          <w:i/>
          <w:sz w:val="22"/>
          <w:szCs w:val="22"/>
        </w:rPr>
        <w:t>)</w:t>
      </w:r>
    </w:p>
    <w:p w14:paraId="73827D86" w14:textId="77777777" w:rsidR="00D6361A" w:rsidRDefault="00D6361A" w:rsidP="00F85481">
      <w:pPr>
        <w:rPr>
          <w:rFonts w:ascii="Times New Roman" w:hAnsi="Times New Roman"/>
          <w:b/>
          <w:sz w:val="22"/>
          <w:szCs w:val="22"/>
        </w:rPr>
      </w:pPr>
    </w:p>
    <w:p w14:paraId="7A774CC9" w14:textId="2635A833" w:rsidR="00F85481" w:rsidRPr="00AA7714" w:rsidRDefault="00F85481" w:rsidP="00AA7714">
      <w:pPr>
        <w:spacing w:after="120"/>
        <w:rPr>
          <w:rFonts w:ascii="Times New Roman" w:hAnsi="Times New Roman"/>
          <w:b/>
          <w:sz w:val="22"/>
          <w:szCs w:val="22"/>
        </w:rPr>
      </w:pPr>
      <w:r w:rsidRPr="00AA7714">
        <w:rPr>
          <w:rFonts w:ascii="Times New Roman" w:hAnsi="Times New Roman"/>
          <w:b/>
          <w:sz w:val="22"/>
          <w:szCs w:val="22"/>
        </w:rPr>
        <w:t>Section 1</w:t>
      </w:r>
      <w:r w:rsidRPr="00AA7714">
        <w:rPr>
          <w:rFonts w:ascii="Times New Roman" w:hAnsi="Times New Roman"/>
          <w:b/>
          <w:sz w:val="22"/>
          <w:szCs w:val="22"/>
        </w:rPr>
        <w:tab/>
        <w:t>Name</w:t>
      </w:r>
    </w:p>
    <w:p w14:paraId="4DC9ABB6" w14:textId="70166514" w:rsidR="00F85481" w:rsidRDefault="00F85481" w:rsidP="00F85481">
      <w:pPr>
        <w:rPr>
          <w:rFonts w:ascii="Times New Roman" w:hAnsi="Times New Roman"/>
          <w:sz w:val="22"/>
          <w:szCs w:val="22"/>
        </w:rPr>
      </w:pPr>
      <w:r w:rsidRPr="00AA7714">
        <w:rPr>
          <w:rFonts w:ascii="Times New Roman" w:hAnsi="Times New Roman"/>
          <w:sz w:val="22"/>
          <w:szCs w:val="22"/>
        </w:rPr>
        <w:t xml:space="preserve">This section provides for the instrument to be cited as the </w:t>
      </w:r>
      <w:r w:rsidR="00176F10" w:rsidRPr="00AA7714">
        <w:rPr>
          <w:rFonts w:ascii="Times New Roman" w:hAnsi="Times New Roman"/>
          <w:i/>
          <w:sz w:val="22"/>
          <w:szCs w:val="22"/>
        </w:rPr>
        <w:t>Radiocommunications (Receiver Licence</w:t>
      </w:r>
      <w:r w:rsidR="00D6361A">
        <w:rPr>
          <w:rFonts w:ascii="Times New Roman" w:hAnsi="Times New Roman"/>
          <w:i/>
          <w:sz w:val="22"/>
          <w:szCs w:val="22"/>
        </w:rPr>
        <w:t xml:space="preserve"> Tax</w:t>
      </w:r>
      <w:r w:rsidR="00176F10" w:rsidRPr="00AA7714">
        <w:rPr>
          <w:rFonts w:ascii="Times New Roman" w:hAnsi="Times New Roman"/>
          <w:i/>
          <w:sz w:val="22"/>
          <w:szCs w:val="22"/>
        </w:rPr>
        <w:t xml:space="preserve">) Amendment Determination 2019 (No. </w:t>
      </w:r>
      <w:r w:rsidR="0001013D" w:rsidRPr="00AA7714">
        <w:rPr>
          <w:rFonts w:ascii="Times New Roman" w:hAnsi="Times New Roman"/>
          <w:i/>
          <w:sz w:val="22"/>
          <w:szCs w:val="22"/>
        </w:rPr>
        <w:t>2</w:t>
      </w:r>
      <w:r w:rsidR="00176F10" w:rsidRPr="00AA7714">
        <w:rPr>
          <w:rFonts w:ascii="Times New Roman" w:hAnsi="Times New Roman"/>
          <w:i/>
          <w:sz w:val="22"/>
          <w:szCs w:val="22"/>
        </w:rPr>
        <w:t>)</w:t>
      </w:r>
      <w:r w:rsidRPr="00AA7714">
        <w:rPr>
          <w:rFonts w:ascii="Times New Roman" w:hAnsi="Times New Roman"/>
          <w:sz w:val="22"/>
          <w:szCs w:val="22"/>
        </w:rPr>
        <w:t>.</w:t>
      </w:r>
    </w:p>
    <w:p w14:paraId="2630A395" w14:textId="77777777" w:rsidR="00D6361A" w:rsidRPr="00AA7714" w:rsidRDefault="00D6361A" w:rsidP="00F85481">
      <w:pPr>
        <w:rPr>
          <w:rFonts w:ascii="Times New Roman" w:hAnsi="Times New Roman"/>
          <w:sz w:val="22"/>
          <w:szCs w:val="22"/>
        </w:rPr>
      </w:pPr>
    </w:p>
    <w:p w14:paraId="4CCD4626" w14:textId="77777777" w:rsidR="00F85481" w:rsidRPr="00AA7714" w:rsidRDefault="00F85481" w:rsidP="00AA7714">
      <w:pPr>
        <w:spacing w:after="120"/>
        <w:rPr>
          <w:rFonts w:ascii="Times New Roman" w:hAnsi="Times New Roman"/>
          <w:b/>
          <w:sz w:val="22"/>
          <w:szCs w:val="22"/>
        </w:rPr>
      </w:pPr>
      <w:r w:rsidRPr="00AA7714">
        <w:rPr>
          <w:rFonts w:ascii="Times New Roman" w:hAnsi="Times New Roman"/>
          <w:b/>
          <w:sz w:val="22"/>
          <w:szCs w:val="22"/>
        </w:rPr>
        <w:t>Section 2</w:t>
      </w:r>
      <w:r w:rsidRPr="00AA7714">
        <w:rPr>
          <w:rFonts w:ascii="Times New Roman" w:hAnsi="Times New Roman"/>
          <w:b/>
          <w:sz w:val="22"/>
          <w:szCs w:val="22"/>
        </w:rPr>
        <w:tab/>
        <w:t>Commencement</w:t>
      </w:r>
    </w:p>
    <w:p w14:paraId="7A090242" w14:textId="1F6593BE" w:rsidR="00F85481" w:rsidRDefault="00F85481" w:rsidP="00F85481">
      <w:pPr>
        <w:rPr>
          <w:rFonts w:ascii="Times New Roman" w:hAnsi="Times New Roman"/>
          <w:sz w:val="22"/>
          <w:szCs w:val="22"/>
        </w:rPr>
      </w:pPr>
      <w:r w:rsidRPr="00AA7714">
        <w:rPr>
          <w:rFonts w:ascii="Times New Roman" w:hAnsi="Times New Roman"/>
          <w:sz w:val="22"/>
          <w:szCs w:val="22"/>
        </w:rPr>
        <w:t>This section provides that the Amendment Determination</w:t>
      </w:r>
      <w:r w:rsidR="00D6361A">
        <w:rPr>
          <w:rFonts w:ascii="Times New Roman" w:hAnsi="Times New Roman"/>
          <w:sz w:val="22"/>
          <w:szCs w:val="22"/>
        </w:rPr>
        <w:t xml:space="preserve"> </w:t>
      </w:r>
      <w:r w:rsidRPr="00AA7714">
        <w:rPr>
          <w:rFonts w:ascii="Times New Roman" w:hAnsi="Times New Roman"/>
          <w:sz w:val="22"/>
          <w:szCs w:val="22"/>
        </w:rPr>
        <w:t>commence</w:t>
      </w:r>
      <w:r w:rsidR="00D6361A">
        <w:rPr>
          <w:rFonts w:ascii="Times New Roman" w:hAnsi="Times New Roman"/>
          <w:sz w:val="22"/>
          <w:szCs w:val="22"/>
        </w:rPr>
        <w:t>s</w:t>
      </w:r>
      <w:r w:rsidRPr="00AA7714">
        <w:rPr>
          <w:rFonts w:ascii="Times New Roman" w:hAnsi="Times New Roman"/>
          <w:sz w:val="22"/>
          <w:szCs w:val="22"/>
        </w:rPr>
        <w:t xml:space="preserve"> </w:t>
      </w:r>
      <w:r w:rsidR="00D6361A">
        <w:rPr>
          <w:rFonts w:ascii="Times New Roman" w:hAnsi="Times New Roman"/>
          <w:sz w:val="22"/>
          <w:szCs w:val="22"/>
        </w:rPr>
        <w:t xml:space="preserve">at the start of the day </w:t>
      </w:r>
      <w:r w:rsidRPr="00AA7714">
        <w:rPr>
          <w:rFonts w:ascii="Times New Roman" w:hAnsi="Times New Roman"/>
          <w:sz w:val="22"/>
          <w:szCs w:val="22"/>
        </w:rPr>
        <w:t>after it is registered</w:t>
      </w:r>
      <w:r w:rsidR="00D6361A">
        <w:rPr>
          <w:rFonts w:ascii="Times New Roman" w:hAnsi="Times New Roman"/>
          <w:sz w:val="22"/>
          <w:szCs w:val="22"/>
        </w:rPr>
        <w:t xml:space="preserve"> on the Federal Register of Legislation</w:t>
      </w:r>
      <w:r w:rsidR="00A77531">
        <w:rPr>
          <w:rFonts w:ascii="Times New Roman" w:hAnsi="Times New Roman"/>
          <w:sz w:val="22"/>
          <w:szCs w:val="22"/>
        </w:rPr>
        <w:t>.</w:t>
      </w:r>
    </w:p>
    <w:p w14:paraId="2E936DC5" w14:textId="77777777" w:rsidR="00D6361A" w:rsidRPr="00AA7714" w:rsidRDefault="00D6361A" w:rsidP="00F85481">
      <w:pPr>
        <w:rPr>
          <w:rFonts w:ascii="Times New Roman" w:hAnsi="Times New Roman"/>
          <w:sz w:val="22"/>
          <w:szCs w:val="22"/>
        </w:rPr>
      </w:pPr>
    </w:p>
    <w:p w14:paraId="46A891BE" w14:textId="77777777" w:rsidR="00F85481" w:rsidRPr="00AA7714" w:rsidRDefault="00F85481" w:rsidP="00AA7714">
      <w:pPr>
        <w:spacing w:after="120"/>
        <w:rPr>
          <w:rFonts w:ascii="Times New Roman" w:hAnsi="Times New Roman"/>
          <w:b/>
          <w:sz w:val="22"/>
          <w:szCs w:val="22"/>
        </w:rPr>
      </w:pPr>
      <w:r w:rsidRPr="00AA7714">
        <w:rPr>
          <w:rFonts w:ascii="Times New Roman" w:hAnsi="Times New Roman"/>
          <w:b/>
          <w:sz w:val="22"/>
          <w:szCs w:val="22"/>
        </w:rPr>
        <w:t>Section 3</w:t>
      </w:r>
      <w:r w:rsidRPr="00AA7714">
        <w:rPr>
          <w:rFonts w:ascii="Times New Roman" w:hAnsi="Times New Roman"/>
          <w:b/>
          <w:sz w:val="22"/>
          <w:szCs w:val="22"/>
        </w:rPr>
        <w:tab/>
        <w:t>Authority</w:t>
      </w:r>
    </w:p>
    <w:p w14:paraId="4BEBF1ED" w14:textId="50990034" w:rsidR="00F85481" w:rsidRDefault="00F85481" w:rsidP="00F85481">
      <w:pPr>
        <w:rPr>
          <w:rFonts w:ascii="Times New Roman" w:hAnsi="Times New Roman"/>
          <w:sz w:val="22"/>
          <w:szCs w:val="22"/>
        </w:rPr>
      </w:pPr>
      <w:r w:rsidRPr="00AA7714">
        <w:rPr>
          <w:rFonts w:ascii="Times New Roman" w:hAnsi="Times New Roman"/>
          <w:sz w:val="22"/>
          <w:szCs w:val="22"/>
        </w:rPr>
        <w:t xml:space="preserve">Section 3 provides that the Amendment Determination is made under subsection 7(1) of the </w:t>
      </w:r>
      <w:r w:rsidRPr="00AA7714">
        <w:rPr>
          <w:rFonts w:ascii="Times New Roman" w:hAnsi="Times New Roman"/>
          <w:i/>
          <w:sz w:val="22"/>
          <w:szCs w:val="22"/>
        </w:rPr>
        <w:t>Radiocommunications (</w:t>
      </w:r>
      <w:r w:rsidR="00BD731A">
        <w:rPr>
          <w:rFonts w:ascii="Times New Roman" w:hAnsi="Times New Roman"/>
          <w:i/>
          <w:sz w:val="22"/>
          <w:szCs w:val="22"/>
        </w:rPr>
        <w:t xml:space="preserve">Receiver </w:t>
      </w:r>
      <w:r w:rsidRPr="00AA7714">
        <w:rPr>
          <w:rFonts w:ascii="Times New Roman" w:hAnsi="Times New Roman"/>
          <w:i/>
          <w:sz w:val="22"/>
          <w:szCs w:val="22"/>
        </w:rPr>
        <w:t>Licence Tax) Act 1983</w:t>
      </w:r>
      <w:r w:rsidRPr="00AA7714">
        <w:rPr>
          <w:rFonts w:ascii="Times New Roman" w:hAnsi="Times New Roman"/>
          <w:sz w:val="22"/>
          <w:szCs w:val="22"/>
        </w:rPr>
        <w:t xml:space="preserve">. </w:t>
      </w:r>
    </w:p>
    <w:p w14:paraId="7F504566" w14:textId="77777777" w:rsidR="00D6361A" w:rsidRPr="00AA7714" w:rsidRDefault="00D6361A" w:rsidP="00F85481">
      <w:pPr>
        <w:rPr>
          <w:rFonts w:ascii="Times New Roman" w:hAnsi="Times New Roman"/>
          <w:sz w:val="22"/>
          <w:szCs w:val="22"/>
        </w:rPr>
      </w:pPr>
    </w:p>
    <w:p w14:paraId="35ACEB03" w14:textId="77777777" w:rsidR="00F85481" w:rsidRPr="00AA7714" w:rsidRDefault="00F85481" w:rsidP="00AA7714">
      <w:pPr>
        <w:spacing w:after="120"/>
        <w:rPr>
          <w:rFonts w:ascii="Times New Roman" w:hAnsi="Times New Roman"/>
          <w:b/>
          <w:sz w:val="22"/>
          <w:szCs w:val="22"/>
        </w:rPr>
      </w:pPr>
      <w:r w:rsidRPr="00AA7714">
        <w:rPr>
          <w:rFonts w:ascii="Times New Roman" w:hAnsi="Times New Roman"/>
          <w:b/>
          <w:sz w:val="22"/>
          <w:szCs w:val="22"/>
        </w:rPr>
        <w:t>Section 4</w:t>
      </w:r>
      <w:r w:rsidRPr="00AA7714">
        <w:rPr>
          <w:rFonts w:ascii="Times New Roman" w:hAnsi="Times New Roman"/>
          <w:b/>
          <w:sz w:val="22"/>
          <w:szCs w:val="22"/>
        </w:rPr>
        <w:tab/>
        <w:t>Amendments</w:t>
      </w:r>
    </w:p>
    <w:p w14:paraId="45C0AABB" w14:textId="2A2181F4" w:rsidR="00F85481" w:rsidRPr="006C7DF3" w:rsidRDefault="00F85481" w:rsidP="00F85481">
      <w:pPr>
        <w:rPr>
          <w:rFonts w:ascii="Times New Roman" w:hAnsi="Times New Roman"/>
          <w:sz w:val="22"/>
          <w:szCs w:val="22"/>
        </w:rPr>
      </w:pPr>
      <w:r w:rsidRPr="00AA7714">
        <w:rPr>
          <w:rFonts w:ascii="Times New Roman" w:hAnsi="Times New Roman"/>
          <w:sz w:val="22"/>
          <w:szCs w:val="22"/>
        </w:rPr>
        <w:t xml:space="preserve">Section 4 provides that Schedule 1 of the Amendment Determination amends the </w:t>
      </w:r>
      <w:r w:rsidR="00024559">
        <w:rPr>
          <w:rFonts w:ascii="Times New Roman" w:hAnsi="Times New Roman"/>
          <w:sz w:val="22"/>
          <w:szCs w:val="22"/>
        </w:rPr>
        <w:t xml:space="preserve">Tax </w:t>
      </w:r>
      <w:r w:rsidRPr="006C7DF3">
        <w:rPr>
          <w:rFonts w:ascii="Times New Roman" w:hAnsi="Times New Roman"/>
          <w:sz w:val="22"/>
          <w:szCs w:val="22"/>
        </w:rPr>
        <w:t xml:space="preserve">Determination. </w:t>
      </w:r>
    </w:p>
    <w:p w14:paraId="0B629D35" w14:textId="018D6B13" w:rsidR="00F85481" w:rsidRPr="006C7DF3" w:rsidRDefault="00F85481" w:rsidP="00F85481">
      <w:pPr>
        <w:rPr>
          <w:rFonts w:ascii="Times New Roman" w:hAnsi="Times New Roman"/>
          <w:b/>
          <w:sz w:val="22"/>
          <w:szCs w:val="22"/>
        </w:rPr>
      </w:pPr>
    </w:p>
    <w:p w14:paraId="7CC64DAC" w14:textId="444DF3EA" w:rsidR="00853C6A" w:rsidRDefault="00853C6A" w:rsidP="00853C6A">
      <w:pPr>
        <w:pStyle w:val="Heading2"/>
        <w:rPr>
          <w:rFonts w:ascii="Times New Roman" w:hAnsi="Times New Roman" w:cs="Times New Roman"/>
          <w:i w:val="0"/>
          <w:sz w:val="22"/>
          <w:szCs w:val="22"/>
        </w:rPr>
      </w:pPr>
      <w:r w:rsidRPr="00AA7714">
        <w:rPr>
          <w:rFonts w:ascii="Times New Roman" w:hAnsi="Times New Roman" w:cs="Times New Roman"/>
          <w:i w:val="0"/>
          <w:sz w:val="22"/>
          <w:szCs w:val="22"/>
        </w:rPr>
        <w:t>Schedule 1</w:t>
      </w:r>
      <w:r w:rsidRPr="00AA7714">
        <w:rPr>
          <w:rFonts w:ascii="Times New Roman" w:hAnsi="Times New Roman" w:cs="Times New Roman"/>
          <w:i w:val="0"/>
          <w:sz w:val="22"/>
          <w:szCs w:val="22"/>
        </w:rPr>
        <w:tab/>
        <w:t xml:space="preserve">Amendments </w:t>
      </w:r>
    </w:p>
    <w:p w14:paraId="525D038B" w14:textId="7BC7174E" w:rsidR="00357551" w:rsidRDefault="00357551">
      <w:pPr>
        <w:rPr>
          <w:b/>
        </w:rPr>
      </w:pPr>
    </w:p>
    <w:p w14:paraId="7257555C" w14:textId="16BEF852" w:rsidR="00104FB1" w:rsidRDefault="00104FB1" w:rsidP="00104FB1">
      <w:pPr>
        <w:rPr>
          <w:rFonts w:ascii="Times New Roman" w:hAnsi="Times New Roman"/>
          <w:b/>
          <w:sz w:val="22"/>
          <w:szCs w:val="22"/>
        </w:rPr>
      </w:pPr>
      <w:r>
        <w:rPr>
          <w:rFonts w:ascii="Times New Roman" w:hAnsi="Times New Roman"/>
          <w:b/>
          <w:sz w:val="22"/>
          <w:szCs w:val="22"/>
        </w:rPr>
        <w:t>Items 1 to 3</w:t>
      </w:r>
    </w:p>
    <w:p w14:paraId="1B72B03F" w14:textId="129A260F" w:rsidR="00104FB1" w:rsidRPr="000D6842" w:rsidRDefault="00104FB1" w:rsidP="00104FB1">
      <w:pPr>
        <w:rPr>
          <w:rFonts w:ascii="Times New Roman" w:hAnsi="Times New Roman"/>
          <w:sz w:val="22"/>
          <w:szCs w:val="22"/>
        </w:rPr>
      </w:pPr>
      <w:r>
        <w:rPr>
          <w:rFonts w:ascii="Times New Roman" w:hAnsi="Times New Roman"/>
          <w:sz w:val="22"/>
          <w:szCs w:val="22"/>
        </w:rPr>
        <w:t xml:space="preserve">Items </w:t>
      </w:r>
      <w:r w:rsidR="006466A2">
        <w:rPr>
          <w:rFonts w:ascii="Times New Roman" w:hAnsi="Times New Roman"/>
          <w:sz w:val="22"/>
          <w:szCs w:val="22"/>
        </w:rPr>
        <w:t>1</w:t>
      </w:r>
      <w:r>
        <w:rPr>
          <w:rFonts w:ascii="Times New Roman" w:hAnsi="Times New Roman"/>
          <w:sz w:val="22"/>
          <w:szCs w:val="22"/>
        </w:rPr>
        <w:t xml:space="preserve"> to </w:t>
      </w:r>
      <w:r w:rsidR="006466A2">
        <w:rPr>
          <w:rFonts w:ascii="Times New Roman" w:hAnsi="Times New Roman"/>
          <w:sz w:val="22"/>
          <w:szCs w:val="22"/>
        </w:rPr>
        <w:t>3</w:t>
      </w:r>
      <w:r>
        <w:rPr>
          <w:rFonts w:ascii="Times New Roman" w:hAnsi="Times New Roman"/>
          <w:sz w:val="22"/>
          <w:szCs w:val="22"/>
        </w:rPr>
        <w:t xml:space="preserve"> amend Note 2 to</w:t>
      </w:r>
      <w:r w:rsidR="00BD731A">
        <w:rPr>
          <w:rFonts w:ascii="Times New Roman" w:hAnsi="Times New Roman"/>
          <w:sz w:val="22"/>
          <w:szCs w:val="22"/>
        </w:rPr>
        <w:t xml:space="preserve"> each of</w:t>
      </w:r>
      <w:r>
        <w:rPr>
          <w:rFonts w:ascii="Times New Roman" w:hAnsi="Times New Roman"/>
          <w:sz w:val="22"/>
          <w:szCs w:val="22"/>
        </w:rPr>
        <w:t xml:space="preserve"> subsections 8(1), (2) and (3) of the Tax Determination to omit the words </w:t>
      </w:r>
      <w:r w:rsidR="00A12BD7">
        <w:rPr>
          <w:rFonts w:ascii="Times New Roman" w:hAnsi="Times New Roman"/>
          <w:sz w:val="22"/>
          <w:szCs w:val="22"/>
        </w:rPr>
        <w:t>“</w:t>
      </w:r>
      <w:r>
        <w:rPr>
          <w:rFonts w:ascii="Times New Roman" w:hAnsi="Times New Roman"/>
          <w:sz w:val="22"/>
          <w:szCs w:val="22"/>
        </w:rPr>
        <w:t>as amended by the Amendment Determination</w:t>
      </w:r>
      <w:r w:rsidR="00A12BD7">
        <w:rPr>
          <w:rFonts w:ascii="Times New Roman" w:hAnsi="Times New Roman"/>
          <w:sz w:val="22"/>
          <w:szCs w:val="22"/>
        </w:rPr>
        <w:t>”</w:t>
      </w:r>
      <w:r>
        <w:rPr>
          <w:rFonts w:ascii="Times New Roman" w:hAnsi="Times New Roman"/>
          <w:sz w:val="22"/>
          <w:szCs w:val="22"/>
        </w:rPr>
        <w:t xml:space="preserve"> and substitute </w:t>
      </w:r>
      <w:r w:rsidR="00A12BD7">
        <w:rPr>
          <w:rFonts w:ascii="Times New Roman" w:hAnsi="Times New Roman"/>
          <w:sz w:val="22"/>
          <w:szCs w:val="22"/>
        </w:rPr>
        <w:t>“</w:t>
      </w:r>
      <w:r>
        <w:rPr>
          <w:rFonts w:ascii="Times New Roman" w:hAnsi="Times New Roman"/>
          <w:sz w:val="22"/>
          <w:szCs w:val="22"/>
        </w:rPr>
        <w:t>as in force on or after the amendment day</w:t>
      </w:r>
      <w:r w:rsidR="004B7F62">
        <w:rPr>
          <w:rFonts w:ascii="Times New Roman" w:hAnsi="Times New Roman"/>
          <w:sz w:val="22"/>
          <w:szCs w:val="22"/>
        </w:rPr>
        <w:t>”</w:t>
      </w:r>
      <w:r>
        <w:rPr>
          <w:rFonts w:ascii="Times New Roman" w:hAnsi="Times New Roman"/>
          <w:sz w:val="22"/>
          <w:szCs w:val="22"/>
        </w:rPr>
        <w:t>. The purpose of th</w:t>
      </w:r>
      <w:r w:rsidR="00585D51">
        <w:rPr>
          <w:rFonts w:ascii="Times New Roman" w:hAnsi="Times New Roman"/>
          <w:sz w:val="22"/>
          <w:szCs w:val="22"/>
        </w:rPr>
        <w:t>ese</w:t>
      </w:r>
      <w:r>
        <w:rPr>
          <w:rFonts w:ascii="Times New Roman" w:hAnsi="Times New Roman"/>
          <w:sz w:val="22"/>
          <w:szCs w:val="22"/>
        </w:rPr>
        <w:t xml:space="preserve"> amendment</w:t>
      </w:r>
      <w:r w:rsidR="00585D51">
        <w:rPr>
          <w:rFonts w:ascii="Times New Roman" w:hAnsi="Times New Roman"/>
          <w:sz w:val="22"/>
          <w:szCs w:val="22"/>
        </w:rPr>
        <w:t>s</w:t>
      </w:r>
      <w:r>
        <w:rPr>
          <w:rFonts w:ascii="Times New Roman" w:hAnsi="Times New Roman"/>
          <w:sz w:val="22"/>
          <w:szCs w:val="22"/>
        </w:rPr>
        <w:t xml:space="preserve"> is to clarify that in the circumstances described in each of those notes, the tax payable is determined in accordance with the Tax Determination as in force on the day the tax is imposed – that is, the </w:t>
      </w:r>
      <w:r w:rsidR="00BD731A">
        <w:rPr>
          <w:rFonts w:ascii="Times New Roman" w:hAnsi="Times New Roman"/>
          <w:sz w:val="22"/>
          <w:szCs w:val="22"/>
        </w:rPr>
        <w:t xml:space="preserve">Tax </w:t>
      </w:r>
      <w:r>
        <w:rPr>
          <w:rFonts w:ascii="Times New Roman" w:hAnsi="Times New Roman"/>
          <w:sz w:val="22"/>
          <w:szCs w:val="22"/>
        </w:rPr>
        <w:t xml:space="preserve">Determination as in force on or after the amendment day, which is defined as the day on which the First Amendment Determination commenced. This would include the amendments made by the Amendment Determination and any other subsequent amendments that may be made to the Tax Determination. </w:t>
      </w:r>
    </w:p>
    <w:p w14:paraId="1FD61103" w14:textId="77777777" w:rsidR="00104FB1" w:rsidRPr="00AA7714" w:rsidRDefault="00104FB1" w:rsidP="00AA7714">
      <w:pPr>
        <w:rPr>
          <w:b/>
        </w:rPr>
      </w:pPr>
    </w:p>
    <w:p w14:paraId="5E9EBBA4" w14:textId="522B3CE8" w:rsidR="00853C6A" w:rsidRPr="00AA7714" w:rsidRDefault="00853C6A" w:rsidP="00853C6A">
      <w:pPr>
        <w:pStyle w:val="Heading3"/>
        <w:rPr>
          <w:rFonts w:ascii="Times New Roman" w:hAnsi="Times New Roman" w:cs="Times New Roman"/>
          <w:sz w:val="22"/>
          <w:szCs w:val="22"/>
        </w:rPr>
      </w:pPr>
      <w:r w:rsidRPr="00AA7714">
        <w:rPr>
          <w:rFonts w:ascii="Times New Roman" w:hAnsi="Times New Roman" w:cs="Times New Roman"/>
          <w:sz w:val="22"/>
          <w:szCs w:val="22"/>
        </w:rPr>
        <w:t xml:space="preserve">Item </w:t>
      </w:r>
      <w:r w:rsidR="00104FB1">
        <w:rPr>
          <w:rFonts w:ascii="Times New Roman" w:hAnsi="Times New Roman" w:cs="Times New Roman"/>
          <w:sz w:val="22"/>
          <w:szCs w:val="22"/>
        </w:rPr>
        <w:t>4</w:t>
      </w:r>
    </w:p>
    <w:p w14:paraId="270596DD" w14:textId="18A99BF8" w:rsidR="002318A8" w:rsidRDefault="00853C6A" w:rsidP="007E48A8">
      <w:pPr>
        <w:rPr>
          <w:rFonts w:ascii="Times New Roman" w:hAnsi="Times New Roman"/>
          <w:sz w:val="22"/>
          <w:szCs w:val="22"/>
        </w:rPr>
      </w:pPr>
      <w:r w:rsidRPr="00AA7714">
        <w:rPr>
          <w:rFonts w:ascii="Times New Roman" w:hAnsi="Times New Roman"/>
          <w:sz w:val="22"/>
          <w:szCs w:val="22"/>
        </w:rPr>
        <w:t>Item</w:t>
      </w:r>
      <w:r w:rsidR="00EF3E7B">
        <w:rPr>
          <w:rFonts w:ascii="Times New Roman" w:hAnsi="Times New Roman"/>
          <w:sz w:val="22"/>
          <w:szCs w:val="22"/>
        </w:rPr>
        <w:t xml:space="preserve"> </w:t>
      </w:r>
      <w:r w:rsidR="00ED6BB7">
        <w:rPr>
          <w:rFonts w:ascii="Times New Roman" w:hAnsi="Times New Roman"/>
          <w:sz w:val="22"/>
          <w:szCs w:val="22"/>
        </w:rPr>
        <w:t>4</w:t>
      </w:r>
      <w:r w:rsidR="00EF3E7B">
        <w:rPr>
          <w:rFonts w:ascii="Times New Roman" w:hAnsi="Times New Roman"/>
          <w:sz w:val="22"/>
          <w:szCs w:val="22"/>
        </w:rPr>
        <w:t xml:space="preserve"> substitutes Table 402 </w:t>
      </w:r>
      <w:r w:rsidR="000D37E8" w:rsidRPr="001E1810">
        <w:rPr>
          <w:rFonts w:ascii="Times New Roman" w:hAnsi="Times New Roman"/>
          <w:sz w:val="22"/>
          <w:szCs w:val="22"/>
        </w:rPr>
        <w:t>(and</w:t>
      </w:r>
      <w:r w:rsidR="00BD731A">
        <w:rPr>
          <w:rFonts w:ascii="Times New Roman" w:hAnsi="Times New Roman"/>
          <w:sz w:val="22"/>
          <w:szCs w:val="22"/>
        </w:rPr>
        <w:t xml:space="preserve"> its</w:t>
      </w:r>
      <w:r w:rsidR="000D37E8" w:rsidRPr="001E1810">
        <w:rPr>
          <w:rFonts w:ascii="Times New Roman" w:hAnsi="Times New Roman"/>
          <w:sz w:val="22"/>
          <w:szCs w:val="22"/>
        </w:rPr>
        <w:t xml:space="preserve"> accompanying note) in Part 4 of Schedule 2 of the </w:t>
      </w:r>
      <w:r w:rsidR="000D37E8">
        <w:rPr>
          <w:rFonts w:ascii="Times New Roman" w:hAnsi="Times New Roman"/>
          <w:sz w:val="22"/>
          <w:szCs w:val="22"/>
        </w:rPr>
        <w:t xml:space="preserve">Tax </w:t>
      </w:r>
      <w:r w:rsidR="000D37E8" w:rsidRPr="001E1810">
        <w:rPr>
          <w:rFonts w:ascii="Times New Roman" w:hAnsi="Times New Roman"/>
          <w:sz w:val="22"/>
          <w:szCs w:val="22"/>
        </w:rPr>
        <w:t xml:space="preserve">Determination, which sets out the amount of tax for each kHz of bandwidth for </w:t>
      </w:r>
      <w:r w:rsidR="000D37E8" w:rsidRPr="00503AFF">
        <w:rPr>
          <w:rFonts w:ascii="Times New Roman" w:hAnsi="Times New Roman"/>
          <w:sz w:val="22"/>
          <w:szCs w:val="22"/>
        </w:rPr>
        <w:t>earth receive and space receive licences</w:t>
      </w:r>
      <w:r w:rsidR="000D37E8" w:rsidRPr="001E1810" w:rsidDel="00395CD3">
        <w:rPr>
          <w:rFonts w:ascii="Times New Roman" w:hAnsi="Times New Roman"/>
          <w:sz w:val="22"/>
          <w:szCs w:val="22"/>
        </w:rPr>
        <w:t xml:space="preserve"> </w:t>
      </w:r>
      <w:r w:rsidR="000D37E8" w:rsidRPr="001E1810">
        <w:rPr>
          <w:rFonts w:ascii="Times New Roman" w:hAnsi="Times New Roman"/>
          <w:sz w:val="22"/>
          <w:szCs w:val="22"/>
        </w:rPr>
        <w:t>specified in that Part.</w:t>
      </w:r>
      <w:r w:rsidR="00F073F1">
        <w:rPr>
          <w:rFonts w:ascii="Times New Roman" w:hAnsi="Times New Roman"/>
          <w:sz w:val="22"/>
          <w:szCs w:val="22"/>
        </w:rPr>
        <w:t xml:space="preserve"> The amendment </w:t>
      </w:r>
      <w:bookmarkStart w:id="1" w:name="_Hlk443843"/>
      <w:r w:rsidR="000B5D9F" w:rsidRPr="00AA7714">
        <w:rPr>
          <w:rFonts w:ascii="Times New Roman" w:hAnsi="Times New Roman"/>
          <w:sz w:val="22"/>
          <w:szCs w:val="22"/>
        </w:rPr>
        <w:t xml:space="preserve">corrects </w:t>
      </w:r>
      <w:r w:rsidR="00796523">
        <w:rPr>
          <w:rFonts w:ascii="Times New Roman" w:hAnsi="Times New Roman"/>
          <w:sz w:val="22"/>
          <w:szCs w:val="22"/>
        </w:rPr>
        <w:t>the</w:t>
      </w:r>
      <w:r w:rsidR="00796523" w:rsidRPr="00AA7714">
        <w:rPr>
          <w:rFonts w:ascii="Times New Roman" w:hAnsi="Times New Roman"/>
          <w:sz w:val="22"/>
          <w:szCs w:val="22"/>
        </w:rPr>
        <w:t xml:space="preserve"> </w:t>
      </w:r>
      <w:r w:rsidR="000B5D9F" w:rsidRPr="00AA7714">
        <w:rPr>
          <w:rFonts w:ascii="Times New Roman" w:hAnsi="Times New Roman"/>
          <w:sz w:val="22"/>
          <w:szCs w:val="22"/>
        </w:rPr>
        <w:t>drafting</w:t>
      </w:r>
      <w:r w:rsidR="00796523" w:rsidRPr="00AA7714">
        <w:rPr>
          <w:rFonts w:ascii="Times New Roman" w:hAnsi="Times New Roman"/>
          <w:sz w:val="22"/>
          <w:szCs w:val="22"/>
        </w:rPr>
        <w:t xml:space="preserve"> </w:t>
      </w:r>
      <w:r w:rsidR="000B5D9F" w:rsidRPr="00AA7714">
        <w:rPr>
          <w:rFonts w:ascii="Times New Roman" w:hAnsi="Times New Roman"/>
          <w:sz w:val="22"/>
          <w:szCs w:val="22"/>
        </w:rPr>
        <w:t xml:space="preserve">to ensure that </w:t>
      </w:r>
      <w:r w:rsidR="003E50FB" w:rsidRPr="00AA7714">
        <w:rPr>
          <w:rFonts w:ascii="Times New Roman" w:hAnsi="Times New Roman"/>
          <w:sz w:val="22"/>
          <w:szCs w:val="22"/>
        </w:rPr>
        <w:t>the frequency ranges</w:t>
      </w:r>
      <w:r w:rsidR="009C36E4">
        <w:rPr>
          <w:rFonts w:ascii="Times New Roman" w:hAnsi="Times New Roman"/>
          <w:sz w:val="22"/>
          <w:szCs w:val="22"/>
        </w:rPr>
        <w:t xml:space="preserve"> </w:t>
      </w:r>
      <w:r w:rsidR="003E50FB" w:rsidRPr="00AA7714">
        <w:rPr>
          <w:rFonts w:ascii="Times New Roman" w:hAnsi="Times New Roman"/>
          <w:sz w:val="22"/>
          <w:szCs w:val="22"/>
        </w:rPr>
        <w:t xml:space="preserve">used to differentiate prices in </w:t>
      </w:r>
      <w:r w:rsidR="00BD731A">
        <w:rPr>
          <w:rFonts w:ascii="Times New Roman" w:hAnsi="Times New Roman"/>
          <w:sz w:val="22"/>
          <w:szCs w:val="22"/>
        </w:rPr>
        <w:t>T</w:t>
      </w:r>
      <w:r w:rsidR="003E50FB" w:rsidRPr="00AA7714">
        <w:rPr>
          <w:rFonts w:ascii="Times New Roman" w:hAnsi="Times New Roman"/>
          <w:sz w:val="22"/>
          <w:szCs w:val="22"/>
        </w:rPr>
        <w:t>able 402 are consistent with the range</w:t>
      </w:r>
      <w:r w:rsidR="00E67248">
        <w:rPr>
          <w:rFonts w:ascii="Times New Roman" w:hAnsi="Times New Roman"/>
          <w:sz w:val="22"/>
          <w:szCs w:val="22"/>
        </w:rPr>
        <w:t xml:space="preserve">s as specified in Table 402 prior to the amendment made by the First Amendment Determination. </w:t>
      </w:r>
      <w:r w:rsidR="003E50FB" w:rsidRPr="00AA7714">
        <w:rPr>
          <w:rFonts w:ascii="Times New Roman" w:hAnsi="Times New Roman"/>
          <w:sz w:val="22"/>
          <w:szCs w:val="22"/>
        </w:rPr>
        <w:t xml:space="preserve"> </w:t>
      </w:r>
      <w:bookmarkEnd w:id="1"/>
      <w:r w:rsidR="002B19EA">
        <w:rPr>
          <w:rFonts w:ascii="Times New Roman" w:hAnsi="Times New Roman"/>
          <w:sz w:val="22"/>
          <w:szCs w:val="22"/>
        </w:rPr>
        <w:t xml:space="preserve">The frequency ranges </w:t>
      </w:r>
      <w:r w:rsidR="00796523">
        <w:rPr>
          <w:rFonts w:ascii="Times New Roman" w:hAnsi="Times New Roman"/>
          <w:sz w:val="22"/>
          <w:szCs w:val="22"/>
        </w:rPr>
        <w:t>&gt;</w:t>
      </w:r>
      <w:r w:rsidR="002B19EA">
        <w:rPr>
          <w:rFonts w:ascii="Times New Roman" w:hAnsi="Times New Roman"/>
          <w:sz w:val="22"/>
          <w:szCs w:val="22"/>
        </w:rPr>
        <w:t xml:space="preserve">8.5-14.5 GHz and </w:t>
      </w:r>
      <w:r w:rsidR="00796523">
        <w:rPr>
          <w:rFonts w:ascii="Times New Roman" w:hAnsi="Times New Roman"/>
          <w:sz w:val="22"/>
          <w:szCs w:val="22"/>
        </w:rPr>
        <w:t>&gt;</w:t>
      </w:r>
      <w:r w:rsidR="002B19EA">
        <w:rPr>
          <w:rFonts w:ascii="Times New Roman" w:hAnsi="Times New Roman"/>
          <w:sz w:val="22"/>
          <w:szCs w:val="22"/>
        </w:rPr>
        <w:t>14.5-31.3 GHz ha</w:t>
      </w:r>
      <w:r w:rsidR="00520A0D">
        <w:rPr>
          <w:rFonts w:ascii="Times New Roman" w:hAnsi="Times New Roman"/>
          <w:sz w:val="22"/>
          <w:szCs w:val="22"/>
        </w:rPr>
        <w:t>ve</w:t>
      </w:r>
      <w:r w:rsidR="002B19EA">
        <w:rPr>
          <w:rFonts w:ascii="Times New Roman" w:hAnsi="Times New Roman"/>
          <w:sz w:val="22"/>
          <w:szCs w:val="22"/>
        </w:rPr>
        <w:t xml:space="preserve"> been amended to </w:t>
      </w:r>
      <w:r w:rsidR="00796523">
        <w:rPr>
          <w:rFonts w:ascii="Times New Roman" w:hAnsi="Times New Roman"/>
          <w:sz w:val="22"/>
          <w:szCs w:val="22"/>
        </w:rPr>
        <w:t>&gt;</w:t>
      </w:r>
      <w:r w:rsidR="002B19EA">
        <w:rPr>
          <w:rFonts w:ascii="Times New Roman" w:hAnsi="Times New Roman"/>
          <w:sz w:val="22"/>
          <w:szCs w:val="22"/>
        </w:rPr>
        <w:t xml:space="preserve">8.5-17.3 GHz and </w:t>
      </w:r>
      <w:r w:rsidR="00796523">
        <w:rPr>
          <w:rFonts w:ascii="Times New Roman" w:hAnsi="Times New Roman"/>
          <w:sz w:val="22"/>
          <w:szCs w:val="22"/>
        </w:rPr>
        <w:t>&gt;</w:t>
      </w:r>
      <w:r w:rsidR="002B19EA">
        <w:rPr>
          <w:rFonts w:ascii="Times New Roman" w:hAnsi="Times New Roman"/>
          <w:sz w:val="22"/>
          <w:szCs w:val="22"/>
        </w:rPr>
        <w:t>17.3-31.3 GHz</w:t>
      </w:r>
      <w:r w:rsidR="00AF3422">
        <w:rPr>
          <w:rFonts w:ascii="Times New Roman" w:hAnsi="Times New Roman"/>
          <w:sz w:val="22"/>
          <w:szCs w:val="22"/>
        </w:rPr>
        <w:t xml:space="preserve">. </w:t>
      </w:r>
      <w:r w:rsidR="00E67248">
        <w:rPr>
          <w:rFonts w:ascii="Times New Roman" w:hAnsi="Times New Roman"/>
          <w:sz w:val="22"/>
          <w:szCs w:val="22"/>
        </w:rPr>
        <w:t xml:space="preserve"> No other changes to Table 402 have been made. </w:t>
      </w:r>
    </w:p>
    <w:p w14:paraId="6520FDC0" w14:textId="36611C27" w:rsidR="00B97E0A" w:rsidRDefault="00B97E0A" w:rsidP="007E48A8">
      <w:pPr>
        <w:rPr>
          <w:rFonts w:ascii="Times New Roman" w:hAnsi="Times New Roman"/>
          <w:sz w:val="22"/>
          <w:szCs w:val="22"/>
        </w:rPr>
      </w:pPr>
    </w:p>
    <w:p w14:paraId="2E8B5800" w14:textId="77777777" w:rsidR="00B97E0A" w:rsidRPr="00AA7714" w:rsidRDefault="00B97E0A" w:rsidP="007E48A8">
      <w:pPr>
        <w:rPr>
          <w:rFonts w:ascii="Times New Roman" w:hAnsi="Times New Roman"/>
          <w:sz w:val="22"/>
          <w:szCs w:val="22"/>
        </w:rPr>
      </w:pPr>
    </w:p>
    <w:sectPr w:rsidR="00B97E0A" w:rsidRPr="00AA77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C1FD8B" w14:textId="77777777" w:rsidR="005D227B" w:rsidRDefault="005D227B" w:rsidP="007E48A8">
      <w:r>
        <w:separator/>
      </w:r>
    </w:p>
  </w:endnote>
  <w:endnote w:type="continuationSeparator" w:id="0">
    <w:p w14:paraId="4BB0D00F" w14:textId="77777777" w:rsidR="005D227B" w:rsidRDefault="005D227B" w:rsidP="007E4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74A4F1" w14:textId="77777777" w:rsidR="005D227B" w:rsidRDefault="005D227B" w:rsidP="007E48A8">
      <w:r>
        <w:separator/>
      </w:r>
    </w:p>
  </w:footnote>
  <w:footnote w:type="continuationSeparator" w:id="0">
    <w:p w14:paraId="57DA7654" w14:textId="77777777" w:rsidR="005D227B" w:rsidRDefault="005D227B" w:rsidP="007E48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EF61BC"/>
    <w:multiLevelType w:val="hybridMultilevel"/>
    <w:tmpl w:val="43E4D94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243F46B9"/>
    <w:multiLevelType w:val="hybridMultilevel"/>
    <w:tmpl w:val="97AE939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281D1869"/>
    <w:multiLevelType w:val="hybridMultilevel"/>
    <w:tmpl w:val="44CCDBB4"/>
    <w:lvl w:ilvl="0" w:tplc="B4DE576E">
      <w:start w:val="1"/>
      <w:numFmt w:val="decimal"/>
      <w:pStyle w:val="ACMANumberedList"/>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28492739"/>
    <w:multiLevelType w:val="hybridMultilevel"/>
    <w:tmpl w:val="F7901A9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298515AB"/>
    <w:multiLevelType w:val="hybridMultilevel"/>
    <w:tmpl w:val="CAB874A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359D13CA"/>
    <w:multiLevelType w:val="hybridMultilevel"/>
    <w:tmpl w:val="6C00C094"/>
    <w:lvl w:ilvl="0" w:tplc="E43C77B4">
      <w:start w:val="1"/>
      <w:numFmt w:val="decimal"/>
      <w:pStyle w:val="Body"/>
      <w:lvlText w:val="%1."/>
      <w:lvlJc w:val="left"/>
      <w:pPr>
        <w:tabs>
          <w:tab w:val="num" w:pos="360"/>
        </w:tabs>
        <w:ind w:left="360" w:hanging="360"/>
      </w:pPr>
    </w:lvl>
    <w:lvl w:ilvl="1" w:tplc="2EDE6B5C">
      <w:start w:val="1"/>
      <w:numFmt w:val="lowerRoman"/>
      <w:lvlText w:val="%2."/>
      <w:lvlJc w:val="left"/>
      <w:pPr>
        <w:tabs>
          <w:tab w:val="num" w:pos="1014"/>
        </w:tabs>
        <w:ind w:left="1014" w:hanging="360"/>
      </w:pPr>
    </w:lvl>
    <w:lvl w:ilvl="2" w:tplc="0C090005">
      <w:start w:val="1"/>
      <w:numFmt w:val="bullet"/>
      <w:lvlText w:val=""/>
      <w:lvlJc w:val="left"/>
      <w:pPr>
        <w:tabs>
          <w:tab w:val="num" w:pos="1734"/>
        </w:tabs>
        <w:ind w:left="1734" w:hanging="360"/>
      </w:pPr>
      <w:rPr>
        <w:rFonts w:ascii="Wingdings" w:hAnsi="Wingdings" w:hint="default"/>
      </w:rPr>
    </w:lvl>
    <w:lvl w:ilvl="3" w:tplc="0C090001">
      <w:start w:val="1"/>
      <w:numFmt w:val="bullet"/>
      <w:lvlText w:val=""/>
      <w:lvlJc w:val="left"/>
      <w:pPr>
        <w:tabs>
          <w:tab w:val="num" w:pos="2454"/>
        </w:tabs>
        <w:ind w:left="2454" w:hanging="360"/>
      </w:pPr>
      <w:rPr>
        <w:rFonts w:ascii="Symbol" w:hAnsi="Symbol" w:hint="default"/>
      </w:rPr>
    </w:lvl>
    <w:lvl w:ilvl="4" w:tplc="0C090003">
      <w:start w:val="1"/>
      <w:numFmt w:val="bullet"/>
      <w:lvlText w:val="o"/>
      <w:lvlJc w:val="left"/>
      <w:pPr>
        <w:tabs>
          <w:tab w:val="num" w:pos="3174"/>
        </w:tabs>
        <w:ind w:left="3174" w:hanging="360"/>
      </w:pPr>
      <w:rPr>
        <w:rFonts w:ascii="Courier New" w:hAnsi="Courier New" w:cs="Courier New" w:hint="default"/>
      </w:rPr>
    </w:lvl>
    <w:lvl w:ilvl="5" w:tplc="0C090005">
      <w:start w:val="1"/>
      <w:numFmt w:val="bullet"/>
      <w:lvlText w:val=""/>
      <w:lvlJc w:val="left"/>
      <w:pPr>
        <w:tabs>
          <w:tab w:val="num" w:pos="3894"/>
        </w:tabs>
        <w:ind w:left="3894" w:hanging="360"/>
      </w:pPr>
      <w:rPr>
        <w:rFonts w:ascii="Wingdings" w:hAnsi="Wingdings" w:hint="default"/>
      </w:rPr>
    </w:lvl>
    <w:lvl w:ilvl="6" w:tplc="0C090001">
      <w:start w:val="1"/>
      <w:numFmt w:val="bullet"/>
      <w:lvlText w:val=""/>
      <w:lvlJc w:val="left"/>
      <w:pPr>
        <w:tabs>
          <w:tab w:val="num" w:pos="4614"/>
        </w:tabs>
        <w:ind w:left="4614" w:hanging="360"/>
      </w:pPr>
      <w:rPr>
        <w:rFonts w:ascii="Symbol" w:hAnsi="Symbol" w:hint="default"/>
      </w:rPr>
    </w:lvl>
    <w:lvl w:ilvl="7" w:tplc="0C090003">
      <w:start w:val="1"/>
      <w:numFmt w:val="bullet"/>
      <w:lvlText w:val="o"/>
      <w:lvlJc w:val="left"/>
      <w:pPr>
        <w:tabs>
          <w:tab w:val="num" w:pos="5334"/>
        </w:tabs>
        <w:ind w:left="5334" w:hanging="360"/>
      </w:pPr>
      <w:rPr>
        <w:rFonts w:ascii="Courier New" w:hAnsi="Courier New" w:cs="Courier New" w:hint="default"/>
      </w:rPr>
    </w:lvl>
    <w:lvl w:ilvl="8" w:tplc="0C090005">
      <w:start w:val="1"/>
      <w:numFmt w:val="bullet"/>
      <w:lvlText w:val=""/>
      <w:lvlJc w:val="left"/>
      <w:pPr>
        <w:tabs>
          <w:tab w:val="num" w:pos="6054"/>
        </w:tabs>
        <w:ind w:left="6054" w:hanging="360"/>
      </w:pPr>
      <w:rPr>
        <w:rFonts w:ascii="Wingdings" w:hAnsi="Wingdings" w:hint="default"/>
      </w:rPr>
    </w:lvl>
  </w:abstractNum>
  <w:abstractNum w:abstractNumId="6" w15:restartNumberingAfterBreak="0">
    <w:nsid w:val="5433794D"/>
    <w:multiLevelType w:val="hybridMultilevel"/>
    <w:tmpl w:val="AD54E152"/>
    <w:lvl w:ilvl="0" w:tplc="82FEAEC2">
      <w:start w:val="1"/>
      <w:numFmt w:val="bullet"/>
      <w:pStyle w:val="Dotpoints"/>
      <w:lvlText w:val=""/>
      <w:lvlJc w:val="left"/>
      <w:pPr>
        <w:tabs>
          <w:tab w:val="num" w:pos="720"/>
        </w:tabs>
        <w:ind w:left="720" w:hanging="360"/>
      </w:pPr>
      <w:rPr>
        <w:rFonts w:ascii="Symbol" w:hAnsi="Symbol" w:hint="default"/>
        <w:sz w:val="20"/>
        <w:szCs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E0072FF"/>
    <w:multiLevelType w:val="hybridMultilevel"/>
    <w:tmpl w:val="DB5CDE1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710108DC"/>
    <w:multiLevelType w:val="hybridMultilevel"/>
    <w:tmpl w:val="184ED7D6"/>
    <w:lvl w:ilvl="0" w:tplc="0C090001">
      <w:start w:val="1"/>
      <w:numFmt w:val="bullet"/>
      <w:lvlText w:val=""/>
      <w:lvlJc w:val="left"/>
      <w:pPr>
        <w:tabs>
          <w:tab w:val="num" w:pos="786"/>
        </w:tabs>
        <w:ind w:left="786" w:hanging="360"/>
      </w:pPr>
      <w:rPr>
        <w:rFonts w:ascii="Symbol" w:hAnsi="Symbol" w:hint="default"/>
      </w:rPr>
    </w:lvl>
    <w:lvl w:ilvl="1" w:tplc="0C090003">
      <w:start w:val="1"/>
      <w:numFmt w:val="bullet"/>
      <w:lvlText w:val="o"/>
      <w:lvlJc w:val="left"/>
      <w:pPr>
        <w:tabs>
          <w:tab w:val="num" w:pos="1506"/>
        </w:tabs>
        <w:ind w:left="1506" w:hanging="360"/>
      </w:pPr>
      <w:rPr>
        <w:rFonts w:ascii="Courier New" w:hAnsi="Courier New" w:cs="Courier New" w:hint="default"/>
      </w:rPr>
    </w:lvl>
    <w:lvl w:ilvl="2" w:tplc="0C090005">
      <w:start w:val="1"/>
      <w:numFmt w:val="bullet"/>
      <w:lvlText w:val=""/>
      <w:lvlJc w:val="left"/>
      <w:pPr>
        <w:tabs>
          <w:tab w:val="num" w:pos="2226"/>
        </w:tabs>
        <w:ind w:left="2226" w:hanging="360"/>
      </w:pPr>
      <w:rPr>
        <w:rFonts w:ascii="Wingdings" w:hAnsi="Wingdings" w:hint="default"/>
      </w:rPr>
    </w:lvl>
    <w:lvl w:ilvl="3" w:tplc="0C090001">
      <w:start w:val="1"/>
      <w:numFmt w:val="bullet"/>
      <w:lvlText w:val=""/>
      <w:lvlJc w:val="left"/>
      <w:pPr>
        <w:tabs>
          <w:tab w:val="num" w:pos="2946"/>
        </w:tabs>
        <w:ind w:left="2946" w:hanging="360"/>
      </w:pPr>
      <w:rPr>
        <w:rFonts w:ascii="Symbol" w:hAnsi="Symbol" w:hint="default"/>
      </w:rPr>
    </w:lvl>
    <w:lvl w:ilvl="4" w:tplc="0C090003">
      <w:start w:val="1"/>
      <w:numFmt w:val="bullet"/>
      <w:lvlText w:val="o"/>
      <w:lvlJc w:val="left"/>
      <w:pPr>
        <w:tabs>
          <w:tab w:val="num" w:pos="3666"/>
        </w:tabs>
        <w:ind w:left="3666" w:hanging="360"/>
      </w:pPr>
      <w:rPr>
        <w:rFonts w:ascii="Courier New" w:hAnsi="Courier New" w:cs="Courier New" w:hint="default"/>
      </w:rPr>
    </w:lvl>
    <w:lvl w:ilvl="5" w:tplc="0C090005">
      <w:start w:val="1"/>
      <w:numFmt w:val="bullet"/>
      <w:lvlText w:val=""/>
      <w:lvlJc w:val="left"/>
      <w:pPr>
        <w:tabs>
          <w:tab w:val="num" w:pos="4386"/>
        </w:tabs>
        <w:ind w:left="4386" w:hanging="360"/>
      </w:pPr>
      <w:rPr>
        <w:rFonts w:ascii="Wingdings" w:hAnsi="Wingdings" w:hint="default"/>
      </w:rPr>
    </w:lvl>
    <w:lvl w:ilvl="6" w:tplc="0C090001">
      <w:start w:val="1"/>
      <w:numFmt w:val="bullet"/>
      <w:lvlText w:val=""/>
      <w:lvlJc w:val="left"/>
      <w:pPr>
        <w:tabs>
          <w:tab w:val="num" w:pos="5106"/>
        </w:tabs>
        <w:ind w:left="5106" w:hanging="360"/>
      </w:pPr>
      <w:rPr>
        <w:rFonts w:ascii="Symbol" w:hAnsi="Symbol" w:hint="default"/>
      </w:rPr>
    </w:lvl>
    <w:lvl w:ilvl="7" w:tplc="0C090003">
      <w:start w:val="1"/>
      <w:numFmt w:val="bullet"/>
      <w:lvlText w:val="o"/>
      <w:lvlJc w:val="left"/>
      <w:pPr>
        <w:tabs>
          <w:tab w:val="num" w:pos="5826"/>
        </w:tabs>
        <w:ind w:left="5826" w:hanging="360"/>
      </w:pPr>
      <w:rPr>
        <w:rFonts w:ascii="Courier New" w:hAnsi="Courier New" w:cs="Courier New" w:hint="default"/>
      </w:rPr>
    </w:lvl>
    <w:lvl w:ilvl="8" w:tplc="0C090005">
      <w:start w:val="1"/>
      <w:numFmt w:val="bullet"/>
      <w:lvlText w:val=""/>
      <w:lvlJc w:val="left"/>
      <w:pPr>
        <w:tabs>
          <w:tab w:val="num" w:pos="6546"/>
        </w:tabs>
        <w:ind w:left="6546"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3">
    <w:abstractNumId w:val="8"/>
  </w:num>
  <w:num w:numId="4">
    <w:abstractNumId w:val="7"/>
  </w:num>
  <w:num w:numId="5">
    <w:abstractNumId w:val="0"/>
  </w:num>
  <w:num w:numId="6">
    <w:abstractNumId w:val="1"/>
  </w:num>
  <w:num w:numId="7">
    <w:abstractNumId w:val="4"/>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8A8"/>
    <w:rsid w:val="00005F4F"/>
    <w:rsid w:val="0001013D"/>
    <w:rsid w:val="00024559"/>
    <w:rsid w:val="000423AC"/>
    <w:rsid w:val="00042F8F"/>
    <w:rsid w:val="000706B2"/>
    <w:rsid w:val="0007357F"/>
    <w:rsid w:val="00087587"/>
    <w:rsid w:val="00091021"/>
    <w:rsid w:val="000B5D9F"/>
    <w:rsid w:val="000D37E8"/>
    <w:rsid w:val="000D6842"/>
    <w:rsid w:val="00104FB1"/>
    <w:rsid w:val="001217B6"/>
    <w:rsid w:val="0015106B"/>
    <w:rsid w:val="00176F10"/>
    <w:rsid w:val="00190D5B"/>
    <w:rsid w:val="00197D37"/>
    <w:rsid w:val="001C72D9"/>
    <w:rsid w:val="00224953"/>
    <w:rsid w:val="0023139F"/>
    <w:rsid w:val="002318A8"/>
    <w:rsid w:val="002512CE"/>
    <w:rsid w:val="002A4089"/>
    <w:rsid w:val="002B1248"/>
    <w:rsid w:val="002B19EA"/>
    <w:rsid w:val="002D03CB"/>
    <w:rsid w:val="003070EB"/>
    <w:rsid w:val="00325FAF"/>
    <w:rsid w:val="00353DFE"/>
    <w:rsid w:val="00357551"/>
    <w:rsid w:val="003655A6"/>
    <w:rsid w:val="003832CA"/>
    <w:rsid w:val="003839BF"/>
    <w:rsid w:val="00386259"/>
    <w:rsid w:val="003E50FB"/>
    <w:rsid w:val="004468C0"/>
    <w:rsid w:val="004A49E8"/>
    <w:rsid w:val="004B6A54"/>
    <w:rsid w:val="004B7F62"/>
    <w:rsid w:val="004C55A2"/>
    <w:rsid w:val="004C7676"/>
    <w:rsid w:val="004D1191"/>
    <w:rsid w:val="004E48F9"/>
    <w:rsid w:val="004F76EA"/>
    <w:rsid w:val="00501FF3"/>
    <w:rsid w:val="00504483"/>
    <w:rsid w:val="00520A0D"/>
    <w:rsid w:val="00585D51"/>
    <w:rsid w:val="0058771E"/>
    <w:rsid w:val="005A35BD"/>
    <w:rsid w:val="005D227B"/>
    <w:rsid w:val="006430A8"/>
    <w:rsid w:val="006466A2"/>
    <w:rsid w:val="006A176F"/>
    <w:rsid w:val="006C6DB0"/>
    <w:rsid w:val="006C7DF3"/>
    <w:rsid w:val="006E6AC0"/>
    <w:rsid w:val="0070082B"/>
    <w:rsid w:val="00723DF6"/>
    <w:rsid w:val="00742A72"/>
    <w:rsid w:val="00766064"/>
    <w:rsid w:val="007673C1"/>
    <w:rsid w:val="007843EC"/>
    <w:rsid w:val="00796523"/>
    <w:rsid w:val="007A01AC"/>
    <w:rsid w:val="007D5D78"/>
    <w:rsid w:val="007E2CD8"/>
    <w:rsid w:val="007E48A8"/>
    <w:rsid w:val="007E7ABE"/>
    <w:rsid w:val="00821C07"/>
    <w:rsid w:val="00830B3A"/>
    <w:rsid w:val="00853C6A"/>
    <w:rsid w:val="008C3215"/>
    <w:rsid w:val="008E3D41"/>
    <w:rsid w:val="008F5B7B"/>
    <w:rsid w:val="009706BF"/>
    <w:rsid w:val="00973C6E"/>
    <w:rsid w:val="00975D38"/>
    <w:rsid w:val="009B3F50"/>
    <w:rsid w:val="009C21BA"/>
    <w:rsid w:val="009C2F2F"/>
    <w:rsid w:val="009C36E4"/>
    <w:rsid w:val="009D6CAD"/>
    <w:rsid w:val="009F0D03"/>
    <w:rsid w:val="00A111C1"/>
    <w:rsid w:val="00A12B54"/>
    <w:rsid w:val="00A12BD7"/>
    <w:rsid w:val="00A32C83"/>
    <w:rsid w:val="00A3675B"/>
    <w:rsid w:val="00A660FA"/>
    <w:rsid w:val="00A77531"/>
    <w:rsid w:val="00AA7714"/>
    <w:rsid w:val="00AB31F8"/>
    <w:rsid w:val="00AB59FB"/>
    <w:rsid w:val="00AD3792"/>
    <w:rsid w:val="00AE23E8"/>
    <w:rsid w:val="00AE2444"/>
    <w:rsid w:val="00AF3422"/>
    <w:rsid w:val="00B01F0B"/>
    <w:rsid w:val="00B13480"/>
    <w:rsid w:val="00B16DCE"/>
    <w:rsid w:val="00B23EA1"/>
    <w:rsid w:val="00B26E56"/>
    <w:rsid w:val="00B46FA9"/>
    <w:rsid w:val="00B501C9"/>
    <w:rsid w:val="00B65114"/>
    <w:rsid w:val="00B96128"/>
    <w:rsid w:val="00B97E0A"/>
    <w:rsid w:val="00BB20DC"/>
    <w:rsid w:val="00BD68BD"/>
    <w:rsid w:val="00BD731A"/>
    <w:rsid w:val="00C070DD"/>
    <w:rsid w:val="00C239AA"/>
    <w:rsid w:val="00C36BA5"/>
    <w:rsid w:val="00C447C2"/>
    <w:rsid w:val="00C45380"/>
    <w:rsid w:val="00C6148B"/>
    <w:rsid w:val="00C63656"/>
    <w:rsid w:val="00C778F1"/>
    <w:rsid w:val="00C93C5E"/>
    <w:rsid w:val="00CD2A9C"/>
    <w:rsid w:val="00CD4E18"/>
    <w:rsid w:val="00CF628D"/>
    <w:rsid w:val="00D60E4A"/>
    <w:rsid w:val="00D6361A"/>
    <w:rsid w:val="00D71392"/>
    <w:rsid w:val="00D754E2"/>
    <w:rsid w:val="00DC0C16"/>
    <w:rsid w:val="00DE326B"/>
    <w:rsid w:val="00E67248"/>
    <w:rsid w:val="00E712EC"/>
    <w:rsid w:val="00E83913"/>
    <w:rsid w:val="00EC77B6"/>
    <w:rsid w:val="00ED4373"/>
    <w:rsid w:val="00ED6BB7"/>
    <w:rsid w:val="00EF3E7B"/>
    <w:rsid w:val="00EF5ACB"/>
    <w:rsid w:val="00F073F1"/>
    <w:rsid w:val="00F3205F"/>
    <w:rsid w:val="00F85481"/>
    <w:rsid w:val="00F960AA"/>
    <w:rsid w:val="00FD1F89"/>
    <w:rsid w:val="00FF5D2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E615F"/>
  <w15:chartTrackingRefBased/>
  <w15:docId w15:val="{056FDF11-1818-4FA4-9670-CC435579D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48A8"/>
    <w:pPr>
      <w:spacing w:after="0" w:line="240" w:lineRule="auto"/>
    </w:pPr>
    <w:rPr>
      <w:rFonts w:ascii="Arial" w:eastAsia="Times New Roman" w:hAnsi="Arial" w:cs="Times New Roman"/>
      <w:sz w:val="20"/>
      <w:szCs w:val="20"/>
      <w:lang w:bidi="he-IL"/>
    </w:rPr>
  </w:style>
  <w:style w:type="paragraph" w:styleId="Heading2">
    <w:name w:val="heading 2"/>
    <w:basedOn w:val="Normal"/>
    <w:next w:val="Normal"/>
    <w:link w:val="Heading2Char"/>
    <w:semiHidden/>
    <w:unhideWhenUsed/>
    <w:qFormat/>
    <w:rsid w:val="007E48A8"/>
    <w:pPr>
      <w:keepNext/>
      <w:spacing w:before="240" w:after="60"/>
      <w:outlineLvl w:val="1"/>
    </w:pPr>
    <w:rPr>
      <w:rFonts w:cs="Arial"/>
      <w:b/>
      <w:bCs/>
      <w:i/>
      <w:iCs/>
      <w:sz w:val="28"/>
      <w:szCs w:val="28"/>
      <w:lang w:eastAsia="en-AU" w:bidi="ar-SA"/>
    </w:rPr>
  </w:style>
  <w:style w:type="paragraph" w:styleId="Heading3">
    <w:name w:val="heading 3"/>
    <w:basedOn w:val="Normal"/>
    <w:next w:val="Normal"/>
    <w:link w:val="Heading3Char"/>
    <w:unhideWhenUsed/>
    <w:qFormat/>
    <w:rsid w:val="007E48A8"/>
    <w:pPr>
      <w:keepNext/>
      <w:spacing w:before="240" w:after="60"/>
      <w:outlineLvl w:val="2"/>
    </w:pPr>
    <w:rPr>
      <w:rFonts w:cs="Arial"/>
      <w:b/>
      <w:bCs/>
      <w:sz w:val="24"/>
      <w:szCs w:val="24"/>
      <w:lang w:eastAsia="en-AU"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7E48A8"/>
    <w:rPr>
      <w:rFonts w:ascii="Arial" w:eastAsia="Times New Roman" w:hAnsi="Arial" w:cs="Arial"/>
      <w:b/>
      <w:bCs/>
      <w:i/>
      <w:iCs/>
      <w:sz w:val="28"/>
      <w:szCs w:val="28"/>
      <w:lang w:eastAsia="en-AU"/>
    </w:rPr>
  </w:style>
  <w:style w:type="character" w:customStyle="1" w:styleId="Heading3Char">
    <w:name w:val="Heading 3 Char"/>
    <w:basedOn w:val="DefaultParagraphFont"/>
    <w:link w:val="Heading3"/>
    <w:rsid w:val="007E48A8"/>
    <w:rPr>
      <w:rFonts w:ascii="Arial" w:eastAsia="Times New Roman" w:hAnsi="Arial" w:cs="Arial"/>
      <w:b/>
      <w:bCs/>
      <w:sz w:val="24"/>
      <w:szCs w:val="24"/>
      <w:lang w:eastAsia="en-AU"/>
    </w:rPr>
  </w:style>
  <w:style w:type="character" w:customStyle="1" w:styleId="FootnoteTextChar">
    <w:name w:val="Footnote Text Char"/>
    <w:aliases w:val="ACMA Footnote Text Char"/>
    <w:basedOn w:val="DefaultParagraphFont"/>
    <w:link w:val="FootnoteText"/>
    <w:semiHidden/>
    <w:locked/>
    <w:rsid w:val="007E48A8"/>
  </w:style>
  <w:style w:type="paragraph" w:styleId="FootnoteText">
    <w:name w:val="footnote text"/>
    <w:aliases w:val="ACMA Footnote Text"/>
    <w:link w:val="FootnoteTextChar"/>
    <w:semiHidden/>
    <w:unhideWhenUsed/>
    <w:rsid w:val="007E48A8"/>
    <w:pPr>
      <w:tabs>
        <w:tab w:val="left" w:pos="284"/>
      </w:tabs>
      <w:spacing w:after="0" w:line="240" w:lineRule="auto"/>
      <w:ind w:left="288" w:hanging="288"/>
    </w:pPr>
  </w:style>
  <w:style w:type="character" w:customStyle="1" w:styleId="FootnoteTextChar1">
    <w:name w:val="Footnote Text Char1"/>
    <w:basedOn w:val="DefaultParagraphFont"/>
    <w:uiPriority w:val="99"/>
    <w:semiHidden/>
    <w:rsid w:val="007E48A8"/>
    <w:rPr>
      <w:rFonts w:ascii="Arial" w:eastAsia="Times New Roman" w:hAnsi="Arial" w:cs="Times New Roman"/>
      <w:sz w:val="20"/>
      <w:szCs w:val="20"/>
      <w:lang w:bidi="he-IL"/>
    </w:rPr>
  </w:style>
  <w:style w:type="paragraph" w:customStyle="1" w:styleId="ACMANumberedList">
    <w:name w:val="ACMA Numbered List"/>
    <w:rsid w:val="007E48A8"/>
    <w:pPr>
      <w:numPr>
        <w:numId w:val="1"/>
      </w:numPr>
      <w:spacing w:before="20" w:after="20" w:line="240" w:lineRule="auto"/>
    </w:pPr>
    <w:rPr>
      <w:rFonts w:ascii="Times New Roman" w:eastAsia="Times New Roman" w:hAnsi="Times New Roman" w:cs="Times New Roman"/>
      <w:sz w:val="24"/>
      <w:szCs w:val="20"/>
    </w:rPr>
  </w:style>
  <w:style w:type="paragraph" w:customStyle="1" w:styleId="Body">
    <w:name w:val="Body"/>
    <w:basedOn w:val="Normal"/>
    <w:rsid w:val="007E48A8"/>
    <w:pPr>
      <w:numPr>
        <w:numId w:val="2"/>
      </w:numPr>
      <w:spacing w:before="120" w:after="120"/>
    </w:pPr>
    <w:rPr>
      <w:rFonts w:ascii="Times New Roman" w:hAnsi="Times New Roman"/>
      <w:sz w:val="24"/>
      <w:lang w:eastAsia="en-AU" w:bidi="ar-SA"/>
    </w:rPr>
  </w:style>
  <w:style w:type="character" w:styleId="FootnoteReference">
    <w:name w:val="footnote reference"/>
    <w:basedOn w:val="DefaultParagraphFont"/>
    <w:semiHidden/>
    <w:unhideWhenUsed/>
    <w:rsid w:val="007E48A8"/>
    <w:rPr>
      <w:vertAlign w:val="superscript"/>
    </w:rPr>
  </w:style>
  <w:style w:type="character" w:customStyle="1" w:styleId="CharSectno">
    <w:name w:val="CharSectno"/>
    <w:basedOn w:val="DefaultParagraphFont"/>
    <w:rsid w:val="007E48A8"/>
  </w:style>
  <w:style w:type="character" w:styleId="Hyperlink">
    <w:name w:val="Hyperlink"/>
    <w:basedOn w:val="DefaultParagraphFont"/>
    <w:uiPriority w:val="99"/>
    <w:unhideWhenUsed/>
    <w:rsid w:val="007E48A8"/>
    <w:rPr>
      <w:color w:val="0563C1" w:themeColor="hyperlink"/>
      <w:u w:val="single"/>
    </w:rPr>
  </w:style>
  <w:style w:type="paragraph" w:styleId="CommentText">
    <w:name w:val="annotation text"/>
    <w:basedOn w:val="Normal"/>
    <w:link w:val="CommentTextChar"/>
    <w:uiPriority w:val="99"/>
    <w:semiHidden/>
    <w:unhideWhenUsed/>
    <w:rsid w:val="007E48A8"/>
    <w:pPr>
      <w:spacing w:after="160"/>
    </w:pPr>
    <w:rPr>
      <w:rFonts w:asciiTheme="minorHAnsi" w:eastAsiaTheme="minorHAnsi" w:hAnsiTheme="minorHAnsi" w:cstheme="minorBidi"/>
      <w:lang w:bidi="ar-SA"/>
    </w:rPr>
  </w:style>
  <w:style w:type="character" w:customStyle="1" w:styleId="CommentTextChar">
    <w:name w:val="Comment Text Char"/>
    <w:basedOn w:val="DefaultParagraphFont"/>
    <w:link w:val="CommentText"/>
    <w:uiPriority w:val="99"/>
    <w:semiHidden/>
    <w:rsid w:val="007E48A8"/>
    <w:rPr>
      <w:sz w:val="20"/>
      <w:szCs w:val="20"/>
    </w:rPr>
  </w:style>
  <w:style w:type="paragraph" w:styleId="ListParagraph">
    <w:name w:val="List Paragraph"/>
    <w:basedOn w:val="Normal"/>
    <w:uiPriority w:val="34"/>
    <w:qFormat/>
    <w:rsid w:val="007E48A8"/>
    <w:pPr>
      <w:spacing w:after="160" w:line="256" w:lineRule="auto"/>
      <w:ind w:left="720"/>
      <w:contextualSpacing/>
    </w:pPr>
    <w:rPr>
      <w:rFonts w:asciiTheme="minorHAnsi" w:eastAsiaTheme="minorHAnsi" w:hAnsiTheme="minorHAnsi" w:cstheme="minorBidi"/>
      <w:sz w:val="22"/>
      <w:szCs w:val="22"/>
      <w:lang w:bidi="ar-SA"/>
    </w:rPr>
  </w:style>
  <w:style w:type="paragraph" w:customStyle="1" w:styleId="Default">
    <w:name w:val="Default"/>
    <w:rsid w:val="007E48A8"/>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7E48A8"/>
    <w:rPr>
      <w:sz w:val="16"/>
      <w:szCs w:val="16"/>
    </w:rPr>
  </w:style>
  <w:style w:type="paragraph" w:styleId="BalloonText">
    <w:name w:val="Balloon Text"/>
    <w:basedOn w:val="Normal"/>
    <w:link w:val="BalloonTextChar"/>
    <w:uiPriority w:val="99"/>
    <w:semiHidden/>
    <w:unhideWhenUsed/>
    <w:rsid w:val="007E48A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48A8"/>
    <w:rPr>
      <w:rFonts w:ascii="Segoe UI" w:eastAsia="Times New Roman" w:hAnsi="Segoe UI" w:cs="Segoe UI"/>
      <w:sz w:val="18"/>
      <w:szCs w:val="18"/>
      <w:lang w:bidi="he-IL"/>
    </w:rPr>
  </w:style>
  <w:style w:type="paragraph" w:styleId="CommentSubject">
    <w:name w:val="annotation subject"/>
    <w:basedOn w:val="CommentText"/>
    <w:next w:val="CommentText"/>
    <w:link w:val="CommentSubjectChar"/>
    <w:uiPriority w:val="99"/>
    <w:semiHidden/>
    <w:unhideWhenUsed/>
    <w:rsid w:val="00F960AA"/>
    <w:pPr>
      <w:spacing w:after="0"/>
    </w:pPr>
    <w:rPr>
      <w:rFonts w:ascii="Arial" w:eastAsia="Times New Roman" w:hAnsi="Arial" w:cs="Times New Roman"/>
      <w:b/>
      <w:bCs/>
      <w:lang w:bidi="he-IL"/>
    </w:rPr>
  </w:style>
  <w:style w:type="character" w:customStyle="1" w:styleId="CommentSubjectChar">
    <w:name w:val="Comment Subject Char"/>
    <w:basedOn w:val="CommentTextChar"/>
    <w:link w:val="CommentSubject"/>
    <w:uiPriority w:val="99"/>
    <w:semiHidden/>
    <w:rsid w:val="00F960AA"/>
    <w:rPr>
      <w:rFonts w:ascii="Arial" w:eastAsia="Times New Roman" w:hAnsi="Arial" w:cs="Times New Roman"/>
      <w:b/>
      <w:bCs/>
      <w:sz w:val="20"/>
      <w:szCs w:val="20"/>
      <w:lang w:bidi="he-IL"/>
    </w:rPr>
  </w:style>
  <w:style w:type="character" w:customStyle="1" w:styleId="legsubtitle1">
    <w:name w:val="legsubtitle1"/>
    <w:basedOn w:val="DefaultParagraphFont"/>
    <w:rsid w:val="00853C6A"/>
    <w:rPr>
      <w:b/>
      <w:bCs/>
    </w:rPr>
  </w:style>
  <w:style w:type="character" w:customStyle="1" w:styleId="ACMABodyTextChar1">
    <w:name w:val="ACMA Body Text Char1"/>
    <w:basedOn w:val="DefaultParagraphFont"/>
    <w:link w:val="ACMABodyText"/>
    <w:locked/>
    <w:rsid w:val="00853C6A"/>
    <w:rPr>
      <w:sz w:val="24"/>
    </w:rPr>
  </w:style>
  <w:style w:type="paragraph" w:customStyle="1" w:styleId="ACMABodyText">
    <w:name w:val="ACMA Body Text"/>
    <w:link w:val="ACMABodyTextChar1"/>
    <w:rsid w:val="00853C6A"/>
    <w:pPr>
      <w:suppressAutoHyphens/>
      <w:snapToGrid w:val="0"/>
      <w:spacing w:before="80" w:after="120" w:line="280" w:lineRule="atLeast"/>
    </w:pPr>
    <w:rPr>
      <w:sz w:val="24"/>
    </w:rPr>
  </w:style>
  <w:style w:type="paragraph" w:customStyle="1" w:styleId="Dotpoints">
    <w:name w:val="Dot points"/>
    <w:basedOn w:val="Normal"/>
    <w:rsid w:val="00DC0C16"/>
    <w:pPr>
      <w:numPr>
        <w:numId w:val="9"/>
      </w:numPr>
    </w:pPr>
    <w:rPr>
      <w:rFonts w:ascii="Times New Roman" w:hAnsi="Times New Roman"/>
      <w:sz w:val="24"/>
      <w:szCs w:val="24"/>
      <w:lang w:eastAsia="en-AU" w:bidi="ar-SA"/>
    </w:rPr>
  </w:style>
  <w:style w:type="character" w:styleId="UnresolvedMention">
    <w:name w:val="Unresolved Mention"/>
    <w:basedOn w:val="DefaultParagraphFont"/>
    <w:uiPriority w:val="99"/>
    <w:semiHidden/>
    <w:unhideWhenUsed/>
    <w:rsid w:val="00EC77B6"/>
    <w:rPr>
      <w:color w:val="605E5C"/>
      <w:shd w:val="clear" w:color="auto" w:fill="E1DFDD"/>
    </w:rPr>
  </w:style>
  <w:style w:type="paragraph" w:styleId="PlainText">
    <w:name w:val="Plain Text"/>
    <w:basedOn w:val="Normal"/>
    <w:link w:val="PlainTextChar"/>
    <w:uiPriority w:val="99"/>
    <w:unhideWhenUsed/>
    <w:rsid w:val="008C3215"/>
    <w:rPr>
      <w:rFonts w:ascii="Consolas" w:eastAsiaTheme="minorHAnsi" w:hAnsi="Consolas" w:cs="Consolas"/>
      <w:sz w:val="21"/>
      <w:szCs w:val="21"/>
      <w:lang w:eastAsia="en-AU" w:bidi="ar-SA"/>
    </w:rPr>
  </w:style>
  <w:style w:type="character" w:customStyle="1" w:styleId="PlainTextChar">
    <w:name w:val="Plain Text Char"/>
    <w:basedOn w:val="DefaultParagraphFont"/>
    <w:link w:val="PlainText"/>
    <w:uiPriority w:val="99"/>
    <w:rsid w:val="008C3215"/>
    <w:rPr>
      <w:rFonts w:ascii="Consolas" w:hAnsi="Consolas" w:cs="Consolas"/>
      <w:sz w:val="21"/>
      <w:szCs w:val="21"/>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345994">
      <w:bodyDiv w:val="1"/>
      <w:marLeft w:val="0"/>
      <w:marRight w:val="0"/>
      <w:marTop w:val="0"/>
      <w:marBottom w:val="0"/>
      <w:divBdr>
        <w:top w:val="none" w:sz="0" w:space="0" w:color="auto"/>
        <w:left w:val="none" w:sz="0" w:space="0" w:color="auto"/>
        <w:bottom w:val="none" w:sz="0" w:space="0" w:color="auto"/>
        <w:right w:val="none" w:sz="0" w:space="0" w:color="auto"/>
      </w:divBdr>
    </w:div>
    <w:div w:id="341975307">
      <w:bodyDiv w:val="1"/>
      <w:marLeft w:val="0"/>
      <w:marRight w:val="0"/>
      <w:marTop w:val="0"/>
      <w:marBottom w:val="0"/>
      <w:divBdr>
        <w:top w:val="none" w:sz="0" w:space="0" w:color="auto"/>
        <w:left w:val="none" w:sz="0" w:space="0" w:color="auto"/>
        <w:bottom w:val="none" w:sz="0" w:space="0" w:color="auto"/>
        <w:right w:val="none" w:sz="0" w:space="0" w:color="auto"/>
      </w:divBdr>
    </w:div>
    <w:div w:id="416245760">
      <w:bodyDiv w:val="1"/>
      <w:marLeft w:val="0"/>
      <w:marRight w:val="0"/>
      <w:marTop w:val="0"/>
      <w:marBottom w:val="0"/>
      <w:divBdr>
        <w:top w:val="none" w:sz="0" w:space="0" w:color="auto"/>
        <w:left w:val="none" w:sz="0" w:space="0" w:color="auto"/>
        <w:bottom w:val="none" w:sz="0" w:space="0" w:color="auto"/>
        <w:right w:val="none" w:sz="0" w:space="0" w:color="auto"/>
      </w:divBdr>
    </w:div>
    <w:div w:id="455610791">
      <w:bodyDiv w:val="1"/>
      <w:marLeft w:val="0"/>
      <w:marRight w:val="0"/>
      <w:marTop w:val="0"/>
      <w:marBottom w:val="0"/>
      <w:divBdr>
        <w:top w:val="none" w:sz="0" w:space="0" w:color="auto"/>
        <w:left w:val="none" w:sz="0" w:space="0" w:color="auto"/>
        <w:bottom w:val="none" w:sz="0" w:space="0" w:color="auto"/>
        <w:right w:val="none" w:sz="0" w:space="0" w:color="auto"/>
      </w:divBdr>
    </w:div>
    <w:div w:id="1371762658">
      <w:bodyDiv w:val="1"/>
      <w:marLeft w:val="0"/>
      <w:marRight w:val="0"/>
      <w:marTop w:val="0"/>
      <w:marBottom w:val="0"/>
      <w:divBdr>
        <w:top w:val="none" w:sz="0" w:space="0" w:color="auto"/>
        <w:left w:val="none" w:sz="0" w:space="0" w:color="auto"/>
        <w:bottom w:val="none" w:sz="0" w:space="0" w:color="auto"/>
        <w:right w:val="none" w:sz="0" w:space="0" w:color="auto"/>
      </w:divBdr>
    </w:div>
    <w:div w:id="1778989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1d983eb4-33f7-44b0-aea1-cbdcf0c55136">3NE2HDV7HD6D-1394182535-7816</_dlc_DocId>
    <_dlc_DocIdUrl xmlns="1d983eb4-33f7-44b0-aea1-cbdcf0c55136">
      <Url>http://collaboration/organisation/cid/SRI/EAS/_layouts/15/DocIdRedir.aspx?ID=3NE2HDV7HD6D-1394182535-7816</Url>
      <Description>3NE2HDV7HD6D-1394182535-7816</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32BE4C2BCA94CB49809A94BB08B1BB71" ma:contentTypeVersion="2" ma:contentTypeDescription="Create a new document." ma:contentTypeScope="" ma:versionID="c66064a24301773ce2b6fc68a3b4aace">
  <xsd:schema xmlns:xsd="http://www.w3.org/2001/XMLSchema" xmlns:xs="http://www.w3.org/2001/XMLSchema" xmlns:p="http://schemas.microsoft.com/office/2006/metadata/properties" xmlns:ns2="1d983eb4-33f7-44b0-aea1-cbdcf0c55136" targetNamespace="http://schemas.microsoft.com/office/2006/metadata/properties" ma:root="true" ma:fieldsID="85ca1f7d1e1b38634bae0caaff15e10b" ns2:_="">
    <xsd:import namespace="1d983eb4-33f7-44b0-aea1-cbdcf0c55136"/>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983eb4-33f7-44b0-aea1-cbdcf0c5513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BF5D6D-8ABC-4154-BA39-B22104808B93}">
  <ds:schemaRefs>
    <ds:schemaRef ds:uri="1d983eb4-33f7-44b0-aea1-cbdcf0c55136"/>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B95CC0A9-B543-4718-BEF8-B3132BD60FBE}">
  <ds:schemaRefs>
    <ds:schemaRef ds:uri="http://schemas.microsoft.com/sharepoint/v3/contenttype/forms"/>
  </ds:schemaRefs>
</ds:datastoreItem>
</file>

<file path=customXml/itemProps3.xml><?xml version="1.0" encoding="utf-8"?>
<ds:datastoreItem xmlns:ds="http://schemas.openxmlformats.org/officeDocument/2006/customXml" ds:itemID="{236C4E5D-CBB6-4FF0-9919-B7F2FA833042}">
  <ds:schemaRefs>
    <ds:schemaRef ds:uri="http://schemas.microsoft.com/sharepoint/events"/>
  </ds:schemaRefs>
</ds:datastoreItem>
</file>

<file path=customXml/itemProps4.xml><?xml version="1.0" encoding="utf-8"?>
<ds:datastoreItem xmlns:ds="http://schemas.openxmlformats.org/officeDocument/2006/customXml" ds:itemID="{C9736E3B-D483-4941-BECF-BB1996AFD2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983eb4-33f7-44b0-aea1-cbdcf0c551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5D042D5-D764-45AC-AA3A-9E4A6D1CD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1108</Words>
  <Characters>6317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Longhouse</dc:creator>
  <cp:keywords/>
  <dc:description/>
  <cp:lastModifiedBy>Mark McGregor</cp:lastModifiedBy>
  <cp:revision>3</cp:revision>
  <cp:lastPrinted>2019-02-20T22:28:00Z</cp:lastPrinted>
  <dcterms:created xsi:type="dcterms:W3CDTF">2019-02-20T22:30:00Z</dcterms:created>
  <dcterms:modified xsi:type="dcterms:W3CDTF">2019-02-20T22:31:00Z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0x01010032BE4C2BCA94CB49809A94BB08B1BB71</vt:lpwstr>
  </property>
  <property fmtid="{D5CDD505-2E9C-101B-9397-08002B2CF9AE}" pid="3" name="_dlc_DocIdItemGuid">
    <vt:lpwstr>6677a4a7-93d5-4048-a260-1813700f6411</vt:lpwstr>
  </property>
</Properties>
</file>