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77D8D" w14:textId="77777777" w:rsidR="00966728" w:rsidRPr="00364364" w:rsidRDefault="00966728" w:rsidP="00966728">
      <w:pPr>
        <w:spacing w:before="100" w:beforeAutospacing="1" w:after="100" w:afterAutospacing="1"/>
        <w:ind w:right="3"/>
        <w:jc w:val="center"/>
        <w:outlineLvl w:val="0"/>
        <w:rPr>
          <w:rFonts w:eastAsia="Times New Roman" w:cs="Arial"/>
          <w:b/>
          <w:bCs/>
          <w:kern w:val="36"/>
          <w:sz w:val="24"/>
          <w:szCs w:val="24"/>
          <w:lang w:eastAsia="en-AU"/>
        </w:rPr>
      </w:pPr>
      <w:r w:rsidRPr="00364364">
        <w:rPr>
          <w:rFonts w:eastAsia="Times New Roman" w:cs="Arial"/>
          <w:b/>
          <w:bCs/>
          <w:kern w:val="36"/>
          <w:sz w:val="24"/>
          <w:szCs w:val="24"/>
          <w:lang w:val="en-GB" w:eastAsia="en-AU"/>
        </w:rPr>
        <w:t>EXPLANATORY STATEMENT</w:t>
      </w:r>
    </w:p>
    <w:p w14:paraId="753877D7" w14:textId="758AE6DA" w:rsidR="00966728" w:rsidRPr="00364364" w:rsidRDefault="00966728" w:rsidP="00966728">
      <w:pPr>
        <w:spacing w:before="240"/>
        <w:jc w:val="center"/>
        <w:rPr>
          <w:rFonts w:asciiTheme="minorHAnsi" w:hAnsiTheme="minorHAnsi" w:cstheme="minorHAnsi"/>
          <w:i/>
        </w:rPr>
      </w:pPr>
      <w:r w:rsidRPr="00364364">
        <w:rPr>
          <w:rFonts w:asciiTheme="minorHAnsi" w:hAnsiTheme="minorHAnsi" w:cstheme="minorHAnsi"/>
          <w:i/>
        </w:rPr>
        <w:t>Consumer Goods (</w:t>
      </w:r>
      <w:r>
        <w:rPr>
          <w:rFonts w:asciiTheme="minorHAnsi" w:hAnsiTheme="minorHAnsi" w:cstheme="minorHAnsi"/>
          <w:i/>
        </w:rPr>
        <w:t>Disposable Cigarette Lighters</w:t>
      </w:r>
      <w:r w:rsidRPr="00364364">
        <w:rPr>
          <w:rFonts w:asciiTheme="minorHAnsi" w:hAnsiTheme="minorHAnsi" w:cstheme="minorHAnsi"/>
          <w:i/>
        </w:rPr>
        <w:t xml:space="preserve">) Safety Standard </w:t>
      </w:r>
      <w:r w:rsidR="002E4745">
        <w:rPr>
          <w:rFonts w:asciiTheme="minorHAnsi" w:hAnsiTheme="minorHAnsi" w:cstheme="minorHAnsi"/>
          <w:i/>
        </w:rPr>
        <w:t>2019</w:t>
      </w:r>
    </w:p>
    <w:p w14:paraId="125A6958" w14:textId="77777777" w:rsidR="00115314" w:rsidRPr="00AA6F97" w:rsidRDefault="00115314" w:rsidP="00AA6F97">
      <w:pPr>
        <w:rPr>
          <w:rFonts w:cs="Arial"/>
          <w:b/>
          <w:lang w:val="en-GB"/>
        </w:rPr>
      </w:pPr>
      <w:r w:rsidRPr="00AA6F97">
        <w:rPr>
          <w:rFonts w:cs="Arial"/>
          <w:b/>
          <w:lang w:val="en-GB"/>
        </w:rPr>
        <w:t>Overview</w:t>
      </w:r>
    </w:p>
    <w:p w14:paraId="318820B9" w14:textId="7EF2BD00" w:rsidR="004C410B" w:rsidRPr="00AA6F97" w:rsidRDefault="00966728" w:rsidP="00AA6F97">
      <w:pPr>
        <w:rPr>
          <w:rFonts w:cs="Arial"/>
          <w:lang w:val="en-GB"/>
        </w:rPr>
      </w:pPr>
      <w:r w:rsidRPr="00AA6F97">
        <w:rPr>
          <w:rFonts w:cs="Arial"/>
          <w:lang w:val="en-GB"/>
        </w:rPr>
        <w:t xml:space="preserve">The Commonwealth </w:t>
      </w:r>
      <w:r w:rsidR="005D64C8" w:rsidRPr="00AA6F97">
        <w:rPr>
          <w:rFonts w:cs="Arial"/>
          <w:lang w:val="en-GB"/>
        </w:rPr>
        <w:t>Assistant Treasurer</w:t>
      </w:r>
      <w:r w:rsidR="001D1C9B" w:rsidRPr="00AA6F97">
        <w:rPr>
          <w:rFonts w:cs="Arial"/>
          <w:lang w:val="en-GB"/>
        </w:rPr>
        <w:t xml:space="preserve"> </w:t>
      </w:r>
      <w:r w:rsidR="00A07B97">
        <w:rPr>
          <w:rFonts w:cs="Arial"/>
          <w:lang w:val="en-GB"/>
        </w:rPr>
        <w:t xml:space="preserve">(the Minister) </w:t>
      </w:r>
      <w:r w:rsidRPr="00AA6F97">
        <w:rPr>
          <w:rFonts w:cs="Arial"/>
          <w:lang w:val="en-GB"/>
        </w:rPr>
        <w:t>has made a</w:t>
      </w:r>
      <w:r w:rsidR="004D0C3C" w:rsidRPr="00AA6F97">
        <w:rPr>
          <w:rFonts w:cs="Arial"/>
          <w:lang w:val="en-GB"/>
        </w:rPr>
        <w:t xml:space="preserve"> safety standard </w:t>
      </w:r>
      <w:r w:rsidRPr="00AA6F97">
        <w:rPr>
          <w:rFonts w:cs="Arial"/>
          <w:lang w:val="en-GB"/>
        </w:rPr>
        <w:t>for disposable cigarette lighters</w:t>
      </w:r>
      <w:r w:rsidR="004D0C3C" w:rsidRPr="00AA6F97">
        <w:rPr>
          <w:rFonts w:cs="Arial"/>
          <w:lang w:val="en-GB"/>
        </w:rPr>
        <w:t xml:space="preserve"> </w:t>
      </w:r>
      <w:r w:rsidRPr="00AA6F97">
        <w:rPr>
          <w:rFonts w:cs="Arial"/>
          <w:lang w:val="en-GB"/>
        </w:rPr>
        <w:t xml:space="preserve">pursuant to section 104 of the Australian Consumer Law </w:t>
      </w:r>
      <w:r w:rsidR="00895A57" w:rsidRPr="00AA6F97">
        <w:rPr>
          <w:rFonts w:cs="Arial"/>
          <w:lang w:val="en-GB"/>
        </w:rPr>
        <w:t>(ACL)</w:t>
      </w:r>
      <w:r w:rsidR="00BD7609" w:rsidRPr="002F6A17">
        <w:rPr>
          <w:rFonts w:cs="Arial"/>
          <w:lang w:val="en-GB"/>
        </w:rPr>
        <w:t xml:space="preserve">, which is Schedule 2 of the </w:t>
      </w:r>
      <w:r w:rsidR="00BD7609" w:rsidRPr="00AA6F97">
        <w:rPr>
          <w:rFonts w:cs="Arial"/>
          <w:lang w:val="en-GB"/>
        </w:rPr>
        <w:t>Competition and Consumer Act 2010 (Cth)</w:t>
      </w:r>
      <w:r w:rsidR="00BD7609" w:rsidRPr="002F6A17">
        <w:rPr>
          <w:rFonts w:cs="Arial"/>
          <w:lang w:val="en-GB"/>
        </w:rPr>
        <w:t>.</w:t>
      </w:r>
    </w:p>
    <w:p w14:paraId="18A48E7E" w14:textId="5A02E21F" w:rsidR="009163F3" w:rsidRPr="00AA6F97" w:rsidRDefault="009163F3" w:rsidP="00AA6F97">
      <w:pPr>
        <w:rPr>
          <w:rFonts w:cs="Arial"/>
          <w:lang w:val="en-GB"/>
        </w:rPr>
      </w:pPr>
      <w:r w:rsidRPr="00AA6F97">
        <w:rPr>
          <w:rFonts w:cs="Arial"/>
          <w:lang w:val="en-GB"/>
        </w:rPr>
        <w:t xml:space="preserve">The safety standard comes into effect on the day after it is registered on the Federal Register of Legislation. A transitional period of 12 months will apply during which suppliers may supply disposable cigarette lighters which meet either the previous safety standard or the new safety standard. At the end of the 12 month transitional period, suppliers will need to ensure they comply with the new </w:t>
      </w:r>
      <w:r w:rsidR="00BD7609" w:rsidRPr="00AA6F97">
        <w:rPr>
          <w:rFonts w:cs="Arial"/>
          <w:lang w:val="en-GB"/>
        </w:rPr>
        <w:t xml:space="preserve">safety </w:t>
      </w:r>
      <w:r w:rsidRPr="00AA6F97">
        <w:rPr>
          <w:rFonts w:cs="Arial"/>
          <w:lang w:val="en-GB"/>
        </w:rPr>
        <w:t>standard.</w:t>
      </w:r>
    </w:p>
    <w:p w14:paraId="4E5C252F" w14:textId="6184B461" w:rsidR="004C410B" w:rsidRPr="00AA6F97" w:rsidRDefault="004C410B" w:rsidP="00AA6F97">
      <w:pPr>
        <w:rPr>
          <w:rFonts w:cs="Arial"/>
          <w:lang w:val="en-GB"/>
        </w:rPr>
      </w:pPr>
      <w:r w:rsidRPr="00AA6F97">
        <w:rPr>
          <w:rFonts w:cs="Arial"/>
          <w:lang w:val="en-GB"/>
        </w:rPr>
        <w:t xml:space="preserve">The purpose of </w:t>
      </w:r>
      <w:r w:rsidR="00790071">
        <w:rPr>
          <w:rFonts w:cs="Arial"/>
          <w:lang w:val="en-GB"/>
        </w:rPr>
        <w:t xml:space="preserve">the safety standard is to detail requirements, including for child resistance, so that disposable cigarette lighters are manufactured </w:t>
      </w:r>
      <w:r w:rsidR="00790071" w:rsidRPr="00790071">
        <w:rPr>
          <w:rFonts w:cs="Arial"/>
          <w:lang w:val="en-GB"/>
        </w:rPr>
        <w:t>to a standard that provides for a reasonable degree of safety for normal use or reasonably foreseeable misuse.</w:t>
      </w:r>
      <w:r w:rsidRPr="00AA6F97">
        <w:rPr>
          <w:rFonts w:cs="Arial"/>
          <w:lang w:val="en-GB"/>
        </w:rPr>
        <w:t xml:space="preserve"> </w:t>
      </w:r>
      <w:r w:rsidR="00790071">
        <w:rPr>
          <w:rFonts w:cs="Arial"/>
          <w:lang w:val="en-GB"/>
        </w:rPr>
        <w:t xml:space="preserve">The safety standard also includes requirements for a warning that the product is to be kept away from or out of reach of children. </w:t>
      </w:r>
    </w:p>
    <w:p w14:paraId="31BE0E77" w14:textId="41751B9D" w:rsidR="00027EF5" w:rsidRPr="00AA6F97" w:rsidRDefault="00027EF5" w:rsidP="00AA6F97">
      <w:pPr>
        <w:rPr>
          <w:rFonts w:cs="Arial"/>
          <w:lang w:val="en-GB"/>
        </w:rPr>
      </w:pPr>
      <w:r w:rsidRPr="00AA6F97">
        <w:rPr>
          <w:rFonts w:cs="Arial"/>
          <w:lang w:val="en-GB"/>
        </w:rPr>
        <w:t>Between 2002 and 2009</w:t>
      </w:r>
      <w:r w:rsidR="00790071">
        <w:rPr>
          <w:rFonts w:asciiTheme="minorHAnsi" w:hAnsiTheme="minorHAnsi" w:cstheme="minorHAnsi"/>
        </w:rPr>
        <w:t>, which is the most current available data,</w:t>
      </w:r>
      <w:r w:rsidRPr="00AA6F97">
        <w:rPr>
          <w:rFonts w:cs="Arial"/>
          <w:lang w:val="en-GB"/>
        </w:rPr>
        <w:t xml:space="preserve"> the Australian Competition and Consumer Commission identified the deaths of 17 children aged under five years</w:t>
      </w:r>
      <w:r w:rsidR="00790071">
        <w:rPr>
          <w:rFonts w:cs="Arial"/>
          <w:lang w:val="en-GB"/>
        </w:rPr>
        <w:t xml:space="preserve"> in ten fires </w:t>
      </w:r>
      <w:r w:rsidR="00790071">
        <w:rPr>
          <w:rFonts w:asciiTheme="minorHAnsi" w:hAnsiTheme="minorHAnsi" w:cstheme="minorHAnsi"/>
        </w:rPr>
        <w:t>which were caused by a young children accessing and using a disposable cigarette lighter which resulted in a fire</w:t>
      </w:r>
      <w:r w:rsidRPr="00AA6F97">
        <w:rPr>
          <w:rFonts w:cs="Arial"/>
          <w:lang w:val="en-GB"/>
        </w:rPr>
        <w:t>. Eight fires were linked to cigarette lighters with the probable cause of the other two being cigarette lighters or matches.</w:t>
      </w:r>
    </w:p>
    <w:p w14:paraId="2699A553" w14:textId="77777777" w:rsidR="00037D55" w:rsidRPr="00AA6F97" w:rsidRDefault="00037D55" w:rsidP="00AA6F97">
      <w:pPr>
        <w:rPr>
          <w:rFonts w:cs="Arial"/>
          <w:b/>
          <w:lang w:val="en-GB"/>
        </w:rPr>
      </w:pPr>
      <w:r w:rsidRPr="00AA6F97">
        <w:rPr>
          <w:rFonts w:cs="Arial"/>
          <w:b/>
          <w:lang w:val="en-GB"/>
        </w:rPr>
        <w:t>Repealed Standard</w:t>
      </w:r>
    </w:p>
    <w:p w14:paraId="71EAFBD9" w14:textId="3F6B94BB" w:rsidR="009163F3" w:rsidRDefault="009163F3" w:rsidP="009163F3">
      <w:pPr>
        <w:rPr>
          <w:rFonts w:cs="Arial"/>
          <w:lang w:val="en-GB"/>
        </w:rPr>
      </w:pPr>
      <w:r w:rsidRPr="00197372">
        <w:rPr>
          <w:rFonts w:cs="Arial"/>
          <w:lang w:val="en-GB"/>
        </w:rPr>
        <w:t xml:space="preserve">The previous safety standard for </w:t>
      </w:r>
      <w:r>
        <w:rPr>
          <w:rFonts w:cs="Arial"/>
          <w:lang w:val="en-GB"/>
        </w:rPr>
        <w:t xml:space="preserve">disposable cigarette lighters </w:t>
      </w:r>
      <w:r w:rsidRPr="00197372">
        <w:rPr>
          <w:rFonts w:cs="Arial"/>
          <w:lang w:val="en-GB"/>
        </w:rPr>
        <w:t>was the</w:t>
      </w:r>
      <w:r w:rsidRPr="00AA6F97">
        <w:rPr>
          <w:rFonts w:eastAsia="Times New Roman" w:cs="Arial"/>
          <w:i/>
          <w:lang w:val="en-GB" w:eastAsia="en-AU"/>
        </w:rPr>
        <w:t xml:space="preserve"> Trade Practices (Consumer Product Safety Standard) (Disposable Cigarette Lighters) Regulations 1997.</w:t>
      </w:r>
    </w:p>
    <w:p w14:paraId="5ECCA20D" w14:textId="77777777" w:rsidR="009163F3" w:rsidRPr="008B62BE" w:rsidRDefault="009163F3" w:rsidP="009163F3">
      <w:pPr>
        <w:rPr>
          <w:rFonts w:cs="Arial"/>
          <w:lang w:val="en-GB"/>
        </w:rPr>
      </w:pPr>
      <w:r w:rsidRPr="00EE6BA8">
        <w:rPr>
          <w:rFonts w:cs="Arial"/>
          <w:lang w:val="en-GB"/>
        </w:rPr>
        <w:t xml:space="preserve">Under subsection 33(3) of the </w:t>
      </w:r>
      <w:r w:rsidRPr="00AA6F97">
        <w:rPr>
          <w:rFonts w:cs="Arial"/>
          <w:i/>
          <w:lang w:val="en-GB"/>
        </w:rPr>
        <w:t>Acts Interpretation Act 1901</w:t>
      </w:r>
      <w:r>
        <w:rPr>
          <w:rFonts w:cs="Arial"/>
          <w:lang w:val="en-GB"/>
        </w:rPr>
        <w:t xml:space="preserve">, where an Act </w:t>
      </w:r>
      <w:r w:rsidRPr="00EE6BA8">
        <w:rPr>
          <w:rFonts w:cs="Arial"/>
          <w:lang w:val="en-GB"/>
        </w:rPr>
        <w:t>confers a power to make, grant or issue any instrument of a legislative or</w:t>
      </w:r>
      <w:r>
        <w:rPr>
          <w:rFonts w:cs="Arial"/>
          <w:lang w:val="en-GB"/>
        </w:rPr>
        <w:t xml:space="preserve"> </w:t>
      </w:r>
      <w:r w:rsidRPr="00EE6BA8">
        <w:rPr>
          <w:rFonts w:cs="Arial"/>
          <w:lang w:val="en-GB"/>
        </w:rPr>
        <w:t>administrative character (including rules, regulations or by-laws),</w:t>
      </w:r>
      <w:r>
        <w:rPr>
          <w:rFonts w:cs="Arial"/>
          <w:lang w:val="en-GB"/>
        </w:rPr>
        <w:t xml:space="preserve"> </w:t>
      </w:r>
      <w:r w:rsidRPr="00EE6BA8">
        <w:rPr>
          <w:rFonts w:cs="Arial"/>
          <w:lang w:val="en-GB"/>
        </w:rPr>
        <w:t>the power shall be construed as including a power exercisable in the like</w:t>
      </w:r>
      <w:r>
        <w:rPr>
          <w:rFonts w:cs="Arial"/>
          <w:lang w:val="en-GB"/>
        </w:rPr>
        <w:t xml:space="preserve"> </w:t>
      </w:r>
      <w:r w:rsidRPr="00EE6BA8">
        <w:rPr>
          <w:rFonts w:cs="Arial"/>
          <w:lang w:val="en-GB"/>
        </w:rPr>
        <w:t>manner and subject to the like conditions (if any) to repeal, rescind,</w:t>
      </w:r>
      <w:r>
        <w:rPr>
          <w:rFonts w:cs="Arial"/>
          <w:lang w:val="en-GB"/>
        </w:rPr>
        <w:t xml:space="preserve"> </w:t>
      </w:r>
      <w:r w:rsidRPr="00EE6BA8">
        <w:rPr>
          <w:rFonts w:cs="Arial"/>
          <w:lang w:val="en-GB"/>
        </w:rPr>
        <w:t>revoke, amend, or vary any such instrument.</w:t>
      </w:r>
    </w:p>
    <w:p w14:paraId="0A75AD6D" w14:textId="098B4159" w:rsidR="00966728" w:rsidRPr="00AA6F97" w:rsidRDefault="004274E4" w:rsidP="00966728">
      <w:pPr>
        <w:rPr>
          <w:rFonts w:cs="Arial"/>
          <w:b/>
          <w:lang w:val="en-GB"/>
        </w:rPr>
      </w:pPr>
      <w:r w:rsidRPr="00AA6F97">
        <w:rPr>
          <w:rFonts w:cs="Arial"/>
          <w:b/>
          <w:lang w:val="en-GB"/>
        </w:rPr>
        <w:t xml:space="preserve">Requirements </w:t>
      </w:r>
      <w:r w:rsidR="00414ED6" w:rsidRPr="00AA6F97">
        <w:rPr>
          <w:rFonts w:cs="Arial"/>
          <w:b/>
          <w:lang w:val="en-GB"/>
        </w:rPr>
        <w:t xml:space="preserve">of </w:t>
      </w:r>
      <w:r w:rsidR="00966728" w:rsidRPr="00AA6F97">
        <w:rPr>
          <w:rFonts w:cs="Arial"/>
          <w:b/>
          <w:lang w:val="en-GB"/>
        </w:rPr>
        <w:t>the safety standard</w:t>
      </w:r>
    </w:p>
    <w:p w14:paraId="5A9741B3" w14:textId="1FBEEB44" w:rsidR="006B20FC" w:rsidRDefault="00A07B97" w:rsidP="00A07B97">
      <w:pPr>
        <w:rPr>
          <w:rFonts w:cs="Arial"/>
          <w:lang w:val="en-GB"/>
        </w:rPr>
      </w:pPr>
      <w:r w:rsidRPr="00AA6F97">
        <w:rPr>
          <w:rFonts w:cs="Arial"/>
          <w:lang w:val="en-GB"/>
        </w:rPr>
        <w:t>The safety standard requires the supply of disposable cigarette lighters to comply with either</w:t>
      </w:r>
      <w:r w:rsidR="006B20FC">
        <w:rPr>
          <w:rFonts w:cs="Arial"/>
          <w:lang w:val="en-GB"/>
        </w:rPr>
        <w:t>;</w:t>
      </w:r>
    </w:p>
    <w:p w14:paraId="0FAC76D7" w14:textId="420D2A72" w:rsidR="006B20FC" w:rsidRDefault="006B20FC" w:rsidP="004008E2">
      <w:pPr>
        <w:pStyle w:val="ListParagraph"/>
        <w:numPr>
          <w:ilvl w:val="0"/>
          <w:numId w:val="29"/>
        </w:numPr>
        <w:rPr>
          <w:rFonts w:cs="Arial"/>
          <w:lang w:val="en-GB"/>
        </w:rPr>
      </w:pPr>
      <w:r w:rsidRPr="006B20FC">
        <w:rPr>
          <w:rFonts w:cs="Arial"/>
          <w:lang w:val="en-GB"/>
        </w:rPr>
        <w:t>the European Sta</w:t>
      </w:r>
      <w:r>
        <w:rPr>
          <w:rFonts w:cs="Arial"/>
          <w:lang w:val="en-GB"/>
        </w:rPr>
        <w:t xml:space="preserve">ndard EN 13869:2016: Lighters - </w:t>
      </w:r>
      <w:r w:rsidRPr="006B20FC">
        <w:rPr>
          <w:rFonts w:cs="Arial"/>
          <w:lang w:val="en-GB"/>
        </w:rPr>
        <w:t>Child Saf</w:t>
      </w:r>
      <w:r>
        <w:rPr>
          <w:rFonts w:cs="Arial"/>
          <w:lang w:val="en-GB"/>
        </w:rPr>
        <w:t xml:space="preserve">ety Requirements For Lighters - </w:t>
      </w:r>
      <w:r w:rsidRPr="006B20FC">
        <w:rPr>
          <w:rFonts w:cs="Arial"/>
          <w:lang w:val="en-GB"/>
        </w:rPr>
        <w:t>Safety Requirements and Test Methods; or</w:t>
      </w:r>
    </w:p>
    <w:p w14:paraId="45D2913A" w14:textId="0726EC09" w:rsidR="00A07B97" w:rsidRPr="006B20FC" w:rsidRDefault="006B20FC" w:rsidP="004008E2">
      <w:pPr>
        <w:pStyle w:val="ListParagraph"/>
        <w:numPr>
          <w:ilvl w:val="0"/>
          <w:numId w:val="29"/>
        </w:numPr>
        <w:rPr>
          <w:rFonts w:cs="Arial"/>
          <w:lang w:val="en-GB"/>
        </w:rPr>
      </w:pPr>
      <w:r w:rsidRPr="006B20FC">
        <w:rPr>
          <w:rFonts w:cs="Arial"/>
          <w:lang w:val="en-GB"/>
        </w:rPr>
        <w:t>the American standard ASTM F400 10: Standard Consumer Sa</w:t>
      </w:r>
      <w:r w:rsidR="008567E4">
        <w:rPr>
          <w:rFonts w:cs="Arial"/>
          <w:lang w:val="en-GB"/>
        </w:rPr>
        <w:t>fety Specification for Lighters.</w:t>
      </w:r>
    </w:p>
    <w:p w14:paraId="0F2F70BA" w14:textId="5D4092E2" w:rsidR="00EE6ACB" w:rsidRPr="00EE6ACB" w:rsidRDefault="00EE6ACB" w:rsidP="00EE6ACB">
      <w:pPr>
        <w:rPr>
          <w:rFonts w:asciiTheme="minorHAnsi" w:hAnsiTheme="minorHAnsi" w:cstheme="minorHAnsi"/>
          <w:b/>
        </w:rPr>
      </w:pPr>
      <w:r w:rsidRPr="00EE6ACB">
        <w:rPr>
          <w:rFonts w:asciiTheme="minorHAnsi" w:hAnsiTheme="minorHAnsi" w:cstheme="minorHAnsi"/>
          <w:b/>
        </w:rPr>
        <w:t>Definitions</w:t>
      </w:r>
    </w:p>
    <w:p w14:paraId="59D7680C" w14:textId="7E25F406" w:rsidR="00EE6ACB" w:rsidRPr="00EE6ACB" w:rsidRDefault="00EE6ACB" w:rsidP="00EE6ACB">
      <w:pPr>
        <w:rPr>
          <w:rFonts w:asciiTheme="minorHAnsi" w:hAnsiTheme="minorHAnsi" w:cstheme="minorHAnsi"/>
        </w:rPr>
      </w:pPr>
      <w:r>
        <w:rPr>
          <w:rFonts w:asciiTheme="minorHAnsi" w:hAnsiTheme="minorHAnsi" w:cstheme="minorHAnsi"/>
          <w:b/>
          <w:i/>
        </w:rPr>
        <w:t>D</w:t>
      </w:r>
      <w:r w:rsidRPr="00EE6ACB">
        <w:rPr>
          <w:rFonts w:asciiTheme="minorHAnsi" w:hAnsiTheme="minorHAnsi" w:cstheme="minorHAnsi"/>
          <w:b/>
          <w:i/>
        </w:rPr>
        <w:t xml:space="preserve">isposable cigarette lighter </w:t>
      </w:r>
      <w:r w:rsidRPr="00EE6ACB">
        <w:rPr>
          <w:rFonts w:asciiTheme="minorHAnsi" w:hAnsiTheme="minorHAnsi" w:cstheme="minorHAnsi"/>
        </w:rPr>
        <w:t>means a flame producing device that:</w:t>
      </w:r>
    </w:p>
    <w:p w14:paraId="66CE1045" w14:textId="77777777" w:rsidR="00EE6ACB" w:rsidRPr="008567E4" w:rsidRDefault="00EE6ACB" w:rsidP="004008E2">
      <w:pPr>
        <w:pStyle w:val="ListParagraph"/>
        <w:numPr>
          <w:ilvl w:val="0"/>
          <w:numId w:val="31"/>
        </w:numPr>
        <w:rPr>
          <w:rFonts w:cs="Arial"/>
          <w:lang w:val="en-GB"/>
        </w:rPr>
      </w:pPr>
      <w:r w:rsidRPr="008567E4">
        <w:rPr>
          <w:rFonts w:cs="Arial"/>
          <w:lang w:val="en-GB"/>
        </w:rPr>
        <w:t>is designed to light cigarettes, cigars and pipes; and</w:t>
      </w:r>
    </w:p>
    <w:p w14:paraId="452D151F" w14:textId="7D349F3E" w:rsidR="00EE6ACB" w:rsidRPr="008567E4" w:rsidRDefault="00EE6ACB" w:rsidP="004008E2">
      <w:pPr>
        <w:pStyle w:val="ListParagraph"/>
        <w:numPr>
          <w:ilvl w:val="0"/>
          <w:numId w:val="31"/>
        </w:numPr>
        <w:rPr>
          <w:rFonts w:cs="Arial"/>
          <w:lang w:val="en-GB"/>
        </w:rPr>
      </w:pPr>
      <w:r w:rsidRPr="008567E4">
        <w:rPr>
          <w:rFonts w:cs="Arial"/>
          <w:lang w:val="en-GB"/>
        </w:rPr>
        <w:t>is designed to:</w:t>
      </w:r>
    </w:p>
    <w:p w14:paraId="5B9EA465" w14:textId="77777777" w:rsidR="008567E4" w:rsidRDefault="00EE6ACB" w:rsidP="004008E2">
      <w:pPr>
        <w:pStyle w:val="ListParagraph"/>
        <w:numPr>
          <w:ilvl w:val="0"/>
          <w:numId w:val="32"/>
        </w:numPr>
        <w:rPr>
          <w:rFonts w:asciiTheme="minorHAnsi" w:hAnsiTheme="minorHAnsi" w:cstheme="minorHAnsi"/>
        </w:rPr>
      </w:pPr>
      <w:r w:rsidRPr="008567E4">
        <w:rPr>
          <w:rFonts w:asciiTheme="minorHAnsi" w:hAnsiTheme="minorHAnsi" w:cstheme="minorHAnsi"/>
        </w:rPr>
        <w:t>be discarded when its fuel supply is exhausted; or</w:t>
      </w:r>
    </w:p>
    <w:p w14:paraId="7A0D022B" w14:textId="77777777" w:rsidR="008567E4" w:rsidRDefault="00EE6ACB" w:rsidP="004008E2">
      <w:pPr>
        <w:pStyle w:val="ListParagraph"/>
        <w:numPr>
          <w:ilvl w:val="0"/>
          <w:numId w:val="32"/>
        </w:numPr>
        <w:rPr>
          <w:rFonts w:asciiTheme="minorHAnsi" w:hAnsiTheme="minorHAnsi" w:cstheme="minorHAnsi"/>
        </w:rPr>
      </w:pPr>
      <w:r w:rsidRPr="008567E4">
        <w:rPr>
          <w:rFonts w:asciiTheme="minorHAnsi" w:hAnsiTheme="minorHAnsi" w:cstheme="minorHAnsi"/>
        </w:rPr>
        <w:lastRenderedPageBreak/>
        <w:t>incorporate a separate container of fuel that is designed to be discarded when empty; or</w:t>
      </w:r>
    </w:p>
    <w:p w14:paraId="0779BEF4" w14:textId="631CD913" w:rsidR="00EE6ACB" w:rsidRPr="008567E4" w:rsidRDefault="00EE6ACB" w:rsidP="004008E2">
      <w:pPr>
        <w:pStyle w:val="ListParagraph"/>
        <w:numPr>
          <w:ilvl w:val="0"/>
          <w:numId w:val="32"/>
        </w:numPr>
        <w:rPr>
          <w:rFonts w:asciiTheme="minorHAnsi" w:hAnsiTheme="minorHAnsi" w:cstheme="minorHAnsi"/>
        </w:rPr>
      </w:pPr>
      <w:r w:rsidRPr="008567E4">
        <w:rPr>
          <w:rFonts w:asciiTheme="minorHAnsi" w:hAnsiTheme="minorHAnsi" w:cstheme="minorHAnsi"/>
        </w:rPr>
        <w:t>be refillable with fuel; and</w:t>
      </w:r>
    </w:p>
    <w:p w14:paraId="62C56654" w14:textId="28AFCAF4" w:rsidR="00EE6ACB" w:rsidRPr="008567E4" w:rsidRDefault="00EE6ACB" w:rsidP="004008E2">
      <w:pPr>
        <w:pStyle w:val="ListParagraph"/>
        <w:numPr>
          <w:ilvl w:val="0"/>
          <w:numId w:val="31"/>
        </w:numPr>
        <w:rPr>
          <w:rFonts w:asciiTheme="minorHAnsi" w:hAnsiTheme="minorHAnsi" w:cstheme="minorHAnsi"/>
        </w:rPr>
      </w:pPr>
      <w:r w:rsidRPr="008567E4">
        <w:rPr>
          <w:rFonts w:asciiTheme="minorHAnsi" w:hAnsiTheme="minorHAnsi" w:cstheme="minorHAnsi"/>
        </w:rPr>
        <w:t>if the device is designed to be refillable with fuel—is not a refillable repairable lighter within the meaning of the European Standard.</w:t>
      </w:r>
    </w:p>
    <w:p w14:paraId="1A9103DD" w14:textId="13A566C7" w:rsidR="00966728" w:rsidRPr="00326C75" w:rsidRDefault="00126FD1" w:rsidP="00EE6ACB">
      <w:pPr>
        <w:pStyle w:val="Bulletpoint"/>
        <w:numPr>
          <w:ilvl w:val="0"/>
          <w:numId w:val="0"/>
        </w:numPr>
        <w:spacing w:after="120"/>
        <w:rPr>
          <w:i/>
          <w:lang w:val="en-GB"/>
        </w:rPr>
      </w:pPr>
      <w:r>
        <w:rPr>
          <w:b/>
          <w:i/>
          <w:lang w:val="en-GB"/>
        </w:rPr>
        <w:t>European standard</w:t>
      </w:r>
      <w:r w:rsidR="00966728">
        <w:rPr>
          <w:i/>
          <w:lang w:val="en-GB"/>
        </w:rPr>
        <w:t xml:space="preserve"> </w:t>
      </w:r>
      <w:r w:rsidR="00966728" w:rsidRPr="005425D4">
        <w:t>means</w:t>
      </w:r>
      <w:r w:rsidR="00966728" w:rsidRPr="00C868E1">
        <w:rPr>
          <w:i/>
        </w:rPr>
        <w:t xml:space="preserve"> </w:t>
      </w:r>
      <w:r w:rsidR="00966728" w:rsidRPr="00C868E1">
        <w:rPr>
          <w:rFonts w:asciiTheme="minorHAnsi" w:hAnsiTheme="minorHAnsi" w:cstheme="minorHAnsi"/>
          <w:i/>
        </w:rPr>
        <w:t xml:space="preserve">European standard </w:t>
      </w:r>
      <w:r w:rsidR="00966728" w:rsidRPr="00C868E1">
        <w:rPr>
          <w:i/>
          <w:lang w:val="en-GB"/>
        </w:rPr>
        <w:t>EN 13869:2016: Lighters – Child Safety requirements for lighters – Safety requirements and test methods</w:t>
      </w:r>
      <w:r w:rsidR="00EE6ACB">
        <w:rPr>
          <w:lang w:val="en-GB"/>
        </w:rPr>
        <w:t xml:space="preserve">, as in force or existing at the time at the time when this instrument commences. </w:t>
      </w:r>
    </w:p>
    <w:p w14:paraId="73962817" w14:textId="28A247FC" w:rsidR="00E05202" w:rsidRPr="00EE6ACB" w:rsidRDefault="00126FD1" w:rsidP="00EE6ACB">
      <w:pPr>
        <w:pStyle w:val="Bulletpoint"/>
        <w:numPr>
          <w:ilvl w:val="0"/>
          <w:numId w:val="0"/>
        </w:numPr>
        <w:spacing w:after="120"/>
        <w:rPr>
          <w:i/>
          <w:lang w:val="en-GB"/>
        </w:rPr>
      </w:pPr>
      <w:r w:rsidRPr="00373C45">
        <w:rPr>
          <w:rFonts w:asciiTheme="minorHAnsi" w:hAnsiTheme="minorHAnsi" w:cstheme="minorHAnsi"/>
          <w:b/>
          <w:i/>
          <w:iCs/>
          <w:lang w:val="en-GB"/>
        </w:rPr>
        <w:t>American standard</w:t>
      </w:r>
      <w:r w:rsidR="00966728" w:rsidRPr="00373C45">
        <w:rPr>
          <w:rFonts w:asciiTheme="minorHAnsi" w:hAnsiTheme="minorHAnsi" w:cstheme="minorHAnsi"/>
          <w:i/>
          <w:iCs/>
          <w:lang w:val="en-GB"/>
        </w:rPr>
        <w:t xml:space="preserve"> </w:t>
      </w:r>
      <w:r w:rsidR="00843457">
        <w:t>means</w:t>
      </w:r>
      <w:r w:rsidR="00CD2493">
        <w:rPr>
          <w:lang w:val="en-GB"/>
        </w:rPr>
        <w:t xml:space="preserve"> </w:t>
      </w:r>
      <w:r w:rsidR="00E05202" w:rsidRPr="00843457">
        <w:rPr>
          <w:lang w:eastAsia="en-AU"/>
        </w:rPr>
        <w:t>ASTM Standard</w:t>
      </w:r>
      <w:r w:rsidR="00E05202" w:rsidRPr="00F73606">
        <w:rPr>
          <w:lang w:eastAsia="en-AU"/>
        </w:rPr>
        <w:t xml:space="preserve"> </w:t>
      </w:r>
      <w:r w:rsidR="00E05202" w:rsidRPr="00843457">
        <w:rPr>
          <w:i/>
          <w:lang w:eastAsia="en-AU"/>
        </w:rPr>
        <w:t>ASTM F400-10 Standard consumer safety specification for lighters</w:t>
      </w:r>
      <w:r w:rsidR="00EE6ACB">
        <w:rPr>
          <w:lang w:val="en-GB"/>
        </w:rPr>
        <w:t>, as in force or existing at the time at the time when this instrument commences</w:t>
      </w:r>
      <w:r w:rsidR="00895A57">
        <w:rPr>
          <w:lang w:eastAsia="en-AU"/>
        </w:rPr>
        <w:t>.</w:t>
      </w:r>
    </w:p>
    <w:p w14:paraId="2E5898B5" w14:textId="77777777" w:rsidR="00BC623B" w:rsidRPr="00AA6F97" w:rsidRDefault="00BC623B" w:rsidP="00A07B97">
      <w:pPr>
        <w:keepNext/>
        <w:rPr>
          <w:rFonts w:cs="Arial"/>
          <w:b/>
          <w:lang w:val="en-GB"/>
        </w:rPr>
      </w:pPr>
      <w:r w:rsidRPr="00AA6F97">
        <w:rPr>
          <w:rFonts w:cs="Arial"/>
          <w:b/>
          <w:lang w:val="en-GB"/>
        </w:rPr>
        <w:t>Access to Australian and international standards</w:t>
      </w:r>
    </w:p>
    <w:p w14:paraId="17E7224F" w14:textId="448F453A" w:rsidR="00BC623B" w:rsidRPr="00AA6F97" w:rsidRDefault="00BC623B" w:rsidP="00AA6F97">
      <w:pPr>
        <w:rPr>
          <w:rFonts w:cs="Arial"/>
          <w:lang w:val="en-GB"/>
        </w:rPr>
      </w:pPr>
      <w:r w:rsidRPr="00AA6F97">
        <w:rPr>
          <w:rFonts w:cs="Arial"/>
          <w:lang w:val="en-GB"/>
        </w:rPr>
        <w:t>Where practical, product safety legislative instruments only reference material that is readily accessible or free to the public. However, as in the current case, many product safety legislative instruments need to incorporate extrinsic technical standards over which</w:t>
      </w:r>
      <w:r w:rsidR="005D61F7" w:rsidRPr="00AA6F97">
        <w:rPr>
          <w:rFonts w:cs="Arial"/>
          <w:lang w:val="en-GB"/>
        </w:rPr>
        <w:t xml:space="preserve"> certain bodies have copyright.</w:t>
      </w:r>
    </w:p>
    <w:p w14:paraId="191C0047" w14:textId="77777777" w:rsidR="00BC623B" w:rsidRDefault="00BC623B" w:rsidP="00AA6F97">
      <w:pPr>
        <w:pStyle w:val="Bulletpoint"/>
        <w:numPr>
          <w:ilvl w:val="0"/>
          <w:numId w:val="0"/>
        </w:numPr>
        <w:spacing w:before="200"/>
      </w:pPr>
      <w:r>
        <w:t>The European Standard (EN 13869:2016) and the ASTM Standard (ASTM F400-10) are available for purchase at SAI Global’s website (</w:t>
      </w:r>
      <w:hyperlink r:id="rId9" w:history="1">
        <w:r w:rsidRPr="00376745">
          <w:rPr>
            <w:rStyle w:val="Hyperlink"/>
          </w:rPr>
          <w:t>https://saiglobal.com</w:t>
        </w:r>
      </w:hyperlink>
      <w:r>
        <w:t>). The American Standard (</w:t>
      </w:r>
      <w:r w:rsidRPr="00087C79">
        <w:rPr>
          <w:lang w:val="en-GB"/>
        </w:rPr>
        <w:t xml:space="preserve">US Consumer Product Safety Commission Standard 16CFR </w:t>
      </w:r>
      <w:r>
        <w:rPr>
          <w:lang w:val="en-GB"/>
        </w:rPr>
        <w:t xml:space="preserve">Part </w:t>
      </w:r>
      <w:r w:rsidRPr="00087C79">
        <w:rPr>
          <w:lang w:val="en-GB"/>
        </w:rPr>
        <w:t>1210)</w:t>
      </w:r>
      <w:r>
        <w:rPr>
          <w:lang w:val="en-GB"/>
        </w:rPr>
        <w:t xml:space="preserve"> is accessible and published in the Federal Register of the United States of America (</w:t>
      </w:r>
      <w:hyperlink r:id="rId10" w:history="1">
        <w:r w:rsidRPr="00376745">
          <w:rPr>
            <w:rStyle w:val="Hyperlink"/>
            <w:lang w:val="en-GB"/>
          </w:rPr>
          <w:t>https://www.ecfr.gov</w:t>
        </w:r>
      </w:hyperlink>
      <w:r>
        <w:rPr>
          <w:lang w:val="en-GB"/>
        </w:rPr>
        <w:t>).</w:t>
      </w:r>
    </w:p>
    <w:p w14:paraId="7715539C" w14:textId="1B4EECE3" w:rsidR="00BC623B" w:rsidRPr="00BC623B" w:rsidRDefault="00BC623B" w:rsidP="00AA6F97">
      <w:pPr>
        <w:pStyle w:val="Bulletpoint"/>
        <w:numPr>
          <w:ilvl w:val="0"/>
          <w:numId w:val="0"/>
        </w:numPr>
        <w:spacing w:before="200"/>
      </w:pPr>
      <w:r w:rsidRPr="00D71C1C">
        <w:t>The Australian Competition and Consumer Commission can make a copy of the standards available for viewing in an ACCC office, subject to licensing conditions.</w:t>
      </w:r>
    </w:p>
    <w:p w14:paraId="25D18C84" w14:textId="0BE8A52D" w:rsidR="00966728" w:rsidRPr="00AA6F97" w:rsidRDefault="00966728" w:rsidP="00966728">
      <w:pPr>
        <w:rPr>
          <w:rFonts w:cs="Arial"/>
          <w:b/>
          <w:lang w:val="en-GB"/>
        </w:rPr>
      </w:pPr>
      <w:r w:rsidRPr="00AA6F97">
        <w:rPr>
          <w:rFonts w:cs="Arial"/>
          <w:b/>
          <w:lang w:val="en-GB"/>
        </w:rPr>
        <w:t>Transition</w:t>
      </w:r>
      <w:r w:rsidR="00310567" w:rsidRPr="00AA6F97">
        <w:rPr>
          <w:rFonts w:cs="Arial"/>
          <w:b/>
          <w:lang w:val="en-GB"/>
        </w:rPr>
        <w:t>al</w:t>
      </w:r>
      <w:r w:rsidRPr="00AA6F97">
        <w:rPr>
          <w:rFonts w:cs="Arial"/>
          <w:b/>
          <w:lang w:val="en-GB"/>
        </w:rPr>
        <w:t xml:space="preserve"> </w:t>
      </w:r>
      <w:r w:rsidR="00037D55" w:rsidRPr="00AA6F97">
        <w:rPr>
          <w:rFonts w:cs="Arial"/>
          <w:b/>
          <w:lang w:val="en-GB"/>
        </w:rPr>
        <w:t>arrangements</w:t>
      </w:r>
    </w:p>
    <w:p w14:paraId="7308630A" w14:textId="25E4DD5D" w:rsidR="00966728" w:rsidRDefault="00546F04" w:rsidP="00AA6F97">
      <w:r>
        <w:t xml:space="preserve">The instrument provides a transitional period of 12 months beginning on the day this instrument commences. </w:t>
      </w:r>
      <w:r w:rsidR="00A07B97">
        <w:t xml:space="preserve">During the transitional period </w:t>
      </w:r>
      <w:r>
        <w:t xml:space="preserve">suppliers </w:t>
      </w:r>
      <w:r w:rsidR="00966728">
        <w:t>must meet the requirements of either:</w:t>
      </w:r>
    </w:p>
    <w:p w14:paraId="4DF35A4C" w14:textId="77777777" w:rsidR="006B20FC" w:rsidRDefault="004274E4" w:rsidP="004008E2">
      <w:pPr>
        <w:pStyle w:val="ListParagraph"/>
        <w:numPr>
          <w:ilvl w:val="0"/>
          <w:numId w:val="30"/>
        </w:numPr>
      </w:pPr>
      <w:r>
        <w:t xml:space="preserve">the </w:t>
      </w:r>
      <w:r w:rsidR="00966728" w:rsidRPr="006B20FC">
        <w:rPr>
          <w:i/>
        </w:rPr>
        <w:t>Trade Practices (Consumer Product Safety Standard)(Disposable Cigarette Lighters) Regulations 1997</w:t>
      </w:r>
      <w:r w:rsidR="00966728">
        <w:t>; or</w:t>
      </w:r>
    </w:p>
    <w:p w14:paraId="75A1855E" w14:textId="2B106A4A" w:rsidR="00966728" w:rsidRPr="006B20FC" w:rsidRDefault="004274E4" w:rsidP="004008E2">
      <w:pPr>
        <w:pStyle w:val="ListParagraph"/>
        <w:numPr>
          <w:ilvl w:val="0"/>
          <w:numId w:val="30"/>
        </w:numPr>
      </w:pPr>
      <w:r w:rsidRPr="00AA6F97">
        <w:t>the</w:t>
      </w:r>
      <w:r w:rsidRPr="006B20FC">
        <w:rPr>
          <w:i/>
        </w:rPr>
        <w:t xml:space="preserve"> </w:t>
      </w:r>
      <w:r w:rsidR="00966728" w:rsidRPr="006B20FC">
        <w:rPr>
          <w:i/>
        </w:rPr>
        <w:t xml:space="preserve">Consumer Goods (Disposable Cigarette Lighters) Safety Standard </w:t>
      </w:r>
      <w:r w:rsidR="00511461">
        <w:rPr>
          <w:i/>
        </w:rPr>
        <w:t>2019</w:t>
      </w:r>
      <w:r w:rsidR="009E45BA" w:rsidRPr="006B20FC">
        <w:rPr>
          <w:i/>
        </w:rPr>
        <w:t>.</w:t>
      </w:r>
    </w:p>
    <w:p w14:paraId="5086500C" w14:textId="20F152C8" w:rsidR="00966728" w:rsidRPr="00341D06" w:rsidRDefault="00546F04" w:rsidP="006B20FC">
      <w:r>
        <w:t>After the transitional period</w:t>
      </w:r>
      <w:r w:rsidR="00966728">
        <w:t xml:space="preserve"> </w:t>
      </w:r>
      <w:r w:rsidR="004274E4">
        <w:t>suppliers must meet the r</w:t>
      </w:r>
      <w:r w:rsidR="00966728">
        <w:t>equirements of</w:t>
      </w:r>
      <w:r w:rsidR="006B20FC">
        <w:t xml:space="preserve"> </w:t>
      </w:r>
      <w:r w:rsidR="00966728">
        <w:t xml:space="preserve">the </w:t>
      </w:r>
      <w:r w:rsidR="00966728" w:rsidRPr="006B20FC">
        <w:rPr>
          <w:i/>
        </w:rPr>
        <w:t xml:space="preserve">Consumer Goods (Disposable </w:t>
      </w:r>
      <w:r w:rsidR="00A07B97" w:rsidRPr="006B20FC">
        <w:rPr>
          <w:i/>
        </w:rPr>
        <w:t>C</w:t>
      </w:r>
      <w:r w:rsidR="00966728" w:rsidRPr="006B20FC">
        <w:rPr>
          <w:i/>
        </w:rPr>
        <w:t xml:space="preserve">igarette </w:t>
      </w:r>
      <w:r w:rsidR="00A07B97" w:rsidRPr="006B20FC">
        <w:rPr>
          <w:i/>
        </w:rPr>
        <w:t>L</w:t>
      </w:r>
      <w:r w:rsidR="00966728" w:rsidRPr="006B20FC">
        <w:rPr>
          <w:i/>
        </w:rPr>
        <w:t>ighters) Safety Standard 201</w:t>
      </w:r>
      <w:r w:rsidR="00511461">
        <w:rPr>
          <w:i/>
        </w:rPr>
        <w:t>9</w:t>
      </w:r>
      <w:bookmarkStart w:id="0" w:name="_GoBack"/>
      <w:bookmarkEnd w:id="0"/>
      <w:r w:rsidR="00966728" w:rsidRPr="005D64C8">
        <w:t>.</w:t>
      </w:r>
    </w:p>
    <w:p w14:paraId="4BB9C196" w14:textId="3CBFCDF6" w:rsidR="00966728" w:rsidRPr="00AA6F97" w:rsidRDefault="005D61F7" w:rsidP="00AA6F97">
      <w:pPr>
        <w:rPr>
          <w:rFonts w:cs="Arial"/>
          <w:b/>
          <w:lang w:val="en-GB"/>
        </w:rPr>
      </w:pPr>
      <w:r w:rsidRPr="00AA6F97">
        <w:rPr>
          <w:rFonts w:cs="Arial"/>
          <w:b/>
          <w:lang w:val="en-GB"/>
        </w:rPr>
        <w:t>Consultation</w:t>
      </w:r>
    </w:p>
    <w:p w14:paraId="3044808B" w14:textId="40F4F388" w:rsidR="00966728" w:rsidRPr="005E4A58" w:rsidRDefault="004D6ED0" w:rsidP="00AA6F97">
      <w:r w:rsidRPr="00AA6F97">
        <w:t xml:space="preserve">The Australian Competition and Consumer Commission published a </w:t>
      </w:r>
      <w:r w:rsidR="00966728" w:rsidRPr="00AA6F97">
        <w:t xml:space="preserve">consultation paper </w:t>
      </w:r>
      <w:r w:rsidRPr="00AA6F97">
        <w:t xml:space="preserve">for disposable cigarette lighters </w:t>
      </w:r>
      <w:r w:rsidR="00966728" w:rsidRPr="00AA6F97">
        <w:t xml:space="preserve">in October 2016 </w:t>
      </w:r>
      <w:r w:rsidR="00580007" w:rsidRPr="00AA6F97">
        <w:t>for</w:t>
      </w:r>
      <w:r w:rsidR="00042663" w:rsidRPr="00AA6F97">
        <w:t xml:space="preserve"> eight</w:t>
      </w:r>
      <w:r w:rsidR="00580007" w:rsidRPr="00AA6F97">
        <w:t xml:space="preserve"> week</w:t>
      </w:r>
      <w:r w:rsidR="00746323" w:rsidRPr="00AA6F97">
        <w:t>s</w:t>
      </w:r>
      <w:r w:rsidRPr="00AA6F97">
        <w:t>. The paper detailed</w:t>
      </w:r>
      <w:r w:rsidR="00966728" w:rsidRPr="00AA6F97">
        <w:t xml:space="preserve"> four policy options for stakeholder consideration:</w:t>
      </w:r>
    </w:p>
    <w:p w14:paraId="4F04214C" w14:textId="18DA5300" w:rsidR="00966728" w:rsidRPr="00AA6F97" w:rsidRDefault="00966728" w:rsidP="00AA6F97">
      <w:pPr>
        <w:rPr>
          <w:rFonts w:cs="Arial"/>
          <w:lang w:val="en-GB"/>
        </w:rPr>
      </w:pPr>
      <w:r w:rsidRPr="00AA6F97">
        <w:rPr>
          <w:rFonts w:cs="Arial"/>
          <w:lang w:val="en-GB"/>
        </w:rPr>
        <w:t>Option 1 - Keep the current mandato</w:t>
      </w:r>
      <w:r w:rsidR="005D61F7" w:rsidRPr="00AA6F97">
        <w:rPr>
          <w:rFonts w:cs="Arial"/>
          <w:lang w:val="en-GB"/>
        </w:rPr>
        <w:t>ry safety standard (status quo)</w:t>
      </w:r>
    </w:p>
    <w:p w14:paraId="6C7E416A" w14:textId="77777777" w:rsidR="00966728" w:rsidRPr="00AA6F97" w:rsidRDefault="00966728" w:rsidP="00AA6F97">
      <w:pPr>
        <w:rPr>
          <w:rFonts w:cs="Arial"/>
          <w:lang w:val="en-GB"/>
        </w:rPr>
      </w:pPr>
      <w:r w:rsidRPr="00AA6F97">
        <w:rPr>
          <w:rFonts w:cs="Arial"/>
          <w:lang w:val="en-GB"/>
        </w:rPr>
        <w:t>Option 2 - Accept the voluntary Australian standard</w:t>
      </w:r>
    </w:p>
    <w:p w14:paraId="42A0736C" w14:textId="3703D10F" w:rsidR="00966728" w:rsidRPr="00AA6F97" w:rsidRDefault="00966728" w:rsidP="00AA6F97">
      <w:pPr>
        <w:rPr>
          <w:rFonts w:cs="Arial"/>
          <w:lang w:val="en-GB"/>
        </w:rPr>
      </w:pPr>
      <w:r w:rsidRPr="00AA6F97">
        <w:rPr>
          <w:rFonts w:cs="Arial"/>
          <w:lang w:val="en-GB"/>
        </w:rPr>
        <w:t>Option 3 - Accept the voluntary Australian standard or</w:t>
      </w:r>
      <w:r w:rsidR="00746724" w:rsidRPr="00AA6F97">
        <w:rPr>
          <w:rFonts w:cs="Arial"/>
          <w:lang w:val="en-GB"/>
        </w:rPr>
        <w:t xml:space="preserve"> trusted international </w:t>
      </w:r>
      <w:r w:rsidRPr="00AA6F97">
        <w:rPr>
          <w:rFonts w:cs="Arial"/>
          <w:lang w:val="en-GB"/>
        </w:rPr>
        <w:t>standard</w:t>
      </w:r>
      <w:r w:rsidR="00746724" w:rsidRPr="00AA6F97">
        <w:rPr>
          <w:rFonts w:cs="Arial"/>
          <w:lang w:val="en-GB"/>
        </w:rPr>
        <w:t>s</w:t>
      </w:r>
    </w:p>
    <w:p w14:paraId="2078D013" w14:textId="77777777" w:rsidR="00966728" w:rsidRPr="00AA6F97" w:rsidRDefault="00966728" w:rsidP="00AA6F97">
      <w:pPr>
        <w:rPr>
          <w:rFonts w:cs="Arial"/>
          <w:lang w:val="en-GB"/>
        </w:rPr>
      </w:pPr>
      <w:r w:rsidRPr="00AA6F97">
        <w:rPr>
          <w:rFonts w:cs="Arial"/>
          <w:lang w:val="en-GB"/>
        </w:rPr>
        <w:t>Option 4 - Revoke the mandatory safety standard</w:t>
      </w:r>
      <w:r w:rsidR="00042663" w:rsidRPr="00AA6F97">
        <w:rPr>
          <w:rFonts w:cs="Arial"/>
          <w:lang w:val="en-GB"/>
        </w:rPr>
        <w:t>.</w:t>
      </w:r>
    </w:p>
    <w:p w14:paraId="55D33A93" w14:textId="613D9B2C" w:rsidR="00966728" w:rsidRPr="00AA6F97" w:rsidRDefault="006B20FC" w:rsidP="00AA6F97">
      <w:r>
        <w:lastRenderedPageBreak/>
        <w:t>E</w:t>
      </w:r>
      <w:r w:rsidR="00966728" w:rsidRPr="00AA6F97">
        <w:t>ight submissions were received from a ra</w:t>
      </w:r>
      <w:r w:rsidR="001C5B63" w:rsidRPr="00AA6F97">
        <w:t xml:space="preserve">nge of stakeholders, including </w:t>
      </w:r>
      <w:r w:rsidR="00966728" w:rsidRPr="00AA6F97">
        <w:t>a retail group, a community group, two fire and emergency authorities, a manufacturer and distribu</w:t>
      </w:r>
      <w:r w:rsidR="001C5B63" w:rsidRPr="00AA6F97">
        <w:t xml:space="preserve">tor, </w:t>
      </w:r>
      <w:r w:rsidR="00591C3A" w:rsidRPr="00AA6F97">
        <w:t>a state government department</w:t>
      </w:r>
      <w:r w:rsidR="00966728" w:rsidRPr="00AA6F97">
        <w:t xml:space="preserve"> and two</w:t>
      </w:r>
      <w:r w:rsidR="001C5B63" w:rsidRPr="00AA6F97">
        <w:t xml:space="preserve"> ACL s</w:t>
      </w:r>
      <w:r w:rsidR="00746323" w:rsidRPr="00AA6F97">
        <w:t xml:space="preserve">tate and </w:t>
      </w:r>
      <w:r w:rsidR="001C5B63" w:rsidRPr="00AA6F97">
        <w:t>t</w:t>
      </w:r>
      <w:r w:rsidR="00746323" w:rsidRPr="00AA6F97">
        <w:t xml:space="preserve">erritory </w:t>
      </w:r>
      <w:r w:rsidR="00966728" w:rsidRPr="00AA6F97">
        <w:t>product safety</w:t>
      </w:r>
      <w:r w:rsidR="00746323" w:rsidRPr="00AA6F97">
        <w:t xml:space="preserve"> co-</w:t>
      </w:r>
      <w:r w:rsidR="00966728" w:rsidRPr="00AA6F97">
        <w:t>regulators</w:t>
      </w:r>
      <w:r w:rsidR="00F869E9" w:rsidRPr="00AA6F97">
        <w:t>.</w:t>
      </w:r>
    </w:p>
    <w:p w14:paraId="237AF2CB" w14:textId="0239C1A8" w:rsidR="00A3484A" w:rsidRPr="00AA6F97" w:rsidRDefault="00966728" w:rsidP="00AA6F97">
      <w:r w:rsidRPr="00AA6F97">
        <w:t xml:space="preserve">All stakeholders </w:t>
      </w:r>
      <w:r w:rsidR="00580007" w:rsidRPr="00AA6F97">
        <w:t>supported</w:t>
      </w:r>
      <w:r w:rsidRPr="00AA6F97">
        <w:t xml:space="preserve"> </w:t>
      </w:r>
      <w:r w:rsidR="004274E4" w:rsidRPr="00AA6F97">
        <w:t>o</w:t>
      </w:r>
      <w:r w:rsidRPr="00AA6F97">
        <w:t xml:space="preserve">ption 3. </w:t>
      </w:r>
      <w:r w:rsidR="00591C3A" w:rsidRPr="00AA6F97">
        <w:t xml:space="preserve">One </w:t>
      </w:r>
      <w:r w:rsidR="00597ACE" w:rsidRPr="00AA6F97">
        <w:t>agreed this was the best option, however preferred that the voluntary Australian standard was reviewed</w:t>
      </w:r>
      <w:r w:rsidR="00591C3A" w:rsidRPr="00AA6F97">
        <w:t xml:space="preserve">. </w:t>
      </w:r>
      <w:r w:rsidR="006B20FC">
        <w:t xml:space="preserve">The current voluntary Australian standard has not been updated since 2002 and therefore references a defunct iteration of </w:t>
      </w:r>
      <w:r w:rsidR="006B20FC" w:rsidRPr="0020753F">
        <w:t>the International Standards Organisation ISO 9994, Lighters – Safety Specification</w:t>
      </w:r>
      <w:r w:rsidR="00802B5F">
        <w:t xml:space="preserve"> (ISO standard)</w:t>
      </w:r>
      <w:r w:rsidR="006B20FC">
        <w:t xml:space="preserve"> which renders the</w:t>
      </w:r>
      <w:r w:rsidR="00A3484A" w:rsidRPr="00AA6F97">
        <w:t xml:space="preserve"> voluntary Australian</w:t>
      </w:r>
      <w:r w:rsidR="006B20FC">
        <w:t xml:space="preserve"> standard unsuitable. </w:t>
      </w:r>
    </w:p>
    <w:p w14:paraId="3EC123F9" w14:textId="2987E3D8" w:rsidR="00966728" w:rsidRPr="00AA6F97" w:rsidRDefault="004274E4" w:rsidP="00AA6F97">
      <w:r w:rsidRPr="00AA6F97">
        <w:t>Option 3</w:t>
      </w:r>
      <w:r w:rsidR="00756C12" w:rsidRPr="00AA6F97">
        <w:t xml:space="preserve"> </w:t>
      </w:r>
      <w:r w:rsidR="00F21CF4" w:rsidRPr="00AA6F97">
        <w:t>allows s</w:t>
      </w:r>
      <w:r w:rsidR="00966728" w:rsidRPr="00AA6F97">
        <w:t xml:space="preserve">uppliers of disposable cigarette lighters </w:t>
      </w:r>
      <w:r w:rsidR="00F21CF4" w:rsidRPr="00AA6F97">
        <w:t>to</w:t>
      </w:r>
      <w:r w:rsidR="00966728" w:rsidRPr="00AA6F97">
        <w:t xml:space="preserve"> choose to meet the requirements of </w:t>
      </w:r>
      <w:r w:rsidR="00633EBB" w:rsidRPr="00AA6F97">
        <w:t>trusted international standards for compliance with general and child resistance requirements.</w:t>
      </w:r>
    </w:p>
    <w:p w14:paraId="128DD336" w14:textId="0601C3D2" w:rsidR="00966728" w:rsidRPr="00AA6F97" w:rsidRDefault="00966728" w:rsidP="00AA6F97">
      <w:r w:rsidRPr="00AA6F97">
        <w:t xml:space="preserve">Four </w:t>
      </w:r>
      <w:r w:rsidR="00633EBB" w:rsidRPr="00AA6F97">
        <w:t xml:space="preserve">stakeholders </w:t>
      </w:r>
      <w:r w:rsidRPr="00AA6F97">
        <w:t xml:space="preserve">did not think it was necessary to reference the out of date voluntary Australian standard. One respondent suggested that the same outcome could be achieved by only referencing the ISO standard (which is mirrored by the voluntary Australian and ASTM standards) and the European standard (which references the latest version of the ISO and the </w:t>
      </w:r>
      <w:r w:rsidR="00746323" w:rsidRPr="00AA6F97">
        <w:t>US</w:t>
      </w:r>
      <w:r w:rsidRPr="00AA6F97">
        <w:t>CPSC standards) as these are the most up to date versions for each type of requirement.</w:t>
      </w:r>
    </w:p>
    <w:p w14:paraId="3E8DCA1A" w14:textId="77777777" w:rsidR="00966728" w:rsidRPr="00AA6F97" w:rsidRDefault="00966728" w:rsidP="00EE6ACB">
      <w:pPr>
        <w:rPr>
          <w:rFonts w:cs="Arial"/>
          <w:b/>
          <w:lang w:val="en-GB"/>
        </w:rPr>
      </w:pPr>
      <w:r w:rsidRPr="00AA6F97">
        <w:rPr>
          <w:rFonts w:cs="Arial"/>
          <w:b/>
          <w:lang w:val="en-GB"/>
        </w:rPr>
        <w:t>Disallowance</w:t>
      </w:r>
    </w:p>
    <w:p w14:paraId="608F1BF6" w14:textId="77777777" w:rsidR="00D678DB" w:rsidRDefault="00D678DB" w:rsidP="00EE6ACB">
      <w:r w:rsidRPr="00746724">
        <w:t xml:space="preserve">This legislative instrument is not subject to disallowance due to section 44 of the </w:t>
      </w:r>
      <w:r w:rsidRPr="004D6ED0">
        <w:rPr>
          <w:i/>
        </w:rPr>
        <w:t>Legislation Act 2003</w:t>
      </w:r>
      <w:r w:rsidRPr="00746724">
        <w:t>.</w:t>
      </w:r>
    </w:p>
    <w:p w14:paraId="4F6C8895" w14:textId="77777777" w:rsidR="004D6ED0" w:rsidRPr="006C2E1D" w:rsidRDefault="004D6ED0" w:rsidP="004D6ED0">
      <w:pPr>
        <w:rPr>
          <w:rFonts w:cs="Arial"/>
          <w:b/>
          <w:lang w:val="en-GB"/>
        </w:rPr>
      </w:pPr>
      <w:r>
        <w:rPr>
          <w:rFonts w:cs="Arial"/>
          <w:b/>
          <w:lang w:val="en-GB"/>
        </w:rPr>
        <w:t>Commencement</w:t>
      </w:r>
    </w:p>
    <w:p w14:paraId="11C092F9" w14:textId="77777777" w:rsidR="004D6ED0" w:rsidRPr="006C2E1D" w:rsidRDefault="004D6ED0" w:rsidP="004D6ED0">
      <w:pPr>
        <w:rPr>
          <w:rFonts w:cs="Arial"/>
          <w:lang w:val="en-GB"/>
        </w:rPr>
      </w:pPr>
      <w:r>
        <w:rPr>
          <w:rFonts w:cs="Arial"/>
          <w:lang w:val="en-GB"/>
        </w:rPr>
        <w:t xml:space="preserve">The </w:t>
      </w:r>
      <w:r w:rsidRPr="006C2E1D">
        <w:rPr>
          <w:rFonts w:cs="Arial"/>
          <w:lang w:val="en-GB"/>
        </w:rPr>
        <w:t>legislative instrument commences on the day after it is registered on the Federal Register of Legislation.</w:t>
      </w:r>
    </w:p>
    <w:p w14:paraId="6D30A85F" w14:textId="77777777" w:rsidR="00966728" w:rsidRPr="00AA6F97" w:rsidRDefault="00966728" w:rsidP="00EE6ACB">
      <w:pPr>
        <w:rPr>
          <w:rFonts w:cs="Arial"/>
          <w:b/>
          <w:lang w:val="en-GB"/>
        </w:rPr>
      </w:pPr>
      <w:r w:rsidRPr="00AA6F97">
        <w:rPr>
          <w:rFonts w:cs="Arial"/>
          <w:b/>
          <w:lang w:val="en-GB"/>
        </w:rPr>
        <w:t>Sunsetting</w:t>
      </w:r>
    </w:p>
    <w:p w14:paraId="4043E2E0" w14:textId="77777777" w:rsidR="004D6ED0" w:rsidRPr="005B18C1" w:rsidRDefault="004D6ED0" w:rsidP="00EE6ACB">
      <w:pPr>
        <w:rPr>
          <w:i/>
        </w:rPr>
      </w:pPr>
      <w:r w:rsidRPr="005B18C1">
        <w:rPr>
          <w:iCs/>
        </w:rPr>
        <w:t>This legislative instrument is not subject to sunsetting due to section 54 of the</w:t>
      </w:r>
      <w:r>
        <w:rPr>
          <w:i/>
          <w:iCs/>
        </w:rPr>
        <w:t xml:space="preserve"> </w:t>
      </w:r>
      <w:r w:rsidRPr="005B18C1">
        <w:rPr>
          <w:i/>
        </w:rPr>
        <w:t>Legislation Act 2003.</w:t>
      </w:r>
    </w:p>
    <w:p w14:paraId="671465FA" w14:textId="0EB72BF6" w:rsidR="00BC623B" w:rsidRPr="00BC623B" w:rsidRDefault="00BC623B" w:rsidP="00EE6ACB">
      <w:pPr>
        <w:rPr>
          <w:b/>
        </w:rPr>
      </w:pPr>
      <w:r>
        <w:rPr>
          <w:b/>
        </w:rPr>
        <w:t>Regulation i</w:t>
      </w:r>
      <w:r w:rsidRPr="00BC623B">
        <w:rPr>
          <w:b/>
        </w:rPr>
        <w:t>mpact assessment</w:t>
      </w:r>
    </w:p>
    <w:p w14:paraId="3886CC57" w14:textId="1BAE4F01" w:rsidR="00BC623B" w:rsidRPr="00BC623B" w:rsidRDefault="00BC623B" w:rsidP="00EE6ACB">
      <w:r>
        <w:t>The Office of Best Practice Regulation advised a Reg</w:t>
      </w:r>
      <w:r w:rsidR="005D61F7">
        <w:t>ulation Impact Statement was no</w:t>
      </w:r>
      <w:r>
        <w:t>t required (advice no. 21200).</w:t>
      </w:r>
    </w:p>
    <w:sectPr w:rsidR="00BC623B" w:rsidRPr="00BC623B" w:rsidSect="00364364">
      <w:footerReference w:type="default" r:id="rId11"/>
      <w:footerReference w:type="first" r:id="rId1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A693F" w14:textId="77777777" w:rsidR="00694A0E" w:rsidRDefault="00694A0E" w:rsidP="004B4412">
      <w:pPr>
        <w:spacing w:before="0"/>
      </w:pPr>
      <w:r>
        <w:separator/>
      </w:r>
    </w:p>
  </w:endnote>
  <w:endnote w:type="continuationSeparator" w:id="0">
    <w:p w14:paraId="4AAD788D" w14:textId="77777777" w:rsidR="00694A0E" w:rsidRDefault="00694A0E"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852475"/>
      <w:docPartObj>
        <w:docPartGallery w:val="Page Numbers (Bottom of Page)"/>
        <w:docPartUnique/>
      </w:docPartObj>
    </w:sdtPr>
    <w:sdtEndPr>
      <w:rPr>
        <w:noProof/>
      </w:rPr>
    </w:sdtEndPr>
    <w:sdtContent>
      <w:p w14:paraId="74A21BD1" w14:textId="05D14ACE" w:rsidR="00364364" w:rsidRDefault="00364364">
        <w:pPr>
          <w:pStyle w:val="Footer"/>
          <w:jc w:val="center"/>
        </w:pPr>
        <w:r>
          <w:fldChar w:fldCharType="begin"/>
        </w:r>
        <w:r>
          <w:instrText xml:space="preserve"> PAGE   \* MERGEFORMAT </w:instrText>
        </w:r>
        <w:r>
          <w:fldChar w:fldCharType="separate"/>
        </w:r>
        <w:r w:rsidR="00511461">
          <w:rPr>
            <w:noProof/>
          </w:rPr>
          <w:t>2</w:t>
        </w:r>
        <w:r>
          <w:rPr>
            <w:noProof/>
          </w:rPr>
          <w:fldChar w:fldCharType="end"/>
        </w:r>
      </w:p>
    </w:sdtContent>
  </w:sdt>
  <w:p w14:paraId="0A121B83" w14:textId="77777777" w:rsidR="00364364" w:rsidRDefault="00364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E6FC" w14:textId="77777777" w:rsidR="00691616" w:rsidRDefault="00691616">
    <w:pPr>
      <w:pStyle w:val="Footer"/>
    </w:pPr>
  </w:p>
  <w:p w14:paraId="15412A31"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EC5E4" w14:textId="77777777" w:rsidR="00694A0E" w:rsidRDefault="00694A0E" w:rsidP="004B4412">
      <w:pPr>
        <w:spacing w:before="0"/>
      </w:pPr>
      <w:r>
        <w:separator/>
      </w:r>
    </w:p>
  </w:footnote>
  <w:footnote w:type="continuationSeparator" w:id="0">
    <w:p w14:paraId="194DB710" w14:textId="77777777" w:rsidR="00694A0E" w:rsidRDefault="00694A0E" w:rsidP="004B44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712235"/>
    <w:multiLevelType w:val="hybridMultilevel"/>
    <w:tmpl w:val="F91EB2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15:restartNumberingAfterBreak="0">
    <w:nsid w:val="18D96490"/>
    <w:multiLevelType w:val="hybridMultilevel"/>
    <w:tmpl w:val="6F9C3B1A"/>
    <w:lvl w:ilvl="0" w:tplc="0C09001B">
      <w:start w:val="1"/>
      <w:numFmt w:val="lowerRoman"/>
      <w:lvlText w:val="%1."/>
      <w:lvlJc w:val="righ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14" w15:restartNumberingAfterBreak="0">
    <w:nsid w:val="19B737F8"/>
    <w:multiLevelType w:val="hybridMultilevel"/>
    <w:tmpl w:val="F3745BA8"/>
    <w:lvl w:ilvl="0" w:tplc="AC54BDC0">
      <w:start w:val="1"/>
      <w:numFmt w:val="decimal"/>
      <w:pStyle w:val="Headingnumbered1"/>
      <w:lvlText w:val="%1."/>
      <w:lvlJc w:val="left"/>
      <w:pPr>
        <w:ind w:left="36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6"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7" w15:restartNumberingAfterBreak="0">
    <w:nsid w:val="36342AE2"/>
    <w:multiLevelType w:val="hybridMultilevel"/>
    <w:tmpl w:val="D3F60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9"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1"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3"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6"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7"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8"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9"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0" w15:restartNumberingAfterBreak="0">
    <w:nsid w:val="7C761673"/>
    <w:multiLevelType w:val="hybridMultilevel"/>
    <w:tmpl w:val="150A80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1"/>
  </w:num>
  <w:num w:numId="3">
    <w:abstractNumId w:val="7"/>
  </w:num>
  <w:num w:numId="4">
    <w:abstractNumId w:val="6"/>
  </w:num>
  <w:num w:numId="5">
    <w:abstractNumId w:val="5"/>
  </w:num>
  <w:num w:numId="6">
    <w:abstractNumId w:val="4"/>
  </w:num>
  <w:num w:numId="7">
    <w:abstractNumId w:val="1"/>
  </w:num>
  <w:num w:numId="8">
    <w:abstractNumId w:val="0"/>
  </w:num>
  <w:num w:numId="9">
    <w:abstractNumId w:val="25"/>
  </w:num>
  <w:num w:numId="10">
    <w:abstractNumId w:val="19"/>
  </w:num>
  <w:num w:numId="11">
    <w:abstractNumId w:val="9"/>
  </w:num>
  <w:num w:numId="12">
    <w:abstractNumId w:val="15"/>
  </w:num>
  <w:num w:numId="13">
    <w:abstractNumId w:val="18"/>
  </w:num>
  <w:num w:numId="14">
    <w:abstractNumId w:val="2"/>
  </w:num>
  <w:num w:numId="15">
    <w:abstractNumId w:val="26"/>
  </w:num>
  <w:num w:numId="16">
    <w:abstractNumId w:val="29"/>
  </w:num>
  <w:num w:numId="17">
    <w:abstractNumId w:val="28"/>
  </w:num>
  <w:num w:numId="18">
    <w:abstractNumId w:val="22"/>
  </w:num>
  <w:num w:numId="19">
    <w:abstractNumId w:val="16"/>
  </w:num>
  <w:num w:numId="20">
    <w:abstractNumId w:val="20"/>
  </w:num>
  <w:num w:numId="21">
    <w:abstractNumId w:val="27"/>
  </w:num>
  <w:num w:numId="22">
    <w:abstractNumId w:val="23"/>
  </w:num>
  <w:num w:numId="23">
    <w:abstractNumId w:val="8"/>
  </w:num>
  <w:num w:numId="24">
    <w:abstractNumId w:val="3"/>
  </w:num>
  <w:num w:numId="25">
    <w:abstractNumId w:val="21"/>
  </w:num>
  <w:num w:numId="26">
    <w:abstractNumId w:val="12"/>
  </w:num>
  <w:num w:numId="27">
    <w:abstractNumId w:val="24"/>
  </w:num>
  <w:num w:numId="28">
    <w:abstractNumId w:val="14"/>
  </w:num>
  <w:num w:numId="29">
    <w:abstractNumId w:val="17"/>
  </w:num>
  <w:num w:numId="30">
    <w:abstractNumId w:val="11"/>
  </w:num>
  <w:num w:numId="31">
    <w:abstractNumId w:val="30"/>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dchnas-evs02\home$\aford\cps - sp - babies dummies and dummy chains - explanatory statement (D2016-00150156).docx"/>
  </w:docVars>
  <w:rsids>
    <w:rsidRoot w:val="00CF4713"/>
    <w:rsid w:val="00004BBF"/>
    <w:rsid w:val="00016D76"/>
    <w:rsid w:val="0002115F"/>
    <w:rsid w:val="00021202"/>
    <w:rsid w:val="0002195C"/>
    <w:rsid w:val="000225C4"/>
    <w:rsid w:val="000258B5"/>
    <w:rsid w:val="00027EF5"/>
    <w:rsid w:val="00033FE8"/>
    <w:rsid w:val="0003578C"/>
    <w:rsid w:val="00037D55"/>
    <w:rsid w:val="00042663"/>
    <w:rsid w:val="00053094"/>
    <w:rsid w:val="00057B35"/>
    <w:rsid w:val="00063247"/>
    <w:rsid w:val="000654C1"/>
    <w:rsid w:val="00070F9F"/>
    <w:rsid w:val="00071136"/>
    <w:rsid w:val="0007137B"/>
    <w:rsid w:val="00085663"/>
    <w:rsid w:val="00085EBF"/>
    <w:rsid w:val="00087C79"/>
    <w:rsid w:val="000953B5"/>
    <w:rsid w:val="00095A51"/>
    <w:rsid w:val="0009632E"/>
    <w:rsid w:val="0009705F"/>
    <w:rsid w:val="000B42A5"/>
    <w:rsid w:val="000B523B"/>
    <w:rsid w:val="000B7501"/>
    <w:rsid w:val="000C6EBF"/>
    <w:rsid w:val="000D122C"/>
    <w:rsid w:val="000E0C85"/>
    <w:rsid w:val="000E162D"/>
    <w:rsid w:val="000E1640"/>
    <w:rsid w:val="000E1819"/>
    <w:rsid w:val="000E6C72"/>
    <w:rsid w:val="000F2368"/>
    <w:rsid w:val="00104C10"/>
    <w:rsid w:val="001076C3"/>
    <w:rsid w:val="001130AC"/>
    <w:rsid w:val="001146BA"/>
    <w:rsid w:val="00115314"/>
    <w:rsid w:val="00116512"/>
    <w:rsid w:val="001165D1"/>
    <w:rsid w:val="00116EB2"/>
    <w:rsid w:val="001221FA"/>
    <w:rsid w:val="00124609"/>
    <w:rsid w:val="00124C5C"/>
    <w:rsid w:val="00125EA2"/>
    <w:rsid w:val="00126FD1"/>
    <w:rsid w:val="00130E38"/>
    <w:rsid w:val="00136BE4"/>
    <w:rsid w:val="00146365"/>
    <w:rsid w:val="001573E4"/>
    <w:rsid w:val="00157E2F"/>
    <w:rsid w:val="00160756"/>
    <w:rsid w:val="00160ED0"/>
    <w:rsid w:val="0017232E"/>
    <w:rsid w:val="00172AA1"/>
    <w:rsid w:val="00174102"/>
    <w:rsid w:val="00175A6B"/>
    <w:rsid w:val="00180157"/>
    <w:rsid w:val="00181223"/>
    <w:rsid w:val="00181C3D"/>
    <w:rsid w:val="00186730"/>
    <w:rsid w:val="00186F77"/>
    <w:rsid w:val="00187311"/>
    <w:rsid w:val="00191B19"/>
    <w:rsid w:val="001926A4"/>
    <w:rsid w:val="001974EA"/>
    <w:rsid w:val="001A2E73"/>
    <w:rsid w:val="001A3A19"/>
    <w:rsid w:val="001A4F9B"/>
    <w:rsid w:val="001B246B"/>
    <w:rsid w:val="001B45A0"/>
    <w:rsid w:val="001B5547"/>
    <w:rsid w:val="001C18EE"/>
    <w:rsid w:val="001C5B63"/>
    <w:rsid w:val="001D0402"/>
    <w:rsid w:val="001D055E"/>
    <w:rsid w:val="001D1C9B"/>
    <w:rsid w:val="001E5444"/>
    <w:rsid w:val="001F492E"/>
    <w:rsid w:val="001F6DA3"/>
    <w:rsid w:val="00203BAD"/>
    <w:rsid w:val="00210046"/>
    <w:rsid w:val="00210E1E"/>
    <w:rsid w:val="00212737"/>
    <w:rsid w:val="002130AC"/>
    <w:rsid w:val="00224DB9"/>
    <w:rsid w:val="00225A07"/>
    <w:rsid w:val="00232E31"/>
    <w:rsid w:val="00242B3F"/>
    <w:rsid w:val="00243503"/>
    <w:rsid w:val="00251745"/>
    <w:rsid w:val="00251B89"/>
    <w:rsid w:val="00254169"/>
    <w:rsid w:val="00254D15"/>
    <w:rsid w:val="00263AC0"/>
    <w:rsid w:val="00266D93"/>
    <w:rsid w:val="0026772D"/>
    <w:rsid w:val="00273B18"/>
    <w:rsid w:val="002807E8"/>
    <w:rsid w:val="002821E0"/>
    <w:rsid w:val="00286874"/>
    <w:rsid w:val="00296B65"/>
    <w:rsid w:val="002A1810"/>
    <w:rsid w:val="002A27D9"/>
    <w:rsid w:val="002A6776"/>
    <w:rsid w:val="002A681C"/>
    <w:rsid w:val="002A7DEF"/>
    <w:rsid w:val="002B5F5A"/>
    <w:rsid w:val="002B7E27"/>
    <w:rsid w:val="002B7EF5"/>
    <w:rsid w:val="002C3140"/>
    <w:rsid w:val="002C7227"/>
    <w:rsid w:val="002E4745"/>
    <w:rsid w:val="002E6340"/>
    <w:rsid w:val="002F200F"/>
    <w:rsid w:val="002F615D"/>
    <w:rsid w:val="002F7986"/>
    <w:rsid w:val="00302202"/>
    <w:rsid w:val="00303C4A"/>
    <w:rsid w:val="00304B34"/>
    <w:rsid w:val="00307F6D"/>
    <w:rsid w:val="00310567"/>
    <w:rsid w:val="00314520"/>
    <w:rsid w:val="003177A2"/>
    <w:rsid w:val="00326C75"/>
    <w:rsid w:val="003271B5"/>
    <w:rsid w:val="003301BA"/>
    <w:rsid w:val="00330547"/>
    <w:rsid w:val="00330CA0"/>
    <w:rsid w:val="00331264"/>
    <w:rsid w:val="00334C8D"/>
    <w:rsid w:val="0033688D"/>
    <w:rsid w:val="00337A4D"/>
    <w:rsid w:val="00340655"/>
    <w:rsid w:val="003427BC"/>
    <w:rsid w:val="00342D13"/>
    <w:rsid w:val="003459E6"/>
    <w:rsid w:val="00350C05"/>
    <w:rsid w:val="003518B3"/>
    <w:rsid w:val="00364364"/>
    <w:rsid w:val="00371641"/>
    <w:rsid w:val="00373C45"/>
    <w:rsid w:val="003846F1"/>
    <w:rsid w:val="00393B74"/>
    <w:rsid w:val="00394E6A"/>
    <w:rsid w:val="00397649"/>
    <w:rsid w:val="003A673F"/>
    <w:rsid w:val="003B3AD2"/>
    <w:rsid w:val="003B5A70"/>
    <w:rsid w:val="003C04C6"/>
    <w:rsid w:val="003C6AB8"/>
    <w:rsid w:val="003D0A37"/>
    <w:rsid w:val="003D1318"/>
    <w:rsid w:val="003D62E0"/>
    <w:rsid w:val="003E091B"/>
    <w:rsid w:val="003E1D49"/>
    <w:rsid w:val="003F0ECF"/>
    <w:rsid w:val="0040078A"/>
    <w:rsid w:val="004008E2"/>
    <w:rsid w:val="004039E4"/>
    <w:rsid w:val="00405A11"/>
    <w:rsid w:val="00414ED6"/>
    <w:rsid w:val="004174C7"/>
    <w:rsid w:val="004274E4"/>
    <w:rsid w:val="00434878"/>
    <w:rsid w:val="00441CBD"/>
    <w:rsid w:val="00443B1B"/>
    <w:rsid w:val="004654C4"/>
    <w:rsid w:val="00475DDE"/>
    <w:rsid w:val="00480B4B"/>
    <w:rsid w:val="00484629"/>
    <w:rsid w:val="00485DC4"/>
    <w:rsid w:val="0048788D"/>
    <w:rsid w:val="004B3908"/>
    <w:rsid w:val="004B4412"/>
    <w:rsid w:val="004B503F"/>
    <w:rsid w:val="004C348C"/>
    <w:rsid w:val="004C36BA"/>
    <w:rsid w:val="004C410B"/>
    <w:rsid w:val="004C54D4"/>
    <w:rsid w:val="004D0C3C"/>
    <w:rsid w:val="004D55BA"/>
    <w:rsid w:val="004D6ED0"/>
    <w:rsid w:val="004D768C"/>
    <w:rsid w:val="004D7754"/>
    <w:rsid w:val="004E30FC"/>
    <w:rsid w:val="004F1BD0"/>
    <w:rsid w:val="005038DB"/>
    <w:rsid w:val="00507C7B"/>
    <w:rsid w:val="005103FA"/>
    <w:rsid w:val="00510D80"/>
    <w:rsid w:val="00511461"/>
    <w:rsid w:val="00514DBB"/>
    <w:rsid w:val="00521656"/>
    <w:rsid w:val="005217C8"/>
    <w:rsid w:val="0052379B"/>
    <w:rsid w:val="00530128"/>
    <w:rsid w:val="00532467"/>
    <w:rsid w:val="00535E11"/>
    <w:rsid w:val="0053615D"/>
    <w:rsid w:val="00537D81"/>
    <w:rsid w:val="005425D4"/>
    <w:rsid w:val="00543631"/>
    <w:rsid w:val="00546F04"/>
    <w:rsid w:val="00547BA2"/>
    <w:rsid w:val="00547CCF"/>
    <w:rsid w:val="005518BA"/>
    <w:rsid w:val="00551FA1"/>
    <w:rsid w:val="00552218"/>
    <w:rsid w:val="00553602"/>
    <w:rsid w:val="00564A4D"/>
    <w:rsid w:val="00566A3E"/>
    <w:rsid w:val="00571B35"/>
    <w:rsid w:val="00571C9F"/>
    <w:rsid w:val="00577A09"/>
    <w:rsid w:val="00580007"/>
    <w:rsid w:val="00580B78"/>
    <w:rsid w:val="00582E89"/>
    <w:rsid w:val="00583C82"/>
    <w:rsid w:val="00584D8F"/>
    <w:rsid w:val="00586F38"/>
    <w:rsid w:val="00586F55"/>
    <w:rsid w:val="00591C3A"/>
    <w:rsid w:val="00596D42"/>
    <w:rsid w:val="00597ACE"/>
    <w:rsid w:val="005A1268"/>
    <w:rsid w:val="005A3D72"/>
    <w:rsid w:val="005A404D"/>
    <w:rsid w:val="005A7195"/>
    <w:rsid w:val="005B1E3C"/>
    <w:rsid w:val="005B5C11"/>
    <w:rsid w:val="005B5E91"/>
    <w:rsid w:val="005B6B73"/>
    <w:rsid w:val="005C24AC"/>
    <w:rsid w:val="005C26CC"/>
    <w:rsid w:val="005D3F73"/>
    <w:rsid w:val="005D3FD3"/>
    <w:rsid w:val="005D61F7"/>
    <w:rsid w:val="005D64C8"/>
    <w:rsid w:val="005E4A58"/>
    <w:rsid w:val="005E6C0E"/>
    <w:rsid w:val="005F1416"/>
    <w:rsid w:val="006002A8"/>
    <w:rsid w:val="00601BEC"/>
    <w:rsid w:val="006041F5"/>
    <w:rsid w:val="00615C6B"/>
    <w:rsid w:val="0062056A"/>
    <w:rsid w:val="00621D56"/>
    <w:rsid w:val="00624A03"/>
    <w:rsid w:val="00631D50"/>
    <w:rsid w:val="00632D6D"/>
    <w:rsid w:val="00633EBB"/>
    <w:rsid w:val="00637ABA"/>
    <w:rsid w:val="00642C3E"/>
    <w:rsid w:val="006455F8"/>
    <w:rsid w:val="00646025"/>
    <w:rsid w:val="00650844"/>
    <w:rsid w:val="0065392B"/>
    <w:rsid w:val="00654A9D"/>
    <w:rsid w:val="00663CAA"/>
    <w:rsid w:val="00663DAD"/>
    <w:rsid w:val="00672E90"/>
    <w:rsid w:val="00673E85"/>
    <w:rsid w:val="00676679"/>
    <w:rsid w:val="00677C66"/>
    <w:rsid w:val="00684297"/>
    <w:rsid w:val="00691616"/>
    <w:rsid w:val="00691FE8"/>
    <w:rsid w:val="00694A0E"/>
    <w:rsid w:val="00695215"/>
    <w:rsid w:val="00697F0F"/>
    <w:rsid w:val="006B0E7F"/>
    <w:rsid w:val="006B20FC"/>
    <w:rsid w:val="006B4CF9"/>
    <w:rsid w:val="006B7AC8"/>
    <w:rsid w:val="006C00B7"/>
    <w:rsid w:val="006C2B41"/>
    <w:rsid w:val="006C5755"/>
    <w:rsid w:val="006D550F"/>
    <w:rsid w:val="006D70E1"/>
    <w:rsid w:val="006D77F3"/>
    <w:rsid w:val="006E1B28"/>
    <w:rsid w:val="006F0087"/>
    <w:rsid w:val="00701CAB"/>
    <w:rsid w:val="00707563"/>
    <w:rsid w:val="007167C5"/>
    <w:rsid w:val="0072035D"/>
    <w:rsid w:val="0072348C"/>
    <w:rsid w:val="007241AA"/>
    <w:rsid w:val="00724A37"/>
    <w:rsid w:val="00724BBB"/>
    <w:rsid w:val="007303C3"/>
    <w:rsid w:val="0073496D"/>
    <w:rsid w:val="00743223"/>
    <w:rsid w:val="00746323"/>
    <w:rsid w:val="00746724"/>
    <w:rsid w:val="00746E01"/>
    <w:rsid w:val="00753D26"/>
    <w:rsid w:val="00756C12"/>
    <w:rsid w:val="00763E5D"/>
    <w:rsid w:val="007665EC"/>
    <w:rsid w:val="00767740"/>
    <w:rsid w:val="00771E3E"/>
    <w:rsid w:val="00777EE6"/>
    <w:rsid w:val="00782EEA"/>
    <w:rsid w:val="00786FC9"/>
    <w:rsid w:val="00787F84"/>
    <w:rsid w:val="00790071"/>
    <w:rsid w:val="00793C17"/>
    <w:rsid w:val="007A25EA"/>
    <w:rsid w:val="007B0992"/>
    <w:rsid w:val="007B2C72"/>
    <w:rsid w:val="007B3E3C"/>
    <w:rsid w:val="007C1C53"/>
    <w:rsid w:val="007D2A28"/>
    <w:rsid w:val="007D42E4"/>
    <w:rsid w:val="007E23E5"/>
    <w:rsid w:val="007E26A9"/>
    <w:rsid w:val="007E2B21"/>
    <w:rsid w:val="007E4904"/>
    <w:rsid w:val="007E4CB5"/>
    <w:rsid w:val="007E7408"/>
    <w:rsid w:val="007F066B"/>
    <w:rsid w:val="007F3CC6"/>
    <w:rsid w:val="007F4CED"/>
    <w:rsid w:val="007F7A30"/>
    <w:rsid w:val="00800715"/>
    <w:rsid w:val="008019B5"/>
    <w:rsid w:val="00802A9B"/>
    <w:rsid w:val="00802B5F"/>
    <w:rsid w:val="008033C4"/>
    <w:rsid w:val="00806C88"/>
    <w:rsid w:val="0081034E"/>
    <w:rsid w:val="00813D66"/>
    <w:rsid w:val="00815897"/>
    <w:rsid w:val="0082143D"/>
    <w:rsid w:val="00822748"/>
    <w:rsid w:val="00826901"/>
    <w:rsid w:val="008327FD"/>
    <w:rsid w:val="008335E3"/>
    <w:rsid w:val="008344F6"/>
    <w:rsid w:val="0083510F"/>
    <w:rsid w:val="00843457"/>
    <w:rsid w:val="00844DC1"/>
    <w:rsid w:val="0084674B"/>
    <w:rsid w:val="00851209"/>
    <w:rsid w:val="00851F31"/>
    <w:rsid w:val="008567E4"/>
    <w:rsid w:val="0085749A"/>
    <w:rsid w:val="008614BE"/>
    <w:rsid w:val="00872B20"/>
    <w:rsid w:val="0088007E"/>
    <w:rsid w:val="008837AC"/>
    <w:rsid w:val="00885FE2"/>
    <w:rsid w:val="00887A66"/>
    <w:rsid w:val="008945B4"/>
    <w:rsid w:val="00895A57"/>
    <w:rsid w:val="008A239D"/>
    <w:rsid w:val="008A587D"/>
    <w:rsid w:val="008B2EE4"/>
    <w:rsid w:val="008C5486"/>
    <w:rsid w:val="008D3F9D"/>
    <w:rsid w:val="008D4A64"/>
    <w:rsid w:val="008E6004"/>
    <w:rsid w:val="008E7031"/>
    <w:rsid w:val="008F05C5"/>
    <w:rsid w:val="008F5133"/>
    <w:rsid w:val="008F66F4"/>
    <w:rsid w:val="008F76FE"/>
    <w:rsid w:val="008F7B5C"/>
    <w:rsid w:val="009149E5"/>
    <w:rsid w:val="009163F3"/>
    <w:rsid w:val="009173C4"/>
    <w:rsid w:val="00921E69"/>
    <w:rsid w:val="00922C95"/>
    <w:rsid w:val="009233EE"/>
    <w:rsid w:val="00930AA0"/>
    <w:rsid w:val="00930B69"/>
    <w:rsid w:val="00934F96"/>
    <w:rsid w:val="00936438"/>
    <w:rsid w:val="00944F38"/>
    <w:rsid w:val="00945F7D"/>
    <w:rsid w:val="009517D9"/>
    <w:rsid w:val="00964AE4"/>
    <w:rsid w:val="00965CDA"/>
    <w:rsid w:val="009661DE"/>
    <w:rsid w:val="00966728"/>
    <w:rsid w:val="00976A28"/>
    <w:rsid w:val="00980CA5"/>
    <w:rsid w:val="00984B39"/>
    <w:rsid w:val="009856B7"/>
    <w:rsid w:val="0098602B"/>
    <w:rsid w:val="00986B5F"/>
    <w:rsid w:val="009918BD"/>
    <w:rsid w:val="00991B3B"/>
    <w:rsid w:val="00991FFE"/>
    <w:rsid w:val="009962BA"/>
    <w:rsid w:val="009B31CA"/>
    <w:rsid w:val="009B613E"/>
    <w:rsid w:val="009B68BD"/>
    <w:rsid w:val="009B74B0"/>
    <w:rsid w:val="009D0CB6"/>
    <w:rsid w:val="009D0CD8"/>
    <w:rsid w:val="009D4414"/>
    <w:rsid w:val="009D6B46"/>
    <w:rsid w:val="009E3372"/>
    <w:rsid w:val="009E45BA"/>
    <w:rsid w:val="009F4940"/>
    <w:rsid w:val="00A02170"/>
    <w:rsid w:val="00A052E6"/>
    <w:rsid w:val="00A07B97"/>
    <w:rsid w:val="00A1009D"/>
    <w:rsid w:val="00A10A74"/>
    <w:rsid w:val="00A12107"/>
    <w:rsid w:val="00A1665B"/>
    <w:rsid w:val="00A21FC9"/>
    <w:rsid w:val="00A235D2"/>
    <w:rsid w:val="00A26B38"/>
    <w:rsid w:val="00A3484A"/>
    <w:rsid w:val="00A4478A"/>
    <w:rsid w:val="00A44852"/>
    <w:rsid w:val="00A516B8"/>
    <w:rsid w:val="00A522FD"/>
    <w:rsid w:val="00A542FA"/>
    <w:rsid w:val="00A55C1C"/>
    <w:rsid w:val="00A57D04"/>
    <w:rsid w:val="00A60A26"/>
    <w:rsid w:val="00A61537"/>
    <w:rsid w:val="00A61598"/>
    <w:rsid w:val="00A65432"/>
    <w:rsid w:val="00A823D8"/>
    <w:rsid w:val="00A82C94"/>
    <w:rsid w:val="00A84F46"/>
    <w:rsid w:val="00A871F4"/>
    <w:rsid w:val="00A936F8"/>
    <w:rsid w:val="00A93BF6"/>
    <w:rsid w:val="00A9510D"/>
    <w:rsid w:val="00A95998"/>
    <w:rsid w:val="00AA1E74"/>
    <w:rsid w:val="00AA47FC"/>
    <w:rsid w:val="00AA6F97"/>
    <w:rsid w:val="00AA779E"/>
    <w:rsid w:val="00AB4CB2"/>
    <w:rsid w:val="00AC0519"/>
    <w:rsid w:val="00AC1B2C"/>
    <w:rsid w:val="00AC2885"/>
    <w:rsid w:val="00AC3264"/>
    <w:rsid w:val="00AC676F"/>
    <w:rsid w:val="00AC6F01"/>
    <w:rsid w:val="00AC7631"/>
    <w:rsid w:val="00AD48EF"/>
    <w:rsid w:val="00AD54F9"/>
    <w:rsid w:val="00AD7988"/>
    <w:rsid w:val="00AE0FE2"/>
    <w:rsid w:val="00AE1BF1"/>
    <w:rsid w:val="00AE4CD4"/>
    <w:rsid w:val="00AE5458"/>
    <w:rsid w:val="00AF0DD2"/>
    <w:rsid w:val="00B02FCA"/>
    <w:rsid w:val="00B10314"/>
    <w:rsid w:val="00B13048"/>
    <w:rsid w:val="00B158D9"/>
    <w:rsid w:val="00B15998"/>
    <w:rsid w:val="00B1716D"/>
    <w:rsid w:val="00B17A1D"/>
    <w:rsid w:val="00B207A0"/>
    <w:rsid w:val="00B24C83"/>
    <w:rsid w:val="00B24CAD"/>
    <w:rsid w:val="00B44448"/>
    <w:rsid w:val="00B448FE"/>
    <w:rsid w:val="00B46239"/>
    <w:rsid w:val="00B55EA1"/>
    <w:rsid w:val="00B56E03"/>
    <w:rsid w:val="00B60F5D"/>
    <w:rsid w:val="00B6433C"/>
    <w:rsid w:val="00B64C67"/>
    <w:rsid w:val="00B66E42"/>
    <w:rsid w:val="00B67E91"/>
    <w:rsid w:val="00B8080B"/>
    <w:rsid w:val="00B87C39"/>
    <w:rsid w:val="00BA4665"/>
    <w:rsid w:val="00BB2FB2"/>
    <w:rsid w:val="00BB3304"/>
    <w:rsid w:val="00BB5AA8"/>
    <w:rsid w:val="00BB687A"/>
    <w:rsid w:val="00BC2071"/>
    <w:rsid w:val="00BC623B"/>
    <w:rsid w:val="00BD08B9"/>
    <w:rsid w:val="00BD3446"/>
    <w:rsid w:val="00BD6C23"/>
    <w:rsid w:val="00BD7609"/>
    <w:rsid w:val="00BE1F1B"/>
    <w:rsid w:val="00BE47B5"/>
    <w:rsid w:val="00BE4C99"/>
    <w:rsid w:val="00BF72CB"/>
    <w:rsid w:val="00C00620"/>
    <w:rsid w:val="00C058AB"/>
    <w:rsid w:val="00C06739"/>
    <w:rsid w:val="00C161A3"/>
    <w:rsid w:val="00C166DD"/>
    <w:rsid w:val="00C226FD"/>
    <w:rsid w:val="00C25A8D"/>
    <w:rsid w:val="00C37110"/>
    <w:rsid w:val="00C440D8"/>
    <w:rsid w:val="00C538A9"/>
    <w:rsid w:val="00C53B5A"/>
    <w:rsid w:val="00C54F5A"/>
    <w:rsid w:val="00C655A5"/>
    <w:rsid w:val="00C66767"/>
    <w:rsid w:val="00C700A4"/>
    <w:rsid w:val="00C755AD"/>
    <w:rsid w:val="00C75F67"/>
    <w:rsid w:val="00C86679"/>
    <w:rsid w:val="00C868E1"/>
    <w:rsid w:val="00CA3389"/>
    <w:rsid w:val="00CB151D"/>
    <w:rsid w:val="00CB664E"/>
    <w:rsid w:val="00CB666B"/>
    <w:rsid w:val="00CB7602"/>
    <w:rsid w:val="00CD2493"/>
    <w:rsid w:val="00CD3753"/>
    <w:rsid w:val="00CD4F0B"/>
    <w:rsid w:val="00CD585C"/>
    <w:rsid w:val="00CE0A64"/>
    <w:rsid w:val="00CE3A43"/>
    <w:rsid w:val="00CE6ED8"/>
    <w:rsid w:val="00CF4713"/>
    <w:rsid w:val="00CF799E"/>
    <w:rsid w:val="00D01CF0"/>
    <w:rsid w:val="00D02198"/>
    <w:rsid w:val="00D0442A"/>
    <w:rsid w:val="00D06217"/>
    <w:rsid w:val="00D11EED"/>
    <w:rsid w:val="00D203E1"/>
    <w:rsid w:val="00D22153"/>
    <w:rsid w:val="00D25880"/>
    <w:rsid w:val="00D36285"/>
    <w:rsid w:val="00D441E3"/>
    <w:rsid w:val="00D468E7"/>
    <w:rsid w:val="00D53C6A"/>
    <w:rsid w:val="00D544B8"/>
    <w:rsid w:val="00D5495B"/>
    <w:rsid w:val="00D61388"/>
    <w:rsid w:val="00D61A54"/>
    <w:rsid w:val="00D64DEA"/>
    <w:rsid w:val="00D678DB"/>
    <w:rsid w:val="00D73082"/>
    <w:rsid w:val="00D8070B"/>
    <w:rsid w:val="00D80893"/>
    <w:rsid w:val="00D813A6"/>
    <w:rsid w:val="00D919E2"/>
    <w:rsid w:val="00D92CF1"/>
    <w:rsid w:val="00D92D38"/>
    <w:rsid w:val="00D93458"/>
    <w:rsid w:val="00D94D35"/>
    <w:rsid w:val="00D950F5"/>
    <w:rsid w:val="00DA0131"/>
    <w:rsid w:val="00DA105B"/>
    <w:rsid w:val="00DA7D61"/>
    <w:rsid w:val="00DB0F93"/>
    <w:rsid w:val="00DB63AB"/>
    <w:rsid w:val="00DB7ED2"/>
    <w:rsid w:val="00DC1DFA"/>
    <w:rsid w:val="00DC40AB"/>
    <w:rsid w:val="00DC4A82"/>
    <w:rsid w:val="00DC542F"/>
    <w:rsid w:val="00DC7981"/>
    <w:rsid w:val="00DD356B"/>
    <w:rsid w:val="00DE4EFA"/>
    <w:rsid w:val="00DE5520"/>
    <w:rsid w:val="00DF22E8"/>
    <w:rsid w:val="00DF3714"/>
    <w:rsid w:val="00DF3F7F"/>
    <w:rsid w:val="00DF55D7"/>
    <w:rsid w:val="00DF7968"/>
    <w:rsid w:val="00E04818"/>
    <w:rsid w:val="00E05202"/>
    <w:rsid w:val="00E06442"/>
    <w:rsid w:val="00E0709D"/>
    <w:rsid w:val="00E222A7"/>
    <w:rsid w:val="00E23993"/>
    <w:rsid w:val="00E25B8C"/>
    <w:rsid w:val="00E260BE"/>
    <w:rsid w:val="00E33346"/>
    <w:rsid w:val="00E35331"/>
    <w:rsid w:val="00E404CF"/>
    <w:rsid w:val="00E408F6"/>
    <w:rsid w:val="00E41A72"/>
    <w:rsid w:val="00E4674F"/>
    <w:rsid w:val="00E51D2F"/>
    <w:rsid w:val="00E52C61"/>
    <w:rsid w:val="00E52FD4"/>
    <w:rsid w:val="00E65C85"/>
    <w:rsid w:val="00E66199"/>
    <w:rsid w:val="00E755EC"/>
    <w:rsid w:val="00E7624D"/>
    <w:rsid w:val="00E77EE8"/>
    <w:rsid w:val="00E9338A"/>
    <w:rsid w:val="00EA1137"/>
    <w:rsid w:val="00EA1226"/>
    <w:rsid w:val="00EA3D42"/>
    <w:rsid w:val="00EA6B1B"/>
    <w:rsid w:val="00EB33F3"/>
    <w:rsid w:val="00EB6B30"/>
    <w:rsid w:val="00EC45F7"/>
    <w:rsid w:val="00EE1B31"/>
    <w:rsid w:val="00EE28F3"/>
    <w:rsid w:val="00EE3018"/>
    <w:rsid w:val="00EE50C9"/>
    <w:rsid w:val="00EE53E9"/>
    <w:rsid w:val="00EE6ACB"/>
    <w:rsid w:val="00EF1776"/>
    <w:rsid w:val="00EF5110"/>
    <w:rsid w:val="00F07739"/>
    <w:rsid w:val="00F14765"/>
    <w:rsid w:val="00F15882"/>
    <w:rsid w:val="00F20BD3"/>
    <w:rsid w:val="00F21CF4"/>
    <w:rsid w:val="00F373A5"/>
    <w:rsid w:val="00F46FE9"/>
    <w:rsid w:val="00F47559"/>
    <w:rsid w:val="00F536AB"/>
    <w:rsid w:val="00F55298"/>
    <w:rsid w:val="00F55CB1"/>
    <w:rsid w:val="00F5690F"/>
    <w:rsid w:val="00F57F1E"/>
    <w:rsid w:val="00F60BE4"/>
    <w:rsid w:val="00F61B84"/>
    <w:rsid w:val="00F64C7B"/>
    <w:rsid w:val="00F676DD"/>
    <w:rsid w:val="00F75A26"/>
    <w:rsid w:val="00F7667C"/>
    <w:rsid w:val="00F825AF"/>
    <w:rsid w:val="00F83FAD"/>
    <w:rsid w:val="00F869E9"/>
    <w:rsid w:val="00F91DC6"/>
    <w:rsid w:val="00F952A0"/>
    <w:rsid w:val="00FA3C7F"/>
    <w:rsid w:val="00FB0E83"/>
    <w:rsid w:val="00FB19F7"/>
    <w:rsid w:val="00FB52D7"/>
    <w:rsid w:val="00FB74E2"/>
    <w:rsid w:val="00FD03F0"/>
    <w:rsid w:val="00FD5614"/>
    <w:rsid w:val="00FE0BE1"/>
    <w:rsid w:val="00FE1DE9"/>
    <w:rsid w:val="00FE39C2"/>
    <w:rsid w:val="00FE4F4A"/>
    <w:rsid w:val="00FE64AE"/>
    <w:rsid w:val="00FF5E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F97D"/>
  <w15:docId w15:val="{8133E5FE-EAE3-4A4A-BBBC-80D06A75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bulletpoint0">
    <w:name w:val="bulletpoint"/>
    <w:basedOn w:val="Normal"/>
    <w:rsid w:val="00CB7602"/>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71136"/>
    <w:rPr>
      <w:sz w:val="16"/>
      <w:szCs w:val="16"/>
    </w:rPr>
  </w:style>
  <w:style w:type="paragraph" w:styleId="CommentText">
    <w:name w:val="annotation text"/>
    <w:basedOn w:val="Normal"/>
    <w:link w:val="CommentTextChar"/>
    <w:uiPriority w:val="99"/>
    <w:semiHidden/>
    <w:unhideWhenUsed/>
    <w:rsid w:val="00071136"/>
    <w:rPr>
      <w:sz w:val="20"/>
      <w:szCs w:val="20"/>
    </w:rPr>
  </w:style>
  <w:style w:type="character" w:customStyle="1" w:styleId="CommentTextChar">
    <w:name w:val="Comment Text Char"/>
    <w:basedOn w:val="DefaultParagraphFont"/>
    <w:link w:val="CommentText"/>
    <w:uiPriority w:val="99"/>
    <w:semiHidden/>
    <w:rsid w:val="000711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1136"/>
    <w:rPr>
      <w:b/>
      <w:bCs/>
    </w:rPr>
  </w:style>
  <w:style w:type="character" w:customStyle="1" w:styleId="CommentSubjectChar">
    <w:name w:val="Comment Subject Char"/>
    <w:basedOn w:val="CommentTextChar"/>
    <w:link w:val="CommentSubject"/>
    <w:uiPriority w:val="99"/>
    <w:semiHidden/>
    <w:rsid w:val="00071136"/>
    <w:rPr>
      <w:rFonts w:ascii="Arial" w:hAnsi="Arial"/>
      <w:b/>
      <w:bCs/>
      <w:sz w:val="20"/>
      <w:szCs w:val="20"/>
    </w:rPr>
  </w:style>
  <w:style w:type="character" w:styleId="FollowedHyperlink">
    <w:name w:val="FollowedHyperlink"/>
    <w:basedOn w:val="DefaultParagraphFont"/>
    <w:uiPriority w:val="99"/>
    <w:semiHidden/>
    <w:unhideWhenUsed/>
    <w:rsid w:val="00BF72CB"/>
    <w:rPr>
      <w:color w:val="800080" w:themeColor="followedHyperlink"/>
      <w:u w:val="single"/>
    </w:rPr>
  </w:style>
  <w:style w:type="paragraph" w:customStyle="1" w:styleId="Headingnumbered1">
    <w:name w:val="Heading numbered 1."/>
    <w:basedOn w:val="Normal"/>
    <w:link w:val="Headingnumbered1Char"/>
    <w:qFormat/>
    <w:rsid w:val="00A1009D"/>
    <w:pPr>
      <w:numPr>
        <w:numId w:val="28"/>
      </w:numPr>
      <w:spacing w:before="520"/>
      <w:contextualSpacing/>
      <w:outlineLvl w:val="1"/>
    </w:pPr>
    <w:rPr>
      <w:rFonts w:ascii="Lucida Fax" w:eastAsia="Times New Roman" w:hAnsi="Lucida Fax" w:cs="Times New Roman"/>
      <w:color w:val="51626F"/>
      <w:sz w:val="32"/>
      <w:szCs w:val="32"/>
      <w:lang w:val="en-GB" w:eastAsia="en-AU"/>
    </w:rPr>
  </w:style>
  <w:style w:type="character" w:customStyle="1" w:styleId="Headingnumbered1Char">
    <w:name w:val="Heading numbered 1. Char"/>
    <w:basedOn w:val="DefaultParagraphFont"/>
    <w:link w:val="Headingnumbered1"/>
    <w:rsid w:val="00A1009D"/>
    <w:rPr>
      <w:rFonts w:ascii="Lucida Fax" w:eastAsia="Times New Roman" w:hAnsi="Lucida Fax" w:cs="Times New Roman"/>
      <w:color w:val="51626F"/>
      <w:sz w:val="32"/>
      <w:szCs w:val="32"/>
      <w:lang w:val="en-GB" w:eastAsia="en-AU"/>
    </w:rPr>
  </w:style>
  <w:style w:type="paragraph" w:styleId="Revision">
    <w:name w:val="Revision"/>
    <w:hidden/>
    <w:uiPriority w:val="99"/>
    <w:semiHidden/>
    <w:rsid w:val="0053615D"/>
    <w:pPr>
      <w:spacing w:before="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90650">
      <w:bodyDiv w:val="1"/>
      <w:marLeft w:val="0"/>
      <w:marRight w:val="0"/>
      <w:marTop w:val="0"/>
      <w:marBottom w:val="0"/>
      <w:divBdr>
        <w:top w:val="none" w:sz="0" w:space="0" w:color="auto"/>
        <w:left w:val="none" w:sz="0" w:space="0" w:color="auto"/>
        <w:bottom w:val="none" w:sz="0" w:space="0" w:color="auto"/>
        <w:right w:val="none" w:sz="0" w:space="0" w:color="auto"/>
      </w:divBdr>
      <w:divsChild>
        <w:div w:id="1547716877">
          <w:marLeft w:val="0"/>
          <w:marRight w:val="0"/>
          <w:marTop w:val="0"/>
          <w:marBottom w:val="0"/>
          <w:divBdr>
            <w:top w:val="none" w:sz="0" w:space="0" w:color="auto"/>
            <w:left w:val="none" w:sz="0" w:space="0" w:color="auto"/>
            <w:bottom w:val="none" w:sz="0" w:space="0" w:color="auto"/>
            <w:right w:val="none" w:sz="0" w:space="0" w:color="auto"/>
          </w:divBdr>
          <w:divsChild>
            <w:div w:id="391268593">
              <w:marLeft w:val="0"/>
              <w:marRight w:val="0"/>
              <w:marTop w:val="0"/>
              <w:marBottom w:val="0"/>
              <w:divBdr>
                <w:top w:val="none" w:sz="0" w:space="0" w:color="auto"/>
                <w:left w:val="none" w:sz="0" w:space="0" w:color="auto"/>
                <w:bottom w:val="none" w:sz="0" w:space="0" w:color="auto"/>
                <w:right w:val="none" w:sz="0" w:space="0" w:color="auto"/>
              </w:divBdr>
              <w:divsChild>
                <w:div w:id="1722048452">
                  <w:marLeft w:val="0"/>
                  <w:marRight w:val="0"/>
                  <w:marTop w:val="0"/>
                  <w:marBottom w:val="0"/>
                  <w:divBdr>
                    <w:top w:val="none" w:sz="0" w:space="0" w:color="auto"/>
                    <w:left w:val="none" w:sz="0" w:space="0" w:color="auto"/>
                    <w:bottom w:val="none" w:sz="0" w:space="0" w:color="auto"/>
                    <w:right w:val="none" w:sz="0" w:space="0" w:color="auto"/>
                  </w:divBdr>
                  <w:divsChild>
                    <w:div w:id="936716877">
                      <w:marLeft w:val="0"/>
                      <w:marRight w:val="0"/>
                      <w:marTop w:val="0"/>
                      <w:marBottom w:val="0"/>
                      <w:divBdr>
                        <w:top w:val="none" w:sz="0" w:space="0" w:color="auto"/>
                        <w:left w:val="none" w:sz="0" w:space="0" w:color="auto"/>
                        <w:bottom w:val="none" w:sz="0" w:space="0" w:color="auto"/>
                        <w:right w:val="none" w:sz="0" w:space="0" w:color="auto"/>
                      </w:divBdr>
                      <w:divsChild>
                        <w:div w:id="1762481433">
                          <w:marLeft w:val="0"/>
                          <w:marRight w:val="0"/>
                          <w:marTop w:val="0"/>
                          <w:marBottom w:val="0"/>
                          <w:divBdr>
                            <w:top w:val="none" w:sz="0" w:space="0" w:color="auto"/>
                            <w:left w:val="none" w:sz="0" w:space="0" w:color="auto"/>
                            <w:bottom w:val="none" w:sz="0" w:space="0" w:color="auto"/>
                            <w:right w:val="none" w:sz="0" w:space="0" w:color="auto"/>
                          </w:divBdr>
                          <w:divsChild>
                            <w:div w:id="1237125437">
                              <w:marLeft w:val="0"/>
                              <w:marRight w:val="0"/>
                              <w:marTop w:val="0"/>
                              <w:marBottom w:val="0"/>
                              <w:divBdr>
                                <w:top w:val="none" w:sz="0" w:space="0" w:color="auto"/>
                                <w:left w:val="none" w:sz="0" w:space="0" w:color="auto"/>
                                <w:bottom w:val="none" w:sz="0" w:space="0" w:color="auto"/>
                                <w:right w:val="none" w:sz="0" w:space="0" w:color="auto"/>
                              </w:divBdr>
                              <w:divsChild>
                                <w:div w:id="184488176">
                                  <w:marLeft w:val="0"/>
                                  <w:marRight w:val="0"/>
                                  <w:marTop w:val="0"/>
                                  <w:marBottom w:val="0"/>
                                  <w:divBdr>
                                    <w:top w:val="none" w:sz="0" w:space="0" w:color="auto"/>
                                    <w:left w:val="none" w:sz="0" w:space="0" w:color="auto"/>
                                    <w:bottom w:val="none" w:sz="0" w:space="0" w:color="auto"/>
                                    <w:right w:val="none" w:sz="0" w:space="0" w:color="auto"/>
                                  </w:divBdr>
                                  <w:divsChild>
                                    <w:div w:id="1639846543">
                                      <w:marLeft w:val="0"/>
                                      <w:marRight w:val="0"/>
                                      <w:marTop w:val="0"/>
                                      <w:marBottom w:val="0"/>
                                      <w:divBdr>
                                        <w:top w:val="none" w:sz="0" w:space="0" w:color="auto"/>
                                        <w:left w:val="none" w:sz="0" w:space="0" w:color="auto"/>
                                        <w:bottom w:val="none" w:sz="0" w:space="0" w:color="auto"/>
                                        <w:right w:val="none" w:sz="0" w:space="0" w:color="auto"/>
                                      </w:divBdr>
                                      <w:divsChild>
                                        <w:div w:id="1643657976">
                                          <w:marLeft w:val="0"/>
                                          <w:marRight w:val="0"/>
                                          <w:marTop w:val="0"/>
                                          <w:marBottom w:val="0"/>
                                          <w:divBdr>
                                            <w:top w:val="none" w:sz="0" w:space="0" w:color="auto"/>
                                            <w:left w:val="none" w:sz="0" w:space="0" w:color="auto"/>
                                            <w:bottom w:val="none" w:sz="0" w:space="0" w:color="auto"/>
                                            <w:right w:val="none" w:sz="0" w:space="0" w:color="auto"/>
                                          </w:divBdr>
                                          <w:divsChild>
                                            <w:div w:id="1871140612">
                                              <w:marLeft w:val="0"/>
                                              <w:marRight w:val="0"/>
                                              <w:marTop w:val="0"/>
                                              <w:marBottom w:val="0"/>
                                              <w:divBdr>
                                                <w:top w:val="none" w:sz="0" w:space="0" w:color="auto"/>
                                                <w:left w:val="none" w:sz="0" w:space="0" w:color="auto"/>
                                                <w:bottom w:val="none" w:sz="0" w:space="0" w:color="auto"/>
                                                <w:right w:val="none" w:sz="0" w:space="0" w:color="auto"/>
                                              </w:divBdr>
                                              <w:divsChild>
                                                <w:div w:id="1508472513">
                                                  <w:marLeft w:val="0"/>
                                                  <w:marRight w:val="0"/>
                                                  <w:marTop w:val="0"/>
                                                  <w:marBottom w:val="0"/>
                                                  <w:divBdr>
                                                    <w:top w:val="none" w:sz="0" w:space="0" w:color="auto"/>
                                                    <w:left w:val="none" w:sz="0" w:space="0" w:color="auto"/>
                                                    <w:bottom w:val="none" w:sz="0" w:space="0" w:color="auto"/>
                                                    <w:right w:val="none" w:sz="0" w:space="0" w:color="auto"/>
                                                  </w:divBdr>
                                                  <w:divsChild>
                                                    <w:div w:id="1529686351">
                                                      <w:marLeft w:val="0"/>
                                                      <w:marRight w:val="0"/>
                                                      <w:marTop w:val="0"/>
                                                      <w:marBottom w:val="0"/>
                                                      <w:divBdr>
                                                        <w:top w:val="none" w:sz="0" w:space="0" w:color="auto"/>
                                                        <w:left w:val="none" w:sz="0" w:space="0" w:color="auto"/>
                                                        <w:bottom w:val="none" w:sz="0" w:space="0" w:color="auto"/>
                                                        <w:right w:val="none" w:sz="0" w:space="0" w:color="auto"/>
                                                      </w:divBdr>
                                                      <w:divsChild>
                                                        <w:div w:id="16148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093740506">
      <w:bodyDiv w:val="1"/>
      <w:marLeft w:val="0"/>
      <w:marRight w:val="0"/>
      <w:marTop w:val="0"/>
      <w:marBottom w:val="0"/>
      <w:divBdr>
        <w:top w:val="none" w:sz="0" w:space="0" w:color="auto"/>
        <w:left w:val="none" w:sz="0" w:space="0" w:color="auto"/>
        <w:bottom w:val="none" w:sz="0" w:space="0" w:color="auto"/>
        <w:right w:val="none" w:sz="0" w:space="0" w:color="auto"/>
      </w:divBdr>
    </w:div>
    <w:div w:id="1318461235">
      <w:bodyDiv w:val="1"/>
      <w:marLeft w:val="0"/>
      <w:marRight w:val="0"/>
      <w:marTop w:val="0"/>
      <w:marBottom w:val="0"/>
      <w:divBdr>
        <w:top w:val="none" w:sz="0" w:space="0" w:color="auto"/>
        <w:left w:val="none" w:sz="0" w:space="0" w:color="auto"/>
        <w:bottom w:val="none" w:sz="0" w:space="0" w:color="auto"/>
        <w:right w:val="none" w:sz="0" w:space="0" w:color="auto"/>
      </w:divBdr>
      <w:divsChild>
        <w:div w:id="1831603970">
          <w:marLeft w:val="0"/>
          <w:marRight w:val="0"/>
          <w:marTop w:val="0"/>
          <w:marBottom w:val="0"/>
          <w:divBdr>
            <w:top w:val="none" w:sz="0" w:space="0" w:color="auto"/>
            <w:left w:val="none" w:sz="0" w:space="0" w:color="auto"/>
            <w:bottom w:val="none" w:sz="0" w:space="0" w:color="auto"/>
            <w:right w:val="none" w:sz="0" w:space="0" w:color="auto"/>
          </w:divBdr>
          <w:divsChild>
            <w:div w:id="1127427361">
              <w:marLeft w:val="0"/>
              <w:marRight w:val="0"/>
              <w:marTop w:val="0"/>
              <w:marBottom w:val="0"/>
              <w:divBdr>
                <w:top w:val="none" w:sz="0" w:space="0" w:color="auto"/>
                <w:left w:val="none" w:sz="0" w:space="0" w:color="auto"/>
                <w:bottom w:val="none" w:sz="0" w:space="0" w:color="auto"/>
                <w:right w:val="none" w:sz="0" w:space="0" w:color="auto"/>
              </w:divBdr>
              <w:divsChild>
                <w:div w:id="862062024">
                  <w:marLeft w:val="0"/>
                  <w:marRight w:val="0"/>
                  <w:marTop w:val="0"/>
                  <w:marBottom w:val="0"/>
                  <w:divBdr>
                    <w:top w:val="none" w:sz="0" w:space="0" w:color="auto"/>
                    <w:left w:val="none" w:sz="0" w:space="0" w:color="auto"/>
                    <w:bottom w:val="none" w:sz="0" w:space="0" w:color="auto"/>
                    <w:right w:val="none" w:sz="0" w:space="0" w:color="auto"/>
                  </w:divBdr>
                  <w:divsChild>
                    <w:div w:id="2129542586">
                      <w:marLeft w:val="0"/>
                      <w:marRight w:val="0"/>
                      <w:marTop w:val="0"/>
                      <w:marBottom w:val="0"/>
                      <w:divBdr>
                        <w:top w:val="none" w:sz="0" w:space="0" w:color="auto"/>
                        <w:left w:val="none" w:sz="0" w:space="0" w:color="auto"/>
                        <w:bottom w:val="none" w:sz="0" w:space="0" w:color="auto"/>
                        <w:right w:val="none" w:sz="0" w:space="0" w:color="auto"/>
                      </w:divBdr>
                      <w:divsChild>
                        <w:div w:id="634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899280">
      <w:bodyDiv w:val="1"/>
      <w:marLeft w:val="0"/>
      <w:marRight w:val="0"/>
      <w:marTop w:val="0"/>
      <w:marBottom w:val="0"/>
      <w:divBdr>
        <w:top w:val="none" w:sz="0" w:space="0" w:color="auto"/>
        <w:left w:val="none" w:sz="0" w:space="0" w:color="auto"/>
        <w:bottom w:val="none" w:sz="0" w:space="0" w:color="auto"/>
        <w:right w:val="none" w:sz="0" w:space="0" w:color="auto"/>
      </w:divBdr>
      <w:divsChild>
        <w:div w:id="637494902">
          <w:marLeft w:val="0"/>
          <w:marRight w:val="0"/>
          <w:marTop w:val="0"/>
          <w:marBottom w:val="0"/>
          <w:divBdr>
            <w:top w:val="none" w:sz="0" w:space="0" w:color="auto"/>
            <w:left w:val="none" w:sz="0" w:space="0" w:color="auto"/>
            <w:bottom w:val="none" w:sz="0" w:space="0" w:color="auto"/>
            <w:right w:val="none" w:sz="0" w:space="0" w:color="auto"/>
          </w:divBdr>
          <w:divsChild>
            <w:div w:id="1690640090">
              <w:marLeft w:val="0"/>
              <w:marRight w:val="0"/>
              <w:marTop w:val="0"/>
              <w:marBottom w:val="0"/>
              <w:divBdr>
                <w:top w:val="none" w:sz="0" w:space="0" w:color="auto"/>
                <w:left w:val="none" w:sz="0" w:space="0" w:color="auto"/>
                <w:bottom w:val="none" w:sz="0" w:space="0" w:color="auto"/>
                <w:right w:val="none" w:sz="0" w:space="0" w:color="auto"/>
              </w:divBdr>
              <w:divsChild>
                <w:div w:id="650209053">
                  <w:marLeft w:val="0"/>
                  <w:marRight w:val="0"/>
                  <w:marTop w:val="0"/>
                  <w:marBottom w:val="0"/>
                  <w:divBdr>
                    <w:top w:val="none" w:sz="0" w:space="0" w:color="auto"/>
                    <w:left w:val="none" w:sz="0" w:space="0" w:color="auto"/>
                    <w:bottom w:val="none" w:sz="0" w:space="0" w:color="auto"/>
                    <w:right w:val="none" w:sz="0" w:space="0" w:color="auto"/>
                  </w:divBdr>
                  <w:divsChild>
                    <w:div w:id="2024014505">
                      <w:marLeft w:val="0"/>
                      <w:marRight w:val="0"/>
                      <w:marTop w:val="0"/>
                      <w:marBottom w:val="0"/>
                      <w:divBdr>
                        <w:top w:val="none" w:sz="0" w:space="0" w:color="auto"/>
                        <w:left w:val="none" w:sz="0" w:space="0" w:color="auto"/>
                        <w:bottom w:val="none" w:sz="0" w:space="0" w:color="auto"/>
                        <w:right w:val="none" w:sz="0" w:space="0" w:color="auto"/>
                      </w:divBdr>
                      <w:divsChild>
                        <w:div w:id="2084327279">
                          <w:marLeft w:val="0"/>
                          <w:marRight w:val="0"/>
                          <w:marTop w:val="0"/>
                          <w:marBottom w:val="0"/>
                          <w:divBdr>
                            <w:top w:val="none" w:sz="0" w:space="0" w:color="auto"/>
                            <w:left w:val="none" w:sz="0" w:space="0" w:color="auto"/>
                            <w:bottom w:val="none" w:sz="0" w:space="0" w:color="auto"/>
                            <w:right w:val="none" w:sz="0" w:space="0" w:color="auto"/>
                          </w:divBdr>
                          <w:divsChild>
                            <w:div w:id="1972055393">
                              <w:marLeft w:val="0"/>
                              <w:marRight w:val="0"/>
                              <w:marTop w:val="0"/>
                              <w:marBottom w:val="0"/>
                              <w:divBdr>
                                <w:top w:val="none" w:sz="0" w:space="0" w:color="auto"/>
                                <w:left w:val="none" w:sz="0" w:space="0" w:color="auto"/>
                                <w:bottom w:val="none" w:sz="0" w:space="0" w:color="auto"/>
                                <w:right w:val="none" w:sz="0" w:space="0" w:color="auto"/>
                              </w:divBdr>
                              <w:divsChild>
                                <w:div w:id="577179058">
                                  <w:marLeft w:val="0"/>
                                  <w:marRight w:val="0"/>
                                  <w:marTop w:val="0"/>
                                  <w:marBottom w:val="0"/>
                                  <w:divBdr>
                                    <w:top w:val="none" w:sz="0" w:space="0" w:color="auto"/>
                                    <w:left w:val="none" w:sz="0" w:space="0" w:color="auto"/>
                                    <w:bottom w:val="none" w:sz="0" w:space="0" w:color="auto"/>
                                    <w:right w:val="none" w:sz="0" w:space="0" w:color="auto"/>
                                  </w:divBdr>
                                  <w:divsChild>
                                    <w:div w:id="76755645">
                                      <w:marLeft w:val="0"/>
                                      <w:marRight w:val="0"/>
                                      <w:marTop w:val="0"/>
                                      <w:marBottom w:val="0"/>
                                      <w:divBdr>
                                        <w:top w:val="none" w:sz="0" w:space="0" w:color="auto"/>
                                        <w:left w:val="none" w:sz="0" w:space="0" w:color="auto"/>
                                        <w:bottom w:val="none" w:sz="0" w:space="0" w:color="auto"/>
                                        <w:right w:val="none" w:sz="0" w:space="0" w:color="auto"/>
                                      </w:divBdr>
                                      <w:divsChild>
                                        <w:div w:id="1306928721">
                                          <w:marLeft w:val="0"/>
                                          <w:marRight w:val="0"/>
                                          <w:marTop w:val="0"/>
                                          <w:marBottom w:val="0"/>
                                          <w:divBdr>
                                            <w:top w:val="none" w:sz="0" w:space="0" w:color="auto"/>
                                            <w:left w:val="none" w:sz="0" w:space="0" w:color="auto"/>
                                            <w:bottom w:val="none" w:sz="0" w:space="0" w:color="auto"/>
                                            <w:right w:val="none" w:sz="0" w:space="0" w:color="auto"/>
                                          </w:divBdr>
                                          <w:divsChild>
                                            <w:div w:id="887499000">
                                              <w:marLeft w:val="0"/>
                                              <w:marRight w:val="0"/>
                                              <w:marTop w:val="0"/>
                                              <w:marBottom w:val="0"/>
                                              <w:divBdr>
                                                <w:top w:val="none" w:sz="0" w:space="0" w:color="auto"/>
                                                <w:left w:val="none" w:sz="0" w:space="0" w:color="auto"/>
                                                <w:bottom w:val="none" w:sz="0" w:space="0" w:color="auto"/>
                                                <w:right w:val="none" w:sz="0" w:space="0" w:color="auto"/>
                                              </w:divBdr>
                                              <w:divsChild>
                                                <w:div w:id="1215118778">
                                                  <w:marLeft w:val="0"/>
                                                  <w:marRight w:val="0"/>
                                                  <w:marTop w:val="0"/>
                                                  <w:marBottom w:val="0"/>
                                                  <w:divBdr>
                                                    <w:top w:val="none" w:sz="0" w:space="0" w:color="auto"/>
                                                    <w:left w:val="none" w:sz="0" w:space="0" w:color="auto"/>
                                                    <w:bottom w:val="none" w:sz="0" w:space="0" w:color="auto"/>
                                                    <w:right w:val="none" w:sz="0" w:space="0" w:color="auto"/>
                                                  </w:divBdr>
                                                  <w:divsChild>
                                                    <w:div w:id="1489982592">
                                                      <w:marLeft w:val="0"/>
                                                      <w:marRight w:val="0"/>
                                                      <w:marTop w:val="0"/>
                                                      <w:marBottom w:val="0"/>
                                                      <w:divBdr>
                                                        <w:top w:val="none" w:sz="0" w:space="0" w:color="auto"/>
                                                        <w:left w:val="none" w:sz="0" w:space="0" w:color="auto"/>
                                                        <w:bottom w:val="none" w:sz="0" w:space="0" w:color="auto"/>
                                                        <w:right w:val="none" w:sz="0" w:space="0" w:color="auto"/>
                                                      </w:divBdr>
                                                      <w:divsChild>
                                                        <w:div w:id="347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ecfr.gov" TargetMode="External"/><Relationship Id="rId4" Type="http://schemas.openxmlformats.org/officeDocument/2006/relationships/styles" Target="styles.xml"/><Relationship Id="rId9" Type="http://schemas.openxmlformats.org/officeDocument/2006/relationships/hyperlink" Target="https://saiglob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5B24F6-D4E6-468C-8842-41E1A903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Watson, Tianna</dc:creator>
  <cp:lastModifiedBy>Milne, Gary</cp:lastModifiedBy>
  <cp:revision>33</cp:revision>
  <cp:lastPrinted>2017-01-30T04:44:00Z</cp:lastPrinted>
  <dcterms:created xsi:type="dcterms:W3CDTF">2018-10-02T23:59:00Z</dcterms:created>
  <dcterms:modified xsi:type="dcterms:W3CDTF">2019-02-11T04:56:00Z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8813979</vt:lpwstr>
  </property>
  <property fmtid="{D5CDD505-2E9C-101B-9397-08002B2CF9AE}" pid="3" name="currfile">
    <vt:lpwstr>\\cdchnas-evs02\home$\aford\cps - sp - disposable cigarette lighters - explanatory statement (D2016-00165204).docx</vt:lpwstr>
  </property>
</Properties>
</file>